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3F669" w14:textId="26B70A30" w:rsidR="00FD4686" w:rsidRDefault="00894BCB" w:rsidP="00894BCB">
      <w:pPr>
        <w:pStyle w:val="Pagedecouverture"/>
        <w:rPr>
          <w:noProof/>
        </w:rPr>
      </w:pPr>
      <w:bookmarkStart w:id="0" w:name="LW_BM_COVERPAGE"/>
      <w:r>
        <w:rPr>
          <w:noProof/>
        </w:rPr>
        <w:pict w14:anchorId="053F87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D48EF9FD-1020-45C6-951D-06E9AA8EE2F5" style="width:455pt;height:359.5pt">
            <v:imagedata r:id="rId14" o:title=""/>
          </v:shape>
        </w:pict>
      </w:r>
    </w:p>
    <w:bookmarkEnd w:id="0"/>
    <w:p w14:paraId="16FADC92" w14:textId="77777777" w:rsidR="00FD4686" w:rsidRDefault="00FD4686" w:rsidP="00FD4686">
      <w:pPr>
        <w:rPr>
          <w:noProof/>
        </w:rPr>
        <w:sectPr w:rsidR="00FD4686" w:rsidSect="00894BCB">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0"/>
          <w:cols w:space="720"/>
          <w:docGrid w:linePitch="326"/>
        </w:sectPr>
      </w:pPr>
    </w:p>
    <w:p w14:paraId="23F8320E" w14:textId="77777777" w:rsidR="00EB70E0" w:rsidRPr="005F4295" w:rsidRDefault="00EB70E0" w:rsidP="00EB70E0">
      <w:pPr>
        <w:pStyle w:val="HIIAboutEUIIHeading1"/>
        <w:rPr>
          <w:rFonts w:ascii="EC Square Sans Pro" w:hAnsi="EC Square Sans Pro"/>
        </w:rPr>
      </w:pPr>
      <w:bookmarkStart w:id="1" w:name="_Toc161262600"/>
      <w:bookmarkStart w:id="2" w:name="_Toc165906444"/>
      <w:bookmarkStart w:id="3" w:name="_Toc166834315"/>
      <w:bookmarkStart w:id="4" w:name="_Toc169166355"/>
      <w:bookmarkStart w:id="5" w:name="_Toc168585092"/>
      <w:bookmarkStart w:id="6" w:name="_Toc169600487"/>
      <w:bookmarkStart w:id="7" w:name="_Toc200977577"/>
      <w:bookmarkStart w:id="8" w:name="_Toc224570062"/>
      <w:bookmarkStart w:id="9" w:name="_Toc224821263"/>
      <w:bookmarkStart w:id="10" w:name="_Toc229386257"/>
      <w:bookmarkStart w:id="11" w:name="_Toc231286328"/>
      <w:bookmarkStart w:id="12" w:name="_Toc231914918"/>
      <w:bookmarkStart w:id="13" w:name="_Toc231480272"/>
      <w:r w:rsidRPr="005F4295">
        <w:rPr>
          <w:rFonts w:ascii="EC Square Sans Pro" w:hAnsi="EC Square Sans Pro"/>
        </w:rPr>
        <w:lastRenderedPageBreak/>
        <w:t>Contents</w:t>
      </w:r>
      <w:bookmarkEnd w:id="1"/>
      <w:bookmarkEnd w:id="2"/>
      <w:bookmarkEnd w:id="3"/>
      <w:bookmarkEnd w:id="4"/>
      <w:bookmarkEnd w:id="5"/>
      <w:bookmarkEnd w:id="6"/>
      <w:bookmarkEnd w:id="7"/>
      <w:bookmarkEnd w:id="8"/>
      <w:bookmarkEnd w:id="9"/>
      <w:bookmarkEnd w:id="10"/>
      <w:bookmarkEnd w:id="11"/>
      <w:bookmarkEnd w:id="12"/>
      <w:bookmarkEnd w:id="13"/>
    </w:p>
    <w:p w14:paraId="707E087C" w14:textId="41007FB8" w:rsidR="00245F91" w:rsidRPr="005F4295" w:rsidRDefault="00EB70E0">
      <w:pPr>
        <w:pStyle w:val="TOC1"/>
        <w:rPr>
          <w:rFonts w:asciiTheme="minorHAnsi" w:eastAsiaTheme="minorEastAsia" w:hAnsiTheme="minorHAnsi"/>
          <w:b w:val="0"/>
          <w:caps w:val="0"/>
          <w:noProof/>
          <w:kern w:val="2"/>
          <w:sz w:val="24"/>
          <w:szCs w:val="24"/>
          <w:lang w:eastAsia="fr-FR"/>
          <w14:ligatures w14:val="standardContextual"/>
        </w:rPr>
      </w:pPr>
      <w:r w:rsidRPr="005F4295">
        <w:fldChar w:fldCharType="begin"/>
      </w:r>
      <w:r w:rsidRPr="005F4295">
        <w:instrText xml:space="preserve"> TOC \o "1-1" \h \z \u </w:instrText>
      </w:r>
      <w:r w:rsidRPr="005F4295">
        <w:fldChar w:fldCharType="separate"/>
      </w:r>
      <w:hyperlink w:anchor="_Toc231914919" w:history="1">
        <w:r w:rsidR="00245F91" w:rsidRPr="005F4295">
          <w:rPr>
            <w:rStyle w:val="Hyperlink"/>
            <w:noProof/>
          </w:rPr>
          <w:t>Annex</w:t>
        </w:r>
        <w:r w:rsidR="00245F91" w:rsidRPr="005F4295">
          <w:rPr>
            <w:rStyle w:val="Hyperlink"/>
            <w:rFonts w:ascii="Calibri" w:hAnsi="Calibri" w:cs="Calibri"/>
            <w:noProof/>
          </w:rPr>
          <w:t> </w:t>
        </w:r>
        <w:r w:rsidR="00245F91" w:rsidRPr="005F4295">
          <w:rPr>
            <w:rStyle w:val="Hyperlink"/>
            <w:noProof/>
          </w:rPr>
          <w:t>5</w:t>
        </w:r>
        <w:r w:rsidR="00245F91" w:rsidRPr="005F4295">
          <w:rPr>
            <w:rStyle w:val="Hyperlink"/>
            <w:rFonts w:ascii="Calibri" w:hAnsi="Calibri" w:cs="Calibri"/>
            <w:noProof/>
          </w:rPr>
          <w:t> </w:t>
        </w:r>
        <w:r w:rsidR="00245F91" w:rsidRPr="005F4295">
          <w:rPr>
            <w:rStyle w:val="Hyperlink"/>
            <w:noProof/>
          </w:rPr>
          <w:t>– Multiannual control cycle and control results</w:t>
        </w:r>
        <w:r w:rsidR="00245F91" w:rsidRPr="005F4295">
          <w:rPr>
            <w:noProof/>
            <w:webHidden/>
          </w:rPr>
          <w:tab/>
        </w:r>
        <w:r w:rsidR="00245F91" w:rsidRPr="005F4295">
          <w:rPr>
            <w:noProof/>
            <w:webHidden/>
          </w:rPr>
          <w:fldChar w:fldCharType="begin"/>
        </w:r>
        <w:r w:rsidR="00245F91" w:rsidRPr="005F4295">
          <w:rPr>
            <w:noProof/>
            <w:webHidden/>
          </w:rPr>
          <w:instrText xml:space="preserve"> PAGEREF _Toc231914919 \h </w:instrText>
        </w:r>
        <w:r w:rsidR="00245F91" w:rsidRPr="005F4295">
          <w:rPr>
            <w:noProof/>
            <w:webHidden/>
          </w:rPr>
        </w:r>
        <w:r w:rsidR="00245F91" w:rsidRPr="005F4295">
          <w:rPr>
            <w:noProof/>
            <w:webHidden/>
          </w:rPr>
          <w:fldChar w:fldCharType="separate"/>
        </w:r>
        <w:r w:rsidR="001018BE">
          <w:rPr>
            <w:noProof/>
            <w:webHidden/>
          </w:rPr>
          <w:t>7</w:t>
        </w:r>
        <w:r w:rsidR="00245F91" w:rsidRPr="005F4295">
          <w:rPr>
            <w:noProof/>
            <w:webHidden/>
          </w:rPr>
          <w:fldChar w:fldCharType="end"/>
        </w:r>
      </w:hyperlink>
    </w:p>
    <w:p w14:paraId="2E188172" w14:textId="173A1639" w:rsidR="00245F91" w:rsidRPr="005F4295" w:rsidRDefault="00245F91">
      <w:pPr>
        <w:pStyle w:val="TOC1"/>
        <w:rPr>
          <w:rFonts w:asciiTheme="minorHAnsi" w:eastAsiaTheme="minorEastAsia" w:hAnsiTheme="minorHAnsi"/>
          <w:b w:val="0"/>
          <w:caps w:val="0"/>
          <w:noProof/>
          <w:kern w:val="2"/>
          <w:sz w:val="24"/>
          <w:szCs w:val="24"/>
          <w:lang w:eastAsia="fr-FR"/>
          <w14:ligatures w14:val="standardContextual"/>
        </w:rPr>
      </w:pPr>
      <w:hyperlink w:anchor="_Toc231914920" w:history="1">
        <w:r w:rsidRPr="005F4295">
          <w:rPr>
            <w:rStyle w:val="Hyperlink"/>
            <w:noProof/>
          </w:rPr>
          <w:t>Annex</w:t>
        </w:r>
        <w:r w:rsidRPr="005F4295">
          <w:rPr>
            <w:rStyle w:val="Hyperlink"/>
            <w:rFonts w:ascii="Calibri" w:hAnsi="Calibri" w:cs="Calibri"/>
            <w:noProof/>
          </w:rPr>
          <w:t> </w:t>
        </w:r>
        <w:r w:rsidRPr="005F4295">
          <w:rPr>
            <w:rStyle w:val="Hyperlink"/>
            <w:noProof/>
          </w:rPr>
          <w:t>6</w:t>
        </w:r>
        <w:r w:rsidRPr="005F4295">
          <w:rPr>
            <w:rStyle w:val="Hyperlink"/>
            <w:rFonts w:ascii="Calibri" w:hAnsi="Calibri" w:cs="Calibri"/>
            <w:noProof/>
          </w:rPr>
          <w:t> </w:t>
        </w:r>
        <w:r w:rsidRPr="005F4295">
          <w:rPr>
            <w:rStyle w:val="Hyperlink"/>
            <w:noProof/>
          </w:rPr>
          <w:t>– Assurance provided by the Internal Audit Service</w:t>
        </w:r>
        <w:r w:rsidRPr="005F4295">
          <w:rPr>
            <w:noProof/>
            <w:webHidden/>
          </w:rPr>
          <w:tab/>
        </w:r>
        <w:r w:rsidRPr="005F4295">
          <w:rPr>
            <w:noProof/>
            <w:webHidden/>
          </w:rPr>
          <w:fldChar w:fldCharType="begin"/>
        </w:r>
        <w:r w:rsidRPr="005F4295">
          <w:rPr>
            <w:noProof/>
            <w:webHidden/>
          </w:rPr>
          <w:instrText xml:space="preserve"> PAGEREF _Toc231914920 \h </w:instrText>
        </w:r>
        <w:r w:rsidRPr="005F4295">
          <w:rPr>
            <w:noProof/>
            <w:webHidden/>
          </w:rPr>
        </w:r>
        <w:r w:rsidRPr="005F4295">
          <w:rPr>
            <w:noProof/>
            <w:webHidden/>
          </w:rPr>
          <w:fldChar w:fldCharType="separate"/>
        </w:r>
        <w:r w:rsidR="001018BE">
          <w:rPr>
            <w:noProof/>
            <w:webHidden/>
          </w:rPr>
          <w:t>35</w:t>
        </w:r>
        <w:r w:rsidRPr="005F4295">
          <w:rPr>
            <w:noProof/>
            <w:webHidden/>
          </w:rPr>
          <w:fldChar w:fldCharType="end"/>
        </w:r>
      </w:hyperlink>
    </w:p>
    <w:p w14:paraId="7D2ACAC0" w14:textId="0A891060" w:rsidR="00245F91" w:rsidRPr="005F4295" w:rsidRDefault="00245F91">
      <w:pPr>
        <w:pStyle w:val="TOC1"/>
        <w:rPr>
          <w:rFonts w:asciiTheme="minorHAnsi" w:eastAsiaTheme="minorEastAsia" w:hAnsiTheme="minorHAnsi"/>
          <w:b w:val="0"/>
          <w:caps w:val="0"/>
          <w:noProof/>
          <w:kern w:val="2"/>
          <w:sz w:val="24"/>
          <w:szCs w:val="24"/>
          <w:lang w:eastAsia="fr-FR"/>
          <w14:ligatures w14:val="standardContextual"/>
        </w:rPr>
      </w:pPr>
      <w:hyperlink w:anchor="_Toc231914921" w:history="1">
        <w:r w:rsidRPr="005F4295">
          <w:rPr>
            <w:rStyle w:val="Hyperlink"/>
            <w:noProof/>
          </w:rPr>
          <w:t>Annex</w:t>
        </w:r>
        <w:r w:rsidRPr="005F4295">
          <w:rPr>
            <w:rStyle w:val="Hyperlink"/>
            <w:rFonts w:ascii="Calibri" w:hAnsi="Calibri" w:cs="Calibri"/>
            <w:noProof/>
          </w:rPr>
          <w:t> </w:t>
        </w:r>
        <w:r w:rsidRPr="005F4295">
          <w:rPr>
            <w:rStyle w:val="Hyperlink"/>
            <w:noProof/>
          </w:rPr>
          <w:t>7</w:t>
        </w:r>
        <w:r w:rsidRPr="005F4295">
          <w:rPr>
            <w:rStyle w:val="Hyperlink"/>
            <w:rFonts w:ascii="Calibri" w:hAnsi="Calibri" w:cs="Calibri"/>
            <w:noProof/>
          </w:rPr>
          <w:t> </w:t>
        </w:r>
        <w:r w:rsidRPr="005F4295">
          <w:rPr>
            <w:rStyle w:val="Hyperlink"/>
            <w:noProof/>
          </w:rPr>
          <w:t>– Summary of the work and conclusions of the Audit Progress Committee</w:t>
        </w:r>
        <w:r w:rsidRPr="005F4295">
          <w:rPr>
            <w:noProof/>
            <w:webHidden/>
          </w:rPr>
          <w:tab/>
        </w:r>
        <w:r w:rsidRPr="005F4295">
          <w:rPr>
            <w:noProof/>
            <w:webHidden/>
          </w:rPr>
          <w:fldChar w:fldCharType="begin"/>
        </w:r>
        <w:r w:rsidRPr="005F4295">
          <w:rPr>
            <w:noProof/>
            <w:webHidden/>
          </w:rPr>
          <w:instrText xml:space="preserve"> PAGEREF _Toc231914921 \h </w:instrText>
        </w:r>
        <w:r w:rsidRPr="005F4295">
          <w:rPr>
            <w:noProof/>
            <w:webHidden/>
          </w:rPr>
        </w:r>
        <w:r w:rsidRPr="005F4295">
          <w:rPr>
            <w:noProof/>
            <w:webHidden/>
          </w:rPr>
          <w:fldChar w:fldCharType="separate"/>
        </w:r>
        <w:r w:rsidR="001018BE">
          <w:rPr>
            <w:noProof/>
            <w:webHidden/>
          </w:rPr>
          <w:t>43</w:t>
        </w:r>
        <w:r w:rsidRPr="005F4295">
          <w:rPr>
            <w:noProof/>
            <w:webHidden/>
          </w:rPr>
          <w:fldChar w:fldCharType="end"/>
        </w:r>
      </w:hyperlink>
    </w:p>
    <w:p w14:paraId="6DB12DDF" w14:textId="35EA081D" w:rsidR="00245F91" w:rsidRPr="005F4295" w:rsidRDefault="00245F91">
      <w:pPr>
        <w:pStyle w:val="TOC1"/>
        <w:rPr>
          <w:rFonts w:asciiTheme="minorHAnsi" w:eastAsiaTheme="minorEastAsia" w:hAnsiTheme="minorHAnsi"/>
          <w:b w:val="0"/>
          <w:caps w:val="0"/>
          <w:noProof/>
          <w:kern w:val="2"/>
          <w:sz w:val="24"/>
          <w:szCs w:val="24"/>
          <w:lang w:eastAsia="fr-FR"/>
          <w14:ligatures w14:val="standardContextual"/>
        </w:rPr>
      </w:pPr>
      <w:hyperlink w:anchor="_Toc231914922" w:history="1">
        <w:r w:rsidRPr="005F4295">
          <w:rPr>
            <w:rStyle w:val="Hyperlink"/>
            <w:noProof/>
          </w:rPr>
          <w:t>Annex</w:t>
        </w:r>
        <w:r w:rsidRPr="005F4295">
          <w:rPr>
            <w:rStyle w:val="Hyperlink"/>
            <w:rFonts w:ascii="Calibri" w:hAnsi="Calibri" w:cs="Calibri"/>
            <w:noProof/>
          </w:rPr>
          <w:t> </w:t>
        </w:r>
        <w:r w:rsidRPr="005F4295">
          <w:rPr>
            <w:rStyle w:val="Hyperlink"/>
            <w:noProof/>
          </w:rPr>
          <w:t>8</w:t>
        </w:r>
        <w:r w:rsidRPr="005F4295">
          <w:rPr>
            <w:rStyle w:val="Hyperlink"/>
            <w:rFonts w:ascii="Calibri" w:hAnsi="Calibri" w:cs="Calibri"/>
            <w:noProof/>
          </w:rPr>
          <w:t> </w:t>
        </w:r>
        <w:r w:rsidRPr="005F4295">
          <w:rPr>
            <w:rStyle w:val="Hyperlink"/>
            <w:noProof/>
          </w:rPr>
          <w:t>– Compliance with payment time limits</w:t>
        </w:r>
        <w:r w:rsidRPr="005F4295">
          <w:rPr>
            <w:noProof/>
            <w:webHidden/>
          </w:rPr>
          <w:tab/>
        </w:r>
        <w:r w:rsidRPr="005F4295">
          <w:rPr>
            <w:noProof/>
            <w:webHidden/>
          </w:rPr>
          <w:fldChar w:fldCharType="begin"/>
        </w:r>
        <w:r w:rsidRPr="005F4295">
          <w:rPr>
            <w:noProof/>
            <w:webHidden/>
          </w:rPr>
          <w:instrText xml:space="preserve"> PAGEREF _Toc231914922 \h </w:instrText>
        </w:r>
        <w:r w:rsidRPr="005F4295">
          <w:rPr>
            <w:noProof/>
            <w:webHidden/>
          </w:rPr>
        </w:r>
        <w:r w:rsidRPr="005F4295">
          <w:rPr>
            <w:noProof/>
            <w:webHidden/>
          </w:rPr>
          <w:fldChar w:fldCharType="separate"/>
        </w:r>
        <w:r w:rsidR="001018BE">
          <w:rPr>
            <w:noProof/>
            <w:webHidden/>
          </w:rPr>
          <w:t>49</w:t>
        </w:r>
        <w:r w:rsidRPr="005F4295">
          <w:rPr>
            <w:noProof/>
            <w:webHidden/>
          </w:rPr>
          <w:fldChar w:fldCharType="end"/>
        </w:r>
      </w:hyperlink>
    </w:p>
    <w:p w14:paraId="4139A33F" w14:textId="2ACCC9C3" w:rsidR="00245F91" w:rsidRPr="005F4295" w:rsidRDefault="00245F91">
      <w:pPr>
        <w:pStyle w:val="TOC1"/>
        <w:rPr>
          <w:rFonts w:asciiTheme="minorHAnsi" w:eastAsiaTheme="minorEastAsia" w:hAnsiTheme="minorHAnsi"/>
          <w:b w:val="0"/>
          <w:caps w:val="0"/>
          <w:noProof/>
          <w:kern w:val="2"/>
          <w:sz w:val="24"/>
          <w:szCs w:val="24"/>
          <w:lang w:eastAsia="fr-FR"/>
          <w14:ligatures w14:val="standardContextual"/>
        </w:rPr>
      </w:pPr>
      <w:hyperlink w:anchor="_Toc231914923" w:history="1">
        <w:r w:rsidRPr="005F4295">
          <w:rPr>
            <w:rStyle w:val="Hyperlink"/>
            <w:noProof/>
          </w:rPr>
          <w:t>Annex</w:t>
        </w:r>
        <w:r w:rsidRPr="005F4295">
          <w:rPr>
            <w:rStyle w:val="Hyperlink"/>
            <w:rFonts w:ascii="Calibri" w:hAnsi="Calibri" w:cs="Calibri"/>
            <w:noProof/>
          </w:rPr>
          <w:t> </w:t>
        </w:r>
        <w:r w:rsidRPr="005F4295">
          <w:rPr>
            <w:rStyle w:val="Hyperlink"/>
            <w:noProof/>
          </w:rPr>
          <w:t>9</w:t>
        </w:r>
        <w:r w:rsidRPr="005F4295">
          <w:rPr>
            <w:rStyle w:val="Hyperlink"/>
            <w:rFonts w:ascii="Calibri" w:hAnsi="Calibri" w:cs="Calibri"/>
            <w:noProof/>
          </w:rPr>
          <w:t> </w:t>
        </w:r>
        <w:r w:rsidRPr="005F4295">
          <w:rPr>
            <w:rStyle w:val="Hyperlink"/>
            <w:noProof/>
          </w:rPr>
          <w:t>– Summary of waivers of recoveries of established amounts receivable</w:t>
        </w:r>
        <w:r w:rsidRPr="005F4295">
          <w:rPr>
            <w:noProof/>
            <w:webHidden/>
          </w:rPr>
          <w:tab/>
        </w:r>
        <w:r w:rsidRPr="005F4295">
          <w:rPr>
            <w:noProof/>
            <w:webHidden/>
          </w:rPr>
          <w:fldChar w:fldCharType="begin"/>
        </w:r>
        <w:r w:rsidRPr="005F4295">
          <w:rPr>
            <w:noProof/>
            <w:webHidden/>
          </w:rPr>
          <w:instrText xml:space="preserve"> PAGEREF _Toc231914923 \h </w:instrText>
        </w:r>
        <w:r w:rsidRPr="005F4295">
          <w:rPr>
            <w:noProof/>
            <w:webHidden/>
          </w:rPr>
        </w:r>
        <w:r w:rsidRPr="005F4295">
          <w:rPr>
            <w:noProof/>
            <w:webHidden/>
          </w:rPr>
          <w:fldChar w:fldCharType="separate"/>
        </w:r>
        <w:r w:rsidR="001018BE">
          <w:rPr>
            <w:noProof/>
            <w:webHidden/>
          </w:rPr>
          <w:t>55</w:t>
        </w:r>
        <w:r w:rsidRPr="005F4295">
          <w:rPr>
            <w:noProof/>
            <w:webHidden/>
          </w:rPr>
          <w:fldChar w:fldCharType="end"/>
        </w:r>
      </w:hyperlink>
    </w:p>
    <w:p w14:paraId="5B387CA1" w14:textId="67CF9D2B" w:rsidR="00245F91" w:rsidRPr="005F4295" w:rsidRDefault="00245F91">
      <w:pPr>
        <w:pStyle w:val="TOC1"/>
        <w:rPr>
          <w:rFonts w:asciiTheme="minorHAnsi" w:eastAsiaTheme="minorEastAsia" w:hAnsiTheme="minorHAnsi"/>
          <w:b w:val="0"/>
          <w:caps w:val="0"/>
          <w:noProof/>
          <w:kern w:val="2"/>
          <w:sz w:val="24"/>
          <w:szCs w:val="24"/>
          <w:lang w:eastAsia="fr-FR"/>
          <w14:ligatures w14:val="standardContextual"/>
        </w:rPr>
      </w:pPr>
      <w:hyperlink w:anchor="_Toc231914924" w:history="1">
        <w:r w:rsidRPr="005F4295">
          <w:rPr>
            <w:rStyle w:val="Hyperlink"/>
            <w:noProof/>
          </w:rPr>
          <w:t>Annex</w:t>
        </w:r>
        <w:r w:rsidRPr="005F4295">
          <w:rPr>
            <w:rStyle w:val="Hyperlink"/>
            <w:rFonts w:ascii="Calibri" w:hAnsi="Calibri" w:cs="Calibri"/>
            <w:noProof/>
          </w:rPr>
          <w:t> </w:t>
        </w:r>
        <w:r w:rsidRPr="005F4295">
          <w:rPr>
            <w:rStyle w:val="Hyperlink"/>
            <w:noProof/>
          </w:rPr>
          <w:t>10</w:t>
        </w:r>
        <w:r w:rsidRPr="005F4295">
          <w:rPr>
            <w:rStyle w:val="Hyperlink"/>
            <w:rFonts w:ascii="Calibri" w:hAnsi="Calibri" w:cs="Calibri"/>
            <w:noProof/>
          </w:rPr>
          <w:t> </w:t>
        </w:r>
        <w:r w:rsidRPr="005F4295">
          <w:rPr>
            <w:rStyle w:val="Hyperlink"/>
            <w:noProof/>
          </w:rPr>
          <w:t>– Report on negotiated procedures</w:t>
        </w:r>
        <w:r w:rsidRPr="005F4295">
          <w:rPr>
            <w:noProof/>
            <w:webHidden/>
          </w:rPr>
          <w:tab/>
        </w:r>
        <w:r w:rsidRPr="005F4295">
          <w:rPr>
            <w:noProof/>
            <w:webHidden/>
          </w:rPr>
          <w:fldChar w:fldCharType="begin"/>
        </w:r>
        <w:r w:rsidRPr="005F4295">
          <w:rPr>
            <w:noProof/>
            <w:webHidden/>
          </w:rPr>
          <w:instrText xml:space="preserve"> PAGEREF _Toc231914924 \h </w:instrText>
        </w:r>
        <w:r w:rsidRPr="005F4295">
          <w:rPr>
            <w:noProof/>
            <w:webHidden/>
          </w:rPr>
        </w:r>
        <w:r w:rsidRPr="005F4295">
          <w:rPr>
            <w:noProof/>
            <w:webHidden/>
          </w:rPr>
          <w:fldChar w:fldCharType="separate"/>
        </w:r>
        <w:r w:rsidR="001018BE">
          <w:rPr>
            <w:noProof/>
            <w:webHidden/>
          </w:rPr>
          <w:t>59</w:t>
        </w:r>
        <w:r w:rsidRPr="005F4295">
          <w:rPr>
            <w:noProof/>
            <w:webHidden/>
          </w:rPr>
          <w:fldChar w:fldCharType="end"/>
        </w:r>
      </w:hyperlink>
    </w:p>
    <w:p w14:paraId="2112170A" w14:textId="0405B80C" w:rsidR="00245F91" w:rsidRPr="005F4295" w:rsidRDefault="00245F91">
      <w:pPr>
        <w:pStyle w:val="TOC1"/>
        <w:rPr>
          <w:rFonts w:asciiTheme="minorHAnsi" w:eastAsiaTheme="minorEastAsia" w:hAnsiTheme="minorHAnsi"/>
          <w:b w:val="0"/>
          <w:caps w:val="0"/>
          <w:noProof/>
          <w:kern w:val="2"/>
          <w:sz w:val="24"/>
          <w:szCs w:val="24"/>
          <w:lang w:eastAsia="fr-FR"/>
          <w14:ligatures w14:val="standardContextual"/>
        </w:rPr>
      </w:pPr>
      <w:hyperlink w:anchor="_Toc231914925" w:history="1">
        <w:r w:rsidRPr="005F4295">
          <w:rPr>
            <w:rStyle w:val="Hyperlink"/>
            <w:noProof/>
          </w:rPr>
          <w:t>Annex</w:t>
        </w:r>
        <w:r w:rsidRPr="005F4295">
          <w:rPr>
            <w:rStyle w:val="Hyperlink"/>
            <w:rFonts w:ascii="Calibri" w:hAnsi="Calibri" w:cs="Calibri"/>
            <w:noProof/>
          </w:rPr>
          <w:t> </w:t>
        </w:r>
        <w:r w:rsidRPr="005F4295">
          <w:rPr>
            <w:rStyle w:val="Hyperlink"/>
            <w:noProof/>
          </w:rPr>
          <w:t>11</w:t>
        </w:r>
        <w:r w:rsidRPr="005F4295">
          <w:rPr>
            <w:rStyle w:val="Hyperlink"/>
            <w:rFonts w:ascii="Calibri" w:hAnsi="Calibri" w:cs="Calibri"/>
            <w:noProof/>
          </w:rPr>
          <w:t> </w:t>
        </w:r>
        <w:r w:rsidRPr="005F4295">
          <w:rPr>
            <w:rStyle w:val="Hyperlink"/>
            <w:noProof/>
          </w:rPr>
          <w:t>– EU trust funds</w:t>
        </w:r>
        <w:r w:rsidRPr="005F4295">
          <w:rPr>
            <w:noProof/>
            <w:webHidden/>
          </w:rPr>
          <w:tab/>
        </w:r>
        <w:r w:rsidRPr="005F4295">
          <w:rPr>
            <w:noProof/>
            <w:webHidden/>
          </w:rPr>
          <w:fldChar w:fldCharType="begin"/>
        </w:r>
        <w:r w:rsidRPr="005F4295">
          <w:rPr>
            <w:noProof/>
            <w:webHidden/>
          </w:rPr>
          <w:instrText xml:space="preserve"> PAGEREF _Toc231914925 \h </w:instrText>
        </w:r>
        <w:r w:rsidRPr="005F4295">
          <w:rPr>
            <w:noProof/>
            <w:webHidden/>
          </w:rPr>
        </w:r>
        <w:r w:rsidRPr="005F4295">
          <w:rPr>
            <w:noProof/>
            <w:webHidden/>
          </w:rPr>
          <w:fldChar w:fldCharType="separate"/>
        </w:r>
        <w:r w:rsidR="001018BE">
          <w:rPr>
            <w:noProof/>
            <w:webHidden/>
          </w:rPr>
          <w:t>69</w:t>
        </w:r>
        <w:r w:rsidRPr="005F4295">
          <w:rPr>
            <w:noProof/>
            <w:webHidden/>
          </w:rPr>
          <w:fldChar w:fldCharType="end"/>
        </w:r>
      </w:hyperlink>
    </w:p>
    <w:p w14:paraId="1359378D" w14:textId="4E0A9959" w:rsidR="00EB70E0" w:rsidRPr="005F4295" w:rsidRDefault="00EB70E0" w:rsidP="00EB70E0">
      <w:pPr>
        <w:spacing w:before="120" w:after="120"/>
        <w:rPr>
          <w:noProof/>
          <w:highlight w:val="lightGray"/>
        </w:rPr>
      </w:pPr>
      <w:r w:rsidRPr="005F4295">
        <w:fldChar w:fldCharType="end"/>
      </w:r>
    </w:p>
    <w:p w14:paraId="60B4C535" w14:textId="77777777" w:rsidR="00EB70E0" w:rsidRPr="005F4295" w:rsidRDefault="00EB70E0" w:rsidP="00EB70E0">
      <w:pPr>
        <w:suppressAutoHyphens w:val="0"/>
        <w:rPr>
          <w:noProof/>
          <w:highlight w:val="lightGray"/>
        </w:rPr>
      </w:pPr>
      <w:r w:rsidRPr="005F4295">
        <w:rPr>
          <w:noProof/>
          <w:highlight w:val="lightGray"/>
        </w:rPr>
        <w:br w:type="page"/>
      </w:r>
    </w:p>
    <w:p w14:paraId="11FE69CF" w14:textId="77777777" w:rsidR="00EB70E0" w:rsidRPr="005F4295" w:rsidRDefault="00EB70E0" w:rsidP="00EB70E0">
      <w:pPr>
        <w:rPr>
          <w:noProof/>
          <w:highlight w:val="lightGray"/>
        </w:rPr>
        <w:sectPr w:rsidR="00EB70E0" w:rsidRPr="005F4295" w:rsidSect="00D41C3E">
          <w:headerReference w:type="even" r:id="rId21"/>
          <w:headerReference w:type="default" r:id="rId22"/>
          <w:footerReference w:type="even" r:id="rId23"/>
          <w:footerReference w:type="default" r:id="rId24"/>
          <w:headerReference w:type="first" r:id="rId25"/>
          <w:footerReference w:type="first" r:id="rId26"/>
          <w:endnotePr>
            <w:pos w:val="sectEnd"/>
            <w:numFmt w:val="lowerLetter"/>
          </w:endnotePr>
          <w:pgSz w:w="11907" w:h="16839" w:code="9"/>
          <w:pgMar w:top="1418" w:right="1418" w:bottom="1418" w:left="1418" w:header="680" w:footer="567" w:gutter="0"/>
          <w:pgNumType w:start="3"/>
          <w:cols w:space="720"/>
          <w:docGrid w:linePitch="272"/>
        </w:sectPr>
      </w:pPr>
    </w:p>
    <w:p w14:paraId="682DDEB9" w14:textId="77777777" w:rsidR="00EB70E0" w:rsidRPr="005F4295" w:rsidRDefault="00EB70E0" w:rsidP="00EB70E0">
      <w:pPr>
        <w:rPr>
          <w:noProof/>
          <w:highlight w:val="lightGray"/>
        </w:rPr>
      </w:pPr>
    </w:p>
    <w:p w14:paraId="42C645B6" w14:textId="77777777" w:rsidR="00EB70E0" w:rsidRPr="005F4295" w:rsidRDefault="00EB70E0" w:rsidP="00EB70E0">
      <w:pPr>
        <w:rPr>
          <w:noProof/>
          <w:highlight w:val="lightGray"/>
        </w:rPr>
        <w:sectPr w:rsidR="00EB70E0" w:rsidRPr="005F4295" w:rsidSect="00EB70E0">
          <w:headerReference w:type="even" r:id="rId27"/>
          <w:headerReference w:type="default" r:id="rId28"/>
          <w:footerReference w:type="even" r:id="rId29"/>
          <w:footerReference w:type="default" r:id="rId30"/>
          <w:headerReference w:type="first" r:id="rId31"/>
          <w:footerReference w:type="first" r:id="rId32"/>
          <w:endnotePr>
            <w:pos w:val="sectEnd"/>
            <w:numFmt w:val="lowerLetter"/>
          </w:endnotePr>
          <w:pgSz w:w="11907" w:h="16839" w:code="9"/>
          <w:pgMar w:top="1418" w:right="1418" w:bottom="1418" w:left="1418" w:header="680" w:footer="567" w:gutter="0"/>
          <w:cols w:space="720"/>
          <w:docGrid w:linePitch="272"/>
        </w:sectPr>
      </w:pPr>
    </w:p>
    <w:p w14:paraId="57B505D3" w14:textId="77777777" w:rsidR="00EB70E0" w:rsidRPr="005F4295" w:rsidRDefault="00EB70E0" w:rsidP="00EB70E0">
      <w:pPr>
        <w:rPr>
          <w:noProof/>
          <w:highlight w:val="lightGray"/>
        </w:rPr>
      </w:pPr>
      <w:bookmarkStart w:id="14" w:name="_Toc130388582"/>
      <w:r w:rsidRPr="005F4295">
        <w:rPr>
          <w:noProof/>
          <w:highlight w:val="lightGray"/>
        </w:rPr>
        <w:lastRenderedPageBreak/>
        <mc:AlternateContent>
          <mc:Choice Requires="wps">
            <w:drawing>
              <wp:anchor distT="0" distB="0" distL="114300" distR="114300" simplePos="0" relativeHeight="251658240" behindDoc="0" locked="1" layoutInCell="1" allowOverlap="1" wp14:anchorId="7DFF7C2E" wp14:editId="4D4BF569">
                <wp:simplePos x="0" y="0"/>
                <wp:positionH relativeFrom="column">
                  <wp:posOffset>2376170</wp:posOffset>
                </wp:positionH>
                <wp:positionV relativeFrom="page">
                  <wp:posOffset>3240405</wp:posOffset>
                </wp:positionV>
                <wp:extent cx="3600000" cy="5040000"/>
                <wp:effectExtent l="0" t="0" r="0" b="0"/>
                <wp:wrapNone/>
                <wp:docPr id="3236" name="Text Box 3236"/>
                <wp:cNvGraphicFramePr/>
                <a:graphic xmlns:a="http://schemas.openxmlformats.org/drawingml/2006/main">
                  <a:graphicData uri="http://schemas.microsoft.com/office/word/2010/wordprocessingShape">
                    <wps:wsp>
                      <wps:cNvSpPr txBox="1"/>
                      <wps:spPr>
                        <a:xfrm>
                          <a:off x="0" y="0"/>
                          <a:ext cx="3600000" cy="5040000"/>
                        </a:xfrm>
                        <a:prstGeom prst="rect">
                          <a:avLst/>
                        </a:prstGeom>
                        <a:noFill/>
                        <a:ln w="6350">
                          <a:noFill/>
                        </a:ln>
                      </wps:spPr>
                      <wps:txbx>
                        <w:txbxContent>
                          <w:p w14:paraId="4F2C10BE" w14:textId="77777777" w:rsidR="00EB70E0" w:rsidRPr="005F4295" w:rsidRDefault="00EB70E0" w:rsidP="00EE19C3">
                            <w:pPr>
                              <w:pStyle w:val="HparaT-AnnexesSectiontitle"/>
                              <w:rPr>
                                <w:rFonts w:eastAsiaTheme="minorHAnsi" w:cstheme="minorBidi"/>
                              </w:rPr>
                            </w:pPr>
                            <w:r w:rsidRPr="005F4295">
                              <w:rPr>
                                <w:rFonts w:eastAsiaTheme="minorHAnsi" w:cstheme="minorBidi"/>
                              </w:rPr>
                              <w:t>Annex</w:t>
                            </w:r>
                            <w:r w:rsidRPr="005F4295">
                              <w:rPr>
                                <w:rFonts w:ascii="Calibri" w:eastAsiaTheme="minorHAnsi" w:hAnsi="Calibri" w:cs="Calibri"/>
                              </w:rPr>
                              <w:t> </w:t>
                            </w:r>
                            <w:r w:rsidRPr="005F4295">
                              <w:rPr>
                                <w:rFonts w:eastAsiaTheme="minorHAnsi" w:cstheme="minorBidi"/>
                              </w:rPr>
                              <w:t>5</w:t>
                            </w:r>
                            <w:r w:rsidRPr="005F4295">
                              <w:rPr>
                                <w:rFonts w:ascii="Calibri" w:eastAsiaTheme="minorHAnsi" w:hAnsi="Calibri" w:cs="Calibri"/>
                              </w:rPr>
                              <w:t> </w:t>
                            </w:r>
                            <w:r w:rsidRPr="005F4295">
                              <w:rPr>
                                <w:rFonts w:eastAsiaTheme="minorHAnsi" w:cstheme="minorBidi"/>
                              </w:rPr>
                              <w:t xml:space="preserve">– </w:t>
                            </w:r>
                            <w:r w:rsidRPr="005F4295">
                              <w:t>Multiannual control cycle and control results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FF7C2E" id="_x0000_t202" coordsize="21600,21600" o:spt="202" path="m,l,21600r21600,l21600,xe">
                <v:stroke joinstyle="miter"/>
                <v:path gradientshapeok="t" o:connecttype="rect"/>
              </v:shapetype>
              <v:shape id="Text Box 3236" o:spid="_x0000_s1026" type="#_x0000_t202" style="position:absolute;margin-left:187.1pt;margin-top:255.15pt;width:283.45pt;height:39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" filled="f" stroked="f" strokeweight=".5pt">
                <v:textbox>
                  <w:txbxContent>
                    <w:p w14:paraId="4F2C10BE" w14:textId="77777777" w:rsidR="00EB70E0" w:rsidRPr="005F4295" w:rsidRDefault="00EB70E0" w:rsidP="00EE19C3">
                      <w:pPr>
                        <w:pStyle w:val="HparaT-AnnexesSectiontitle"/>
                        <w:rPr>
                          <w:rFonts w:eastAsiaTheme="minorHAnsi" w:cstheme="minorBidi"/>
                        </w:rPr>
                      </w:pPr>
                      <w:r w:rsidRPr="005F4295">
                        <w:rPr>
                          <w:rFonts w:eastAsiaTheme="minorHAnsi" w:cstheme="minorBidi"/>
                        </w:rPr>
                        <w:t>Annex</w:t>
                      </w:r>
                      <w:r w:rsidRPr="005F4295">
                        <w:rPr>
                          <w:rFonts w:ascii="Calibri" w:eastAsiaTheme="minorHAnsi" w:hAnsi="Calibri" w:cs="Calibri"/>
                        </w:rPr>
                        <w:t> </w:t>
                      </w:r>
                      <w:r w:rsidRPr="005F4295">
                        <w:rPr>
                          <w:rFonts w:eastAsiaTheme="minorHAnsi" w:cstheme="minorBidi"/>
                        </w:rPr>
                        <w:t>5</w:t>
                      </w:r>
                      <w:r w:rsidRPr="005F4295">
                        <w:rPr>
                          <w:rFonts w:ascii="Calibri" w:eastAsiaTheme="minorHAnsi" w:hAnsi="Calibri" w:cs="Calibri"/>
                        </w:rPr>
                        <w:t> </w:t>
                      </w:r>
                      <w:r w:rsidRPr="005F4295">
                        <w:rPr>
                          <w:rFonts w:eastAsiaTheme="minorHAnsi" w:cstheme="minorBidi"/>
                        </w:rPr>
                        <w:t xml:space="preserve">– </w:t>
                      </w:r>
                      <w:r w:rsidRPr="005F4295">
                        <w:t>Multiannual control cycle and control results</w:t>
                      </w:r>
                    </w:p>
                  </w:txbxContent>
                </v:textbox>
                <w10:wrap anchory="page"/>
                <w10:anchorlock/>
              </v:shape>
            </w:pict>
          </mc:Fallback>
        </mc:AlternateContent>
      </w:r>
    </w:p>
    <w:p w14:paraId="56AD661D" w14:textId="77777777" w:rsidR="00EB70E0" w:rsidRPr="005F4295" w:rsidRDefault="00EB70E0" w:rsidP="00EB70E0">
      <w:pPr>
        <w:rPr>
          <w:noProof/>
          <w:highlight w:val="lightGray"/>
        </w:rPr>
        <w:sectPr w:rsidR="00EB70E0" w:rsidRPr="005F4295" w:rsidSect="00EB70E0">
          <w:headerReference w:type="even" r:id="rId33"/>
          <w:headerReference w:type="default" r:id="rId34"/>
          <w:footerReference w:type="even" r:id="rId35"/>
          <w:footerReference w:type="default" r:id="rId36"/>
          <w:headerReference w:type="first" r:id="rId37"/>
          <w:footerReference w:type="first" r:id="rId38"/>
          <w:endnotePr>
            <w:pos w:val="sectEnd"/>
            <w:numFmt w:val="lowerLetter"/>
          </w:endnotePr>
          <w:type w:val="oddPage"/>
          <w:pgSz w:w="11907" w:h="16839" w:code="9"/>
          <w:pgMar w:top="1418" w:right="1418" w:bottom="1418" w:left="1418" w:header="680" w:footer="567" w:gutter="0"/>
          <w:cols w:space="720"/>
          <w:docGrid w:linePitch="272"/>
        </w:sectPr>
      </w:pPr>
    </w:p>
    <w:p w14:paraId="5533470B" w14:textId="77777777" w:rsidR="00EB70E0" w:rsidRPr="005F4295" w:rsidRDefault="00EB70E0" w:rsidP="00EB70E0">
      <w:pPr>
        <w:pStyle w:val="Heading1"/>
        <w:rPr>
          <w:rFonts w:ascii="EC Square Sans Pro" w:hAnsi="EC Square Sans Pro"/>
          <w:noProof/>
          <w:highlight w:val="lightGray"/>
        </w:rPr>
        <w:sectPr w:rsidR="00EB70E0" w:rsidRPr="005F4295" w:rsidSect="00EB70E0">
          <w:headerReference w:type="even" r:id="rId39"/>
          <w:headerReference w:type="default" r:id="rId40"/>
          <w:footerReference w:type="even" r:id="rId41"/>
          <w:footerReference w:type="default" r:id="rId42"/>
          <w:headerReference w:type="first" r:id="rId43"/>
          <w:footerReference w:type="first" r:id="rId44"/>
          <w:endnotePr>
            <w:pos w:val="sectEnd"/>
            <w:numFmt w:val="lowerLetter"/>
          </w:endnotePr>
          <w:pgSz w:w="11907" w:h="16839" w:code="9"/>
          <w:pgMar w:top="1418" w:right="1418" w:bottom="1418" w:left="1418" w:header="680" w:footer="567" w:gutter="0"/>
          <w:cols w:space="720"/>
          <w:docGrid w:linePitch="272"/>
        </w:sectPr>
      </w:pPr>
      <w:bookmarkStart w:id="15" w:name="_Toc130821429"/>
      <w:bookmarkStart w:id="16" w:name="_Toc130832071"/>
    </w:p>
    <w:p w14:paraId="2B39490A" w14:textId="77777777" w:rsidR="00EB70E0" w:rsidRPr="005F4295" w:rsidRDefault="00EB70E0" w:rsidP="00EB70E0">
      <w:pPr>
        <w:pStyle w:val="HeadingT-AnnexesL1"/>
        <w:rPr>
          <w:noProof/>
        </w:rPr>
      </w:pPr>
      <w:bookmarkStart w:id="17" w:name="_Toc166086399"/>
      <w:bookmarkStart w:id="18" w:name="_Toc168585093"/>
      <w:bookmarkStart w:id="19" w:name="_Toc229386258"/>
      <w:bookmarkStart w:id="20" w:name="_Toc231914919"/>
      <w:bookmarkStart w:id="21" w:name="_Toc231480273"/>
      <w:r w:rsidRPr="005F4295">
        <w:rPr>
          <w:noProof/>
        </w:rPr>
        <w:t>Annex</w:t>
      </w:r>
      <w:r w:rsidRPr="005F4295">
        <w:rPr>
          <w:rFonts w:ascii="Calibri" w:hAnsi="Calibri" w:cs="Calibri"/>
          <w:noProof/>
        </w:rPr>
        <w:t> </w:t>
      </w:r>
      <w:r w:rsidRPr="005F4295">
        <w:rPr>
          <w:noProof/>
        </w:rPr>
        <w:t>5</w:t>
      </w:r>
      <w:r w:rsidRPr="005F4295">
        <w:rPr>
          <w:rFonts w:ascii="Calibri" w:hAnsi="Calibri" w:cs="Calibri"/>
          <w:noProof/>
        </w:rPr>
        <w:t> </w:t>
      </w:r>
      <w:bookmarkEnd w:id="15"/>
      <w:bookmarkEnd w:id="16"/>
      <w:r w:rsidRPr="005F4295">
        <w:rPr>
          <w:noProof/>
        </w:rPr>
        <w:t>– Multiannual control cycle and control results</w:t>
      </w:r>
      <w:bookmarkEnd w:id="17"/>
      <w:bookmarkEnd w:id="18"/>
      <w:bookmarkEnd w:id="19"/>
      <w:bookmarkEnd w:id="20"/>
      <w:bookmarkEnd w:id="21"/>
    </w:p>
    <w:p w14:paraId="4FB3C884" w14:textId="77777777" w:rsidR="00EB70E0" w:rsidRPr="005F4295" w:rsidRDefault="00EB70E0" w:rsidP="00EB70E0">
      <w:pPr>
        <w:spacing w:after="120"/>
        <w:rPr>
          <w:noProof/>
        </w:rPr>
      </w:pPr>
      <w:bookmarkStart w:id="22" w:name="_Toc130832073"/>
      <w:r w:rsidRPr="005F4295">
        <w:rPr>
          <w:noProof/>
        </w:rPr>
        <w:t>This annex describes the preventive and corrective measures taken by the European Commission and the EU Member States for expenditure under shared management, to protect the EU budget from illegal or irregular expenditure. More specifically, the annex presents:</w:t>
      </w:r>
    </w:p>
    <w:p w14:paraId="3F205F86" w14:textId="77777777" w:rsidR="00EB70E0" w:rsidRPr="005F4295" w:rsidRDefault="00EB70E0" w:rsidP="00ED5750">
      <w:pPr>
        <w:pStyle w:val="ListBullet"/>
        <w:numPr>
          <w:ilvl w:val="0"/>
          <w:numId w:val="11"/>
        </w:numPr>
        <w:rPr>
          <w:noProof/>
        </w:rPr>
      </w:pPr>
      <w:r w:rsidRPr="005F4295">
        <w:rPr>
          <w:rStyle w:val="Bold"/>
        </w:rPr>
        <w:t>Section</w:t>
      </w:r>
      <w:r w:rsidRPr="005F4295">
        <w:rPr>
          <w:rStyle w:val="Bold"/>
          <w:rFonts w:ascii="Calibri" w:hAnsi="Calibri" w:cs="Calibri"/>
        </w:rPr>
        <w:t> </w:t>
      </w:r>
      <w:r w:rsidRPr="005F4295">
        <w:rPr>
          <w:rStyle w:val="Bold"/>
        </w:rPr>
        <w:t>5.1:</w:t>
      </w:r>
      <w:r w:rsidRPr="005F4295">
        <w:rPr>
          <w:noProof/>
        </w:rPr>
        <w:t xml:space="preserve"> the preventive and corrective measures to protect the EU budget and related concepts;</w:t>
      </w:r>
    </w:p>
    <w:p w14:paraId="57FD5CEA" w14:textId="2F7B3FC4" w:rsidR="00EB70E0" w:rsidRPr="005F4295" w:rsidRDefault="00EB70E0" w:rsidP="00ED5750">
      <w:pPr>
        <w:pStyle w:val="ListBullet"/>
        <w:numPr>
          <w:ilvl w:val="0"/>
          <w:numId w:val="11"/>
        </w:numPr>
        <w:rPr>
          <w:noProof/>
        </w:rPr>
      </w:pPr>
      <w:r w:rsidRPr="005F4295">
        <w:rPr>
          <w:rStyle w:val="Bold"/>
        </w:rPr>
        <w:t>Section</w:t>
      </w:r>
      <w:r w:rsidRPr="005F4295">
        <w:rPr>
          <w:rStyle w:val="Bold"/>
          <w:rFonts w:ascii="Calibri" w:hAnsi="Calibri" w:cs="Calibri"/>
        </w:rPr>
        <w:t> </w:t>
      </w:r>
      <w:r w:rsidRPr="005F4295">
        <w:rPr>
          <w:rStyle w:val="Bold"/>
        </w:rPr>
        <w:t>5.2:</w:t>
      </w:r>
      <w:r w:rsidRPr="005F4295">
        <w:rPr>
          <w:noProof/>
        </w:rPr>
        <w:t xml:space="preserve"> the risk at payment/closure reported in the </w:t>
      </w:r>
      <w:r w:rsidR="0082704A" w:rsidRPr="005F4295">
        <w:rPr>
          <w:noProof/>
        </w:rPr>
        <w:t xml:space="preserve">2025 </w:t>
      </w:r>
      <w:r w:rsidRPr="005F4295">
        <w:rPr>
          <w:noProof/>
        </w:rPr>
        <w:t>annual activity reports, which measure the effectiveness of the controls;</w:t>
      </w:r>
    </w:p>
    <w:p w14:paraId="2DE2508E" w14:textId="77777777" w:rsidR="00EB70E0" w:rsidRPr="005F4295" w:rsidRDefault="00EB70E0" w:rsidP="00ED5750">
      <w:pPr>
        <w:pStyle w:val="ListBullet"/>
        <w:numPr>
          <w:ilvl w:val="0"/>
          <w:numId w:val="11"/>
        </w:numPr>
        <w:rPr>
          <w:noProof/>
        </w:rPr>
      </w:pPr>
      <w:r w:rsidRPr="005F4295">
        <w:rPr>
          <w:rStyle w:val="Bold"/>
        </w:rPr>
        <w:t>Section</w:t>
      </w:r>
      <w:r w:rsidRPr="005F4295">
        <w:rPr>
          <w:rStyle w:val="Bold"/>
          <w:rFonts w:ascii="Calibri" w:hAnsi="Calibri" w:cs="Calibri"/>
        </w:rPr>
        <w:t> </w:t>
      </w:r>
      <w:r w:rsidRPr="005F4295">
        <w:rPr>
          <w:rStyle w:val="Bold"/>
        </w:rPr>
        <w:t>5.3:</w:t>
      </w:r>
      <w:r w:rsidRPr="005F4295">
        <w:rPr>
          <w:noProof/>
        </w:rPr>
        <w:t xml:space="preserve"> the reservations qualifying the assurance provided by the authorising officers by delegation;</w:t>
      </w:r>
    </w:p>
    <w:p w14:paraId="5E391F5E" w14:textId="59186BAD" w:rsidR="00EB70E0" w:rsidRPr="005F4295" w:rsidRDefault="00EB70E0" w:rsidP="00ED5750">
      <w:pPr>
        <w:pStyle w:val="ListBullet"/>
        <w:numPr>
          <w:ilvl w:val="0"/>
          <w:numId w:val="11"/>
        </w:numPr>
        <w:rPr>
          <w:noProof/>
        </w:rPr>
      </w:pPr>
      <w:r w:rsidRPr="005F4295">
        <w:rPr>
          <w:rStyle w:val="Bold"/>
        </w:rPr>
        <w:t>Section</w:t>
      </w:r>
      <w:r w:rsidRPr="005F4295">
        <w:rPr>
          <w:rStyle w:val="Bold"/>
          <w:rFonts w:ascii="Calibri" w:hAnsi="Calibri" w:cs="Calibri"/>
        </w:rPr>
        <w:t> </w:t>
      </w:r>
      <w:r w:rsidRPr="005F4295">
        <w:rPr>
          <w:rStyle w:val="Bold"/>
        </w:rPr>
        <w:t>5.4:</w:t>
      </w:r>
      <w:r w:rsidRPr="005F4295">
        <w:rPr>
          <w:noProof/>
        </w:rPr>
        <w:t xml:space="preserve"> the quantification of the preventive and corrective measures implemented in </w:t>
      </w:r>
      <w:r w:rsidR="0082704A" w:rsidRPr="005F4295">
        <w:rPr>
          <w:noProof/>
        </w:rPr>
        <w:t>2025</w:t>
      </w:r>
      <w:r w:rsidRPr="005F4295">
        <w:rPr>
          <w:noProof/>
        </w:rPr>
        <w:t>.</w:t>
      </w:r>
    </w:p>
    <w:p w14:paraId="50753370" w14:textId="77777777" w:rsidR="00EB70E0" w:rsidRPr="005F4295" w:rsidRDefault="00EB70E0" w:rsidP="00EB70E0">
      <w:pPr>
        <w:suppressAutoHyphens w:val="0"/>
        <w:rPr>
          <w:noProof/>
        </w:rPr>
      </w:pPr>
      <w:r w:rsidRPr="005F4295">
        <w:rPr>
          <w:noProof/>
        </w:rPr>
        <w:br w:type="page"/>
      </w:r>
    </w:p>
    <w:p w14:paraId="3B4324CF" w14:textId="6A9F0410" w:rsidR="00EB70E0" w:rsidRPr="005F4295" w:rsidRDefault="00EB70E0" w:rsidP="00EB70E0">
      <w:pPr>
        <w:pStyle w:val="HeadingMan-NumT-AnnexesL2-11"/>
        <w:rPr>
          <w:rFonts w:ascii="EC Square Sans Pro" w:hAnsi="EC Square Sans Pro"/>
          <w:noProof/>
        </w:rPr>
      </w:pPr>
      <w:bookmarkStart w:id="23" w:name="_Toc229386259"/>
      <w:r w:rsidRPr="005F4295">
        <w:rPr>
          <w:rFonts w:ascii="EC Square Sans Pro" w:hAnsi="EC Square Sans Pro"/>
          <w:noProof/>
        </w:rPr>
        <w:t>5.1.</w:t>
      </w:r>
      <w:r w:rsidRPr="005F4295">
        <w:rPr>
          <w:rFonts w:ascii="EC Square Sans Pro" w:hAnsi="EC Square Sans Pro"/>
          <w:noProof/>
        </w:rPr>
        <w:tab/>
      </w:r>
      <w:bookmarkEnd w:id="22"/>
      <w:r w:rsidR="00105B95" w:rsidRPr="005F4295">
        <w:rPr>
          <w:rFonts w:ascii="EC Square Sans Pro" w:hAnsi="EC Square Sans Pro"/>
          <w:noProof/>
        </w:rPr>
        <w:t>M</w:t>
      </w:r>
      <w:r w:rsidRPr="005F4295">
        <w:rPr>
          <w:rFonts w:ascii="EC Square Sans Pro" w:hAnsi="EC Square Sans Pro"/>
          <w:noProof/>
        </w:rPr>
        <w:t>easures to protect the EU budget and related concepts</w:t>
      </w:r>
      <w:bookmarkEnd w:id="23"/>
    </w:p>
    <w:p w14:paraId="19E7D9DD" w14:textId="57706979" w:rsidR="00EB70E0" w:rsidRPr="005F4295" w:rsidRDefault="00EB70E0" w:rsidP="00EB70E0">
      <w:pPr>
        <w:rPr>
          <w:rStyle w:val="Bold"/>
          <w:b w:val="0"/>
        </w:rPr>
      </w:pPr>
      <w:r w:rsidRPr="005F4295">
        <w:rPr>
          <w:noProof/>
        </w:rPr>
        <w:t xml:space="preserve">The Commission has put in place </w:t>
      </w:r>
      <w:r w:rsidR="00F57774" w:rsidRPr="005F4295">
        <w:rPr>
          <w:noProof/>
        </w:rPr>
        <w:t>internal control systems</w:t>
      </w:r>
      <w:r w:rsidRPr="005F4295">
        <w:rPr>
          <w:noProof/>
        </w:rPr>
        <w:t xml:space="preserve"> to ensure the sound financial management of EU funds (see </w:t>
      </w:r>
      <w:r w:rsidR="003936C6" w:rsidRPr="005F4295">
        <w:rPr>
          <w:noProof/>
        </w:rPr>
        <w:t xml:space="preserve">the </w:t>
      </w:r>
      <w:r w:rsidRPr="005F4295">
        <w:rPr>
          <w:noProof/>
        </w:rPr>
        <w:t>figure</w:t>
      </w:r>
      <w:r w:rsidR="003936C6" w:rsidRPr="005F4295">
        <w:rPr>
          <w:rFonts w:ascii="Calibri" w:hAnsi="Calibri" w:cs="Calibri"/>
          <w:noProof/>
        </w:rPr>
        <w:t xml:space="preserve"> </w:t>
      </w:r>
      <w:r w:rsidRPr="005F4295">
        <w:rPr>
          <w:rFonts w:cs="Calibri"/>
          <w:noProof/>
        </w:rPr>
        <w:t>below</w:t>
      </w:r>
      <w:r w:rsidRPr="005F4295">
        <w:rPr>
          <w:noProof/>
        </w:rPr>
        <w:t xml:space="preserve">). </w:t>
      </w:r>
      <w:r w:rsidR="00F57774" w:rsidRPr="005F4295">
        <w:rPr>
          <w:noProof/>
        </w:rPr>
        <w:t xml:space="preserve">As part of these systems, </w:t>
      </w:r>
      <w:r w:rsidR="00236840" w:rsidRPr="005F4295">
        <w:rPr>
          <w:noProof/>
        </w:rPr>
        <w:t>it has designed multiannual</w:t>
      </w:r>
      <w:r w:rsidRPr="005F4295">
        <w:rPr>
          <w:noProof/>
        </w:rPr>
        <w:t xml:space="preserve"> control strategies to prevent errors before payments are made and, when errors </w:t>
      </w:r>
      <w:r w:rsidR="007E334C" w:rsidRPr="005F4295">
        <w:rPr>
          <w:noProof/>
        </w:rPr>
        <w:t>have not been detected preventively</w:t>
      </w:r>
      <w:r w:rsidRPr="005F4295">
        <w:rPr>
          <w:noProof/>
        </w:rPr>
        <w:t>, to correct them after the payments and until the closure of the programmes. Therefore, for cost-based expenditure</w:t>
      </w:r>
      <w:r w:rsidR="0037583E" w:rsidRPr="005F4295">
        <w:rPr>
          <w:rFonts w:cs="Calibri"/>
          <w:noProof/>
        </w:rPr>
        <w:t> </w:t>
      </w:r>
      <w:r w:rsidR="0037583E" w:rsidRPr="005F4295">
        <w:rPr>
          <w:noProof/>
        </w:rPr>
        <w:t>(</w:t>
      </w:r>
      <w:r w:rsidR="0037583E" w:rsidRPr="005F4295">
        <w:rPr>
          <w:rStyle w:val="FootnoteReference"/>
        </w:rPr>
        <w:footnoteReference w:id="1"/>
      </w:r>
      <w:r w:rsidR="0037583E" w:rsidRPr="005F4295">
        <w:rPr>
          <w:noProof/>
        </w:rPr>
        <w:t>)</w:t>
      </w:r>
      <w:r w:rsidRPr="005F4295">
        <w:rPr>
          <w:noProof/>
        </w:rPr>
        <w:t>, the control results are reported at two points in the programme cycle</w:t>
      </w:r>
      <w:r w:rsidR="0044415E" w:rsidRPr="005F4295">
        <w:rPr>
          <w:noProof/>
        </w:rPr>
        <w:t>:</w:t>
      </w:r>
      <w:r w:rsidRPr="005F4295">
        <w:rPr>
          <w:noProof/>
        </w:rPr>
        <w:t xml:space="preserve"> through the estimated </w:t>
      </w:r>
      <w:r w:rsidRPr="005F4295">
        <w:rPr>
          <w:rStyle w:val="Bold"/>
          <w:noProof/>
        </w:rPr>
        <w:t>risk at payment</w:t>
      </w:r>
      <w:r w:rsidRPr="005F4295">
        <w:rPr>
          <w:noProof/>
        </w:rPr>
        <w:t xml:space="preserve"> and the estimated </w:t>
      </w:r>
      <w:r w:rsidRPr="005F4295">
        <w:rPr>
          <w:rStyle w:val="Bold"/>
          <w:noProof/>
        </w:rPr>
        <w:t>risk at closure</w:t>
      </w:r>
      <w:r w:rsidRPr="005F4295">
        <w:rPr>
          <w:rStyle w:val="Bold"/>
          <w:b w:val="0"/>
        </w:rPr>
        <w:t>.</w:t>
      </w:r>
    </w:p>
    <w:p w14:paraId="6E9DC3C1" w14:textId="7E044D42" w:rsidR="00EB70E0" w:rsidRPr="005F4295" w:rsidRDefault="00EB70E0" w:rsidP="00EB70E0">
      <w:r w:rsidRPr="005F4295">
        <w:rPr>
          <w:bCs/>
          <w:noProof/>
        </w:rPr>
        <w:t xml:space="preserve">For performance-based expenditure in shared management (i.e. expenditure under the new </w:t>
      </w:r>
      <w:r w:rsidR="00452D9A" w:rsidRPr="005F4295">
        <w:rPr>
          <w:bCs/>
          <w:noProof/>
        </w:rPr>
        <w:t xml:space="preserve">delivery model for the </w:t>
      </w:r>
      <w:r w:rsidRPr="005F4295">
        <w:rPr>
          <w:bCs/>
          <w:noProof/>
        </w:rPr>
        <w:t>common agricultural policy strategic plans</w:t>
      </w:r>
      <w:r w:rsidR="00E264F6" w:rsidRPr="005F4295">
        <w:rPr>
          <w:bCs/>
          <w:noProof/>
        </w:rPr>
        <w:t>)</w:t>
      </w:r>
      <w:r w:rsidR="005268DA" w:rsidRPr="005F4295">
        <w:rPr>
          <w:bCs/>
          <w:noProof/>
        </w:rPr>
        <w:t xml:space="preserve">, or </w:t>
      </w:r>
      <w:r w:rsidR="00066773" w:rsidRPr="005F4295">
        <w:rPr>
          <w:bCs/>
          <w:noProof/>
        </w:rPr>
        <w:t xml:space="preserve">the Recovery and Resilience Facility </w:t>
      </w:r>
      <w:r w:rsidR="00FD243A" w:rsidRPr="005F4295">
        <w:rPr>
          <w:bCs/>
          <w:noProof/>
        </w:rPr>
        <w:t xml:space="preserve">and </w:t>
      </w:r>
      <w:r w:rsidR="005268DA" w:rsidRPr="005F4295">
        <w:rPr>
          <w:bCs/>
          <w:noProof/>
        </w:rPr>
        <w:t xml:space="preserve">facilities in </w:t>
      </w:r>
      <w:r w:rsidR="00452D9A" w:rsidRPr="005F4295">
        <w:rPr>
          <w:bCs/>
          <w:noProof/>
        </w:rPr>
        <w:t xml:space="preserve">the </w:t>
      </w:r>
      <w:r w:rsidR="005268DA" w:rsidRPr="005F4295">
        <w:rPr>
          <w:bCs/>
          <w:noProof/>
        </w:rPr>
        <w:t xml:space="preserve">external </w:t>
      </w:r>
      <w:r w:rsidR="00452D9A" w:rsidRPr="005F4295">
        <w:rPr>
          <w:bCs/>
          <w:noProof/>
        </w:rPr>
        <w:t>action</w:t>
      </w:r>
      <w:r w:rsidR="003147A7" w:rsidRPr="005F4295">
        <w:rPr>
          <w:bCs/>
          <w:noProof/>
        </w:rPr>
        <w:t xml:space="preserve"> domain</w:t>
      </w:r>
      <w:r w:rsidRPr="005F4295">
        <w:rPr>
          <w:bCs/>
          <w:noProof/>
        </w:rPr>
        <w:t>, the control strategies have the same aim</w:t>
      </w:r>
      <w:r w:rsidR="004D7756" w:rsidRPr="005F4295">
        <w:rPr>
          <w:bCs/>
          <w:noProof/>
        </w:rPr>
        <w:t xml:space="preserve">. </w:t>
      </w:r>
      <w:r w:rsidR="005802A5" w:rsidRPr="005F4295">
        <w:rPr>
          <w:bCs/>
          <w:noProof/>
        </w:rPr>
        <w:t xml:space="preserve">In the case of agriculture, the </w:t>
      </w:r>
      <w:r w:rsidRPr="005F4295">
        <w:rPr>
          <w:bCs/>
          <w:noProof/>
        </w:rPr>
        <w:t xml:space="preserve">focus </w:t>
      </w:r>
      <w:r w:rsidR="005802A5" w:rsidRPr="005F4295">
        <w:rPr>
          <w:bCs/>
          <w:noProof/>
        </w:rPr>
        <w:t xml:space="preserve">is </w:t>
      </w:r>
      <w:r w:rsidRPr="005F4295">
        <w:rPr>
          <w:bCs/>
          <w:noProof/>
        </w:rPr>
        <w:t>on the proper functioning of the systems put in place in the Member States</w:t>
      </w:r>
      <w:r w:rsidR="005802A5" w:rsidRPr="005F4295">
        <w:rPr>
          <w:bCs/>
          <w:noProof/>
        </w:rPr>
        <w:t>.</w:t>
      </w:r>
      <w:r w:rsidR="004B2722" w:rsidRPr="005F4295">
        <w:rPr>
          <w:bCs/>
          <w:noProof/>
        </w:rPr>
        <w:t xml:space="preserve"> </w:t>
      </w:r>
      <w:r w:rsidR="005802A5" w:rsidRPr="005F4295">
        <w:rPr>
          <w:bCs/>
          <w:noProof/>
        </w:rPr>
        <w:t xml:space="preserve">For the Recovery and Resilience </w:t>
      </w:r>
      <w:r w:rsidR="003F04DF" w:rsidRPr="005F4295">
        <w:rPr>
          <w:bCs/>
          <w:noProof/>
        </w:rPr>
        <w:t>F</w:t>
      </w:r>
      <w:r w:rsidR="005802A5" w:rsidRPr="005F4295">
        <w:rPr>
          <w:bCs/>
          <w:noProof/>
        </w:rPr>
        <w:t>acilit</w:t>
      </w:r>
      <w:r w:rsidR="003F04DF" w:rsidRPr="005F4295">
        <w:rPr>
          <w:bCs/>
          <w:noProof/>
        </w:rPr>
        <w:t>y</w:t>
      </w:r>
      <w:r w:rsidR="00A372F7" w:rsidRPr="005F4295">
        <w:rPr>
          <w:bCs/>
          <w:noProof/>
        </w:rPr>
        <w:t>,</w:t>
      </w:r>
      <w:r w:rsidR="003F04DF" w:rsidRPr="005F4295">
        <w:rPr>
          <w:bCs/>
          <w:noProof/>
        </w:rPr>
        <w:t xml:space="preserve"> </w:t>
      </w:r>
      <w:r w:rsidR="00D42C73" w:rsidRPr="005F4295">
        <w:rPr>
          <w:bCs/>
          <w:noProof/>
        </w:rPr>
        <w:t xml:space="preserve">the focus is on </w:t>
      </w:r>
      <w:r w:rsidR="00494241" w:rsidRPr="005F4295">
        <w:rPr>
          <w:bCs/>
          <w:noProof/>
        </w:rPr>
        <w:t xml:space="preserve">the risk assessment of the milestones and targets </w:t>
      </w:r>
      <w:r w:rsidR="00701659" w:rsidRPr="005F4295">
        <w:rPr>
          <w:bCs/>
          <w:noProof/>
        </w:rPr>
        <w:t xml:space="preserve">submitted for </w:t>
      </w:r>
      <w:r w:rsidR="00FD243A" w:rsidRPr="005F4295">
        <w:rPr>
          <w:bCs/>
          <w:noProof/>
        </w:rPr>
        <w:t>pa</w:t>
      </w:r>
      <w:r w:rsidR="00701659" w:rsidRPr="005F4295">
        <w:rPr>
          <w:bCs/>
          <w:noProof/>
        </w:rPr>
        <w:t>yment</w:t>
      </w:r>
      <w:r w:rsidR="0061598C" w:rsidRPr="005F4295">
        <w:rPr>
          <w:bCs/>
          <w:noProof/>
        </w:rPr>
        <w:t>,</w:t>
      </w:r>
      <w:r w:rsidR="00FD243A" w:rsidRPr="005F4295">
        <w:rPr>
          <w:bCs/>
          <w:noProof/>
        </w:rPr>
        <w:t xml:space="preserve"> combined with </w:t>
      </w:r>
      <w:r w:rsidR="00C64774" w:rsidRPr="005F4295">
        <w:rPr>
          <w:bCs/>
          <w:noProof/>
        </w:rPr>
        <w:t>an</w:t>
      </w:r>
      <w:r w:rsidR="00FD243A" w:rsidRPr="005F4295">
        <w:rPr>
          <w:bCs/>
          <w:noProof/>
        </w:rPr>
        <w:t xml:space="preserve"> assessment of </w:t>
      </w:r>
      <w:r w:rsidR="00C64774" w:rsidRPr="005F4295">
        <w:rPr>
          <w:bCs/>
          <w:noProof/>
        </w:rPr>
        <w:t xml:space="preserve">the proper functioning of the systems put in place </w:t>
      </w:r>
      <w:r w:rsidR="00FD243A" w:rsidRPr="005F4295">
        <w:rPr>
          <w:bCs/>
          <w:noProof/>
        </w:rPr>
        <w:t>in the Me</w:t>
      </w:r>
      <w:r w:rsidR="004B3A9B" w:rsidRPr="005F4295">
        <w:rPr>
          <w:bCs/>
          <w:noProof/>
        </w:rPr>
        <w:t>mber States</w:t>
      </w:r>
      <w:r w:rsidR="00D42C73" w:rsidRPr="005F4295">
        <w:rPr>
          <w:bCs/>
          <w:noProof/>
        </w:rPr>
        <w:t xml:space="preserve">, whereas </w:t>
      </w:r>
      <w:r w:rsidR="00757E87" w:rsidRPr="005F4295">
        <w:rPr>
          <w:bCs/>
          <w:noProof/>
        </w:rPr>
        <w:t xml:space="preserve">for the </w:t>
      </w:r>
      <w:r w:rsidR="00B12E75" w:rsidRPr="005F4295">
        <w:rPr>
          <w:bCs/>
          <w:noProof/>
        </w:rPr>
        <w:t xml:space="preserve">Moldova, </w:t>
      </w:r>
      <w:r w:rsidR="008B667A" w:rsidRPr="005F4295">
        <w:rPr>
          <w:bCs/>
          <w:noProof/>
        </w:rPr>
        <w:t>Ukraine</w:t>
      </w:r>
      <w:r w:rsidR="00B12E75" w:rsidRPr="005F4295">
        <w:rPr>
          <w:bCs/>
          <w:noProof/>
        </w:rPr>
        <w:t xml:space="preserve"> and </w:t>
      </w:r>
      <w:r w:rsidR="004C3805" w:rsidRPr="005F4295">
        <w:rPr>
          <w:bCs/>
          <w:noProof/>
        </w:rPr>
        <w:t>Western Balkans</w:t>
      </w:r>
      <w:r w:rsidR="00B12E75" w:rsidRPr="005F4295">
        <w:rPr>
          <w:bCs/>
          <w:noProof/>
        </w:rPr>
        <w:t xml:space="preserve"> facilities</w:t>
      </w:r>
      <w:r w:rsidR="0024215B" w:rsidRPr="005F4295">
        <w:rPr>
          <w:bCs/>
          <w:noProof/>
        </w:rPr>
        <w:t>,</w:t>
      </w:r>
      <w:r w:rsidR="008B667A" w:rsidRPr="005F4295">
        <w:rPr>
          <w:bCs/>
          <w:noProof/>
        </w:rPr>
        <w:t xml:space="preserve"> it is based on </w:t>
      </w:r>
      <w:r w:rsidR="003E1E73" w:rsidRPr="005F4295">
        <w:rPr>
          <w:bCs/>
          <w:noProof/>
        </w:rPr>
        <w:t xml:space="preserve">evaluating </w:t>
      </w:r>
      <w:r w:rsidR="00374E07" w:rsidRPr="005F4295">
        <w:rPr>
          <w:bCs/>
          <w:noProof/>
        </w:rPr>
        <w:t xml:space="preserve">the progress towards achievement of the </w:t>
      </w:r>
      <w:r w:rsidR="008B667A" w:rsidRPr="005F4295">
        <w:rPr>
          <w:bCs/>
          <w:noProof/>
        </w:rPr>
        <w:t>steps</w:t>
      </w:r>
      <w:r w:rsidR="00374E07" w:rsidRPr="005F4295">
        <w:rPr>
          <w:bCs/>
          <w:noProof/>
        </w:rPr>
        <w:t xml:space="preserve"> and </w:t>
      </w:r>
      <w:r w:rsidR="00CF738C" w:rsidRPr="005F4295">
        <w:rPr>
          <w:bCs/>
          <w:noProof/>
        </w:rPr>
        <w:t xml:space="preserve">on the functioning of the systems put in place by the beneficiary </w:t>
      </w:r>
      <w:r w:rsidR="00DA3330" w:rsidRPr="005F4295">
        <w:rPr>
          <w:bCs/>
          <w:noProof/>
        </w:rPr>
        <w:t>countries</w:t>
      </w:r>
      <w:r w:rsidRPr="005F4295">
        <w:rPr>
          <w:bCs/>
          <w:noProof/>
        </w:rPr>
        <w:t xml:space="preserve">. </w:t>
      </w:r>
      <w:r w:rsidR="00C04970" w:rsidRPr="005F4295">
        <w:rPr>
          <w:bCs/>
          <w:noProof/>
        </w:rPr>
        <w:t xml:space="preserve">For such expenditure, </w:t>
      </w:r>
      <w:r w:rsidR="00692A24" w:rsidRPr="005F4295">
        <w:rPr>
          <w:bCs/>
          <w:noProof/>
        </w:rPr>
        <w:t>T</w:t>
      </w:r>
      <w:r w:rsidRPr="005F4295">
        <w:rPr>
          <w:bCs/>
          <w:noProof/>
        </w:rPr>
        <w:t xml:space="preserve">he Commission </w:t>
      </w:r>
      <w:r w:rsidR="00692A24" w:rsidRPr="005F4295">
        <w:rPr>
          <w:bCs/>
          <w:noProof/>
        </w:rPr>
        <w:t xml:space="preserve">is </w:t>
      </w:r>
      <w:r w:rsidRPr="005F4295">
        <w:rPr>
          <w:bCs/>
          <w:noProof/>
        </w:rPr>
        <w:t>group</w:t>
      </w:r>
      <w:r w:rsidR="00692A24" w:rsidRPr="005F4295">
        <w:rPr>
          <w:bCs/>
          <w:noProof/>
        </w:rPr>
        <w:t>ing</w:t>
      </w:r>
      <w:r w:rsidRPr="005F4295">
        <w:rPr>
          <w:bCs/>
          <w:noProof/>
        </w:rPr>
        <w:t xml:space="preserve"> the expenditure in three categories of risk</w:t>
      </w:r>
      <w:r w:rsidR="00694641" w:rsidRPr="005F4295">
        <w:rPr>
          <w:rFonts w:ascii="Calibri" w:hAnsi="Calibri" w:cs="Calibri"/>
          <w:bCs/>
          <w:noProof/>
        </w:rPr>
        <w:t> </w:t>
      </w:r>
      <w:r w:rsidRPr="005F4295">
        <w:rPr>
          <w:bCs/>
          <w:noProof/>
        </w:rPr>
        <w:t>– low, medium and high</w:t>
      </w:r>
      <w:r w:rsidRPr="005F4295">
        <w:rPr>
          <w:rFonts w:ascii="Calibri" w:hAnsi="Calibri" w:cs="Calibri"/>
          <w:bCs/>
          <w:noProof/>
        </w:rPr>
        <w:t> </w:t>
      </w:r>
      <w:r w:rsidRPr="005F4295">
        <w:rPr>
          <w:bCs/>
          <w:noProof/>
        </w:rPr>
        <w:t>– as a result of its qualitative assessment of the systems in place</w:t>
      </w:r>
      <w:r w:rsidR="0029280E" w:rsidRPr="005F4295">
        <w:rPr>
          <w:bCs/>
          <w:noProof/>
        </w:rPr>
        <w:t xml:space="preserve"> and </w:t>
      </w:r>
      <w:r w:rsidR="00A00577" w:rsidRPr="005F4295">
        <w:rPr>
          <w:bCs/>
          <w:noProof/>
        </w:rPr>
        <w:t>of the milestones and targets</w:t>
      </w:r>
      <w:r w:rsidRPr="005F4295">
        <w:rPr>
          <w:bCs/>
          <w:noProof/>
        </w:rPr>
        <w:t xml:space="preserve">, based on its own </w:t>
      </w:r>
      <w:r w:rsidR="00A00577" w:rsidRPr="005F4295">
        <w:rPr>
          <w:bCs/>
          <w:noProof/>
        </w:rPr>
        <w:t>controls and</w:t>
      </w:r>
      <w:r w:rsidR="004B2170" w:rsidRPr="005F4295">
        <w:rPr>
          <w:bCs/>
          <w:noProof/>
        </w:rPr>
        <w:t xml:space="preserve"> </w:t>
      </w:r>
      <w:r w:rsidRPr="005F4295">
        <w:rPr>
          <w:bCs/>
          <w:noProof/>
        </w:rPr>
        <w:t xml:space="preserve">system audits and those carried out by the national audit authorities. The share of low-risk expenditure </w:t>
      </w:r>
      <w:r w:rsidR="0051516B" w:rsidRPr="005F4295">
        <w:rPr>
          <w:bCs/>
          <w:noProof/>
        </w:rPr>
        <w:t xml:space="preserve">became </w:t>
      </w:r>
      <w:r w:rsidRPr="005F4295">
        <w:rPr>
          <w:bCs/>
          <w:noProof/>
        </w:rPr>
        <w:t xml:space="preserve">the indicator for the level of protection of the EU budget. Systems audits are neither </w:t>
      </w:r>
      <w:r w:rsidRPr="005F4295">
        <w:rPr>
          <w:rStyle w:val="Italic"/>
        </w:rPr>
        <w:t>ex ante</w:t>
      </w:r>
      <w:r w:rsidRPr="005F4295">
        <w:rPr>
          <w:bCs/>
          <w:noProof/>
        </w:rPr>
        <w:t xml:space="preserve"> nor </w:t>
      </w:r>
      <w:r w:rsidRPr="005F4295">
        <w:rPr>
          <w:rStyle w:val="Italic"/>
        </w:rPr>
        <w:t>ex post</w:t>
      </w:r>
      <w:r w:rsidRPr="005F4295">
        <w:rPr>
          <w:bCs/>
          <w:noProof/>
        </w:rPr>
        <w:t xml:space="preserve"> controls but they may result in both preventive measures and corrective measures.</w:t>
      </w:r>
    </w:p>
    <w:p w14:paraId="356BC677" w14:textId="77777777" w:rsidR="00EB70E0" w:rsidRPr="005F4295" w:rsidRDefault="00EB70E0" w:rsidP="00EB70E0">
      <w:pPr>
        <w:pStyle w:val="ImageTitle"/>
        <w:rPr>
          <w:noProof/>
        </w:rPr>
      </w:pPr>
      <w:r w:rsidRPr="005F4295">
        <w:rPr>
          <w:noProof/>
        </w:rPr>
        <w:t xml:space="preserve">Main features of the Commission’s control strategies </w:t>
      </w:r>
    </w:p>
    <w:tbl>
      <w:tblPr>
        <w:tblStyle w:val="BodyTable2"/>
        <w:tblW w:w="5000" w:type="pct"/>
        <w:tblCellMar>
          <w:top w:w="57" w:type="dxa"/>
          <w:bottom w:w="57" w:type="dxa"/>
        </w:tblCellMar>
        <w:tblLook w:val="0400" w:firstRow="0" w:lastRow="0" w:firstColumn="0" w:lastColumn="0" w:noHBand="0" w:noVBand="1"/>
      </w:tblPr>
      <w:tblGrid>
        <w:gridCol w:w="9071"/>
      </w:tblGrid>
      <w:tr w:rsidR="00EB70E0" w:rsidRPr="005F4295" w14:paraId="3CA2F3C0" w14:textId="77777777">
        <w:trPr>
          <w:cnfStyle w:val="000000100000" w:firstRow="0" w:lastRow="0" w:firstColumn="0" w:lastColumn="0" w:oddVBand="0" w:evenVBand="0" w:oddHBand="1" w:evenHBand="0" w:firstRowFirstColumn="0" w:firstRowLastColumn="0" w:lastRowFirstColumn="0" w:lastRowLastColumn="0"/>
          <w:trHeight w:val="409"/>
        </w:trPr>
        <w:tc>
          <w:tcPr>
            <w:tcW w:w="5000" w:type="pct"/>
            <w:tcBorders>
              <w:top w:val="nil"/>
              <w:bottom w:val="nil"/>
            </w:tcBorders>
            <w:shd w:val="clear" w:color="auto" w:fill="FFFFFF" w:themeFill="background1"/>
          </w:tcPr>
          <w:p w14:paraId="02A986BF" w14:textId="77777777" w:rsidR="00EB70E0" w:rsidRPr="005F4295" w:rsidRDefault="00EB70E0">
            <w:pPr>
              <w:autoSpaceDE w:val="0"/>
              <w:autoSpaceDN w:val="0"/>
              <w:adjustRightInd w:val="0"/>
              <w:spacing w:before="120" w:after="0" w:line="288" w:lineRule="auto"/>
              <w:jc w:val="center"/>
              <w:textAlignment w:val="center"/>
              <w:rPr>
                <w:rFonts w:eastAsia="Calibri" w:cs="EC Square Sans Pro"/>
                <w:b/>
                <w:noProof/>
                <w:color w:val="003399" w:themeColor="text2"/>
                <w:sz w:val="24"/>
                <w:szCs w:val="24"/>
              </w:rPr>
            </w:pPr>
            <w:r w:rsidRPr="005F4295">
              <w:rPr>
                <w:rFonts w:eastAsia="Calibri" w:cs="EC Square Sans Pro"/>
                <w:b/>
                <w:noProof/>
                <w:color w:val="003399" w:themeColor="text2"/>
                <w:sz w:val="24"/>
                <w:szCs w:val="24"/>
              </w:rPr>
              <w:t>CONTROL OBJECTIVES</w:t>
            </w:r>
          </w:p>
        </w:tc>
      </w:tr>
      <w:tr w:rsidR="00EB70E0" w:rsidRPr="005F4295" w14:paraId="5D341787" w14:textId="77777777">
        <w:trPr>
          <w:cnfStyle w:val="000000010000" w:firstRow="0" w:lastRow="0" w:firstColumn="0" w:lastColumn="0" w:oddVBand="0" w:evenVBand="0" w:oddHBand="0" w:evenHBand="1" w:firstRowFirstColumn="0" w:firstRowLastColumn="0" w:lastRowFirstColumn="0" w:lastRowLastColumn="0"/>
          <w:trHeight w:val="1125"/>
        </w:trPr>
        <w:tc>
          <w:tcPr>
            <w:tcW w:w="5000" w:type="pct"/>
            <w:tcBorders>
              <w:top w:val="nil"/>
              <w:bottom w:val="nil"/>
            </w:tcBorders>
            <w:shd w:val="clear" w:color="auto" w:fill="FFFFFF" w:themeFill="background1"/>
          </w:tcPr>
          <w:p w14:paraId="526DE697" w14:textId="2C93BAAA" w:rsidR="00EB70E0" w:rsidRPr="005F4295" w:rsidRDefault="00932EF0">
            <w:pPr>
              <w:autoSpaceDE w:val="0"/>
              <w:autoSpaceDN w:val="0"/>
              <w:adjustRightInd w:val="0"/>
              <w:spacing w:before="0" w:after="0" w:line="288" w:lineRule="auto"/>
              <w:jc w:val="center"/>
              <w:textAlignment w:val="center"/>
              <w:rPr>
                <w:rFonts w:eastAsia="Calibri" w:cs="EC Square Sans Pro"/>
                <w:b/>
                <w:caps/>
                <w:noProof/>
                <w:color w:val="003399" w:themeColor="text2"/>
                <w:sz w:val="27"/>
                <w:szCs w:val="27"/>
              </w:rPr>
            </w:pPr>
            <w:r w:rsidRPr="00932EF0">
              <w:rPr>
                <w:rFonts w:eastAsia="Calibri" w:cs="EC Square Sans Pro"/>
                <w:b/>
                <w:caps/>
                <w:noProof/>
                <w:color w:val="003399" w:themeColor="text2"/>
                <w:sz w:val="27"/>
                <w:szCs w:val="27"/>
              </w:rPr>
              <w:drawing>
                <wp:inline distT="0" distB="0" distL="0" distR="0" wp14:anchorId="717695CD" wp14:editId="6D5DBEA0">
                  <wp:extent cx="5760085" cy="3348990"/>
                  <wp:effectExtent l="0" t="0" r="0" b="3810"/>
                  <wp:docPr id="7" name="Picture 6">
                    <a:extLst xmlns:a="http://schemas.openxmlformats.org/drawingml/2006/main">
                      <a:ext uri="{FF2B5EF4-FFF2-40B4-BE49-F238E27FC236}">
                        <a16:creationId xmlns:a16="http://schemas.microsoft.com/office/drawing/2014/main" id="{4AE0AE30-5067-18A3-E220-F4B745086F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AE0AE30-5067-18A3-E220-F4B745086FA5}"/>
                              </a:ext>
                            </a:extLst>
                          </pic:cNvPr>
                          <pic:cNvPicPr>
                            <a:picLocks noChangeAspect="1"/>
                          </pic:cNvPicPr>
                        </pic:nvPicPr>
                        <pic:blipFill>
                          <a:blip r:embed="rId45"/>
                          <a:srcRect l="2375" t="5938" r="6139" b="8141"/>
                          <a:stretch>
                            <a:fillRect/>
                          </a:stretch>
                        </pic:blipFill>
                        <pic:spPr>
                          <a:xfrm>
                            <a:off x="0" y="0"/>
                            <a:ext cx="5760085" cy="3348990"/>
                          </a:xfrm>
                          <a:prstGeom prst="rect">
                            <a:avLst/>
                          </a:prstGeom>
                        </pic:spPr>
                      </pic:pic>
                    </a:graphicData>
                  </a:graphic>
                </wp:inline>
              </w:drawing>
            </w:r>
          </w:p>
        </w:tc>
      </w:tr>
    </w:tbl>
    <w:p w14:paraId="32778CBB" w14:textId="77777777" w:rsidR="00EB70E0" w:rsidRPr="005F4295" w:rsidRDefault="00EB70E0" w:rsidP="00EB70E0">
      <w:pPr>
        <w:rPr>
          <w:noProof/>
        </w:rPr>
      </w:pPr>
      <w:r w:rsidRPr="005F4295">
        <w:rPr>
          <w:noProof/>
        </w:rPr>
        <w:br w:type="page"/>
      </w:r>
    </w:p>
    <w:tbl>
      <w:tblPr>
        <w:tblStyle w:val="BodyTable2"/>
        <w:tblW w:w="5000" w:type="pct"/>
        <w:tblCellMar>
          <w:top w:w="57" w:type="dxa"/>
          <w:bottom w:w="57" w:type="dxa"/>
        </w:tblCellMar>
        <w:tblLook w:val="0400" w:firstRow="0" w:lastRow="0" w:firstColumn="0" w:lastColumn="0" w:noHBand="0" w:noVBand="1"/>
      </w:tblPr>
      <w:tblGrid>
        <w:gridCol w:w="4535"/>
        <w:gridCol w:w="4536"/>
      </w:tblGrid>
      <w:tr w:rsidR="00EB70E0" w:rsidRPr="005F4295" w14:paraId="5EB87F39" w14:textId="77777777" w:rsidTr="00953D7B">
        <w:trPr>
          <w:cnfStyle w:val="000000100000" w:firstRow="0" w:lastRow="0" w:firstColumn="0" w:lastColumn="0" w:oddVBand="0" w:evenVBand="0" w:oddHBand="1" w:evenHBand="0" w:firstRowFirstColumn="0" w:firstRowLastColumn="0" w:lastRowFirstColumn="0" w:lastRowLastColumn="0"/>
          <w:trHeight w:val="409"/>
        </w:trPr>
        <w:tc>
          <w:tcPr>
            <w:tcW w:w="0" w:type="pct"/>
            <w:gridSpan w:val="2"/>
            <w:tcBorders>
              <w:top w:val="single" w:sz="4" w:space="0" w:color="BFBFBF" w:themeColor="background1" w:themeShade="BF"/>
              <w:bottom w:val="nil"/>
            </w:tcBorders>
          </w:tcPr>
          <w:p w14:paraId="2F5EB0FC" w14:textId="77777777" w:rsidR="00EB70E0" w:rsidRPr="005F4295" w:rsidRDefault="00EB70E0">
            <w:pPr>
              <w:jc w:val="center"/>
              <w:rPr>
                <w:b/>
                <w:noProof/>
                <w:sz w:val="27"/>
                <w:szCs w:val="27"/>
              </w:rPr>
            </w:pPr>
            <w:r w:rsidRPr="005F4295">
              <w:rPr>
                <w:b/>
                <w:noProof/>
                <w:color w:val="1C5080"/>
                <w:sz w:val="24"/>
                <w:szCs w:val="24"/>
              </w:rPr>
              <w:t>CONTROLS</w:t>
            </w:r>
          </w:p>
        </w:tc>
      </w:tr>
      <w:tr w:rsidR="00EB70E0" w:rsidRPr="005F4295" w14:paraId="5ED90835" w14:textId="77777777" w:rsidTr="00953D7B">
        <w:trPr>
          <w:cnfStyle w:val="000000010000" w:firstRow="0" w:lastRow="0" w:firstColumn="0" w:lastColumn="0" w:oddVBand="0" w:evenVBand="0" w:oddHBand="0" w:evenHBand="1" w:firstRowFirstColumn="0" w:firstRowLastColumn="0" w:lastRowFirstColumn="0" w:lastRowLastColumn="0"/>
          <w:trHeight w:val="409"/>
        </w:trPr>
        <w:tc>
          <w:tcPr>
            <w:tcW w:w="0" w:type="pct"/>
            <w:tcBorders>
              <w:top w:val="nil"/>
              <w:bottom w:val="nil"/>
              <w:right w:val="single" w:sz="18" w:space="0" w:color="FFFFFF" w:themeColor="background1"/>
            </w:tcBorders>
            <w:shd w:val="clear" w:color="auto" w:fill="FFFFFF" w:themeFill="background1"/>
            <w:vAlign w:val="center"/>
          </w:tcPr>
          <w:p w14:paraId="66F59914" w14:textId="77777777" w:rsidR="00EB70E0" w:rsidRPr="005F4295" w:rsidRDefault="00EB70E0" w:rsidP="00E65AF0">
            <w:pPr>
              <w:autoSpaceDE w:val="0"/>
              <w:autoSpaceDN w:val="0"/>
              <w:adjustRightInd w:val="0"/>
              <w:spacing w:before="0" w:after="0" w:line="288" w:lineRule="auto"/>
              <w:jc w:val="center"/>
              <w:textAlignment w:val="center"/>
              <w:rPr>
                <w:b/>
                <w:noProof/>
                <w:color w:val="008139" w:themeColor="accent1"/>
                <w:sz w:val="27"/>
                <w:szCs w:val="27"/>
              </w:rPr>
            </w:pPr>
            <w:r w:rsidRPr="005F4295">
              <w:rPr>
                <w:rFonts w:cstheme="minorBidi"/>
                <w:noProof/>
              </w:rPr>
              <mc:AlternateContent>
                <mc:Choice Requires="wps">
                  <w:drawing>
                    <wp:inline distT="0" distB="0" distL="0" distR="0" wp14:anchorId="69E6F660" wp14:editId="5C86ADD2">
                      <wp:extent cx="234000" cy="100800"/>
                      <wp:effectExtent l="0" t="0" r="0" b="0"/>
                      <wp:docPr id="14532" name="Isosceles Triangle 145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V="1">
                                <a:off x="0" y="0"/>
                                <a:ext cx="234000" cy="100800"/>
                              </a:xfrm>
                              <a:prstGeom prst="triangl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2F6EBE5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532" o:spid="_x0000_s1026" type="#_x0000_t5" style="width:18.45pt;height:7.95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" fillcolor="#039 [3215]" stroked="f" strokeweight="1pt">
                      <o:lock v:ext="edit" aspectratio="t"/>
                      <w10:anchorlock/>
                    </v:shape>
                  </w:pict>
                </mc:Fallback>
              </mc:AlternateContent>
            </w:r>
          </w:p>
          <w:p w14:paraId="76FE7944" w14:textId="07E09375" w:rsidR="00EB70E0" w:rsidRPr="005F4295" w:rsidRDefault="00D92B23" w:rsidP="00E65AF0">
            <w:pPr>
              <w:autoSpaceDE w:val="0"/>
              <w:autoSpaceDN w:val="0"/>
              <w:adjustRightInd w:val="0"/>
              <w:spacing w:before="0" w:after="0" w:line="288" w:lineRule="auto"/>
              <w:jc w:val="center"/>
              <w:textAlignment w:val="center"/>
              <w:rPr>
                <w:rFonts w:eastAsia="Calibri" w:cs="EC Square Sans Pro"/>
                <w:b/>
                <w:caps/>
                <w:noProof/>
                <w:color w:val="003399" w:themeColor="text2"/>
                <w:sz w:val="27"/>
                <w:szCs w:val="27"/>
              </w:rPr>
            </w:pPr>
            <w:r w:rsidRPr="005F4295">
              <w:rPr>
                <w:b/>
                <w:i/>
                <w:color w:val="003399" w:themeColor="text2"/>
                <w:sz w:val="24"/>
                <w:szCs w:val="24"/>
              </w:rPr>
              <w:t>Ex</w:t>
            </w:r>
            <w:r w:rsidR="003D1DFC" w:rsidRPr="005F4295">
              <w:rPr>
                <w:b/>
                <w:i/>
                <w:iCs/>
                <w:noProof/>
                <w:color w:val="003399" w:themeColor="text2"/>
                <w:sz w:val="24"/>
                <w:szCs w:val="24"/>
              </w:rPr>
              <w:t xml:space="preserve"> </w:t>
            </w:r>
            <w:r w:rsidRPr="005F4295">
              <w:rPr>
                <w:b/>
                <w:i/>
                <w:color w:val="003399" w:themeColor="text2"/>
                <w:sz w:val="24"/>
                <w:szCs w:val="24"/>
              </w:rPr>
              <w:t>ante</w:t>
            </w:r>
            <w:r w:rsidRPr="005F4295">
              <w:rPr>
                <w:b/>
                <w:noProof/>
                <w:color w:val="003399" w:themeColor="text2"/>
                <w:sz w:val="24"/>
                <w:szCs w:val="24"/>
              </w:rPr>
              <w:t xml:space="preserve"> </w:t>
            </w:r>
            <w:r w:rsidR="00EB70E0" w:rsidRPr="005F4295">
              <w:rPr>
                <w:b/>
                <w:noProof/>
                <w:color w:val="003399" w:themeColor="text2"/>
                <w:sz w:val="24"/>
                <w:szCs w:val="24"/>
              </w:rPr>
              <w:t>measures</w:t>
            </w:r>
          </w:p>
        </w:tc>
        <w:tc>
          <w:tcPr>
            <w:tcW w:w="0" w:type="pct"/>
            <w:tcBorders>
              <w:top w:val="nil"/>
              <w:left w:val="single" w:sz="18" w:space="0" w:color="FFFFFF" w:themeColor="background1"/>
              <w:bottom w:val="nil"/>
            </w:tcBorders>
            <w:shd w:val="clear" w:color="auto" w:fill="FFFFFF" w:themeFill="background1"/>
            <w:vAlign w:val="center"/>
          </w:tcPr>
          <w:p w14:paraId="1B7F2037" w14:textId="77777777" w:rsidR="00EB70E0" w:rsidRPr="005F4295" w:rsidRDefault="00EB70E0" w:rsidP="00E65AF0">
            <w:pPr>
              <w:autoSpaceDE w:val="0"/>
              <w:autoSpaceDN w:val="0"/>
              <w:adjustRightInd w:val="0"/>
              <w:spacing w:before="0" w:after="0" w:line="288" w:lineRule="auto"/>
              <w:jc w:val="center"/>
              <w:textAlignment w:val="center"/>
              <w:rPr>
                <w:b/>
                <w:noProof/>
                <w:color w:val="DE6002" w:themeColor="accent2"/>
                <w:sz w:val="27"/>
                <w:szCs w:val="27"/>
              </w:rPr>
            </w:pPr>
            <w:r w:rsidRPr="005F4295">
              <w:rPr>
                <w:rFonts w:cstheme="minorBidi"/>
                <w:noProof/>
              </w:rPr>
              <mc:AlternateContent>
                <mc:Choice Requires="wps">
                  <w:drawing>
                    <wp:inline distT="0" distB="0" distL="0" distR="0" wp14:anchorId="35C72F2D" wp14:editId="35699BAD">
                      <wp:extent cx="234000" cy="100800"/>
                      <wp:effectExtent l="0" t="0" r="0" b="0"/>
                      <wp:docPr id="14533" name="Isosceles Triangle 145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V="1">
                                <a:off x="0" y="0"/>
                                <a:ext cx="234000" cy="100800"/>
                              </a:xfrm>
                              <a:prstGeom prst="triangl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00038F3" id="Isosceles Triangle 14533" o:spid="_x0000_s1026" type="#_x0000_t5" style="width:18.45pt;height:7.95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" fillcolor="#de6002 [3205]" stroked="f" strokeweight="1pt">
                      <o:lock v:ext="edit" aspectratio="t"/>
                      <w10:anchorlock/>
                    </v:shape>
                  </w:pict>
                </mc:Fallback>
              </mc:AlternateContent>
            </w:r>
          </w:p>
          <w:p w14:paraId="770390DB" w14:textId="3145105A" w:rsidR="00EB70E0" w:rsidRPr="005F4295" w:rsidRDefault="00D92B23" w:rsidP="00E65AF0">
            <w:pPr>
              <w:autoSpaceDE w:val="0"/>
              <w:autoSpaceDN w:val="0"/>
              <w:adjustRightInd w:val="0"/>
              <w:spacing w:before="0" w:after="0" w:line="288" w:lineRule="auto"/>
              <w:jc w:val="center"/>
              <w:textAlignment w:val="center"/>
              <w:rPr>
                <w:rFonts w:eastAsia="Calibri" w:cs="EC Square Sans Pro"/>
                <w:b/>
                <w:caps/>
                <w:noProof/>
                <w:color w:val="003399" w:themeColor="text2"/>
                <w:sz w:val="27"/>
                <w:szCs w:val="27"/>
              </w:rPr>
            </w:pPr>
            <w:r w:rsidRPr="005F4295">
              <w:rPr>
                <w:b/>
                <w:i/>
                <w:color w:val="DE6002" w:themeColor="accent2"/>
                <w:sz w:val="24"/>
                <w:szCs w:val="24"/>
              </w:rPr>
              <w:t>Ex</w:t>
            </w:r>
            <w:r w:rsidR="003D1DFC" w:rsidRPr="005F4295">
              <w:rPr>
                <w:b/>
                <w:i/>
                <w:iCs/>
                <w:noProof/>
                <w:color w:val="DE6002" w:themeColor="accent2"/>
                <w:sz w:val="24"/>
                <w:szCs w:val="24"/>
              </w:rPr>
              <w:t xml:space="preserve"> </w:t>
            </w:r>
            <w:r w:rsidRPr="005F4295">
              <w:rPr>
                <w:b/>
                <w:i/>
                <w:color w:val="DE6002" w:themeColor="accent2"/>
                <w:sz w:val="24"/>
                <w:szCs w:val="24"/>
              </w:rPr>
              <w:t>post</w:t>
            </w:r>
            <w:r w:rsidRPr="005F4295">
              <w:rPr>
                <w:b/>
                <w:noProof/>
                <w:color w:val="DE6002" w:themeColor="accent2"/>
                <w:sz w:val="24"/>
                <w:szCs w:val="24"/>
              </w:rPr>
              <w:t xml:space="preserve"> </w:t>
            </w:r>
            <w:r w:rsidR="00EB70E0" w:rsidRPr="005F4295">
              <w:rPr>
                <w:b/>
                <w:noProof/>
                <w:color w:val="DE6002" w:themeColor="accent2"/>
                <w:sz w:val="24"/>
                <w:szCs w:val="24"/>
              </w:rPr>
              <w:t>measures</w:t>
            </w:r>
          </w:p>
        </w:tc>
      </w:tr>
      <w:tr w:rsidR="00EB70E0" w:rsidRPr="005F4295" w14:paraId="33BFFA2D" w14:textId="77777777">
        <w:trPr>
          <w:cnfStyle w:val="000000100000" w:firstRow="0" w:lastRow="0" w:firstColumn="0" w:lastColumn="0" w:oddVBand="0" w:evenVBand="0" w:oddHBand="1" w:evenHBand="0" w:firstRowFirstColumn="0" w:firstRowLastColumn="0" w:lastRowFirstColumn="0" w:lastRowLastColumn="0"/>
          <w:trHeight w:val="409"/>
        </w:trPr>
        <w:tc>
          <w:tcPr>
            <w:tcW w:w="2500" w:type="pct"/>
            <w:tcBorders>
              <w:top w:val="nil"/>
              <w:bottom w:val="single" w:sz="18" w:space="0" w:color="FFFFFF" w:themeColor="background1"/>
              <w:right w:val="single" w:sz="18" w:space="0" w:color="FFFFFF" w:themeColor="background1"/>
            </w:tcBorders>
            <w:shd w:val="clear" w:color="auto" w:fill="003399" w:themeFill="text2"/>
            <w:vAlign w:val="center"/>
          </w:tcPr>
          <w:p w14:paraId="471CD3C3" w14:textId="77777777"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r w:rsidRPr="005F4295">
              <w:rPr>
                <w:rFonts w:eastAsia="Calibri" w:cs="EC Square Sans Pro"/>
                <w:b/>
                <w:noProof/>
                <w:color w:val="FFFFFF" w:themeColor="background1"/>
                <w:szCs w:val="24"/>
              </w:rPr>
              <w:t>Simplification of programmes</w:t>
            </w:r>
          </w:p>
          <w:p w14:paraId="37F4B901" w14:textId="77777777" w:rsidR="00EB70E0" w:rsidRPr="005F4295" w:rsidRDefault="00EB70E0">
            <w:pPr>
              <w:autoSpaceDE w:val="0"/>
              <w:autoSpaceDN w:val="0"/>
              <w:adjustRightInd w:val="0"/>
              <w:spacing w:before="0" w:line="240" w:lineRule="auto"/>
              <w:jc w:val="center"/>
              <w:textAlignment w:val="center"/>
              <w:rPr>
                <w:rFonts w:eastAsia="Calibri" w:cs="EC Square Sans Pro"/>
                <w:noProof/>
                <w:color w:val="FFFFFF" w:themeColor="background1"/>
                <w:szCs w:val="24"/>
              </w:rPr>
            </w:pPr>
            <w:r w:rsidRPr="005F4295">
              <w:rPr>
                <w:rFonts w:eastAsia="Calibri" w:cs="EC Square Sans Pro"/>
                <w:noProof/>
                <w:color w:val="FFFFFF" w:themeColor="background1"/>
                <w:szCs w:val="24"/>
              </w:rPr>
              <w:t>(based on lessons learnt from previous programmes)</w:t>
            </w:r>
          </w:p>
        </w:tc>
        <w:tc>
          <w:tcPr>
            <w:tcW w:w="2500" w:type="pct"/>
            <w:tcBorders>
              <w:top w:val="nil"/>
              <w:left w:val="single" w:sz="18" w:space="0" w:color="FFFFFF" w:themeColor="background1"/>
              <w:bottom w:val="single" w:sz="18" w:space="0" w:color="FFFFFF" w:themeColor="background1"/>
            </w:tcBorders>
            <w:shd w:val="clear" w:color="auto" w:fill="DE6002" w:themeFill="accent2"/>
            <w:vAlign w:val="center"/>
          </w:tcPr>
          <w:p w14:paraId="426A3B0C" w14:textId="4DE43C96"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r w:rsidRPr="005F4295">
              <w:rPr>
                <w:rFonts w:eastAsia="Calibri" w:cs="EC Square Sans Pro"/>
                <w:b/>
                <w:i/>
                <w:noProof/>
                <w:color w:val="FFFFFF" w:themeColor="background1"/>
                <w:szCs w:val="24"/>
              </w:rPr>
              <w:t>Ex post</w:t>
            </w:r>
            <w:r w:rsidRPr="005F4295">
              <w:rPr>
                <w:rFonts w:eastAsia="Calibri" w:cs="EC Square Sans Pro"/>
                <w:b/>
                <w:noProof/>
                <w:color w:val="FFFFFF" w:themeColor="background1"/>
                <w:szCs w:val="24"/>
              </w:rPr>
              <w:t xml:space="preserve"> </w:t>
            </w:r>
            <w:r w:rsidR="009C61A0" w:rsidRPr="005F4295">
              <w:rPr>
                <w:rFonts w:eastAsia="Calibri" w:cs="EC Square Sans Pro"/>
                <w:b/>
                <w:noProof/>
                <w:color w:val="FFFFFF" w:themeColor="background1"/>
                <w:szCs w:val="24"/>
              </w:rPr>
              <w:t>controls (after payment</w:t>
            </w:r>
            <w:r w:rsidR="00FA17D1" w:rsidRPr="005F4295">
              <w:rPr>
                <w:rFonts w:eastAsia="Calibri" w:cs="EC Square Sans Pro"/>
                <w:b/>
                <w:noProof/>
                <w:color w:val="FFFFFF" w:themeColor="background1"/>
                <w:szCs w:val="24"/>
              </w:rPr>
              <w:t xml:space="preserve"> took place)</w:t>
            </w:r>
            <w:r w:rsidR="009C61A0" w:rsidRPr="005F4295">
              <w:rPr>
                <w:rFonts w:eastAsia="Calibri" w:cs="EC Square Sans Pro"/>
                <w:b/>
                <w:noProof/>
                <w:color w:val="FFFFFF" w:themeColor="background1"/>
                <w:szCs w:val="24"/>
              </w:rPr>
              <w:t xml:space="preserve"> </w:t>
            </w:r>
          </w:p>
          <w:p w14:paraId="0068137B" w14:textId="318E156C" w:rsidR="00EB70E0" w:rsidRPr="005F4295" w:rsidRDefault="00EB70E0">
            <w:pPr>
              <w:autoSpaceDE w:val="0"/>
              <w:autoSpaceDN w:val="0"/>
              <w:adjustRightInd w:val="0"/>
              <w:spacing w:before="0" w:line="240" w:lineRule="auto"/>
              <w:jc w:val="center"/>
              <w:textAlignment w:val="center"/>
              <w:rPr>
                <w:rFonts w:eastAsia="Calibri" w:cs="EC Square Sans Pro"/>
                <w:noProof/>
                <w:color w:val="FFFFFF" w:themeColor="background1"/>
                <w:szCs w:val="24"/>
              </w:rPr>
            </w:pPr>
            <w:r w:rsidRPr="005F4295">
              <w:rPr>
                <w:rFonts w:eastAsia="Calibri" w:cs="EC Square Sans Pro"/>
                <w:noProof/>
                <w:color w:val="FFFFFF" w:themeColor="background1"/>
                <w:szCs w:val="24"/>
              </w:rPr>
              <w:t xml:space="preserve">(e.g. audits of cost statements, </w:t>
            </w:r>
            <w:r w:rsidR="0083761F" w:rsidRPr="005F4295">
              <w:rPr>
                <w:rFonts w:eastAsia="Calibri" w:cs="EC Square Sans Pro"/>
                <w:i/>
                <w:color w:val="FFFFFF" w:themeColor="background1"/>
                <w:szCs w:val="24"/>
              </w:rPr>
              <w:t>ex</w:t>
            </w:r>
            <w:r w:rsidR="00D3421B" w:rsidRPr="005F4295">
              <w:rPr>
                <w:rFonts w:eastAsia="Calibri" w:cs="EC Square Sans Pro"/>
                <w:i/>
                <w:color w:val="FFFFFF" w:themeColor="background1"/>
                <w:szCs w:val="24"/>
              </w:rPr>
              <w:t xml:space="preserve"> </w:t>
            </w:r>
            <w:r w:rsidR="0083761F" w:rsidRPr="005F4295">
              <w:rPr>
                <w:rFonts w:eastAsia="Calibri" w:cs="EC Square Sans Pro"/>
                <w:i/>
                <w:color w:val="FFFFFF" w:themeColor="background1"/>
                <w:szCs w:val="24"/>
              </w:rPr>
              <w:t>post</w:t>
            </w:r>
            <w:r w:rsidR="0083761F" w:rsidRPr="005F4295">
              <w:rPr>
                <w:rFonts w:eastAsia="Calibri" w:cs="EC Square Sans Pro"/>
                <w:noProof/>
                <w:color w:val="FFFFFF" w:themeColor="background1"/>
                <w:szCs w:val="24"/>
              </w:rPr>
              <w:t xml:space="preserve"> technical reviews, </w:t>
            </w:r>
            <w:r w:rsidRPr="005F4295">
              <w:rPr>
                <w:rFonts w:eastAsia="Calibri" w:cs="EC Square Sans Pro"/>
                <w:noProof/>
                <w:color w:val="FFFFFF" w:themeColor="background1"/>
                <w:szCs w:val="24"/>
              </w:rPr>
              <w:t>system and compliance audits, on-the-spot checks)</w:t>
            </w:r>
          </w:p>
        </w:tc>
      </w:tr>
      <w:tr w:rsidR="00EB70E0" w:rsidRPr="005F4295" w14:paraId="59146D9A" w14:textId="77777777">
        <w:trPr>
          <w:cnfStyle w:val="000000010000" w:firstRow="0" w:lastRow="0" w:firstColumn="0" w:lastColumn="0" w:oddVBand="0" w:evenVBand="0" w:oddHBand="0" w:evenHBand="1" w:firstRowFirstColumn="0" w:firstRowLastColumn="0" w:lastRowFirstColumn="0" w:lastRowLastColumn="0"/>
          <w:trHeight w:val="409"/>
        </w:trPr>
        <w:tc>
          <w:tcPr>
            <w:tcW w:w="2500" w:type="pct"/>
            <w:tcBorders>
              <w:top w:val="single" w:sz="18" w:space="0" w:color="FFFFFF" w:themeColor="background1"/>
              <w:bottom w:val="single" w:sz="18" w:space="0" w:color="FFFFFF" w:themeColor="background1"/>
              <w:right w:val="single" w:sz="18" w:space="0" w:color="FFFFFF" w:themeColor="background1"/>
            </w:tcBorders>
            <w:shd w:val="clear" w:color="auto" w:fill="003399" w:themeFill="text2"/>
            <w:vAlign w:val="center"/>
          </w:tcPr>
          <w:p w14:paraId="66ED556E" w14:textId="77777777"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r w:rsidRPr="005F4295">
              <w:rPr>
                <w:rFonts w:eastAsia="Calibri" w:cs="EC Square Sans Pro"/>
                <w:b/>
                <w:noProof/>
                <w:color w:val="FFFFFF" w:themeColor="background1"/>
                <w:szCs w:val="24"/>
              </w:rPr>
              <w:t>Prevention of double funding</w:t>
            </w:r>
          </w:p>
          <w:p w14:paraId="39F35752" w14:textId="77777777" w:rsidR="00EB70E0" w:rsidRPr="005F4295" w:rsidRDefault="00EB70E0">
            <w:pPr>
              <w:autoSpaceDE w:val="0"/>
              <w:autoSpaceDN w:val="0"/>
              <w:adjustRightInd w:val="0"/>
              <w:spacing w:before="0" w:line="240" w:lineRule="auto"/>
              <w:jc w:val="center"/>
              <w:textAlignment w:val="center"/>
              <w:rPr>
                <w:rFonts w:eastAsia="Calibri" w:cs="EC Square Sans Pro"/>
                <w:noProof/>
                <w:color w:val="FFFFFF" w:themeColor="background1"/>
                <w:szCs w:val="24"/>
              </w:rPr>
            </w:pPr>
            <w:r w:rsidRPr="005F4295">
              <w:rPr>
                <w:rFonts w:eastAsia="Calibri" w:cs="EC Square Sans Pro"/>
                <w:noProof/>
                <w:color w:val="FFFFFF" w:themeColor="background1"/>
                <w:szCs w:val="24"/>
              </w:rPr>
              <w:t>(e.g. each beneficiary cannot receive more than one grant for the same expenditure)</w:t>
            </w:r>
          </w:p>
        </w:tc>
        <w:tc>
          <w:tcPr>
            <w:tcW w:w="2500" w:type="pct"/>
            <w:tcBorders>
              <w:top w:val="single" w:sz="18" w:space="0" w:color="FFFFFF" w:themeColor="background1"/>
              <w:left w:val="single" w:sz="18" w:space="0" w:color="FFFFFF" w:themeColor="background1"/>
              <w:bottom w:val="single" w:sz="18" w:space="0" w:color="FFFFFF" w:themeColor="background1"/>
            </w:tcBorders>
            <w:shd w:val="clear" w:color="auto" w:fill="DE6002" w:themeFill="accent2"/>
            <w:vAlign w:val="center"/>
          </w:tcPr>
          <w:p w14:paraId="4769B004" w14:textId="77777777"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r w:rsidRPr="005F4295">
              <w:rPr>
                <w:rFonts w:eastAsia="Calibri" w:cs="EC Square Sans Pro"/>
                <w:b/>
                <w:noProof/>
                <w:color w:val="FFFFFF" w:themeColor="background1"/>
                <w:szCs w:val="24"/>
              </w:rPr>
              <w:t>Fraud investigations</w:t>
            </w:r>
          </w:p>
          <w:p w14:paraId="3C927161" w14:textId="77777777" w:rsidR="00EB70E0" w:rsidRPr="005F4295" w:rsidRDefault="00EB70E0">
            <w:pPr>
              <w:autoSpaceDE w:val="0"/>
              <w:autoSpaceDN w:val="0"/>
              <w:adjustRightInd w:val="0"/>
              <w:spacing w:before="0" w:line="240" w:lineRule="auto"/>
              <w:jc w:val="center"/>
              <w:textAlignment w:val="center"/>
              <w:rPr>
                <w:rFonts w:eastAsia="Calibri" w:cs="EC Square Sans Pro"/>
                <w:noProof/>
                <w:color w:val="FFFFFF" w:themeColor="background1"/>
                <w:szCs w:val="24"/>
              </w:rPr>
            </w:pPr>
            <w:r w:rsidRPr="005F4295">
              <w:rPr>
                <w:rFonts w:eastAsia="Calibri" w:cs="EC Square Sans Pro"/>
                <w:noProof/>
                <w:color w:val="FFFFFF" w:themeColor="background1"/>
                <w:szCs w:val="24"/>
              </w:rPr>
              <w:t>(e.g. fraud cases pursued by the European Anti-Fraud Office)</w:t>
            </w:r>
          </w:p>
        </w:tc>
      </w:tr>
      <w:tr w:rsidR="00EB70E0" w:rsidRPr="005F4295" w14:paraId="24E017DA" w14:textId="77777777">
        <w:trPr>
          <w:cnfStyle w:val="000000100000" w:firstRow="0" w:lastRow="0" w:firstColumn="0" w:lastColumn="0" w:oddVBand="0" w:evenVBand="0" w:oddHBand="1" w:evenHBand="0" w:firstRowFirstColumn="0" w:firstRowLastColumn="0" w:lastRowFirstColumn="0" w:lastRowLastColumn="0"/>
          <w:trHeight w:val="1198"/>
        </w:trPr>
        <w:tc>
          <w:tcPr>
            <w:tcW w:w="2500" w:type="pct"/>
            <w:tcBorders>
              <w:top w:val="single" w:sz="18" w:space="0" w:color="FFFFFF" w:themeColor="background1"/>
              <w:bottom w:val="single" w:sz="18" w:space="0" w:color="FFFFFF" w:themeColor="background1"/>
              <w:right w:val="single" w:sz="18" w:space="0" w:color="FFFFFF" w:themeColor="background1"/>
            </w:tcBorders>
            <w:shd w:val="clear" w:color="auto" w:fill="003399" w:themeFill="text2"/>
            <w:vAlign w:val="center"/>
          </w:tcPr>
          <w:p w14:paraId="7FBDA534" w14:textId="47F52F04"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r w:rsidRPr="005F4295">
              <w:rPr>
                <w:rFonts w:eastAsia="Calibri" w:cs="EC Square Sans Pro"/>
                <w:b/>
                <w:i/>
                <w:noProof/>
                <w:color w:val="FFFFFF" w:themeColor="background1"/>
                <w:szCs w:val="24"/>
              </w:rPr>
              <w:t>Ex ante</w:t>
            </w:r>
            <w:r w:rsidRPr="005F4295">
              <w:rPr>
                <w:rFonts w:eastAsia="Calibri" w:cs="EC Square Sans Pro"/>
                <w:b/>
                <w:noProof/>
                <w:color w:val="FFFFFF" w:themeColor="background1"/>
                <w:szCs w:val="24"/>
              </w:rPr>
              <w:t xml:space="preserve"> </w:t>
            </w:r>
            <w:r w:rsidR="009C61A0" w:rsidRPr="005F4295">
              <w:rPr>
                <w:rFonts w:eastAsia="Calibri" w:cs="EC Square Sans Pro"/>
                <w:b/>
                <w:noProof/>
                <w:color w:val="FFFFFF" w:themeColor="background1"/>
                <w:szCs w:val="24"/>
              </w:rPr>
              <w:t>controls</w:t>
            </w:r>
            <w:r w:rsidRPr="005F4295">
              <w:rPr>
                <w:rFonts w:eastAsia="Calibri" w:cs="EC Square Sans Pro"/>
                <w:b/>
                <w:noProof/>
                <w:color w:val="FFFFFF" w:themeColor="background1"/>
                <w:szCs w:val="24"/>
              </w:rPr>
              <w:t xml:space="preserve"> </w:t>
            </w:r>
            <w:r w:rsidR="00FA17D1" w:rsidRPr="005F4295">
              <w:rPr>
                <w:rFonts w:eastAsia="Calibri" w:cs="EC Square Sans Pro"/>
                <w:b/>
                <w:noProof/>
                <w:color w:val="FFFFFF" w:themeColor="background1"/>
                <w:szCs w:val="24"/>
              </w:rPr>
              <w:t>(before payment takes place)</w:t>
            </w:r>
          </w:p>
          <w:p w14:paraId="2977AA30" w14:textId="0A6EC6C2" w:rsidR="00EB70E0" w:rsidRPr="005F4295" w:rsidRDefault="00EB70E0">
            <w:pPr>
              <w:autoSpaceDE w:val="0"/>
              <w:autoSpaceDN w:val="0"/>
              <w:adjustRightInd w:val="0"/>
              <w:spacing w:before="0" w:after="0" w:line="240" w:lineRule="auto"/>
              <w:jc w:val="center"/>
              <w:textAlignment w:val="center"/>
              <w:rPr>
                <w:rFonts w:eastAsia="Calibri" w:cs="EC Square Sans Pro"/>
                <w:noProof/>
                <w:color w:val="FFFFFF" w:themeColor="background1"/>
                <w:szCs w:val="24"/>
              </w:rPr>
            </w:pPr>
            <w:r w:rsidRPr="005F4295">
              <w:rPr>
                <w:rFonts w:eastAsia="Calibri" w:cs="EC Square Sans Pro"/>
                <w:noProof/>
                <w:color w:val="FFFFFF" w:themeColor="background1"/>
                <w:szCs w:val="24"/>
              </w:rPr>
              <w:t>(e.g. desk reviews, compliance checks, authorisation of payments</w:t>
            </w:r>
            <w:r w:rsidR="0007188D" w:rsidRPr="005F4295">
              <w:rPr>
                <w:rFonts w:eastAsia="Calibri" w:cs="EC Square Sans Pro"/>
                <w:noProof/>
                <w:color w:val="FFFFFF" w:themeColor="background1"/>
                <w:szCs w:val="24"/>
              </w:rPr>
              <w:t>, systems audits</w:t>
            </w:r>
            <w:r w:rsidRPr="005F4295">
              <w:rPr>
                <w:rFonts w:eastAsia="Calibri" w:cs="EC Square Sans Pro"/>
                <w:noProof/>
                <w:color w:val="FFFFFF" w:themeColor="background1"/>
                <w:szCs w:val="24"/>
              </w:rPr>
              <w:t>)</w:t>
            </w:r>
          </w:p>
        </w:tc>
        <w:tc>
          <w:tcPr>
            <w:tcW w:w="2500" w:type="pct"/>
            <w:tcBorders>
              <w:top w:val="single" w:sz="18" w:space="0" w:color="FFFFFF" w:themeColor="background1"/>
              <w:left w:val="single" w:sz="18" w:space="0" w:color="FFFFFF" w:themeColor="background1"/>
              <w:bottom w:val="single" w:sz="18" w:space="0" w:color="FFFFFF" w:themeColor="background1"/>
            </w:tcBorders>
            <w:shd w:val="clear" w:color="auto" w:fill="DE6002" w:themeFill="accent2"/>
            <w:vAlign w:val="center"/>
          </w:tcPr>
          <w:p w14:paraId="6EC8B54C" w14:textId="77777777" w:rsidR="00EB70E0" w:rsidRPr="005F4295" w:rsidRDefault="00EB70E0">
            <w:pPr>
              <w:autoSpaceDE w:val="0"/>
              <w:autoSpaceDN w:val="0"/>
              <w:adjustRightInd w:val="0"/>
              <w:spacing w:before="0" w:after="0" w:line="240" w:lineRule="auto"/>
              <w:jc w:val="center"/>
              <w:textAlignment w:val="center"/>
              <w:rPr>
                <w:rFonts w:eastAsia="Calibri" w:cs="EC Square Sans Pro"/>
                <w:b/>
                <w:noProof/>
                <w:color w:val="FFFFFF" w:themeColor="background1"/>
                <w:szCs w:val="24"/>
              </w:rPr>
            </w:pPr>
            <w:r w:rsidRPr="005F4295">
              <w:rPr>
                <w:rFonts w:eastAsia="Calibri" w:cs="EC Square Sans Pro"/>
                <w:b/>
                <w:noProof/>
                <w:color w:val="FFFFFF" w:themeColor="background1"/>
                <w:szCs w:val="24"/>
              </w:rPr>
              <w:t>Financial recoveries and corrections</w:t>
            </w:r>
          </w:p>
        </w:tc>
      </w:tr>
      <w:tr w:rsidR="00EB70E0" w:rsidRPr="005F4295" w14:paraId="78092214" w14:textId="77777777">
        <w:trPr>
          <w:cnfStyle w:val="000000010000" w:firstRow="0" w:lastRow="0" w:firstColumn="0" w:lastColumn="0" w:oddVBand="0" w:evenVBand="0" w:oddHBand="0" w:evenHBand="1" w:firstRowFirstColumn="0" w:firstRowLastColumn="0" w:lastRowFirstColumn="0" w:lastRowLastColumn="0"/>
          <w:trHeight w:val="1027"/>
        </w:trPr>
        <w:tc>
          <w:tcPr>
            <w:tcW w:w="0" w:type="pct"/>
            <w:tcBorders>
              <w:top w:val="single" w:sz="18" w:space="0" w:color="FFFFFF" w:themeColor="background1"/>
              <w:bottom w:val="single" w:sz="18" w:space="0" w:color="FFFFFF" w:themeColor="background1"/>
              <w:right w:val="single" w:sz="18" w:space="0" w:color="FFFFFF" w:themeColor="background1"/>
            </w:tcBorders>
            <w:shd w:val="clear" w:color="auto" w:fill="003399" w:themeFill="text2"/>
            <w:vAlign w:val="center"/>
          </w:tcPr>
          <w:p w14:paraId="43FFC7C2" w14:textId="77777777" w:rsidR="00EB70E0" w:rsidRPr="005F4295" w:rsidRDefault="00EB70E0">
            <w:pPr>
              <w:autoSpaceDE w:val="0"/>
              <w:autoSpaceDN w:val="0"/>
              <w:adjustRightInd w:val="0"/>
              <w:spacing w:before="0" w:after="0" w:line="240" w:lineRule="auto"/>
              <w:jc w:val="center"/>
              <w:textAlignment w:val="center"/>
              <w:rPr>
                <w:rFonts w:eastAsia="Calibri" w:cs="EC Square Sans Pro"/>
                <w:b/>
                <w:noProof/>
                <w:color w:val="FFFFFF" w:themeColor="background1"/>
                <w:szCs w:val="24"/>
              </w:rPr>
            </w:pPr>
            <w:r w:rsidRPr="005F4295">
              <w:rPr>
                <w:rFonts w:eastAsia="Calibri" w:cs="EC Square Sans Pro"/>
                <w:b/>
                <w:noProof/>
                <w:color w:val="FFFFFF" w:themeColor="background1"/>
                <w:szCs w:val="24"/>
              </w:rPr>
              <w:t>Funding suspensions and corrections</w:t>
            </w:r>
          </w:p>
          <w:p w14:paraId="469F34D8" w14:textId="77777777" w:rsidR="00EB70E0" w:rsidRPr="005F4295" w:rsidRDefault="00EB70E0">
            <w:pPr>
              <w:autoSpaceDE w:val="0"/>
              <w:autoSpaceDN w:val="0"/>
              <w:adjustRightInd w:val="0"/>
              <w:spacing w:before="0" w:after="0" w:line="240" w:lineRule="auto"/>
              <w:jc w:val="center"/>
              <w:textAlignment w:val="center"/>
              <w:rPr>
                <w:rFonts w:eastAsia="Calibri" w:cs="EC Square Sans Pro"/>
                <w:b/>
                <w:noProof/>
                <w:color w:val="FFFFFF" w:themeColor="background1"/>
                <w:szCs w:val="24"/>
              </w:rPr>
            </w:pPr>
            <w:r w:rsidRPr="005F4295">
              <w:rPr>
                <w:noProof/>
                <w:color w:val="FFFFFF" w:themeColor="background1"/>
                <w:szCs w:val="24"/>
              </w:rPr>
              <w:t>(e.g. recovery of unused pre-financing, rejection of costs claimed, financial corrections and deductions made by Member States)</w:t>
            </w:r>
          </w:p>
        </w:tc>
        <w:tc>
          <w:tcPr>
            <w:tcW w:w="0" w:type="pct"/>
            <w:tcBorders>
              <w:top w:val="single" w:sz="18" w:space="0" w:color="FFFFFF" w:themeColor="background1"/>
              <w:left w:val="single" w:sz="18" w:space="0" w:color="FFFFFF" w:themeColor="background1"/>
              <w:bottom w:val="single" w:sz="18" w:space="0" w:color="FFFFFF" w:themeColor="background1"/>
            </w:tcBorders>
            <w:shd w:val="clear" w:color="auto" w:fill="FFFFFF" w:themeFill="background1"/>
            <w:vAlign w:val="center"/>
          </w:tcPr>
          <w:p w14:paraId="64BB145D" w14:textId="77777777"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p>
        </w:tc>
      </w:tr>
      <w:tr w:rsidR="00EB70E0" w:rsidRPr="005F4295" w14:paraId="47FFE3F3" w14:textId="77777777">
        <w:trPr>
          <w:cnfStyle w:val="000000100000" w:firstRow="0" w:lastRow="0" w:firstColumn="0" w:lastColumn="0" w:oddVBand="0" w:evenVBand="0" w:oddHBand="1" w:evenHBand="0" w:firstRowFirstColumn="0" w:firstRowLastColumn="0" w:lastRowFirstColumn="0" w:lastRowLastColumn="0"/>
          <w:trHeight w:val="521"/>
        </w:trPr>
        <w:tc>
          <w:tcPr>
            <w:tcW w:w="2500" w:type="pct"/>
            <w:tcBorders>
              <w:top w:val="single" w:sz="18" w:space="0" w:color="FFFFFF" w:themeColor="background1"/>
              <w:bottom w:val="single" w:sz="18" w:space="0" w:color="FFFFFF" w:themeColor="background1"/>
              <w:right w:val="single" w:sz="18" w:space="0" w:color="FFFFFF" w:themeColor="background1"/>
            </w:tcBorders>
            <w:shd w:val="clear" w:color="auto" w:fill="003399" w:themeFill="text2"/>
            <w:vAlign w:val="center"/>
          </w:tcPr>
          <w:p w14:paraId="116D417E" w14:textId="77777777"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r w:rsidRPr="005F4295">
              <w:rPr>
                <w:rFonts w:eastAsia="Calibri" w:cs="EC Square Sans Pro"/>
                <w:b/>
                <w:noProof/>
                <w:color w:val="FFFFFF" w:themeColor="background1"/>
                <w:szCs w:val="24"/>
              </w:rPr>
              <w:t>Fraud proofing</w:t>
            </w:r>
          </w:p>
          <w:p w14:paraId="27764BBA" w14:textId="77777777" w:rsidR="00EB70E0" w:rsidRPr="005F4295" w:rsidRDefault="00EB70E0">
            <w:pPr>
              <w:autoSpaceDE w:val="0"/>
              <w:autoSpaceDN w:val="0"/>
              <w:adjustRightInd w:val="0"/>
              <w:spacing w:before="0" w:line="240" w:lineRule="auto"/>
              <w:jc w:val="center"/>
              <w:textAlignment w:val="center"/>
              <w:rPr>
                <w:rFonts w:eastAsia="Calibri" w:cs="EC Square Sans Pro"/>
                <w:noProof/>
                <w:color w:val="FFFFFF" w:themeColor="background1"/>
                <w:szCs w:val="24"/>
              </w:rPr>
            </w:pPr>
            <w:r w:rsidRPr="005F4295">
              <w:rPr>
                <w:rFonts w:eastAsia="Calibri" w:cs="EC Square Sans Pro"/>
                <w:noProof/>
                <w:color w:val="FFFFFF" w:themeColor="background1"/>
                <w:szCs w:val="24"/>
              </w:rPr>
              <w:t>(e.g. European Anti-Fraud Office review of programmes)</w:t>
            </w:r>
          </w:p>
        </w:tc>
        <w:tc>
          <w:tcPr>
            <w:tcW w:w="2500" w:type="pct"/>
            <w:tcBorders>
              <w:top w:val="single" w:sz="18" w:space="0" w:color="FFFFFF" w:themeColor="background1"/>
              <w:left w:val="single" w:sz="18" w:space="0" w:color="FFFFFF" w:themeColor="background1"/>
              <w:bottom w:val="single" w:sz="18" w:space="0" w:color="FFFFFF" w:themeColor="background1"/>
            </w:tcBorders>
            <w:shd w:val="clear" w:color="auto" w:fill="FFFFFF" w:themeFill="background1"/>
            <w:vAlign w:val="center"/>
          </w:tcPr>
          <w:p w14:paraId="0043E6F5" w14:textId="77777777"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p>
        </w:tc>
      </w:tr>
      <w:tr w:rsidR="00EB70E0" w:rsidRPr="005F4295" w14:paraId="44283D9D" w14:textId="77777777">
        <w:trPr>
          <w:cnfStyle w:val="000000010000" w:firstRow="0" w:lastRow="0" w:firstColumn="0" w:lastColumn="0" w:oddVBand="0" w:evenVBand="0" w:oddHBand="0" w:evenHBand="1" w:firstRowFirstColumn="0" w:firstRowLastColumn="0" w:lastRowFirstColumn="0" w:lastRowLastColumn="0"/>
          <w:trHeight w:val="193"/>
        </w:trPr>
        <w:tc>
          <w:tcPr>
            <w:tcW w:w="2500" w:type="pct"/>
            <w:tcBorders>
              <w:top w:val="single" w:sz="18" w:space="0" w:color="FFFFFF" w:themeColor="background1"/>
              <w:bottom w:val="single" w:sz="18" w:space="0" w:color="FFFFFF" w:themeColor="background1"/>
              <w:right w:val="single" w:sz="18" w:space="0" w:color="FFFFFF" w:themeColor="background1"/>
            </w:tcBorders>
            <w:shd w:val="clear" w:color="auto" w:fill="003399" w:themeFill="text2"/>
            <w:vAlign w:val="center"/>
          </w:tcPr>
          <w:p w14:paraId="3ED8BBCB" w14:textId="77777777" w:rsidR="00EB70E0" w:rsidRPr="005F4295" w:rsidRDefault="00EB70E0">
            <w:pPr>
              <w:autoSpaceDE w:val="0"/>
              <w:autoSpaceDN w:val="0"/>
              <w:adjustRightInd w:val="0"/>
              <w:spacing w:before="0" w:line="240" w:lineRule="auto"/>
              <w:jc w:val="center"/>
              <w:textAlignment w:val="center"/>
              <w:rPr>
                <w:rFonts w:eastAsia="Calibri" w:cs="EC Square Sans Pro"/>
                <w:noProof/>
                <w:color w:val="FFFFFF" w:themeColor="background1"/>
                <w:szCs w:val="24"/>
              </w:rPr>
            </w:pPr>
            <w:r w:rsidRPr="005F4295">
              <w:rPr>
                <w:rFonts w:eastAsia="Calibri" w:cs="EC Square Sans Pro"/>
                <w:b/>
                <w:noProof/>
                <w:color w:val="FFFFFF" w:themeColor="background1"/>
                <w:szCs w:val="24"/>
              </w:rPr>
              <w:t>Awareness-raising measures</w:t>
            </w:r>
          </w:p>
        </w:tc>
        <w:tc>
          <w:tcPr>
            <w:tcW w:w="2500" w:type="pct"/>
            <w:tcBorders>
              <w:top w:val="single" w:sz="18" w:space="0" w:color="FFFFFF" w:themeColor="background1"/>
              <w:left w:val="single" w:sz="18" w:space="0" w:color="FFFFFF" w:themeColor="background1"/>
              <w:bottom w:val="single" w:sz="18" w:space="0" w:color="FFFFFF" w:themeColor="background1"/>
            </w:tcBorders>
            <w:shd w:val="clear" w:color="auto" w:fill="FFFFFF" w:themeFill="background1"/>
            <w:vAlign w:val="center"/>
          </w:tcPr>
          <w:p w14:paraId="1BA92CCC" w14:textId="77777777"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p>
        </w:tc>
      </w:tr>
      <w:tr w:rsidR="00EB70E0" w:rsidRPr="005F4295" w14:paraId="060918C9" w14:textId="77777777">
        <w:trPr>
          <w:cnfStyle w:val="000000100000" w:firstRow="0" w:lastRow="0" w:firstColumn="0" w:lastColumn="0" w:oddVBand="0" w:evenVBand="0" w:oddHBand="1" w:evenHBand="0" w:firstRowFirstColumn="0" w:firstRowLastColumn="0" w:lastRowFirstColumn="0" w:lastRowLastColumn="0"/>
          <w:trHeight w:val="299"/>
        </w:trPr>
        <w:tc>
          <w:tcPr>
            <w:tcW w:w="2500" w:type="pct"/>
            <w:tcBorders>
              <w:top w:val="single" w:sz="18" w:space="0" w:color="FFFFFF" w:themeColor="background1"/>
              <w:bottom w:val="single" w:sz="18" w:space="0" w:color="FFFFFF" w:themeColor="background1"/>
              <w:right w:val="single" w:sz="18" w:space="0" w:color="FFFFFF" w:themeColor="background1"/>
            </w:tcBorders>
            <w:shd w:val="clear" w:color="auto" w:fill="003399" w:themeFill="text2"/>
            <w:vAlign w:val="center"/>
          </w:tcPr>
          <w:p w14:paraId="56D09004" w14:textId="77777777"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r w:rsidRPr="005F4295">
              <w:rPr>
                <w:rFonts w:eastAsia="Calibri" w:cs="EC Square Sans Pro"/>
                <w:b/>
                <w:noProof/>
                <w:color w:val="FFFFFF" w:themeColor="background1"/>
                <w:szCs w:val="24"/>
              </w:rPr>
              <w:t>Measures taken to address systems deficiencies</w:t>
            </w:r>
          </w:p>
        </w:tc>
        <w:tc>
          <w:tcPr>
            <w:tcW w:w="2500" w:type="pct"/>
            <w:tcBorders>
              <w:top w:val="single" w:sz="18" w:space="0" w:color="FFFFFF" w:themeColor="background1"/>
              <w:left w:val="single" w:sz="18" w:space="0" w:color="FFFFFF" w:themeColor="background1"/>
              <w:bottom w:val="single" w:sz="18" w:space="0" w:color="FFFFFF" w:themeColor="background1"/>
            </w:tcBorders>
            <w:shd w:val="clear" w:color="auto" w:fill="FFFFFF" w:themeFill="background1"/>
            <w:vAlign w:val="center"/>
          </w:tcPr>
          <w:p w14:paraId="1A31DD72" w14:textId="77777777" w:rsidR="00EB70E0" w:rsidRPr="005F4295" w:rsidRDefault="00EB70E0">
            <w:pPr>
              <w:autoSpaceDE w:val="0"/>
              <w:autoSpaceDN w:val="0"/>
              <w:adjustRightInd w:val="0"/>
              <w:spacing w:before="0" w:line="240" w:lineRule="auto"/>
              <w:jc w:val="center"/>
              <w:textAlignment w:val="center"/>
              <w:rPr>
                <w:rFonts w:eastAsia="Calibri" w:cs="EC Square Sans Pro"/>
                <w:b/>
                <w:noProof/>
                <w:color w:val="FFFFFF" w:themeColor="background1"/>
                <w:szCs w:val="24"/>
              </w:rPr>
            </w:pPr>
          </w:p>
        </w:tc>
      </w:tr>
    </w:tbl>
    <w:p w14:paraId="26089D9B" w14:textId="77777777" w:rsidR="00EB70E0" w:rsidRPr="005F4295" w:rsidRDefault="00EB70E0" w:rsidP="00EB70E0">
      <w:pPr>
        <w:pStyle w:val="TableSource"/>
        <w:rPr>
          <w:rFonts w:ascii="EC Square Sans Pro" w:hAnsi="EC Square Sans Pro"/>
          <w:noProof/>
        </w:rPr>
      </w:pPr>
      <w:r w:rsidRPr="005F4295">
        <w:rPr>
          <w:rStyle w:val="amprcharItalic"/>
          <w:rFonts w:ascii="EC Square Sans Pro" w:hAnsi="EC Square Sans Pro"/>
          <w:noProof/>
        </w:rPr>
        <w:t>Source:</w:t>
      </w:r>
      <w:r w:rsidRPr="005F4295">
        <w:rPr>
          <w:rFonts w:ascii="EC Square Sans Pro" w:hAnsi="EC Square Sans Pro"/>
          <w:noProof/>
        </w:rPr>
        <w:t xml:space="preserve"> European Commission.</w:t>
      </w:r>
    </w:p>
    <w:p w14:paraId="3392FAD5" w14:textId="77777777" w:rsidR="00EB70E0" w:rsidRPr="005F4295" w:rsidRDefault="00EB70E0" w:rsidP="00EB70E0">
      <w:pPr>
        <w:pStyle w:val="HeadingMan-NumT-AnnexesL3-111"/>
        <w:rPr>
          <w:rFonts w:ascii="EC Square Sans Pro" w:hAnsi="EC Square Sans Pro"/>
          <w:noProof/>
        </w:rPr>
      </w:pPr>
      <w:bookmarkStart w:id="24" w:name="_Toc130821431"/>
      <w:bookmarkStart w:id="25" w:name="_Toc130832074"/>
      <w:bookmarkStart w:id="26" w:name="_Toc229386260"/>
      <w:bookmarkStart w:id="27" w:name="_Hlk165802636"/>
      <w:r w:rsidRPr="005F4295">
        <w:rPr>
          <w:rFonts w:ascii="EC Square Sans Pro" w:hAnsi="EC Square Sans Pro"/>
          <w:noProof/>
        </w:rPr>
        <w:t>5.1.1.</w:t>
      </w:r>
      <w:r w:rsidRPr="005F4295">
        <w:rPr>
          <w:rFonts w:ascii="EC Square Sans Pro" w:hAnsi="EC Square Sans Pro"/>
          <w:noProof/>
        </w:rPr>
        <w:tab/>
        <w:t xml:space="preserve">Preventive </w:t>
      </w:r>
      <w:bookmarkEnd w:id="24"/>
      <w:bookmarkEnd w:id="25"/>
      <w:r w:rsidRPr="005F4295">
        <w:rPr>
          <w:rFonts w:ascii="EC Square Sans Pro" w:hAnsi="EC Square Sans Pro"/>
          <w:noProof/>
        </w:rPr>
        <w:t>measures</w:t>
      </w:r>
      <w:bookmarkEnd w:id="26"/>
    </w:p>
    <w:bookmarkEnd w:id="27"/>
    <w:p w14:paraId="28AD87B6" w14:textId="047D0F39" w:rsidR="00EB70E0" w:rsidRPr="005F4295" w:rsidRDefault="00EB70E0" w:rsidP="00EB70E0">
      <w:pPr>
        <w:rPr>
          <w:noProof/>
        </w:rPr>
      </w:pPr>
      <w:r w:rsidRPr="005F4295">
        <w:rPr>
          <w:rStyle w:val="Bold"/>
        </w:rPr>
        <w:t>Preventive measures</w:t>
      </w:r>
      <w:r w:rsidRPr="005F4295">
        <w:rPr>
          <w:noProof/>
        </w:rPr>
        <w:t xml:space="preserve"> </w:t>
      </w:r>
      <w:r w:rsidRPr="005F4295">
        <w:rPr>
          <w:b/>
        </w:rPr>
        <w:t xml:space="preserve">take place before the Commission makes payments. They result from </w:t>
      </w:r>
      <w:r w:rsidRPr="005F4295">
        <w:rPr>
          <w:rStyle w:val="BoldItalic"/>
        </w:rPr>
        <w:t>ex ante</w:t>
      </w:r>
      <w:r w:rsidRPr="005F4295">
        <w:rPr>
          <w:b/>
          <w:i/>
        </w:rPr>
        <w:t xml:space="preserve"> </w:t>
      </w:r>
      <w:r w:rsidRPr="005F4295">
        <w:rPr>
          <w:b/>
        </w:rPr>
        <w:t>controls</w:t>
      </w:r>
      <w:r w:rsidRPr="005F4295">
        <w:rPr>
          <w:noProof/>
        </w:rPr>
        <w:t xml:space="preserve"> (mostly desk reviews) carried out by the Member States</w:t>
      </w:r>
      <w:r w:rsidR="0082729E" w:rsidRPr="005F4295">
        <w:rPr>
          <w:noProof/>
        </w:rPr>
        <w:t>, in</w:t>
      </w:r>
      <w:r w:rsidRPr="005F4295">
        <w:rPr>
          <w:noProof/>
        </w:rPr>
        <w:t xml:space="preserve"> </w:t>
      </w:r>
      <w:r w:rsidR="0082729E" w:rsidRPr="005F4295">
        <w:rPr>
          <w:noProof/>
        </w:rPr>
        <w:t>shared management,</w:t>
      </w:r>
      <w:r w:rsidRPr="005F4295">
        <w:rPr>
          <w:noProof/>
        </w:rPr>
        <w:t xml:space="preserve"> </w:t>
      </w:r>
      <w:r w:rsidR="00FD73EC" w:rsidRPr="005F4295">
        <w:rPr>
          <w:noProof/>
        </w:rPr>
        <w:t>implementing partners</w:t>
      </w:r>
      <w:r w:rsidR="00270E3A" w:rsidRPr="005F4295">
        <w:rPr>
          <w:noProof/>
        </w:rPr>
        <w:t>, in indirect management,</w:t>
      </w:r>
      <w:r w:rsidRPr="005F4295">
        <w:rPr>
          <w:noProof/>
        </w:rPr>
        <w:t xml:space="preserve"> before </w:t>
      </w:r>
      <w:r w:rsidR="00270E3A" w:rsidRPr="005F4295">
        <w:rPr>
          <w:noProof/>
        </w:rPr>
        <w:t xml:space="preserve">they </w:t>
      </w:r>
      <w:r w:rsidRPr="005F4295">
        <w:rPr>
          <w:noProof/>
        </w:rPr>
        <w:t xml:space="preserve">submit </w:t>
      </w:r>
      <w:r w:rsidR="00270E3A" w:rsidRPr="005F4295">
        <w:rPr>
          <w:noProof/>
        </w:rPr>
        <w:t>their annual accounts/</w:t>
      </w:r>
      <w:r w:rsidRPr="005F4295">
        <w:rPr>
          <w:noProof/>
        </w:rPr>
        <w:t>expenditure to the Commission, and by the Commission</w:t>
      </w:r>
      <w:r w:rsidR="0095192A" w:rsidRPr="005F4295">
        <w:rPr>
          <w:noProof/>
        </w:rPr>
        <w:t>, in direct management,</w:t>
      </w:r>
      <w:r w:rsidRPr="005F4295">
        <w:rPr>
          <w:noProof/>
        </w:rPr>
        <w:t xml:space="preserve"> before accepting and reimbursing expenditure, clearing pre-financing (i.e. transferring its ownership to the beneficiary) and making interim/final payments. In accordance with the Financial Regulation</w:t>
      </w:r>
      <w:r w:rsidR="00CA11A0" w:rsidRPr="005F4295">
        <w:rPr>
          <w:rFonts w:ascii="Calibri" w:hAnsi="Calibri" w:cs="Calibri"/>
          <w:noProof/>
        </w:rPr>
        <w:t> </w:t>
      </w:r>
      <w:r w:rsidR="00FB4EC6" w:rsidRPr="005F4295">
        <w:rPr>
          <w:rFonts w:cs="Calibri"/>
          <w:noProof/>
        </w:rPr>
        <w:t>(</w:t>
      </w:r>
      <w:r w:rsidR="00FB4EC6" w:rsidRPr="005F4295">
        <w:rPr>
          <w:rStyle w:val="FootnoteReference"/>
        </w:rPr>
        <w:footnoteReference w:id="2"/>
      </w:r>
      <w:r w:rsidR="00FB4EC6" w:rsidRPr="005F4295">
        <w:rPr>
          <w:rFonts w:cs="Calibri"/>
          <w:noProof/>
        </w:rPr>
        <w:t>)</w:t>
      </w:r>
      <w:r w:rsidRPr="005F4295">
        <w:rPr>
          <w:noProof/>
        </w:rPr>
        <w:t>, all financial operations are subject to controls before payment, under all management modes.</w:t>
      </w:r>
    </w:p>
    <w:p w14:paraId="243C0BCA" w14:textId="249BCB5D" w:rsidR="00EB70E0" w:rsidRPr="005F4295" w:rsidRDefault="00EB70E0" w:rsidP="00EB70E0">
      <w:pPr>
        <w:rPr>
          <w:noProof/>
        </w:rPr>
      </w:pPr>
      <w:r w:rsidRPr="005F4295">
        <w:rPr>
          <w:noProof/>
        </w:rPr>
        <w:t xml:space="preserve">In shared management, the amounts corrected at the Member State level may be reused under certain circumstances, which serves as an incentive for Member States to carry out the necessary verifications and audits and correct irregular expenditure before submitting their </w:t>
      </w:r>
      <w:r w:rsidR="0053610D" w:rsidRPr="005F4295">
        <w:rPr>
          <w:noProof/>
        </w:rPr>
        <w:t>accounts</w:t>
      </w:r>
      <w:r w:rsidRPr="005F4295">
        <w:rPr>
          <w:noProof/>
        </w:rPr>
        <w:t xml:space="preserve"> to the Commission.</w:t>
      </w:r>
    </w:p>
    <w:p w14:paraId="2E9D007A" w14:textId="0411F482" w:rsidR="00EB70E0" w:rsidRPr="005F4295" w:rsidRDefault="00EB70E0" w:rsidP="00EB70E0">
      <w:pPr>
        <w:rPr>
          <w:noProof/>
        </w:rPr>
      </w:pPr>
      <w:r w:rsidRPr="005F4295">
        <w:rPr>
          <w:noProof/>
        </w:rPr>
        <w:t xml:space="preserve">Regarding measures to address systems deficiencies in the Member States, they will mostly result from systems audits that are </w:t>
      </w:r>
      <w:r w:rsidR="00240623" w:rsidRPr="005F4295">
        <w:rPr>
          <w:noProof/>
        </w:rPr>
        <w:t xml:space="preserve">both </w:t>
      </w:r>
      <w:r w:rsidRPr="005F4295">
        <w:rPr>
          <w:rStyle w:val="Italic"/>
        </w:rPr>
        <w:t>ex ante</w:t>
      </w:r>
      <w:r w:rsidRPr="005F4295">
        <w:rPr>
          <w:noProof/>
        </w:rPr>
        <w:t xml:space="preserve"> </w:t>
      </w:r>
      <w:r w:rsidR="00240623" w:rsidRPr="005F4295">
        <w:rPr>
          <w:noProof/>
        </w:rPr>
        <w:t xml:space="preserve">and </w:t>
      </w:r>
      <w:r w:rsidRPr="005F4295">
        <w:rPr>
          <w:rStyle w:val="Italic"/>
        </w:rPr>
        <w:t>ex post</w:t>
      </w:r>
      <w:r w:rsidRPr="005F4295">
        <w:rPr>
          <w:noProof/>
        </w:rPr>
        <w:t xml:space="preserve"> controls</w:t>
      </w:r>
      <w:r w:rsidR="00442323" w:rsidRPr="005F4295">
        <w:rPr>
          <w:noProof/>
        </w:rPr>
        <w:t xml:space="preserve">: </w:t>
      </w:r>
      <w:r w:rsidR="00442323" w:rsidRPr="005F4295">
        <w:rPr>
          <w:rStyle w:val="Italic"/>
        </w:rPr>
        <w:t>ex</w:t>
      </w:r>
      <w:r w:rsidR="00BA44C7" w:rsidRPr="005F4295">
        <w:rPr>
          <w:rStyle w:val="Italic"/>
        </w:rPr>
        <w:t xml:space="preserve"> </w:t>
      </w:r>
      <w:r w:rsidR="00442323" w:rsidRPr="005F4295">
        <w:rPr>
          <w:rStyle w:val="Italic"/>
        </w:rPr>
        <w:t>ante</w:t>
      </w:r>
      <w:r w:rsidR="00240623" w:rsidRPr="005F4295">
        <w:rPr>
          <w:noProof/>
        </w:rPr>
        <w:t xml:space="preserve"> because they can prevent errors in future payments, </w:t>
      </w:r>
      <w:r w:rsidR="00BA44C7" w:rsidRPr="005F4295">
        <w:rPr>
          <w:noProof/>
        </w:rPr>
        <w:t>and</w:t>
      </w:r>
      <w:r w:rsidR="00240623" w:rsidRPr="005F4295">
        <w:rPr>
          <w:noProof/>
        </w:rPr>
        <w:t xml:space="preserve"> </w:t>
      </w:r>
      <w:r w:rsidR="00240623" w:rsidRPr="005F4295">
        <w:rPr>
          <w:rStyle w:val="Italic"/>
        </w:rPr>
        <w:t>ex post</w:t>
      </w:r>
      <w:r w:rsidR="00240623" w:rsidRPr="005F4295">
        <w:rPr>
          <w:noProof/>
        </w:rPr>
        <w:t xml:space="preserve"> because they can also detect issues with payments that were already processed</w:t>
      </w:r>
      <w:r w:rsidR="00BA44C7" w:rsidRPr="005F4295">
        <w:rPr>
          <w:noProof/>
        </w:rPr>
        <w:t>.</w:t>
      </w:r>
    </w:p>
    <w:p w14:paraId="582815B8" w14:textId="77777777" w:rsidR="00EB70E0" w:rsidRPr="005F4295" w:rsidRDefault="00EB70E0" w:rsidP="00EB70E0">
      <w:pPr>
        <w:pStyle w:val="HeadingMan-NumT-AnnexesL3-111"/>
        <w:rPr>
          <w:rFonts w:ascii="EC Square Sans Pro" w:hAnsi="EC Square Sans Pro"/>
          <w:noProof/>
        </w:rPr>
      </w:pPr>
      <w:bookmarkStart w:id="28" w:name="_Toc229386261"/>
      <w:r w:rsidRPr="005F4295">
        <w:rPr>
          <w:rFonts w:ascii="EC Square Sans Pro" w:hAnsi="EC Square Sans Pro"/>
          <w:noProof/>
        </w:rPr>
        <w:t>5.1.2.</w:t>
      </w:r>
      <w:r w:rsidRPr="005F4295">
        <w:rPr>
          <w:rFonts w:ascii="EC Square Sans Pro" w:hAnsi="EC Square Sans Pro"/>
          <w:noProof/>
        </w:rPr>
        <w:tab/>
        <w:t>Corrective measures</w:t>
      </w:r>
      <w:bookmarkEnd w:id="28"/>
    </w:p>
    <w:p w14:paraId="14D6260A" w14:textId="3FDDD33A" w:rsidR="00EB70E0" w:rsidRPr="005F4295" w:rsidRDefault="00EB70E0" w:rsidP="00EB70E0">
      <w:pPr>
        <w:rPr>
          <w:noProof/>
        </w:rPr>
      </w:pPr>
      <w:r w:rsidRPr="005F4295">
        <w:rPr>
          <w:rStyle w:val="Bold"/>
        </w:rPr>
        <w:t>Corrective measures take place after the Commission has made the payment or accepted the expenditure.</w:t>
      </w:r>
      <w:r w:rsidRPr="005F4295">
        <w:rPr>
          <w:noProof/>
        </w:rPr>
        <w:t xml:space="preserve"> </w:t>
      </w:r>
      <w:r w:rsidR="00827E45" w:rsidRPr="005F4295">
        <w:rPr>
          <w:rStyle w:val="Bold"/>
        </w:rPr>
        <w:t>T</w:t>
      </w:r>
      <w:r w:rsidRPr="005F4295">
        <w:rPr>
          <w:rStyle w:val="Bold"/>
        </w:rPr>
        <w:t xml:space="preserve">hey result from </w:t>
      </w:r>
      <w:r w:rsidRPr="005F4295">
        <w:rPr>
          <w:rStyle w:val="BoldItalic"/>
        </w:rPr>
        <w:t>ex post</w:t>
      </w:r>
      <w:r w:rsidRPr="005F4295">
        <w:rPr>
          <w:rStyle w:val="Bold"/>
        </w:rPr>
        <w:t xml:space="preserve"> controls</w:t>
      </w:r>
      <w:r w:rsidR="00827E45" w:rsidRPr="005F4295">
        <w:rPr>
          <w:rFonts w:cs="Calibri"/>
        </w:rPr>
        <w:t> </w:t>
      </w:r>
      <w:r w:rsidR="00827E45" w:rsidRPr="005F4295">
        <w:t>(</w:t>
      </w:r>
      <w:r w:rsidR="00827E45" w:rsidRPr="005F4295">
        <w:rPr>
          <w:rStyle w:val="FootnoteReference"/>
        </w:rPr>
        <w:footnoteReference w:id="3"/>
      </w:r>
      <w:r w:rsidR="00827E45" w:rsidRPr="005F4295">
        <w:t>)</w:t>
      </w:r>
      <w:r w:rsidRPr="005F4295">
        <w:rPr>
          <w:noProof/>
        </w:rPr>
        <w:t xml:space="preserve"> typically performed on-site, on a sample basis</w:t>
      </w:r>
      <w:r w:rsidR="00FB1FDE" w:rsidRPr="005F4295">
        <w:rPr>
          <w:noProof/>
        </w:rPr>
        <w:t xml:space="preserve"> that is</w:t>
      </w:r>
      <w:r w:rsidRPr="005F4295">
        <w:rPr>
          <w:noProof/>
        </w:rPr>
        <w:t xml:space="preserve"> either statistically representative or </w:t>
      </w:r>
      <w:r w:rsidR="003D7FF1" w:rsidRPr="005F4295">
        <w:rPr>
          <w:noProof/>
        </w:rPr>
        <w:t>risk</w:t>
      </w:r>
      <w:r w:rsidR="005322DB" w:rsidRPr="005F4295">
        <w:rPr>
          <w:noProof/>
        </w:rPr>
        <w:t>-</w:t>
      </w:r>
      <w:r w:rsidRPr="005F4295">
        <w:rPr>
          <w:noProof/>
        </w:rPr>
        <w:t xml:space="preserve">based. The errors found may lead to financial </w:t>
      </w:r>
      <w:r w:rsidRPr="005F4295" w:rsidDel="003338EA">
        <w:rPr>
          <w:noProof/>
        </w:rPr>
        <w:t>corrections</w:t>
      </w:r>
      <w:r w:rsidRPr="005F4295">
        <w:rPr>
          <w:rFonts w:ascii="Calibri" w:hAnsi="Calibri" w:cs="Calibri"/>
          <w:noProof/>
        </w:rPr>
        <w:t> </w:t>
      </w:r>
      <w:r w:rsidRPr="005F4295">
        <w:rPr>
          <w:noProof/>
        </w:rPr>
        <w:t>(</w:t>
      </w:r>
      <w:r w:rsidRPr="005F4295">
        <w:rPr>
          <w:rStyle w:val="FootnoteReference"/>
        </w:rPr>
        <w:footnoteReference w:id="4"/>
      </w:r>
      <w:r w:rsidRPr="005F4295">
        <w:rPr>
          <w:noProof/>
        </w:rPr>
        <w:t>) implemented by the Commission during the same or subsequent years, by way of recoveries or offsetting from final recipients under direct and indirect management, or from the Member States under shared management.</w:t>
      </w:r>
    </w:p>
    <w:p w14:paraId="767DFA36" w14:textId="7BC6C56F" w:rsidR="00EB70E0" w:rsidRPr="005F4295" w:rsidRDefault="00EB70E0" w:rsidP="00EB70E0">
      <w:pPr>
        <w:rPr>
          <w:noProof/>
        </w:rPr>
      </w:pPr>
      <w:r w:rsidRPr="005F4295">
        <w:rPr>
          <w:noProof/>
        </w:rPr>
        <w:t>In shared management, the Commission also performs system audits of Member States’ systems</w:t>
      </w:r>
      <w:r w:rsidR="004D4CF8" w:rsidRPr="005F4295">
        <w:rPr>
          <w:noProof/>
        </w:rPr>
        <w:t>, including</w:t>
      </w:r>
      <w:r w:rsidRPr="005F4295">
        <w:rPr>
          <w:noProof/>
        </w:rPr>
        <w:t xml:space="preserve"> the work of their audit bodies. Deficiencies identified in the systems put in place at the national level will lead to net financial corrections. This will also be the case </w:t>
      </w:r>
      <w:r w:rsidR="00D826EC" w:rsidRPr="005F4295">
        <w:rPr>
          <w:noProof/>
        </w:rPr>
        <w:t xml:space="preserve">under </w:t>
      </w:r>
      <w:r w:rsidRPr="005F4295">
        <w:rPr>
          <w:noProof/>
        </w:rPr>
        <w:t xml:space="preserve">the new </w:t>
      </w:r>
      <w:r w:rsidR="00D826EC" w:rsidRPr="005F4295">
        <w:rPr>
          <w:noProof/>
        </w:rPr>
        <w:t xml:space="preserve">delivery model for the </w:t>
      </w:r>
      <w:r w:rsidRPr="005F4295">
        <w:rPr>
          <w:noProof/>
        </w:rPr>
        <w:t xml:space="preserve">common agricultural policy </w:t>
      </w:r>
      <w:r w:rsidR="00D826EC" w:rsidRPr="005F4295">
        <w:rPr>
          <w:noProof/>
        </w:rPr>
        <w:t>2023-2027</w:t>
      </w:r>
      <w:r w:rsidRPr="005F4295">
        <w:rPr>
          <w:noProof/>
        </w:rPr>
        <w:t xml:space="preserve"> (see Section</w:t>
      </w:r>
      <w:r w:rsidRPr="005F4295">
        <w:rPr>
          <w:rFonts w:ascii="Calibri" w:hAnsi="Calibri" w:cs="Calibri"/>
          <w:noProof/>
        </w:rPr>
        <w:t> </w:t>
      </w:r>
      <w:r w:rsidRPr="005F4295">
        <w:rPr>
          <w:noProof/>
        </w:rPr>
        <w:t>5.4).</w:t>
      </w:r>
    </w:p>
    <w:p w14:paraId="59F4ECBE" w14:textId="77777777" w:rsidR="00EB70E0" w:rsidRPr="005F4295" w:rsidRDefault="00EB70E0" w:rsidP="00EB70E0">
      <w:pPr>
        <w:rPr>
          <w:noProof/>
        </w:rPr>
      </w:pPr>
      <w:r w:rsidRPr="005F4295">
        <w:rPr>
          <w:noProof/>
        </w:rPr>
        <w:t>The Commission improves its processes and internal control systems on a continual basis by addressing detected weaknesses. For shared and indirect management, the Member States and implementing partners are mainly responsible for improving their management and control systems. The root causes of errors are taken into account when preparing future (simplified) legislation and when (re)designing controls to further reduce the level of error in the next generation of funding programmes.</w:t>
      </w:r>
    </w:p>
    <w:p w14:paraId="242B0A12" w14:textId="301004B4" w:rsidR="00EB70E0" w:rsidRPr="005F4295" w:rsidRDefault="00EB70E0" w:rsidP="00EB70E0">
      <w:pPr>
        <w:rPr>
          <w:noProof/>
        </w:rPr>
      </w:pPr>
      <w:r w:rsidRPr="005F4295">
        <w:rPr>
          <w:noProof/>
        </w:rPr>
        <w:t xml:space="preserve">The </w:t>
      </w:r>
      <w:r w:rsidRPr="005F4295">
        <w:rPr>
          <w:rStyle w:val="Bold"/>
          <w:noProof/>
        </w:rPr>
        <w:t xml:space="preserve">quantification </w:t>
      </w:r>
      <w:r w:rsidRPr="005F4295">
        <w:rPr>
          <w:noProof/>
        </w:rPr>
        <w:t xml:space="preserve">of the preventive and corrective measures implemented as a result of Member States’ and EU controls during the </w:t>
      </w:r>
      <w:r w:rsidR="00F14104" w:rsidRPr="005F4295">
        <w:rPr>
          <w:noProof/>
        </w:rPr>
        <w:t xml:space="preserve">2025 </w:t>
      </w:r>
      <w:r w:rsidRPr="005F4295">
        <w:rPr>
          <w:noProof/>
        </w:rPr>
        <w:t>reporting year is presented in Section</w:t>
      </w:r>
      <w:r w:rsidRPr="005F4295">
        <w:rPr>
          <w:rFonts w:ascii="Calibri" w:hAnsi="Calibri" w:cs="Calibri"/>
          <w:noProof/>
        </w:rPr>
        <w:t> </w:t>
      </w:r>
      <w:r w:rsidRPr="005F4295">
        <w:rPr>
          <w:noProof/>
        </w:rPr>
        <w:t>5.4 of this annex.</w:t>
      </w:r>
    </w:p>
    <w:p w14:paraId="222E0E3C" w14:textId="77777777" w:rsidR="00EB70E0" w:rsidRPr="005F4295" w:rsidRDefault="00EB70E0" w:rsidP="00EB70E0">
      <w:pPr>
        <w:pStyle w:val="HeadingMan-NumT-AnnexesL3-111"/>
        <w:rPr>
          <w:rFonts w:ascii="EC Square Sans Pro" w:hAnsi="EC Square Sans Pro"/>
          <w:noProof/>
        </w:rPr>
      </w:pPr>
      <w:bookmarkStart w:id="29" w:name="_Toc229386262"/>
      <w:r w:rsidRPr="005F4295">
        <w:rPr>
          <w:rFonts w:ascii="EC Square Sans Pro" w:hAnsi="EC Square Sans Pro"/>
          <w:noProof/>
        </w:rPr>
        <w:t>5.1.3.</w:t>
      </w:r>
      <w:r w:rsidRPr="005F4295">
        <w:rPr>
          <w:rFonts w:ascii="EC Square Sans Pro" w:hAnsi="EC Square Sans Pro"/>
          <w:noProof/>
        </w:rPr>
        <w:tab/>
        <w:t>Concepts used for compliance</w:t>
      </w:r>
      <w:r w:rsidRPr="005F4295">
        <w:rPr>
          <w:rFonts w:ascii="Calibri" w:hAnsi="Calibri" w:cs="Calibri"/>
          <w:noProof/>
        </w:rPr>
        <w:t> </w:t>
      </w:r>
      <w:r w:rsidRPr="005F4295">
        <w:rPr>
          <w:rFonts w:ascii="EC Square Sans Pro" w:hAnsi="EC Square Sans Pro"/>
          <w:noProof/>
        </w:rPr>
        <w:t>/ cost-based assurance model</w:t>
      </w:r>
      <w:bookmarkEnd w:id="29"/>
    </w:p>
    <w:p w14:paraId="5BE4E864" w14:textId="77777777" w:rsidR="00EB70E0" w:rsidRPr="005F4295" w:rsidRDefault="00EB70E0" w:rsidP="00EB70E0">
      <w:pPr>
        <w:pStyle w:val="Heading4"/>
        <w:rPr>
          <w:rFonts w:ascii="EC Square Sans Pro" w:hAnsi="EC Square Sans Pro"/>
          <w:noProof/>
        </w:rPr>
      </w:pPr>
      <w:r w:rsidRPr="005F4295">
        <w:rPr>
          <w:rFonts w:ascii="EC Square Sans Pro" w:hAnsi="EC Square Sans Pro"/>
          <w:noProof/>
        </w:rPr>
        <w:t>Risk at payment</w:t>
      </w:r>
    </w:p>
    <w:p w14:paraId="7F6A2F62" w14:textId="365C98A5" w:rsidR="00637308" w:rsidRPr="005F4295" w:rsidRDefault="00EB70E0" w:rsidP="00EB70E0">
      <w:pPr>
        <w:rPr>
          <w:noProof/>
        </w:rPr>
      </w:pPr>
      <w:r w:rsidRPr="005F4295">
        <w:rPr>
          <w:rStyle w:val="Bold"/>
        </w:rPr>
        <w:t>The risk at payment quantifies the errors that remain after applying preventive controls and processing payments </w:t>
      </w:r>
      <w:r w:rsidRPr="005F4295">
        <w:t>(</w:t>
      </w:r>
      <w:r w:rsidRPr="005F4295">
        <w:rPr>
          <w:rStyle w:val="FootnoteReference"/>
        </w:rPr>
        <w:footnoteReference w:id="5"/>
      </w:r>
      <w:r w:rsidRPr="005F4295">
        <w:t>)</w:t>
      </w:r>
      <w:r w:rsidRPr="005F4295">
        <w:rPr>
          <w:rStyle w:val="Bold"/>
        </w:rPr>
        <w:t xml:space="preserve"> but before applying corrective measures.</w:t>
      </w:r>
      <w:r w:rsidRPr="005F4295">
        <w:rPr>
          <w:noProof/>
        </w:rPr>
        <w:t xml:space="preserve"> These errors are typically detected by Commission departments through </w:t>
      </w:r>
      <w:r w:rsidRPr="005F4295">
        <w:rPr>
          <w:rStyle w:val="Italic"/>
        </w:rPr>
        <w:t>ex post</w:t>
      </w:r>
      <w:r w:rsidRPr="005F4295">
        <w:rPr>
          <w:noProof/>
        </w:rPr>
        <w:t xml:space="preserve"> audits and </w:t>
      </w:r>
      <w:r w:rsidR="004C6596" w:rsidRPr="005F4295">
        <w:rPr>
          <w:noProof/>
        </w:rPr>
        <w:t xml:space="preserve">through </w:t>
      </w:r>
      <w:r w:rsidR="00442177" w:rsidRPr="005F4295">
        <w:rPr>
          <w:noProof/>
        </w:rPr>
        <w:t xml:space="preserve">the </w:t>
      </w:r>
      <w:r w:rsidRPr="005F4295">
        <w:rPr>
          <w:noProof/>
        </w:rPr>
        <w:t xml:space="preserve">assessments of the results of audits carried out by Member State </w:t>
      </w:r>
      <w:r w:rsidR="00442177" w:rsidRPr="005F4295">
        <w:rPr>
          <w:noProof/>
        </w:rPr>
        <w:t>in</w:t>
      </w:r>
      <w:r w:rsidRPr="005F4295">
        <w:rPr>
          <w:noProof/>
        </w:rPr>
        <w:t xml:space="preserve"> shared management.</w:t>
      </w:r>
      <w:r w:rsidRPr="005F4295" w:rsidDel="00B62ED5">
        <w:rPr>
          <w:noProof/>
        </w:rPr>
        <w:t xml:space="preserve"> </w:t>
      </w:r>
      <w:r w:rsidRPr="005F4295">
        <w:rPr>
          <w:noProof/>
        </w:rPr>
        <w:t>Measurement at this stage enables the Commission to correct the errors, to take additional preventive measures (e.g. additional guidance for Member States, entrusted entities or beneficiaries</w:t>
      </w:r>
      <w:r w:rsidRPr="005F4295" w:rsidDel="00BF01AE">
        <w:rPr>
          <w:noProof/>
        </w:rPr>
        <w:t xml:space="preserve">) </w:t>
      </w:r>
      <w:r w:rsidRPr="005F4295">
        <w:rPr>
          <w:noProof/>
        </w:rPr>
        <w:t xml:space="preserve">and to assess the effectiveness of the </w:t>
      </w:r>
      <w:r w:rsidRPr="005F4295">
        <w:rPr>
          <w:rStyle w:val="Italic"/>
        </w:rPr>
        <w:t>ex ante</w:t>
      </w:r>
      <w:r w:rsidRPr="005F4295">
        <w:rPr>
          <w:noProof/>
        </w:rPr>
        <w:t xml:space="preserve"> controls and adapt them, if necessary. </w:t>
      </w:r>
    </w:p>
    <w:p w14:paraId="77B420F0" w14:textId="30A7F63C" w:rsidR="00EB70E0" w:rsidRPr="005F4295" w:rsidRDefault="00EB70E0" w:rsidP="00EB70E0">
      <w:pPr>
        <w:rPr>
          <w:noProof/>
        </w:rPr>
      </w:pPr>
      <w:r w:rsidRPr="005F4295">
        <w:t>For segments of expenditure that are performance-based</w:t>
      </w:r>
      <w:r w:rsidR="00C625A6" w:rsidRPr="005F4295">
        <w:rPr>
          <w:rFonts w:ascii="Calibri" w:hAnsi="Calibri" w:cs="Calibri"/>
        </w:rPr>
        <w:t> </w:t>
      </w:r>
      <w:r w:rsidR="00C625A6" w:rsidRPr="005F4295">
        <w:t>–</w:t>
      </w:r>
      <w:r w:rsidR="00064847" w:rsidRPr="005F4295">
        <w:t xml:space="preserve"> </w:t>
      </w:r>
      <w:r w:rsidR="00C52C23" w:rsidRPr="005F4295">
        <w:t xml:space="preserve">expenditure under the new delivery model </w:t>
      </w:r>
      <w:r w:rsidR="007B2D24" w:rsidRPr="005F4295">
        <w:t>for</w:t>
      </w:r>
      <w:r w:rsidRPr="005F4295">
        <w:t xml:space="preserve"> the common agricultural policy</w:t>
      </w:r>
      <w:r w:rsidR="007B2D24" w:rsidRPr="005F4295">
        <w:t xml:space="preserve"> and the </w:t>
      </w:r>
      <w:r w:rsidR="002D7144" w:rsidRPr="005F4295">
        <w:t>three</w:t>
      </w:r>
      <w:r w:rsidR="00B24388" w:rsidRPr="005F4295">
        <w:t xml:space="preserve"> </w:t>
      </w:r>
      <w:r w:rsidR="00846536" w:rsidRPr="005F4295">
        <w:t>F</w:t>
      </w:r>
      <w:r w:rsidR="00B24388" w:rsidRPr="005F4295">
        <w:t>acilit</w:t>
      </w:r>
      <w:r w:rsidR="002D7144" w:rsidRPr="005F4295">
        <w:t>ies in the external actions area</w:t>
      </w:r>
      <w:r w:rsidR="00C625A6" w:rsidRPr="005F4295">
        <w:rPr>
          <w:rFonts w:ascii="Calibri" w:hAnsi="Calibri" w:cs="Calibri"/>
        </w:rPr>
        <w:t> –</w:t>
      </w:r>
      <w:r w:rsidR="00305A90" w:rsidRPr="005F4295" w:rsidDel="00C625A6">
        <w:t xml:space="preserve"> </w:t>
      </w:r>
      <w:r w:rsidRPr="005F4295">
        <w:rPr>
          <w:noProof/>
        </w:rPr>
        <w:t>the detected error rate</w:t>
      </w:r>
      <w:r w:rsidRPr="005F4295">
        <w:rPr>
          <w:rFonts w:ascii="Calibri" w:hAnsi="Calibri" w:cs="Calibri"/>
          <w:noProof/>
        </w:rPr>
        <w:t> </w:t>
      </w:r>
      <w:r w:rsidRPr="005F4295">
        <w:rPr>
          <w:noProof/>
        </w:rPr>
        <w:t xml:space="preserve">/ risk at payment is replaced by </w:t>
      </w:r>
      <w:r w:rsidR="00AF0C33" w:rsidRPr="005F4295">
        <w:rPr>
          <w:noProof/>
        </w:rPr>
        <w:t>the share of low risk expenditure</w:t>
      </w:r>
      <w:r w:rsidR="006B368B" w:rsidRPr="005F4295">
        <w:rPr>
          <w:noProof/>
        </w:rPr>
        <w:t>, based on a qualitative assessment.</w:t>
      </w:r>
    </w:p>
    <w:p w14:paraId="54608482" w14:textId="4319A34F" w:rsidR="00EB70E0" w:rsidRPr="005F4295" w:rsidRDefault="00EB70E0" w:rsidP="00EB70E0">
      <w:pPr>
        <w:rPr>
          <w:noProof/>
        </w:rPr>
      </w:pPr>
      <w:r w:rsidRPr="005F4295">
        <w:rPr>
          <w:noProof/>
        </w:rPr>
        <w:t>Each Commission department</w:t>
      </w:r>
      <w:r w:rsidR="00720033" w:rsidRPr="005F4295">
        <w:rPr>
          <w:noProof/>
        </w:rPr>
        <w:t xml:space="preserve"> </w:t>
      </w:r>
      <w:r w:rsidRPr="005F4295">
        <w:rPr>
          <w:noProof/>
        </w:rPr>
        <w:t xml:space="preserve">estimates its </w:t>
      </w:r>
      <w:r w:rsidRPr="005F4295">
        <w:rPr>
          <w:rStyle w:val="Bold"/>
          <w:noProof/>
        </w:rPr>
        <w:t>detected error rates</w:t>
      </w:r>
      <w:r w:rsidRPr="005F4295">
        <w:rPr>
          <w:noProof/>
        </w:rPr>
        <w:t xml:space="preserve"> per programme or other payment segment</w:t>
      </w:r>
      <w:r w:rsidR="00D800EC" w:rsidRPr="005F4295">
        <w:rPr>
          <w:noProof/>
        </w:rPr>
        <w:t xml:space="preserve"> of expenditure, except for the performance-based expenditure</w:t>
      </w:r>
      <w:r w:rsidRPr="005F4295">
        <w:rPr>
          <w:noProof/>
        </w:rPr>
        <w:t>. Some departments may use different terminology in their annual activity reports to reflect the specificity of their internal control system</w:t>
      </w:r>
      <w:r w:rsidRPr="005F4295">
        <w:rPr>
          <w:rFonts w:ascii="Calibri" w:hAnsi="Calibri" w:cs="Calibri"/>
          <w:noProof/>
        </w:rPr>
        <w:t> </w:t>
      </w:r>
      <w:r w:rsidRPr="005F4295">
        <w:rPr>
          <w:noProof/>
        </w:rPr>
        <w:t>(</w:t>
      </w:r>
      <w:r w:rsidRPr="005F4295">
        <w:rPr>
          <w:rStyle w:val="FootnoteReference"/>
        </w:rPr>
        <w:footnoteReference w:id="6"/>
      </w:r>
      <w:r w:rsidRPr="005F4295">
        <w:rPr>
          <w:noProof/>
        </w:rPr>
        <w:t>). Nevertheless, the departments use a consistent methodology to assess the risk of error in their financial operations, based on an institutional framework.</w:t>
      </w:r>
    </w:p>
    <w:p w14:paraId="15C849AB" w14:textId="77777777" w:rsidR="00EB70E0" w:rsidRPr="005F4295" w:rsidRDefault="00EB70E0" w:rsidP="00EB70E0">
      <w:pPr>
        <w:rPr>
          <w:noProof/>
        </w:rPr>
      </w:pPr>
      <w:r w:rsidRPr="005F4295">
        <w:rPr>
          <w:noProof/>
        </w:rPr>
        <w:t>For low-risk expenditure, where there are indications that the error rate might be close to zero (e.g. administrative expenditure or operating subsidies for agencies), some Commission departments use a conservative error rate of 0.5%.</w:t>
      </w:r>
    </w:p>
    <w:p w14:paraId="3FBEE1D0" w14:textId="499AE9DC" w:rsidR="00EB70E0" w:rsidRPr="005F4295" w:rsidRDefault="00EB70E0" w:rsidP="00EB70E0">
      <w:pPr>
        <w:rPr>
          <w:noProof/>
        </w:rPr>
      </w:pPr>
      <w:r w:rsidRPr="005F4295">
        <w:rPr>
          <w:noProof/>
        </w:rPr>
        <w:t>The Commission calculates the actual financial impact of the errors on the EU budget. This is obtained by aggregating the financial impact of errors determined per programme or segment of expenditure at the level of the department</w:t>
      </w:r>
      <w:r w:rsidR="003C18B2" w:rsidRPr="005F4295">
        <w:rPr>
          <w:noProof/>
        </w:rPr>
        <w:t xml:space="preserve"> </w:t>
      </w:r>
      <w:r w:rsidR="00496B5C" w:rsidRPr="005F4295">
        <w:rPr>
          <w:noProof/>
        </w:rPr>
        <w:t>and</w:t>
      </w:r>
      <w:r w:rsidRPr="005F4295">
        <w:rPr>
          <w:noProof/>
        </w:rPr>
        <w:t xml:space="preserve"> the </w:t>
      </w:r>
      <w:r w:rsidR="00E835F0" w:rsidRPr="005F4295">
        <w:rPr>
          <w:noProof/>
        </w:rPr>
        <w:t>heading</w:t>
      </w:r>
      <w:r w:rsidR="006D1220" w:rsidRPr="005F4295">
        <w:rPr>
          <w:noProof/>
        </w:rPr>
        <w:t xml:space="preserve"> (except for those that </w:t>
      </w:r>
      <w:r w:rsidR="00A621E9" w:rsidRPr="005F4295">
        <w:rPr>
          <w:noProof/>
        </w:rPr>
        <w:t xml:space="preserve">also </w:t>
      </w:r>
      <w:r w:rsidR="006D1220" w:rsidRPr="005F4295">
        <w:rPr>
          <w:noProof/>
        </w:rPr>
        <w:t>have performance-based expenditure</w:t>
      </w:r>
      <w:r w:rsidR="0030639D" w:rsidRPr="005F4295">
        <w:rPr>
          <w:noProof/>
        </w:rPr>
        <w:t>)</w:t>
      </w:r>
      <w:r w:rsidRPr="005F4295">
        <w:rPr>
          <w:noProof/>
        </w:rPr>
        <w:t>. This results in the overall risk at payment as a value, which is the sum of all the amounts of risk at payment, and as a percentage, which is the overall weighted average of the risk at payment.</w:t>
      </w:r>
    </w:p>
    <w:p w14:paraId="18E9C759" w14:textId="77777777" w:rsidR="00EB70E0" w:rsidRPr="005F4295" w:rsidRDefault="00EB70E0" w:rsidP="00EB70E0">
      <w:pPr>
        <w:pStyle w:val="Heading4"/>
        <w:rPr>
          <w:rFonts w:ascii="EC Square Sans Pro" w:hAnsi="EC Square Sans Pro"/>
          <w:noProof/>
        </w:rPr>
      </w:pPr>
      <w:r w:rsidRPr="005F4295">
        <w:rPr>
          <w:rFonts w:ascii="EC Square Sans Pro" w:hAnsi="EC Square Sans Pro"/>
          <w:noProof/>
        </w:rPr>
        <w:t>Estimated future corrections</w:t>
      </w:r>
    </w:p>
    <w:p w14:paraId="5B91728E" w14:textId="59F58444" w:rsidR="00EB70E0" w:rsidRPr="005F4295" w:rsidRDefault="00EB70E0" w:rsidP="00EB70E0">
      <w:pPr>
        <w:rPr>
          <w:noProof/>
        </w:rPr>
      </w:pPr>
      <w:r w:rsidRPr="005F4295">
        <w:rPr>
          <w:noProof/>
        </w:rPr>
        <w:t xml:space="preserve">A detected error is corrected either via a recovery or by offsetting against future payments. As both detection and remedy may not be immediate, corrections resulting from </w:t>
      </w:r>
      <w:r w:rsidRPr="005F4295">
        <w:rPr>
          <w:rStyle w:val="Italic"/>
        </w:rPr>
        <w:t>ex post</w:t>
      </w:r>
      <w:r w:rsidRPr="005F4295">
        <w:rPr>
          <w:noProof/>
        </w:rPr>
        <w:t xml:space="preserve"> controls rarely take place within the same financial year as the payment. As a result, the risk at payment may provide an incomplete picture, as errors can still be corrected during subsequent years, up to the closure of the programme.</w:t>
      </w:r>
    </w:p>
    <w:p w14:paraId="75E48787" w14:textId="570A86CB" w:rsidR="00EB70E0" w:rsidRPr="005F4295" w:rsidRDefault="00EB70E0" w:rsidP="00EB70E0">
      <w:pPr>
        <w:rPr>
          <w:noProof/>
        </w:rPr>
      </w:pPr>
      <w:r w:rsidRPr="005F4295">
        <w:rPr>
          <w:noProof/>
        </w:rPr>
        <w:t xml:space="preserve">Therefore, </w:t>
      </w:r>
      <w:r w:rsidR="00CE5DCF" w:rsidRPr="005F4295">
        <w:rPr>
          <w:noProof/>
        </w:rPr>
        <w:t>for cost based expenditure, t</w:t>
      </w:r>
      <w:r w:rsidR="00070F38" w:rsidRPr="005F4295">
        <w:rPr>
          <w:noProof/>
        </w:rPr>
        <w:t xml:space="preserve">he </w:t>
      </w:r>
      <w:r w:rsidRPr="005F4295">
        <w:rPr>
          <w:noProof/>
        </w:rPr>
        <w:t xml:space="preserve">Commission </w:t>
      </w:r>
      <w:r w:rsidR="00070F38" w:rsidRPr="005F4295">
        <w:rPr>
          <w:noProof/>
        </w:rPr>
        <w:t xml:space="preserve">makes an </w:t>
      </w:r>
      <w:r w:rsidRPr="005F4295">
        <w:rPr>
          <w:noProof/>
        </w:rPr>
        <w:t xml:space="preserve">estimate </w:t>
      </w:r>
      <w:r w:rsidR="00070F38" w:rsidRPr="005F4295">
        <w:rPr>
          <w:noProof/>
        </w:rPr>
        <w:t>of</w:t>
      </w:r>
      <w:r w:rsidRPr="005F4295">
        <w:rPr>
          <w:noProof/>
        </w:rPr>
        <w:t xml:space="preserve"> the percentage of future corrections that could still be implemented until the closure of the programme. These are conservative and forward-looking estimates. They are based on the average of corrections implemented during the last seven</w:t>
      </w:r>
      <w:r w:rsidR="00A621E9" w:rsidRPr="005F4295">
        <w:rPr>
          <w:noProof/>
        </w:rPr>
        <w:t xml:space="preserve"> </w:t>
      </w:r>
      <w:r w:rsidRPr="005F4295">
        <w:rPr>
          <w:noProof/>
        </w:rPr>
        <w:t>years, adjusted to exclude exceptional recoveries, taking into account the incidence of the implementation of new programmes (</w:t>
      </w:r>
      <w:r w:rsidR="00B0049D" w:rsidRPr="005F4295">
        <w:rPr>
          <w:noProof/>
        </w:rPr>
        <w:t xml:space="preserve">e.g. </w:t>
      </w:r>
      <w:r w:rsidRPr="005F4295">
        <w:rPr>
          <w:noProof/>
        </w:rPr>
        <w:t>simpler rules leading to fewer corrections) and possible trends (decrease or increase in the last few years).</w:t>
      </w:r>
    </w:p>
    <w:p w14:paraId="5B302CFE" w14:textId="3ADFFF38" w:rsidR="00EB70E0" w:rsidRPr="005F4295" w:rsidRDefault="00EB70E0" w:rsidP="00EB70E0">
      <w:pPr>
        <w:rPr>
          <w:noProof/>
        </w:rPr>
      </w:pPr>
      <w:r w:rsidRPr="005F4295">
        <w:rPr>
          <w:noProof/>
        </w:rPr>
        <w:t>For programmes with no set closure point (e.g. the European Agricultural Guarantee Fund) and for some multiannual programmes for which corrections are still possible after the end of the programmes (e.g. the European structural and investment funds, including the European Agricultural Fund for Rural Development), all possible corrections are considered for this estimate.</w:t>
      </w:r>
    </w:p>
    <w:p w14:paraId="623AFC4A" w14:textId="00134796" w:rsidR="00EB70E0" w:rsidRPr="005F4295" w:rsidRDefault="00EB70E0" w:rsidP="00EB70E0">
      <w:pPr>
        <w:rPr>
          <w:noProof/>
        </w:rPr>
      </w:pPr>
      <w:r w:rsidRPr="005F4295">
        <w:rPr>
          <w:noProof/>
        </w:rPr>
        <w:t>The future corrections can never be fully equal to the risk at payment,</w:t>
      </w:r>
      <w:r w:rsidRPr="005F4295" w:rsidDel="009540F8">
        <w:rPr>
          <w:noProof/>
        </w:rPr>
        <w:t xml:space="preserve"> </w:t>
      </w:r>
      <w:r w:rsidRPr="005F4295">
        <w:rPr>
          <w:noProof/>
        </w:rPr>
        <w:t>because some errors, although deserving of attention, do not always result from undue payments</w:t>
      </w:r>
      <w:r w:rsidR="00A621E9" w:rsidRPr="005F4295">
        <w:rPr>
          <w:noProof/>
        </w:rPr>
        <w:t>,</w:t>
      </w:r>
      <w:r w:rsidRPr="005F4295">
        <w:rPr>
          <w:noProof/>
        </w:rPr>
        <w:t xml:space="preserve"> and therefore do not always give rise to financial corrections or recovery orders: when the risk at payment is based on a statistical estimation, it cannot lead to corrections (no flat-rate correction may be applied to all beneficiaries, only a correction </w:t>
      </w:r>
      <w:r w:rsidR="007F7053" w:rsidRPr="005F4295">
        <w:rPr>
          <w:noProof/>
        </w:rPr>
        <w:t xml:space="preserve">to the beneficiary of funds </w:t>
      </w:r>
      <w:r w:rsidRPr="005F4295">
        <w:rPr>
          <w:noProof/>
        </w:rPr>
        <w:t xml:space="preserve">where an error has been found). </w:t>
      </w:r>
      <w:r w:rsidR="00FB4653" w:rsidRPr="005F4295">
        <w:rPr>
          <w:noProof/>
        </w:rPr>
        <w:t>F</w:t>
      </w:r>
      <w:r w:rsidRPr="005F4295">
        <w:rPr>
          <w:noProof/>
        </w:rPr>
        <w:t>or the cohesion policy funds, only programmes with residual total error rates above 2% are subject to corrections to reach at least the 2% threshold, and not all the cases used to determine the upper value of the range of the risk at payment (i.e. the worst-case scenario</w:t>
      </w:r>
      <w:r w:rsidR="00CD0142" w:rsidRPr="005F4295">
        <w:rPr>
          <w:noProof/>
        </w:rPr>
        <w:t>, see section</w:t>
      </w:r>
      <w:r w:rsidR="00601188" w:rsidRPr="005F4295">
        <w:rPr>
          <w:rFonts w:ascii="Calibri" w:hAnsi="Calibri" w:cs="Calibri"/>
          <w:noProof/>
        </w:rPr>
        <w:t> </w:t>
      </w:r>
      <w:r w:rsidR="00CD0142" w:rsidRPr="005F4295">
        <w:rPr>
          <w:noProof/>
        </w:rPr>
        <w:t>5.</w:t>
      </w:r>
      <w:r w:rsidR="00601188" w:rsidRPr="005F4295">
        <w:rPr>
          <w:noProof/>
        </w:rPr>
        <w:t>3 Table</w:t>
      </w:r>
      <w:r w:rsidR="00601188" w:rsidRPr="005F4295">
        <w:rPr>
          <w:rFonts w:ascii="Calibri" w:hAnsi="Calibri" w:cs="Calibri"/>
          <w:noProof/>
        </w:rPr>
        <w:t> </w:t>
      </w:r>
      <w:r w:rsidR="00601188" w:rsidRPr="005F4295">
        <w:rPr>
          <w:noProof/>
        </w:rPr>
        <w:t>B</w:t>
      </w:r>
      <w:r w:rsidRPr="005F4295">
        <w:rPr>
          <w:noProof/>
        </w:rPr>
        <w:t>) materialise after the contradictory procedure of the audit/control is finalised.</w:t>
      </w:r>
    </w:p>
    <w:p w14:paraId="0BED91EE" w14:textId="62491738" w:rsidR="00EB70E0" w:rsidRPr="005F4295" w:rsidRDefault="00EB70E0" w:rsidP="00EB70E0">
      <w:pPr>
        <w:rPr>
          <w:noProof/>
        </w:rPr>
      </w:pPr>
      <w:r w:rsidRPr="005F4295">
        <w:rPr>
          <w:noProof/>
        </w:rPr>
        <w:t xml:space="preserve">Estimated future corrections must not be confused with the actual corrective measures implemented during </w:t>
      </w:r>
      <w:r w:rsidR="00AF3DC1" w:rsidRPr="005F4295">
        <w:rPr>
          <w:noProof/>
        </w:rPr>
        <w:t xml:space="preserve">2025 </w:t>
      </w:r>
      <w:r w:rsidRPr="005F4295">
        <w:rPr>
          <w:noProof/>
        </w:rPr>
        <w:t>(detailed in Section</w:t>
      </w:r>
      <w:r w:rsidRPr="005F4295">
        <w:rPr>
          <w:rFonts w:ascii="Calibri" w:hAnsi="Calibri" w:cs="Calibri"/>
          <w:noProof/>
        </w:rPr>
        <w:t> </w:t>
      </w:r>
      <w:r w:rsidRPr="005F4295">
        <w:rPr>
          <w:noProof/>
        </w:rPr>
        <w:t xml:space="preserve">5.4). The estimated future corrections relate to the corrections that will happen in the future until the closure, whereas the corrections implemented correspond to the recovery orders, withdrawals by Member States and net financial corrections implemented in </w:t>
      </w:r>
      <w:r w:rsidR="00AF3DC1" w:rsidRPr="005F4295">
        <w:rPr>
          <w:noProof/>
        </w:rPr>
        <w:t>2025</w:t>
      </w:r>
      <w:r w:rsidRPr="005F4295">
        <w:rPr>
          <w:noProof/>
        </w:rPr>
        <w:t>.</w:t>
      </w:r>
      <w:r w:rsidR="00FD513F" w:rsidRPr="005F4295">
        <w:rPr>
          <w:noProof/>
        </w:rPr>
        <w:t xml:space="preserve"> In addition, for some programmes</w:t>
      </w:r>
      <w:r w:rsidR="00FE3FDC" w:rsidRPr="005F4295">
        <w:rPr>
          <w:noProof/>
        </w:rPr>
        <w:t xml:space="preserve"> (e.g. </w:t>
      </w:r>
      <w:r w:rsidR="0089507B" w:rsidRPr="005F4295">
        <w:rPr>
          <w:noProof/>
        </w:rPr>
        <w:t>r</w:t>
      </w:r>
      <w:r w:rsidR="00FE3FDC" w:rsidRPr="005F4295">
        <w:rPr>
          <w:noProof/>
        </w:rPr>
        <w:t xml:space="preserve">esearch and </w:t>
      </w:r>
      <w:r w:rsidR="00FB6C55" w:rsidRPr="005F4295">
        <w:rPr>
          <w:noProof/>
        </w:rPr>
        <w:t>i</w:t>
      </w:r>
      <w:r w:rsidR="00FE3FDC" w:rsidRPr="005F4295">
        <w:rPr>
          <w:noProof/>
        </w:rPr>
        <w:t>nnovation programmes such as Horizon 2020 or Horizon Europe)</w:t>
      </w:r>
      <w:r w:rsidR="00FD513F" w:rsidRPr="005F4295">
        <w:rPr>
          <w:noProof/>
        </w:rPr>
        <w:t xml:space="preserve">, </w:t>
      </w:r>
      <w:r w:rsidR="00D92001" w:rsidRPr="005F4295">
        <w:rPr>
          <w:noProof/>
        </w:rPr>
        <w:t>until 2024</w:t>
      </w:r>
      <w:r w:rsidR="00FD513F" w:rsidRPr="005F4295">
        <w:rPr>
          <w:noProof/>
        </w:rPr>
        <w:t xml:space="preserve"> some corrections </w:t>
      </w:r>
      <w:r w:rsidR="004279E2" w:rsidRPr="005F4295">
        <w:rPr>
          <w:noProof/>
        </w:rPr>
        <w:t xml:space="preserve">never led to recovery orders </w:t>
      </w:r>
      <w:r w:rsidR="00284C56" w:rsidRPr="005F4295">
        <w:rPr>
          <w:noProof/>
        </w:rPr>
        <w:t>but were s</w:t>
      </w:r>
      <w:r w:rsidR="00736DA7" w:rsidRPr="005F4295">
        <w:rPr>
          <w:noProof/>
        </w:rPr>
        <w:t>till</w:t>
      </w:r>
      <w:r w:rsidR="008207B6" w:rsidRPr="005F4295">
        <w:rPr>
          <w:noProof/>
        </w:rPr>
        <w:t xml:space="preserve"> </w:t>
      </w:r>
      <w:r w:rsidR="00736DA7" w:rsidRPr="005F4295">
        <w:rPr>
          <w:noProof/>
        </w:rPr>
        <w:t xml:space="preserve">treated as equivalent to </w:t>
      </w:r>
      <w:r w:rsidR="00E6432B" w:rsidRPr="005F4295">
        <w:rPr>
          <w:noProof/>
        </w:rPr>
        <w:t xml:space="preserve">recovery orders </w:t>
      </w:r>
      <w:r w:rsidR="00736DA7" w:rsidRPr="005F4295">
        <w:rPr>
          <w:noProof/>
        </w:rPr>
        <w:t xml:space="preserve">for reporting purposes, as they had the same accounting impact, </w:t>
      </w:r>
      <w:r w:rsidR="004279E2" w:rsidRPr="005F4295">
        <w:rPr>
          <w:noProof/>
        </w:rPr>
        <w:t xml:space="preserve">since </w:t>
      </w:r>
      <w:r w:rsidR="00A148C7" w:rsidRPr="005F4295">
        <w:rPr>
          <w:noProof/>
        </w:rPr>
        <w:t xml:space="preserve">they </w:t>
      </w:r>
      <w:r w:rsidR="00736DA7" w:rsidRPr="005F4295">
        <w:rPr>
          <w:noProof/>
        </w:rPr>
        <w:t>we</w:t>
      </w:r>
      <w:r w:rsidR="00A148C7" w:rsidRPr="005F4295">
        <w:rPr>
          <w:noProof/>
        </w:rPr>
        <w:t>re deducted directly from the payment request</w:t>
      </w:r>
      <w:r w:rsidR="00FE3FDC" w:rsidRPr="005F4295">
        <w:rPr>
          <w:noProof/>
        </w:rPr>
        <w:t>s</w:t>
      </w:r>
      <w:r w:rsidR="00A148C7" w:rsidRPr="005F4295">
        <w:rPr>
          <w:noProof/>
        </w:rPr>
        <w:t xml:space="preserve"> received by the Commission, based on the result of its controls</w:t>
      </w:r>
      <w:r w:rsidR="008207B6" w:rsidRPr="005F4295">
        <w:rPr>
          <w:noProof/>
        </w:rPr>
        <w:t>, and are not captured in the accounting system</w:t>
      </w:r>
      <w:r w:rsidRPr="005F4295">
        <w:rPr>
          <w:noProof/>
        </w:rPr>
        <w:t>.</w:t>
      </w:r>
      <w:r w:rsidR="00736DA7" w:rsidRPr="005F4295">
        <w:rPr>
          <w:noProof/>
        </w:rPr>
        <w:t xml:space="preserve"> With the new accounting system of the Commission, SUMMA, </w:t>
      </w:r>
      <w:r w:rsidR="00C57BF0" w:rsidRPr="005F4295">
        <w:rPr>
          <w:noProof/>
        </w:rPr>
        <w:t>it is not possible to deduct the results from audits directly from a subsequent cost claim</w:t>
      </w:r>
      <w:r w:rsidR="0071280B" w:rsidRPr="005F4295">
        <w:rPr>
          <w:noProof/>
        </w:rPr>
        <w:t>t</w:t>
      </w:r>
      <w:r w:rsidR="009C172E" w:rsidRPr="005F4295">
        <w:rPr>
          <w:noProof/>
        </w:rPr>
        <w:t xml:space="preserve">s </w:t>
      </w:r>
      <w:r w:rsidR="0071280B" w:rsidRPr="005F4295">
        <w:rPr>
          <w:noProof/>
        </w:rPr>
        <w:t xml:space="preserve">and </w:t>
      </w:r>
      <w:r w:rsidR="00662D14" w:rsidRPr="005F4295">
        <w:rPr>
          <w:noProof/>
        </w:rPr>
        <w:t xml:space="preserve">all corrections resulting form an </w:t>
      </w:r>
      <w:r w:rsidR="00662D14" w:rsidRPr="005F4295">
        <w:rPr>
          <w:rStyle w:val="Italic"/>
        </w:rPr>
        <w:t>ex post</w:t>
      </w:r>
      <w:r w:rsidR="00662D14" w:rsidRPr="005F4295">
        <w:rPr>
          <w:noProof/>
        </w:rPr>
        <w:t xml:space="preserve"> audit </w:t>
      </w:r>
      <w:r w:rsidR="00926DF6" w:rsidRPr="005F4295">
        <w:rPr>
          <w:noProof/>
        </w:rPr>
        <w:t>have</w:t>
      </w:r>
      <w:r w:rsidR="0071280B" w:rsidRPr="005F4295">
        <w:rPr>
          <w:noProof/>
        </w:rPr>
        <w:t xml:space="preserve"> to </w:t>
      </w:r>
      <w:r w:rsidR="00926DF6" w:rsidRPr="005F4295">
        <w:rPr>
          <w:noProof/>
        </w:rPr>
        <w:t>be recorded</w:t>
      </w:r>
      <w:r w:rsidR="0071280B" w:rsidRPr="005F4295">
        <w:rPr>
          <w:noProof/>
        </w:rPr>
        <w:t xml:space="preserve"> through a </w:t>
      </w:r>
      <w:r w:rsidR="00926DF6" w:rsidRPr="005F4295">
        <w:rPr>
          <w:noProof/>
        </w:rPr>
        <w:t>recovery order.</w:t>
      </w:r>
    </w:p>
    <w:p w14:paraId="34041248" w14:textId="34E7CADE" w:rsidR="00EB70E0" w:rsidRPr="005F4295" w:rsidRDefault="00EB70E0" w:rsidP="00EB70E0">
      <w:pPr>
        <w:pStyle w:val="Heading4"/>
        <w:rPr>
          <w:rFonts w:ascii="EC Square Sans Pro" w:hAnsi="EC Square Sans Pro"/>
          <w:noProof/>
        </w:rPr>
      </w:pPr>
      <w:r w:rsidRPr="005F4295">
        <w:rPr>
          <w:rFonts w:ascii="EC Square Sans Pro" w:hAnsi="EC Square Sans Pro"/>
          <w:noProof/>
        </w:rPr>
        <w:t>Risk at closure</w:t>
      </w:r>
    </w:p>
    <w:p w14:paraId="3918DC99" w14:textId="5DCE1010" w:rsidR="00EB70E0" w:rsidRPr="005F4295" w:rsidRDefault="00EB70E0" w:rsidP="00EB70E0">
      <w:pPr>
        <w:rPr>
          <w:noProof/>
        </w:rPr>
      </w:pPr>
      <w:r w:rsidRPr="005F4295">
        <w:rPr>
          <w:rStyle w:val="Bold"/>
        </w:rPr>
        <w:t xml:space="preserve">This risk is estimated at programme closure, meaning </w:t>
      </w:r>
      <w:r w:rsidR="00A535E9" w:rsidRPr="005F4295">
        <w:rPr>
          <w:rStyle w:val="Bold"/>
        </w:rPr>
        <w:t xml:space="preserve">that </w:t>
      </w:r>
      <w:r w:rsidRPr="005F4295">
        <w:rPr>
          <w:rStyle w:val="Bold"/>
        </w:rPr>
        <w:t xml:space="preserve">when all </w:t>
      </w:r>
      <w:r w:rsidRPr="005F4295">
        <w:rPr>
          <w:rStyle w:val="BoldItalic"/>
        </w:rPr>
        <w:t>ex post</w:t>
      </w:r>
      <w:r w:rsidRPr="005F4295">
        <w:rPr>
          <w:b/>
          <w:i/>
        </w:rPr>
        <w:t xml:space="preserve"> </w:t>
      </w:r>
      <w:r w:rsidRPr="005F4295">
        <w:rPr>
          <w:rStyle w:val="Bold"/>
        </w:rPr>
        <w:t>controls are completed, all corrections are applied and no further action may legally be taken</w:t>
      </w:r>
      <w:r w:rsidRPr="005F4295">
        <w:rPr>
          <w:rFonts w:ascii="Calibri" w:hAnsi="Calibri" w:cs="Calibri"/>
          <w:noProof/>
        </w:rPr>
        <w:t> </w:t>
      </w:r>
      <w:r w:rsidRPr="005F4295">
        <w:rPr>
          <w:noProof/>
        </w:rPr>
        <w:t>(</w:t>
      </w:r>
      <w:r w:rsidRPr="005F4295">
        <w:rPr>
          <w:rStyle w:val="FootnoteReference"/>
        </w:rPr>
        <w:footnoteReference w:id="7"/>
      </w:r>
      <w:r w:rsidRPr="005F4295">
        <w:rPr>
          <w:noProof/>
        </w:rPr>
        <w:t xml:space="preserve">). The risk at closure is obtained by deducting the estimated future corrections from the risk at payment, </w:t>
      </w:r>
      <w:r w:rsidR="00A535E9" w:rsidRPr="005F4295">
        <w:rPr>
          <w:noProof/>
        </w:rPr>
        <w:t xml:space="preserve">both </w:t>
      </w:r>
      <w:r w:rsidRPr="005F4295">
        <w:rPr>
          <w:noProof/>
        </w:rPr>
        <w:t>as a value and as a percentage. These amounts and percentages represent the most up-to-date estimations of the outcome expected by the closure of each programme. As such, the risk at closure is more representative of the real risk to the expenditure than the risk at payment.</w:t>
      </w:r>
      <w:r w:rsidR="004334CF" w:rsidRPr="005F4295">
        <w:rPr>
          <w:noProof/>
        </w:rPr>
        <w:t xml:space="preserve"> </w:t>
      </w:r>
      <w:r w:rsidR="004334CF" w:rsidRPr="005F4295">
        <w:rPr>
          <w:noProof/>
        </w:rPr>
        <w:drawing>
          <wp:inline distT="0" distB="0" distL="0" distR="0" wp14:anchorId="48C74097" wp14:editId="1F05CCE8">
            <wp:extent cx="5704114" cy="1819729"/>
            <wp:effectExtent l="0" t="0" r="0" b="9525"/>
            <wp:docPr id="76" name="Picture 75">
              <a:extLst xmlns:a="http://schemas.openxmlformats.org/drawingml/2006/main">
                <a:ext uri="{FF2B5EF4-FFF2-40B4-BE49-F238E27FC236}">
                  <a16:creationId xmlns:a16="http://schemas.microsoft.com/office/drawing/2014/main" id="{6BD25FCC-C189-118B-B740-33854DAD34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5">
                      <a:extLst>
                        <a:ext uri="{FF2B5EF4-FFF2-40B4-BE49-F238E27FC236}">
                          <a16:creationId xmlns:a16="http://schemas.microsoft.com/office/drawing/2014/main" id="{6BD25FCC-C189-118B-B740-33854DAD343E}"/>
                        </a:ext>
                      </a:extLst>
                    </pic:cNvPr>
                    <pic:cNvPicPr>
                      <a:picLocks noChangeAspect="1"/>
                    </pic:cNvPicPr>
                  </pic:nvPicPr>
                  <pic:blipFill>
                    <a:blip r:embed="rId46"/>
                    <a:srcRect l="8466" t="4571" r="8359" b="3062"/>
                    <a:stretch>
                      <a:fillRect/>
                    </a:stretch>
                  </pic:blipFill>
                  <pic:spPr>
                    <a:xfrm>
                      <a:off x="0" y="0"/>
                      <a:ext cx="5704114" cy="1819729"/>
                    </a:xfrm>
                    <a:prstGeom prst="rect">
                      <a:avLst/>
                    </a:prstGeom>
                  </pic:spPr>
                </pic:pic>
              </a:graphicData>
            </a:graphic>
          </wp:inline>
        </w:drawing>
      </w:r>
      <w:r w:rsidR="004334CF" w:rsidRPr="005F4295">
        <w:rPr>
          <w:noProof/>
        </w:rPr>
        <w:t xml:space="preserve"> </w:t>
      </w:r>
      <w:r w:rsidRPr="005F4295">
        <w:rPr>
          <w:noProof/>
        </w:rPr>
        <w:t>Similar to the risk at payment, the results per programme or segment are aggregated to provide</w:t>
      </w:r>
      <w:r w:rsidR="00290FFB" w:rsidRPr="005F4295">
        <w:rPr>
          <w:noProof/>
        </w:rPr>
        <w:t>,</w:t>
      </w:r>
      <w:r w:rsidRPr="005F4295">
        <w:rPr>
          <w:noProof/>
        </w:rPr>
        <w:t xml:space="preserve"> at the level of the department</w:t>
      </w:r>
      <w:r w:rsidR="00290FFB" w:rsidRPr="005F4295">
        <w:rPr>
          <w:noProof/>
        </w:rPr>
        <w:t xml:space="preserve"> and the heading</w:t>
      </w:r>
      <w:r w:rsidR="00D521A8" w:rsidRPr="005F4295">
        <w:rPr>
          <w:noProof/>
        </w:rPr>
        <w:t>,</w:t>
      </w:r>
      <w:r w:rsidRPr="005F4295">
        <w:rPr>
          <w:noProof/>
        </w:rPr>
        <w:t xml:space="preserve"> the overall risk at closure as a value, which is the sum of all the amounts of risk at closure, and as a percentage, which is the overall weighted average of the risk at closure.</w:t>
      </w:r>
    </w:p>
    <w:p w14:paraId="09D3A62A" w14:textId="77777777" w:rsidR="00EB70E0" w:rsidRPr="005F4295" w:rsidRDefault="00EB70E0" w:rsidP="00EB70E0">
      <w:pPr>
        <w:pStyle w:val="HeadingMan-NumT-AnnexesL3-111"/>
        <w:rPr>
          <w:rFonts w:ascii="EC Square Sans Pro" w:hAnsi="EC Square Sans Pro"/>
          <w:noProof/>
        </w:rPr>
      </w:pPr>
      <w:bookmarkStart w:id="30" w:name="_Toc229386263"/>
      <w:r w:rsidRPr="005F4295">
        <w:rPr>
          <w:rFonts w:ascii="EC Square Sans Pro" w:hAnsi="EC Square Sans Pro"/>
          <w:noProof/>
        </w:rPr>
        <w:t>5.1.4.</w:t>
      </w:r>
      <w:r w:rsidRPr="005F4295">
        <w:rPr>
          <w:rFonts w:ascii="EC Square Sans Pro" w:hAnsi="EC Square Sans Pro"/>
          <w:noProof/>
        </w:rPr>
        <w:tab/>
        <w:t>A bottom-up approach that fits the Commission’s management context for all assurance models</w:t>
      </w:r>
      <w:bookmarkEnd w:id="30"/>
    </w:p>
    <w:p w14:paraId="179A3ECD" w14:textId="64C206CD" w:rsidR="00EB70E0" w:rsidRPr="005F4295" w:rsidRDefault="00A978BE" w:rsidP="00C973DA">
      <w:pPr>
        <w:rPr>
          <w:noProof/>
        </w:rPr>
      </w:pPr>
      <w:r w:rsidRPr="005F4295">
        <w:rPr>
          <w:noProof/>
        </w:rPr>
        <w:t>In order</w:t>
      </w:r>
      <w:r w:rsidR="00EB70E0" w:rsidRPr="005F4295">
        <w:rPr>
          <w:noProof/>
        </w:rPr>
        <w:t xml:space="preserve"> to provide bottom-up management assurance and to identify and address issues in specific areas, </w:t>
      </w:r>
      <w:r w:rsidR="00EB70E0" w:rsidRPr="005F4295">
        <w:rPr>
          <w:rStyle w:val="Bold"/>
        </w:rPr>
        <w:t xml:space="preserve">the Commission calculates the error rates for cost-based expenditure (per programme or other relevant segment of expenditure) and groups performance-based expenditure in three categories of risk – low, medium and high – down to the level of paying agencies </w:t>
      </w:r>
      <w:r w:rsidR="00EB70E0" w:rsidRPr="005F4295">
        <w:rPr>
          <w:noProof/>
        </w:rPr>
        <w:t xml:space="preserve">and within the paying agencies, to the level of interventions they are managing. Moreover, with the risk at closure, the Commission’s methodology takes into account the multiannual nature of the spending programmes. In this sense, the Commission’s approach differs from that of the European Court of Auditors, as it </w:t>
      </w:r>
      <w:r w:rsidR="00086BF7" w:rsidRPr="005F4295">
        <w:rPr>
          <w:noProof/>
        </w:rPr>
        <w:t xml:space="preserve">stems </w:t>
      </w:r>
      <w:r w:rsidR="00EB70E0" w:rsidRPr="005F4295">
        <w:rPr>
          <w:noProof/>
        </w:rPr>
        <w:t>from a management perspective</w:t>
      </w:r>
      <w:r w:rsidR="00C07810" w:rsidRPr="005F4295">
        <w:rPr>
          <w:noProof/>
        </w:rPr>
        <w:t xml:space="preserve"> to prevent </w:t>
      </w:r>
      <w:r w:rsidR="002261FF" w:rsidRPr="005F4295">
        <w:rPr>
          <w:noProof/>
        </w:rPr>
        <w:t xml:space="preserve">and correct </w:t>
      </w:r>
      <w:r w:rsidR="00C07810" w:rsidRPr="005F4295">
        <w:rPr>
          <w:noProof/>
        </w:rPr>
        <w:t xml:space="preserve">irregular spending </w:t>
      </w:r>
      <w:r w:rsidR="00EB70E0" w:rsidRPr="005F4295">
        <w:rPr>
          <w:noProof/>
        </w:rPr>
        <w:t>and provides more detailed information. Even if th</w:t>
      </w:r>
      <w:r w:rsidR="00E72743" w:rsidRPr="005F4295">
        <w:rPr>
          <w:noProof/>
        </w:rPr>
        <w:t>is</w:t>
      </w:r>
      <w:r w:rsidR="00EB70E0" w:rsidRPr="005F4295">
        <w:rPr>
          <w:noProof/>
        </w:rPr>
        <w:t xml:space="preserve"> approach can lead to differences between the Court </w:t>
      </w:r>
      <w:bookmarkStart w:id="31" w:name="_Hlk102645196"/>
      <w:r w:rsidR="00EB70E0" w:rsidRPr="005F4295">
        <w:rPr>
          <w:noProof/>
        </w:rPr>
        <w:t xml:space="preserve">of Auditors’ error rate </w:t>
      </w:r>
      <w:bookmarkEnd w:id="31"/>
      <w:r w:rsidR="00EB70E0" w:rsidRPr="005F4295">
        <w:rPr>
          <w:noProof/>
        </w:rPr>
        <w:t>and the Commission’s risk at payment, there is a convergence regarding</w:t>
      </w:r>
      <w:r w:rsidR="00EB70E0" w:rsidRPr="005F4295" w:rsidDel="00BF39C8">
        <w:rPr>
          <w:noProof/>
        </w:rPr>
        <w:t xml:space="preserve"> </w:t>
      </w:r>
      <w:r w:rsidR="00EB70E0" w:rsidRPr="005F4295">
        <w:rPr>
          <w:noProof/>
        </w:rPr>
        <w:t>key concepts and the riskiest areas or types of expenditure (i.e. cohesion, research, some</w:t>
      </w:r>
      <w:r w:rsidR="00EB70E0" w:rsidRPr="005F4295" w:rsidDel="0060487B">
        <w:rPr>
          <w:noProof/>
        </w:rPr>
        <w:t xml:space="preserve"> </w:t>
      </w:r>
      <w:r w:rsidR="00EB70E0" w:rsidRPr="005F4295">
        <w:rPr>
          <w:noProof/>
        </w:rPr>
        <w:t xml:space="preserve">types of interventions in natural resources and environment). </w:t>
      </w:r>
      <w:r w:rsidR="008E3974" w:rsidRPr="005F4295">
        <w:rPr>
          <w:noProof/>
        </w:rPr>
        <w:t>The ‘materiality threshold’ set, in most cases, at 2% of the relevant expenditure</w:t>
      </w:r>
      <w:r w:rsidR="008E3974" w:rsidRPr="005F4295">
        <w:rPr>
          <w:rFonts w:ascii="Calibri" w:hAnsi="Calibri" w:cs="Calibri"/>
          <w:noProof/>
        </w:rPr>
        <w:t> </w:t>
      </w:r>
      <w:r w:rsidR="008E3974" w:rsidRPr="005F4295">
        <w:rPr>
          <w:noProof/>
        </w:rPr>
        <w:t>(</w:t>
      </w:r>
      <w:r w:rsidR="008E3974" w:rsidRPr="005F4295">
        <w:rPr>
          <w:rStyle w:val="FootnoteReference"/>
        </w:rPr>
        <w:footnoteReference w:id="8"/>
      </w:r>
      <w:r w:rsidR="008E3974" w:rsidRPr="005F4295">
        <w:rPr>
          <w:noProof/>
        </w:rPr>
        <w:t>) is also in line with the Court</w:t>
      </w:r>
      <w:r w:rsidR="008E3974" w:rsidRPr="005F4295" w:rsidDel="00D92493">
        <w:rPr>
          <w:noProof/>
        </w:rPr>
        <w:t xml:space="preserve"> </w:t>
      </w:r>
      <w:r w:rsidR="008E3974" w:rsidRPr="005F4295">
        <w:rPr>
          <w:noProof/>
        </w:rPr>
        <w:t>of Auditors’</w:t>
      </w:r>
      <w:r w:rsidR="008E3974" w:rsidRPr="005F4295" w:rsidDel="00D92493">
        <w:rPr>
          <w:noProof/>
        </w:rPr>
        <w:t xml:space="preserve"> </w:t>
      </w:r>
      <w:r w:rsidR="008E3974" w:rsidRPr="005F4295">
        <w:rPr>
          <w:noProof/>
        </w:rPr>
        <w:t>methodology</w:t>
      </w:r>
      <w:r w:rsidR="008E3974" w:rsidRPr="005F4295">
        <w:rPr>
          <w:rFonts w:ascii="Calibri" w:hAnsi="Calibri" w:cs="Calibri"/>
          <w:noProof/>
        </w:rPr>
        <w:t> </w:t>
      </w:r>
      <w:r w:rsidR="008E3974" w:rsidRPr="005F4295">
        <w:rPr>
          <w:noProof/>
        </w:rPr>
        <w:t>(</w:t>
      </w:r>
      <w:r w:rsidR="008E3974" w:rsidRPr="005F4295">
        <w:rPr>
          <w:rStyle w:val="FootnoteReference"/>
        </w:rPr>
        <w:footnoteReference w:id="9"/>
      </w:r>
      <w:r w:rsidR="008E3974" w:rsidRPr="005F4295">
        <w:rPr>
          <w:noProof/>
        </w:rPr>
        <w:t xml:space="preserve">). </w:t>
      </w:r>
      <w:r w:rsidR="00623244" w:rsidRPr="005F4295">
        <w:rPr>
          <w:noProof/>
        </w:rPr>
        <w:t>The Court of Auditor</w:t>
      </w:r>
      <w:r w:rsidR="0085263A" w:rsidRPr="005F4295">
        <w:rPr>
          <w:noProof/>
        </w:rPr>
        <w:t>s</w:t>
      </w:r>
      <w:r w:rsidR="00E82E23" w:rsidRPr="005F4295">
        <w:rPr>
          <w:noProof/>
        </w:rPr>
        <w:t>’</w:t>
      </w:r>
      <w:r w:rsidR="00623244" w:rsidRPr="005F4295">
        <w:rPr>
          <w:noProof/>
        </w:rPr>
        <w:t xml:space="preserve"> ‘estimated level of error’ and the Commission’s ri</w:t>
      </w:r>
      <w:r w:rsidR="00B008F1" w:rsidRPr="005F4295">
        <w:rPr>
          <w:noProof/>
        </w:rPr>
        <w:t>sk at payment are both</w:t>
      </w:r>
      <w:r w:rsidR="00623244" w:rsidRPr="005F4295">
        <w:rPr>
          <w:noProof/>
        </w:rPr>
        <w:t xml:space="preserve"> an estimate of the share of expenditure in the </w:t>
      </w:r>
      <w:r w:rsidR="00D8279F" w:rsidRPr="005F4295">
        <w:rPr>
          <w:noProof/>
        </w:rPr>
        <w:t>E</w:t>
      </w:r>
      <w:r w:rsidR="00623244" w:rsidRPr="005F4295">
        <w:rPr>
          <w:noProof/>
        </w:rPr>
        <w:t>U accounts that did not comply with the applicable EU or national law at the time of the audit.</w:t>
      </w:r>
      <w:r w:rsidR="00B008F1" w:rsidRPr="005F4295">
        <w:rPr>
          <w:noProof/>
        </w:rPr>
        <w:t xml:space="preserve"> </w:t>
      </w:r>
      <w:r w:rsidR="00F33757" w:rsidRPr="005F4295">
        <w:rPr>
          <w:noProof/>
        </w:rPr>
        <w:t>In 2025,</w:t>
      </w:r>
      <w:r w:rsidR="00EB70E0" w:rsidRPr="005F4295">
        <w:rPr>
          <w:noProof/>
        </w:rPr>
        <w:t xml:space="preserve"> common workshops </w:t>
      </w:r>
      <w:r w:rsidR="00F33757" w:rsidRPr="005F4295">
        <w:rPr>
          <w:noProof/>
        </w:rPr>
        <w:t xml:space="preserve">were </w:t>
      </w:r>
      <w:r w:rsidR="00EB70E0" w:rsidRPr="005F4295">
        <w:rPr>
          <w:noProof/>
        </w:rPr>
        <w:t xml:space="preserve">organised </w:t>
      </w:r>
      <w:r w:rsidR="00F97DE9" w:rsidRPr="005F4295">
        <w:rPr>
          <w:noProof/>
        </w:rPr>
        <w:t>and there was a general agreement that it helped</w:t>
      </w:r>
      <w:r w:rsidR="00EB70E0" w:rsidRPr="005F4295">
        <w:rPr>
          <w:noProof/>
        </w:rPr>
        <w:t xml:space="preserve"> further enhance the mutual understanding of the respective institutions’ </w:t>
      </w:r>
      <w:r w:rsidR="000E5802" w:rsidRPr="005F4295">
        <w:rPr>
          <w:noProof/>
        </w:rPr>
        <w:t>positions</w:t>
      </w:r>
      <w:r w:rsidR="00EB70E0" w:rsidRPr="005F4295">
        <w:rPr>
          <w:noProof/>
        </w:rPr>
        <w:t>.</w:t>
      </w:r>
      <w:r w:rsidR="00C01037" w:rsidRPr="005F4295">
        <w:rPr>
          <w:noProof/>
        </w:rPr>
        <w:t xml:space="preserve"> </w:t>
      </w:r>
      <w:r w:rsidR="00FD4421" w:rsidRPr="005F4295">
        <w:rPr>
          <w:noProof/>
        </w:rPr>
        <w:t>T</w:t>
      </w:r>
      <w:r w:rsidR="0041734D" w:rsidRPr="005F4295">
        <w:rPr>
          <w:noProof/>
        </w:rPr>
        <w:t>his will be</w:t>
      </w:r>
      <w:r w:rsidR="00D74CFF" w:rsidRPr="005F4295">
        <w:rPr>
          <w:noProof/>
        </w:rPr>
        <w:t xml:space="preserve"> continue</w:t>
      </w:r>
      <w:r w:rsidR="0041734D" w:rsidRPr="005F4295">
        <w:rPr>
          <w:noProof/>
        </w:rPr>
        <w:t>d</w:t>
      </w:r>
      <w:r w:rsidR="00D74CFF" w:rsidRPr="005F4295">
        <w:rPr>
          <w:noProof/>
        </w:rPr>
        <w:t xml:space="preserve"> in 2026</w:t>
      </w:r>
      <w:r w:rsidR="00C65AD9" w:rsidRPr="005F4295">
        <w:rPr>
          <w:noProof/>
        </w:rPr>
        <w:t>.</w:t>
      </w:r>
    </w:p>
    <w:p w14:paraId="3ED01D8D" w14:textId="39A961F4" w:rsidR="00EB70E0" w:rsidRPr="005F4295" w:rsidRDefault="00EB70E0" w:rsidP="00EB70E0">
      <w:pPr>
        <w:rPr>
          <w:noProof/>
        </w:rPr>
      </w:pPr>
      <w:bookmarkStart w:id="32" w:name="_Hlk102644414"/>
      <w:r w:rsidRPr="005F4295">
        <w:rPr>
          <w:rStyle w:val="Bold"/>
        </w:rPr>
        <w:t>The risk at payment, used under the cost-based</w:t>
      </w:r>
      <w:r w:rsidRPr="005F4295" w:rsidDel="00CC73DC">
        <w:rPr>
          <w:rStyle w:val="Bold"/>
        </w:rPr>
        <w:t xml:space="preserve"> </w:t>
      </w:r>
      <w:r w:rsidRPr="005F4295">
        <w:rPr>
          <w:rStyle w:val="Bold"/>
        </w:rPr>
        <w:t>assurance model, is conceptually closer to the Court of Auditors</w:t>
      </w:r>
      <w:r w:rsidRPr="005F4295">
        <w:rPr>
          <w:rStyle w:val="Bold"/>
          <w:rFonts w:hint="eastAsia"/>
        </w:rPr>
        <w:t>’</w:t>
      </w:r>
      <w:r w:rsidRPr="005F4295">
        <w:rPr>
          <w:rStyle w:val="Bold"/>
        </w:rPr>
        <w:t xml:space="preserve"> </w:t>
      </w:r>
      <w:r w:rsidRPr="005F4295">
        <w:rPr>
          <w:rStyle w:val="Bold"/>
          <w:rFonts w:hint="eastAsia"/>
        </w:rPr>
        <w:t>‘</w:t>
      </w:r>
      <w:r w:rsidRPr="005F4295">
        <w:rPr>
          <w:rStyle w:val="Bold"/>
        </w:rPr>
        <w:t>estimated level of error</w:t>
      </w:r>
      <w:r w:rsidRPr="005F4295">
        <w:rPr>
          <w:rStyle w:val="Bold"/>
          <w:rFonts w:hint="eastAsia"/>
        </w:rPr>
        <w:t>’</w:t>
      </w:r>
      <w:r w:rsidRPr="005F4295">
        <w:rPr>
          <w:rStyle w:val="Bold"/>
        </w:rPr>
        <w:t> </w:t>
      </w:r>
      <w:r w:rsidRPr="005F4295">
        <w:t>(</w:t>
      </w:r>
      <w:r w:rsidRPr="005F4295">
        <w:rPr>
          <w:rStyle w:val="FootnoteReference"/>
        </w:rPr>
        <w:footnoteReference w:id="10"/>
      </w:r>
      <w:r w:rsidRPr="005F4295">
        <w:t>)</w:t>
      </w:r>
      <w:r w:rsidRPr="005F4295">
        <w:rPr>
          <w:b/>
        </w:rPr>
        <w:t>.</w:t>
      </w:r>
      <w:r w:rsidRPr="005F4295">
        <w:rPr>
          <w:noProof/>
        </w:rPr>
        <w:t xml:space="preserve"> </w:t>
      </w:r>
      <w:bookmarkEnd w:id="32"/>
      <w:r w:rsidRPr="005F4295">
        <w:t xml:space="preserve">In the last years (2022 </w:t>
      </w:r>
      <w:r w:rsidR="00DB4131" w:rsidRPr="005F4295">
        <w:t xml:space="preserve">to </w:t>
      </w:r>
      <w:r w:rsidRPr="005F4295">
        <w:t>202</w:t>
      </w:r>
      <w:r w:rsidR="00DB4131" w:rsidRPr="005F4295">
        <w:t>4</w:t>
      </w:r>
      <w:r w:rsidRPr="005F4295">
        <w:t xml:space="preserve">), the main differences in the error rates determined by the Court </w:t>
      </w:r>
      <w:r w:rsidRPr="005F4295">
        <w:rPr>
          <w:rFonts w:cs="EC Square Sans Pro"/>
        </w:rPr>
        <w:t xml:space="preserve">of Auditors </w:t>
      </w:r>
      <w:r w:rsidRPr="005F4295">
        <w:t xml:space="preserve">and the risk at payment determined by the Commission concern the cohesion policy programmes. </w:t>
      </w:r>
      <w:r w:rsidR="00437CB3" w:rsidRPr="005F4295">
        <w:t>Starting in</w:t>
      </w:r>
      <w:r w:rsidR="006A52DF" w:rsidRPr="005F4295">
        <w:t xml:space="preserve"> 2024</w:t>
      </w:r>
      <w:r w:rsidR="008C1D47" w:rsidRPr="005F4295">
        <w:t>, the Court also determin</w:t>
      </w:r>
      <w:r w:rsidR="003D1434" w:rsidRPr="005F4295">
        <w:t>es</w:t>
      </w:r>
      <w:r w:rsidR="008C1D47" w:rsidRPr="005F4295">
        <w:t xml:space="preserve"> an error rate for the heading neighbourhood and the world</w:t>
      </w:r>
      <w:r w:rsidR="003D1434" w:rsidRPr="005F4295">
        <w:t>,</w:t>
      </w:r>
      <w:r w:rsidR="008C1D47" w:rsidRPr="005F4295">
        <w:t xml:space="preserve"> </w:t>
      </w:r>
      <w:r w:rsidR="00437CB3" w:rsidRPr="005F4295">
        <w:t xml:space="preserve">showing also a significant difference with </w:t>
      </w:r>
      <w:r w:rsidR="00110541" w:rsidRPr="005F4295">
        <w:t xml:space="preserve">the </w:t>
      </w:r>
      <w:r w:rsidR="00437CB3" w:rsidRPr="005F4295">
        <w:t>Commiss</w:t>
      </w:r>
      <w:r w:rsidR="003D1434" w:rsidRPr="005F4295">
        <w:t>i</w:t>
      </w:r>
      <w:r w:rsidR="00437CB3" w:rsidRPr="005F4295">
        <w:t>on’s risk at payment.</w:t>
      </w:r>
      <w:r w:rsidR="00403094" w:rsidRPr="005F4295">
        <w:rPr>
          <w:noProof/>
        </w:rPr>
        <w:t xml:space="preserve"> </w:t>
      </w:r>
      <w:r w:rsidRPr="005F4295">
        <w:rPr>
          <w:noProof/>
        </w:rPr>
        <w:t xml:space="preserve">In general, the main differences with the Court of Auditors may be explained by: differences in approach and methodology; divergences in interpreting rules and regulations, including national rules; </w:t>
      </w:r>
      <w:r w:rsidR="00C337CD" w:rsidRPr="005F4295">
        <w:rPr>
          <w:noProof/>
        </w:rPr>
        <w:t xml:space="preserve">and </w:t>
      </w:r>
      <w:r w:rsidRPr="005F4295">
        <w:rPr>
          <w:noProof/>
        </w:rPr>
        <w:t>timing differences between the Commission’s checks and the Court of Auditors’ audits</w:t>
      </w:r>
      <w:r w:rsidR="00C959DC" w:rsidRPr="005F4295">
        <w:rPr>
          <w:noProof/>
        </w:rPr>
        <w:t>,</w:t>
      </w:r>
      <w:r w:rsidRPr="005F4295">
        <w:rPr>
          <w:noProof/>
        </w:rPr>
        <w:t xml:space="preserve"> in particular </w:t>
      </w:r>
      <w:r w:rsidR="00371D60" w:rsidRPr="005F4295">
        <w:rPr>
          <w:noProof/>
        </w:rPr>
        <w:t xml:space="preserve">for expenditure </w:t>
      </w:r>
      <w:r w:rsidRPr="005F4295">
        <w:rPr>
          <w:noProof/>
        </w:rPr>
        <w:t xml:space="preserve">in the external </w:t>
      </w:r>
      <w:r w:rsidR="00371D60" w:rsidRPr="005F4295">
        <w:rPr>
          <w:noProof/>
        </w:rPr>
        <w:t xml:space="preserve">actions </w:t>
      </w:r>
      <w:r w:rsidRPr="005F4295">
        <w:rPr>
          <w:noProof/>
        </w:rPr>
        <w:t>area</w:t>
      </w:r>
      <w:r w:rsidR="00E845F1" w:rsidRPr="005F4295">
        <w:rPr>
          <w:noProof/>
        </w:rPr>
        <w:t xml:space="preserve"> </w:t>
      </w:r>
      <w:r w:rsidR="00C959DC" w:rsidRPr="005F4295">
        <w:rPr>
          <w:noProof/>
        </w:rPr>
        <w:t>(e</w:t>
      </w:r>
      <w:r w:rsidR="00D63B75" w:rsidRPr="005F4295">
        <w:rPr>
          <w:noProof/>
        </w:rPr>
        <w:t>.</w:t>
      </w:r>
      <w:r w:rsidR="00C959DC" w:rsidRPr="005F4295">
        <w:rPr>
          <w:noProof/>
        </w:rPr>
        <w:t>g</w:t>
      </w:r>
      <w:r w:rsidR="00D63B75" w:rsidRPr="005F4295">
        <w:rPr>
          <w:noProof/>
        </w:rPr>
        <w:t>.</w:t>
      </w:r>
      <w:r w:rsidR="00C959DC" w:rsidRPr="005F4295">
        <w:rPr>
          <w:noProof/>
        </w:rPr>
        <w:t xml:space="preserve"> </w:t>
      </w:r>
      <w:r w:rsidR="00E845F1" w:rsidRPr="005F4295">
        <w:rPr>
          <w:noProof/>
        </w:rPr>
        <w:t xml:space="preserve">documents </w:t>
      </w:r>
      <w:r w:rsidR="00B80092" w:rsidRPr="005F4295">
        <w:rPr>
          <w:noProof/>
        </w:rPr>
        <w:t xml:space="preserve">not </w:t>
      </w:r>
      <w:r w:rsidR="00C959DC" w:rsidRPr="005F4295">
        <w:rPr>
          <w:noProof/>
        </w:rPr>
        <w:t xml:space="preserve">provided on time lead to an error whereas they </w:t>
      </w:r>
      <w:r w:rsidR="00D62840" w:rsidRPr="005F4295">
        <w:rPr>
          <w:noProof/>
        </w:rPr>
        <w:t xml:space="preserve">are not missing and are usually provided </w:t>
      </w:r>
      <w:r w:rsidR="00E01521" w:rsidRPr="005F4295">
        <w:rPr>
          <w:noProof/>
        </w:rPr>
        <w:t>but with</w:t>
      </w:r>
      <w:r w:rsidR="00D62840" w:rsidRPr="005F4295">
        <w:rPr>
          <w:noProof/>
        </w:rPr>
        <w:t xml:space="preserve"> some delay</w:t>
      </w:r>
      <w:r w:rsidRPr="005F4295">
        <w:rPr>
          <w:noProof/>
        </w:rPr>
        <w:t>)</w:t>
      </w:r>
      <w:r w:rsidR="008213F0" w:rsidRPr="005F4295">
        <w:rPr>
          <w:noProof/>
        </w:rPr>
        <w:t>.</w:t>
      </w:r>
    </w:p>
    <w:p w14:paraId="510A7274" w14:textId="7B7A8A35" w:rsidR="00EB70E0" w:rsidRPr="005F4295" w:rsidRDefault="00EB70E0" w:rsidP="00EB70E0">
      <w:pPr>
        <w:pStyle w:val="HeadingMan-NumT-AnnexesL2-11"/>
        <w:rPr>
          <w:rFonts w:ascii="EC Square Sans Pro" w:eastAsia="Times New Roman" w:hAnsi="EC Square Sans Pro"/>
          <w:b w:val="0"/>
          <w:noProof/>
          <w:color w:val="auto"/>
          <w:sz w:val="20"/>
          <w:szCs w:val="20"/>
          <w:lang w:eastAsia="en-GB"/>
        </w:rPr>
      </w:pPr>
      <w:bookmarkStart w:id="33" w:name="_Toc229386264"/>
      <w:r w:rsidRPr="005F4295">
        <w:rPr>
          <w:rFonts w:ascii="EC Square Sans Pro" w:hAnsi="EC Square Sans Pro"/>
          <w:noProof/>
        </w:rPr>
        <w:t>5.2.</w:t>
      </w:r>
      <w:r w:rsidRPr="005F4295">
        <w:rPr>
          <w:rFonts w:ascii="EC Square Sans Pro" w:hAnsi="EC Square Sans Pro"/>
          <w:noProof/>
        </w:rPr>
        <w:tab/>
        <w:t xml:space="preserve">Risk at payment/closure reported in the </w:t>
      </w:r>
      <w:r w:rsidR="00CE7D6E" w:rsidRPr="005F4295">
        <w:rPr>
          <w:rFonts w:ascii="EC Square Sans Pro" w:hAnsi="EC Square Sans Pro"/>
          <w:noProof/>
        </w:rPr>
        <w:t xml:space="preserve">2025 </w:t>
      </w:r>
      <w:r w:rsidRPr="005F4295">
        <w:rPr>
          <w:rFonts w:ascii="EC Square Sans Pro" w:hAnsi="EC Square Sans Pro"/>
          <w:noProof/>
        </w:rPr>
        <w:t>annual activity reports</w:t>
      </w:r>
      <w:bookmarkEnd w:id="33"/>
    </w:p>
    <w:p w14:paraId="599AA558" w14:textId="77777777" w:rsidR="00EB70E0" w:rsidRPr="005F4295" w:rsidRDefault="00EB70E0" w:rsidP="00EB70E0">
      <w:pPr>
        <w:pStyle w:val="HeadingMan-NumT-AnnexesL3-111"/>
        <w:rPr>
          <w:rFonts w:ascii="EC Square Sans Pro" w:hAnsi="EC Square Sans Pro"/>
          <w:noProof/>
        </w:rPr>
      </w:pPr>
      <w:bookmarkStart w:id="34" w:name="_Toc229386265"/>
      <w:r w:rsidRPr="005F4295">
        <w:rPr>
          <w:rFonts w:ascii="EC Square Sans Pro" w:hAnsi="EC Square Sans Pro"/>
          <w:noProof/>
        </w:rPr>
        <w:t>5.2.1.</w:t>
      </w:r>
      <w:r w:rsidRPr="005F4295">
        <w:rPr>
          <w:rFonts w:ascii="EC Square Sans Pro" w:hAnsi="EC Square Sans Pro"/>
          <w:noProof/>
        </w:rPr>
        <w:tab/>
        <w:t>Relevant expenditure</w:t>
      </w:r>
      <w:bookmarkEnd w:id="34"/>
    </w:p>
    <w:p w14:paraId="06C7EDA7" w14:textId="1BEC4E09" w:rsidR="00691823" w:rsidRPr="005F4295" w:rsidRDefault="00DF0C46" w:rsidP="00EB70E0">
      <w:pPr>
        <w:rPr>
          <w:noProof/>
        </w:rPr>
      </w:pPr>
      <w:bookmarkStart w:id="35" w:name="_Toc69402656"/>
      <w:bookmarkStart w:id="36" w:name="_Toc69739050"/>
      <w:r w:rsidRPr="005F4295">
        <w:rPr>
          <w:rStyle w:val="Bold"/>
        </w:rPr>
        <w:t>The risk at payment</w:t>
      </w:r>
      <w:r w:rsidR="005B17C1" w:rsidRPr="005F4295">
        <w:rPr>
          <w:rStyle w:val="Bold"/>
        </w:rPr>
        <w:t>,</w:t>
      </w:r>
      <w:r w:rsidRPr="005F4295">
        <w:rPr>
          <w:rStyle w:val="Bold"/>
        </w:rPr>
        <w:t xml:space="preserve"> risk at closure</w:t>
      </w:r>
      <w:r w:rsidR="001A5EAE" w:rsidRPr="005F4295">
        <w:rPr>
          <w:rStyle w:val="Bold"/>
        </w:rPr>
        <w:t xml:space="preserve"> and share of low, medium and high risk </w:t>
      </w:r>
      <w:r w:rsidRPr="005F4295">
        <w:rPr>
          <w:rStyle w:val="Bold"/>
        </w:rPr>
        <w:t>are determined against the relevant expenditure of the year, in line with the approach of the Court of Auditors.</w:t>
      </w:r>
      <w:r w:rsidRPr="005F4295">
        <w:rPr>
          <w:noProof/>
        </w:rPr>
        <w:t xml:space="preserve"> </w:t>
      </w:r>
      <w:bookmarkEnd w:id="35"/>
      <w:bookmarkEnd w:id="36"/>
      <w:r w:rsidR="00EB70E0" w:rsidRPr="005F4295">
        <w:rPr>
          <w:noProof/>
        </w:rPr>
        <w:t>The amount of the Commission’s relevant expenditure is established in line with the Court of Auditors’ scope of transactions reviewed</w:t>
      </w:r>
      <w:r w:rsidR="00964EFD" w:rsidRPr="005F4295">
        <w:rPr>
          <w:rFonts w:ascii="Calibri" w:hAnsi="Calibri" w:cs="Calibri"/>
          <w:noProof/>
        </w:rPr>
        <w:t> </w:t>
      </w:r>
      <w:r w:rsidR="00EB70E0" w:rsidRPr="005F4295">
        <w:rPr>
          <w:noProof/>
        </w:rPr>
        <w:t>(</w:t>
      </w:r>
      <w:r w:rsidR="00EB70E0" w:rsidRPr="005F4295">
        <w:rPr>
          <w:rStyle w:val="FootnoteReference"/>
        </w:rPr>
        <w:footnoteReference w:id="11"/>
      </w:r>
      <w:r w:rsidR="00EB70E0" w:rsidRPr="005F4295">
        <w:rPr>
          <w:noProof/>
        </w:rPr>
        <w:t>). It corresponds to the</w:t>
      </w:r>
      <w:r w:rsidR="00E535F5" w:rsidRPr="005F4295">
        <w:rPr>
          <w:noProof/>
        </w:rPr>
        <w:t xml:space="preserve"> </w:t>
      </w:r>
      <w:r w:rsidR="00E1246C" w:rsidRPr="005F4295">
        <w:rPr>
          <w:noProof/>
        </w:rPr>
        <w:t>aggregation of</w:t>
      </w:r>
      <w:r w:rsidR="00E535F5" w:rsidRPr="005F4295">
        <w:rPr>
          <w:noProof/>
        </w:rPr>
        <w:t xml:space="preserve"> the following</w:t>
      </w:r>
      <w:r w:rsidR="00E1246C" w:rsidRPr="005F4295">
        <w:rPr>
          <w:noProof/>
        </w:rPr>
        <w:t xml:space="preserve"> components</w:t>
      </w:r>
      <w:r w:rsidR="00E535F5" w:rsidRPr="005F4295">
        <w:rPr>
          <w:noProof/>
        </w:rPr>
        <w:t xml:space="preserve"> </w:t>
      </w:r>
      <w:r w:rsidR="00691823" w:rsidRPr="005F4295">
        <w:rPr>
          <w:noProof/>
        </w:rPr>
        <w:t>for a given financial year:</w:t>
      </w:r>
    </w:p>
    <w:p w14:paraId="08DA2F25" w14:textId="6D19665E" w:rsidR="00E535F5" w:rsidRPr="005F4295" w:rsidRDefault="00E47AFF" w:rsidP="00574C8D">
      <w:pPr>
        <w:rPr>
          <w:noProof/>
        </w:rPr>
      </w:pPr>
      <w:r w:rsidRPr="005F4295">
        <w:rPr>
          <w:noProof/>
        </w:rPr>
        <w:t xml:space="preserve"> </w:t>
      </w:r>
      <w:r w:rsidRPr="005F4295">
        <w:rPr>
          <w:noProof/>
        </w:rPr>
        <w:drawing>
          <wp:inline distT="0" distB="0" distL="0" distR="0" wp14:anchorId="4DF25EA0" wp14:editId="02791B5D">
            <wp:extent cx="5723255" cy="1609725"/>
            <wp:effectExtent l="0" t="0" r="0" b="9525"/>
            <wp:docPr id="4" name="Picture 3">
              <a:extLst xmlns:a="http://schemas.openxmlformats.org/drawingml/2006/main">
                <a:ext uri="{FF2B5EF4-FFF2-40B4-BE49-F238E27FC236}">
                  <a16:creationId xmlns:a16="http://schemas.microsoft.com/office/drawing/2014/main" id="{0305A477-B45A-F626-14D5-E3256453FD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305A477-B45A-F626-14D5-E3256453FD6B}"/>
                        </a:ext>
                      </a:extLst>
                    </pic:cNvPr>
                    <pic:cNvPicPr>
                      <a:picLocks noChangeAspect="1"/>
                    </pic:cNvPicPr>
                  </pic:nvPicPr>
                  <pic:blipFill rotWithShape="1">
                    <a:blip r:embed="rId47"/>
                    <a:srcRect l="6285" t="13018" r="6901" b="8509"/>
                    <a:stretch>
                      <a:fillRect/>
                    </a:stretch>
                  </pic:blipFill>
                  <pic:spPr bwMode="auto">
                    <a:xfrm>
                      <a:off x="0" y="0"/>
                      <a:ext cx="5749205" cy="1617024"/>
                    </a:xfrm>
                    <a:prstGeom prst="rect">
                      <a:avLst/>
                    </a:prstGeom>
                    <a:ln>
                      <a:noFill/>
                    </a:ln>
                    <a:extLst>
                      <a:ext uri="{53640926-AAD7-44D8-BBD7-CCE9431645EC}">
                        <a14:shadowObscured xmlns:a14="http://schemas.microsoft.com/office/drawing/2010/main"/>
                      </a:ext>
                    </a:extLst>
                  </pic:spPr>
                </pic:pic>
              </a:graphicData>
            </a:graphic>
          </wp:inline>
        </w:drawing>
      </w:r>
    </w:p>
    <w:p w14:paraId="4406ECA9" w14:textId="77777777" w:rsidR="00606608" w:rsidRPr="005F4295" w:rsidRDefault="00606608">
      <w:pPr>
        <w:suppressAutoHyphens w:val="0"/>
        <w:rPr>
          <w:noProof/>
        </w:rPr>
      </w:pPr>
      <w:r w:rsidRPr="005F4295">
        <w:rPr>
          <w:noProof/>
        </w:rPr>
        <w:br w:type="page"/>
      </w:r>
    </w:p>
    <w:p w14:paraId="1CC5F989" w14:textId="0D074057" w:rsidR="00EB70E0" w:rsidRPr="005F4295" w:rsidRDefault="00EB70E0" w:rsidP="00EB70E0">
      <w:pPr>
        <w:rPr>
          <w:noProof/>
        </w:rPr>
      </w:pPr>
      <w:r w:rsidRPr="005F4295">
        <w:rPr>
          <w:noProof/>
        </w:rPr>
        <w:t>In this approach, pre-financing and retentions</w:t>
      </w:r>
      <w:r w:rsidRPr="005F4295">
        <w:rPr>
          <w:rFonts w:ascii="Calibri" w:hAnsi="Calibri" w:cs="Calibri"/>
          <w:noProof/>
          <w:sz w:val="22"/>
        </w:rPr>
        <w:t> </w:t>
      </w:r>
      <w:r w:rsidRPr="005F4295">
        <w:rPr>
          <w:rFonts w:cs="Calibri"/>
          <w:noProof/>
          <w:sz w:val="22"/>
        </w:rPr>
        <w:t>(</w:t>
      </w:r>
      <w:r w:rsidRPr="005F4295">
        <w:rPr>
          <w:rStyle w:val="FootnoteReference"/>
        </w:rPr>
        <w:footnoteReference w:id="12"/>
      </w:r>
      <w:r w:rsidRPr="005F4295">
        <w:rPr>
          <w:rFonts w:cs="Calibri"/>
          <w:noProof/>
          <w:sz w:val="22"/>
        </w:rPr>
        <w:t>)</w:t>
      </w:r>
      <w:r w:rsidRPr="005F4295">
        <w:rPr>
          <w:noProof/>
        </w:rPr>
        <w:t xml:space="preserve"> are only taken into account when the final recipient of EU funds has provided evidence of their use and the Commission (or another body managing EU funds) has accepted the final use of the funds (by clearing the pre-financing or releasing the amount retained), because this is where errors of legality or regularity may occur. Therefore, the risks at payment and at closure are determined against this amount.</w:t>
      </w:r>
    </w:p>
    <w:p w14:paraId="7202CB11" w14:textId="112E684D" w:rsidR="00EB70E0" w:rsidRPr="005F4295" w:rsidRDefault="00B85DAC" w:rsidP="00EB70E0">
      <w:pPr>
        <w:rPr>
          <w:noProof/>
        </w:rPr>
      </w:pPr>
      <w:r w:rsidRPr="005F4295">
        <w:rPr>
          <w:rStyle w:val="Bold"/>
        </w:rPr>
        <w:t>Relevant expenditure</w:t>
      </w:r>
      <w:r w:rsidR="004604C3" w:rsidRPr="005F4295">
        <w:rPr>
          <w:rStyle w:val="Bold"/>
        </w:rPr>
        <w:t>s</w:t>
      </w:r>
      <w:r w:rsidRPr="005F4295">
        <w:rPr>
          <w:rStyle w:val="Bold"/>
        </w:rPr>
        <w:t xml:space="preserve"> also include </w:t>
      </w:r>
      <w:r w:rsidR="00EB70E0" w:rsidRPr="005F4295">
        <w:rPr>
          <w:rStyle w:val="Bold"/>
        </w:rPr>
        <w:t>expenditure made under the European Development Fund</w:t>
      </w:r>
      <w:r w:rsidR="00EB70E0" w:rsidRPr="005F4295">
        <w:rPr>
          <w:rStyle w:val="Bold"/>
          <w:b w:val="0"/>
        </w:rPr>
        <w:t xml:space="preserve"> </w:t>
      </w:r>
      <w:r w:rsidR="00EB70E0" w:rsidRPr="005F4295">
        <w:rPr>
          <w:rStyle w:val="Bold"/>
        </w:rPr>
        <w:t>and the four EU trust funds, since the Commission manages them as well.</w:t>
      </w:r>
    </w:p>
    <w:p w14:paraId="70354442" w14:textId="0F180C22" w:rsidR="00EB70E0" w:rsidRPr="005F4295" w:rsidRDefault="00EB70E0" w:rsidP="00ED5750">
      <w:pPr>
        <w:pStyle w:val="ListBullet"/>
        <w:keepLines/>
        <w:numPr>
          <w:ilvl w:val="0"/>
          <w:numId w:val="11"/>
        </w:numPr>
        <w:rPr>
          <w:noProof/>
        </w:rPr>
      </w:pPr>
      <w:r w:rsidRPr="005F4295">
        <w:rPr>
          <w:rStyle w:val="Bold"/>
          <w:noProof/>
        </w:rPr>
        <w:t>European Development Fund.</w:t>
      </w:r>
      <w:r w:rsidRPr="005F4295">
        <w:rPr>
          <w:noProof/>
        </w:rPr>
        <w:t xml:space="preserve"> </w:t>
      </w:r>
      <w:bookmarkStart w:id="37" w:name="_Hlk102646041"/>
      <w:r w:rsidRPr="005F4295">
        <w:rPr>
          <w:noProof/>
        </w:rPr>
        <w:t>Until 2020, this budget was separate from the EU budget</w:t>
      </w:r>
      <w:r w:rsidR="00B65F1B" w:rsidRPr="005F4295">
        <w:rPr>
          <w:noProof/>
        </w:rPr>
        <w:t>.</w:t>
      </w:r>
      <w:r w:rsidRPr="005F4295">
        <w:rPr>
          <w:noProof/>
        </w:rPr>
        <w:t xml:space="preserve"> </w:t>
      </w:r>
      <w:r w:rsidR="00B65F1B" w:rsidRPr="005F4295">
        <w:rPr>
          <w:noProof/>
        </w:rPr>
        <w:t>I</w:t>
      </w:r>
      <w:r w:rsidRPr="005F4295">
        <w:rPr>
          <w:noProof/>
        </w:rPr>
        <w:t xml:space="preserve">t is currently co-managed by </w:t>
      </w:r>
      <w:r w:rsidR="00F24D39" w:rsidRPr="005F4295">
        <w:rPr>
          <w:noProof/>
        </w:rPr>
        <w:t xml:space="preserve">four </w:t>
      </w:r>
      <w:r w:rsidRPr="005F4295">
        <w:rPr>
          <w:noProof/>
        </w:rPr>
        <w:t>departments</w:t>
      </w:r>
      <w:bookmarkEnd w:id="37"/>
      <w:r w:rsidR="00983B16" w:rsidRPr="005F4295">
        <w:rPr>
          <w:noProof/>
        </w:rPr>
        <w:t xml:space="preserve"> in the Commission</w:t>
      </w:r>
      <w:r w:rsidR="00691461" w:rsidRPr="005F4295">
        <w:rPr>
          <w:rFonts w:cs="Calibri"/>
        </w:rPr>
        <w:t> </w:t>
      </w:r>
      <w:r w:rsidR="00691461" w:rsidRPr="005F4295">
        <w:rPr>
          <w:noProof/>
        </w:rPr>
        <w:t>(</w:t>
      </w:r>
      <w:r w:rsidR="00691461" w:rsidRPr="005F4295">
        <w:rPr>
          <w:rStyle w:val="FootnoteReference"/>
        </w:rPr>
        <w:footnoteReference w:id="13"/>
      </w:r>
      <w:r w:rsidR="00691461" w:rsidRPr="005F4295">
        <w:rPr>
          <w:noProof/>
        </w:rPr>
        <w:t>)</w:t>
      </w:r>
      <w:r w:rsidR="00424DA6" w:rsidRPr="005F4295">
        <w:rPr>
          <w:noProof/>
        </w:rPr>
        <w:t xml:space="preserve"> </w:t>
      </w:r>
      <w:r w:rsidR="00424DA6" w:rsidRPr="005F4295">
        <w:rPr>
          <w:rFonts w:asciiTheme="minorHAnsi" w:hAnsiTheme="minorHAnsi"/>
          <w:noProof/>
        </w:rPr>
        <w:t xml:space="preserve">and </w:t>
      </w:r>
      <w:r w:rsidR="00C971AD" w:rsidRPr="005F4295">
        <w:rPr>
          <w:rFonts w:asciiTheme="minorHAnsi" w:hAnsiTheme="minorHAnsi"/>
          <w:noProof/>
        </w:rPr>
        <w:t xml:space="preserve">in 2025 </w:t>
      </w:r>
      <w:r w:rsidR="00424DA6" w:rsidRPr="005F4295">
        <w:rPr>
          <w:rFonts w:asciiTheme="minorHAnsi" w:hAnsiTheme="minorHAnsi"/>
          <w:noProof/>
        </w:rPr>
        <w:t xml:space="preserve">amounted to a total </w:t>
      </w:r>
      <w:r w:rsidR="00596CDE" w:rsidRPr="005F4295">
        <w:rPr>
          <w:rFonts w:asciiTheme="minorHAnsi" w:hAnsiTheme="minorHAnsi"/>
          <w:noProof/>
        </w:rPr>
        <w:t xml:space="preserve">of </w:t>
      </w:r>
      <w:r w:rsidR="00FA2E00" w:rsidRPr="005F4295">
        <w:rPr>
          <w:rFonts w:asciiTheme="minorHAnsi" w:hAnsiTheme="minorHAnsi"/>
        </w:rPr>
        <w:t>EUR</w:t>
      </w:r>
      <w:r w:rsidR="00FA2E00" w:rsidRPr="005F4295">
        <w:rPr>
          <w:rFonts w:ascii="Calibri" w:hAnsi="Calibri" w:cs="Calibri"/>
        </w:rPr>
        <w:t> </w:t>
      </w:r>
      <w:r w:rsidR="0035755F" w:rsidRPr="005F4295">
        <w:rPr>
          <w:rFonts w:asciiTheme="minorHAnsi" w:hAnsiTheme="minorHAnsi" w:cs="Calibri"/>
        </w:rPr>
        <w:t>1.6</w:t>
      </w:r>
      <w:r w:rsidR="0035755F" w:rsidRPr="005F4295">
        <w:rPr>
          <w:rFonts w:ascii="Calibri" w:hAnsi="Calibri" w:cs="Calibri"/>
        </w:rPr>
        <w:t> </w:t>
      </w:r>
      <w:r w:rsidR="0035755F" w:rsidRPr="005F4295">
        <w:rPr>
          <w:rFonts w:asciiTheme="minorHAnsi" w:hAnsiTheme="minorHAnsi" w:cs="Calibri"/>
        </w:rPr>
        <w:t>billion</w:t>
      </w:r>
      <w:r w:rsidR="00D9616D" w:rsidRPr="005F4295">
        <w:rPr>
          <w:rFonts w:asciiTheme="minorHAnsi" w:hAnsiTheme="minorHAnsi" w:cs="Calibri"/>
          <w:noProof/>
        </w:rPr>
        <w:t xml:space="preserve"> of</w:t>
      </w:r>
      <w:r w:rsidR="004037E2" w:rsidRPr="005F4295">
        <w:rPr>
          <w:rFonts w:asciiTheme="minorHAnsi" w:hAnsiTheme="minorHAnsi" w:cs="Calibri"/>
        </w:rPr>
        <w:t xml:space="preserve"> relevant </w:t>
      </w:r>
      <w:r w:rsidR="00FA2E00" w:rsidRPr="005F4295">
        <w:rPr>
          <w:rFonts w:asciiTheme="minorHAnsi" w:hAnsiTheme="minorHAnsi" w:cs="Calibri"/>
        </w:rPr>
        <w:t>expenditure</w:t>
      </w:r>
      <w:r w:rsidR="0035755F" w:rsidRPr="005F4295">
        <w:rPr>
          <w:rFonts w:asciiTheme="minorHAnsi" w:hAnsiTheme="minorHAnsi" w:cs="Calibri"/>
          <w:noProof/>
        </w:rPr>
        <w:t>.</w:t>
      </w:r>
    </w:p>
    <w:p w14:paraId="46888632" w14:textId="268DBEA4" w:rsidR="00EB70E0" w:rsidRPr="005F4295" w:rsidRDefault="00EB70E0" w:rsidP="0067008E">
      <w:pPr>
        <w:pStyle w:val="ListBullet"/>
        <w:keepLines/>
        <w:numPr>
          <w:ilvl w:val="0"/>
          <w:numId w:val="11"/>
        </w:numPr>
        <w:rPr>
          <w:noProof/>
        </w:rPr>
      </w:pPr>
      <w:r w:rsidRPr="005F4295">
        <w:rPr>
          <w:rStyle w:val="Bold"/>
          <w:noProof/>
        </w:rPr>
        <w:t>EU trust funds.</w:t>
      </w:r>
      <w:r w:rsidRPr="005F4295">
        <w:rPr>
          <w:noProof/>
        </w:rPr>
        <w:t xml:space="preserve"> These are the EU Trust Fund for the Central African Republic, the EU Regional Trust Fund in Response to the Syrian Crisis, the EU Emergency Trust Fund for Africa and the EU Trust Fund for Colombia (see Volume</w:t>
      </w:r>
      <w:r w:rsidRPr="005F4295">
        <w:rPr>
          <w:rFonts w:ascii="Calibri" w:hAnsi="Calibri" w:cs="Calibri"/>
          <w:noProof/>
        </w:rPr>
        <w:t> </w:t>
      </w:r>
      <w:r w:rsidRPr="005F4295">
        <w:rPr>
          <w:noProof/>
        </w:rPr>
        <w:t>III, Annex</w:t>
      </w:r>
      <w:r w:rsidRPr="005F4295">
        <w:rPr>
          <w:rFonts w:ascii="Calibri" w:hAnsi="Calibri" w:cs="Calibri"/>
          <w:noProof/>
        </w:rPr>
        <w:t> </w:t>
      </w:r>
      <w:r w:rsidRPr="005F4295">
        <w:rPr>
          <w:noProof/>
        </w:rPr>
        <w:t xml:space="preserve">11). </w:t>
      </w:r>
      <w:r w:rsidR="00871D66" w:rsidRPr="005F4295">
        <w:rPr>
          <w:noProof/>
        </w:rPr>
        <w:t>In 2025</w:t>
      </w:r>
      <w:r w:rsidR="00FA4760" w:rsidRPr="005F4295">
        <w:rPr>
          <w:noProof/>
        </w:rPr>
        <w:t>,</w:t>
      </w:r>
      <w:r w:rsidR="00871D66" w:rsidRPr="005F4295">
        <w:rPr>
          <w:noProof/>
        </w:rPr>
        <w:t xml:space="preserve"> the relevant expenditure </w:t>
      </w:r>
      <w:r w:rsidR="00CF4415" w:rsidRPr="005F4295">
        <w:rPr>
          <w:noProof/>
        </w:rPr>
        <w:t>amounted in total to EUR</w:t>
      </w:r>
      <w:r w:rsidR="00CF4415" w:rsidRPr="005F4295">
        <w:rPr>
          <w:rFonts w:ascii="Calibri" w:hAnsi="Calibri" w:cs="Calibri"/>
          <w:noProof/>
        </w:rPr>
        <w:t> </w:t>
      </w:r>
      <w:r w:rsidR="00CF4415" w:rsidRPr="005F4295">
        <w:rPr>
          <w:noProof/>
        </w:rPr>
        <w:t>420</w:t>
      </w:r>
      <w:r w:rsidR="00BF5163" w:rsidRPr="005F4295">
        <w:rPr>
          <w:rFonts w:ascii="Calibri" w:hAnsi="Calibri" w:cs="Calibri"/>
          <w:noProof/>
        </w:rPr>
        <w:t> </w:t>
      </w:r>
      <w:r w:rsidR="00CF4415" w:rsidRPr="005F4295">
        <w:rPr>
          <w:noProof/>
        </w:rPr>
        <w:t xml:space="preserve">million. </w:t>
      </w:r>
      <w:r w:rsidR="004604C3" w:rsidRPr="005F4295">
        <w:rPr>
          <w:noProof/>
        </w:rPr>
        <w:t>C</w:t>
      </w:r>
      <w:r w:rsidRPr="005F4295">
        <w:rPr>
          <w:noProof/>
        </w:rPr>
        <w:t xml:space="preserve">omplete coverage is provided in the annual activity reports of </w:t>
      </w:r>
      <w:r w:rsidR="006B2262" w:rsidRPr="005F4295">
        <w:rPr>
          <w:noProof/>
        </w:rPr>
        <w:t>the relevant Commission departments</w:t>
      </w:r>
      <w:r w:rsidR="006B2262" w:rsidRPr="005F4295">
        <w:rPr>
          <w:rFonts w:ascii="Calibri" w:hAnsi="Calibri" w:cs="Calibri"/>
        </w:rPr>
        <w:t> </w:t>
      </w:r>
      <w:r w:rsidR="006B2262" w:rsidRPr="005F4295">
        <w:rPr>
          <w:noProof/>
        </w:rPr>
        <w:t>(</w:t>
      </w:r>
      <w:r w:rsidR="006B2262" w:rsidRPr="005F4295">
        <w:rPr>
          <w:rStyle w:val="FootnoteReference"/>
        </w:rPr>
        <w:footnoteReference w:id="14"/>
      </w:r>
      <w:r w:rsidR="006B2262" w:rsidRPr="005F4295">
        <w:rPr>
          <w:noProof/>
        </w:rPr>
        <w:t>)</w:t>
      </w:r>
      <w:r w:rsidR="00644844" w:rsidRPr="005F4295">
        <w:rPr>
          <w:noProof/>
        </w:rPr>
        <w:t>.</w:t>
      </w:r>
    </w:p>
    <w:p w14:paraId="5A456458" w14:textId="26D76EB3" w:rsidR="00AF17D1" w:rsidRPr="005F4295" w:rsidRDefault="0048388A" w:rsidP="00EB70E0">
      <w:pPr>
        <w:rPr>
          <w:noProof/>
        </w:rPr>
      </w:pPr>
      <w:r w:rsidRPr="005F4295">
        <w:rPr>
          <w:noProof/>
        </w:rPr>
        <w:t>Relevant</w:t>
      </w:r>
      <w:r w:rsidR="00EB70E0" w:rsidRPr="005F4295">
        <w:rPr>
          <w:noProof/>
        </w:rPr>
        <w:t xml:space="preserve"> expenditure</w:t>
      </w:r>
      <w:r w:rsidR="004604C3" w:rsidRPr="005F4295">
        <w:rPr>
          <w:noProof/>
        </w:rPr>
        <w:t>s</w:t>
      </w:r>
      <w:r w:rsidR="00EB70E0" w:rsidRPr="005F4295">
        <w:rPr>
          <w:noProof/>
        </w:rPr>
        <w:t xml:space="preserve"> </w:t>
      </w:r>
      <w:r w:rsidRPr="005F4295">
        <w:rPr>
          <w:noProof/>
        </w:rPr>
        <w:t>do not include the payments made under the Resilience and Recovery Facility</w:t>
      </w:r>
      <w:r w:rsidR="004604C3" w:rsidRPr="005F4295">
        <w:rPr>
          <w:noProof/>
        </w:rPr>
        <w:t>,</w:t>
      </w:r>
      <w:r w:rsidRPr="005F4295">
        <w:rPr>
          <w:noProof/>
        </w:rPr>
        <w:t xml:space="preserve"> as they </w:t>
      </w:r>
      <w:r w:rsidR="004B456A" w:rsidRPr="005F4295">
        <w:rPr>
          <w:noProof/>
        </w:rPr>
        <w:t xml:space="preserve">are not funded </w:t>
      </w:r>
      <w:r w:rsidRPr="005F4295">
        <w:rPr>
          <w:noProof/>
        </w:rPr>
        <w:t>from the EU budget</w:t>
      </w:r>
      <w:r w:rsidR="004B456A" w:rsidRPr="005F4295">
        <w:rPr>
          <w:noProof/>
        </w:rPr>
        <w:t>.</w:t>
      </w:r>
      <w:r w:rsidRPr="005F4295">
        <w:rPr>
          <w:noProof/>
        </w:rPr>
        <w:t xml:space="preserve"> </w:t>
      </w:r>
      <w:r w:rsidR="00A71BD3" w:rsidRPr="005F4295">
        <w:rPr>
          <w:noProof/>
        </w:rPr>
        <w:t>T</w:t>
      </w:r>
      <w:r w:rsidRPr="005F4295">
        <w:rPr>
          <w:noProof/>
        </w:rPr>
        <w:t>he corresponding payments are presented separately in Volume</w:t>
      </w:r>
      <w:r w:rsidR="00F612B9" w:rsidRPr="005F4295">
        <w:rPr>
          <w:rFonts w:ascii="Calibri" w:hAnsi="Calibri" w:cs="Calibri"/>
          <w:noProof/>
        </w:rPr>
        <w:t> </w:t>
      </w:r>
      <w:r w:rsidRPr="005F4295">
        <w:rPr>
          <w:noProof/>
        </w:rPr>
        <w:t xml:space="preserve">II, </w:t>
      </w:r>
      <w:r w:rsidR="005B43A7" w:rsidRPr="005F4295">
        <w:rPr>
          <w:noProof/>
        </w:rPr>
        <w:t>Annex</w:t>
      </w:r>
      <w:r w:rsidR="005B43A7" w:rsidRPr="005F4295">
        <w:rPr>
          <w:rFonts w:ascii="Calibri" w:hAnsi="Calibri" w:cs="Calibri"/>
          <w:noProof/>
        </w:rPr>
        <w:t> </w:t>
      </w:r>
      <w:r w:rsidRPr="005F4295">
        <w:rPr>
          <w:noProof/>
        </w:rPr>
        <w:t>3</w:t>
      </w:r>
      <w:r w:rsidR="00A71BD3" w:rsidRPr="005F4295">
        <w:rPr>
          <w:noProof/>
        </w:rPr>
        <w:t>.</w:t>
      </w:r>
    </w:p>
    <w:p w14:paraId="7E910D7E" w14:textId="75B51BC5" w:rsidR="00606608" w:rsidRPr="005F4295" w:rsidRDefault="00F612B9" w:rsidP="00EB70E0">
      <w:pPr>
        <w:rPr>
          <w:noProof/>
        </w:rPr>
      </w:pPr>
      <w:r w:rsidRPr="005F4295">
        <w:rPr>
          <w:noProof/>
        </w:rPr>
        <w:t>The r</w:t>
      </w:r>
      <w:r w:rsidR="00EB70E0" w:rsidRPr="005F4295">
        <w:rPr>
          <w:noProof/>
        </w:rPr>
        <w:t>elevant expenditure</w:t>
      </w:r>
      <w:r w:rsidRPr="005F4295">
        <w:rPr>
          <w:noProof/>
        </w:rPr>
        <w:t>s for</w:t>
      </w:r>
      <w:r w:rsidR="00EB70E0" w:rsidRPr="005F4295">
        <w:rPr>
          <w:noProof/>
        </w:rPr>
        <w:t xml:space="preserve"> </w:t>
      </w:r>
      <w:r w:rsidR="000F3411" w:rsidRPr="005F4295">
        <w:rPr>
          <w:noProof/>
        </w:rPr>
        <w:t>2025</w:t>
      </w:r>
      <w:r w:rsidR="004E7F75" w:rsidRPr="005F4295">
        <w:rPr>
          <w:noProof/>
        </w:rPr>
        <w:t xml:space="preserve"> are presented</w:t>
      </w:r>
      <w:r w:rsidR="002C3704" w:rsidRPr="005F4295">
        <w:rPr>
          <w:noProof/>
        </w:rPr>
        <w:t>,</w:t>
      </w:r>
      <w:r w:rsidR="004E7F75" w:rsidRPr="005F4295">
        <w:rPr>
          <w:noProof/>
        </w:rPr>
        <w:t xml:space="preserve"> </w:t>
      </w:r>
      <w:r w:rsidR="000F3411" w:rsidRPr="005F4295">
        <w:rPr>
          <w:noProof/>
        </w:rPr>
        <w:t>per heading</w:t>
      </w:r>
      <w:r w:rsidR="002C3704" w:rsidRPr="005F4295">
        <w:rPr>
          <w:noProof/>
        </w:rPr>
        <w:t>,</w:t>
      </w:r>
      <w:r w:rsidR="000F3411" w:rsidRPr="005F4295">
        <w:rPr>
          <w:noProof/>
        </w:rPr>
        <w:t xml:space="preserve"> </w:t>
      </w:r>
      <w:r w:rsidR="004E7F75" w:rsidRPr="005F4295">
        <w:rPr>
          <w:noProof/>
        </w:rPr>
        <w:t>in</w:t>
      </w:r>
      <w:r w:rsidR="00EB70E0" w:rsidRPr="005F4295">
        <w:rPr>
          <w:noProof/>
        </w:rPr>
        <w:t xml:space="preserve"> Table</w:t>
      </w:r>
      <w:r w:rsidR="00EB70E0" w:rsidRPr="005F4295">
        <w:rPr>
          <w:rFonts w:ascii="Calibri" w:hAnsi="Calibri" w:cs="Calibri"/>
          <w:noProof/>
        </w:rPr>
        <w:t> </w:t>
      </w:r>
      <w:r w:rsidR="00EB70E0" w:rsidRPr="005F4295">
        <w:rPr>
          <w:noProof/>
        </w:rPr>
        <w:t>A.</w:t>
      </w:r>
    </w:p>
    <w:p w14:paraId="61F319B2" w14:textId="77777777" w:rsidR="00606608" w:rsidRPr="005F4295" w:rsidRDefault="00606608">
      <w:pPr>
        <w:suppressAutoHyphens w:val="0"/>
        <w:rPr>
          <w:noProof/>
        </w:rPr>
      </w:pPr>
      <w:r w:rsidRPr="005F4295">
        <w:rPr>
          <w:noProof/>
        </w:rPr>
        <w:br w:type="page"/>
      </w:r>
    </w:p>
    <w:p w14:paraId="1DBF991B" w14:textId="77777777" w:rsidR="00EB70E0" w:rsidRPr="005F4295" w:rsidRDefault="00EB70E0" w:rsidP="00EB70E0">
      <w:pPr>
        <w:pStyle w:val="HeadingMan-NumT-AnnexesL3-111"/>
        <w:rPr>
          <w:rFonts w:ascii="EC Square Sans Pro" w:hAnsi="EC Square Sans Pro"/>
          <w:noProof/>
        </w:rPr>
      </w:pPr>
      <w:bookmarkStart w:id="38" w:name="_Toc229386266"/>
      <w:r w:rsidRPr="005F4295">
        <w:rPr>
          <w:rFonts w:ascii="EC Square Sans Pro" w:hAnsi="EC Square Sans Pro"/>
        </w:rPr>
        <w:t>5.</w:t>
      </w:r>
      <w:r w:rsidRPr="005F4295">
        <w:rPr>
          <w:rFonts w:ascii="EC Square Sans Pro" w:hAnsi="EC Square Sans Pro"/>
          <w:noProof/>
        </w:rPr>
        <w:t>2.2.</w:t>
      </w:r>
      <w:r w:rsidRPr="005F4295">
        <w:rPr>
          <w:rFonts w:ascii="EC Square Sans Pro" w:hAnsi="EC Square Sans Pro"/>
          <w:noProof/>
        </w:rPr>
        <w:tab/>
        <w:t>Overview of the Commission’s risk at payment and at closure</w:t>
      </w:r>
      <w:bookmarkEnd w:id="38"/>
    </w:p>
    <w:p w14:paraId="5A615DE0" w14:textId="5826CBD4" w:rsidR="00EB70E0" w:rsidRPr="005F4295" w:rsidRDefault="00EB70E0" w:rsidP="00EB70E0">
      <w:pPr>
        <w:rPr>
          <w:noProof/>
        </w:rPr>
      </w:pPr>
      <w:r w:rsidRPr="005F4295">
        <w:rPr>
          <w:noProof/>
        </w:rPr>
        <w:t>Table</w:t>
      </w:r>
      <w:r w:rsidRPr="005F4295">
        <w:rPr>
          <w:rFonts w:ascii="Calibri" w:hAnsi="Calibri" w:cs="Calibri"/>
          <w:noProof/>
        </w:rPr>
        <w:t> </w:t>
      </w:r>
      <w:r w:rsidRPr="005F4295">
        <w:rPr>
          <w:noProof/>
        </w:rPr>
        <w:t xml:space="preserve">A presents an overview of the Commission’s risk at payment/closure by </w:t>
      </w:r>
      <w:r w:rsidR="00673000" w:rsidRPr="005F4295">
        <w:rPr>
          <w:noProof/>
        </w:rPr>
        <w:t>heading</w:t>
      </w:r>
      <w:r w:rsidRPr="005F4295">
        <w:rPr>
          <w:noProof/>
        </w:rPr>
        <w:t xml:space="preserve">. For the purpose of this report, each </w:t>
      </w:r>
      <w:r w:rsidR="00ED5F0F" w:rsidRPr="005F4295">
        <w:rPr>
          <w:noProof/>
        </w:rPr>
        <w:t xml:space="preserve">of the 52 Commission </w:t>
      </w:r>
      <w:r w:rsidRPr="005F4295">
        <w:rPr>
          <w:noProof/>
        </w:rPr>
        <w:t>department</w:t>
      </w:r>
      <w:r w:rsidR="008B7EDF" w:rsidRPr="005F4295">
        <w:rPr>
          <w:noProof/>
        </w:rPr>
        <w:t>s</w:t>
      </w:r>
      <w:r w:rsidRPr="005F4295">
        <w:rPr>
          <w:noProof/>
        </w:rPr>
        <w:t xml:space="preserve"> is allocated entirely to only one of the seven </w:t>
      </w:r>
      <w:r w:rsidR="00062898" w:rsidRPr="005F4295">
        <w:rPr>
          <w:noProof/>
        </w:rPr>
        <w:t>headings</w:t>
      </w:r>
      <w:r w:rsidRPr="005F4295">
        <w:rPr>
          <w:noProof/>
        </w:rPr>
        <w:t xml:space="preserve">, except for DG </w:t>
      </w:r>
      <w:r w:rsidR="00FA3ADF" w:rsidRPr="005F4295">
        <w:rPr>
          <w:noProof/>
        </w:rPr>
        <w:t>Budget</w:t>
      </w:r>
      <w:r w:rsidR="00A33A97" w:rsidRPr="005F4295">
        <w:rPr>
          <w:noProof/>
        </w:rPr>
        <w:t>,</w:t>
      </w:r>
      <w:r w:rsidR="00FA3ADF" w:rsidRPr="005F4295">
        <w:rPr>
          <w:noProof/>
        </w:rPr>
        <w:t xml:space="preserve"> DG </w:t>
      </w:r>
      <w:r w:rsidR="004D1E2F" w:rsidRPr="005F4295">
        <w:rPr>
          <w:noProof/>
        </w:rPr>
        <w:t>Economic and Financial Affairs</w:t>
      </w:r>
      <w:r w:rsidR="00A33A97" w:rsidRPr="005F4295">
        <w:rPr>
          <w:noProof/>
        </w:rPr>
        <w:t xml:space="preserve"> and </w:t>
      </w:r>
      <w:r w:rsidRPr="005F4295">
        <w:rPr>
          <w:noProof/>
        </w:rPr>
        <w:t>DG Defence Industry and Space.</w:t>
      </w:r>
    </w:p>
    <w:p w14:paraId="645B35A3" w14:textId="0C5AF005" w:rsidR="00EB70E0" w:rsidRPr="005F4295" w:rsidRDefault="00EB70E0" w:rsidP="00EB70E0">
      <w:pPr>
        <w:pStyle w:val="TableTitle"/>
        <w:rPr>
          <w:noProof/>
        </w:rPr>
      </w:pPr>
      <w:r w:rsidRPr="005F4295">
        <w:rPr>
          <w:noProof/>
        </w:rPr>
        <w:t>Table</w:t>
      </w:r>
      <w:r w:rsidRPr="005F4295">
        <w:rPr>
          <w:rFonts w:ascii="Calibri" w:hAnsi="Calibri" w:cs="Calibri"/>
          <w:noProof/>
        </w:rPr>
        <w:t> </w:t>
      </w:r>
      <w:r w:rsidRPr="005F4295">
        <w:rPr>
          <w:noProof/>
        </w:rPr>
        <w:t>A</w:t>
      </w:r>
      <w:r w:rsidRPr="005F4295">
        <w:rPr>
          <w:rFonts w:ascii="Calibri" w:hAnsi="Calibri" w:cs="Calibri"/>
          <w:noProof/>
        </w:rPr>
        <w:t> </w:t>
      </w:r>
      <w:r w:rsidRPr="005F4295">
        <w:rPr>
          <w:noProof/>
        </w:rPr>
        <w:t xml:space="preserve">– Risk at payment/closure by policy area for the whole Commission in </w:t>
      </w:r>
      <w:r w:rsidR="00B25492" w:rsidRPr="005F4295">
        <w:rPr>
          <w:noProof/>
        </w:rPr>
        <w:t>2025</w:t>
      </w:r>
      <w:r w:rsidR="005E6228" w:rsidRPr="005F4295">
        <w:rPr>
          <w:noProof/>
        </w:rPr>
        <w:br/>
      </w:r>
      <w:r w:rsidR="00B25492" w:rsidRPr="005F4295">
        <w:rPr>
          <w:noProof/>
        </w:rPr>
        <w:t xml:space="preserve"> </w:t>
      </w:r>
      <w:r w:rsidRPr="005F4295">
        <w:rPr>
          <w:noProof/>
        </w:rPr>
        <w:t>(million</w:t>
      </w:r>
      <w:r w:rsidR="007A69A2" w:rsidRPr="005F4295">
        <w:rPr>
          <w:rFonts w:ascii="Calibri" w:hAnsi="Calibri" w:cs="Calibri"/>
          <w:noProof/>
        </w:rPr>
        <w:t xml:space="preserve"> </w:t>
      </w:r>
      <w:r w:rsidRPr="005F4295">
        <w:rPr>
          <w:noProof/>
        </w:rPr>
        <w:t>EUR)</w:t>
      </w:r>
    </w:p>
    <w:tbl>
      <w:tblPr>
        <w:tblStyle w:val="BodyTable2"/>
        <w:tblW w:w="10090" w:type="dxa"/>
        <w:tblLayout w:type="fixed"/>
        <w:tblCellMar>
          <w:left w:w="57" w:type="dxa"/>
          <w:right w:w="57" w:type="dxa"/>
        </w:tblCellMar>
        <w:tblLook w:val="04A0" w:firstRow="1" w:lastRow="0" w:firstColumn="1" w:lastColumn="0" w:noHBand="0" w:noVBand="1"/>
      </w:tblPr>
      <w:tblGrid>
        <w:gridCol w:w="1464"/>
        <w:gridCol w:w="1077"/>
        <w:gridCol w:w="1077"/>
        <w:gridCol w:w="1078"/>
        <w:gridCol w:w="1082"/>
        <w:gridCol w:w="1078"/>
        <w:gridCol w:w="1078"/>
        <w:gridCol w:w="1078"/>
        <w:gridCol w:w="1078"/>
      </w:tblGrid>
      <w:tr w:rsidR="00EB70E0" w:rsidRPr="005F4295" w14:paraId="091C0C9D" w14:textId="77777777" w:rsidTr="00F20ED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726" w:type="pct"/>
            <w:vMerge w:val="restart"/>
            <w:noWrap/>
            <w:vAlign w:val="center"/>
            <w:hideMark/>
          </w:tcPr>
          <w:p w14:paraId="1A259133" w14:textId="77777777" w:rsidR="00EB70E0" w:rsidRPr="005F4295" w:rsidRDefault="00EB70E0">
            <w:pPr>
              <w:rPr>
                <w:noProof/>
                <w:sz w:val="18"/>
                <w:szCs w:val="18"/>
              </w:rPr>
            </w:pPr>
            <w:r w:rsidRPr="005F4295">
              <w:rPr>
                <w:noProof/>
                <w:sz w:val="18"/>
                <w:szCs w:val="18"/>
              </w:rPr>
              <w:t>Policy area</w:t>
            </w:r>
          </w:p>
        </w:tc>
        <w:tc>
          <w:tcPr>
            <w:tcW w:w="2138" w:type="pct"/>
            <w:gridSpan w:val="4"/>
            <w:noWrap/>
            <w:vAlign w:val="center"/>
            <w:hideMark/>
          </w:tcPr>
          <w:p w14:paraId="2E4002FB" w14:textId="437B1FCA" w:rsidR="00EB70E0" w:rsidRPr="005F4295" w:rsidRDefault="00EB70E0">
            <w:pPr>
              <w:cnfStyle w:val="100000000000" w:firstRow="1" w:lastRow="0" w:firstColumn="0" w:lastColumn="0" w:oddVBand="0" w:evenVBand="0" w:oddHBand="0" w:evenHBand="0" w:firstRowFirstColumn="0" w:firstRowLastColumn="0" w:lastRowFirstColumn="0" w:lastRowLastColumn="0"/>
              <w:rPr>
                <w:noProof/>
                <w:sz w:val="18"/>
                <w:szCs w:val="18"/>
              </w:rPr>
            </w:pPr>
            <w:r w:rsidRPr="005F4295">
              <w:rPr>
                <w:noProof/>
                <w:color w:val="auto"/>
                <w:sz w:val="18"/>
                <w:szCs w:val="18"/>
              </w:rPr>
              <w:t>202</w:t>
            </w:r>
            <w:r w:rsidR="00ED3292" w:rsidRPr="005F4295">
              <w:rPr>
                <w:noProof/>
                <w:color w:val="auto"/>
                <w:sz w:val="18"/>
                <w:szCs w:val="18"/>
              </w:rPr>
              <w:t>5</w:t>
            </w:r>
          </w:p>
        </w:tc>
        <w:tc>
          <w:tcPr>
            <w:tcW w:w="2136" w:type="pct"/>
            <w:gridSpan w:val="4"/>
            <w:noWrap/>
            <w:vAlign w:val="center"/>
            <w:hideMark/>
          </w:tcPr>
          <w:p w14:paraId="68BF2C86" w14:textId="4B3CC1A4" w:rsidR="00EB70E0" w:rsidRPr="005F4295" w:rsidRDefault="00EB70E0">
            <w:pPr>
              <w:cnfStyle w:val="100000000000" w:firstRow="1" w:lastRow="0" w:firstColumn="0" w:lastColumn="0" w:oddVBand="0" w:evenVBand="0" w:oddHBand="0" w:evenHBand="0" w:firstRowFirstColumn="0" w:firstRowLastColumn="0" w:lastRowFirstColumn="0" w:lastRowLastColumn="0"/>
              <w:rPr>
                <w:noProof/>
                <w:sz w:val="18"/>
                <w:szCs w:val="18"/>
              </w:rPr>
            </w:pPr>
            <w:r w:rsidRPr="005F4295">
              <w:rPr>
                <w:noProof/>
                <w:color w:val="auto"/>
                <w:sz w:val="18"/>
                <w:szCs w:val="18"/>
              </w:rPr>
              <w:t>202</w:t>
            </w:r>
            <w:r w:rsidR="00ED3292" w:rsidRPr="005F4295">
              <w:rPr>
                <w:noProof/>
                <w:color w:val="auto"/>
                <w:sz w:val="18"/>
                <w:szCs w:val="18"/>
              </w:rPr>
              <w:t>4</w:t>
            </w:r>
          </w:p>
        </w:tc>
      </w:tr>
      <w:tr w:rsidR="00EB70E0" w:rsidRPr="005F4295" w14:paraId="16EDEC2F" w14:textId="77777777" w:rsidTr="00F20ED1">
        <w:trPr>
          <w:cnfStyle w:val="100000000000" w:firstRow="1" w:lastRow="0" w:firstColumn="0" w:lastColumn="0" w:oddVBand="0" w:evenVBand="0" w:oddHBand="0" w:evenHBand="0" w:firstRowFirstColumn="0" w:firstRowLastColumn="0" w:lastRowFirstColumn="0" w:lastRowLastColumn="0"/>
          <w:trHeight w:val="1200"/>
          <w:tblHeader/>
        </w:trPr>
        <w:tc>
          <w:tcPr>
            <w:cnfStyle w:val="001000000000" w:firstRow="0" w:lastRow="0" w:firstColumn="1" w:lastColumn="0" w:oddVBand="0" w:evenVBand="0" w:oddHBand="0" w:evenHBand="0" w:firstRowFirstColumn="0" w:firstRowLastColumn="0" w:lastRowFirstColumn="0" w:lastRowLastColumn="0"/>
            <w:tcW w:w="726" w:type="pct"/>
            <w:vMerge/>
            <w:tcBorders>
              <w:bottom w:val="single" w:sz="4" w:space="0" w:color="8C8C8C"/>
            </w:tcBorders>
            <w:noWrap/>
            <w:hideMark/>
          </w:tcPr>
          <w:p w14:paraId="141CA726" w14:textId="77777777" w:rsidR="00EB70E0" w:rsidRPr="005F4295" w:rsidRDefault="00EB70E0">
            <w:pPr>
              <w:rPr>
                <w:noProof/>
                <w:sz w:val="18"/>
                <w:szCs w:val="18"/>
              </w:rPr>
            </w:pPr>
          </w:p>
        </w:tc>
        <w:tc>
          <w:tcPr>
            <w:tcW w:w="534" w:type="pct"/>
            <w:tcBorders>
              <w:bottom w:val="single" w:sz="4" w:space="0" w:color="8C8C8C"/>
            </w:tcBorders>
            <w:hideMark/>
          </w:tcPr>
          <w:p w14:paraId="785F3F56" w14:textId="692B6C3A" w:rsidR="00A31C8F" w:rsidRPr="005F4295" w:rsidRDefault="00EB70E0" w:rsidP="00A31C8F">
            <w:pPr>
              <w:suppressAutoHyphens w:val="0"/>
              <w:spacing w:after="0"/>
              <w:cnfStyle w:val="100000000000" w:firstRow="1" w:lastRow="0" w:firstColumn="0" w:lastColumn="0" w:oddVBand="0" w:evenVBand="0" w:oddHBand="0" w:evenHBand="0" w:firstRowFirstColumn="0" w:firstRowLastColumn="0" w:lastRowFirstColumn="0" w:lastRowLastColumn="0"/>
              <w:rPr>
                <w:b w:val="0"/>
                <w:noProof/>
                <w:sz w:val="18"/>
                <w:szCs w:val="18"/>
              </w:rPr>
            </w:pPr>
            <w:r w:rsidRPr="005F4295">
              <w:rPr>
                <w:noProof/>
                <w:color w:val="auto"/>
                <w:sz w:val="18"/>
                <w:szCs w:val="18"/>
              </w:rPr>
              <w:t xml:space="preserve">Relevant </w:t>
            </w:r>
            <w:r w:rsidR="006037B6" w:rsidRPr="005F4295">
              <w:rPr>
                <w:noProof/>
                <w:color w:val="auto"/>
                <w:sz w:val="18"/>
                <w:szCs w:val="18"/>
              </w:rPr>
              <w:t>e</w:t>
            </w:r>
            <w:r w:rsidRPr="005F4295">
              <w:rPr>
                <w:noProof/>
                <w:sz w:val="18"/>
                <w:szCs w:val="18"/>
              </w:rPr>
              <w:t>xpendi</w:t>
            </w:r>
            <w:r w:rsidRPr="005F4295">
              <w:rPr>
                <w:noProof/>
                <w:sz w:val="18"/>
                <w:szCs w:val="18"/>
              </w:rPr>
              <w:softHyphen/>
              <w:t>ture</w:t>
            </w:r>
          </w:p>
          <w:p w14:paraId="2A45148E" w14:textId="086FDBA3" w:rsidR="00EB70E0" w:rsidRPr="005F4295" w:rsidRDefault="00EB70E0" w:rsidP="00A31C8F">
            <w:pPr>
              <w:suppressAutoHyphens w:val="0"/>
              <w:spacing w:before="0"/>
              <w:cnfStyle w:val="100000000000" w:firstRow="1" w:lastRow="0" w:firstColumn="0" w:lastColumn="0" w:oddVBand="0" w:evenVBand="0" w:oddHBand="0" w:evenHBand="0" w:firstRowFirstColumn="0" w:firstRowLastColumn="0" w:lastRowFirstColumn="0" w:lastRowLastColumn="0"/>
              <w:rPr>
                <w:noProof/>
                <w:sz w:val="18"/>
                <w:szCs w:val="18"/>
              </w:rPr>
            </w:pPr>
            <w:r w:rsidRPr="005F4295">
              <w:rPr>
                <w:noProof/>
                <w:color w:val="auto"/>
                <w:sz w:val="18"/>
                <w:szCs w:val="18"/>
              </w:rPr>
              <w:t>(million EUR)</w:t>
            </w:r>
            <w:r w:rsidRPr="005F4295">
              <w:rPr>
                <w:rFonts w:ascii="Calibri" w:hAnsi="Calibri" w:cs="Calibri"/>
                <w:noProof/>
                <w:color w:val="auto"/>
                <w:sz w:val="18"/>
                <w:szCs w:val="18"/>
              </w:rPr>
              <w:t> </w:t>
            </w:r>
            <w:r w:rsidRPr="00F20ED1">
              <w:rPr>
                <w:b w:val="0"/>
                <w:bCs/>
                <w:sz w:val="18"/>
                <w:szCs w:val="18"/>
              </w:rPr>
              <w:t>(*)</w:t>
            </w:r>
          </w:p>
        </w:tc>
        <w:tc>
          <w:tcPr>
            <w:tcW w:w="534" w:type="pct"/>
            <w:tcBorders>
              <w:bottom w:val="single" w:sz="4" w:space="0" w:color="8C8C8C"/>
            </w:tcBorders>
            <w:hideMark/>
          </w:tcPr>
          <w:p w14:paraId="05545EA9" w14:textId="77777777" w:rsidR="00A31C8F" w:rsidRPr="005F4295" w:rsidRDefault="00EB70E0" w:rsidP="00A31C8F">
            <w:pPr>
              <w:spacing w:after="0"/>
              <w:cnfStyle w:val="100000000000" w:firstRow="1" w:lastRow="0" w:firstColumn="0" w:lastColumn="0" w:oddVBand="0" w:evenVBand="0" w:oddHBand="0" w:evenHBand="0" w:firstRowFirstColumn="0" w:firstRowLastColumn="0" w:lastRowFirstColumn="0" w:lastRowLastColumn="0"/>
              <w:rPr>
                <w:b w:val="0"/>
                <w:noProof/>
                <w:sz w:val="18"/>
                <w:szCs w:val="18"/>
              </w:rPr>
            </w:pPr>
            <w:r w:rsidRPr="005F4295">
              <w:rPr>
                <w:noProof/>
                <w:color w:val="auto"/>
                <w:sz w:val="18"/>
                <w:szCs w:val="18"/>
              </w:rPr>
              <w:t>Estimated risk at payment</w:t>
            </w:r>
          </w:p>
          <w:p w14:paraId="37324475" w14:textId="41E3ECD3" w:rsidR="00EB70E0" w:rsidRPr="005F4295" w:rsidRDefault="00EB70E0" w:rsidP="00A31C8F">
            <w:pPr>
              <w:suppressAutoHyphens w:val="0"/>
              <w:spacing w:before="0"/>
              <w:cnfStyle w:val="100000000000" w:firstRow="1" w:lastRow="0" w:firstColumn="0" w:lastColumn="0" w:oddVBand="0" w:evenVBand="0" w:oddHBand="0" w:evenHBand="0" w:firstRowFirstColumn="0" w:firstRowLastColumn="0" w:lastRowFirstColumn="0" w:lastRowLastColumn="0"/>
              <w:rPr>
                <w:noProof/>
                <w:sz w:val="18"/>
                <w:szCs w:val="18"/>
              </w:rPr>
            </w:pPr>
            <w:r w:rsidRPr="005F4295">
              <w:rPr>
                <w:noProof/>
                <w:color w:val="auto"/>
                <w:sz w:val="18"/>
                <w:szCs w:val="18"/>
              </w:rPr>
              <w:t>(in percent)</w:t>
            </w:r>
            <w:r w:rsidR="007A69A2" w:rsidRPr="005F4295">
              <w:rPr>
                <w:rFonts w:ascii="Calibri" w:hAnsi="Calibri" w:cs="Calibri"/>
                <w:noProof/>
                <w:color w:val="auto"/>
                <w:sz w:val="18"/>
                <w:szCs w:val="18"/>
              </w:rPr>
              <w:t> </w:t>
            </w:r>
            <w:r w:rsidR="00F7059D" w:rsidRPr="005F4295">
              <w:rPr>
                <w:b w:val="0"/>
                <w:sz w:val="18"/>
                <w:szCs w:val="18"/>
              </w:rPr>
              <w:t>(*</w:t>
            </w:r>
            <w:r w:rsidR="00694469" w:rsidRPr="005F4295">
              <w:rPr>
                <w:b w:val="0"/>
                <w:sz w:val="18"/>
                <w:szCs w:val="18"/>
              </w:rPr>
              <w:t>*</w:t>
            </w:r>
            <w:r w:rsidR="00F7059D" w:rsidRPr="005F4295">
              <w:rPr>
                <w:b w:val="0"/>
                <w:sz w:val="18"/>
                <w:szCs w:val="18"/>
              </w:rPr>
              <w:t>)</w:t>
            </w:r>
          </w:p>
        </w:tc>
        <w:tc>
          <w:tcPr>
            <w:tcW w:w="534" w:type="pct"/>
            <w:tcBorders>
              <w:bottom w:val="single" w:sz="4" w:space="0" w:color="8C8C8C"/>
            </w:tcBorders>
            <w:hideMark/>
          </w:tcPr>
          <w:p w14:paraId="46B3B5C9" w14:textId="77777777" w:rsidR="00A31C8F" w:rsidRPr="005F4295" w:rsidRDefault="00EB70E0" w:rsidP="00A31C8F">
            <w:pPr>
              <w:spacing w:after="0"/>
              <w:cnfStyle w:val="100000000000" w:firstRow="1" w:lastRow="0" w:firstColumn="0" w:lastColumn="0" w:oddVBand="0" w:evenVBand="0" w:oddHBand="0" w:evenHBand="0" w:firstRowFirstColumn="0" w:firstRowLastColumn="0" w:lastRowFirstColumn="0" w:lastRowLastColumn="0"/>
              <w:rPr>
                <w:b w:val="0"/>
                <w:noProof/>
                <w:sz w:val="18"/>
                <w:szCs w:val="18"/>
              </w:rPr>
            </w:pPr>
            <w:r w:rsidRPr="005F4295">
              <w:rPr>
                <w:noProof/>
                <w:color w:val="auto"/>
                <w:sz w:val="18"/>
                <w:szCs w:val="18"/>
              </w:rPr>
              <w:t>Estimated future correc</w:t>
            </w:r>
            <w:r w:rsidRPr="005F4295">
              <w:rPr>
                <w:noProof/>
                <w:color w:val="auto"/>
                <w:sz w:val="18"/>
                <w:szCs w:val="18"/>
              </w:rPr>
              <w:softHyphen/>
              <w:t>tions</w:t>
            </w:r>
          </w:p>
          <w:p w14:paraId="1E79112D" w14:textId="3FE6B499" w:rsidR="00EB70E0" w:rsidRPr="005F4295" w:rsidRDefault="00EB70E0" w:rsidP="00A31C8F">
            <w:pPr>
              <w:suppressAutoHyphens w:val="0"/>
              <w:spacing w:before="0"/>
              <w:cnfStyle w:val="100000000000" w:firstRow="1" w:lastRow="0" w:firstColumn="0" w:lastColumn="0" w:oddVBand="0" w:evenVBand="0" w:oddHBand="0" w:evenHBand="0" w:firstRowFirstColumn="0" w:firstRowLastColumn="0" w:lastRowFirstColumn="0" w:lastRowLastColumn="0"/>
              <w:rPr>
                <w:noProof/>
                <w:sz w:val="18"/>
                <w:szCs w:val="18"/>
              </w:rPr>
            </w:pPr>
            <w:r w:rsidRPr="005F4295">
              <w:rPr>
                <w:noProof/>
                <w:color w:val="auto"/>
                <w:sz w:val="18"/>
                <w:szCs w:val="18"/>
              </w:rPr>
              <w:t>(in percent)</w:t>
            </w:r>
          </w:p>
        </w:tc>
        <w:tc>
          <w:tcPr>
            <w:tcW w:w="536" w:type="pct"/>
            <w:tcBorders>
              <w:bottom w:val="single" w:sz="4" w:space="0" w:color="8C8C8C"/>
            </w:tcBorders>
            <w:hideMark/>
          </w:tcPr>
          <w:p w14:paraId="7DEF32C8" w14:textId="77777777" w:rsidR="00A31C8F" w:rsidRPr="005F4295" w:rsidRDefault="00EB70E0" w:rsidP="00A31C8F">
            <w:pPr>
              <w:spacing w:after="0"/>
              <w:cnfStyle w:val="100000000000" w:firstRow="1" w:lastRow="0" w:firstColumn="0" w:lastColumn="0" w:oddVBand="0" w:evenVBand="0" w:oddHBand="0" w:evenHBand="0" w:firstRowFirstColumn="0" w:firstRowLastColumn="0" w:lastRowFirstColumn="0" w:lastRowLastColumn="0"/>
              <w:rPr>
                <w:b w:val="0"/>
                <w:noProof/>
                <w:sz w:val="18"/>
                <w:szCs w:val="18"/>
              </w:rPr>
            </w:pPr>
            <w:r w:rsidRPr="005F4295">
              <w:rPr>
                <w:noProof/>
                <w:color w:val="auto"/>
                <w:sz w:val="18"/>
                <w:szCs w:val="18"/>
              </w:rPr>
              <w:t>Estimated risk at closure</w:t>
            </w:r>
          </w:p>
          <w:p w14:paraId="2594A891" w14:textId="25B73CC8" w:rsidR="00EB70E0" w:rsidRPr="005F4295" w:rsidRDefault="00EB70E0" w:rsidP="00A31C8F">
            <w:pPr>
              <w:suppressAutoHyphens w:val="0"/>
              <w:spacing w:before="0"/>
              <w:cnfStyle w:val="100000000000" w:firstRow="1" w:lastRow="0" w:firstColumn="0" w:lastColumn="0" w:oddVBand="0" w:evenVBand="0" w:oddHBand="0" w:evenHBand="0" w:firstRowFirstColumn="0" w:firstRowLastColumn="0" w:lastRowFirstColumn="0" w:lastRowLastColumn="0"/>
              <w:rPr>
                <w:noProof/>
                <w:sz w:val="18"/>
                <w:szCs w:val="18"/>
              </w:rPr>
            </w:pPr>
            <w:r w:rsidRPr="005F4295">
              <w:rPr>
                <w:noProof/>
                <w:color w:val="auto"/>
                <w:sz w:val="18"/>
                <w:szCs w:val="18"/>
              </w:rPr>
              <w:t>(in percent)</w:t>
            </w:r>
          </w:p>
        </w:tc>
        <w:tc>
          <w:tcPr>
            <w:tcW w:w="534" w:type="pct"/>
            <w:tcBorders>
              <w:bottom w:val="single" w:sz="4" w:space="0" w:color="8C8C8C"/>
            </w:tcBorders>
            <w:hideMark/>
          </w:tcPr>
          <w:p w14:paraId="616D349E" w14:textId="600128E0" w:rsidR="00A31C8F" w:rsidRPr="005F4295" w:rsidRDefault="00EB70E0" w:rsidP="00A31C8F">
            <w:pPr>
              <w:spacing w:after="0"/>
              <w:cnfStyle w:val="100000000000" w:firstRow="1" w:lastRow="0" w:firstColumn="0" w:lastColumn="0" w:oddVBand="0" w:evenVBand="0" w:oddHBand="0" w:evenHBand="0" w:firstRowFirstColumn="0" w:firstRowLastColumn="0" w:lastRowFirstColumn="0" w:lastRowLastColumn="0"/>
              <w:rPr>
                <w:b w:val="0"/>
                <w:noProof/>
                <w:sz w:val="18"/>
                <w:szCs w:val="18"/>
              </w:rPr>
            </w:pPr>
            <w:r w:rsidRPr="005F4295">
              <w:rPr>
                <w:noProof/>
                <w:color w:val="auto"/>
                <w:sz w:val="18"/>
                <w:szCs w:val="18"/>
              </w:rPr>
              <w:t xml:space="preserve">Relevant </w:t>
            </w:r>
            <w:r w:rsidR="006037B6" w:rsidRPr="005F4295">
              <w:rPr>
                <w:noProof/>
                <w:color w:val="auto"/>
                <w:sz w:val="18"/>
                <w:szCs w:val="18"/>
              </w:rPr>
              <w:t>e</w:t>
            </w:r>
            <w:r w:rsidRPr="005F4295">
              <w:rPr>
                <w:noProof/>
                <w:color w:val="auto"/>
                <w:sz w:val="18"/>
                <w:szCs w:val="18"/>
              </w:rPr>
              <w:t>xpendi</w:t>
            </w:r>
            <w:r w:rsidRPr="005F4295">
              <w:rPr>
                <w:noProof/>
                <w:color w:val="auto"/>
                <w:sz w:val="18"/>
                <w:szCs w:val="18"/>
              </w:rPr>
              <w:softHyphen/>
              <w:t>ture</w:t>
            </w:r>
          </w:p>
          <w:p w14:paraId="53138583" w14:textId="20B8F207" w:rsidR="00EB70E0" w:rsidRPr="005F4295" w:rsidRDefault="00EB70E0" w:rsidP="00A31C8F">
            <w:pPr>
              <w:suppressAutoHyphens w:val="0"/>
              <w:spacing w:before="0"/>
              <w:cnfStyle w:val="100000000000" w:firstRow="1" w:lastRow="0" w:firstColumn="0" w:lastColumn="0" w:oddVBand="0" w:evenVBand="0" w:oddHBand="0" w:evenHBand="0" w:firstRowFirstColumn="0" w:firstRowLastColumn="0" w:lastRowFirstColumn="0" w:lastRowLastColumn="0"/>
              <w:rPr>
                <w:noProof/>
                <w:sz w:val="18"/>
                <w:szCs w:val="18"/>
              </w:rPr>
            </w:pPr>
            <w:r w:rsidRPr="005F4295">
              <w:rPr>
                <w:noProof/>
                <w:color w:val="auto"/>
                <w:sz w:val="18"/>
                <w:szCs w:val="18"/>
              </w:rPr>
              <w:t>(million EUR)</w:t>
            </w:r>
          </w:p>
        </w:tc>
        <w:tc>
          <w:tcPr>
            <w:tcW w:w="534" w:type="pct"/>
            <w:tcBorders>
              <w:bottom w:val="single" w:sz="4" w:space="0" w:color="8C8C8C"/>
            </w:tcBorders>
            <w:hideMark/>
          </w:tcPr>
          <w:p w14:paraId="087C28D7" w14:textId="77777777" w:rsidR="00A31C8F" w:rsidRPr="005F4295" w:rsidRDefault="00EB70E0" w:rsidP="00A31C8F">
            <w:pPr>
              <w:spacing w:after="0"/>
              <w:cnfStyle w:val="100000000000" w:firstRow="1" w:lastRow="0" w:firstColumn="0" w:lastColumn="0" w:oddVBand="0" w:evenVBand="0" w:oddHBand="0" w:evenHBand="0" w:firstRowFirstColumn="0" w:firstRowLastColumn="0" w:lastRowFirstColumn="0" w:lastRowLastColumn="0"/>
              <w:rPr>
                <w:b w:val="0"/>
                <w:noProof/>
                <w:sz w:val="18"/>
                <w:szCs w:val="18"/>
              </w:rPr>
            </w:pPr>
            <w:r w:rsidRPr="005F4295">
              <w:rPr>
                <w:noProof/>
                <w:color w:val="auto"/>
                <w:sz w:val="18"/>
                <w:szCs w:val="18"/>
              </w:rPr>
              <w:t>Estimated risk at payment</w:t>
            </w:r>
          </w:p>
          <w:p w14:paraId="2EF5CD54" w14:textId="278A0B7E" w:rsidR="00EB70E0" w:rsidRPr="005F4295" w:rsidRDefault="00EB70E0" w:rsidP="00A31C8F">
            <w:pPr>
              <w:suppressAutoHyphens w:val="0"/>
              <w:spacing w:before="0"/>
              <w:cnfStyle w:val="100000000000" w:firstRow="1" w:lastRow="0" w:firstColumn="0" w:lastColumn="0" w:oddVBand="0" w:evenVBand="0" w:oddHBand="0" w:evenHBand="0" w:firstRowFirstColumn="0" w:firstRowLastColumn="0" w:lastRowFirstColumn="0" w:lastRowLastColumn="0"/>
              <w:rPr>
                <w:noProof/>
                <w:sz w:val="18"/>
                <w:szCs w:val="18"/>
              </w:rPr>
            </w:pPr>
            <w:r w:rsidRPr="005F4295">
              <w:rPr>
                <w:noProof/>
                <w:color w:val="auto"/>
                <w:sz w:val="18"/>
                <w:szCs w:val="18"/>
              </w:rPr>
              <w:t>(in percent)</w:t>
            </w:r>
            <w:r w:rsidR="006037B6" w:rsidRPr="005F4295">
              <w:rPr>
                <w:rFonts w:ascii="Calibri" w:hAnsi="Calibri" w:cs="Calibri"/>
                <w:noProof/>
                <w:color w:val="auto"/>
                <w:sz w:val="18"/>
                <w:szCs w:val="18"/>
              </w:rPr>
              <w:t> </w:t>
            </w:r>
            <w:r w:rsidRPr="00F20ED1">
              <w:rPr>
                <w:b w:val="0"/>
                <w:bCs/>
                <w:sz w:val="18"/>
                <w:szCs w:val="18"/>
              </w:rPr>
              <w:t>(**)</w:t>
            </w:r>
          </w:p>
        </w:tc>
        <w:tc>
          <w:tcPr>
            <w:tcW w:w="534" w:type="pct"/>
            <w:tcBorders>
              <w:bottom w:val="single" w:sz="4" w:space="0" w:color="8C8C8C"/>
            </w:tcBorders>
            <w:hideMark/>
          </w:tcPr>
          <w:p w14:paraId="60AEB3A3" w14:textId="77777777" w:rsidR="00A31C8F" w:rsidRPr="005F4295" w:rsidRDefault="00EB70E0" w:rsidP="00A31C8F">
            <w:pPr>
              <w:spacing w:after="0"/>
              <w:cnfStyle w:val="100000000000" w:firstRow="1" w:lastRow="0" w:firstColumn="0" w:lastColumn="0" w:oddVBand="0" w:evenVBand="0" w:oddHBand="0" w:evenHBand="0" w:firstRowFirstColumn="0" w:firstRowLastColumn="0" w:lastRowFirstColumn="0" w:lastRowLastColumn="0"/>
              <w:rPr>
                <w:b w:val="0"/>
                <w:noProof/>
                <w:sz w:val="18"/>
                <w:szCs w:val="18"/>
              </w:rPr>
            </w:pPr>
            <w:r w:rsidRPr="005F4295">
              <w:rPr>
                <w:noProof/>
                <w:color w:val="auto"/>
                <w:sz w:val="18"/>
                <w:szCs w:val="18"/>
              </w:rPr>
              <w:t>Estimated future correc</w:t>
            </w:r>
            <w:r w:rsidRPr="005F4295">
              <w:rPr>
                <w:noProof/>
                <w:color w:val="auto"/>
                <w:sz w:val="18"/>
                <w:szCs w:val="18"/>
              </w:rPr>
              <w:softHyphen/>
              <w:t>tions</w:t>
            </w:r>
          </w:p>
          <w:p w14:paraId="26D2E815" w14:textId="2FF469EA" w:rsidR="00EB70E0" w:rsidRPr="005F4295" w:rsidRDefault="00EB70E0" w:rsidP="00A31C8F">
            <w:pPr>
              <w:suppressAutoHyphens w:val="0"/>
              <w:spacing w:before="0"/>
              <w:cnfStyle w:val="100000000000" w:firstRow="1" w:lastRow="0" w:firstColumn="0" w:lastColumn="0" w:oddVBand="0" w:evenVBand="0" w:oddHBand="0" w:evenHBand="0" w:firstRowFirstColumn="0" w:firstRowLastColumn="0" w:lastRowFirstColumn="0" w:lastRowLastColumn="0"/>
              <w:rPr>
                <w:noProof/>
                <w:sz w:val="18"/>
                <w:szCs w:val="18"/>
              </w:rPr>
            </w:pPr>
            <w:r w:rsidRPr="005F4295">
              <w:rPr>
                <w:noProof/>
                <w:color w:val="auto"/>
                <w:sz w:val="18"/>
                <w:szCs w:val="18"/>
              </w:rPr>
              <w:t>(in percent)</w:t>
            </w:r>
          </w:p>
        </w:tc>
        <w:tc>
          <w:tcPr>
            <w:tcW w:w="533" w:type="pct"/>
            <w:tcBorders>
              <w:bottom w:val="single" w:sz="4" w:space="0" w:color="8C8C8C"/>
            </w:tcBorders>
            <w:hideMark/>
          </w:tcPr>
          <w:p w14:paraId="3A4D90C2" w14:textId="77777777" w:rsidR="00A31C8F" w:rsidRPr="005F4295" w:rsidRDefault="00EB70E0" w:rsidP="00A31C8F">
            <w:pPr>
              <w:spacing w:after="0"/>
              <w:cnfStyle w:val="100000000000" w:firstRow="1" w:lastRow="0" w:firstColumn="0" w:lastColumn="0" w:oddVBand="0" w:evenVBand="0" w:oddHBand="0" w:evenHBand="0" w:firstRowFirstColumn="0" w:firstRowLastColumn="0" w:lastRowFirstColumn="0" w:lastRowLastColumn="0"/>
              <w:rPr>
                <w:b w:val="0"/>
                <w:noProof/>
                <w:sz w:val="18"/>
                <w:szCs w:val="18"/>
              </w:rPr>
            </w:pPr>
            <w:r w:rsidRPr="005F4295">
              <w:rPr>
                <w:noProof/>
                <w:color w:val="auto"/>
                <w:sz w:val="18"/>
                <w:szCs w:val="18"/>
              </w:rPr>
              <w:t>Estimated risk at closure</w:t>
            </w:r>
          </w:p>
          <w:p w14:paraId="041E3BEF" w14:textId="6066FB93" w:rsidR="00EB70E0" w:rsidRPr="005F4295" w:rsidRDefault="00EB70E0" w:rsidP="00A31C8F">
            <w:pPr>
              <w:suppressAutoHyphens w:val="0"/>
              <w:spacing w:before="0"/>
              <w:cnfStyle w:val="100000000000" w:firstRow="1" w:lastRow="0" w:firstColumn="0" w:lastColumn="0" w:oddVBand="0" w:evenVBand="0" w:oddHBand="0" w:evenHBand="0" w:firstRowFirstColumn="0" w:firstRowLastColumn="0" w:lastRowFirstColumn="0" w:lastRowLastColumn="0"/>
              <w:rPr>
                <w:noProof/>
                <w:sz w:val="18"/>
                <w:szCs w:val="18"/>
              </w:rPr>
            </w:pPr>
            <w:r w:rsidRPr="005F4295">
              <w:rPr>
                <w:noProof/>
                <w:color w:val="auto"/>
                <w:sz w:val="18"/>
                <w:szCs w:val="18"/>
              </w:rPr>
              <w:t>(in percent)</w:t>
            </w:r>
          </w:p>
        </w:tc>
      </w:tr>
      <w:tr w:rsidR="00503490" w:rsidRPr="005F4295" w14:paraId="16D824EA" w14:textId="77777777" w:rsidTr="00F20ED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6" w:type="pct"/>
            <w:tcBorders>
              <w:right w:val="single" w:sz="4" w:space="0" w:color="808080" w:themeColor="background1" w:themeShade="80"/>
            </w:tcBorders>
            <w:noWrap/>
            <w:hideMark/>
          </w:tcPr>
          <w:p w14:paraId="408A8EEE" w14:textId="77777777" w:rsidR="00ED3292" w:rsidRPr="005F4295" w:rsidRDefault="00ED3292" w:rsidP="00ED3292">
            <w:pPr>
              <w:rPr>
                <w:noProof/>
                <w:sz w:val="18"/>
                <w:szCs w:val="18"/>
              </w:rPr>
            </w:pPr>
            <w:r w:rsidRPr="005F4295">
              <w:rPr>
                <w:noProof/>
                <w:color w:val="auto"/>
                <w:sz w:val="18"/>
                <w:szCs w:val="18"/>
              </w:rPr>
              <w:t>1. Single market, innovation and digital</w:t>
            </w:r>
          </w:p>
        </w:tc>
        <w:tc>
          <w:tcPr>
            <w:tcW w:w="534" w:type="pct"/>
            <w:tcBorders>
              <w:left w:val="single" w:sz="4" w:space="0" w:color="808080" w:themeColor="background1" w:themeShade="80"/>
              <w:right w:val="single" w:sz="4" w:space="0" w:color="808080" w:themeColor="background1" w:themeShade="80"/>
            </w:tcBorders>
            <w:noWrap/>
            <w:hideMark/>
          </w:tcPr>
          <w:p w14:paraId="1E9A21B8" w14:textId="75E7ACBF" w:rsidR="00ED3292" w:rsidRPr="005F4295" w:rsidRDefault="0096584A"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18"/>
                <w:szCs w:val="18"/>
              </w:rPr>
            </w:pPr>
            <w:r w:rsidRPr="005F4295">
              <w:rPr>
                <w:rFonts w:asciiTheme="majorHAnsi" w:hAnsiTheme="majorHAnsi"/>
                <w:sz w:val="18"/>
                <w:szCs w:val="18"/>
              </w:rPr>
              <w:t>25</w:t>
            </w:r>
            <w:r w:rsidRPr="005F4295">
              <w:rPr>
                <w:rFonts w:ascii="Calibri" w:hAnsi="Calibri" w:cs="Calibri"/>
                <w:sz w:val="18"/>
                <w:szCs w:val="18"/>
              </w:rPr>
              <w:t> </w:t>
            </w:r>
            <w:r w:rsidRPr="005F4295">
              <w:rPr>
                <w:rFonts w:asciiTheme="majorHAnsi" w:hAnsiTheme="majorHAnsi" w:cs="Calibri"/>
                <w:sz w:val="18"/>
                <w:szCs w:val="18"/>
              </w:rPr>
              <w:t>008</w:t>
            </w:r>
            <w:r w:rsidR="001B3267" w:rsidRPr="005F4295">
              <w:rPr>
                <w:rFonts w:asciiTheme="majorHAnsi" w:hAnsiTheme="majorHAnsi" w:cs="Calibri"/>
                <w:sz w:val="18"/>
                <w:szCs w:val="18"/>
              </w:rPr>
              <w:t>.</w:t>
            </w:r>
            <w:r w:rsidRPr="005F4295">
              <w:rPr>
                <w:rFonts w:asciiTheme="majorHAnsi" w:hAnsiTheme="majorHAnsi" w:cs="Calibri"/>
                <w:sz w:val="18"/>
                <w:szCs w:val="18"/>
              </w:rPr>
              <w:t>9</w:t>
            </w:r>
          </w:p>
        </w:tc>
        <w:tc>
          <w:tcPr>
            <w:tcW w:w="534" w:type="pct"/>
            <w:tcBorders>
              <w:left w:val="single" w:sz="4" w:space="0" w:color="808080" w:themeColor="background1" w:themeShade="80"/>
              <w:right w:val="single" w:sz="4" w:space="0" w:color="808080" w:themeColor="background1" w:themeShade="80"/>
            </w:tcBorders>
            <w:noWrap/>
            <w:hideMark/>
          </w:tcPr>
          <w:p w14:paraId="1A0C60D8" w14:textId="5A8EA4EF" w:rsidR="00ED3292" w:rsidRPr="005F4295" w:rsidRDefault="00C06C3A"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2.1%</w:t>
            </w:r>
          </w:p>
        </w:tc>
        <w:tc>
          <w:tcPr>
            <w:tcW w:w="534" w:type="pct"/>
            <w:tcBorders>
              <w:left w:val="single" w:sz="4" w:space="0" w:color="808080" w:themeColor="background1" w:themeShade="80"/>
              <w:right w:val="single" w:sz="4" w:space="0" w:color="808080" w:themeColor="background1" w:themeShade="80"/>
            </w:tcBorders>
            <w:noWrap/>
            <w:hideMark/>
          </w:tcPr>
          <w:p w14:paraId="67EBFF81" w14:textId="77777777"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0.4%</w:t>
            </w:r>
          </w:p>
        </w:tc>
        <w:tc>
          <w:tcPr>
            <w:tcW w:w="536" w:type="pct"/>
            <w:tcBorders>
              <w:left w:val="single" w:sz="4" w:space="0" w:color="808080" w:themeColor="background1" w:themeShade="80"/>
              <w:right w:val="single" w:sz="4" w:space="0" w:color="808080" w:themeColor="background1" w:themeShade="80"/>
            </w:tcBorders>
            <w:noWrap/>
            <w:hideMark/>
          </w:tcPr>
          <w:p w14:paraId="63B5EB2D" w14:textId="2D5A42DC"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1.</w:t>
            </w:r>
            <w:r w:rsidR="00C06C3A" w:rsidRPr="005F4295">
              <w:rPr>
                <w:rFonts w:asciiTheme="majorHAnsi" w:hAnsiTheme="majorHAnsi"/>
                <w:sz w:val="18"/>
                <w:szCs w:val="18"/>
              </w:rPr>
              <w:t>7</w:t>
            </w:r>
            <w:r w:rsidRPr="005F4295">
              <w:rPr>
                <w:rFonts w:asciiTheme="majorHAnsi" w:hAnsiTheme="majorHAnsi"/>
                <w:sz w:val="18"/>
                <w:szCs w:val="18"/>
              </w:rPr>
              <w:t>%</w:t>
            </w:r>
          </w:p>
        </w:tc>
        <w:tc>
          <w:tcPr>
            <w:tcW w:w="534" w:type="pct"/>
            <w:tcBorders>
              <w:left w:val="single" w:sz="4" w:space="0" w:color="808080" w:themeColor="background1" w:themeShade="80"/>
              <w:right w:val="single" w:sz="4" w:space="0" w:color="808080" w:themeColor="background1" w:themeShade="80"/>
            </w:tcBorders>
            <w:noWrap/>
          </w:tcPr>
          <w:p w14:paraId="550C0C17" w14:textId="459EF706"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24</w:t>
            </w:r>
            <w:r w:rsidRPr="005F4295">
              <w:rPr>
                <w:rFonts w:ascii="Calibri" w:hAnsi="Calibri" w:cs="Calibri"/>
                <w:noProof/>
                <w:sz w:val="18"/>
                <w:szCs w:val="18"/>
              </w:rPr>
              <w:t> </w:t>
            </w:r>
            <w:r w:rsidRPr="005F4295">
              <w:rPr>
                <w:rFonts w:asciiTheme="majorHAnsi" w:hAnsiTheme="majorHAnsi"/>
                <w:noProof/>
                <w:sz w:val="18"/>
                <w:szCs w:val="18"/>
              </w:rPr>
              <w:t>240.3</w:t>
            </w:r>
          </w:p>
        </w:tc>
        <w:tc>
          <w:tcPr>
            <w:tcW w:w="534" w:type="pct"/>
            <w:tcBorders>
              <w:left w:val="single" w:sz="4" w:space="0" w:color="808080" w:themeColor="background1" w:themeShade="80"/>
              <w:right w:val="single" w:sz="4" w:space="0" w:color="808080" w:themeColor="background1" w:themeShade="80"/>
            </w:tcBorders>
            <w:noWrap/>
          </w:tcPr>
          <w:p w14:paraId="4A38BA07" w14:textId="7E778488"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1.6%</w:t>
            </w:r>
          </w:p>
        </w:tc>
        <w:tc>
          <w:tcPr>
            <w:tcW w:w="534" w:type="pct"/>
            <w:tcBorders>
              <w:left w:val="single" w:sz="4" w:space="0" w:color="808080" w:themeColor="background1" w:themeShade="80"/>
              <w:right w:val="single" w:sz="4" w:space="0" w:color="808080" w:themeColor="background1" w:themeShade="80"/>
            </w:tcBorders>
            <w:noWrap/>
          </w:tcPr>
          <w:p w14:paraId="7D45790E" w14:textId="4A245010"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0.4%</w:t>
            </w:r>
          </w:p>
        </w:tc>
        <w:tc>
          <w:tcPr>
            <w:tcW w:w="533" w:type="pct"/>
            <w:tcBorders>
              <w:left w:val="single" w:sz="4" w:space="0" w:color="808080" w:themeColor="background1" w:themeShade="80"/>
            </w:tcBorders>
            <w:noWrap/>
          </w:tcPr>
          <w:p w14:paraId="6D41F81B" w14:textId="6E205CFC"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1.2%</w:t>
            </w:r>
          </w:p>
        </w:tc>
      </w:tr>
      <w:tr w:rsidR="00ED3292" w:rsidRPr="005F4295" w14:paraId="77BBDB7C" w14:textId="77777777" w:rsidTr="00F20ED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6" w:type="pct"/>
            <w:tcBorders>
              <w:right w:val="single" w:sz="4" w:space="0" w:color="808080" w:themeColor="background1" w:themeShade="80"/>
            </w:tcBorders>
            <w:noWrap/>
            <w:hideMark/>
          </w:tcPr>
          <w:p w14:paraId="7D0CD748" w14:textId="77777777" w:rsidR="00ED3292" w:rsidRPr="005F4295" w:rsidRDefault="00ED3292" w:rsidP="00ED3292">
            <w:pPr>
              <w:rPr>
                <w:noProof/>
                <w:sz w:val="18"/>
                <w:szCs w:val="18"/>
              </w:rPr>
            </w:pPr>
            <w:r w:rsidRPr="005F4295">
              <w:rPr>
                <w:noProof/>
                <w:color w:val="auto"/>
                <w:sz w:val="18"/>
                <w:szCs w:val="18"/>
              </w:rPr>
              <w:t>2. Cohesion, resilience and values</w:t>
            </w:r>
          </w:p>
        </w:tc>
        <w:tc>
          <w:tcPr>
            <w:tcW w:w="534" w:type="pct"/>
            <w:tcBorders>
              <w:left w:val="single" w:sz="4" w:space="0" w:color="808080" w:themeColor="background1" w:themeShade="80"/>
              <w:right w:val="single" w:sz="4" w:space="0" w:color="808080" w:themeColor="background1" w:themeShade="80"/>
            </w:tcBorders>
            <w:noWrap/>
            <w:hideMark/>
          </w:tcPr>
          <w:p w14:paraId="70ABE0C9" w14:textId="12E89A2D" w:rsidR="00ED3292" w:rsidRPr="005F4295" w:rsidRDefault="009E00AA"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cs="Calibri"/>
                <w:sz w:val="18"/>
                <w:szCs w:val="18"/>
              </w:rPr>
            </w:pPr>
            <w:r w:rsidRPr="005F4295">
              <w:rPr>
                <w:rFonts w:asciiTheme="majorHAnsi" w:hAnsiTheme="majorHAnsi" w:cs="Calibri"/>
                <w:sz w:val="18"/>
                <w:szCs w:val="18"/>
              </w:rPr>
              <w:t>5</w:t>
            </w:r>
            <w:r w:rsidR="00334CF0" w:rsidRPr="005F4295">
              <w:rPr>
                <w:rFonts w:asciiTheme="majorHAnsi" w:hAnsiTheme="majorHAnsi" w:cs="Calibri"/>
                <w:sz w:val="18"/>
                <w:szCs w:val="18"/>
              </w:rPr>
              <w:t>4</w:t>
            </w:r>
            <w:r w:rsidR="00334CF0" w:rsidRPr="005F4295">
              <w:rPr>
                <w:rFonts w:ascii="Calibri" w:hAnsi="Calibri" w:cs="Calibri"/>
                <w:sz w:val="18"/>
                <w:szCs w:val="18"/>
              </w:rPr>
              <w:t> </w:t>
            </w:r>
            <w:r w:rsidR="00334CF0" w:rsidRPr="005F4295">
              <w:rPr>
                <w:rFonts w:asciiTheme="majorHAnsi" w:hAnsiTheme="majorHAnsi" w:cs="Calibri"/>
                <w:sz w:val="18"/>
                <w:szCs w:val="18"/>
              </w:rPr>
              <w:t>007.9</w:t>
            </w:r>
          </w:p>
        </w:tc>
        <w:tc>
          <w:tcPr>
            <w:tcW w:w="534" w:type="pct"/>
            <w:tcBorders>
              <w:left w:val="single" w:sz="4" w:space="0" w:color="808080" w:themeColor="background1" w:themeShade="80"/>
              <w:right w:val="single" w:sz="4" w:space="0" w:color="808080" w:themeColor="background1" w:themeShade="80"/>
            </w:tcBorders>
            <w:noWrap/>
            <w:hideMark/>
          </w:tcPr>
          <w:p w14:paraId="0CDB7423" w14:textId="03A9DA06"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2.</w:t>
            </w:r>
            <w:r w:rsidR="00C06C3A" w:rsidRPr="005F4295">
              <w:rPr>
                <w:rFonts w:asciiTheme="majorHAnsi" w:hAnsiTheme="majorHAnsi"/>
                <w:sz w:val="18"/>
                <w:szCs w:val="18"/>
              </w:rPr>
              <w:t>3</w:t>
            </w:r>
            <w:r w:rsidRPr="005F4295">
              <w:rPr>
                <w:rFonts w:asciiTheme="majorHAnsi" w:hAnsiTheme="majorHAnsi"/>
                <w:sz w:val="18"/>
                <w:szCs w:val="18"/>
              </w:rPr>
              <w:t>%</w:t>
            </w:r>
          </w:p>
        </w:tc>
        <w:tc>
          <w:tcPr>
            <w:tcW w:w="534" w:type="pct"/>
            <w:tcBorders>
              <w:left w:val="single" w:sz="4" w:space="0" w:color="808080" w:themeColor="background1" w:themeShade="80"/>
              <w:right w:val="single" w:sz="4" w:space="0" w:color="808080" w:themeColor="background1" w:themeShade="80"/>
            </w:tcBorders>
            <w:noWrap/>
            <w:hideMark/>
          </w:tcPr>
          <w:p w14:paraId="5A031298" w14:textId="261DDD0A"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1.</w:t>
            </w:r>
            <w:r w:rsidR="00C06C3A" w:rsidRPr="005F4295">
              <w:rPr>
                <w:rFonts w:asciiTheme="majorHAnsi" w:hAnsiTheme="majorHAnsi"/>
                <w:sz w:val="18"/>
                <w:szCs w:val="18"/>
              </w:rPr>
              <w:t>6</w:t>
            </w:r>
            <w:r w:rsidRPr="005F4295">
              <w:rPr>
                <w:rFonts w:asciiTheme="majorHAnsi" w:hAnsiTheme="majorHAnsi"/>
                <w:sz w:val="18"/>
                <w:szCs w:val="18"/>
              </w:rPr>
              <w:t>%</w:t>
            </w:r>
          </w:p>
        </w:tc>
        <w:tc>
          <w:tcPr>
            <w:tcW w:w="536" w:type="pct"/>
            <w:tcBorders>
              <w:left w:val="single" w:sz="4" w:space="0" w:color="808080" w:themeColor="background1" w:themeShade="80"/>
              <w:right w:val="single" w:sz="4" w:space="0" w:color="808080" w:themeColor="background1" w:themeShade="80"/>
            </w:tcBorders>
            <w:noWrap/>
            <w:hideMark/>
          </w:tcPr>
          <w:p w14:paraId="42ED2DAE" w14:textId="62B59FB3" w:rsidR="00ED3292" w:rsidRPr="005F4295" w:rsidRDefault="00C06C3A"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0.8</w:t>
            </w:r>
            <w:r w:rsidR="00ED3292" w:rsidRPr="005F4295">
              <w:rPr>
                <w:rFonts w:asciiTheme="majorHAnsi" w:hAnsiTheme="majorHAnsi"/>
                <w:sz w:val="18"/>
                <w:szCs w:val="18"/>
              </w:rPr>
              <w:t>%</w:t>
            </w:r>
          </w:p>
        </w:tc>
        <w:tc>
          <w:tcPr>
            <w:tcW w:w="534" w:type="pct"/>
            <w:tcBorders>
              <w:left w:val="single" w:sz="4" w:space="0" w:color="808080" w:themeColor="background1" w:themeShade="80"/>
              <w:right w:val="single" w:sz="4" w:space="0" w:color="808080" w:themeColor="background1" w:themeShade="80"/>
            </w:tcBorders>
            <w:noWrap/>
          </w:tcPr>
          <w:p w14:paraId="1FFE4B99" w14:textId="6A9C3451"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61</w:t>
            </w:r>
            <w:r w:rsidRPr="005F4295">
              <w:rPr>
                <w:rFonts w:ascii="Calibri" w:hAnsi="Calibri" w:cs="Calibri"/>
                <w:noProof/>
                <w:sz w:val="18"/>
                <w:szCs w:val="18"/>
              </w:rPr>
              <w:t> </w:t>
            </w:r>
            <w:r w:rsidRPr="005F4295">
              <w:rPr>
                <w:rFonts w:asciiTheme="majorHAnsi" w:hAnsiTheme="majorHAnsi"/>
                <w:noProof/>
                <w:sz w:val="18"/>
                <w:szCs w:val="18"/>
              </w:rPr>
              <w:t>973.7</w:t>
            </w:r>
          </w:p>
        </w:tc>
        <w:tc>
          <w:tcPr>
            <w:tcW w:w="534" w:type="pct"/>
            <w:tcBorders>
              <w:left w:val="single" w:sz="4" w:space="0" w:color="808080" w:themeColor="background1" w:themeShade="80"/>
              <w:right w:val="single" w:sz="4" w:space="0" w:color="808080" w:themeColor="background1" w:themeShade="80"/>
            </w:tcBorders>
            <w:noWrap/>
          </w:tcPr>
          <w:p w14:paraId="79A6E8D2" w14:textId="05900289"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2.9%</w:t>
            </w:r>
          </w:p>
        </w:tc>
        <w:tc>
          <w:tcPr>
            <w:tcW w:w="534" w:type="pct"/>
            <w:tcBorders>
              <w:left w:val="single" w:sz="4" w:space="0" w:color="808080" w:themeColor="background1" w:themeShade="80"/>
              <w:right w:val="single" w:sz="4" w:space="0" w:color="808080" w:themeColor="background1" w:themeShade="80"/>
            </w:tcBorders>
            <w:noWrap/>
          </w:tcPr>
          <w:p w14:paraId="133EC1FE" w14:textId="00BE05F5"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1.2%</w:t>
            </w:r>
          </w:p>
        </w:tc>
        <w:tc>
          <w:tcPr>
            <w:tcW w:w="533" w:type="pct"/>
            <w:tcBorders>
              <w:left w:val="single" w:sz="4" w:space="0" w:color="808080" w:themeColor="background1" w:themeShade="80"/>
            </w:tcBorders>
            <w:noWrap/>
          </w:tcPr>
          <w:p w14:paraId="69A4F0EE" w14:textId="14F746B9"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1.7%</w:t>
            </w:r>
          </w:p>
        </w:tc>
      </w:tr>
      <w:tr w:rsidR="00503490" w:rsidRPr="005F4295" w14:paraId="7541BAC8" w14:textId="77777777" w:rsidTr="00F20ED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6" w:type="pct"/>
            <w:tcBorders>
              <w:right w:val="single" w:sz="4" w:space="0" w:color="808080" w:themeColor="background1" w:themeShade="80"/>
            </w:tcBorders>
            <w:noWrap/>
            <w:hideMark/>
          </w:tcPr>
          <w:p w14:paraId="7CE01C01" w14:textId="77777777" w:rsidR="00ED3292" w:rsidRPr="005F4295" w:rsidRDefault="00ED3292" w:rsidP="00ED3292">
            <w:pPr>
              <w:rPr>
                <w:noProof/>
                <w:sz w:val="18"/>
                <w:szCs w:val="18"/>
              </w:rPr>
            </w:pPr>
            <w:r w:rsidRPr="005F4295">
              <w:rPr>
                <w:noProof/>
                <w:color w:val="auto"/>
                <w:sz w:val="18"/>
                <w:szCs w:val="18"/>
              </w:rPr>
              <w:t xml:space="preserve">3. Natural resources and environment </w:t>
            </w:r>
          </w:p>
        </w:tc>
        <w:tc>
          <w:tcPr>
            <w:tcW w:w="534" w:type="pct"/>
            <w:tcBorders>
              <w:left w:val="single" w:sz="4" w:space="0" w:color="808080" w:themeColor="background1" w:themeShade="80"/>
              <w:right w:val="single" w:sz="4" w:space="0" w:color="808080" w:themeColor="background1" w:themeShade="80"/>
            </w:tcBorders>
            <w:noWrap/>
            <w:hideMark/>
          </w:tcPr>
          <w:p w14:paraId="3C9F4B39" w14:textId="465B5876" w:rsidR="00ED3292" w:rsidRPr="005F4295" w:rsidRDefault="009E00AA"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18"/>
                <w:szCs w:val="18"/>
              </w:rPr>
            </w:pPr>
            <w:r w:rsidRPr="005F4295">
              <w:rPr>
                <w:rFonts w:asciiTheme="majorHAnsi" w:hAnsiTheme="majorHAnsi"/>
                <w:sz w:val="18"/>
                <w:szCs w:val="18"/>
              </w:rPr>
              <w:t>57</w:t>
            </w:r>
            <w:r w:rsidRPr="005F4295">
              <w:rPr>
                <w:rFonts w:ascii="Calibri" w:hAnsi="Calibri" w:cs="Calibri"/>
                <w:sz w:val="18"/>
                <w:szCs w:val="18"/>
              </w:rPr>
              <w:t> </w:t>
            </w:r>
            <w:r w:rsidRPr="005F4295">
              <w:rPr>
                <w:rFonts w:asciiTheme="majorHAnsi" w:hAnsiTheme="majorHAnsi" w:cs="Calibri"/>
                <w:sz w:val="18"/>
                <w:szCs w:val="18"/>
              </w:rPr>
              <w:t>982</w:t>
            </w:r>
            <w:r w:rsidR="002E1DB5" w:rsidRPr="005F4295">
              <w:rPr>
                <w:rFonts w:asciiTheme="majorHAnsi" w:hAnsiTheme="majorHAnsi" w:cs="Calibri"/>
                <w:sz w:val="18"/>
                <w:szCs w:val="18"/>
              </w:rPr>
              <w:t>.9</w:t>
            </w:r>
          </w:p>
        </w:tc>
        <w:tc>
          <w:tcPr>
            <w:tcW w:w="534" w:type="pct"/>
            <w:tcBorders>
              <w:left w:val="single" w:sz="4" w:space="0" w:color="808080" w:themeColor="background1" w:themeShade="80"/>
              <w:right w:val="single" w:sz="4" w:space="0" w:color="808080" w:themeColor="background1" w:themeShade="80"/>
            </w:tcBorders>
            <w:noWrap/>
            <w:hideMark/>
          </w:tcPr>
          <w:p w14:paraId="4615A319" w14:textId="77777777"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N/A</w:t>
            </w:r>
          </w:p>
        </w:tc>
        <w:tc>
          <w:tcPr>
            <w:tcW w:w="534" w:type="pct"/>
            <w:tcBorders>
              <w:left w:val="single" w:sz="4" w:space="0" w:color="808080" w:themeColor="background1" w:themeShade="80"/>
              <w:right w:val="single" w:sz="4" w:space="0" w:color="808080" w:themeColor="background1" w:themeShade="80"/>
            </w:tcBorders>
            <w:noWrap/>
            <w:hideMark/>
          </w:tcPr>
          <w:p w14:paraId="471EC44F" w14:textId="77777777"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N/A</w:t>
            </w:r>
          </w:p>
        </w:tc>
        <w:tc>
          <w:tcPr>
            <w:tcW w:w="536" w:type="pct"/>
            <w:tcBorders>
              <w:left w:val="single" w:sz="4" w:space="0" w:color="808080" w:themeColor="background1" w:themeShade="80"/>
              <w:right w:val="single" w:sz="4" w:space="0" w:color="808080" w:themeColor="background1" w:themeShade="80"/>
            </w:tcBorders>
            <w:noWrap/>
            <w:hideMark/>
          </w:tcPr>
          <w:p w14:paraId="025DD675" w14:textId="77777777"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 xml:space="preserve">N/A </w:t>
            </w:r>
          </w:p>
        </w:tc>
        <w:tc>
          <w:tcPr>
            <w:tcW w:w="534" w:type="pct"/>
            <w:tcBorders>
              <w:left w:val="single" w:sz="4" w:space="0" w:color="808080" w:themeColor="background1" w:themeShade="80"/>
              <w:right w:val="single" w:sz="4" w:space="0" w:color="808080" w:themeColor="background1" w:themeShade="80"/>
            </w:tcBorders>
            <w:noWrap/>
          </w:tcPr>
          <w:p w14:paraId="64F8EC1E" w14:textId="7327FF4E"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57</w:t>
            </w:r>
            <w:r w:rsidRPr="005F4295">
              <w:rPr>
                <w:rFonts w:ascii="Calibri" w:hAnsi="Calibri" w:cs="Calibri"/>
                <w:noProof/>
                <w:sz w:val="18"/>
                <w:szCs w:val="18"/>
              </w:rPr>
              <w:t> </w:t>
            </w:r>
            <w:r w:rsidRPr="005F4295">
              <w:rPr>
                <w:rFonts w:asciiTheme="majorHAnsi" w:hAnsiTheme="majorHAnsi"/>
                <w:noProof/>
                <w:sz w:val="18"/>
                <w:szCs w:val="18"/>
              </w:rPr>
              <w:t>373.0</w:t>
            </w:r>
          </w:p>
        </w:tc>
        <w:tc>
          <w:tcPr>
            <w:tcW w:w="534" w:type="pct"/>
            <w:tcBorders>
              <w:left w:val="single" w:sz="4" w:space="0" w:color="808080" w:themeColor="background1" w:themeShade="80"/>
              <w:right w:val="single" w:sz="4" w:space="0" w:color="808080" w:themeColor="background1" w:themeShade="80"/>
            </w:tcBorders>
            <w:noWrap/>
          </w:tcPr>
          <w:p w14:paraId="3C871BC9" w14:textId="607A5509"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N/A</w:t>
            </w:r>
          </w:p>
        </w:tc>
        <w:tc>
          <w:tcPr>
            <w:tcW w:w="534" w:type="pct"/>
            <w:tcBorders>
              <w:left w:val="single" w:sz="4" w:space="0" w:color="808080" w:themeColor="background1" w:themeShade="80"/>
              <w:right w:val="single" w:sz="4" w:space="0" w:color="808080" w:themeColor="background1" w:themeShade="80"/>
            </w:tcBorders>
            <w:noWrap/>
          </w:tcPr>
          <w:p w14:paraId="2641B32E" w14:textId="501D244B"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N/A</w:t>
            </w:r>
          </w:p>
        </w:tc>
        <w:tc>
          <w:tcPr>
            <w:tcW w:w="533" w:type="pct"/>
            <w:tcBorders>
              <w:left w:val="single" w:sz="4" w:space="0" w:color="808080" w:themeColor="background1" w:themeShade="80"/>
            </w:tcBorders>
            <w:noWrap/>
          </w:tcPr>
          <w:p w14:paraId="4183B84A" w14:textId="09062BEA"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 xml:space="preserve">N/A </w:t>
            </w:r>
          </w:p>
        </w:tc>
      </w:tr>
      <w:tr w:rsidR="00503490" w:rsidRPr="005F4295" w14:paraId="22BF3B93" w14:textId="77777777" w:rsidTr="00F20ED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6" w:type="pct"/>
            <w:tcBorders>
              <w:right w:val="single" w:sz="4" w:space="0" w:color="808080" w:themeColor="background1" w:themeShade="80"/>
            </w:tcBorders>
            <w:noWrap/>
            <w:hideMark/>
          </w:tcPr>
          <w:p w14:paraId="75A78AEE" w14:textId="77777777" w:rsidR="00ED3292" w:rsidRPr="005F4295" w:rsidRDefault="00ED3292" w:rsidP="00ED3292">
            <w:pPr>
              <w:rPr>
                <w:noProof/>
                <w:sz w:val="18"/>
                <w:szCs w:val="18"/>
              </w:rPr>
            </w:pPr>
            <w:r w:rsidRPr="005F4295">
              <w:rPr>
                <w:noProof/>
                <w:color w:val="auto"/>
                <w:sz w:val="18"/>
                <w:szCs w:val="18"/>
              </w:rPr>
              <w:t>4. Migration and border management</w:t>
            </w:r>
          </w:p>
        </w:tc>
        <w:tc>
          <w:tcPr>
            <w:tcW w:w="534" w:type="pct"/>
            <w:tcBorders>
              <w:left w:val="single" w:sz="4" w:space="0" w:color="808080" w:themeColor="background1" w:themeShade="80"/>
              <w:right w:val="single" w:sz="4" w:space="0" w:color="808080" w:themeColor="background1" w:themeShade="80"/>
            </w:tcBorders>
            <w:noWrap/>
            <w:hideMark/>
          </w:tcPr>
          <w:p w14:paraId="3789CB77" w14:textId="6E6F7058" w:rsidR="00ED3292" w:rsidRPr="005F4295" w:rsidRDefault="002E1DB5"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cs="Calibri"/>
                <w:sz w:val="18"/>
                <w:szCs w:val="18"/>
              </w:rPr>
            </w:pPr>
            <w:r w:rsidRPr="005F4295">
              <w:rPr>
                <w:rFonts w:asciiTheme="majorHAnsi" w:hAnsiTheme="majorHAnsi"/>
                <w:sz w:val="18"/>
                <w:szCs w:val="18"/>
              </w:rPr>
              <w:t>3</w:t>
            </w:r>
            <w:r w:rsidRPr="005F4295">
              <w:rPr>
                <w:rFonts w:ascii="Calibri" w:hAnsi="Calibri" w:cs="Calibri"/>
                <w:sz w:val="18"/>
                <w:szCs w:val="18"/>
              </w:rPr>
              <w:t> </w:t>
            </w:r>
            <w:r w:rsidRPr="005F4295">
              <w:rPr>
                <w:rFonts w:asciiTheme="majorHAnsi" w:hAnsiTheme="majorHAnsi" w:cs="Calibri"/>
                <w:sz w:val="18"/>
                <w:szCs w:val="18"/>
              </w:rPr>
              <w:t>782.0</w:t>
            </w:r>
          </w:p>
        </w:tc>
        <w:tc>
          <w:tcPr>
            <w:tcW w:w="534" w:type="pct"/>
            <w:tcBorders>
              <w:left w:val="single" w:sz="4" w:space="0" w:color="808080" w:themeColor="background1" w:themeShade="80"/>
              <w:right w:val="single" w:sz="4" w:space="0" w:color="808080" w:themeColor="background1" w:themeShade="80"/>
            </w:tcBorders>
            <w:noWrap/>
            <w:hideMark/>
          </w:tcPr>
          <w:p w14:paraId="3C4F6993" w14:textId="4435DA2D"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1.</w:t>
            </w:r>
            <w:r w:rsidR="003C0E36" w:rsidRPr="005F4295">
              <w:rPr>
                <w:rFonts w:asciiTheme="majorHAnsi" w:hAnsiTheme="majorHAnsi"/>
                <w:sz w:val="18"/>
                <w:szCs w:val="18"/>
              </w:rPr>
              <w:t>1</w:t>
            </w:r>
            <w:r w:rsidRPr="005F4295">
              <w:rPr>
                <w:rFonts w:asciiTheme="majorHAnsi" w:hAnsiTheme="majorHAnsi"/>
                <w:sz w:val="18"/>
                <w:szCs w:val="18"/>
              </w:rPr>
              <w:t>%</w:t>
            </w:r>
          </w:p>
        </w:tc>
        <w:tc>
          <w:tcPr>
            <w:tcW w:w="534" w:type="pct"/>
            <w:tcBorders>
              <w:left w:val="single" w:sz="4" w:space="0" w:color="808080" w:themeColor="background1" w:themeShade="80"/>
              <w:right w:val="single" w:sz="4" w:space="0" w:color="808080" w:themeColor="background1" w:themeShade="80"/>
            </w:tcBorders>
            <w:noWrap/>
            <w:hideMark/>
          </w:tcPr>
          <w:p w14:paraId="4D9201F8" w14:textId="77777777"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0.1%</w:t>
            </w:r>
          </w:p>
        </w:tc>
        <w:tc>
          <w:tcPr>
            <w:tcW w:w="536" w:type="pct"/>
            <w:tcBorders>
              <w:left w:val="single" w:sz="4" w:space="0" w:color="808080" w:themeColor="background1" w:themeShade="80"/>
              <w:right w:val="single" w:sz="4" w:space="0" w:color="808080" w:themeColor="background1" w:themeShade="80"/>
            </w:tcBorders>
            <w:noWrap/>
            <w:hideMark/>
          </w:tcPr>
          <w:p w14:paraId="75627190" w14:textId="60FFD413"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1.</w:t>
            </w:r>
            <w:r w:rsidR="003C0E36" w:rsidRPr="005F4295">
              <w:rPr>
                <w:rFonts w:asciiTheme="majorHAnsi" w:hAnsiTheme="majorHAnsi"/>
                <w:sz w:val="18"/>
                <w:szCs w:val="18"/>
              </w:rPr>
              <w:t>0</w:t>
            </w:r>
            <w:r w:rsidRPr="005F4295">
              <w:rPr>
                <w:rFonts w:asciiTheme="majorHAnsi" w:hAnsiTheme="majorHAnsi"/>
                <w:sz w:val="18"/>
                <w:szCs w:val="18"/>
              </w:rPr>
              <w:t>%</w:t>
            </w:r>
          </w:p>
        </w:tc>
        <w:tc>
          <w:tcPr>
            <w:tcW w:w="534" w:type="pct"/>
            <w:tcBorders>
              <w:left w:val="single" w:sz="4" w:space="0" w:color="808080" w:themeColor="background1" w:themeShade="80"/>
              <w:right w:val="single" w:sz="4" w:space="0" w:color="808080" w:themeColor="background1" w:themeShade="80"/>
            </w:tcBorders>
            <w:noWrap/>
          </w:tcPr>
          <w:p w14:paraId="5CABA5C9" w14:textId="4CCF5B3E"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3</w:t>
            </w:r>
            <w:r w:rsidRPr="005F4295">
              <w:rPr>
                <w:rFonts w:ascii="Calibri" w:hAnsi="Calibri" w:cs="Calibri"/>
                <w:noProof/>
                <w:sz w:val="18"/>
                <w:szCs w:val="18"/>
              </w:rPr>
              <w:t> </w:t>
            </w:r>
            <w:r w:rsidRPr="005F4295">
              <w:rPr>
                <w:rFonts w:asciiTheme="majorHAnsi" w:hAnsiTheme="majorHAnsi"/>
                <w:noProof/>
                <w:sz w:val="18"/>
                <w:szCs w:val="18"/>
              </w:rPr>
              <w:t>507.5</w:t>
            </w:r>
          </w:p>
        </w:tc>
        <w:tc>
          <w:tcPr>
            <w:tcW w:w="534" w:type="pct"/>
            <w:tcBorders>
              <w:left w:val="single" w:sz="4" w:space="0" w:color="808080" w:themeColor="background1" w:themeShade="80"/>
              <w:right w:val="single" w:sz="4" w:space="0" w:color="808080" w:themeColor="background1" w:themeShade="80"/>
            </w:tcBorders>
            <w:noWrap/>
          </w:tcPr>
          <w:p w14:paraId="4003EF41" w14:textId="49EC2BF2"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1.3%</w:t>
            </w:r>
          </w:p>
        </w:tc>
        <w:tc>
          <w:tcPr>
            <w:tcW w:w="534" w:type="pct"/>
            <w:tcBorders>
              <w:left w:val="single" w:sz="4" w:space="0" w:color="808080" w:themeColor="background1" w:themeShade="80"/>
              <w:right w:val="single" w:sz="4" w:space="0" w:color="808080" w:themeColor="background1" w:themeShade="80"/>
            </w:tcBorders>
            <w:noWrap/>
          </w:tcPr>
          <w:p w14:paraId="71FE6548" w14:textId="045EB544"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0.1%</w:t>
            </w:r>
          </w:p>
        </w:tc>
        <w:tc>
          <w:tcPr>
            <w:tcW w:w="533" w:type="pct"/>
            <w:tcBorders>
              <w:left w:val="single" w:sz="4" w:space="0" w:color="808080" w:themeColor="background1" w:themeShade="80"/>
            </w:tcBorders>
            <w:noWrap/>
          </w:tcPr>
          <w:p w14:paraId="47805EBC" w14:textId="405C96B8"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1.2%</w:t>
            </w:r>
          </w:p>
        </w:tc>
      </w:tr>
      <w:tr w:rsidR="00503490" w:rsidRPr="005F4295" w14:paraId="590B3D75" w14:textId="77777777" w:rsidTr="00F20ED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6" w:type="pct"/>
            <w:tcBorders>
              <w:right w:val="single" w:sz="4" w:space="0" w:color="808080" w:themeColor="background1" w:themeShade="80"/>
            </w:tcBorders>
            <w:noWrap/>
            <w:hideMark/>
          </w:tcPr>
          <w:p w14:paraId="1D5D31BF" w14:textId="77777777" w:rsidR="00ED3292" w:rsidRPr="005F4295" w:rsidRDefault="00ED3292" w:rsidP="00ED3292">
            <w:pPr>
              <w:rPr>
                <w:noProof/>
                <w:color w:val="auto"/>
                <w:sz w:val="18"/>
                <w:szCs w:val="18"/>
              </w:rPr>
            </w:pPr>
            <w:r w:rsidRPr="005F4295">
              <w:rPr>
                <w:noProof/>
                <w:color w:val="auto"/>
                <w:sz w:val="18"/>
                <w:szCs w:val="18"/>
              </w:rPr>
              <w:t>5. Security and defence</w:t>
            </w:r>
          </w:p>
        </w:tc>
        <w:tc>
          <w:tcPr>
            <w:tcW w:w="534" w:type="pct"/>
            <w:tcBorders>
              <w:left w:val="single" w:sz="4" w:space="0" w:color="808080" w:themeColor="background1" w:themeShade="80"/>
              <w:right w:val="single" w:sz="4" w:space="0" w:color="808080" w:themeColor="background1" w:themeShade="80"/>
            </w:tcBorders>
            <w:noWrap/>
            <w:hideMark/>
          </w:tcPr>
          <w:p w14:paraId="1B4A40D5" w14:textId="5177D40A" w:rsidR="00ED3292" w:rsidRPr="005F4295" w:rsidRDefault="002E1DB5" w:rsidP="00ED3292">
            <w:pPr>
              <w:tabs>
                <w:tab w:val="decimal" w:pos="794"/>
              </w:tabs>
              <w:jc w:val="right"/>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615.6</w:t>
            </w:r>
          </w:p>
        </w:tc>
        <w:tc>
          <w:tcPr>
            <w:tcW w:w="534" w:type="pct"/>
            <w:tcBorders>
              <w:left w:val="single" w:sz="4" w:space="0" w:color="808080" w:themeColor="background1" w:themeShade="80"/>
              <w:right w:val="single" w:sz="4" w:space="0" w:color="808080" w:themeColor="background1" w:themeShade="80"/>
            </w:tcBorders>
            <w:noWrap/>
            <w:hideMark/>
          </w:tcPr>
          <w:p w14:paraId="0AA5FA0F" w14:textId="7D0E5620" w:rsidR="00ED3292" w:rsidRPr="005F4295" w:rsidRDefault="003C0E36"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1.7</w:t>
            </w:r>
            <w:r w:rsidR="00ED3292" w:rsidRPr="005F4295">
              <w:rPr>
                <w:rFonts w:asciiTheme="majorHAnsi" w:hAnsiTheme="majorHAnsi"/>
                <w:noProof/>
                <w:sz w:val="18"/>
                <w:szCs w:val="18"/>
              </w:rPr>
              <w:t>%</w:t>
            </w:r>
          </w:p>
        </w:tc>
        <w:tc>
          <w:tcPr>
            <w:tcW w:w="534" w:type="pct"/>
            <w:tcBorders>
              <w:left w:val="single" w:sz="4" w:space="0" w:color="808080" w:themeColor="background1" w:themeShade="80"/>
              <w:right w:val="single" w:sz="4" w:space="0" w:color="808080" w:themeColor="background1" w:themeShade="80"/>
            </w:tcBorders>
            <w:noWrap/>
            <w:hideMark/>
          </w:tcPr>
          <w:p w14:paraId="1C76BA4A" w14:textId="77777777"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0.0%</w:t>
            </w:r>
          </w:p>
        </w:tc>
        <w:tc>
          <w:tcPr>
            <w:tcW w:w="536" w:type="pct"/>
            <w:tcBorders>
              <w:left w:val="single" w:sz="4" w:space="0" w:color="808080" w:themeColor="background1" w:themeShade="80"/>
              <w:right w:val="single" w:sz="4" w:space="0" w:color="808080" w:themeColor="background1" w:themeShade="80"/>
            </w:tcBorders>
            <w:noWrap/>
            <w:hideMark/>
          </w:tcPr>
          <w:p w14:paraId="11D55C23" w14:textId="2A0B094E" w:rsidR="00ED3292" w:rsidRPr="005F4295" w:rsidRDefault="003C0E36"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1.7</w:t>
            </w:r>
            <w:r w:rsidR="00ED3292" w:rsidRPr="005F4295">
              <w:rPr>
                <w:rFonts w:asciiTheme="majorHAnsi" w:hAnsiTheme="majorHAnsi"/>
                <w:noProof/>
                <w:sz w:val="18"/>
                <w:szCs w:val="18"/>
              </w:rPr>
              <w:t>%</w:t>
            </w:r>
          </w:p>
        </w:tc>
        <w:tc>
          <w:tcPr>
            <w:tcW w:w="534" w:type="pct"/>
            <w:tcBorders>
              <w:left w:val="single" w:sz="4" w:space="0" w:color="808080" w:themeColor="background1" w:themeShade="80"/>
              <w:right w:val="single" w:sz="4" w:space="0" w:color="808080" w:themeColor="background1" w:themeShade="80"/>
            </w:tcBorders>
            <w:noWrap/>
          </w:tcPr>
          <w:p w14:paraId="413C677B" w14:textId="3B0EE058" w:rsidR="00ED3292" w:rsidRPr="005F4295" w:rsidRDefault="00ED3292" w:rsidP="00ED3292">
            <w:pPr>
              <w:tabs>
                <w:tab w:val="decimal" w:pos="794"/>
              </w:tabs>
              <w:jc w:val="right"/>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318.7</w:t>
            </w:r>
          </w:p>
        </w:tc>
        <w:tc>
          <w:tcPr>
            <w:tcW w:w="534" w:type="pct"/>
            <w:tcBorders>
              <w:left w:val="single" w:sz="4" w:space="0" w:color="808080" w:themeColor="background1" w:themeShade="80"/>
              <w:right w:val="single" w:sz="4" w:space="0" w:color="808080" w:themeColor="background1" w:themeShade="80"/>
            </w:tcBorders>
            <w:noWrap/>
          </w:tcPr>
          <w:p w14:paraId="455ABF70" w14:textId="44C15F18"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0.5%</w:t>
            </w:r>
          </w:p>
        </w:tc>
        <w:tc>
          <w:tcPr>
            <w:tcW w:w="534" w:type="pct"/>
            <w:tcBorders>
              <w:left w:val="single" w:sz="4" w:space="0" w:color="808080" w:themeColor="background1" w:themeShade="80"/>
              <w:right w:val="single" w:sz="4" w:space="0" w:color="808080" w:themeColor="background1" w:themeShade="80"/>
            </w:tcBorders>
            <w:noWrap/>
          </w:tcPr>
          <w:p w14:paraId="456EF8CA" w14:textId="4969EE5D"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0.0%</w:t>
            </w:r>
          </w:p>
        </w:tc>
        <w:tc>
          <w:tcPr>
            <w:tcW w:w="533" w:type="pct"/>
            <w:tcBorders>
              <w:left w:val="single" w:sz="4" w:space="0" w:color="808080" w:themeColor="background1" w:themeShade="80"/>
            </w:tcBorders>
            <w:noWrap/>
          </w:tcPr>
          <w:p w14:paraId="4D4B33B3" w14:textId="7FEA4D08"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0.5%</w:t>
            </w:r>
          </w:p>
        </w:tc>
      </w:tr>
      <w:tr w:rsidR="00C06C3A" w:rsidRPr="005F4295" w14:paraId="1BF3CBD4" w14:textId="77777777" w:rsidTr="00F20ED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6" w:type="pct"/>
            <w:tcBorders>
              <w:right w:val="single" w:sz="4" w:space="0" w:color="808080" w:themeColor="background1" w:themeShade="80"/>
            </w:tcBorders>
            <w:noWrap/>
            <w:hideMark/>
          </w:tcPr>
          <w:p w14:paraId="1F418CC5" w14:textId="12F277F0" w:rsidR="00C06C3A" w:rsidRPr="005F4295" w:rsidRDefault="00C06C3A" w:rsidP="00C06C3A">
            <w:pPr>
              <w:rPr>
                <w:noProof/>
                <w:color w:val="auto"/>
                <w:sz w:val="18"/>
                <w:szCs w:val="18"/>
              </w:rPr>
            </w:pPr>
            <w:r w:rsidRPr="005F4295">
              <w:rPr>
                <w:noProof/>
                <w:color w:val="auto"/>
                <w:sz w:val="18"/>
                <w:szCs w:val="18"/>
              </w:rPr>
              <w:t>6. Neighbour</w:t>
            </w:r>
            <w:r w:rsidRPr="005F4295">
              <w:rPr>
                <w:noProof/>
                <w:color w:val="auto"/>
                <w:sz w:val="18"/>
                <w:szCs w:val="18"/>
              </w:rPr>
              <w:softHyphen/>
              <w:t>hood and the world</w:t>
            </w:r>
          </w:p>
        </w:tc>
        <w:tc>
          <w:tcPr>
            <w:tcW w:w="534" w:type="pct"/>
            <w:tcBorders>
              <w:left w:val="single" w:sz="4" w:space="0" w:color="808080" w:themeColor="background1" w:themeShade="80"/>
              <w:right w:val="single" w:sz="4" w:space="0" w:color="808080" w:themeColor="background1" w:themeShade="80"/>
            </w:tcBorders>
            <w:noWrap/>
            <w:hideMark/>
          </w:tcPr>
          <w:p w14:paraId="30C21E2F" w14:textId="2484B104" w:rsidR="00C06C3A" w:rsidRPr="005F4295" w:rsidRDefault="00C06C3A" w:rsidP="00C06C3A">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cs="Calibri"/>
                <w:sz w:val="18"/>
                <w:szCs w:val="18"/>
              </w:rPr>
            </w:pPr>
            <w:r w:rsidRPr="005F4295">
              <w:rPr>
                <w:rFonts w:asciiTheme="majorHAnsi" w:hAnsiTheme="majorHAnsi"/>
                <w:sz w:val="18"/>
                <w:szCs w:val="18"/>
              </w:rPr>
              <w:t>1</w:t>
            </w:r>
            <w:r w:rsidR="00164333" w:rsidRPr="005F4295">
              <w:rPr>
                <w:rFonts w:asciiTheme="majorHAnsi" w:hAnsiTheme="majorHAnsi"/>
                <w:sz w:val="18"/>
                <w:szCs w:val="18"/>
              </w:rPr>
              <w:t>6</w:t>
            </w:r>
            <w:r w:rsidR="00164333" w:rsidRPr="005F4295">
              <w:rPr>
                <w:rFonts w:ascii="Calibri" w:hAnsi="Calibri" w:cs="Calibri"/>
                <w:sz w:val="18"/>
                <w:szCs w:val="18"/>
              </w:rPr>
              <w:t> </w:t>
            </w:r>
            <w:r w:rsidR="00164333" w:rsidRPr="005F4295">
              <w:rPr>
                <w:rFonts w:asciiTheme="majorHAnsi" w:hAnsiTheme="majorHAnsi" w:cs="Calibri"/>
                <w:sz w:val="18"/>
                <w:szCs w:val="18"/>
              </w:rPr>
              <w:t>40</w:t>
            </w:r>
            <w:r w:rsidR="00415BF2" w:rsidRPr="005F4295">
              <w:rPr>
                <w:rFonts w:asciiTheme="majorHAnsi" w:hAnsiTheme="majorHAnsi" w:cs="Calibri"/>
                <w:sz w:val="18"/>
                <w:szCs w:val="18"/>
              </w:rPr>
              <w:t>1.1</w:t>
            </w:r>
          </w:p>
        </w:tc>
        <w:tc>
          <w:tcPr>
            <w:tcW w:w="534" w:type="pct"/>
            <w:tcBorders>
              <w:left w:val="single" w:sz="4" w:space="0" w:color="808080" w:themeColor="background1" w:themeShade="80"/>
              <w:right w:val="single" w:sz="4" w:space="0" w:color="808080" w:themeColor="background1" w:themeShade="80"/>
            </w:tcBorders>
            <w:noWrap/>
            <w:hideMark/>
          </w:tcPr>
          <w:p w14:paraId="220CC8E4" w14:textId="3A65BD45" w:rsidR="00C06C3A" w:rsidRPr="005F4295" w:rsidRDefault="00C06C3A" w:rsidP="00C06C3A">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N/A</w:t>
            </w:r>
          </w:p>
        </w:tc>
        <w:tc>
          <w:tcPr>
            <w:tcW w:w="534" w:type="pct"/>
            <w:tcBorders>
              <w:left w:val="single" w:sz="4" w:space="0" w:color="808080" w:themeColor="background1" w:themeShade="80"/>
              <w:right w:val="single" w:sz="4" w:space="0" w:color="808080" w:themeColor="background1" w:themeShade="80"/>
            </w:tcBorders>
            <w:noWrap/>
            <w:hideMark/>
          </w:tcPr>
          <w:p w14:paraId="5F83A82B" w14:textId="6C1AC9CB" w:rsidR="00C06C3A" w:rsidRPr="005F4295" w:rsidRDefault="00C06C3A" w:rsidP="00C06C3A">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N/A</w:t>
            </w:r>
          </w:p>
        </w:tc>
        <w:tc>
          <w:tcPr>
            <w:tcW w:w="536" w:type="pct"/>
            <w:tcBorders>
              <w:left w:val="single" w:sz="4" w:space="0" w:color="808080" w:themeColor="background1" w:themeShade="80"/>
              <w:right w:val="single" w:sz="4" w:space="0" w:color="808080" w:themeColor="background1" w:themeShade="80"/>
            </w:tcBorders>
            <w:noWrap/>
            <w:hideMark/>
          </w:tcPr>
          <w:p w14:paraId="58D7758D" w14:textId="5ABC66C2" w:rsidR="00C06C3A" w:rsidRPr="005F4295" w:rsidRDefault="00C06C3A" w:rsidP="00C06C3A">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 xml:space="preserve">N/A </w:t>
            </w:r>
          </w:p>
        </w:tc>
        <w:tc>
          <w:tcPr>
            <w:tcW w:w="534" w:type="pct"/>
            <w:tcBorders>
              <w:left w:val="single" w:sz="4" w:space="0" w:color="808080" w:themeColor="background1" w:themeShade="80"/>
              <w:right w:val="single" w:sz="4" w:space="0" w:color="808080" w:themeColor="background1" w:themeShade="80"/>
            </w:tcBorders>
            <w:noWrap/>
          </w:tcPr>
          <w:p w14:paraId="5CC58CB2" w14:textId="5A9A37A5" w:rsidR="00C06C3A" w:rsidRPr="005F4295" w:rsidRDefault="00C06C3A" w:rsidP="00C06C3A">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19</w:t>
            </w:r>
            <w:r w:rsidRPr="005F4295">
              <w:rPr>
                <w:rFonts w:ascii="Calibri" w:hAnsi="Calibri" w:cs="Calibri"/>
                <w:noProof/>
                <w:sz w:val="18"/>
                <w:szCs w:val="18"/>
              </w:rPr>
              <w:t> </w:t>
            </w:r>
            <w:r w:rsidRPr="005F4295">
              <w:rPr>
                <w:rFonts w:asciiTheme="majorHAnsi" w:hAnsiTheme="majorHAnsi"/>
                <w:noProof/>
                <w:sz w:val="18"/>
                <w:szCs w:val="18"/>
              </w:rPr>
              <w:t>999.4</w:t>
            </w:r>
          </w:p>
        </w:tc>
        <w:tc>
          <w:tcPr>
            <w:tcW w:w="534" w:type="pct"/>
            <w:tcBorders>
              <w:left w:val="single" w:sz="4" w:space="0" w:color="808080" w:themeColor="background1" w:themeShade="80"/>
              <w:right w:val="single" w:sz="4" w:space="0" w:color="808080" w:themeColor="background1" w:themeShade="80"/>
            </w:tcBorders>
            <w:noWrap/>
          </w:tcPr>
          <w:p w14:paraId="21B366C7" w14:textId="6955AC00" w:rsidR="00C06C3A" w:rsidRPr="005F4295" w:rsidRDefault="00C06C3A" w:rsidP="00C06C3A">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0.8%</w:t>
            </w:r>
          </w:p>
        </w:tc>
        <w:tc>
          <w:tcPr>
            <w:tcW w:w="534" w:type="pct"/>
            <w:tcBorders>
              <w:left w:val="single" w:sz="4" w:space="0" w:color="808080" w:themeColor="background1" w:themeShade="80"/>
              <w:right w:val="single" w:sz="4" w:space="0" w:color="808080" w:themeColor="background1" w:themeShade="80"/>
            </w:tcBorders>
            <w:noWrap/>
          </w:tcPr>
          <w:p w14:paraId="7A7A9929" w14:textId="16B46DE5" w:rsidR="00C06C3A" w:rsidRPr="005F4295" w:rsidRDefault="00C06C3A" w:rsidP="00C06C3A">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0.1%</w:t>
            </w:r>
          </w:p>
        </w:tc>
        <w:tc>
          <w:tcPr>
            <w:tcW w:w="533" w:type="pct"/>
            <w:tcBorders>
              <w:left w:val="single" w:sz="4" w:space="0" w:color="808080" w:themeColor="background1" w:themeShade="80"/>
            </w:tcBorders>
            <w:noWrap/>
          </w:tcPr>
          <w:p w14:paraId="4C52B4ED" w14:textId="22E8A144" w:rsidR="00C06C3A" w:rsidRPr="005F4295" w:rsidRDefault="00C06C3A" w:rsidP="00C06C3A">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0.7%</w:t>
            </w:r>
          </w:p>
        </w:tc>
      </w:tr>
      <w:tr w:rsidR="00503490" w:rsidRPr="005F4295" w14:paraId="67D2F829" w14:textId="77777777" w:rsidTr="00F20ED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6" w:type="pct"/>
            <w:tcBorders>
              <w:right w:val="single" w:sz="4" w:space="0" w:color="808080" w:themeColor="background1" w:themeShade="80"/>
            </w:tcBorders>
            <w:noWrap/>
            <w:hideMark/>
          </w:tcPr>
          <w:p w14:paraId="72DF54C9" w14:textId="77777777" w:rsidR="00ED3292" w:rsidRPr="005F4295" w:rsidRDefault="00ED3292" w:rsidP="00ED3292">
            <w:pPr>
              <w:rPr>
                <w:noProof/>
                <w:color w:val="auto"/>
                <w:sz w:val="18"/>
                <w:szCs w:val="18"/>
              </w:rPr>
            </w:pPr>
            <w:r w:rsidRPr="005F4295">
              <w:rPr>
                <w:noProof/>
                <w:color w:val="auto"/>
                <w:sz w:val="18"/>
                <w:szCs w:val="18"/>
              </w:rPr>
              <w:t>7. European public administration</w:t>
            </w:r>
          </w:p>
        </w:tc>
        <w:tc>
          <w:tcPr>
            <w:tcW w:w="534" w:type="pct"/>
            <w:tcBorders>
              <w:left w:val="single" w:sz="4" w:space="0" w:color="808080" w:themeColor="background1" w:themeShade="80"/>
              <w:right w:val="single" w:sz="4" w:space="0" w:color="808080" w:themeColor="background1" w:themeShade="80"/>
            </w:tcBorders>
            <w:noWrap/>
            <w:hideMark/>
          </w:tcPr>
          <w:p w14:paraId="7CC49BE0" w14:textId="0271CDFC" w:rsidR="00ED3292" w:rsidRPr="005F4295" w:rsidRDefault="00C06C3A"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18"/>
                <w:szCs w:val="18"/>
              </w:rPr>
            </w:pPr>
            <w:r w:rsidRPr="005F4295">
              <w:rPr>
                <w:rFonts w:asciiTheme="majorHAnsi" w:hAnsiTheme="majorHAnsi"/>
                <w:sz w:val="18"/>
                <w:szCs w:val="18"/>
              </w:rPr>
              <w:t>8</w:t>
            </w:r>
            <w:r w:rsidRPr="005F4295">
              <w:rPr>
                <w:rFonts w:ascii="Calibri" w:hAnsi="Calibri" w:cs="Calibri"/>
                <w:sz w:val="18"/>
                <w:szCs w:val="18"/>
              </w:rPr>
              <w:t> </w:t>
            </w:r>
            <w:r w:rsidRPr="005F4295">
              <w:rPr>
                <w:rFonts w:asciiTheme="majorHAnsi" w:hAnsiTheme="majorHAnsi" w:cs="Calibri"/>
                <w:sz w:val="18"/>
                <w:szCs w:val="18"/>
              </w:rPr>
              <w:t>88</w:t>
            </w:r>
            <w:r w:rsidR="00EA4DD5" w:rsidRPr="005F4295">
              <w:rPr>
                <w:rFonts w:asciiTheme="majorHAnsi" w:hAnsiTheme="majorHAnsi" w:cs="Calibri"/>
                <w:sz w:val="18"/>
                <w:szCs w:val="18"/>
              </w:rPr>
              <w:t>3</w:t>
            </w:r>
            <w:r w:rsidRPr="005F4295">
              <w:rPr>
                <w:rFonts w:asciiTheme="majorHAnsi" w:hAnsiTheme="majorHAnsi" w:cs="Calibri"/>
                <w:sz w:val="18"/>
                <w:szCs w:val="18"/>
              </w:rPr>
              <w:t>.0</w:t>
            </w:r>
          </w:p>
        </w:tc>
        <w:tc>
          <w:tcPr>
            <w:tcW w:w="534" w:type="pct"/>
            <w:tcBorders>
              <w:left w:val="single" w:sz="4" w:space="0" w:color="808080" w:themeColor="background1" w:themeShade="80"/>
              <w:right w:val="single" w:sz="4" w:space="0" w:color="808080" w:themeColor="background1" w:themeShade="80"/>
            </w:tcBorders>
            <w:noWrap/>
            <w:hideMark/>
          </w:tcPr>
          <w:p w14:paraId="1D9CE021" w14:textId="77777777"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0.5%</w:t>
            </w:r>
          </w:p>
        </w:tc>
        <w:tc>
          <w:tcPr>
            <w:tcW w:w="534" w:type="pct"/>
            <w:tcBorders>
              <w:left w:val="single" w:sz="4" w:space="0" w:color="808080" w:themeColor="background1" w:themeShade="80"/>
              <w:right w:val="single" w:sz="4" w:space="0" w:color="808080" w:themeColor="background1" w:themeShade="80"/>
            </w:tcBorders>
            <w:noWrap/>
            <w:hideMark/>
          </w:tcPr>
          <w:p w14:paraId="264F204A" w14:textId="77777777"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0.0%</w:t>
            </w:r>
          </w:p>
        </w:tc>
        <w:tc>
          <w:tcPr>
            <w:tcW w:w="536" w:type="pct"/>
            <w:tcBorders>
              <w:left w:val="single" w:sz="4" w:space="0" w:color="808080" w:themeColor="background1" w:themeShade="80"/>
              <w:right w:val="single" w:sz="4" w:space="0" w:color="808080" w:themeColor="background1" w:themeShade="80"/>
            </w:tcBorders>
            <w:noWrap/>
            <w:hideMark/>
          </w:tcPr>
          <w:p w14:paraId="4496899B" w14:textId="77777777"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0.5%</w:t>
            </w:r>
          </w:p>
        </w:tc>
        <w:tc>
          <w:tcPr>
            <w:tcW w:w="534" w:type="pct"/>
            <w:tcBorders>
              <w:left w:val="single" w:sz="4" w:space="0" w:color="808080" w:themeColor="background1" w:themeShade="80"/>
              <w:right w:val="single" w:sz="4" w:space="0" w:color="808080" w:themeColor="background1" w:themeShade="80"/>
            </w:tcBorders>
            <w:noWrap/>
          </w:tcPr>
          <w:p w14:paraId="5E29C72A" w14:textId="517F7496"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11</w:t>
            </w:r>
            <w:r w:rsidRPr="005F4295">
              <w:rPr>
                <w:rFonts w:ascii="Calibri" w:hAnsi="Calibri" w:cs="Calibri"/>
                <w:noProof/>
                <w:sz w:val="18"/>
                <w:szCs w:val="18"/>
              </w:rPr>
              <w:t> </w:t>
            </w:r>
            <w:r w:rsidRPr="005F4295">
              <w:rPr>
                <w:rFonts w:asciiTheme="majorHAnsi" w:hAnsiTheme="majorHAnsi"/>
                <w:noProof/>
                <w:sz w:val="18"/>
                <w:szCs w:val="18"/>
              </w:rPr>
              <w:t>625.3</w:t>
            </w:r>
          </w:p>
        </w:tc>
        <w:tc>
          <w:tcPr>
            <w:tcW w:w="534" w:type="pct"/>
            <w:tcBorders>
              <w:left w:val="single" w:sz="4" w:space="0" w:color="808080" w:themeColor="background1" w:themeShade="80"/>
              <w:right w:val="single" w:sz="4" w:space="0" w:color="808080" w:themeColor="background1" w:themeShade="80"/>
            </w:tcBorders>
            <w:noWrap/>
          </w:tcPr>
          <w:p w14:paraId="03CA7785" w14:textId="21A871E4"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0.5%</w:t>
            </w:r>
          </w:p>
        </w:tc>
        <w:tc>
          <w:tcPr>
            <w:tcW w:w="534" w:type="pct"/>
            <w:tcBorders>
              <w:left w:val="single" w:sz="4" w:space="0" w:color="808080" w:themeColor="background1" w:themeShade="80"/>
              <w:right w:val="single" w:sz="4" w:space="0" w:color="808080" w:themeColor="background1" w:themeShade="80"/>
            </w:tcBorders>
            <w:noWrap/>
          </w:tcPr>
          <w:p w14:paraId="0957D3F4" w14:textId="5625F1AC"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0.0%</w:t>
            </w:r>
          </w:p>
        </w:tc>
        <w:tc>
          <w:tcPr>
            <w:tcW w:w="533" w:type="pct"/>
            <w:tcBorders>
              <w:left w:val="single" w:sz="4" w:space="0" w:color="808080" w:themeColor="background1" w:themeShade="80"/>
            </w:tcBorders>
            <w:noWrap/>
          </w:tcPr>
          <w:p w14:paraId="096AF8AF" w14:textId="08B53605" w:rsidR="00ED3292" w:rsidRPr="005F4295" w:rsidRDefault="00ED3292" w:rsidP="00ED3292">
            <w:pPr>
              <w:tabs>
                <w:tab w:val="decimal" w:pos="794"/>
              </w:tabs>
              <w:cnfStyle w:val="000000100000" w:firstRow="0" w:lastRow="0" w:firstColumn="0" w:lastColumn="0" w:oddVBand="0" w:evenVBand="0" w:oddHBand="1" w:evenHBand="0"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0.5%</w:t>
            </w:r>
          </w:p>
        </w:tc>
      </w:tr>
      <w:tr w:rsidR="00503490" w:rsidRPr="005F4295" w14:paraId="3433E71D" w14:textId="77777777" w:rsidTr="00F20ED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6" w:type="pct"/>
            <w:tcBorders>
              <w:right w:val="single" w:sz="4" w:space="0" w:color="808080" w:themeColor="background1" w:themeShade="80"/>
            </w:tcBorders>
            <w:noWrap/>
            <w:hideMark/>
          </w:tcPr>
          <w:p w14:paraId="23872BA4" w14:textId="18CC7573" w:rsidR="00ED3292" w:rsidRPr="005F4295" w:rsidRDefault="00ED3292" w:rsidP="00ED3292">
            <w:pPr>
              <w:rPr>
                <w:noProof/>
                <w:color w:val="auto"/>
                <w:sz w:val="18"/>
                <w:szCs w:val="18"/>
              </w:rPr>
            </w:pPr>
            <w:r w:rsidRPr="005F4295">
              <w:rPr>
                <w:noProof/>
                <w:color w:val="auto"/>
                <w:sz w:val="18"/>
                <w:szCs w:val="18"/>
              </w:rPr>
              <w:t xml:space="preserve">Grand </w:t>
            </w:r>
            <w:r w:rsidRPr="005F4295">
              <w:rPr>
                <w:color w:val="auto"/>
              </w:rPr>
              <w:t>total</w:t>
            </w:r>
          </w:p>
        </w:tc>
        <w:tc>
          <w:tcPr>
            <w:tcW w:w="534" w:type="pct"/>
            <w:tcBorders>
              <w:left w:val="single" w:sz="4" w:space="0" w:color="808080" w:themeColor="background1" w:themeShade="80"/>
              <w:right w:val="single" w:sz="4" w:space="0" w:color="808080" w:themeColor="background1" w:themeShade="80"/>
            </w:tcBorders>
            <w:noWrap/>
            <w:hideMark/>
          </w:tcPr>
          <w:p w14:paraId="13A1F7E4" w14:textId="69076C5E" w:rsidR="00ED3292" w:rsidRPr="005F4295" w:rsidRDefault="00EA53B9"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cs="Calibri"/>
                <w:sz w:val="18"/>
                <w:szCs w:val="18"/>
              </w:rPr>
            </w:pPr>
            <w:r w:rsidRPr="005F4295">
              <w:rPr>
                <w:rFonts w:asciiTheme="majorHAnsi" w:hAnsiTheme="majorHAnsi"/>
                <w:sz w:val="18"/>
                <w:szCs w:val="18"/>
              </w:rPr>
              <w:t>166</w:t>
            </w:r>
            <w:r w:rsidRPr="005F4295">
              <w:rPr>
                <w:rFonts w:ascii="Calibri" w:hAnsi="Calibri" w:cs="Calibri"/>
                <w:sz w:val="18"/>
                <w:szCs w:val="18"/>
              </w:rPr>
              <w:t> </w:t>
            </w:r>
            <w:r w:rsidR="00285887" w:rsidRPr="005F4295">
              <w:rPr>
                <w:rFonts w:asciiTheme="majorHAnsi" w:hAnsiTheme="majorHAnsi" w:cs="Calibri"/>
                <w:sz w:val="18"/>
                <w:szCs w:val="18"/>
              </w:rPr>
              <w:t>6</w:t>
            </w:r>
            <w:r w:rsidR="00EA4DD5" w:rsidRPr="005F4295">
              <w:rPr>
                <w:rFonts w:asciiTheme="majorHAnsi" w:hAnsiTheme="majorHAnsi" w:cs="Calibri"/>
                <w:sz w:val="18"/>
                <w:szCs w:val="18"/>
              </w:rPr>
              <w:t>81</w:t>
            </w:r>
            <w:r w:rsidR="001C4921" w:rsidRPr="005F4295">
              <w:rPr>
                <w:rFonts w:asciiTheme="majorHAnsi" w:hAnsiTheme="majorHAnsi" w:cs="Calibri"/>
                <w:sz w:val="18"/>
                <w:szCs w:val="18"/>
              </w:rPr>
              <w:t>.4</w:t>
            </w:r>
          </w:p>
        </w:tc>
        <w:tc>
          <w:tcPr>
            <w:tcW w:w="534" w:type="pct"/>
            <w:tcBorders>
              <w:left w:val="single" w:sz="4" w:space="0" w:color="808080" w:themeColor="background1" w:themeShade="80"/>
              <w:right w:val="single" w:sz="4" w:space="0" w:color="808080" w:themeColor="background1" w:themeShade="80"/>
            </w:tcBorders>
            <w:noWrap/>
            <w:hideMark/>
          </w:tcPr>
          <w:p w14:paraId="47AF99FA" w14:textId="77777777"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N/A</w:t>
            </w:r>
          </w:p>
        </w:tc>
        <w:tc>
          <w:tcPr>
            <w:tcW w:w="534" w:type="pct"/>
            <w:tcBorders>
              <w:left w:val="single" w:sz="4" w:space="0" w:color="808080" w:themeColor="background1" w:themeShade="80"/>
              <w:right w:val="single" w:sz="4" w:space="0" w:color="808080" w:themeColor="background1" w:themeShade="80"/>
            </w:tcBorders>
            <w:noWrap/>
            <w:hideMark/>
          </w:tcPr>
          <w:p w14:paraId="36B2F5D8" w14:textId="77777777"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N/A</w:t>
            </w:r>
          </w:p>
        </w:tc>
        <w:tc>
          <w:tcPr>
            <w:tcW w:w="536" w:type="pct"/>
            <w:tcBorders>
              <w:left w:val="single" w:sz="4" w:space="0" w:color="808080" w:themeColor="background1" w:themeShade="80"/>
              <w:right w:val="single" w:sz="4" w:space="0" w:color="808080" w:themeColor="background1" w:themeShade="80"/>
            </w:tcBorders>
            <w:noWrap/>
            <w:hideMark/>
          </w:tcPr>
          <w:p w14:paraId="0A8E3A23" w14:textId="77777777"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F4295">
              <w:rPr>
                <w:rFonts w:asciiTheme="majorHAnsi" w:hAnsiTheme="majorHAnsi"/>
                <w:sz w:val="18"/>
                <w:szCs w:val="18"/>
              </w:rPr>
              <w:t>N/A</w:t>
            </w:r>
          </w:p>
        </w:tc>
        <w:tc>
          <w:tcPr>
            <w:tcW w:w="534" w:type="pct"/>
            <w:tcBorders>
              <w:left w:val="single" w:sz="4" w:space="0" w:color="808080" w:themeColor="background1" w:themeShade="80"/>
              <w:right w:val="single" w:sz="4" w:space="0" w:color="808080" w:themeColor="background1" w:themeShade="80"/>
            </w:tcBorders>
            <w:noWrap/>
          </w:tcPr>
          <w:p w14:paraId="0D58FBF4" w14:textId="2AE60BD3"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179</w:t>
            </w:r>
            <w:r w:rsidRPr="005F4295">
              <w:rPr>
                <w:rFonts w:ascii="Calibri" w:hAnsi="Calibri" w:cs="Calibri"/>
                <w:noProof/>
                <w:sz w:val="18"/>
                <w:szCs w:val="18"/>
              </w:rPr>
              <w:t> </w:t>
            </w:r>
            <w:r w:rsidRPr="005F4295">
              <w:rPr>
                <w:rFonts w:asciiTheme="majorHAnsi" w:hAnsiTheme="majorHAnsi"/>
                <w:noProof/>
                <w:sz w:val="18"/>
                <w:szCs w:val="18"/>
              </w:rPr>
              <w:t>037.8</w:t>
            </w:r>
          </w:p>
        </w:tc>
        <w:tc>
          <w:tcPr>
            <w:tcW w:w="534" w:type="pct"/>
            <w:tcBorders>
              <w:left w:val="single" w:sz="4" w:space="0" w:color="808080" w:themeColor="background1" w:themeShade="80"/>
              <w:right w:val="single" w:sz="4" w:space="0" w:color="808080" w:themeColor="background1" w:themeShade="80"/>
            </w:tcBorders>
            <w:noWrap/>
          </w:tcPr>
          <w:p w14:paraId="29C66BB3" w14:textId="5660655C"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N/A</w:t>
            </w:r>
          </w:p>
        </w:tc>
        <w:tc>
          <w:tcPr>
            <w:tcW w:w="534" w:type="pct"/>
            <w:tcBorders>
              <w:left w:val="single" w:sz="4" w:space="0" w:color="808080" w:themeColor="background1" w:themeShade="80"/>
              <w:right w:val="single" w:sz="4" w:space="0" w:color="808080" w:themeColor="background1" w:themeShade="80"/>
            </w:tcBorders>
            <w:noWrap/>
          </w:tcPr>
          <w:p w14:paraId="3C1E8460" w14:textId="4B1D4DBE"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N/A</w:t>
            </w:r>
          </w:p>
        </w:tc>
        <w:tc>
          <w:tcPr>
            <w:tcW w:w="533" w:type="pct"/>
            <w:tcBorders>
              <w:left w:val="single" w:sz="4" w:space="0" w:color="808080" w:themeColor="background1" w:themeShade="80"/>
            </w:tcBorders>
            <w:noWrap/>
          </w:tcPr>
          <w:p w14:paraId="79C92240" w14:textId="3E3C4B43" w:rsidR="00ED3292" w:rsidRPr="005F4295" w:rsidRDefault="00ED3292" w:rsidP="00ED3292">
            <w:pPr>
              <w:tabs>
                <w:tab w:val="decimal" w:pos="794"/>
              </w:tabs>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18"/>
                <w:szCs w:val="18"/>
              </w:rPr>
            </w:pPr>
            <w:r w:rsidRPr="005F4295">
              <w:rPr>
                <w:rFonts w:asciiTheme="majorHAnsi" w:hAnsiTheme="majorHAnsi"/>
                <w:noProof/>
                <w:sz w:val="18"/>
                <w:szCs w:val="18"/>
              </w:rPr>
              <w:t>N/A</w:t>
            </w:r>
          </w:p>
        </w:tc>
      </w:tr>
    </w:tbl>
    <w:p w14:paraId="463612BC" w14:textId="77777777" w:rsidR="00EB70E0" w:rsidRPr="005F4295" w:rsidRDefault="00EB70E0" w:rsidP="00EB70E0">
      <w:pPr>
        <w:pStyle w:val="TableNotes"/>
        <w:rPr>
          <w:rFonts w:ascii="Calibri" w:hAnsi="Calibri" w:cs="Calibri"/>
          <w:noProof/>
          <w:color w:val="000000"/>
          <w:sz w:val="18"/>
          <w:szCs w:val="18"/>
          <w:highlight w:val="lightGray"/>
          <w:lang w:eastAsia="en-IE"/>
        </w:rPr>
      </w:pPr>
    </w:p>
    <w:p w14:paraId="7F9F2C03" w14:textId="170AFAF1" w:rsidR="001B3267" w:rsidRPr="005F4295" w:rsidRDefault="001B3267" w:rsidP="001B3267">
      <w:pPr>
        <w:pStyle w:val="TableNotes"/>
        <w:rPr>
          <w:noProof/>
        </w:rPr>
      </w:pPr>
      <w:r w:rsidRPr="005F4295">
        <w:rPr>
          <w:rFonts w:cs="Calibri"/>
          <w:noProof/>
          <w:color w:val="000000"/>
          <w:sz w:val="18"/>
          <w:szCs w:val="18"/>
          <w:lang w:eastAsia="en-IE"/>
        </w:rPr>
        <w:t>(</w:t>
      </w:r>
      <w:r w:rsidRPr="005F4295">
        <w:rPr>
          <w:rFonts w:cs="Calibri"/>
          <w:color w:val="000000"/>
          <w:sz w:val="18"/>
          <w:szCs w:val="18"/>
          <w:lang w:eastAsia="en-IE"/>
        </w:rPr>
        <w:t>*</w:t>
      </w:r>
      <w:r w:rsidRPr="005F4295">
        <w:rPr>
          <w:rFonts w:cs="Calibri"/>
          <w:noProof/>
          <w:sz w:val="18"/>
          <w:szCs w:val="18"/>
          <w:lang w:eastAsia="en-IE"/>
        </w:rPr>
        <w:t xml:space="preserve">) </w:t>
      </w:r>
      <w:r w:rsidRPr="005F4295">
        <w:rPr>
          <w:rFonts w:cs="Calibri"/>
          <w:noProof/>
          <w:szCs w:val="16"/>
          <w:lang w:eastAsia="en-IE"/>
        </w:rPr>
        <w:t>For the headings ‘</w:t>
      </w:r>
      <w:r w:rsidR="00FD0F34" w:rsidRPr="005F4295">
        <w:rPr>
          <w:rFonts w:cs="Calibri"/>
          <w:noProof/>
          <w:szCs w:val="16"/>
          <w:lang w:eastAsia="en-IE"/>
        </w:rPr>
        <w:t>N</w:t>
      </w:r>
      <w:r w:rsidRPr="005F4295">
        <w:rPr>
          <w:rFonts w:cs="Calibri"/>
          <w:noProof/>
          <w:szCs w:val="16"/>
          <w:lang w:eastAsia="en-IE"/>
        </w:rPr>
        <w:t>atural resources and environment’ and ‘</w:t>
      </w:r>
      <w:r w:rsidR="00FD0F34" w:rsidRPr="005F4295">
        <w:rPr>
          <w:rFonts w:cs="Calibri"/>
          <w:noProof/>
          <w:szCs w:val="16"/>
          <w:lang w:eastAsia="en-IE"/>
        </w:rPr>
        <w:t>N</w:t>
      </w:r>
      <w:r w:rsidRPr="005F4295">
        <w:rPr>
          <w:rFonts w:cs="Calibri"/>
          <w:noProof/>
          <w:szCs w:val="16"/>
          <w:lang w:eastAsia="en-IE"/>
        </w:rPr>
        <w:t>eighbourhood and the world’, the amounts include the</w:t>
      </w:r>
      <w:r w:rsidRPr="005F4295">
        <w:rPr>
          <w:noProof/>
        </w:rPr>
        <w:t xml:space="preserve"> performance-based expenditure. </w:t>
      </w:r>
    </w:p>
    <w:p w14:paraId="50017F81" w14:textId="7461A54E" w:rsidR="001E630B" w:rsidRPr="005F4295" w:rsidRDefault="001B3267" w:rsidP="001B3267">
      <w:pPr>
        <w:pStyle w:val="TableNotes"/>
        <w:rPr>
          <w:noProof/>
        </w:rPr>
      </w:pPr>
      <w:r w:rsidRPr="005F4295">
        <w:rPr>
          <w:noProof/>
        </w:rPr>
        <w:t xml:space="preserve">(**) </w:t>
      </w:r>
      <w:r w:rsidRPr="005F4295">
        <w:t xml:space="preserve">For </w:t>
      </w:r>
      <w:r w:rsidRPr="005F4295">
        <w:rPr>
          <w:noProof/>
        </w:rPr>
        <w:t>2025, there are no risk at payment and risk at closure determined for the headings ‘</w:t>
      </w:r>
      <w:r w:rsidR="00FD0F34" w:rsidRPr="005F4295">
        <w:rPr>
          <w:noProof/>
        </w:rPr>
        <w:t>N</w:t>
      </w:r>
      <w:r w:rsidRPr="005F4295">
        <w:rPr>
          <w:noProof/>
        </w:rPr>
        <w:t>atural resources and environment’, ‘</w:t>
      </w:r>
      <w:r w:rsidR="00FD0F34" w:rsidRPr="005F4295">
        <w:rPr>
          <w:noProof/>
        </w:rPr>
        <w:t>N</w:t>
      </w:r>
      <w:r w:rsidRPr="005F4295">
        <w:rPr>
          <w:rFonts w:cs="Calibri"/>
          <w:noProof/>
          <w:szCs w:val="16"/>
          <w:lang w:eastAsia="en-IE"/>
        </w:rPr>
        <w:t>eighbourhood and the world’</w:t>
      </w:r>
      <w:r w:rsidRPr="005F4295">
        <w:rPr>
          <w:noProof/>
        </w:rPr>
        <w:t xml:space="preserve"> and for the whole Commission.</w:t>
      </w:r>
    </w:p>
    <w:p w14:paraId="23798FEA" w14:textId="610F98EB" w:rsidR="00EB70E0" w:rsidRPr="005F4295" w:rsidRDefault="00EB70E0" w:rsidP="00EB70E0">
      <w:pPr>
        <w:pStyle w:val="TableNotes"/>
        <w:rPr>
          <w:noProof/>
        </w:rPr>
      </w:pPr>
      <w:r w:rsidRPr="005F4295">
        <w:rPr>
          <w:noProof/>
        </w:rPr>
        <w:t>NB: Due to the rounding of figures to the nearest million</w:t>
      </w:r>
      <w:r w:rsidR="0095134F" w:rsidRPr="005F4295">
        <w:rPr>
          <w:rFonts w:ascii="Calibri" w:hAnsi="Calibri" w:cs="Calibri"/>
          <w:noProof/>
        </w:rPr>
        <w:t xml:space="preserve"> </w:t>
      </w:r>
      <w:r w:rsidRPr="005F4295">
        <w:rPr>
          <w:noProof/>
        </w:rPr>
        <w:t>EUR, some financial data in the table above may appear not to add up.</w:t>
      </w:r>
    </w:p>
    <w:p w14:paraId="11B4C6A9" w14:textId="78F0FB5D" w:rsidR="00EB70E0" w:rsidRPr="005F4295" w:rsidRDefault="00EB70E0" w:rsidP="004F3D06">
      <w:pPr>
        <w:pStyle w:val="TableSource"/>
        <w:rPr>
          <w:rFonts w:ascii="EC Square Sans Pro" w:hAnsi="EC Square Sans Pro"/>
          <w:noProof/>
          <w:highlight w:val="lightGray"/>
        </w:rPr>
      </w:pPr>
      <w:r w:rsidRPr="005F4295">
        <w:rPr>
          <w:rStyle w:val="Italic"/>
        </w:rPr>
        <w:t>Source:</w:t>
      </w:r>
      <w:r w:rsidRPr="005F4295">
        <w:rPr>
          <w:noProof/>
        </w:rPr>
        <w:t xml:space="preserve"> European Commission annual activity reports.</w:t>
      </w:r>
    </w:p>
    <w:p w14:paraId="5F3600C8" w14:textId="77777777" w:rsidR="00EB70E0" w:rsidRPr="005F4295" w:rsidRDefault="00EB70E0" w:rsidP="00EB70E0">
      <w:pPr>
        <w:pStyle w:val="Heading4"/>
        <w:rPr>
          <w:noProof/>
        </w:rPr>
      </w:pPr>
      <w:r w:rsidRPr="005F4295">
        <w:rPr>
          <w:noProof/>
        </w:rPr>
        <w:t>Cohesion</w:t>
      </w:r>
    </w:p>
    <w:p w14:paraId="35C8EC1F" w14:textId="77777777" w:rsidR="00EB70E0" w:rsidRPr="005F4295" w:rsidRDefault="00EB70E0" w:rsidP="00EB70E0">
      <w:pPr>
        <w:rPr>
          <w:noProof/>
        </w:rPr>
      </w:pPr>
      <w:r w:rsidRPr="005F4295">
        <w:rPr>
          <w:noProof/>
        </w:rPr>
        <w:t>The two cohesion-related departments determine a range of values:</w:t>
      </w:r>
    </w:p>
    <w:p w14:paraId="78173793" w14:textId="1447C0B3" w:rsidR="00EB70E0" w:rsidRPr="005F4295" w:rsidRDefault="00EB70E0" w:rsidP="00ED5750">
      <w:pPr>
        <w:pStyle w:val="ListBullet"/>
        <w:numPr>
          <w:ilvl w:val="0"/>
          <w:numId w:val="11"/>
        </w:numPr>
        <w:rPr>
          <w:noProof/>
        </w:rPr>
      </w:pPr>
      <w:r w:rsidRPr="005F4295">
        <w:rPr>
          <w:noProof/>
        </w:rPr>
        <w:t xml:space="preserve">the lower value corresponds to the departments’ risk at payment for the </w:t>
      </w:r>
      <w:r w:rsidR="00B25492" w:rsidRPr="005F4295">
        <w:rPr>
          <w:noProof/>
        </w:rPr>
        <w:t xml:space="preserve">2025 </w:t>
      </w:r>
      <w:r w:rsidRPr="005F4295">
        <w:rPr>
          <w:noProof/>
        </w:rPr>
        <w:t>relevant expenditure</w:t>
      </w:r>
      <w:r w:rsidR="00BA123A" w:rsidRPr="005F4295">
        <w:rPr>
          <w:noProof/>
        </w:rPr>
        <w:t>,</w:t>
      </w:r>
      <w:r w:rsidRPr="005F4295">
        <w:rPr>
          <w:noProof/>
        </w:rPr>
        <w:t xml:space="preserve"> based on their confirmed residual total error rate for the </w:t>
      </w:r>
      <w:r w:rsidR="00B25492" w:rsidRPr="005F4295">
        <w:rPr>
          <w:noProof/>
        </w:rPr>
        <w:t>202</w:t>
      </w:r>
      <w:r w:rsidR="00DE1B2C" w:rsidRPr="005F4295">
        <w:rPr>
          <w:noProof/>
        </w:rPr>
        <w:t>3</w:t>
      </w:r>
      <w:r w:rsidR="00BA123A" w:rsidRPr="005F4295">
        <w:rPr>
          <w:noProof/>
        </w:rPr>
        <w:t>-</w:t>
      </w:r>
      <w:r w:rsidR="00B25492" w:rsidRPr="005F4295">
        <w:rPr>
          <w:noProof/>
        </w:rPr>
        <w:t xml:space="preserve">2024 </w:t>
      </w:r>
      <w:r w:rsidRPr="005F4295">
        <w:rPr>
          <w:noProof/>
        </w:rPr>
        <w:t>accounting year;</w:t>
      </w:r>
    </w:p>
    <w:p w14:paraId="2DBC0C32" w14:textId="27798DBD" w:rsidR="00EB70E0" w:rsidRPr="005F4295" w:rsidRDefault="00EB70E0" w:rsidP="00ED5750">
      <w:pPr>
        <w:pStyle w:val="ListBullet"/>
        <w:numPr>
          <w:ilvl w:val="0"/>
          <w:numId w:val="11"/>
        </w:numPr>
        <w:rPr>
          <w:noProof/>
        </w:rPr>
      </w:pPr>
      <w:r w:rsidRPr="005F4295">
        <w:rPr>
          <w:noProof/>
        </w:rPr>
        <w:t>the upper value corresponds to a worst-case scenario (i.e. maximum risk), taking into account possible additional risks</w:t>
      </w:r>
      <w:r w:rsidR="000D42A4" w:rsidRPr="005F4295">
        <w:rPr>
          <w:noProof/>
        </w:rPr>
        <w:t>, on top of the confirmed residual error rate,</w:t>
      </w:r>
      <w:r w:rsidRPr="005F4295">
        <w:rPr>
          <w:noProof/>
        </w:rPr>
        <w:t xml:space="preserve"> in parts of expenditure not reviewed under EU audits that indicate the possibility for higher error rates for some programmes.</w:t>
      </w:r>
    </w:p>
    <w:p w14:paraId="283BD973" w14:textId="42E1427E" w:rsidR="00EB70E0" w:rsidRPr="005F4295" w:rsidRDefault="00EB70E0" w:rsidP="00EB70E0">
      <w:pPr>
        <w:pStyle w:val="TableTitle"/>
        <w:rPr>
          <w:noProof/>
        </w:rPr>
      </w:pPr>
      <w:r w:rsidRPr="005F4295">
        <w:rPr>
          <w:noProof/>
        </w:rPr>
        <w:t>Table</w:t>
      </w:r>
      <w:r w:rsidRPr="005F4295">
        <w:rPr>
          <w:rFonts w:ascii="Calibri" w:hAnsi="Calibri" w:cs="Calibri"/>
          <w:noProof/>
        </w:rPr>
        <w:t> </w:t>
      </w:r>
      <w:r w:rsidRPr="005F4295">
        <w:rPr>
          <w:noProof/>
        </w:rPr>
        <w:t>B</w:t>
      </w:r>
      <w:r w:rsidRPr="005F4295">
        <w:rPr>
          <w:rFonts w:ascii="Calibri" w:hAnsi="Calibri" w:cs="Calibri"/>
          <w:noProof/>
        </w:rPr>
        <w:t> </w:t>
      </w:r>
      <w:r w:rsidRPr="005F4295">
        <w:rPr>
          <w:rFonts w:cs="EC Square Sans Pro"/>
          <w:noProof/>
        </w:rPr>
        <w:t>–</w:t>
      </w:r>
      <w:r w:rsidRPr="005F4295">
        <w:rPr>
          <w:noProof/>
        </w:rPr>
        <w:t xml:space="preserve"> Risk at payment for cohesion policy funds in </w:t>
      </w:r>
      <w:r w:rsidR="00B25492" w:rsidRPr="005F4295">
        <w:rPr>
          <w:noProof/>
        </w:rPr>
        <w:t>2025</w:t>
      </w:r>
    </w:p>
    <w:tbl>
      <w:tblPr>
        <w:tblW w:w="9235" w:type="dxa"/>
        <w:tblLook w:val="04A0" w:firstRow="1" w:lastRow="0" w:firstColumn="1" w:lastColumn="0" w:noHBand="0" w:noVBand="1"/>
      </w:tblPr>
      <w:tblGrid>
        <w:gridCol w:w="1686"/>
        <w:gridCol w:w="3637"/>
        <w:gridCol w:w="1304"/>
        <w:gridCol w:w="1304"/>
        <w:gridCol w:w="1304"/>
      </w:tblGrid>
      <w:tr w:rsidR="006154E8" w:rsidRPr="005F4295" w14:paraId="4274A993" w14:textId="77777777" w:rsidTr="00FF523F">
        <w:trPr>
          <w:cantSplit/>
          <w:trHeight w:val="510"/>
          <w:tblHeader/>
        </w:trPr>
        <w:tc>
          <w:tcPr>
            <w:tcW w:w="1686" w:type="dxa"/>
            <w:tcBorders>
              <w:top w:val="single" w:sz="12" w:space="0" w:color="FFFFFF"/>
              <w:left w:val="single" w:sz="12" w:space="0" w:color="FFFFFF"/>
              <w:bottom w:val="nil"/>
              <w:right w:val="single" w:sz="8" w:space="0" w:color="FFFFFF"/>
            </w:tcBorders>
            <w:shd w:val="clear" w:color="000000" w:fill="003399"/>
            <w:hideMark/>
          </w:tcPr>
          <w:p w14:paraId="07B20920" w14:textId="77777777" w:rsidR="006154E8" w:rsidRPr="005F4295" w:rsidRDefault="006154E8">
            <w:pPr>
              <w:spacing w:before="20" w:after="20"/>
              <w:rPr>
                <w:b/>
                <w:bCs/>
                <w:sz w:val="18"/>
                <w:szCs w:val="18"/>
              </w:rPr>
            </w:pPr>
            <w:r w:rsidRPr="005F4295">
              <w:rPr>
                <w:rFonts w:ascii="Calibri" w:hAnsi="Calibri" w:cs="Calibri"/>
                <w:b/>
                <w:bCs/>
                <w:sz w:val="18"/>
                <w:szCs w:val="18"/>
              </w:rPr>
              <w:t> </w:t>
            </w:r>
          </w:p>
        </w:tc>
        <w:tc>
          <w:tcPr>
            <w:tcW w:w="3637" w:type="dxa"/>
            <w:tcBorders>
              <w:top w:val="single" w:sz="12" w:space="0" w:color="FFFFFF"/>
              <w:left w:val="single" w:sz="12" w:space="0" w:color="FFFFFF"/>
              <w:bottom w:val="nil"/>
              <w:right w:val="single" w:sz="8" w:space="0" w:color="FFFFFF"/>
            </w:tcBorders>
            <w:shd w:val="clear" w:color="000000" w:fill="003399"/>
          </w:tcPr>
          <w:p w14:paraId="5414CD2B" w14:textId="77777777" w:rsidR="006154E8" w:rsidRPr="005F4295" w:rsidRDefault="006154E8">
            <w:pPr>
              <w:spacing w:before="20" w:after="20"/>
              <w:rPr>
                <w:b/>
                <w:bCs/>
                <w:sz w:val="18"/>
                <w:szCs w:val="18"/>
              </w:rPr>
            </w:pPr>
          </w:p>
        </w:tc>
        <w:tc>
          <w:tcPr>
            <w:tcW w:w="1304" w:type="dxa"/>
            <w:tcBorders>
              <w:top w:val="single" w:sz="12" w:space="0" w:color="FFFFFF"/>
              <w:left w:val="nil"/>
              <w:bottom w:val="nil"/>
              <w:right w:val="single" w:sz="8" w:space="0" w:color="FFFFFF"/>
            </w:tcBorders>
            <w:shd w:val="clear" w:color="000000" w:fill="003399"/>
            <w:vAlign w:val="center"/>
            <w:hideMark/>
          </w:tcPr>
          <w:p w14:paraId="3D0FBB78" w14:textId="1FB844A2" w:rsidR="006154E8" w:rsidRPr="005F4295" w:rsidRDefault="006154E8">
            <w:pPr>
              <w:spacing w:before="20" w:after="20"/>
              <w:rPr>
                <w:b/>
                <w:bCs/>
                <w:sz w:val="18"/>
                <w:szCs w:val="18"/>
              </w:rPr>
            </w:pPr>
            <w:r w:rsidRPr="005F4295">
              <w:rPr>
                <w:b/>
                <w:bCs/>
                <w:sz w:val="18"/>
                <w:szCs w:val="18"/>
              </w:rPr>
              <w:t>Relevant expenditure (million</w:t>
            </w:r>
            <w:r w:rsidR="00CB13C7" w:rsidRPr="005F4295">
              <w:rPr>
                <w:b/>
                <w:bCs/>
                <w:sz w:val="18"/>
                <w:szCs w:val="18"/>
              </w:rPr>
              <w:t xml:space="preserve"> </w:t>
            </w:r>
            <w:r w:rsidRPr="005F4295">
              <w:rPr>
                <w:b/>
                <w:bCs/>
                <w:sz w:val="18"/>
                <w:szCs w:val="18"/>
              </w:rPr>
              <w:t>EUR)</w:t>
            </w:r>
          </w:p>
        </w:tc>
        <w:tc>
          <w:tcPr>
            <w:tcW w:w="1304" w:type="dxa"/>
            <w:tcBorders>
              <w:top w:val="single" w:sz="12" w:space="0" w:color="FFFFFF"/>
              <w:left w:val="nil"/>
              <w:bottom w:val="nil"/>
              <w:right w:val="single" w:sz="8" w:space="0" w:color="FFFFFF"/>
            </w:tcBorders>
            <w:shd w:val="clear" w:color="000000" w:fill="003399"/>
            <w:vAlign w:val="center"/>
            <w:hideMark/>
          </w:tcPr>
          <w:p w14:paraId="1F97C40F" w14:textId="77777777" w:rsidR="006154E8" w:rsidRPr="005F4295" w:rsidRDefault="006154E8">
            <w:pPr>
              <w:spacing w:before="20" w:after="20"/>
              <w:rPr>
                <w:b/>
                <w:bCs/>
                <w:sz w:val="18"/>
                <w:szCs w:val="18"/>
              </w:rPr>
            </w:pPr>
            <w:r w:rsidRPr="005F4295">
              <w:rPr>
                <w:b/>
                <w:bCs/>
                <w:sz w:val="18"/>
                <w:szCs w:val="18"/>
              </w:rPr>
              <w:t>Lower value</w:t>
            </w:r>
          </w:p>
        </w:tc>
        <w:tc>
          <w:tcPr>
            <w:tcW w:w="1304" w:type="dxa"/>
            <w:tcBorders>
              <w:top w:val="single" w:sz="12" w:space="0" w:color="FFFFFF"/>
              <w:left w:val="nil"/>
              <w:bottom w:val="nil"/>
              <w:right w:val="single" w:sz="12" w:space="0" w:color="FFFFFF"/>
            </w:tcBorders>
            <w:shd w:val="clear" w:color="000000" w:fill="003399"/>
            <w:vAlign w:val="center"/>
            <w:hideMark/>
          </w:tcPr>
          <w:p w14:paraId="1C4948A5" w14:textId="77777777" w:rsidR="006154E8" w:rsidRPr="005F4295" w:rsidRDefault="006154E8">
            <w:pPr>
              <w:spacing w:before="20" w:after="20"/>
              <w:rPr>
                <w:b/>
                <w:bCs/>
                <w:sz w:val="18"/>
                <w:szCs w:val="18"/>
              </w:rPr>
            </w:pPr>
            <w:r w:rsidRPr="005F4295">
              <w:rPr>
                <w:b/>
                <w:bCs/>
                <w:sz w:val="18"/>
                <w:szCs w:val="18"/>
              </w:rPr>
              <w:t>Upper value</w:t>
            </w:r>
          </w:p>
        </w:tc>
      </w:tr>
      <w:tr w:rsidR="006154E8" w:rsidRPr="005F4295" w14:paraId="1C01793F" w14:textId="77777777" w:rsidTr="00FF523F">
        <w:trPr>
          <w:cantSplit/>
          <w:trHeight w:val="364"/>
        </w:trPr>
        <w:tc>
          <w:tcPr>
            <w:tcW w:w="1686" w:type="dxa"/>
            <w:vMerge w:val="restart"/>
            <w:tcBorders>
              <w:top w:val="nil"/>
              <w:left w:val="nil"/>
              <w:bottom w:val="single" w:sz="8" w:space="0" w:color="8C8C8C"/>
              <w:right w:val="single" w:sz="8" w:space="0" w:color="8C8C8C"/>
            </w:tcBorders>
            <w:vAlign w:val="center"/>
            <w:hideMark/>
          </w:tcPr>
          <w:p w14:paraId="109A38C2" w14:textId="77777777" w:rsidR="006154E8" w:rsidRPr="005F4295" w:rsidRDefault="006154E8">
            <w:pPr>
              <w:suppressAutoHyphens w:val="0"/>
              <w:spacing w:before="0" w:after="0" w:line="240" w:lineRule="auto"/>
              <w:rPr>
                <w:b/>
                <w:bCs/>
                <w:noProof/>
                <w:color w:val="003399"/>
                <w:sz w:val="18"/>
                <w:szCs w:val="18"/>
                <w:lang w:eastAsia="en-IE"/>
              </w:rPr>
            </w:pPr>
            <w:r w:rsidRPr="005F4295">
              <w:rPr>
                <w:b/>
                <w:bCs/>
                <w:noProof/>
                <w:color w:val="003399"/>
                <w:sz w:val="18"/>
                <w:szCs w:val="18"/>
                <w:lang w:eastAsia="en-IE"/>
              </w:rPr>
              <w:t>DG Employment, Social Affairs and Inclusion</w:t>
            </w:r>
          </w:p>
        </w:tc>
        <w:tc>
          <w:tcPr>
            <w:tcW w:w="3637" w:type="dxa"/>
            <w:tcBorders>
              <w:top w:val="nil"/>
              <w:left w:val="nil"/>
              <w:bottom w:val="nil"/>
              <w:right w:val="single" w:sz="8" w:space="0" w:color="8C8C8C"/>
            </w:tcBorders>
            <w:shd w:val="clear" w:color="000000" w:fill="FFFFFF"/>
            <w:vAlign w:val="center"/>
            <w:hideMark/>
          </w:tcPr>
          <w:p w14:paraId="0780217A" w14:textId="77777777" w:rsidR="006154E8" w:rsidRPr="005F4295" w:rsidRDefault="006154E8">
            <w:pPr>
              <w:suppressAutoHyphens w:val="0"/>
              <w:spacing w:before="0" w:after="0" w:line="240" w:lineRule="auto"/>
              <w:rPr>
                <w:b/>
                <w:bCs/>
                <w:noProof/>
                <w:color w:val="000000"/>
                <w:sz w:val="18"/>
                <w:szCs w:val="18"/>
                <w:lang w:eastAsia="en-IE"/>
              </w:rPr>
            </w:pPr>
            <w:r w:rsidRPr="005F4295">
              <w:rPr>
                <w:b/>
                <w:bCs/>
                <w:noProof/>
                <w:color w:val="000000"/>
                <w:sz w:val="18"/>
                <w:szCs w:val="18"/>
                <w:lang w:eastAsia="en-IE"/>
              </w:rPr>
              <w:t>Entire directorate-general</w:t>
            </w:r>
          </w:p>
        </w:tc>
        <w:tc>
          <w:tcPr>
            <w:tcW w:w="1304" w:type="dxa"/>
            <w:tcBorders>
              <w:top w:val="nil"/>
              <w:left w:val="nil"/>
              <w:bottom w:val="nil"/>
              <w:right w:val="single" w:sz="8" w:space="0" w:color="8C8C8C"/>
            </w:tcBorders>
            <w:shd w:val="clear" w:color="000000" w:fill="FFFFFF"/>
            <w:vAlign w:val="center"/>
          </w:tcPr>
          <w:p w14:paraId="5991053C" w14:textId="7B2DB7C4" w:rsidR="006154E8" w:rsidRPr="005F4295" w:rsidRDefault="006154E8">
            <w:pPr>
              <w:suppressAutoHyphens w:val="0"/>
              <w:spacing w:before="0" w:after="0" w:line="240" w:lineRule="auto"/>
              <w:ind w:right="340"/>
              <w:jc w:val="right"/>
              <w:rPr>
                <w:b/>
                <w:bCs/>
                <w:noProof/>
                <w:color w:val="000000"/>
                <w:sz w:val="18"/>
                <w:szCs w:val="18"/>
                <w:lang w:eastAsia="en-IE"/>
              </w:rPr>
            </w:pPr>
            <w:r w:rsidRPr="005F4295">
              <w:rPr>
                <w:b/>
                <w:bCs/>
                <w:noProof/>
                <w:color w:val="000000"/>
                <w:sz w:val="18"/>
                <w:szCs w:val="18"/>
                <w:lang w:eastAsia="en-IE"/>
              </w:rPr>
              <w:t>12</w:t>
            </w:r>
            <w:r w:rsidR="00CB13C7" w:rsidRPr="005F4295">
              <w:rPr>
                <w:rFonts w:ascii="Calibri" w:hAnsi="Calibri" w:cs="Calibri"/>
                <w:b/>
                <w:bCs/>
                <w:noProof/>
                <w:color w:val="000000"/>
                <w:sz w:val="18"/>
                <w:szCs w:val="18"/>
                <w:lang w:eastAsia="en-IE"/>
              </w:rPr>
              <w:t> </w:t>
            </w:r>
            <w:r w:rsidRPr="005F4295">
              <w:rPr>
                <w:b/>
                <w:bCs/>
                <w:noProof/>
                <w:color w:val="000000"/>
                <w:sz w:val="18"/>
                <w:szCs w:val="18"/>
                <w:lang w:eastAsia="en-IE"/>
              </w:rPr>
              <w:t>545</w:t>
            </w:r>
          </w:p>
        </w:tc>
        <w:tc>
          <w:tcPr>
            <w:tcW w:w="1304" w:type="dxa"/>
            <w:tcBorders>
              <w:top w:val="nil"/>
              <w:left w:val="nil"/>
              <w:bottom w:val="nil"/>
              <w:right w:val="single" w:sz="8" w:space="0" w:color="8C8C8C"/>
            </w:tcBorders>
            <w:shd w:val="clear" w:color="000000" w:fill="FFFFFF"/>
            <w:vAlign w:val="center"/>
          </w:tcPr>
          <w:p w14:paraId="2B82A651" w14:textId="77777777" w:rsidR="006154E8" w:rsidRPr="005F4295" w:rsidRDefault="006154E8">
            <w:pPr>
              <w:suppressAutoHyphens w:val="0"/>
              <w:spacing w:before="0" w:after="0" w:line="240" w:lineRule="auto"/>
              <w:jc w:val="center"/>
              <w:rPr>
                <w:b/>
                <w:bCs/>
                <w:noProof/>
                <w:color w:val="000000"/>
                <w:sz w:val="18"/>
                <w:szCs w:val="18"/>
                <w:lang w:eastAsia="en-IE"/>
              </w:rPr>
            </w:pPr>
            <w:r w:rsidRPr="005F4295">
              <w:rPr>
                <w:b/>
                <w:bCs/>
                <w:noProof/>
                <w:color w:val="000000"/>
                <w:sz w:val="18"/>
                <w:szCs w:val="18"/>
                <w:lang w:eastAsia="en-IE"/>
              </w:rPr>
              <w:t>2.05%</w:t>
            </w:r>
          </w:p>
        </w:tc>
        <w:tc>
          <w:tcPr>
            <w:tcW w:w="1304" w:type="dxa"/>
            <w:tcBorders>
              <w:top w:val="nil"/>
              <w:left w:val="nil"/>
              <w:bottom w:val="nil"/>
              <w:right w:val="nil"/>
            </w:tcBorders>
            <w:shd w:val="clear" w:color="000000" w:fill="FFFFFF"/>
            <w:vAlign w:val="center"/>
          </w:tcPr>
          <w:p w14:paraId="4E332AE5" w14:textId="77777777" w:rsidR="006154E8" w:rsidRPr="005F4295" w:rsidRDefault="006154E8">
            <w:pPr>
              <w:suppressAutoHyphens w:val="0"/>
              <w:spacing w:before="0" w:after="0" w:line="240" w:lineRule="auto"/>
              <w:jc w:val="center"/>
              <w:rPr>
                <w:b/>
                <w:bCs/>
                <w:noProof/>
                <w:color w:val="000000"/>
                <w:sz w:val="18"/>
                <w:szCs w:val="18"/>
                <w:lang w:eastAsia="en-IE"/>
              </w:rPr>
            </w:pPr>
            <w:r w:rsidRPr="005F4295">
              <w:rPr>
                <w:b/>
                <w:bCs/>
                <w:noProof/>
                <w:color w:val="000000"/>
                <w:sz w:val="18"/>
                <w:szCs w:val="18"/>
                <w:lang w:eastAsia="en-IE"/>
              </w:rPr>
              <w:t>2.40%</w:t>
            </w:r>
          </w:p>
        </w:tc>
      </w:tr>
      <w:tr w:rsidR="006154E8" w:rsidRPr="005F4295" w14:paraId="73EB8733" w14:textId="77777777" w:rsidTr="00FF523F">
        <w:trPr>
          <w:trHeight w:val="730"/>
        </w:trPr>
        <w:tc>
          <w:tcPr>
            <w:tcW w:w="1686" w:type="dxa"/>
            <w:vMerge/>
            <w:tcBorders>
              <w:top w:val="nil"/>
              <w:left w:val="nil"/>
              <w:bottom w:val="single" w:sz="8" w:space="0" w:color="8C8C8C"/>
              <w:right w:val="single" w:sz="8" w:space="0" w:color="8C8C8C"/>
            </w:tcBorders>
            <w:vAlign w:val="center"/>
            <w:hideMark/>
          </w:tcPr>
          <w:p w14:paraId="7F95287F" w14:textId="77777777" w:rsidR="006154E8" w:rsidRPr="005F4295" w:rsidRDefault="006154E8">
            <w:pPr>
              <w:suppressAutoHyphens w:val="0"/>
              <w:spacing w:before="0" w:after="0" w:line="240" w:lineRule="auto"/>
              <w:rPr>
                <w:b/>
                <w:bCs/>
                <w:noProof/>
                <w:color w:val="003399"/>
                <w:sz w:val="18"/>
                <w:szCs w:val="18"/>
                <w:lang w:eastAsia="en-IE"/>
              </w:rPr>
            </w:pPr>
          </w:p>
        </w:tc>
        <w:tc>
          <w:tcPr>
            <w:tcW w:w="3637" w:type="dxa"/>
            <w:tcBorders>
              <w:top w:val="single" w:sz="8" w:space="0" w:color="8C8C8C"/>
              <w:left w:val="nil"/>
              <w:bottom w:val="single" w:sz="8" w:space="0" w:color="8C8C8C"/>
              <w:right w:val="single" w:sz="8" w:space="0" w:color="8C8C8C"/>
            </w:tcBorders>
            <w:shd w:val="clear" w:color="000000" w:fill="FFFFFF"/>
            <w:vAlign w:val="center"/>
            <w:hideMark/>
          </w:tcPr>
          <w:p w14:paraId="183F7C56" w14:textId="77777777" w:rsidR="006154E8" w:rsidRPr="005F4295" w:rsidRDefault="006154E8">
            <w:pPr>
              <w:suppressAutoHyphens w:val="0"/>
              <w:spacing w:before="0" w:after="0" w:line="240" w:lineRule="auto"/>
              <w:rPr>
                <w:noProof/>
                <w:color w:val="000000"/>
                <w:sz w:val="18"/>
                <w:szCs w:val="18"/>
                <w:lang w:eastAsia="en-IE"/>
              </w:rPr>
            </w:pPr>
            <w:r w:rsidRPr="005F4295">
              <w:rPr>
                <w:noProof/>
                <w:color w:val="000000"/>
                <w:sz w:val="18"/>
                <w:szCs w:val="18"/>
                <w:lang w:eastAsia="en-IE"/>
              </w:rPr>
              <w:t>European Social Fund, youth employment initiative, Fund for European Aid to the Most Deprived</w:t>
            </w:r>
            <w:r w:rsidRPr="005F4295">
              <w:rPr>
                <w:rFonts w:ascii="Calibri" w:hAnsi="Calibri" w:cs="Calibri"/>
                <w:noProof/>
                <w:color w:val="000000"/>
                <w:sz w:val="18"/>
                <w:szCs w:val="18"/>
                <w:lang w:eastAsia="en-IE"/>
              </w:rPr>
              <w:t> </w:t>
            </w:r>
            <w:r w:rsidRPr="005F4295">
              <w:rPr>
                <w:rFonts w:ascii="Arial" w:hAnsi="Arial" w:cs="Arial"/>
                <w:noProof/>
                <w:color w:val="000000"/>
                <w:sz w:val="18"/>
                <w:szCs w:val="18"/>
                <w:lang w:eastAsia="en-IE"/>
              </w:rPr>
              <w:t>–</w:t>
            </w:r>
            <w:r w:rsidRPr="005F4295">
              <w:rPr>
                <w:noProof/>
                <w:color w:val="000000"/>
                <w:sz w:val="18"/>
                <w:szCs w:val="18"/>
                <w:lang w:eastAsia="en-IE"/>
              </w:rPr>
              <w:t xml:space="preserve"> 2021-2027</w:t>
            </w:r>
          </w:p>
        </w:tc>
        <w:tc>
          <w:tcPr>
            <w:tcW w:w="1304" w:type="dxa"/>
            <w:tcBorders>
              <w:top w:val="single" w:sz="8" w:space="0" w:color="8C8C8C"/>
              <w:left w:val="nil"/>
              <w:bottom w:val="single" w:sz="8" w:space="0" w:color="8C8C8C"/>
              <w:right w:val="single" w:sz="8" w:space="0" w:color="8C8C8C"/>
            </w:tcBorders>
            <w:shd w:val="clear" w:color="000000" w:fill="FFFFFF"/>
            <w:vAlign w:val="center"/>
          </w:tcPr>
          <w:p w14:paraId="5691ADCE" w14:textId="23EFCDE5" w:rsidR="006154E8" w:rsidRPr="005F4295" w:rsidRDefault="006154E8">
            <w:pPr>
              <w:suppressAutoHyphens w:val="0"/>
              <w:spacing w:before="0" w:after="0" w:line="240" w:lineRule="auto"/>
              <w:ind w:right="340"/>
              <w:jc w:val="right"/>
              <w:rPr>
                <w:noProof/>
                <w:color w:val="000000"/>
                <w:sz w:val="18"/>
                <w:szCs w:val="18"/>
                <w:lang w:eastAsia="en-IE"/>
              </w:rPr>
            </w:pPr>
            <w:r w:rsidRPr="005F4295">
              <w:rPr>
                <w:noProof/>
                <w:color w:val="000000"/>
                <w:sz w:val="18"/>
                <w:szCs w:val="18"/>
                <w:lang w:eastAsia="en-IE"/>
              </w:rPr>
              <w:t>7</w:t>
            </w:r>
            <w:r w:rsidR="00CB13C7" w:rsidRPr="005F4295">
              <w:rPr>
                <w:rFonts w:ascii="Calibri" w:hAnsi="Calibri" w:cs="Calibri"/>
                <w:noProof/>
                <w:color w:val="000000"/>
                <w:sz w:val="18"/>
                <w:szCs w:val="18"/>
                <w:lang w:eastAsia="en-IE"/>
              </w:rPr>
              <w:t> </w:t>
            </w:r>
            <w:r w:rsidRPr="005F4295">
              <w:rPr>
                <w:noProof/>
                <w:color w:val="000000"/>
                <w:sz w:val="18"/>
                <w:szCs w:val="18"/>
                <w:lang w:eastAsia="en-IE"/>
              </w:rPr>
              <w:t>850</w:t>
            </w:r>
          </w:p>
        </w:tc>
        <w:tc>
          <w:tcPr>
            <w:tcW w:w="1304" w:type="dxa"/>
            <w:tcBorders>
              <w:top w:val="single" w:sz="8" w:space="0" w:color="8C8C8C"/>
              <w:left w:val="nil"/>
              <w:bottom w:val="single" w:sz="8" w:space="0" w:color="8C8C8C"/>
              <w:right w:val="single" w:sz="8" w:space="0" w:color="8C8C8C"/>
            </w:tcBorders>
            <w:shd w:val="clear" w:color="000000" w:fill="FFFFFF"/>
            <w:vAlign w:val="center"/>
          </w:tcPr>
          <w:p w14:paraId="2DC5AB60"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2.00%</w:t>
            </w:r>
          </w:p>
        </w:tc>
        <w:tc>
          <w:tcPr>
            <w:tcW w:w="1304" w:type="dxa"/>
            <w:tcBorders>
              <w:top w:val="single" w:sz="8" w:space="0" w:color="8C8C8C"/>
              <w:left w:val="nil"/>
              <w:bottom w:val="single" w:sz="8" w:space="0" w:color="8C8C8C"/>
              <w:right w:val="nil"/>
            </w:tcBorders>
            <w:shd w:val="clear" w:color="000000" w:fill="FFFFFF"/>
            <w:vAlign w:val="center"/>
          </w:tcPr>
          <w:p w14:paraId="134C5F2A"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2.01%</w:t>
            </w:r>
          </w:p>
        </w:tc>
      </w:tr>
      <w:tr w:rsidR="006154E8" w:rsidRPr="005F4295" w14:paraId="2D731640" w14:textId="77777777" w:rsidTr="00FF523F">
        <w:trPr>
          <w:trHeight w:val="730"/>
        </w:trPr>
        <w:tc>
          <w:tcPr>
            <w:tcW w:w="1686" w:type="dxa"/>
            <w:vMerge/>
            <w:tcBorders>
              <w:top w:val="nil"/>
              <w:left w:val="nil"/>
              <w:bottom w:val="single" w:sz="8" w:space="0" w:color="8C8C8C"/>
              <w:right w:val="single" w:sz="8" w:space="0" w:color="8C8C8C"/>
            </w:tcBorders>
            <w:vAlign w:val="center"/>
          </w:tcPr>
          <w:p w14:paraId="2DAEB188" w14:textId="77777777" w:rsidR="006154E8" w:rsidRPr="005F4295" w:rsidRDefault="006154E8">
            <w:pPr>
              <w:suppressAutoHyphens w:val="0"/>
              <w:spacing w:before="0" w:after="0" w:line="240" w:lineRule="auto"/>
              <w:rPr>
                <w:b/>
                <w:bCs/>
                <w:noProof/>
                <w:color w:val="003399"/>
                <w:sz w:val="18"/>
                <w:szCs w:val="18"/>
                <w:lang w:eastAsia="en-IE"/>
              </w:rPr>
            </w:pPr>
          </w:p>
        </w:tc>
        <w:tc>
          <w:tcPr>
            <w:tcW w:w="3637" w:type="dxa"/>
            <w:tcBorders>
              <w:top w:val="nil"/>
              <w:left w:val="nil"/>
              <w:bottom w:val="single" w:sz="8" w:space="0" w:color="8C8C8C"/>
              <w:right w:val="single" w:sz="8" w:space="0" w:color="8C8C8C"/>
            </w:tcBorders>
            <w:shd w:val="clear" w:color="000000" w:fill="FFFFFF"/>
            <w:vAlign w:val="center"/>
          </w:tcPr>
          <w:p w14:paraId="21DD6794" w14:textId="77777777" w:rsidR="006154E8" w:rsidRPr="005F4295" w:rsidRDefault="006154E8">
            <w:pPr>
              <w:suppressAutoHyphens w:val="0"/>
              <w:spacing w:before="0" w:after="0" w:line="240" w:lineRule="auto"/>
              <w:rPr>
                <w:noProof/>
                <w:color w:val="000000"/>
                <w:sz w:val="18"/>
                <w:szCs w:val="18"/>
                <w:lang w:eastAsia="en-IE"/>
              </w:rPr>
            </w:pPr>
            <w:r w:rsidRPr="005F4295">
              <w:rPr>
                <w:noProof/>
                <w:color w:val="000000"/>
                <w:sz w:val="18"/>
                <w:szCs w:val="18"/>
                <w:lang w:eastAsia="en-IE"/>
              </w:rPr>
              <w:t>European Social Fund, youth employment initiative, Fund for European Aid to the Most Deprived</w:t>
            </w:r>
            <w:r w:rsidRPr="005F4295">
              <w:rPr>
                <w:rFonts w:ascii="Calibri" w:hAnsi="Calibri" w:cs="Calibri"/>
                <w:noProof/>
                <w:color w:val="000000"/>
                <w:sz w:val="18"/>
                <w:szCs w:val="18"/>
                <w:lang w:eastAsia="en-IE"/>
              </w:rPr>
              <w:t> </w:t>
            </w:r>
            <w:r w:rsidRPr="005F4295">
              <w:rPr>
                <w:rFonts w:ascii="Arial" w:hAnsi="Arial" w:cs="Arial"/>
                <w:noProof/>
                <w:color w:val="000000"/>
                <w:sz w:val="18"/>
                <w:szCs w:val="18"/>
                <w:lang w:eastAsia="en-IE"/>
              </w:rPr>
              <w:t>–</w:t>
            </w:r>
            <w:r w:rsidRPr="005F4295">
              <w:rPr>
                <w:noProof/>
                <w:color w:val="000000"/>
                <w:sz w:val="18"/>
                <w:szCs w:val="18"/>
                <w:lang w:eastAsia="en-IE"/>
              </w:rPr>
              <w:t xml:space="preserve"> 2014-2020</w:t>
            </w:r>
          </w:p>
        </w:tc>
        <w:tc>
          <w:tcPr>
            <w:tcW w:w="1304" w:type="dxa"/>
            <w:tcBorders>
              <w:top w:val="nil"/>
              <w:left w:val="nil"/>
              <w:bottom w:val="single" w:sz="4" w:space="0" w:color="auto"/>
              <w:right w:val="single" w:sz="8" w:space="0" w:color="8C8C8C"/>
            </w:tcBorders>
            <w:shd w:val="clear" w:color="000000" w:fill="FFFFFF"/>
            <w:vAlign w:val="center"/>
          </w:tcPr>
          <w:p w14:paraId="45DB62F2" w14:textId="24252EE4" w:rsidR="006154E8" w:rsidRPr="005F4295" w:rsidRDefault="00BB5F6B">
            <w:pPr>
              <w:suppressAutoHyphens w:val="0"/>
              <w:spacing w:before="0" w:after="0" w:line="240" w:lineRule="auto"/>
              <w:ind w:right="340"/>
              <w:jc w:val="right"/>
              <w:rPr>
                <w:noProof/>
                <w:color w:val="000000"/>
                <w:sz w:val="18"/>
                <w:szCs w:val="18"/>
                <w:lang w:eastAsia="en-IE"/>
              </w:rPr>
            </w:pPr>
            <w:r w:rsidRPr="005F4295">
              <w:rPr>
                <w:color w:val="000000"/>
                <w:sz w:val="18"/>
                <w:szCs w:val="18"/>
                <w:lang w:eastAsia="en-IE"/>
              </w:rPr>
              <w:t>4</w:t>
            </w:r>
            <w:r w:rsidRPr="005F4295">
              <w:rPr>
                <w:rFonts w:ascii="Calibri" w:hAnsi="Calibri" w:cs="Calibri"/>
                <w:color w:val="000000"/>
                <w:sz w:val="18"/>
                <w:szCs w:val="18"/>
                <w:lang w:eastAsia="en-IE"/>
              </w:rPr>
              <w:t> </w:t>
            </w:r>
            <w:r w:rsidRPr="005F4295">
              <w:rPr>
                <w:color w:val="000000"/>
                <w:sz w:val="18"/>
                <w:szCs w:val="18"/>
                <w:lang w:eastAsia="en-IE"/>
              </w:rPr>
              <w:t>400</w:t>
            </w:r>
          </w:p>
        </w:tc>
        <w:tc>
          <w:tcPr>
            <w:tcW w:w="1304" w:type="dxa"/>
            <w:tcBorders>
              <w:top w:val="nil"/>
              <w:left w:val="nil"/>
              <w:bottom w:val="single" w:sz="4" w:space="0" w:color="auto"/>
              <w:right w:val="single" w:sz="8" w:space="0" w:color="8C8C8C"/>
            </w:tcBorders>
            <w:shd w:val="clear" w:color="000000" w:fill="FFFFFF"/>
            <w:vAlign w:val="center"/>
          </w:tcPr>
          <w:p w14:paraId="0C6FB103"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2.24%</w:t>
            </w:r>
          </w:p>
        </w:tc>
        <w:tc>
          <w:tcPr>
            <w:tcW w:w="1304" w:type="dxa"/>
            <w:tcBorders>
              <w:top w:val="nil"/>
              <w:left w:val="nil"/>
              <w:bottom w:val="single" w:sz="4" w:space="0" w:color="auto"/>
              <w:right w:val="nil"/>
            </w:tcBorders>
            <w:shd w:val="clear" w:color="000000" w:fill="FFFFFF"/>
            <w:vAlign w:val="center"/>
          </w:tcPr>
          <w:p w14:paraId="33E6846D"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3.22%</w:t>
            </w:r>
          </w:p>
        </w:tc>
      </w:tr>
      <w:tr w:rsidR="006154E8" w:rsidRPr="005F4295" w14:paraId="33C86300" w14:textId="77777777" w:rsidTr="00FF523F">
        <w:trPr>
          <w:trHeight w:val="730"/>
        </w:trPr>
        <w:tc>
          <w:tcPr>
            <w:tcW w:w="1686" w:type="dxa"/>
            <w:vMerge/>
            <w:tcBorders>
              <w:top w:val="nil"/>
              <w:left w:val="nil"/>
              <w:bottom w:val="single" w:sz="8" w:space="0" w:color="8C8C8C"/>
              <w:right w:val="single" w:sz="8" w:space="0" w:color="8C8C8C"/>
            </w:tcBorders>
            <w:vAlign w:val="center"/>
            <w:hideMark/>
          </w:tcPr>
          <w:p w14:paraId="3329681F" w14:textId="77777777" w:rsidR="006154E8" w:rsidRPr="005F4295" w:rsidRDefault="006154E8">
            <w:pPr>
              <w:suppressAutoHyphens w:val="0"/>
              <w:spacing w:before="0" w:after="0" w:line="240" w:lineRule="auto"/>
              <w:rPr>
                <w:b/>
                <w:bCs/>
                <w:noProof/>
                <w:color w:val="003399"/>
                <w:sz w:val="18"/>
                <w:szCs w:val="18"/>
                <w:lang w:eastAsia="en-IE"/>
              </w:rPr>
            </w:pPr>
          </w:p>
        </w:tc>
        <w:tc>
          <w:tcPr>
            <w:tcW w:w="3637" w:type="dxa"/>
            <w:tcBorders>
              <w:top w:val="nil"/>
              <w:left w:val="nil"/>
              <w:bottom w:val="single" w:sz="8" w:space="0" w:color="8C8C8C"/>
              <w:right w:val="single" w:sz="8" w:space="0" w:color="8C8C8C"/>
            </w:tcBorders>
            <w:shd w:val="clear" w:color="000000" w:fill="FFFFFF"/>
            <w:vAlign w:val="center"/>
            <w:hideMark/>
          </w:tcPr>
          <w:p w14:paraId="568C430E" w14:textId="77777777" w:rsidR="006154E8" w:rsidRPr="005F4295" w:rsidRDefault="006154E8">
            <w:pPr>
              <w:suppressAutoHyphens w:val="0"/>
              <w:spacing w:before="0" w:after="0" w:line="240" w:lineRule="auto"/>
              <w:rPr>
                <w:noProof/>
                <w:color w:val="000000"/>
                <w:sz w:val="18"/>
                <w:szCs w:val="18"/>
                <w:lang w:eastAsia="en-IE"/>
              </w:rPr>
            </w:pPr>
            <w:r w:rsidRPr="005F4295">
              <w:rPr>
                <w:noProof/>
                <w:color w:val="000000"/>
                <w:sz w:val="18"/>
                <w:szCs w:val="18"/>
                <w:lang w:eastAsia="en-IE"/>
              </w:rPr>
              <w:t>European Social Fund, youth employment initiative, Fund</w:t>
            </w:r>
            <w:r w:rsidRPr="005F4295">
              <w:rPr>
                <w:rFonts w:ascii="Calibri" w:hAnsi="Calibri" w:cs="Calibri"/>
                <w:noProof/>
                <w:color w:val="000000"/>
                <w:sz w:val="16"/>
                <w:szCs w:val="16"/>
                <w:lang w:eastAsia="en-IE"/>
              </w:rPr>
              <w:t xml:space="preserve"> </w:t>
            </w:r>
            <w:r w:rsidRPr="005F4295">
              <w:rPr>
                <w:noProof/>
                <w:color w:val="000000"/>
                <w:sz w:val="18"/>
                <w:szCs w:val="18"/>
                <w:lang w:eastAsia="en-IE"/>
              </w:rPr>
              <w:t>for European Aid to the Most Deprived</w:t>
            </w:r>
            <w:r w:rsidRPr="005F4295">
              <w:rPr>
                <w:rFonts w:ascii="Calibri" w:hAnsi="Calibri" w:cs="Calibri"/>
                <w:noProof/>
                <w:color w:val="000000"/>
                <w:sz w:val="18"/>
                <w:szCs w:val="18"/>
                <w:lang w:eastAsia="en-IE"/>
              </w:rPr>
              <w:t> </w:t>
            </w:r>
            <w:r w:rsidRPr="005F4295">
              <w:rPr>
                <w:rFonts w:ascii="Arial" w:hAnsi="Arial" w:cs="Arial"/>
                <w:noProof/>
                <w:color w:val="000000"/>
                <w:sz w:val="18"/>
                <w:szCs w:val="18"/>
                <w:lang w:eastAsia="en-IE"/>
              </w:rPr>
              <w:t>–</w:t>
            </w:r>
            <w:r w:rsidRPr="005F4295">
              <w:rPr>
                <w:noProof/>
                <w:color w:val="000000"/>
                <w:sz w:val="18"/>
                <w:szCs w:val="18"/>
                <w:lang w:eastAsia="en-IE"/>
              </w:rPr>
              <w:t xml:space="preserve"> pre-2014</w:t>
            </w:r>
          </w:p>
        </w:tc>
        <w:tc>
          <w:tcPr>
            <w:tcW w:w="1304" w:type="dxa"/>
            <w:tcBorders>
              <w:top w:val="single" w:sz="4" w:space="0" w:color="auto"/>
              <w:left w:val="nil"/>
              <w:bottom w:val="single" w:sz="8" w:space="0" w:color="8C8C8C"/>
              <w:right w:val="single" w:sz="8" w:space="0" w:color="8C8C8C"/>
            </w:tcBorders>
            <w:shd w:val="clear" w:color="000000" w:fill="FFFFFF"/>
            <w:vAlign w:val="center"/>
          </w:tcPr>
          <w:p w14:paraId="5DF54919" w14:textId="77777777" w:rsidR="006154E8" w:rsidRPr="005F4295" w:rsidRDefault="006154E8">
            <w:pPr>
              <w:suppressAutoHyphens w:val="0"/>
              <w:spacing w:before="0" w:after="0" w:line="240" w:lineRule="auto"/>
              <w:ind w:right="340"/>
              <w:jc w:val="right"/>
              <w:rPr>
                <w:noProof/>
                <w:color w:val="000000"/>
                <w:sz w:val="18"/>
                <w:szCs w:val="18"/>
                <w:lang w:eastAsia="en-IE"/>
              </w:rPr>
            </w:pPr>
            <w:r w:rsidRPr="005F4295">
              <w:rPr>
                <w:noProof/>
                <w:color w:val="000000"/>
                <w:sz w:val="18"/>
                <w:szCs w:val="18"/>
                <w:lang w:eastAsia="en-IE"/>
              </w:rPr>
              <w:t>12</w:t>
            </w:r>
          </w:p>
        </w:tc>
        <w:tc>
          <w:tcPr>
            <w:tcW w:w="1304" w:type="dxa"/>
            <w:tcBorders>
              <w:top w:val="single" w:sz="4" w:space="0" w:color="auto"/>
              <w:left w:val="nil"/>
              <w:bottom w:val="single" w:sz="8" w:space="0" w:color="8C8C8C"/>
              <w:right w:val="single" w:sz="8" w:space="0" w:color="8C8C8C"/>
            </w:tcBorders>
            <w:shd w:val="clear" w:color="000000" w:fill="FFFFFF"/>
            <w:vAlign w:val="center"/>
          </w:tcPr>
          <w:p w14:paraId="26023C32"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0.5%</w:t>
            </w:r>
          </w:p>
        </w:tc>
        <w:tc>
          <w:tcPr>
            <w:tcW w:w="1304" w:type="dxa"/>
            <w:tcBorders>
              <w:top w:val="single" w:sz="4" w:space="0" w:color="auto"/>
              <w:left w:val="nil"/>
              <w:bottom w:val="single" w:sz="8" w:space="0" w:color="8C8C8C"/>
              <w:right w:val="nil"/>
            </w:tcBorders>
            <w:shd w:val="clear" w:color="000000" w:fill="FFFFFF"/>
            <w:vAlign w:val="center"/>
          </w:tcPr>
          <w:p w14:paraId="3ECC0429"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0.5%</w:t>
            </w:r>
          </w:p>
        </w:tc>
      </w:tr>
      <w:tr w:rsidR="006154E8" w:rsidRPr="005F4295" w14:paraId="0C455C2C" w14:textId="77777777" w:rsidTr="00FF523F">
        <w:trPr>
          <w:trHeight w:val="730"/>
        </w:trPr>
        <w:tc>
          <w:tcPr>
            <w:tcW w:w="1686" w:type="dxa"/>
            <w:vMerge/>
            <w:tcBorders>
              <w:top w:val="nil"/>
              <w:left w:val="nil"/>
              <w:bottom w:val="single" w:sz="8" w:space="0" w:color="8C8C8C"/>
              <w:right w:val="single" w:sz="8" w:space="0" w:color="8C8C8C"/>
            </w:tcBorders>
            <w:vAlign w:val="center"/>
            <w:hideMark/>
          </w:tcPr>
          <w:p w14:paraId="298AC321" w14:textId="77777777" w:rsidR="006154E8" w:rsidRPr="005F4295" w:rsidRDefault="006154E8">
            <w:pPr>
              <w:suppressAutoHyphens w:val="0"/>
              <w:spacing w:before="0" w:after="0" w:line="240" w:lineRule="auto"/>
              <w:rPr>
                <w:b/>
                <w:bCs/>
                <w:noProof/>
                <w:color w:val="003399"/>
                <w:sz w:val="18"/>
                <w:szCs w:val="18"/>
                <w:lang w:eastAsia="en-IE"/>
              </w:rPr>
            </w:pPr>
          </w:p>
        </w:tc>
        <w:tc>
          <w:tcPr>
            <w:tcW w:w="3637" w:type="dxa"/>
            <w:tcBorders>
              <w:top w:val="nil"/>
              <w:left w:val="nil"/>
              <w:bottom w:val="single" w:sz="8" w:space="0" w:color="8C8C8C"/>
              <w:right w:val="single" w:sz="8" w:space="0" w:color="8C8C8C"/>
            </w:tcBorders>
            <w:shd w:val="clear" w:color="000000" w:fill="FFFFFF"/>
            <w:vAlign w:val="center"/>
            <w:hideMark/>
          </w:tcPr>
          <w:p w14:paraId="4B6C9172" w14:textId="77777777" w:rsidR="006154E8" w:rsidRPr="005F4295" w:rsidRDefault="006154E8">
            <w:pPr>
              <w:suppressAutoHyphens w:val="0"/>
              <w:spacing w:before="0" w:after="0" w:line="240" w:lineRule="auto"/>
              <w:rPr>
                <w:noProof/>
                <w:color w:val="000000"/>
                <w:sz w:val="18"/>
                <w:szCs w:val="18"/>
                <w:lang w:eastAsia="en-IE"/>
              </w:rPr>
            </w:pPr>
            <w:r w:rsidRPr="005F4295">
              <w:rPr>
                <w:noProof/>
                <w:color w:val="000000"/>
                <w:sz w:val="18"/>
                <w:szCs w:val="18"/>
                <w:lang w:eastAsia="en-IE"/>
              </w:rPr>
              <w:t>European Social Fund, youth employment initiative, Fund for European Aid to the Most Deprived</w:t>
            </w:r>
            <w:r w:rsidRPr="005F4295">
              <w:rPr>
                <w:rFonts w:ascii="Calibri" w:hAnsi="Calibri" w:cs="Calibri"/>
                <w:noProof/>
                <w:color w:val="000000"/>
                <w:sz w:val="18"/>
                <w:szCs w:val="18"/>
                <w:lang w:eastAsia="en-IE"/>
              </w:rPr>
              <w:t> –</w:t>
            </w:r>
            <w:r w:rsidRPr="005F4295">
              <w:rPr>
                <w:noProof/>
                <w:color w:val="000000"/>
                <w:sz w:val="18"/>
                <w:szCs w:val="18"/>
                <w:lang w:eastAsia="en-IE"/>
              </w:rPr>
              <w:t xml:space="preserve"> Total</w:t>
            </w:r>
          </w:p>
        </w:tc>
        <w:tc>
          <w:tcPr>
            <w:tcW w:w="1304" w:type="dxa"/>
            <w:tcBorders>
              <w:top w:val="single" w:sz="8" w:space="0" w:color="8C8C8C"/>
              <w:left w:val="nil"/>
              <w:bottom w:val="single" w:sz="8" w:space="0" w:color="8C8C8C"/>
              <w:right w:val="single" w:sz="8" w:space="0" w:color="8C8C8C"/>
            </w:tcBorders>
            <w:shd w:val="clear" w:color="000000" w:fill="FFFFFF"/>
            <w:vAlign w:val="center"/>
          </w:tcPr>
          <w:p w14:paraId="1F148EB2" w14:textId="2D0EBCCA" w:rsidR="006154E8" w:rsidRPr="005F4295" w:rsidRDefault="006154E8">
            <w:pPr>
              <w:suppressAutoHyphens w:val="0"/>
              <w:spacing w:before="0" w:after="0" w:line="240" w:lineRule="auto"/>
              <w:ind w:right="340"/>
              <w:jc w:val="right"/>
              <w:rPr>
                <w:noProof/>
                <w:color w:val="000000"/>
                <w:sz w:val="18"/>
                <w:szCs w:val="18"/>
                <w:lang w:eastAsia="en-IE"/>
              </w:rPr>
            </w:pPr>
            <w:r w:rsidRPr="005F4295">
              <w:rPr>
                <w:noProof/>
                <w:color w:val="000000"/>
                <w:sz w:val="18"/>
                <w:szCs w:val="18"/>
                <w:lang w:eastAsia="en-IE"/>
              </w:rPr>
              <w:t>12</w:t>
            </w:r>
            <w:r w:rsidR="00CB13C7" w:rsidRPr="005F4295">
              <w:rPr>
                <w:rFonts w:ascii="Calibri" w:hAnsi="Calibri" w:cs="Calibri"/>
                <w:noProof/>
                <w:color w:val="000000"/>
                <w:sz w:val="18"/>
                <w:szCs w:val="18"/>
                <w:lang w:eastAsia="en-IE"/>
              </w:rPr>
              <w:t> </w:t>
            </w:r>
            <w:r w:rsidRPr="005F4295">
              <w:rPr>
                <w:noProof/>
                <w:color w:val="000000"/>
                <w:sz w:val="18"/>
                <w:szCs w:val="18"/>
                <w:lang w:eastAsia="en-IE"/>
              </w:rPr>
              <w:t>263</w:t>
            </w:r>
          </w:p>
        </w:tc>
        <w:tc>
          <w:tcPr>
            <w:tcW w:w="1304" w:type="dxa"/>
            <w:tcBorders>
              <w:top w:val="single" w:sz="8" w:space="0" w:color="8C8C8C"/>
              <w:left w:val="nil"/>
              <w:bottom w:val="single" w:sz="8" w:space="0" w:color="8C8C8C"/>
              <w:right w:val="single" w:sz="8" w:space="0" w:color="8C8C8C"/>
            </w:tcBorders>
            <w:shd w:val="clear" w:color="000000" w:fill="FFFFFF"/>
            <w:vAlign w:val="center"/>
          </w:tcPr>
          <w:p w14:paraId="72B2F2B1"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2.08%</w:t>
            </w:r>
          </w:p>
        </w:tc>
        <w:tc>
          <w:tcPr>
            <w:tcW w:w="1304" w:type="dxa"/>
            <w:tcBorders>
              <w:top w:val="single" w:sz="8" w:space="0" w:color="8C8C8C"/>
              <w:left w:val="nil"/>
              <w:bottom w:val="single" w:sz="8" w:space="0" w:color="8C8C8C"/>
              <w:right w:val="nil"/>
            </w:tcBorders>
            <w:shd w:val="clear" w:color="000000" w:fill="FFFFFF"/>
            <w:vAlign w:val="center"/>
          </w:tcPr>
          <w:p w14:paraId="56155AB3"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2.44%</w:t>
            </w:r>
          </w:p>
        </w:tc>
      </w:tr>
      <w:tr w:rsidR="006154E8" w:rsidRPr="005F4295" w14:paraId="1E18A65E" w14:textId="77777777" w:rsidTr="00FF523F">
        <w:trPr>
          <w:cantSplit/>
          <w:trHeight w:val="500"/>
        </w:trPr>
        <w:tc>
          <w:tcPr>
            <w:tcW w:w="1686" w:type="dxa"/>
            <w:vMerge w:val="restart"/>
            <w:tcBorders>
              <w:top w:val="nil"/>
              <w:left w:val="nil"/>
              <w:bottom w:val="single" w:sz="8" w:space="0" w:color="8C8C8C"/>
              <w:right w:val="single" w:sz="8" w:space="0" w:color="8C8C8C"/>
            </w:tcBorders>
            <w:vAlign w:val="center"/>
            <w:hideMark/>
          </w:tcPr>
          <w:p w14:paraId="5BEDC0FA" w14:textId="77777777" w:rsidR="006154E8" w:rsidRPr="005F4295" w:rsidRDefault="006154E8">
            <w:pPr>
              <w:suppressAutoHyphens w:val="0"/>
              <w:spacing w:before="0" w:after="0" w:line="240" w:lineRule="auto"/>
              <w:rPr>
                <w:b/>
                <w:bCs/>
                <w:noProof/>
                <w:color w:val="003399"/>
                <w:sz w:val="18"/>
                <w:szCs w:val="18"/>
                <w:lang w:eastAsia="en-IE"/>
              </w:rPr>
            </w:pPr>
            <w:r w:rsidRPr="005F4295">
              <w:rPr>
                <w:b/>
                <w:bCs/>
                <w:noProof/>
                <w:color w:val="003399"/>
                <w:sz w:val="18"/>
                <w:szCs w:val="18"/>
                <w:lang w:eastAsia="en-IE"/>
              </w:rPr>
              <w:t>DG Regional and Urban Policy</w:t>
            </w:r>
          </w:p>
        </w:tc>
        <w:tc>
          <w:tcPr>
            <w:tcW w:w="3637" w:type="dxa"/>
            <w:tcBorders>
              <w:top w:val="nil"/>
              <w:left w:val="nil"/>
              <w:bottom w:val="nil"/>
              <w:right w:val="single" w:sz="8" w:space="0" w:color="8C8C8C"/>
            </w:tcBorders>
            <w:shd w:val="clear" w:color="000000" w:fill="FFFFFF"/>
            <w:vAlign w:val="center"/>
            <w:hideMark/>
          </w:tcPr>
          <w:p w14:paraId="4B110B1D" w14:textId="77777777" w:rsidR="006154E8" w:rsidRPr="005F4295" w:rsidRDefault="006154E8">
            <w:pPr>
              <w:suppressAutoHyphens w:val="0"/>
              <w:spacing w:before="0" w:after="0" w:line="240" w:lineRule="auto"/>
              <w:rPr>
                <w:b/>
                <w:bCs/>
                <w:noProof/>
                <w:color w:val="000000"/>
                <w:sz w:val="18"/>
                <w:szCs w:val="18"/>
                <w:lang w:eastAsia="en-IE"/>
              </w:rPr>
            </w:pPr>
            <w:r w:rsidRPr="005F4295">
              <w:rPr>
                <w:b/>
                <w:bCs/>
                <w:noProof/>
                <w:color w:val="000000"/>
                <w:sz w:val="18"/>
                <w:szCs w:val="18"/>
                <w:lang w:eastAsia="en-IE"/>
              </w:rPr>
              <w:t>Entire directorate-general</w:t>
            </w:r>
          </w:p>
        </w:tc>
        <w:tc>
          <w:tcPr>
            <w:tcW w:w="1304" w:type="dxa"/>
            <w:tcBorders>
              <w:top w:val="nil"/>
              <w:left w:val="nil"/>
              <w:bottom w:val="nil"/>
              <w:right w:val="single" w:sz="8" w:space="0" w:color="8C8C8C"/>
            </w:tcBorders>
            <w:shd w:val="clear" w:color="000000" w:fill="FFFFFF"/>
            <w:vAlign w:val="center"/>
          </w:tcPr>
          <w:p w14:paraId="67E43EA2" w14:textId="296D6DC5" w:rsidR="006154E8" w:rsidRPr="005F4295" w:rsidRDefault="006154E8">
            <w:pPr>
              <w:suppressAutoHyphens w:val="0"/>
              <w:spacing w:before="0" w:after="0" w:line="240" w:lineRule="auto"/>
              <w:ind w:right="340"/>
              <w:jc w:val="right"/>
              <w:rPr>
                <w:b/>
                <w:bCs/>
                <w:noProof/>
                <w:color w:val="000000"/>
                <w:sz w:val="18"/>
                <w:szCs w:val="18"/>
                <w:lang w:eastAsia="en-IE"/>
              </w:rPr>
            </w:pPr>
            <w:r w:rsidRPr="005F4295">
              <w:rPr>
                <w:b/>
                <w:bCs/>
                <w:noProof/>
                <w:color w:val="000000"/>
                <w:sz w:val="18"/>
                <w:szCs w:val="18"/>
                <w:lang w:eastAsia="en-IE"/>
              </w:rPr>
              <w:t>32</w:t>
            </w:r>
            <w:r w:rsidR="00CB13C7" w:rsidRPr="005F4295">
              <w:rPr>
                <w:rFonts w:ascii="Calibri" w:hAnsi="Calibri" w:cs="Calibri"/>
                <w:noProof/>
                <w:color w:val="000000"/>
                <w:sz w:val="18"/>
                <w:szCs w:val="18"/>
                <w:lang w:eastAsia="en-IE"/>
              </w:rPr>
              <w:t> </w:t>
            </w:r>
            <w:r w:rsidRPr="005F4295">
              <w:rPr>
                <w:b/>
                <w:bCs/>
                <w:noProof/>
                <w:color w:val="000000"/>
                <w:sz w:val="18"/>
                <w:szCs w:val="18"/>
                <w:lang w:eastAsia="en-IE"/>
              </w:rPr>
              <w:t>720</w:t>
            </w:r>
          </w:p>
        </w:tc>
        <w:tc>
          <w:tcPr>
            <w:tcW w:w="1304" w:type="dxa"/>
            <w:tcBorders>
              <w:top w:val="nil"/>
              <w:left w:val="nil"/>
              <w:bottom w:val="nil"/>
              <w:right w:val="single" w:sz="8" w:space="0" w:color="8C8C8C"/>
            </w:tcBorders>
            <w:shd w:val="clear" w:color="000000" w:fill="FFFFFF"/>
            <w:vAlign w:val="center"/>
          </w:tcPr>
          <w:p w14:paraId="3A43CAA8" w14:textId="77777777" w:rsidR="006154E8" w:rsidRPr="005F4295" w:rsidRDefault="006154E8">
            <w:pPr>
              <w:suppressAutoHyphens w:val="0"/>
              <w:spacing w:before="0" w:after="0" w:line="240" w:lineRule="auto"/>
              <w:jc w:val="center"/>
              <w:rPr>
                <w:b/>
                <w:bCs/>
                <w:noProof/>
                <w:color w:val="000000"/>
                <w:sz w:val="18"/>
                <w:szCs w:val="18"/>
                <w:lang w:eastAsia="en-IE"/>
              </w:rPr>
            </w:pPr>
            <w:r w:rsidRPr="005F4295">
              <w:rPr>
                <w:b/>
                <w:bCs/>
                <w:noProof/>
                <w:color w:val="000000"/>
                <w:sz w:val="18"/>
                <w:szCs w:val="18"/>
                <w:lang w:eastAsia="en-IE"/>
              </w:rPr>
              <w:t>1.99%</w:t>
            </w:r>
          </w:p>
        </w:tc>
        <w:tc>
          <w:tcPr>
            <w:tcW w:w="1304" w:type="dxa"/>
            <w:tcBorders>
              <w:top w:val="nil"/>
              <w:left w:val="nil"/>
              <w:bottom w:val="nil"/>
              <w:right w:val="nil"/>
            </w:tcBorders>
            <w:shd w:val="clear" w:color="000000" w:fill="FFFFFF"/>
            <w:vAlign w:val="center"/>
          </w:tcPr>
          <w:p w14:paraId="55C267E5" w14:textId="77777777" w:rsidR="006154E8" w:rsidRPr="005F4295" w:rsidRDefault="006154E8">
            <w:pPr>
              <w:suppressAutoHyphens w:val="0"/>
              <w:spacing w:before="0" w:after="0" w:line="240" w:lineRule="auto"/>
              <w:jc w:val="center"/>
              <w:rPr>
                <w:b/>
                <w:bCs/>
                <w:noProof/>
                <w:color w:val="000000"/>
                <w:sz w:val="18"/>
                <w:szCs w:val="18"/>
                <w:lang w:eastAsia="en-IE"/>
              </w:rPr>
            </w:pPr>
            <w:r w:rsidRPr="005F4295">
              <w:rPr>
                <w:b/>
                <w:bCs/>
                <w:noProof/>
                <w:color w:val="000000"/>
                <w:sz w:val="18"/>
                <w:szCs w:val="18"/>
                <w:lang w:eastAsia="en-IE"/>
              </w:rPr>
              <w:t>2.79%</w:t>
            </w:r>
          </w:p>
        </w:tc>
      </w:tr>
      <w:tr w:rsidR="006154E8" w:rsidRPr="005F4295" w14:paraId="37F6B092" w14:textId="77777777" w:rsidTr="00FF523F">
        <w:trPr>
          <w:trHeight w:val="490"/>
        </w:trPr>
        <w:tc>
          <w:tcPr>
            <w:tcW w:w="1686" w:type="dxa"/>
            <w:vMerge/>
            <w:tcBorders>
              <w:top w:val="nil"/>
              <w:left w:val="nil"/>
              <w:bottom w:val="single" w:sz="8" w:space="0" w:color="8C8C8C"/>
              <w:right w:val="single" w:sz="8" w:space="0" w:color="8C8C8C"/>
            </w:tcBorders>
            <w:vAlign w:val="center"/>
          </w:tcPr>
          <w:p w14:paraId="32B32663" w14:textId="77777777" w:rsidR="006154E8" w:rsidRPr="005F4295" w:rsidRDefault="006154E8">
            <w:pPr>
              <w:suppressAutoHyphens w:val="0"/>
              <w:spacing w:before="0" w:after="0" w:line="240" w:lineRule="auto"/>
              <w:rPr>
                <w:b/>
                <w:bCs/>
                <w:noProof/>
                <w:color w:val="003399"/>
                <w:sz w:val="18"/>
                <w:szCs w:val="18"/>
                <w:lang w:eastAsia="en-IE"/>
              </w:rPr>
            </w:pPr>
          </w:p>
        </w:tc>
        <w:tc>
          <w:tcPr>
            <w:tcW w:w="3637" w:type="dxa"/>
            <w:tcBorders>
              <w:top w:val="single" w:sz="8" w:space="0" w:color="8C8C8C"/>
              <w:left w:val="nil"/>
              <w:bottom w:val="single" w:sz="8" w:space="0" w:color="8C8C8C"/>
              <w:right w:val="single" w:sz="8" w:space="0" w:color="8C8C8C"/>
            </w:tcBorders>
            <w:shd w:val="clear" w:color="000000" w:fill="FFFFFF"/>
            <w:vAlign w:val="center"/>
          </w:tcPr>
          <w:p w14:paraId="1DD46D52" w14:textId="77777777" w:rsidR="006154E8" w:rsidRPr="005F4295" w:rsidRDefault="006154E8">
            <w:pPr>
              <w:suppressAutoHyphens w:val="0"/>
              <w:spacing w:before="0" w:after="0" w:line="240" w:lineRule="auto"/>
              <w:rPr>
                <w:noProof/>
                <w:color w:val="000000"/>
                <w:sz w:val="18"/>
                <w:szCs w:val="18"/>
                <w:lang w:eastAsia="en-IE"/>
              </w:rPr>
            </w:pPr>
            <w:r w:rsidRPr="005F4295">
              <w:rPr>
                <w:noProof/>
                <w:color w:val="000000"/>
                <w:sz w:val="18"/>
                <w:szCs w:val="18"/>
                <w:lang w:eastAsia="en-IE"/>
              </w:rPr>
              <w:t>European Regional Development Fund and Cohesion Fund</w:t>
            </w:r>
            <w:r w:rsidRPr="005F4295">
              <w:rPr>
                <w:rFonts w:ascii="Calibri" w:hAnsi="Calibri" w:cs="Calibri"/>
                <w:noProof/>
                <w:color w:val="000000"/>
                <w:sz w:val="18"/>
                <w:szCs w:val="18"/>
                <w:lang w:eastAsia="en-IE"/>
              </w:rPr>
              <w:t> –</w:t>
            </w:r>
            <w:r w:rsidRPr="005F4295">
              <w:rPr>
                <w:noProof/>
                <w:color w:val="000000"/>
                <w:sz w:val="18"/>
                <w:szCs w:val="18"/>
                <w:lang w:eastAsia="en-IE"/>
              </w:rPr>
              <w:t xml:space="preserve"> 2021-2027</w:t>
            </w:r>
          </w:p>
        </w:tc>
        <w:tc>
          <w:tcPr>
            <w:tcW w:w="1304" w:type="dxa"/>
            <w:tcBorders>
              <w:top w:val="single" w:sz="8" w:space="0" w:color="8C8C8C"/>
              <w:left w:val="nil"/>
              <w:bottom w:val="single" w:sz="8" w:space="0" w:color="8C8C8C"/>
              <w:right w:val="single" w:sz="8" w:space="0" w:color="8C8C8C"/>
            </w:tcBorders>
            <w:shd w:val="clear" w:color="000000" w:fill="FFFFFF"/>
            <w:vAlign w:val="center"/>
          </w:tcPr>
          <w:p w14:paraId="7972B5F5" w14:textId="6618F6FB" w:rsidR="006154E8" w:rsidRPr="005F4295" w:rsidRDefault="006154E8">
            <w:pPr>
              <w:suppressAutoHyphens w:val="0"/>
              <w:spacing w:before="0" w:after="0" w:line="240" w:lineRule="auto"/>
              <w:ind w:right="340"/>
              <w:jc w:val="right"/>
              <w:rPr>
                <w:noProof/>
                <w:color w:val="000000"/>
                <w:sz w:val="18"/>
                <w:szCs w:val="18"/>
                <w:lang w:eastAsia="en-IE"/>
              </w:rPr>
            </w:pPr>
            <w:r w:rsidRPr="005F4295">
              <w:rPr>
                <w:noProof/>
                <w:color w:val="000000"/>
                <w:sz w:val="18"/>
                <w:szCs w:val="18"/>
                <w:lang w:eastAsia="en-IE"/>
              </w:rPr>
              <w:t>28</w:t>
            </w:r>
            <w:r w:rsidR="00CB13C7" w:rsidRPr="005F4295">
              <w:rPr>
                <w:rFonts w:ascii="Calibri" w:hAnsi="Calibri" w:cs="Calibri"/>
                <w:noProof/>
                <w:color w:val="000000"/>
                <w:sz w:val="18"/>
                <w:szCs w:val="18"/>
                <w:lang w:eastAsia="en-IE"/>
              </w:rPr>
              <w:t> </w:t>
            </w:r>
            <w:r w:rsidRPr="005F4295">
              <w:rPr>
                <w:noProof/>
                <w:color w:val="000000"/>
                <w:sz w:val="18"/>
                <w:szCs w:val="18"/>
                <w:lang w:eastAsia="en-IE"/>
              </w:rPr>
              <w:t>132</w:t>
            </w:r>
          </w:p>
        </w:tc>
        <w:tc>
          <w:tcPr>
            <w:tcW w:w="1304" w:type="dxa"/>
            <w:tcBorders>
              <w:top w:val="single" w:sz="8" w:space="0" w:color="8C8C8C"/>
              <w:left w:val="nil"/>
              <w:bottom w:val="single" w:sz="8" w:space="0" w:color="8C8C8C"/>
              <w:right w:val="single" w:sz="8" w:space="0" w:color="8C8C8C"/>
            </w:tcBorders>
            <w:shd w:val="clear" w:color="000000" w:fill="FFFFFF"/>
            <w:vAlign w:val="center"/>
          </w:tcPr>
          <w:p w14:paraId="40BB69AC"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2.00%</w:t>
            </w:r>
          </w:p>
        </w:tc>
        <w:tc>
          <w:tcPr>
            <w:tcW w:w="1304" w:type="dxa"/>
            <w:tcBorders>
              <w:top w:val="single" w:sz="8" w:space="0" w:color="8C8C8C"/>
              <w:left w:val="nil"/>
              <w:bottom w:val="single" w:sz="8" w:space="0" w:color="8C8C8C"/>
              <w:right w:val="nil"/>
            </w:tcBorders>
            <w:shd w:val="clear" w:color="000000" w:fill="FFFFFF"/>
            <w:vAlign w:val="center"/>
          </w:tcPr>
          <w:p w14:paraId="70D1B416"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2.78%</w:t>
            </w:r>
          </w:p>
        </w:tc>
      </w:tr>
      <w:tr w:rsidR="006154E8" w:rsidRPr="005F4295" w14:paraId="49BB07CB" w14:textId="77777777" w:rsidTr="00FF523F">
        <w:trPr>
          <w:trHeight w:val="490"/>
        </w:trPr>
        <w:tc>
          <w:tcPr>
            <w:tcW w:w="1686" w:type="dxa"/>
            <w:vMerge/>
            <w:tcBorders>
              <w:top w:val="nil"/>
              <w:left w:val="nil"/>
              <w:bottom w:val="single" w:sz="8" w:space="0" w:color="8C8C8C"/>
              <w:right w:val="single" w:sz="8" w:space="0" w:color="8C8C8C"/>
            </w:tcBorders>
            <w:vAlign w:val="center"/>
            <w:hideMark/>
          </w:tcPr>
          <w:p w14:paraId="0DE09F31" w14:textId="77777777" w:rsidR="006154E8" w:rsidRPr="005F4295" w:rsidRDefault="006154E8">
            <w:pPr>
              <w:suppressAutoHyphens w:val="0"/>
              <w:spacing w:before="0" w:after="0" w:line="240" w:lineRule="auto"/>
              <w:rPr>
                <w:b/>
                <w:bCs/>
                <w:noProof/>
                <w:color w:val="003399"/>
                <w:sz w:val="18"/>
                <w:szCs w:val="18"/>
                <w:lang w:eastAsia="en-IE"/>
              </w:rPr>
            </w:pPr>
          </w:p>
        </w:tc>
        <w:tc>
          <w:tcPr>
            <w:tcW w:w="3637" w:type="dxa"/>
            <w:tcBorders>
              <w:top w:val="single" w:sz="8" w:space="0" w:color="8C8C8C"/>
              <w:left w:val="nil"/>
              <w:bottom w:val="single" w:sz="8" w:space="0" w:color="8C8C8C"/>
              <w:right w:val="single" w:sz="8" w:space="0" w:color="8C8C8C"/>
            </w:tcBorders>
            <w:shd w:val="clear" w:color="000000" w:fill="FFFFFF"/>
            <w:vAlign w:val="center"/>
            <w:hideMark/>
          </w:tcPr>
          <w:p w14:paraId="7D47DF95" w14:textId="77777777" w:rsidR="006154E8" w:rsidRPr="005F4295" w:rsidRDefault="006154E8">
            <w:pPr>
              <w:suppressAutoHyphens w:val="0"/>
              <w:spacing w:before="0" w:after="0" w:line="240" w:lineRule="auto"/>
              <w:rPr>
                <w:noProof/>
                <w:color w:val="000000"/>
                <w:sz w:val="18"/>
                <w:szCs w:val="18"/>
                <w:lang w:eastAsia="en-IE"/>
              </w:rPr>
            </w:pPr>
            <w:r w:rsidRPr="005F4295">
              <w:rPr>
                <w:noProof/>
                <w:color w:val="000000"/>
                <w:sz w:val="18"/>
                <w:szCs w:val="18"/>
                <w:lang w:eastAsia="en-IE"/>
              </w:rPr>
              <w:t>European Regional Development Fund and Cohesion Fund</w:t>
            </w:r>
            <w:r w:rsidRPr="005F4295">
              <w:rPr>
                <w:rFonts w:ascii="Calibri" w:hAnsi="Calibri" w:cs="Calibri"/>
                <w:noProof/>
                <w:color w:val="000000"/>
                <w:sz w:val="18"/>
                <w:szCs w:val="18"/>
                <w:lang w:eastAsia="en-IE"/>
              </w:rPr>
              <w:t> –</w:t>
            </w:r>
            <w:r w:rsidRPr="005F4295">
              <w:rPr>
                <w:noProof/>
                <w:color w:val="000000"/>
                <w:sz w:val="18"/>
                <w:szCs w:val="18"/>
                <w:lang w:eastAsia="en-IE"/>
              </w:rPr>
              <w:t xml:space="preserve"> 2014-2020</w:t>
            </w:r>
          </w:p>
        </w:tc>
        <w:tc>
          <w:tcPr>
            <w:tcW w:w="1304" w:type="dxa"/>
            <w:tcBorders>
              <w:top w:val="single" w:sz="8" w:space="0" w:color="8C8C8C"/>
              <w:left w:val="nil"/>
              <w:bottom w:val="single" w:sz="8" w:space="0" w:color="8C8C8C"/>
              <w:right w:val="single" w:sz="8" w:space="0" w:color="8C8C8C"/>
            </w:tcBorders>
            <w:shd w:val="clear" w:color="000000" w:fill="FFFFFF"/>
            <w:vAlign w:val="center"/>
          </w:tcPr>
          <w:p w14:paraId="49594D97" w14:textId="66C7E1E9" w:rsidR="006154E8" w:rsidRPr="005F4295" w:rsidRDefault="006154E8">
            <w:pPr>
              <w:suppressAutoHyphens w:val="0"/>
              <w:spacing w:before="0" w:after="0" w:line="240" w:lineRule="auto"/>
              <w:ind w:right="340"/>
              <w:jc w:val="right"/>
              <w:rPr>
                <w:noProof/>
                <w:color w:val="000000"/>
                <w:sz w:val="18"/>
                <w:szCs w:val="18"/>
                <w:lang w:eastAsia="en-IE"/>
              </w:rPr>
            </w:pPr>
            <w:r w:rsidRPr="005F4295">
              <w:rPr>
                <w:noProof/>
                <w:color w:val="000000"/>
                <w:sz w:val="18"/>
                <w:szCs w:val="18"/>
                <w:lang w:eastAsia="en-IE"/>
              </w:rPr>
              <w:t>4</w:t>
            </w:r>
            <w:r w:rsidR="00B02537" w:rsidRPr="005F4295">
              <w:rPr>
                <w:rFonts w:ascii="Calibri" w:hAnsi="Calibri" w:cs="Calibri"/>
                <w:noProof/>
                <w:color w:val="000000"/>
                <w:sz w:val="18"/>
                <w:szCs w:val="18"/>
                <w:lang w:eastAsia="en-IE"/>
              </w:rPr>
              <w:t> </w:t>
            </w:r>
            <w:r w:rsidRPr="005F4295">
              <w:rPr>
                <w:noProof/>
                <w:color w:val="000000"/>
                <w:sz w:val="18"/>
                <w:szCs w:val="18"/>
                <w:lang w:eastAsia="en-IE"/>
              </w:rPr>
              <w:t>174</w:t>
            </w:r>
          </w:p>
        </w:tc>
        <w:tc>
          <w:tcPr>
            <w:tcW w:w="1304" w:type="dxa"/>
            <w:tcBorders>
              <w:top w:val="single" w:sz="8" w:space="0" w:color="8C8C8C"/>
              <w:left w:val="nil"/>
              <w:bottom w:val="single" w:sz="8" w:space="0" w:color="8C8C8C"/>
              <w:right w:val="single" w:sz="8" w:space="0" w:color="8C8C8C"/>
            </w:tcBorders>
            <w:shd w:val="clear" w:color="000000" w:fill="FFFFFF"/>
            <w:vAlign w:val="center"/>
          </w:tcPr>
          <w:p w14:paraId="02027A71"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2.06%</w:t>
            </w:r>
          </w:p>
        </w:tc>
        <w:tc>
          <w:tcPr>
            <w:tcW w:w="1304" w:type="dxa"/>
            <w:tcBorders>
              <w:top w:val="single" w:sz="8" w:space="0" w:color="8C8C8C"/>
              <w:left w:val="nil"/>
              <w:bottom w:val="single" w:sz="8" w:space="0" w:color="8C8C8C"/>
              <w:right w:val="nil"/>
            </w:tcBorders>
            <w:shd w:val="clear" w:color="000000" w:fill="FFFFFF"/>
            <w:vAlign w:val="center"/>
          </w:tcPr>
          <w:p w14:paraId="341FF9B3"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3.12%</w:t>
            </w:r>
          </w:p>
        </w:tc>
      </w:tr>
      <w:tr w:rsidR="006154E8" w:rsidRPr="005F4295" w14:paraId="6D60BD73" w14:textId="77777777" w:rsidTr="00FF523F">
        <w:trPr>
          <w:trHeight w:val="490"/>
        </w:trPr>
        <w:tc>
          <w:tcPr>
            <w:tcW w:w="1686" w:type="dxa"/>
            <w:vMerge/>
            <w:tcBorders>
              <w:top w:val="nil"/>
              <w:left w:val="nil"/>
              <w:bottom w:val="single" w:sz="8" w:space="0" w:color="8C8C8C"/>
              <w:right w:val="single" w:sz="8" w:space="0" w:color="8C8C8C"/>
            </w:tcBorders>
            <w:vAlign w:val="center"/>
            <w:hideMark/>
          </w:tcPr>
          <w:p w14:paraId="2726D755" w14:textId="77777777" w:rsidR="006154E8" w:rsidRPr="005F4295" w:rsidRDefault="006154E8">
            <w:pPr>
              <w:suppressAutoHyphens w:val="0"/>
              <w:spacing w:before="0" w:after="0" w:line="240" w:lineRule="auto"/>
              <w:rPr>
                <w:b/>
                <w:bCs/>
                <w:noProof/>
                <w:color w:val="003399"/>
                <w:sz w:val="18"/>
                <w:szCs w:val="18"/>
                <w:lang w:eastAsia="en-IE"/>
              </w:rPr>
            </w:pPr>
          </w:p>
        </w:tc>
        <w:tc>
          <w:tcPr>
            <w:tcW w:w="3637" w:type="dxa"/>
            <w:tcBorders>
              <w:top w:val="nil"/>
              <w:left w:val="nil"/>
              <w:bottom w:val="single" w:sz="8" w:space="0" w:color="8C8C8C"/>
              <w:right w:val="single" w:sz="8" w:space="0" w:color="8C8C8C"/>
            </w:tcBorders>
            <w:shd w:val="clear" w:color="000000" w:fill="FFFFFF"/>
            <w:vAlign w:val="center"/>
            <w:hideMark/>
          </w:tcPr>
          <w:p w14:paraId="181F9087" w14:textId="77777777" w:rsidR="006154E8" w:rsidRPr="005F4295" w:rsidRDefault="006154E8">
            <w:pPr>
              <w:suppressAutoHyphens w:val="0"/>
              <w:spacing w:before="0" w:after="0" w:line="240" w:lineRule="auto"/>
              <w:rPr>
                <w:noProof/>
                <w:color w:val="000000"/>
                <w:sz w:val="18"/>
                <w:szCs w:val="18"/>
                <w:lang w:eastAsia="en-IE"/>
              </w:rPr>
            </w:pPr>
            <w:r w:rsidRPr="005F4295">
              <w:rPr>
                <w:noProof/>
                <w:color w:val="000000"/>
                <w:sz w:val="18"/>
                <w:szCs w:val="18"/>
                <w:lang w:eastAsia="en-IE"/>
              </w:rPr>
              <w:t>European Regional Development Fund and Cohesion Fund</w:t>
            </w:r>
            <w:r w:rsidRPr="005F4295">
              <w:rPr>
                <w:rFonts w:ascii="Calibri" w:hAnsi="Calibri" w:cs="Calibri"/>
                <w:noProof/>
                <w:color w:val="000000"/>
                <w:sz w:val="18"/>
                <w:szCs w:val="18"/>
                <w:lang w:eastAsia="en-IE"/>
              </w:rPr>
              <w:t> –</w:t>
            </w:r>
            <w:r w:rsidRPr="005F4295">
              <w:rPr>
                <w:noProof/>
                <w:color w:val="000000"/>
                <w:sz w:val="18"/>
                <w:szCs w:val="18"/>
                <w:lang w:eastAsia="en-IE"/>
              </w:rPr>
              <w:t xml:space="preserve"> pre-2014</w:t>
            </w:r>
          </w:p>
        </w:tc>
        <w:tc>
          <w:tcPr>
            <w:tcW w:w="1304" w:type="dxa"/>
            <w:tcBorders>
              <w:top w:val="nil"/>
              <w:left w:val="nil"/>
              <w:bottom w:val="single" w:sz="8" w:space="0" w:color="8C8C8C"/>
              <w:right w:val="single" w:sz="8" w:space="0" w:color="8C8C8C"/>
            </w:tcBorders>
            <w:shd w:val="clear" w:color="000000" w:fill="FFFFFF"/>
            <w:vAlign w:val="center"/>
          </w:tcPr>
          <w:p w14:paraId="0DF84ACF" w14:textId="77777777" w:rsidR="006154E8" w:rsidRPr="005F4295" w:rsidRDefault="006154E8">
            <w:pPr>
              <w:suppressAutoHyphens w:val="0"/>
              <w:spacing w:before="0" w:after="0" w:line="240" w:lineRule="auto"/>
              <w:ind w:right="340"/>
              <w:jc w:val="right"/>
              <w:rPr>
                <w:noProof/>
                <w:color w:val="000000"/>
                <w:sz w:val="18"/>
                <w:szCs w:val="18"/>
                <w:lang w:eastAsia="en-IE"/>
              </w:rPr>
            </w:pPr>
            <w:r w:rsidRPr="005F4295">
              <w:rPr>
                <w:noProof/>
                <w:color w:val="000000"/>
                <w:sz w:val="18"/>
                <w:szCs w:val="18"/>
                <w:lang w:eastAsia="en-IE"/>
              </w:rPr>
              <w:t>118</w:t>
            </w:r>
          </w:p>
        </w:tc>
        <w:tc>
          <w:tcPr>
            <w:tcW w:w="1304" w:type="dxa"/>
            <w:tcBorders>
              <w:top w:val="nil"/>
              <w:left w:val="nil"/>
              <w:bottom w:val="single" w:sz="8" w:space="0" w:color="8C8C8C"/>
              <w:right w:val="single" w:sz="8" w:space="0" w:color="8C8C8C"/>
            </w:tcBorders>
            <w:shd w:val="clear" w:color="000000" w:fill="FFFFFF"/>
            <w:vAlign w:val="center"/>
          </w:tcPr>
          <w:p w14:paraId="095AB0C8"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0.87%</w:t>
            </w:r>
          </w:p>
        </w:tc>
        <w:tc>
          <w:tcPr>
            <w:tcW w:w="1304" w:type="dxa"/>
            <w:tcBorders>
              <w:top w:val="nil"/>
              <w:left w:val="nil"/>
              <w:bottom w:val="single" w:sz="8" w:space="0" w:color="8C8C8C"/>
              <w:right w:val="nil"/>
            </w:tcBorders>
            <w:shd w:val="clear" w:color="000000" w:fill="FFFFFF"/>
            <w:vAlign w:val="center"/>
          </w:tcPr>
          <w:p w14:paraId="773CAA5E"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0.87%</w:t>
            </w:r>
          </w:p>
        </w:tc>
      </w:tr>
      <w:tr w:rsidR="006154E8" w:rsidRPr="005F4295" w14:paraId="155AA8F5" w14:textId="77777777" w:rsidTr="00FF523F">
        <w:trPr>
          <w:trHeight w:val="490"/>
        </w:trPr>
        <w:tc>
          <w:tcPr>
            <w:tcW w:w="1686" w:type="dxa"/>
            <w:vMerge/>
            <w:tcBorders>
              <w:top w:val="nil"/>
              <w:left w:val="nil"/>
              <w:bottom w:val="single" w:sz="8" w:space="0" w:color="8C8C8C"/>
              <w:right w:val="single" w:sz="8" w:space="0" w:color="8C8C8C"/>
            </w:tcBorders>
            <w:vAlign w:val="center"/>
            <w:hideMark/>
          </w:tcPr>
          <w:p w14:paraId="3350D4CC" w14:textId="77777777" w:rsidR="006154E8" w:rsidRPr="005F4295" w:rsidRDefault="006154E8">
            <w:pPr>
              <w:suppressAutoHyphens w:val="0"/>
              <w:spacing w:before="0" w:after="0" w:line="240" w:lineRule="auto"/>
              <w:rPr>
                <w:b/>
                <w:bCs/>
                <w:noProof/>
                <w:color w:val="003399"/>
                <w:sz w:val="18"/>
                <w:szCs w:val="18"/>
                <w:lang w:eastAsia="en-IE"/>
              </w:rPr>
            </w:pPr>
          </w:p>
        </w:tc>
        <w:tc>
          <w:tcPr>
            <w:tcW w:w="3637" w:type="dxa"/>
            <w:tcBorders>
              <w:top w:val="nil"/>
              <w:left w:val="nil"/>
              <w:bottom w:val="single" w:sz="8" w:space="0" w:color="8C8C8C"/>
              <w:right w:val="single" w:sz="8" w:space="0" w:color="8C8C8C"/>
            </w:tcBorders>
            <w:shd w:val="clear" w:color="000000" w:fill="FFFFFF"/>
            <w:vAlign w:val="center"/>
            <w:hideMark/>
          </w:tcPr>
          <w:p w14:paraId="3F005EDD" w14:textId="77777777" w:rsidR="006154E8" w:rsidRPr="005F4295" w:rsidRDefault="006154E8">
            <w:pPr>
              <w:suppressAutoHyphens w:val="0"/>
              <w:spacing w:before="0" w:after="0" w:line="240" w:lineRule="auto"/>
              <w:rPr>
                <w:noProof/>
                <w:color w:val="000000"/>
                <w:sz w:val="18"/>
                <w:szCs w:val="18"/>
                <w:lang w:eastAsia="en-IE"/>
              </w:rPr>
            </w:pPr>
            <w:r w:rsidRPr="005F4295">
              <w:rPr>
                <w:noProof/>
                <w:color w:val="000000"/>
                <w:sz w:val="18"/>
                <w:szCs w:val="18"/>
                <w:lang w:eastAsia="en-IE"/>
              </w:rPr>
              <w:t>European Regional Development Fund and Cohesion Fund</w:t>
            </w:r>
            <w:r w:rsidRPr="005F4295">
              <w:rPr>
                <w:rFonts w:ascii="Calibri" w:hAnsi="Calibri" w:cs="Calibri"/>
                <w:noProof/>
                <w:color w:val="000000"/>
                <w:sz w:val="18"/>
                <w:szCs w:val="18"/>
                <w:lang w:eastAsia="en-IE"/>
              </w:rPr>
              <w:t> –</w:t>
            </w:r>
            <w:r w:rsidRPr="005F4295">
              <w:rPr>
                <w:noProof/>
                <w:color w:val="000000"/>
                <w:sz w:val="18"/>
                <w:szCs w:val="18"/>
                <w:lang w:eastAsia="en-IE"/>
              </w:rPr>
              <w:t xml:space="preserve"> Total</w:t>
            </w:r>
          </w:p>
        </w:tc>
        <w:tc>
          <w:tcPr>
            <w:tcW w:w="1304" w:type="dxa"/>
            <w:tcBorders>
              <w:top w:val="nil"/>
              <w:left w:val="nil"/>
              <w:bottom w:val="single" w:sz="8" w:space="0" w:color="8C8C8C"/>
              <w:right w:val="single" w:sz="8" w:space="0" w:color="8C8C8C"/>
            </w:tcBorders>
            <w:shd w:val="clear" w:color="000000" w:fill="FFFFFF"/>
            <w:vAlign w:val="center"/>
          </w:tcPr>
          <w:p w14:paraId="0C442C70" w14:textId="1D32829C" w:rsidR="006154E8" w:rsidRPr="005F4295" w:rsidRDefault="006154E8">
            <w:pPr>
              <w:suppressAutoHyphens w:val="0"/>
              <w:spacing w:before="0" w:after="0" w:line="240" w:lineRule="auto"/>
              <w:ind w:right="340"/>
              <w:jc w:val="right"/>
              <w:rPr>
                <w:noProof/>
                <w:color w:val="000000"/>
                <w:sz w:val="18"/>
                <w:szCs w:val="18"/>
                <w:lang w:eastAsia="en-IE"/>
              </w:rPr>
            </w:pPr>
            <w:r w:rsidRPr="005F4295">
              <w:rPr>
                <w:noProof/>
                <w:color w:val="000000"/>
                <w:sz w:val="18"/>
                <w:szCs w:val="18"/>
                <w:lang w:eastAsia="en-IE"/>
              </w:rPr>
              <w:t>32</w:t>
            </w:r>
            <w:r w:rsidR="00B02537" w:rsidRPr="005F4295">
              <w:rPr>
                <w:rFonts w:ascii="Calibri" w:hAnsi="Calibri" w:cs="Calibri"/>
                <w:noProof/>
                <w:color w:val="000000"/>
                <w:sz w:val="18"/>
                <w:szCs w:val="18"/>
                <w:lang w:eastAsia="en-IE"/>
              </w:rPr>
              <w:t> </w:t>
            </w:r>
            <w:r w:rsidRPr="005F4295">
              <w:rPr>
                <w:noProof/>
                <w:color w:val="000000"/>
                <w:sz w:val="18"/>
                <w:szCs w:val="18"/>
                <w:lang w:eastAsia="en-IE"/>
              </w:rPr>
              <w:t>424</w:t>
            </w:r>
          </w:p>
        </w:tc>
        <w:tc>
          <w:tcPr>
            <w:tcW w:w="1304" w:type="dxa"/>
            <w:tcBorders>
              <w:top w:val="nil"/>
              <w:left w:val="nil"/>
              <w:bottom w:val="single" w:sz="8" w:space="0" w:color="8C8C8C"/>
              <w:right w:val="single" w:sz="8" w:space="0" w:color="8C8C8C"/>
            </w:tcBorders>
            <w:shd w:val="clear" w:color="000000" w:fill="FFFFFF"/>
            <w:vAlign w:val="center"/>
          </w:tcPr>
          <w:p w14:paraId="2E698A99"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2.00%</w:t>
            </w:r>
          </w:p>
        </w:tc>
        <w:tc>
          <w:tcPr>
            <w:tcW w:w="1304" w:type="dxa"/>
            <w:tcBorders>
              <w:top w:val="nil"/>
              <w:left w:val="nil"/>
              <w:bottom w:val="single" w:sz="8" w:space="0" w:color="8C8C8C"/>
              <w:right w:val="nil"/>
            </w:tcBorders>
            <w:shd w:val="clear" w:color="000000" w:fill="FFFFFF"/>
            <w:vAlign w:val="center"/>
          </w:tcPr>
          <w:p w14:paraId="21F6D51E" w14:textId="77777777" w:rsidR="006154E8" w:rsidRPr="005F4295" w:rsidRDefault="006154E8">
            <w:pPr>
              <w:suppressAutoHyphens w:val="0"/>
              <w:spacing w:before="0" w:after="0" w:line="240" w:lineRule="auto"/>
              <w:jc w:val="center"/>
              <w:rPr>
                <w:noProof/>
                <w:color w:val="000000"/>
                <w:sz w:val="18"/>
                <w:szCs w:val="18"/>
                <w:lang w:eastAsia="en-IE"/>
              </w:rPr>
            </w:pPr>
            <w:r w:rsidRPr="005F4295">
              <w:rPr>
                <w:noProof/>
                <w:color w:val="000000"/>
                <w:sz w:val="18"/>
                <w:szCs w:val="18"/>
                <w:lang w:eastAsia="en-IE"/>
              </w:rPr>
              <w:t>2.81%</w:t>
            </w:r>
          </w:p>
        </w:tc>
      </w:tr>
      <w:tr w:rsidR="006154E8" w:rsidRPr="005F4295" w14:paraId="61A1991A" w14:textId="77777777" w:rsidTr="00FF523F">
        <w:trPr>
          <w:cantSplit/>
          <w:trHeight w:val="300"/>
        </w:trPr>
        <w:tc>
          <w:tcPr>
            <w:tcW w:w="1686" w:type="dxa"/>
            <w:tcBorders>
              <w:top w:val="nil"/>
              <w:left w:val="nil"/>
              <w:bottom w:val="single" w:sz="8" w:space="0" w:color="8C8C8C"/>
              <w:right w:val="single" w:sz="8" w:space="0" w:color="8C8C8C"/>
            </w:tcBorders>
            <w:shd w:val="clear" w:color="000000" w:fill="FCE1D9"/>
            <w:vAlign w:val="center"/>
            <w:hideMark/>
          </w:tcPr>
          <w:p w14:paraId="5210764D" w14:textId="77777777" w:rsidR="006154E8" w:rsidRPr="005F4295" w:rsidRDefault="006154E8">
            <w:pPr>
              <w:suppressAutoHyphens w:val="0"/>
              <w:spacing w:before="0" w:after="0" w:line="240" w:lineRule="auto"/>
              <w:rPr>
                <w:b/>
                <w:bCs/>
                <w:noProof/>
                <w:color w:val="000000"/>
                <w:sz w:val="18"/>
                <w:szCs w:val="18"/>
                <w:lang w:eastAsia="en-IE"/>
              </w:rPr>
            </w:pPr>
            <w:r w:rsidRPr="005F4295">
              <w:rPr>
                <w:b/>
                <w:bCs/>
                <w:noProof/>
                <w:color w:val="000000"/>
                <w:sz w:val="18"/>
                <w:szCs w:val="18"/>
                <w:lang w:eastAsia="en-IE"/>
              </w:rPr>
              <w:t>Total</w:t>
            </w:r>
          </w:p>
        </w:tc>
        <w:tc>
          <w:tcPr>
            <w:tcW w:w="3637" w:type="dxa"/>
            <w:tcBorders>
              <w:top w:val="nil"/>
              <w:left w:val="nil"/>
              <w:bottom w:val="nil"/>
              <w:right w:val="single" w:sz="8" w:space="0" w:color="8C8C8C"/>
            </w:tcBorders>
            <w:shd w:val="clear" w:color="000000" w:fill="FCE1D9"/>
            <w:vAlign w:val="center"/>
            <w:hideMark/>
          </w:tcPr>
          <w:p w14:paraId="5C9743C2" w14:textId="77777777" w:rsidR="006154E8" w:rsidRPr="005F4295" w:rsidRDefault="006154E8">
            <w:pPr>
              <w:suppressAutoHyphens w:val="0"/>
              <w:spacing w:before="0" w:after="0" w:line="240" w:lineRule="auto"/>
              <w:rPr>
                <w:b/>
                <w:bCs/>
                <w:noProof/>
                <w:color w:val="000000"/>
                <w:sz w:val="18"/>
                <w:szCs w:val="18"/>
                <w:lang w:eastAsia="en-IE"/>
              </w:rPr>
            </w:pPr>
            <w:r w:rsidRPr="005F4295">
              <w:rPr>
                <w:b/>
                <w:bCs/>
                <w:noProof/>
                <w:color w:val="000000"/>
                <w:sz w:val="18"/>
                <w:szCs w:val="18"/>
                <w:lang w:eastAsia="en-IE"/>
              </w:rPr>
              <w:t>Two directorates-general cumulated</w:t>
            </w:r>
          </w:p>
        </w:tc>
        <w:tc>
          <w:tcPr>
            <w:tcW w:w="1304" w:type="dxa"/>
            <w:tcBorders>
              <w:top w:val="nil"/>
              <w:left w:val="nil"/>
              <w:bottom w:val="nil"/>
              <w:right w:val="single" w:sz="8" w:space="0" w:color="8C8C8C"/>
            </w:tcBorders>
            <w:shd w:val="clear" w:color="000000" w:fill="FCE1D9"/>
            <w:vAlign w:val="center"/>
          </w:tcPr>
          <w:p w14:paraId="320F56DF" w14:textId="35C961C8" w:rsidR="006154E8" w:rsidRPr="005F4295" w:rsidRDefault="006154E8">
            <w:pPr>
              <w:suppressAutoHyphens w:val="0"/>
              <w:spacing w:before="0" w:after="0" w:line="240" w:lineRule="auto"/>
              <w:ind w:right="340"/>
              <w:jc w:val="right"/>
              <w:rPr>
                <w:b/>
                <w:bCs/>
                <w:noProof/>
                <w:color w:val="000000"/>
                <w:sz w:val="18"/>
                <w:szCs w:val="18"/>
                <w:lang w:eastAsia="en-IE"/>
              </w:rPr>
            </w:pPr>
            <w:r w:rsidRPr="005F4295">
              <w:rPr>
                <w:b/>
                <w:bCs/>
                <w:noProof/>
                <w:color w:val="000000"/>
                <w:sz w:val="18"/>
                <w:szCs w:val="18"/>
                <w:lang w:eastAsia="en-IE"/>
              </w:rPr>
              <w:t>45</w:t>
            </w:r>
            <w:r w:rsidR="00B02537" w:rsidRPr="005F4295">
              <w:rPr>
                <w:rFonts w:ascii="Calibri" w:hAnsi="Calibri" w:cs="Calibri"/>
                <w:noProof/>
                <w:color w:val="000000"/>
                <w:sz w:val="18"/>
                <w:szCs w:val="18"/>
                <w:lang w:eastAsia="en-IE"/>
              </w:rPr>
              <w:t> </w:t>
            </w:r>
            <w:r w:rsidRPr="005F4295">
              <w:rPr>
                <w:b/>
                <w:bCs/>
                <w:noProof/>
                <w:color w:val="000000"/>
                <w:sz w:val="18"/>
                <w:szCs w:val="18"/>
                <w:lang w:eastAsia="en-IE"/>
              </w:rPr>
              <w:t>266</w:t>
            </w:r>
          </w:p>
        </w:tc>
        <w:tc>
          <w:tcPr>
            <w:tcW w:w="1304" w:type="dxa"/>
            <w:tcBorders>
              <w:top w:val="nil"/>
              <w:left w:val="nil"/>
              <w:bottom w:val="nil"/>
              <w:right w:val="single" w:sz="8" w:space="0" w:color="8C8C8C"/>
            </w:tcBorders>
            <w:shd w:val="clear" w:color="000000" w:fill="FCE1D9"/>
            <w:vAlign w:val="center"/>
          </w:tcPr>
          <w:p w14:paraId="11848A59" w14:textId="77777777" w:rsidR="006154E8" w:rsidRPr="005F4295" w:rsidRDefault="006154E8">
            <w:pPr>
              <w:suppressAutoHyphens w:val="0"/>
              <w:spacing w:before="0" w:after="0" w:line="240" w:lineRule="auto"/>
              <w:jc w:val="center"/>
              <w:rPr>
                <w:b/>
                <w:bCs/>
                <w:noProof/>
                <w:color w:val="000000"/>
                <w:sz w:val="18"/>
                <w:szCs w:val="18"/>
                <w:lang w:eastAsia="en-IE"/>
              </w:rPr>
            </w:pPr>
            <w:r w:rsidRPr="005F4295">
              <w:rPr>
                <w:b/>
                <w:bCs/>
                <w:noProof/>
                <w:color w:val="000000"/>
                <w:sz w:val="18"/>
                <w:szCs w:val="18"/>
                <w:lang w:eastAsia="en-IE"/>
              </w:rPr>
              <w:t>2.00%</w:t>
            </w:r>
          </w:p>
        </w:tc>
        <w:tc>
          <w:tcPr>
            <w:tcW w:w="1304" w:type="dxa"/>
            <w:tcBorders>
              <w:top w:val="nil"/>
              <w:left w:val="nil"/>
              <w:bottom w:val="nil"/>
              <w:right w:val="nil"/>
            </w:tcBorders>
            <w:shd w:val="clear" w:color="000000" w:fill="FCE1D9"/>
            <w:vAlign w:val="center"/>
          </w:tcPr>
          <w:p w14:paraId="24BC29F0" w14:textId="77777777" w:rsidR="006154E8" w:rsidRPr="005F4295" w:rsidRDefault="006154E8">
            <w:pPr>
              <w:suppressAutoHyphens w:val="0"/>
              <w:spacing w:before="0" w:after="0" w:line="240" w:lineRule="auto"/>
              <w:jc w:val="center"/>
              <w:rPr>
                <w:b/>
                <w:bCs/>
                <w:noProof/>
                <w:color w:val="000000"/>
                <w:sz w:val="18"/>
                <w:szCs w:val="18"/>
                <w:lang w:eastAsia="en-IE"/>
              </w:rPr>
            </w:pPr>
            <w:r w:rsidRPr="005F4295">
              <w:rPr>
                <w:b/>
                <w:bCs/>
                <w:noProof/>
                <w:color w:val="000000"/>
                <w:sz w:val="18"/>
                <w:szCs w:val="18"/>
                <w:lang w:eastAsia="en-IE"/>
              </w:rPr>
              <w:t>2.68%</w:t>
            </w:r>
          </w:p>
        </w:tc>
      </w:tr>
      <w:tr w:rsidR="006154E8" w:rsidRPr="005F4295" w14:paraId="28DFA32E" w14:textId="77777777" w:rsidTr="00FF523F">
        <w:trPr>
          <w:trHeight w:val="300"/>
        </w:trPr>
        <w:tc>
          <w:tcPr>
            <w:tcW w:w="1686" w:type="dxa"/>
            <w:tcBorders>
              <w:top w:val="nil"/>
              <w:left w:val="nil"/>
              <w:bottom w:val="single" w:sz="8" w:space="0" w:color="8C8C8C"/>
              <w:right w:val="single" w:sz="8" w:space="0" w:color="8C8C8C"/>
            </w:tcBorders>
            <w:vAlign w:val="center"/>
            <w:hideMark/>
          </w:tcPr>
          <w:p w14:paraId="0F7B6E23" w14:textId="77777777" w:rsidR="006154E8" w:rsidRPr="005F4295" w:rsidRDefault="006154E8">
            <w:pPr>
              <w:suppressAutoHyphens w:val="0"/>
              <w:spacing w:before="0" w:after="0" w:line="240" w:lineRule="auto"/>
              <w:rPr>
                <w:b/>
                <w:bCs/>
                <w:noProof/>
                <w:color w:val="000000"/>
                <w:sz w:val="18"/>
                <w:szCs w:val="18"/>
                <w:lang w:eastAsia="en-IE"/>
              </w:rPr>
            </w:pPr>
          </w:p>
        </w:tc>
        <w:tc>
          <w:tcPr>
            <w:tcW w:w="3637" w:type="dxa"/>
            <w:tcBorders>
              <w:top w:val="single" w:sz="8" w:space="0" w:color="8C8C8C"/>
              <w:left w:val="nil"/>
              <w:bottom w:val="single" w:sz="8" w:space="0" w:color="8C8C8C"/>
              <w:right w:val="single" w:sz="8" w:space="0" w:color="8C8C8C"/>
            </w:tcBorders>
            <w:shd w:val="clear" w:color="000000" w:fill="FCE1D9"/>
            <w:vAlign w:val="center"/>
            <w:hideMark/>
          </w:tcPr>
          <w:p w14:paraId="0D3CF994" w14:textId="139AD3F5" w:rsidR="006154E8" w:rsidRPr="005F4295" w:rsidRDefault="006154E8">
            <w:pPr>
              <w:suppressAutoHyphens w:val="0"/>
              <w:spacing w:before="0" w:after="0" w:line="240" w:lineRule="auto"/>
              <w:rPr>
                <w:b/>
                <w:bCs/>
                <w:noProof/>
                <w:color w:val="000000"/>
                <w:sz w:val="18"/>
                <w:szCs w:val="18"/>
                <w:lang w:eastAsia="en-IE"/>
              </w:rPr>
            </w:pPr>
            <w:r w:rsidRPr="005F4295">
              <w:rPr>
                <w:b/>
                <w:bCs/>
                <w:noProof/>
                <w:color w:val="000000"/>
                <w:sz w:val="18"/>
                <w:szCs w:val="18"/>
                <w:lang w:eastAsia="en-IE"/>
              </w:rPr>
              <w:t>Cohesion policy funds al</w:t>
            </w:r>
            <w:r w:rsidR="00CB13C7" w:rsidRPr="005F4295">
              <w:rPr>
                <w:b/>
                <w:bCs/>
                <w:noProof/>
                <w:color w:val="000000"/>
                <w:sz w:val="18"/>
                <w:szCs w:val="18"/>
                <w:lang w:eastAsia="en-IE"/>
              </w:rPr>
              <w:t xml:space="preserve">l </w:t>
            </w:r>
            <w:r w:rsidRPr="005F4295">
              <w:rPr>
                <w:b/>
                <w:bCs/>
                <w:noProof/>
                <w:color w:val="000000"/>
                <w:sz w:val="18"/>
                <w:szCs w:val="18"/>
                <w:lang w:eastAsia="en-IE"/>
              </w:rPr>
              <w:t>together</w:t>
            </w:r>
          </w:p>
        </w:tc>
        <w:tc>
          <w:tcPr>
            <w:tcW w:w="1304" w:type="dxa"/>
            <w:tcBorders>
              <w:top w:val="single" w:sz="8" w:space="0" w:color="8C8C8C"/>
              <w:left w:val="nil"/>
              <w:bottom w:val="single" w:sz="8" w:space="0" w:color="8C8C8C"/>
              <w:right w:val="single" w:sz="8" w:space="0" w:color="8C8C8C"/>
            </w:tcBorders>
            <w:shd w:val="clear" w:color="000000" w:fill="FCE1D9"/>
            <w:vAlign w:val="center"/>
          </w:tcPr>
          <w:p w14:paraId="773F5377" w14:textId="09B8F799" w:rsidR="006154E8" w:rsidRPr="005F4295" w:rsidRDefault="006154E8">
            <w:pPr>
              <w:suppressAutoHyphens w:val="0"/>
              <w:spacing w:before="0" w:after="0" w:line="240" w:lineRule="auto"/>
              <w:ind w:right="340"/>
              <w:jc w:val="right"/>
              <w:rPr>
                <w:b/>
                <w:bCs/>
                <w:noProof/>
                <w:color w:val="000000"/>
                <w:sz w:val="18"/>
                <w:szCs w:val="18"/>
                <w:lang w:eastAsia="en-IE"/>
              </w:rPr>
            </w:pPr>
            <w:r w:rsidRPr="005F4295">
              <w:rPr>
                <w:b/>
                <w:bCs/>
                <w:noProof/>
                <w:color w:val="000000"/>
                <w:sz w:val="18"/>
                <w:szCs w:val="18"/>
                <w:lang w:eastAsia="en-IE"/>
              </w:rPr>
              <w:t>44</w:t>
            </w:r>
            <w:r w:rsidR="00B02537" w:rsidRPr="005F4295">
              <w:rPr>
                <w:rFonts w:ascii="Calibri" w:hAnsi="Calibri" w:cs="Calibri"/>
                <w:noProof/>
                <w:color w:val="000000"/>
                <w:sz w:val="18"/>
                <w:szCs w:val="18"/>
                <w:lang w:eastAsia="en-IE"/>
              </w:rPr>
              <w:t> </w:t>
            </w:r>
            <w:r w:rsidRPr="005F4295">
              <w:rPr>
                <w:b/>
                <w:bCs/>
                <w:noProof/>
                <w:color w:val="000000"/>
                <w:sz w:val="18"/>
                <w:szCs w:val="18"/>
                <w:lang w:eastAsia="en-IE"/>
              </w:rPr>
              <w:t>688</w:t>
            </w:r>
          </w:p>
        </w:tc>
        <w:tc>
          <w:tcPr>
            <w:tcW w:w="1304" w:type="dxa"/>
            <w:tcBorders>
              <w:top w:val="single" w:sz="8" w:space="0" w:color="8C8C8C"/>
              <w:left w:val="nil"/>
              <w:bottom w:val="single" w:sz="8" w:space="0" w:color="8C8C8C"/>
              <w:right w:val="single" w:sz="8" w:space="0" w:color="8C8C8C"/>
            </w:tcBorders>
            <w:shd w:val="clear" w:color="000000" w:fill="FCE1D9"/>
            <w:vAlign w:val="center"/>
          </w:tcPr>
          <w:p w14:paraId="5371FEFB" w14:textId="77777777" w:rsidR="006154E8" w:rsidRPr="005F4295" w:rsidRDefault="006154E8">
            <w:pPr>
              <w:suppressAutoHyphens w:val="0"/>
              <w:spacing w:before="0" w:after="0" w:line="240" w:lineRule="auto"/>
              <w:jc w:val="center"/>
              <w:rPr>
                <w:b/>
                <w:bCs/>
                <w:noProof/>
                <w:color w:val="000000"/>
                <w:sz w:val="18"/>
                <w:szCs w:val="18"/>
                <w:lang w:eastAsia="en-IE"/>
              </w:rPr>
            </w:pPr>
            <w:r w:rsidRPr="005F4295">
              <w:rPr>
                <w:b/>
                <w:bCs/>
                <w:noProof/>
                <w:color w:val="000000"/>
                <w:sz w:val="18"/>
                <w:szCs w:val="18"/>
                <w:lang w:eastAsia="en-IE"/>
              </w:rPr>
              <w:t>2.03%</w:t>
            </w:r>
          </w:p>
        </w:tc>
        <w:tc>
          <w:tcPr>
            <w:tcW w:w="1304" w:type="dxa"/>
            <w:tcBorders>
              <w:top w:val="single" w:sz="8" w:space="0" w:color="8C8C8C"/>
              <w:left w:val="nil"/>
              <w:bottom w:val="single" w:sz="8" w:space="0" w:color="8C8C8C"/>
              <w:right w:val="nil"/>
            </w:tcBorders>
            <w:shd w:val="clear" w:color="000000" w:fill="FCE1D9"/>
            <w:vAlign w:val="center"/>
          </w:tcPr>
          <w:p w14:paraId="574FBBAC" w14:textId="77777777" w:rsidR="006154E8" w:rsidRPr="005F4295" w:rsidRDefault="006154E8">
            <w:pPr>
              <w:suppressAutoHyphens w:val="0"/>
              <w:spacing w:before="0" w:after="0" w:line="240" w:lineRule="auto"/>
              <w:jc w:val="center"/>
              <w:rPr>
                <w:b/>
                <w:bCs/>
                <w:noProof/>
                <w:color w:val="000000"/>
                <w:sz w:val="18"/>
                <w:szCs w:val="18"/>
                <w:lang w:eastAsia="en-IE"/>
              </w:rPr>
            </w:pPr>
            <w:r w:rsidRPr="005F4295">
              <w:rPr>
                <w:b/>
                <w:bCs/>
                <w:noProof/>
                <w:color w:val="000000"/>
                <w:sz w:val="18"/>
                <w:szCs w:val="18"/>
                <w:lang w:eastAsia="en-IE"/>
              </w:rPr>
              <w:t>2.71%</w:t>
            </w:r>
          </w:p>
        </w:tc>
      </w:tr>
    </w:tbl>
    <w:p w14:paraId="412F5894" w14:textId="3DA26463" w:rsidR="007B254D" w:rsidRPr="005F4295" w:rsidRDefault="00EB70E0" w:rsidP="002B5188">
      <w:pPr>
        <w:pStyle w:val="TableSource"/>
        <w:rPr>
          <w:rFonts w:ascii="EC Square Sans Pro" w:eastAsia="Times New Roman" w:hAnsi="EC Square Sans Pro"/>
          <w:color w:val="auto"/>
          <w:sz w:val="20"/>
        </w:rPr>
      </w:pPr>
      <w:r w:rsidRPr="005F4295">
        <w:rPr>
          <w:rStyle w:val="Italic"/>
        </w:rPr>
        <w:t>Source:</w:t>
      </w:r>
      <w:r w:rsidRPr="005F4295">
        <w:rPr>
          <w:noProof/>
        </w:rPr>
        <w:t xml:space="preserve"> European Commission annual activity reports</w:t>
      </w:r>
      <w:r w:rsidR="00C07F69" w:rsidRPr="005F4295">
        <w:rPr>
          <w:noProof/>
        </w:rPr>
        <w:t xml:space="preserve"> for 2025</w:t>
      </w:r>
      <w:r w:rsidRPr="005F4295">
        <w:rPr>
          <w:noProof/>
        </w:rPr>
        <w:t>.</w:t>
      </w:r>
    </w:p>
    <w:p w14:paraId="161D1EB8" w14:textId="77777777" w:rsidR="00606608" w:rsidRPr="005F4295" w:rsidRDefault="00606608">
      <w:pPr>
        <w:suppressAutoHyphens w:val="0"/>
        <w:rPr>
          <w:rFonts w:eastAsia="EC Square Sans Pro"/>
          <w:b/>
          <w:noProof/>
          <w:color w:val="003399" w:themeColor="text2"/>
          <w:sz w:val="28"/>
          <w:szCs w:val="21"/>
          <w:lang w:eastAsia="zh-CN"/>
        </w:rPr>
      </w:pPr>
      <w:bookmarkStart w:id="39" w:name="_Toc229386267"/>
      <w:r w:rsidRPr="005F4295">
        <w:rPr>
          <w:noProof/>
        </w:rPr>
        <w:br w:type="page"/>
      </w:r>
    </w:p>
    <w:p w14:paraId="0B37DA45" w14:textId="4C0EAB8A" w:rsidR="00EB70E0" w:rsidRPr="005F4295" w:rsidRDefault="00EB70E0" w:rsidP="00EB70E0">
      <w:pPr>
        <w:pStyle w:val="HeadingMan-NumT-AnnexesL2-11"/>
        <w:spacing w:before="360"/>
        <w:rPr>
          <w:rFonts w:ascii="EC Square Sans Pro" w:hAnsi="EC Square Sans Pro"/>
          <w:noProof/>
        </w:rPr>
      </w:pPr>
      <w:r w:rsidRPr="005F4295">
        <w:rPr>
          <w:rFonts w:ascii="EC Square Sans Pro" w:hAnsi="EC Square Sans Pro"/>
          <w:noProof/>
        </w:rPr>
        <w:t>5.3.</w:t>
      </w:r>
      <w:r w:rsidRPr="005F4295">
        <w:rPr>
          <w:rFonts w:ascii="EC Square Sans Pro" w:hAnsi="EC Square Sans Pro"/>
          <w:noProof/>
        </w:rPr>
        <w:tab/>
        <w:t xml:space="preserve">Reservations reported in the </w:t>
      </w:r>
      <w:r w:rsidR="00B25492" w:rsidRPr="005F4295">
        <w:rPr>
          <w:rFonts w:ascii="EC Square Sans Pro" w:hAnsi="EC Square Sans Pro"/>
          <w:noProof/>
        </w:rPr>
        <w:t xml:space="preserve">2025 </w:t>
      </w:r>
      <w:r w:rsidRPr="005F4295">
        <w:rPr>
          <w:rFonts w:ascii="EC Square Sans Pro" w:hAnsi="EC Square Sans Pro"/>
          <w:noProof/>
        </w:rPr>
        <w:t>annual activity reports</w:t>
      </w:r>
      <w:bookmarkEnd w:id="39"/>
    </w:p>
    <w:p w14:paraId="78BD4B4D" w14:textId="17FF5611" w:rsidR="00EB70E0" w:rsidRPr="005F4295" w:rsidRDefault="008477E5" w:rsidP="00EB70E0">
      <w:pPr>
        <w:rPr>
          <w:noProof/>
        </w:rPr>
      </w:pPr>
      <w:r w:rsidRPr="005F4295">
        <w:rPr>
          <w:rStyle w:val="Bold"/>
        </w:rPr>
        <w:t xml:space="preserve">Reservations preserve the principle of sound financial management by </w:t>
      </w:r>
      <w:r w:rsidR="00B02537" w:rsidRPr="005F4295">
        <w:rPr>
          <w:rStyle w:val="Bold"/>
        </w:rPr>
        <w:t>acting as</w:t>
      </w:r>
      <w:r w:rsidRPr="005F4295">
        <w:rPr>
          <w:rStyle w:val="Bold"/>
        </w:rPr>
        <w:t xml:space="preserve"> a tool to address weaknesses and prevent them in future through the development of action plans to mitigate risks and to strengthen control systems.</w:t>
      </w:r>
      <w:r w:rsidRPr="005F4295">
        <w:rPr>
          <w:noProof/>
        </w:rPr>
        <w:t xml:space="preserve"> </w:t>
      </w:r>
      <w:r w:rsidR="00EB70E0" w:rsidRPr="005F4295">
        <w:rPr>
          <w:noProof/>
        </w:rPr>
        <w:t xml:space="preserve">Each authorising officer by delegation signs a declaration of assurance in the annual activity report. If necessary, the declaration of assurance may be qualified by one or more reservations, which ensure transparency concerning any challenges or weaknesses encountered and their potential financial impact. </w:t>
      </w:r>
    </w:p>
    <w:p w14:paraId="10FEB8B2" w14:textId="7DFAB7EE" w:rsidR="00EB70E0" w:rsidRPr="005F4295" w:rsidRDefault="00EB70E0" w:rsidP="00EB70E0">
      <w:pPr>
        <w:spacing w:after="120"/>
        <w:rPr>
          <w:noProof/>
          <w:spacing w:val="-1"/>
        </w:rPr>
      </w:pPr>
      <w:r w:rsidRPr="005F4295">
        <w:rPr>
          <w:noProof/>
        </w:rPr>
        <w:t xml:space="preserve">To conclude on their assurance, at the end of each financial year, the authorising officers by delegation perform a detailed analysis for each segment of expenditure of their portfolio and determine the </w:t>
      </w:r>
      <w:r w:rsidRPr="005F4295">
        <w:rPr>
          <w:rStyle w:val="Bold"/>
        </w:rPr>
        <w:t>residual error rate</w:t>
      </w:r>
      <w:r w:rsidRPr="005F4295">
        <w:rPr>
          <w:noProof/>
        </w:rPr>
        <w:t xml:space="preserve"> for each programme. This residual error rate is based on the detected error rate but takes into account any corrections made until the end of the reporting year. It is a snapshot of the level of error still affecting the </w:t>
      </w:r>
      <w:r w:rsidR="00B25492" w:rsidRPr="005F4295">
        <w:rPr>
          <w:noProof/>
        </w:rPr>
        <w:t xml:space="preserve">2025 </w:t>
      </w:r>
      <w:r w:rsidRPr="005F4295">
        <w:rPr>
          <w:noProof/>
        </w:rPr>
        <w:t>expenditure at year-end. Where this residual error rate is above the materiality threshold of 2%, the authorising officers duly qualify their declarations of assurance with a reservation. This is in line with the materiality threshold used by the Court of Auditors to form their opinion</w:t>
      </w:r>
      <w:r w:rsidRPr="005F4295">
        <w:rPr>
          <w:rFonts w:ascii="Calibri" w:hAnsi="Calibri" w:cs="Calibri"/>
          <w:noProof/>
        </w:rPr>
        <w:t> </w:t>
      </w:r>
      <w:r w:rsidRPr="005F4295">
        <w:rPr>
          <w:noProof/>
        </w:rPr>
        <w:t>(</w:t>
      </w:r>
      <w:r w:rsidRPr="005F4295">
        <w:rPr>
          <w:rStyle w:val="FootnoteReference"/>
        </w:rPr>
        <w:footnoteReference w:id="15"/>
      </w:r>
      <w:r w:rsidRPr="005F4295">
        <w:rPr>
          <w:noProof/>
        </w:rPr>
        <w:t>). A reservation may or may not have a quantifiable financial impact</w:t>
      </w:r>
      <w:r w:rsidRPr="005F4295">
        <w:rPr>
          <w:rFonts w:ascii="Calibri" w:hAnsi="Calibri" w:cs="Calibri"/>
          <w:noProof/>
        </w:rPr>
        <w:t> </w:t>
      </w:r>
      <w:r w:rsidRPr="005F4295">
        <w:rPr>
          <w:noProof/>
        </w:rPr>
        <w:t>(</w:t>
      </w:r>
      <w:r w:rsidRPr="005F4295">
        <w:rPr>
          <w:rStyle w:val="FootnoteReference"/>
        </w:rPr>
        <w:footnoteReference w:id="16"/>
      </w:r>
      <w:r w:rsidRPr="005F4295">
        <w:rPr>
          <w:noProof/>
        </w:rPr>
        <w:t>). The authorising officers may</w:t>
      </w:r>
      <w:r w:rsidRPr="005F4295">
        <w:rPr>
          <w:noProof/>
          <w:spacing w:val="-1"/>
        </w:rPr>
        <w:t xml:space="preserve"> also issue a reservation in other situations, such as significant weaknesses in the management of funds or an event creating reputational damage to their department and/or the entire Commission.</w:t>
      </w:r>
    </w:p>
    <w:p w14:paraId="1700318D" w14:textId="18C7D1CB" w:rsidR="00EB70E0" w:rsidRPr="005F4295" w:rsidRDefault="00EB70E0" w:rsidP="00EB70E0">
      <w:pPr>
        <w:pStyle w:val="HeadingMan-NumT-AnnexesL3-111"/>
        <w:rPr>
          <w:rFonts w:ascii="EC Square Sans Pro" w:hAnsi="EC Square Sans Pro"/>
          <w:noProof/>
        </w:rPr>
      </w:pPr>
      <w:bookmarkStart w:id="40" w:name="_Toc229386268"/>
      <w:r w:rsidRPr="005F4295">
        <w:rPr>
          <w:rFonts w:ascii="EC Square Sans Pro" w:hAnsi="EC Square Sans Pro"/>
          <w:noProof/>
        </w:rPr>
        <w:t>5.3.1.</w:t>
      </w:r>
      <w:r w:rsidRPr="005F4295">
        <w:rPr>
          <w:rFonts w:ascii="EC Square Sans Pro" w:hAnsi="EC Square Sans Pro"/>
          <w:noProof/>
        </w:rPr>
        <w:tab/>
      </w:r>
      <w:r w:rsidR="00167644" w:rsidRPr="005F4295">
        <w:rPr>
          <w:rFonts w:ascii="EC Square Sans Pro" w:hAnsi="EC Square Sans Pro"/>
          <w:noProof/>
        </w:rPr>
        <w:t xml:space="preserve">2025 </w:t>
      </w:r>
      <w:r w:rsidRPr="005F4295">
        <w:rPr>
          <w:rFonts w:ascii="EC Square Sans Pro" w:hAnsi="EC Square Sans Pro"/>
          <w:noProof/>
        </w:rPr>
        <w:t>reservations</w:t>
      </w:r>
      <w:bookmarkEnd w:id="40"/>
    </w:p>
    <w:p w14:paraId="69B7A960" w14:textId="4B04E2A0" w:rsidR="005B79D4" w:rsidRPr="005F4295" w:rsidRDefault="00EB70E0" w:rsidP="00EB70E0">
      <w:pPr>
        <w:rPr>
          <w:noProof/>
        </w:rPr>
      </w:pPr>
      <w:r w:rsidRPr="005F4295">
        <w:rPr>
          <w:rStyle w:val="Bold"/>
        </w:rPr>
        <w:t xml:space="preserve">For the </w:t>
      </w:r>
      <w:r w:rsidR="00C66BC0" w:rsidRPr="005F4295">
        <w:rPr>
          <w:rStyle w:val="Bold"/>
        </w:rPr>
        <w:t xml:space="preserve">2025 </w:t>
      </w:r>
      <w:r w:rsidRPr="005F4295">
        <w:rPr>
          <w:rStyle w:val="Bold"/>
        </w:rPr>
        <w:t>reporting year, all</w:t>
      </w:r>
      <w:r w:rsidRPr="005F4295" w:rsidDel="00C66BC0">
        <w:rPr>
          <w:rStyle w:val="Bold"/>
        </w:rPr>
        <w:t xml:space="preserve"> </w:t>
      </w:r>
      <w:r w:rsidR="00C66BC0" w:rsidRPr="005F4295">
        <w:rPr>
          <w:rStyle w:val="Bold"/>
        </w:rPr>
        <w:t xml:space="preserve">52 </w:t>
      </w:r>
      <w:r w:rsidRPr="005F4295">
        <w:rPr>
          <w:rStyle w:val="Bold"/>
        </w:rPr>
        <w:t>authorising officers by delegation declared in their annual activity reports that they had reasonable assurance</w:t>
      </w:r>
      <w:r w:rsidRPr="005F4295">
        <w:rPr>
          <w:rStyle w:val="Bold"/>
          <w:rFonts w:ascii="Calibri" w:hAnsi="Calibri" w:cs="Calibri"/>
        </w:rPr>
        <w:t> </w:t>
      </w:r>
      <w:r w:rsidRPr="005F4295">
        <w:rPr>
          <w:rStyle w:val="Bold"/>
          <w:b w:val="0"/>
        </w:rPr>
        <w:t>(</w:t>
      </w:r>
      <w:r w:rsidRPr="005F4295">
        <w:rPr>
          <w:rStyle w:val="FootnoteReference"/>
        </w:rPr>
        <w:footnoteReference w:id="17"/>
      </w:r>
      <w:r w:rsidRPr="005F4295">
        <w:rPr>
          <w:rStyle w:val="Bold"/>
          <w:b w:val="0"/>
        </w:rPr>
        <w:t>)</w:t>
      </w:r>
      <w:r w:rsidRPr="005F4295">
        <w:rPr>
          <w:rStyle w:val="Bold"/>
          <w:noProof/>
        </w:rPr>
        <w:t>.</w:t>
      </w:r>
      <w:r w:rsidRPr="005F4295">
        <w:rPr>
          <w:noProof/>
        </w:rPr>
        <w:t xml:space="preserve"> </w:t>
      </w:r>
    </w:p>
    <w:p w14:paraId="4B2DBB9A" w14:textId="59F6EF69" w:rsidR="000C2C39" w:rsidRPr="005F4295" w:rsidRDefault="00EB70E0" w:rsidP="000C2C39">
      <w:pPr>
        <w:rPr>
          <w:noProof/>
        </w:rPr>
      </w:pPr>
      <w:r w:rsidRPr="005F4295">
        <w:t>The majority of the authorising officers by delegation issued unqualified declarations of assurance, while 1</w:t>
      </w:r>
      <w:r w:rsidR="004F3CD6" w:rsidRPr="005F4295">
        <w:t>9</w:t>
      </w:r>
      <w:r w:rsidRPr="005F4295">
        <w:t xml:space="preserve"> qualified their declarations with a total of </w:t>
      </w:r>
      <w:r w:rsidR="004F3CD6" w:rsidRPr="005F4295">
        <w:t>3</w:t>
      </w:r>
      <w:r w:rsidR="00A94A82" w:rsidRPr="005F4295">
        <w:t>2</w:t>
      </w:r>
      <w:r w:rsidRPr="005F4295">
        <w:t xml:space="preserve"> reservations. These reservations concerned the expenditure side of the budget and related to a programme or a specific segment of expenditure affected by a weakness (see figure</w:t>
      </w:r>
      <w:r w:rsidRPr="005F4295">
        <w:rPr>
          <w:rFonts w:ascii="Calibri" w:hAnsi="Calibri" w:cs="Calibri"/>
        </w:rPr>
        <w:t xml:space="preserve"> </w:t>
      </w:r>
      <w:r w:rsidRPr="005F4295">
        <w:rPr>
          <w:rFonts w:cs="Calibri"/>
        </w:rPr>
        <w:t>below</w:t>
      </w:r>
      <w:r w:rsidRPr="005F4295">
        <w:t xml:space="preserve">). In all these cases, the authorising officers by delegation adopted action plans to address the underlying weaknesses and mitigate the resulting risks. </w:t>
      </w:r>
    </w:p>
    <w:p w14:paraId="7BA5FF2B" w14:textId="5413EB61" w:rsidR="00BD23DB" w:rsidRPr="005F4295" w:rsidRDefault="005F61EA" w:rsidP="00DE49CD">
      <w:pPr>
        <w:pStyle w:val="ListBullet"/>
        <w:numPr>
          <w:ilvl w:val="0"/>
          <w:numId w:val="31"/>
        </w:numPr>
        <w:spacing w:after="120"/>
        <w:rPr>
          <w:b/>
          <w:bCs/>
          <w:noProof/>
          <w:spacing w:val="1"/>
        </w:rPr>
      </w:pPr>
      <w:r w:rsidRPr="005F4295">
        <w:rPr>
          <w:rStyle w:val="Bold"/>
        </w:rPr>
        <w:t>For the EU budget, t</w:t>
      </w:r>
      <w:r w:rsidR="00155BB6" w:rsidRPr="005F4295">
        <w:rPr>
          <w:rStyle w:val="Bold"/>
        </w:rPr>
        <w:t>we</w:t>
      </w:r>
      <w:r w:rsidR="00F87472" w:rsidRPr="005F4295">
        <w:rPr>
          <w:rStyle w:val="Bold"/>
        </w:rPr>
        <w:t xml:space="preserve">lve </w:t>
      </w:r>
      <w:r w:rsidR="00155BB6" w:rsidRPr="005F4295">
        <w:rPr>
          <w:rStyle w:val="Bold"/>
        </w:rPr>
        <w:t>reservations are new</w:t>
      </w:r>
      <w:r w:rsidR="008D333A" w:rsidRPr="005F4295">
        <w:rPr>
          <w:rStyle w:val="Bold"/>
        </w:rPr>
        <w:t>.</w:t>
      </w:r>
      <w:r w:rsidR="008D333A" w:rsidRPr="005F4295">
        <w:rPr>
          <w:spacing w:val="1"/>
        </w:rPr>
        <w:t xml:space="preserve"> However, they </w:t>
      </w:r>
      <w:r w:rsidR="009C186B" w:rsidRPr="005F4295">
        <w:rPr>
          <w:spacing w:val="1"/>
        </w:rPr>
        <w:t>stem from only</w:t>
      </w:r>
      <w:r w:rsidR="008D333A" w:rsidRPr="005F4295">
        <w:rPr>
          <w:spacing w:val="1"/>
        </w:rPr>
        <w:t xml:space="preserve"> three underlying issues: residual error rates above 2% </w:t>
      </w:r>
      <w:r w:rsidR="009C186B" w:rsidRPr="005F4295">
        <w:rPr>
          <w:spacing w:val="1"/>
        </w:rPr>
        <w:t>in</w:t>
      </w:r>
      <w:r w:rsidR="008D333A" w:rsidRPr="005F4295">
        <w:rPr>
          <w:spacing w:val="1"/>
        </w:rPr>
        <w:t xml:space="preserve"> Horizon Europe and the </w:t>
      </w:r>
      <w:r w:rsidR="005B090E" w:rsidRPr="005F4295">
        <w:rPr>
          <w:spacing w:val="1"/>
        </w:rPr>
        <w:t>d</w:t>
      </w:r>
      <w:r w:rsidR="008D333A" w:rsidRPr="005F4295">
        <w:rPr>
          <w:spacing w:val="1"/>
        </w:rPr>
        <w:t xml:space="preserve">igital Europe </w:t>
      </w:r>
      <w:r w:rsidR="005B090E" w:rsidRPr="005F4295">
        <w:rPr>
          <w:spacing w:val="1"/>
        </w:rPr>
        <w:t>p</w:t>
      </w:r>
      <w:r w:rsidR="008D333A" w:rsidRPr="005F4295">
        <w:rPr>
          <w:spacing w:val="1"/>
        </w:rPr>
        <w:t xml:space="preserve">rogramme (affecting eight and two services respectively), and one critical </w:t>
      </w:r>
      <w:r w:rsidR="00F422F6" w:rsidRPr="005F4295">
        <w:rPr>
          <w:spacing w:val="1"/>
        </w:rPr>
        <w:t>Internal Audit Service</w:t>
      </w:r>
      <w:r w:rsidR="008D333A" w:rsidRPr="005F4295">
        <w:rPr>
          <w:spacing w:val="1"/>
        </w:rPr>
        <w:t xml:space="preserve"> recommendation leading to </w:t>
      </w:r>
      <w:r w:rsidR="009C186B" w:rsidRPr="005F4295">
        <w:rPr>
          <w:spacing w:val="1"/>
        </w:rPr>
        <w:t xml:space="preserve">reservations </w:t>
      </w:r>
      <w:r w:rsidR="008D333A" w:rsidRPr="005F4295">
        <w:rPr>
          <w:spacing w:val="1"/>
        </w:rPr>
        <w:t xml:space="preserve">in two </w:t>
      </w:r>
      <w:r w:rsidR="00C97B16" w:rsidRPr="005F4295">
        <w:rPr>
          <w:spacing w:val="1"/>
        </w:rPr>
        <w:t>departments</w:t>
      </w:r>
      <w:r w:rsidR="009C186B" w:rsidRPr="005F4295">
        <w:rPr>
          <w:spacing w:val="1"/>
        </w:rPr>
        <w:t>.</w:t>
      </w:r>
      <w:r w:rsidR="008D333A" w:rsidRPr="005F4295">
        <w:rPr>
          <w:spacing w:val="1"/>
        </w:rPr>
        <w:t xml:space="preserve"> </w:t>
      </w:r>
      <w:r w:rsidR="00366BE5" w:rsidRPr="005F4295">
        <w:rPr>
          <w:spacing w:val="1"/>
        </w:rPr>
        <w:t xml:space="preserve">As these issues relate to programmes implemented across several services, they result in a higher overall number of new reservations than the </w:t>
      </w:r>
      <w:r w:rsidR="00453BB1" w:rsidRPr="005F4295">
        <w:rPr>
          <w:spacing w:val="1"/>
        </w:rPr>
        <w:t>three</w:t>
      </w:r>
      <w:r w:rsidR="00366BE5" w:rsidRPr="005F4295">
        <w:rPr>
          <w:spacing w:val="1"/>
        </w:rPr>
        <w:t xml:space="preserve"> distinct underlying risks.</w:t>
      </w:r>
      <w:r w:rsidR="00700165" w:rsidRPr="005F4295">
        <w:rPr>
          <w:noProof/>
          <w:spacing w:val="1"/>
        </w:rPr>
        <w:t xml:space="preserve"> The higher error rate in Horizon Europe is</w:t>
      </w:r>
      <w:r w:rsidR="00BD23DB" w:rsidRPr="005F4295">
        <w:rPr>
          <w:noProof/>
          <w:spacing w:val="1"/>
        </w:rPr>
        <w:t xml:space="preserve"> mainly</w:t>
      </w:r>
      <w:r w:rsidR="00700165" w:rsidRPr="005F4295">
        <w:rPr>
          <w:noProof/>
          <w:spacing w:val="1"/>
        </w:rPr>
        <w:t xml:space="preserve"> due to more error-prone beneficiaries (including newcomers and </w:t>
      </w:r>
      <w:r w:rsidR="00FF0622" w:rsidRPr="005F4295">
        <w:rPr>
          <w:noProof/>
          <w:spacing w:val="1"/>
        </w:rPr>
        <w:t>small and medium-sized enterprises</w:t>
      </w:r>
      <w:r w:rsidR="00BD23DB" w:rsidRPr="005F4295">
        <w:rPr>
          <w:noProof/>
          <w:spacing w:val="1"/>
        </w:rPr>
        <w:t xml:space="preserve">) and </w:t>
      </w:r>
      <w:r w:rsidR="00700165" w:rsidRPr="005F4295">
        <w:rPr>
          <w:noProof/>
          <w:spacing w:val="1"/>
        </w:rPr>
        <w:t>complex rules</w:t>
      </w:r>
      <w:r w:rsidR="00BD23DB" w:rsidRPr="005F4295">
        <w:rPr>
          <w:noProof/>
          <w:spacing w:val="1"/>
        </w:rPr>
        <w:t>. In addition, for 2025</w:t>
      </w:r>
      <w:r w:rsidR="00700165" w:rsidRPr="005F4295">
        <w:rPr>
          <w:noProof/>
          <w:spacing w:val="1"/>
        </w:rPr>
        <w:t>, a limited audited population with a few high-impact errors, and the still limited effect of lump-sum grants</w:t>
      </w:r>
      <w:r w:rsidR="00171E2C" w:rsidRPr="005F4295">
        <w:rPr>
          <w:noProof/>
          <w:spacing w:val="1"/>
        </w:rPr>
        <w:t>,</w:t>
      </w:r>
      <w:r w:rsidR="00BD23DB" w:rsidRPr="005F4295">
        <w:rPr>
          <w:noProof/>
          <w:spacing w:val="1"/>
        </w:rPr>
        <w:t xml:space="preserve"> also had an incidence on the high error rate</w:t>
      </w:r>
      <w:r w:rsidR="00700165" w:rsidRPr="005F4295">
        <w:rPr>
          <w:noProof/>
          <w:spacing w:val="1"/>
        </w:rPr>
        <w:t>.</w:t>
      </w:r>
    </w:p>
    <w:p w14:paraId="63B9E5C8" w14:textId="77777777" w:rsidR="00046727" w:rsidRDefault="00046727">
      <w:pPr>
        <w:suppressAutoHyphens w:val="0"/>
        <w:rPr>
          <w:rStyle w:val="Bold"/>
        </w:rPr>
      </w:pPr>
      <w:r>
        <w:rPr>
          <w:rStyle w:val="Bold"/>
        </w:rPr>
        <w:br w:type="page"/>
      </w:r>
    </w:p>
    <w:p w14:paraId="3AE982E2" w14:textId="65F3795F" w:rsidR="0016713A" w:rsidRPr="005F4295" w:rsidRDefault="0016713A" w:rsidP="00DE49CD">
      <w:pPr>
        <w:pStyle w:val="ListBullet"/>
        <w:numPr>
          <w:ilvl w:val="0"/>
          <w:numId w:val="31"/>
        </w:numPr>
        <w:spacing w:after="120"/>
        <w:rPr>
          <w:spacing w:val="1"/>
        </w:rPr>
      </w:pPr>
      <w:r w:rsidRPr="005F4295">
        <w:rPr>
          <w:rStyle w:val="Bold"/>
        </w:rPr>
        <w:t xml:space="preserve">A total of </w:t>
      </w:r>
      <w:r w:rsidR="00E54AAC" w:rsidRPr="005F4295">
        <w:rPr>
          <w:rStyle w:val="Bold"/>
        </w:rPr>
        <w:t>18</w:t>
      </w:r>
      <w:r w:rsidR="000D22C9" w:rsidRPr="005F4295">
        <w:rPr>
          <w:rStyle w:val="Bold"/>
        </w:rPr>
        <w:t> </w:t>
      </w:r>
      <w:r w:rsidR="000D22C9" w:rsidRPr="005F4295">
        <w:rPr>
          <w:spacing w:val="1"/>
        </w:rPr>
        <w:t>(</w:t>
      </w:r>
      <w:r w:rsidR="000D22C9" w:rsidRPr="005F4295">
        <w:rPr>
          <w:rStyle w:val="FootnoteReference"/>
        </w:rPr>
        <w:footnoteReference w:id="18"/>
      </w:r>
      <w:r w:rsidR="000D22C9" w:rsidRPr="005F4295">
        <w:rPr>
          <w:spacing w:val="1"/>
        </w:rPr>
        <w:t>)</w:t>
      </w:r>
      <w:r w:rsidRPr="005F4295">
        <w:rPr>
          <w:rStyle w:val="Bold"/>
        </w:rPr>
        <w:t xml:space="preserve"> reservations have been carried over from previous years</w:t>
      </w:r>
      <w:r w:rsidRPr="005F4295">
        <w:rPr>
          <w:spacing w:val="1"/>
        </w:rPr>
        <w:t>, divided broadly equally between quantified and non-quantified. These reservations have been maintained mainly because the root causes of the material level of error or the lack of assurance can be partially mitigated but not fully eradicated under the current programmes’ legal frameworks. No reservations issued in 2024 were lifted in 2025.</w:t>
      </w:r>
    </w:p>
    <w:p w14:paraId="3098BDD3" w14:textId="4FDE295A" w:rsidR="00457DA5" w:rsidRPr="005F4295" w:rsidRDefault="00457DA5" w:rsidP="00DE49CD">
      <w:pPr>
        <w:spacing w:after="120"/>
        <w:rPr>
          <w:bCs/>
          <w:noProof/>
          <w:spacing w:val="1"/>
        </w:rPr>
      </w:pPr>
      <w:r w:rsidRPr="005F4295">
        <w:rPr>
          <w:bCs/>
          <w:noProof/>
          <w:spacing w:val="1"/>
        </w:rPr>
        <w:t xml:space="preserve">Most recurrent reservations concern shared management, where each reservation consists </w:t>
      </w:r>
      <w:r w:rsidR="00782D37" w:rsidRPr="005F4295">
        <w:rPr>
          <w:bCs/>
          <w:noProof/>
          <w:spacing w:val="1"/>
        </w:rPr>
        <w:t>of</w:t>
      </w:r>
      <w:r w:rsidRPr="005F4295">
        <w:rPr>
          <w:bCs/>
          <w:noProof/>
          <w:spacing w:val="1"/>
        </w:rPr>
        <w:t xml:space="preserve"> an increased number of paying agencies and operational programmes, for which systems in place do not function or only partially</w:t>
      </w:r>
      <w:r w:rsidR="00782D37" w:rsidRPr="005F4295">
        <w:rPr>
          <w:bCs/>
          <w:noProof/>
          <w:spacing w:val="1"/>
        </w:rPr>
        <w:t>,</w:t>
      </w:r>
      <w:r w:rsidRPr="005F4295">
        <w:rPr>
          <w:bCs/>
          <w:noProof/>
          <w:spacing w:val="1"/>
        </w:rPr>
        <w:t xml:space="preserve"> or the error rate is above 2% compared </w:t>
      </w:r>
      <w:r w:rsidR="00782D37" w:rsidRPr="005F4295">
        <w:rPr>
          <w:bCs/>
          <w:noProof/>
          <w:spacing w:val="1"/>
        </w:rPr>
        <w:t>with</w:t>
      </w:r>
      <w:r w:rsidRPr="005F4295">
        <w:rPr>
          <w:bCs/>
          <w:noProof/>
          <w:spacing w:val="1"/>
        </w:rPr>
        <w:t xml:space="preserve"> 2024. </w:t>
      </w:r>
    </w:p>
    <w:p w14:paraId="6EB70DB5" w14:textId="000E4E0E" w:rsidR="00457DA5" w:rsidRPr="005F4295" w:rsidRDefault="00457DA5" w:rsidP="00DE49CD">
      <w:pPr>
        <w:spacing w:after="120"/>
        <w:rPr>
          <w:bCs/>
          <w:noProof/>
          <w:spacing w:val="1"/>
        </w:rPr>
      </w:pPr>
      <w:r w:rsidRPr="005F4295">
        <w:rPr>
          <w:bCs/>
          <w:noProof/>
          <w:spacing w:val="1"/>
        </w:rPr>
        <w:t>For cohesion policy, the higher number of programmes in reservation (78 v 26 in 2024) is mainly due to the increased number of accounts submitted in 2025. For the 2014-2020 period, 80% of the programmes submitted closure accounts (v</w:t>
      </w:r>
      <w:r w:rsidR="007555A9" w:rsidRPr="005F4295">
        <w:rPr>
          <w:bCs/>
          <w:noProof/>
          <w:spacing w:val="1"/>
        </w:rPr>
        <w:t>ersus</w:t>
      </w:r>
      <w:r w:rsidRPr="005F4295">
        <w:rPr>
          <w:bCs/>
          <w:noProof/>
          <w:spacing w:val="1"/>
        </w:rPr>
        <w:t xml:space="preserve"> 20% in 2024 following the one-year extension under the STEP </w:t>
      </w:r>
      <w:r w:rsidR="0039742B" w:rsidRPr="005F4295">
        <w:rPr>
          <w:bCs/>
          <w:noProof/>
          <w:spacing w:val="1"/>
        </w:rPr>
        <w:t>R</w:t>
      </w:r>
      <w:r w:rsidRPr="005F4295">
        <w:rPr>
          <w:bCs/>
          <w:noProof/>
          <w:spacing w:val="1"/>
        </w:rPr>
        <w:t>egulation</w:t>
      </w:r>
      <w:r w:rsidR="00F84364" w:rsidRPr="005F4295">
        <w:rPr>
          <w:rFonts w:cs="Calibri"/>
          <w:bCs/>
          <w:noProof/>
          <w:spacing w:val="1"/>
        </w:rPr>
        <w:t> </w:t>
      </w:r>
      <w:r w:rsidR="00F84364" w:rsidRPr="005F4295">
        <w:rPr>
          <w:bCs/>
          <w:noProof/>
          <w:spacing w:val="1"/>
        </w:rPr>
        <w:t>(</w:t>
      </w:r>
      <w:r w:rsidR="00F84364" w:rsidRPr="005F4295">
        <w:rPr>
          <w:rStyle w:val="FootnoteReference"/>
        </w:rPr>
        <w:footnoteReference w:id="19"/>
      </w:r>
      <w:r w:rsidRPr="005F4295" w:rsidDel="00F84364">
        <w:rPr>
          <w:bCs/>
          <w:noProof/>
          <w:spacing w:val="1"/>
        </w:rPr>
        <w:t>)</w:t>
      </w:r>
      <w:r w:rsidR="00F84364" w:rsidRPr="005F4295">
        <w:rPr>
          <w:bCs/>
          <w:noProof/>
          <w:spacing w:val="1"/>
        </w:rPr>
        <w:t>)</w:t>
      </w:r>
      <w:r w:rsidRPr="005F4295">
        <w:rPr>
          <w:bCs/>
          <w:noProof/>
          <w:spacing w:val="1"/>
        </w:rPr>
        <w:t>, while for the 2021-2027 period, more accounts were submitted as programmes gained speed in implementation. Overall, this level is in line with the number in 2023 (71), while 2024 was exceptionally low (26) due to limited account submission. In this area, higher error rates are caused by complex rules, particularly on public procurement and State aid, a</w:t>
      </w:r>
      <w:r w:rsidR="00B511FF" w:rsidRPr="005F4295">
        <w:rPr>
          <w:bCs/>
          <w:noProof/>
          <w:spacing w:val="1"/>
        </w:rPr>
        <w:t>long with</w:t>
      </w:r>
      <w:r w:rsidRPr="005F4295">
        <w:rPr>
          <w:bCs/>
          <w:noProof/>
          <w:spacing w:val="1"/>
        </w:rPr>
        <w:t xml:space="preserve"> the inherent complexity of the projects and the wide range of actors involved.</w:t>
      </w:r>
    </w:p>
    <w:p w14:paraId="2B4EEA00" w14:textId="120BB695" w:rsidR="0016713A" w:rsidRPr="005F4295" w:rsidRDefault="00457DA5" w:rsidP="00DE49CD">
      <w:pPr>
        <w:spacing w:after="120"/>
        <w:rPr>
          <w:spacing w:val="1"/>
        </w:rPr>
      </w:pPr>
      <w:r w:rsidRPr="005F4295">
        <w:rPr>
          <w:bCs/>
          <w:noProof/>
          <w:spacing w:val="1"/>
        </w:rPr>
        <w:t xml:space="preserve">An increase in the number of systems under reservation is also observed for the new delivery model under the 2023–2027 Common Agricultural Policy. This is due to better identification of potential serious deficiencies in governance systems thanks to improved system assessments by </w:t>
      </w:r>
      <w:r w:rsidR="00AA56D7" w:rsidRPr="005F4295">
        <w:rPr>
          <w:bCs/>
          <w:noProof/>
          <w:spacing w:val="1"/>
        </w:rPr>
        <w:t xml:space="preserve">certification </w:t>
      </w:r>
      <w:r w:rsidRPr="005F4295">
        <w:rPr>
          <w:bCs/>
          <w:noProof/>
          <w:spacing w:val="1"/>
        </w:rPr>
        <w:t xml:space="preserve">bodies, based on experience gained in implementing the new model. These reservations cannot be quantified and the final level of risk and the corresponding financial corrections will be determined through ongoing conformity procedures. </w:t>
      </w:r>
      <w:r w:rsidR="003059E4" w:rsidRPr="005F4295">
        <w:rPr>
          <w:bCs/>
          <w:noProof/>
          <w:spacing w:val="1"/>
        </w:rPr>
        <w:t xml:space="preserve">The year </w:t>
      </w:r>
      <w:r w:rsidRPr="005F4295">
        <w:rPr>
          <w:bCs/>
          <w:noProof/>
          <w:spacing w:val="1"/>
        </w:rPr>
        <w:t>2027 is expected to be the first in which such procedures are finalised.</w:t>
      </w:r>
    </w:p>
    <w:p w14:paraId="4CBF23C9" w14:textId="57792BE9" w:rsidR="002D3E16" w:rsidRPr="005F4295" w:rsidRDefault="002D3E16" w:rsidP="00793F17">
      <w:pPr>
        <w:pStyle w:val="ListBullet"/>
        <w:numPr>
          <w:ilvl w:val="0"/>
          <w:numId w:val="32"/>
        </w:numPr>
        <w:rPr>
          <w:bCs/>
        </w:rPr>
      </w:pPr>
      <w:r w:rsidRPr="005F4295">
        <w:rPr>
          <w:rStyle w:val="Bold"/>
        </w:rPr>
        <w:t xml:space="preserve">In addition, two reservations were recorded in relation to the Recovery and Resilience Facility: </w:t>
      </w:r>
      <w:r w:rsidRPr="005F4295">
        <w:rPr>
          <w:rStyle w:val="Bold"/>
          <w:b w:val="0"/>
          <w:bCs/>
        </w:rPr>
        <w:t>a recurring reservation regarding conflicts of interest in one Member State, and a new reservation concerning the satisfactory fulfilment of two milestones in another Member State.</w:t>
      </w:r>
    </w:p>
    <w:p w14:paraId="53AF8B34" w14:textId="0DF9D2BB" w:rsidR="00725ECF" w:rsidRPr="005F4295" w:rsidRDefault="00EB70E0" w:rsidP="00725ECF">
      <w:pPr>
        <w:rPr>
          <w:noProof/>
        </w:rPr>
      </w:pPr>
      <w:r w:rsidRPr="005F4295">
        <w:t xml:space="preserve">In accordance with the </w:t>
      </w:r>
      <w:r w:rsidRPr="005F4295">
        <w:rPr>
          <w:rStyle w:val="Italic"/>
        </w:rPr>
        <w:t>de minimis</w:t>
      </w:r>
      <w:r w:rsidRPr="005F4295">
        <w:t xml:space="preserve"> rule, a financial quantified reservation is deemed not to be substantial and will not be issued</w:t>
      </w:r>
      <w:r w:rsidRPr="005F4295">
        <w:rPr>
          <w:rFonts w:ascii="Calibri" w:hAnsi="Calibri" w:cs="Calibri"/>
        </w:rPr>
        <w:t> </w:t>
      </w:r>
      <w:r w:rsidRPr="005F4295">
        <w:t>(</w:t>
      </w:r>
      <w:r w:rsidRPr="005F4295">
        <w:rPr>
          <w:rStyle w:val="FootnoteReference"/>
          <w:rFonts w:eastAsia="EC Square Sans Pro"/>
        </w:rPr>
        <w:footnoteReference w:id="20"/>
      </w:r>
      <w:r w:rsidRPr="005F4295">
        <w:t>) for residual error rates above 2% if the financial impact is less than EUR</w:t>
      </w:r>
      <w:r w:rsidRPr="005F4295">
        <w:rPr>
          <w:rFonts w:ascii="Calibri" w:hAnsi="Calibri" w:cs="Calibri"/>
        </w:rPr>
        <w:t> </w:t>
      </w:r>
      <w:r w:rsidRPr="005F4295">
        <w:t>5</w:t>
      </w:r>
      <w:r w:rsidRPr="005F4295">
        <w:rPr>
          <w:rFonts w:ascii="Calibri" w:hAnsi="Calibri" w:cs="Calibri"/>
        </w:rPr>
        <w:t> </w:t>
      </w:r>
      <w:r w:rsidRPr="005F4295">
        <w:t xml:space="preserve">million and the related segment represents less than 5% of the department’s total payments. </w:t>
      </w:r>
      <w:r w:rsidRPr="005F4295">
        <w:rPr>
          <w:noProof/>
        </w:rPr>
        <w:t>In 202</w:t>
      </w:r>
      <w:r w:rsidR="00FF2E45" w:rsidRPr="005F4295">
        <w:rPr>
          <w:noProof/>
        </w:rPr>
        <w:t>5</w:t>
      </w:r>
      <w:r w:rsidRPr="005F4295">
        <w:rPr>
          <w:noProof/>
        </w:rPr>
        <w:t>,</w:t>
      </w:r>
      <w:r w:rsidRPr="005F4295" w:rsidDel="006E4469">
        <w:rPr>
          <w:noProof/>
        </w:rPr>
        <w:t xml:space="preserve"> </w:t>
      </w:r>
      <w:r w:rsidR="009766D8" w:rsidRPr="005F4295">
        <w:rPr>
          <w:noProof/>
        </w:rPr>
        <w:t>eight</w:t>
      </w:r>
      <w:r w:rsidRPr="005F4295">
        <w:t xml:space="preserve"> cases with a residual error rate above 2% were found not to exceed the two thresholds of the </w:t>
      </w:r>
      <w:r w:rsidRPr="005F4295">
        <w:rPr>
          <w:rStyle w:val="Italic"/>
        </w:rPr>
        <w:t>de minimis</w:t>
      </w:r>
      <w:r w:rsidRPr="005F4295">
        <w:t xml:space="preserve"> rule, and therefore were deemed as not substantial for issuing a financial quantified reservation. </w:t>
      </w:r>
      <w:r w:rsidR="00725ECF" w:rsidRPr="005F4295">
        <w:rPr>
          <w:noProof/>
        </w:rPr>
        <w:t>The total financial impact of these cases in 2025 was very limited, amounting to EUR</w:t>
      </w:r>
      <w:r w:rsidR="007C088D" w:rsidRPr="005F4295">
        <w:rPr>
          <w:rFonts w:ascii="Calibri" w:hAnsi="Calibri" w:cs="Calibri"/>
          <w:noProof/>
        </w:rPr>
        <w:t> </w:t>
      </w:r>
      <w:r w:rsidR="00725ECF" w:rsidRPr="005F4295">
        <w:rPr>
          <w:noProof/>
        </w:rPr>
        <w:t>4.5</w:t>
      </w:r>
      <w:r w:rsidR="007C088D" w:rsidRPr="005F4295">
        <w:rPr>
          <w:rFonts w:ascii="Calibri" w:hAnsi="Calibri" w:cs="Calibri"/>
          <w:noProof/>
        </w:rPr>
        <w:t> </w:t>
      </w:r>
      <w:r w:rsidR="00725ECF" w:rsidRPr="005F4295">
        <w:rPr>
          <w:noProof/>
        </w:rPr>
        <w:t>million, almost half the level recorded in 2024 (EUR</w:t>
      </w:r>
      <w:r w:rsidR="007C088D" w:rsidRPr="005F4295">
        <w:rPr>
          <w:rFonts w:ascii="Calibri" w:hAnsi="Calibri" w:cs="Calibri"/>
          <w:noProof/>
        </w:rPr>
        <w:t> </w:t>
      </w:r>
      <w:r w:rsidR="00725ECF" w:rsidRPr="005F4295">
        <w:rPr>
          <w:noProof/>
        </w:rPr>
        <w:t>8.6</w:t>
      </w:r>
      <w:r w:rsidR="007C088D" w:rsidRPr="005F4295">
        <w:rPr>
          <w:rFonts w:ascii="Calibri" w:hAnsi="Calibri" w:cs="Calibri"/>
          <w:noProof/>
        </w:rPr>
        <w:t> </w:t>
      </w:r>
      <w:r w:rsidR="00725ECF" w:rsidRPr="005F4295">
        <w:rPr>
          <w:noProof/>
        </w:rPr>
        <w:t>million).</w:t>
      </w:r>
    </w:p>
    <w:p w14:paraId="4904A518" w14:textId="77777777" w:rsidR="001070F6" w:rsidRPr="001070F6" w:rsidRDefault="001070F6" w:rsidP="001070F6">
      <w:pPr>
        <w:rPr>
          <w:rFonts w:eastAsia="EC Square Sans Pro"/>
        </w:rPr>
      </w:pPr>
      <w:bookmarkStart w:id="41" w:name="_Toc229386269"/>
      <w:r w:rsidRPr="001070F6">
        <w:br w:type="page"/>
      </w:r>
    </w:p>
    <w:p w14:paraId="63CD91FC" w14:textId="6BAC389C" w:rsidR="00EB70E0" w:rsidRPr="005F4295" w:rsidRDefault="00EB70E0" w:rsidP="00EB70E0">
      <w:pPr>
        <w:pStyle w:val="HeadingMan-NumT-AnnexesL3-111"/>
        <w:rPr>
          <w:rFonts w:ascii="EC Square Sans Pro" w:hAnsi="EC Square Sans Pro"/>
        </w:rPr>
      </w:pPr>
      <w:r w:rsidRPr="005F4295">
        <w:rPr>
          <w:rFonts w:ascii="EC Square Sans Pro" w:hAnsi="EC Square Sans Pro"/>
        </w:rPr>
        <w:t>5.3.2.</w:t>
      </w:r>
      <w:r w:rsidRPr="005F4295">
        <w:rPr>
          <w:rFonts w:ascii="EC Square Sans Pro" w:hAnsi="EC Square Sans Pro"/>
        </w:rPr>
        <w:tab/>
        <w:t>Financial impact of reservations</w:t>
      </w:r>
      <w:bookmarkEnd w:id="41"/>
    </w:p>
    <w:p w14:paraId="7599EBBE" w14:textId="244C44C7" w:rsidR="00FF5E16" w:rsidRPr="005F4295" w:rsidRDefault="00FF5E16" w:rsidP="00FF5E16">
      <w:pPr>
        <w:rPr>
          <w:noProof/>
        </w:rPr>
      </w:pPr>
      <w:r w:rsidRPr="005F4295">
        <w:rPr>
          <w:noProof/>
        </w:rPr>
        <w:t>The total financial impact of the quantified reservations amounts to EUR</w:t>
      </w:r>
      <w:r w:rsidR="009F0DFD" w:rsidRPr="005F4295">
        <w:rPr>
          <w:rFonts w:ascii="Calibri" w:hAnsi="Calibri" w:cs="Calibri"/>
          <w:noProof/>
        </w:rPr>
        <w:t> </w:t>
      </w:r>
      <w:r w:rsidRPr="005F4295">
        <w:rPr>
          <w:noProof/>
        </w:rPr>
        <w:t>866.5</w:t>
      </w:r>
      <w:r w:rsidR="0025544B" w:rsidRPr="005F4295">
        <w:rPr>
          <w:rFonts w:ascii="Calibri" w:hAnsi="Calibri" w:cs="Calibri"/>
          <w:noProof/>
        </w:rPr>
        <w:t> </w:t>
      </w:r>
      <w:r w:rsidRPr="005F4295">
        <w:rPr>
          <w:noProof/>
        </w:rPr>
        <w:t>million</w:t>
      </w:r>
      <w:r w:rsidR="0001615A" w:rsidRPr="005F4295">
        <w:rPr>
          <w:rFonts w:cs="Calibri"/>
          <w:noProof/>
        </w:rPr>
        <w:t> </w:t>
      </w:r>
      <w:r w:rsidR="0001615A" w:rsidRPr="005F4295">
        <w:rPr>
          <w:noProof/>
        </w:rPr>
        <w:t>(</w:t>
      </w:r>
      <w:r w:rsidR="0001615A" w:rsidRPr="005F4295">
        <w:rPr>
          <w:rStyle w:val="FootnoteReference"/>
        </w:rPr>
        <w:footnoteReference w:id="21"/>
      </w:r>
      <w:r w:rsidR="0001615A" w:rsidRPr="005F4295">
        <w:rPr>
          <w:noProof/>
        </w:rPr>
        <w:t>)</w:t>
      </w:r>
      <w:r w:rsidRPr="005F4295">
        <w:rPr>
          <w:noProof/>
        </w:rPr>
        <w:t xml:space="preserve">, representing 0.5% of the total relevant expenditure, which marks an increase compared </w:t>
      </w:r>
      <w:r w:rsidR="00325F6A" w:rsidRPr="005F4295">
        <w:rPr>
          <w:noProof/>
        </w:rPr>
        <w:t>with</w:t>
      </w:r>
      <w:r w:rsidRPr="005F4295">
        <w:rPr>
          <w:noProof/>
        </w:rPr>
        <w:t xml:space="preserve"> 2024 (0.2%). This increase is driven by the new reservations linked to higher error rates in Horizon Europe and the </w:t>
      </w:r>
      <w:r w:rsidR="00325F6A" w:rsidRPr="005F4295">
        <w:rPr>
          <w:noProof/>
        </w:rPr>
        <w:t>d</w:t>
      </w:r>
      <w:r w:rsidRPr="005F4295">
        <w:rPr>
          <w:noProof/>
        </w:rPr>
        <w:t xml:space="preserve">igital Europe </w:t>
      </w:r>
      <w:r w:rsidR="00325F6A" w:rsidRPr="005F4295">
        <w:rPr>
          <w:noProof/>
        </w:rPr>
        <w:t>p</w:t>
      </w:r>
      <w:r w:rsidRPr="005F4295">
        <w:rPr>
          <w:noProof/>
        </w:rPr>
        <w:t xml:space="preserve">rogramme, </w:t>
      </w:r>
      <w:r w:rsidR="00C43CA1" w:rsidRPr="005F4295">
        <w:rPr>
          <w:noProof/>
        </w:rPr>
        <w:t>and</w:t>
      </w:r>
      <w:r w:rsidRPr="005F4295">
        <w:rPr>
          <w:noProof/>
        </w:rPr>
        <w:t xml:space="preserve"> by a higher number and volume of reservations in the cohesion policy area, reflecting the increased number of final accounts submitted for the 2014-2020 and acceleration of the</w:t>
      </w:r>
      <w:bookmarkStart w:id="42" w:name="_Hlk228449413"/>
      <w:r w:rsidRPr="005F4295">
        <w:rPr>
          <w:noProof/>
        </w:rPr>
        <w:t xml:space="preserve"> implementation </w:t>
      </w:r>
      <w:bookmarkEnd w:id="42"/>
      <w:r w:rsidRPr="005F4295">
        <w:rPr>
          <w:noProof/>
        </w:rPr>
        <w:t>of the 2021–2027 programmes. However, it should also be noted that the financial impact in 2024 was unusually low (see the trend in the graph below). Excluding 2024, the financial impact in 2025 remains in the range of previous year’s values.</w:t>
      </w:r>
    </w:p>
    <w:p w14:paraId="47FBF27C" w14:textId="0C366E70" w:rsidR="00EB70E0" w:rsidRPr="005F4295" w:rsidRDefault="00EB70E0" w:rsidP="00EB70E0">
      <w:r w:rsidRPr="005F4295">
        <w:t>The composition and evolution of the financial impact over the years are presented in the following figure and Table</w:t>
      </w:r>
      <w:r w:rsidRPr="005F4295">
        <w:rPr>
          <w:rFonts w:ascii="Calibri" w:hAnsi="Calibri" w:cs="Calibri"/>
        </w:rPr>
        <w:t> </w:t>
      </w:r>
      <w:r w:rsidRPr="005F4295">
        <w:rPr>
          <w:rFonts w:cs="Calibri"/>
        </w:rPr>
        <w:t>C</w:t>
      </w:r>
      <w:r w:rsidRPr="005F4295">
        <w:t>. The financial impact of the reservation for the Recovery and Resilience Facility is not included</w:t>
      </w:r>
      <w:r w:rsidR="00A67E10" w:rsidRPr="005F4295">
        <w:t>,</w:t>
      </w:r>
      <w:r w:rsidRPr="005F4295">
        <w:t xml:space="preserve"> as the </w:t>
      </w:r>
      <w:r w:rsidR="00A67E10" w:rsidRPr="005F4295">
        <w:t>f</w:t>
      </w:r>
      <w:r w:rsidRPr="005F4295">
        <w:t xml:space="preserve">acility is not part of the EU </w:t>
      </w:r>
      <w:r w:rsidR="00A67E10" w:rsidRPr="005F4295">
        <w:t>b</w:t>
      </w:r>
      <w:r w:rsidRPr="005F4295">
        <w:t>udget.</w:t>
      </w:r>
    </w:p>
    <w:p w14:paraId="27924C73" w14:textId="1F3775E9" w:rsidR="00EB70E0" w:rsidRPr="005F4295" w:rsidRDefault="00EB70E0" w:rsidP="00EB70E0">
      <w:pPr>
        <w:pStyle w:val="ImageTitle"/>
        <w:rPr>
          <w:noProof/>
          <w:highlight w:val="lightGray"/>
        </w:rPr>
      </w:pPr>
      <w:r w:rsidRPr="005F4295">
        <w:rPr>
          <w:noProof/>
        </w:rPr>
        <w:t>Financial impact of quantified reservations for 201</w:t>
      </w:r>
      <w:r w:rsidR="00547CB3" w:rsidRPr="005F4295">
        <w:rPr>
          <w:noProof/>
        </w:rPr>
        <w:t>9</w:t>
      </w:r>
      <w:r w:rsidRPr="005F4295">
        <w:rPr>
          <w:noProof/>
        </w:rPr>
        <w:t>-202</w:t>
      </w:r>
      <w:r w:rsidR="00547CB3" w:rsidRPr="005F4295">
        <w:rPr>
          <w:noProof/>
        </w:rPr>
        <w:t>5</w:t>
      </w:r>
      <w:r w:rsidRPr="005F4295">
        <w:rPr>
          <w:rFonts w:cs="Calibri"/>
          <w:noProof/>
        </w:rPr>
        <w:t> </w:t>
      </w:r>
      <w:r w:rsidRPr="005F4295">
        <w:rPr>
          <w:noProof/>
        </w:rPr>
        <w:t>(</w:t>
      </w:r>
      <w:r w:rsidRPr="005F4295">
        <w:rPr>
          <w:rStyle w:val="FootnoteReference"/>
        </w:rPr>
        <w:footnoteReference w:id="22"/>
      </w:r>
      <w:r w:rsidRPr="005F4295">
        <w:rPr>
          <w:noProof/>
        </w:rPr>
        <w:t>) (million</w:t>
      </w:r>
      <w:r w:rsidR="00BE000F" w:rsidRPr="005F4295">
        <w:rPr>
          <w:rFonts w:ascii="Calibri" w:hAnsi="Calibri" w:cs="Calibri"/>
          <w:noProof/>
        </w:rPr>
        <w:t xml:space="preserve"> </w:t>
      </w:r>
      <w:r w:rsidRPr="005F4295">
        <w:rPr>
          <w:noProof/>
        </w:rPr>
        <w:t>EUR)</w:t>
      </w:r>
    </w:p>
    <w:p w14:paraId="328BA39B" w14:textId="7D6F78B5" w:rsidR="00EB70E0" w:rsidRPr="005F4295" w:rsidRDefault="00DC764B" w:rsidP="00EB70E0">
      <w:pPr>
        <w:pStyle w:val="ImagePlaceholder"/>
        <w:rPr>
          <w:rFonts w:eastAsia="Calibri"/>
          <w:sz w:val="22"/>
          <w:szCs w:val="22"/>
          <w:highlight w:val="lightGray"/>
        </w:rPr>
      </w:pPr>
      <w:r w:rsidRPr="005F4295">
        <w:rPr>
          <w:rFonts w:eastAsia="Calibri"/>
          <w:noProof/>
          <w:sz w:val="22"/>
          <w:szCs w:val="22"/>
          <w:highlight w:val="lightGray"/>
        </w:rPr>
        <w:drawing>
          <wp:inline distT="0" distB="0" distL="0" distR="0" wp14:anchorId="3876BB2E" wp14:editId="10A331ED">
            <wp:extent cx="5760085" cy="3382054"/>
            <wp:effectExtent l="0" t="0" r="0" b="8890"/>
            <wp:docPr id="3" name="Picture 2">
              <a:extLst xmlns:a="http://schemas.openxmlformats.org/drawingml/2006/main">
                <a:ext uri="{FF2B5EF4-FFF2-40B4-BE49-F238E27FC236}">
                  <a16:creationId xmlns:a16="http://schemas.microsoft.com/office/drawing/2014/main" id="{A1821EF8-44EF-B7E6-FB42-336CD35194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1821EF8-44EF-B7E6-FB42-336CD35194D8}"/>
                        </a:ext>
                      </a:extLst>
                    </pic:cNvPr>
                    <pic:cNvPicPr>
                      <a:picLocks noChangeAspect="1"/>
                    </pic:cNvPicPr>
                  </pic:nvPicPr>
                  <pic:blipFill rotWithShape="1">
                    <a:blip r:embed="rId48"/>
                    <a:srcRect t="5298"/>
                    <a:stretch>
                      <a:fillRect/>
                    </a:stretch>
                  </pic:blipFill>
                  <pic:spPr bwMode="auto">
                    <a:xfrm>
                      <a:off x="0" y="0"/>
                      <a:ext cx="5760085" cy="3382054"/>
                    </a:xfrm>
                    <a:prstGeom prst="rect">
                      <a:avLst/>
                    </a:prstGeom>
                    <a:ln>
                      <a:noFill/>
                    </a:ln>
                    <a:extLst>
                      <a:ext uri="{53640926-AAD7-44D8-BBD7-CCE9431645EC}">
                        <a14:shadowObscured xmlns:a14="http://schemas.microsoft.com/office/drawing/2010/main"/>
                      </a:ext>
                    </a:extLst>
                  </pic:spPr>
                </pic:pic>
              </a:graphicData>
            </a:graphic>
          </wp:inline>
        </w:drawing>
      </w:r>
    </w:p>
    <w:p w14:paraId="32104441" w14:textId="77777777" w:rsidR="00EB70E0" w:rsidRPr="005F4295" w:rsidRDefault="00EB70E0" w:rsidP="00EB70E0">
      <w:pPr>
        <w:pStyle w:val="ImageSource"/>
        <w:rPr>
          <w:noProof/>
          <w:highlight w:val="lightGray"/>
        </w:rPr>
      </w:pPr>
      <w:r w:rsidRPr="005F4295">
        <w:rPr>
          <w:rStyle w:val="Italic"/>
        </w:rPr>
        <w:t>Source:</w:t>
      </w:r>
      <w:r w:rsidRPr="005F4295">
        <w:t xml:space="preserve"> European Commission annual activity reports.</w:t>
      </w:r>
      <w:r w:rsidRPr="005F4295">
        <w:rPr>
          <w:noProof/>
          <w:highlight w:val="lightGray"/>
        </w:rPr>
        <w:br w:type="page"/>
      </w:r>
    </w:p>
    <w:p w14:paraId="35174E60" w14:textId="2DB34077" w:rsidR="00EB70E0" w:rsidRPr="005F4295" w:rsidRDefault="00EB70E0" w:rsidP="00EB70E0">
      <w:pPr>
        <w:pStyle w:val="TableTitle"/>
        <w:rPr>
          <w:rFonts w:eastAsia="Calibri"/>
          <w:noProof/>
        </w:rPr>
      </w:pPr>
      <w:r w:rsidRPr="005F4295">
        <w:rPr>
          <w:noProof/>
        </w:rPr>
        <w:t>Table</w:t>
      </w:r>
      <w:r w:rsidRPr="005F4295">
        <w:rPr>
          <w:rFonts w:ascii="Calibri" w:hAnsi="Calibri" w:cs="Calibri"/>
          <w:noProof/>
        </w:rPr>
        <w:t> </w:t>
      </w:r>
      <w:r w:rsidRPr="005F4295">
        <w:rPr>
          <w:noProof/>
        </w:rPr>
        <w:t>C</w:t>
      </w:r>
      <w:r w:rsidRPr="005F4295">
        <w:rPr>
          <w:rFonts w:ascii="Calibri" w:hAnsi="Calibri" w:cs="Calibri"/>
          <w:noProof/>
        </w:rPr>
        <w:t> </w:t>
      </w:r>
      <w:r w:rsidRPr="005F4295">
        <w:rPr>
          <w:rFonts w:cs="EC Square Sans Pro"/>
          <w:noProof/>
        </w:rPr>
        <w:t>–</w:t>
      </w:r>
      <w:r w:rsidRPr="005F4295">
        <w:rPr>
          <w:noProof/>
        </w:rPr>
        <w:t xml:space="preserve"> Financial impact of the quantified reservations in </w:t>
      </w:r>
      <w:r w:rsidR="00277F55" w:rsidRPr="005F4295">
        <w:rPr>
          <w:noProof/>
        </w:rPr>
        <w:t xml:space="preserve">2025 </w:t>
      </w:r>
      <w:r w:rsidRPr="005F4295">
        <w:rPr>
          <w:noProof/>
        </w:rPr>
        <w:t>by heading</w:t>
      </w:r>
      <w:r w:rsidRPr="005F4295">
        <w:rPr>
          <w:rFonts w:cs="Calibri"/>
          <w:noProof/>
        </w:rPr>
        <w:t> </w:t>
      </w:r>
      <w:r w:rsidRPr="005F4295">
        <w:rPr>
          <w:noProof/>
        </w:rPr>
        <w:t>(</w:t>
      </w:r>
      <w:r w:rsidRPr="005F4295">
        <w:rPr>
          <w:rStyle w:val="FootnoteReference"/>
        </w:rPr>
        <w:footnoteReference w:id="23"/>
      </w:r>
      <w:r w:rsidRPr="005F4295">
        <w:rPr>
          <w:noProof/>
        </w:rPr>
        <w:t>) (million</w:t>
      </w:r>
      <w:r w:rsidR="0093446E" w:rsidRPr="005F4295">
        <w:rPr>
          <w:rFonts w:ascii="Calibri" w:hAnsi="Calibri" w:cs="Calibri"/>
          <w:noProof/>
        </w:rPr>
        <w:t xml:space="preserve"> </w:t>
      </w:r>
      <w:r w:rsidRPr="005F4295">
        <w:rPr>
          <w:noProof/>
        </w:rPr>
        <w:t>EUR)</w:t>
      </w:r>
    </w:p>
    <w:tbl>
      <w:tblPr>
        <w:tblStyle w:val="BodyTable"/>
        <w:tblpPr w:leftFromText="180" w:rightFromText="180" w:vertAnchor="text" w:tblpXSpec="center" w:tblpY="1"/>
        <w:tblW w:w="5000" w:type="pct"/>
        <w:tblLayout w:type="fixed"/>
        <w:tblLook w:val="06A0" w:firstRow="1" w:lastRow="0" w:firstColumn="1" w:lastColumn="0" w:noHBand="1" w:noVBand="1"/>
      </w:tblPr>
      <w:tblGrid>
        <w:gridCol w:w="3588"/>
        <w:gridCol w:w="1292"/>
        <w:gridCol w:w="1434"/>
        <w:gridCol w:w="1435"/>
        <w:gridCol w:w="1292"/>
      </w:tblGrid>
      <w:tr w:rsidR="00D41C3E" w:rsidRPr="005F4295" w14:paraId="63C230BF" w14:textId="77777777" w:rsidTr="00C8010B">
        <w:trPr>
          <w:cnfStyle w:val="100000000000" w:firstRow="1" w:lastRow="0" w:firstColumn="0" w:lastColumn="0" w:oddVBand="0" w:evenVBand="0" w:oddHBand="0" w:evenHBand="0" w:firstRowFirstColumn="0" w:firstRowLastColumn="0" w:lastRowFirstColumn="0" w:lastRowLastColumn="0"/>
          <w:trHeight w:val="424"/>
          <w:tblHeader/>
        </w:trPr>
        <w:tc>
          <w:tcPr>
            <w:cnfStyle w:val="001000000000" w:firstRow="0" w:lastRow="0" w:firstColumn="1" w:lastColumn="0" w:oddVBand="0" w:evenVBand="0" w:oddHBand="0" w:evenHBand="0" w:firstRowFirstColumn="0" w:firstRowLastColumn="0" w:lastRowFirstColumn="0" w:lastRowLastColumn="0"/>
            <w:tcW w:w="3588" w:type="dxa"/>
            <w:vMerge w:val="restart"/>
            <w:vAlign w:val="center"/>
          </w:tcPr>
          <w:p w14:paraId="5A268DC4" w14:textId="77777777" w:rsidR="00EB70E0" w:rsidRPr="005F4295" w:rsidRDefault="00EB70E0">
            <w:pPr>
              <w:rPr>
                <w:sz w:val="20"/>
                <w:lang w:val="en-GB"/>
              </w:rPr>
            </w:pPr>
            <w:r w:rsidRPr="005F4295">
              <w:rPr>
                <w:lang w:val="en-GB"/>
              </w:rPr>
              <w:t>Policy area</w:t>
            </w:r>
          </w:p>
        </w:tc>
        <w:tc>
          <w:tcPr>
            <w:tcW w:w="1292" w:type="dxa"/>
            <w:vMerge w:val="restart"/>
            <w:vAlign w:val="center"/>
          </w:tcPr>
          <w:p w14:paraId="141990B1" w14:textId="5F937615" w:rsidR="00EB70E0" w:rsidRPr="005F4295" w:rsidRDefault="00EB70E0">
            <w:pPr>
              <w:cnfStyle w:val="100000000000" w:firstRow="1" w:lastRow="0" w:firstColumn="0" w:lastColumn="0" w:oddVBand="0" w:evenVBand="0" w:oddHBand="0" w:evenHBand="0" w:firstRowFirstColumn="0" w:firstRowLastColumn="0" w:lastRowFirstColumn="0" w:lastRowLastColumn="0"/>
              <w:rPr>
                <w:sz w:val="20"/>
                <w:lang w:val="en-GB"/>
              </w:rPr>
            </w:pPr>
            <w:r w:rsidRPr="005F4295">
              <w:rPr>
                <w:lang w:val="en-GB"/>
              </w:rPr>
              <w:t>Payments in 202</w:t>
            </w:r>
            <w:r w:rsidR="00277F55" w:rsidRPr="005F4295">
              <w:rPr>
                <w:lang w:val="en-GB"/>
              </w:rPr>
              <w:t>5</w:t>
            </w:r>
          </w:p>
        </w:tc>
        <w:tc>
          <w:tcPr>
            <w:tcW w:w="1434" w:type="dxa"/>
            <w:vMerge w:val="restart"/>
            <w:vAlign w:val="center"/>
          </w:tcPr>
          <w:p w14:paraId="33D08CC6" w14:textId="3725F0E0" w:rsidR="00EB70E0" w:rsidRPr="005F4295" w:rsidRDefault="00EB70E0">
            <w:pPr>
              <w:cnfStyle w:val="100000000000" w:firstRow="1" w:lastRow="0" w:firstColumn="0" w:lastColumn="0" w:oddVBand="0" w:evenVBand="0" w:oddHBand="0" w:evenHBand="0" w:firstRowFirstColumn="0" w:firstRowLastColumn="0" w:lastRowFirstColumn="0" w:lastRowLastColumn="0"/>
              <w:rPr>
                <w:sz w:val="20"/>
                <w:lang w:val="en-GB"/>
              </w:rPr>
            </w:pPr>
            <w:r w:rsidRPr="005F4295">
              <w:rPr>
                <w:lang w:val="en-GB"/>
              </w:rPr>
              <w:t xml:space="preserve">Relevant expenditure in </w:t>
            </w:r>
            <w:r w:rsidR="00277F55" w:rsidRPr="005F4295">
              <w:rPr>
                <w:lang w:val="en-GB"/>
              </w:rPr>
              <w:t>2025</w:t>
            </w:r>
          </w:p>
        </w:tc>
        <w:tc>
          <w:tcPr>
            <w:tcW w:w="2727" w:type="dxa"/>
            <w:gridSpan w:val="2"/>
            <w:vAlign w:val="center"/>
          </w:tcPr>
          <w:p w14:paraId="62B563CA" w14:textId="77777777" w:rsidR="00EB70E0" w:rsidRPr="005F4295" w:rsidRDefault="00EB70E0">
            <w:pPr>
              <w:cnfStyle w:val="100000000000" w:firstRow="1" w:lastRow="0" w:firstColumn="0" w:lastColumn="0" w:oddVBand="0" w:evenVBand="0" w:oddHBand="0" w:evenHBand="0" w:firstRowFirstColumn="0" w:firstRowLastColumn="0" w:lastRowFirstColumn="0" w:lastRowLastColumn="0"/>
              <w:rPr>
                <w:sz w:val="20"/>
                <w:lang w:val="en-GB"/>
              </w:rPr>
            </w:pPr>
            <w:r w:rsidRPr="005F4295">
              <w:rPr>
                <w:lang w:val="en-GB"/>
              </w:rPr>
              <w:t>Financial impact of the reservations</w:t>
            </w:r>
          </w:p>
        </w:tc>
      </w:tr>
      <w:tr w:rsidR="00EB70E0" w:rsidRPr="005F4295" w14:paraId="46271A5C" w14:textId="77777777" w:rsidTr="00C8010B">
        <w:trPr>
          <w:cnfStyle w:val="100000000000" w:firstRow="1" w:lastRow="0" w:firstColumn="0" w:lastColumn="0" w:oddVBand="0" w:evenVBand="0" w:oddHBand="0" w:evenHBand="0" w:firstRowFirstColumn="0" w:firstRowLastColumn="0" w:lastRowFirstColumn="0" w:lastRowLastColumn="0"/>
          <w:trHeight w:val="366"/>
          <w:tblHeader/>
        </w:trPr>
        <w:tc>
          <w:tcPr>
            <w:cnfStyle w:val="001000000000" w:firstRow="0" w:lastRow="0" w:firstColumn="1" w:lastColumn="0" w:oddVBand="0" w:evenVBand="0" w:oddHBand="0" w:evenHBand="0" w:firstRowFirstColumn="0" w:firstRowLastColumn="0" w:lastRowFirstColumn="0" w:lastRowLastColumn="0"/>
            <w:tcW w:w="3588" w:type="dxa"/>
            <w:vMerge/>
            <w:vAlign w:val="center"/>
          </w:tcPr>
          <w:p w14:paraId="2BD4EC99" w14:textId="77777777" w:rsidR="00EB70E0" w:rsidRPr="005F4295" w:rsidRDefault="00EB70E0">
            <w:pPr>
              <w:rPr>
                <w:sz w:val="20"/>
                <w:lang w:val="en-GB"/>
              </w:rPr>
            </w:pPr>
          </w:p>
        </w:tc>
        <w:tc>
          <w:tcPr>
            <w:tcW w:w="1292" w:type="dxa"/>
            <w:vMerge/>
            <w:vAlign w:val="center"/>
          </w:tcPr>
          <w:p w14:paraId="228581ED" w14:textId="77777777" w:rsidR="00EB70E0" w:rsidRPr="005F4295" w:rsidRDefault="00EB70E0">
            <w:pPr>
              <w:cnfStyle w:val="100000000000" w:firstRow="1" w:lastRow="0" w:firstColumn="0" w:lastColumn="0" w:oddVBand="0" w:evenVBand="0" w:oddHBand="0" w:evenHBand="0" w:firstRowFirstColumn="0" w:firstRowLastColumn="0" w:lastRowFirstColumn="0" w:lastRowLastColumn="0"/>
              <w:rPr>
                <w:sz w:val="20"/>
                <w:lang w:val="en-GB"/>
              </w:rPr>
            </w:pPr>
          </w:p>
        </w:tc>
        <w:tc>
          <w:tcPr>
            <w:tcW w:w="1434" w:type="dxa"/>
            <w:vMerge/>
            <w:vAlign w:val="center"/>
          </w:tcPr>
          <w:p w14:paraId="76D61A7D" w14:textId="77777777" w:rsidR="00EB70E0" w:rsidRPr="005F4295" w:rsidRDefault="00EB70E0">
            <w:pPr>
              <w:cnfStyle w:val="100000000000" w:firstRow="1" w:lastRow="0" w:firstColumn="0" w:lastColumn="0" w:oddVBand="0" w:evenVBand="0" w:oddHBand="0" w:evenHBand="0" w:firstRowFirstColumn="0" w:firstRowLastColumn="0" w:lastRowFirstColumn="0" w:lastRowLastColumn="0"/>
              <w:rPr>
                <w:sz w:val="20"/>
                <w:lang w:val="en-GB"/>
              </w:rPr>
            </w:pPr>
          </w:p>
        </w:tc>
        <w:tc>
          <w:tcPr>
            <w:tcW w:w="1435" w:type="dxa"/>
            <w:vAlign w:val="center"/>
          </w:tcPr>
          <w:p w14:paraId="0EC332DC" w14:textId="459694C5" w:rsidR="00EB70E0" w:rsidRPr="005F4295" w:rsidRDefault="00EB70E0">
            <w:pPr>
              <w:cnfStyle w:val="100000000000" w:firstRow="1" w:lastRow="0" w:firstColumn="0" w:lastColumn="0" w:oddVBand="0" w:evenVBand="0" w:oddHBand="0" w:evenHBand="0" w:firstRowFirstColumn="0" w:firstRowLastColumn="0" w:lastRowFirstColumn="0" w:lastRowLastColumn="0"/>
              <w:rPr>
                <w:color w:val="FFFFFF" w:themeColor="background1"/>
                <w:sz w:val="20"/>
                <w:lang w:val="en-GB"/>
              </w:rPr>
            </w:pPr>
            <w:r w:rsidRPr="005F4295">
              <w:rPr>
                <w:color w:val="FFFFFF" w:themeColor="background1"/>
                <w:lang w:val="en-GB"/>
              </w:rPr>
              <w:t xml:space="preserve">in </w:t>
            </w:r>
            <w:r w:rsidR="00277F55" w:rsidRPr="005F4295">
              <w:rPr>
                <w:color w:val="FFFFFF" w:themeColor="background1"/>
                <w:lang w:val="en-GB"/>
              </w:rPr>
              <w:t>2025</w:t>
            </w:r>
          </w:p>
        </w:tc>
        <w:tc>
          <w:tcPr>
            <w:tcW w:w="1292" w:type="dxa"/>
            <w:vAlign w:val="center"/>
          </w:tcPr>
          <w:p w14:paraId="7182E8BA" w14:textId="3CD629C6" w:rsidR="00EB70E0" w:rsidRPr="005F4295" w:rsidRDefault="00EB70E0">
            <w:pPr>
              <w:cnfStyle w:val="100000000000" w:firstRow="1" w:lastRow="0" w:firstColumn="0" w:lastColumn="0" w:oddVBand="0" w:evenVBand="0" w:oddHBand="0" w:evenHBand="0" w:firstRowFirstColumn="0" w:firstRowLastColumn="0" w:lastRowFirstColumn="0" w:lastRowLastColumn="0"/>
              <w:rPr>
                <w:color w:val="FFFFFF" w:themeColor="background1"/>
                <w:sz w:val="20"/>
                <w:lang w:val="en-GB"/>
              </w:rPr>
            </w:pPr>
            <w:r w:rsidRPr="005F4295">
              <w:rPr>
                <w:color w:val="FFFFFF" w:themeColor="background1"/>
                <w:lang w:val="en-GB"/>
              </w:rPr>
              <w:t xml:space="preserve">in </w:t>
            </w:r>
            <w:r w:rsidR="00277F55" w:rsidRPr="005F4295">
              <w:rPr>
                <w:color w:val="FFFFFF" w:themeColor="background1"/>
                <w:lang w:val="en-GB"/>
              </w:rPr>
              <w:t>2024</w:t>
            </w:r>
          </w:p>
        </w:tc>
      </w:tr>
      <w:tr w:rsidR="00EB70E0" w:rsidRPr="005F4295" w14:paraId="38526F02" w14:textId="77777777" w:rsidTr="00C8010B">
        <w:trPr>
          <w:trHeight w:val="339"/>
        </w:trPr>
        <w:tc>
          <w:tcPr>
            <w:cnfStyle w:val="001000000000" w:firstRow="0" w:lastRow="0" w:firstColumn="1" w:lastColumn="0" w:oddVBand="0" w:evenVBand="0" w:oddHBand="0" w:evenHBand="0" w:firstRowFirstColumn="0" w:firstRowLastColumn="0" w:lastRowFirstColumn="0" w:lastRowLastColumn="0"/>
            <w:tcW w:w="3588" w:type="dxa"/>
          </w:tcPr>
          <w:p w14:paraId="652B1FC0" w14:textId="50BCE062" w:rsidR="00EB70E0" w:rsidRPr="005F4295" w:rsidRDefault="00EB70E0">
            <w:pPr>
              <w:rPr>
                <w:sz w:val="20"/>
                <w:lang w:val="en-GB"/>
              </w:rPr>
            </w:pPr>
            <w:r w:rsidRPr="005F4295">
              <w:rPr>
                <w:lang w:val="en-GB"/>
              </w:rPr>
              <w:t>Single market</w:t>
            </w:r>
            <w:r w:rsidR="009949B2" w:rsidRPr="005F4295">
              <w:rPr>
                <w:lang w:val="en-GB"/>
              </w:rPr>
              <w:t>,</w:t>
            </w:r>
            <w:r w:rsidRPr="005F4295">
              <w:rPr>
                <w:lang w:val="en-GB"/>
              </w:rPr>
              <w:t xml:space="preserve"> innovation and digital</w:t>
            </w:r>
          </w:p>
        </w:tc>
        <w:tc>
          <w:tcPr>
            <w:tcW w:w="1292" w:type="dxa"/>
          </w:tcPr>
          <w:p w14:paraId="426DEAE8" w14:textId="2145142B"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26</w:t>
            </w:r>
            <w:r w:rsidRPr="005F4295">
              <w:rPr>
                <w:rFonts w:ascii="Calibri" w:hAnsi="Calibri" w:cs="Calibri"/>
                <w:lang w:val="en-GB"/>
              </w:rPr>
              <w:t> </w:t>
            </w:r>
            <w:r w:rsidRPr="005F4295">
              <w:rPr>
                <w:rFonts w:asciiTheme="minorHAnsi" w:hAnsiTheme="minorHAnsi" w:cs="Calibri"/>
                <w:szCs w:val="18"/>
                <w:lang w:val="en-GB"/>
              </w:rPr>
              <w:t>769</w:t>
            </w:r>
            <w:r w:rsidR="00244417" w:rsidRPr="005F4295">
              <w:rPr>
                <w:rFonts w:asciiTheme="minorHAnsi" w:hAnsiTheme="minorHAnsi" w:cs="Calibri"/>
                <w:szCs w:val="18"/>
                <w:lang w:val="en-GB"/>
              </w:rPr>
              <w:t>.</w:t>
            </w:r>
            <w:r w:rsidRPr="005F4295">
              <w:rPr>
                <w:rFonts w:asciiTheme="minorHAnsi" w:hAnsiTheme="minorHAnsi" w:cs="Calibri"/>
                <w:szCs w:val="18"/>
                <w:lang w:val="en-GB"/>
              </w:rPr>
              <w:t>8</w:t>
            </w:r>
          </w:p>
        </w:tc>
        <w:tc>
          <w:tcPr>
            <w:tcW w:w="1434" w:type="dxa"/>
          </w:tcPr>
          <w:p w14:paraId="0DD99E2D" w14:textId="564C95AE"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25</w:t>
            </w:r>
            <w:r w:rsidRPr="005F4295">
              <w:rPr>
                <w:rFonts w:ascii="Calibri" w:hAnsi="Calibri" w:cs="Calibri"/>
                <w:szCs w:val="18"/>
                <w:lang w:val="en-GB"/>
              </w:rPr>
              <w:t> </w:t>
            </w:r>
            <w:r w:rsidRPr="005F4295">
              <w:rPr>
                <w:rFonts w:asciiTheme="minorHAnsi" w:hAnsiTheme="minorHAnsi" w:cs="Calibri"/>
                <w:szCs w:val="18"/>
                <w:lang w:val="en-GB"/>
              </w:rPr>
              <w:t>008</w:t>
            </w:r>
            <w:r w:rsidR="00244417" w:rsidRPr="005F4295">
              <w:rPr>
                <w:rFonts w:asciiTheme="minorHAnsi" w:hAnsiTheme="minorHAnsi" w:cs="Calibri"/>
                <w:szCs w:val="18"/>
                <w:lang w:val="en-GB"/>
              </w:rPr>
              <w:t>.</w:t>
            </w:r>
            <w:r w:rsidRPr="005F4295">
              <w:rPr>
                <w:rFonts w:asciiTheme="minorHAnsi" w:hAnsiTheme="minorHAnsi" w:cs="Calibri"/>
                <w:szCs w:val="18"/>
                <w:lang w:val="en-GB"/>
              </w:rPr>
              <w:t>9</w:t>
            </w:r>
          </w:p>
        </w:tc>
        <w:tc>
          <w:tcPr>
            <w:tcW w:w="1435" w:type="dxa"/>
          </w:tcPr>
          <w:p w14:paraId="7095DA4B" w14:textId="05ADE59E" w:rsidR="00EB70E0" w:rsidRPr="005F4295" w:rsidRDefault="00946F3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261.5</w:t>
            </w:r>
          </w:p>
        </w:tc>
        <w:tc>
          <w:tcPr>
            <w:tcW w:w="1292" w:type="dxa"/>
          </w:tcPr>
          <w:p w14:paraId="3FE4670F" w14:textId="7F0D7375" w:rsidR="00EB70E0" w:rsidRPr="005F4295" w:rsidRDefault="00277F5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1.3</w:t>
            </w:r>
          </w:p>
        </w:tc>
      </w:tr>
      <w:tr w:rsidR="00EB70E0" w:rsidRPr="005F4295" w14:paraId="5ECAE79B" w14:textId="77777777" w:rsidTr="00C8010B">
        <w:trPr>
          <w:trHeight w:val="340"/>
        </w:trPr>
        <w:tc>
          <w:tcPr>
            <w:cnfStyle w:val="001000000000" w:firstRow="0" w:lastRow="0" w:firstColumn="1" w:lastColumn="0" w:oddVBand="0" w:evenVBand="0" w:oddHBand="0" w:evenHBand="0" w:firstRowFirstColumn="0" w:firstRowLastColumn="0" w:lastRowFirstColumn="0" w:lastRowLastColumn="0"/>
            <w:tcW w:w="3588" w:type="dxa"/>
          </w:tcPr>
          <w:p w14:paraId="4D798148" w14:textId="78F8F08E" w:rsidR="00EB70E0" w:rsidRPr="005F4295" w:rsidRDefault="00EB70E0">
            <w:pPr>
              <w:rPr>
                <w:sz w:val="20"/>
                <w:lang w:val="en-GB"/>
              </w:rPr>
            </w:pPr>
            <w:r w:rsidRPr="005F4295">
              <w:rPr>
                <w:lang w:val="en-GB"/>
              </w:rPr>
              <w:t>Cohesion</w:t>
            </w:r>
            <w:r w:rsidR="009949B2" w:rsidRPr="005F4295">
              <w:rPr>
                <w:lang w:val="en-GB"/>
              </w:rPr>
              <w:t>,</w:t>
            </w:r>
            <w:r w:rsidRPr="005F4295">
              <w:rPr>
                <w:lang w:val="en-GB"/>
              </w:rPr>
              <w:t xml:space="preserve"> resilience and values</w:t>
            </w:r>
          </w:p>
        </w:tc>
        <w:tc>
          <w:tcPr>
            <w:tcW w:w="1292" w:type="dxa"/>
          </w:tcPr>
          <w:p w14:paraId="49619407" w14:textId="730CB5E7"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53</w:t>
            </w:r>
            <w:r w:rsidRPr="005F4295">
              <w:rPr>
                <w:rFonts w:ascii="Calibri" w:hAnsi="Calibri" w:cs="Calibri"/>
                <w:szCs w:val="18"/>
                <w:lang w:val="en-GB"/>
              </w:rPr>
              <w:t> </w:t>
            </w:r>
            <w:r w:rsidRPr="005F4295">
              <w:rPr>
                <w:rFonts w:asciiTheme="minorHAnsi" w:hAnsiTheme="minorHAnsi" w:cs="Calibri"/>
                <w:szCs w:val="18"/>
                <w:lang w:val="en-GB"/>
              </w:rPr>
              <w:t>314</w:t>
            </w:r>
            <w:r w:rsidR="00244417" w:rsidRPr="005F4295">
              <w:rPr>
                <w:rFonts w:asciiTheme="minorHAnsi" w:hAnsiTheme="minorHAnsi" w:cs="Calibri"/>
                <w:szCs w:val="18"/>
                <w:lang w:val="en-GB"/>
              </w:rPr>
              <w:t>.</w:t>
            </w:r>
            <w:r w:rsidR="00952FE3" w:rsidRPr="005F4295">
              <w:rPr>
                <w:rFonts w:asciiTheme="minorHAnsi" w:hAnsiTheme="minorHAnsi" w:cs="Calibri"/>
                <w:szCs w:val="18"/>
                <w:lang w:val="en-GB"/>
              </w:rPr>
              <w:t>4</w:t>
            </w:r>
          </w:p>
        </w:tc>
        <w:tc>
          <w:tcPr>
            <w:tcW w:w="1434" w:type="dxa"/>
          </w:tcPr>
          <w:p w14:paraId="3F78A776" w14:textId="7AFA0E59"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54</w:t>
            </w:r>
            <w:r w:rsidRPr="005F4295">
              <w:rPr>
                <w:rFonts w:ascii="Calibri" w:hAnsi="Calibri" w:cs="Calibri"/>
                <w:szCs w:val="18"/>
                <w:lang w:val="en-GB"/>
              </w:rPr>
              <w:t> </w:t>
            </w:r>
            <w:r w:rsidRPr="005F4295">
              <w:rPr>
                <w:rFonts w:asciiTheme="minorHAnsi" w:hAnsiTheme="minorHAnsi" w:cs="Calibri"/>
                <w:szCs w:val="18"/>
                <w:lang w:val="en-GB"/>
              </w:rPr>
              <w:t>007</w:t>
            </w:r>
            <w:r w:rsidR="00244417" w:rsidRPr="005F4295">
              <w:rPr>
                <w:rFonts w:asciiTheme="minorHAnsi" w:hAnsiTheme="minorHAnsi" w:cs="Calibri"/>
                <w:szCs w:val="18"/>
                <w:lang w:val="en-GB"/>
              </w:rPr>
              <w:t>.</w:t>
            </w:r>
            <w:r w:rsidRPr="005F4295">
              <w:rPr>
                <w:rFonts w:asciiTheme="minorHAnsi" w:hAnsiTheme="minorHAnsi" w:cs="Calibri"/>
                <w:szCs w:val="18"/>
                <w:lang w:val="en-GB"/>
              </w:rPr>
              <w:t>9</w:t>
            </w:r>
          </w:p>
        </w:tc>
        <w:tc>
          <w:tcPr>
            <w:tcW w:w="1435" w:type="dxa"/>
          </w:tcPr>
          <w:p w14:paraId="12BD2852" w14:textId="62CBC305" w:rsidR="00EB70E0" w:rsidRPr="005F4295" w:rsidRDefault="00142113">
            <w:pPr>
              <w:tabs>
                <w:tab w:val="center" w:pos="609"/>
                <w:tab w:val="right" w:pos="1219"/>
              </w:tabs>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304.3</w:t>
            </w:r>
          </w:p>
        </w:tc>
        <w:tc>
          <w:tcPr>
            <w:tcW w:w="1292" w:type="dxa"/>
          </w:tcPr>
          <w:p w14:paraId="7DC08C14" w14:textId="42134A3D" w:rsidR="00EB70E0" w:rsidRPr="005F4295" w:rsidRDefault="00263B1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72.7</w:t>
            </w:r>
          </w:p>
        </w:tc>
      </w:tr>
      <w:tr w:rsidR="00EB70E0" w:rsidRPr="005F4295" w14:paraId="10D3D2E5" w14:textId="77777777" w:rsidTr="00C8010B">
        <w:trPr>
          <w:trHeight w:val="339"/>
        </w:trPr>
        <w:tc>
          <w:tcPr>
            <w:cnfStyle w:val="001000000000" w:firstRow="0" w:lastRow="0" w:firstColumn="1" w:lastColumn="0" w:oddVBand="0" w:evenVBand="0" w:oddHBand="0" w:evenHBand="0" w:firstRowFirstColumn="0" w:firstRowLastColumn="0" w:lastRowFirstColumn="0" w:lastRowLastColumn="0"/>
            <w:tcW w:w="3588" w:type="dxa"/>
          </w:tcPr>
          <w:p w14:paraId="29240764" w14:textId="77777777" w:rsidR="00EB70E0" w:rsidRPr="005F4295" w:rsidRDefault="00EB70E0">
            <w:pPr>
              <w:rPr>
                <w:sz w:val="20"/>
                <w:lang w:val="en-GB"/>
              </w:rPr>
            </w:pPr>
            <w:r w:rsidRPr="005F4295">
              <w:rPr>
                <w:lang w:val="en-GB"/>
              </w:rPr>
              <w:t>Natural resources and environment</w:t>
            </w:r>
            <w:r w:rsidRPr="005F4295">
              <w:rPr>
                <w:rFonts w:ascii="Calibri" w:hAnsi="Calibri" w:cs="Calibri"/>
                <w:b w:val="0"/>
                <w:lang w:val="en-GB"/>
              </w:rPr>
              <w:t> </w:t>
            </w:r>
            <w:r w:rsidRPr="005F4295">
              <w:rPr>
                <w:noProof/>
                <w:lang w:val="en-GB"/>
              </w:rPr>
              <w:t>(*)</w:t>
            </w:r>
          </w:p>
        </w:tc>
        <w:tc>
          <w:tcPr>
            <w:tcW w:w="1292" w:type="dxa"/>
          </w:tcPr>
          <w:p w14:paraId="663C5840" w14:textId="79C28E45"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57</w:t>
            </w:r>
            <w:r w:rsidRPr="005F4295">
              <w:rPr>
                <w:rFonts w:ascii="Calibri" w:hAnsi="Calibri" w:cs="Calibri"/>
                <w:szCs w:val="18"/>
                <w:lang w:val="en-GB"/>
              </w:rPr>
              <w:t> </w:t>
            </w:r>
            <w:r w:rsidRPr="005F4295">
              <w:rPr>
                <w:rFonts w:asciiTheme="minorHAnsi" w:hAnsiTheme="minorHAnsi" w:cs="Calibri"/>
                <w:szCs w:val="18"/>
                <w:lang w:val="en-GB"/>
              </w:rPr>
              <w:t>752</w:t>
            </w:r>
            <w:r w:rsidR="00244417" w:rsidRPr="005F4295">
              <w:rPr>
                <w:rFonts w:asciiTheme="minorHAnsi" w:hAnsiTheme="minorHAnsi" w:cs="Calibri"/>
                <w:szCs w:val="18"/>
                <w:lang w:val="en-GB"/>
              </w:rPr>
              <w:t>.</w:t>
            </w:r>
            <w:r w:rsidRPr="005F4295">
              <w:rPr>
                <w:rFonts w:asciiTheme="minorHAnsi" w:hAnsiTheme="minorHAnsi" w:cs="Calibri"/>
                <w:szCs w:val="18"/>
                <w:lang w:val="en-GB"/>
              </w:rPr>
              <w:t>8</w:t>
            </w:r>
          </w:p>
        </w:tc>
        <w:tc>
          <w:tcPr>
            <w:tcW w:w="1434" w:type="dxa"/>
          </w:tcPr>
          <w:p w14:paraId="34126FAF" w14:textId="18F657AD"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57</w:t>
            </w:r>
            <w:r w:rsidRPr="005F4295">
              <w:rPr>
                <w:rFonts w:ascii="Calibri" w:hAnsi="Calibri" w:cs="Calibri"/>
                <w:szCs w:val="18"/>
                <w:lang w:val="en-GB"/>
              </w:rPr>
              <w:t> </w:t>
            </w:r>
            <w:r w:rsidRPr="005F4295">
              <w:rPr>
                <w:rFonts w:asciiTheme="minorHAnsi" w:hAnsiTheme="minorHAnsi" w:cs="Calibri"/>
                <w:szCs w:val="18"/>
                <w:lang w:val="en-GB"/>
              </w:rPr>
              <w:t>982</w:t>
            </w:r>
            <w:r w:rsidR="00244417" w:rsidRPr="005F4295">
              <w:rPr>
                <w:rFonts w:asciiTheme="minorHAnsi" w:hAnsiTheme="minorHAnsi" w:cs="Calibri"/>
                <w:szCs w:val="18"/>
                <w:lang w:val="en-GB"/>
              </w:rPr>
              <w:t>.</w:t>
            </w:r>
            <w:r w:rsidRPr="005F4295">
              <w:rPr>
                <w:rFonts w:asciiTheme="minorHAnsi" w:hAnsiTheme="minorHAnsi" w:cs="Calibri"/>
                <w:szCs w:val="18"/>
                <w:lang w:val="en-GB"/>
              </w:rPr>
              <w:t>9</w:t>
            </w:r>
          </w:p>
        </w:tc>
        <w:tc>
          <w:tcPr>
            <w:tcW w:w="1435" w:type="dxa"/>
          </w:tcPr>
          <w:p w14:paraId="42535DA6" w14:textId="7A21D73A" w:rsidR="00EB70E0" w:rsidRPr="005F4295" w:rsidRDefault="0014211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300.7</w:t>
            </w:r>
          </w:p>
        </w:tc>
        <w:tc>
          <w:tcPr>
            <w:tcW w:w="1292" w:type="dxa"/>
          </w:tcPr>
          <w:p w14:paraId="133C7150" w14:textId="7913CE03" w:rsidR="00EB70E0" w:rsidRPr="005F4295" w:rsidRDefault="00263B1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253.6</w:t>
            </w:r>
          </w:p>
        </w:tc>
      </w:tr>
      <w:tr w:rsidR="00EB70E0" w:rsidRPr="005F4295" w14:paraId="514C96BE" w14:textId="77777777" w:rsidTr="00C8010B">
        <w:trPr>
          <w:trHeight w:val="331"/>
        </w:trPr>
        <w:tc>
          <w:tcPr>
            <w:cnfStyle w:val="001000000000" w:firstRow="0" w:lastRow="0" w:firstColumn="1" w:lastColumn="0" w:oddVBand="0" w:evenVBand="0" w:oddHBand="0" w:evenHBand="0" w:firstRowFirstColumn="0" w:firstRowLastColumn="0" w:lastRowFirstColumn="0" w:lastRowLastColumn="0"/>
            <w:tcW w:w="3588" w:type="dxa"/>
          </w:tcPr>
          <w:p w14:paraId="294E63F3" w14:textId="77777777" w:rsidR="00EB70E0" w:rsidRPr="005F4295" w:rsidRDefault="00EB70E0">
            <w:pPr>
              <w:rPr>
                <w:sz w:val="20"/>
                <w:lang w:val="en-GB"/>
              </w:rPr>
            </w:pPr>
            <w:r w:rsidRPr="005F4295">
              <w:rPr>
                <w:lang w:val="en-GB"/>
              </w:rPr>
              <w:t>Migration and border management</w:t>
            </w:r>
          </w:p>
        </w:tc>
        <w:tc>
          <w:tcPr>
            <w:tcW w:w="1292" w:type="dxa"/>
          </w:tcPr>
          <w:p w14:paraId="3F5D2311" w14:textId="13C059C0"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4</w:t>
            </w:r>
            <w:r w:rsidRPr="005F4295">
              <w:rPr>
                <w:rFonts w:ascii="Calibri" w:hAnsi="Calibri" w:cs="Calibri"/>
                <w:szCs w:val="18"/>
                <w:lang w:val="en-GB"/>
              </w:rPr>
              <w:t> </w:t>
            </w:r>
            <w:r w:rsidRPr="005F4295">
              <w:rPr>
                <w:rFonts w:asciiTheme="minorHAnsi" w:hAnsiTheme="minorHAnsi" w:cs="Calibri"/>
                <w:szCs w:val="18"/>
                <w:lang w:val="en-GB"/>
              </w:rPr>
              <w:t>371</w:t>
            </w:r>
            <w:r w:rsidR="00244417" w:rsidRPr="005F4295">
              <w:rPr>
                <w:rFonts w:asciiTheme="minorHAnsi" w:hAnsiTheme="minorHAnsi" w:cs="Calibri"/>
                <w:szCs w:val="18"/>
                <w:lang w:val="en-GB"/>
              </w:rPr>
              <w:t>.</w:t>
            </w:r>
            <w:r w:rsidRPr="005F4295">
              <w:rPr>
                <w:rFonts w:asciiTheme="minorHAnsi" w:hAnsiTheme="minorHAnsi" w:cs="Calibri"/>
                <w:szCs w:val="18"/>
                <w:lang w:val="en-GB"/>
              </w:rPr>
              <w:t>3</w:t>
            </w:r>
          </w:p>
        </w:tc>
        <w:tc>
          <w:tcPr>
            <w:tcW w:w="1434" w:type="dxa"/>
          </w:tcPr>
          <w:p w14:paraId="73170915" w14:textId="2D382812"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3</w:t>
            </w:r>
            <w:r w:rsidRPr="005F4295">
              <w:rPr>
                <w:rFonts w:ascii="Calibri" w:hAnsi="Calibri" w:cs="Calibri"/>
                <w:szCs w:val="18"/>
                <w:lang w:val="en-GB"/>
              </w:rPr>
              <w:t> </w:t>
            </w:r>
            <w:r w:rsidRPr="005F4295">
              <w:rPr>
                <w:rFonts w:asciiTheme="minorHAnsi" w:hAnsiTheme="minorHAnsi" w:cs="Calibri"/>
                <w:szCs w:val="18"/>
                <w:lang w:val="en-GB"/>
              </w:rPr>
              <w:t>7</w:t>
            </w:r>
            <w:r w:rsidR="00B36C6C" w:rsidRPr="005F4295">
              <w:rPr>
                <w:rFonts w:asciiTheme="minorHAnsi" w:hAnsiTheme="minorHAnsi" w:cs="Calibri"/>
                <w:szCs w:val="18"/>
                <w:lang w:val="en-GB"/>
              </w:rPr>
              <w:t>82</w:t>
            </w:r>
            <w:r w:rsidR="00244417" w:rsidRPr="005F4295">
              <w:rPr>
                <w:rFonts w:asciiTheme="minorHAnsi" w:hAnsiTheme="minorHAnsi" w:cs="Calibri"/>
                <w:szCs w:val="18"/>
                <w:lang w:val="en-GB"/>
              </w:rPr>
              <w:t>.</w:t>
            </w:r>
            <w:r w:rsidR="001609EA" w:rsidRPr="005F4295">
              <w:rPr>
                <w:rFonts w:asciiTheme="minorHAnsi" w:hAnsiTheme="minorHAnsi" w:cs="Calibri"/>
                <w:szCs w:val="18"/>
                <w:lang w:val="en-GB"/>
              </w:rPr>
              <w:t>0</w:t>
            </w:r>
          </w:p>
        </w:tc>
        <w:tc>
          <w:tcPr>
            <w:tcW w:w="1435" w:type="dxa"/>
          </w:tcPr>
          <w:p w14:paraId="55C45686" w14:textId="37B7123A" w:rsidR="00EB70E0" w:rsidRPr="005F4295" w:rsidRDefault="0014211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0</w:t>
            </w:r>
          </w:p>
        </w:tc>
        <w:tc>
          <w:tcPr>
            <w:tcW w:w="1292" w:type="dxa"/>
          </w:tcPr>
          <w:p w14:paraId="68384219" w14:textId="07D350B7" w:rsidR="00EB70E0" w:rsidRPr="005F4295" w:rsidRDefault="00263B1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3.4</w:t>
            </w:r>
          </w:p>
        </w:tc>
      </w:tr>
      <w:tr w:rsidR="00EB70E0" w:rsidRPr="005F4295" w14:paraId="7BDC659A" w14:textId="77777777" w:rsidTr="00C8010B">
        <w:trPr>
          <w:trHeight w:val="349"/>
        </w:trPr>
        <w:tc>
          <w:tcPr>
            <w:cnfStyle w:val="001000000000" w:firstRow="0" w:lastRow="0" w:firstColumn="1" w:lastColumn="0" w:oddVBand="0" w:evenVBand="0" w:oddHBand="0" w:evenHBand="0" w:firstRowFirstColumn="0" w:firstRowLastColumn="0" w:lastRowFirstColumn="0" w:lastRowLastColumn="0"/>
            <w:tcW w:w="3588" w:type="dxa"/>
          </w:tcPr>
          <w:p w14:paraId="023FD2D1" w14:textId="77777777" w:rsidR="00EB70E0" w:rsidRPr="005F4295" w:rsidRDefault="00EB70E0">
            <w:pPr>
              <w:rPr>
                <w:sz w:val="20"/>
                <w:lang w:val="en-GB"/>
              </w:rPr>
            </w:pPr>
            <w:r w:rsidRPr="005F4295">
              <w:rPr>
                <w:lang w:val="en-GB"/>
              </w:rPr>
              <w:t>Security and defence</w:t>
            </w:r>
          </w:p>
        </w:tc>
        <w:tc>
          <w:tcPr>
            <w:tcW w:w="1292" w:type="dxa"/>
          </w:tcPr>
          <w:p w14:paraId="65873C98" w14:textId="2F73CC4D"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1</w:t>
            </w:r>
            <w:r w:rsidRPr="005F4295">
              <w:rPr>
                <w:rFonts w:ascii="Calibri" w:hAnsi="Calibri" w:cs="Calibri"/>
                <w:szCs w:val="18"/>
                <w:lang w:val="en-GB"/>
              </w:rPr>
              <w:t> </w:t>
            </w:r>
            <w:r w:rsidRPr="005F4295">
              <w:rPr>
                <w:rFonts w:asciiTheme="minorHAnsi" w:hAnsiTheme="minorHAnsi" w:cs="Calibri"/>
                <w:szCs w:val="18"/>
                <w:lang w:val="en-GB"/>
              </w:rPr>
              <w:t>003</w:t>
            </w:r>
            <w:r w:rsidR="00244417" w:rsidRPr="005F4295">
              <w:rPr>
                <w:rFonts w:asciiTheme="minorHAnsi" w:hAnsiTheme="minorHAnsi" w:cs="Calibri"/>
                <w:szCs w:val="18"/>
                <w:lang w:val="en-GB"/>
              </w:rPr>
              <w:t>.</w:t>
            </w:r>
            <w:r w:rsidRPr="005F4295">
              <w:rPr>
                <w:rFonts w:asciiTheme="minorHAnsi" w:hAnsiTheme="minorHAnsi" w:cs="Calibri"/>
                <w:szCs w:val="18"/>
                <w:lang w:val="en-GB"/>
              </w:rPr>
              <w:t>8</w:t>
            </w:r>
          </w:p>
        </w:tc>
        <w:tc>
          <w:tcPr>
            <w:tcW w:w="1434" w:type="dxa"/>
          </w:tcPr>
          <w:p w14:paraId="102C748E" w14:textId="04300C86" w:rsidR="00EB70E0" w:rsidRPr="005F4295" w:rsidRDefault="001609E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615</w:t>
            </w:r>
            <w:r w:rsidR="00244417" w:rsidRPr="005F4295">
              <w:rPr>
                <w:rFonts w:asciiTheme="minorHAnsi" w:hAnsiTheme="minorHAnsi"/>
                <w:szCs w:val="18"/>
                <w:lang w:val="en-GB"/>
              </w:rPr>
              <w:t>.</w:t>
            </w:r>
            <w:r w:rsidRPr="005F4295">
              <w:rPr>
                <w:rFonts w:asciiTheme="minorHAnsi" w:hAnsiTheme="minorHAnsi"/>
                <w:szCs w:val="18"/>
                <w:lang w:val="en-GB"/>
              </w:rPr>
              <w:t>6</w:t>
            </w:r>
          </w:p>
        </w:tc>
        <w:tc>
          <w:tcPr>
            <w:tcW w:w="1435" w:type="dxa"/>
          </w:tcPr>
          <w:p w14:paraId="14803432" w14:textId="7F7B429F" w:rsidR="00EB70E0" w:rsidRPr="005F4295" w:rsidRDefault="0014211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0</w:t>
            </w:r>
          </w:p>
        </w:tc>
        <w:tc>
          <w:tcPr>
            <w:tcW w:w="1292" w:type="dxa"/>
          </w:tcPr>
          <w:p w14:paraId="155F1604" w14:textId="77777777" w:rsidR="00EB70E0" w:rsidRPr="005F4295" w:rsidRDefault="00EB70E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0</w:t>
            </w:r>
          </w:p>
        </w:tc>
      </w:tr>
      <w:tr w:rsidR="00EB70E0" w:rsidRPr="005F4295" w14:paraId="0CFA9F37" w14:textId="77777777" w:rsidTr="00C8010B">
        <w:trPr>
          <w:trHeight w:val="339"/>
        </w:trPr>
        <w:tc>
          <w:tcPr>
            <w:cnfStyle w:val="001000000000" w:firstRow="0" w:lastRow="0" w:firstColumn="1" w:lastColumn="0" w:oddVBand="0" w:evenVBand="0" w:oddHBand="0" w:evenHBand="0" w:firstRowFirstColumn="0" w:firstRowLastColumn="0" w:lastRowFirstColumn="0" w:lastRowLastColumn="0"/>
            <w:tcW w:w="3588" w:type="dxa"/>
          </w:tcPr>
          <w:p w14:paraId="5132B018" w14:textId="77777777" w:rsidR="00EB70E0" w:rsidRPr="005F4295" w:rsidRDefault="00EB70E0">
            <w:pPr>
              <w:rPr>
                <w:sz w:val="20"/>
                <w:lang w:val="en-GB"/>
              </w:rPr>
            </w:pPr>
            <w:r w:rsidRPr="005F4295">
              <w:rPr>
                <w:lang w:val="en-GB"/>
              </w:rPr>
              <w:t>Neighbourhood and the world</w:t>
            </w:r>
          </w:p>
        </w:tc>
        <w:tc>
          <w:tcPr>
            <w:tcW w:w="1292" w:type="dxa"/>
          </w:tcPr>
          <w:p w14:paraId="209A58F8" w14:textId="45C8D1A4"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19</w:t>
            </w:r>
            <w:r w:rsidRPr="005F4295">
              <w:rPr>
                <w:rFonts w:ascii="Calibri" w:hAnsi="Calibri" w:cs="Calibri"/>
                <w:szCs w:val="18"/>
                <w:lang w:val="en-GB"/>
              </w:rPr>
              <w:t> </w:t>
            </w:r>
            <w:r w:rsidRPr="005F4295">
              <w:rPr>
                <w:rFonts w:asciiTheme="minorHAnsi" w:hAnsiTheme="minorHAnsi" w:cs="Calibri"/>
                <w:szCs w:val="18"/>
                <w:lang w:val="en-GB"/>
              </w:rPr>
              <w:t>7</w:t>
            </w:r>
            <w:r w:rsidR="00C96FA9" w:rsidRPr="005F4295">
              <w:rPr>
                <w:rFonts w:asciiTheme="minorHAnsi" w:hAnsiTheme="minorHAnsi" w:cs="Calibri"/>
                <w:szCs w:val="18"/>
                <w:lang w:val="en-GB"/>
              </w:rPr>
              <w:t>35.7</w:t>
            </w:r>
          </w:p>
        </w:tc>
        <w:tc>
          <w:tcPr>
            <w:tcW w:w="1434" w:type="dxa"/>
          </w:tcPr>
          <w:p w14:paraId="5C53EA2C" w14:textId="1C192667" w:rsidR="00EB70E0" w:rsidRPr="005F4295" w:rsidRDefault="001609E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16</w:t>
            </w:r>
            <w:r w:rsidRPr="005F4295">
              <w:rPr>
                <w:rFonts w:ascii="Calibri" w:hAnsi="Calibri" w:cs="Calibri"/>
                <w:szCs w:val="18"/>
                <w:lang w:val="en-GB"/>
              </w:rPr>
              <w:t> </w:t>
            </w:r>
            <w:r w:rsidRPr="005F4295">
              <w:rPr>
                <w:rFonts w:asciiTheme="minorHAnsi" w:hAnsiTheme="minorHAnsi" w:cs="Calibri"/>
                <w:szCs w:val="18"/>
                <w:lang w:val="en-GB"/>
              </w:rPr>
              <w:t>40</w:t>
            </w:r>
            <w:r w:rsidR="00F52A71" w:rsidRPr="005F4295">
              <w:rPr>
                <w:rFonts w:asciiTheme="minorHAnsi" w:hAnsiTheme="minorHAnsi" w:cs="Calibri"/>
                <w:szCs w:val="18"/>
                <w:lang w:val="en-GB"/>
              </w:rPr>
              <w:t>1.1</w:t>
            </w:r>
          </w:p>
        </w:tc>
        <w:tc>
          <w:tcPr>
            <w:tcW w:w="1435" w:type="dxa"/>
          </w:tcPr>
          <w:p w14:paraId="1A4B9026" w14:textId="7F7A32D9" w:rsidR="00EB70E0" w:rsidRPr="005F4295" w:rsidRDefault="0014211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0</w:t>
            </w:r>
          </w:p>
        </w:tc>
        <w:tc>
          <w:tcPr>
            <w:tcW w:w="1292" w:type="dxa"/>
          </w:tcPr>
          <w:p w14:paraId="5FE5C670" w14:textId="77777777" w:rsidR="00EB70E0" w:rsidRPr="005F4295" w:rsidRDefault="00EB70E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0</w:t>
            </w:r>
          </w:p>
        </w:tc>
      </w:tr>
      <w:tr w:rsidR="00EB70E0" w:rsidRPr="005F4295" w14:paraId="6BBEF3B3" w14:textId="77777777" w:rsidTr="00C8010B">
        <w:trPr>
          <w:trHeight w:val="339"/>
        </w:trPr>
        <w:tc>
          <w:tcPr>
            <w:cnfStyle w:val="001000000000" w:firstRow="0" w:lastRow="0" w:firstColumn="1" w:lastColumn="0" w:oddVBand="0" w:evenVBand="0" w:oddHBand="0" w:evenHBand="0" w:firstRowFirstColumn="0" w:firstRowLastColumn="0" w:lastRowFirstColumn="0" w:lastRowLastColumn="0"/>
            <w:tcW w:w="3588" w:type="dxa"/>
          </w:tcPr>
          <w:p w14:paraId="05BAC35F" w14:textId="77777777" w:rsidR="00EB70E0" w:rsidRPr="005F4295" w:rsidRDefault="00EB70E0">
            <w:pPr>
              <w:rPr>
                <w:sz w:val="20"/>
                <w:lang w:val="en-GB"/>
              </w:rPr>
            </w:pPr>
            <w:r w:rsidRPr="005F4295">
              <w:rPr>
                <w:lang w:val="en-GB"/>
              </w:rPr>
              <w:t>European public administration</w:t>
            </w:r>
          </w:p>
        </w:tc>
        <w:tc>
          <w:tcPr>
            <w:tcW w:w="1292" w:type="dxa"/>
          </w:tcPr>
          <w:p w14:paraId="68E5C470" w14:textId="6EDFADC5"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8</w:t>
            </w:r>
            <w:r w:rsidRPr="005F4295">
              <w:rPr>
                <w:rFonts w:ascii="Calibri" w:hAnsi="Calibri" w:cs="Calibri"/>
                <w:szCs w:val="18"/>
                <w:lang w:val="en-GB"/>
              </w:rPr>
              <w:t> </w:t>
            </w:r>
            <w:r w:rsidRPr="005F4295">
              <w:rPr>
                <w:rFonts w:asciiTheme="minorHAnsi" w:hAnsiTheme="minorHAnsi"/>
                <w:szCs w:val="18"/>
                <w:lang w:val="en-GB"/>
              </w:rPr>
              <w:t>886</w:t>
            </w:r>
            <w:r w:rsidR="00244417" w:rsidRPr="005F4295">
              <w:rPr>
                <w:rFonts w:asciiTheme="minorHAnsi" w:hAnsiTheme="minorHAnsi"/>
                <w:szCs w:val="18"/>
                <w:lang w:val="en-GB"/>
              </w:rPr>
              <w:t>.</w:t>
            </w:r>
            <w:r w:rsidRPr="005F4295">
              <w:rPr>
                <w:rFonts w:asciiTheme="minorHAnsi" w:hAnsiTheme="minorHAnsi"/>
                <w:szCs w:val="18"/>
                <w:lang w:val="en-GB"/>
              </w:rPr>
              <w:t>9</w:t>
            </w:r>
          </w:p>
        </w:tc>
        <w:tc>
          <w:tcPr>
            <w:tcW w:w="1434" w:type="dxa"/>
          </w:tcPr>
          <w:p w14:paraId="51ADEDFA" w14:textId="7C52748F" w:rsidR="00EB70E0" w:rsidRPr="005F4295" w:rsidRDefault="001609E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szCs w:val="18"/>
                <w:lang w:val="en-GB"/>
              </w:rPr>
            </w:pPr>
            <w:r w:rsidRPr="005F4295">
              <w:rPr>
                <w:rFonts w:asciiTheme="minorHAnsi" w:hAnsiTheme="minorHAnsi"/>
                <w:szCs w:val="18"/>
                <w:lang w:val="en-GB"/>
              </w:rPr>
              <w:t>8</w:t>
            </w:r>
            <w:r w:rsidRPr="005F4295">
              <w:rPr>
                <w:rFonts w:ascii="Calibri" w:hAnsi="Calibri" w:cs="Calibri"/>
                <w:szCs w:val="18"/>
                <w:lang w:val="en-GB"/>
              </w:rPr>
              <w:t> </w:t>
            </w:r>
            <w:r w:rsidRPr="005F4295">
              <w:rPr>
                <w:rFonts w:asciiTheme="minorHAnsi" w:hAnsiTheme="minorHAnsi" w:cs="Calibri"/>
                <w:szCs w:val="18"/>
                <w:lang w:val="en-GB"/>
              </w:rPr>
              <w:t>88</w:t>
            </w:r>
            <w:r w:rsidR="00EA4DD5" w:rsidRPr="005F4295">
              <w:rPr>
                <w:rFonts w:asciiTheme="minorHAnsi" w:hAnsiTheme="minorHAnsi" w:cs="Calibri"/>
                <w:szCs w:val="18"/>
                <w:lang w:val="en-GB"/>
              </w:rPr>
              <w:t>3</w:t>
            </w:r>
            <w:r w:rsidR="00244417" w:rsidRPr="005F4295">
              <w:rPr>
                <w:rFonts w:asciiTheme="minorHAnsi" w:hAnsiTheme="minorHAnsi" w:cs="Calibri"/>
                <w:szCs w:val="18"/>
                <w:lang w:val="en-GB"/>
              </w:rPr>
              <w:t>.</w:t>
            </w:r>
            <w:r w:rsidRPr="005F4295">
              <w:rPr>
                <w:rFonts w:asciiTheme="minorHAnsi" w:hAnsiTheme="minorHAnsi" w:cs="Calibri"/>
                <w:szCs w:val="18"/>
                <w:lang w:val="en-GB"/>
              </w:rPr>
              <w:t>0</w:t>
            </w:r>
          </w:p>
        </w:tc>
        <w:tc>
          <w:tcPr>
            <w:tcW w:w="1435" w:type="dxa"/>
          </w:tcPr>
          <w:p w14:paraId="188F823D" w14:textId="589B9A94" w:rsidR="00EB70E0" w:rsidRPr="005F4295" w:rsidRDefault="00142113">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0</w:t>
            </w:r>
          </w:p>
        </w:tc>
        <w:tc>
          <w:tcPr>
            <w:tcW w:w="1292" w:type="dxa"/>
          </w:tcPr>
          <w:p w14:paraId="54841FA6" w14:textId="77777777" w:rsidR="00EB70E0" w:rsidRPr="005F4295" w:rsidRDefault="00EB70E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GB"/>
              </w:rPr>
            </w:pPr>
            <w:r w:rsidRPr="005F4295">
              <w:rPr>
                <w:rFonts w:asciiTheme="minorHAnsi" w:hAnsiTheme="minorHAnsi"/>
                <w:szCs w:val="18"/>
                <w:lang w:val="en-GB"/>
              </w:rPr>
              <w:t>0</w:t>
            </w:r>
          </w:p>
        </w:tc>
      </w:tr>
      <w:tr w:rsidR="00EB70E0" w:rsidRPr="005F4295" w14:paraId="4B2A3D66" w14:textId="77777777" w:rsidTr="00C8010B">
        <w:trPr>
          <w:trHeight w:val="365"/>
        </w:trPr>
        <w:tc>
          <w:tcPr>
            <w:cnfStyle w:val="001000000000" w:firstRow="0" w:lastRow="0" w:firstColumn="1" w:lastColumn="0" w:oddVBand="0" w:evenVBand="0" w:oddHBand="0" w:evenHBand="0" w:firstRowFirstColumn="0" w:firstRowLastColumn="0" w:lastRowFirstColumn="0" w:lastRowLastColumn="0"/>
            <w:tcW w:w="3588" w:type="dxa"/>
            <w:shd w:val="clear" w:color="auto" w:fill="FEDEC6" w:themeFill="accent2" w:themeFillTint="33"/>
          </w:tcPr>
          <w:p w14:paraId="17981669" w14:textId="77777777" w:rsidR="00EB70E0" w:rsidRPr="005F4295" w:rsidRDefault="00EB70E0">
            <w:pPr>
              <w:rPr>
                <w:color w:val="000000" w:themeColor="text1"/>
                <w:sz w:val="20"/>
                <w:lang w:val="en-GB"/>
              </w:rPr>
            </w:pPr>
            <w:r w:rsidRPr="005F4295">
              <w:rPr>
                <w:color w:val="000000" w:themeColor="text1"/>
                <w:lang w:val="en-GB"/>
              </w:rPr>
              <w:t>Total</w:t>
            </w:r>
          </w:p>
        </w:tc>
        <w:tc>
          <w:tcPr>
            <w:tcW w:w="1292" w:type="dxa"/>
            <w:shd w:val="clear" w:color="auto" w:fill="FEDEC6" w:themeFill="accent2" w:themeFillTint="33"/>
          </w:tcPr>
          <w:p w14:paraId="40A081B4" w14:textId="05AC4D3C" w:rsidR="00EB70E0" w:rsidRPr="005F4295" w:rsidRDefault="00344C6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
                <w:color w:val="000000" w:themeColor="text1"/>
                <w:szCs w:val="18"/>
                <w:lang w:val="en-GB"/>
              </w:rPr>
            </w:pPr>
            <w:r w:rsidRPr="005F4295">
              <w:rPr>
                <w:rFonts w:asciiTheme="minorHAnsi" w:hAnsiTheme="minorHAnsi"/>
                <w:b/>
                <w:color w:val="000000" w:themeColor="text1"/>
                <w:szCs w:val="18"/>
                <w:lang w:val="en-GB"/>
              </w:rPr>
              <w:t>171</w:t>
            </w:r>
            <w:r w:rsidRPr="005F4295">
              <w:rPr>
                <w:rFonts w:ascii="Calibri" w:hAnsi="Calibri" w:cs="Calibri"/>
                <w:b/>
                <w:color w:val="000000" w:themeColor="text1"/>
                <w:lang w:val="en-GB"/>
              </w:rPr>
              <w:t> </w:t>
            </w:r>
            <w:r w:rsidRPr="005F4295">
              <w:rPr>
                <w:rFonts w:asciiTheme="minorHAnsi" w:hAnsiTheme="minorHAnsi" w:cs="Calibri"/>
                <w:b/>
                <w:color w:val="000000" w:themeColor="text1"/>
                <w:szCs w:val="18"/>
                <w:lang w:val="en-GB"/>
              </w:rPr>
              <w:t>83</w:t>
            </w:r>
            <w:r w:rsidR="00E43E4E" w:rsidRPr="005F4295">
              <w:rPr>
                <w:rFonts w:asciiTheme="minorHAnsi" w:hAnsiTheme="minorHAnsi" w:cs="Calibri"/>
                <w:b/>
                <w:color w:val="000000" w:themeColor="text1"/>
                <w:szCs w:val="18"/>
                <w:lang w:val="en-GB"/>
              </w:rPr>
              <w:t>4.7</w:t>
            </w:r>
          </w:p>
        </w:tc>
        <w:tc>
          <w:tcPr>
            <w:tcW w:w="1434" w:type="dxa"/>
            <w:shd w:val="clear" w:color="auto" w:fill="FEDEC6" w:themeFill="accent2" w:themeFillTint="33"/>
          </w:tcPr>
          <w:p w14:paraId="689C9BC6" w14:textId="01EA399C" w:rsidR="00EB70E0" w:rsidRPr="005F4295" w:rsidRDefault="001609E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b/>
                <w:color w:val="000000" w:themeColor="text1"/>
                <w:szCs w:val="18"/>
                <w:lang w:val="en-GB"/>
              </w:rPr>
            </w:pPr>
            <w:r w:rsidRPr="005F4295">
              <w:rPr>
                <w:rFonts w:asciiTheme="minorHAnsi" w:hAnsiTheme="minorHAnsi"/>
                <w:b/>
                <w:color w:val="000000" w:themeColor="text1"/>
                <w:szCs w:val="18"/>
                <w:lang w:val="en-GB"/>
              </w:rPr>
              <w:t>166</w:t>
            </w:r>
            <w:r w:rsidRPr="005F4295">
              <w:rPr>
                <w:rFonts w:ascii="Calibri" w:hAnsi="Calibri" w:cs="Calibri"/>
                <w:b/>
                <w:color w:val="000000" w:themeColor="text1"/>
                <w:szCs w:val="18"/>
                <w:lang w:val="en-GB"/>
              </w:rPr>
              <w:t> </w:t>
            </w:r>
            <w:r w:rsidRPr="005F4295">
              <w:rPr>
                <w:rFonts w:asciiTheme="minorHAnsi" w:hAnsiTheme="minorHAnsi" w:cs="Calibri"/>
                <w:b/>
                <w:color w:val="000000" w:themeColor="text1"/>
                <w:szCs w:val="18"/>
                <w:lang w:val="en-GB"/>
              </w:rPr>
              <w:t>6</w:t>
            </w:r>
            <w:r w:rsidR="00EA4DD5" w:rsidRPr="005F4295">
              <w:rPr>
                <w:rFonts w:asciiTheme="minorHAnsi" w:hAnsiTheme="minorHAnsi" w:cs="Calibri"/>
                <w:b/>
                <w:color w:val="000000" w:themeColor="text1"/>
                <w:szCs w:val="18"/>
                <w:lang w:val="en-GB"/>
              </w:rPr>
              <w:t>81</w:t>
            </w:r>
            <w:r w:rsidR="00424277" w:rsidRPr="005F4295">
              <w:rPr>
                <w:rFonts w:asciiTheme="minorHAnsi" w:hAnsiTheme="minorHAnsi" w:cs="Calibri"/>
                <w:b/>
                <w:color w:val="000000" w:themeColor="text1"/>
                <w:szCs w:val="18"/>
                <w:lang w:val="en-GB"/>
              </w:rPr>
              <w:t>.4</w:t>
            </w:r>
          </w:p>
        </w:tc>
        <w:tc>
          <w:tcPr>
            <w:tcW w:w="1435" w:type="dxa"/>
            <w:shd w:val="clear" w:color="auto" w:fill="FEDEC6" w:themeFill="accent2" w:themeFillTint="33"/>
          </w:tcPr>
          <w:p w14:paraId="5B10DC69" w14:textId="271E1236" w:rsidR="00EB70E0" w:rsidRPr="005F4295" w:rsidRDefault="00F208C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themeColor="text1"/>
                <w:szCs w:val="18"/>
                <w:lang w:val="en-GB"/>
              </w:rPr>
            </w:pPr>
            <w:r w:rsidRPr="005F4295">
              <w:rPr>
                <w:rFonts w:asciiTheme="minorHAnsi" w:hAnsiTheme="minorHAnsi"/>
                <w:b/>
                <w:color w:val="000000" w:themeColor="text1"/>
                <w:szCs w:val="18"/>
                <w:lang w:val="en-GB"/>
              </w:rPr>
              <w:t>866.5</w:t>
            </w:r>
          </w:p>
        </w:tc>
        <w:tc>
          <w:tcPr>
            <w:tcW w:w="1292" w:type="dxa"/>
            <w:shd w:val="clear" w:color="auto" w:fill="FEDEC6" w:themeFill="accent2" w:themeFillTint="33"/>
          </w:tcPr>
          <w:p w14:paraId="30E48E0C" w14:textId="1E7119EC" w:rsidR="00EB70E0" w:rsidRPr="005F4295" w:rsidRDefault="00DE79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themeColor="text1"/>
                <w:szCs w:val="18"/>
                <w:lang w:val="en-GB"/>
              </w:rPr>
            </w:pPr>
            <w:r w:rsidRPr="005F4295">
              <w:rPr>
                <w:rFonts w:asciiTheme="minorHAnsi" w:hAnsiTheme="minorHAnsi"/>
                <w:szCs w:val="18"/>
                <w:lang w:val="en-GB"/>
              </w:rPr>
              <w:t>330.9</w:t>
            </w:r>
          </w:p>
        </w:tc>
      </w:tr>
      <w:tr w:rsidR="00EB70E0" w:rsidRPr="005F4295" w14:paraId="4DF56F3D" w14:textId="77777777" w:rsidTr="00C8010B">
        <w:trPr>
          <w:trHeight w:val="339"/>
        </w:trPr>
        <w:tc>
          <w:tcPr>
            <w:cnfStyle w:val="001000000000" w:firstRow="0" w:lastRow="0" w:firstColumn="1" w:lastColumn="0" w:oddVBand="0" w:evenVBand="0" w:oddHBand="0" w:evenHBand="0" w:firstRowFirstColumn="0" w:firstRowLastColumn="0" w:lastRowFirstColumn="0" w:lastRowLastColumn="0"/>
            <w:tcW w:w="6314" w:type="dxa"/>
            <w:gridSpan w:val="3"/>
          </w:tcPr>
          <w:p w14:paraId="2E824022" w14:textId="77777777" w:rsidR="00EB70E0" w:rsidRPr="005F4295" w:rsidRDefault="00EB70E0">
            <w:pPr>
              <w:rPr>
                <w:rFonts w:asciiTheme="minorHAnsi" w:hAnsiTheme="minorHAnsi"/>
                <w:sz w:val="20"/>
                <w:lang w:val="en-GB"/>
              </w:rPr>
            </w:pPr>
            <w:r w:rsidRPr="005F4295">
              <w:rPr>
                <w:rFonts w:asciiTheme="minorHAnsi" w:hAnsiTheme="minorHAnsi"/>
                <w:lang w:val="en-GB"/>
              </w:rPr>
              <w:t xml:space="preserve">2021-2027 programmes </w:t>
            </w:r>
          </w:p>
        </w:tc>
        <w:tc>
          <w:tcPr>
            <w:tcW w:w="1435" w:type="dxa"/>
          </w:tcPr>
          <w:p w14:paraId="55E3162B" w14:textId="58B80B3F" w:rsidR="00EB70E0" w:rsidRPr="005F4295" w:rsidRDefault="004819D8">
            <w:pPr>
              <w:tabs>
                <w:tab w:val="left" w:pos="1085"/>
                <w:tab w:val="right" w:pos="1219"/>
              </w:tabs>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en-GB"/>
              </w:rPr>
            </w:pPr>
            <w:r w:rsidRPr="005F4295">
              <w:rPr>
                <w:rFonts w:asciiTheme="minorHAnsi" w:hAnsiTheme="minorHAnsi"/>
                <w:sz w:val="20"/>
                <w:lang w:val="en-GB"/>
              </w:rPr>
              <w:t>419.4</w:t>
            </w:r>
          </w:p>
        </w:tc>
        <w:tc>
          <w:tcPr>
            <w:tcW w:w="1292" w:type="dxa"/>
          </w:tcPr>
          <w:p w14:paraId="03D643D8" w14:textId="73FC3BDD" w:rsidR="00EB70E0" w:rsidRPr="005F4295" w:rsidRDefault="00EB70E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en-GB"/>
              </w:rPr>
            </w:pPr>
            <w:r w:rsidRPr="005F4295">
              <w:rPr>
                <w:rFonts w:asciiTheme="minorHAnsi" w:hAnsiTheme="minorHAnsi"/>
                <w:lang w:val="en-GB"/>
              </w:rPr>
              <w:t>6</w:t>
            </w:r>
            <w:r w:rsidR="00947ECC" w:rsidRPr="005F4295">
              <w:rPr>
                <w:rFonts w:asciiTheme="minorHAnsi" w:hAnsiTheme="minorHAnsi"/>
                <w:lang w:val="en-GB"/>
              </w:rPr>
              <w:t>.0</w:t>
            </w:r>
          </w:p>
        </w:tc>
      </w:tr>
      <w:tr w:rsidR="00EB70E0" w:rsidRPr="005F4295" w14:paraId="76EF0543" w14:textId="77777777" w:rsidTr="00C8010B">
        <w:trPr>
          <w:trHeight w:val="332"/>
        </w:trPr>
        <w:tc>
          <w:tcPr>
            <w:cnfStyle w:val="001000000000" w:firstRow="0" w:lastRow="0" w:firstColumn="1" w:lastColumn="0" w:oddVBand="0" w:evenVBand="0" w:oddHBand="0" w:evenHBand="0" w:firstRowFirstColumn="0" w:firstRowLastColumn="0" w:lastRowFirstColumn="0" w:lastRowLastColumn="0"/>
            <w:tcW w:w="6314" w:type="dxa"/>
            <w:gridSpan w:val="3"/>
          </w:tcPr>
          <w:p w14:paraId="5BB952B9" w14:textId="77777777" w:rsidR="00EB70E0" w:rsidRPr="005F4295" w:rsidRDefault="00EB70E0">
            <w:pPr>
              <w:rPr>
                <w:rFonts w:asciiTheme="minorHAnsi" w:hAnsiTheme="minorHAnsi"/>
                <w:sz w:val="20"/>
                <w:lang w:val="en-GB"/>
              </w:rPr>
            </w:pPr>
            <w:r w:rsidRPr="005F4295">
              <w:rPr>
                <w:rFonts w:asciiTheme="minorHAnsi" w:hAnsiTheme="minorHAnsi"/>
                <w:lang w:val="en-GB"/>
              </w:rPr>
              <w:t>2014-2020 programmes</w:t>
            </w:r>
          </w:p>
        </w:tc>
        <w:tc>
          <w:tcPr>
            <w:tcW w:w="1435" w:type="dxa"/>
          </w:tcPr>
          <w:p w14:paraId="6FA75BB2" w14:textId="116ADFA5" w:rsidR="00EB70E0" w:rsidRPr="005F4295" w:rsidRDefault="004819D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en-GB"/>
              </w:rPr>
            </w:pPr>
            <w:r w:rsidRPr="005F4295">
              <w:rPr>
                <w:rFonts w:asciiTheme="minorHAnsi" w:hAnsiTheme="minorHAnsi"/>
                <w:sz w:val="20"/>
                <w:lang w:val="en-GB"/>
              </w:rPr>
              <w:t>447.1</w:t>
            </w:r>
          </w:p>
        </w:tc>
        <w:tc>
          <w:tcPr>
            <w:tcW w:w="1292" w:type="dxa"/>
          </w:tcPr>
          <w:p w14:paraId="0275A95D" w14:textId="579F9520" w:rsidR="00EB70E0" w:rsidRPr="005F4295" w:rsidRDefault="00947EC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en-GB"/>
              </w:rPr>
            </w:pPr>
            <w:r w:rsidRPr="005F4295">
              <w:rPr>
                <w:rFonts w:asciiTheme="minorHAnsi" w:hAnsiTheme="minorHAnsi"/>
                <w:lang w:val="en-GB"/>
              </w:rPr>
              <w:t>324.9</w:t>
            </w:r>
          </w:p>
        </w:tc>
      </w:tr>
    </w:tbl>
    <w:p w14:paraId="4AA9C930" w14:textId="77777777" w:rsidR="00EB70E0" w:rsidRPr="005F4295" w:rsidRDefault="00EB70E0" w:rsidP="00EB70E0">
      <w:pPr>
        <w:pStyle w:val="TableSource"/>
      </w:pPr>
      <w:r w:rsidRPr="005F4295">
        <w:t>(*) With segments of expenditure that are performance-based.</w:t>
      </w:r>
    </w:p>
    <w:p w14:paraId="6E980BEE" w14:textId="77777777" w:rsidR="00EB70E0" w:rsidRPr="005F4295" w:rsidRDefault="00EB70E0" w:rsidP="00EB70E0">
      <w:pPr>
        <w:pStyle w:val="TableSource"/>
        <w:rPr>
          <w:noProof/>
        </w:rPr>
      </w:pPr>
      <w:r w:rsidRPr="005F4295">
        <w:rPr>
          <w:i/>
          <w:iCs/>
        </w:rPr>
        <w:t>Source:</w:t>
      </w:r>
      <w:r w:rsidRPr="005F4295">
        <w:t xml:space="preserve"> European Commission annual activity reports.</w:t>
      </w:r>
    </w:p>
    <w:p w14:paraId="5A0E8CF7" w14:textId="61A36E77" w:rsidR="00EB70E0" w:rsidRPr="005F4295" w:rsidRDefault="00EB70E0" w:rsidP="00EB70E0">
      <w:r w:rsidRPr="005F4295">
        <w:t xml:space="preserve">The tables below present the details concerning the reservations for </w:t>
      </w:r>
      <w:r w:rsidRPr="005F4295">
        <w:rPr>
          <w:noProof/>
        </w:rPr>
        <w:t>202</w:t>
      </w:r>
      <w:r w:rsidR="00857400" w:rsidRPr="005F4295">
        <w:rPr>
          <w:noProof/>
        </w:rPr>
        <w:t>5</w:t>
      </w:r>
      <w:r w:rsidRPr="005F4295">
        <w:t>:</w:t>
      </w:r>
    </w:p>
    <w:p w14:paraId="7B42C1F5" w14:textId="01317971" w:rsidR="00EB70E0" w:rsidRPr="005F4295" w:rsidRDefault="00EB70E0" w:rsidP="00ED5750">
      <w:pPr>
        <w:pStyle w:val="ListBullet"/>
        <w:numPr>
          <w:ilvl w:val="0"/>
          <w:numId w:val="11"/>
        </w:numPr>
      </w:pPr>
      <w:r w:rsidRPr="005F4295">
        <w:t>Table</w:t>
      </w:r>
      <w:r w:rsidRPr="005F4295">
        <w:rPr>
          <w:rFonts w:ascii="Calibri" w:hAnsi="Calibri" w:cs="Calibri"/>
        </w:rPr>
        <w:t> </w:t>
      </w:r>
      <w:r w:rsidRPr="005F4295">
        <w:t xml:space="preserve">D presents the </w:t>
      </w:r>
      <w:r w:rsidR="00857400" w:rsidRPr="005F4295">
        <w:rPr>
          <w:noProof/>
        </w:rPr>
        <w:t>30</w:t>
      </w:r>
      <w:r w:rsidRPr="005F4295">
        <w:t xml:space="preserve"> reservations for </w:t>
      </w:r>
      <w:r w:rsidRPr="005F4295">
        <w:rPr>
          <w:noProof/>
        </w:rPr>
        <w:t>202</w:t>
      </w:r>
      <w:r w:rsidR="00857400" w:rsidRPr="005F4295">
        <w:rPr>
          <w:noProof/>
        </w:rPr>
        <w:t>5</w:t>
      </w:r>
      <w:r w:rsidRPr="005F4295">
        <w:t xml:space="preserve"> affecting the expenditure</w:t>
      </w:r>
      <w:r w:rsidR="006A0EB6" w:rsidRPr="005F4295">
        <w:t>,</w:t>
      </w:r>
      <w:r w:rsidRPr="005F4295">
        <w:t xml:space="preserve"> divided according to the 2021-2027 and 2014-2020 programme periods;</w:t>
      </w:r>
    </w:p>
    <w:p w14:paraId="4B17D93A" w14:textId="0AAC7261" w:rsidR="00EB70E0" w:rsidRPr="005F4295" w:rsidRDefault="00EB70E0" w:rsidP="00ED5750">
      <w:pPr>
        <w:pStyle w:val="ListBullet"/>
        <w:numPr>
          <w:ilvl w:val="0"/>
          <w:numId w:val="11"/>
        </w:numPr>
      </w:pPr>
      <w:r w:rsidRPr="005F4295">
        <w:t xml:space="preserve">Table E presents the reservation for </w:t>
      </w:r>
      <w:r w:rsidRPr="005F4295">
        <w:rPr>
          <w:noProof/>
        </w:rPr>
        <w:t>202</w:t>
      </w:r>
      <w:r w:rsidR="00857400" w:rsidRPr="005F4295">
        <w:rPr>
          <w:noProof/>
        </w:rPr>
        <w:t>5</w:t>
      </w:r>
      <w:r w:rsidRPr="005F4295">
        <w:t xml:space="preserve"> affecting the Recovery and Resilience Facility;</w:t>
      </w:r>
    </w:p>
    <w:p w14:paraId="6CF55E69" w14:textId="437E4DCE" w:rsidR="00EB70E0" w:rsidRPr="005F4295" w:rsidRDefault="00EB70E0" w:rsidP="00ED5750">
      <w:pPr>
        <w:pStyle w:val="ListBullet"/>
        <w:numPr>
          <w:ilvl w:val="0"/>
          <w:numId w:val="11"/>
        </w:numPr>
      </w:pPr>
      <w:r w:rsidRPr="005F4295">
        <w:t>Table</w:t>
      </w:r>
      <w:r w:rsidRPr="005F4295">
        <w:rPr>
          <w:rFonts w:ascii="Calibri" w:hAnsi="Calibri" w:cs="Calibri"/>
        </w:rPr>
        <w:t> </w:t>
      </w:r>
      <w:r w:rsidRPr="005F4295">
        <w:t xml:space="preserve">F presents all the cases where the </w:t>
      </w:r>
      <w:r w:rsidRPr="005F4295">
        <w:rPr>
          <w:rStyle w:val="Italic"/>
        </w:rPr>
        <w:t>de minimis</w:t>
      </w:r>
      <w:r w:rsidRPr="005F4295">
        <w:t xml:space="preserve"> rule applied.</w:t>
      </w:r>
      <w:r w:rsidRPr="005F4295">
        <w:rPr>
          <w:noProof/>
          <w:highlight w:val="lightGray"/>
        </w:rPr>
        <w:br w:type="page"/>
      </w:r>
    </w:p>
    <w:p w14:paraId="1C33C1E8" w14:textId="628B4915" w:rsidR="00EB70E0" w:rsidRPr="005F4295" w:rsidRDefault="00BE3A94" w:rsidP="00EB70E0">
      <w:pPr>
        <w:pStyle w:val="HeadingMan-NumT-AnnexesL3-111"/>
        <w:rPr>
          <w:rFonts w:ascii="EC Square Sans Pro" w:hAnsi="EC Square Sans Pro"/>
        </w:rPr>
      </w:pPr>
      <w:bookmarkStart w:id="43" w:name="_Toc229386270"/>
      <w:r w:rsidRPr="005F4295">
        <w:rPr>
          <w:rFonts w:ascii="EC Square Sans Pro" w:hAnsi="EC Square Sans Pro"/>
        </w:rPr>
        <w:t>5</w:t>
      </w:r>
      <w:r w:rsidR="00EB70E0" w:rsidRPr="005F4295">
        <w:rPr>
          <w:rFonts w:ascii="EC Square Sans Pro" w:hAnsi="EC Square Sans Pro"/>
        </w:rPr>
        <w:t>.3.3.</w:t>
      </w:r>
      <w:r w:rsidR="00EB70E0" w:rsidRPr="005F4295">
        <w:rPr>
          <w:rFonts w:ascii="EC Square Sans Pro" w:hAnsi="EC Square Sans Pro"/>
        </w:rPr>
        <w:tab/>
        <w:t>Full list of reservations</w:t>
      </w:r>
      <w:bookmarkEnd w:id="43"/>
    </w:p>
    <w:p w14:paraId="08A29A28" w14:textId="620C8F48" w:rsidR="00EB70E0" w:rsidRPr="005F4295" w:rsidRDefault="00EB70E0" w:rsidP="00EB70E0">
      <w:pPr>
        <w:pStyle w:val="TableTitle"/>
      </w:pPr>
      <w:r w:rsidRPr="005F4295">
        <w:t>Table</w:t>
      </w:r>
      <w:r w:rsidRPr="005F4295">
        <w:rPr>
          <w:rFonts w:ascii="Calibri" w:hAnsi="Calibri" w:cs="Calibri"/>
        </w:rPr>
        <w:t> </w:t>
      </w:r>
      <w:r w:rsidRPr="005F4295">
        <w:t>D</w:t>
      </w:r>
      <w:r w:rsidRPr="005F4295">
        <w:rPr>
          <w:rFonts w:ascii="Calibri" w:hAnsi="Calibri" w:cs="Calibri"/>
        </w:rPr>
        <w:t> </w:t>
      </w:r>
      <w:r w:rsidRPr="005F4295">
        <w:rPr>
          <w:rFonts w:cs="EC Square Sans Pro"/>
        </w:rPr>
        <w:t>–</w:t>
      </w:r>
      <w:r w:rsidRPr="005F4295">
        <w:t xml:space="preserve"> </w:t>
      </w:r>
      <w:r w:rsidRPr="005F4295">
        <w:rPr>
          <w:noProof/>
        </w:rPr>
        <w:t>202</w:t>
      </w:r>
      <w:r w:rsidR="003A6125" w:rsidRPr="005F4295">
        <w:rPr>
          <w:noProof/>
        </w:rPr>
        <w:t>5</w:t>
      </w:r>
      <w:r w:rsidRPr="005F4295">
        <w:t xml:space="preserve"> list of reservations </w:t>
      </w:r>
      <w:bookmarkStart w:id="44" w:name="_Hlk133492963"/>
      <w:r w:rsidRPr="005F4295" w:rsidDel="417F8B2C">
        <w:t>(million</w:t>
      </w:r>
      <w:r w:rsidR="00F04CD5" w:rsidRPr="005F4295">
        <w:t xml:space="preserve"> </w:t>
      </w:r>
      <w:r w:rsidRPr="005F4295" w:rsidDel="417F8B2C">
        <w:t>EUR)</w:t>
      </w:r>
    </w:p>
    <w:tbl>
      <w:tblPr>
        <w:tblStyle w:val="BodyTable2"/>
        <w:tblpPr w:leftFromText="180" w:rightFromText="180" w:vertAnchor="text" w:tblpY="1"/>
        <w:tblOverlap w:val="never"/>
        <w:tblW w:w="5029" w:type="pct"/>
        <w:jc w:val="left"/>
        <w:tblLayout w:type="fixed"/>
        <w:tblLook w:val="06E0" w:firstRow="1" w:lastRow="1" w:firstColumn="1" w:lastColumn="0" w:noHBand="1" w:noVBand="1"/>
      </w:tblPr>
      <w:tblGrid>
        <w:gridCol w:w="1649"/>
        <w:gridCol w:w="2741"/>
        <w:gridCol w:w="1701"/>
        <w:gridCol w:w="1812"/>
        <w:gridCol w:w="38"/>
        <w:gridCol w:w="1130"/>
        <w:gridCol w:w="53"/>
      </w:tblGrid>
      <w:tr w:rsidR="00EB70E0" w:rsidRPr="005F4295" w14:paraId="1B313A50" w14:textId="77777777">
        <w:trPr>
          <w:gridAfter w:val="1"/>
          <w:cnfStyle w:val="100000000000" w:firstRow="1" w:lastRow="0" w:firstColumn="0" w:lastColumn="0" w:oddVBand="0" w:evenVBand="0" w:oddHBand="0" w:evenHBand="0" w:firstRowFirstColumn="0" w:firstRowLastColumn="0" w:lastRowFirstColumn="0" w:lastRowLastColumn="0"/>
          <w:wAfter w:w="29" w:type="pct"/>
          <w:trHeight w:val="801"/>
          <w:tblHeader/>
          <w:jc w:val="left"/>
        </w:trPr>
        <w:tc>
          <w:tcPr>
            <w:cnfStyle w:val="001000000000" w:firstRow="0" w:lastRow="0" w:firstColumn="1" w:lastColumn="0" w:oddVBand="0" w:evenVBand="0" w:oddHBand="0" w:evenHBand="0" w:firstRowFirstColumn="0" w:firstRowLastColumn="0" w:lastRowFirstColumn="0" w:lastRowLastColumn="0"/>
            <w:tcW w:w="904" w:type="pct"/>
            <w:vAlign w:val="center"/>
          </w:tcPr>
          <w:bookmarkEnd w:id="44"/>
          <w:p w14:paraId="61009ED6" w14:textId="77777777" w:rsidR="00EB70E0" w:rsidRPr="005F4295" w:rsidRDefault="00EB70E0">
            <w:pPr>
              <w:spacing w:before="60"/>
            </w:pPr>
            <w:r w:rsidRPr="005F4295">
              <w:t>Policy areas</w:t>
            </w:r>
          </w:p>
        </w:tc>
        <w:tc>
          <w:tcPr>
            <w:tcW w:w="1502" w:type="pct"/>
            <w:vAlign w:val="center"/>
          </w:tcPr>
          <w:p w14:paraId="6FDA5B52" w14:textId="77777777" w:rsidR="00EB70E0" w:rsidRPr="005F4295" w:rsidRDefault="00EB70E0">
            <w:pPr>
              <w:spacing w:before="60"/>
              <w:cnfStyle w:val="100000000000" w:firstRow="1" w:lastRow="0" w:firstColumn="0" w:lastColumn="0" w:oddVBand="0" w:evenVBand="0" w:oddHBand="0" w:evenHBand="0" w:firstRowFirstColumn="0" w:firstRowLastColumn="0" w:lastRowFirstColumn="0" w:lastRowLastColumn="0"/>
            </w:pPr>
            <w:r w:rsidRPr="005F4295">
              <w:t>Description of reservation</w:t>
            </w:r>
          </w:p>
        </w:tc>
        <w:tc>
          <w:tcPr>
            <w:tcW w:w="932" w:type="pct"/>
            <w:vAlign w:val="center"/>
          </w:tcPr>
          <w:p w14:paraId="26EE41FE" w14:textId="77777777" w:rsidR="00EB70E0" w:rsidRPr="005F4295" w:rsidRDefault="00EB70E0">
            <w:pPr>
              <w:spacing w:before="60"/>
              <w:cnfStyle w:val="100000000000" w:firstRow="1" w:lastRow="0" w:firstColumn="0" w:lastColumn="0" w:oddVBand="0" w:evenVBand="0" w:oddHBand="0" w:evenHBand="0" w:firstRowFirstColumn="0" w:firstRowLastColumn="0" w:lastRowFirstColumn="0" w:lastRowLastColumn="0"/>
            </w:pPr>
            <w:r w:rsidRPr="005F4295">
              <w:t>Department</w:t>
            </w:r>
          </w:p>
        </w:tc>
        <w:tc>
          <w:tcPr>
            <w:tcW w:w="993" w:type="pct"/>
            <w:vAlign w:val="center"/>
          </w:tcPr>
          <w:p w14:paraId="1D6661A7" w14:textId="77777777" w:rsidR="00EB70E0" w:rsidRPr="005F4295" w:rsidRDefault="00EB70E0">
            <w:pPr>
              <w:spacing w:before="60"/>
              <w:cnfStyle w:val="100000000000" w:firstRow="1" w:lastRow="0" w:firstColumn="0" w:lastColumn="0" w:oddVBand="0" w:evenVBand="0" w:oddHBand="0" w:evenHBand="0" w:firstRowFirstColumn="0" w:firstRowLastColumn="0" w:lastRowFirstColumn="0" w:lastRowLastColumn="0"/>
            </w:pPr>
            <w:r w:rsidRPr="005F4295">
              <w:t>Impact on legality and regularity</w:t>
            </w:r>
          </w:p>
        </w:tc>
        <w:tc>
          <w:tcPr>
            <w:tcW w:w="640" w:type="pct"/>
            <w:gridSpan w:val="2"/>
            <w:vAlign w:val="center"/>
          </w:tcPr>
          <w:p w14:paraId="7BBCF5DE" w14:textId="77777777" w:rsidR="00EB70E0" w:rsidRPr="005F4295" w:rsidRDefault="00EB70E0">
            <w:pPr>
              <w:spacing w:before="60"/>
              <w:cnfStyle w:val="100000000000" w:firstRow="1" w:lastRow="0" w:firstColumn="0" w:lastColumn="0" w:oddVBand="0" w:evenVBand="0" w:oddHBand="0" w:evenHBand="0" w:firstRowFirstColumn="0" w:firstRowLastColumn="0" w:lastRowFirstColumn="0" w:lastRowLastColumn="0"/>
            </w:pPr>
            <w:r w:rsidRPr="005F4295">
              <w:t>Financial impact</w:t>
            </w:r>
          </w:p>
        </w:tc>
      </w:tr>
      <w:tr w:rsidR="00EB70E0" w:rsidRPr="005F4295" w14:paraId="196383C0" w14:textId="77777777" w:rsidTr="004F268E">
        <w:trPr>
          <w:gridAfter w:val="1"/>
          <w:wAfter w:w="29" w:type="pct"/>
          <w:trHeight w:val="283"/>
          <w:jc w:val="left"/>
        </w:trPr>
        <w:tc>
          <w:tcPr>
            <w:cnfStyle w:val="001000000000" w:firstRow="0" w:lastRow="0" w:firstColumn="1" w:lastColumn="0" w:oddVBand="0" w:evenVBand="0" w:oddHBand="0" w:evenHBand="0" w:firstRowFirstColumn="0" w:firstRowLastColumn="0" w:lastRowFirstColumn="0" w:lastRowLastColumn="0"/>
            <w:tcW w:w="0" w:type="pct"/>
            <w:gridSpan w:val="6"/>
            <w:tcBorders>
              <w:top w:val="nil"/>
              <w:bottom w:val="single" w:sz="4" w:space="0" w:color="7F7F7F" w:themeColor="text1" w:themeTint="80"/>
            </w:tcBorders>
            <w:shd w:val="clear" w:color="auto" w:fill="FEDEC6" w:themeFill="accent2" w:themeFillTint="33"/>
          </w:tcPr>
          <w:p w14:paraId="4A96E1DC" w14:textId="77777777" w:rsidR="00EB70E0" w:rsidRPr="005F4295" w:rsidRDefault="00EB70E0">
            <w:pPr>
              <w:jc w:val="center"/>
            </w:pPr>
            <w:r w:rsidRPr="005F4295">
              <w:t>Programmes of the 2021-2027 multiannual financial framework</w:t>
            </w:r>
          </w:p>
        </w:tc>
      </w:tr>
      <w:tr w:rsidR="002F5E12" w:rsidRPr="005F4295" w14:paraId="246B9157"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val="restart"/>
            <w:tcBorders>
              <w:right w:val="single" w:sz="4" w:space="0" w:color="8C8C8C"/>
            </w:tcBorders>
          </w:tcPr>
          <w:p w14:paraId="50627908" w14:textId="0038564E" w:rsidR="002F5E12" w:rsidRPr="005F4295" w:rsidRDefault="00220330">
            <w:pPr>
              <w:rPr>
                <w:noProof/>
                <w:highlight w:val="lightGray"/>
              </w:rPr>
            </w:pPr>
            <w:r w:rsidRPr="005F4295">
              <w:rPr>
                <w:noProof/>
              </w:rPr>
              <w:t>Single market, innovation and digital</w:t>
            </w:r>
          </w:p>
        </w:tc>
        <w:tc>
          <w:tcPr>
            <w:tcW w:w="1502" w:type="pct"/>
            <w:vMerge w:val="restart"/>
            <w:tcBorders>
              <w:left w:val="single" w:sz="4" w:space="0" w:color="8C8C8C"/>
              <w:right w:val="single" w:sz="4" w:space="0" w:color="8C8C8C"/>
            </w:tcBorders>
          </w:tcPr>
          <w:p w14:paraId="6CCA0BDC" w14:textId="6C0DBC5C" w:rsidR="002F5E12" w:rsidRPr="005F4295" w:rsidRDefault="00406CAD">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r w:rsidRPr="005F4295">
              <w:rPr>
                <w:noProof/>
                <w:sz w:val="20"/>
                <w:szCs w:val="20"/>
              </w:rPr>
              <w:t>Reservation regarding the rate of residual error within grant payments in Horizon Europe</w:t>
            </w:r>
          </w:p>
        </w:tc>
        <w:tc>
          <w:tcPr>
            <w:tcW w:w="932" w:type="pct"/>
            <w:tcBorders>
              <w:left w:val="single" w:sz="4" w:space="0" w:color="8C8C8C"/>
              <w:right w:val="single" w:sz="4" w:space="0" w:color="8C8C8C"/>
            </w:tcBorders>
          </w:tcPr>
          <w:p w14:paraId="1E35DC9A" w14:textId="57535782" w:rsidR="002F5E12" w:rsidRPr="005F4295" w:rsidRDefault="003A6AD1">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noProof/>
              </w:rPr>
              <w:t>European Climate, Infrastructure and Environment Executive Agency</w:t>
            </w:r>
          </w:p>
        </w:tc>
        <w:tc>
          <w:tcPr>
            <w:tcW w:w="993" w:type="pct"/>
            <w:tcBorders>
              <w:left w:val="single" w:sz="4" w:space="0" w:color="8C8C8C"/>
              <w:right w:val="single" w:sz="4" w:space="0" w:color="8C8C8C"/>
            </w:tcBorders>
          </w:tcPr>
          <w:p w14:paraId="3A855BCC" w14:textId="7C4E39F2"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135CC628" w14:textId="455BEBB2" w:rsidR="002F5E12" w:rsidRPr="005F4295" w:rsidRDefault="00A71E65">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Quantified</w:t>
            </w:r>
          </w:p>
        </w:tc>
        <w:tc>
          <w:tcPr>
            <w:tcW w:w="640" w:type="pct"/>
            <w:gridSpan w:val="3"/>
            <w:tcBorders>
              <w:left w:val="single" w:sz="4" w:space="0" w:color="8C8C8C"/>
            </w:tcBorders>
          </w:tcPr>
          <w:p w14:paraId="692AA793" w14:textId="726DDF22" w:rsidR="002F5E12" w:rsidRPr="005F4295" w:rsidRDefault="00A71E65">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rFonts w:ascii="EC Square Sans Cond Pro" w:hAnsi="EC Square Sans Cond Pro"/>
              </w:rPr>
              <w:t>30.4</w:t>
            </w:r>
          </w:p>
        </w:tc>
      </w:tr>
      <w:tr w:rsidR="002F5E12" w:rsidRPr="005F4295" w14:paraId="120204AD"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4DB36F67" w14:textId="77777777" w:rsidR="002F5E12" w:rsidRPr="005F4295" w:rsidRDefault="002F5E12">
            <w:pPr>
              <w:rPr>
                <w:noProof/>
                <w:highlight w:val="lightGray"/>
              </w:rPr>
            </w:pPr>
          </w:p>
        </w:tc>
        <w:tc>
          <w:tcPr>
            <w:tcW w:w="1502" w:type="pct"/>
            <w:vMerge/>
            <w:tcBorders>
              <w:left w:val="single" w:sz="4" w:space="0" w:color="8C8C8C"/>
              <w:right w:val="single" w:sz="4" w:space="0" w:color="8C8C8C"/>
            </w:tcBorders>
          </w:tcPr>
          <w:p w14:paraId="77C5901E" w14:textId="77777777" w:rsidR="002F5E12" w:rsidRPr="005F4295" w:rsidRDefault="002F5E12">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p>
        </w:tc>
        <w:tc>
          <w:tcPr>
            <w:tcW w:w="932" w:type="pct"/>
            <w:tcBorders>
              <w:left w:val="single" w:sz="4" w:space="0" w:color="8C8C8C"/>
              <w:right w:val="single" w:sz="4" w:space="0" w:color="8C8C8C"/>
            </w:tcBorders>
          </w:tcPr>
          <w:p w14:paraId="7136B699" w14:textId="2C5F4244" w:rsidR="002F5E12" w:rsidRPr="005F4295" w:rsidRDefault="00DF47DA">
            <w:pPr>
              <w:jc w:val="center"/>
              <w:cnfStyle w:val="000000000000" w:firstRow="0" w:lastRow="0" w:firstColumn="0" w:lastColumn="0" w:oddVBand="0" w:evenVBand="0" w:oddHBand="0" w:evenHBand="0" w:firstRowFirstColumn="0" w:firstRowLastColumn="0" w:lastRowFirstColumn="0" w:lastRowLastColumn="0"/>
            </w:pPr>
            <w:r w:rsidRPr="005F4295">
              <w:t xml:space="preserve">DG Communications Networks, Content and Technology  </w:t>
            </w:r>
          </w:p>
        </w:tc>
        <w:tc>
          <w:tcPr>
            <w:tcW w:w="993" w:type="pct"/>
            <w:tcBorders>
              <w:left w:val="single" w:sz="4" w:space="0" w:color="8C8C8C"/>
              <w:right w:val="single" w:sz="4" w:space="0" w:color="8C8C8C"/>
            </w:tcBorders>
          </w:tcPr>
          <w:p w14:paraId="68137359"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5B07F468" w14:textId="706E31D1" w:rsidR="002F5E12" w:rsidRPr="005F4295" w:rsidRDefault="003B3C8E">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Quantified</w:t>
            </w:r>
          </w:p>
        </w:tc>
        <w:tc>
          <w:tcPr>
            <w:tcW w:w="640" w:type="pct"/>
            <w:gridSpan w:val="3"/>
            <w:tcBorders>
              <w:left w:val="single" w:sz="4" w:space="0" w:color="8C8C8C"/>
            </w:tcBorders>
          </w:tcPr>
          <w:p w14:paraId="5B38181D" w14:textId="577DE34F" w:rsidR="002F5E12" w:rsidRPr="005F4295" w:rsidRDefault="0039705D">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rFonts w:ascii="EC Square Sans Cond Pro" w:hAnsi="EC Square Sans Cond Pro"/>
              </w:rPr>
              <w:t>46.6</w:t>
            </w:r>
          </w:p>
        </w:tc>
      </w:tr>
      <w:tr w:rsidR="002F5E12" w:rsidRPr="005F4295" w14:paraId="01C461D7"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727A2927" w14:textId="77777777" w:rsidR="002F5E12" w:rsidRPr="005F4295" w:rsidRDefault="002F5E12">
            <w:pPr>
              <w:rPr>
                <w:noProof/>
                <w:highlight w:val="lightGray"/>
              </w:rPr>
            </w:pPr>
          </w:p>
        </w:tc>
        <w:tc>
          <w:tcPr>
            <w:tcW w:w="1502" w:type="pct"/>
            <w:vMerge/>
            <w:tcBorders>
              <w:left w:val="single" w:sz="4" w:space="0" w:color="8C8C8C"/>
              <w:right w:val="single" w:sz="4" w:space="0" w:color="8C8C8C"/>
            </w:tcBorders>
          </w:tcPr>
          <w:p w14:paraId="5389A1DF" w14:textId="77777777" w:rsidR="002F5E12" w:rsidRPr="005F4295" w:rsidRDefault="002F5E12">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p>
        </w:tc>
        <w:tc>
          <w:tcPr>
            <w:tcW w:w="932" w:type="pct"/>
            <w:tcBorders>
              <w:left w:val="single" w:sz="4" w:space="0" w:color="8C8C8C"/>
              <w:right w:val="single" w:sz="4" w:space="0" w:color="8C8C8C"/>
            </w:tcBorders>
          </w:tcPr>
          <w:p w14:paraId="6213C6A5" w14:textId="5D7DF94D" w:rsidR="002F5E12" w:rsidRPr="005F4295" w:rsidRDefault="00DF47DA">
            <w:pPr>
              <w:jc w:val="center"/>
              <w:cnfStyle w:val="000000000000" w:firstRow="0" w:lastRow="0" w:firstColumn="0" w:lastColumn="0" w:oddVBand="0" w:evenVBand="0" w:oddHBand="0" w:evenHBand="0" w:firstRowFirstColumn="0" w:firstRowLastColumn="0" w:lastRowFirstColumn="0" w:lastRowLastColumn="0"/>
            </w:pPr>
            <w:r w:rsidRPr="005F4295">
              <w:t>European Innovation Council and SMEs Executive Agency</w:t>
            </w:r>
          </w:p>
        </w:tc>
        <w:tc>
          <w:tcPr>
            <w:tcW w:w="993" w:type="pct"/>
            <w:tcBorders>
              <w:left w:val="single" w:sz="4" w:space="0" w:color="8C8C8C"/>
              <w:right w:val="single" w:sz="4" w:space="0" w:color="8C8C8C"/>
            </w:tcBorders>
          </w:tcPr>
          <w:p w14:paraId="5C0455CE"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2BB89198" w14:textId="280261E8" w:rsidR="002F5E12" w:rsidRPr="005F4295" w:rsidRDefault="003B3C8E">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Quantified</w:t>
            </w:r>
          </w:p>
        </w:tc>
        <w:tc>
          <w:tcPr>
            <w:tcW w:w="640" w:type="pct"/>
            <w:gridSpan w:val="3"/>
            <w:tcBorders>
              <w:left w:val="single" w:sz="4" w:space="0" w:color="8C8C8C"/>
            </w:tcBorders>
          </w:tcPr>
          <w:p w14:paraId="62B62C0A" w14:textId="13863F12" w:rsidR="002F5E12" w:rsidRPr="005F4295" w:rsidRDefault="0039705D">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rFonts w:ascii="EC Square Sans Cond Pro" w:hAnsi="EC Square Sans Cond Pro"/>
              </w:rPr>
              <w:t>32.2</w:t>
            </w:r>
          </w:p>
        </w:tc>
      </w:tr>
      <w:tr w:rsidR="002F5E12" w:rsidRPr="005F4295" w14:paraId="7A32C44C"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65EA1F4A" w14:textId="77777777" w:rsidR="002F5E12" w:rsidRPr="005F4295" w:rsidRDefault="002F5E12">
            <w:pPr>
              <w:rPr>
                <w:noProof/>
                <w:highlight w:val="lightGray"/>
              </w:rPr>
            </w:pPr>
          </w:p>
        </w:tc>
        <w:tc>
          <w:tcPr>
            <w:tcW w:w="1502" w:type="pct"/>
            <w:vMerge/>
            <w:tcBorders>
              <w:left w:val="single" w:sz="4" w:space="0" w:color="8C8C8C"/>
              <w:right w:val="single" w:sz="4" w:space="0" w:color="8C8C8C"/>
            </w:tcBorders>
          </w:tcPr>
          <w:p w14:paraId="61BF3DD6" w14:textId="77777777" w:rsidR="002F5E12" w:rsidRPr="005F4295" w:rsidRDefault="002F5E12">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p>
        </w:tc>
        <w:tc>
          <w:tcPr>
            <w:tcW w:w="932" w:type="pct"/>
            <w:tcBorders>
              <w:left w:val="single" w:sz="4" w:space="0" w:color="8C8C8C"/>
              <w:right w:val="single" w:sz="4" w:space="0" w:color="8C8C8C"/>
            </w:tcBorders>
          </w:tcPr>
          <w:p w14:paraId="00B4376D" w14:textId="44D1ED91" w:rsidR="002F5E12" w:rsidRPr="005F4295" w:rsidRDefault="00DF47DA">
            <w:pPr>
              <w:jc w:val="center"/>
              <w:cnfStyle w:val="000000000000" w:firstRow="0" w:lastRow="0" w:firstColumn="0" w:lastColumn="0" w:oddVBand="0" w:evenVBand="0" w:oddHBand="0" w:evenHBand="0" w:firstRowFirstColumn="0" w:firstRowLastColumn="0" w:lastRowFirstColumn="0" w:lastRowLastColumn="0"/>
            </w:pPr>
            <w:r w:rsidRPr="005F4295">
              <w:t>European Research Council Executive Agency</w:t>
            </w:r>
          </w:p>
        </w:tc>
        <w:tc>
          <w:tcPr>
            <w:tcW w:w="993" w:type="pct"/>
            <w:tcBorders>
              <w:left w:val="single" w:sz="4" w:space="0" w:color="8C8C8C"/>
              <w:right w:val="single" w:sz="4" w:space="0" w:color="8C8C8C"/>
            </w:tcBorders>
          </w:tcPr>
          <w:p w14:paraId="2BFA3C2C"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1CBF0DAB" w14:textId="023234EC" w:rsidR="002F5E12" w:rsidRPr="005F4295" w:rsidRDefault="003B3C8E">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Quantified</w:t>
            </w:r>
          </w:p>
        </w:tc>
        <w:tc>
          <w:tcPr>
            <w:tcW w:w="640" w:type="pct"/>
            <w:gridSpan w:val="3"/>
            <w:tcBorders>
              <w:left w:val="single" w:sz="4" w:space="0" w:color="8C8C8C"/>
            </w:tcBorders>
          </w:tcPr>
          <w:p w14:paraId="687C0E05" w14:textId="202E4233" w:rsidR="002F5E12" w:rsidRPr="005F4295" w:rsidRDefault="0039705D">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rFonts w:ascii="EC Square Sans Cond Pro" w:hAnsi="EC Square Sans Cond Pro"/>
              </w:rPr>
              <w:t>36.8</w:t>
            </w:r>
          </w:p>
        </w:tc>
      </w:tr>
      <w:tr w:rsidR="002F5E12" w:rsidRPr="005F4295" w14:paraId="41A8C79D"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7CF58651" w14:textId="77777777" w:rsidR="002F5E12" w:rsidRPr="005F4295" w:rsidRDefault="002F5E12">
            <w:pPr>
              <w:rPr>
                <w:noProof/>
                <w:highlight w:val="lightGray"/>
              </w:rPr>
            </w:pPr>
          </w:p>
        </w:tc>
        <w:tc>
          <w:tcPr>
            <w:tcW w:w="1502" w:type="pct"/>
            <w:vMerge/>
            <w:tcBorders>
              <w:left w:val="single" w:sz="4" w:space="0" w:color="8C8C8C"/>
              <w:right w:val="single" w:sz="4" w:space="0" w:color="8C8C8C"/>
            </w:tcBorders>
          </w:tcPr>
          <w:p w14:paraId="722ED320" w14:textId="77777777" w:rsidR="002F5E12" w:rsidRPr="005F4295" w:rsidRDefault="002F5E12">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p>
        </w:tc>
        <w:tc>
          <w:tcPr>
            <w:tcW w:w="932" w:type="pct"/>
            <w:tcBorders>
              <w:left w:val="single" w:sz="4" w:space="0" w:color="8C8C8C"/>
              <w:right w:val="single" w:sz="4" w:space="0" w:color="8C8C8C"/>
            </w:tcBorders>
          </w:tcPr>
          <w:p w14:paraId="09665CA7" w14:textId="4493B169" w:rsidR="002F5E12" w:rsidRPr="005F4295" w:rsidRDefault="00DF47DA">
            <w:pPr>
              <w:jc w:val="center"/>
              <w:cnfStyle w:val="000000000000" w:firstRow="0" w:lastRow="0" w:firstColumn="0" w:lastColumn="0" w:oddVBand="0" w:evenVBand="0" w:oddHBand="0" w:evenHBand="0" w:firstRowFirstColumn="0" w:firstRowLastColumn="0" w:lastRowFirstColumn="0" w:lastRowLastColumn="0"/>
            </w:pPr>
            <w:r w:rsidRPr="005F4295">
              <w:t>European Health and Digital Executive Agency</w:t>
            </w:r>
          </w:p>
        </w:tc>
        <w:tc>
          <w:tcPr>
            <w:tcW w:w="993" w:type="pct"/>
            <w:tcBorders>
              <w:left w:val="single" w:sz="4" w:space="0" w:color="8C8C8C"/>
              <w:right w:val="single" w:sz="4" w:space="0" w:color="8C8C8C"/>
            </w:tcBorders>
          </w:tcPr>
          <w:p w14:paraId="4D71ABCD"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36FD270B" w14:textId="3B5F6F68" w:rsidR="002F5E12" w:rsidRPr="005F4295" w:rsidRDefault="003B3C8E">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Quantified</w:t>
            </w:r>
          </w:p>
        </w:tc>
        <w:tc>
          <w:tcPr>
            <w:tcW w:w="640" w:type="pct"/>
            <w:gridSpan w:val="3"/>
            <w:tcBorders>
              <w:left w:val="single" w:sz="4" w:space="0" w:color="8C8C8C"/>
            </w:tcBorders>
          </w:tcPr>
          <w:p w14:paraId="28CFA990" w14:textId="29AE5BE5" w:rsidR="002F5E12" w:rsidRPr="005F4295" w:rsidRDefault="0039705D">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rFonts w:ascii="EC Square Sans Cond Pro" w:hAnsi="EC Square Sans Cond Pro"/>
              </w:rPr>
              <w:t>42.4</w:t>
            </w:r>
          </w:p>
        </w:tc>
      </w:tr>
      <w:tr w:rsidR="002F5E12" w:rsidRPr="005F4295" w14:paraId="2A5E2598"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02FEA4C3" w14:textId="77777777" w:rsidR="002F5E12" w:rsidRPr="005F4295" w:rsidRDefault="002F5E12">
            <w:pPr>
              <w:rPr>
                <w:noProof/>
                <w:highlight w:val="lightGray"/>
              </w:rPr>
            </w:pPr>
          </w:p>
        </w:tc>
        <w:tc>
          <w:tcPr>
            <w:tcW w:w="1502" w:type="pct"/>
            <w:vMerge/>
            <w:tcBorders>
              <w:left w:val="single" w:sz="4" w:space="0" w:color="8C8C8C"/>
              <w:right w:val="single" w:sz="4" w:space="0" w:color="8C8C8C"/>
            </w:tcBorders>
          </w:tcPr>
          <w:p w14:paraId="7E036E54" w14:textId="77777777" w:rsidR="002F5E12" w:rsidRPr="005F4295" w:rsidRDefault="002F5E12">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p>
        </w:tc>
        <w:tc>
          <w:tcPr>
            <w:tcW w:w="932" w:type="pct"/>
            <w:tcBorders>
              <w:left w:val="single" w:sz="4" w:space="0" w:color="8C8C8C"/>
              <w:right w:val="single" w:sz="4" w:space="0" w:color="8C8C8C"/>
            </w:tcBorders>
          </w:tcPr>
          <w:p w14:paraId="64AC9423" w14:textId="7109EBE6" w:rsidR="002F5E12" w:rsidRPr="005F4295" w:rsidRDefault="00DF47DA">
            <w:pPr>
              <w:jc w:val="center"/>
              <w:cnfStyle w:val="000000000000" w:firstRow="0" w:lastRow="0" w:firstColumn="0" w:lastColumn="0" w:oddVBand="0" w:evenVBand="0" w:oddHBand="0" w:evenHBand="0" w:firstRowFirstColumn="0" w:firstRowLastColumn="0" w:lastRowFirstColumn="0" w:lastRowLastColumn="0"/>
            </w:pPr>
            <w:r w:rsidRPr="005F4295">
              <w:t>European Research Executive Agency</w:t>
            </w:r>
          </w:p>
        </w:tc>
        <w:tc>
          <w:tcPr>
            <w:tcW w:w="993" w:type="pct"/>
            <w:tcBorders>
              <w:left w:val="single" w:sz="4" w:space="0" w:color="8C8C8C"/>
              <w:right w:val="single" w:sz="4" w:space="0" w:color="8C8C8C"/>
            </w:tcBorders>
          </w:tcPr>
          <w:p w14:paraId="4652056B"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4BBBEACA" w14:textId="4098FDCB" w:rsidR="002F5E12" w:rsidRPr="005F4295" w:rsidRDefault="003B3C8E">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Quantified</w:t>
            </w:r>
          </w:p>
        </w:tc>
        <w:tc>
          <w:tcPr>
            <w:tcW w:w="640" w:type="pct"/>
            <w:gridSpan w:val="3"/>
            <w:tcBorders>
              <w:left w:val="single" w:sz="4" w:space="0" w:color="8C8C8C"/>
            </w:tcBorders>
          </w:tcPr>
          <w:p w14:paraId="032B2CB1" w14:textId="210830F7" w:rsidR="002F5E12" w:rsidRPr="005F4295" w:rsidRDefault="0039705D">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rFonts w:ascii="EC Square Sans Cond Pro" w:hAnsi="EC Square Sans Cond Pro"/>
              </w:rPr>
              <w:t>32.3</w:t>
            </w:r>
          </w:p>
        </w:tc>
      </w:tr>
      <w:tr w:rsidR="002F5E12" w:rsidRPr="005F4295" w14:paraId="787B1D98"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78D500E6" w14:textId="77777777" w:rsidR="002F5E12" w:rsidRPr="005F4295" w:rsidRDefault="002F5E12">
            <w:pPr>
              <w:rPr>
                <w:noProof/>
                <w:highlight w:val="lightGray"/>
              </w:rPr>
            </w:pPr>
          </w:p>
        </w:tc>
        <w:tc>
          <w:tcPr>
            <w:tcW w:w="1502" w:type="pct"/>
            <w:vMerge/>
            <w:tcBorders>
              <w:left w:val="single" w:sz="4" w:space="0" w:color="8C8C8C"/>
              <w:right w:val="single" w:sz="4" w:space="0" w:color="8C8C8C"/>
            </w:tcBorders>
          </w:tcPr>
          <w:p w14:paraId="1E906FBE" w14:textId="77777777" w:rsidR="002F5E12" w:rsidRPr="005F4295" w:rsidRDefault="002F5E12">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p>
        </w:tc>
        <w:tc>
          <w:tcPr>
            <w:tcW w:w="932" w:type="pct"/>
            <w:tcBorders>
              <w:left w:val="single" w:sz="4" w:space="0" w:color="8C8C8C"/>
              <w:right w:val="single" w:sz="4" w:space="0" w:color="8C8C8C"/>
            </w:tcBorders>
          </w:tcPr>
          <w:p w14:paraId="261B8CFD" w14:textId="24ABBFD5" w:rsidR="002F5E12" w:rsidRPr="005F4295" w:rsidRDefault="00DF47DA">
            <w:pPr>
              <w:jc w:val="center"/>
              <w:cnfStyle w:val="000000000000" w:firstRow="0" w:lastRow="0" w:firstColumn="0" w:lastColumn="0" w:oddVBand="0" w:evenVBand="0" w:oddHBand="0" w:evenHBand="0" w:firstRowFirstColumn="0" w:firstRowLastColumn="0" w:lastRowFirstColumn="0" w:lastRowLastColumn="0"/>
            </w:pPr>
            <w:r w:rsidRPr="005F4295">
              <w:t>DG for Mobility and Transport</w:t>
            </w:r>
          </w:p>
        </w:tc>
        <w:tc>
          <w:tcPr>
            <w:tcW w:w="993" w:type="pct"/>
            <w:tcBorders>
              <w:left w:val="single" w:sz="4" w:space="0" w:color="8C8C8C"/>
              <w:right w:val="single" w:sz="4" w:space="0" w:color="8C8C8C"/>
            </w:tcBorders>
          </w:tcPr>
          <w:p w14:paraId="2176142F"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09FC8BE6" w14:textId="7EBC924C" w:rsidR="002F5E12" w:rsidRPr="005F4295" w:rsidRDefault="003B3C8E">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Quantified</w:t>
            </w:r>
          </w:p>
        </w:tc>
        <w:tc>
          <w:tcPr>
            <w:tcW w:w="640" w:type="pct"/>
            <w:gridSpan w:val="3"/>
            <w:tcBorders>
              <w:left w:val="single" w:sz="4" w:space="0" w:color="8C8C8C"/>
            </w:tcBorders>
          </w:tcPr>
          <w:p w14:paraId="388F9CB2" w14:textId="524B463A" w:rsidR="002F5E12" w:rsidRPr="005F4295" w:rsidRDefault="0039705D">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rFonts w:ascii="EC Square Sans Cond Pro" w:hAnsi="EC Square Sans Cond Pro"/>
              </w:rPr>
              <w:t>2.8</w:t>
            </w:r>
          </w:p>
        </w:tc>
      </w:tr>
      <w:tr w:rsidR="002F5E12" w:rsidRPr="005F4295" w14:paraId="74EC331E"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262B549E" w14:textId="77777777" w:rsidR="002F5E12" w:rsidRPr="005F4295" w:rsidRDefault="002F5E12">
            <w:pPr>
              <w:rPr>
                <w:noProof/>
                <w:highlight w:val="lightGray"/>
              </w:rPr>
            </w:pPr>
          </w:p>
        </w:tc>
        <w:tc>
          <w:tcPr>
            <w:tcW w:w="1502" w:type="pct"/>
            <w:vMerge/>
            <w:tcBorders>
              <w:left w:val="single" w:sz="4" w:space="0" w:color="8C8C8C"/>
              <w:right w:val="single" w:sz="4" w:space="0" w:color="8C8C8C"/>
            </w:tcBorders>
          </w:tcPr>
          <w:p w14:paraId="675A09BD" w14:textId="77777777" w:rsidR="002F5E12" w:rsidRPr="005F4295" w:rsidRDefault="002F5E12">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p>
        </w:tc>
        <w:tc>
          <w:tcPr>
            <w:tcW w:w="932" w:type="pct"/>
            <w:tcBorders>
              <w:left w:val="single" w:sz="4" w:space="0" w:color="8C8C8C"/>
              <w:right w:val="single" w:sz="4" w:space="0" w:color="8C8C8C"/>
            </w:tcBorders>
          </w:tcPr>
          <w:p w14:paraId="0434776C" w14:textId="65FFFF25" w:rsidR="002F5E12" w:rsidRPr="005F4295" w:rsidRDefault="00DF47DA">
            <w:pPr>
              <w:jc w:val="center"/>
              <w:cnfStyle w:val="000000000000" w:firstRow="0" w:lastRow="0" w:firstColumn="0" w:lastColumn="0" w:oddVBand="0" w:evenVBand="0" w:oddHBand="0" w:evenHBand="0" w:firstRowFirstColumn="0" w:firstRowLastColumn="0" w:lastRowFirstColumn="0" w:lastRowLastColumn="0"/>
            </w:pPr>
            <w:r w:rsidRPr="005F4295">
              <w:t>DG Research</w:t>
            </w:r>
            <w:r w:rsidR="00185C51" w:rsidRPr="005F4295">
              <w:t xml:space="preserve"> </w:t>
            </w:r>
            <w:r w:rsidRPr="005F4295">
              <w:t>and Innovation</w:t>
            </w:r>
          </w:p>
        </w:tc>
        <w:tc>
          <w:tcPr>
            <w:tcW w:w="993" w:type="pct"/>
            <w:tcBorders>
              <w:left w:val="single" w:sz="4" w:space="0" w:color="8C8C8C"/>
              <w:right w:val="single" w:sz="4" w:space="0" w:color="8C8C8C"/>
            </w:tcBorders>
          </w:tcPr>
          <w:p w14:paraId="5272169C"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6BD622F4" w14:textId="64DA64F8" w:rsidR="002F5E12" w:rsidRPr="005F4295" w:rsidRDefault="003B3C8E">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Quantified</w:t>
            </w:r>
          </w:p>
        </w:tc>
        <w:tc>
          <w:tcPr>
            <w:tcW w:w="640" w:type="pct"/>
            <w:gridSpan w:val="3"/>
            <w:tcBorders>
              <w:left w:val="single" w:sz="4" w:space="0" w:color="8C8C8C"/>
            </w:tcBorders>
          </w:tcPr>
          <w:p w14:paraId="1107D7BD" w14:textId="2CD1F863" w:rsidR="002F5E12" w:rsidRPr="005F4295" w:rsidRDefault="0039705D">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rFonts w:ascii="EC Square Sans Cond Pro" w:hAnsi="EC Square Sans Cond Pro"/>
              </w:rPr>
              <w:t>26</w:t>
            </w:r>
          </w:p>
        </w:tc>
      </w:tr>
      <w:tr w:rsidR="002F5E12" w:rsidRPr="005F4295" w14:paraId="27812F63"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7A1BD856" w14:textId="77777777" w:rsidR="002F5E12" w:rsidRPr="005F4295" w:rsidRDefault="002F5E12">
            <w:pPr>
              <w:rPr>
                <w:noProof/>
                <w:highlight w:val="lightGray"/>
              </w:rPr>
            </w:pPr>
          </w:p>
        </w:tc>
        <w:tc>
          <w:tcPr>
            <w:tcW w:w="1502" w:type="pct"/>
            <w:vMerge w:val="restart"/>
            <w:tcBorders>
              <w:left w:val="single" w:sz="4" w:space="0" w:color="8C8C8C"/>
              <w:right w:val="single" w:sz="4" w:space="0" w:color="8C8C8C"/>
            </w:tcBorders>
          </w:tcPr>
          <w:p w14:paraId="19474DE3" w14:textId="03BB702D" w:rsidR="002F5E12" w:rsidRPr="005F4295" w:rsidRDefault="00DD7D53">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r w:rsidRPr="005F4295">
              <w:rPr>
                <w:sz w:val="20"/>
                <w:szCs w:val="20"/>
              </w:rPr>
              <w:t xml:space="preserve">Reservation concerning the rate of the residual error within grant payments in the </w:t>
            </w:r>
            <w:r w:rsidR="00185C51" w:rsidRPr="005F4295">
              <w:rPr>
                <w:sz w:val="20"/>
                <w:szCs w:val="20"/>
              </w:rPr>
              <w:t>d</w:t>
            </w:r>
            <w:r w:rsidRPr="005F4295">
              <w:rPr>
                <w:sz w:val="20"/>
                <w:szCs w:val="20"/>
              </w:rPr>
              <w:t xml:space="preserve">igital Europe </w:t>
            </w:r>
            <w:r w:rsidR="00185C51" w:rsidRPr="005F4295">
              <w:rPr>
                <w:sz w:val="20"/>
                <w:szCs w:val="20"/>
              </w:rPr>
              <w:t>p</w:t>
            </w:r>
            <w:r w:rsidRPr="005F4295">
              <w:rPr>
                <w:sz w:val="20"/>
                <w:szCs w:val="20"/>
              </w:rPr>
              <w:t xml:space="preserve">rogramme </w:t>
            </w:r>
          </w:p>
        </w:tc>
        <w:tc>
          <w:tcPr>
            <w:tcW w:w="932" w:type="pct"/>
            <w:tcBorders>
              <w:left w:val="single" w:sz="4" w:space="0" w:color="8C8C8C"/>
              <w:right w:val="single" w:sz="4" w:space="0" w:color="8C8C8C"/>
            </w:tcBorders>
          </w:tcPr>
          <w:p w14:paraId="5F83ADA4" w14:textId="01C363E8" w:rsidR="002F5E12" w:rsidRPr="005F4295" w:rsidRDefault="00AD36B3">
            <w:pPr>
              <w:jc w:val="center"/>
              <w:cnfStyle w:val="000000000000" w:firstRow="0" w:lastRow="0" w:firstColumn="0" w:lastColumn="0" w:oddVBand="0" w:evenVBand="0" w:oddHBand="0" w:evenHBand="0" w:firstRowFirstColumn="0" w:firstRowLastColumn="0" w:lastRowFirstColumn="0" w:lastRowLastColumn="0"/>
            </w:pPr>
            <w:r w:rsidRPr="005F4295">
              <w:t>DG Communications Networks, Content and Technology</w:t>
            </w:r>
          </w:p>
        </w:tc>
        <w:tc>
          <w:tcPr>
            <w:tcW w:w="993" w:type="pct"/>
            <w:tcBorders>
              <w:left w:val="single" w:sz="4" w:space="0" w:color="8C8C8C"/>
              <w:right w:val="single" w:sz="4" w:space="0" w:color="8C8C8C"/>
            </w:tcBorders>
          </w:tcPr>
          <w:p w14:paraId="38D4E116"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59A964E9" w14:textId="220583F6" w:rsidR="002F5E12" w:rsidRPr="005F4295" w:rsidRDefault="00F36B8A">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Quantified</w:t>
            </w:r>
          </w:p>
        </w:tc>
        <w:tc>
          <w:tcPr>
            <w:tcW w:w="640" w:type="pct"/>
            <w:gridSpan w:val="3"/>
            <w:tcBorders>
              <w:left w:val="single" w:sz="4" w:space="0" w:color="8C8C8C"/>
            </w:tcBorders>
          </w:tcPr>
          <w:p w14:paraId="529133E8" w14:textId="0796B94B" w:rsidR="002F5E12" w:rsidRPr="005F4295" w:rsidRDefault="009473AF">
            <w:pPr>
              <w:jc w:val="center"/>
              <w:cnfStyle w:val="000000000000" w:firstRow="0" w:lastRow="0" w:firstColumn="0" w:lastColumn="0" w:oddVBand="0" w:evenVBand="0" w:oddHBand="0" w:evenHBand="0" w:firstRowFirstColumn="0" w:firstRowLastColumn="0" w:lastRowFirstColumn="0" w:lastRowLastColumn="0"/>
              <w:rPr>
                <w:rFonts w:ascii="EC Square Sans Cond Pro" w:hAnsi="EC Square Sans Cond Pro"/>
              </w:rPr>
            </w:pPr>
            <w:r w:rsidRPr="005F4295">
              <w:rPr>
                <w:rFonts w:ascii="EC Square Sans Cond Pro" w:hAnsi="EC Square Sans Cond Pro"/>
              </w:rPr>
              <w:t>10.1</w:t>
            </w:r>
          </w:p>
        </w:tc>
      </w:tr>
      <w:tr w:rsidR="002F5E12" w:rsidRPr="005F4295" w14:paraId="50CEAD82"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2203B638" w14:textId="77777777" w:rsidR="002F5E12" w:rsidRPr="005F4295" w:rsidRDefault="002F5E12">
            <w:pPr>
              <w:rPr>
                <w:noProof/>
                <w:highlight w:val="lightGray"/>
              </w:rPr>
            </w:pPr>
          </w:p>
        </w:tc>
        <w:tc>
          <w:tcPr>
            <w:tcW w:w="1502" w:type="pct"/>
            <w:vMerge/>
            <w:tcBorders>
              <w:left w:val="single" w:sz="4" w:space="0" w:color="8C8C8C"/>
              <w:right w:val="single" w:sz="4" w:space="0" w:color="8C8C8C"/>
            </w:tcBorders>
          </w:tcPr>
          <w:p w14:paraId="0372403D" w14:textId="77777777" w:rsidR="002F5E12" w:rsidRPr="005F4295" w:rsidRDefault="002F5E12">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p>
        </w:tc>
        <w:tc>
          <w:tcPr>
            <w:tcW w:w="932" w:type="pct"/>
            <w:tcBorders>
              <w:left w:val="single" w:sz="4" w:space="0" w:color="8C8C8C"/>
              <w:right w:val="single" w:sz="4" w:space="0" w:color="8C8C8C"/>
            </w:tcBorders>
          </w:tcPr>
          <w:p w14:paraId="511718FC" w14:textId="3FDC6E9C" w:rsidR="002F5E12" w:rsidRPr="005F4295" w:rsidRDefault="00AD36B3">
            <w:pPr>
              <w:jc w:val="center"/>
              <w:cnfStyle w:val="000000000000" w:firstRow="0" w:lastRow="0" w:firstColumn="0" w:lastColumn="0" w:oddVBand="0" w:evenVBand="0" w:oddHBand="0" w:evenHBand="0" w:firstRowFirstColumn="0" w:firstRowLastColumn="0" w:lastRowFirstColumn="0" w:lastRowLastColumn="0"/>
            </w:pPr>
            <w:r w:rsidRPr="005F4295">
              <w:t>European Health and Digital Executive Agency</w:t>
            </w:r>
          </w:p>
        </w:tc>
        <w:tc>
          <w:tcPr>
            <w:tcW w:w="993" w:type="pct"/>
            <w:tcBorders>
              <w:left w:val="single" w:sz="4" w:space="0" w:color="8C8C8C"/>
              <w:right w:val="single" w:sz="4" w:space="0" w:color="8C8C8C"/>
            </w:tcBorders>
          </w:tcPr>
          <w:p w14:paraId="367B6053"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7E26578E" w14:textId="3F34DE91" w:rsidR="002F5E12" w:rsidRPr="005F4295" w:rsidRDefault="00F36B8A">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Quantified</w:t>
            </w:r>
          </w:p>
        </w:tc>
        <w:tc>
          <w:tcPr>
            <w:tcW w:w="640" w:type="pct"/>
            <w:gridSpan w:val="3"/>
            <w:tcBorders>
              <w:left w:val="single" w:sz="4" w:space="0" w:color="8C8C8C"/>
            </w:tcBorders>
          </w:tcPr>
          <w:p w14:paraId="1FF9E4E3" w14:textId="3C4F2114" w:rsidR="002F5E12" w:rsidRPr="005F4295" w:rsidRDefault="009473AF">
            <w:pPr>
              <w:jc w:val="center"/>
              <w:cnfStyle w:val="000000000000" w:firstRow="0" w:lastRow="0" w:firstColumn="0" w:lastColumn="0" w:oddVBand="0" w:evenVBand="0" w:oddHBand="0" w:evenHBand="0" w:firstRowFirstColumn="0" w:firstRowLastColumn="0" w:lastRowFirstColumn="0" w:lastRowLastColumn="0"/>
              <w:rPr>
                <w:rFonts w:ascii="EC Square Sans Cond Pro" w:hAnsi="EC Square Sans Cond Pro"/>
              </w:rPr>
            </w:pPr>
            <w:r w:rsidRPr="005F4295">
              <w:rPr>
                <w:rFonts w:ascii="EC Square Sans Cond Pro" w:hAnsi="EC Square Sans Cond Pro"/>
              </w:rPr>
              <w:t>1.9</w:t>
            </w:r>
          </w:p>
        </w:tc>
      </w:tr>
      <w:tr w:rsidR="002F5E12" w:rsidRPr="005F4295" w14:paraId="128DAA94"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25A807DB" w14:textId="77777777" w:rsidR="002F5E12" w:rsidRPr="005F4295" w:rsidRDefault="002F5E12">
            <w:pPr>
              <w:rPr>
                <w:noProof/>
                <w:highlight w:val="lightGray"/>
              </w:rPr>
            </w:pPr>
          </w:p>
        </w:tc>
        <w:tc>
          <w:tcPr>
            <w:tcW w:w="1502" w:type="pct"/>
            <w:vMerge w:val="restart"/>
            <w:tcBorders>
              <w:left w:val="single" w:sz="4" w:space="0" w:color="8C8C8C"/>
              <w:right w:val="single" w:sz="4" w:space="0" w:color="8C8C8C"/>
            </w:tcBorders>
          </w:tcPr>
          <w:p w14:paraId="3A422C59" w14:textId="1E432897" w:rsidR="002F5E12" w:rsidRPr="005F4295" w:rsidRDefault="0004420D">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r w:rsidRPr="005F4295">
              <w:rPr>
                <w:noProof/>
                <w:sz w:val="20"/>
                <w:szCs w:val="20"/>
              </w:rPr>
              <w:t>Reservation on reputational grounds concerning weaknesses affecting the European Innovation Council</w:t>
            </w:r>
          </w:p>
        </w:tc>
        <w:tc>
          <w:tcPr>
            <w:tcW w:w="932" w:type="pct"/>
            <w:tcBorders>
              <w:left w:val="single" w:sz="4" w:space="0" w:color="8C8C8C"/>
              <w:right w:val="single" w:sz="4" w:space="0" w:color="8C8C8C"/>
            </w:tcBorders>
          </w:tcPr>
          <w:p w14:paraId="17AC2E16" w14:textId="068C1A6A" w:rsidR="002F5E12" w:rsidRPr="005F4295" w:rsidRDefault="00AD36B3">
            <w:pPr>
              <w:jc w:val="center"/>
              <w:cnfStyle w:val="000000000000" w:firstRow="0" w:lastRow="0" w:firstColumn="0" w:lastColumn="0" w:oddVBand="0" w:evenVBand="0" w:oddHBand="0" w:evenHBand="0" w:firstRowFirstColumn="0" w:firstRowLastColumn="0" w:lastRowFirstColumn="0" w:lastRowLastColumn="0"/>
            </w:pPr>
            <w:r w:rsidRPr="005F4295">
              <w:t>European Innovation Council and SMEs Executive Agency</w:t>
            </w:r>
          </w:p>
        </w:tc>
        <w:tc>
          <w:tcPr>
            <w:tcW w:w="993" w:type="pct"/>
            <w:tcBorders>
              <w:left w:val="single" w:sz="4" w:space="0" w:color="8C8C8C"/>
              <w:right w:val="single" w:sz="4" w:space="0" w:color="8C8C8C"/>
            </w:tcBorders>
          </w:tcPr>
          <w:p w14:paraId="1DDEE7EB"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4370B265" w14:textId="48CB14C9" w:rsidR="002F5E12" w:rsidRPr="005F4295" w:rsidRDefault="00643C69">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Non-</w:t>
            </w:r>
            <w:r w:rsidR="00185C51" w:rsidRPr="005F4295">
              <w:rPr>
                <w:rFonts w:ascii="EC Square Sans Cond Pro" w:hAnsi="EC Square Sans Cond Pro"/>
              </w:rPr>
              <w:t>q</w:t>
            </w:r>
            <w:r w:rsidRPr="005F4295">
              <w:rPr>
                <w:rFonts w:ascii="EC Square Sans Cond Pro" w:hAnsi="EC Square Sans Cond Pro"/>
              </w:rPr>
              <w:t>uantified</w:t>
            </w:r>
          </w:p>
        </w:tc>
        <w:tc>
          <w:tcPr>
            <w:tcW w:w="640" w:type="pct"/>
            <w:gridSpan w:val="3"/>
            <w:tcBorders>
              <w:left w:val="single" w:sz="4" w:space="0" w:color="8C8C8C"/>
            </w:tcBorders>
          </w:tcPr>
          <w:p w14:paraId="5578B391" w14:textId="1ACD7B7D" w:rsidR="002F5E12" w:rsidRPr="005F4295" w:rsidRDefault="000B2B6A">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rFonts w:ascii="EC Square Sans Cond Pro" w:hAnsi="EC Square Sans Cond Pro"/>
                <w:sz w:val="24"/>
                <w:szCs w:val="24"/>
              </w:rPr>
              <w:t>—</w:t>
            </w:r>
          </w:p>
        </w:tc>
      </w:tr>
      <w:tr w:rsidR="002F5E12" w:rsidRPr="005F4295" w14:paraId="28E1572F"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5FD5AEA1" w14:textId="77777777" w:rsidR="002F5E12" w:rsidRPr="005F4295" w:rsidRDefault="002F5E12">
            <w:pPr>
              <w:rPr>
                <w:noProof/>
                <w:highlight w:val="lightGray"/>
              </w:rPr>
            </w:pPr>
          </w:p>
        </w:tc>
        <w:tc>
          <w:tcPr>
            <w:tcW w:w="1502" w:type="pct"/>
            <w:vMerge/>
            <w:tcBorders>
              <w:left w:val="single" w:sz="4" w:space="0" w:color="8C8C8C"/>
              <w:right w:val="single" w:sz="4" w:space="0" w:color="8C8C8C"/>
            </w:tcBorders>
          </w:tcPr>
          <w:p w14:paraId="23993F8A" w14:textId="77777777" w:rsidR="002F5E12" w:rsidRPr="005F4295" w:rsidRDefault="002F5E12">
            <w:pPr>
              <w:pStyle w:val="TableParagraph"/>
              <w:spacing w:before="60" w:after="60" w:line="264" w:lineRule="auto"/>
              <w:cnfStyle w:val="000000000000" w:firstRow="0" w:lastRow="0" w:firstColumn="0" w:lastColumn="0" w:oddVBand="0" w:evenVBand="0" w:oddHBand="0" w:evenHBand="0" w:firstRowFirstColumn="0" w:firstRowLastColumn="0" w:lastRowFirstColumn="0" w:lastRowLastColumn="0"/>
              <w:rPr>
                <w:noProof/>
                <w:sz w:val="20"/>
                <w:szCs w:val="20"/>
                <w:highlight w:val="lightGray"/>
              </w:rPr>
            </w:pPr>
          </w:p>
        </w:tc>
        <w:tc>
          <w:tcPr>
            <w:tcW w:w="932" w:type="pct"/>
            <w:tcBorders>
              <w:left w:val="single" w:sz="4" w:space="0" w:color="8C8C8C"/>
              <w:right w:val="single" w:sz="4" w:space="0" w:color="8C8C8C"/>
            </w:tcBorders>
          </w:tcPr>
          <w:p w14:paraId="49275DEF" w14:textId="31E943D4" w:rsidR="002F5E12" w:rsidRPr="005F4295" w:rsidRDefault="00AD36B3">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t>DG Research</w:t>
            </w:r>
            <w:r w:rsidR="00185C51" w:rsidRPr="005F4295">
              <w:t xml:space="preserve"> </w:t>
            </w:r>
            <w:r w:rsidRPr="005F4295">
              <w:t>and Innovation</w:t>
            </w:r>
          </w:p>
        </w:tc>
        <w:tc>
          <w:tcPr>
            <w:tcW w:w="993" w:type="pct"/>
            <w:tcBorders>
              <w:left w:val="single" w:sz="4" w:space="0" w:color="8C8C8C"/>
              <w:right w:val="single" w:sz="4" w:space="0" w:color="8C8C8C"/>
            </w:tcBorders>
          </w:tcPr>
          <w:p w14:paraId="21963BF0" w14:textId="77777777" w:rsidR="003F66C3" w:rsidRPr="005F4295" w:rsidRDefault="003F66C3" w:rsidP="003F66C3">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064B7AA3" w14:textId="5CDBE991" w:rsidR="002F5E12" w:rsidRPr="005F4295" w:rsidRDefault="00643C69">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rFonts w:ascii="EC Square Sans Cond Pro" w:hAnsi="EC Square Sans Cond Pro"/>
              </w:rPr>
              <w:t>Non-</w:t>
            </w:r>
            <w:r w:rsidR="00185C51" w:rsidRPr="005F4295">
              <w:rPr>
                <w:rFonts w:ascii="EC Square Sans Cond Pro" w:hAnsi="EC Square Sans Cond Pro"/>
              </w:rPr>
              <w:t>q</w:t>
            </w:r>
            <w:r w:rsidRPr="005F4295">
              <w:rPr>
                <w:rFonts w:ascii="EC Square Sans Cond Pro" w:hAnsi="EC Square Sans Cond Pro"/>
              </w:rPr>
              <w:t>uantified</w:t>
            </w:r>
          </w:p>
        </w:tc>
        <w:tc>
          <w:tcPr>
            <w:tcW w:w="640" w:type="pct"/>
            <w:gridSpan w:val="3"/>
            <w:tcBorders>
              <w:left w:val="single" w:sz="4" w:space="0" w:color="8C8C8C"/>
            </w:tcBorders>
          </w:tcPr>
          <w:p w14:paraId="18AC6668" w14:textId="6A89F662" w:rsidR="002F5E12" w:rsidRPr="005F4295" w:rsidRDefault="000B2B6A">
            <w:pPr>
              <w:jc w:val="center"/>
              <w:cnfStyle w:val="000000000000" w:firstRow="0" w:lastRow="0" w:firstColumn="0" w:lastColumn="0" w:oddVBand="0" w:evenVBand="0" w:oddHBand="0" w:evenHBand="0" w:firstRowFirstColumn="0" w:firstRowLastColumn="0" w:lastRowFirstColumn="0" w:lastRowLastColumn="0"/>
              <w:rPr>
                <w:noProof/>
                <w:highlight w:val="lightGray"/>
              </w:rPr>
            </w:pPr>
            <w:r w:rsidRPr="005F4295">
              <w:rPr>
                <w:rFonts w:ascii="EC Square Sans Cond Pro" w:hAnsi="EC Square Sans Cond Pro"/>
                <w:sz w:val="24"/>
                <w:szCs w:val="24"/>
              </w:rPr>
              <w:t>—</w:t>
            </w:r>
          </w:p>
        </w:tc>
      </w:tr>
      <w:tr w:rsidR="00EB70E0" w:rsidRPr="005F4295" w14:paraId="2794E099" w14:textId="77777777">
        <w:trPr>
          <w:gridAfter w:val="1"/>
          <w:wAfter w:w="29" w:type="pct"/>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val="restart"/>
            <w:tcBorders>
              <w:right w:val="single" w:sz="4" w:space="0" w:color="8C8C8C"/>
            </w:tcBorders>
          </w:tcPr>
          <w:p w14:paraId="19C21386" w14:textId="7B9C3970" w:rsidR="00EB70E0" w:rsidRPr="005F4295" w:rsidRDefault="00EB70E0">
            <w:bookmarkStart w:id="45" w:name="_Hlk196814697"/>
            <w:r w:rsidRPr="005F4295">
              <w:t>Cohesion</w:t>
            </w:r>
            <w:r w:rsidR="00A263C5" w:rsidRPr="005F4295">
              <w:t>,</w:t>
            </w:r>
            <w:r w:rsidRPr="005F4295">
              <w:t xml:space="preserve"> resilience and values</w:t>
            </w:r>
          </w:p>
        </w:tc>
        <w:tc>
          <w:tcPr>
            <w:tcW w:w="1502" w:type="pct"/>
            <w:tcBorders>
              <w:left w:val="single" w:sz="4" w:space="0" w:color="8C8C8C"/>
              <w:right w:val="single" w:sz="4" w:space="0" w:color="8C8C8C"/>
            </w:tcBorders>
          </w:tcPr>
          <w:p w14:paraId="06B3BB67" w14:textId="77777777" w:rsidR="005A0676" w:rsidRPr="005F4295" w:rsidRDefault="005A0676" w:rsidP="005A0676">
            <w:pPr>
              <w:pStyle w:val="TableParagraph"/>
              <w:spacing w:before="60" w:after="60"/>
              <w:cnfStyle w:val="000000000000" w:firstRow="0" w:lastRow="0" w:firstColumn="0" w:lastColumn="0" w:oddVBand="0" w:evenVBand="0" w:oddHBand="0" w:evenHBand="0" w:firstRowFirstColumn="0" w:firstRowLastColumn="0" w:lastRowFirstColumn="0" w:lastRowLastColumn="0"/>
              <w:rPr>
                <w:noProof/>
                <w:sz w:val="20"/>
                <w:szCs w:val="20"/>
              </w:rPr>
            </w:pPr>
            <w:r w:rsidRPr="005F4295">
              <w:rPr>
                <w:noProof/>
                <w:sz w:val="20"/>
                <w:szCs w:val="20"/>
              </w:rPr>
              <w:t xml:space="preserve">European Social Fund Plus management and control systems  </w:t>
            </w:r>
          </w:p>
          <w:p w14:paraId="068E4F9B" w14:textId="0AF7EA2C" w:rsidR="00EB70E0" w:rsidRPr="005F4295" w:rsidRDefault="008C0A89">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sz w:val="20"/>
                <w:szCs w:val="20"/>
              </w:rPr>
            </w:pPr>
            <w:r w:rsidRPr="005F4295">
              <w:rPr>
                <w:noProof/>
                <w:sz w:val="20"/>
                <w:szCs w:val="20"/>
              </w:rPr>
              <w:t>(12 programmes in 9 Member States)</w:t>
            </w:r>
          </w:p>
        </w:tc>
        <w:tc>
          <w:tcPr>
            <w:tcW w:w="932" w:type="pct"/>
            <w:tcBorders>
              <w:left w:val="single" w:sz="4" w:space="0" w:color="8C8C8C"/>
              <w:right w:val="single" w:sz="4" w:space="0" w:color="8C8C8C"/>
            </w:tcBorders>
          </w:tcPr>
          <w:p w14:paraId="1C90A5A8" w14:textId="7318BC1D"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DG Employment</w:t>
            </w:r>
            <w:r w:rsidR="00244417" w:rsidRPr="005F4295">
              <w:t>.</w:t>
            </w:r>
            <w:r w:rsidRPr="005F4295">
              <w:t xml:space="preserve"> Social Affairs and Inclusion</w:t>
            </w:r>
          </w:p>
        </w:tc>
        <w:tc>
          <w:tcPr>
            <w:tcW w:w="993" w:type="pct"/>
            <w:tcBorders>
              <w:left w:val="single" w:sz="4" w:space="0" w:color="8C8C8C"/>
              <w:right w:val="single" w:sz="4" w:space="0" w:color="8C8C8C"/>
            </w:tcBorders>
          </w:tcPr>
          <w:p w14:paraId="6CEF1295" w14:textId="353AE7A9" w:rsidR="00EB70E0" w:rsidRPr="005F4295" w:rsidRDefault="008C0A89">
            <w:pPr>
              <w:jc w:val="center"/>
              <w:cnfStyle w:val="000000000000" w:firstRow="0" w:lastRow="0" w:firstColumn="0" w:lastColumn="0" w:oddVBand="0" w:evenVBand="0" w:oddHBand="0" w:evenHBand="0" w:firstRowFirstColumn="0" w:firstRowLastColumn="0" w:lastRowFirstColumn="0" w:lastRowLastColumn="0"/>
              <w:rPr>
                <w:i/>
                <w:color w:val="FF0000"/>
              </w:rPr>
            </w:pPr>
            <w:r w:rsidRPr="005F4295">
              <w:rPr>
                <w:noProof/>
              </w:rPr>
              <w:t>Quantified</w:t>
            </w:r>
          </w:p>
        </w:tc>
        <w:tc>
          <w:tcPr>
            <w:tcW w:w="640" w:type="pct"/>
            <w:gridSpan w:val="2"/>
            <w:tcBorders>
              <w:left w:val="single" w:sz="4" w:space="0" w:color="8C8C8C"/>
            </w:tcBorders>
          </w:tcPr>
          <w:p w14:paraId="2AA8C4DB" w14:textId="2FD61F34" w:rsidR="00EB70E0" w:rsidRPr="005F4295" w:rsidRDefault="008C0A89">
            <w:pPr>
              <w:jc w:val="center"/>
              <w:cnfStyle w:val="000000000000" w:firstRow="0" w:lastRow="0" w:firstColumn="0" w:lastColumn="0" w:oddVBand="0" w:evenVBand="0" w:oddHBand="0" w:evenHBand="0" w:firstRowFirstColumn="0" w:firstRowLastColumn="0" w:lastRowFirstColumn="0" w:lastRowLastColumn="0"/>
              <w:rPr>
                <w:rFonts w:ascii="EC Square Sans Cond Pro" w:hAnsi="EC Square Sans Cond Pro"/>
              </w:rPr>
            </w:pPr>
            <w:r w:rsidRPr="005F4295">
              <w:rPr>
                <w:rFonts w:ascii="EC Square Sans Cond Pro" w:hAnsi="EC Square Sans Cond Pro"/>
              </w:rPr>
              <w:t>12.9</w:t>
            </w:r>
          </w:p>
        </w:tc>
      </w:tr>
      <w:bookmarkEnd w:id="45"/>
      <w:tr w:rsidR="00EB70E0" w:rsidRPr="005F4295" w14:paraId="44178949" w14:textId="77777777">
        <w:trPr>
          <w:gridAfter w:val="1"/>
          <w:wAfter w:w="29" w:type="pct"/>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Pr>
          <w:p w14:paraId="15791BA9" w14:textId="77777777" w:rsidR="00EB70E0" w:rsidRPr="005F4295" w:rsidRDefault="00EB70E0">
            <w:pPr>
              <w:rPr>
                <w:noProof/>
                <w:highlight w:val="lightGray"/>
              </w:rPr>
            </w:pPr>
          </w:p>
        </w:tc>
        <w:tc>
          <w:tcPr>
            <w:tcW w:w="1502" w:type="pct"/>
            <w:tcBorders>
              <w:left w:val="single" w:sz="4" w:space="0" w:color="8C8C8C"/>
              <w:right w:val="single" w:sz="4" w:space="0" w:color="8C8C8C"/>
            </w:tcBorders>
          </w:tcPr>
          <w:p w14:paraId="6226E035" w14:textId="77777777" w:rsidR="00EB70E0" w:rsidRPr="005F4295" w:rsidRDefault="00EB70E0">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sz w:val="20"/>
                <w:szCs w:val="20"/>
              </w:rPr>
            </w:pPr>
            <w:r w:rsidRPr="005F4295">
              <w:rPr>
                <w:sz w:val="20"/>
                <w:szCs w:val="20"/>
              </w:rPr>
              <w:t>European Regional Development Fund</w:t>
            </w:r>
            <w:r w:rsidRPr="005F4295">
              <w:rPr>
                <w:rFonts w:ascii="Calibri" w:hAnsi="Calibri" w:cs="Calibri"/>
                <w:sz w:val="20"/>
                <w:szCs w:val="20"/>
              </w:rPr>
              <w:t> </w:t>
            </w:r>
            <w:r w:rsidRPr="005F4295">
              <w:rPr>
                <w:sz w:val="20"/>
                <w:szCs w:val="20"/>
              </w:rPr>
              <w:t>/ Cohesion Fund</w:t>
            </w:r>
            <w:r w:rsidRPr="005F4295">
              <w:rPr>
                <w:rFonts w:ascii="Calibri" w:hAnsi="Calibri" w:cs="Calibri"/>
                <w:sz w:val="20"/>
                <w:szCs w:val="20"/>
              </w:rPr>
              <w:t> </w:t>
            </w:r>
            <w:r w:rsidRPr="005F4295">
              <w:rPr>
                <w:sz w:val="20"/>
                <w:szCs w:val="20"/>
              </w:rPr>
              <w:t>/ Just Transition Fund</w:t>
            </w:r>
          </w:p>
          <w:p w14:paraId="08744BD7" w14:textId="21048740" w:rsidR="00EB70E0" w:rsidRPr="005F4295" w:rsidRDefault="00EB70E0">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sz w:val="20"/>
                <w:szCs w:val="20"/>
              </w:rPr>
            </w:pPr>
            <w:r w:rsidRPr="005F4295">
              <w:rPr>
                <w:sz w:val="20"/>
                <w:szCs w:val="20"/>
              </w:rPr>
              <w:t>(</w:t>
            </w:r>
            <w:r w:rsidR="008C0A89" w:rsidRPr="005F4295">
              <w:rPr>
                <w:noProof/>
                <w:sz w:val="20"/>
                <w:szCs w:val="20"/>
              </w:rPr>
              <w:t>16</w:t>
            </w:r>
            <w:r w:rsidRPr="005F4295">
              <w:rPr>
                <w:sz w:val="20"/>
                <w:szCs w:val="20"/>
              </w:rPr>
              <w:t xml:space="preserve"> programmes in </w:t>
            </w:r>
            <w:r w:rsidR="008C0A89" w:rsidRPr="005F4295">
              <w:rPr>
                <w:noProof/>
                <w:sz w:val="20"/>
                <w:szCs w:val="20"/>
              </w:rPr>
              <w:t>11</w:t>
            </w:r>
            <w:r w:rsidRPr="005F4295">
              <w:rPr>
                <w:sz w:val="20"/>
                <w:szCs w:val="20"/>
              </w:rPr>
              <w:t xml:space="preserve"> Member States)</w:t>
            </w:r>
          </w:p>
        </w:tc>
        <w:tc>
          <w:tcPr>
            <w:tcW w:w="932" w:type="pct"/>
            <w:tcBorders>
              <w:left w:val="single" w:sz="4" w:space="0" w:color="8C8C8C"/>
              <w:right w:val="single" w:sz="4" w:space="0" w:color="8C8C8C"/>
            </w:tcBorders>
          </w:tcPr>
          <w:p w14:paraId="708E30DF"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DG Regional and Urban Policy</w:t>
            </w:r>
          </w:p>
        </w:tc>
        <w:tc>
          <w:tcPr>
            <w:tcW w:w="993" w:type="pct"/>
            <w:tcBorders>
              <w:left w:val="single" w:sz="4" w:space="0" w:color="8C8C8C"/>
              <w:right w:val="single" w:sz="4" w:space="0" w:color="8C8C8C"/>
            </w:tcBorders>
          </w:tcPr>
          <w:p w14:paraId="19F5DCF1"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t>Quantified</w:t>
            </w:r>
          </w:p>
        </w:tc>
        <w:tc>
          <w:tcPr>
            <w:tcW w:w="640" w:type="pct"/>
            <w:gridSpan w:val="2"/>
            <w:tcBorders>
              <w:left w:val="single" w:sz="4" w:space="0" w:color="8C8C8C"/>
            </w:tcBorders>
          </w:tcPr>
          <w:p w14:paraId="0829BBD5" w14:textId="45C56263" w:rsidR="00EB70E0" w:rsidRPr="005F4295" w:rsidRDefault="008C0A89">
            <w:pPr>
              <w:jc w:val="center"/>
              <w:cnfStyle w:val="000000000000" w:firstRow="0" w:lastRow="0" w:firstColumn="0" w:lastColumn="0" w:oddVBand="0" w:evenVBand="0" w:oddHBand="0" w:evenHBand="0" w:firstRowFirstColumn="0" w:firstRowLastColumn="0" w:lastRowFirstColumn="0" w:lastRowLastColumn="0"/>
              <w:rPr>
                <w:rFonts w:ascii="EC Square Sans Cond Pro" w:hAnsi="EC Square Sans Cond Pro"/>
              </w:rPr>
            </w:pPr>
            <w:r w:rsidRPr="005F4295">
              <w:rPr>
                <w:rFonts w:ascii="EC Square Sans Cond Pro" w:hAnsi="EC Square Sans Cond Pro"/>
              </w:rPr>
              <w:t>145</w:t>
            </w:r>
          </w:p>
        </w:tc>
      </w:tr>
      <w:tr w:rsidR="00EB70E0" w:rsidRPr="005F4295" w14:paraId="2F2A61A3" w14:textId="77777777">
        <w:trPr>
          <w:gridAfter w:val="1"/>
          <w:wAfter w:w="29" w:type="pct"/>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val="restart"/>
            <w:tcBorders>
              <w:right w:val="single" w:sz="4" w:space="0" w:color="8C8C8C"/>
            </w:tcBorders>
          </w:tcPr>
          <w:p w14:paraId="55FA841E" w14:textId="77777777" w:rsidR="00EB70E0" w:rsidRPr="005F4295" w:rsidRDefault="00EB70E0">
            <w:r w:rsidRPr="005F4295">
              <w:t>Natural resources and environment</w:t>
            </w:r>
          </w:p>
        </w:tc>
        <w:tc>
          <w:tcPr>
            <w:tcW w:w="1502" w:type="pct"/>
            <w:tcBorders>
              <w:left w:val="single" w:sz="4" w:space="0" w:color="8C8C8C"/>
              <w:right w:val="single" w:sz="4" w:space="0" w:color="8C8C8C"/>
            </w:tcBorders>
          </w:tcPr>
          <w:p w14:paraId="06AB617F" w14:textId="77777777" w:rsidR="00EB70E0" w:rsidRPr="005F4295" w:rsidRDefault="00EB70E0">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sz w:val="20"/>
                <w:szCs w:val="20"/>
              </w:rPr>
            </w:pPr>
            <w:r w:rsidRPr="005F4295">
              <w:rPr>
                <w:sz w:val="20"/>
                <w:szCs w:val="20"/>
              </w:rPr>
              <w:t>Common agricultural policy strategic plans</w:t>
            </w:r>
            <w:r w:rsidRPr="005F4295">
              <w:rPr>
                <w:rFonts w:ascii="Calibri" w:hAnsi="Calibri" w:cs="Calibri"/>
                <w:sz w:val="20"/>
                <w:szCs w:val="20"/>
              </w:rPr>
              <w:t> </w:t>
            </w:r>
            <w:r w:rsidRPr="005F4295">
              <w:rPr>
                <w:sz w:val="20"/>
                <w:szCs w:val="20"/>
              </w:rPr>
              <w:t>– European Agricultural Guarantee Fund and the European Agricultural Fund for Rural Development (expenditure under the integrated administration and control system)</w:t>
            </w:r>
          </w:p>
          <w:p w14:paraId="77C7FC81" w14:textId="32511570" w:rsidR="00EB70E0" w:rsidRPr="005F4295" w:rsidRDefault="00EB70E0">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sz w:val="20"/>
                <w:szCs w:val="20"/>
              </w:rPr>
            </w:pPr>
            <w:r w:rsidRPr="005F4295">
              <w:rPr>
                <w:sz w:val="20"/>
                <w:szCs w:val="20"/>
              </w:rPr>
              <w:t>(</w:t>
            </w:r>
            <w:r w:rsidR="001C70DC" w:rsidRPr="005F4295">
              <w:rPr>
                <w:noProof/>
                <w:sz w:val="20"/>
                <w:szCs w:val="20"/>
              </w:rPr>
              <w:t>19</w:t>
            </w:r>
            <w:r w:rsidRPr="005F4295">
              <w:rPr>
                <w:sz w:val="20"/>
                <w:szCs w:val="20"/>
              </w:rPr>
              <w:t xml:space="preserve"> reservations for </w:t>
            </w:r>
            <w:r w:rsidR="001C70DC" w:rsidRPr="005F4295">
              <w:rPr>
                <w:noProof/>
                <w:sz w:val="20"/>
                <w:szCs w:val="20"/>
              </w:rPr>
              <w:t>14</w:t>
            </w:r>
            <w:r w:rsidRPr="005F4295">
              <w:rPr>
                <w:sz w:val="20"/>
                <w:szCs w:val="20"/>
              </w:rPr>
              <w:t xml:space="preserve"> Member States)</w:t>
            </w:r>
          </w:p>
        </w:tc>
        <w:tc>
          <w:tcPr>
            <w:tcW w:w="932" w:type="pct"/>
            <w:tcBorders>
              <w:left w:val="single" w:sz="4" w:space="0" w:color="8C8C8C"/>
              <w:right w:val="single" w:sz="4" w:space="0" w:color="8C8C8C"/>
            </w:tcBorders>
          </w:tcPr>
          <w:p w14:paraId="4E2EE9FB"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DG Agriculture and Rural Development</w:t>
            </w:r>
          </w:p>
        </w:tc>
        <w:tc>
          <w:tcPr>
            <w:tcW w:w="993" w:type="pct"/>
            <w:tcBorders>
              <w:left w:val="single" w:sz="4" w:space="0" w:color="8C8C8C"/>
              <w:right w:val="single" w:sz="4" w:space="0" w:color="8C8C8C"/>
            </w:tcBorders>
          </w:tcPr>
          <w:p w14:paraId="583CC8F3"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t>Non-quantified</w:t>
            </w:r>
          </w:p>
        </w:tc>
        <w:tc>
          <w:tcPr>
            <w:tcW w:w="640" w:type="pct"/>
            <w:gridSpan w:val="2"/>
            <w:tcBorders>
              <w:left w:val="single" w:sz="4" w:space="0" w:color="8C8C8C"/>
            </w:tcBorders>
          </w:tcPr>
          <w:p w14:paraId="2EF604FE"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w:t>
            </w:r>
          </w:p>
        </w:tc>
      </w:tr>
      <w:tr w:rsidR="00EB70E0" w:rsidRPr="005F4295" w14:paraId="7982070C" w14:textId="77777777">
        <w:trPr>
          <w:gridAfter w:val="1"/>
          <w:wAfter w:w="29" w:type="pct"/>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07F06A22" w14:textId="77777777" w:rsidR="00EB70E0" w:rsidRPr="005F4295" w:rsidRDefault="00EB70E0"/>
        </w:tc>
        <w:tc>
          <w:tcPr>
            <w:tcW w:w="1502" w:type="pct"/>
            <w:tcBorders>
              <w:left w:val="single" w:sz="4" w:space="0" w:color="8C8C8C"/>
              <w:right w:val="single" w:sz="4" w:space="0" w:color="8C8C8C"/>
            </w:tcBorders>
          </w:tcPr>
          <w:p w14:paraId="2D244B82" w14:textId="29EF1564" w:rsidR="00EB70E0" w:rsidRPr="005F4295" w:rsidRDefault="00EB70E0">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sz w:val="20"/>
                <w:szCs w:val="20"/>
              </w:rPr>
            </w:pPr>
            <w:r w:rsidRPr="005F4295">
              <w:rPr>
                <w:sz w:val="20"/>
                <w:szCs w:val="20"/>
              </w:rPr>
              <w:t>Common agricultural policy strategic plans</w:t>
            </w:r>
            <w:r w:rsidRPr="005F4295">
              <w:rPr>
                <w:rFonts w:ascii="Calibri" w:hAnsi="Calibri" w:cs="Calibri"/>
                <w:sz w:val="20"/>
                <w:szCs w:val="20"/>
              </w:rPr>
              <w:t> </w:t>
            </w:r>
            <w:r w:rsidRPr="005F4295">
              <w:rPr>
                <w:sz w:val="20"/>
                <w:szCs w:val="20"/>
              </w:rPr>
              <w:t xml:space="preserve">– European Agricultural Guarantee Fund and the European Agricultural Fund for Rural Development (expenditure </w:t>
            </w:r>
            <w:r w:rsidR="001C70DC" w:rsidRPr="005F4295">
              <w:rPr>
                <w:sz w:val="20"/>
                <w:szCs w:val="20"/>
              </w:rPr>
              <w:t xml:space="preserve">outside </w:t>
            </w:r>
            <w:r w:rsidRPr="005F4295">
              <w:rPr>
                <w:sz w:val="20"/>
                <w:szCs w:val="20"/>
              </w:rPr>
              <w:t>the integrated administration and control system)</w:t>
            </w:r>
          </w:p>
          <w:p w14:paraId="647173B2" w14:textId="2CEDC3AB" w:rsidR="00EB70E0" w:rsidRPr="005F4295" w:rsidRDefault="00EB70E0">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sz w:val="20"/>
                <w:szCs w:val="20"/>
              </w:rPr>
            </w:pPr>
            <w:r w:rsidRPr="005F4295">
              <w:rPr>
                <w:sz w:val="20"/>
                <w:szCs w:val="20"/>
              </w:rPr>
              <w:t>(</w:t>
            </w:r>
            <w:r w:rsidR="001C70DC" w:rsidRPr="005F4295">
              <w:rPr>
                <w:noProof/>
                <w:sz w:val="20"/>
                <w:szCs w:val="20"/>
              </w:rPr>
              <w:t>15</w:t>
            </w:r>
            <w:r w:rsidRPr="005F4295">
              <w:rPr>
                <w:sz w:val="20"/>
                <w:szCs w:val="20"/>
              </w:rPr>
              <w:t xml:space="preserve"> reservations for </w:t>
            </w:r>
            <w:r w:rsidR="001C70DC" w:rsidRPr="005F4295">
              <w:rPr>
                <w:noProof/>
                <w:sz w:val="20"/>
                <w:szCs w:val="20"/>
              </w:rPr>
              <w:t>11</w:t>
            </w:r>
            <w:r w:rsidRPr="005F4295">
              <w:rPr>
                <w:sz w:val="20"/>
                <w:szCs w:val="20"/>
              </w:rPr>
              <w:t xml:space="preserve"> Member States)</w:t>
            </w:r>
          </w:p>
        </w:tc>
        <w:tc>
          <w:tcPr>
            <w:tcW w:w="932" w:type="pct"/>
            <w:tcBorders>
              <w:left w:val="single" w:sz="4" w:space="0" w:color="8C8C8C"/>
              <w:right w:val="single" w:sz="4" w:space="0" w:color="8C8C8C"/>
            </w:tcBorders>
          </w:tcPr>
          <w:p w14:paraId="6F7059B7"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DG Agriculture and Rural Development</w:t>
            </w:r>
          </w:p>
        </w:tc>
        <w:tc>
          <w:tcPr>
            <w:tcW w:w="993" w:type="pct"/>
            <w:tcBorders>
              <w:left w:val="single" w:sz="4" w:space="0" w:color="8C8C8C"/>
              <w:right w:val="single" w:sz="4" w:space="0" w:color="8C8C8C"/>
            </w:tcBorders>
          </w:tcPr>
          <w:p w14:paraId="4D4E1069"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t>Non-quantified</w:t>
            </w:r>
          </w:p>
        </w:tc>
        <w:tc>
          <w:tcPr>
            <w:tcW w:w="640" w:type="pct"/>
            <w:gridSpan w:val="2"/>
            <w:tcBorders>
              <w:left w:val="single" w:sz="4" w:space="0" w:color="8C8C8C"/>
            </w:tcBorders>
          </w:tcPr>
          <w:p w14:paraId="46D8780B"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w:t>
            </w:r>
          </w:p>
        </w:tc>
      </w:tr>
      <w:tr w:rsidR="001C70DC" w:rsidRPr="005F4295" w14:paraId="6E96D0AE" w14:textId="77777777">
        <w:trPr>
          <w:gridAfter w:val="1"/>
          <w:wAfter w:w="29" w:type="pct"/>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598E4278" w14:textId="77777777" w:rsidR="001C70DC" w:rsidRPr="005F4295" w:rsidRDefault="001C70DC" w:rsidP="00C9670F">
            <w:pPr>
              <w:rPr>
                <w:noProof/>
              </w:rPr>
            </w:pPr>
          </w:p>
        </w:tc>
        <w:tc>
          <w:tcPr>
            <w:tcW w:w="1502" w:type="pct"/>
            <w:tcBorders>
              <w:left w:val="single" w:sz="4" w:space="0" w:color="8C8C8C"/>
              <w:right w:val="single" w:sz="4" w:space="0" w:color="8C8C8C"/>
            </w:tcBorders>
          </w:tcPr>
          <w:p w14:paraId="4198EA1C" w14:textId="33546EC1" w:rsidR="001C70DC" w:rsidRPr="005F4295" w:rsidRDefault="001C70DC" w:rsidP="00C9670F">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noProof/>
                <w:sz w:val="20"/>
                <w:szCs w:val="20"/>
              </w:rPr>
            </w:pPr>
            <w:r w:rsidRPr="005F4295">
              <w:rPr>
                <w:noProof/>
                <w:sz w:val="20"/>
                <w:szCs w:val="20"/>
              </w:rPr>
              <w:t>Reputational reservation concerning the high level of known irregularities in part of the multi-beneficiary grants funded by the Promotion of agricultural products programme</w:t>
            </w:r>
          </w:p>
        </w:tc>
        <w:tc>
          <w:tcPr>
            <w:tcW w:w="932" w:type="pct"/>
            <w:tcBorders>
              <w:left w:val="single" w:sz="4" w:space="0" w:color="8C8C8C"/>
              <w:right w:val="single" w:sz="4" w:space="0" w:color="8C8C8C"/>
            </w:tcBorders>
          </w:tcPr>
          <w:p w14:paraId="2259F8F5" w14:textId="1874EB92" w:rsidR="001C70DC" w:rsidRPr="005F4295" w:rsidRDefault="001C70DC" w:rsidP="00C9670F">
            <w:pPr>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European Research Executive Agency</w:t>
            </w:r>
          </w:p>
        </w:tc>
        <w:tc>
          <w:tcPr>
            <w:tcW w:w="993" w:type="pct"/>
            <w:tcBorders>
              <w:left w:val="single" w:sz="4" w:space="0" w:color="8C8C8C"/>
              <w:right w:val="single" w:sz="4" w:space="0" w:color="8C8C8C"/>
            </w:tcBorders>
          </w:tcPr>
          <w:p w14:paraId="70B09F19" w14:textId="040EF318" w:rsidR="001C70DC" w:rsidRPr="005F4295" w:rsidDel="00DC7447" w:rsidRDefault="001C70DC" w:rsidP="00C9670F">
            <w:pPr>
              <w:jc w:val="center"/>
              <w:cnfStyle w:val="000000000000" w:firstRow="0" w:lastRow="0" w:firstColumn="0" w:lastColumn="0" w:oddVBand="0" w:evenVBand="0" w:oddHBand="0" w:evenHBand="0" w:firstRowFirstColumn="0" w:firstRowLastColumn="0" w:lastRowFirstColumn="0" w:lastRowLastColumn="0"/>
              <w:rPr>
                <w:noProof/>
                <w:color w:val="DC3903"/>
              </w:rPr>
            </w:pPr>
            <w:r w:rsidRPr="005F4295">
              <w:rPr>
                <w:noProof/>
              </w:rPr>
              <w:t>Non-quantified</w:t>
            </w:r>
          </w:p>
        </w:tc>
        <w:tc>
          <w:tcPr>
            <w:tcW w:w="640" w:type="pct"/>
            <w:gridSpan w:val="2"/>
            <w:tcBorders>
              <w:left w:val="single" w:sz="4" w:space="0" w:color="8C8C8C"/>
            </w:tcBorders>
          </w:tcPr>
          <w:p w14:paraId="42D488F4" w14:textId="4C9087A8" w:rsidR="001C70DC" w:rsidRPr="005F4295" w:rsidRDefault="001C70DC" w:rsidP="00C9670F">
            <w:pPr>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w:t>
            </w:r>
          </w:p>
        </w:tc>
      </w:tr>
      <w:tr w:rsidR="001C70DC" w:rsidRPr="005F4295" w14:paraId="64C83149" w14:textId="77777777">
        <w:trPr>
          <w:gridAfter w:val="1"/>
          <w:wAfter w:w="29" w:type="pct"/>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2AD08D76" w14:textId="77777777" w:rsidR="001C70DC" w:rsidRPr="005F4295" w:rsidRDefault="001C70DC" w:rsidP="001C70DC">
            <w:pPr>
              <w:rPr>
                <w:noProof/>
              </w:rPr>
            </w:pPr>
          </w:p>
        </w:tc>
        <w:tc>
          <w:tcPr>
            <w:tcW w:w="1502" w:type="pct"/>
            <w:tcBorders>
              <w:left w:val="single" w:sz="4" w:space="0" w:color="8C8C8C"/>
              <w:right w:val="single" w:sz="4" w:space="0" w:color="8C8C8C"/>
            </w:tcBorders>
          </w:tcPr>
          <w:p w14:paraId="1DCFB139" w14:textId="08D973E1" w:rsidR="001C70DC" w:rsidRPr="005F4295" w:rsidRDefault="001C70DC" w:rsidP="001C70DC">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noProof/>
                <w:sz w:val="20"/>
                <w:szCs w:val="20"/>
              </w:rPr>
            </w:pPr>
            <w:r w:rsidRPr="005F4295">
              <w:rPr>
                <w:sz w:val="20"/>
                <w:szCs w:val="20"/>
              </w:rPr>
              <w:t>EU emissions trading system registry</w:t>
            </w:r>
            <w:r w:rsidRPr="005F4295">
              <w:rPr>
                <w:rFonts w:ascii="Calibri" w:hAnsi="Calibri" w:cs="Calibri"/>
                <w:sz w:val="20"/>
                <w:szCs w:val="20"/>
              </w:rPr>
              <w:t> </w:t>
            </w:r>
            <w:r w:rsidRPr="005F4295">
              <w:rPr>
                <w:sz w:val="20"/>
                <w:szCs w:val="20"/>
              </w:rPr>
              <w:t>– security weakness</w:t>
            </w:r>
          </w:p>
        </w:tc>
        <w:tc>
          <w:tcPr>
            <w:tcW w:w="932" w:type="pct"/>
            <w:tcBorders>
              <w:left w:val="single" w:sz="4" w:space="0" w:color="8C8C8C"/>
              <w:right w:val="single" w:sz="4" w:space="0" w:color="8C8C8C"/>
            </w:tcBorders>
          </w:tcPr>
          <w:p w14:paraId="43CEAAE1" w14:textId="3482AD7D" w:rsidR="001C70DC" w:rsidRPr="005F4295" w:rsidRDefault="001C70DC" w:rsidP="001C70DC">
            <w:pPr>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DG Climate Action</w:t>
            </w:r>
          </w:p>
        </w:tc>
        <w:tc>
          <w:tcPr>
            <w:tcW w:w="993" w:type="pct"/>
            <w:tcBorders>
              <w:left w:val="single" w:sz="4" w:space="0" w:color="8C8C8C"/>
              <w:right w:val="single" w:sz="4" w:space="0" w:color="8C8C8C"/>
            </w:tcBorders>
          </w:tcPr>
          <w:p w14:paraId="6A7E450A" w14:textId="7F44BE73" w:rsidR="001C70DC" w:rsidRPr="005F4295" w:rsidDel="00DC7447" w:rsidRDefault="001C70DC" w:rsidP="001C70DC">
            <w:pPr>
              <w:jc w:val="center"/>
              <w:cnfStyle w:val="000000000000" w:firstRow="0" w:lastRow="0" w:firstColumn="0" w:lastColumn="0" w:oddVBand="0" w:evenVBand="0" w:oddHBand="0" w:evenHBand="0" w:firstRowFirstColumn="0" w:firstRowLastColumn="0" w:lastRowFirstColumn="0" w:lastRowLastColumn="0"/>
              <w:rPr>
                <w:noProof/>
                <w:color w:val="DC3903"/>
              </w:rPr>
            </w:pPr>
            <w:r w:rsidRPr="005F4295">
              <w:rPr>
                <w:noProof/>
              </w:rPr>
              <w:t>Non-quantified</w:t>
            </w:r>
          </w:p>
        </w:tc>
        <w:tc>
          <w:tcPr>
            <w:tcW w:w="640" w:type="pct"/>
            <w:gridSpan w:val="2"/>
            <w:tcBorders>
              <w:left w:val="single" w:sz="4" w:space="0" w:color="8C8C8C"/>
            </w:tcBorders>
          </w:tcPr>
          <w:p w14:paraId="092B7F88" w14:textId="0B4B443B" w:rsidR="001C70DC" w:rsidRPr="005F4295" w:rsidRDefault="001C70DC" w:rsidP="001C70DC">
            <w:pPr>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w:t>
            </w:r>
          </w:p>
        </w:tc>
      </w:tr>
      <w:tr w:rsidR="00EB70E0" w:rsidRPr="005F4295" w14:paraId="7227708A" w14:textId="77777777" w:rsidTr="00410F89">
        <w:trPr>
          <w:gridAfter w:val="1"/>
          <w:wAfter w:w="29" w:type="pct"/>
          <w:trHeight w:val="508"/>
          <w:jc w:val="left"/>
        </w:trPr>
        <w:tc>
          <w:tcPr>
            <w:cnfStyle w:val="001000000000" w:firstRow="0" w:lastRow="0" w:firstColumn="1" w:lastColumn="0" w:oddVBand="0" w:evenVBand="0" w:oddHBand="0" w:evenHBand="0" w:firstRowFirstColumn="0" w:firstRowLastColumn="0" w:lastRowFirstColumn="0" w:lastRowLastColumn="0"/>
            <w:tcW w:w="904" w:type="pct"/>
            <w:tcBorders>
              <w:right w:val="single" w:sz="4" w:space="0" w:color="8C8C8C"/>
            </w:tcBorders>
          </w:tcPr>
          <w:p w14:paraId="0C555B63" w14:textId="77777777" w:rsidR="00EB70E0" w:rsidRPr="005F4295" w:rsidRDefault="00EB70E0">
            <w:pPr>
              <w:keepLines/>
            </w:pPr>
            <w:r w:rsidRPr="005F4295">
              <w:t>Migration and border management</w:t>
            </w:r>
          </w:p>
        </w:tc>
        <w:tc>
          <w:tcPr>
            <w:tcW w:w="1502" w:type="pct"/>
            <w:tcBorders>
              <w:left w:val="single" w:sz="4" w:space="0" w:color="8C8C8C"/>
              <w:right w:val="single" w:sz="4" w:space="0" w:color="8C8C8C"/>
            </w:tcBorders>
          </w:tcPr>
          <w:p w14:paraId="626F9A49" w14:textId="77777777" w:rsidR="005167DE" w:rsidRPr="005F4295" w:rsidRDefault="005167DE" w:rsidP="005167DE">
            <w:pPr>
              <w:pStyle w:val="TableParagraph"/>
              <w:keepLines/>
              <w:spacing w:before="60" w:after="60"/>
              <w:ind w:right="102"/>
              <w:cnfStyle w:val="000000000000" w:firstRow="0" w:lastRow="0" w:firstColumn="0" w:lastColumn="0" w:oddVBand="0" w:evenVBand="0" w:oddHBand="0" w:evenHBand="0" w:firstRowFirstColumn="0" w:firstRowLastColumn="0" w:lastRowFirstColumn="0" w:lastRowLastColumn="0"/>
              <w:rPr>
                <w:noProof/>
                <w:sz w:val="20"/>
                <w:szCs w:val="20"/>
              </w:rPr>
            </w:pPr>
            <w:r w:rsidRPr="005F4295">
              <w:rPr>
                <w:noProof/>
                <w:sz w:val="20"/>
                <w:szCs w:val="20"/>
              </w:rPr>
              <w:t>Management and control systems for the Border Management and Visa Policy Instrument, Asylum, Migration and Integration Fund and Internal Security Fund</w:t>
            </w:r>
          </w:p>
          <w:p w14:paraId="1ADF437D" w14:textId="782B64F7" w:rsidR="00EB70E0" w:rsidRPr="005F4295" w:rsidRDefault="00115DE3">
            <w:pPr>
              <w:pStyle w:val="TableParagraph"/>
              <w:keepLines/>
              <w:spacing w:before="60" w:after="60" w:line="264" w:lineRule="auto"/>
              <w:ind w:right="102"/>
              <w:cnfStyle w:val="000000000000" w:firstRow="0" w:lastRow="0" w:firstColumn="0" w:lastColumn="0" w:oddVBand="0" w:evenVBand="0" w:oddHBand="0" w:evenHBand="0" w:firstRowFirstColumn="0" w:firstRowLastColumn="0" w:lastRowFirstColumn="0" w:lastRowLastColumn="0"/>
            </w:pPr>
            <w:r w:rsidRPr="005F4295">
              <w:rPr>
                <w:noProof/>
                <w:sz w:val="20"/>
                <w:szCs w:val="20"/>
              </w:rPr>
              <w:t>(4 reservations in 2 Member States)</w:t>
            </w:r>
          </w:p>
        </w:tc>
        <w:tc>
          <w:tcPr>
            <w:tcW w:w="932" w:type="pct"/>
            <w:tcBorders>
              <w:left w:val="single" w:sz="4" w:space="0" w:color="8C8C8C"/>
              <w:right w:val="single" w:sz="4" w:space="0" w:color="8C8C8C"/>
            </w:tcBorders>
          </w:tcPr>
          <w:p w14:paraId="022CC84A" w14:textId="77777777" w:rsidR="00EB70E0" w:rsidRPr="005F4295" w:rsidRDefault="00EB70E0">
            <w:pPr>
              <w:keepLines/>
              <w:jc w:val="center"/>
              <w:cnfStyle w:val="000000000000" w:firstRow="0" w:lastRow="0" w:firstColumn="0" w:lastColumn="0" w:oddVBand="0" w:evenVBand="0" w:oddHBand="0" w:evenHBand="0" w:firstRowFirstColumn="0" w:firstRowLastColumn="0" w:lastRowFirstColumn="0" w:lastRowLastColumn="0"/>
            </w:pPr>
            <w:r w:rsidRPr="005F4295">
              <w:t>DG Migration and Home Affairs</w:t>
            </w:r>
          </w:p>
        </w:tc>
        <w:tc>
          <w:tcPr>
            <w:tcW w:w="993" w:type="pct"/>
            <w:tcBorders>
              <w:left w:val="single" w:sz="4" w:space="0" w:color="8C8C8C"/>
              <w:right w:val="single" w:sz="4" w:space="0" w:color="8C8C8C"/>
            </w:tcBorders>
          </w:tcPr>
          <w:p w14:paraId="33DD70AC" w14:textId="5BE830B8" w:rsidR="00EB70E0" w:rsidRPr="005F4295" w:rsidRDefault="00115DE3">
            <w:pPr>
              <w:pStyle w:val="TableParagraph"/>
              <w:keepLines/>
              <w:spacing w:before="60" w:after="120" w:line="192" w:lineRule="exact"/>
              <w:jc w:val="center"/>
              <w:cnfStyle w:val="000000000000" w:firstRow="0" w:lastRow="0" w:firstColumn="0" w:lastColumn="0" w:oddVBand="0" w:evenVBand="0" w:oddHBand="0" w:evenHBand="0" w:firstRowFirstColumn="0" w:firstRowLastColumn="0" w:lastRowFirstColumn="0" w:lastRowLastColumn="0"/>
              <w:rPr>
                <w:sz w:val="20"/>
                <w:szCs w:val="20"/>
              </w:rPr>
            </w:pPr>
            <w:r w:rsidRPr="005F4295">
              <w:rPr>
                <w:noProof/>
              </w:rPr>
              <w:t>Non-quantified</w:t>
            </w:r>
          </w:p>
        </w:tc>
        <w:tc>
          <w:tcPr>
            <w:tcW w:w="640" w:type="pct"/>
            <w:gridSpan w:val="2"/>
            <w:tcBorders>
              <w:left w:val="single" w:sz="4" w:space="0" w:color="8C8C8C"/>
            </w:tcBorders>
          </w:tcPr>
          <w:p w14:paraId="3034BC45" w14:textId="7595B3A6" w:rsidR="00EB70E0" w:rsidRPr="005F4295" w:rsidRDefault="00115DE3">
            <w:pPr>
              <w:keepLines/>
              <w:spacing w:before="0"/>
              <w:jc w:val="center"/>
              <w:cnfStyle w:val="000000000000" w:firstRow="0" w:lastRow="0" w:firstColumn="0" w:lastColumn="0" w:oddVBand="0" w:evenVBand="0" w:oddHBand="0" w:evenHBand="0" w:firstRowFirstColumn="0" w:firstRowLastColumn="0" w:lastRowFirstColumn="0" w:lastRowLastColumn="0"/>
              <w:rPr>
                <w:b/>
              </w:rPr>
            </w:pPr>
            <w:r w:rsidRPr="005F4295">
              <w:rPr>
                <w:noProof/>
              </w:rPr>
              <w:t>—</w:t>
            </w:r>
          </w:p>
        </w:tc>
      </w:tr>
      <w:tr w:rsidR="002347D7" w:rsidRPr="005F4295" w14:paraId="4BDA8AC2" w14:textId="77777777" w:rsidTr="002F5E12">
        <w:trPr>
          <w:gridAfter w:val="1"/>
          <w:wAfter w:w="29" w:type="pct"/>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val="restart"/>
            <w:tcBorders>
              <w:right w:val="single" w:sz="4" w:space="0" w:color="8C8C8C"/>
            </w:tcBorders>
          </w:tcPr>
          <w:p w14:paraId="05DC507C" w14:textId="4D6C519F" w:rsidR="002347D7" w:rsidRPr="005F4295" w:rsidRDefault="00AA2D2D" w:rsidP="001C70DC">
            <w:pPr>
              <w:keepLines/>
              <w:rPr>
                <w:noProof/>
              </w:rPr>
            </w:pPr>
            <w:r w:rsidRPr="005F4295">
              <w:rPr>
                <w:noProof/>
              </w:rPr>
              <w:t>Neighbourhood and the world</w:t>
            </w:r>
          </w:p>
        </w:tc>
        <w:tc>
          <w:tcPr>
            <w:tcW w:w="1502" w:type="pct"/>
            <w:tcBorders>
              <w:left w:val="single" w:sz="4" w:space="0" w:color="8C8C8C"/>
              <w:right w:val="single" w:sz="4" w:space="0" w:color="8C8C8C"/>
            </w:tcBorders>
          </w:tcPr>
          <w:p w14:paraId="70085CF1" w14:textId="4929BFB3" w:rsidR="002347D7" w:rsidRPr="005F4295" w:rsidRDefault="004A4166" w:rsidP="005167DE">
            <w:pPr>
              <w:pStyle w:val="TableParagraph"/>
              <w:keepLines/>
              <w:spacing w:before="60" w:after="60"/>
              <w:ind w:right="102"/>
              <w:cnfStyle w:val="000000000000" w:firstRow="0" w:lastRow="0" w:firstColumn="0" w:lastColumn="0" w:oddVBand="0" w:evenVBand="0" w:oddHBand="0" w:evenHBand="0" w:firstRowFirstColumn="0" w:firstRowLastColumn="0" w:lastRowFirstColumn="0" w:lastRowLastColumn="0"/>
              <w:rPr>
                <w:noProof/>
                <w:sz w:val="20"/>
                <w:szCs w:val="20"/>
              </w:rPr>
            </w:pPr>
            <w:r w:rsidRPr="005F4295">
              <w:rPr>
                <w:sz w:val="20"/>
                <w:szCs w:val="20"/>
              </w:rPr>
              <w:t>Monitoring of projects in volatile areas affected by security concerns (Libya, Palestine</w:t>
            </w:r>
            <w:r w:rsidR="00DA265B" w:rsidRPr="005F4295">
              <w:rPr>
                <w:rFonts w:ascii="Calibri" w:hAnsi="Calibri" w:cs="Calibri"/>
                <w:sz w:val="20"/>
                <w:szCs w:val="20"/>
              </w:rPr>
              <w:t> (*)</w:t>
            </w:r>
            <w:r w:rsidR="00DA265B" w:rsidRPr="005F4295">
              <w:rPr>
                <w:sz w:val="20"/>
                <w:szCs w:val="20"/>
              </w:rPr>
              <w:t>, Syria</w:t>
            </w:r>
            <w:r w:rsidRPr="005F4295">
              <w:rPr>
                <w:sz w:val="20"/>
                <w:szCs w:val="20"/>
              </w:rPr>
              <w:t xml:space="preserve">) </w:t>
            </w:r>
          </w:p>
        </w:tc>
        <w:tc>
          <w:tcPr>
            <w:tcW w:w="932" w:type="pct"/>
            <w:tcBorders>
              <w:left w:val="single" w:sz="4" w:space="0" w:color="8C8C8C"/>
              <w:right w:val="single" w:sz="4" w:space="0" w:color="8C8C8C"/>
            </w:tcBorders>
          </w:tcPr>
          <w:p w14:paraId="0BE276BA" w14:textId="5DD83181" w:rsidR="002347D7" w:rsidRPr="005F4295" w:rsidRDefault="004A4166" w:rsidP="001C70DC">
            <w:pPr>
              <w:keepLines/>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lang w:bidi="en-GB"/>
              </w:rPr>
            </w:pPr>
            <w:r w:rsidRPr="005F4295">
              <w:rPr>
                <w:rFonts w:eastAsia="EC Square Sans Pro" w:cs="EC Square Sans Pro"/>
                <w:lang w:bidi="en-GB"/>
              </w:rPr>
              <w:t>DG</w:t>
            </w:r>
            <w:r w:rsidR="00FD0D25" w:rsidRPr="005F4295">
              <w:rPr>
                <w:rFonts w:ascii="Calibri" w:eastAsia="EC Square Sans Pro" w:hAnsi="Calibri" w:cs="Calibri"/>
                <w:lang w:bidi="en-GB"/>
              </w:rPr>
              <w:t xml:space="preserve"> </w:t>
            </w:r>
            <w:r w:rsidRPr="005F4295">
              <w:rPr>
                <w:rFonts w:eastAsia="EC Square Sans Pro" w:cs="EC Square Sans Pro"/>
                <w:lang w:bidi="en-GB"/>
              </w:rPr>
              <w:t>Middle</w:t>
            </w:r>
            <w:r w:rsidR="00FD0D25" w:rsidRPr="005F4295">
              <w:rPr>
                <w:rFonts w:ascii="Calibri" w:eastAsia="EC Square Sans Pro" w:hAnsi="Calibri" w:cs="Calibri"/>
                <w:lang w:bidi="en-GB"/>
              </w:rPr>
              <w:t xml:space="preserve"> </w:t>
            </w:r>
            <w:r w:rsidRPr="005F4295">
              <w:rPr>
                <w:rFonts w:eastAsia="EC Square Sans Pro" w:cs="EC Square Sans Pro"/>
                <w:lang w:bidi="en-GB"/>
              </w:rPr>
              <w:t>East, North</w:t>
            </w:r>
            <w:r w:rsidR="00FD0D25" w:rsidRPr="005F4295">
              <w:rPr>
                <w:rFonts w:ascii="Calibri" w:eastAsia="EC Square Sans Pro" w:hAnsi="Calibri" w:cs="Calibri"/>
                <w:lang w:bidi="en-GB"/>
              </w:rPr>
              <w:t xml:space="preserve"> </w:t>
            </w:r>
            <w:r w:rsidRPr="005F4295">
              <w:rPr>
                <w:rFonts w:eastAsia="EC Square Sans Pro" w:cs="EC Square Sans Pro"/>
                <w:lang w:bidi="en-GB"/>
              </w:rPr>
              <w:t>Africa and the Gulf</w:t>
            </w:r>
          </w:p>
        </w:tc>
        <w:tc>
          <w:tcPr>
            <w:tcW w:w="993" w:type="pct"/>
            <w:tcBorders>
              <w:left w:val="single" w:sz="4" w:space="0" w:color="8C8C8C"/>
              <w:right w:val="single" w:sz="4" w:space="0" w:color="8C8C8C"/>
            </w:tcBorders>
          </w:tcPr>
          <w:p w14:paraId="09F163B6" w14:textId="6062413D" w:rsidR="002347D7" w:rsidRPr="005F4295" w:rsidRDefault="00115DE3" w:rsidP="00B41C09">
            <w:pPr>
              <w:keepLines/>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Non-quantified</w:t>
            </w:r>
          </w:p>
        </w:tc>
        <w:tc>
          <w:tcPr>
            <w:tcW w:w="640" w:type="pct"/>
            <w:gridSpan w:val="2"/>
            <w:tcBorders>
              <w:left w:val="single" w:sz="4" w:space="0" w:color="8C8C8C"/>
            </w:tcBorders>
          </w:tcPr>
          <w:p w14:paraId="0C8B020E" w14:textId="346DBC1E" w:rsidR="002347D7" w:rsidRPr="005F4295" w:rsidRDefault="00115DE3" w:rsidP="001C70DC">
            <w:pPr>
              <w:keepLines/>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w:t>
            </w:r>
          </w:p>
        </w:tc>
      </w:tr>
      <w:tr w:rsidR="002347D7" w:rsidRPr="005F4295" w14:paraId="7BB30468" w14:textId="77777777" w:rsidTr="002F5E12">
        <w:trPr>
          <w:gridAfter w:val="1"/>
          <w:wAfter w:w="29" w:type="pct"/>
          <w:trHeight w:val="508"/>
          <w:jc w:val="left"/>
        </w:trPr>
        <w:tc>
          <w:tcPr>
            <w:cnfStyle w:val="001000000000" w:firstRow="0" w:lastRow="0" w:firstColumn="1" w:lastColumn="0" w:oddVBand="0" w:evenVBand="0" w:oddHBand="0" w:evenHBand="0" w:firstRowFirstColumn="0" w:firstRowLastColumn="0" w:lastRowFirstColumn="0" w:lastRowLastColumn="0"/>
            <w:tcW w:w="904" w:type="pct"/>
            <w:vMerge/>
            <w:tcBorders>
              <w:right w:val="single" w:sz="4" w:space="0" w:color="8C8C8C"/>
            </w:tcBorders>
          </w:tcPr>
          <w:p w14:paraId="5898A75E" w14:textId="77777777" w:rsidR="002347D7" w:rsidRPr="005F4295" w:rsidRDefault="002347D7" w:rsidP="001C70DC">
            <w:pPr>
              <w:keepLines/>
              <w:rPr>
                <w:noProof/>
              </w:rPr>
            </w:pPr>
          </w:p>
        </w:tc>
        <w:tc>
          <w:tcPr>
            <w:tcW w:w="1502" w:type="pct"/>
            <w:tcBorders>
              <w:left w:val="single" w:sz="4" w:space="0" w:color="8C8C8C"/>
              <w:right w:val="single" w:sz="4" w:space="0" w:color="8C8C8C"/>
            </w:tcBorders>
          </w:tcPr>
          <w:p w14:paraId="7359A28D" w14:textId="663945FC" w:rsidR="002347D7" w:rsidRPr="005F4295" w:rsidRDefault="00397E59" w:rsidP="005167DE">
            <w:pPr>
              <w:pStyle w:val="TableParagraph"/>
              <w:keepLines/>
              <w:spacing w:before="60" w:after="60"/>
              <w:ind w:right="102"/>
              <w:cnfStyle w:val="000000000000" w:firstRow="0" w:lastRow="0" w:firstColumn="0" w:lastColumn="0" w:oddVBand="0" w:evenVBand="0" w:oddHBand="0" w:evenHBand="0" w:firstRowFirstColumn="0" w:firstRowLastColumn="0" w:lastRowFirstColumn="0" w:lastRowLastColumn="0"/>
              <w:rPr>
                <w:noProof/>
                <w:sz w:val="20"/>
                <w:szCs w:val="20"/>
              </w:rPr>
            </w:pPr>
            <w:r w:rsidRPr="005F4295">
              <w:rPr>
                <w:sz w:val="20"/>
                <w:szCs w:val="20"/>
              </w:rPr>
              <w:t>External restrictions to control financial programmes in Ukraine</w:t>
            </w:r>
          </w:p>
        </w:tc>
        <w:tc>
          <w:tcPr>
            <w:tcW w:w="932" w:type="pct"/>
            <w:tcBorders>
              <w:left w:val="single" w:sz="4" w:space="0" w:color="8C8C8C"/>
              <w:right w:val="single" w:sz="4" w:space="0" w:color="8C8C8C"/>
            </w:tcBorders>
          </w:tcPr>
          <w:p w14:paraId="50BE0085" w14:textId="3E3ECF5B" w:rsidR="002347D7" w:rsidRPr="005F4295" w:rsidRDefault="00397E59" w:rsidP="001C70DC">
            <w:pPr>
              <w:keepLines/>
              <w:jc w:val="center"/>
              <w:cnfStyle w:val="000000000000" w:firstRow="0" w:lastRow="0" w:firstColumn="0" w:lastColumn="0" w:oddVBand="0" w:evenVBand="0" w:oddHBand="0" w:evenHBand="0" w:firstRowFirstColumn="0" w:firstRowLastColumn="0" w:lastRowFirstColumn="0" w:lastRowLastColumn="0"/>
              <w:rPr>
                <w:rFonts w:eastAsia="EC Square Sans Pro" w:cs="EC Square Sans Pro"/>
                <w:lang w:bidi="en-GB"/>
              </w:rPr>
            </w:pPr>
            <w:r w:rsidRPr="005F4295">
              <w:rPr>
                <w:rFonts w:eastAsia="EC Square Sans Pro" w:cs="EC Square Sans Pro"/>
                <w:lang w:bidi="en-GB"/>
              </w:rPr>
              <w:t>DG Enlargement and the Eastern Neighbourhood</w:t>
            </w:r>
          </w:p>
        </w:tc>
        <w:tc>
          <w:tcPr>
            <w:tcW w:w="993" w:type="pct"/>
            <w:tcBorders>
              <w:left w:val="single" w:sz="4" w:space="0" w:color="8C8C8C"/>
              <w:right w:val="single" w:sz="4" w:space="0" w:color="8C8C8C"/>
            </w:tcBorders>
          </w:tcPr>
          <w:p w14:paraId="2426CD8D" w14:textId="6E03786E" w:rsidR="002347D7" w:rsidRPr="005F4295" w:rsidRDefault="00115DE3" w:rsidP="00B41C09">
            <w:pPr>
              <w:keepLines/>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Non-quantified</w:t>
            </w:r>
          </w:p>
        </w:tc>
        <w:tc>
          <w:tcPr>
            <w:tcW w:w="640" w:type="pct"/>
            <w:gridSpan w:val="2"/>
            <w:tcBorders>
              <w:left w:val="single" w:sz="4" w:space="0" w:color="8C8C8C"/>
            </w:tcBorders>
          </w:tcPr>
          <w:p w14:paraId="7FA86EE3" w14:textId="162FF7B2" w:rsidR="002347D7" w:rsidRPr="005F4295" w:rsidRDefault="00115DE3" w:rsidP="001C70DC">
            <w:pPr>
              <w:keepLines/>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w:t>
            </w:r>
          </w:p>
        </w:tc>
      </w:tr>
      <w:tr w:rsidR="00EB70E0" w:rsidRPr="005F4295" w14:paraId="70A5AA66" w14:textId="77777777">
        <w:trPr>
          <w:gridAfter w:val="1"/>
          <w:wAfter w:w="29" w:type="pct"/>
          <w:trHeight w:val="508"/>
          <w:jc w:val="left"/>
        </w:trPr>
        <w:tc>
          <w:tcPr>
            <w:cnfStyle w:val="001000000000" w:firstRow="0" w:lastRow="0" w:firstColumn="1" w:lastColumn="0" w:oddVBand="0" w:evenVBand="0" w:oddHBand="0" w:evenHBand="0" w:firstRowFirstColumn="0" w:firstRowLastColumn="0" w:lastRowFirstColumn="0" w:lastRowLastColumn="0"/>
            <w:tcW w:w="904" w:type="pct"/>
            <w:tcBorders>
              <w:right w:val="single" w:sz="4" w:space="0" w:color="8C8C8C"/>
            </w:tcBorders>
          </w:tcPr>
          <w:p w14:paraId="6E15574A" w14:textId="77777777" w:rsidR="00EB70E0" w:rsidRPr="005F4295" w:rsidRDefault="00EB70E0">
            <w:r w:rsidRPr="005F4295">
              <w:t>European public administration</w:t>
            </w:r>
          </w:p>
        </w:tc>
        <w:tc>
          <w:tcPr>
            <w:tcW w:w="1502" w:type="pct"/>
            <w:tcBorders>
              <w:left w:val="single" w:sz="4" w:space="0" w:color="8C8C8C"/>
              <w:right w:val="single" w:sz="4" w:space="0" w:color="8C8C8C"/>
            </w:tcBorders>
          </w:tcPr>
          <w:p w14:paraId="43C2A725" w14:textId="0B19E663" w:rsidR="00EB70E0" w:rsidRPr="005F4295" w:rsidRDefault="00B9434F">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sz w:val="20"/>
                <w:szCs w:val="20"/>
              </w:rPr>
            </w:pPr>
            <w:r w:rsidRPr="005F4295">
              <w:rPr>
                <w:noProof/>
                <w:sz w:val="20"/>
                <w:szCs w:val="20"/>
              </w:rPr>
              <w:t>Reputational reservation on the problems encountered with the testing platform and automated proctoring system in online testing</w:t>
            </w:r>
          </w:p>
        </w:tc>
        <w:tc>
          <w:tcPr>
            <w:tcW w:w="932" w:type="pct"/>
            <w:tcBorders>
              <w:left w:val="single" w:sz="4" w:space="0" w:color="8C8C8C"/>
              <w:right w:val="single" w:sz="4" w:space="0" w:color="8C8C8C"/>
            </w:tcBorders>
          </w:tcPr>
          <w:p w14:paraId="1D931A9F"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European Personnel Selection Office</w:t>
            </w:r>
          </w:p>
        </w:tc>
        <w:tc>
          <w:tcPr>
            <w:tcW w:w="993" w:type="pct"/>
            <w:tcBorders>
              <w:left w:val="single" w:sz="4" w:space="0" w:color="8C8C8C"/>
              <w:right w:val="single" w:sz="4" w:space="0" w:color="8C8C8C"/>
            </w:tcBorders>
          </w:tcPr>
          <w:p w14:paraId="2F7119FC"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 xml:space="preserve">Non-quantified </w:t>
            </w:r>
          </w:p>
          <w:p w14:paraId="20FE9252" w14:textId="77777777" w:rsidR="00EB70E0" w:rsidRPr="005F4295" w:rsidRDefault="00EB70E0">
            <w:pPr>
              <w:cnfStyle w:val="000000000000" w:firstRow="0" w:lastRow="0" w:firstColumn="0" w:lastColumn="0" w:oddVBand="0" w:evenVBand="0" w:oddHBand="0" w:evenHBand="0" w:firstRowFirstColumn="0" w:firstRowLastColumn="0" w:lastRowFirstColumn="0" w:lastRowLastColumn="0"/>
            </w:pPr>
          </w:p>
        </w:tc>
        <w:tc>
          <w:tcPr>
            <w:tcW w:w="640" w:type="pct"/>
            <w:gridSpan w:val="2"/>
            <w:tcBorders>
              <w:left w:val="single" w:sz="4" w:space="0" w:color="8C8C8C"/>
            </w:tcBorders>
          </w:tcPr>
          <w:p w14:paraId="614008FD"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w:t>
            </w:r>
          </w:p>
        </w:tc>
      </w:tr>
      <w:tr w:rsidR="00EB70E0" w:rsidRPr="005F4295" w14:paraId="5AD74B37" w14:textId="77777777">
        <w:trPr>
          <w:gridAfter w:val="1"/>
          <w:wAfter w:w="29" w:type="pct"/>
          <w:trHeight w:val="360"/>
          <w:jc w:val="left"/>
        </w:trPr>
        <w:tc>
          <w:tcPr>
            <w:cnfStyle w:val="001000000000" w:firstRow="0" w:lastRow="0" w:firstColumn="1" w:lastColumn="0" w:oddVBand="0" w:evenVBand="0" w:oddHBand="0" w:evenHBand="0" w:firstRowFirstColumn="0" w:firstRowLastColumn="0" w:lastRowFirstColumn="0" w:lastRowLastColumn="0"/>
            <w:tcW w:w="904" w:type="pct"/>
            <w:tcBorders>
              <w:right w:val="single" w:sz="4" w:space="0" w:color="7F7F7F" w:themeColor="text1" w:themeTint="80"/>
            </w:tcBorders>
            <w:shd w:val="clear" w:color="auto" w:fill="F2F2F2" w:themeFill="background1" w:themeFillShade="F2"/>
          </w:tcPr>
          <w:p w14:paraId="1E86F8C1" w14:textId="77777777" w:rsidR="00EB70E0" w:rsidRPr="005F4295" w:rsidRDefault="00EB70E0">
            <w:bookmarkStart w:id="46" w:name="_Hlk164952325"/>
            <w:r w:rsidRPr="005F4295">
              <w:rPr>
                <w:color w:val="000000" w:themeColor="text1"/>
              </w:rPr>
              <w:t>Total</w:t>
            </w:r>
          </w:p>
        </w:tc>
        <w:tc>
          <w:tcPr>
            <w:tcW w:w="1502" w:type="pct"/>
            <w:tcBorders>
              <w:left w:val="single" w:sz="4" w:space="0" w:color="7F7F7F" w:themeColor="text1" w:themeTint="80"/>
              <w:right w:val="single" w:sz="4" w:space="0" w:color="7F7F7F" w:themeColor="text1" w:themeTint="80"/>
            </w:tcBorders>
            <w:shd w:val="clear" w:color="auto" w:fill="F2F2F2" w:themeFill="background1" w:themeFillShade="F2"/>
          </w:tcPr>
          <w:p w14:paraId="3B01B498" w14:textId="7BA819D6" w:rsidR="00EB70E0" w:rsidRPr="005F4295" w:rsidRDefault="00E8792C">
            <w:pPr>
              <w:jc w:val="center"/>
              <w:cnfStyle w:val="000000000000" w:firstRow="0" w:lastRow="0" w:firstColumn="0" w:lastColumn="0" w:oddVBand="0" w:evenVBand="0" w:oddHBand="0" w:evenHBand="0" w:firstRowFirstColumn="0" w:firstRowLastColumn="0" w:lastRowFirstColumn="0" w:lastRowLastColumn="0"/>
              <w:rPr>
                <w:rFonts w:eastAsia="EC Square Sans Pro"/>
                <w:b/>
              </w:rPr>
            </w:pPr>
            <w:r w:rsidRPr="005F4295">
              <w:rPr>
                <w:rFonts w:eastAsia="EC Square Sans Pro"/>
                <w:b/>
                <w:noProof/>
              </w:rPr>
              <w:t>22</w:t>
            </w:r>
            <w:r w:rsidR="00EB70E0" w:rsidRPr="005F4295">
              <w:rPr>
                <w:rFonts w:eastAsia="EC Square Sans Pro"/>
                <w:b/>
              </w:rPr>
              <w:t xml:space="preserve"> reservations</w:t>
            </w:r>
          </w:p>
        </w:tc>
        <w:tc>
          <w:tcPr>
            <w:tcW w:w="932" w:type="pct"/>
            <w:tcBorders>
              <w:left w:val="single" w:sz="4" w:space="0" w:color="7F7F7F" w:themeColor="text1" w:themeTint="80"/>
              <w:right w:val="single" w:sz="4" w:space="0" w:color="7F7F7F" w:themeColor="text1" w:themeTint="80"/>
            </w:tcBorders>
            <w:shd w:val="clear" w:color="auto" w:fill="F2F2F2" w:themeFill="background1" w:themeFillShade="F2"/>
          </w:tcPr>
          <w:p w14:paraId="4B79F2B3" w14:textId="7AF41795" w:rsidR="00EB70E0" w:rsidRPr="005F4295" w:rsidRDefault="008A4887">
            <w:pPr>
              <w:jc w:val="center"/>
              <w:cnfStyle w:val="000000000000" w:firstRow="0" w:lastRow="0" w:firstColumn="0" w:lastColumn="0" w:oddVBand="0" w:evenVBand="0" w:oddHBand="0" w:evenHBand="0" w:firstRowFirstColumn="0" w:firstRowLastColumn="0" w:lastRowFirstColumn="0" w:lastRowLastColumn="0"/>
              <w:rPr>
                <w:b/>
              </w:rPr>
            </w:pPr>
            <w:r w:rsidRPr="005F4295">
              <w:rPr>
                <w:b/>
                <w:noProof/>
              </w:rPr>
              <w:t>1</w:t>
            </w:r>
            <w:r w:rsidR="001E4855" w:rsidRPr="005F4295">
              <w:rPr>
                <w:b/>
                <w:noProof/>
              </w:rPr>
              <w:t>6</w:t>
            </w:r>
            <w:r w:rsidR="00EB70E0" w:rsidRPr="005F4295">
              <w:rPr>
                <w:b/>
              </w:rPr>
              <w:t xml:space="preserve"> departments</w:t>
            </w:r>
          </w:p>
        </w:tc>
        <w:tc>
          <w:tcPr>
            <w:tcW w:w="993" w:type="pct"/>
            <w:tcBorders>
              <w:left w:val="single" w:sz="4" w:space="0" w:color="7F7F7F" w:themeColor="text1" w:themeTint="80"/>
              <w:right w:val="single" w:sz="4" w:space="0" w:color="7F7F7F" w:themeColor="text1" w:themeTint="80"/>
            </w:tcBorders>
            <w:shd w:val="clear" w:color="auto" w:fill="F2F2F2" w:themeFill="background1" w:themeFillShade="F2"/>
          </w:tcPr>
          <w:p w14:paraId="2060A1CF" w14:textId="56E3B10E" w:rsidR="00EB70E0" w:rsidRPr="005F4295" w:rsidRDefault="00BF250A">
            <w:pPr>
              <w:jc w:val="center"/>
              <w:cnfStyle w:val="000000000000" w:firstRow="0" w:lastRow="0" w:firstColumn="0" w:lastColumn="0" w:oddVBand="0" w:evenVBand="0" w:oddHBand="0" w:evenHBand="0" w:firstRowFirstColumn="0" w:firstRowLastColumn="0" w:lastRowFirstColumn="0" w:lastRowLastColumn="0"/>
              <w:rPr>
                <w:b/>
              </w:rPr>
            </w:pPr>
            <w:r w:rsidRPr="005F4295">
              <w:rPr>
                <w:b/>
                <w:noProof/>
              </w:rPr>
              <w:t>-</w:t>
            </w:r>
          </w:p>
        </w:tc>
        <w:tc>
          <w:tcPr>
            <w:tcW w:w="640" w:type="pct"/>
            <w:gridSpan w:val="2"/>
            <w:tcBorders>
              <w:left w:val="single" w:sz="4" w:space="0" w:color="7F7F7F" w:themeColor="text1" w:themeTint="80"/>
            </w:tcBorders>
            <w:shd w:val="clear" w:color="auto" w:fill="F2F2F2" w:themeFill="background1" w:themeFillShade="F2"/>
          </w:tcPr>
          <w:p w14:paraId="362C4171" w14:textId="1A78BF1D" w:rsidR="00EB70E0" w:rsidRPr="005F4295" w:rsidRDefault="00CA4A17">
            <w:pPr>
              <w:jc w:val="center"/>
              <w:cnfStyle w:val="000000000000" w:firstRow="0" w:lastRow="0" w:firstColumn="0" w:lastColumn="0" w:oddVBand="0" w:evenVBand="0" w:oddHBand="0" w:evenHBand="0" w:firstRowFirstColumn="0" w:firstRowLastColumn="0" w:lastRowFirstColumn="0" w:lastRowLastColumn="0"/>
              <w:rPr>
                <w:b/>
              </w:rPr>
            </w:pPr>
            <w:r w:rsidRPr="005F4295">
              <w:rPr>
                <w:b/>
                <w:noProof/>
              </w:rPr>
              <w:t>419</w:t>
            </w:r>
            <w:r w:rsidR="00115DE3" w:rsidRPr="005F4295">
              <w:rPr>
                <w:b/>
                <w:noProof/>
              </w:rPr>
              <w:t>.</w:t>
            </w:r>
            <w:r w:rsidRPr="005F4295">
              <w:rPr>
                <w:b/>
                <w:noProof/>
              </w:rPr>
              <w:t>4</w:t>
            </w:r>
          </w:p>
        </w:tc>
      </w:tr>
      <w:tr w:rsidR="00EB70E0" w:rsidRPr="005F4295" w14:paraId="4E5D9FD0" w14:textId="77777777" w:rsidTr="004F268E">
        <w:trPr>
          <w:gridAfter w:val="1"/>
          <w:wAfter w:w="29" w:type="pct"/>
          <w:trHeight w:val="283"/>
          <w:jc w:val="left"/>
        </w:trPr>
        <w:tc>
          <w:tcPr>
            <w:cnfStyle w:val="001000000000" w:firstRow="0" w:lastRow="0" w:firstColumn="1" w:lastColumn="0" w:oddVBand="0" w:evenVBand="0" w:oddHBand="0" w:evenHBand="0" w:firstRowFirstColumn="0" w:firstRowLastColumn="0" w:lastRowFirstColumn="0" w:lastRowLastColumn="0"/>
            <w:tcW w:w="0" w:type="pct"/>
            <w:gridSpan w:val="6"/>
            <w:tcBorders>
              <w:top w:val="single" w:sz="24" w:space="0" w:color="003399" w:themeColor="text2"/>
            </w:tcBorders>
            <w:shd w:val="clear" w:color="auto" w:fill="FEDEC6" w:themeFill="accent2" w:themeFillTint="33"/>
          </w:tcPr>
          <w:p w14:paraId="106D5B8B" w14:textId="77777777" w:rsidR="00EB70E0" w:rsidRPr="005F4295" w:rsidRDefault="00EB70E0">
            <w:pPr>
              <w:jc w:val="center"/>
            </w:pPr>
            <w:bookmarkStart w:id="47" w:name="_Hlk164951826"/>
            <w:bookmarkEnd w:id="46"/>
            <w:r w:rsidRPr="005F4295">
              <w:t>Programmes of the 2014-2020 multiannual financial framework</w:t>
            </w:r>
          </w:p>
        </w:tc>
      </w:tr>
      <w:bookmarkEnd w:id="47"/>
      <w:tr w:rsidR="00EB70E0" w:rsidRPr="005F4295" w14:paraId="76C2F117" w14:textId="77777777">
        <w:trPr>
          <w:gridAfter w:val="1"/>
          <w:wAfter w:w="29" w:type="pct"/>
          <w:trHeight w:val="1088"/>
          <w:jc w:val="left"/>
        </w:trPr>
        <w:tc>
          <w:tcPr>
            <w:cnfStyle w:val="001000000000" w:firstRow="0" w:lastRow="0" w:firstColumn="1" w:lastColumn="0" w:oddVBand="0" w:evenVBand="0" w:oddHBand="0" w:evenHBand="0" w:firstRowFirstColumn="0" w:firstRowLastColumn="0" w:lastRowFirstColumn="0" w:lastRowLastColumn="0"/>
            <w:tcW w:w="904" w:type="pct"/>
            <w:vMerge w:val="restart"/>
            <w:tcBorders>
              <w:right w:val="single" w:sz="4" w:space="0" w:color="8C8C8C"/>
            </w:tcBorders>
          </w:tcPr>
          <w:p w14:paraId="268EF321" w14:textId="49EFFD5A" w:rsidR="00EB70E0" w:rsidRPr="005F4295" w:rsidRDefault="00EB70E0">
            <w:pPr>
              <w:rPr>
                <w:noProof/>
                <w:highlight w:val="lightGray"/>
              </w:rPr>
            </w:pPr>
            <w:r w:rsidRPr="005F4295">
              <w:t>Cohesion</w:t>
            </w:r>
            <w:r w:rsidR="00A263C5" w:rsidRPr="005F4295">
              <w:t>,</w:t>
            </w:r>
            <w:r w:rsidRPr="005F4295">
              <w:t xml:space="preserve"> resilience and values</w:t>
            </w:r>
          </w:p>
        </w:tc>
        <w:tc>
          <w:tcPr>
            <w:tcW w:w="1502" w:type="pct"/>
            <w:tcBorders>
              <w:left w:val="single" w:sz="4" w:space="0" w:color="8C8C8C"/>
              <w:right w:val="single" w:sz="4" w:space="0" w:color="8C8C8C"/>
            </w:tcBorders>
          </w:tcPr>
          <w:p w14:paraId="5511FE25" w14:textId="77777777" w:rsidR="00EB70E0" w:rsidRPr="005F4295" w:rsidRDefault="00EB70E0" w:rsidP="00A90F8A">
            <w:pPr>
              <w:spacing w:before="0" w:after="120"/>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European Social Fund</w:t>
            </w:r>
            <w:r w:rsidRPr="005F4295">
              <w:rPr>
                <w:rFonts w:ascii="Calibri" w:hAnsi="Calibri" w:cs="Calibri"/>
                <w:lang w:bidi="en-GB"/>
              </w:rPr>
              <w:t> </w:t>
            </w:r>
            <w:r w:rsidRPr="005F4295">
              <w:rPr>
                <w:lang w:bidi="en-GB"/>
              </w:rPr>
              <w:t>/ Youth Employment Initiative</w:t>
            </w:r>
            <w:r w:rsidRPr="005F4295">
              <w:rPr>
                <w:rFonts w:ascii="Calibri" w:hAnsi="Calibri" w:cs="Calibri"/>
                <w:lang w:bidi="en-GB"/>
              </w:rPr>
              <w:t> </w:t>
            </w:r>
            <w:r w:rsidRPr="005F4295">
              <w:rPr>
                <w:lang w:bidi="en-GB"/>
              </w:rPr>
              <w:t>/ Fund for European Aid to the Most Deprived</w:t>
            </w:r>
          </w:p>
          <w:p w14:paraId="2E4FC462" w14:textId="7E411F84" w:rsidR="00EB70E0" w:rsidRPr="005F4295" w:rsidRDefault="00EB70E0">
            <w:pP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w:t>
            </w:r>
            <w:r w:rsidR="00A90F8A" w:rsidRPr="005F4295">
              <w:rPr>
                <w:rFonts w:eastAsia="EC Square Sans Pro" w:cs="EC Square Sans Pro"/>
                <w:noProof/>
                <w:lang w:bidi="en-GB"/>
              </w:rPr>
              <w:t>10</w:t>
            </w:r>
            <w:r w:rsidRPr="005F4295">
              <w:rPr>
                <w:lang w:bidi="en-GB"/>
              </w:rPr>
              <w:t xml:space="preserve"> programmes in </w:t>
            </w:r>
            <w:r w:rsidR="00A90F8A" w:rsidRPr="005F4295">
              <w:rPr>
                <w:rFonts w:eastAsia="EC Square Sans Pro" w:cs="EC Square Sans Pro"/>
                <w:noProof/>
                <w:lang w:bidi="en-GB"/>
              </w:rPr>
              <w:t>6</w:t>
            </w:r>
            <w:r w:rsidRPr="005F4295">
              <w:rPr>
                <w:lang w:bidi="en-GB"/>
              </w:rPr>
              <w:t xml:space="preserve"> Member States) </w:t>
            </w:r>
          </w:p>
        </w:tc>
        <w:tc>
          <w:tcPr>
            <w:tcW w:w="932" w:type="pct"/>
            <w:tcBorders>
              <w:left w:val="single" w:sz="4" w:space="0" w:color="8C8C8C"/>
              <w:right w:val="single" w:sz="4" w:space="0" w:color="8C8C8C"/>
            </w:tcBorders>
          </w:tcPr>
          <w:p w14:paraId="452DAF81" w14:textId="26DE4FAA"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DG Employment</w:t>
            </w:r>
            <w:r w:rsidR="00A90F8A" w:rsidRPr="005F4295">
              <w:rPr>
                <w:rFonts w:eastAsia="EC Square Sans Pro" w:cs="EC Square Sans Pro"/>
                <w:noProof/>
                <w:lang w:bidi="en-GB"/>
              </w:rPr>
              <w:t>,</w:t>
            </w:r>
            <w:r w:rsidRPr="005F4295">
              <w:rPr>
                <w:lang w:bidi="en-GB"/>
              </w:rPr>
              <w:t xml:space="preserve"> Social Affairs and Inclusion</w:t>
            </w:r>
          </w:p>
        </w:tc>
        <w:tc>
          <w:tcPr>
            <w:tcW w:w="993" w:type="pct"/>
            <w:tcBorders>
              <w:left w:val="single" w:sz="4" w:space="0" w:color="8C8C8C"/>
              <w:right w:val="single" w:sz="4" w:space="0" w:color="8C8C8C"/>
            </w:tcBorders>
          </w:tcPr>
          <w:p w14:paraId="04B2C1C8"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Quantified</w:t>
            </w:r>
          </w:p>
        </w:tc>
        <w:tc>
          <w:tcPr>
            <w:tcW w:w="640" w:type="pct"/>
            <w:gridSpan w:val="2"/>
            <w:tcBorders>
              <w:left w:val="single" w:sz="4" w:space="0" w:color="8C8C8C"/>
            </w:tcBorders>
          </w:tcPr>
          <w:p w14:paraId="58C0C7EF" w14:textId="1D2B0F86" w:rsidR="00EB70E0" w:rsidRPr="005F4295" w:rsidRDefault="00A90F8A">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rFonts w:eastAsia="EC Square Sans Pro" w:cs="EC Square Sans Pro"/>
                <w:noProof/>
                <w:lang w:bidi="en-GB"/>
              </w:rPr>
              <w:t>95.9</w:t>
            </w:r>
          </w:p>
        </w:tc>
      </w:tr>
      <w:tr w:rsidR="00EB70E0" w:rsidRPr="005F4295" w14:paraId="787833CB" w14:textId="77777777">
        <w:trPr>
          <w:gridAfter w:val="1"/>
          <w:wAfter w:w="29" w:type="pct"/>
          <w:trHeight w:val="905"/>
          <w:jc w:val="left"/>
        </w:trPr>
        <w:tc>
          <w:tcPr>
            <w:cnfStyle w:val="001000000000" w:firstRow="0" w:lastRow="0" w:firstColumn="1" w:lastColumn="0" w:oddVBand="0" w:evenVBand="0" w:oddHBand="0" w:evenHBand="0" w:firstRowFirstColumn="0" w:firstRowLastColumn="0" w:lastRowFirstColumn="0" w:lastRowLastColumn="0"/>
            <w:tcW w:w="904" w:type="pct"/>
            <w:vMerge/>
          </w:tcPr>
          <w:p w14:paraId="2FA7F452" w14:textId="77777777" w:rsidR="00EB70E0" w:rsidRPr="005F4295" w:rsidRDefault="00EB70E0">
            <w:pPr>
              <w:rPr>
                <w:noProof/>
                <w:highlight w:val="lightGray"/>
              </w:rPr>
            </w:pPr>
          </w:p>
        </w:tc>
        <w:tc>
          <w:tcPr>
            <w:tcW w:w="1502" w:type="pct"/>
            <w:tcBorders>
              <w:left w:val="single" w:sz="4" w:space="0" w:color="8C8C8C"/>
              <w:right w:val="single" w:sz="4" w:space="0" w:color="8C8C8C"/>
            </w:tcBorders>
          </w:tcPr>
          <w:p w14:paraId="5954B618" w14:textId="726CAA93" w:rsidR="00EB70E0" w:rsidRPr="005F4295" w:rsidRDefault="00A90F8A">
            <w:pPr>
              <w:cnfStyle w:val="000000000000" w:firstRow="0" w:lastRow="0" w:firstColumn="0" w:lastColumn="0" w:oddVBand="0" w:evenVBand="0" w:oddHBand="0" w:evenHBand="0" w:firstRowFirstColumn="0" w:firstRowLastColumn="0" w:lastRowFirstColumn="0" w:lastRowLastColumn="0"/>
              <w:rPr>
                <w:lang w:bidi="en-GB"/>
              </w:rPr>
            </w:pPr>
            <w:r w:rsidRPr="005F4295">
              <w:rPr>
                <w:rFonts w:eastAsia="EC Square Sans Pro" w:cs="EC Square Sans Pro"/>
                <w:noProof/>
                <w:lang w:bidi="en-GB"/>
              </w:rPr>
              <w:t>Reservation regarding the residual error rate in the Citizens, Equality, Rights &amp; Values and Justice programmes</w:t>
            </w:r>
            <w:r w:rsidR="00A102FF" w:rsidRPr="005F4295">
              <w:rPr>
                <w:rFonts w:ascii="Calibri" w:eastAsia="EC Square Sans Pro" w:hAnsi="Calibri" w:cs="Calibri"/>
                <w:noProof/>
                <w:lang w:bidi="en-GB"/>
              </w:rPr>
              <w:t> </w:t>
            </w:r>
            <w:r w:rsidRPr="005F4295">
              <w:rPr>
                <w:rFonts w:eastAsia="EC Square Sans Pro" w:cs="EC Square Sans Pro"/>
                <w:noProof/>
                <w:lang w:bidi="en-GB"/>
              </w:rPr>
              <w:t>– direct grants</w:t>
            </w:r>
          </w:p>
        </w:tc>
        <w:tc>
          <w:tcPr>
            <w:tcW w:w="932" w:type="pct"/>
            <w:tcBorders>
              <w:left w:val="single" w:sz="4" w:space="0" w:color="8C8C8C"/>
              <w:right w:val="single" w:sz="4" w:space="0" w:color="8C8C8C"/>
            </w:tcBorders>
          </w:tcPr>
          <w:p w14:paraId="21DA9B6D"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DG Justice and Consumers</w:t>
            </w:r>
          </w:p>
        </w:tc>
        <w:tc>
          <w:tcPr>
            <w:tcW w:w="993" w:type="pct"/>
            <w:tcBorders>
              <w:left w:val="single" w:sz="4" w:space="0" w:color="8C8C8C"/>
              <w:right w:val="single" w:sz="4" w:space="0" w:color="8C8C8C"/>
            </w:tcBorders>
          </w:tcPr>
          <w:p w14:paraId="5A895CDE"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Quantified</w:t>
            </w:r>
          </w:p>
        </w:tc>
        <w:tc>
          <w:tcPr>
            <w:tcW w:w="640" w:type="pct"/>
            <w:gridSpan w:val="2"/>
            <w:tcBorders>
              <w:left w:val="single" w:sz="4" w:space="0" w:color="8C8C8C"/>
            </w:tcBorders>
          </w:tcPr>
          <w:p w14:paraId="62BC9A4C" w14:textId="37DD6188" w:rsidR="00EB70E0" w:rsidRPr="005F4295" w:rsidRDefault="00A90F8A">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rFonts w:eastAsia="EC Square Sans Pro" w:cs="EC Square Sans Pro"/>
                <w:noProof/>
                <w:lang w:bidi="en-GB"/>
              </w:rPr>
              <w:t>3.4</w:t>
            </w:r>
          </w:p>
        </w:tc>
      </w:tr>
      <w:tr w:rsidR="00EB70E0" w:rsidRPr="005F4295" w14:paraId="787DBC61" w14:textId="77777777" w:rsidTr="004F3D06">
        <w:trPr>
          <w:gridAfter w:val="1"/>
          <w:wAfter w:w="29" w:type="pct"/>
          <w:trHeight w:val="563"/>
          <w:jc w:val="left"/>
        </w:trPr>
        <w:tc>
          <w:tcPr>
            <w:cnfStyle w:val="001000000000" w:firstRow="0" w:lastRow="0" w:firstColumn="1" w:lastColumn="0" w:oddVBand="0" w:evenVBand="0" w:oddHBand="0" w:evenHBand="0" w:firstRowFirstColumn="0" w:firstRowLastColumn="0" w:lastRowFirstColumn="0" w:lastRowLastColumn="0"/>
            <w:tcW w:w="904" w:type="pct"/>
            <w:vMerge/>
          </w:tcPr>
          <w:p w14:paraId="3667D8F3" w14:textId="77777777" w:rsidR="00EB70E0" w:rsidRPr="005F4295" w:rsidRDefault="00EB70E0">
            <w:pPr>
              <w:rPr>
                <w:noProof/>
                <w:highlight w:val="lightGray"/>
              </w:rPr>
            </w:pPr>
          </w:p>
        </w:tc>
        <w:tc>
          <w:tcPr>
            <w:tcW w:w="1502" w:type="pct"/>
            <w:tcBorders>
              <w:left w:val="single" w:sz="4" w:space="0" w:color="8C8C8C"/>
              <w:right w:val="single" w:sz="4" w:space="0" w:color="8C8C8C"/>
            </w:tcBorders>
          </w:tcPr>
          <w:p w14:paraId="12D1699F" w14:textId="0E81EAAA" w:rsidR="00A90F8A" w:rsidRPr="005F4295" w:rsidRDefault="00A90F8A" w:rsidP="00A90F8A">
            <w:pPr>
              <w:spacing w:before="0" w:after="120"/>
              <w:cnfStyle w:val="000000000000" w:firstRow="0" w:lastRow="0" w:firstColumn="0" w:lastColumn="0" w:oddVBand="0" w:evenVBand="0" w:oddHBand="0" w:evenHBand="0" w:firstRowFirstColumn="0" w:firstRowLastColumn="0" w:lastRowFirstColumn="0" w:lastRowLastColumn="0"/>
              <w:rPr>
                <w:rFonts w:eastAsia="EC Square Sans Pro" w:cs="EC Square Sans Pro"/>
                <w:noProof/>
                <w:lang w:bidi="en-GB"/>
              </w:rPr>
            </w:pPr>
            <w:r w:rsidRPr="005F4295">
              <w:rPr>
                <w:rFonts w:eastAsia="EC Square Sans Pro" w:cs="EC Square Sans Pro"/>
                <w:noProof/>
                <w:lang w:bidi="en-GB"/>
              </w:rPr>
              <w:t>European Regional Development Fund</w:t>
            </w:r>
            <w:r w:rsidR="00A102FF" w:rsidRPr="005F4295">
              <w:rPr>
                <w:rFonts w:ascii="Calibri" w:eastAsia="EC Square Sans Pro" w:hAnsi="Calibri" w:cs="Calibri"/>
                <w:noProof/>
                <w:lang w:bidi="en-GB"/>
              </w:rPr>
              <w:t> </w:t>
            </w:r>
            <w:r w:rsidRPr="005F4295">
              <w:rPr>
                <w:rFonts w:eastAsia="EC Square Sans Pro" w:cs="EC Square Sans Pro"/>
                <w:noProof/>
                <w:lang w:bidi="en-GB"/>
              </w:rPr>
              <w:t>/ Cohesion Fund</w:t>
            </w:r>
          </w:p>
          <w:p w14:paraId="54AB2C9B" w14:textId="600F60ED" w:rsidR="00EB70E0" w:rsidRPr="005F4295" w:rsidRDefault="00A90F8A">
            <w:pPr>
              <w:cnfStyle w:val="000000000000" w:firstRow="0" w:lastRow="0" w:firstColumn="0" w:lastColumn="0" w:oddVBand="0" w:evenVBand="0" w:oddHBand="0" w:evenHBand="0" w:firstRowFirstColumn="0" w:firstRowLastColumn="0" w:lastRowFirstColumn="0" w:lastRowLastColumn="0"/>
              <w:rPr>
                <w:lang w:bidi="en-GB"/>
              </w:rPr>
            </w:pPr>
            <w:r w:rsidRPr="005F4295">
              <w:rPr>
                <w:rFonts w:eastAsia="EC Square Sans Pro" w:cs="EC Square Sans Pro"/>
                <w:noProof/>
                <w:lang w:bidi="en-GB"/>
              </w:rPr>
              <w:t>(30</w:t>
            </w:r>
            <w:r w:rsidR="00EB70E0" w:rsidRPr="005F4295">
              <w:rPr>
                <w:lang w:bidi="en-GB"/>
              </w:rPr>
              <w:t xml:space="preserve"> programmes in </w:t>
            </w:r>
            <w:r w:rsidRPr="005F4295">
              <w:rPr>
                <w:rFonts w:eastAsia="EC Square Sans Pro" w:cs="EC Square Sans Pro"/>
                <w:noProof/>
                <w:lang w:bidi="en-GB"/>
              </w:rPr>
              <w:t>12</w:t>
            </w:r>
            <w:r w:rsidR="00EB70E0" w:rsidRPr="005F4295">
              <w:rPr>
                <w:lang w:bidi="en-GB"/>
              </w:rPr>
              <w:t xml:space="preserve"> Member States and the </w:t>
            </w:r>
            <w:r w:rsidRPr="005F4295">
              <w:rPr>
                <w:rFonts w:eastAsia="EC Square Sans Pro" w:cs="EC Square Sans Pro"/>
                <w:noProof/>
                <w:lang w:bidi="en-GB"/>
              </w:rPr>
              <w:t>U</w:t>
            </w:r>
            <w:r w:rsidR="00A102FF" w:rsidRPr="005F4295">
              <w:rPr>
                <w:rFonts w:eastAsia="EC Square Sans Pro" w:cs="EC Square Sans Pro"/>
                <w:noProof/>
                <w:lang w:bidi="en-GB"/>
              </w:rPr>
              <w:t xml:space="preserve">nited </w:t>
            </w:r>
            <w:r w:rsidRPr="005F4295">
              <w:rPr>
                <w:rFonts w:eastAsia="EC Square Sans Pro" w:cs="EC Square Sans Pro"/>
                <w:noProof/>
                <w:lang w:bidi="en-GB"/>
              </w:rPr>
              <w:t>K</w:t>
            </w:r>
            <w:r w:rsidR="000327D6" w:rsidRPr="005F4295">
              <w:rPr>
                <w:rFonts w:eastAsia="EC Square Sans Pro" w:cs="EC Square Sans Pro"/>
                <w:noProof/>
                <w:lang w:bidi="en-GB"/>
              </w:rPr>
              <w:t>ingdom</w:t>
            </w:r>
            <w:r w:rsidRPr="005F4295">
              <w:rPr>
                <w:rFonts w:eastAsia="EC Square Sans Pro" w:cs="EC Square Sans Pro"/>
                <w:noProof/>
                <w:lang w:bidi="en-GB"/>
              </w:rPr>
              <w:t>, including 3 Interreg programmes)</w:t>
            </w:r>
          </w:p>
        </w:tc>
        <w:tc>
          <w:tcPr>
            <w:tcW w:w="932" w:type="pct"/>
            <w:tcBorders>
              <w:left w:val="single" w:sz="4" w:space="0" w:color="8C8C8C"/>
              <w:right w:val="single" w:sz="4" w:space="0" w:color="8C8C8C"/>
            </w:tcBorders>
          </w:tcPr>
          <w:p w14:paraId="45DB1BFC"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DG Regional and Urban Policy</w:t>
            </w:r>
          </w:p>
        </w:tc>
        <w:tc>
          <w:tcPr>
            <w:tcW w:w="993" w:type="pct"/>
            <w:tcBorders>
              <w:left w:val="single" w:sz="4" w:space="0" w:color="8C8C8C"/>
              <w:right w:val="single" w:sz="4" w:space="0" w:color="8C8C8C"/>
            </w:tcBorders>
          </w:tcPr>
          <w:p w14:paraId="01CD7F0C"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Quantified</w:t>
            </w:r>
          </w:p>
        </w:tc>
        <w:tc>
          <w:tcPr>
            <w:tcW w:w="640" w:type="pct"/>
            <w:gridSpan w:val="2"/>
            <w:tcBorders>
              <w:left w:val="single" w:sz="4" w:space="0" w:color="8C8C8C"/>
            </w:tcBorders>
          </w:tcPr>
          <w:p w14:paraId="438FA36F" w14:textId="5D0F238F" w:rsidR="00EB70E0" w:rsidRPr="005F4295" w:rsidRDefault="00A90F8A">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rFonts w:eastAsia="EC Square Sans Pro" w:cs="EC Square Sans Pro"/>
                <w:noProof/>
                <w:lang w:bidi="en-GB"/>
              </w:rPr>
              <w:t>47.1</w:t>
            </w:r>
          </w:p>
        </w:tc>
      </w:tr>
      <w:tr w:rsidR="00EB70E0" w:rsidRPr="005F4295" w14:paraId="7FF45ACF" w14:textId="77777777">
        <w:trPr>
          <w:gridAfter w:val="1"/>
          <w:wAfter w:w="29" w:type="pct"/>
          <w:trHeight w:val="919"/>
          <w:jc w:val="left"/>
        </w:trPr>
        <w:tc>
          <w:tcPr>
            <w:cnfStyle w:val="001000000000" w:firstRow="0" w:lastRow="0" w:firstColumn="1" w:lastColumn="0" w:oddVBand="0" w:evenVBand="0" w:oddHBand="0" w:evenHBand="0" w:firstRowFirstColumn="0" w:firstRowLastColumn="0" w:lastRowFirstColumn="0" w:lastRowLastColumn="0"/>
            <w:tcW w:w="904" w:type="pct"/>
            <w:vMerge w:val="restart"/>
            <w:tcBorders>
              <w:right w:val="single" w:sz="4" w:space="0" w:color="8C8C8C"/>
            </w:tcBorders>
          </w:tcPr>
          <w:p w14:paraId="0AB0CB07" w14:textId="77777777" w:rsidR="00EB70E0" w:rsidRPr="005F4295" w:rsidRDefault="00EB70E0">
            <w:pPr>
              <w:rPr>
                <w:noProof/>
                <w:highlight w:val="lightGray"/>
              </w:rPr>
            </w:pPr>
            <w:r w:rsidRPr="005F4295">
              <w:t>Natural resources and environment</w:t>
            </w:r>
          </w:p>
        </w:tc>
        <w:tc>
          <w:tcPr>
            <w:tcW w:w="1502" w:type="pct"/>
            <w:tcBorders>
              <w:left w:val="single" w:sz="4" w:space="0" w:color="8C8C8C"/>
              <w:right w:val="single" w:sz="4" w:space="0" w:color="8C8C8C"/>
            </w:tcBorders>
          </w:tcPr>
          <w:p w14:paraId="3B6993B3" w14:textId="77777777" w:rsidR="00EB70E0" w:rsidRPr="005F4295" w:rsidRDefault="00EB70E0" w:rsidP="00BA5A90">
            <w:pPr>
              <w:spacing w:before="0" w:after="120"/>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European Agricultural Guarantee Fund</w:t>
            </w:r>
            <w:r w:rsidRPr="005F4295">
              <w:rPr>
                <w:rFonts w:ascii="Calibri" w:hAnsi="Calibri" w:cs="Calibri"/>
                <w:lang w:bidi="en-GB"/>
              </w:rPr>
              <w:t> </w:t>
            </w:r>
            <w:r w:rsidRPr="005F4295">
              <w:rPr>
                <w:lang w:bidi="en-GB"/>
              </w:rPr>
              <w:t>– market measures</w:t>
            </w:r>
          </w:p>
          <w:p w14:paraId="5C5410CB" w14:textId="706EF976" w:rsidR="00EB70E0" w:rsidRPr="005F4295" w:rsidRDefault="00EB70E0">
            <w:pP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 xml:space="preserve">(6 reservations for </w:t>
            </w:r>
            <w:r w:rsidR="00BA5A90" w:rsidRPr="005F4295">
              <w:rPr>
                <w:lang w:bidi="en-GB"/>
              </w:rPr>
              <w:t>3</w:t>
            </w:r>
            <w:r w:rsidRPr="005F4295">
              <w:rPr>
                <w:lang w:bidi="en-GB"/>
              </w:rPr>
              <w:t xml:space="preserve"> Member States)</w:t>
            </w:r>
          </w:p>
        </w:tc>
        <w:tc>
          <w:tcPr>
            <w:tcW w:w="932" w:type="pct"/>
            <w:tcBorders>
              <w:left w:val="single" w:sz="4" w:space="0" w:color="8C8C8C"/>
              <w:right w:val="single" w:sz="4" w:space="0" w:color="8C8C8C"/>
            </w:tcBorders>
          </w:tcPr>
          <w:p w14:paraId="201522A0"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DG Agriculture and Rural Development</w:t>
            </w:r>
          </w:p>
        </w:tc>
        <w:tc>
          <w:tcPr>
            <w:tcW w:w="993" w:type="pct"/>
            <w:tcBorders>
              <w:left w:val="single" w:sz="4" w:space="0" w:color="8C8C8C"/>
              <w:right w:val="single" w:sz="4" w:space="0" w:color="8C8C8C"/>
            </w:tcBorders>
          </w:tcPr>
          <w:p w14:paraId="65DE16A9"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Quantified</w:t>
            </w:r>
          </w:p>
        </w:tc>
        <w:tc>
          <w:tcPr>
            <w:tcW w:w="640" w:type="pct"/>
            <w:gridSpan w:val="2"/>
            <w:tcBorders>
              <w:left w:val="single" w:sz="4" w:space="0" w:color="8C8C8C"/>
            </w:tcBorders>
          </w:tcPr>
          <w:p w14:paraId="141836A0" w14:textId="3E4B27D7" w:rsidR="00EB70E0" w:rsidRPr="005F4295" w:rsidRDefault="00BA5A9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17.4</w:t>
            </w:r>
          </w:p>
        </w:tc>
      </w:tr>
      <w:tr w:rsidR="00EB70E0" w:rsidRPr="005F4295" w14:paraId="01234957" w14:textId="77777777">
        <w:trPr>
          <w:gridAfter w:val="1"/>
          <w:wAfter w:w="29" w:type="pct"/>
          <w:trHeight w:val="833"/>
          <w:jc w:val="left"/>
        </w:trPr>
        <w:tc>
          <w:tcPr>
            <w:cnfStyle w:val="001000000000" w:firstRow="0" w:lastRow="0" w:firstColumn="1" w:lastColumn="0" w:oddVBand="0" w:evenVBand="0" w:oddHBand="0" w:evenHBand="0" w:firstRowFirstColumn="0" w:firstRowLastColumn="0" w:lastRowFirstColumn="0" w:lastRowLastColumn="0"/>
            <w:tcW w:w="904" w:type="pct"/>
            <w:vMerge/>
          </w:tcPr>
          <w:p w14:paraId="5C4CAA5D" w14:textId="77777777" w:rsidR="00EB70E0" w:rsidRPr="005F4295" w:rsidRDefault="00EB70E0">
            <w:pPr>
              <w:rPr>
                <w:noProof/>
                <w:highlight w:val="lightGray"/>
              </w:rPr>
            </w:pPr>
          </w:p>
        </w:tc>
        <w:tc>
          <w:tcPr>
            <w:tcW w:w="1502" w:type="pct"/>
            <w:tcBorders>
              <w:left w:val="single" w:sz="4" w:space="0" w:color="8C8C8C"/>
              <w:right w:val="single" w:sz="4" w:space="0" w:color="8C8C8C"/>
            </w:tcBorders>
          </w:tcPr>
          <w:p w14:paraId="043092AC" w14:textId="77777777" w:rsidR="00EB70E0" w:rsidRPr="005F4295" w:rsidRDefault="00EB70E0" w:rsidP="00BA5A90">
            <w:pPr>
              <w:spacing w:before="0" w:after="120"/>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European Agricultural Guarantee Fund</w:t>
            </w:r>
            <w:r w:rsidRPr="005F4295">
              <w:rPr>
                <w:rFonts w:ascii="Calibri" w:hAnsi="Calibri" w:cs="Calibri"/>
                <w:lang w:bidi="en-GB"/>
              </w:rPr>
              <w:t> </w:t>
            </w:r>
            <w:r w:rsidRPr="005F4295">
              <w:rPr>
                <w:lang w:bidi="en-GB"/>
              </w:rPr>
              <w:t>– direct payments</w:t>
            </w:r>
          </w:p>
          <w:p w14:paraId="56777EA4" w14:textId="77777777" w:rsidR="00EB70E0" w:rsidRPr="005F4295" w:rsidRDefault="00EB70E0">
            <w:pP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(1 reservation for 1 Member State)</w:t>
            </w:r>
          </w:p>
        </w:tc>
        <w:tc>
          <w:tcPr>
            <w:tcW w:w="932" w:type="pct"/>
            <w:tcBorders>
              <w:left w:val="single" w:sz="4" w:space="0" w:color="8C8C8C"/>
              <w:right w:val="single" w:sz="4" w:space="0" w:color="8C8C8C"/>
            </w:tcBorders>
          </w:tcPr>
          <w:p w14:paraId="41422F39"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DG Agriculture and Rural Development</w:t>
            </w:r>
          </w:p>
        </w:tc>
        <w:tc>
          <w:tcPr>
            <w:tcW w:w="993" w:type="pct"/>
            <w:tcBorders>
              <w:left w:val="single" w:sz="4" w:space="0" w:color="8C8C8C"/>
              <w:right w:val="single" w:sz="4" w:space="0" w:color="8C8C8C"/>
            </w:tcBorders>
          </w:tcPr>
          <w:p w14:paraId="231A68CA"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Quantified</w:t>
            </w:r>
          </w:p>
        </w:tc>
        <w:tc>
          <w:tcPr>
            <w:tcW w:w="640" w:type="pct"/>
            <w:gridSpan w:val="2"/>
            <w:tcBorders>
              <w:left w:val="single" w:sz="4" w:space="0" w:color="8C8C8C"/>
            </w:tcBorders>
          </w:tcPr>
          <w:p w14:paraId="4732C102" w14:textId="4EC28249" w:rsidR="00EB70E0" w:rsidRPr="005F4295" w:rsidRDefault="00BA5A9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1</w:t>
            </w:r>
            <w:r w:rsidR="00EB70E0" w:rsidRPr="005F4295">
              <w:rPr>
                <w:lang w:bidi="en-GB"/>
              </w:rPr>
              <w:t>.8</w:t>
            </w:r>
          </w:p>
        </w:tc>
      </w:tr>
      <w:tr w:rsidR="00EB70E0" w:rsidRPr="005F4295" w14:paraId="5F0631D6" w14:textId="77777777">
        <w:trPr>
          <w:gridAfter w:val="1"/>
          <w:wAfter w:w="29" w:type="pct"/>
          <w:trHeight w:val="756"/>
          <w:jc w:val="left"/>
        </w:trPr>
        <w:tc>
          <w:tcPr>
            <w:cnfStyle w:val="001000000000" w:firstRow="0" w:lastRow="0" w:firstColumn="1" w:lastColumn="0" w:oddVBand="0" w:evenVBand="0" w:oddHBand="0" w:evenHBand="0" w:firstRowFirstColumn="0" w:firstRowLastColumn="0" w:lastRowFirstColumn="0" w:lastRowLastColumn="0"/>
            <w:tcW w:w="904" w:type="pct"/>
            <w:vMerge/>
          </w:tcPr>
          <w:p w14:paraId="41C13964" w14:textId="77777777" w:rsidR="00EB70E0" w:rsidRPr="005F4295" w:rsidRDefault="00EB70E0">
            <w:pPr>
              <w:rPr>
                <w:noProof/>
                <w:highlight w:val="lightGray"/>
              </w:rPr>
            </w:pPr>
          </w:p>
        </w:tc>
        <w:tc>
          <w:tcPr>
            <w:tcW w:w="1502" w:type="pct"/>
            <w:tcBorders>
              <w:left w:val="single" w:sz="4" w:space="0" w:color="8C8C8C"/>
              <w:right w:val="single" w:sz="4" w:space="0" w:color="8C8C8C"/>
            </w:tcBorders>
          </w:tcPr>
          <w:p w14:paraId="2CC3804E" w14:textId="77777777" w:rsidR="00EB70E0" w:rsidRPr="005F4295" w:rsidRDefault="00EB70E0" w:rsidP="00BA5A90">
            <w:pPr>
              <w:spacing w:before="0" w:after="120"/>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European Agricultural Fund for Rural Development</w:t>
            </w:r>
          </w:p>
          <w:p w14:paraId="631E0082" w14:textId="44FDA2C1" w:rsidR="00EB70E0" w:rsidRPr="005F4295" w:rsidRDefault="00EB70E0">
            <w:pP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w:t>
            </w:r>
            <w:r w:rsidR="00BA5A90" w:rsidRPr="005F4295">
              <w:rPr>
                <w:lang w:bidi="en-GB"/>
              </w:rPr>
              <w:t>10</w:t>
            </w:r>
            <w:r w:rsidRPr="005F4295">
              <w:rPr>
                <w:lang w:bidi="en-GB"/>
              </w:rPr>
              <w:t xml:space="preserve"> reservations for 10 Member States)</w:t>
            </w:r>
          </w:p>
        </w:tc>
        <w:tc>
          <w:tcPr>
            <w:tcW w:w="932" w:type="pct"/>
            <w:tcBorders>
              <w:left w:val="single" w:sz="4" w:space="0" w:color="8C8C8C"/>
              <w:right w:val="single" w:sz="4" w:space="0" w:color="8C8C8C"/>
            </w:tcBorders>
          </w:tcPr>
          <w:p w14:paraId="110662B5"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DG Agriculture and Rural Development</w:t>
            </w:r>
          </w:p>
        </w:tc>
        <w:tc>
          <w:tcPr>
            <w:tcW w:w="993" w:type="pct"/>
            <w:tcBorders>
              <w:left w:val="single" w:sz="4" w:space="0" w:color="8C8C8C"/>
              <w:right w:val="single" w:sz="4" w:space="0" w:color="8C8C8C"/>
            </w:tcBorders>
          </w:tcPr>
          <w:p w14:paraId="3D056750"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Quantified</w:t>
            </w:r>
          </w:p>
        </w:tc>
        <w:tc>
          <w:tcPr>
            <w:tcW w:w="640" w:type="pct"/>
            <w:gridSpan w:val="2"/>
            <w:tcBorders>
              <w:left w:val="single" w:sz="4" w:space="0" w:color="8C8C8C"/>
            </w:tcBorders>
          </w:tcPr>
          <w:p w14:paraId="13592C53" w14:textId="402BFB54" w:rsidR="00EB70E0" w:rsidRPr="005F4295" w:rsidRDefault="00BA5A9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281.5</w:t>
            </w:r>
          </w:p>
        </w:tc>
      </w:tr>
      <w:tr w:rsidR="00EB70E0" w:rsidRPr="005F4295" w14:paraId="7C76547F" w14:textId="77777777">
        <w:trPr>
          <w:gridAfter w:val="1"/>
          <w:wAfter w:w="29" w:type="pct"/>
          <w:trHeight w:val="540"/>
          <w:jc w:val="left"/>
        </w:trPr>
        <w:tc>
          <w:tcPr>
            <w:cnfStyle w:val="001000000000" w:firstRow="0" w:lastRow="0" w:firstColumn="1" w:lastColumn="0" w:oddVBand="0" w:evenVBand="0" w:oddHBand="0" w:evenHBand="0" w:firstRowFirstColumn="0" w:firstRowLastColumn="0" w:lastRowFirstColumn="0" w:lastRowLastColumn="0"/>
            <w:tcW w:w="904" w:type="pct"/>
            <w:vMerge/>
          </w:tcPr>
          <w:p w14:paraId="0BB2B5BD" w14:textId="77777777" w:rsidR="00EB70E0" w:rsidRPr="005F4295" w:rsidRDefault="00EB70E0">
            <w:pPr>
              <w:rPr>
                <w:noProof/>
                <w:highlight w:val="lightGray"/>
              </w:rPr>
            </w:pPr>
          </w:p>
        </w:tc>
        <w:tc>
          <w:tcPr>
            <w:tcW w:w="1502" w:type="pct"/>
            <w:tcBorders>
              <w:left w:val="single" w:sz="4" w:space="0" w:color="8C8C8C"/>
              <w:right w:val="single" w:sz="4" w:space="0" w:color="8C8C8C"/>
            </w:tcBorders>
          </w:tcPr>
          <w:p w14:paraId="5B0889A2" w14:textId="77777777" w:rsidR="00BA5A90" w:rsidRPr="005F4295" w:rsidRDefault="00BA5A90" w:rsidP="00BA5A90">
            <w:pPr>
              <w:spacing w:before="0" w:after="120"/>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European Maritime and Fisheries Fund</w:t>
            </w:r>
          </w:p>
          <w:p w14:paraId="61F2C2B7" w14:textId="7194F07A" w:rsidR="00EB70E0" w:rsidRPr="005F4295" w:rsidRDefault="00BA5A90">
            <w:pP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(2 Member States)</w:t>
            </w:r>
          </w:p>
        </w:tc>
        <w:tc>
          <w:tcPr>
            <w:tcW w:w="932" w:type="pct"/>
            <w:tcBorders>
              <w:left w:val="single" w:sz="4" w:space="0" w:color="8C8C8C"/>
              <w:right w:val="single" w:sz="4" w:space="0" w:color="8C8C8C"/>
            </w:tcBorders>
          </w:tcPr>
          <w:p w14:paraId="3924C305" w14:textId="4CFB2240" w:rsidR="00EB70E0" w:rsidRPr="005F4295" w:rsidRDefault="00BA5A9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DG Maritime Affairs and Fisheries</w:t>
            </w:r>
          </w:p>
        </w:tc>
        <w:tc>
          <w:tcPr>
            <w:tcW w:w="993" w:type="pct"/>
            <w:tcBorders>
              <w:left w:val="single" w:sz="4" w:space="0" w:color="8C8C8C"/>
              <w:right w:val="single" w:sz="4" w:space="0" w:color="8C8C8C"/>
            </w:tcBorders>
          </w:tcPr>
          <w:p w14:paraId="525A56CE" w14:textId="77777777" w:rsidR="00EB70E0" w:rsidRPr="005F4295" w:rsidDel="004B2A83"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Non-quantified</w:t>
            </w:r>
          </w:p>
        </w:tc>
        <w:tc>
          <w:tcPr>
            <w:tcW w:w="640" w:type="pct"/>
            <w:gridSpan w:val="2"/>
            <w:tcBorders>
              <w:left w:val="single" w:sz="4" w:space="0" w:color="8C8C8C"/>
            </w:tcBorders>
          </w:tcPr>
          <w:p w14:paraId="6EC0FB51"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lang w:bidi="en-GB"/>
              </w:rPr>
            </w:pPr>
            <w:r w:rsidRPr="005F4295">
              <w:rPr>
                <w:lang w:bidi="en-GB"/>
              </w:rPr>
              <w:t>—</w:t>
            </w:r>
          </w:p>
        </w:tc>
      </w:tr>
      <w:tr w:rsidR="00EB70E0" w:rsidRPr="005F4295" w14:paraId="704C6D60" w14:textId="77777777">
        <w:trPr>
          <w:gridAfter w:val="1"/>
          <w:wAfter w:w="29" w:type="pct"/>
          <w:trHeight w:val="506"/>
          <w:jc w:val="left"/>
        </w:trPr>
        <w:tc>
          <w:tcPr>
            <w:cnfStyle w:val="001000000000" w:firstRow="0" w:lastRow="0" w:firstColumn="1" w:lastColumn="0" w:oddVBand="0" w:evenVBand="0" w:oddHBand="0" w:evenHBand="0" w:firstRowFirstColumn="0" w:firstRowLastColumn="0" w:lastRowFirstColumn="0" w:lastRowLastColumn="0"/>
            <w:tcW w:w="904" w:type="pct"/>
            <w:tcBorders>
              <w:right w:val="single" w:sz="4" w:space="0" w:color="8C8C8C"/>
            </w:tcBorders>
          </w:tcPr>
          <w:p w14:paraId="2C8E7385" w14:textId="77777777" w:rsidR="00EB70E0" w:rsidRPr="005F4295" w:rsidRDefault="00EB70E0">
            <w:r w:rsidRPr="005F4295">
              <w:t>Migration and border management</w:t>
            </w:r>
          </w:p>
        </w:tc>
        <w:tc>
          <w:tcPr>
            <w:tcW w:w="1502" w:type="pct"/>
            <w:tcBorders>
              <w:left w:val="single" w:sz="4" w:space="0" w:color="8C8C8C"/>
              <w:right w:val="single" w:sz="4" w:space="0" w:color="8C8C8C"/>
            </w:tcBorders>
          </w:tcPr>
          <w:p w14:paraId="4FA35B90" w14:textId="77777777" w:rsidR="007D4616" w:rsidRPr="005F4295" w:rsidRDefault="007D4616" w:rsidP="007D4616">
            <w:pPr>
              <w:cnfStyle w:val="000000000000" w:firstRow="0" w:lastRow="0" w:firstColumn="0" w:lastColumn="0" w:oddVBand="0" w:evenVBand="0" w:oddHBand="0" w:evenHBand="0" w:firstRowFirstColumn="0" w:firstRowLastColumn="0" w:lastRowFirstColumn="0" w:lastRowLastColumn="0"/>
              <w:rPr>
                <w:noProof/>
              </w:rPr>
            </w:pPr>
            <w:r w:rsidRPr="005F4295">
              <w:rPr>
                <w:noProof/>
              </w:rPr>
              <w:t>Management and control systems for the Asylum, Migration and Integration Fund and the Internal Security Fund</w:t>
            </w:r>
          </w:p>
          <w:p w14:paraId="046D82B4" w14:textId="48FC8638" w:rsidR="00EB70E0" w:rsidRPr="005F4295" w:rsidRDefault="007D4616">
            <w:pPr>
              <w:cnfStyle w:val="000000000000" w:firstRow="0" w:lastRow="0" w:firstColumn="0" w:lastColumn="0" w:oddVBand="0" w:evenVBand="0" w:oddHBand="0" w:evenHBand="0" w:firstRowFirstColumn="0" w:firstRowLastColumn="0" w:lastRowFirstColumn="0" w:lastRowLastColumn="0"/>
            </w:pPr>
            <w:r w:rsidRPr="005F4295">
              <w:rPr>
                <w:noProof/>
              </w:rPr>
              <w:t xml:space="preserve">(14 reservations in </w:t>
            </w:r>
            <w:r w:rsidR="00EB70E0" w:rsidRPr="005F4295">
              <w:t xml:space="preserve">7 Member States and </w:t>
            </w:r>
            <w:r w:rsidRPr="005F4295">
              <w:rPr>
                <w:noProof/>
              </w:rPr>
              <w:t>2</w:t>
            </w:r>
            <w:r w:rsidR="00EB70E0" w:rsidRPr="005F4295">
              <w:t xml:space="preserve"> Schengen-associated </w:t>
            </w:r>
            <w:r w:rsidRPr="005F4295">
              <w:rPr>
                <w:noProof/>
              </w:rPr>
              <w:t>countries</w:t>
            </w:r>
            <w:r w:rsidR="00EB70E0" w:rsidRPr="005F4295">
              <w:t>)</w:t>
            </w:r>
          </w:p>
        </w:tc>
        <w:tc>
          <w:tcPr>
            <w:tcW w:w="932" w:type="pct"/>
            <w:tcBorders>
              <w:left w:val="single" w:sz="4" w:space="0" w:color="8C8C8C"/>
              <w:right w:val="single" w:sz="4" w:space="0" w:color="8C8C8C"/>
            </w:tcBorders>
          </w:tcPr>
          <w:p w14:paraId="783BDF5F"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DG Migration and Home Affairs</w:t>
            </w:r>
          </w:p>
        </w:tc>
        <w:tc>
          <w:tcPr>
            <w:tcW w:w="993" w:type="pct"/>
            <w:tcBorders>
              <w:left w:val="single" w:sz="4" w:space="0" w:color="8C8C8C"/>
              <w:right w:val="single" w:sz="4" w:space="0" w:color="8C8C8C"/>
            </w:tcBorders>
          </w:tcPr>
          <w:p w14:paraId="2BF53141"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r w:rsidRPr="005F4295">
              <w:t>Non-quantified</w:t>
            </w:r>
          </w:p>
          <w:p w14:paraId="444A6700" w14:textId="755C4FC4" w:rsidR="00EB70E0" w:rsidRPr="005F4295" w:rsidRDefault="00EB70E0" w:rsidP="007D4616">
            <w:pPr>
              <w:ind w:left="794" w:hanging="397"/>
              <w:cnfStyle w:val="000000000000" w:firstRow="0" w:lastRow="0" w:firstColumn="0" w:lastColumn="0" w:oddVBand="0" w:evenVBand="0" w:oddHBand="0" w:evenHBand="0" w:firstRowFirstColumn="0" w:firstRowLastColumn="0" w:lastRowFirstColumn="0" w:lastRowLastColumn="0"/>
            </w:pPr>
          </w:p>
        </w:tc>
        <w:tc>
          <w:tcPr>
            <w:tcW w:w="640" w:type="pct"/>
            <w:gridSpan w:val="2"/>
            <w:tcBorders>
              <w:left w:val="single" w:sz="4" w:space="0" w:color="8C8C8C"/>
            </w:tcBorders>
          </w:tcPr>
          <w:p w14:paraId="3AD1B14E" w14:textId="75435949" w:rsidR="00EB70E0" w:rsidRPr="005F4295" w:rsidRDefault="007D4616">
            <w:pPr>
              <w:jc w:val="center"/>
              <w:cnfStyle w:val="000000000000" w:firstRow="0" w:lastRow="0" w:firstColumn="0" w:lastColumn="0" w:oddVBand="0" w:evenVBand="0" w:oddHBand="0" w:evenHBand="0" w:firstRowFirstColumn="0" w:firstRowLastColumn="0" w:lastRowFirstColumn="0" w:lastRowLastColumn="0"/>
              <w:rPr>
                <w:b/>
              </w:rPr>
            </w:pPr>
            <w:r w:rsidRPr="005F4295">
              <w:rPr>
                <w:lang w:bidi="en-GB"/>
              </w:rPr>
              <w:t>—</w:t>
            </w:r>
          </w:p>
          <w:p w14:paraId="198BDF45"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b/>
              </w:rPr>
            </w:pPr>
          </w:p>
          <w:p w14:paraId="26011D0E"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b/>
              </w:rPr>
            </w:pPr>
          </w:p>
          <w:p w14:paraId="13C46467" w14:textId="2365CCA8"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p>
        </w:tc>
      </w:tr>
      <w:tr w:rsidR="00EB70E0" w:rsidRPr="005F4295" w14:paraId="12AC659E" w14:textId="77777777">
        <w:trPr>
          <w:gridAfter w:val="1"/>
          <w:wAfter w:w="29" w:type="pct"/>
          <w:trHeight w:val="422"/>
          <w:jc w:val="left"/>
        </w:trPr>
        <w:tc>
          <w:tcPr>
            <w:cnfStyle w:val="001000000000" w:firstRow="0" w:lastRow="0" w:firstColumn="1" w:lastColumn="0" w:oddVBand="0" w:evenVBand="0" w:oddHBand="0" w:evenHBand="0" w:firstRowFirstColumn="0" w:firstRowLastColumn="0" w:lastRowFirstColumn="0" w:lastRowLastColumn="0"/>
            <w:tcW w:w="904" w:type="pct"/>
            <w:tcBorders>
              <w:bottom w:val="single" w:sz="4" w:space="0" w:color="auto"/>
              <w:right w:val="single" w:sz="4" w:space="0" w:color="7F7F7F" w:themeColor="text1" w:themeTint="80"/>
            </w:tcBorders>
            <w:shd w:val="clear" w:color="auto" w:fill="F2F2F2" w:themeFill="background1" w:themeFillShade="F2"/>
          </w:tcPr>
          <w:p w14:paraId="5AA47302" w14:textId="77777777" w:rsidR="00EB70E0" w:rsidRPr="005F4295" w:rsidRDefault="00EB70E0">
            <w:bookmarkStart w:id="48" w:name="_Hlk164952369"/>
            <w:r w:rsidRPr="005F4295">
              <w:rPr>
                <w:color w:val="000000" w:themeColor="text1"/>
              </w:rPr>
              <w:t>Total</w:t>
            </w:r>
          </w:p>
        </w:tc>
        <w:tc>
          <w:tcPr>
            <w:tcW w:w="1502" w:type="pct"/>
            <w:tcBorders>
              <w:left w:val="single" w:sz="4" w:space="0" w:color="7F7F7F" w:themeColor="text1" w:themeTint="80"/>
              <w:bottom w:val="single" w:sz="4" w:space="0" w:color="auto"/>
              <w:right w:val="single" w:sz="4" w:space="0" w:color="7F7F7F" w:themeColor="text1" w:themeTint="80"/>
            </w:tcBorders>
            <w:shd w:val="clear" w:color="auto" w:fill="F2F2F2" w:themeFill="background1" w:themeFillShade="F2"/>
          </w:tcPr>
          <w:p w14:paraId="71DD04CA" w14:textId="421B50AB" w:rsidR="00EB70E0" w:rsidRPr="005F4295" w:rsidRDefault="009B2F8C">
            <w:pPr>
              <w:jc w:val="center"/>
              <w:cnfStyle w:val="000000000000" w:firstRow="0" w:lastRow="0" w:firstColumn="0" w:lastColumn="0" w:oddVBand="0" w:evenVBand="0" w:oddHBand="0" w:evenHBand="0" w:firstRowFirstColumn="0" w:firstRowLastColumn="0" w:lastRowFirstColumn="0" w:lastRowLastColumn="0"/>
              <w:rPr>
                <w:rFonts w:eastAsia="EC Square Sans Pro"/>
                <w:b/>
              </w:rPr>
            </w:pPr>
            <w:r w:rsidRPr="005F4295">
              <w:rPr>
                <w:rFonts w:eastAsia="EC Square Sans Pro"/>
                <w:b/>
                <w:noProof/>
              </w:rPr>
              <w:t>8</w:t>
            </w:r>
            <w:r w:rsidR="00EB70E0" w:rsidRPr="005F4295">
              <w:rPr>
                <w:rFonts w:eastAsia="EC Square Sans Pro"/>
                <w:b/>
              </w:rPr>
              <w:t xml:space="preserve"> reservations</w:t>
            </w:r>
          </w:p>
        </w:tc>
        <w:tc>
          <w:tcPr>
            <w:tcW w:w="932" w:type="pct"/>
            <w:tcBorders>
              <w:left w:val="single" w:sz="4" w:space="0" w:color="7F7F7F" w:themeColor="text1" w:themeTint="80"/>
              <w:bottom w:val="single" w:sz="4" w:space="0" w:color="auto"/>
              <w:right w:val="single" w:sz="4" w:space="0" w:color="7F7F7F" w:themeColor="text1" w:themeTint="80"/>
            </w:tcBorders>
            <w:shd w:val="clear" w:color="auto" w:fill="F2F2F2" w:themeFill="background1" w:themeFillShade="F2"/>
          </w:tcPr>
          <w:p w14:paraId="470DBD42" w14:textId="7E81BA10" w:rsidR="00EB70E0" w:rsidRPr="005F4295" w:rsidRDefault="00B84D90">
            <w:pPr>
              <w:jc w:val="center"/>
              <w:cnfStyle w:val="000000000000" w:firstRow="0" w:lastRow="0" w:firstColumn="0" w:lastColumn="0" w:oddVBand="0" w:evenVBand="0" w:oddHBand="0" w:evenHBand="0" w:firstRowFirstColumn="0" w:firstRowLastColumn="0" w:lastRowFirstColumn="0" w:lastRowLastColumn="0"/>
              <w:rPr>
                <w:b/>
              </w:rPr>
            </w:pPr>
            <w:r w:rsidRPr="005F4295">
              <w:rPr>
                <w:b/>
                <w:noProof/>
              </w:rPr>
              <w:t>6</w:t>
            </w:r>
            <w:r w:rsidR="00EB70E0" w:rsidRPr="005F4295">
              <w:rPr>
                <w:b/>
              </w:rPr>
              <w:t xml:space="preserve"> departments</w:t>
            </w:r>
          </w:p>
        </w:tc>
        <w:tc>
          <w:tcPr>
            <w:tcW w:w="993" w:type="pct"/>
            <w:tcBorders>
              <w:left w:val="single" w:sz="4" w:space="0" w:color="7F7F7F" w:themeColor="text1" w:themeTint="80"/>
              <w:bottom w:val="single" w:sz="4" w:space="0" w:color="auto"/>
              <w:right w:val="single" w:sz="4" w:space="0" w:color="7F7F7F" w:themeColor="text1" w:themeTint="80"/>
            </w:tcBorders>
            <w:shd w:val="clear" w:color="auto" w:fill="F2F2F2" w:themeFill="background1" w:themeFillShade="F2"/>
          </w:tcPr>
          <w:p w14:paraId="75225AD3"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b/>
              </w:rPr>
            </w:pPr>
            <w:r w:rsidRPr="005F4295">
              <w:rPr>
                <w:b/>
              </w:rPr>
              <w:t>—</w:t>
            </w:r>
          </w:p>
        </w:tc>
        <w:tc>
          <w:tcPr>
            <w:tcW w:w="640" w:type="pct"/>
            <w:gridSpan w:val="2"/>
            <w:tcBorders>
              <w:left w:val="single" w:sz="4" w:space="0" w:color="7F7F7F" w:themeColor="text1" w:themeTint="80"/>
              <w:bottom w:val="single" w:sz="4" w:space="0" w:color="auto"/>
            </w:tcBorders>
            <w:shd w:val="clear" w:color="auto" w:fill="F2F2F2" w:themeFill="background1" w:themeFillShade="F2"/>
          </w:tcPr>
          <w:p w14:paraId="4203464A" w14:textId="1D5173FD" w:rsidR="00EB70E0" w:rsidRPr="005F4295" w:rsidRDefault="0020131C">
            <w:pPr>
              <w:jc w:val="center"/>
              <w:cnfStyle w:val="000000000000" w:firstRow="0" w:lastRow="0" w:firstColumn="0" w:lastColumn="0" w:oddVBand="0" w:evenVBand="0" w:oddHBand="0" w:evenHBand="0" w:firstRowFirstColumn="0" w:firstRowLastColumn="0" w:lastRowFirstColumn="0" w:lastRowLastColumn="0"/>
              <w:rPr>
                <w:b/>
              </w:rPr>
            </w:pPr>
            <w:r w:rsidRPr="005F4295">
              <w:rPr>
                <w:b/>
                <w:noProof/>
              </w:rPr>
              <w:t>447</w:t>
            </w:r>
            <w:r w:rsidR="00115DE3" w:rsidRPr="005F4295">
              <w:rPr>
                <w:b/>
                <w:noProof/>
              </w:rPr>
              <w:t>.</w:t>
            </w:r>
            <w:r w:rsidRPr="005F4295">
              <w:rPr>
                <w:b/>
                <w:noProof/>
              </w:rPr>
              <w:t>1</w:t>
            </w:r>
          </w:p>
        </w:tc>
      </w:tr>
      <w:tr w:rsidR="00EB70E0" w:rsidRPr="005F4295" w14:paraId="4B736FF1" w14:textId="77777777">
        <w:trPr>
          <w:trHeight w:val="137"/>
          <w:jc w:val="left"/>
        </w:trPr>
        <w:tc>
          <w:tcPr>
            <w:cnfStyle w:val="001000000000" w:firstRow="0" w:lastRow="0" w:firstColumn="1" w:lastColumn="0" w:oddVBand="0" w:evenVBand="0" w:oddHBand="0" w:evenHBand="0" w:firstRowFirstColumn="0" w:firstRowLastColumn="0" w:lastRowFirstColumn="0" w:lastRowLastColumn="0"/>
            <w:tcW w:w="4352" w:type="pct"/>
            <w:gridSpan w:val="5"/>
            <w:tcBorders>
              <w:top w:val="nil"/>
              <w:bottom w:val="nil"/>
              <w:right w:val="nil"/>
            </w:tcBorders>
          </w:tcPr>
          <w:p w14:paraId="7AC324FA" w14:textId="77777777" w:rsidR="00EB70E0" w:rsidRPr="005F4295" w:rsidRDefault="00EB70E0"/>
        </w:tc>
        <w:tc>
          <w:tcPr>
            <w:tcW w:w="648" w:type="pct"/>
            <w:gridSpan w:val="2"/>
            <w:tcBorders>
              <w:top w:val="nil"/>
              <w:left w:val="nil"/>
              <w:bottom w:val="nil"/>
              <w:right w:val="nil"/>
            </w:tcBorders>
          </w:tcPr>
          <w:p w14:paraId="2B6E8F12"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pPr>
          </w:p>
        </w:tc>
      </w:tr>
      <w:tr w:rsidR="00EB70E0" w:rsidRPr="005F4295" w14:paraId="504E88C5" w14:textId="77777777">
        <w:trPr>
          <w:gridAfter w:val="1"/>
          <w:cnfStyle w:val="010000000000" w:firstRow="0" w:lastRow="1" w:firstColumn="0" w:lastColumn="0" w:oddVBand="0" w:evenVBand="0" w:oddHBand="0" w:evenHBand="0" w:firstRowFirstColumn="0" w:firstRowLastColumn="0" w:lastRowFirstColumn="0" w:lastRowLastColumn="0"/>
          <w:wAfter w:w="29" w:type="pct"/>
          <w:trHeight w:val="404"/>
          <w:jc w:val="left"/>
        </w:trPr>
        <w:tc>
          <w:tcPr>
            <w:cnfStyle w:val="001000000000" w:firstRow="0" w:lastRow="0" w:firstColumn="1" w:lastColumn="0" w:oddVBand="0" w:evenVBand="0" w:oddHBand="0" w:evenHBand="0" w:firstRowFirstColumn="0" w:firstRowLastColumn="0" w:lastRowFirstColumn="0" w:lastRowLastColumn="0"/>
            <w:tcW w:w="904" w:type="pct"/>
            <w:tcBorders>
              <w:top w:val="single" w:sz="4" w:space="0" w:color="auto"/>
              <w:bottom w:val="single" w:sz="4" w:space="0" w:color="auto"/>
              <w:right w:val="single" w:sz="4" w:space="0" w:color="7F7F7F" w:themeColor="text1" w:themeTint="80"/>
            </w:tcBorders>
            <w:shd w:val="clear" w:color="auto" w:fill="FEDEC6" w:themeFill="accent2" w:themeFillTint="33"/>
          </w:tcPr>
          <w:p w14:paraId="269A588E" w14:textId="6BB381B9" w:rsidR="00EB70E0" w:rsidRPr="005F4295" w:rsidRDefault="00EB70E0">
            <w:pPr>
              <w:ind w:right="-135"/>
              <w:jc w:val="left"/>
            </w:pPr>
            <w:bookmarkStart w:id="49" w:name="_Hlk198890650"/>
            <w:bookmarkEnd w:id="48"/>
            <w:r w:rsidRPr="005F4295">
              <w:t xml:space="preserve">Total for </w:t>
            </w:r>
            <w:r w:rsidR="00115DE3" w:rsidRPr="005F4295">
              <w:rPr>
                <w:noProof/>
              </w:rPr>
              <w:t>2025</w:t>
            </w:r>
          </w:p>
        </w:tc>
        <w:tc>
          <w:tcPr>
            <w:tcW w:w="1502" w:type="pct"/>
            <w:tcBorders>
              <w:top w:val="single" w:sz="4" w:space="0" w:color="auto"/>
              <w:left w:val="single" w:sz="4" w:space="0" w:color="7F7F7F" w:themeColor="text1" w:themeTint="80"/>
              <w:bottom w:val="single" w:sz="4" w:space="0" w:color="auto"/>
              <w:right w:val="single" w:sz="4" w:space="0" w:color="7F7F7F" w:themeColor="text1" w:themeTint="80"/>
            </w:tcBorders>
            <w:shd w:val="clear" w:color="auto" w:fill="FEDEC6" w:themeFill="accent2" w:themeFillTint="33"/>
          </w:tcPr>
          <w:p w14:paraId="0A43F790" w14:textId="14FE0A9D" w:rsidR="00EB70E0" w:rsidRPr="005F4295" w:rsidRDefault="0020131C">
            <w:pPr>
              <w:jc w:val="center"/>
              <w:cnfStyle w:val="010000000000" w:firstRow="0" w:lastRow="1" w:firstColumn="0" w:lastColumn="0" w:oddVBand="0" w:evenVBand="0" w:oddHBand="0" w:evenHBand="0" w:firstRowFirstColumn="0" w:firstRowLastColumn="0" w:lastRowFirstColumn="0" w:lastRowLastColumn="0"/>
            </w:pPr>
            <w:r w:rsidRPr="005F4295">
              <w:rPr>
                <w:noProof/>
              </w:rPr>
              <w:t>30</w:t>
            </w:r>
            <w:r w:rsidR="00EB70E0" w:rsidRPr="005F4295">
              <w:t xml:space="preserve"> reservations</w:t>
            </w:r>
          </w:p>
        </w:tc>
        <w:tc>
          <w:tcPr>
            <w:tcW w:w="932" w:type="pct"/>
            <w:tcBorders>
              <w:top w:val="single" w:sz="4" w:space="0" w:color="auto"/>
              <w:left w:val="single" w:sz="4" w:space="0" w:color="7F7F7F" w:themeColor="text1" w:themeTint="80"/>
              <w:bottom w:val="single" w:sz="4" w:space="0" w:color="auto"/>
              <w:right w:val="single" w:sz="4" w:space="0" w:color="7F7F7F" w:themeColor="text1" w:themeTint="80"/>
            </w:tcBorders>
            <w:shd w:val="clear" w:color="auto" w:fill="FEDEC6" w:themeFill="accent2" w:themeFillTint="33"/>
          </w:tcPr>
          <w:p w14:paraId="6C7CF6B9" w14:textId="40883CDF" w:rsidR="00EB70E0" w:rsidRPr="005F4295" w:rsidRDefault="00115DE3">
            <w:pPr>
              <w:ind w:right="-76"/>
              <w:jc w:val="center"/>
              <w:cnfStyle w:val="010000000000" w:firstRow="0" w:lastRow="1" w:firstColumn="0" w:lastColumn="0" w:oddVBand="0" w:evenVBand="0" w:oddHBand="0" w:evenHBand="0" w:firstRowFirstColumn="0" w:firstRowLastColumn="0" w:lastRowFirstColumn="0" w:lastRowLastColumn="0"/>
            </w:pPr>
            <w:r w:rsidRPr="005F4295">
              <w:rPr>
                <w:noProof/>
              </w:rPr>
              <w:t>1</w:t>
            </w:r>
            <w:r w:rsidR="0020131C" w:rsidRPr="005F4295">
              <w:rPr>
                <w:noProof/>
              </w:rPr>
              <w:t>8</w:t>
            </w:r>
            <w:r w:rsidR="00EB70E0" w:rsidRPr="005F4295">
              <w:t xml:space="preserve"> departments</w:t>
            </w:r>
          </w:p>
        </w:tc>
        <w:tc>
          <w:tcPr>
            <w:tcW w:w="993" w:type="pct"/>
            <w:tcBorders>
              <w:top w:val="single" w:sz="4" w:space="0" w:color="auto"/>
              <w:left w:val="single" w:sz="4" w:space="0" w:color="7F7F7F" w:themeColor="text1" w:themeTint="80"/>
              <w:bottom w:val="single" w:sz="4" w:space="0" w:color="auto"/>
              <w:right w:val="single" w:sz="4" w:space="0" w:color="auto"/>
            </w:tcBorders>
            <w:shd w:val="clear" w:color="auto" w:fill="FEDEC6" w:themeFill="accent2" w:themeFillTint="33"/>
          </w:tcPr>
          <w:p w14:paraId="111205E1" w14:textId="77777777" w:rsidR="00EB70E0" w:rsidRPr="005F4295" w:rsidRDefault="00EB70E0">
            <w:pPr>
              <w:jc w:val="center"/>
              <w:cnfStyle w:val="010000000000" w:firstRow="0" w:lastRow="1" w:firstColumn="0" w:lastColumn="0" w:oddVBand="0" w:evenVBand="0" w:oddHBand="0" w:evenHBand="0" w:firstRowFirstColumn="0" w:firstRowLastColumn="0" w:lastRowFirstColumn="0" w:lastRowLastColumn="0"/>
            </w:pPr>
            <w:r w:rsidRPr="005F4295">
              <w:t>—</w:t>
            </w:r>
          </w:p>
        </w:tc>
        <w:tc>
          <w:tcPr>
            <w:tcW w:w="640" w:type="pct"/>
            <w:gridSpan w:val="2"/>
            <w:tcBorders>
              <w:top w:val="single" w:sz="4" w:space="0" w:color="auto"/>
              <w:left w:val="single" w:sz="4" w:space="0" w:color="auto"/>
              <w:bottom w:val="single" w:sz="4" w:space="0" w:color="auto"/>
            </w:tcBorders>
            <w:shd w:val="clear" w:color="auto" w:fill="FEDEC6" w:themeFill="accent2" w:themeFillTint="33"/>
          </w:tcPr>
          <w:p w14:paraId="7B784726" w14:textId="2C83CCEC" w:rsidR="00EB70E0" w:rsidRPr="005F4295" w:rsidRDefault="00B41C09">
            <w:pPr>
              <w:jc w:val="center"/>
              <w:cnfStyle w:val="010000000000" w:firstRow="0" w:lastRow="1" w:firstColumn="0" w:lastColumn="0" w:oddVBand="0" w:evenVBand="0" w:oddHBand="0" w:evenHBand="0" w:firstRowFirstColumn="0" w:firstRowLastColumn="0" w:lastRowFirstColumn="0" w:lastRowLastColumn="0"/>
            </w:pPr>
            <w:r w:rsidRPr="005F4295">
              <w:rPr>
                <w:noProof/>
              </w:rPr>
              <w:t>866</w:t>
            </w:r>
            <w:r w:rsidR="00115DE3" w:rsidRPr="005F4295">
              <w:rPr>
                <w:noProof/>
              </w:rPr>
              <w:t>.</w:t>
            </w:r>
            <w:r w:rsidRPr="005F4295">
              <w:rPr>
                <w:noProof/>
              </w:rPr>
              <w:t>5</w:t>
            </w:r>
          </w:p>
        </w:tc>
      </w:tr>
    </w:tbl>
    <w:p w14:paraId="1842FB7E" w14:textId="67CBE20A" w:rsidR="00FD0D25" w:rsidRPr="005F4295" w:rsidRDefault="00FD0D25" w:rsidP="00EB70E0">
      <w:pPr>
        <w:pStyle w:val="TableSource"/>
        <w:rPr>
          <w:rStyle w:val="amprcharItalic"/>
          <w:rFonts w:ascii="EC Square Sans Pro" w:hAnsi="EC Square Sans Pro"/>
          <w:i w:val="0"/>
        </w:rPr>
      </w:pPr>
      <w:r w:rsidRPr="005F4295">
        <w:rPr>
          <w:rStyle w:val="amprcharItalic"/>
          <w:rFonts w:ascii="EC Square Sans Pro" w:hAnsi="EC Square Sans Pro"/>
          <w:i w:val="0"/>
        </w:rPr>
        <w:t>(*)</w:t>
      </w:r>
      <w:r w:rsidRPr="005F4295">
        <w:rPr>
          <w:rStyle w:val="amprcharItalic"/>
          <w:rFonts w:ascii="EC Square Sans Pro" w:hAnsi="EC Square Sans Pro"/>
          <w:i w:val="0"/>
          <w:iCs/>
        </w:rPr>
        <w:t xml:space="preserve"> </w:t>
      </w:r>
      <w:r w:rsidR="00C607FD" w:rsidRPr="005F4295">
        <w:t>This designation shall not be construed as recognition of a State of Palestine and is without prejudice to the individual positions of the Member States on this issue.</w:t>
      </w:r>
    </w:p>
    <w:p w14:paraId="6FE1D317" w14:textId="25D5DB18" w:rsidR="00EB70E0" w:rsidRPr="005F4295" w:rsidRDefault="00EB70E0" w:rsidP="00EB70E0">
      <w:pPr>
        <w:pStyle w:val="TableSource"/>
        <w:rPr>
          <w:rFonts w:ascii="EC Square Sans Pro" w:hAnsi="EC Square Sans Pro"/>
        </w:rPr>
      </w:pPr>
      <w:r w:rsidRPr="005F4295">
        <w:rPr>
          <w:rStyle w:val="Italic"/>
        </w:rPr>
        <w:t>Source:</w:t>
      </w:r>
      <w:r w:rsidRPr="005F4295">
        <w:rPr>
          <w:rFonts w:ascii="EC Square Sans Pro" w:hAnsi="EC Square Sans Pro"/>
        </w:rPr>
        <w:t xml:space="preserve"> European Commission annual activity reports.</w:t>
      </w:r>
    </w:p>
    <w:bookmarkEnd w:id="49"/>
    <w:p w14:paraId="456C1E47" w14:textId="77777777" w:rsidR="00EB70E0" w:rsidRPr="005F4295" w:rsidRDefault="00EB70E0" w:rsidP="00EB70E0">
      <w:pPr>
        <w:suppressAutoHyphens w:val="0"/>
        <w:rPr>
          <w:rFonts w:eastAsia="SimSun"/>
          <w:noProof/>
          <w:color w:val="000000" w:themeColor="dark1"/>
          <w:sz w:val="16"/>
          <w:highlight w:val="lightGray"/>
        </w:rPr>
      </w:pPr>
      <w:r w:rsidRPr="005F4295">
        <w:rPr>
          <w:noProof/>
          <w:highlight w:val="lightGray"/>
        </w:rPr>
        <w:br w:type="page"/>
      </w:r>
    </w:p>
    <w:p w14:paraId="5FD26C9F" w14:textId="29144018" w:rsidR="00EB70E0" w:rsidRPr="005F4295" w:rsidRDefault="00EB70E0" w:rsidP="00EB70E0">
      <w:pPr>
        <w:pStyle w:val="TableTitle"/>
        <w:rPr>
          <w:noProof/>
        </w:rPr>
      </w:pPr>
      <w:r w:rsidRPr="005F4295">
        <w:rPr>
          <w:noProof/>
        </w:rPr>
        <w:t>Table</w:t>
      </w:r>
      <w:r w:rsidRPr="005F4295">
        <w:rPr>
          <w:rFonts w:ascii="Calibri" w:hAnsi="Calibri" w:cs="Calibri"/>
          <w:noProof/>
        </w:rPr>
        <w:t> </w:t>
      </w:r>
      <w:r w:rsidRPr="005F4295">
        <w:rPr>
          <w:noProof/>
        </w:rPr>
        <w:t>E</w:t>
      </w:r>
      <w:r w:rsidRPr="005F4295">
        <w:rPr>
          <w:rFonts w:ascii="Calibri" w:hAnsi="Calibri" w:cs="Calibri"/>
          <w:noProof/>
        </w:rPr>
        <w:t> </w:t>
      </w:r>
      <w:r w:rsidRPr="005F4295">
        <w:rPr>
          <w:rFonts w:cs="EC Square Sans Pro"/>
          <w:noProof/>
        </w:rPr>
        <w:t>–</w:t>
      </w:r>
      <w:r w:rsidRPr="005F4295">
        <w:rPr>
          <w:noProof/>
        </w:rPr>
        <w:t xml:space="preserve"> 2</w:t>
      </w:r>
      <w:r w:rsidRPr="005F4295">
        <w:t>02</w:t>
      </w:r>
      <w:r w:rsidR="003A6125" w:rsidRPr="005F4295">
        <w:t>5</w:t>
      </w:r>
      <w:r w:rsidRPr="005F4295">
        <w:t xml:space="preserve"> list of reservations for the</w:t>
      </w:r>
      <w:r w:rsidRPr="005F4295">
        <w:rPr>
          <w:noProof/>
        </w:rPr>
        <w:t xml:space="preserve"> Recovery and Resilience Facility </w:t>
      </w:r>
      <w:r w:rsidRPr="005F4295" w:rsidDel="417F8B2C">
        <w:rPr>
          <w:noProof/>
        </w:rPr>
        <w:t>(million</w:t>
      </w:r>
      <w:r w:rsidR="005A0A61" w:rsidRPr="005F4295">
        <w:rPr>
          <w:rFonts w:ascii="Calibri" w:hAnsi="Calibri" w:cs="Calibri"/>
          <w:noProof/>
        </w:rPr>
        <w:t xml:space="preserve"> </w:t>
      </w:r>
      <w:r w:rsidRPr="005F4295" w:rsidDel="417F8B2C">
        <w:rPr>
          <w:noProof/>
        </w:rPr>
        <w:t>EUR)</w:t>
      </w:r>
    </w:p>
    <w:tbl>
      <w:tblPr>
        <w:tblStyle w:val="BodyTable2"/>
        <w:tblpPr w:leftFromText="180" w:rightFromText="180" w:vertAnchor="text" w:tblpY="1"/>
        <w:tblOverlap w:val="never"/>
        <w:tblW w:w="5079" w:type="pct"/>
        <w:jc w:val="left"/>
        <w:tblLayout w:type="fixed"/>
        <w:tblLook w:val="06E0" w:firstRow="1" w:lastRow="1" w:firstColumn="1" w:lastColumn="0" w:noHBand="1" w:noVBand="1"/>
      </w:tblPr>
      <w:tblGrid>
        <w:gridCol w:w="1984"/>
        <w:gridCol w:w="2726"/>
        <w:gridCol w:w="1762"/>
        <w:gridCol w:w="1624"/>
        <w:gridCol w:w="1109"/>
        <w:gridCol w:w="9"/>
      </w:tblGrid>
      <w:tr w:rsidR="00EB70E0" w:rsidRPr="005F4295" w14:paraId="0536759B" w14:textId="77777777">
        <w:trPr>
          <w:gridAfter w:val="1"/>
          <w:cnfStyle w:val="100000000000" w:firstRow="1" w:lastRow="0" w:firstColumn="0" w:lastColumn="0" w:oddVBand="0" w:evenVBand="0" w:oddHBand="0" w:evenHBand="0" w:firstRowFirstColumn="0" w:firstRowLastColumn="0" w:lastRowFirstColumn="0" w:lastRowLastColumn="0"/>
          <w:wAfter w:w="5" w:type="pct"/>
          <w:trHeight w:val="801"/>
          <w:tblHeader/>
          <w:jc w:val="left"/>
        </w:trPr>
        <w:tc>
          <w:tcPr>
            <w:cnfStyle w:val="001000000000" w:firstRow="0" w:lastRow="0" w:firstColumn="1" w:lastColumn="0" w:oddVBand="0" w:evenVBand="0" w:oddHBand="0" w:evenHBand="0" w:firstRowFirstColumn="0" w:firstRowLastColumn="0" w:lastRowFirstColumn="0" w:lastRowLastColumn="0"/>
            <w:tcW w:w="1077" w:type="pct"/>
            <w:vAlign w:val="center"/>
          </w:tcPr>
          <w:p w14:paraId="269E0002" w14:textId="77777777" w:rsidR="00EB70E0" w:rsidRPr="005F4295" w:rsidRDefault="00EB70E0">
            <w:pPr>
              <w:spacing w:before="60"/>
              <w:rPr>
                <w:noProof/>
              </w:rPr>
            </w:pPr>
            <w:r w:rsidRPr="005F4295">
              <w:rPr>
                <w:noProof/>
              </w:rPr>
              <w:t>Policy areas</w:t>
            </w:r>
          </w:p>
        </w:tc>
        <w:tc>
          <w:tcPr>
            <w:tcW w:w="1479" w:type="pct"/>
            <w:vAlign w:val="center"/>
          </w:tcPr>
          <w:p w14:paraId="167303F4" w14:textId="77777777" w:rsidR="00EB70E0" w:rsidRPr="005F4295" w:rsidRDefault="00EB70E0">
            <w:pPr>
              <w:spacing w:before="60"/>
              <w:cnfStyle w:val="100000000000" w:firstRow="1" w:lastRow="0" w:firstColumn="0" w:lastColumn="0" w:oddVBand="0" w:evenVBand="0" w:oddHBand="0" w:evenHBand="0" w:firstRowFirstColumn="0" w:firstRowLastColumn="0" w:lastRowFirstColumn="0" w:lastRowLastColumn="0"/>
              <w:rPr>
                <w:noProof/>
              </w:rPr>
            </w:pPr>
            <w:r w:rsidRPr="005F4295">
              <w:rPr>
                <w:noProof/>
              </w:rPr>
              <w:t>Description of reservation</w:t>
            </w:r>
          </w:p>
        </w:tc>
        <w:tc>
          <w:tcPr>
            <w:tcW w:w="956" w:type="pct"/>
            <w:vAlign w:val="center"/>
          </w:tcPr>
          <w:p w14:paraId="556B5618" w14:textId="77777777" w:rsidR="00EB70E0" w:rsidRPr="005F4295" w:rsidRDefault="00EB70E0">
            <w:pPr>
              <w:spacing w:before="60"/>
              <w:cnfStyle w:val="100000000000" w:firstRow="1" w:lastRow="0" w:firstColumn="0" w:lastColumn="0" w:oddVBand="0" w:evenVBand="0" w:oddHBand="0" w:evenHBand="0" w:firstRowFirstColumn="0" w:firstRowLastColumn="0" w:lastRowFirstColumn="0" w:lastRowLastColumn="0"/>
              <w:rPr>
                <w:noProof/>
              </w:rPr>
            </w:pPr>
            <w:r w:rsidRPr="005F4295">
              <w:rPr>
                <w:noProof/>
              </w:rPr>
              <w:t>Department</w:t>
            </w:r>
          </w:p>
        </w:tc>
        <w:tc>
          <w:tcPr>
            <w:tcW w:w="881" w:type="pct"/>
            <w:vAlign w:val="center"/>
          </w:tcPr>
          <w:p w14:paraId="11D2C83D" w14:textId="77777777" w:rsidR="00EB70E0" w:rsidRPr="005F4295" w:rsidRDefault="00EB70E0">
            <w:pPr>
              <w:spacing w:before="60"/>
              <w:cnfStyle w:val="100000000000" w:firstRow="1" w:lastRow="0" w:firstColumn="0" w:lastColumn="0" w:oddVBand="0" w:evenVBand="0" w:oddHBand="0" w:evenHBand="0" w:firstRowFirstColumn="0" w:firstRowLastColumn="0" w:lastRowFirstColumn="0" w:lastRowLastColumn="0"/>
              <w:rPr>
                <w:noProof/>
              </w:rPr>
            </w:pPr>
            <w:r w:rsidRPr="005F4295">
              <w:rPr>
                <w:noProof/>
              </w:rPr>
              <w:t>Impact on legality and regularity</w:t>
            </w:r>
          </w:p>
        </w:tc>
        <w:tc>
          <w:tcPr>
            <w:tcW w:w="602" w:type="pct"/>
            <w:vAlign w:val="center"/>
          </w:tcPr>
          <w:p w14:paraId="5E5886C1" w14:textId="77777777" w:rsidR="00EB70E0" w:rsidRPr="005F4295" w:rsidRDefault="00EB70E0">
            <w:pPr>
              <w:spacing w:before="60"/>
              <w:cnfStyle w:val="100000000000" w:firstRow="1" w:lastRow="0" w:firstColumn="0" w:lastColumn="0" w:oddVBand="0" w:evenVBand="0" w:oddHBand="0" w:evenHBand="0" w:firstRowFirstColumn="0" w:firstRowLastColumn="0" w:lastRowFirstColumn="0" w:lastRowLastColumn="0"/>
              <w:rPr>
                <w:noProof/>
              </w:rPr>
            </w:pPr>
            <w:r w:rsidRPr="005F4295">
              <w:rPr>
                <w:noProof/>
              </w:rPr>
              <w:t>Financial impact</w:t>
            </w:r>
          </w:p>
        </w:tc>
      </w:tr>
      <w:tr w:rsidR="00EB70E0" w:rsidRPr="005F4295" w14:paraId="1AEF506F" w14:textId="77777777">
        <w:trPr>
          <w:gridAfter w:val="1"/>
          <w:wAfter w:w="5" w:type="pct"/>
          <w:trHeight w:val="508"/>
          <w:jc w:val="left"/>
        </w:trPr>
        <w:tc>
          <w:tcPr>
            <w:cnfStyle w:val="001000000000" w:firstRow="0" w:lastRow="0" w:firstColumn="1" w:lastColumn="0" w:oddVBand="0" w:evenVBand="0" w:oddHBand="0" w:evenHBand="0" w:firstRowFirstColumn="0" w:firstRowLastColumn="0" w:lastRowFirstColumn="0" w:lastRowLastColumn="0"/>
            <w:tcW w:w="1077" w:type="pct"/>
            <w:vMerge w:val="restart"/>
            <w:tcBorders>
              <w:right w:val="single" w:sz="4" w:space="0" w:color="8C8C8C"/>
            </w:tcBorders>
          </w:tcPr>
          <w:p w14:paraId="56D5FB80" w14:textId="77777777" w:rsidR="007E6BFF" w:rsidRPr="005F4295" w:rsidRDefault="00EB70E0">
            <w:pPr>
              <w:rPr>
                <w:b w:val="0"/>
                <w:noProof/>
              </w:rPr>
            </w:pPr>
            <w:r w:rsidRPr="005F4295">
              <w:rPr>
                <w:noProof/>
              </w:rPr>
              <w:t>Recovery and Resilience Facility</w:t>
            </w:r>
          </w:p>
          <w:p w14:paraId="154A6678" w14:textId="5D6EC5D7" w:rsidR="00EB70E0" w:rsidRPr="005F4295" w:rsidRDefault="007E6BFF">
            <w:pPr>
              <w:rPr>
                <w:noProof/>
              </w:rPr>
            </w:pPr>
            <w:r w:rsidRPr="005F4295">
              <w:rPr>
                <w:noProof/>
              </w:rPr>
              <w:t xml:space="preserve"> </w:t>
            </w:r>
          </w:p>
        </w:tc>
        <w:tc>
          <w:tcPr>
            <w:tcW w:w="1479" w:type="pct"/>
            <w:tcBorders>
              <w:left w:val="single" w:sz="4" w:space="0" w:color="8C8C8C"/>
              <w:right w:val="single" w:sz="4" w:space="0" w:color="8C8C8C"/>
            </w:tcBorders>
          </w:tcPr>
          <w:p w14:paraId="6249D50B" w14:textId="77777777" w:rsidR="00EB70E0" w:rsidRPr="005F4295" w:rsidRDefault="00EB70E0">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noProof/>
                <w:sz w:val="20"/>
                <w:szCs w:val="20"/>
              </w:rPr>
            </w:pPr>
            <w:r w:rsidRPr="005F4295">
              <w:rPr>
                <w:noProof/>
                <w:sz w:val="20"/>
                <w:szCs w:val="20"/>
              </w:rPr>
              <w:t>Cases of conflict of interest</w:t>
            </w:r>
          </w:p>
          <w:p w14:paraId="457F03D4" w14:textId="77777777" w:rsidR="00EB70E0" w:rsidRPr="005F4295" w:rsidRDefault="00EB70E0">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noProof/>
                <w:sz w:val="20"/>
                <w:szCs w:val="20"/>
              </w:rPr>
            </w:pPr>
            <w:r w:rsidRPr="005F4295">
              <w:rPr>
                <w:noProof/>
                <w:sz w:val="20"/>
                <w:szCs w:val="20"/>
              </w:rPr>
              <w:t>(1 reservation for 1 Member State)</w:t>
            </w:r>
          </w:p>
        </w:tc>
        <w:tc>
          <w:tcPr>
            <w:tcW w:w="956" w:type="pct"/>
            <w:tcBorders>
              <w:left w:val="single" w:sz="4" w:space="0" w:color="8C8C8C"/>
              <w:right w:val="single" w:sz="4" w:space="0" w:color="8C8C8C"/>
            </w:tcBorders>
          </w:tcPr>
          <w:p w14:paraId="34C2A705"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DG Economic and Financial Affairs</w:t>
            </w:r>
          </w:p>
        </w:tc>
        <w:tc>
          <w:tcPr>
            <w:tcW w:w="881" w:type="pct"/>
            <w:tcBorders>
              <w:left w:val="single" w:sz="4" w:space="0" w:color="8C8C8C"/>
              <w:right w:val="single" w:sz="4" w:space="0" w:color="8C8C8C"/>
            </w:tcBorders>
          </w:tcPr>
          <w:p w14:paraId="2DE71E79" w14:textId="77777777"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i/>
                <w:noProof/>
                <w:color w:val="FF0000"/>
              </w:rPr>
            </w:pPr>
            <w:r w:rsidRPr="005F4295">
              <w:rPr>
                <w:noProof/>
              </w:rPr>
              <w:t>Quantified</w:t>
            </w:r>
          </w:p>
        </w:tc>
        <w:tc>
          <w:tcPr>
            <w:tcW w:w="602" w:type="pct"/>
            <w:tcBorders>
              <w:left w:val="single" w:sz="4" w:space="0" w:color="8C8C8C"/>
            </w:tcBorders>
          </w:tcPr>
          <w:p w14:paraId="1688D8BC" w14:textId="1F1A29BD" w:rsidR="00EB70E0" w:rsidRPr="005F4295" w:rsidRDefault="00EB70E0">
            <w:pPr>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1</w:t>
            </w:r>
            <w:r w:rsidR="00543730" w:rsidRPr="005F4295">
              <w:rPr>
                <w:noProof/>
              </w:rPr>
              <w:t>6</w:t>
            </w:r>
            <w:r w:rsidRPr="005F4295">
              <w:rPr>
                <w:noProof/>
              </w:rPr>
              <w:t>.</w:t>
            </w:r>
            <w:r w:rsidR="008F64F2" w:rsidRPr="005F4295">
              <w:rPr>
                <w:noProof/>
              </w:rPr>
              <w:t>9</w:t>
            </w:r>
          </w:p>
        </w:tc>
      </w:tr>
      <w:tr w:rsidR="007E6BFF" w:rsidRPr="005F4295" w14:paraId="6B676E6D" w14:textId="77777777">
        <w:trPr>
          <w:trHeight w:val="508"/>
          <w:jc w:val="left"/>
        </w:trPr>
        <w:tc>
          <w:tcPr>
            <w:cnfStyle w:val="001000000000" w:firstRow="0" w:lastRow="0" w:firstColumn="1" w:lastColumn="0" w:oddVBand="0" w:evenVBand="0" w:oddHBand="0" w:evenHBand="0" w:firstRowFirstColumn="0" w:firstRowLastColumn="0" w:lastRowFirstColumn="0" w:lastRowLastColumn="0"/>
            <w:tcW w:w="1077" w:type="pct"/>
            <w:vMerge/>
            <w:tcBorders>
              <w:right w:val="single" w:sz="4" w:space="0" w:color="8C8C8C"/>
            </w:tcBorders>
          </w:tcPr>
          <w:p w14:paraId="0908F687" w14:textId="1653E972" w:rsidR="007E6BFF" w:rsidRPr="005F4295" w:rsidRDefault="007E6BFF" w:rsidP="007E6BFF">
            <w:pPr>
              <w:rPr>
                <w:noProof/>
              </w:rPr>
            </w:pPr>
          </w:p>
        </w:tc>
        <w:tc>
          <w:tcPr>
            <w:tcW w:w="1479" w:type="pct"/>
            <w:tcBorders>
              <w:left w:val="single" w:sz="4" w:space="0" w:color="8C8C8C"/>
              <w:right w:val="single" w:sz="4" w:space="0" w:color="8C8C8C"/>
            </w:tcBorders>
          </w:tcPr>
          <w:p w14:paraId="37E6446D" w14:textId="6106C864" w:rsidR="007E6BFF" w:rsidRPr="005F4295" w:rsidRDefault="00A46AF8" w:rsidP="007E6BFF">
            <w:pPr>
              <w:pStyle w:val="TableParagraph"/>
              <w:spacing w:before="60" w:after="60" w:line="264" w:lineRule="auto"/>
              <w:ind w:right="102"/>
              <w:cnfStyle w:val="000000000000" w:firstRow="0" w:lastRow="0" w:firstColumn="0" w:lastColumn="0" w:oddVBand="0" w:evenVBand="0" w:oddHBand="0" w:evenHBand="0" w:firstRowFirstColumn="0" w:firstRowLastColumn="0" w:lastRowFirstColumn="0" w:lastRowLastColumn="0"/>
              <w:rPr>
                <w:noProof/>
                <w:sz w:val="20"/>
                <w:szCs w:val="20"/>
              </w:rPr>
            </w:pPr>
            <w:r w:rsidRPr="005F4295">
              <w:rPr>
                <w:noProof/>
                <w:sz w:val="20"/>
                <w:szCs w:val="20"/>
              </w:rPr>
              <w:t>Reservation concerning the satisfactory fulfilment of two targets (1 reservation for 1 Member State)</w:t>
            </w:r>
          </w:p>
        </w:tc>
        <w:tc>
          <w:tcPr>
            <w:tcW w:w="956" w:type="pct"/>
            <w:tcBorders>
              <w:left w:val="single" w:sz="4" w:space="0" w:color="8C8C8C"/>
              <w:right w:val="single" w:sz="4" w:space="0" w:color="8C8C8C"/>
            </w:tcBorders>
          </w:tcPr>
          <w:p w14:paraId="17DBE9F5" w14:textId="5B586BFD" w:rsidR="007E6BFF" w:rsidRPr="005F4295" w:rsidRDefault="00A46AF8" w:rsidP="007E6BFF">
            <w:pPr>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DG Economic and Financial Affairs</w:t>
            </w:r>
          </w:p>
        </w:tc>
        <w:tc>
          <w:tcPr>
            <w:tcW w:w="881" w:type="pct"/>
            <w:tcBorders>
              <w:left w:val="single" w:sz="4" w:space="0" w:color="8C8C8C"/>
              <w:right w:val="single" w:sz="4" w:space="0" w:color="8C8C8C"/>
            </w:tcBorders>
          </w:tcPr>
          <w:p w14:paraId="4DC3A74D" w14:textId="77777777" w:rsidR="0014508A" w:rsidRPr="005F4295" w:rsidRDefault="0014508A" w:rsidP="0014508A">
            <w:pPr>
              <w:jc w:val="center"/>
              <w:cnfStyle w:val="000000000000" w:firstRow="0" w:lastRow="0" w:firstColumn="0" w:lastColumn="0" w:oddVBand="0" w:evenVBand="0" w:oddHBand="0" w:evenHBand="0" w:firstRowFirstColumn="0" w:firstRowLastColumn="0" w:lastRowFirstColumn="0" w:lastRowLastColumn="0"/>
              <w:rPr>
                <w:color w:val="DC3903"/>
              </w:rPr>
            </w:pPr>
            <w:r w:rsidRPr="005F4295">
              <w:rPr>
                <w:color w:val="DC3903"/>
              </w:rPr>
              <w:t>Reservation issued in 2025</w:t>
            </w:r>
          </w:p>
          <w:p w14:paraId="6AAB261B" w14:textId="4108A787" w:rsidR="007E6BFF" w:rsidRPr="005F4295" w:rsidRDefault="0061432A" w:rsidP="007E6BFF">
            <w:pPr>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Quantified</w:t>
            </w:r>
          </w:p>
        </w:tc>
        <w:tc>
          <w:tcPr>
            <w:tcW w:w="602" w:type="pct"/>
            <w:gridSpan w:val="2"/>
            <w:tcBorders>
              <w:left w:val="single" w:sz="4" w:space="0" w:color="8C8C8C"/>
            </w:tcBorders>
          </w:tcPr>
          <w:p w14:paraId="42E1CC4D" w14:textId="46B0422C" w:rsidR="007E6BFF" w:rsidRPr="005F4295" w:rsidRDefault="00754BA8" w:rsidP="007E6BFF">
            <w:pPr>
              <w:jc w:val="center"/>
              <w:cnfStyle w:val="000000000000" w:firstRow="0" w:lastRow="0" w:firstColumn="0" w:lastColumn="0" w:oddVBand="0" w:evenVBand="0" w:oddHBand="0" w:evenHBand="0" w:firstRowFirstColumn="0" w:firstRowLastColumn="0" w:lastRowFirstColumn="0" w:lastRowLastColumn="0"/>
              <w:rPr>
                <w:noProof/>
              </w:rPr>
            </w:pPr>
            <w:r w:rsidRPr="005F4295">
              <w:rPr>
                <w:noProof/>
              </w:rPr>
              <w:t>326.1</w:t>
            </w:r>
          </w:p>
        </w:tc>
      </w:tr>
      <w:tr w:rsidR="00EB70E0" w:rsidRPr="005F4295" w14:paraId="086FEB73" w14:textId="77777777">
        <w:trPr>
          <w:cnfStyle w:val="010000000000" w:firstRow="0" w:lastRow="1" w:firstColumn="0" w:lastColumn="0" w:oddVBand="0" w:evenVBand="0" w:oddHBand="0" w:evenHBand="0" w:firstRowFirstColumn="0" w:firstRowLastColumn="0" w:lastRowFirstColumn="0" w:lastRowLastColumn="0"/>
          <w:trHeight w:val="404"/>
          <w:jc w:val="left"/>
        </w:trPr>
        <w:tc>
          <w:tcPr>
            <w:cnfStyle w:val="001000000000" w:firstRow="0" w:lastRow="0" w:firstColumn="1" w:lastColumn="0" w:oddVBand="0" w:evenVBand="0" w:oddHBand="0" w:evenHBand="0" w:firstRowFirstColumn="0" w:firstRowLastColumn="0" w:lastRowFirstColumn="0" w:lastRowLastColumn="0"/>
            <w:tcW w:w="1077" w:type="pct"/>
            <w:tcBorders>
              <w:top w:val="single" w:sz="4" w:space="0" w:color="auto"/>
              <w:bottom w:val="single" w:sz="4" w:space="0" w:color="auto"/>
              <w:right w:val="single" w:sz="4" w:space="0" w:color="7F7F7F" w:themeColor="text1" w:themeTint="80"/>
            </w:tcBorders>
            <w:shd w:val="clear" w:color="auto" w:fill="FEDEC6" w:themeFill="accent2" w:themeFillTint="33"/>
          </w:tcPr>
          <w:p w14:paraId="69ED6546" w14:textId="66D9CAD6" w:rsidR="00EB70E0" w:rsidRPr="005F4295" w:rsidRDefault="00EB70E0">
            <w:pPr>
              <w:ind w:right="-135"/>
              <w:jc w:val="left"/>
              <w:rPr>
                <w:noProof/>
              </w:rPr>
            </w:pPr>
            <w:r w:rsidRPr="005F4295">
              <w:rPr>
                <w:noProof/>
              </w:rPr>
              <w:t>Total for 202</w:t>
            </w:r>
            <w:r w:rsidR="001F3072" w:rsidRPr="005F4295">
              <w:rPr>
                <w:noProof/>
              </w:rPr>
              <w:t>5</w:t>
            </w:r>
          </w:p>
        </w:tc>
        <w:tc>
          <w:tcPr>
            <w:tcW w:w="1479" w:type="pct"/>
            <w:tcBorders>
              <w:top w:val="single" w:sz="4" w:space="0" w:color="auto"/>
              <w:left w:val="single" w:sz="4" w:space="0" w:color="7F7F7F" w:themeColor="text1" w:themeTint="80"/>
              <w:bottom w:val="single" w:sz="4" w:space="0" w:color="auto"/>
              <w:right w:val="single" w:sz="4" w:space="0" w:color="7F7F7F" w:themeColor="text1" w:themeTint="80"/>
            </w:tcBorders>
            <w:shd w:val="clear" w:color="auto" w:fill="FEDEC6" w:themeFill="accent2" w:themeFillTint="33"/>
          </w:tcPr>
          <w:p w14:paraId="53531C0D" w14:textId="76E36C09" w:rsidR="00EB70E0" w:rsidRPr="005F4295" w:rsidRDefault="0056776B">
            <w:pPr>
              <w:jc w:val="center"/>
              <w:cnfStyle w:val="010000000000" w:firstRow="0" w:lastRow="1" w:firstColumn="0" w:lastColumn="0" w:oddVBand="0" w:evenVBand="0" w:oddHBand="0" w:evenHBand="0" w:firstRowFirstColumn="0" w:firstRowLastColumn="0" w:lastRowFirstColumn="0" w:lastRowLastColumn="0"/>
              <w:rPr>
                <w:noProof/>
              </w:rPr>
            </w:pPr>
            <w:r w:rsidRPr="005F4295">
              <w:rPr>
                <w:noProof/>
              </w:rPr>
              <w:t>2</w:t>
            </w:r>
            <w:r w:rsidR="00EB70E0" w:rsidRPr="005F4295">
              <w:rPr>
                <w:noProof/>
              </w:rPr>
              <w:t xml:space="preserve"> reservation</w:t>
            </w:r>
          </w:p>
        </w:tc>
        <w:tc>
          <w:tcPr>
            <w:tcW w:w="956" w:type="pct"/>
            <w:tcBorders>
              <w:top w:val="single" w:sz="4" w:space="0" w:color="auto"/>
              <w:left w:val="single" w:sz="4" w:space="0" w:color="7F7F7F" w:themeColor="text1" w:themeTint="80"/>
              <w:bottom w:val="single" w:sz="4" w:space="0" w:color="auto"/>
              <w:right w:val="single" w:sz="4" w:space="0" w:color="7F7F7F" w:themeColor="text1" w:themeTint="80"/>
            </w:tcBorders>
            <w:shd w:val="clear" w:color="auto" w:fill="FEDEC6" w:themeFill="accent2" w:themeFillTint="33"/>
          </w:tcPr>
          <w:p w14:paraId="3667EE99" w14:textId="77777777" w:rsidR="00EB70E0" w:rsidRPr="005F4295" w:rsidRDefault="00EB70E0">
            <w:pPr>
              <w:ind w:right="-76"/>
              <w:jc w:val="center"/>
              <w:cnfStyle w:val="010000000000" w:firstRow="0" w:lastRow="1" w:firstColumn="0" w:lastColumn="0" w:oddVBand="0" w:evenVBand="0" w:oddHBand="0" w:evenHBand="0" w:firstRowFirstColumn="0" w:firstRowLastColumn="0" w:lastRowFirstColumn="0" w:lastRowLastColumn="0"/>
              <w:rPr>
                <w:noProof/>
              </w:rPr>
            </w:pPr>
            <w:r w:rsidRPr="005F4295">
              <w:rPr>
                <w:noProof/>
              </w:rPr>
              <w:t>1 department</w:t>
            </w:r>
          </w:p>
        </w:tc>
        <w:tc>
          <w:tcPr>
            <w:tcW w:w="881" w:type="pct"/>
            <w:tcBorders>
              <w:top w:val="single" w:sz="4" w:space="0" w:color="auto"/>
              <w:left w:val="single" w:sz="4" w:space="0" w:color="7F7F7F" w:themeColor="text1" w:themeTint="80"/>
              <w:bottom w:val="single" w:sz="4" w:space="0" w:color="auto"/>
              <w:right w:val="single" w:sz="4" w:space="0" w:color="auto"/>
            </w:tcBorders>
            <w:shd w:val="clear" w:color="auto" w:fill="FEDEC6" w:themeFill="accent2" w:themeFillTint="33"/>
          </w:tcPr>
          <w:p w14:paraId="4C392F2F" w14:textId="77777777" w:rsidR="00EB70E0" w:rsidRPr="005F4295" w:rsidRDefault="00EB70E0">
            <w:pPr>
              <w:jc w:val="center"/>
              <w:cnfStyle w:val="010000000000" w:firstRow="0" w:lastRow="1" w:firstColumn="0" w:lastColumn="0" w:oddVBand="0" w:evenVBand="0" w:oddHBand="0" w:evenHBand="0" w:firstRowFirstColumn="0" w:firstRowLastColumn="0" w:lastRowFirstColumn="0" w:lastRowLastColumn="0"/>
              <w:rPr>
                <w:noProof/>
              </w:rPr>
            </w:pPr>
            <w:r w:rsidRPr="005F4295">
              <w:rPr>
                <w:noProof/>
              </w:rPr>
              <w:t>—</w:t>
            </w:r>
          </w:p>
        </w:tc>
        <w:tc>
          <w:tcPr>
            <w:tcW w:w="607" w:type="pct"/>
            <w:gridSpan w:val="2"/>
            <w:tcBorders>
              <w:top w:val="single" w:sz="4" w:space="0" w:color="auto"/>
              <w:left w:val="single" w:sz="4" w:space="0" w:color="auto"/>
              <w:bottom w:val="single" w:sz="4" w:space="0" w:color="auto"/>
            </w:tcBorders>
            <w:shd w:val="clear" w:color="auto" w:fill="FEDEC6" w:themeFill="accent2" w:themeFillTint="33"/>
          </w:tcPr>
          <w:p w14:paraId="48D4027A" w14:textId="351C59AF" w:rsidR="00EB70E0" w:rsidRPr="005F4295" w:rsidRDefault="008512AA">
            <w:pPr>
              <w:jc w:val="center"/>
              <w:cnfStyle w:val="010000000000" w:firstRow="0" w:lastRow="1" w:firstColumn="0" w:lastColumn="0" w:oddVBand="0" w:evenVBand="0" w:oddHBand="0" w:evenHBand="0" w:firstRowFirstColumn="0" w:firstRowLastColumn="0" w:lastRowFirstColumn="0" w:lastRowLastColumn="0"/>
              <w:rPr>
                <w:noProof/>
              </w:rPr>
            </w:pPr>
            <w:r w:rsidRPr="005F4295">
              <w:rPr>
                <w:noProof/>
              </w:rPr>
              <w:t>343</w:t>
            </w:r>
          </w:p>
        </w:tc>
      </w:tr>
    </w:tbl>
    <w:p w14:paraId="75909B91" w14:textId="63482854" w:rsidR="00D1076A" w:rsidRPr="005F4295" w:rsidRDefault="00EB70E0" w:rsidP="0001263F">
      <w:pPr>
        <w:pStyle w:val="TableSource"/>
        <w:rPr>
          <w:highlight w:val="lightGray"/>
        </w:rPr>
      </w:pPr>
      <w:r w:rsidRPr="005F4295">
        <w:rPr>
          <w:rStyle w:val="Italic"/>
        </w:rPr>
        <w:t>Source:</w:t>
      </w:r>
      <w:r w:rsidRPr="005F4295">
        <w:rPr>
          <w:rFonts w:ascii="EC Square Sans Pro" w:hAnsi="EC Square Sans Pro"/>
          <w:noProof/>
        </w:rPr>
        <w:t xml:space="preserve"> European Commission annual activity reports.</w:t>
      </w:r>
    </w:p>
    <w:p w14:paraId="66F779C3" w14:textId="47B38A42" w:rsidR="00EB70E0" w:rsidRPr="005F4295" w:rsidRDefault="00EB70E0" w:rsidP="00EB70E0">
      <w:pPr>
        <w:pStyle w:val="TableTitle"/>
      </w:pPr>
      <w:r w:rsidRPr="005F4295">
        <w:t>Table</w:t>
      </w:r>
      <w:r w:rsidRPr="005F4295">
        <w:rPr>
          <w:rFonts w:ascii="Calibri" w:hAnsi="Calibri" w:cs="Calibri"/>
        </w:rPr>
        <w:t> </w:t>
      </w:r>
      <w:r w:rsidRPr="005F4295">
        <w:t>F</w:t>
      </w:r>
      <w:r w:rsidRPr="005F4295">
        <w:rPr>
          <w:rFonts w:ascii="Calibri" w:hAnsi="Calibri" w:cs="Calibri"/>
        </w:rPr>
        <w:t> </w:t>
      </w:r>
      <w:r w:rsidRPr="005F4295">
        <w:rPr>
          <w:rFonts w:cs="EC Square Sans Pro"/>
        </w:rPr>
        <w:t>–</w:t>
      </w:r>
      <w:r w:rsidRPr="005F4295">
        <w:t xml:space="preserve"> Application of the </w:t>
      </w:r>
      <w:r w:rsidRPr="005F4295">
        <w:rPr>
          <w:rStyle w:val="Italic"/>
        </w:rPr>
        <w:t>de minimis</w:t>
      </w:r>
      <w:r w:rsidRPr="005F4295">
        <w:t xml:space="preserve"> rule</w:t>
      </w:r>
      <w:r w:rsidRPr="005F4295">
        <w:rPr>
          <w:rFonts w:ascii="Calibri" w:hAnsi="Calibri" w:cs="Calibri"/>
        </w:rPr>
        <w:t> </w:t>
      </w:r>
      <w:r w:rsidRPr="005F4295">
        <w:rPr>
          <w:rFonts w:cs="EC Square Sans Pro"/>
        </w:rPr>
        <w:t>–</w:t>
      </w:r>
      <w:r w:rsidRPr="005F4295">
        <w:t xml:space="preserve"> reservations not issued during </w:t>
      </w:r>
      <w:r w:rsidRPr="005F4295">
        <w:rPr>
          <w:noProof/>
        </w:rPr>
        <w:t>202</w:t>
      </w:r>
      <w:r w:rsidR="00EA5D82" w:rsidRPr="005F4295">
        <w:rPr>
          <w:noProof/>
        </w:rPr>
        <w:t>5</w:t>
      </w:r>
      <w:r w:rsidRPr="005F4295">
        <w:t xml:space="preserve"> (million</w:t>
      </w:r>
      <w:r w:rsidRPr="005F4295">
        <w:rPr>
          <w:rFonts w:ascii="Calibri" w:hAnsi="Calibri" w:cs="Calibri"/>
        </w:rPr>
        <w:t> </w:t>
      </w:r>
      <w:r w:rsidRPr="005F4295">
        <w:t>EUR)</w:t>
      </w:r>
    </w:p>
    <w:tbl>
      <w:tblPr>
        <w:tblStyle w:val="BodyTable2"/>
        <w:tblW w:w="9477" w:type="dxa"/>
        <w:jc w:val="left"/>
        <w:tblBorders>
          <w:top w:val="none" w:sz="0" w:space="0" w:color="auto"/>
          <w:bottom w:val="none" w:sz="0" w:space="0" w:color="auto"/>
          <w:insideH w:val="single" w:sz="4" w:space="0" w:color="7F7F7F" w:themeColor="text1" w:themeTint="80"/>
          <w:insideV w:val="single" w:sz="4" w:space="0" w:color="7F7F7F" w:themeColor="text1" w:themeTint="80"/>
        </w:tblBorders>
        <w:tblLayout w:type="fixed"/>
        <w:tblLook w:val="04E0" w:firstRow="1" w:lastRow="1" w:firstColumn="1" w:lastColumn="0" w:noHBand="0" w:noVBand="1"/>
      </w:tblPr>
      <w:tblGrid>
        <w:gridCol w:w="1560"/>
        <w:gridCol w:w="2835"/>
        <w:gridCol w:w="2126"/>
        <w:gridCol w:w="1559"/>
        <w:gridCol w:w="1397"/>
      </w:tblGrid>
      <w:tr w:rsidR="00EB70E0" w:rsidRPr="005F4295" w14:paraId="001F1DAF" w14:textId="77777777">
        <w:trPr>
          <w:cnfStyle w:val="100000000000" w:firstRow="1" w:lastRow="0" w:firstColumn="0" w:lastColumn="0" w:oddVBand="0" w:evenVBand="0" w:oddHBand="0" w:evenHBand="0" w:firstRowFirstColumn="0" w:firstRowLastColumn="0" w:lastRowFirstColumn="0" w:lastRowLastColumn="0"/>
          <w:trHeight w:val="935"/>
          <w:jc w:val="left"/>
        </w:trPr>
        <w:tc>
          <w:tcPr>
            <w:cnfStyle w:val="001000000000" w:firstRow="0" w:lastRow="0" w:firstColumn="1" w:lastColumn="0" w:oddVBand="0" w:evenVBand="0" w:oddHBand="0" w:evenHBand="0" w:firstRowFirstColumn="0" w:firstRowLastColumn="0" w:lastRowFirstColumn="0" w:lastRowLastColumn="0"/>
            <w:tcW w:w="1560" w:type="dxa"/>
            <w:tcBorders>
              <w:bottom w:val="single" w:sz="4" w:space="0" w:color="7F7F7F" w:themeColor="text1" w:themeTint="80"/>
            </w:tcBorders>
            <w:vAlign w:val="center"/>
          </w:tcPr>
          <w:p w14:paraId="3F072A72" w14:textId="77777777" w:rsidR="00EB70E0" w:rsidRPr="005F4295" w:rsidRDefault="00EB70E0">
            <w:r w:rsidRPr="005F4295">
              <w:t>Policy area</w:t>
            </w:r>
          </w:p>
        </w:tc>
        <w:tc>
          <w:tcPr>
            <w:tcW w:w="2835" w:type="dxa"/>
            <w:tcBorders>
              <w:bottom w:val="single" w:sz="4" w:space="0" w:color="7F7F7F" w:themeColor="text1" w:themeTint="80"/>
            </w:tcBorders>
            <w:vAlign w:val="center"/>
          </w:tcPr>
          <w:p w14:paraId="10F433E1" w14:textId="77777777" w:rsidR="00EB70E0" w:rsidRPr="005F4295" w:rsidRDefault="00EB70E0">
            <w:pPr>
              <w:cnfStyle w:val="100000000000" w:firstRow="1" w:lastRow="0" w:firstColumn="0" w:lastColumn="0" w:oddVBand="0" w:evenVBand="0" w:oddHBand="0" w:evenHBand="0" w:firstRowFirstColumn="0" w:firstRowLastColumn="0" w:lastRowFirstColumn="0" w:lastRowLastColumn="0"/>
            </w:pPr>
            <w:r w:rsidRPr="005F4295">
              <w:t>Description of reservation</w:t>
            </w:r>
          </w:p>
        </w:tc>
        <w:tc>
          <w:tcPr>
            <w:tcW w:w="2126" w:type="dxa"/>
            <w:tcBorders>
              <w:bottom w:val="single" w:sz="4" w:space="0" w:color="7F7F7F" w:themeColor="text1" w:themeTint="80"/>
            </w:tcBorders>
            <w:vAlign w:val="center"/>
          </w:tcPr>
          <w:p w14:paraId="0376F7C3" w14:textId="77777777" w:rsidR="00EB70E0" w:rsidRPr="005F4295" w:rsidRDefault="00EB70E0">
            <w:pPr>
              <w:cnfStyle w:val="100000000000" w:firstRow="1" w:lastRow="0" w:firstColumn="0" w:lastColumn="0" w:oddVBand="0" w:evenVBand="0" w:oddHBand="0" w:evenHBand="0" w:firstRowFirstColumn="0" w:firstRowLastColumn="0" w:lastRowFirstColumn="0" w:lastRowLastColumn="0"/>
            </w:pPr>
            <w:r w:rsidRPr="005F4295">
              <w:t>Department</w:t>
            </w:r>
          </w:p>
        </w:tc>
        <w:tc>
          <w:tcPr>
            <w:tcW w:w="1559" w:type="dxa"/>
            <w:tcBorders>
              <w:bottom w:val="single" w:sz="4" w:space="0" w:color="7F7F7F" w:themeColor="text1" w:themeTint="80"/>
            </w:tcBorders>
            <w:vAlign w:val="center"/>
          </w:tcPr>
          <w:p w14:paraId="060BB016" w14:textId="77777777" w:rsidR="00EB70E0" w:rsidRPr="005F4295" w:rsidRDefault="00EB70E0">
            <w:pPr>
              <w:cnfStyle w:val="100000000000" w:firstRow="1" w:lastRow="0" w:firstColumn="0" w:lastColumn="0" w:oddVBand="0" w:evenVBand="0" w:oddHBand="0" w:evenHBand="0" w:firstRowFirstColumn="0" w:firstRowLastColumn="0" w:lastRowFirstColumn="0" w:lastRowLastColumn="0"/>
            </w:pPr>
            <w:r w:rsidRPr="005F4295">
              <w:t>Impact on legality and regularity</w:t>
            </w:r>
          </w:p>
        </w:tc>
        <w:tc>
          <w:tcPr>
            <w:tcW w:w="1397" w:type="dxa"/>
            <w:tcBorders>
              <w:bottom w:val="single" w:sz="4" w:space="0" w:color="7F7F7F" w:themeColor="text1" w:themeTint="80"/>
            </w:tcBorders>
            <w:vAlign w:val="center"/>
          </w:tcPr>
          <w:p w14:paraId="096EF0F8" w14:textId="347E2EDB" w:rsidR="00EB70E0" w:rsidRPr="005F4295" w:rsidRDefault="00EB70E0">
            <w:pPr>
              <w:cnfStyle w:val="100000000000" w:firstRow="1" w:lastRow="0" w:firstColumn="0" w:lastColumn="0" w:oddVBand="0" w:evenVBand="0" w:oddHBand="0" w:evenHBand="0" w:firstRowFirstColumn="0" w:firstRowLastColumn="0" w:lastRowFirstColumn="0" w:lastRowLastColumn="0"/>
              <w:rPr>
                <w:color w:val="FFFFFF"/>
              </w:rPr>
            </w:pPr>
            <w:r w:rsidRPr="005F4295">
              <w:t xml:space="preserve">Financial impact in </w:t>
            </w:r>
            <w:r w:rsidRPr="005F4295">
              <w:rPr>
                <w:noProof/>
              </w:rPr>
              <w:t>202</w:t>
            </w:r>
            <w:r w:rsidR="00EB313C" w:rsidRPr="005F4295">
              <w:rPr>
                <w:noProof/>
              </w:rPr>
              <w:t>5</w:t>
            </w:r>
          </w:p>
        </w:tc>
      </w:tr>
      <w:tr w:rsidR="00EB70E0" w:rsidRPr="005F4295" w14:paraId="14ABEDB0" w14:textId="77777777" w:rsidTr="00FF6A9F">
        <w:trPr>
          <w:cnfStyle w:val="000000100000" w:firstRow="0" w:lastRow="0" w:firstColumn="0" w:lastColumn="0" w:oddVBand="0" w:evenVBand="0" w:oddHBand="1" w:evenHBand="0" w:firstRowFirstColumn="0" w:firstRowLastColumn="0" w:lastRowFirstColumn="0" w:lastRowLastColumn="0"/>
          <w:trHeight w:val="452"/>
          <w:jc w:val="left"/>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7F7F7F" w:themeColor="text1" w:themeTint="80"/>
              <w:bottom w:val="single" w:sz="4" w:space="0" w:color="7F7F7F" w:themeColor="text1" w:themeTint="80"/>
              <w:right w:val="single" w:sz="4" w:space="0" w:color="7F7F7F" w:themeColor="text1" w:themeTint="80"/>
            </w:tcBorders>
          </w:tcPr>
          <w:p w14:paraId="44C26FE8" w14:textId="08EBA560" w:rsidR="00EB70E0" w:rsidRPr="005F4295" w:rsidRDefault="00EB70E0">
            <w:r w:rsidRPr="005F4295">
              <w:t>Single market</w:t>
            </w:r>
            <w:r w:rsidR="00A263C5" w:rsidRPr="005F4295">
              <w:t>,</w:t>
            </w:r>
            <w:r w:rsidRPr="005F4295">
              <w:t xml:space="preserve"> innovation and digital</w:t>
            </w:r>
          </w:p>
        </w:tc>
        <w:tc>
          <w:tcPr>
            <w:tcW w:w="283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724BECFF" w14:textId="77777777" w:rsidR="00EB70E0" w:rsidRPr="005F4295" w:rsidRDefault="00EB70E0">
            <w:pPr>
              <w:cnfStyle w:val="000000100000" w:firstRow="0" w:lastRow="0" w:firstColumn="0" w:lastColumn="0" w:oddVBand="0" w:evenVBand="0" w:oddHBand="1" w:evenHBand="0" w:firstRowFirstColumn="0" w:firstRowLastColumn="0" w:lastRowFirstColumn="0" w:lastRowLastColumn="0"/>
            </w:pPr>
            <w:r w:rsidRPr="005F4295">
              <w:t>Pilot projects and preparatory actions</w:t>
            </w:r>
          </w:p>
        </w:tc>
        <w:tc>
          <w:tcPr>
            <w:tcW w:w="21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65CFF96E" w14:textId="5F8DB22B" w:rsidR="00EB70E0" w:rsidRPr="005F4295" w:rsidRDefault="00EB70E0">
            <w:pPr>
              <w:cnfStyle w:val="000000100000" w:firstRow="0" w:lastRow="0" w:firstColumn="0" w:lastColumn="0" w:oddVBand="0" w:evenVBand="0" w:oddHBand="1" w:evenHBand="0" w:firstRowFirstColumn="0" w:firstRowLastColumn="0" w:lastRowFirstColumn="0" w:lastRowLastColumn="0"/>
            </w:pPr>
            <w:r w:rsidRPr="005F4295">
              <w:t>DG Communications Networks</w:t>
            </w:r>
            <w:r w:rsidR="00244417" w:rsidRPr="005F4295">
              <w:t>.</w:t>
            </w:r>
            <w:r w:rsidRPr="005F4295">
              <w:t xml:space="preserve"> Content and Technology</w:t>
            </w:r>
          </w:p>
        </w:tc>
        <w:tc>
          <w:tcPr>
            <w:tcW w:w="1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76A0E878" w14:textId="77777777" w:rsidR="00EB70E0" w:rsidRPr="005F4295" w:rsidRDefault="00EB70E0">
            <w:pPr>
              <w:jc w:val="center"/>
              <w:cnfStyle w:val="000000100000" w:firstRow="0" w:lastRow="0" w:firstColumn="0" w:lastColumn="0" w:oddVBand="0" w:evenVBand="0" w:oddHBand="1" w:evenHBand="0" w:firstRowFirstColumn="0" w:firstRowLastColumn="0" w:lastRowFirstColumn="0" w:lastRowLastColumn="0"/>
            </w:pPr>
            <w:r w:rsidRPr="005F4295">
              <w:t>Quantified</w:t>
            </w:r>
          </w:p>
        </w:tc>
        <w:tc>
          <w:tcPr>
            <w:tcW w:w="1397"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FFFFFF" w:themeFill="background1"/>
          </w:tcPr>
          <w:p w14:paraId="160338EF" w14:textId="67D853C2" w:rsidR="00EB70E0" w:rsidRPr="005F4295" w:rsidRDefault="00EB70E0">
            <w:pPr>
              <w:jc w:val="center"/>
              <w:cnfStyle w:val="000000100000" w:firstRow="0" w:lastRow="0" w:firstColumn="0" w:lastColumn="0" w:oddVBand="0" w:evenVBand="0" w:oddHBand="1" w:evenHBand="0" w:firstRowFirstColumn="0" w:firstRowLastColumn="0" w:lastRowFirstColumn="0" w:lastRowLastColumn="0"/>
            </w:pPr>
            <w:r w:rsidRPr="005F4295">
              <w:t>0.</w:t>
            </w:r>
            <w:r w:rsidR="0078655D" w:rsidRPr="005F4295">
              <w:rPr>
                <w:noProof/>
              </w:rPr>
              <w:t>51</w:t>
            </w:r>
          </w:p>
        </w:tc>
      </w:tr>
      <w:tr w:rsidR="00EB70E0" w:rsidRPr="005F4295" w14:paraId="73734FB6" w14:textId="77777777" w:rsidTr="00FF6A9F">
        <w:trPr>
          <w:cnfStyle w:val="000000010000" w:firstRow="0" w:lastRow="0" w:firstColumn="0" w:lastColumn="0" w:oddVBand="0" w:evenVBand="0" w:oddHBand="0" w:evenHBand="1" w:firstRowFirstColumn="0" w:firstRowLastColumn="0" w:lastRowFirstColumn="0" w:lastRowLastColumn="0"/>
          <w:trHeight w:val="424"/>
          <w:jc w:val="left"/>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7F7F7F" w:themeColor="text1" w:themeTint="80"/>
              <w:bottom w:val="single" w:sz="4" w:space="0" w:color="7F7F7F" w:themeColor="text1" w:themeTint="80"/>
              <w:right w:val="single" w:sz="4" w:space="0" w:color="7F7F7F" w:themeColor="text1" w:themeTint="80"/>
            </w:tcBorders>
          </w:tcPr>
          <w:p w14:paraId="16B9B8E3" w14:textId="77777777" w:rsidR="00EB70E0" w:rsidRPr="005F4295" w:rsidRDefault="00EB70E0">
            <w:pPr>
              <w:rPr>
                <w:noProof/>
                <w:highlight w:val="lightGray"/>
              </w:rPr>
            </w:pPr>
          </w:p>
        </w:tc>
        <w:tc>
          <w:tcPr>
            <w:tcW w:w="283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6DF689F2" w14:textId="1A5011A3" w:rsidR="00EB70E0" w:rsidRPr="005F4295" w:rsidRDefault="00EB70E0">
            <w:pPr>
              <w:cnfStyle w:val="000000010000" w:firstRow="0" w:lastRow="0" w:firstColumn="0" w:lastColumn="0" w:oddVBand="0" w:evenVBand="0" w:oddHBand="0" w:evenHBand="1" w:firstRowFirstColumn="0" w:firstRowLastColumn="0" w:lastRowFirstColumn="0" w:lastRowLastColumn="0"/>
            </w:pPr>
            <w:r w:rsidRPr="005F4295">
              <w:t>Programme for the competitiveness of small and medium-sized enterprises</w:t>
            </w:r>
            <w:r w:rsidR="00244417" w:rsidRPr="005F4295">
              <w:t>.</w:t>
            </w:r>
            <w:r w:rsidRPr="005F4295">
              <w:t xml:space="preserve"> 2014-2020 grants segment</w:t>
            </w:r>
          </w:p>
        </w:tc>
        <w:tc>
          <w:tcPr>
            <w:tcW w:w="21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616EC92" w14:textId="77777777" w:rsidR="00EB70E0" w:rsidRPr="005F4295" w:rsidRDefault="00EB70E0">
            <w:pPr>
              <w:cnfStyle w:val="000000010000" w:firstRow="0" w:lastRow="0" w:firstColumn="0" w:lastColumn="0" w:oddVBand="0" w:evenVBand="0" w:oddHBand="0" w:evenHBand="1" w:firstRowFirstColumn="0" w:firstRowLastColumn="0" w:lastRowFirstColumn="0" w:lastRowLastColumn="0"/>
            </w:pPr>
            <w:r w:rsidRPr="005F4295">
              <w:t xml:space="preserve">European Innovation Council and SMEs Executive Agency </w:t>
            </w:r>
          </w:p>
        </w:tc>
        <w:tc>
          <w:tcPr>
            <w:tcW w:w="1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587E66FE" w14:textId="77777777" w:rsidR="00EB70E0" w:rsidRPr="005F4295" w:rsidRDefault="00EB70E0">
            <w:pPr>
              <w:jc w:val="center"/>
              <w:cnfStyle w:val="000000010000" w:firstRow="0" w:lastRow="0" w:firstColumn="0" w:lastColumn="0" w:oddVBand="0" w:evenVBand="0" w:oddHBand="0" w:evenHBand="1" w:firstRowFirstColumn="0" w:firstRowLastColumn="0" w:lastRowFirstColumn="0" w:lastRowLastColumn="0"/>
            </w:pPr>
            <w:r w:rsidRPr="005F4295">
              <w:t>Quantified</w:t>
            </w:r>
          </w:p>
        </w:tc>
        <w:tc>
          <w:tcPr>
            <w:tcW w:w="1397"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FFFFFF" w:themeFill="background1"/>
          </w:tcPr>
          <w:p w14:paraId="044202D5" w14:textId="71122F43" w:rsidR="00EB70E0" w:rsidRPr="005F4295" w:rsidRDefault="00EB70E0">
            <w:pPr>
              <w:jc w:val="center"/>
              <w:cnfStyle w:val="000000010000" w:firstRow="0" w:lastRow="0" w:firstColumn="0" w:lastColumn="0" w:oddVBand="0" w:evenVBand="0" w:oddHBand="0" w:evenHBand="1" w:firstRowFirstColumn="0" w:firstRowLastColumn="0" w:lastRowFirstColumn="0" w:lastRowLastColumn="0"/>
            </w:pPr>
            <w:r w:rsidRPr="005F4295">
              <w:t>0.</w:t>
            </w:r>
            <w:r w:rsidR="0085095D" w:rsidRPr="005F4295">
              <w:rPr>
                <w:noProof/>
              </w:rPr>
              <w:t>11</w:t>
            </w:r>
          </w:p>
        </w:tc>
      </w:tr>
      <w:tr w:rsidR="00EB70E0" w:rsidRPr="005F4295" w14:paraId="611EA982" w14:textId="77777777" w:rsidTr="00FF6A9F">
        <w:trPr>
          <w:cnfStyle w:val="000000100000" w:firstRow="0" w:lastRow="0" w:firstColumn="0" w:lastColumn="0" w:oddVBand="0" w:evenVBand="0" w:oddHBand="1" w:evenHBand="0" w:firstRowFirstColumn="0" w:firstRowLastColumn="0" w:lastRowFirstColumn="0" w:lastRowLastColumn="0"/>
          <w:trHeight w:val="350"/>
          <w:jc w:val="left"/>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7F7F7F" w:themeColor="text1" w:themeTint="80"/>
              <w:bottom w:val="single" w:sz="4" w:space="0" w:color="7F7F7F" w:themeColor="text1" w:themeTint="80"/>
              <w:right w:val="single" w:sz="4" w:space="0" w:color="7F7F7F" w:themeColor="text1" w:themeTint="80"/>
            </w:tcBorders>
          </w:tcPr>
          <w:p w14:paraId="25D9A3D4" w14:textId="77777777" w:rsidR="00EB70E0" w:rsidRPr="005F4295" w:rsidRDefault="00EB70E0">
            <w:pPr>
              <w:rPr>
                <w:noProof/>
                <w:highlight w:val="lightGray"/>
              </w:rPr>
            </w:pPr>
          </w:p>
        </w:tc>
        <w:tc>
          <w:tcPr>
            <w:tcW w:w="283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96ECAB1" w14:textId="10842A2A" w:rsidR="00EB70E0" w:rsidRPr="005F4295" w:rsidRDefault="00EB70E0">
            <w:pPr>
              <w:cnfStyle w:val="000000100000" w:firstRow="0" w:lastRow="0" w:firstColumn="0" w:lastColumn="0" w:oddVBand="0" w:evenVBand="0" w:oddHBand="1" w:evenHBand="0" w:firstRowFirstColumn="0" w:firstRowLastColumn="0" w:lastRowFirstColumn="0" w:lastRowLastColumn="0"/>
            </w:pPr>
            <w:r w:rsidRPr="005F4295">
              <w:t>Connecting Europe Facility</w:t>
            </w:r>
            <w:r w:rsidR="00244417" w:rsidRPr="005F4295">
              <w:t>.</w:t>
            </w:r>
            <w:r w:rsidRPr="005F4295">
              <w:t xml:space="preserve"> telecom sector</w:t>
            </w:r>
            <w:r w:rsidRPr="005F4295">
              <w:rPr>
                <w:rFonts w:ascii="Calibri" w:hAnsi="Calibri" w:cs="Calibri"/>
              </w:rPr>
              <w:t> </w:t>
            </w:r>
            <w:r w:rsidRPr="005F4295">
              <w:t>– digital service infrastructure</w:t>
            </w:r>
          </w:p>
        </w:tc>
        <w:tc>
          <w:tcPr>
            <w:tcW w:w="21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1A62B781" w14:textId="77777777" w:rsidR="00EB70E0" w:rsidRPr="005F4295" w:rsidRDefault="00EB70E0">
            <w:pPr>
              <w:cnfStyle w:val="000000100000" w:firstRow="0" w:lastRow="0" w:firstColumn="0" w:lastColumn="0" w:oddVBand="0" w:evenVBand="0" w:oddHBand="1" w:evenHBand="0" w:firstRowFirstColumn="0" w:firstRowLastColumn="0" w:lastRowFirstColumn="0" w:lastRowLastColumn="0"/>
            </w:pPr>
            <w:r w:rsidRPr="005F4295">
              <w:t>European Health and Digital Executive Agency</w:t>
            </w:r>
          </w:p>
        </w:tc>
        <w:tc>
          <w:tcPr>
            <w:tcW w:w="1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5826831D" w14:textId="77777777" w:rsidR="00EB70E0" w:rsidRPr="005F4295" w:rsidRDefault="00EB70E0">
            <w:pPr>
              <w:jc w:val="center"/>
              <w:cnfStyle w:val="000000100000" w:firstRow="0" w:lastRow="0" w:firstColumn="0" w:lastColumn="0" w:oddVBand="0" w:evenVBand="0" w:oddHBand="1" w:evenHBand="0" w:firstRowFirstColumn="0" w:firstRowLastColumn="0" w:lastRowFirstColumn="0" w:lastRowLastColumn="0"/>
            </w:pPr>
            <w:r w:rsidRPr="005F4295">
              <w:t>Quantified</w:t>
            </w:r>
          </w:p>
        </w:tc>
        <w:tc>
          <w:tcPr>
            <w:tcW w:w="1397"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FFFFFF" w:themeFill="background1"/>
          </w:tcPr>
          <w:p w14:paraId="5880D2AA" w14:textId="204FCDC4" w:rsidR="00EB70E0" w:rsidRPr="005F4295" w:rsidRDefault="00D21415">
            <w:pPr>
              <w:jc w:val="center"/>
              <w:cnfStyle w:val="000000100000" w:firstRow="0" w:lastRow="0" w:firstColumn="0" w:lastColumn="0" w:oddVBand="0" w:evenVBand="0" w:oddHBand="1" w:evenHBand="0" w:firstRowFirstColumn="0" w:firstRowLastColumn="0" w:lastRowFirstColumn="0" w:lastRowLastColumn="0"/>
            </w:pPr>
            <w:r w:rsidRPr="005F4295">
              <w:rPr>
                <w:noProof/>
              </w:rPr>
              <w:t>0</w:t>
            </w:r>
            <w:r w:rsidR="00EB70E0" w:rsidRPr="005F4295">
              <w:rPr>
                <w:noProof/>
              </w:rPr>
              <w:t>.</w:t>
            </w:r>
            <w:r w:rsidRPr="005F4295">
              <w:rPr>
                <w:noProof/>
              </w:rPr>
              <w:t>3</w:t>
            </w:r>
          </w:p>
        </w:tc>
      </w:tr>
      <w:tr w:rsidR="00C16675" w:rsidRPr="005F4295" w14:paraId="463D14BF" w14:textId="77777777" w:rsidTr="00FF6A9F">
        <w:trPr>
          <w:cnfStyle w:val="000000010000" w:firstRow="0" w:lastRow="0" w:firstColumn="0" w:lastColumn="0" w:oddVBand="0" w:evenVBand="0" w:oddHBand="0" w:evenHBand="1" w:firstRowFirstColumn="0" w:firstRowLastColumn="0" w:lastRowFirstColumn="0" w:lastRowLastColumn="0"/>
          <w:trHeight w:val="350"/>
          <w:jc w:val="left"/>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7F7F7F" w:themeColor="text1" w:themeTint="80"/>
              <w:bottom w:val="single" w:sz="4" w:space="0" w:color="7F7F7F" w:themeColor="text1" w:themeTint="80"/>
              <w:right w:val="single" w:sz="4" w:space="0" w:color="7F7F7F" w:themeColor="text1" w:themeTint="80"/>
            </w:tcBorders>
          </w:tcPr>
          <w:p w14:paraId="7059D3B0" w14:textId="77777777" w:rsidR="00EB70E0" w:rsidRPr="005F4295" w:rsidRDefault="00EB70E0">
            <w:pPr>
              <w:rPr>
                <w:noProof/>
                <w:highlight w:val="lightGray"/>
              </w:rPr>
            </w:pPr>
          </w:p>
        </w:tc>
        <w:tc>
          <w:tcPr>
            <w:tcW w:w="283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411B039E" w14:textId="77777777" w:rsidR="00EB70E0" w:rsidRPr="005F4295" w:rsidRDefault="00EB70E0">
            <w:pPr>
              <w:cnfStyle w:val="000000010000" w:firstRow="0" w:lastRow="0" w:firstColumn="0" w:lastColumn="0" w:oddVBand="0" w:evenVBand="0" w:oddHBand="0" w:evenHBand="1" w:firstRowFirstColumn="0" w:firstRowLastColumn="0" w:lastRowFirstColumn="0" w:lastRowLastColumn="0"/>
            </w:pPr>
            <w:r w:rsidRPr="005F4295">
              <w:t>Third health programme</w:t>
            </w:r>
          </w:p>
        </w:tc>
        <w:tc>
          <w:tcPr>
            <w:tcW w:w="21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4466A7D4" w14:textId="77777777" w:rsidR="00EB70E0" w:rsidRPr="005F4295" w:rsidRDefault="00EB70E0">
            <w:pPr>
              <w:cnfStyle w:val="000000010000" w:firstRow="0" w:lastRow="0" w:firstColumn="0" w:lastColumn="0" w:oddVBand="0" w:evenVBand="0" w:oddHBand="0" w:evenHBand="1" w:firstRowFirstColumn="0" w:firstRowLastColumn="0" w:lastRowFirstColumn="0" w:lastRowLastColumn="0"/>
            </w:pPr>
            <w:r w:rsidRPr="005F4295">
              <w:t>European Health and Digital Executive Agency</w:t>
            </w:r>
          </w:p>
        </w:tc>
        <w:tc>
          <w:tcPr>
            <w:tcW w:w="1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31414B48" w14:textId="77777777" w:rsidR="00EB70E0" w:rsidRPr="005F4295" w:rsidRDefault="00EB70E0">
            <w:pPr>
              <w:jc w:val="center"/>
              <w:cnfStyle w:val="000000010000" w:firstRow="0" w:lastRow="0" w:firstColumn="0" w:lastColumn="0" w:oddVBand="0" w:evenVBand="0" w:oddHBand="0" w:evenHBand="1" w:firstRowFirstColumn="0" w:firstRowLastColumn="0" w:lastRowFirstColumn="0" w:lastRowLastColumn="0"/>
            </w:pPr>
            <w:r w:rsidRPr="005F4295">
              <w:t>Quantified</w:t>
            </w:r>
          </w:p>
        </w:tc>
        <w:tc>
          <w:tcPr>
            <w:tcW w:w="1397"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FFFFFF" w:themeFill="background1"/>
          </w:tcPr>
          <w:p w14:paraId="30F1C5C6" w14:textId="771BE15A" w:rsidR="00EB70E0" w:rsidRPr="005F4295" w:rsidRDefault="00FE6BB1">
            <w:pPr>
              <w:jc w:val="center"/>
              <w:cnfStyle w:val="000000010000" w:firstRow="0" w:lastRow="0" w:firstColumn="0" w:lastColumn="0" w:oddVBand="0" w:evenVBand="0" w:oddHBand="0" w:evenHBand="1" w:firstRowFirstColumn="0" w:firstRowLastColumn="0" w:lastRowFirstColumn="0" w:lastRowLastColumn="0"/>
            </w:pPr>
            <w:r w:rsidRPr="005F4295">
              <w:rPr>
                <w:noProof/>
              </w:rPr>
              <w:t>0</w:t>
            </w:r>
            <w:r w:rsidR="00EB70E0" w:rsidRPr="005F4295">
              <w:rPr>
                <w:noProof/>
              </w:rPr>
              <w:t>.</w:t>
            </w:r>
            <w:r w:rsidRPr="005F4295">
              <w:rPr>
                <w:noProof/>
              </w:rPr>
              <w:t>4</w:t>
            </w:r>
          </w:p>
        </w:tc>
      </w:tr>
      <w:tr w:rsidR="005B1262" w:rsidRPr="005F4295" w14:paraId="7F730D4F" w14:textId="77777777">
        <w:trPr>
          <w:cnfStyle w:val="000000100000" w:firstRow="0" w:lastRow="0" w:firstColumn="0" w:lastColumn="0" w:oddVBand="0" w:evenVBand="0" w:oddHBand="1" w:evenHBand="0" w:firstRowFirstColumn="0" w:firstRowLastColumn="0" w:lastRowFirstColumn="0" w:lastRowLastColumn="0"/>
          <w:trHeight w:val="291"/>
          <w:jc w:val="left"/>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7F7F7F" w:themeColor="text1" w:themeTint="80"/>
              <w:bottom w:val="single" w:sz="4" w:space="0" w:color="7F7F7F" w:themeColor="text1" w:themeTint="80"/>
              <w:right w:val="single" w:sz="4" w:space="0" w:color="7F7F7F" w:themeColor="text1" w:themeTint="80"/>
            </w:tcBorders>
          </w:tcPr>
          <w:p w14:paraId="3051B8BB" w14:textId="77777777" w:rsidR="00EB70E0" w:rsidRPr="005F4295" w:rsidRDefault="00EB70E0">
            <w:pPr>
              <w:rPr>
                <w:noProof/>
                <w:highlight w:val="lightGray"/>
              </w:rPr>
            </w:pPr>
          </w:p>
        </w:tc>
        <w:tc>
          <w:tcPr>
            <w:tcW w:w="2835"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FFFFFF" w:themeFill="background1"/>
          </w:tcPr>
          <w:p w14:paraId="4A28B380" w14:textId="25F28D07" w:rsidR="00EB70E0" w:rsidRPr="005F4295" w:rsidRDefault="006906B2">
            <w:pPr>
              <w:cnfStyle w:val="000000100000" w:firstRow="0" w:lastRow="0" w:firstColumn="0" w:lastColumn="0" w:oddVBand="0" w:evenVBand="0" w:oddHBand="1" w:evenHBand="0" w:firstRowFirstColumn="0" w:firstRowLastColumn="0" w:lastRowFirstColumn="0" w:lastRowLastColumn="0"/>
              <w:rPr>
                <w:noProof/>
                <w:highlight w:val="lightGray"/>
              </w:rPr>
            </w:pPr>
            <w:r w:rsidRPr="005F4295">
              <w:rPr>
                <w:noProof/>
              </w:rPr>
              <w:t>Reservation concerning the rate of residual error in grant payments in Horizon Europe</w:t>
            </w:r>
          </w:p>
        </w:tc>
        <w:tc>
          <w:tcPr>
            <w:tcW w:w="21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167B1FFA" w14:textId="7AAB8F04" w:rsidR="00EB70E0" w:rsidRPr="005F4295" w:rsidRDefault="006A4232">
            <w:pPr>
              <w:cnfStyle w:val="000000100000" w:firstRow="0" w:lastRow="0" w:firstColumn="0" w:lastColumn="0" w:oddVBand="0" w:evenVBand="0" w:oddHBand="1" w:evenHBand="0" w:firstRowFirstColumn="0" w:firstRowLastColumn="0" w:lastRowFirstColumn="0" w:lastRowLastColumn="0"/>
            </w:pPr>
            <w:r w:rsidRPr="005F4295">
              <w:rPr>
                <w:noProof/>
              </w:rPr>
              <w:t>DG for Defence Industry and Space</w:t>
            </w:r>
          </w:p>
        </w:tc>
        <w:tc>
          <w:tcPr>
            <w:tcW w:w="1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0C867192" w14:textId="77777777" w:rsidR="00EB70E0" w:rsidRPr="005F4295" w:rsidRDefault="00EB70E0">
            <w:pPr>
              <w:jc w:val="center"/>
              <w:cnfStyle w:val="000000100000" w:firstRow="0" w:lastRow="0" w:firstColumn="0" w:lastColumn="0" w:oddVBand="0" w:evenVBand="0" w:oddHBand="1" w:evenHBand="0" w:firstRowFirstColumn="0" w:firstRowLastColumn="0" w:lastRowFirstColumn="0" w:lastRowLastColumn="0"/>
            </w:pPr>
            <w:r w:rsidRPr="005F4295">
              <w:t>Quantified</w:t>
            </w:r>
          </w:p>
        </w:tc>
        <w:tc>
          <w:tcPr>
            <w:tcW w:w="1397"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FFFFFF" w:themeFill="background1"/>
          </w:tcPr>
          <w:p w14:paraId="1CBFA6EA" w14:textId="229A82C4" w:rsidR="00EB70E0" w:rsidRPr="005F4295" w:rsidRDefault="00EB70E0">
            <w:pPr>
              <w:jc w:val="center"/>
              <w:cnfStyle w:val="000000100000" w:firstRow="0" w:lastRow="0" w:firstColumn="0" w:lastColumn="0" w:oddVBand="0" w:evenVBand="0" w:oddHBand="1" w:evenHBand="0" w:firstRowFirstColumn="0" w:firstRowLastColumn="0" w:lastRowFirstColumn="0" w:lastRowLastColumn="0"/>
            </w:pPr>
            <w:r w:rsidRPr="005F4295">
              <w:t>1.</w:t>
            </w:r>
            <w:r w:rsidR="00390F6B" w:rsidRPr="005F4295">
              <w:rPr>
                <w:noProof/>
              </w:rPr>
              <w:t>3</w:t>
            </w:r>
          </w:p>
        </w:tc>
      </w:tr>
      <w:tr w:rsidR="00C16675" w:rsidRPr="005F4295" w14:paraId="64D5F344" w14:textId="77777777">
        <w:trPr>
          <w:cnfStyle w:val="000000010000" w:firstRow="0" w:lastRow="0" w:firstColumn="0" w:lastColumn="0" w:oddVBand="0" w:evenVBand="0" w:oddHBand="0" w:evenHBand="1" w:firstRowFirstColumn="0" w:firstRowLastColumn="0" w:lastRowFirstColumn="0" w:lastRowLastColumn="0"/>
          <w:trHeight w:val="291"/>
          <w:jc w:val="left"/>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7F7F7F" w:themeColor="text1" w:themeTint="80"/>
              <w:bottom w:val="single" w:sz="4" w:space="0" w:color="7F7F7F" w:themeColor="text1" w:themeTint="80"/>
              <w:right w:val="single" w:sz="4" w:space="0" w:color="7F7F7F" w:themeColor="text1" w:themeTint="80"/>
            </w:tcBorders>
          </w:tcPr>
          <w:p w14:paraId="7BD299A4" w14:textId="77777777" w:rsidR="00EB70E0" w:rsidRPr="005F4295" w:rsidRDefault="00EB70E0">
            <w:pPr>
              <w:rPr>
                <w:noProof/>
                <w:highlight w:val="lightGray"/>
              </w:rPr>
            </w:pPr>
          </w:p>
        </w:tc>
        <w:tc>
          <w:tcPr>
            <w:tcW w:w="2835"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595D11DA" w14:textId="42B2B2A8" w:rsidR="00EB70E0" w:rsidRPr="005F4295" w:rsidRDefault="00EB70E0">
            <w:pPr>
              <w:cnfStyle w:val="000000010000" w:firstRow="0" w:lastRow="0" w:firstColumn="0" w:lastColumn="0" w:oddVBand="0" w:evenVBand="0" w:oddHBand="0" w:evenHBand="1" w:firstRowFirstColumn="0" w:firstRowLastColumn="0" w:lastRowFirstColumn="0" w:lastRowLastColumn="0"/>
              <w:rPr>
                <w:noProof/>
                <w:highlight w:val="lightGray"/>
              </w:rPr>
            </w:pPr>
          </w:p>
        </w:tc>
        <w:tc>
          <w:tcPr>
            <w:tcW w:w="21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6282B9FA" w14:textId="1C976BDA" w:rsidR="00EB70E0" w:rsidRPr="005F4295" w:rsidRDefault="00CF37B5">
            <w:pPr>
              <w:cnfStyle w:val="000000010000" w:firstRow="0" w:lastRow="0" w:firstColumn="0" w:lastColumn="0" w:oddVBand="0" w:evenVBand="0" w:oddHBand="0" w:evenHBand="1" w:firstRowFirstColumn="0" w:firstRowLastColumn="0" w:lastRowFirstColumn="0" w:lastRowLastColumn="0"/>
            </w:pPr>
            <w:r w:rsidRPr="005F4295">
              <w:rPr>
                <w:noProof/>
              </w:rPr>
              <w:t>DG Energy</w:t>
            </w:r>
          </w:p>
        </w:tc>
        <w:tc>
          <w:tcPr>
            <w:tcW w:w="1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4C25873B" w14:textId="77777777" w:rsidR="00EB70E0" w:rsidRPr="005F4295" w:rsidRDefault="00EB70E0">
            <w:pPr>
              <w:jc w:val="center"/>
              <w:cnfStyle w:val="000000010000" w:firstRow="0" w:lastRow="0" w:firstColumn="0" w:lastColumn="0" w:oddVBand="0" w:evenVBand="0" w:oddHBand="0" w:evenHBand="1" w:firstRowFirstColumn="0" w:firstRowLastColumn="0" w:lastRowFirstColumn="0" w:lastRowLastColumn="0"/>
            </w:pPr>
            <w:r w:rsidRPr="005F4295">
              <w:t>Quantified</w:t>
            </w:r>
          </w:p>
        </w:tc>
        <w:tc>
          <w:tcPr>
            <w:tcW w:w="1397"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FFFFFF" w:themeFill="background1"/>
          </w:tcPr>
          <w:p w14:paraId="56C1D359" w14:textId="78114B15" w:rsidR="00EB70E0" w:rsidRPr="005F4295" w:rsidRDefault="00EB70E0">
            <w:pPr>
              <w:jc w:val="center"/>
              <w:cnfStyle w:val="000000010000" w:firstRow="0" w:lastRow="0" w:firstColumn="0" w:lastColumn="0" w:oddVBand="0" w:evenVBand="0" w:oddHBand="0" w:evenHBand="1" w:firstRowFirstColumn="0" w:firstRowLastColumn="0" w:lastRowFirstColumn="0" w:lastRowLastColumn="0"/>
            </w:pPr>
            <w:r w:rsidRPr="005F4295">
              <w:t>0.</w:t>
            </w:r>
            <w:r w:rsidR="00AE1D36" w:rsidRPr="005F4295">
              <w:rPr>
                <w:noProof/>
              </w:rPr>
              <w:t>0</w:t>
            </w:r>
            <w:r w:rsidR="006C7B59" w:rsidRPr="005F4295">
              <w:rPr>
                <w:noProof/>
              </w:rPr>
              <w:t>2</w:t>
            </w:r>
          </w:p>
        </w:tc>
      </w:tr>
      <w:tr w:rsidR="0001363E" w:rsidRPr="005F4295" w14:paraId="68CA4576" w14:textId="77777777" w:rsidTr="00410F89">
        <w:trPr>
          <w:cnfStyle w:val="000000100000" w:firstRow="0" w:lastRow="0" w:firstColumn="0" w:lastColumn="0" w:oddVBand="0" w:evenVBand="0" w:oddHBand="1" w:evenHBand="0" w:firstRowFirstColumn="0" w:firstRowLastColumn="0" w:lastRowFirstColumn="0" w:lastRowLastColumn="0"/>
          <w:trHeight w:val="440"/>
          <w:jc w:val="left"/>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7F7F7F" w:themeColor="text1" w:themeTint="80"/>
              <w:bottom w:val="single" w:sz="4" w:space="0" w:color="7F7F7F" w:themeColor="text1" w:themeTint="80"/>
              <w:right w:val="single" w:sz="4" w:space="0" w:color="7F7F7F" w:themeColor="text1" w:themeTint="80"/>
            </w:tcBorders>
          </w:tcPr>
          <w:p w14:paraId="7EE27428" w14:textId="77777777" w:rsidR="00EB70E0" w:rsidRPr="005F4295" w:rsidRDefault="00EB70E0">
            <w:r w:rsidRPr="005F4295">
              <w:t>Natural resources and environment</w:t>
            </w:r>
          </w:p>
        </w:tc>
        <w:tc>
          <w:tcPr>
            <w:tcW w:w="283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08F176B" w14:textId="77777777" w:rsidR="00EB70E0" w:rsidRPr="005F4295" w:rsidRDefault="00EB70E0">
            <w:pPr>
              <w:cnfStyle w:val="000000100000" w:firstRow="0" w:lastRow="0" w:firstColumn="0" w:lastColumn="0" w:oddVBand="0" w:evenVBand="0" w:oddHBand="1" w:evenHBand="0" w:firstRowFirstColumn="0" w:firstRowLastColumn="0" w:lastRowFirstColumn="0" w:lastRowLastColumn="0"/>
            </w:pPr>
            <w:r w:rsidRPr="005F4295">
              <w:t>Instrument for Pre-accession Assistance Rural Development Programmes</w:t>
            </w:r>
            <w:r w:rsidRPr="005F4295">
              <w:rPr>
                <w:rFonts w:ascii="Calibri" w:hAnsi="Calibri" w:cs="Calibri"/>
              </w:rPr>
              <w:t> </w:t>
            </w:r>
            <w:r w:rsidRPr="005F4295">
              <w:rPr>
                <w:rFonts w:cs="EC Square Sans Pro"/>
              </w:rPr>
              <w:t>–</w:t>
            </w:r>
            <w:r w:rsidRPr="005F4295">
              <w:rPr>
                <w:rFonts w:cs="Calibri"/>
              </w:rPr>
              <w:t xml:space="preserve"> </w:t>
            </w:r>
            <w:r w:rsidRPr="005F4295">
              <w:t>indirect management</w:t>
            </w:r>
          </w:p>
        </w:tc>
        <w:tc>
          <w:tcPr>
            <w:tcW w:w="21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C824B80" w14:textId="77777777" w:rsidR="00EB70E0" w:rsidRPr="005F4295" w:rsidRDefault="00EB70E0">
            <w:pPr>
              <w:cnfStyle w:val="000000100000" w:firstRow="0" w:lastRow="0" w:firstColumn="0" w:lastColumn="0" w:oddVBand="0" w:evenVBand="0" w:oddHBand="1" w:evenHBand="0" w:firstRowFirstColumn="0" w:firstRowLastColumn="0" w:lastRowFirstColumn="0" w:lastRowLastColumn="0"/>
            </w:pPr>
            <w:r w:rsidRPr="005F4295">
              <w:t>DG Agriculture and Rural Development</w:t>
            </w:r>
          </w:p>
        </w:tc>
        <w:tc>
          <w:tcPr>
            <w:tcW w:w="1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9728FE" w14:textId="77777777" w:rsidR="00EB70E0" w:rsidRPr="005F4295" w:rsidRDefault="00EB70E0">
            <w:pPr>
              <w:jc w:val="center"/>
              <w:cnfStyle w:val="000000100000" w:firstRow="0" w:lastRow="0" w:firstColumn="0" w:lastColumn="0" w:oddVBand="0" w:evenVBand="0" w:oddHBand="1" w:evenHBand="0" w:firstRowFirstColumn="0" w:firstRowLastColumn="0" w:lastRowFirstColumn="0" w:lastRowLastColumn="0"/>
            </w:pPr>
            <w:r w:rsidRPr="005F4295">
              <w:t>Quantified</w:t>
            </w:r>
          </w:p>
        </w:tc>
        <w:tc>
          <w:tcPr>
            <w:tcW w:w="1397" w:type="dxa"/>
            <w:tcBorders>
              <w:top w:val="single" w:sz="4" w:space="0" w:color="7F7F7F" w:themeColor="text1" w:themeTint="80"/>
              <w:left w:val="single" w:sz="4" w:space="0" w:color="7F7F7F" w:themeColor="text1" w:themeTint="80"/>
              <w:bottom w:val="single" w:sz="4" w:space="0" w:color="7F7F7F" w:themeColor="text1" w:themeTint="80"/>
            </w:tcBorders>
          </w:tcPr>
          <w:p w14:paraId="3B0C7AA8" w14:textId="5075FF6C" w:rsidR="00EB70E0" w:rsidRPr="005F4295" w:rsidRDefault="000B2756">
            <w:pPr>
              <w:jc w:val="center"/>
              <w:cnfStyle w:val="000000100000" w:firstRow="0" w:lastRow="0" w:firstColumn="0" w:lastColumn="0" w:oddVBand="0" w:evenVBand="0" w:oddHBand="1" w:evenHBand="0" w:firstRowFirstColumn="0" w:firstRowLastColumn="0" w:lastRowFirstColumn="0" w:lastRowLastColumn="0"/>
            </w:pPr>
            <w:r w:rsidRPr="005F4295">
              <w:rPr>
                <w:noProof/>
              </w:rPr>
              <w:t>1</w:t>
            </w:r>
            <w:r w:rsidR="00EB70E0" w:rsidRPr="005F4295">
              <w:rPr>
                <w:noProof/>
              </w:rPr>
              <w:t>.</w:t>
            </w:r>
            <w:r w:rsidRPr="005F4295">
              <w:rPr>
                <w:noProof/>
              </w:rPr>
              <w:t>83</w:t>
            </w:r>
          </w:p>
        </w:tc>
      </w:tr>
      <w:tr w:rsidR="00565966" w:rsidRPr="005F4295" w14:paraId="4B202FB9" w14:textId="77777777" w:rsidTr="006D5991">
        <w:trPr>
          <w:cnfStyle w:val="000000010000" w:firstRow="0" w:lastRow="0" w:firstColumn="0" w:lastColumn="0" w:oddVBand="0" w:evenVBand="0" w:oddHBand="0" w:evenHBand="1" w:firstRowFirstColumn="0" w:firstRowLastColumn="0" w:lastRowFirstColumn="0" w:lastRowLastColumn="0"/>
          <w:trHeight w:val="440"/>
          <w:jc w:val="left"/>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10A2EDF" w14:textId="4E5EE2AF" w:rsidR="00600882" w:rsidRPr="005F4295" w:rsidRDefault="00616FFA">
            <w:pPr>
              <w:rPr>
                <w:b w:val="0"/>
                <w:noProof/>
              </w:rPr>
            </w:pPr>
            <w:r w:rsidRPr="005F4295">
              <w:rPr>
                <w:noProof/>
              </w:rPr>
              <w:t>Recovery and Resilience Facility</w:t>
            </w:r>
          </w:p>
        </w:tc>
        <w:tc>
          <w:tcPr>
            <w:tcW w:w="283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1EB4E62C" w14:textId="52300F9C" w:rsidR="00600882" w:rsidRPr="005F4295" w:rsidRDefault="00600882" w:rsidP="00D43084">
            <w:pPr>
              <w:pStyle w:val="TableParagraph"/>
              <w:spacing w:before="60" w:after="60" w:line="264" w:lineRule="auto"/>
              <w:ind w:right="102"/>
              <w:cnfStyle w:val="000000010000" w:firstRow="0" w:lastRow="0" w:firstColumn="0" w:lastColumn="0" w:oddVBand="0" w:evenVBand="0" w:oddHBand="0" w:evenHBand="1" w:firstRowFirstColumn="0" w:firstRowLastColumn="0" w:lastRowFirstColumn="0" w:lastRowLastColumn="0"/>
            </w:pPr>
            <w:r w:rsidRPr="005F4295">
              <w:rPr>
                <w:noProof/>
                <w:sz w:val="20"/>
                <w:szCs w:val="20"/>
              </w:rPr>
              <w:t>Cases of conflict of interest</w:t>
            </w:r>
          </w:p>
        </w:tc>
        <w:tc>
          <w:tcPr>
            <w:tcW w:w="21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1CEEF290" w14:textId="61EE274F" w:rsidR="00600882" w:rsidRPr="005F4295" w:rsidRDefault="00600882">
            <w:pPr>
              <w:cnfStyle w:val="000000010000" w:firstRow="0" w:lastRow="0" w:firstColumn="0" w:lastColumn="0" w:oddVBand="0" w:evenVBand="0" w:oddHBand="0" w:evenHBand="1" w:firstRowFirstColumn="0" w:firstRowLastColumn="0" w:lastRowFirstColumn="0" w:lastRowLastColumn="0"/>
            </w:pPr>
            <w:r w:rsidRPr="005F4295">
              <w:rPr>
                <w:noProof/>
              </w:rPr>
              <w:t>DG Economic and Financial Affairs</w:t>
            </w:r>
          </w:p>
        </w:tc>
        <w:tc>
          <w:tcPr>
            <w:tcW w:w="155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15DC4A38" w14:textId="7CA0D753" w:rsidR="00600882" w:rsidRPr="005F4295" w:rsidRDefault="00600882">
            <w:pPr>
              <w:jc w:val="center"/>
              <w:cnfStyle w:val="000000010000" w:firstRow="0" w:lastRow="0" w:firstColumn="0" w:lastColumn="0" w:oddVBand="0" w:evenVBand="0" w:oddHBand="0" w:evenHBand="1" w:firstRowFirstColumn="0" w:firstRowLastColumn="0" w:lastRowFirstColumn="0" w:lastRowLastColumn="0"/>
            </w:pPr>
            <w:r w:rsidRPr="005F4295">
              <w:t>Quantified</w:t>
            </w:r>
          </w:p>
        </w:tc>
        <w:tc>
          <w:tcPr>
            <w:tcW w:w="1397"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FFFFFF" w:themeFill="background1"/>
          </w:tcPr>
          <w:p w14:paraId="3F17F9E5" w14:textId="396BE3ED" w:rsidR="00600882" w:rsidRPr="005F4295" w:rsidRDefault="00600882">
            <w:pPr>
              <w:jc w:val="center"/>
              <w:cnfStyle w:val="000000010000" w:firstRow="0" w:lastRow="0" w:firstColumn="0" w:lastColumn="0" w:oddVBand="0" w:evenVBand="0" w:oddHBand="0" w:evenHBand="1" w:firstRowFirstColumn="0" w:firstRowLastColumn="0" w:lastRowFirstColumn="0" w:lastRowLastColumn="0"/>
              <w:rPr>
                <w:noProof/>
              </w:rPr>
            </w:pPr>
            <w:r w:rsidRPr="005F4295">
              <w:rPr>
                <w:noProof/>
              </w:rPr>
              <w:t>0.01</w:t>
            </w:r>
          </w:p>
        </w:tc>
      </w:tr>
      <w:tr w:rsidR="0001363E" w:rsidRPr="005F4295" w14:paraId="29A77E05" w14:textId="77777777" w:rsidTr="00410F89">
        <w:trPr>
          <w:cnfStyle w:val="010000000000" w:firstRow="0" w:lastRow="1" w:firstColumn="0" w:lastColumn="0" w:oddVBand="0" w:evenVBand="0" w:oddHBand="0" w:evenHBand="0" w:firstRowFirstColumn="0" w:firstRowLastColumn="0" w:lastRowFirstColumn="0" w:lastRowLastColumn="0"/>
          <w:trHeight w:val="440"/>
          <w:jc w:val="left"/>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7F7F7F" w:themeColor="text1" w:themeTint="80"/>
              <w:bottom w:val="single" w:sz="4" w:space="0" w:color="auto"/>
              <w:right w:val="single" w:sz="4" w:space="0" w:color="7F7F7F" w:themeColor="text1" w:themeTint="80"/>
            </w:tcBorders>
          </w:tcPr>
          <w:p w14:paraId="32D7B62E" w14:textId="59D4C420" w:rsidR="00EB70E0" w:rsidRPr="005F4295" w:rsidRDefault="00EB70E0">
            <w:pPr>
              <w:jc w:val="left"/>
            </w:pPr>
            <w:r w:rsidRPr="005F4295">
              <w:t xml:space="preserve">Total for </w:t>
            </w:r>
            <w:r w:rsidRPr="005F4295">
              <w:rPr>
                <w:noProof/>
              </w:rPr>
              <w:t>202</w:t>
            </w:r>
            <w:r w:rsidR="006F7681" w:rsidRPr="005F4295">
              <w:rPr>
                <w:noProof/>
              </w:rPr>
              <w:t>5</w:t>
            </w:r>
          </w:p>
        </w:tc>
        <w:tc>
          <w:tcPr>
            <w:tcW w:w="2835"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tcPr>
          <w:p w14:paraId="1874D549" w14:textId="41CC806F" w:rsidR="00EB70E0" w:rsidRPr="005F4295" w:rsidRDefault="00E36C0C">
            <w:pPr>
              <w:jc w:val="center"/>
              <w:cnfStyle w:val="010000000000" w:firstRow="0" w:lastRow="1" w:firstColumn="0" w:lastColumn="0" w:oddVBand="0" w:evenVBand="0" w:oddHBand="0" w:evenHBand="0" w:firstRowFirstColumn="0" w:firstRowLastColumn="0" w:lastRowFirstColumn="0" w:lastRowLastColumn="0"/>
            </w:pPr>
            <w:r w:rsidRPr="005F4295">
              <w:rPr>
                <w:noProof/>
              </w:rPr>
              <w:t>8</w:t>
            </w:r>
            <w:r w:rsidR="00EB70E0" w:rsidRPr="005F4295">
              <w:t xml:space="preserve"> reservations</w:t>
            </w:r>
          </w:p>
        </w:tc>
        <w:tc>
          <w:tcPr>
            <w:tcW w:w="2126"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tcPr>
          <w:p w14:paraId="55270B70" w14:textId="32E0239B" w:rsidR="00EB70E0" w:rsidRPr="005F4295" w:rsidRDefault="00303B0B">
            <w:pPr>
              <w:jc w:val="center"/>
              <w:cnfStyle w:val="010000000000" w:firstRow="0" w:lastRow="1" w:firstColumn="0" w:lastColumn="0" w:oddVBand="0" w:evenVBand="0" w:oddHBand="0" w:evenHBand="0" w:firstRowFirstColumn="0" w:firstRowLastColumn="0" w:lastRowFirstColumn="0" w:lastRowLastColumn="0"/>
            </w:pPr>
            <w:r w:rsidRPr="005F4295">
              <w:t>7</w:t>
            </w:r>
            <w:r w:rsidR="00EB70E0" w:rsidRPr="005F4295">
              <w:t xml:space="preserve"> departments</w:t>
            </w:r>
          </w:p>
        </w:tc>
        <w:tc>
          <w:tcPr>
            <w:tcW w:w="1559"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tcPr>
          <w:p w14:paraId="55EEB12F" w14:textId="77777777" w:rsidR="00EB70E0" w:rsidRPr="005F4295" w:rsidRDefault="00EB70E0">
            <w:pPr>
              <w:jc w:val="center"/>
              <w:cnfStyle w:val="010000000000" w:firstRow="0" w:lastRow="1" w:firstColumn="0" w:lastColumn="0" w:oddVBand="0" w:evenVBand="0" w:oddHBand="0" w:evenHBand="0" w:firstRowFirstColumn="0" w:firstRowLastColumn="0" w:lastRowFirstColumn="0" w:lastRowLastColumn="0"/>
            </w:pPr>
            <w:r w:rsidRPr="005F4295">
              <w:t>—</w:t>
            </w:r>
          </w:p>
        </w:tc>
        <w:tc>
          <w:tcPr>
            <w:tcW w:w="1397" w:type="dxa"/>
            <w:tcBorders>
              <w:top w:val="single" w:sz="4" w:space="0" w:color="7F7F7F" w:themeColor="text1" w:themeTint="80"/>
              <w:left w:val="single" w:sz="4" w:space="0" w:color="7F7F7F" w:themeColor="text1" w:themeTint="80"/>
              <w:bottom w:val="single" w:sz="4" w:space="0" w:color="auto"/>
            </w:tcBorders>
          </w:tcPr>
          <w:p w14:paraId="41104EB0" w14:textId="181D0110" w:rsidR="00EB70E0" w:rsidRPr="005F4295" w:rsidRDefault="00B1393C">
            <w:pPr>
              <w:jc w:val="center"/>
              <w:cnfStyle w:val="010000000000" w:firstRow="0" w:lastRow="1" w:firstColumn="0" w:lastColumn="0" w:oddVBand="0" w:evenVBand="0" w:oddHBand="0" w:evenHBand="0" w:firstRowFirstColumn="0" w:firstRowLastColumn="0" w:lastRowFirstColumn="0" w:lastRowLastColumn="0"/>
            </w:pPr>
            <w:r w:rsidRPr="005F4295">
              <w:rPr>
                <w:noProof/>
              </w:rPr>
              <w:t>4</w:t>
            </w:r>
            <w:r w:rsidR="00EB70E0" w:rsidRPr="005F4295">
              <w:rPr>
                <w:noProof/>
              </w:rPr>
              <w:t>.</w:t>
            </w:r>
            <w:r w:rsidRPr="005F4295">
              <w:rPr>
                <w:noProof/>
              </w:rPr>
              <w:t>5</w:t>
            </w:r>
          </w:p>
        </w:tc>
      </w:tr>
    </w:tbl>
    <w:p w14:paraId="50D35308" w14:textId="2DC34D84" w:rsidR="00EB70E0" w:rsidRPr="005F4295" w:rsidRDefault="00EB70E0" w:rsidP="0001263F">
      <w:pPr>
        <w:pStyle w:val="TableSource"/>
        <w:rPr>
          <w:rFonts w:eastAsia="EC Square Sans Pro"/>
          <w:highlight w:val="lightGray"/>
        </w:rPr>
      </w:pPr>
      <w:bookmarkStart w:id="50" w:name="_Toc6304471"/>
      <w:bookmarkStart w:id="51" w:name="_Toc8386193"/>
      <w:bookmarkStart w:id="52" w:name="_Toc11679102"/>
      <w:r w:rsidRPr="005F4295">
        <w:rPr>
          <w:rStyle w:val="Italic"/>
        </w:rPr>
        <w:t>Source:</w:t>
      </w:r>
      <w:r w:rsidRPr="005F4295">
        <w:t xml:space="preserve"> European Commission annual activity reports.</w:t>
      </w:r>
      <w:bookmarkEnd w:id="50"/>
      <w:bookmarkEnd w:id="51"/>
      <w:bookmarkEnd w:id="52"/>
    </w:p>
    <w:p w14:paraId="5625426E" w14:textId="2592469A" w:rsidR="00EB70E0" w:rsidRPr="005F4295" w:rsidRDefault="00EB70E0" w:rsidP="00EB70E0">
      <w:pPr>
        <w:pStyle w:val="HeadingMan-NumT-AnnexesL2-11"/>
        <w:rPr>
          <w:rFonts w:ascii="EC Square Sans Pro" w:hAnsi="EC Square Sans Pro"/>
          <w:noProof/>
        </w:rPr>
      </w:pPr>
      <w:bookmarkStart w:id="53" w:name="_Toc229386271"/>
      <w:r w:rsidRPr="005F4295">
        <w:rPr>
          <w:rFonts w:ascii="EC Square Sans Pro" w:hAnsi="EC Square Sans Pro"/>
          <w:noProof/>
        </w:rPr>
        <w:t>5.4.</w:t>
      </w:r>
      <w:r w:rsidRPr="005F4295">
        <w:rPr>
          <w:rFonts w:ascii="EC Square Sans Pro" w:hAnsi="EC Square Sans Pro"/>
          <w:noProof/>
        </w:rPr>
        <w:tab/>
        <w:t>Preventive and corrective measures implemented in 202</w:t>
      </w:r>
      <w:r w:rsidR="006D7A36" w:rsidRPr="005F4295">
        <w:rPr>
          <w:rFonts w:ascii="EC Square Sans Pro" w:hAnsi="EC Square Sans Pro"/>
          <w:noProof/>
        </w:rPr>
        <w:t>5</w:t>
      </w:r>
      <w:bookmarkEnd w:id="53"/>
    </w:p>
    <w:p w14:paraId="34A84369" w14:textId="0DC7BBF2" w:rsidR="00EB70E0" w:rsidRPr="005F4295" w:rsidRDefault="00D80907" w:rsidP="00EB70E0">
      <w:pPr>
        <w:rPr>
          <w:noProof/>
        </w:rPr>
      </w:pPr>
      <w:r w:rsidRPr="005F4295">
        <w:rPr>
          <w:noProof/>
        </w:rPr>
        <w:t>P</w:t>
      </w:r>
      <w:r w:rsidR="00EB70E0" w:rsidRPr="005F4295">
        <w:rPr>
          <w:noProof/>
        </w:rPr>
        <w:t>reventive and corrective measures implemented in 202</w:t>
      </w:r>
      <w:r w:rsidR="004930AC" w:rsidRPr="005F4295">
        <w:rPr>
          <w:noProof/>
        </w:rPr>
        <w:t>5</w:t>
      </w:r>
      <w:r w:rsidR="00EB70E0" w:rsidRPr="005F4295">
        <w:rPr>
          <w:noProof/>
        </w:rPr>
        <w:t xml:space="preserve"> result from both the Commission and the Member States’ audits and controls</w:t>
      </w:r>
      <w:r w:rsidR="004315F8" w:rsidRPr="005F4295">
        <w:rPr>
          <w:noProof/>
        </w:rPr>
        <w:t xml:space="preserve"> and relate mainly to expenditure from previous years</w:t>
      </w:r>
      <w:r w:rsidR="00EB70E0" w:rsidRPr="005F4295">
        <w:rPr>
          <w:noProof/>
        </w:rPr>
        <w:t>.</w:t>
      </w:r>
      <w:r w:rsidR="00F96AE1" w:rsidRPr="005F4295">
        <w:rPr>
          <w:noProof/>
        </w:rPr>
        <w:t xml:space="preserve"> </w:t>
      </w:r>
      <w:r w:rsidR="00EB70E0" w:rsidRPr="005F4295">
        <w:rPr>
          <w:noProof/>
        </w:rPr>
        <w:t>Under shared management</w:t>
      </w:r>
      <w:r w:rsidR="00244417" w:rsidRPr="005F4295">
        <w:t>.</w:t>
      </w:r>
      <w:r w:rsidR="00EB70E0" w:rsidRPr="005F4295">
        <w:rPr>
          <w:noProof/>
        </w:rPr>
        <w:t xml:space="preserve"> the Member States are primarily responsible for identifying any amounts unduly paid and recovering them from beneficiaries. The</w:t>
      </w:r>
      <w:r w:rsidR="00625DC4" w:rsidRPr="005F4295">
        <w:rPr>
          <w:noProof/>
        </w:rPr>
        <w:t>ir</w:t>
      </w:r>
      <w:r w:rsidR="00EB70E0" w:rsidRPr="005F4295">
        <w:rPr>
          <w:noProof/>
        </w:rPr>
        <w:t xml:space="preserve"> controls</w:t>
      </w:r>
      <w:r w:rsidR="00D13D93" w:rsidRPr="005F4295">
        <w:rPr>
          <w:noProof/>
        </w:rPr>
        <w:t xml:space="preserve">, </w:t>
      </w:r>
      <w:r w:rsidR="00BA5F4C" w:rsidRPr="005F4295">
        <w:rPr>
          <w:noProof/>
        </w:rPr>
        <w:t>which</w:t>
      </w:r>
      <w:r w:rsidR="00EB70E0" w:rsidRPr="005F4295" w:rsidDel="00D13D93">
        <w:rPr>
          <w:noProof/>
        </w:rPr>
        <w:t xml:space="preserve"> </w:t>
      </w:r>
      <w:r w:rsidR="00D13D93" w:rsidRPr="005F4295">
        <w:rPr>
          <w:noProof/>
        </w:rPr>
        <w:t>are a key component of the preventive and corrective mechanisms,</w:t>
      </w:r>
      <w:r w:rsidR="00EB70E0" w:rsidRPr="005F4295">
        <w:rPr>
          <w:noProof/>
        </w:rPr>
        <w:t xml:space="preserve"> lead to corrections implemented by the Member States before and after they submit their payment claims or annual accounts to the Commission. </w:t>
      </w:r>
      <w:r w:rsidR="006902CD" w:rsidRPr="005F4295">
        <w:rPr>
          <w:noProof/>
        </w:rPr>
        <w:t>In addition, t</w:t>
      </w:r>
      <w:r w:rsidR="00EB70E0" w:rsidRPr="005F4295">
        <w:rPr>
          <w:noProof/>
        </w:rPr>
        <w:t>he Commission can apply preventive measures and/or financial corrections due to: irregularities or serious deficiencies identified but not corrected by Member State authorities; its own verifications and audits; investigations by the European Anti-Fraud Office; and audits by the Court of Auditors.</w:t>
      </w:r>
    </w:p>
    <w:p w14:paraId="08D7EAC2" w14:textId="4281D8D4" w:rsidR="0094392D" w:rsidRPr="005F4295" w:rsidRDefault="0094392D" w:rsidP="0094392D">
      <w:pPr>
        <w:rPr>
          <w:noProof/>
        </w:rPr>
      </w:pPr>
      <w:r w:rsidRPr="005F4295">
        <w:rPr>
          <w:noProof/>
        </w:rPr>
        <w:t>In general, for corrective measures, corrections implemented are used as booked in the accounting system of the Commission, but the situation differs between agriculture and cohesion</w:t>
      </w:r>
      <w:r w:rsidR="00BA5F4C" w:rsidRPr="005F4295">
        <w:rPr>
          <w:noProof/>
        </w:rPr>
        <w:t>.</w:t>
      </w:r>
    </w:p>
    <w:p w14:paraId="1DE7362A" w14:textId="089BAC88" w:rsidR="0094392D" w:rsidRPr="005F4295" w:rsidRDefault="00345163" w:rsidP="00757E87">
      <w:pPr>
        <w:pStyle w:val="ListBullet"/>
        <w:rPr>
          <w:noProof/>
        </w:rPr>
      </w:pPr>
      <w:r w:rsidRPr="005F4295">
        <w:rPr>
          <w:rStyle w:val="Bold"/>
        </w:rPr>
        <w:t>A</w:t>
      </w:r>
      <w:r w:rsidR="0094392D" w:rsidRPr="005F4295">
        <w:rPr>
          <w:rStyle w:val="Bold"/>
        </w:rPr>
        <w:t>griculture</w:t>
      </w:r>
      <w:r w:rsidRPr="005F4295">
        <w:rPr>
          <w:rStyle w:val="Bold"/>
        </w:rPr>
        <w:t>.</w:t>
      </w:r>
      <w:r w:rsidR="0094392D" w:rsidRPr="005F4295">
        <w:rPr>
          <w:rStyle w:val="Bold"/>
        </w:rPr>
        <w:t xml:space="preserve"> </w:t>
      </w:r>
      <w:r w:rsidRPr="005F4295">
        <w:rPr>
          <w:bCs/>
        </w:rPr>
        <w:t>T</w:t>
      </w:r>
      <w:r w:rsidR="0094392D" w:rsidRPr="005F4295">
        <w:rPr>
          <w:noProof/>
        </w:rPr>
        <w:t>his includes financial corrections applied by the Commission and Member States’ recoveries reported to and booked into the Commission’s accounting system</w:t>
      </w:r>
      <w:r w:rsidR="005010F6" w:rsidRPr="005F4295">
        <w:rPr>
          <w:rFonts w:ascii="Calibri" w:hAnsi="Calibri" w:cs="Calibri"/>
          <w:noProof/>
        </w:rPr>
        <w:t>.</w:t>
      </w:r>
      <w:r w:rsidR="0094392D" w:rsidRPr="005F4295" w:rsidDel="005010F6">
        <w:rPr>
          <w:noProof/>
        </w:rPr>
        <w:t xml:space="preserve"> </w:t>
      </w:r>
      <w:r w:rsidR="005010F6" w:rsidRPr="005F4295">
        <w:rPr>
          <w:noProof/>
        </w:rPr>
        <w:t>A</w:t>
      </w:r>
      <w:r w:rsidR="0094392D" w:rsidRPr="005F4295">
        <w:rPr>
          <w:noProof/>
        </w:rPr>
        <w:t xml:space="preserve"> financial correction is implemented when: (i) it is recorded in the Commission’s accounts; (ii) it is deducted from the amounts declared by the Member State in an interim, final payment claim or annual accounts; and (iii) the commitment appropriations corresponding to the financial correction amount have been cancelled. For the Member States’ recoveries, corrections are implemented when the Member States have issued the recovery orders (or equivalent) to the final beneficiaries and reported them accordingly to the Commission (DG Agriculture and Rural Development) in the updated ‘debtors ledger’ of year </w:t>
      </w:r>
      <w:r w:rsidR="0094392D" w:rsidRPr="005F4295">
        <w:rPr>
          <w:rStyle w:val="Italic"/>
        </w:rPr>
        <w:t>n</w:t>
      </w:r>
      <w:r w:rsidR="0094392D" w:rsidRPr="005F4295">
        <w:rPr>
          <w:noProof/>
        </w:rPr>
        <w:t xml:space="preserve"> (usually in February </w:t>
      </w:r>
      <w:r w:rsidR="0094392D" w:rsidRPr="005F4295">
        <w:rPr>
          <w:rStyle w:val="Italic"/>
        </w:rPr>
        <w:t>n</w:t>
      </w:r>
      <w:r w:rsidRPr="005F4295">
        <w:rPr>
          <w:rFonts w:ascii="Calibri" w:hAnsi="Calibri" w:cs="Calibri"/>
          <w:noProof/>
        </w:rPr>
        <w:t> </w:t>
      </w:r>
      <w:r w:rsidR="0094392D" w:rsidRPr="005F4295">
        <w:rPr>
          <w:noProof/>
        </w:rPr>
        <w:t>+</w:t>
      </w:r>
      <w:r w:rsidRPr="005F4295">
        <w:rPr>
          <w:rFonts w:ascii="Calibri" w:hAnsi="Calibri" w:cs="Calibri"/>
          <w:noProof/>
        </w:rPr>
        <w:t> </w:t>
      </w:r>
      <w:r w:rsidR="0094392D" w:rsidRPr="005F4295">
        <w:rPr>
          <w:noProof/>
        </w:rPr>
        <w:t>1).</w:t>
      </w:r>
    </w:p>
    <w:p w14:paraId="55FDB70C" w14:textId="02D48D62" w:rsidR="0094392D" w:rsidRPr="005F4295" w:rsidRDefault="00345163" w:rsidP="00757E87">
      <w:pPr>
        <w:pStyle w:val="ListBullet"/>
        <w:rPr>
          <w:noProof/>
        </w:rPr>
      </w:pPr>
      <w:r w:rsidRPr="005F4295">
        <w:rPr>
          <w:rStyle w:val="Bold"/>
        </w:rPr>
        <w:t>C</w:t>
      </w:r>
      <w:r w:rsidR="0094392D" w:rsidRPr="005F4295">
        <w:rPr>
          <w:rStyle w:val="Bold"/>
        </w:rPr>
        <w:t>ohesion</w:t>
      </w:r>
      <w:r w:rsidRPr="005F4295">
        <w:rPr>
          <w:rStyle w:val="Bold"/>
        </w:rPr>
        <w:t>.</w:t>
      </w:r>
      <w:r w:rsidR="0094392D" w:rsidRPr="005F4295">
        <w:rPr>
          <w:noProof/>
        </w:rPr>
        <w:t xml:space="preserve"> </w:t>
      </w:r>
      <w:r w:rsidRPr="005F4295">
        <w:rPr>
          <w:noProof/>
        </w:rPr>
        <w:t>T</w:t>
      </w:r>
      <w:r w:rsidR="0094392D" w:rsidRPr="005F4295">
        <w:rPr>
          <w:noProof/>
        </w:rPr>
        <w:t>he situation differs depending on the programming periods in question and not all data come from the Commission’s accounting system</w:t>
      </w:r>
      <w:r w:rsidR="006D74DC" w:rsidRPr="005F4295">
        <w:rPr>
          <w:noProof/>
        </w:rPr>
        <w:t>.</w:t>
      </w:r>
    </w:p>
    <w:p w14:paraId="016420D4" w14:textId="5BB0BF72" w:rsidR="0094392D" w:rsidRPr="005F4295" w:rsidRDefault="0094392D" w:rsidP="0094392D">
      <w:pPr>
        <w:pStyle w:val="ListBulletLevel2"/>
        <w:rPr>
          <w:noProof/>
        </w:rPr>
      </w:pPr>
      <w:r w:rsidRPr="005F4295">
        <w:rPr>
          <w:rStyle w:val="Bold"/>
        </w:rPr>
        <w:t>Pre-2014 programmes.</w:t>
      </w:r>
      <w:r w:rsidRPr="005F4295">
        <w:rPr>
          <w:noProof/>
        </w:rPr>
        <w:t xml:space="preserve"> I</w:t>
      </w:r>
      <w:r w:rsidR="006D74DC" w:rsidRPr="005F4295">
        <w:rPr>
          <w:noProof/>
        </w:rPr>
        <w:t>f</w:t>
      </w:r>
      <w:r w:rsidRPr="005F4295">
        <w:rPr>
          <w:noProof/>
        </w:rPr>
        <w:t xml:space="preserve"> no financial transaction will take place at the closure of the programme, a correction is implemented by the Commission when it has been applied and included in the pre-closure/closure letter accepted by the Member State.</w:t>
      </w:r>
    </w:p>
    <w:p w14:paraId="40FEAE10" w14:textId="632D96B0" w:rsidR="0094392D" w:rsidRPr="005F4295" w:rsidRDefault="0094392D" w:rsidP="0094392D">
      <w:pPr>
        <w:pStyle w:val="ListBulletLevel2"/>
        <w:rPr>
          <w:noProof/>
        </w:rPr>
      </w:pPr>
      <w:r w:rsidRPr="005F4295">
        <w:rPr>
          <w:rStyle w:val="Bold"/>
        </w:rPr>
        <w:t>Post-2014 programmes.</w:t>
      </w:r>
      <w:r w:rsidRPr="005F4295">
        <w:rPr>
          <w:noProof/>
        </w:rPr>
        <w:t xml:space="preserve"> All corrections are implemented by Member States. The amounts are obtained from the assurance packages submitted to the Commission.</w:t>
      </w:r>
    </w:p>
    <w:p w14:paraId="3F0D2AD3" w14:textId="658ACE87" w:rsidR="00EB70E0" w:rsidRPr="005F4295" w:rsidRDefault="00EB70E0" w:rsidP="00EB70E0">
      <w:pPr>
        <w:rPr>
          <w:noProof/>
          <w:highlight w:val="lightGray"/>
        </w:rPr>
      </w:pPr>
      <w:r w:rsidRPr="005F4295">
        <w:rPr>
          <w:noProof/>
        </w:rPr>
        <w:t>Table</w:t>
      </w:r>
      <w:r w:rsidRPr="005F4295">
        <w:rPr>
          <w:rFonts w:ascii="Calibri" w:hAnsi="Calibri" w:cs="Calibri"/>
          <w:noProof/>
        </w:rPr>
        <w:t> </w:t>
      </w:r>
      <w:r w:rsidRPr="005F4295">
        <w:rPr>
          <w:rFonts w:cs="Calibri"/>
          <w:noProof/>
        </w:rPr>
        <w:t>G</w:t>
      </w:r>
      <w:r w:rsidRPr="005F4295" w:rsidDel="00243D19">
        <w:rPr>
          <w:noProof/>
        </w:rPr>
        <w:t xml:space="preserve"> </w:t>
      </w:r>
      <w:r w:rsidRPr="005F4295">
        <w:rPr>
          <w:noProof/>
        </w:rPr>
        <w:t>provides a complete overview of all the preventive and corrective measures implemented in 202</w:t>
      </w:r>
      <w:r w:rsidR="004930AC" w:rsidRPr="005F4295">
        <w:rPr>
          <w:noProof/>
        </w:rPr>
        <w:t>5</w:t>
      </w:r>
      <w:r w:rsidRPr="005F4295">
        <w:rPr>
          <w:noProof/>
        </w:rPr>
        <w:t xml:space="preserve"> by the Commission and the Member States to protect the EU budget</w:t>
      </w:r>
      <w:r w:rsidR="004202CB" w:rsidRPr="005F4295">
        <w:rPr>
          <w:noProof/>
        </w:rPr>
        <w:t>,</w:t>
      </w:r>
      <w:r w:rsidRPr="005F4295">
        <w:rPr>
          <w:noProof/>
        </w:rPr>
        <w:t xml:space="preserve"> irrespective of the year in which the initial expenditure was made.</w:t>
      </w:r>
      <w:r w:rsidR="0094392D" w:rsidRPr="005F4295">
        <w:rPr>
          <w:noProof/>
        </w:rPr>
        <w:t xml:space="preserve"> </w:t>
      </w:r>
    </w:p>
    <w:p w14:paraId="7730C461" w14:textId="77777777" w:rsidR="00EB70E0" w:rsidRPr="005F4295" w:rsidRDefault="00EB70E0" w:rsidP="00EB70E0">
      <w:pPr>
        <w:rPr>
          <w:noProof/>
          <w:highlight w:val="lightGray"/>
        </w:rPr>
        <w:sectPr w:rsidR="00EB70E0" w:rsidRPr="005F4295" w:rsidSect="00245F91">
          <w:headerReference w:type="even" r:id="rId49"/>
          <w:headerReference w:type="default" r:id="rId50"/>
          <w:footerReference w:type="even" r:id="rId51"/>
          <w:footerReference w:type="default" r:id="rId52"/>
          <w:headerReference w:type="first" r:id="rId53"/>
          <w:footerReference w:type="first" r:id="rId54"/>
          <w:endnotePr>
            <w:pos w:val="sectEnd"/>
            <w:numFmt w:val="lowerLetter"/>
          </w:endnotePr>
          <w:pgSz w:w="11907" w:h="16839" w:code="9"/>
          <w:pgMar w:top="1418" w:right="1418" w:bottom="1418" w:left="1418" w:header="680" w:footer="567" w:gutter="0"/>
          <w:cols w:space="720"/>
          <w:docGrid w:linePitch="272"/>
        </w:sectPr>
      </w:pPr>
    </w:p>
    <w:p w14:paraId="24EAB460" w14:textId="17B6B162" w:rsidR="00EB70E0" w:rsidRPr="005F4295" w:rsidRDefault="00EB70E0" w:rsidP="00EB70E0">
      <w:pPr>
        <w:pStyle w:val="TableTitle"/>
        <w:spacing w:before="0"/>
        <w:rPr>
          <w:noProof/>
        </w:rPr>
      </w:pPr>
      <w:r w:rsidRPr="005F4295">
        <w:rPr>
          <w:noProof/>
        </w:rPr>
        <w:t>Table</w:t>
      </w:r>
      <w:r w:rsidRPr="005F4295">
        <w:rPr>
          <w:rFonts w:ascii="Calibri" w:hAnsi="Calibri" w:cs="Calibri"/>
          <w:noProof/>
        </w:rPr>
        <w:t> </w:t>
      </w:r>
      <w:r w:rsidRPr="005F4295">
        <w:rPr>
          <w:rFonts w:cs="Calibri"/>
          <w:noProof/>
        </w:rPr>
        <w:t>G</w:t>
      </w:r>
      <w:r w:rsidRPr="005F4295">
        <w:rPr>
          <w:rFonts w:ascii="Calibri" w:hAnsi="Calibri" w:cs="Calibri"/>
          <w:noProof/>
        </w:rPr>
        <w:t> </w:t>
      </w:r>
      <w:r w:rsidRPr="005F4295">
        <w:rPr>
          <w:rFonts w:cs="EC Square Sans Pro"/>
          <w:noProof/>
        </w:rPr>
        <w:t>–</w:t>
      </w:r>
      <w:r w:rsidRPr="005F4295">
        <w:rPr>
          <w:rFonts w:cs="Calibri"/>
          <w:noProof/>
        </w:rPr>
        <w:t xml:space="preserve"> </w:t>
      </w:r>
      <w:r w:rsidRPr="005F4295">
        <w:rPr>
          <w:noProof/>
        </w:rPr>
        <w:t xml:space="preserve">Overview of the preventive and corrective measures resulting from the controls </w:t>
      </w:r>
      <w:r w:rsidR="005E6228" w:rsidRPr="005F4295">
        <w:rPr>
          <w:noProof/>
        </w:rPr>
        <w:br/>
      </w:r>
      <w:r w:rsidRPr="005F4295">
        <w:rPr>
          <w:noProof/>
        </w:rPr>
        <w:t>of the Commission and of the Member States</w:t>
      </w:r>
      <w:r w:rsidR="00E42A92" w:rsidRPr="005F4295">
        <w:rPr>
          <w:noProof/>
        </w:rPr>
        <w:t>,</w:t>
      </w:r>
      <w:r w:rsidRPr="005F4295">
        <w:rPr>
          <w:noProof/>
        </w:rPr>
        <w:t xml:space="preserve"> amounts implemented in </w:t>
      </w:r>
      <w:r w:rsidR="002F0863" w:rsidRPr="005F4295">
        <w:rPr>
          <w:noProof/>
        </w:rPr>
        <w:t xml:space="preserve">2025 </w:t>
      </w:r>
      <w:r w:rsidRPr="005F4295">
        <w:rPr>
          <w:noProof/>
        </w:rPr>
        <w:t>(million</w:t>
      </w:r>
      <w:r w:rsidR="00623456" w:rsidRPr="005F4295">
        <w:rPr>
          <w:rFonts w:ascii="Calibri" w:hAnsi="Calibri" w:cs="Calibri"/>
          <w:noProof/>
        </w:rPr>
        <w:t xml:space="preserve"> </w:t>
      </w:r>
      <w:r w:rsidRPr="005F4295">
        <w:rPr>
          <w:noProof/>
        </w:rPr>
        <w:t>EUR)</w:t>
      </w:r>
      <w:r w:rsidR="00D22E8D" w:rsidRPr="005F4295">
        <w:rPr>
          <w:noProof/>
        </w:rPr>
        <w:br/>
      </w:r>
    </w:p>
    <w:tbl>
      <w:tblPr>
        <w:tblStyle w:val="BodyTable2"/>
        <w:tblW w:w="9385" w:type="dxa"/>
        <w:tblLayout w:type="fixed"/>
        <w:tblCellMar>
          <w:left w:w="57" w:type="dxa"/>
          <w:right w:w="57" w:type="dxa"/>
        </w:tblCellMar>
        <w:tblLook w:val="04E0" w:firstRow="1" w:lastRow="1" w:firstColumn="1" w:lastColumn="0" w:noHBand="0" w:noVBand="1"/>
      </w:tblPr>
      <w:tblGrid>
        <w:gridCol w:w="1678"/>
        <w:gridCol w:w="874"/>
        <w:gridCol w:w="850"/>
        <w:gridCol w:w="826"/>
        <w:gridCol w:w="1017"/>
        <w:gridCol w:w="851"/>
        <w:gridCol w:w="850"/>
        <w:gridCol w:w="682"/>
        <w:gridCol w:w="850"/>
        <w:gridCol w:w="907"/>
      </w:tblGrid>
      <w:tr w:rsidR="00EB70E0" w:rsidRPr="005F4295" w14:paraId="5302FCCC" w14:textId="77777777" w:rsidTr="000F5090">
        <w:trPr>
          <w:cnfStyle w:val="100000000000" w:firstRow="1" w:lastRow="0" w:firstColumn="0" w:lastColumn="0" w:oddVBand="0" w:evenVBand="0" w:oddHBand="0" w:evenHBand="0" w:firstRowFirstColumn="0" w:firstRowLastColumn="0" w:lastRowFirstColumn="0" w:lastRowLastColumn="0"/>
          <w:trHeight w:val="240"/>
          <w:tblHeader/>
        </w:trPr>
        <w:tc>
          <w:tcPr>
            <w:cnfStyle w:val="001000000000" w:firstRow="0" w:lastRow="0" w:firstColumn="1" w:lastColumn="0" w:oddVBand="0" w:evenVBand="0" w:oddHBand="0" w:evenHBand="0" w:firstRowFirstColumn="0" w:firstRowLastColumn="0" w:lastRowFirstColumn="0" w:lastRowLastColumn="0"/>
            <w:tcW w:w="1678" w:type="dxa"/>
            <w:vMerge w:val="restart"/>
            <w:vAlign w:val="center"/>
            <w:hideMark/>
          </w:tcPr>
          <w:p w14:paraId="5B169985" w14:textId="77777777" w:rsidR="00EB70E0" w:rsidRPr="005F4295" w:rsidRDefault="00EB70E0">
            <w:pPr>
              <w:suppressAutoHyphens w:val="0"/>
              <w:spacing w:before="20" w:after="20" w:line="240" w:lineRule="auto"/>
              <w:rPr>
                <w:noProof/>
                <w:sz w:val="16"/>
                <w:szCs w:val="16"/>
              </w:rPr>
            </w:pPr>
            <w:r w:rsidRPr="005F4295">
              <w:rPr>
                <w:noProof/>
                <w:sz w:val="16"/>
                <w:szCs w:val="16"/>
              </w:rPr>
              <w:t>Multiannual financial framework heading</w:t>
            </w:r>
          </w:p>
        </w:tc>
        <w:tc>
          <w:tcPr>
            <w:tcW w:w="2550" w:type="dxa"/>
            <w:gridSpan w:val="3"/>
            <w:noWrap/>
            <w:vAlign w:val="center"/>
            <w:hideMark/>
          </w:tcPr>
          <w:p w14:paraId="0D0C6A92"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Preventive</w:t>
            </w:r>
          </w:p>
        </w:tc>
        <w:tc>
          <w:tcPr>
            <w:tcW w:w="1017" w:type="dxa"/>
            <w:vMerge w:val="restart"/>
            <w:vAlign w:val="center"/>
            <w:hideMark/>
          </w:tcPr>
          <w:p w14:paraId="3061220E" w14:textId="05A6DA0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b w:val="0"/>
                <w:noProof/>
                <w:sz w:val="16"/>
                <w:szCs w:val="16"/>
              </w:rPr>
            </w:pPr>
            <w:r w:rsidRPr="005F4295">
              <w:rPr>
                <w:noProof/>
                <w:sz w:val="16"/>
                <w:szCs w:val="16"/>
              </w:rPr>
              <w:t>Relevant</w:t>
            </w:r>
          </w:p>
          <w:p w14:paraId="196443B6"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expenditure</w:t>
            </w:r>
          </w:p>
        </w:tc>
        <w:tc>
          <w:tcPr>
            <w:tcW w:w="2383" w:type="dxa"/>
            <w:gridSpan w:val="3"/>
            <w:noWrap/>
            <w:vAlign w:val="center"/>
            <w:hideMark/>
          </w:tcPr>
          <w:p w14:paraId="368661AD"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Corrective</w:t>
            </w:r>
          </w:p>
        </w:tc>
        <w:tc>
          <w:tcPr>
            <w:tcW w:w="850" w:type="dxa"/>
            <w:vMerge w:val="restart"/>
            <w:vAlign w:val="center"/>
            <w:hideMark/>
          </w:tcPr>
          <w:p w14:paraId="5C5E0B67"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 of</w:t>
            </w:r>
            <w:r w:rsidRPr="005F4295" w:rsidDel="00B4160D">
              <w:rPr>
                <w:noProof/>
                <w:sz w:val="16"/>
                <w:szCs w:val="16"/>
              </w:rPr>
              <w:t xml:space="preserve"> </w:t>
            </w:r>
            <w:r w:rsidRPr="005F4295">
              <w:rPr>
                <w:noProof/>
                <w:sz w:val="16"/>
                <w:szCs w:val="16"/>
              </w:rPr>
              <w:t>relevant expenditure</w:t>
            </w:r>
          </w:p>
        </w:tc>
        <w:tc>
          <w:tcPr>
            <w:tcW w:w="907" w:type="dxa"/>
            <w:vMerge w:val="restart"/>
            <w:vAlign w:val="center"/>
            <w:hideMark/>
          </w:tcPr>
          <w:p w14:paraId="1EE85B4B"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Preventive and corrective total</w:t>
            </w:r>
          </w:p>
        </w:tc>
      </w:tr>
      <w:tr w:rsidR="009265B3" w:rsidRPr="005F4295" w14:paraId="66C9D0B7" w14:textId="77777777" w:rsidTr="00352C6F">
        <w:trPr>
          <w:cnfStyle w:val="100000000000" w:firstRow="1" w:lastRow="0" w:firstColumn="0" w:lastColumn="0" w:oddVBand="0" w:evenVBand="0" w:oddHBand="0" w:evenHBand="0" w:firstRowFirstColumn="0" w:firstRowLastColumn="0" w:lastRowFirstColumn="0" w:lastRowLastColumn="0"/>
          <w:trHeight w:val="534"/>
          <w:tblHeader/>
        </w:trPr>
        <w:tc>
          <w:tcPr>
            <w:cnfStyle w:val="001000000000" w:firstRow="0" w:lastRow="0" w:firstColumn="1" w:lastColumn="0" w:oddVBand="0" w:evenVBand="0" w:oddHBand="0" w:evenHBand="0" w:firstRowFirstColumn="0" w:firstRowLastColumn="0" w:lastRowFirstColumn="0" w:lastRowLastColumn="0"/>
            <w:tcW w:w="0" w:type="dxa"/>
            <w:vMerge/>
            <w:vAlign w:val="center"/>
            <w:hideMark/>
          </w:tcPr>
          <w:p w14:paraId="34A912EC" w14:textId="77777777" w:rsidR="00EB70E0" w:rsidRPr="005F4295" w:rsidRDefault="00EB70E0">
            <w:pPr>
              <w:suppressAutoHyphens w:val="0"/>
              <w:spacing w:before="20" w:after="20" w:line="240" w:lineRule="auto"/>
              <w:rPr>
                <w:noProof/>
                <w:sz w:val="16"/>
                <w:szCs w:val="16"/>
              </w:rPr>
            </w:pPr>
          </w:p>
        </w:tc>
        <w:tc>
          <w:tcPr>
            <w:tcW w:w="0" w:type="dxa"/>
            <w:vAlign w:val="center"/>
            <w:hideMark/>
          </w:tcPr>
          <w:p w14:paraId="5547C864"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Member State controls</w:t>
            </w:r>
          </w:p>
        </w:tc>
        <w:tc>
          <w:tcPr>
            <w:tcW w:w="0" w:type="dxa"/>
            <w:vAlign w:val="center"/>
            <w:hideMark/>
          </w:tcPr>
          <w:p w14:paraId="3DDF8A4E"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EU controls</w:t>
            </w:r>
          </w:p>
        </w:tc>
        <w:tc>
          <w:tcPr>
            <w:tcW w:w="0" w:type="dxa"/>
            <w:noWrap/>
            <w:vAlign w:val="center"/>
            <w:hideMark/>
          </w:tcPr>
          <w:p w14:paraId="43C9B458"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Total</w:t>
            </w:r>
          </w:p>
        </w:tc>
        <w:tc>
          <w:tcPr>
            <w:tcW w:w="0" w:type="dxa"/>
            <w:vMerge/>
            <w:vAlign w:val="center"/>
            <w:hideMark/>
          </w:tcPr>
          <w:p w14:paraId="2C185DED"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p>
        </w:tc>
        <w:tc>
          <w:tcPr>
            <w:tcW w:w="0" w:type="dxa"/>
            <w:vAlign w:val="center"/>
            <w:hideMark/>
          </w:tcPr>
          <w:p w14:paraId="3DD80B4A"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Member State controls</w:t>
            </w:r>
          </w:p>
        </w:tc>
        <w:tc>
          <w:tcPr>
            <w:tcW w:w="850" w:type="dxa"/>
            <w:vAlign w:val="center"/>
            <w:hideMark/>
          </w:tcPr>
          <w:p w14:paraId="2435E695"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EU controls</w:t>
            </w:r>
          </w:p>
        </w:tc>
        <w:tc>
          <w:tcPr>
            <w:tcW w:w="682" w:type="dxa"/>
            <w:noWrap/>
            <w:vAlign w:val="center"/>
            <w:hideMark/>
          </w:tcPr>
          <w:p w14:paraId="42DBADA8"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Total</w:t>
            </w:r>
          </w:p>
        </w:tc>
        <w:tc>
          <w:tcPr>
            <w:tcW w:w="0" w:type="dxa"/>
            <w:vMerge/>
            <w:vAlign w:val="center"/>
            <w:hideMark/>
          </w:tcPr>
          <w:p w14:paraId="00A1E379"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p>
        </w:tc>
        <w:tc>
          <w:tcPr>
            <w:tcW w:w="0" w:type="dxa"/>
            <w:vMerge/>
            <w:vAlign w:val="center"/>
            <w:hideMark/>
          </w:tcPr>
          <w:p w14:paraId="5DA03979"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p>
        </w:tc>
      </w:tr>
      <w:tr w:rsidR="009265B3" w:rsidRPr="005F4295" w14:paraId="63EFC7EE" w14:textId="77777777" w:rsidTr="00352C6F">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0" w:type="dxa"/>
            <w:vMerge/>
            <w:tcBorders>
              <w:bottom w:val="single" w:sz="4" w:space="0" w:color="8C8C8C"/>
            </w:tcBorders>
            <w:vAlign w:val="center"/>
            <w:hideMark/>
          </w:tcPr>
          <w:p w14:paraId="6758E826" w14:textId="77777777" w:rsidR="00EB70E0" w:rsidRPr="005F4295" w:rsidRDefault="00EB70E0">
            <w:pPr>
              <w:suppressAutoHyphens w:val="0"/>
              <w:spacing w:before="20" w:after="20" w:line="240" w:lineRule="auto"/>
              <w:rPr>
                <w:noProof/>
                <w:sz w:val="16"/>
                <w:szCs w:val="16"/>
              </w:rPr>
            </w:pPr>
          </w:p>
        </w:tc>
        <w:tc>
          <w:tcPr>
            <w:tcW w:w="0" w:type="dxa"/>
            <w:tcBorders>
              <w:bottom w:val="single" w:sz="4" w:space="0" w:color="8C8C8C"/>
            </w:tcBorders>
            <w:noWrap/>
            <w:vAlign w:val="center"/>
            <w:hideMark/>
          </w:tcPr>
          <w:p w14:paraId="58CEFAAE"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(a)</w:t>
            </w:r>
          </w:p>
        </w:tc>
        <w:tc>
          <w:tcPr>
            <w:tcW w:w="0" w:type="dxa"/>
            <w:tcBorders>
              <w:bottom w:val="single" w:sz="4" w:space="0" w:color="8C8C8C"/>
            </w:tcBorders>
            <w:noWrap/>
            <w:vAlign w:val="center"/>
            <w:hideMark/>
          </w:tcPr>
          <w:p w14:paraId="1773CF3D"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(b)</w:t>
            </w:r>
          </w:p>
        </w:tc>
        <w:tc>
          <w:tcPr>
            <w:tcW w:w="0" w:type="dxa"/>
            <w:tcBorders>
              <w:bottom w:val="single" w:sz="4" w:space="0" w:color="8C8C8C"/>
            </w:tcBorders>
            <w:noWrap/>
            <w:vAlign w:val="center"/>
            <w:hideMark/>
          </w:tcPr>
          <w:p w14:paraId="50E20B76"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(c)</w:t>
            </w:r>
            <w:r w:rsidRPr="005F4295">
              <w:rPr>
                <w:rFonts w:ascii="Calibri" w:hAnsi="Calibri" w:cs="Calibri"/>
                <w:noProof/>
                <w:sz w:val="16"/>
                <w:szCs w:val="16"/>
              </w:rPr>
              <w:t> </w:t>
            </w:r>
            <w:r w:rsidRPr="005F4295">
              <w:rPr>
                <w:noProof/>
                <w:sz w:val="16"/>
                <w:szCs w:val="16"/>
              </w:rPr>
              <w:t>=</w:t>
            </w:r>
            <w:r w:rsidRPr="005F4295">
              <w:rPr>
                <w:rFonts w:ascii="Calibri" w:hAnsi="Calibri" w:cs="Calibri"/>
                <w:noProof/>
                <w:sz w:val="16"/>
                <w:szCs w:val="16"/>
              </w:rPr>
              <w:t> </w:t>
            </w:r>
            <w:r w:rsidRPr="005F4295" w:rsidDel="00EB6EFF">
              <w:rPr>
                <w:rFonts w:cs="Calibri"/>
                <w:noProof/>
                <w:sz w:val="16"/>
                <w:szCs w:val="16"/>
              </w:rPr>
              <w:br/>
            </w:r>
            <w:r w:rsidRPr="005F4295">
              <w:rPr>
                <w:noProof/>
                <w:sz w:val="16"/>
                <w:szCs w:val="16"/>
              </w:rPr>
              <w:t>(a)</w:t>
            </w:r>
            <w:r w:rsidRPr="005F4295">
              <w:rPr>
                <w:rFonts w:ascii="Calibri" w:hAnsi="Calibri" w:cs="Calibri"/>
                <w:noProof/>
                <w:sz w:val="16"/>
                <w:szCs w:val="16"/>
              </w:rPr>
              <w:t> </w:t>
            </w:r>
            <w:r w:rsidRPr="005F4295">
              <w:rPr>
                <w:noProof/>
                <w:sz w:val="16"/>
                <w:szCs w:val="16"/>
              </w:rPr>
              <w:t>+</w:t>
            </w:r>
            <w:r w:rsidRPr="005F4295">
              <w:rPr>
                <w:rFonts w:ascii="Calibri" w:hAnsi="Calibri" w:cs="Calibri"/>
                <w:noProof/>
                <w:sz w:val="16"/>
                <w:szCs w:val="16"/>
              </w:rPr>
              <w:t> </w:t>
            </w:r>
            <w:r w:rsidRPr="005F4295">
              <w:rPr>
                <w:noProof/>
                <w:sz w:val="16"/>
                <w:szCs w:val="16"/>
              </w:rPr>
              <w:t>(b)</w:t>
            </w:r>
          </w:p>
        </w:tc>
        <w:tc>
          <w:tcPr>
            <w:tcW w:w="0" w:type="dxa"/>
            <w:tcBorders>
              <w:bottom w:val="single" w:sz="4" w:space="0" w:color="8C8C8C"/>
            </w:tcBorders>
            <w:noWrap/>
            <w:vAlign w:val="center"/>
            <w:hideMark/>
          </w:tcPr>
          <w:p w14:paraId="0ADE7F78"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(d)</w:t>
            </w:r>
          </w:p>
        </w:tc>
        <w:tc>
          <w:tcPr>
            <w:tcW w:w="0" w:type="dxa"/>
            <w:tcBorders>
              <w:bottom w:val="single" w:sz="4" w:space="0" w:color="8C8C8C"/>
            </w:tcBorders>
            <w:noWrap/>
            <w:vAlign w:val="center"/>
            <w:hideMark/>
          </w:tcPr>
          <w:p w14:paraId="14CCCAA8"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(c)</w:t>
            </w:r>
          </w:p>
        </w:tc>
        <w:tc>
          <w:tcPr>
            <w:tcW w:w="850" w:type="dxa"/>
            <w:tcBorders>
              <w:bottom w:val="single" w:sz="4" w:space="0" w:color="8C8C8C"/>
            </w:tcBorders>
            <w:noWrap/>
            <w:vAlign w:val="center"/>
            <w:hideMark/>
          </w:tcPr>
          <w:p w14:paraId="0F873B04"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(f)</w:t>
            </w:r>
          </w:p>
        </w:tc>
        <w:tc>
          <w:tcPr>
            <w:tcW w:w="682" w:type="dxa"/>
            <w:tcBorders>
              <w:bottom w:val="single" w:sz="4" w:space="0" w:color="8C8C8C"/>
            </w:tcBorders>
            <w:noWrap/>
            <w:vAlign w:val="center"/>
            <w:hideMark/>
          </w:tcPr>
          <w:p w14:paraId="51EFD3D5" w14:textId="5990C408"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(g)</w:t>
            </w:r>
            <w:r w:rsidRPr="005F4295">
              <w:rPr>
                <w:rFonts w:ascii="Calibri" w:hAnsi="Calibri" w:cs="Calibri"/>
                <w:noProof/>
                <w:sz w:val="16"/>
                <w:szCs w:val="16"/>
              </w:rPr>
              <w:t> </w:t>
            </w:r>
            <w:r w:rsidRPr="005F4295">
              <w:rPr>
                <w:noProof/>
                <w:sz w:val="16"/>
                <w:szCs w:val="16"/>
              </w:rPr>
              <w:t>=</w:t>
            </w:r>
            <w:r w:rsidR="003D5943">
              <w:rPr>
                <w:rFonts w:ascii="Calibri" w:hAnsi="Calibri" w:cs="Calibri"/>
                <w:noProof/>
                <w:sz w:val="16"/>
                <w:szCs w:val="16"/>
              </w:rPr>
              <w:t xml:space="preserve"> </w:t>
            </w:r>
            <w:r w:rsidRPr="005F4295">
              <w:rPr>
                <w:noProof/>
                <w:sz w:val="16"/>
                <w:szCs w:val="16"/>
              </w:rPr>
              <w:t>(c)</w:t>
            </w:r>
            <w:r w:rsidR="003D5943">
              <w:rPr>
                <w:rFonts w:ascii="Calibri" w:hAnsi="Calibri" w:cs="Calibri"/>
                <w:noProof/>
                <w:sz w:val="16"/>
                <w:szCs w:val="16"/>
              </w:rPr>
              <w:t> </w:t>
            </w:r>
            <w:r w:rsidRPr="005F4295">
              <w:rPr>
                <w:noProof/>
                <w:sz w:val="16"/>
                <w:szCs w:val="16"/>
              </w:rPr>
              <w:t>+</w:t>
            </w:r>
            <w:r w:rsidR="003D5943">
              <w:rPr>
                <w:rFonts w:ascii="Calibri" w:hAnsi="Calibri" w:cs="Calibri"/>
                <w:noProof/>
                <w:sz w:val="16"/>
                <w:szCs w:val="16"/>
              </w:rPr>
              <w:t> </w:t>
            </w:r>
            <w:r w:rsidRPr="005F4295">
              <w:rPr>
                <w:noProof/>
                <w:sz w:val="16"/>
                <w:szCs w:val="16"/>
              </w:rPr>
              <w:t>(f)</w:t>
            </w:r>
          </w:p>
        </w:tc>
        <w:tc>
          <w:tcPr>
            <w:tcW w:w="0" w:type="dxa"/>
            <w:tcBorders>
              <w:bottom w:val="single" w:sz="4" w:space="0" w:color="8C8C8C"/>
            </w:tcBorders>
            <w:noWrap/>
            <w:vAlign w:val="center"/>
            <w:hideMark/>
          </w:tcPr>
          <w:p w14:paraId="789E61E0"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(h)</w:t>
            </w:r>
            <w:r w:rsidRPr="005F4295">
              <w:rPr>
                <w:rFonts w:ascii="Calibri" w:hAnsi="Calibri" w:cs="Calibri"/>
                <w:noProof/>
                <w:sz w:val="16"/>
                <w:szCs w:val="16"/>
              </w:rPr>
              <w:t> </w:t>
            </w:r>
            <w:r w:rsidRPr="005F4295">
              <w:rPr>
                <w:noProof/>
                <w:sz w:val="16"/>
                <w:szCs w:val="16"/>
              </w:rPr>
              <w:t>=</w:t>
            </w:r>
            <w:r w:rsidRPr="005F4295">
              <w:rPr>
                <w:rFonts w:ascii="Calibri" w:hAnsi="Calibri" w:cs="Calibri"/>
                <w:noProof/>
                <w:sz w:val="16"/>
                <w:szCs w:val="16"/>
              </w:rPr>
              <w:t> </w:t>
            </w:r>
            <w:r w:rsidRPr="005F4295" w:rsidDel="00A90064">
              <w:rPr>
                <w:rFonts w:cs="Calibri"/>
                <w:noProof/>
                <w:sz w:val="16"/>
                <w:szCs w:val="16"/>
              </w:rPr>
              <w:br/>
            </w:r>
            <w:r w:rsidRPr="005F4295">
              <w:rPr>
                <w:noProof/>
                <w:sz w:val="16"/>
                <w:szCs w:val="16"/>
              </w:rPr>
              <w:t>(g)</w:t>
            </w:r>
            <w:r w:rsidRPr="005F4295">
              <w:rPr>
                <w:rFonts w:ascii="Calibri" w:hAnsi="Calibri" w:cs="Calibri"/>
                <w:noProof/>
                <w:sz w:val="16"/>
                <w:szCs w:val="16"/>
              </w:rPr>
              <w:t> </w:t>
            </w:r>
            <w:r w:rsidRPr="005F4295">
              <w:rPr>
                <w:noProof/>
                <w:sz w:val="16"/>
                <w:szCs w:val="16"/>
              </w:rPr>
              <w:t>/</w:t>
            </w:r>
            <w:r w:rsidRPr="005F4295">
              <w:rPr>
                <w:rFonts w:ascii="Calibri" w:hAnsi="Calibri" w:cs="Calibri"/>
                <w:noProof/>
                <w:sz w:val="16"/>
                <w:szCs w:val="16"/>
              </w:rPr>
              <w:t> </w:t>
            </w:r>
            <w:r w:rsidRPr="005F4295">
              <w:rPr>
                <w:noProof/>
                <w:sz w:val="16"/>
                <w:szCs w:val="16"/>
              </w:rPr>
              <w:t>(d)</w:t>
            </w:r>
          </w:p>
        </w:tc>
        <w:tc>
          <w:tcPr>
            <w:tcW w:w="0" w:type="dxa"/>
            <w:tcBorders>
              <w:bottom w:val="single" w:sz="4" w:space="0" w:color="8C8C8C"/>
            </w:tcBorders>
            <w:noWrap/>
            <w:vAlign w:val="center"/>
            <w:hideMark/>
          </w:tcPr>
          <w:p w14:paraId="6F1DC3DC" w14:textId="77777777" w:rsidR="00EB70E0" w:rsidRPr="005F4295" w:rsidRDefault="00EB70E0">
            <w:pPr>
              <w:suppressAutoHyphens w:val="0"/>
              <w:spacing w:before="20" w:after="20" w:line="240" w:lineRule="auto"/>
              <w:cnfStyle w:val="100000000000" w:firstRow="1" w:lastRow="0" w:firstColumn="0" w:lastColumn="0" w:oddVBand="0" w:evenVBand="0" w:oddHBand="0" w:evenHBand="0" w:firstRowFirstColumn="0" w:firstRowLastColumn="0" w:lastRowFirstColumn="0" w:lastRowLastColumn="0"/>
              <w:rPr>
                <w:noProof/>
                <w:sz w:val="16"/>
                <w:szCs w:val="16"/>
              </w:rPr>
            </w:pPr>
            <w:r w:rsidRPr="005F4295">
              <w:rPr>
                <w:noProof/>
                <w:sz w:val="16"/>
                <w:szCs w:val="16"/>
              </w:rPr>
              <w:t>(i)</w:t>
            </w:r>
            <w:r w:rsidRPr="005F4295">
              <w:rPr>
                <w:rFonts w:ascii="Calibri" w:hAnsi="Calibri" w:cs="Calibri"/>
                <w:noProof/>
                <w:sz w:val="16"/>
                <w:szCs w:val="16"/>
              </w:rPr>
              <w:t> </w:t>
            </w:r>
            <w:r w:rsidRPr="005F4295">
              <w:rPr>
                <w:noProof/>
                <w:sz w:val="16"/>
                <w:szCs w:val="16"/>
              </w:rPr>
              <w:t>=</w:t>
            </w:r>
            <w:r w:rsidRPr="005F4295">
              <w:rPr>
                <w:rFonts w:ascii="Calibri" w:hAnsi="Calibri" w:cs="Calibri"/>
                <w:noProof/>
                <w:sz w:val="16"/>
                <w:szCs w:val="16"/>
              </w:rPr>
              <w:t> </w:t>
            </w:r>
            <w:r w:rsidRPr="005F4295" w:rsidDel="00A90064">
              <w:rPr>
                <w:rFonts w:cs="Calibri"/>
                <w:noProof/>
                <w:sz w:val="16"/>
                <w:szCs w:val="16"/>
              </w:rPr>
              <w:br/>
            </w:r>
            <w:r w:rsidRPr="005F4295">
              <w:rPr>
                <w:noProof/>
                <w:sz w:val="16"/>
                <w:szCs w:val="16"/>
              </w:rPr>
              <w:t>(c)</w:t>
            </w:r>
            <w:r w:rsidRPr="005F4295">
              <w:rPr>
                <w:rFonts w:ascii="Calibri" w:hAnsi="Calibri" w:cs="Calibri"/>
                <w:noProof/>
                <w:sz w:val="16"/>
                <w:szCs w:val="16"/>
              </w:rPr>
              <w:t> </w:t>
            </w:r>
            <w:r w:rsidRPr="005F4295">
              <w:rPr>
                <w:noProof/>
                <w:sz w:val="16"/>
                <w:szCs w:val="16"/>
              </w:rPr>
              <w:t>+</w:t>
            </w:r>
            <w:r w:rsidRPr="005F4295">
              <w:rPr>
                <w:rFonts w:ascii="Calibri" w:hAnsi="Calibri" w:cs="Calibri"/>
                <w:noProof/>
                <w:sz w:val="16"/>
                <w:szCs w:val="16"/>
              </w:rPr>
              <w:t> </w:t>
            </w:r>
            <w:r w:rsidRPr="005F4295" w:rsidDel="00A90064">
              <w:rPr>
                <w:noProof/>
                <w:sz w:val="16"/>
                <w:szCs w:val="16"/>
              </w:rPr>
              <w:t>(</w:t>
            </w:r>
            <w:r w:rsidRPr="005F4295">
              <w:rPr>
                <w:noProof/>
                <w:sz w:val="16"/>
                <w:szCs w:val="16"/>
              </w:rPr>
              <w:t>g)</w:t>
            </w:r>
          </w:p>
        </w:tc>
      </w:tr>
      <w:tr w:rsidR="009265B3" w:rsidRPr="005F4295" w14:paraId="1783C18A" w14:textId="77777777" w:rsidTr="00E70DB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7F7F7F" w:themeColor="text1" w:themeTint="80"/>
              <w:right w:val="single" w:sz="4" w:space="0" w:color="7F7F7F" w:themeColor="text1" w:themeTint="80"/>
            </w:tcBorders>
            <w:vAlign w:val="center"/>
            <w:hideMark/>
          </w:tcPr>
          <w:p w14:paraId="00D5DCCB" w14:textId="49171C91" w:rsidR="004642CA" w:rsidRPr="005F4295" w:rsidRDefault="004642CA" w:rsidP="004642CA">
            <w:pPr>
              <w:rPr>
                <w:b w:val="0"/>
                <w:noProof/>
                <w:sz w:val="16"/>
                <w:szCs w:val="16"/>
              </w:rPr>
            </w:pPr>
            <w:r w:rsidRPr="005F4295">
              <w:rPr>
                <w:noProof/>
                <w:sz w:val="16"/>
                <w:szCs w:val="16"/>
              </w:rPr>
              <w:t>1. Single market</w:t>
            </w:r>
            <w:r w:rsidR="00D05B7B" w:rsidRPr="005F4295">
              <w:rPr>
                <w:noProof/>
                <w:sz w:val="16"/>
                <w:szCs w:val="16"/>
              </w:rPr>
              <w:t>,</w:t>
            </w:r>
            <w:r w:rsidRPr="005F4295">
              <w:rPr>
                <w:noProof/>
                <w:sz w:val="16"/>
                <w:szCs w:val="16"/>
              </w:rPr>
              <w:t xml:space="preserve"> innovation and digital</w:t>
            </w:r>
          </w:p>
        </w:tc>
        <w:tc>
          <w:tcPr>
            <w:tcW w:w="0" w:type="dxa"/>
            <w:tcBorders>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2783F75E" w14:textId="6BEDB0BF"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   </w:t>
            </w:r>
          </w:p>
        </w:tc>
        <w:tc>
          <w:tcPr>
            <w:tcW w:w="0" w:type="dxa"/>
            <w:tcBorders>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0CB59DA8" w14:textId="7926BA75"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1</w:t>
            </w:r>
            <w:r w:rsidR="005A3506" w:rsidRPr="005F4295">
              <w:rPr>
                <w:rFonts w:asciiTheme="minorHAnsi" w:hAnsiTheme="minorHAnsi" w:cs="EC Square Sans Cond Pro"/>
                <w:color w:val="000000"/>
                <w:sz w:val="16"/>
                <w:szCs w:val="16"/>
                <w:lang w:eastAsia="fr-FR"/>
              </w:rPr>
              <w:t>5</w:t>
            </w:r>
            <w:r w:rsidRPr="005F4295">
              <w:rPr>
                <w:rFonts w:asciiTheme="minorHAnsi" w:hAnsiTheme="minorHAnsi" w:cs="EC Square Sans Cond Pro"/>
                <w:color w:val="000000"/>
                <w:sz w:val="16"/>
                <w:szCs w:val="16"/>
                <w:lang w:eastAsia="fr-FR"/>
              </w:rPr>
              <w:t xml:space="preserve">3.3 </w:t>
            </w:r>
          </w:p>
        </w:tc>
        <w:tc>
          <w:tcPr>
            <w:tcW w:w="0" w:type="dxa"/>
            <w:tcBorders>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2E6DE01B" w14:textId="133AC450"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b/>
                <w:color w:val="000000"/>
                <w:sz w:val="16"/>
                <w:szCs w:val="16"/>
                <w:lang w:eastAsia="fr-FR"/>
              </w:rPr>
              <w:t>1</w:t>
            </w:r>
            <w:r w:rsidR="005A3506" w:rsidRPr="005F4295">
              <w:rPr>
                <w:rFonts w:asciiTheme="minorHAnsi" w:hAnsiTheme="minorHAnsi" w:cs="EC Square Sans Cond Pro"/>
                <w:b/>
                <w:color w:val="000000"/>
                <w:sz w:val="16"/>
                <w:szCs w:val="16"/>
                <w:lang w:eastAsia="fr-FR"/>
              </w:rPr>
              <w:t>5</w:t>
            </w:r>
            <w:r w:rsidRPr="005F4295">
              <w:rPr>
                <w:rFonts w:asciiTheme="minorHAnsi" w:hAnsiTheme="minorHAnsi" w:cs="EC Square Sans Cond Pro"/>
                <w:b/>
                <w:color w:val="000000"/>
                <w:sz w:val="16"/>
                <w:szCs w:val="16"/>
                <w:lang w:eastAsia="fr-FR"/>
              </w:rPr>
              <w:t xml:space="preserve">3.3 </w:t>
            </w:r>
          </w:p>
        </w:tc>
        <w:tc>
          <w:tcPr>
            <w:tcW w:w="0" w:type="dxa"/>
            <w:tcBorders>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83B3221" w14:textId="111F6D56"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25</w:t>
            </w:r>
            <w:r w:rsidR="00B37BF9" w:rsidRPr="005F4295">
              <w:rPr>
                <w:rFonts w:ascii="Calibri" w:hAnsi="Calibri" w:cs="Calibri"/>
                <w:color w:val="000000"/>
                <w:sz w:val="16"/>
                <w:szCs w:val="16"/>
                <w:lang w:eastAsia="fr-FR"/>
              </w:rPr>
              <w:t> </w:t>
            </w:r>
            <w:r w:rsidRPr="005F4295">
              <w:rPr>
                <w:rFonts w:asciiTheme="minorHAnsi" w:hAnsiTheme="minorHAnsi" w:cs="EC Square Sans Cond Pro"/>
                <w:color w:val="000000"/>
                <w:sz w:val="16"/>
                <w:szCs w:val="16"/>
                <w:lang w:eastAsia="fr-FR"/>
              </w:rPr>
              <w:t xml:space="preserve">008.9 </w:t>
            </w:r>
          </w:p>
        </w:tc>
        <w:tc>
          <w:tcPr>
            <w:tcW w:w="0" w:type="dxa"/>
            <w:tcBorders>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21FEF4AB" w14:textId="5D16B943"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w:t>
            </w:r>
          </w:p>
        </w:tc>
        <w:tc>
          <w:tcPr>
            <w:tcW w:w="850" w:type="dxa"/>
            <w:tcBorders>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4CFD09A7" w14:textId="75EA3A66"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79.6 </w:t>
            </w:r>
          </w:p>
        </w:tc>
        <w:tc>
          <w:tcPr>
            <w:tcW w:w="682" w:type="dxa"/>
            <w:tcBorders>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22683B17" w14:textId="71AF1344"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b/>
                <w:color w:val="000000"/>
                <w:sz w:val="16"/>
                <w:szCs w:val="16"/>
                <w:lang w:eastAsia="fr-FR"/>
              </w:rPr>
              <w:t xml:space="preserve">79.6 </w:t>
            </w:r>
          </w:p>
        </w:tc>
        <w:tc>
          <w:tcPr>
            <w:tcW w:w="0" w:type="dxa"/>
            <w:tcBorders>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13AF98A8" w14:textId="3259E9CB"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noProof/>
                <w:sz w:val="16"/>
                <w:szCs w:val="16"/>
                <w:lang w:eastAsia="en-IE"/>
              </w:rPr>
            </w:pPr>
            <w:r w:rsidRPr="005F4295">
              <w:rPr>
                <w:rFonts w:asciiTheme="minorHAnsi" w:hAnsiTheme="minorHAnsi" w:cs="Calibri"/>
                <w:noProof/>
                <w:sz w:val="16"/>
                <w:szCs w:val="16"/>
                <w:lang w:eastAsia="en-IE"/>
              </w:rPr>
              <w:t>0.</w:t>
            </w:r>
            <w:r w:rsidR="00A671A0" w:rsidRPr="005F4295">
              <w:rPr>
                <w:rFonts w:asciiTheme="minorHAnsi" w:hAnsiTheme="minorHAnsi" w:cs="Calibri"/>
                <w:noProof/>
                <w:sz w:val="16"/>
                <w:szCs w:val="16"/>
                <w:lang w:eastAsia="en-IE"/>
              </w:rPr>
              <w:t>32</w:t>
            </w:r>
            <w:r w:rsidRPr="005F4295">
              <w:rPr>
                <w:rFonts w:asciiTheme="minorHAnsi" w:hAnsiTheme="minorHAnsi" w:cs="Calibri"/>
                <w:noProof/>
                <w:sz w:val="16"/>
                <w:szCs w:val="16"/>
                <w:lang w:eastAsia="en-IE"/>
              </w:rPr>
              <w:t>%</w:t>
            </w:r>
          </w:p>
        </w:tc>
        <w:tc>
          <w:tcPr>
            <w:tcW w:w="0" w:type="dxa"/>
            <w:tcBorders>
              <w:left w:val="single" w:sz="4" w:space="0" w:color="7F7F7F" w:themeColor="text1" w:themeTint="80"/>
              <w:bottom w:val="single" w:sz="4" w:space="0" w:color="7F7F7F" w:themeColor="text1" w:themeTint="80"/>
            </w:tcBorders>
            <w:noWrap/>
            <w:vAlign w:val="center"/>
            <w:hideMark/>
          </w:tcPr>
          <w:p w14:paraId="52801A74" w14:textId="485A346B" w:rsidR="004642CA" w:rsidRPr="005F4295" w:rsidRDefault="005A3506"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sz w:val="16"/>
                <w:szCs w:val="16"/>
                <w:lang w:eastAsia="en-IE"/>
              </w:rPr>
            </w:pPr>
            <w:r w:rsidRPr="005F4295">
              <w:rPr>
                <w:rFonts w:asciiTheme="minorHAnsi" w:hAnsiTheme="minorHAnsi" w:cs="Calibri"/>
                <w:b/>
                <w:sz w:val="16"/>
                <w:szCs w:val="16"/>
                <w:lang w:eastAsia="en-IE"/>
              </w:rPr>
              <w:t>232.9</w:t>
            </w:r>
          </w:p>
        </w:tc>
      </w:tr>
      <w:tr w:rsidR="00532800" w:rsidRPr="005F4295" w14:paraId="18F81170" w14:textId="77777777" w:rsidTr="00352C6F">
        <w:trPr>
          <w:cnfStyle w:val="000000010000" w:firstRow="0" w:lastRow="0" w:firstColumn="0" w:lastColumn="0" w:oddVBand="0" w:evenVBand="0" w:oddHBand="0" w:evenHBand="1"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bottom w:val="single" w:sz="4" w:space="0" w:color="7F7F7F" w:themeColor="text1" w:themeTint="80"/>
              <w:right w:val="single" w:sz="4" w:space="0" w:color="7F7F7F" w:themeColor="text1" w:themeTint="80"/>
            </w:tcBorders>
            <w:vAlign w:val="center"/>
            <w:hideMark/>
          </w:tcPr>
          <w:p w14:paraId="34A4861A" w14:textId="16AFCAA2" w:rsidR="004642CA" w:rsidRPr="005F4295" w:rsidRDefault="004642CA" w:rsidP="004642CA">
            <w:pPr>
              <w:rPr>
                <w:b w:val="0"/>
                <w:noProof/>
                <w:sz w:val="16"/>
                <w:szCs w:val="16"/>
              </w:rPr>
            </w:pPr>
            <w:r w:rsidRPr="005F4295">
              <w:rPr>
                <w:noProof/>
                <w:sz w:val="16"/>
                <w:szCs w:val="16"/>
              </w:rPr>
              <w:t>2. Cohesion</w:t>
            </w:r>
            <w:r w:rsidR="00D05B7B" w:rsidRPr="005F4295">
              <w:rPr>
                <w:noProof/>
                <w:sz w:val="16"/>
                <w:szCs w:val="16"/>
              </w:rPr>
              <w:t>,</w:t>
            </w:r>
            <w:r w:rsidRPr="005F4295">
              <w:rPr>
                <w:noProof/>
                <w:sz w:val="16"/>
                <w:szCs w:val="16"/>
              </w:rPr>
              <w:t xml:space="preserve"> resilience and values</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26B96B6A" w14:textId="407C7367"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 xml:space="preserve">575.1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325A7E6D" w14:textId="4799C702" w:rsidR="004642CA" w:rsidRPr="005F4295" w:rsidRDefault="005A3506"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1</w:t>
            </w:r>
            <w:r w:rsidR="004642CA" w:rsidRPr="005F4295">
              <w:rPr>
                <w:rFonts w:asciiTheme="minorHAnsi" w:hAnsiTheme="minorHAnsi" w:cs="EC Square Sans Cond Pro"/>
                <w:color w:val="000000"/>
                <w:sz w:val="16"/>
                <w:szCs w:val="16"/>
                <w:lang w:eastAsia="fr-FR"/>
              </w:rPr>
              <w:t xml:space="preserve">5.1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54B0E8EC" w14:textId="1E299756"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b/>
                <w:color w:val="000000"/>
                <w:sz w:val="16"/>
                <w:szCs w:val="16"/>
                <w:lang w:eastAsia="fr-FR"/>
              </w:rPr>
              <w:t xml:space="preserve">          </w:t>
            </w:r>
            <w:r w:rsidR="005A3506" w:rsidRPr="005F4295">
              <w:rPr>
                <w:rFonts w:asciiTheme="minorHAnsi" w:hAnsiTheme="minorHAnsi" w:cs="EC Square Sans Cond Pro"/>
                <w:b/>
                <w:color w:val="000000"/>
                <w:sz w:val="16"/>
                <w:szCs w:val="16"/>
                <w:lang w:eastAsia="fr-FR"/>
              </w:rPr>
              <w:t>59</w:t>
            </w:r>
            <w:r w:rsidRPr="005F4295">
              <w:rPr>
                <w:rFonts w:asciiTheme="minorHAnsi" w:hAnsiTheme="minorHAnsi" w:cs="EC Square Sans Cond Pro"/>
                <w:b/>
                <w:color w:val="000000"/>
                <w:sz w:val="16"/>
                <w:szCs w:val="16"/>
                <w:lang w:eastAsia="fr-FR"/>
              </w:rPr>
              <w:t>0.</w:t>
            </w:r>
            <w:r w:rsidR="005A3506" w:rsidRPr="005F4295">
              <w:rPr>
                <w:rFonts w:asciiTheme="minorHAnsi" w:hAnsiTheme="minorHAnsi" w:cs="EC Square Sans Cond Pro"/>
                <w:b/>
                <w:color w:val="000000"/>
                <w:sz w:val="16"/>
                <w:szCs w:val="16"/>
                <w:lang w:eastAsia="fr-FR"/>
              </w:rPr>
              <w:t>2</w:t>
            </w:r>
            <w:r w:rsidRPr="005F4295">
              <w:rPr>
                <w:rFonts w:asciiTheme="minorHAnsi" w:hAnsiTheme="minorHAnsi" w:cs="EC Square Sans Cond Pro"/>
                <w:b/>
                <w:color w:val="000000"/>
                <w:sz w:val="16"/>
                <w:szCs w:val="16"/>
                <w:lang w:eastAsia="fr-FR"/>
              </w:rPr>
              <w:t xml:space="preserve">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21E490F5" w14:textId="692F2781"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 xml:space="preserve">               54</w:t>
            </w:r>
            <w:r w:rsidR="00534AB3" w:rsidRPr="005F4295">
              <w:rPr>
                <w:rFonts w:ascii="Calibri" w:hAnsi="Calibri" w:cs="Calibri"/>
                <w:color w:val="000000"/>
                <w:sz w:val="16"/>
                <w:szCs w:val="16"/>
                <w:lang w:eastAsia="fr-FR"/>
              </w:rPr>
              <w:t> </w:t>
            </w:r>
            <w:r w:rsidRPr="005F4295">
              <w:rPr>
                <w:rFonts w:asciiTheme="minorHAnsi" w:hAnsiTheme="minorHAnsi" w:cs="EC Square Sans Cond Pro"/>
                <w:color w:val="000000"/>
                <w:sz w:val="16"/>
                <w:szCs w:val="16"/>
                <w:lang w:eastAsia="fr-FR"/>
              </w:rPr>
              <w:t xml:space="preserve">007.9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5899DE12" w14:textId="659A653A"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 xml:space="preserve">      6</w:t>
            </w:r>
            <w:r w:rsidR="00640590" w:rsidRPr="005F4295">
              <w:rPr>
                <w:rFonts w:ascii="Calibri" w:hAnsi="Calibri" w:cs="Calibri"/>
                <w:color w:val="000000"/>
                <w:sz w:val="16"/>
                <w:szCs w:val="16"/>
                <w:lang w:eastAsia="fr-FR"/>
              </w:rPr>
              <w:t> </w:t>
            </w:r>
            <w:r w:rsidRPr="005F4295">
              <w:rPr>
                <w:rFonts w:asciiTheme="minorHAnsi" w:hAnsiTheme="minorHAnsi" w:cs="EC Square Sans Cond Pro"/>
                <w:color w:val="000000"/>
                <w:sz w:val="16"/>
                <w:szCs w:val="16"/>
                <w:lang w:eastAsia="fr-FR"/>
              </w:rPr>
              <w:t xml:space="preserve">307.8 </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21E934EE" w14:textId="1F82BB39"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 xml:space="preserve">      293.0 </w:t>
            </w:r>
          </w:p>
        </w:tc>
        <w:tc>
          <w:tcPr>
            <w:tcW w:w="68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0AA04084" w14:textId="6632F041"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b/>
                <w:color w:val="000000"/>
                <w:sz w:val="16"/>
                <w:szCs w:val="16"/>
                <w:lang w:eastAsia="fr-FR"/>
              </w:rPr>
              <w:t xml:space="preserve">       6</w:t>
            </w:r>
            <w:r w:rsidR="00640590" w:rsidRPr="005F4295">
              <w:rPr>
                <w:rFonts w:ascii="Calibri" w:hAnsi="Calibri" w:cs="Calibri"/>
                <w:color w:val="000000"/>
                <w:sz w:val="16"/>
                <w:szCs w:val="16"/>
                <w:lang w:eastAsia="fr-FR"/>
              </w:rPr>
              <w:t> </w:t>
            </w:r>
            <w:r w:rsidRPr="005F4295">
              <w:rPr>
                <w:rFonts w:asciiTheme="minorHAnsi" w:hAnsiTheme="minorHAnsi" w:cs="EC Square Sans Cond Pro"/>
                <w:b/>
                <w:color w:val="000000"/>
                <w:sz w:val="16"/>
                <w:szCs w:val="16"/>
                <w:lang w:eastAsia="fr-FR"/>
              </w:rPr>
              <w:t xml:space="preserve">600.8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0D7C851" w14:textId="783A7657" w:rsidR="004642CA" w:rsidRPr="005F4295" w:rsidRDefault="00513083"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Calibri"/>
                <w:sz w:val="16"/>
                <w:szCs w:val="16"/>
                <w:lang w:eastAsia="en-IE"/>
              </w:rPr>
              <w:t>12.22</w:t>
            </w:r>
            <w:r w:rsidR="004642CA" w:rsidRPr="005F4295">
              <w:rPr>
                <w:rFonts w:asciiTheme="minorHAnsi" w:hAnsiTheme="minorHAnsi" w:cs="Calibri"/>
                <w:sz w:val="16"/>
                <w:szCs w:val="16"/>
                <w:lang w:eastAsia="en-IE"/>
              </w:rPr>
              <w:t>.%</w:t>
            </w:r>
          </w:p>
        </w:tc>
        <w:tc>
          <w:tcPr>
            <w:tcW w:w="0" w:type="dxa"/>
            <w:tcBorders>
              <w:top w:val="single" w:sz="4" w:space="0" w:color="7F7F7F" w:themeColor="text1" w:themeTint="80"/>
              <w:left w:val="single" w:sz="4" w:space="0" w:color="7F7F7F" w:themeColor="text1" w:themeTint="80"/>
              <w:bottom w:val="single" w:sz="4" w:space="0" w:color="7F7F7F" w:themeColor="text1" w:themeTint="80"/>
            </w:tcBorders>
            <w:noWrap/>
            <w:vAlign w:val="center"/>
            <w:hideMark/>
          </w:tcPr>
          <w:p w14:paraId="312CA664" w14:textId="501900A1" w:rsidR="008E781E" w:rsidRPr="005F4295" w:rsidRDefault="008E781E" w:rsidP="009B0F46">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sz w:val="16"/>
                <w:szCs w:val="16"/>
                <w:highlight w:val="yellow"/>
                <w:lang w:eastAsia="en-IE"/>
              </w:rPr>
            </w:pPr>
            <w:r w:rsidRPr="005F4295">
              <w:rPr>
                <w:rFonts w:asciiTheme="minorHAnsi" w:hAnsiTheme="minorHAnsi" w:cs="Calibri"/>
                <w:b/>
                <w:sz w:val="16"/>
                <w:szCs w:val="16"/>
                <w:lang w:eastAsia="en-IE"/>
              </w:rPr>
              <w:t>7</w:t>
            </w:r>
            <w:r w:rsidR="00640590" w:rsidRPr="005F4295">
              <w:rPr>
                <w:rFonts w:ascii="Calibri" w:hAnsi="Calibri" w:cs="Calibri"/>
                <w:b/>
                <w:color w:val="000000"/>
                <w:sz w:val="16"/>
                <w:szCs w:val="16"/>
                <w:lang w:eastAsia="fr-FR"/>
              </w:rPr>
              <w:t> </w:t>
            </w:r>
            <w:r w:rsidR="005A3506" w:rsidRPr="005F4295">
              <w:rPr>
                <w:rFonts w:asciiTheme="minorHAnsi" w:hAnsiTheme="minorHAnsi" w:cs="Calibri"/>
                <w:b/>
                <w:sz w:val="16"/>
                <w:szCs w:val="16"/>
                <w:lang w:eastAsia="en-IE"/>
              </w:rPr>
              <w:t>191</w:t>
            </w:r>
            <w:r w:rsidRPr="005F4295">
              <w:rPr>
                <w:rFonts w:asciiTheme="minorHAnsi" w:hAnsiTheme="minorHAnsi" w:cs="Calibri"/>
                <w:b/>
                <w:sz w:val="16"/>
                <w:szCs w:val="16"/>
                <w:lang w:eastAsia="en-IE"/>
              </w:rPr>
              <w:t>.</w:t>
            </w:r>
            <w:r w:rsidR="005A3506" w:rsidRPr="005F4295">
              <w:rPr>
                <w:rFonts w:asciiTheme="minorHAnsi" w:hAnsiTheme="minorHAnsi" w:cs="Calibri"/>
                <w:b/>
                <w:sz w:val="16"/>
                <w:szCs w:val="16"/>
                <w:lang w:eastAsia="en-IE"/>
              </w:rPr>
              <w:t>0</w:t>
            </w:r>
          </w:p>
        </w:tc>
      </w:tr>
      <w:tr w:rsidR="009265B3" w:rsidRPr="005F4295" w14:paraId="2D2AA8B3" w14:textId="77777777" w:rsidTr="00E70D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bottom w:val="single" w:sz="4" w:space="0" w:color="7F7F7F" w:themeColor="text1" w:themeTint="80"/>
              <w:right w:val="single" w:sz="4" w:space="0" w:color="7F7F7F" w:themeColor="text1" w:themeTint="80"/>
            </w:tcBorders>
            <w:vAlign w:val="center"/>
            <w:hideMark/>
          </w:tcPr>
          <w:p w14:paraId="7FC1B79F" w14:textId="77777777" w:rsidR="004642CA" w:rsidRPr="005F4295" w:rsidRDefault="004642CA" w:rsidP="004642CA">
            <w:pPr>
              <w:rPr>
                <w:b w:val="0"/>
                <w:noProof/>
                <w:sz w:val="16"/>
                <w:szCs w:val="16"/>
              </w:rPr>
            </w:pPr>
            <w:r w:rsidRPr="005F4295">
              <w:rPr>
                <w:noProof/>
                <w:sz w:val="16"/>
                <w:szCs w:val="16"/>
              </w:rPr>
              <w:t>3. Natural resources and environment</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5AE48F8" w14:textId="2631C4DB"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EC Square Sans Cond Pro"/>
                <w:color w:val="000000"/>
                <w:sz w:val="16"/>
                <w:szCs w:val="16"/>
                <w:highlight w:val="yellow"/>
                <w:lang w:eastAsia="fr-FR"/>
              </w:rPr>
              <w:t xml:space="preserve">                </w:t>
            </w:r>
            <w:r w:rsidRPr="005F4295">
              <w:rPr>
                <w:rFonts w:asciiTheme="minorHAnsi" w:hAnsiTheme="minorHAnsi" w:cs="EC Square Sans Cond Pro"/>
                <w:color w:val="000000"/>
                <w:sz w:val="16"/>
                <w:szCs w:val="16"/>
                <w:lang w:eastAsia="fr-FR"/>
              </w:rPr>
              <w:t xml:space="preserve">194.7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A3235D3" w14:textId="5F430BDB"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EC Square Sans Cond Pro"/>
                <w:color w:val="000000"/>
                <w:sz w:val="16"/>
                <w:szCs w:val="16"/>
                <w:lang w:eastAsia="fr-FR"/>
              </w:rPr>
              <w:t xml:space="preserve">6.9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0347B06E" w14:textId="6FEF1319"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EC Square Sans Cond Pro"/>
                <w:b/>
                <w:color w:val="000000"/>
                <w:sz w:val="16"/>
                <w:szCs w:val="16"/>
                <w:highlight w:val="yellow"/>
                <w:lang w:eastAsia="fr-FR"/>
              </w:rPr>
              <w:t xml:space="preserve">          </w:t>
            </w:r>
            <w:r w:rsidRPr="005F4295">
              <w:rPr>
                <w:rFonts w:asciiTheme="minorHAnsi" w:hAnsiTheme="minorHAnsi" w:cs="EC Square Sans Cond Pro"/>
                <w:b/>
                <w:color w:val="000000"/>
                <w:sz w:val="16"/>
                <w:szCs w:val="16"/>
                <w:lang w:eastAsia="fr-FR"/>
              </w:rPr>
              <w:t xml:space="preserve">201.6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70481817" w14:textId="60CB077F"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 xml:space="preserve">               57</w:t>
            </w:r>
            <w:r w:rsidR="00534AB3" w:rsidRPr="005F4295">
              <w:rPr>
                <w:rFonts w:ascii="Calibri" w:hAnsi="Calibri" w:cs="Calibri"/>
                <w:color w:val="000000"/>
                <w:sz w:val="16"/>
                <w:szCs w:val="16"/>
                <w:lang w:eastAsia="fr-FR"/>
              </w:rPr>
              <w:t> </w:t>
            </w:r>
            <w:r w:rsidRPr="005F4295">
              <w:rPr>
                <w:rFonts w:asciiTheme="minorHAnsi" w:hAnsiTheme="minorHAnsi" w:cs="EC Square Sans Cond Pro"/>
                <w:color w:val="000000"/>
                <w:sz w:val="16"/>
                <w:szCs w:val="16"/>
                <w:lang w:eastAsia="fr-FR"/>
              </w:rPr>
              <w:t xml:space="preserve">982.9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18D12A0A" w14:textId="3608CAD1"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 xml:space="preserve">         430.4 </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2B46799B" w14:textId="26252675"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 xml:space="preserve">      785.1 </w:t>
            </w:r>
          </w:p>
        </w:tc>
        <w:tc>
          <w:tcPr>
            <w:tcW w:w="68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9B3FD15" w14:textId="3A130EF6"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EC Square Sans Cond Pro"/>
                <w:b/>
                <w:color w:val="000000"/>
                <w:sz w:val="16"/>
                <w:szCs w:val="16"/>
                <w:highlight w:val="yellow"/>
                <w:lang w:eastAsia="fr-FR"/>
              </w:rPr>
              <w:t xml:space="preserve">       </w:t>
            </w:r>
            <w:r w:rsidRPr="005F4295">
              <w:rPr>
                <w:rFonts w:asciiTheme="minorHAnsi" w:hAnsiTheme="minorHAnsi" w:cs="EC Square Sans Cond Pro"/>
                <w:b/>
                <w:color w:val="000000"/>
                <w:sz w:val="16"/>
                <w:szCs w:val="16"/>
                <w:lang w:eastAsia="fr-FR"/>
              </w:rPr>
              <w:t>1</w:t>
            </w:r>
            <w:r w:rsidR="00640590" w:rsidRPr="005F4295">
              <w:rPr>
                <w:rFonts w:ascii="Calibri" w:hAnsi="Calibri" w:cs="Calibri"/>
                <w:color w:val="000000"/>
                <w:sz w:val="16"/>
                <w:szCs w:val="16"/>
                <w:lang w:eastAsia="fr-FR"/>
              </w:rPr>
              <w:t> </w:t>
            </w:r>
            <w:r w:rsidRPr="005F4295">
              <w:rPr>
                <w:rFonts w:asciiTheme="minorHAnsi" w:hAnsiTheme="minorHAnsi" w:cs="EC Square Sans Cond Pro"/>
                <w:b/>
                <w:color w:val="000000"/>
                <w:sz w:val="16"/>
                <w:szCs w:val="16"/>
                <w:lang w:eastAsia="fr-FR"/>
              </w:rPr>
              <w:t xml:space="preserve">215.6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1900FD4D" w14:textId="73DD8D50" w:rsidR="004642CA" w:rsidRPr="005F4295" w:rsidRDefault="00513083"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Calibri"/>
                <w:sz w:val="16"/>
                <w:szCs w:val="16"/>
                <w:lang w:eastAsia="en-IE"/>
              </w:rPr>
              <w:t>2.1</w:t>
            </w:r>
            <w:r w:rsidR="0063219C" w:rsidRPr="005F4295">
              <w:rPr>
                <w:rFonts w:asciiTheme="minorHAnsi" w:hAnsiTheme="minorHAnsi" w:cs="Calibri"/>
                <w:sz w:val="16"/>
                <w:szCs w:val="16"/>
                <w:lang w:eastAsia="en-IE"/>
              </w:rPr>
              <w:t>0</w:t>
            </w:r>
            <w:r w:rsidR="004642CA" w:rsidRPr="005F4295">
              <w:rPr>
                <w:rFonts w:asciiTheme="minorHAnsi" w:hAnsiTheme="minorHAnsi" w:cs="Calibri"/>
                <w:sz w:val="16"/>
                <w:szCs w:val="16"/>
                <w:lang w:eastAsia="en-IE"/>
              </w:rPr>
              <w:t>%</w:t>
            </w:r>
          </w:p>
        </w:tc>
        <w:tc>
          <w:tcPr>
            <w:tcW w:w="0" w:type="dxa"/>
            <w:tcBorders>
              <w:top w:val="single" w:sz="4" w:space="0" w:color="7F7F7F" w:themeColor="text1" w:themeTint="80"/>
              <w:left w:val="single" w:sz="4" w:space="0" w:color="7F7F7F" w:themeColor="text1" w:themeTint="80"/>
              <w:bottom w:val="single" w:sz="4" w:space="0" w:color="7F7F7F" w:themeColor="text1" w:themeTint="80"/>
            </w:tcBorders>
            <w:noWrap/>
            <w:vAlign w:val="center"/>
            <w:hideMark/>
          </w:tcPr>
          <w:p w14:paraId="56023150" w14:textId="4F51942C"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sz w:val="16"/>
                <w:szCs w:val="16"/>
                <w:highlight w:val="yellow"/>
                <w:lang w:eastAsia="en-IE"/>
              </w:rPr>
            </w:pPr>
            <w:r w:rsidRPr="005F4295">
              <w:rPr>
                <w:rFonts w:asciiTheme="minorHAnsi" w:hAnsiTheme="minorHAnsi" w:cs="Calibri"/>
                <w:b/>
                <w:sz w:val="16"/>
                <w:szCs w:val="16"/>
                <w:lang w:eastAsia="en-IE"/>
              </w:rPr>
              <w:t>1</w:t>
            </w:r>
            <w:r w:rsidRPr="005F4295">
              <w:rPr>
                <w:rFonts w:ascii="Calibri" w:hAnsi="Calibri" w:cs="Calibri"/>
                <w:b/>
                <w:sz w:val="16"/>
                <w:szCs w:val="16"/>
                <w:lang w:eastAsia="en-IE"/>
              </w:rPr>
              <w:t> </w:t>
            </w:r>
            <w:r w:rsidR="0096788C" w:rsidRPr="005F4295">
              <w:rPr>
                <w:rFonts w:asciiTheme="minorHAnsi" w:hAnsiTheme="minorHAnsi" w:cs="Calibri"/>
                <w:b/>
                <w:sz w:val="16"/>
                <w:szCs w:val="16"/>
                <w:lang w:eastAsia="en-IE"/>
              </w:rPr>
              <w:t>417.1</w:t>
            </w:r>
          </w:p>
        </w:tc>
      </w:tr>
      <w:tr w:rsidR="00532800" w:rsidRPr="005F4295" w14:paraId="2CD8F716" w14:textId="77777777" w:rsidTr="00352C6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bottom w:val="single" w:sz="4" w:space="0" w:color="7F7F7F" w:themeColor="text1" w:themeTint="80"/>
              <w:right w:val="single" w:sz="4" w:space="0" w:color="7F7F7F" w:themeColor="text1" w:themeTint="80"/>
            </w:tcBorders>
            <w:vAlign w:val="center"/>
            <w:hideMark/>
          </w:tcPr>
          <w:p w14:paraId="58969E50" w14:textId="77777777" w:rsidR="004642CA" w:rsidRPr="005F4295" w:rsidRDefault="004642CA" w:rsidP="004642CA">
            <w:pPr>
              <w:rPr>
                <w:b w:val="0"/>
                <w:noProof/>
                <w:sz w:val="16"/>
                <w:szCs w:val="16"/>
              </w:rPr>
            </w:pPr>
            <w:r w:rsidRPr="005F4295">
              <w:rPr>
                <w:noProof/>
                <w:sz w:val="16"/>
                <w:szCs w:val="16"/>
              </w:rPr>
              <w:t>4. Migration and border management</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25444140" w14:textId="24EE205B"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EC Square Sans Cond Pro"/>
                <w:color w:val="000000"/>
                <w:sz w:val="16"/>
                <w:szCs w:val="16"/>
                <w:highlight w:val="yellow"/>
                <w:lang w:eastAsia="fr-FR"/>
              </w:rPr>
              <w:t xml:space="preserve">                </w:t>
            </w:r>
            <w:r w:rsidRPr="005F4295">
              <w:rPr>
                <w:rFonts w:asciiTheme="minorHAnsi" w:hAnsiTheme="minorHAnsi" w:cs="EC Square Sans Cond Pro"/>
                <w:color w:val="000000"/>
                <w:sz w:val="16"/>
                <w:szCs w:val="16"/>
                <w:lang w:eastAsia="fr-FR"/>
              </w:rPr>
              <w:t>1</w:t>
            </w:r>
            <w:r w:rsidR="00424863" w:rsidRPr="005F4295">
              <w:rPr>
                <w:rFonts w:asciiTheme="minorHAnsi" w:hAnsiTheme="minorHAnsi" w:cs="EC Square Sans Cond Pro"/>
                <w:color w:val="000000"/>
                <w:sz w:val="16"/>
                <w:szCs w:val="16"/>
                <w:lang w:eastAsia="fr-FR"/>
              </w:rPr>
              <w:t>08</w:t>
            </w:r>
            <w:r w:rsidRPr="005F4295">
              <w:rPr>
                <w:rFonts w:asciiTheme="minorHAnsi" w:hAnsiTheme="minorHAnsi" w:cs="EC Square Sans Cond Pro"/>
                <w:color w:val="000000"/>
                <w:sz w:val="16"/>
                <w:szCs w:val="16"/>
                <w:lang w:eastAsia="fr-FR"/>
              </w:rPr>
              <w:t>.</w:t>
            </w:r>
            <w:r w:rsidR="00424863" w:rsidRPr="005F4295">
              <w:rPr>
                <w:rFonts w:asciiTheme="minorHAnsi" w:hAnsiTheme="minorHAnsi" w:cs="EC Square Sans Cond Pro"/>
                <w:color w:val="000000"/>
                <w:sz w:val="16"/>
                <w:szCs w:val="16"/>
                <w:lang w:eastAsia="fr-FR"/>
              </w:rPr>
              <w:t>8</w:t>
            </w:r>
            <w:r w:rsidRPr="005F4295">
              <w:rPr>
                <w:rFonts w:asciiTheme="minorHAnsi" w:hAnsiTheme="minorHAnsi" w:cs="EC Square Sans Cond Pro"/>
                <w:color w:val="000000"/>
                <w:sz w:val="16"/>
                <w:szCs w:val="16"/>
                <w:lang w:eastAsia="fr-FR"/>
              </w:rPr>
              <w:t xml:space="preserve">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687F417" w14:textId="12B93BC7" w:rsidR="004642CA" w:rsidRPr="005F4295" w:rsidRDefault="00424863"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EC Square Sans Cond Pro"/>
                <w:color w:val="000000"/>
                <w:sz w:val="16"/>
                <w:szCs w:val="16"/>
                <w:lang w:eastAsia="fr-FR"/>
              </w:rPr>
              <w:t>6.8</w:t>
            </w:r>
            <w:r w:rsidR="004642CA" w:rsidRPr="005F4295">
              <w:rPr>
                <w:rFonts w:asciiTheme="minorHAnsi" w:hAnsiTheme="minorHAnsi" w:cs="EC Square Sans Cond Pro"/>
                <w:color w:val="000000"/>
                <w:sz w:val="16"/>
                <w:szCs w:val="16"/>
                <w:lang w:eastAsia="fr-FR"/>
              </w:rPr>
              <w:t xml:space="preserve">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68ABE6E7" w14:textId="0481B3C8"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EC Square Sans Cond Pro"/>
                <w:b/>
                <w:color w:val="000000"/>
                <w:sz w:val="16"/>
                <w:szCs w:val="16"/>
                <w:highlight w:val="yellow"/>
                <w:lang w:eastAsia="fr-FR"/>
              </w:rPr>
              <w:t xml:space="preserve">          </w:t>
            </w:r>
            <w:r w:rsidR="00424863" w:rsidRPr="005F4295">
              <w:rPr>
                <w:rFonts w:asciiTheme="minorHAnsi" w:hAnsiTheme="minorHAnsi" w:cs="EC Square Sans Cond Pro"/>
                <w:b/>
                <w:color w:val="000000"/>
                <w:sz w:val="16"/>
                <w:szCs w:val="16"/>
                <w:lang w:eastAsia="fr-FR"/>
              </w:rPr>
              <w:t>115.6</w:t>
            </w:r>
            <w:r w:rsidRPr="005F4295">
              <w:rPr>
                <w:rFonts w:asciiTheme="minorHAnsi" w:hAnsiTheme="minorHAnsi" w:cs="EC Square Sans Cond Pro"/>
                <w:b/>
                <w:color w:val="000000"/>
                <w:sz w:val="16"/>
                <w:szCs w:val="16"/>
                <w:highlight w:val="yellow"/>
                <w:lang w:eastAsia="fr-FR"/>
              </w:rPr>
              <w:t xml:space="preserve">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25C60FE0" w14:textId="51529B5E"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 xml:space="preserve">                 3</w:t>
            </w:r>
            <w:r w:rsidR="00534AB3" w:rsidRPr="005F4295">
              <w:rPr>
                <w:rFonts w:ascii="Calibri" w:hAnsi="Calibri" w:cs="Calibri"/>
                <w:color w:val="000000"/>
                <w:sz w:val="16"/>
                <w:szCs w:val="16"/>
                <w:lang w:eastAsia="fr-FR"/>
              </w:rPr>
              <w:t> </w:t>
            </w:r>
            <w:r w:rsidRPr="005F4295">
              <w:rPr>
                <w:rFonts w:asciiTheme="minorHAnsi" w:hAnsiTheme="minorHAnsi" w:cs="EC Square Sans Cond Pro"/>
                <w:color w:val="000000"/>
                <w:sz w:val="16"/>
                <w:szCs w:val="16"/>
                <w:lang w:eastAsia="fr-FR"/>
              </w:rPr>
              <w:t xml:space="preserve">782.0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3A5BC3B1" w14:textId="4BCE31FB"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 xml:space="preserve">-   </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6D6F236E" w14:textId="6A059479"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lang w:eastAsia="en-IE"/>
              </w:rPr>
            </w:pPr>
            <w:r w:rsidRPr="005F4295">
              <w:rPr>
                <w:rFonts w:asciiTheme="minorHAnsi" w:hAnsiTheme="minorHAnsi" w:cs="EC Square Sans Cond Pro"/>
                <w:color w:val="000000"/>
                <w:sz w:val="16"/>
                <w:szCs w:val="16"/>
                <w:lang w:eastAsia="fr-FR"/>
              </w:rPr>
              <w:t xml:space="preserve">          0.0 </w:t>
            </w:r>
          </w:p>
        </w:tc>
        <w:tc>
          <w:tcPr>
            <w:tcW w:w="68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5BAF33C3" w14:textId="3907C41E"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EC Square Sans Cond Pro"/>
                <w:b/>
                <w:color w:val="000000"/>
                <w:sz w:val="16"/>
                <w:szCs w:val="16"/>
                <w:highlight w:val="yellow"/>
                <w:lang w:eastAsia="fr-FR"/>
              </w:rPr>
              <w:t xml:space="preserve">              </w:t>
            </w:r>
            <w:r w:rsidRPr="005F4295">
              <w:rPr>
                <w:rFonts w:asciiTheme="minorHAnsi" w:hAnsiTheme="minorHAnsi" w:cs="EC Square Sans Cond Pro"/>
                <w:b/>
                <w:color w:val="000000"/>
                <w:sz w:val="16"/>
                <w:szCs w:val="16"/>
                <w:lang w:eastAsia="fr-FR"/>
              </w:rPr>
              <w:t xml:space="preserve">0.0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6B61A2F8" w14:textId="5ECFAB1E"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yellow"/>
                <w:lang w:eastAsia="en-IE"/>
              </w:rPr>
            </w:pPr>
            <w:r w:rsidRPr="005F4295">
              <w:rPr>
                <w:rFonts w:asciiTheme="minorHAnsi" w:hAnsiTheme="minorHAnsi" w:cs="Calibri"/>
                <w:sz w:val="16"/>
                <w:szCs w:val="16"/>
                <w:lang w:eastAsia="en-IE"/>
              </w:rPr>
              <w:t>0.0</w:t>
            </w:r>
            <w:r w:rsidR="00C31937" w:rsidRPr="005F4295">
              <w:rPr>
                <w:rFonts w:asciiTheme="minorHAnsi" w:hAnsiTheme="minorHAnsi" w:cs="Calibri"/>
                <w:sz w:val="16"/>
                <w:szCs w:val="16"/>
                <w:lang w:eastAsia="en-IE"/>
              </w:rPr>
              <w:t>0</w:t>
            </w:r>
            <w:r w:rsidRPr="005F4295">
              <w:rPr>
                <w:rFonts w:asciiTheme="minorHAnsi" w:hAnsiTheme="minorHAnsi" w:cs="Calibri"/>
                <w:sz w:val="16"/>
                <w:szCs w:val="16"/>
                <w:lang w:eastAsia="en-IE"/>
              </w:rPr>
              <w:t>%</w:t>
            </w:r>
          </w:p>
        </w:tc>
        <w:tc>
          <w:tcPr>
            <w:tcW w:w="0" w:type="dxa"/>
            <w:tcBorders>
              <w:top w:val="single" w:sz="4" w:space="0" w:color="7F7F7F" w:themeColor="text1" w:themeTint="80"/>
              <w:left w:val="single" w:sz="4" w:space="0" w:color="7F7F7F" w:themeColor="text1" w:themeTint="80"/>
              <w:bottom w:val="single" w:sz="4" w:space="0" w:color="7F7F7F" w:themeColor="text1" w:themeTint="80"/>
            </w:tcBorders>
            <w:noWrap/>
            <w:vAlign w:val="center"/>
            <w:hideMark/>
          </w:tcPr>
          <w:p w14:paraId="1BB5E9D9" w14:textId="5A010312" w:rsidR="004642CA" w:rsidRPr="005F4295" w:rsidRDefault="003562A6"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sz w:val="16"/>
                <w:szCs w:val="16"/>
                <w:highlight w:val="yellow"/>
                <w:lang w:eastAsia="en-IE"/>
              </w:rPr>
            </w:pPr>
            <w:r w:rsidRPr="005F4295">
              <w:rPr>
                <w:rFonts w:asciiTheme="minorHAnsi" w:hAnsiTheme="minorHAnsi" w:cs="Calibri"/>
                <w:b/>
                <w:sz w:val="16"/>
                <w:szCs w:val="16"/>
                <w:lang w:eastAsia="en-IE"/>
              </w:rPr>
              <w:t>1</w:t>
            </w:r>
            <w:r w:rsidR="00424863" w:rsidRPr="005F4295">
              <w:rPr>
                <w:rFonts w:asciiTheme="minorHAnsi" w:hAnsiTheme="minorHAnsi" w:cs="Calibri"/>
                <w:b/>
                <w:sz w:val="16"/>
                <w:szCs w:val="16"/>
                <w:lang w:eastAsia="en-IE"/>
              </w:rPr>
              <w:t>15</w:t>
            </w:r>
            <w:r w:rsidRPr="005F4295">
              <w:rPr>
                <w:rFonts w:asciiTheme="minorHAnsi" w:hAnsiTheme="minorHAnsi" w:cs="Calibri"/>
                <w:b/>
                <w:sz w:val="16"/>
                <w:szCs w:val="16"/>
                <w:lang w:eastAsia="en-IE"/>
              </w:rPr>
              <w:t>.</w:t>
            </w:r>
            <w:r w:rsidR="00424863" w:rsidRPr="005F4295">
              <w:rPr>
                <w:rFonts w:asciiTheme="minorHAnsi" w:hAnsiTheme="minorHAnsi" w:cs="Calibri"/>
                <w:b/>
                <w:sz w:val="16"/>
                <w:szCs w:val="16"/>
                <w:lang w:eastAsia="en-IE"/>
              </w:rPr>
              <w:t>6</w:t>
            </w:r>
          </w:p>
        </w:tc>
      </w:tr>
      <w:tr w:rsidR="009265B3" w:rsidRPr="005F4295" w14:paraId="2A1401E9" w14:textId="77777777" w:rsidTr="00E70D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bottom w:val="single" w:sz="4" w:space="0" w:color="7F7F7F" w:themeColor="text1" w:themeTint="80"/>
              <w:right w:val="single" w:sz="4" w:space="0" w:color="7F7F7F" w:themeColor="text1" w:themeTint="80"/>
            </w:tcBorders>
            <w:vAlign w:val="center"/>
            <w:hideMark/>
          </w:tcPr>
          <w:p w14:paraId="1A8BC4E3" w14:textId="77777777" w:rsidR="004642CA" w:rsidRPr="005F4295" w:rsidRDefault="004642CA" w:rsidP="004642CA">
            <w:pPr>
              <w:rPr>
                <w:b w:val="0"/>
                <w:noProof/>
                <w:sz w:val="16"/>
                <w:szCs w:val="16"/>
              </w:rPr>
            </w:pPr>
            <w:r w:rsidRPr="005F4295">
              <w:rPr>
                <w:noProof/>
                <w:sz w:val="16"/>
                <w:szCs w:val="16"/>
              </w:rPr>
              <w:t>5. Security and defence</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7F0CED49" w14:textId="350ABC77"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2DF80BE5" w14:textId="3EDCAF53"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9.0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1FED2C21" w14:textId="060051BD"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b/>
                <w:color w:val="000000"/>
                <w:sz w:val="16"/>
                <w:szCs w:val="16"/>
                <w:lang w:eastAsia="fr-FR"/>
              </w:rPr>
              <w:t xml:space="preserve">               9.0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68C2C2F4" w14:textId="71F80B3A"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615.6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12BE0A19" w14:textId="40604094"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1F961370" w14:textId="224D3BA8"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   </w:t>
            </w:r>
          </w:p>
        </w:tc>
        <w:tc>
          <w:tcPr>
            <w:tcW w:w="68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5B74658F" w14:textId="102C9634"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b/>
                <w:color w:val="000000"/>
                <w:sz w:val="16"/>
                <w:szCs w:val="16"/>
                <w:lang w:eastAsia="fr-FR"/>
              </w:rPr>
              <w:t xml:space="preserve">                -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1B690FCB" w14:textId="5A6AE3FD"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noProof/>
                <w:sz w:val="16"/>
                <w:szCs w:val="16"/>
                <w:lang w:eastAsia="en-IE"/>
              </w:rPr>
            </w:pPr>
            <w:r w:rsidRPr="005F4295">
              <w:rPr>
                <w:rFonts w:asciiTheme="minorHAnsi" w:hAnsiTheme="minorHAnsi" w:cs="Calibri"/>
                <w:noProof/>
                <w:sz w:val="16"/>
                <w:szCs w:val="16"/>
                <w:lang w:eastAsia="en-IE"/>
              </w:rPr>
              <w:t>0.0</w:t>
            </w:r>
            <w:r w:rsidR="00C31937" w:rsidRPr="005F4295">
              <w:rPr>
                <w:rFonts w:asciiTheme="minorHAnsi" w:hAnsiTheme="minorHAnsi" w:cs="Calibri"/>
                <w:noProof/>
                <w:sz w:val="16"/>
                <w:szCs w:val="16"/>
                <w:lang w:eastAsia="en-IE"/>
              </w:rPr>
              <w:t>0</w:t>
            </w:r>
            <w:r w:rsidRPr="005F4295">
              <w:rPr>
                <w:rFonts w:asciiTheme="minorHAnsi" w:hAnsiTheme="minorHAnsi" w:cs="Calibri"/>
                <w:noProof/>
                <w:sz w:val="16"/>
                <w:szCs w:val="16"/>
                <w:lang w:eastAsia="en-IE"/>
              </w:rPr>
              <w:t>%</w:t>
            </w:r>
          </w:p>
        </w:tc>
        <w:tc>
          <w:tcPr>
            <w:tcW w:w="0" w:type="dxa"/>
            <w:tcBorders>
              <w:top w:val="single" w:sz="4" w:space="0" w:color="7F7F7F" w:themeColor="text1" w:themeTint="80"/>
              <w:left w:val="single" w:sz="4" w:space="0" w:color="7F7F7F" w:themeColor="text1" w:themeTint="80"/>
              <w:bottom w:val="single" w:sz="4" w:space="0" w:color="7F7F7F" w:themeColor="text1" w:themeTint="80"/>
            </w:tcBorders>
            <w:noWrap/>
            <w:vAlign w:val="center"/>
            <w:hideMark/>
          </w:tcPr>
          <w:p w14:paraId="288FA75A" w14:textId="4228ADAE" w:rsidR="004642CA" w:rsidRPr="005F4295" w:rsidRDefault="003562A6"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sz w:val="16"/>
                <w:szCs w:val="16"/>
                <w:lang w:eastAsia="en-IE"/>
              </w:rPr>
            </w:pPr>
            <w:r w:rsidRPr="005F4295">
              <w:rPr>
                <w:rFonts w:asciiTheme="minorHAnsi" w:hAnsiTheme="minorHAnsi" w:cs="Calibri"/>
                <w:b/>
                <w:sz w:val="16"/>
                <w:szCs w:val="16"/>
                <w:lang w:eastAsia="en-IE"/>
              </w:rPr>
              <w:t>9.0</w:t>
            </w:r>
          </w:p>
        </w:tc>
      </w:tr>
      <w:tr w:rsidR="00532800" w:rsidRPr="005F4295" w14:paraId="105FC0A6" w14:textId="77777777" w:rsidTr="00352C6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bottom w:val="single" w:sz="4" w:space="0" w:color="7F7F7F" w:themeColor="text1" w:themeTint="80"/>
              <w:right w:val="single" w:sz="4" w:space="0" w:color="7F7F7F" w:themeColor="text1" w:themeTint="80"/>
            </w:tcBorders>
            <w:vAlign w:val="center"/>
            <w:hideMark/>
          </w:tcPr>
          <w:p w14:paraId="5C9A15CB" w14:textId="77777777" w:rsidR="004642CA" w:rsidRPr="005F4295" w:rsidRDefault="004642CA" w:rsidP="004642CA">
            <w:pPr>
              <w:rPr>
                <w:b w:val="0"/>
                <w:noProof/>
                <w:sz w:val="16"/>
                <w:szCs w:val="16"/>
              </w:rPr>
            </w:pPr>
            <w:r w:rsidRPr="005F4295">
              <w:rPr>
                <w:noProof/>
                <w:sz w:val="16"/>
                <w:szCs w:val="16"/>
              </w:rPr>
              <w:t>6. Neighbourhood and the world</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1E42F7E5" w14:textId="039BD85A"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0A2CDC4B" w14:textId="333ECD42"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67.3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760BE363" w14:textId="14457A4E"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b/>
                <w:color w:val="000000"/>
                <w:sz w:val="16"/>
                <w:szCs w:val="16"/>
                <w:lang w:eastAsia="fr-FR"/>
              </w:rPr>
              <w:t xml:space="preserve">             67.3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11F4B5E" w14:textId="5F10159E"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16</w:t>
            </w:r>
            <w:r w:rsidR="00534AB3" w:rsidRPr="005F4295">
              <w:rPr>
                <w:rFonts w:ascii="Calibri" w:hAnsi="Calibri" w:cs="Calibri"/>
                <w:color w:val="000000"/>
                <w:sz w:val="16"/>
                <w:szCs w:val="16"/>
                <w:lang w:eastAsia="fr-FR"/>
              </w:rPr>
              <w:t> </w:t>
            </w:r>
            <w:r w:rsidRPr="005F4295">
              <w:rPr>
                <w:rFonts w:asciiTheme="minorHAnsi" w:hAnsiTheme="minorHAnsi" w:cs="EC Square Sans Cond Pro"/>
                <w:color w:val="000000"/>
                <w:sz w:val="16"/>
                <w:szCs w:val="16"/>
                <w:lang w:eastAsia="fr-FR"/>
              </w:rPr>
              <w:t>40</w:t>
            </w:r>
            <w:r w:rsidR="00934A30" w:rsidRPr="005F4295">
              <w:rPr>
                <w:rFonts w:asciiTheme="minorHAnsi" w:hAnsiTheme="minorHAnsi" w:cs="EC Square Sans Cond Pro"/>
                <w:color w:val="000000"/>
                <w:sz w:val="16"/>
                <w:szCs w:val="16"/>
                <w:lang w:eastAsia="fr-FR"/>
              </w:rPr>
              <w:t>1.1</w:t>
            </w:r>
            <w:r w:rsidRPr="005F4295">
              <w:rPr>
                <w:rFonts w:asciiTheme="minorHAnsi" w:hAnsiTheme="minorHAnsi" w:cs="EC Square Sans Cond Pro"/>
                <w:color w:val="000000"/>
                <w:sz w:val="16"/>
                <w:szCs w:val="16"/>
                <w:lang w:eastAsia="fr-FR"/>
              </w:rPr>
              <w:t xml:space="preserve">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689B3F78" w14:textId="479A31CD"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26DED522" w14:textId="0C9788D6"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6.8 </w:t>
            </w:r>
          </w:p>
        </w:tc>
        <w:tc>
          <w:tcPr>
            <w:tcW w:w="68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DA33A77" w14:textId="5A434BA7"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b/>
                <w:color w:val="000000"/>
                <w:sz w:val="16"/>
                <w:szCs w:val="16"/>
                <w:lang w:eastAsia="fr-FR"/>
              </w:rPr>
              <w:t xml:space="preserve">              6.8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0A06BB27" w14:textId="0D0FF4B0" w:rsidR="004642CA" w:rsidRPr="005F4295" w:rsidRDefault="004642CA"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noProof/>
                <w:sz w:val="16"/>
                <w:szCs w:val="16"/>
                <w:lang w:eastAsia="en-IE"/>
              </w:rPr>
            </w:pPr>
            <w:r w:rsidRPr="005F4295">
              <w:rPr>
                <w:rFonts w:asciiTheme="minorHAnsi" w:hAnsiTheme="minorHAnsi" w:cs="Calibri"/>
                <w:noProof/>
                <w:sz w:val="16"/>
                <w:szCs w:val="16"/>
                <w:lang w:eastAsia="en-IE"/>
              </w:rPr>
              <w:t>0.</w:t>
            </w:r>
            <w:r w:rsidR="00945444" w:rsidRPr="005F4295">
              <w:rPr>
                <w:rFonts w:asciiTheme="minorHAnsi" w:hAnsiTheme="minorHAnsi" w:cs="Calibri"/>
                <w:noProof/>
                <w:sz w:val="16"/>
                <w:szCs w:val="16"/>
                <w:lang w:eastAsia="en-IE"/>
              </w:rPr>
              <w:t>04</w:t>
            </w:r>
            <w:r w:rsidRPr="005F4295">
              <w:rPr>
                <w:rFonts w:asciiTheme="minorHAnsi" w:hAnsiTheme="minorHAnsi" w:cs="Calibri"/>
                <w:noProof/>
                <w:sz w:val="16"/>
                <w:szCs w:val="16"/>
                <w:lang w:eastAsia="en-IE"/>
              </w:rPr>
              <w:t>%</w:t>
            </w:r>
          </w:p>
        </w:tc>
        <w:tc>
          <w:tcPr>
            <w:tcW w:w="0" w:type="dxa"/>
            <w:tcBorders>
              <w:top w:val="single" w:sz="4" w:space="0" w:color="7F7F7F" w:themeColor="text1" w:themeTint="80"/>
              <w:left w:val="single" w:sz="4" w:space="0" w:color="7F7F7F" w:themeColor="text1" w:themeTint="80"/>
              <w:bottom w:val="single" w:sz="4" w:space="0" w:color="7F7F7F" w:themeColor="text1" w:themeTint="80"/>
            </w:tcBorders>
            <w:noWrap/>
            <w:vAlign w:val="center"/>
            <w:hideMark/>
          </w:tcPr>
          <w:p w14:paraId="3F468B6E" w14:textId="5026F774" w:rsidR="004642CA" w:rsidRPr="005F4295" w:rsidRDefault="003E2B6D" w:rsidP="004642CA">
            <w:pPr>
              <w:spacing w:before="0"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sz w:val="16"/>
                <w:szCs w:val="16"/>
                <w:lang w:eastAsia="en-IE"/>
              </w:rPr>
            </w:pPr>
            <w:r w:rsidRPr="005F4295">
              <w:rPr>
                <w:rFonts w:asciiTheme="minorHAnsi" w:hAnsiTheme="minorHAnsi" w:cs="Calibri"/>
                <w:b/>
                <w:sz w:val="16"/>
                <w:szCs w:val="16"/>
                <w:lang w:eastAsia="en-IE"/>
              </w:rPr>
              <w:t>74.1</w:t>
            </w:r>
          </w:p>
        </w:tc>
      </w:tr>
      <w:tr w:rsidR="009265B3" w:rsidRPr="005F4295" w14:paraId="010F77E3" w14:textId="77777777" w:rsidTr="00E70DB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bottom w:val="single" w:sz="4" w:space="0" w:color="7F7F7F" w:themeColor="text1" w:themeTint="80"/>
              <w:right w:val="single" w:sz="4" w:space="0" w:color="7F7F7F" w:themeColor="text1" w:themeTint="80"/>
            </w:tcBorders>
            <w:vAlign w:val="center"/>
            <w:hideMark/>
          </w:tcPr>
          <w:p w14:paraId="446E50EF" w14:textId="77777777" w:rsidR="004642CA" w:rsidRPr="005F4295" w:rsidRDefault="004642CA" w:rsidP="004642CA">
            <w:pPr>
              <w:rPr>
                <w:b w:val="0"/>
                <w:noProof/>
                <w:sz w:val="16"/>
                <w:szCs w:val="16"/>
              </w:rPr>
            </w:pPr>
            <w:r w:rsidRPr="005F4295">
              <w:rPr>
                <w:noProof/>
                <w:sz w:val="16"/>
                <w:szCs w:val="16"/>
              </w:rPr>
              <w:t>7. European public administration</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5723B63E" w14:textId="1A7702F8"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10134510" w14:textId="0B55291B"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E4D36CD" w14:textId="271CBB01"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b/>
                <w:color w:val="000000"/>
                <w:sz w:val="16"/>
                <w:szCs w:val="16"/>
                <w:lang w:eastAsia="fr-FR"/>
              </w:rPr>
              <w:t xml:space="preserve">                -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033C34F6" w14:textId="476659DD"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8</w:t>
            </w:r>
            <w:r w:rsidR="00534AB3" w:rsidRPr="005F4295">
              <w:rPr>
                <w:rFonts w:ascii="Calibri" w:hAnsi="Calibri" w:cs="Calibri"/>
                <w:color w:val="000000"/>
                <w:sz w:val="16"/>
                <w:szCs w:val="16"/>
                <w:lang w:eastAsia="fr-FR"/>
              </w:rPr>
              <w:t> </w:t>
            </w:r>
            <w:r w:rsidRPr="005F4295">
              <w:rPr>
                <w:rFonts w:asciiTheme="minorHAnsi" w:hAnsiTheme="minorHAnsi" w:cs="EC Square Sans Cond Pro"/>
                <w:color w:val="000000"/>
                <w:sz w:val="16"/>
                <w:szCs w:val="16"/>
                <w:lang w:eastAsia="fr-FR"/>
              </w:rPr>
              <w:t>88</w:t>
            </w:r>
            <w:r w:rsidR="00EA4DD5" w:rsidRPr="005F4295">
              <w:rPr>
                <w:rFonts w:asciiTheme="minorHAnsi" w:hAnsiTheme="minorHAnsi" w:cs="EC Square Sans Cond Pro"/>
                <w:color w:val="000000"/>
                <w:sz w:val="16"/>
                <w:szCs w:val="16"/>
                <w:lang w:eastAsia="fr-FR"/>
              </w:rPr>
              <w:t>3</w:t>
            </w:r>
            <w:r w:rsidRPr="005F4295">
              <w:rPr>
                <w:rFonts w:asciiTheme="minorHAnsi" w:hAnsiTheme="minorHAnsi" w:cs="EC Square Sans Cond Pro"/>
                <w:color w:val="000000"/>
                <w:sz w:val="16"/>
                <w:szCs w:val="16"/>
                <w:lang w:eastAsia="fr-FR"/>
              </w:rPr>
              <w:t xml:space="preserve">.0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37C876B8" w14:textId="55A6C6B1"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   </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207F30E9" w14:textId="6DB0AADD"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color w:val="000000"/>
                <w:sz w:val="16"/>
                <w:szCs w:val="16"/>
                <w:lang w:eastAsia="fr-FR"/>
              </w:rPr>
              <w:t xml:space="preserve">          0.1 </w:t>
            </w:r>
          </w:p>
        </w:tc>
        <w:tc>
          <w:tcPr>
            <w:tcW w:w="68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A8430BD" w14:textId="35A5F781"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highlight w:val="lightGray"/>
                <w:lang w:eastAsia="en-IE"/>
              </w:rPr>
            </w:pPr>
            <w:r w:rsidRPr="005F4295">
              <w:rPr>
                <w:rFonts w:asciiTheme="minorHAnsi" w:hAnsiTheme="minorHAnsi" w:cs="EC Square Sans Cond Pro"/>
                <w:b/>
                <w:color w:val="000000"/>
                <w:sz w:val="16"/>
                <w:szCs w:val="16"/>
                <w:lang w:eastAsia="fr-FR"/>
              </w:rPr>
              <w:t xml:space="preserve">              0.1 </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vAlign w:val="center"/>
            <w:hideMark/>
          </w:tcPr>
          <w:p w14:paraId="4C4E912F" w14:textId="53FA4FC7" w:rsidR="004642CA" w:rsidRPr="005F4295" w:rsidRDefault="004642CA"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noProof/>
                <w:sz w:val="16"/>
                <w:szCs w:val="16"/>
                <w:lang w:eastAsia="en-IE"/>
              </w:rPr>
            </w:pPr>
            <w:r w:rsidRPr="005F4295">
              <w:rPr>
                <w:rFonts w:asciiTheme="minorHAnsi" w:hAnsiTheme="minorHAnsi" w:cs="Calibri"/>
                <w:noProof/>
                <w:sz w:val="16"/>
                <w:szCs w:val="16"/>
                <w:lang w:eastAsia="en-IE"/>
              </w:rPr>
              <w:t>0.0</w:t>
            </w:r>
            <w:r w:rsidR="00C657E5" w:rsidRPr="005F4295">
              <w:rPr>
                <w:rFonts w:asciiTheme="minorHAnsi" w:hAnsiTheme="minorHAnsi" w:cs="Calibri"/>
                <w:noProof/>
                <w:sz w:val="16"/>
                <w:szCs w:val="16"/>
                <w:lang w:eastAsia="en-IE"/>
              </w:rPr>
              <w:t>0</w:t>
            </w:r>
            <w:r w:rsidRPr="005F4295">
              <w:rPr>
                <w:rFonts w:asciiTheme="minorHAnsi" w:hAnsiTheme="minorHAnsi" w:cs="Calibri"/>
                <w:noProof/>
                <w:sz w:val="16"/>
                <w:szCs w:val="16"/>
                <w:lang w:eastAsia="en-IE"/>
              </w:rPr>
              <w:t>%</w:t>
            </w:r>
          </w:p>
        </w:tc>
        <w:tc>
          <w:tcPr>
            <w:tcW w:w="0" w:type="dxa"/>
            <w:tcBorders>
              <w:top w:val="single" w:sz="4" w:space="0" w:color="7F7F7F" w:themeColor="text1" w:themeTint="80"/>
              <w:left w:val="single" w:sz="4" w:space="0" w:color="7F7F7F" w:themeColor="text1" w:themeTint="80"/>
              <w:bottom w:val="single" w:sz="4" w:space="0" w:color="7F7F7F" w:themeColor="text1" w:themeTint="80"/>
            </w:tcBorders>
            <w:noWrap/>
            <w:vAlign w:val="center"/>
            <w:hideMark/>
          </w:tcPr>
          <w:p w14:paraId="7D249FB2" w14:textId="2696025D" w:rsidR="004642CA" w:rsidRPr="005F4295" w:rsidRDefault="003E2B6D" w:rsidP="004642CA">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sz w:val="16"/>
                <w:szCs w:val="16"/>
                <w:lang w:eastAsia="en-IE"/>
              </w:rPr>
            </w:pPr>
            <w:r w:rsidRPr="005F4295">
              <w:rPr>
                <w:rFonts w:asciiTheme="minorHAnsi" w:hAnsiTheme="minorHAnsi" w:cs="Calibri"/>
                <w:b/>
                <w:sz w:val="16"/>
                <w:szCs w:val="16"/>
                <w:lang w:eastAsia="en-IE"/>
              </w:rPr>
              <w:t>0.1</w:t>
            </w:r>
          </w:p>
        </w:tc>
      </w:tr>
      <w:tr w:rsidR="00894BCB" w:rsidRPr="005F4295" w14:paraId="33F227F1" w14:textId="77777777" w:rsidTr="00352C6F">
        <w:trPr>
          <w:cnfStyle w:val="010000000000" w:firstRow="0" w:lastRow="1"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78"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tcPr>
          <w:p w14:paraId="4129ACEF" w14:textId="2B17AA45" w:rsidR="00D22E8D" w:rsidRPr="005F4295" w:rsidRDefault="00B95456">
            <w:pPr>
              <w:rPr>
                <w:noProof/>
                <w:color w:val="auto"/>
                <w:sz w:val="16"/>
                <w:szCs w:val="16"/>
              </w:rPr>
            </w:pPr>
            <w:r w:rsidRPr="005F4295">
              <w:rPr>
                <w:noProof/>
                <w:color w:val="auto"/>
                <w:sz w:val="16"/>
                <w:szCs w:val="16"/>
              </w:rPr>
              <w:t>Total</w:t>
            </w:r>
          </w:p>
        </w:tc>
        <w:tc>
          <w:tcPr>
            <w:tcW w:w="87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tcPr>
          <w:p w14:paraId="76DC20BE" w14:textId="3574A380" w:rsidR="00D22E8D" w:rsidRPr="005F4295" w:rsidRDefault="00424863" w:rsidP="00D22E8D">
            <w:pPr>
              <w:spacing w:before="0" w:after="0" w:line="240"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EC Square Sans Cond Pro"/>
                <w:color w:val="auto"/>
                <w:sz w:val="16"/>
                <w:szCs w:val="16"/>
                <w:lang w:eastAsia="fr-FR"/>
              </w:rPr>
            </w:pPr>
            <w:r w:rsidRPr="005F4295">
              <w:rPr>
                <w:rFonts w:asciiTheme="minorHAnsi" w:hAnsiTheme="minorHAnsi" w:cs="EC Square Sans Cond Pro"/>
                <w:color w:val="auto"/>
                <w:sz w:val="16"/>
                <w:szCs w:val="16"/>
                <w:lang w:eastAsia="fr-FR"/>
              </w:rPr>
              <w:t>878.6</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tcPr>
          <w:p w14:paraId="75E103A5" w14:textId="1D1B6362" w:rsidR="00D22E8D" w:rsidRPr="005F4295" w:rsidRDefault="00D22E8D" w:rsidP="00D22E8D">
            <w:pPr>
              <w:spacing w:before="0" w:after="0" w:line="240"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EC Square Sans Cond Pro"/>
                <w:color w:val="auto"/>
                <w:sz w:val="16"/>
                <w:szCs w:val="16"/>
                <w:lang w:eastAsia="fr-FR"/>
              </w:rPr>
            </w:pPr>
            <w:r w:rsidRPr="005F4295">
              <w:rPr>
                <w:rFonts w:asciiTheme="minorHAnsi" w:hAnsiTheme="minorHAnsi" w:cs="EC Square Sans Cond Pro"/>
                <w:color w:val="auto"/>
                <w:sz w:val="16"/>
                <w:szCs w:val="16"/>
                <w:lang w:eastAsia="fr-FR"/>
              </w:rPr>
              <w:t>25</w:t>
            </w:r>
            <w:r w:rsidR="00424863" w:rsidRPr="005F4295">
              <w:rPr>
                <w:rFonts w:asciiTheme="minorHAnsi" w:hAnsiTheme="minorHAnsi" w:cs="EC Square Sans Cond Pro"/>
                <w:color w:val="auto"/>
                <w:sz w:val="16"/>
                <w:szCs w:val="16"/>
                <w:lang w:eastAsia="fr-FR"/>
              </w:rPr>
              <w:t>8.4</w:t>
            </w:r>
          </w:p>
        </w:tc>
        <w:tc>
          <w:tcPr>
            <w:tcW w:w="8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tcPr>
          <w:p w14:paraId="5455BD10" w14:textId="027479DF" w:rsidR="00D22E8D" w:rsidRPr="005F4295" w:rsidRDefault="00D22E8D" w:rsidP="00D22E8D">
            <w:pPr>
              <w:spacing w:before="0" w:after="0" w:line="240"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Calibri"/>
                <w:color w:val="auto"/>
                <w:sz w:val="16"/>
                <w:szCs w:val="16"/>
                <w:lang w:eastAsia="fr-FR"/>
              </w:rPr>
            </w:pPr>
            <w:r w:rsidRPr="005F4295">
              <w:rPr>
                <w:rFonts w:asciiTheme="minorHAnsi" w:hAnsiTheme="minorHAnsi" w:cs="EC Square Sans Cond Pro"/>
                <w:color w:val="auto"/>
                <w:sz w:val="16"/>
                <w:szCs w:val="16"/>
                <w:lang w:eastAsia="fr-FR"/>
              </w:rPr>
              <w:t>1</w:t>
            </w:r>
            <w:r w:rsidRPr="005F4295">
              <w:rPr>
                <w:rFonts w:ascii="Calibri" w:hAnsi="Calibri" w:cs="Calibri"/>
                <w:color w:val="auto"/>
                <w:sz w:val="16"/>
                <w:szCs w:val="16"/>
                <w:lang w:eastAsia="fr-FR"/>
              </w:rPr>
              <w:t> </w:t>
            </w:r>
            <w:r w:rsidR="00424863" w:rsidRPr="005F4295">
              <w:rPr>
                <w:rFonts w:asciiTheme="minorHAnsi" w:hAnsiTheme="minorHAnsi" w:cs="Calibri"/>
                <w:color w:val="auto"/>
                <w:sz w:val="16"/>
                <w:szCs w:val="16"/>
                <w:lang w:eastAsia="fr-FR"/>
              </w:rPr>
              <w:t>136.9</w:t>
            </w:r>
          </w:p>
        </w:tc>
        <w:tc>
          <w:tcPr>
            <w:tcW w:w="101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tcPr>
          <w:p w14:paraId="7842ECD8" w14:textId="25C6DDDA" w:rsidR="00D22E8D" w:rsidRPr="005F4295" w:rsidRDefault="00D03558" w:rsidP="00D22E8D">
            <w:pPr>
              <w:spacing w:before="0" w:after="0" w:line="240"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Calibri"/>
                <w:color w:val="auto"/>
                <w:sz w:val="16"/>
                <w:szCs w:val="16"/>
                <w:lang w:eastAsia="fr-FR"/>
              </w:rPr>
            </w:pPr>
            <w:r w:rsidRPr="005F4295">
              <w:rPr>
                <w:rFonts w:asciiTheme="minorHAnsi" w:hAnsiTheme="minorHAnsi" w:cs="EC Square Sans Cond Pro"/>
                <w:color w:val="auto"/>
                <w:sz w:val="16"/>
                <w:szCs w:val="16"/>
                <w:lang w:eastAsia="fr-FR"/>
              </w:rPr>
              <w:t>166</w:t>
            </w:r>
            <w:r w:rsidRPr="005F4295">
              <w:rPr>
                <w:rFonts w:ascii="Calibri" w:hAnsi="Calibri" w:cs="Calibri"/>
                <w:color w:val="auto"/>
                <w:sz w:val="16"/>
                <w:szCs w:val="16"/>
                <w:lang w:eastAsia="fr-FR"/>
              </w:rPr>
              <w:t> </w:t>
            </w:r>
            <w:r w:rsidRPr="005F4295">
              <w:rPr>
                <w:rFonts w:asciiTheme="minorHAnsi" w:hAnsiTheme="minorHAnsi" w:cs="Calibri"/>
                <w:color w:val="auto"/>
                <w:sz w:val="16"/>
                <w:szCs w:val="16"/>
                <w:lang w:eastAsia="fr-FR"/>
              </w:rPr>
              <w:t>6</w:t>
            </w:r>
            <w:r w:rsidR="00EA4DD5" w:rsidRPr="005F4295">
              <w:rPr>
                <w:rFonts w:asciiTheme="minorHAnsi" w:hAnsiTheme="minorHAnsi" w:cs="Calibri"/>
                <w:color w:val="auto"/>
                <w:sz w:val="16"/>
                <w:szCs w:val="16"/>
                <w:lang w:eastAsia="fr-FR"/>
              </w:rPr>
              <w:t>81</w:t>
            </w:r>
            <w:r w:rsidR="00934A30" w:rsidRPr="005F4295">
              <w:rPr>
                <w:rFonts w:asciiTheme="minorHAnsi" w:hAnsiTheme="minorHAnsi" w:cs="Calibri"/>
                <w:color w:val="auto"/>
                <w:sz w:val="16"/>
                <w:szCs w:val="16"/>
                <w:lang w:eastAsia="fr-FR"/>
              </w:rPr>
              <w:t>.4</w:t>
            </w:r>
          </w:p>
        </w:tc>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tcPr>
          <w:p w14:paraId="3A851919" w14:textId="373AB8DF" w:rsidR="00D22E8D" w:rsidRPr="005F4295" w:rsidRDefault="00C74CDA" w:rsidP="00D22E8D">
            <w:pPr>
              <w:spacing w:before="0" w:after="0" w:line="240"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Calibri"/>
                <w:color w:val="auto"/>
                <w:sz w:val="16"/>
                <w:szCs w:val="16"/>
                <w:lang w:eastAsia="fr-FR"/>
              </w:rPr>
            </w:pPr>
            <w:r w:rsidRPr="005F4295">
              <w:rPr>
                <w:rFonts w:asciiTheme="minorHAnsi" w:hAnsiTheme="minorHAnsi" w:cs="EC Square Sans Cond Pro"/>
                <w:color w:val="auto"/>
                <w:sz w:val="16"/>
                <w:szCs w:val="16"/>
                <w:lang w:eastAsia="fr-FR"/>
              </w:rPr>
              <w:t>6</w:t>
            </w:r>
            <w:r w:rsidRPr="005F4295">
              <w:rPr>
                <w:rFonts w:ascii="Calibri" w:hAnsi="Calibri" w:cs="Calibri"/>
                <w:color w:val="auto"/>
                <w:sz w:val="16"/>
                <w:szCs w:val="16"/>
                <w:lang w:eastAsia="fr-FR"/>
              </w:rPr>
              <w:t> </w:t>
            </w:r>
            <w:r w:rsidRPr="005F4295">
              <w:rPr>
                <w:rFonts w:asciiTheme="minorHAnsi" w:hAnsiTheme="minorHAnsi" w:cs="Calibri"/>
                <w:color w:val="auto"/>
                <w:sz w:val="16"/>
                <w:szCs w:val="16"/>
                <w:lang w:eastAsia="fr-FR"/>
              </w:rPr>
              <w:t>738</w:t>
            </w:r>
            <w:r w:rsidR="00D46635" w:rsidRPr="005F4295">
              <w:rPr>
                <w:rFonts w:asciiTheme="minorHAnsi" w:hAnsiTheme="minorHAnsi" w:cs="Calibri"/>
                <w:color w:val="auto"/>
                <w:sz w:val="16"/>
                <w:szCs w:val="16"/>
                <w:lang w:eastAsia="fr-FR"/>
              </w:rPr>
              <w:t>.</w:t>
            </w:r>
            <w:r w:rsidRPr="005F4295">
              <w:rPr>
                <w:rFonts w:asciiTheme="minorHAnsi" w:hAnsiTheme="minorHAnsi" w:cs="Calibri"/>
                <w:color w:val="auto"/>
                <w:sz w:val="16"/>
                <w:szCs w:val="16"/>
                <w:lang w:eastAsia="fr-FR"/>
              </w:rPr>
              <w:t>2</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vAlign w:val="center"/>
          </w:tcPr>
          <w:p w14:paraId="1F20AD06" w14:textId="79334F53" w:rsidR="00D22E8D" w:rsidRPr="005F4295" w:rsidRDefault="00C74CDA" w:rsidP="00D22E8D">
            <w:pPr>
              <w:spacing w:before="0" w:after="0" w:line="240"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Calibri"/>
                <w:color w:val="auto"/>
                <w:sz w:val="16"/>
                <w:szCs w:val="16"/>
                <w:lang w:eastAsia="fr-FR"/>
              </w:rPr>
            </w:pPr>
            <w:r w:rsidRPr="005F4295">
              <w:rPr>
                <w:rFonts w:asciiTheme="minorHAnsi" w:hAnsiTheme="minorHAnsi" w:cs="EC Square Sans Cond Pro"/>
                <w:color w:val="auto"/>
                <w:sz w:val="16"/>
                <w:szCs w:val="16"/>
                <w:lang w:eastAsia="fr-FR"/>
              </w:rPr>
              <w:t>1</w:t>
            </w:r>
            <w:r w:rsidRPr="005F4295">
              <w:rPr>
                <w:rFonts w:ascii="Calibri" w:hAnsi="Calibri" w:cs="Calibri"/>
                <w:color w:val="auto"/>
                <w:sz w:val="16"/>
                <w:szCs w:val="16"/>
                <w:lang w:eastAsia="fr-FR"/>
              </w:rPr>
              <w:t> </w:t>
            </w:r>
            <w:r w:rsidRPr="005F4295">
              <w:rPr>
                <w:rFonts w:asciiTheme="minorHAnsi" w:hAnsiTheme="minorHAnsi" w:cs="Calibri"/>
                <w:color w:val="auto"/>
                <w:sz w:val="16"/>
                <w:szCs w:val="16"/>
                <w:lang w:eastAsia="fr-FR"/>
              </w:rPr>
              <w:t>164</w:t>
            </w:r>
            <w:r w:rsidR="00D46635" w:rsidRPr="005F4295">
              <w:rPr>
                <w:rFonts w:asciiTheme="minorHAnsi" w:hAnsiTheme="minorHAnsi" w:cs="Calibri"/>
                <w:color w:val="auto"/>
                <w:sz w:val="16"/>
                <w:szCs w:val="16"/>
                <w:lang w:eastAsia="fr-FR"/>
              </w:rPr>
              <w:t>.</w:t>
            </w:r>
            <w:r w:rsidRPr="005F4295">
              <w:rPr>
                <w:rFonts w:asciiTheme="minorHAnsi" w:hAnsiTheme="minorHAnsi" w:cs="Calibri"/>
                <w:color w:val="auto"/>
                <w:sz w:val="16"/>
                <w:szCs w:val="16"/>
                <w:lang w:eastAsia="fr-FR"/>
              </w:rPr>
              <w:t>7</w:t>
            </w:r>
          </w:p>
        </w:tc>
        <w:tc>
          <w:tcPr>
            <w:tcW w:w="68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tcPr>
          <w:p w14:paraId="439A89F5" w14:textId="7DF1D870" w:rsidR="00D22E8D" w:rsidRPr="005F4295" w:rsidRDefault="00C74CDA" w:rsidP="00D22E8D">
            <w:pPr>
              <w:spacing w:before="0" w:after="0" w:line="240"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Calibri"/>
                <w:color w:val="auto"/>
                <w:sz w:val="16"/>
                <w:szCs w:val="16"/>
                <w:lang w:eastAsia="fr-FR"/>
              </w:rPr>
            </w:pPr>
            <w:r w:rsidRPr="005F4295">
              <w:rPr>
                <w:rFonts w:asciiTheme="minorHAnsi" w:hAnsiTheme="minorHAnsi" w:cs="EC Square Sans Cond Pro"/>
                <w:color w:val="auto"/>
                <w:sz w:val="16"/>
                <w:szCs w:val="16"/>
                <w:lang w:eastAsia="fr-FR"/>
              </w:rPr>
              <w:t>7</w:t>
            </w:r>
            <w:r w:rsidRPr="005F4295">
              <w:rPr>
                <w:rFonts w:ascii="Calibri" w:hAnsi="Calibri" w:cs="Calibri"/>
                <w:color w:val="auto"/>
                <w:sz w:val="16"/>
                <w:szCs w:val="16"/>
                <w:lang w:eastAsia="fr-FR"/>
              </w:rPr>
              <w:t> </w:t>
            </w:r>
            <w:r w:rsidRPr="005F4295">
              <w:rPr>
                <w:rFonts w:asciiTheme="minorHAnsi" w:hAnsiTheme="minorHAnsi" w:cs="Calibri"/>
                <w:color w:val="auto"/>
                <w:sz w:val="16"/>
                <w:szCs w:val="16"/>
                <w:lang w:eastAsia="fr-FR"/>
              </w:rPr>
              <w:t>902</w:t>
            </w:r>
            <w:r w:rsidR="00D46635" w:rsidRPr="005F4295">
              <w:rPr>
                <w:rFonts w:asciiTheme="minorHAnsi" w:hAnsiTheme="minorHAnsi" w:cs="Calibri"/>
                <w:color w:val="auto"/>
                <w:sz w:val="16"/>
                <w:szCs w:val="16"/>
                <w:lang w:eastAsia="fr-FR"/>
              </w:rPr>
              <w:t>.9</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tcPr>
          <w:p w14:paraId="1AAB607C" w14:textId="336C0676" w:rsidR="00D22E8D" w:rsidRPr="005F4295" w:rsidRDefault="00D46635" w:rsidP="00D22E8D">
            <w:pPr>
              <w:spacing w:before="0" w:after="0" w:line="240"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Calibri"/>
                <w:color w:val="auto"/>
                <w:sz w:val="16"/>
                <w:szCs w:val="16"/>
                <w:lang w:eastAsia="en-IE"/>
              </w:rPr>
            </w:pPr>
            <w:r w:rsidRPr="005F4295">
              <w:rPr>
                <w:rFonts w:asciiTheme="minorHAnsi" w:hAnsiTheme="minorHAnsi" w:cs="Calibri"/>
                <w:color w:val="auto"/>
                <w:sz w:val="16"/>
                <w:szCs w:val="16"/>
                <w:lang w:eastAsia="en-IE"/>
              </w:rPr>
              <w:t>4</w:t>
            </w:r>
            <w:r w:rsidR="00B95456" w:rsidRPr="005F4295">
              <w:rPr>
                <w:rFonts w:asciiTheme="minorHAnsi" w:hAnsiTheme="minorHAnsi" w:cs="Calibri"/>
                <w:color w:val="auto"/>
                <w:sz w:val="16"/>
                <w:szCs w:val="16"/>
                <w:lang w:eastAsia="en-IE"/>
              </w:rPr>
              <w:t>.</w:t>
            </w:r>
            <w:r w:rsidRPr="005F4295">
              <w:rPr>
                <w:rFonts w:asciiTheme="minorHAnsi" w:hAnsiTheme="minorHAnsi" w:cs="Calibri"/>
                <w:color w:val="auto"/>
                <w:sz w:val="16"/>
                <w:szCs w:val="16"/>
                <w:lang w:eastAsia="en-IE"/>
              </w:rPr>
              <w:t>74</w:t>
            </w:r>
            <w:r w:rsidR="00357D7F" w:rsidRPr="005F4295">
              <w:rPr>
                <w:rFonts w:asciiTheme="minorHAnsi" w:hAnsiTheme="minorHAnsi" w:cs="Calibri"/>
                <w:color w:val="auto"/>
                <w:sz w:val="16"/>
                <w:szCs w:val="16"/>
                <w:lang w:eastAsia="en-IE"/>
              </w:rPr>
              <w:t xml:space="preserve">% </w:t>
            </w:r>
          </w:p>
        </w:tc>
        <w:tc>
          <w:tcPr>
            <w:tcW w:w="907"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FEDEC6" w:themeFill="accent2" w:themeFillTint="33"/>
            <w:noWrap/>
            <w:vAlign w:val="center"/>
          </w:tcPr>
          <w:p w14:paraId="3BA13EC7" w14:textId="00585FF6" w:rsidR="00D22E8D" w:rsidRPr="005F4295" w:rsidRDefault="00B95456" w:rsidP="00D22E8D">
            <w:pPr>
              <w:spacing w:before="0" w:after="0" w:line="240"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Calibri"/>
                <w:noProof/>
                <w:color w:val="auto"/>
                <w:sz w:val="16"/>
                <w:szCs w:val="16"/>
                <w:lang w:eastAsia="en-IE"/>
              </w:rPr>
            </w:pPr>
            <w:r w:rsidRPr="005F4295">
              <w:rPr>
                <w:rFonts w:asciiTheme="minorHAnsi" w:hAnsiTheme="minorHAnsi" w:cs="Calibri"/>
                <w:noProof/>
                <w:color w:val="auto"/>
                <w:sz w:val="16"/>
                <w:szCs w:val="16"/>
                <w:lang w:eastAsia="en-IE"/>
              </w:rPr>
              <w:t>9</w:t>
            </w:r>
            <w:r w:rsidRPr="005F4295">
              <w:rPr>
                <w:rFonts w:ascii="Calibri" w:hAnsi="Calibri" w:cs="Calibri"/>
                <w:noProof/>
                <w:color w:val="auto"/>
                <w:sz w:val="16"/>
                <w:szCs w:val="16"/>
                <w:lang w:eastAsia="en-IE"/>
              </w:rPr>
              <w:t> </w:t>
            </w:r>
            <w:r w:rsidR="00424863" w:rsidRPr="005F4295">
              <w:rPr>
                <w:rFonts w:asciiTheme="minorHAnsi" w:hAnsiTheme="minorHAnsi" w:cs="Calibri"/>
                <w:noProof/>
                <w:color w:val="auto"/>
                <w:sz w:val="16"/>
                <w:szCs w:val="16"/>
                <w:lang w:eastAsia="en-IE"/>
              </w:rPr>
              <w:t>039</w:t>
            </w:r>
            <w:r w:rsidRPr="005F4295">
              <w:rPr>
                <w:rFonts w:asciiTheme="minorHAnsi" w:hAnsiTheme="minorHAnsi" w:cs="Calibri"/>
                <w:noProof/>
                <w:color w:val="auto"/>
                <w:sz w:val="16"/>
                <w:szCs w:val="16"/>
                <w:lang w:eastAsia="en-IE"/>
              </w:rPr>
              <w:t>.</w:t>
            </w:r>
            <w:r w:rsidR="00424863" w:rsidRPr="005F4295">
              <w:rPr>
                <w:rFonts w:asciiTheme="minorHAnsi" w:hAnsiTheme="minorHAnsi" w:cs="Calibri"/>
                <w:noProof/>
                <w:color w:val="auto"/>
                <w:sz w:val="16"/>
                <w:szCs w:val="16"/>
                <w:lang w:eastAsia="en-IE"/>
              </w:rPr>
              <w:t>9</w:t>
            </w:r>
          </w:p>
        </w:tc>
      </w:tr>
    </w:tbl>
    <w:p w14:paraId="544B02A5" w14:textId="0D972948" w:rsidR="00EB70E0" w:rsidRPr="005F4295" w:rsidRDefault="00EB70E0" w:rsidP="00EB70E0">
      <w:pPr>
        <w:pStyle w:val="TableNotes"/>
        <w:ind w:left="284" w:hanging="284"/>
        <w:rPr>
          <w:rFonts w:ascii="EC Square Sans Pro" w:hAnsi="EC Square Sans Pro"/>
        </w:rPr>
      </w:pPr>
      <w:r w:rsidRPr="005F4295">
        <w:t>(a)</w:t>
      </w:r>
      <w:r w:rsidRPr="005F4295">
        <w:rPr>
          <w:rFonts w:ascii="EC Square Sans Pro" w:hAnsi="EC Square Sans Pro"/>
        </w:rPr>
        <w:tab/>
        <w:t>For shared management</w:t>
      </w:r>
      <w:r w:rsidR="000C6856" w:rsidRPr="005F4295">
        <w:rPr>
          <w:rFonts w:ascii="EC Square Sans Pro" w:hAnsi="EC Square Sans Pro"/>
        </w:rPr>
        <w:t>,</w:t>
      </w:r>
      <w:r w:rsidRPr="005F4295">
        <w:rPr>
          <w:rFonts w:ascii="EC Square Sans Pro" w:hAnsi="EC Square Sans Pro"/>
        </w:rPr>
        <w:t xml:space="preserve"> details for each Member State are provided in the annual activity reports of DG Employment</w:t>
      </w:r>
      <w:r w:rsidR="00244417" w:rsidRPr="005F4295">
        <w:rPr>
          <w:rFonts w:ascii="EC Square Sans Pro" w:hAnsi="EC Square Sans Pro"/>
        </w:rPr>
        <w:t>.</w:t>
      </w:r>
      <w:r w:rsidRPr="005F4295">
        <w:rPr>
          <w:rFonts w:ascii="EC Square Sans Pro" w:hAnsi="EC Square Sans Pro"/>
        </w:rPr>
        <w:t xml:space="preserve"> Social Affairs and Inclusion</w:t>
      </w:r>
      <w:r w:rsidR="000C6856" w:rsidRPr="005F4295">
        <w:rPr>
          <w:rFonts w:ascii="EC Square Sans Pro" w:hAnsi="EC Square Sans Pro"/>
        </w:rPr>
        <w:t>,</w:t>
      </w:r>
      <w:r w:rsidRPr="005F4295">
        <w:rPr>
          <w:rFonts w:ascii="EC Square Sans Pro" w:hAnsi="EC Square Sans Pro"/>
        </w:rPr>
        <w:t xml:space="preserve"> DG Agriculture and Rural Development</w:t>
      </w:r>
      <w:r w:rsidR="000C6856" w:rsidRPr="005F4295">
        <w:rPr>
          <w:rFonts w:ascii="EC Square Sans Pro" w:hAnsi="EC Square Sans Pro"/>
        </w:rPr>
        <w:t>,</w:t>
      </w:r>
      <w:r w:rsidRPr="005F4295">
        <w:rPr>
          <w:rFonts w:ascii="EC Square Sans Pro" w:hAnsi="EC Square Sans Pro"/>
        </w:rPr>
        <w:t xml:space="preserve"> DG Maritime Affairs and Fisheries</w:t>
      </w:r>
      <w:r w:rsidR="000C6856" w:rsidRPr="005F4295">
        <w:rPr>
          <w:rFonts w:ascii="EC Square Sans Pro" w:hAnsi="EC Square Sans Pro"/>
        </w:rPr>
        <w:t>,</w:t>
      </w:r>
      <w:r w:rsidRPr="005F4295">
        <w:rPr>
          <w:rFonts w:ascii="EC Square Sans Pro" w:hAnsi="EC Square Sans Pro"/>
        </w:rPr>
        <w:t xml:space="preserve"> DG Regional and Urban Policy and DG Migration and Home Affairs.</w:t>
      </w:r>
    </w:p>
    <w:p w14:paraId="178EF404" w14:textId="017C32C5" w:rsidR="00EB70E0" w:rsidRPr="005F4295" w:rsidRDefault="00EB70E0" w:rsidP="00EB70E0">
      <w:pPr>
        <w:pStyle w:val="TableNotes"/>
        <w:ind w:left="284" w:hanging="284"/>
        <w:rPr>
          <w:rFonts w:ascii="EC Square Sans Pro" w:hAnsi="EC Square Sans Pro"/>
        </w:rPr>
      </w:pPr>
      <w:r w:rsidRPr="005F4295">
        <w:rPr>
          <w:rFonts w:ascii="EC Square Sans Pro" w:hAnsi="EC Square Sans Pro"/>
        </w:rPr>
        <w:t>(f)</w:t>
      </w:r>
      <w:r w:rsidRPr="005F4295">
        <w:rPr>
          <w:rFonts w:ascii="EC Square Sans Pro" w:hAnsi="EC Square Sans Pro"/>
        </w:rPr>
        <w:tab/>
        <w:t xml:space="preserve">The total </w:t>
      </w:r>
      <w:r w:rsidRPr="005F4295">
        <w:rPr>
          <w:rFonts w:asciiTheme="majorHAnsi" w:hAnsiTheme="majorHAnsi"/>
        </w:rPr>
        <w:t>of EUR</w:t>
      </w:r>
      <w:r w:rsidRPr="005F4295">
        <w:rPr>
          <w:rFonts w:ascii="Calibri" w:hAnsi="Calibri" w:cs="Calibri"/>
        </w:rPr>
        <w:t> </w:t>
      </w:r>
      <w:r w:rsidR="000711E1" w:rsidRPr="005F4295">
        <w:rPr>
          <w:rFonts w:asciiTheme="majorHAnsi" w:hAnsiTheme="majorHAnsi"/>
        </w:rPr>
        <w:t>1</w:t>
      </w:r>
      <w:r w:rsidR="000711E1" w:rsidRPr="005F4295">
        <w:rPr>
          <w:rFonts w:ascii="Calibri" w:hAnsi="Calibri" w:cs="Calibri"/>
        </w:rPr>
        <w:t> </w:t>
      </w:r>
      <w:r w:rsidR="000711E1" w:rsidRPr="005F4295">
        <w:rPr>
          <w:rFonts w:asciiTheme="majorHAnsi" w:hAnsiTheme="majorHAnsi" w:cs="Calibri"/>
        </w:rPr>
        <w:t>164.7</w:t>
      </w:r>
      <w:r w:rsidR="001D6C4C" w:rsidRPr="005F4295">
        <w:rPr>
          <w:rFonts w:ascii="Calibri" w:hAnsi="Calibri" w:cs="Calibri"/>
        </w:rPr>
        <w:t> </w:t>
      </w:r>
      <w:r w:rsidRPr="005F4295">
        <w:rPr>
          <w:rFonts w:asciiTheme="majorHAnsi" w:hAnsiTheme="majorHAnsi"/>
        </w:rPr>
        <w:t>million of</w:t>
      </w:r>
      <w:r w:rsidRPr="005F4295">
        <w:rPr>
          <w:rFonts w:ascii="EC Square Sans Pro" w:hAnsi="EC Square Sans Pro"/>
        </w:rPr>
        <w:t xml:space="preserve"> corrective EU controls is composed of: (i) the amounts booked in the Commission’s accounting system</w:t>
      </w:r>
      <w:r w:rsidR="00110C0A" w:rsidRPr="005F4295">
        <w:rPr>
          <w:rFonts w:ascii="EC Square Sans Pro" w:hAnsi="EC Square Sans Pro"/>
          <w:bCs/>
        </w:rPr>
        <w:t>,</w:t>
      </w:r>
      <w:r w:rsidRPr="005F4295">
        <w:rPr>
          <w:rFonts w:ascii="EC Square Sans Pro" w:hAnsi="EC Square Sans Pro"/>
        </w:rPr>
        <w:t xml:space="preserve"> including recovery orders issued by the Commission in all headings and the financial corrections in the agriculture sector; and (ii) for cohesion</w:t>
      </w:r>
      <w:r w:rsidR="00E564DE" w:rsidRPr="005F4295">
        <w:rPr>
          <w:rFonts w:ascii="EC Square Sans Pro" w:hAnsi="EC Square Sans Pro"/>
        </w:rPr>
        <w:t>,</w:t>
      </w:r>
      <w:r w:rsidRPr="005F4295">
        <w:rPr>
          <w:rFonts w:ascii="EC Square Sans Pro" w:hAnsi="EC Square Sans Pro"/>
        </w:rPr>
        <w:t xml:space="preserve"> amounts decided and agreed following the Commission’s audits (and the follow-up of European Anti-Fraud Office investigations and Court of Auditors audits) implemented directly by the Member States (EUR</w:t>
      </w:r>
      <w:r w:rsidRPr="005F4295">
        <w:rPr>
          <w:rFonts w:ascii="Calibri" w:hAnsi="Calibri" w:cs="Calibri"/>
        </w:rPr>
        <w:t> </w:t>
      </w:r>
      <w:r w:rsidR="00582088" w:rsidRPr="005F4295">
        <w:rPr>
          <w:rFonts w:ascii="EC Square Sans Pro" w:hAnsi="EC Square Sans Pro"/>
        </w:rPr>
        <w:t>219.7</w:t>
      </w:r>
      <w:r w:rsidR="001D6C4C" w:rsidRPr="005F4295">
        <w:rPr>
          <w:rFonts w:ascii="Calibri" w:hAnsi="Calibri" w:cs="Calibri"/>
        </w:rPr>
        <w:t> </w:t>
      </w:r>
      <w:r w:rsidRPr="005F4295">
        <w:rPr>
          <w:rFonts w:ascii="EC Square Sans Pro" w:hAnsi="EC Square Sans Pro"/>
        </w:rPr>
        <w:t>million</w:t>
      </w:r>
      <w:r w:rsidRPr="005F4295">
        <w:rPr>
          <w:rFonts w:ascii="EC Square Sans Pro" w:hAnsi="EC Square Sans Pro"/>
          <w:bCs/>
        </w:rPr>
        <w:t>)</w:t>
      </w:r>
      <w:r w:rsidR="001D6C4C" w:rsidRPr="005F4295">
        <w:rPr>
          <w:rFonts w:ascii="EC Square Sans Pro" w:hAnsi="EC Square Sans Pro"/>
          <w:bCs/>
        </w:rPr>
        <w:t>, along with</w:t>
      </w:r>
      <w:r w:rsidRPr="005F4295">
        <w:rPr>
          <w:rFonts w:ascii="EC Square Sans Pro" w:hAnsi="EC Square Sans Pro"/>
        </w:rPr>
        <w:t xml:space="preserve"> corrections</w:t>
      </w:r>
      <w:r w:rsidR="00E564DE" w:rsidRPr="005F4295">
        <w:rPr>
          <w:rFonts w:ascii="EC Square Sans Pro" w:hAnsi="EC Square Sans Pro"/>
        </w:rPr>
        <w:t xml:space="preserve"> implemented by the Commission</w:t>
      </w:r>
      <w:r w:rsidRPr="005F4295">
        <w:rPr>
          <w:rFonts w:ascii="EC Square Sans Pro" w:hAnsi="EC Square Sans Pro"/>
        </w:rPr>
        <w:t xml:space="preserve"> (EUR</w:t>
      </w:r>
      <w:r w:rsidRPr="005F4295">
        <w:rPr>
          <w:rFonts w:ascii="Calibri" w:hAnsi="Calibri" w:cs="Calibri"/>
        </w:rPr>
        <w:t> </w:t>
      </w:r>
      <w:r w:rsidR="00582088" w:rsidRPr="005F4295">
        <w:rPr>
          <w:rFonts w:ascii="EC Square Sans Pro" w:hAnsi="EC Square Sans Pro"/>
        </w:rPr>
        <w:t>73.3</w:t>
      </w:r>
      <w:r w:rsidRPr="005F4295">
        <w:rPr>
          <w:rFonts w:ascii="Calibri" w:hAnsi="Calibri" w:cs="Calibri"/>
        </w:rPr>
        <w:t> </w:t>
      </w:r>
      <w:r w:rsidRPr="005F4295">
        <w:rPr>
          <w:rFonts w:ascii="EC Square Sans Pro" w:hAnsi="EC Square Sans Pro"/>
        </w:rPr>
        <w:t>million).</w:t>
      </w:r>
    </w:p>
    <w:p w14:paraId="6233EB02" w14:textId="1F4FA80B" w:rsidR="00EB70E0" w:rsidRPr="005F4295" w:rsidRDefault="00EB70E0" w:rsidP="001C4D66">
      <w:pPr>
        <w:pStyle w:val="TableNotes"/>
        <w:tabs>
          <w:tab w:val="clear" w:pos="284"/>
        </w:tabs>
        <w:rPr>
          <w:rFonts w:ascii="EC Square Sans Pro" w:hAnsi="EC Square Sans Pro"/>
          <w:noProof/>
        </w:rPr>
      </w:pPr>
      <w:r w:rsidRPr="005F4295">
        <w:rPr>
          <w:rFonts w:ascii="EC Square Sans Pro" w:hAnsi="EC Square Sans Pro"/>
          <w:noProof/>
        </w:rPr>
        <w:t xml:space="preserve">An overview of amounts recommended for recovery and prevention from undue spending following the European Anti-Fraud Office’s investigative activities can be found in </w:t>
      </w:r>
      <w:r w:rsidR="005E235A" w:rsidRPr="005F4295">
        <w:rPr>
          <w:rFonts w:ascii="EC Square Sans Pro" w:hAnsi="EC Square Sans Pro"/>
          <w:noProof/>
        </w:rPr>
        <w:t>Volume</w:t>
      </w:r>
      <w:r w:rsidR="002870E4" w:rsidRPr="005F4295">
        <w:rPr>
          <w:rFonts w:ascii="Calibri" w:hAnsi="Calibri" w:cs="Calibri"/>
          <w:noProof/>
        </w:rPr>
        <w:t> </w:t>
      </w:r>
      <w:r w:rsidR="005E235A" w:rsidRPr="005F4295">
        <w:rPr>
          <w:rFonts w:ascii="EC Square Sans Pro" w:hAnsi="EC Square Sans Pro"/>
          <w:noProof/>
        </w:rPr>
        <w:t>II of the AMPR, Annex</w:t>
      </w:r>
      <w:r w:rsidR="002870E4" w:rsidRPr="005F4295">
        <w:rPr>
          <w:rFonts w:ascii="Calibri" w:hAnsi="Calibri" w:cs="Calibri"/>
          <w:noProof/>
        </w:rPr>
        <w:t> </w:t>
      </w:r>
      <w:r w:rsidR="005E235A" w:rsidRPr="005F4295">
        <w:rPr>
          <w:rFonts w:ascii="EC Square Sans Pro" w:hAnsi="EC Square Sans Pro"/>
          <w:noProof/>
        </w:rPr>
        <w:t xml:space="preserve">2, </w:t>
      </w:r>
      <w:r w:rsidRPr="005F4295">
        <w:rPr>
          <w:rFonts w:ascii="EC Square Sans Pro" w:hAnsi="EC Square Sans Pro"/>
          <w:noProof/>
        </w:rPr>
        <w:t>Section</w:t>
      </w:r>
      <w:r w:rsidRPr="005F4295">
        <w:rPr>
          <w:rFonts w:ascii="Calibri" w:hAnsi="Calibri" w:cs="Calibri"/>
          <w:noProof/>
        </w:rPr>
        <w:t> </w:t>
      </w:r>
      <w:r w:rsidRPr="005F4295">
        <w:rPr>
          <w:rFonts w:ascii="EC Square Sans Pro" w:hAnsi="EC Square Sans Pro"/>
          <w:noProof/>
        </w:rPr>
        <w:t>1.5.</w:t>
      </w:r>
    </w:p>
    <w:p w14:paraId="7CCB9659" w14:textId="507F69B3" w:rsidR="00EB70E0" w:rsidRPr="005F4295" w:rsidRDefault="00EB70E0" w:rsidP="00EB70E0">
      <w:pPr>
        <w:pStyle w:val="TableNotes"/>
        <w:rPr>
          <w:rFonts w:ascii="EC Square Sans Pro" w:hAnsi="EC Square Sans Pro"/>
        </w:rPr>
      </w:pPr>
      <w:r w:rsidRPr="005F4295">
        <w:rPr>
          <w:rFonts w:ascii="EC Square Sans Pro" w:hAnsi="EC Square Sans Pro"/>
        </w:rPr>
        <w:t>NB: Due to the rounding of figures to the nearest million</w:t>
      </w:r>
      <w:r w:rsidR="002870E4" w:rsidRPr="005F4295">
        <w:rPr>
          <w:rFonts w:ascii="Calibri" w:hAnsi="Calibri" w:cs="Calibri"/>
        </w:rPr>
        <w:t xml:space="preserve"> </w:t>
      </w:r>
      <w:r w:rsidRPr="005F4295">
        <w:rPr>
          <w:rFonts w:ascii="EC Square Sans Pro" w:hAnsi="EC Square Sans Pro"/>
        </w:rPr>
        <w:t>EUR</w:t>
      </w:r>
      <w:r w:rsidR="002870E4" w:rsidRPr="005F4295">
        <w:rPr>
          <w:rFonts w:ascii="EC Square Sans Pro" w:hAnsi="EC Square Sans Pro"/>
        </w:rPr>
        <w:t>,</w:t>
      </w:r>
      <w:r w:rsidRPr="005F4295">
        <w:rPr>
          <w:rFonts w:ascii="EC Square Sans Pro" w:hAnsi="EC Square Sans Pro"/>
        </w:rPr>
        <w:t xml:space="preserve"> some financial data in the table above may appear not to add up.</w:t>
      </w:r>
    </w:p>
    <w:p w14:paraId="2953C061" w14:textId="77777777" w:rsidR="00EB70E0" w:rsidRPr="005F4295" w:rsidRDefault="00EB70E0" w:rsidP="00EB70E0">
      <w:pPr>
        <w:pStyle w:val="TableSource"/>
        <w:rPr>
          <w:rFonts w:ascii="EC Square Sans Pro" w:hAnsi="EC Square Sans Pro"/>
          <w:i/>
        </w:rPr>
      </w:pPr>
      <w:r w:rsidRPr="005F4295">
        <w:rPr>
          <w:rStyle w:val="Italic"/>
        </w:rPr>
        <w:t xml:space="preserve">Source: </w:t>
      </w:r>
      <w:r w:rsidRPr="005F4295">
        <w:rPr>
          <w:rFonts w:ascii="EC Square Sans Pro" w:hAnsi="EC Square Sans Pro"/>
        </w:rPr>
        <w:t>European Commission annual activity reports.</w:t>
      </w:r>
    </w:p>
    <w:p w14:paraId="0D082062" w14:textId="3FDC309B" w:rsidR="00EB70E0" w:rsidRPr="005F4295" w:rsidRDefault="00EB70E0" w:rsidP="00EB70E0">
      <w:pPr>
        <w:pStyle w:val="HeadingMan-NumT-AnnexesL3-111"/>
        <w:spacing w:before="600"/>
        <w:rPr>
          <w:rFonts w:ascii="EC Square Sans Pro" w:hAnsi="EC Square Sans Pro"/>
        </w:rPr>
      </w:pPr>
      <w:bookmarkStart w:id="54" w:name="_Toc229386272"/>
      <w:r w:rsidRPr="005F4295">
        <w:rPr>
          <w:rFonts w:ascii="EC Square Sans Pro" w:hAnsi="EC Square Sans Pro"/>
        </w:rPr>
        <w:t>5.4.1.</w:t>
      </w:r>
      <w:r w:rsidRPr="005F4295">
        <w:rPr>
          <w:rFonts w:ascii="EC Square Sans Pro" w:hAnsi="EC Square Sans Pro"/>
        </w:rPr>
        <w:tab/>
        <w:t>Cohesion</w:t>
      </w:r>
      <w:r w:rsidR="001C2704" w:rsidRPr="005F4295">
        <w:rPr>
          <w:rFonts w:ascii="EC Square Sans Pro" w:hAnsi="EC Square Sans Pro"/>
          <w:noProof/>
        </w:rPr>
        <w:t>,</w:t>
      </w:r>
      <w:r w:rsidRPr="005F4295">
        <w:rPr>
          <w:rFonts w:ascii="EC Square Sans Pro" w:hAnsi="EC Square Sans Pro"/>
        </w:rPr>
        <w:t xml:space="preserve"> resilience and values</w:t>
      </w:r>
      <w:bookmarkEnd w:id="54"/>
    </w:p>
    <w:p w14:paraId="0BCF0C99" w14:textId="4C4DB4A7" w:rsidR="00EB70E0" w:rsidRPr="005F4295" w:rsidRDefault="00EB70E0" w:rsidP="00EB70E0">
      <w:r w:rsidRPr="005F4295">
        <w:t>Under this heading</w:t>
      </w:r>
      <w:r w:rsidR="006E6F23" w:rsidRPr="005F4295">
        <w:rPr>
          <w:noProof/>
        </w:rPr>
        <w:t>,</w:t>
      </w:r>
      <w:r w:rsidRPr="005F4295">
        <w:t xml:space="preserve"> </w:t>
      </w:r>
      <w:r w:rsidRPr="005F4295">
        <w:rPr>
          <w:rStyle w:val="Bold"/>
          <w:rFonts w:eastAsiaTheme="majorEastAsia"/>
        </w:rPr>
        <w:t xml:space="preserve">preventive measures </w:t>
      </w:r>
      <w:r w:rsidRPr="005F4295">
        <w:t>(EUR</w:t>
      </w:r>
      <w:r w:rsidRPr="005F4295">
        <w:rPr>
          <w:rFonts w:ascii="Calibri" w:hAnsi="Calibri" w:cs="Calibri"/>
        </w:rPr>
        <w:t> </w:t>
      </w:r>
      <w:r w:rsidR="000D244B" w:rsidRPr="005F4295">
        <w:t>590.2</w:t>
      </w:r>
      <w:r w:rsidR="00186735" w:rsidRPr="005F4295">
        <w:rPr>
          <w:rFonts w:ascii="Calibri" w:hAnsi="Calibri" w:cs="Calibri"/>
        </w:rPr>
        <w:t> </w:t>
      </w:r>
      <w:r w:rsidRPr="005F4295">
        <w:rPr>
          <w:rFonts w:cs="Calibri"/>
        </w:rPr>
        <w:t>million)</w:t>
      </w:r>
      <w:r w:rsidRPr="005F4295">
        <w:t xml:space="preserve"> implemented in </w:t>
      </w:r>
      <w:r w:rsidRPr="005F4295">
        <w:rPr>
          <w:noProof/>
        </w:rPr>
        <w:t>202</w:t>
      </w:r>
      <w:r w:rsidR="00186735" w:rsidRPr="005F4295">
        <w:rPr>
          <w:noProof/>
        </w:rPr>
        <w:t>5</w:t>
      </w:r>
      <w:r w:rsidRPr="005F4295">
        <w:t xml:space="preserve"> relate </w:t>
      </w:r>
      <w:r w:rsidR="009838D1" w:rsidRPr="005F4295">
        <w:rPr>
          <w:noProof/>
        </w:rPr>
        <w:t xml:space="preserve">primarily </w:t>
      </w:r>
      <w:r w:rsidRPr="005F4295">
        <w:t>to the cohesion policy funds for the 2021-2027 programming period</w:t>
      </w:r>
      <w:r w:rsidR="00E03E22" w:rsidRPr="005F4295">
        <w:rPr>
          <w:noProof/>
        </w:rPr>
        <w:t xml:space="preserve"> and</w:t>
      </w:r>
      <w:r w:rsidRPr="005F4295">
        <w:t xml:space="preserve"> are </w:t>
      </w:r>
      <w:r w:rsidR="00E03E22" w:rsidRPr="005F4295">
        <w:rPr>
          <w:noProof/>
        </w:rPr>
        <w:t>slightly higher</w:t>
      </w:r>
      <w:r w:rsidRPr="005F4295">
        <w:t xml:space="preserve"> than in </w:t>
      </w:r>
      <w:r w:rsidRPr="005F4295">
        <w:rPr>
          <w:noProof/>
        </w:rPr>
        <w:t>202</w:t>
      </w:r>
      <w:r w:rsidR="00186735" w:rsidRPr="005F4295">
        <w:rPr>
          <w:noProof/>
        </w:rPr>
        <w:t>4</w:t>
      </w:r>
      <w:r w:rsidRPr="005F4295" w:rsidDel="009B61B2">
        <w:t xml:space="preserve"> </w:t>
      </w:r>
      <w:r w:rsidRPr="005F4295">
        <w:t>(EUR</w:t>
      </w:r>
      <w:r w:rsidRPr="005F4295">
        <w:rPr>
          <w:rFonts w:ascii="Calibri" w:hAnsi="Calibri" w:cs="Calibri"/>
        </w:rPr>
        <w:t> </w:t>
      </w:r>
      <w:r w:rsidR="00186735" w:rsidRPr="005F4295">
        <w:t>580</w:t>
      </w:r>
      <w:r w:rsidR="00186735" w:rsidRPr="005F4295">
        <w:rPr>
          <w:rFonts w:ascii="Calibri" w:hAnsi="Calibri" w:cs="Calibri"/>
        </w:rPr>
        <w:t> </w:t>
      </w:r>
      <w:r w:rsidRPr="005F4295">
        <w:t>million</w:t>
      </w:r>
      <w:r w:rsidRPr="005F4295">
        <w:rPr>
          <w:noProof/>
        </w:rPr>
        <w:t>)</w:t>
      </w:r>
      <w:r w:rsidR="008C4449" w:rsidRPr="005F4295">
        <w:rPr>
          <w:noProof/>
        </w:rPr>
        <w:t>.</w:t>
      </w:r>
      <w:r w:rsidR="00AB3FB2" w:rsidRPr="005F4295">
        <w:rPr>
          <w:noProof/>
        </w:rPr>
        <w:t xml:space="preserve"> </w:t>
      </w:r>
      <w:r w:rsidR="005B53EB" w:rsidRPr="005F4295">
        <w:rPr>
          <w:noProof/>
        </w:rPr>
        <w:t xml:space="preserve">Overall, </w:t>
      </w:r>
      <w:r w:rsidR="00B12EE0" w:rsidRPr="005F4295">
        <w:rPr>
          <w:noProof/>
        </w:rPr>
        <w:t>the levels remain relatively low</w:t>
      </w:r>
      <w:r w:rsidRPr="005F4295">
        <w:t xml:space="preserve"> because the </w:t>
      </w:r>
      <w:r w:rsidR="00E70215" w:rsidRPr="005F4295">
        <w:t>deduction</w:t>
      </w:r>
      <w:r w:rsidR="00C87766" w:rsidRPr="005F4295">
        <w:t>s</w:t>
      </w:r>
      <w:r w:rsidR="00E70215" w:rsidRPr="005F4295">
        <w:t xml:space="preserve"> at closure </w:t>
      </w:r>
      <w:r w:rsidRPr="005F4295">
        <w:t>for the 2014-2020 programming period were</w:t>
      </w:r>
      <w:r w:rsidRPr="005F4295" w:rsidDel="003F6981">
        <w:t xml:space="preserve"> </w:t>
      </w:r>
      <w:r w:rsidRPr="005F4295">
        <w:t>reported as corrective measures</w:t>
      </w:r>
      <w:r w:rsidRPr="005F4295">
        <w:rPr>
          <w:rFonts w:ascii="Calibri" w:hAnsi="Calibri" w:cs="Calibri"/>
        </w:rPr>
        <w:t> </w:t>
      </w:r>
      <w:r w:rsidRPr="005F4295">
        <w:t>(</w:t>
      </w:r>
      <w:r w:rsidRPr="005F4295">
        <w:rPr>
          <w:rStyle w:val="FootnoteReference"/>
        </w:rPr>
        <w:footnoteReference w:id="24"/>
      </w:r>
      <w:r w:rsidRPr="005F4295">
        <w:t xml:space="preserve">) and because </w:t>
      </w:r>
      <w:r w:rsidR="00AA053B" w:rsidRPr="005F4295">
        <w:t>the underlying expenditure</w:t>
      </w:r>
      <w:r w:rsidR="00DD054A" w:rsidRPr="005F4295">
        <w:t xml:space="preserve"> under</w:t>
      </w:r>
      <w:r w:rsidRPr="005F4295">
        <w:t xml:space="preserve"> the 2021-2027 programming period</w:t>
      </w:r>
      <w:r w:rsidR="0069639C" w:rsidRPr="005F4295">
        <w:t xml:space="preserve"> </w:t>
      </w:r>
      <w:r w:rsidR="002878F9" w:rsidRPr="005F4295">
        <w:t xml:space="preserve">is relatively low-risk </w:t>
      </w:r>
      <w:r w:rsidR="001F3C17" w:rsidRPr="005F4295">
        <w:t>at the beginning of the period</w:t>
      </w:r>
      <w:r w:rsidR="0069639C" w:rsidRPr="005F4295">
        <w:t xml:space="preserve">, </w:t>
      </w:r>
      <w:r w:rsidR="001F3C17" w:rsidRPr="005F4295">
        <w:t>thus</w:t>
      </w:r>
      <w:r w:rsidR="0069639C" w:rsidRPr="005F4295">
        <w:t xml:space="preserve"> resulting in fewer preventive action</w:t>
      </w:r>
      <w:r w:rsidR="0069639C" w:rsidRPr="005F4295">
        <w:rPr>
          <w:noProof/>
        </w:rPr>
        <w:t>s</w:t>
      </w:r>
      <w:r w:rsidRPr="005F4295">
        <w:t>.</w:t>
      </w:r>
    </w:p>
    <w:p w14:paraId="54656329" w14:textId="5F752D14" w:rsidR="00906530" w:rsidRPr="005F4295" w:rsidRDefault="00EB70E0" w:rsidP="00EB70E0">
      <w:pPr>
        <w:keepLines/>
      </w:pPr>
      <w:r w:rsidRPr="005F4295">
        <w:rPr>
          <w:rStyle w:val="Bold"/>
          <w:rFonts w:eastAsiaTheme="majorEastAsia"/>
        </w:rPr>
        <w:t>The corrective measures</w:t>
      </w:r>
      <w:r w:rsidRPr="005F4295">
        <w:rPr>
          <w:rStyle w:val="Bold"/>
        </w:rPr>
        <w:t xml:space="preserve"> implemented in 202</w:t>
      </w:r>
      <w:r w:rsidR="00186735" w:rsidRPr="005F4295">
        <w:rPr>
          <w:rStyle w:val="Bold"/>
        </w:rPr>
        <w:t>5</w:t>
      </w:r>
      <w:r w:rsidRPr="005F4295">
        <w:rPr>
          <w:rStyle w:val="Bold"/>
        </w:rPr>
        <w:t xml:space="preserve"> (</w:t>
      </w:r>
      <w:r w:rsidRPr="005F4295">
        <w:rPr>
          <w:rStyle w:val="Bold"/>
          <w:rFonts w:eastAsiaTheme="majorEastAsia"/>
        </w:rPr>
        <w:t>EUR</w:t>
      </w:r>
      <w:r w:rsidRPr="005F4295">
        <w:rPr>
          <w:rStyle w:val="Bold"/>
        </w:rPr>
        <w:t> </w:t>
      </w:r>
      <w:r w:rsidR="00186735" w:rsidRPr="005F4295">
        <w:rPr>
          <w:rStyle w:val="Bold"/>
          <w:rFonts w:eastAsiaTheme="majorEastAsia"/>
        </w:rPr>
        <w:t>6</w:t>
      </w:r>
      <w:r w:rsidR="00186735" w:rsidRPr="005F4295">
        <w:rPr>
          <w:rStyle w:val="Bold"/>
          <w:rFonts w:ascii="Calibri" w:eastAsiaTheme="majorEastAsia" w:hAnsi="Calibri" w:cs="Calibri"/>
        </w:rPr>
        <w:t> </w:t>
      </w:r>
      <w:r w:rsidR="00186735" w:rsidRPr="005F4295">
        <w:rPr>
          <w:rStyle w:val="Bold"/>
          <w:rFonts w:eastAsiaTheme="majorEastAsia"/>
        </w:rPr>
        <w:t>600.8</w:t>
      </w:r>
      <w:r w:rsidR="00186735" w:rsidRPr="005F4295">
        <w:rPr>
          <w:rStyle w:val="Bold"/>
        </w:rPr>
        <w:t> </w:t>
      </w:r>
      <w:r w:rsidRPr="005F4295">
        <w:rPr>
          <w:rStyle w:val="Bold"/>
          <w:rFonts w:eastAsiaTheme="majorEastAsia"/>
        </w:rPr>
        <w:t xml:space="preserve">million) </w:t>
      </w:r>
      <w:r w:rsidR="008A3435" w:rsidRPr="005F4295">
        <w:rPr>
          <w:rStyle w:val="Bold"/>
          <w:rFonts w:eastAsiaTheme="majorEastAsia"/>
        </w:rPr>
        <w:t>increased sharply</w:t>
      </w:r>
      <w:r w:rsidRPr="005F4295">
        <w:rPr>
          <w:rStyle w:val="Bold"/>
        </w:rPr>
        <w:t xml:space="preserve"> compared </w:t>
      </w:r>
      <w:r w:rsidR="002870E4" w:rsidRPr="005F4295">
        <w:rPr>
          <w:rStyle w:val="Bold"/>
        </w:rPr>
        <w:t>with</w:t>
      </w:r>
      <w:r w:rsidRPr="005F4295">
        <w:rPr>
          <w:rStyle w:val="Bold"/>
        </w:rPr>
        <w:t xml:space="preserve"> 202</w:t>
      </w:r>
      <w:r w:rsidR="00186735" w:rsidRPr="005F4295">
        <w:rPr>
          <w:rStyle w:val="Bold"/>
        </w:rPr>
        <w:t>4</w:t>
      </w:r>
      <w:r w:rsidR="00186735" w:rsidRPr="005F4295">
        <w:t xml:space="preserve"> </w:t>
      </w:r>
      <w:r w:rsidRPr="005F4295">
        <w:rPr>
          <w:rStyle w:val="Bold"/>
        </w:rPr>
        <w:t>(EUR </w:t>
      </w:r>
      <w:r w:rsidR="00186735" w:rsidRPr="005F4295">
        <w:rPr>
          <w:rStyle w:val="Bold"/>
          <w:rFonts w:eastAsiaTheme="majorEastAsia"/>
        </w:rPr>
        <w:t>449</w:t>
      </w:r>
      <w:r w:rsidR="00186735" w:rsidRPr="005F4295">
        <w:rPr>
          <w:rStyle w:val="Bold"/>
        </w:rPr>
        <w:t> </w:t>
      </w:r>
      <w:r w:rsidRPr="005F4295">
        <w:rPr>
          <w:rStyle w:val="Bold"/>
        </w:rPr>
        <w:t>million)</w:t>
      </w:r>
      <w:r w:rsidR="00244417" w:rsidRPr="005F4295">
        <w:rPr>
          <w:rStyle w:val="Bold"/>
        </w:rPr>
        <w:t>.</w:t>
      </w:r>
      <w:r w:rsidRPr="005F4295">
        <w:t xml:space="preserve"> A significant part of this amount</w:t>
      </w:r>
      <w:r w:rsidR="00237678" w:rsidRPr="005F4295">
        <w:rPr>
          <w:noProof/>
        </w:rPr>
        <w:t>,</w:t>
      </w:r>
      <w:r w:rsidRPr="005F4295">
        <w:t xml:space="preserve"> </w:t>
      </w:r>
      <w:r w:rsidR="00202AD1" w:rsidRPr="005F4295">
        <w:rPr>
          <w:rStyle w:val="Bold"/>
          <w:rFonts w:eastAsiaTheme="majorEastAsia"/>
        </w:rPr>
        <w:t>EUR</w:t>
      </w:r>
      <w:r w:rsidR="00202AD1" w:rsidRPr="005F4295">
        <w:rPr>
          <w:rFonts w:ascii="Calibri" w:hAnsi="Calibri" w:cs="Calibri"/>
        </w:rPr>
        <w:t> </w:t>
      </w:r>
      <w:r w:rsidR="00202AD1" w:rsidRPr="005F4295">
        <w:rPr>
          <w:rStyle w:val="Bold"/>
          <w:rFonts w:eastAsiaTheme="majorEastAsia"/>
        </w:rPr>
        <w:t>6</w:t>
      </w:r>
      <w:r w:rsidR="00202AD1" w:rsidRPr="005F4295">
        <w:rPr>
          <w:rStyle w:val="Bold"/>
          <w:rFonts w:ascii="Calibri" w:eastAsiaTheme="majorEastAsia" w:hAnsi="Calibri" w:cs="Calibri"/>
        </w:rPr>
        <w:t> </w:t>
      </w:r>
      <w:r w:rsidR="00552C6E" w:rsidRPr="005F4295">
        <w:rPr>
          <w:rStyle w:val="Bold"/>
          <w:rFonts w:eastAsiaTheme="majorEastAsia"/>
        </w:rPr>
        <w:t>518.0</w:t>
      </w:r>
      <w:r w:rsidR="00202AD1" w:rsidRPr="005F4295">
        <w:rPr>
          <w:rFonts w:ascii="Calibri" w:hAnsi="Calibri" w:cs="Calibri"/>
        </w:rPr>
        <w:t> </w:t>
      </w:r>
      <w:r w:rsidR="00237678" w:rsidRPr="005F4295">
        <w:rPr>
          <w:rStyle w:val="Bold"/>
          <w:rFonts w:eastAsiaTheme="majorEastAsia"/>
        </w:rPr>
        <w:t>million</w:t>
      </w:r>
      <w:r w:rsidR="00237678" w:rsidRPr="005F4295">
        <w:rPr>
          <w:rStyle w:val="Bold"/>
          <w:rFonts w:eastAsiaTheme="majorEastAsia"/>
          <w:b w:val="0"/>
        </w:rPr>
        <w:t>,</w:t>
      </w:r>
      <w:r w:rsidRPr="005F4295">
        <w:rPr>
          <w:rStyle w:val="Bold"/>
        </w:rPr>
        <w:t xml:space="preserve"> </w:t>
      </w:r>
      <w:r w:rsidRPr="005F4295">
        <w:t xml:space="preserve">is related to the </w:t>
      </w:r>
      <w:r w:rsidRPr="005F4295">
        <w:rPr>
          <w:rStyle w:val="Bold"/>
          <w:rFonts w:eastAsiaTheme="majorEastAsia"/>
        </w:rPr>
        <w:t>2014-2020 programming period</w:t>
      </w:r>
      <w:r w:rsidRPr="005F4295">
        <w:t xml:space="preserve"> </w:t>
      </w:r>
      <w:r w:rsidRPr="005F4295">
        <w:rPr>
          <w:rStyle w:val="Bold"/>
          <w:rFonts w:eastAsiaTheme="majorEastAsia"/>
        </w:rPr>
        <w:t>cohesion policy funds</w:t>
      </w:r>
      <w:r w:rsidRPr="005F4295">
        <w:rPr>
          <w:noProof/>
          <w:highlight w:val="lightGray"/>
        </w:rPr>
        <w:t xml:space="preserve"> </w:t>
      </w:r>
      <w:r w:rsidRPr="005F4295">
        <w:t xml:space="preserve">and corresponds to </w:t>
      </w:r>
      <w:r w:rsidR="00CF417D" w:rsidRPr="005F4295">
        <w:t>deduction</w:t>
      </w:r>
      <w:r w:rsidR="00917370" w:rsidRPr="005F4295">
        <w:t>s</w:t>
      </w:r>
      <w:r w:rsidR="00CF417D" w:rsidRPr="005F4295">
        <w:t xml:space="preserve"> at closure, </w:t>
      </w:r>
      <w:r w:rsidRPr="005F4295">
        <w:t>withdrawals and recoveries deducted in the 2023</w:t>
      </w:r>
      <w:r w:rsidR="00237678" w:rsidRPr="005F4295">
        <w:rPr>
          <w:noProof/>
        </w:rPr>
        <w:t>-2024</w:t>
      </w:r>
      <w:r w:rsidRPr="005F4295">
        <w:t xml:space="preserve"> annual accounts</w:t>
      </w:r>
      <w:r w:rsidR="00237678" w:rsidRPr="005F4295">
        <w:rPr>
          <w:noProof/>
        </w:rPr>
        <w:t>,</w:t>
      </w:r>
      <w:r w:rsidRPr="005F4295">
        <w:t xml:space="preserve"> out of which </w:t>
      </w:r>
      <w:r w:rsidR="00552C6E" w:rsidRPr="005F4295">
        <w:rPr>
          <w:rStyle w:val="Bold"/>
          <w:rFonts w:eastAsiaTheme="majorEastAsia"/>
        </w:rPr>
        <w:t>EUR</w:t>
      </w:r>
      <w:r w:rsidR="00552C6E" w:rsidRPr="005F4295">
        <w:rPr>
          <w:rFonts w:ascii="Calibri" w:hAnsi="Calibri" w:cs="Calibri"/>
        </w:rPr>
        <w:t> </w:t>
      </w:r>
      <w:r w:rsidR="00552C6E" w:rsidRPr="005F4295">
        <w:rPr>
          <w:rStyle w:val="Bold"/>
          <w:rFonts w:eastAsiaTheme="majorEastAsia"/>
        </w:rPr>
        <w:t>6</w:t>
      </w:r>
      <w:r w:rsidR="00552C6E" w:rsidRPr="005F4295">
        <w:rPr>
          <w:rStyle w:val="Bold"/>
          <w:rFonts w:ascii="Calibri" w:eastAsiaTheme="majorEastAsia" w:hAnsi="Calibri" w:cs="Calibri"/>
        </w:rPr>
        <w:t> </w:t>
      </w:r>
      <w:r w:rsidR="00552C6E" w:rsidRPr="005F4295">
        <w:rPr>
          <w:rStyle w:val="Bold"/>
          <w:rFonts w:eastAsiaTheme="majorEastAsia"/>
        </w:rPr>
        <w:t>298.3</w:t>
      </w:r>
      <w:r w:rsidR="00552C6E" w:rsidRPr="005F4295">
        <w:rPr>
          <w:rFonts w:ascii="Calibri" w:hAnsi="Calibri" w:cs="Calibri"/>
        </w:rPr>
        <w:t> </w:t>
      </w:r>
      <w:r w:rsidR="00237678" w:rsidRPr="005F4295">
        <w:rPr>
          <w:rStyle w:val="Bold"/>
          <w:rFonts w:eastAsiaTheme="majorEastAsia"/>
        </w:rPr>
        <w:t>million</w:t>
      </w:r>
      <w:r w:rsidR="00736045" w:rsidRPr="005F4295">
        <w:rPr>
          <w:rStyle w:val="Bold"/>
          <w:rFonts w:ascii="Calibri" w:eastAsiaTheme="majorEastAsia" w:hAnsi="Calibri" w:cs="Calibri"/>
        </w:rPr>
        <w:t> </w:t>
      </w:r>
      <w:r w:rsidRPr="005F4295">
        <w:t>(</w:t>
      </w:r>
      <w:r w:rsidRPr="005F4295">
        <w:rPr>
          <w:rStyle w:val="FootnoteReference"/>
          <w:rFonts w:eastAsiaTheme="majorEastAsia"/>
        </w:rPr>
        <w:footnoteReference w:id="25"/>
      </w:r>
      <w:r w:rsidRPr="005F4295">
        <w:t>) is attributed to Member State audits and controls</w:t>
      </w:r>
      <w:r w:rsidR="00343B6D" w:rsidRPr="005F4295">
        <w:t>.</w:t>
      </w:r>
      <w:r w:rsidRPr="005F4295">
        <w:t xml:space="preserve"> </w:t>
      </w:r>
      <w:r w:rsidR="00FE75B3" w:rsidRPr="005F4295">
        <w:t>This marks</w:t>
      </w:r>
      <w:r w:rsidR="003963FD" w:rsidRPr="005F4295">
        <w:t xml:space="preserve"> </w:t>
      </w:r>
      <w:r w:rsidR="00EA6D38" w:rsidRPr="005F4295">
        <w:t>a sharp increase from EUR</w:t>
      </w:r>
      <w:r w:rsidR="00BD4BD0" w:rsidRPr="005F4295">
        <w:rPr>
          <w:rFonts w:ascii="Calibri" w:hAnsi="Calibri" w:cs="Calibri"/>
        </w:rPr>
        <w:t> </w:t>
      </w:r>
      <w:r w:rsidR="00EA6D38" w:rsidRPr="005F4295">
        <w:t>211</w:t>
      </w:r>
      <w:r w:rsidR="00BD4BD0" w:rsidRPr="005F4295">
        <w:rPr>
          <w:rFonts w:ascii="Calibri" w:hAnsi="Calibri" w:cs="Calibri"/>
        </w:rPr>
        <w:t> </w:t>
      </w:r>
      <w:r w:rsidR="00EA6D38" w:rsidRPr="005F4295">
        <w:t xml:space="preserve">million in the previous year, which was exceptionally low </w:t>
      </w:r>
      <w:r w:rsidR="00FE75B3" w:rsidRPr="005F4295">
        <w:t>because,</w:t>
      </w:r>
      <w:r w:rsidR="00EA6D38" w:rsidRPr="005F4295">
        <w:t xml:space="preserve"> under the Strategic Technologies for Europe Platform </w:t>
      </w:r>
      <w:r w:rsidR="00FE75B3" w:rsidRPr="005F4295">
        <w:t xml:space="preserve">(STEP) </w:t>
      </w:r>
      <w:r w:rsidR="00EA6D38" w:rsidRPr="005F4295">
        <w:t>Regulation</w:t>
      </w:r>
      <w:r w:rsidR="00446EBE" w:rsidRPr="005F4295">
        <w:rPr>
          <w:rFonts w:ascii="Calibri" w:hAnsi="Calibri" w:cs="Calibri"/>
        </w:rPr>
        <w:t> </w:t>
      </w:r>
      <w:r w:rsidR="00E25C10" w:rsidRPr="005F4295">
        <w:rPr>
          <w:rFonts w:eastAsia="SimSun"/>
        </w:rPr>
        <w:t>(</w:t>
      </w:r>
      <w:r w:rsidR="00E25C10" w:rsidRPr="005F4295">
        <w:rPr>
          <w:rStyle w:val="FootnoteReference"/>
          <w:rFonts w:eastAsia="SimSun"/>
        </w:rPr>
        <w:footnoteReference w:id="26"/>
      </w:r>
      <w:r w:rsidR="00E25C10" w:rsidRPr="005F4295">
        <w:rPr>
          <w:rFonts w:eastAsia="SimSun"/>
        </w:rPr>
        <w:t>)</w:t>
      </w:r>
      <w:r w:rsidR="00FE75B3" w:rsidRPr="005F4295">
        <w:t>, only 20% of programmes submitted their closing accounts, while the remaining 80% submitted</w:t>
      </w:r>
      <w:r w:rsidR="00EA6D38" w:rsidRPr="005F4295">
        <w:t xml:space="preserve"> them</w:t>
      </w:r>
      <w:r w:rsidR="001340A2" w:rsidRPr="005F4295">
        <w:t xml:space="preserve"> in </w:t>
      </w:r>
      <w:r w:rsidR="00FE75B3" w:rsidRPr="005F4295">
        <w:t>March 2026. As a result,</w:t>
      </w:r>
      <w:r w:rsidR="00EA6D38" w:rsidRPr="005F4295">
        <w:t xml:space="preserve"> the additional time frame led to a significantly amplified scale of adjustments, as programme authorities in Member States undertook a final, comprehensive review of both the current and the previous accounting </w:t>
      </w:r>
      <w:r w:rsidR="006464E0" w:rsidRPr="005F4295">
        <w:t>years.</w:t>
      </w:r>
      <w:r w:rsidR="00EE141E" w:rsidRPr="005F4295">
        <w:t xml:space="preserve"> In this context, the closure acted as a critical safeguard, ensuring that remaining irregular or inaccurate expenditure was identified and excluded.</w:t>
      </w:r>
    </w:p>
    <w:p w14:paraId="1FB2E230" w14:textId="427F5AAB" w:rsidR="00FB67D2" w:rsidRPr="005F4295" w:rsidRDefault="00385A9D" w:rsidP="00EB70E0">
      <w:pPr>
        <w:keepLines/>
        <w:rPr>
          <w:noProof/>
        </w:rPr>
      </w:pPr>
      <w:r w:rsidRPr="005F4295">
        <w:rPr>
          <w:rFonts w:asciiTheme="minorHAnsi" w:hAnsiTheme="minorHAnsi"/>
          <w:noProof/>
        </w:rPr>
        <w:t>For the same programming period, the Member States also implemented corrective measures attributed to</w:t>
      </w:r>
      <w:r w:rsidRPr="005F4295" w:rsidDel="00E148D1">
        <w:rPr>
          <w:rFonts w:asciiTheme="minorHAnsi" w:hAnsiTheme="minorHAnsi"/>
          <w:noProof/>
        </w:rPr>
        <w:t xml:space="preserve"> </w:t>
      </w:r>
      <w:r w:rsidRPr="005F4295">
        <w:rPr>
          <w:rFonts w:asciiTheme="minorHAnsi" w:hAnsiTheme="minorHAnsi"/>
          <w:noProof/>
        </w:rPr>
        <w:t>the Commission’s controls, follow-ups to investigations of the European Anti-Fraud Office and audits of the Court of Auditors for an amount of EUR</w:t>
      </w:r>
      <w:r w:rsidRPr="005F4295">
        <w:rPr>
          <w:rFonts w:ascii="Calibri" w:hAnsi="Calibri" w:cs="Calibri"/>
          <w:noProof/>
        </w:rPr>
        <w:t> </w:t>
      </w:r>
      <w:r w:rsidR="00D13938" w:rsidRPr="005F4295">
        <w:rPr>
          <w:rFonts w:asciiTheme="minorHAnsi" w:hAnsiTheme="minorHAnsi" w:cs="Calibri"/>
          <w:noProof/>
        </w:rPr>
        <w:t>219</w:t>
      </w:r>
      <w:r w:rsidR="004770A3" w:rsidRPr="005F4295">
        <w:rPr>
          <w:rFonts w:ascii="Calibri" w:hAnsi="Calibri" w:cs="Calibri"/>
          <w:noProof/>
        </w:rPr>
        <w:t> </w:t>
      </w:r>
      <w:r w:rsidRPr="005F4295">
        <w:rPr>
          <w:rFonts w:asciiTheme="minorHAnsi" w:hAnsiTheme="minorHAnsi" w:cs="Calibri"/>
          <w:noProof/>
        </w:rPr>
        <w:t>million (2024: EUR</w:t>
      </w:r>
      <w:r w:rsidRPr="005F4295">
        <w:rPr>
          <w:rFonts w:ascii="Calibri" w:hAnsi="Calibri" w:cs="Calibri"/>
          <w:noProof/>
        </w:rPr>
        <w:t> </w:t>
      </w:r>
      <w:r w:rsidRPr="005F4295">
        <w:rPr>
          <w:rFonts w:asciiTheme="minorHAnsi" w:hAnsiTheme="minorHAnsi"/>
          <w:noProof/>
        </w:rPr>
        <w:t>70</w:t>
      </w:r>
      <w:r w:rsidRPr="005F4295">
        <w:rPr>
          <w:rFonts w:ascii="Calibri" w:hAnsi="Calibri" w:cs="Calibri"/>
          <w:noProof/>
        </w:rPr>
        <w:t> </w:t>
      </w:r>
      <w:r w:rsidRPr="005F4295">
        <w:rPr>
          <w:rFonts w:asciiTheme="minorHAnsi" w:hAnsiTheme="minorHAnsi"/>
          <w:noProof/>
        </w:rPr>
        <w:t>million)</w:t>
      </w:r>
      <w:r w:rsidR="00EB70E0" w:rsidRPr="005F4295">
        <w:t>.</w:t>
      </w:r>
    </w:p>
    <w:p w14:paraId="2122F784" w14:textId="6DA691F2" w:rsidR="00EB70E0" w:rsidRPr="005F4295" w:rsidRDefault="00EB70E0" w:rsidP="00EB70E0">
      <w:pPr>
        <w:keepLines/>
      </w:pPr>
      <w:r w:rsidRPr="005F4295">
        <w:t>Other corrections might be linked to the Commission’s work</w:t>
      </w:r>
      <w:r w:rsidR="004770A3" w:rsidRPr="005F4295">
        <w:t>,</w:t>
      </w:r>
      <w:r w:rsidRPr="005F4295">
        <w:t xml:space="preserve"> such as additional extrapolated corrections to bring the residual error rate below the materiality threshold following Commission and Court of Auditors audit work. However</w:t>
      </w:r>
      <w:r w:rsidR="00C44969" w:rsidRPr="005F4295">
        <w:rPr>
          <w:noProof/>
        </w:rPr>
        <w:t>,</w:t>
      </w:r>
      <w:r w:rsidRPr="005F4295">
        <w:t xml:space="preserve"> as most of these corrections overlap with the ones implemented following the audits of the Court of Auditors</w:t>
      </w:r>
      <w:r w:rsidR="00774B6B" w:rsidRPr="005F4295">
        <w:rPr>
          <w:noProof/>
        </w:rPr>
        <w:t>,</w:t>
      </w:r>
      <w:r w:rsidRPr="005F4295">
        <w:t xml:space="preserve"> Commission and Member States</w:t>
      </w:r>
      <w:r w:rsidR="009F578A" w:rsidRPr="005F4295">
        <w:rPr>
          <w:noProof/>
        </w:rPr>
        <w:t>,</w:t>
      </w:r>
      <w:r w:rsidRPr="005F4295">
        <w:t xml:space="preserve"> the Commission conservatively only reports this minimum amount. Furthermore</w:t>
      </w:r>
      <w:r w:rsidR="009F578A" w:rsidRPr="005F4295">
        <w:rPr>
          <w:noProof/>
        </w:rPr>
        <w:t>,</w:t>
      </w:r>
      <w:r w:rsidRPr="005F4295">
        <w:t xml:space="preserve"> a total of EUR</w:t>
      </w:r>
      <w:r w:rsidR="004770A3" w:rsidRPr="005F4295">
        <w:rPr>
          <w:rFonts w:ascii="Calibri" w:hAnsi="Calibri" w:cs="Calibri"/>
        </w:rPr>
        <w:t> </w:t>
      </w:r>
      <w:r w:rsidR="00072D5B" w:rsidRPr="005F4295">
        <w:t>6.5</w:t>
      </w:r>
      <w:r w:rsidR="004770A3" w:rsidRPr="005F4295">
        <w:rPr>
          <w:rFonts w:ascii="Calibri" w:hAnsi="Calibri" w:cs="Calibri"/>
        </w:rPr>
        <w:t> </w:t>
      </w:r>
      <w:r w:rsidRPr="005F4295">
        <w:t>million corrective measures were implemented in relation to the 2021-2027 programming period.</w:t>
      </w:r>
    </w:p>
    <w:p w14:paraId="67F7B4BD" w14:textId="2A39EBB9" w:rsidR="00EB70E0" w:rsidRPr="005F4295" w:rsidRDefault="00EB70E0" w:rsidP="00EB70E0">
      <w:pPr>
        <w:rPr>
          <w:noProof/>
          <w:highlight w:val="lightGray"/>
        </w:rPr>
      </w:pPr>
      <w:r w:rsidRPr="005F4295">
        <w:t>For 2007-2013 and previous programming periods</w:t>
      </w:r>
      <w:r w:rsidR="00072D5B" w:rsidRPr="005F4295">
        <w:t xml:space="preserve">, </w:t>
      </w:r>
      <w:r w:rsidRPr="005F4295" w:rsidDel="00072D5B">
        <w:t>t</w:t>
      </w:r>
      <w:r w:rsidRPr="005F4295">
        <w:t xml:space="preserve">he Commission applied </w:t>
      </w:r>
      <w:r w:rsidRPr="005F4295">
        <w:rPr>
          <w:rStyle w:val="Bold"/>
        </w:rPr>
        <w:t>c</w:t>
      </w:r>
      <w:r w:rsidRPr="005F4295">
        <w:rPr>
          <w:rStyle w:val="Bold"/>
          <w:rFonts w:eastAsiaTheme="majorEastAsia"/>
        </w:rPr>
        <w:t>orrective measures</w:t>
      </w:r>
      <w:r w:rsidRPr="005F4295">
        <w:t xml:space="preserve"> </w:t>
      </w:r>
      <w:r w:rsidRPr="005F4295">
        <w:rPr>
          <w:rStyle w:val="Bold"/>
        </w:rPr>
        <w:t>of</w:t>
      </w:r>
      <w:r w:rsidRPr="005F4295">
        <w:t xml:space="preserve"> </w:t>
      </w:r>
      <w:r w:rsidRPr="005F4295">
        <w:rPr>
          <w:rStyle w:val="Bold"/>
          <w:rFonts w:eastAsiaTheme="majorEastAsia"/>
        </w:rPr>
        <w:t>EUR</w:t>
      </w:r>
      <w:r w:rsidRPr="005F4295">
        <w:rPr>
          <w:rStyle w:val="Bold"/>
          <w:rFonts w:ascii="Calibri" w:eastAsiaTheme="majorEastAsia" w:hAnsi="Calibri" w:cs="Calibri"/>
        </w:rPr>
        <w:t> </w:t>
      </w:r>
      <w:r w:rsidR="00072D5B" w:rsidRPr="005F4295">
        <w:rPr>
          <w:rStyle w:val="Bold"/>
          <w:rFonts w:eastAsiaTheme="majorEastAsia"/>
        </w:rPr>
        <w:t>44.1</w:t>
      </w:r>
      <w:r w:rsidRPr="005F4295">
        <w:rPr>
          <w:rStyle w:val="Bold"/>
          <w:rFonts w:ascii="Calibri" w:eastAsiaTheme="majorEastAsia" w:hAnsi="Calibri" w:cs="Calibri"/>
        </w:rPr>
        <w:t> </w:t>
      </w:r>
      <w:r w:rsidRPr="005F4295">
        <w:rPr>
          <w:rStyle w:val="Bold"/>
          <w:rFonts w:eastAsiaTheme="majorEastAsia"/>
        </w:rPr>
        <w:t>million</w:t>
      </w:r>
      <w:r w:rsidR="005E6287" w:rsidRPr="005F4295">
        <w:rPr>
          <w:rStyle w:val="Bold"/>
          <w:rFonts w:eastAsiaTheme="majorEastAsia"/>
          <w:b w:val="0"/>
        </w:rPr>
        <w:t>,</w:t>
      </w:r>
      <w:r w:rsidR="005E6287" w:rsidRPr="005F4295">
        <w:rPr>
          <w:rStyle w:val="Bold"/>
          <w:rFonts w:eastAsiaTheme="majorEastAsia"/>
        </w:rPr>
        <w:t xml:space="preserve"> </w:t>
      </w:r>
      <w:r w:rsidR="005E6287" w:rsidRPr="005F4295">
        <w:t>a decrease from</w:t>
      </w:r>
      <w:r w:rsidRPr="005F4295">
        <w:t xml:space="preserve"> EUR</w:t>
      </w:r>
      <w:r w:rsidRPr="005F4295">
        <w:rPr>
          <w:rFonts w:ascii="Calibri" w:hAnsi="Calibri" w:cs="Calibri"/>
        </w:rPr>
        <w:t> </w:t>
      </w:r>
      <w:r w:rsidR="00294D75" w:rsidRPr="005F4295">
        <w:t>154</w:t>
      </w:r>
      <w:r w:rsidR="00A563E2" w:rsidRPr="005F4295">
        <w:rPr>
          <w:rFonts w:ascii="Calibri" w:hAnsi="Calibri" w:cs="Calibri"/>
        </w:rPr>
        <w:t> </w:t>
      </w:r>
      <w:r w:rsidRPr="005F4295">
        <w:t>million in 202</w:t>
      </w:r>
      <w:r w:rsidR="00294D75" w:rsidRPr="005F4295">
        <w:t>4</w:t>
      </w:r>
      <w:r w:rsidRPr="005F4295">
        <w:t>.</w:t>
      </w:r>
    </w:p>
    <w:p w14:paraId="4BBCC5FE" w14:textId="4ABA0D4A" w:rsidR="00294D75" w:rsidRPr="005F4295" w:rsidRDefault="00294D75" w:rsidP="00EB70E0">
      <w:r w:rsidRPr="005F4295">
        <w:t>In 2025</w:t>
      </w:r>
      <w:r w:rsidR="005E6287" w:rsidRPr="005F4295">
        <w:t>,</w:t>
      </w:r>
      <w:r w:rsidRPr="005F4295">
        <w:t xml:space="preserve"> the Commission implemented </w:t>
      </w:r>
      <w:r w:rsidR="007E593A" w:rsidRPr="005F4295">
        <w:t xml:space="preserve">the first </w:t>
      </w:r>
      <w:r w:rsidRPr="005F4295">
        <w:t xml:space="preserve">net financial correction for </w:t>
      </w:r>
      <w:r w:rsidR="008F154B" w:rsidRPr="005F4295">
        <w:t xml:space="preserve">Slovakia for </w:t>
      </w:r>
      <w:r w:rsidRPr="005F4295">
        <w:t xml:space="preserve">the 2014-2020 programming period amounting to </w:t>
      </w:r>
      <w:r w:rsidRPr="005F4295">
        <w:rPr>
          <w:rStyle w:val="Bold"/>
        </w:rPr>
        <w:t>EUR</w:t>
      </w:r>
      <w:r w:rsidR="008A1C9A" w:rsidRPr="005F4295">
        <w:rPr>
          <w:rStyle w:val="Bold"/>
        </w:rPr>
        <w:t> </w:t>
      </w:r>
      <w:r w:rsidRPr="005F4295">
        <w:rPr>
          <w:rStyle w:val="Bold"/>
        </w:rPr>
        <w:t>27.1</w:t>
      </w:r>
      <w:r w:rsidR="008A1C9A" w:rsidRPr="005F4295">
        <w:rPr>
          <w:rStyle w:val="Bold"/>
        </w:rPr>
        <w:t> million</w:t>
      </w:r>
      <w:r w:rsidRPr="005F4295">
        <w:rPr>
          <w:b/>
        </w:rPr>
        <w:t>.</w:t>
      </w:r>
      <w:r w:rsidRPr="005F4295">
        <w:t xml:space="preserve"> </w:t>
      </w:r>
    </w:p>
    <w:p w14:paraId="6897AFA3" w14:textId="579AAB17" w:rsidR="00EB70E0" w:rsidRPr="005F4295" w:rsidRDefault="00EB70E0" w:rsidP="00EB70E0">
      <w:pPr>
        <w:pStyle w:val="HeadingMan-NumT-AnnexesL3-111"/>
        <w:spacing w:before="600"/>
        <w:rPr>
          <w:rFonts w:ascii="EC Square Sans Pro" w:hAnsi="EC Square Sans Pro"/>
        </w:rPr>
      </w:pPr>
      <w:bookmarkStart w:id="55" w:name="_Toc229386273"/>
      <w:r w:rsidRPr="005F4295">
        <w:rPr>
          <w:rFonts w:ascii="EC Square Sans Pro" w:hAnsi="EC Square Sans Pro"/>
        </w:rPr>
        <w:t>5.4.2. Natural resources and environment</w:t>
      </w:r>
      <w:bookmarkEnd w:id="55"/>
    </w:p>
    <w:p w14:paraId="1E39E8D1" w14:textId="0026FD43" w:rsidR="00EB70E0" w:rsidRPr="005F4295" w:rsidRDefault="00EB70E0" w:rsidP="00EB70E0">
      <w:r w:rsidRPr="005F4295">
        <w:t xml:space="preserve">The </w:t>
      </w:r>
      <w:r w:rsidRPr="005F4295">
        <w:rPr>
          <w:rStyle w:val="Bold"/>
        </w:rPr>
        <w:t>corrective measures</w:t>
      </w:r>
      <w:r w:rsidRPr="005F4295">
        <w:t xml:space="preserve"> applied in </w:t>
      </w:r>
      <w:r w:rsidRPr="005F4295">
        <w:rPr>
          <w:noProof/>
        </w:rPr>
        <w:t>202</w:t>
      </w:r>
      <w:r w:rsidR="00856091" w:rsidRPr="005F4295">
        <w:rPr>
          <w:noProof/>
        </w:rPr>
        <w:t>5</w:t>
      </w:r>
      <w:r w:rsidRPr="005F4295">
        <w:t xml:space="preserve"> amounted to </w:t>
      </w:r>
      <w:r w:rsidRPr="005F4295">
        <w:rPr>
          <w:rStyle w:val="Bold"/>
        </w:rPr>
        <w:t>EUR</w:t>
      </w:r>
      <w:r w:rsidRPr="005F4295">
        <w:rPr>
          <w:rStyle w:val="Bold"/>
          <w:rFonts w:ascii="Calibri" w:hAnsi="Calibri" w:cs="Calibri"/>
        </w:rPr>
        <w:t> </w:t>
      </w:r>
      <w:r w:rsidR="00856091" w:rsidRPr="005F4295">
        <w:rPr>
          <w:rStyle w:val="Bold"/>
        </w:rPr>
        <w:t>1</w:t>
      </w:r>
      <w:r w:rsidR="00856091" w:rsidRPr="005F4295">
        <w:rPr>
          <w:rStyle w:val="Bold"/>
          <w:rFonts w:ascii="Calibri" w:hAnsi="Calibri" w:cs="Calibri"/>
        </w:rPr>
        <w:t> </w:t>
      </w:r>
      <w:r w:rsidR="00856091" w:rsidRPr="005F4295">
        <w:rPr>
          <w:rStyle w:val="Bold"/>
        </w:rPr>
        <w:t>215.6</w:t>
      </w:r>
      <w:r w:rsidR="00856091" w:rsidRPr="005F4295">
        <w:rPr>
          <w:rStyle w:val="Bold"/>
          <w:rFonts w:ascii="Calibri" w:hAnsi="Calibri" w:cs="Calibri"/>
        </w:rPr>
        <w:t> </w:t>
      </w:r>
      <w:r w:rsidRPr="005F4295">
        <w:rPr>
          <w:rStyle w:val="Bold"/>
        </w:rPr>
        <w:t>million</w:t>
      </w:r>
      <w:r w:rsidR="00A563E2" w:rsidRPr="005F4295">
        <w:t>,</w:t>
      </w:r>
      <w:r w:rsidRPr="005F4295">
        <w:t xml:space="preserve"> which is an increase compared to </w:t>
      </w:r>
      <w:r w:rsidRPr="005F4295">
        <w:rPr>
          <w:noProof/>
        </w:rPr>
        <w:t>202</w:t>
      </w:r>
      <w:r w:rsidR="00856091" w:rsidRPr="005F4295">
        <w:rPr>
          <w:noProof/>
        </w:rPr>
        <w:t>4</w:t>
      </w:r>
      <w:r w:rsidRPr="005F4295">
        <w:rPr>
          <w:noProof/>
        </w:rPr>
        <w:t xml:space="preserve"> </w:t>
      </w:r>
      <w:r w:rsidRPr="005F4295">
        <w:t>at EUR</w:t>
      </w:r>
      <w:r w:rsidRPr="005F4295">
        <w:rPr>
          <w:rFonts w:ascii="Calibri" w:hAnsi="Calibri" w:cs="Calibri"/>
        </w:rPr>
        <w:t> </w:t>
      </w:r>
      <w:r w:rsidR="00856091" w:rsidRPr="005F4295">
        <w:rPr>
          <w:rStyle w:val="Bold"/>
          <w:b w:val="0"/>
        </w:rPr>
        <w:t>891</w:t>
      </w:r>
      <w:r w:rsidR="00856091" w:rsidRPr="005F4295">
        <w:rPr>
          <w:rStyle w:val="Bold"/>
          <w:rFonts w:ascii="Calibri" w:hAnsi="Calibri" w:cs="Calibri"/>
        </w:rPr>
        <w:t> </w:t>
      </w:r>
      <w:r w:rsidRPr="005F4295">
        <w:t>million. Most of these corrections</w:t>
      </w:r>
      <w:r w:rsidR="00856091" w:rsidRPr="005F4295">
        <w:rPr>
          <w:noProof/>
        </w:rPr>
        <w:t>,</w:t>
      </w:r>
      <w:r w:rsidRPr="005F4295">
        <w:t xml:space="preserve"> </w:t>
      </w:r>
      <w:r w:rsidR="00856091" w:rsidRPr="005F4295">
        <w:rPr>
          <w:rStyle w:val="Bold"/>
        </w:rPr>
        <w:t>EUR</w:t>
      </w:r>
      <w:r w:rsidR="00856091" w:rsidRPr="005F4295">
        <w:rPr>
          <w:rStyle w:val="Bold"/>
          <w:rFonts w:ascii="Calibri" w:hAnsi="Calibri" w:cs="Calibri"/>
        </w:rPr>
        <w:t> </w:t>
      </w:r>
      <w:r w:rsidR="00856091" w:rsidRPr="005F4295">
        <w:rPr>
          <w:rStyle w:val="Bold"/>
        </w:rPr>
        <w:t>1</w:t>
      </w:r>
      <w:r w:rsidR="00856091" w:rsidRPr="005F4295">
        <w:rPr>
          <w:rStyle w:val="Bold"/>
          <w:rFonts w:ascii="Calibri" w:hAnsi="Calibri" w:cs="Calibri"/>
        </w:rPr>
        <w:t> </w:t>
      </w:r>
      <w:r w:rsidR="00856091" w:rsidRPr="005F4295">
        <w:rPr>
          <w:rStyle w:val="Bold"/>
        </w:rPr>
        <w:t>197.8</w:t>
      </w:r>
      <w:r w:rsidR="00856091" w:rsidRPr="005F4295">
        <w:rPr>
          <w:rStyle w:val="Bold"/>
          <w:rFonts w:ascii="Calibri" w:hAnsi="Calibri" w:cs="Calibri"/>
        </w:rPr>
        <w:t> </w:t>
      </w:r>
      <w:r w:rsidR="00856091" w:rsidRPr="005F4295">
        <w:rPr>
          <w:rStyle w:val="Bold"/>
        </w:rPr>
        <w:t>million</w:t>
      </w:r>
      <w:r w:rsidR="00856091" w:rsidRPr="005F4295">
        <w:rPr>
          <w:rStyle w:val="Bold"/>
          <w:noProof/>
        </w:rPr>
        <w:t>,</w:t>
      </w:r>
      <w:r w:rsidRPr="005F4295">
        <w:rPr>
          <w:rStyle w:val="Bold"/>
        </w:rPr>
        <w:t xml:space="preserve"> concerned agriculture and rural development. </w:t>
      </w:r>
      <w:r w:rsidRPr="005F4295">
        <w:t>In this area</w:t>
      </w:r>
      <w:r w:rsidR="00FA6D8B" w:rsidRPr="005F4295">
        <w:t>,</w:t>
      </w:r>
      <w:r w:rsidRPr="005F4295">
        <w:rPr>
          <w:rStyle w:val="Bold"/>
        </w:rPr>
        <w:t xml:space="preserve"> Member States’ controls</w:t>
      </w:r>
      <w:r w:rsidRPr="005F4295">
        <w:t xml:space="preserve"> resulted in </w:t>
      </w:r>
      <w:r w:rsidR="00317A2E" w:rsidRPr="005F4295">
        <w:rPr>
          <w:rStyle w:val="Bold"/>
        </w:rPr>
        <w:t>EUR</w:t>
      </w:r>
      <w:r w:rsidR="00317A2E" w:rsidRPr="005F4295">
        <w:rPr>
          <w:rStyle w:val="Bold"/>
          <w:rFonts w:ascii="Calibri" w:hAnsi="Calibri" w:cs="Calibri"/>
        </w:rPr>
        <w:t> </w:t>
      </w:r>
      <w:r w:rsidR="00317A2E" w:rsidRPr="005F4295">
        <w:rPr>
          <w:rStyle w:val="Bold"/>
        </w:rPr>
        <w:t>414.0</w:t>
      </w:r>
      <w:r w:rsidR="00317A2E" w:rsidRPr="005F4295">
        <w:rPr>
          <w:rStyle w:val="Bold"/>
          <w:rFonts w:ascii="Calibri" w:hAnsi="Calibri" w:cs="Calibri"/>
        </w:rPr>
        <w:t> </w:t>
      </w:r>
      <w:r w:rsidR="00317A2E" w:rsidRPr="005F4295">
        <w:rPr>
          <w:rStyle w:val="Bold"/>
        </w:rPr>
        <w:t>million</w:t>
      </w:r>
      <w:r w:rsidR="00317A2E" w:rsidRPr="005F4295" w:rsidDel="00856091">
        <w:rPr>
          <w:rStyle w:val="Bold"/>
          <w:noProof/>
        </w:rPr>
        <w:t xml:space="preserve"> </w:t>
      </w:r>
      <w:r w:rsidRPr="005F4295">
        <w:t>in corrective measures</w:t>
      </w:r>
      <w:r w:rsidRPr="005F4295">
        <w:rPr>
          <w:rFonts w:ascii="Calibri" w:hAnsi="Calibri" w:cs="Calibri"/>
        </w:rPr>
        <w:t> </w:t>
      </w:r>
      <w:r w:rsidRPr="005F4295">
        <w:t>(</w:t>
      </w:r>
      <w:r w:rsidRPr="005F4295">
        <w:rPr>
          <w:rStyle w:val="FootnoteReference"/>
        </w:rPr>
        <w:footnoteReference w:id="27"/>
      </w:r>
      <w:r w:rsidRPr="005F4295">
        <w:rPr>
          <w:noProof/>
        </w:rPr>
        <w:t>)</w:t>
      </w:r>
      <w:r w:rsidR="00317A2E" w:rsidRPr="005F4295">
        <w:rPr>
          <w:noProof/>
        </w:rPr>
        <w:t>,</w:t>
      </w:r>
      <w:r w:rsidRPr="005F4295">
        <w:t xml:space="preserve"> whereas the </w:t>
      </w:r>
      <w:r w:rsidRPr="005F4295">
        <w:rPr>
          <w:rStyle w:val="Bold"/>
        </w:rPr>
        <w:t xml:space="preserve">Commission’s net financial corrections implemented amounted to </w:t>
      </w:r>
      <w:r w:rsidR="00317A2E" w:rsidRPr="005F4295">
        <w:rPr>
          <w:rStyle w:val="Bold"/>
        </w:rPr>
        <w:t>EUR</w:t>
      </w:r>
      <w:r w:rsidR="00317A2E" w:rsidRPr="005F4295">
        <w:rPr>
          <w:rStyle w:val="Bold"/>
          <w:rFonts w:ascii="Calibri" w:hAnsi="Calibri" w:cs="Calibri"/>
        </w:rPr>
        <w:t> </w:t>
      </w:r>
      <w:r w:rsidR="00317A2E" w:rsidRPr="005F4295">
        <w:rPr>
          <w:rStyle w:val="Bold"/>
        </w:rPr>
        <w:t>783.7</w:t>
      </w:r>
      <w:r w:rsidR="00317A2E" w:rsidRPr="005F4295">
        <w:rPr>
          <w:rStyle w:val="Bold"/>
          <w:rFonts w:ascii="Calibri" w:hAnsi="Calibri" w:cs="Calibri"/>
        </w:rPr>
        <w:t> </w:t>
      </w:r>
      <w:r w:rsidRPr="005F4295" w:rsidDel="00317A2E">
        <w:rPr>
          <w:rStyle w:val="Bold"/>
        </w:rPr>
        <w:t>million</w:t>
      </w:r>
      <w:r w:rsidRPr="005F4295">
        <w:rPr>
          <w:rStyle w:val="Bold"/>
        </w:rPr>
        <w:t xml:space="preserve">. </w:t>
      </w:r>
      <w:r w:rsidR="009133A2" w:rsidRPr="005F4295">
        <w:rPr>
          <w:noProof/>
        </w:rPr>
        <w:t>The net financial corrections</w:t>
      </w:r>
      <w:r w:rsidRPr="005F4295">
        <w:t xml:space="preserve"> in </w:t>
      </w:r>
      <w:r w:rsidR="009133A2" w:rsidRPr="005F4295">
        <w:rPr>
          <w:noProof/>
        </w:rPr>
        <w:t xml:space="preserve">2025 </w:t>
      </w:r>
      <w:r w:rsidR="002A4D5D" w:rsidRPr="005F4295">
        <w:rPr>
          <w:noProof/>
        </w:rPr>
        <w:t xml:space="preserve">represent an increase </w:t>
      </w:r>
      <w:r w:rsidR="004E78B2" w:rsidRPr="005F4295">
        <w:rPr>
          <w:noProof/>
        </w:rPr>
        <w:t>compared to 2024 (EUR</w:t>
      </w:r>
      <w:r w:rsidR="004E78B2" w:rsidRPr="005F4295">
        <w:rPr>
          <w:rFonts w:ascii="Calibri" w:hAnsi="Calibri" w:cs="Calibri"/>
          <w:noProof/>
        </w:rPr>
        <w:t> </w:t>
      </w:r>
      <w:r w:rsidR="004E78B2" w:rsidRPr="005F4295">
        <w:rPr>
          <w:noProof/>
        </w:rPr>
        <w:t>447.7</w:t>
      </w:r>
      <w:r w:rsidR="004E78B2" w:rsidRPr="005F4295">
        <w:rPr>
          <w:rFonts w:ascii="Calibri" w:hAnsi="Calibri" w:cs="Calibri"/>
          <w:noProof/>
        </w:rPr>
        <w:t> </w:t>
      </w:r>
      <w:r w:rsidR="004E78B2" w:rsidRPr="005F4295">
        <w:rPr>
          <w:noProof/>
        </w:rPr>
        <w:t xml:space="preserve">million) and </w:t>
      </w:r>
      <w:r w:rsidR="009133A2" w:rsidRPr="005F4295">
        <w:rPr>
          <w:noProof/>
        </w:rPr>
        <w:t>exceeded</w:t>
      </w:r>
      <w:r w:rsidRPr="005F4295">
        <w:t xml:space="preserve"> the </w:t>
      </w:r>
      <w:r w:rsidR="009133A2" w:rsidRPr="005F4295">
        <w:rPr>
          <w:noProof/>
        </w:rPr>
        <w:t xml:space="preserve">average of the </w:t>
      </w:r>
      <w:r w:rsidRPr="005F4295">
        <w:t xml:space="preserve">previous three </w:t>
      </w:r>
      <w:r w:rsidR="009133A2" w:rsidRPr="005F4295">
        <w:rPr>
          <w:noProof/>
        </w:rPr>
        <w:t xml:space="preserve">years </w:t>
      </w:r>
      <w:r w:rsidR="004E78B2" w:rsidRPr="005F4295">
        <w:rPr>
          <w:noProof/>
        </w:rPr>
        <w:t>(</w:t>
      </w:r>
      <w:r w:rsidR="009133A2" w:rsidRPr="005F4295">
        <w:rPr>
          <w:noProof/>
        </w:rPr>
        <w:t>2022-2024</w:t>
      </w:r>
      <w:r w:rsidR="004E78B2" w:rsidRPr="005F4295">
        <w:rPr>
          <w:noProof/>
        </w:rPr>
        <w:t>:</w:t>
      </w:r>
      <w:r w:rsidR="009133A2" w:rsidRPr="005F4295">
        <w:rPr>
          <w:noProof/>
        </w:rPr>
        <w:t xml:space="preserve"> EUR</w:t>
      </w:r>
      <w:r w:rsidR="004E78B2" w:rsidRPr="005F4295">
        <w:rPr>
          <w:rFonts w:ascii="Calibri" w:hAnsi="Calibri" w:cs="Calibri"/>
          <w:noProof/>
        </w:rPr>
        <w:t> </w:t>
      </w:r>
      <w:r w:rsidR="009133A2" w:rsidRPr="005F4295">
        <w:rPr>
          <w:noProof/>
        </w:rPr>
        <w:t>431</w:t>
      </w:r>
      <w:r w:rsidR="004E78B2" w:rsidRPr="005F4295">
        <w:rPr>
          <w:rFonts w:ascii="Calibri" w:hAnsi="Calibri" w:cs="Calibri"/>
          <w:noProof/>
        </w:rPr>
        <w:t> </w:t>
      </w:r>
      <w:r w:rsidR="009133A2" w:rsidRPr="005F4295">
        <w:rPr>
          <w:noProof/>
        </w:rPr>
        <w:t>million)</w:t>
      </w:r>
      <w:r w:rsidR="00FA6D8B" w:rsidRPr="005F4295">
        <w:rPr>
          <w:noProof/>
        </w:rPr>
        <w:t>.</w:t>
      </w:r>
      <w:r w:rsidR="009133A2" w:rsidRPr="005F4295">
        <w:rPr>
          <w:noProof/>
        </w:rPr>
        <w:t xml:space="preserve"> </w:t>
      </w:r>
      <w:r w:rsidR="00D44589" w:rsidRPr="005F4295">
        <w:rPr>
          <w:noProof/>
        </w:rPr>
        <w:t xml:space="preserve">This is </w:t>
      </w:r>
      <w:r w:rsidR="002714B4" w:rsidRPr="005F4295">
        <w:rPr>
          <w:noProof/>
        </w:rPr>
        <w:t>mainly</w:t>
      </w:r>
      <w:r w:rsidR="00D274C9" w:rsidRPr="005F4295">
        <w:rPr>
          <w:noProof/>
        </w:rPr>
        <w:t xml:space="preserve"> </w:t>
      </w:r>
      <w:r w:rsidR="009133A2" w:rsidRPr="005F4295">
        <w:rPr>
          <w:noProof/>
        </w:rPr>
        <w:t xml:space="preserve">due to a significant </w:t>
      </w:r>
      <w:r w:rsidR="004E78B2" w:rsidRPr="005F4295">
        <w:rPr>
          <w:noProof/>
        </w:rPr>
        <w:t xml:space="preserve">net financial </w:t>
      </w:r>
      <w:r w:rsidR="009133A2" w:rsidRPr="005F4295">
        <w:rPr>
          <w:noProof/>
        </w:rPr>
        <w:t xml:space="preserve">correction of </w:t>
      </w:r>
      <w:r w:rsidRPr="005F4295">
        <w:t>EUR</w:t>
      </w:r>
      <w:r w:rsidR="00D274C9" w:rsidRPr="005F4295">
        <w:rPr>
          <w:rFonts w:ascii="Calibri" w:hAnsi="Calibri" w:cs="Calibri"/>
        </w:rPr>
        <w:t> </w:t>
      </w:r>
      <w:r w:rsidR="009133A2" w:rsidRPr="005F4295">
        <w:rPr>
          <w:noProof/>
        </w:rPr>
        <w:t>415</w:t>
      </w:r>
      <w:r w:rsidR="00D274C9" w:rsidRPr="005F4295">
        <w:rPr>
          <w:rFonts w:ascii="Calibri" w:hAnsi="Calibri" w:cs="Calibri"/>
        </w:rPr>
        <w:t> </w:t>
      </w:r>
      <w:r w:rsidRPr="005F4295">
        <w:t>million</w:t>
      </w:r>
      <w:r w:rsidR="009133A2" w:rsidRPr="005F4295">
        <w:rPr>
          <w:noProof/>
        </w:rPr>
        <w:t xml:space="preserve"> for Greece, adopted in </w:t>
      </w:r>
      <w:r w:rsidR="00D44589" w:rsidRPr="005F4295">
        <w:rPr>
          <w:noProof/>
        </w:rPr>
        <w:t>2025</w:t>
      </w:r>
      <w:r w:rsidR="002714B4" w:rsidRPr="005F4295">
        <w:rPr>
          <w:noProof/>
        </w:rPr>
        <w:t xml:space="preserve"> and</w:t>
      </w:r>
      <w:r w:rsidR="009133A2" w:rsidRPr="005F4295">
        <w:rPr>
          <w:noProof/>
        </w:rPr>
        <w:t xml:space="preserve"> </w:t>
      </w:r>
      <w:r w:rsidR="005717B7" w:rsidRPr="005F4295">
        <w:rPr>
          <w:noProof/>
        </w:rPr>
        <w:t xml:space="preserve">resulting from </w:t>
      </w:r>
      <w:r w:rsidR="009133A2" w:rsidRPr="005F4295">
        <w:rPr>
          <w:noProof/>
        </w:rPr>
        <w:t>a series of enquiries and spanning several financial years.</w:t>
      </w:r>
      <w:r w:rsidRPr="005F4295">
        <w:rPr>
          <w:b/>
        </w:rPr>
        <w:t xml:space="preserve"> </w:t>
      </w:r>
      <w:r w:rsidRPr="005F4295">
        <w:t>Net financial corrections are characteristic of the European Agricultural Guarantee Fund and the European Agricultural Fund for Rural Development</w:t>
      </w:r>
      <w:r w:rsidR="00B37C56" w:rsidRPr="005F4295">
        <w:t xml:space="preserve">, </w:t>
      </w:r>
      <w:r w:rsidRPr="005F4295">
        <w:t>as they are applied after a procedure in which the duration may vary</w:t>
      </w:r>
      <w:r w:rsidR="00FF55E8" w:rsidRPr="005F4295">
        <w:rPr>
          <w:noProof/>
        </w:rPr>
        <w:t>,</w:t>
      </w:r>
      <w:r w:rsidRPr="005F4295">
        <w:t xml:space="preserve"> creating the variation in the amounts between years. The net financial corrections </w:t>
      </w:r>
      <w:r w:rsidR="00AB397B" w:rsidRPr="005F4295">
        <w:t xml:space="preserve">that took place </w:t>
      </w:r>
      <w:r w:rsidRPr="005F4295">
        <w:t xml:space="preserve">in </w:t>
      </w:r>
      <w:r w:rsidRPr="005F4295">
        <w:rPr>
          <w:noProof/>
        </w:rPr>
        <w:t>202</w:t>
      </w:r>
      <w:r w:rsidR="00DB264B" w:rsidRPr="005F4295">
        <w:rPr>
          <w:noProof/>
        </w:rPr>
        <w:t>5</w:t>
      </w:r>
      <w:r w:rsidRPr="005F4295">
        <w:t xml:space="preserve"> </w:t>
      </w:r>
      <w:r w:rsidR="00AB397B" w:rsidRPr="005F4295">
        <w:t xml:space="preserve">are </w:t>
      </w:r>
      <w:r w:rsidRPr="005F4295">
        <w:t xml:space="preserve">still fully </w:t>
      </w:r>
      <w:r w:rsidR="00AB397B" w:rsidRPr="005F4295">
        <w:t xml:space="preserve">related </w:t>
      </w:r>
      <w:r w:rsidRPr="005F4295">
        <w:t xml:space="preserve">to expenditure under the 2014-2022 common agricultural policy </w:t>
      </w:r>
      <w:r w:rsidR="00B54061" w:rsidRPr="005F4295">
        <w:t>basic act</w:t>
      </w:r>
      <w:r w:rsidR="00244417" w:rsidRPr="005F4295">
        <w:t>.</w:t>
      </w:r>
      <w:r w:rsidRPr="005F4295">
        <w:t xml:space="preserve"> </w:t>
      </w:r>
      <w:r w:rsidR="00AB397B" w:rsidRPr="005F4295">
        <w:rPr>
          <w:bCs/>
        </w:rPr>
        <w:t>N</w:t>
      </w:r>
      <w:r w:rsidRPr="005F4295">
        <w:rPr>
          <w:bCs/>
        </w:rPr>
        <w:t>o</w:t>
      </w:r>
      <w:r w:rsidRPr="005F4295">
        <w:t xml:space="preserve"> conformity procedure related to the 2023-2027 common agricultural policy expenditure </w:t>
      </w:r>
      <w:r w:rsidR="00AB397B" w:rsidRPr="005F4295">
        <w:t xml:space="preserve">has been </w:t>
      </w:r>
      <w:r w:rsidRPr="005F4295">
        <w:t xml:space="preserve">finalised </w:t>
      </w:r>
      <w:r w:rsidR="00AB397B" w:rsidRPr="005F4295">
        <w:rPr>
          <w:bCs/>
        </w:rPr>
        <w:t>yet</w:t>
      </w:r>
      <w:r w:rsidRPr="005F4295">
        <w:t>.</w:t>
      </w:r>
    </w:p>
    <w:p w14:paraId="2EA56348" w14:textId="142E0B85" w:rsidR="00EB70E0" w:rsidRPr="005F4295" w:rsidRDefault="00EB70E0" w:rsidP="001C4B04">
      <w:pPr>
        <w:spacing w:after="120"/>
      </w:pPr>
      <w:r w:rsidRPr="005F4295">
        <w:t>The remaining EUR</w:t>
      </w:r>
      <w:r w:rsidRPr="005F4295">
        <w:rPr>
          <w:rFonts w:ascii="Calibri" w:hAnsi="Calibri" w:cs="Calibri"/>
        </w:rPr>
        <w:t> </w:t>
      </w:r>
      <w:r w:rsidR="00FF55E8" w:rsidRPr="005F4295">
        <w:t>17.8</w:t>
      </w:r>
      <w:r w:rsidRPr="005F4295">
        <w:rPr>
          <w:rFonts w:ascii="Calibri" w:hAnsi="Calibri" w:cs="Calibri"/>
        </w:rPr>
        <w:t> </w:t>
      </w:r>
      <w:r w:rsidRPr="005F4295">
        <w:t>million concerned maritime affairs and fisheries</w:t>
      </w:r>
      <w:r w:rsidR="00FF55E8" w:rsidRPr="005F4295">
        <w:rPr>
          <w:noProof/>
        </w:rPr>
        <w:t>,</w:t>
      </w:r>
      <w:r w:rsidRPr="005F4295">
        <w:t xml:space="preserve"> where Member States’ controls resulted in EUR</w:t>
      </w:r>
      <w:r w:rsidRPr="005F4295">
        <w:rPr>
          <w:rFonts w:ascii="Calibri" w:hAnsi="Calibri" w:cs="Calibri"/>
        </w:rPr>
        <w:t> </w:t>
      </w:r>
      <w:r w:rsidR="00FF55E8" w:rsidRPr="005F4295">
        <w:t>16.4</w:t>
      </w:r>
      <w:r w:rsidRPr="005F4295">
        <w:rPr>
          <w:rFonts w:ascii="Calibri" w:hAnsi="Calibri" w:cs="Calibri"/>
        </w:rPr>
        <w:t> </w:t>
      </w:r>
      <w:r w:rsidRPr="005F4295">
        <w:t>million in corrective measures</w:t>
      </w:r>
      <w:r w:rsidR="00FA7EE9" w:rsidRPr="005F4295">
        <w:t>,</w:t>
      </w:r>
      <w:r w:rsidRPr="005F4295">
        <w:t xml:space="preserve"> whereas the </w:t>
      </w:r>
      <w:r w:rsidR="00FF55E8" w:rsidRPr="005F4295">
        <w:rPr>
          <w:noProof/>
        </w:rPr>
        <w:t>corrections</w:t>
      </w:r>
      <w:r w:rsidRPr="005F4295">
        <w:rPr>
          <w:noProof/>
        </w:rPr>
        <w:t xml:space="preserve"> </w:t>
      </w:r>
      <w:r w:rsidR="00FF55E8" w:rsidRPr="005F4295">
        <w:t>linked to the Commission’s work</w:t>
      </w:r>
      <w:r w:rsidR="00FF55E8" w:rsidRPr="005F4295" w:rsidDel="00FF55E8">
        <w:t xml:space="preserve"> </w:t>
      </w:r>
      <w:r w:rsidRPr="005F4295">
        <w:t>amounted to EUR</w:t>
      </w:r>
      <w:r w:rsidRPr="005F4295">
        <w:rPr>
          <w:rFonts w:ascii="Calibri" w:hAnsi="Calibri" w:cs="Calibri"/>
        </w:rPr>
        <w:t> </w:t>
      </w:r>
      <w:r w:rsidR="00FF55E8" w:rsidRPr="005F4295">
        <w:t>1.4</w:t>
      </w:r>
      <w:r w:rsidRPr="005F4295">
        <w:rPr>
          <w:rFonts w:ascii="Calibri" w:hAnsi="Calibri" w:cs="Calibri"/>
        </w:rPr>
        <w:t> </w:t>
      </w:r>
      <w:r w:rsidRPr="005F4295">
        <w:t>million</w:t>
      </w:r>
      <w:r w:rsidRPr="005F4295">
        <w:rPr>
          <w:noProof/>
        </w:rPr>
        <w:t>.</w:t>
      </w:r>
    </w:p>
    <w:p w14:paraId="19DE9454" w14:textId="77777777" w:rsidR="00EB70E0" w:rsidRPr="005F4295" w:rsidRDefault="00EB70E0" w:rsidP="001C4B04">
      <w:pPr>
        <w:pStyle w:val="HeadingMan-NumT-AnnexesL3-111"/>
        <w:rPr>
          <w:rFonts w:ascii="EC Square Sans Pro" w:hAnsi="EC Square Sans Pro"/>
          <w:noProof/>
          <w:highlight w:val="lightGray"/>
        </w:rPr>
      </w:pPr>
      <w:bookmarkStart w:id="56" w:name="_Toc229386274"/>
      <w:r w:rsidRPr="005F4295">
        <w:rPr>
          <w:rFonts w:ascii="EC Square Sans Pro" w:hAnsi="EC Square Sans Pro"/>
        </w:rPr>
        <w:t>5.4.4.</w:t>
      </w:r>
      <w:r w:rsidRPr="005F4295">
        <w:rPr>
          <w:rFonts w:ascii="EC Square Sans Pro" w:hAnsi="EC Square Sans Pro"/>
        </w:rPr>
        <w:tab/>
        <w:t>Multiannual overview</w:t>
      </w:r>
      <w:bookmarkEnd w:id="56"/>
    </w:p>
    <w:p w14:paraId="0AED25D2" w14:textId="16E843E5" w:rsidR="00EB70E0" w:rsidRPr="005F4295" w:rsidRDefault="00EB70E0" w:rsidP="00EB70E0">
      <w:pPr>
        <w:pStyle w:val="ImageTitle"/>
        <w:rPr>
          <w:noProof/>
          <w:highlight w:val="lightGray"/>
        </w:rPr>
      </w:pPr>
      <w:r w:rsidRPr="005F4295">
        <w:t>Preventive and corrective measures implemented for 2019-</w:t>
      </w:r>
      <w:r w:rsidRPr="005F4295">
        <w:rPr>
          <w:noProof/>
        </w:rPr>
        <w:t>202</w:t>
      </w:r>
      <w:r w:rsidR="00700CA4" w:rsidRPr="005F4295">
        <w:rPr>
          <w:noProof/>
        </w:rPr>
        <w:t>5</w:t>
      </w:r>
      <w:r w:rsidRPr="005F4295">
        <w:t xml:space="preserve"> (million</w:t>
      </w:r>
      <w:r w:rsidR="00343625" w:rsidRPr="005F4295">
        <w:t xml:space="preserve"> </w:t>
      </w:r>
      <w:r w:rsidRPr="005F4295">
        <w:t>EUR)</w:t>
      </w:r>
    </w:p>
    <w:p w14:paraId="46D0B1D2" w14:textId="72DECBEC" w:rsidR="00EB70E0" w:rsidRPr="005F4295" w:rsidRDefault="00C01CE8" w:rsidP="004361EC">
      <w:pPr>
        <w:pStyle w:val="ImagePlaceholder"/>
        <w:jc w:val="left"/>
        <w:rPr>
          <w:highlight w:val="lightGray"/>
          <w:lang w:eastAsia="zh-CN"/>
        </w:rPr>
      </w:pPr>
      <w:r w:rsidRPr="005F4295">
        <w:rPr>
          <w:noProof/>
          <w:highlight w:val="lightGray"/>
          <w:lang w:eastAsia="zh-CN"/>
        </w:rPr>
        <w:drawing>
          <wp:inline distT="0" distB="0" distL="0" distR="0" wp14:anchorId="6F94267C" wp14:editId="7B535C2B">
            <wp:extent cx="5578815" cy="2428875"/>
            <wp:effectExtent l="0" t="0" r="3175" b="0"/>
            <wp:docPr id="453934110" name="Picture 13">
              <a:extLst xmlns:a="http://schemas.openxmlformats.org/drawingml/2006/main">
                <a:ext uri="{FF2B5EF4-FFF2-40B4-BE49-F238E27FC236}">
                  <a16:creationId xmlns:a16="http://schemas.microsoft.com/office/drawing/2014/main" id="{50548424-5FDE-068F-1056-E00CAF5BFD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50548424-5FDE-068F-1056-E00CAF5BFDA4}"/>
                        </a:ext>
                      </a:extLst>
                    </pic:cNvPr>
                    <pic:cNvPicPr>
                      <a:picLocks noChangeAspect="1"/>
                    </pic:cNvPicPr>
                  </pic:nvPicPr>
                  <pic:blipFill rotWithShape="1">
                    <a:blip r:embed="rId55"/>
                    <a:srcRect l="1050" t="5117" r="1050" b="1494"/>
                    <a:stretch>
                      <a:fillRect/>
                    </a:stretch>
                  </pic:blipFill>
                  <pic:spPr bwMode="auto">
                    <a:xfrm>
                      <a:off x="0" y="0"/>
                      <a:ext cx="5590833" cy="2434107"/>
                    </a:xfrm>
                    <a:prstGeom prst="rect">
                      <a:avLst/>
                    </a:prstGeom>
                    <a:ln>
                      <a:noFill/>
                    </a:ln>
                    <a:extLst>
                      <a:ext uri="{53640926-AAD7-44D8-BBD7-CCE9431645EC}">
                        <a14:shadowObscured xmlns:a14="http://schemas.microsoft.com/office/drawing/2010/main"/>
                      </a:ext>
                    </a:extLst>
                  </pic:spPr>
                </pic:pic>
              </a:graphicData>
            </a:graphic>
          </wp:inline>
        </w:drawing>
      </w:r>
    </w:p>
    <w:p w14:paraId="4F429889" w14:textId="693202E3" w:rsidR="00EB70E0" w:rsidRPr="005F4295" w:rsidRDefault="00EB70E0" w:rsidP="001C4B04">
      <w:pPr>
        <w:pStyle w:val="ImageSource"/>
        <w:spacing w:after="240"/>
      </w:pPr>
      <w:r w:rsidRPr="005F4295">
        <w:rPr>
          <w:i/>
        </w:rPr>
        <w:t>Source:</w:t>
      </w:r>
      <w:r w:rsidRPr="005F4295">
        <w:t xml:space="preserve"> European Commission 2019-</w:t>
      </w:r>
      <w:r w:rsidRPr="005F4295">
        <w:rPr>
          <w:noProof/>
        </w:rPr>
        <w:t>202</w:t>
      </w:r>
      <w:r w:rsidR="00A4364F" w:rsidRPr="005F4295">
        <w:rPr>
          <w:noProof/>
        </w:rPr>
        <w:t>5</w:t>
      </w:r>
      <w:r w:rsidRPr="005F4295">
        <w:t xml:space="preserve"> annual activity reports and annual management and performance reports.</w:t>
      </w:r>
    </w:p>
    <w:p w14:paraId="48E2920A" w14:textId="6B6C80D9" w:rsidR="00EB70E0" w:rsidRPr="005F4295" w:rsidRDefault="00EB70E0" w:rsidP="00EB70E0">
      <w:pPr>
        <w:rPr>
          <w:noProof/>
          <w:highlight w:val="lightGray"/>
        </w:rPr>
      </w:pPr>
      <w:r w:rsidRPr="005F4295">
        <w:rPr>
          <w:rStyle w:val="Bold"/>
        </w:rPr>
        <w:t xml:space="preserve">For </w:t>
      </w:r>
      <w:r w:rsidR="004B44F6" w:rsidRPr="005F4295">
        <w:rPr>
          <w:rStyle w:val="Bold"/>
        </w:rPr>
        <w:t xml:space="preserve">the </w:t>
      </w:r>
      <w:r w:rsidRPr="005F4295">
        <w:rPr>
          <w:rStyle w:val="Bold"/>
        </w:rPr>
        <w:t>2019-</w:t>
      </w:r>
      <w:r w:rsidRPr="005F4295">
        <w:rPr>
          <w:rStyle w:val="Bold"/>
          <w:noProof/>
        </w:rPr>
        <w:t>202</w:t>
      </w:r>
      <w:r w:rsidR="0027115E" w:rsidRPr="005F4295">
        <w:rPr>
          <w:rStyle w:val="Bold"/>
          <w:noProof/>
        </w:rPr>
        <w:t>5</w:t>
      </w:r>
      <w:r w:rsidR="00D74D7B" w:rsidRPr="005F4295">
        <w:rPr>
          <w:rStyle w:val="Bold"/>
        </w:rPr>
        <w:t xml:space="preserve"> period</w:t>
      </w:r>
      <w:r w:rsidR="0027115E" w:rsidRPr="005F4295">
        <w:rPr>
          <w:rStyle w:val="Bold"/>
          <w:noProof/>
        </w:rPr>
        <w:t>,</w:t>
      </w:r>
      <w:r w:rsidRPr="005F4295">
        <w:rPr>
          <w:rStyle w:val="Bold"/>
        </w:rPr>
        <w:t xml:space="preserve"> the preventive and corrective measures amounted to EUR</w:t>
      </w:r>
      <w:r w:rsidRPr="005F4295">
        <w:rPr>
          <w:rStyle w:val="Bold"/>
          <w:rFonts w:ascii="Calibri" w:hAnsi="Calibri" w:cs="Calibri"/>
        </w:rPr>
        <w:t> </w:t>
      </w:r>
      <w:r w:rsidR="00DB4E51" w:rsidRPr="005F4295">
        <w:rPr>
          <w:rStyle w:val="Bold"/>
          <w:noProof/>
        </w:rPr>
        <w:t>36</w:t>
      </w:r>
      <w:r w:rsidRPr="005F4295">
        <w:rPr>
          <w:rStyle w:val="Bold"/>
        </w:rPr>
        <w:t>.2</w:t>
      </w:r>
      <w:r w:rsidRPr="005F4295">
        <w:rPr>
          <w:rStyle w:val="Bold"/>
          <w:rFonts w:ascii="Calibri" w:hAnsi="Calibri" w:cs="Calibri"/>
        </w:rPr>
        <w:t> </w:t>
      </w:r>
      <w:r w:rsidRPr="005F4295">
        <w:rPr>
          <w:rStyle w:val="Bold"/>
        </w:rPr>
        <w:t xml:space="preserve">billion. </w:t>
      </w:r>
      <w:r w:rsidRPr="005F4295">
        <w:t>The highest amounts of preventive and corrective measures are under heading</w:t>
      </w:r>
      <w:r w:rsidRPr="005F4295">
        <w:rPr>
          <w:rFonts w:ascii="Calibri" w:hAnsi="Calibri" w:cs="Calibri"/>
        </w:rPr>
        <w:t> </w:t>
      </w:r>
      <w:r w:rsidRPr="005F4295">
        <w:t>2 (cohesion</w:t>
      </w:r>
      <w:r w:rsidR="00DB4E51" w:rsidRPr="005F4295">
        <w:rPr>
          <w:noProof/>
        </w:rPr>
        <w:t>,</w:t>
      </w:r>
      <w:r w:rsidRPr="005F4295">
        <w:t xml:space="preserve"> resilience and values) and heading</w:t>
      </w:r>
      <w:r w:rsidRPr="005F4295">
        <w:rPr>
          <w:rFonts w:ascii="Calibri" w:hAnsi="Calibri" w:cs="Calibri"/>
        </w:rPr>
        <w:t> </w:t>
      </w:r>
      <w:r w:rsidRPr="005F4295">
        <w:t>3 (natural resources and environment</w:t>
      </w:r>
      <w:r w:rsidRPr="005F4295">
        <w:rPr>
          <w:noProof/>
        </w:rPr>
        <w:t>)</w:t>
      </w:r>
      <w:r w:rsidR="00DB4E51" w:rsidRPr="005F4295">
        <w:rPr>
          <w:noProof/>
        </w:rPr>
        <w:t>,</w:t>
      </w:r>
      <w:r w:rsidRPr="005F4295">
        <w:t xml:space="preserve"> which is consistent with the high level of expenditure under these headings.</w:t>
      </w:r>
    </w:p>
    <w:p w14:paraId="66AF56FE" w14:textId="184A63CC" w:rsidR="00FD6417" w:rsidRPr="005F4295" w:rsidRDefault="00EB70E0" w:rsidP="00FD6417">
      <w:pPr>
        <w:rPr>
          <w:noProof/>
        </w:rPr>
      </w:pPr>
      <w:r w:rsidRPr="005F4295">
        <w:rPr>
          <w:rStyle w:val="Bold"/>
        </w:rPr>
        <w:t>Preventive measures amounted to EUR</w:t>
      </w:r>
      <w:r w:rsidRPr="005F4295">
        <w:rPr>
          <w:rStyle w:val="Bold"/>
          <w:rFonts w:ascii="Calibri" w:hAnsi="Calibri" w:cs="Calibri"/>
        </w:rPr>
        <w:t> </w:t>
      </w:r>
      <w:r w:rsidR="0042357C" w:rsidRPr="005F4295">
        <w:rPr>
          <w:rStyle w:val="Bold"/>
          <w:noProof/>
        </w:rPr>
        <w:t>18.07</w:t>
      </w:r>
      <w:r w:rsidR="00D915C4" w:rsidRPr="005F4295">
        <w:rPr>
          <w:rStyle w:val="Bold"/>
          <w:rFonts w:ascii="Calibri" w:hAnsi="Calibri" w:cs="Calibri"/>
          <w:noProof/>
        </w:rPr>
        <w:t> </w:t>
      </w:r>
      <w:r w:rsidR="0042357C" w:rsidRPr="005F4295">
        <w:rPr>
          <w:rStyle w:val="Bold"/>
          <w:noProof/>
        </w:rPr>
        <w:t>billion</w:t>
      </w:r>
      <w:r w:rsidR="0042357C" w:rsidRPr="005F4295">
        <w:rPr>
          <w:rStyle w:val="Bold"/>
        </w:rPr>
        <w:t xml:space="preserve"> </w:t>
      </w:r>
      <w:r w:rsidRPr="005F4295">
        <w:rPr>
          <w:rStyle w:val="Bold"/>
        </w:rPr>
        <w:t>for the period</w:t>
      </w:r>
      <w:r w:rsidR="00DB4E51" w:rsidRPr="005F4295">
        <w:rPr>
          <w:noProof/>
        </w:rPr>
        <w:t>,</w:t>
      </w:r>
      <w:r w:rsidRPr="005F4295">
        <w:t xml:space="preserve"> substantia</w:t>
      </w:r>
      <w:r w:rsidR="0042357C" w:rsidRPr="005F4295">
        <w:t>ting</w:t>
      </w:r>
      <w:r w:rsidRPr="005F4295">
        <w:t xml:space="preserve"> the important role of the Member States in protecting the EU budget through their controls before the Commission accepts and reimburses expenditure. </w:t>
      </w:r>
      <w:r w:rsidRPr="005F4295">
        <w:rPr>
          <w:noProof/>
        </w:rPr>
        <w:t xml:space="preserve">The </w:t>
      </w:r>
      <w:r w:rsidR="007974DB" w:rsidRPr="005F4295">
        <w:rPr>
          <w:noProof/>
        </w:rPr>
        <w:t xml:space="preserve">overall </w:t>
      </w:r>
      <w:r w:rsidR="0042357C" w:rsidRPr="005F4295">
        <w:rPr>
          <w:noProof/>
        </w:rPr>
        <w:t xml:space="preserve">trend remains relatively stable, with an average annual amount of </w:t>
      </w:r>
      <w:r w:rsidR="0042357C" w:rsidRPr="005F4295">
        <w:rPr>
          <w:b/>
          <w:bCs/>
          <w:noProof/>
        </w:rPr>
        <w:t>EUR</w:t>
      </w:r>
      <w:r w:rsidR="007E6B5A" w:rsidRPr="005F4295">
        <w:rPr>
          <w:rFonts w:ascii="Calibri" w:hAnsi="Calibri" w:cs="Calibri"/>
          <w:b/>
          <w:bCs/>
          <w:noProof/>
        </w:rPr>
        <w:t> </w:t>
      </w:r>
      <w:r w:rsidR="0042357C" w:rsidRPr="005F4295">
        <w:rPr>
          <w:b/>
          <w:bCs/>
          <w:noProof/>
        </w:rPr>
        <w:t>2.6</w:t>
      </w:r>
      <w:r w:rsidR="007E6B5A" w:rsidRPr="005F4295">
        <w:rPr>
          <w:rFonts w:ascii="Calibri" w:hAnsi="Calibri" w:cs="Calibri"/>
          <w:b/>
          <w:bCs/>
          <w:noProof/>
        </w:rPr>
        <w:t> </w:t>
      </w:r>
      <w:r w:rsidR="0042357C" w:rsidRPr="005F4295">
        <w:rPr>
          <w:b/>
          <w:bCs/>
          <w:noProof/>
        </w:rPr>
        <w:t>billion</w:t>
      </w:r>
      <w:r w:rsidR="0042357C" w:rsidRPr="005F4295">
        <w:rPr>
          <w:noProof/>
        </w:rPr>
        <w:t xml:space="preserve">, comparable to the average annual amount </w:t>
      </w:r>
      <w:r w:rsidR="007E6B5A" w:rsidRPr="005F4295">
        <w:rPr>
          <w:noProof/>
        </w:rPr>
        <w:t>of EUR</w:t>
      </w:r>
      <w:r w:rsidR="007E6B5A" w:rsidRPr="005F4295">
        <w:rPr>
          <w:rFonts w:ascii="Calibri" w:hAnsi="Calibri" w:cs="Calibri"/>
          <w:noProof/>
        </w:rPr>
        <w:t> </w:t>
      </w:r>
      <w:r w:rsidR="007E6B5A" w:rsidRPr="005F4295">
        <w:rPr>
          <w:noProof/>
        </w:rPr>
        <w:t>2.8</w:t>
      </w:r>
      <w:r w:rsidR="007E6B5A" w:rsidRPr="005F4295">
        <w:rPr>
          <w:rFonts w:ascii="Calibri" w:hAnsi="Calibri" w:cs="Calibri"/>
          <w:noProof/>
        </w:rPr>
        <w:t> </w:t>
      </w:r>
      <w:r w:rsidR="007E6B5A" w:rsidRPr="005F4295">
        <w:rPr>
          <w:noProof/>
        </w:rPr>
        <w:t xml:space="preserve">billion </w:t>
      </w:r>
      <w:r w:rsidR="0042357C" w:rsidRPr="005F4295">
        <w:rPr>
          <w:noProof/>
        </w:rPr>
        <w:t xml:space="preserve">for </w:t>
      </w:r>
      <w:r w:rsidR="007E6B5A" w:rsidRPr="005F4295">
        <w:rPr>
          <w:noProof/>
        </w:rPr>
        <w:t xml:space="preserve">the </w:t>
      </w:r>
      <w:r w:rsidR="0042357C" w:rsidRPr="005F4295">
        <w:rPr>
          <w:noProof/>
        </w:rPr>
        <w:t xml:space="preserve">2019-2024 period. The closure of the 2014-2020 programming period led to a notable decrease in preventive measures for </w:t>
      </w:r>
      <w:r w:rsidR="00BC143A" w:rsidRPr="005F4295">
        <w:rPr>
          <w:noProof/>
        </w:rPr>
        <w:t>c</w:t>
      </w:r>
      <w:r w:rsidR="0042357C" w:rsidRPr="005F4295">
        <w:rPr>
          <w:noProof/>
        </w:rPr>
        <w:t xml:space="preserve">ohesion over the last two reporting years, as all measures applied in the final accounting year </w:t>
      </w:r>
      <w:r w:rsidR="0042357C" w:rsidRPr="005F4295">
        <w:t xml:space="preserve">2023-2024 </w:t>
      </w:r>
      <w:r w:rsidR="0042357C" w:rsidRPr="005F4295">
        <w:rPr>
          <w:noProof/>
        </w:rPr>
        <w:t>were reported as ‘corrective’, because no further action is possible after the submission of the final accounts (in the next payment applications or subsequent accounts).</w:t>
      </w:r>
    </w:p>
    <w:p w14:paraId="2E53F8C9" w14:textId="3D2B4AE7" w:rsidR="00FD6417" w:rsidRPr="005F4295" w:rsidRDefault="00EB70E0" w:rsidP="00FD6417">
      <w:pPr>
        <w:rPr>
          <w:noProof/>
          <w:highlight w:val="lightGray"/>
        </w:rPr>
      </w:pPr>
      <w:r w:rsidRPr="005F4295">
        <w:rPr>
          <w:rStyle w:val="Bold"/>
        </w:rPr>
        <w:t>Corrective measures amounted to EUR</w:t>
      </w:r>
      <w:r w:rsidRPr="005F4295">
        <w:rPr>
          <w:rStyle w:val="Bold"/>
          <w:rFonts w:ascii="Calibri" w:hAnsi="Calibri" w:cs="Calibri"/>
        </w:rPr>
        <w:t> </w:t>
      </w:r>
      <w:r w:rsidR="00B92664" w:rsidRPr="005F4295">
        <w:rPr>
          <w:rStyle w:val="Bold"/>
          <w:noProof/>
        </w:rPr>
        <w:t>18.13</w:t>
      </w:r>
      <w:r w:rsidR="004C0638" w:rsidRPr="005F4295">
        <w:rPr>
          <w:rStyle w:val="Bold"/>
          <w:rFonts w:ascii="Calibri" w:hAnsi="Calibri" w:cs="Calibri"/>
          <w:noProof/>
        </w:rPr>
        <w:t> </w:t>
      </w:r>
      <w:r w:rsidR="00B92664" w:rsidRPr="005F4295">
        <w:rPr>
          <w:rStyle w:val="Bold"/>
          <w:noProof/>
        </w:rPr>
        <w:t>billion</w:t>
      </w:r>
      <w:r w:rsidRPr="005F4295">
        <w:rPr>
          <w:rStyle w:val="Bold"/>
        </w:rPr>
        <w:t xml:space="preserve"> for the period.</w:t>
      </w:r>
      <w:r w:rsidRPr="005F4295">
        <w:t xml:space="preserve"> The evolution of corrective measures in shared management is</w:t>
      </w:r>
      <w:r w:rsidRPr="005F4295" w:rsidDel="00B92664">
        <w:t xml:space="preserve"> </w:t>
      </w:r>
      <w:r w:rsidR="00B92664" w:rsidRPr="005F4295">
        <w:t>influenced by</w:t>
      </w:r>
      <w:r w:rsidRPr="005F4295">
        <w:t xml:space="preserve"> the significant backlog in their implementation</w:t>
      </w:r>
      <w:r w:rsidR="000154F6" w:rsidRPr="005F4295">
        <w:t>,</w:t>
      </w:r>
      <w:r w:rsidRPr="005F4295">
        <w:t xml:space="preserve"> in accordance with the applicable legislation. Especially for cohesion policy funds</w:t>
      </w:r>
      <w:r w:rsidR="00A6306F" w:rsidRPr="005F4295">
        <w:t>,</w:t>
      </w:r>
      <w:r w:rsidRPr="005F4295">
        <w:t xml:space="preserve"> </w:t>
      </w:r>
      <w:r w:rsidR="00B92664" w:rsidRPr="005F4295">
        <w:t xml:space="preserve">the </w:t>
      </w:r>
      <w:r w:rsidRPr="005F4295">
        <w:t xml:space="preserve">significant corrective measures applied during the first years analysed </w:t>
      </w:r>
      <w:r w:rsidR="00B92664" w:rsidRPr="005F4295">
        <w:t>related</w:t>
      </w:r>
      <w:r w:rsidRPr="005F4295" w:rsidDel="00B92664">
        <w:t xml:space="preserve"> </w:t>
      </w:r>
      <w:r w:rsidRPr="005F4295">
        <w:t>mostly to expenditure declared in previous programming periods</w:t>
      </w:r>
      <w:r w:rsidR="00B92664" w:rsidRPr="005F4295">
        <w:t xml:space="preserve">, </w:t>
      </w:r>
      <w:r w:rsidRPr="005F4295">
        <w:t xml:space="preserve">which </w:t>
      </w:r>
      <w:r w:rsidR="007758B0" w:rsidRPr="005F4295">
        <w:t xml:space="preserve">had a significantly higher </w:t>
      </w:r>
      <w:r w:rsidRPr="005F4295">
        <w:t>risk at payment at the Commission level</w:t>
      </w:r>
      <w:r w:rsidR="007758B0" w:rsidRPr="005F4295">
        <w:t>. The</w:t>
      </w:r>
      <w:r w:rsidRPr="005F4295" w:rsidDel="007758B0">
        <w:t xml:space="preserve"> </w:t>
      </w:r>
      <w:r w:rsidRPr="005F4295">
        <w:t>corrective measures applied for the 2014-2020 programming period have increased</w:t>
      </w:r>
      <w:r w:rsidR="00FD6417" w:rsidRPr="005F4295">
        <w:t xml:space="preserve"> over time</w:t>
      </w:r>
      <w:r w:rsidR="00CF5047" w:rsidRPr="005F4295">
        <w:t>,</w:t>
      </w:r>
      <w:r w:rsidRPr="005F4295">
        <w:t xml:space="preserve"> in line with the maturity of the expenditure implementation.</w:t>
      </w:r>
      <w:r w:rsidR="00FD6417" w:rsidRPr="005F4295">
        <w:t xml:space="preserve"> The sharp increase in 2025 is predominantly due to the closure of the 2014-2020 programming period cohesion policy funds and reflects the intensified final verifications conducted by Member States and a significant increase in corrective measures to exclude irregular expenditure at closure. For a more detailed analysis of the situation in </w:t>
      </w:r>
      <w:r w:rsidR="007E0D98" w:rsidRPr="005F4295">
        <w:t>c</w:t>
      </w:r>
      <w:r w:rsidR="00FD6417" w:rsidRPr="005F4295">
        <w:t>ohesion policy, please refer to Section</w:t>
      </w:r>
      <w:r w:rsidR="007E0D98" w:rsidRPr="005F4295">
        <w:rPr>
          <w:rFonts w:ascii="Calibri" w:hAnsi="Calibri" w:cs="Calibri"/>
        </w:rPr>
        <w:t> </w:t>
      </w:r>
      <w:r w:rsidR="00FD6417" w:rsidRPr="005F4295">
        <w:t>5.4.1 of this report.</w:t>
      </w:r>
    </w:p>
    <w:p w14:paraId="6914772A" w14:textId="3F2C2332" w:rsidR="00EB70E0" w:rsidRPr="005F4295" w:rsidRDefault="00EB70E0" w:rsidP="00EB70E0">
      <w:pPr>
        <w:pStyle w:val="HeadingMan-NumT-AnnexesL3-111"/>
        <w:ind w:left="0" w:firstLine="0"/>
        <w:rPr>
          <w:rFonts w:ascii="EC Square Sans Pro" w:hAnsi="EC Square Sans Pro"/>
          <w:noProof/>
        </w:rPr>
      </w:pPr>
      <w:bookmarkStart w:id="57" w:name="_Toc229386275"/>
      <w:r w:rsidRPr="005F4295">
        <w:rPr>
          <w:rFonts w:ascii="EC Square Sans Pro" w:hAnsi="EC Square Sans Pro"/>
          <w:noProof/>
        </w:rPr>
        <w:t>5.4.5.</w:t>
      </w:r>
      <w:r w:rsidRPr="005F4295">
        <w:rPr>
          <w:rFonts w:ascii="EC Square Sans Pro" w:hAnsi="EC Square Sans Pro"/>
          <w:noProof/>
        </w:rPr>
        <w:tab/>
        <w:t>Net financial corrections implemented by the Commission in 202</w:t>
      </w:r>
      <w:r w:rsidR="0071530E" w:rsidRPr="005F4295">
        <w:rPr>
          <w:rFonts w:ascii="EC Square Sans Pro" w:hAnsi="EC Square Sans Pro"/>
          <w:noProof/>
        </w:rPr>
        <w:t>5</w:t>
      </w:r>
      <w:bookmarkEnd w:id="57"/>
    </w:p>
    <w:p w14:paraId="512C82CA" w14:textId="4102A1ED" w:rsidR="00EB70E0" w:rsidRPr="005F4295" w:rsidRDefault="00EB70E0" w:rsidP="00EB70E0">
      <w:pPr>
        <w:rPr>
          <w:rFonts w:eastAsia="EC Square Sans Pro"/>
          <w:noProof/>
        </w:rPr>
      </w:pPr>
      <w:r w:rsidRPr="005F4295">
        <w:rPr>
          <w:rFonts w:eastAsia="EC Square Sans Pro"/>
          <w:noProof/>
        </w:rPr>
        <w:t>The following table presents the types of net financial corrections applied by the Commission as corrective measures in shared management in 202</w:t>
      </w:r>
      <w:r w:rsidR="0071530E" w:rsidRPr="005F4295">
        <w:rPr>
          <w:rFonts w:eastAsia="EC Square Sans Pro"/>
          <w:noProof/>
        </w:rPr>
        <w:t>5</w:t>
      </w:r>
      <w:r w:rsidRPr="005F4295">
        <w:rPr>
          <w:rFonts w:eastAsia="EC Square Sans Pro"/>
          <w:noProof/>
        </w:rPr>
        <w:t>.</w:t>
      </w:r>
    </w:p>
    <w:p w14:paraId="33A26057" w14:textId="6360E899" w:rsidR="00EB70E0" w:rsidRPr="005F4295" w:rsidRDefault="00EB70E0" w:rsidP="00EB70E0">
      <w:pPr>
        <w:pStyle w:val="TableTitle"/>
        <w:spacing w:before="360"/>
        <w:rPr>
          <w:rFonts w:eastAsia="EC Square Sans Pro"/>
          <w:noProof/>
        </w:rPr>
      </w:pPr>
      <w:r w:rsidRPr="005F4295">
        <w:rPr>
          <w:noProof/>
        </w:rPr>
        <w:t>Table</w:t>
      </w:r>
      <w:r w:rsidRPr="005F4295">
        <w:rPr>
          <w:rFonts w:ascii="Calibri" w:hAnsi="Calibri" w:cs="Calibri"/>
          <w:noProof/>
        </w:rPr>
        <w:t> </w:t>
      </w:r>
      <w:r w:rsidRPr="005F4295">
        <w:rPr>
          <w:rFonts w:cs="Calibri"/>
          <w:noProof/>
        </w:rPr>
        <w:t>H</w:t>
      </w:r>
      <w:r w:rsidRPr="005F4295">
        <w:rPr>
          <w:rFonts w:ascii="Calibri" w:hAnsi="Calibri" w:cs="Calibri"/>
          <w:noProof/>
        </w:rPr>
        <w:t> </w:t>
      </w:r>
      <w:r w:rsidRPr="005F4295">
        <w:rPr>
          <w:rFonts w:cs="EC Square Sans Pro"/>
          <w:noProof/>
        </w:rPr>
        <w:t>–</w:t>
      </w:r>
      <w:r w:rsidRPr="005F4295">
        <w:rPr>
          <w:rFonts w:cs="Calibri"/>
          <w:noProof/>
        </w:rPr>
        <w:t xml:space="preserve"> </w:t>
      </w:r>
      <w:r w:rsidRPr="005F4295">
        <w:rPr>
          <w:noProof/>
        </w:rPr>
        <w:t>202</w:t>
      </w:r>
      <w:r w:rsidR="0071530E" w:rsidRPr="005F4295">
        <w:rPr>
          <w:noProof/>
        </w:rPr>
        <w:t>5</w:t>
      </w:r>
      <w:r w:rsidRPr="005F4295">
        <w:rPr>
          <w:noProof/>
        </w:rPr>
        <w:t xml:space="preserve"> net financial corrections implemented by the Commission (corrective measures in shared management) (million</w:t>
      </w:r>
      <w:r w:rsidR="00CF5047" w:rsidRPr="005F4295">
        <w:rPr>
          <w:rFonts w:ascii="Calibri" w:hAnsi="Calibri" w:cs="Calibri"/>
          <w:noProof/>
        </w:rPr>
        <w:t xml:space="preserve"> </w:t>
      </w:r>
      <w:r w:rsidRPr="005F4295">
        <w:rPr>
          <w:noProof/>
        </w:rPr>
        <w:t>EUR)</w:t>
      </w:r>
    </w:p>
    <w:tbl>
      <w:tblPr>
        <w:tblW w:w="9209" w:type="dxa"/>
        <w:tblLayout w:type="fixed"/>
        <w:tblLook w:val="04A0" w:firstRow="1" w:lastRow="0" w:firstColumn="1" w:lastColumn="0" w:noHBand="0" w:noVBand="1"/>
      </w:tblPr>
      <w:tblGrid>
        <w:gridCol w:w="2405"/>
        <w:gridCol w:w="992"/>
        <w:gridCol w:w="993"/>
        <w:gridCol w:w="850"/>
        <w:gridCol w:w="992"/>
        <w:gridCol w:w="993"/>
        <w:gridCol w:w="850"/>
        <w:gridCol w:w="1134"/>
      </w:tblGrid>
      <w:tr w:rsidR="00EB70E0" w:rsidRPr="005F4295" w14:paraId="2B15014A" w14:textId="77777777">
        <w:trPr>
          <w:trHeight w:val="459"/>
        </w:trPr>
        <w:tc>
          <w:tcPr>
            <w:tcW w:w="2405"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noWrap/>
            <w:vAlign w:val="center"/>
            <w:hideMark/>
          </w:tcPr>
          <w:p w14:paraId="7756C517"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Multiannual financial framework heading/fund</w:t>
            </w:r>
          </w:p>
          <w:p w14:paraId="56D3FB3D" w14:textId="77777777" w:rsidR="00EB70E0" w:rsidRPr="005F4295" w:rsidRDefault="00EB70E0">
            <w:pPr>
              <w:spacing w:before="0" w:after="0" w:line="240" w:lineRule="auto"/>
              <w:jc w:val="center"/>
              <w:rPr>
                <w:rFonts w:cs="Arial"/>
                <w:b/>
                <w:noProof/>
                <w:color w:val="FFFFFF"/>
                <w:sz w:val="16"/>
                <w:szCs w:val="16"/>
                <w:lang w:eastAsia="en-IE"/>
              </w:rPr>
            </w:pPr>
          </w:p>
        </w:tc>
        <w:tc>
          <w:tcPr>
            <w:tcW w:w="6804"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vAlign w:val="center"/>
            <w:hideMark/>
          </w:tcPr>
          <w:p w14:paraId="1D5A44FB"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Net financial corrections</w:t>
            </w:r>
          </w:p>
        </w:tc>
      </w:tr>
      <w:tr w:rsidR="00EB70E0" w:rsidRPr="005F4295" w14:paraId="09219EAD" w14:textId="77777777">
        <w:trPr>
          <w:trHeight w:val="448"/>
        </w:trPr>
        <w:tc>
          <w:tcPr>
            <w:tcW w:w="2405" w:type="dxa"/>
            <w:vMerge/>
            <w:noWrap/>
            <w:vAlign w:val="center"/>
            <w:hideMark/>
          </w:tcPr>
          <w:p w14:paraId="5FDF3EE2" w14:textId="77777777" w:rsidR="00EB70E0" w:rsidRPr="005F4295" w:rsidRDefault="00EB70E0">
            <w:pPr>
              <w:spacing w:before="0" w:after="0" w:line="240" w:lineRule="auto"/>
              <w:jc w:val="center"/>
              <w:rPr>
                <w:rFonts w:cs="Arial"/>
                <w:b/>
                <w:noProof/>
                <w:color w:val="FFFFFF"/>
                <w:sz w:val="16"/>
                <w:szCs w:val="16"/>
                <w:lang w:eastAsia="en-IE"/>
              </w:rPr>
            </w:pPr>
          </w:p>
        </w:tc>
        <w:tc>
          <w:tcPr>
            <w:tcW w:w="283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vAlign w:val="center"/>
            <w:hideMark/>
          </w:tcPr>
          <w:p w14:paraId="127C5D7D"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2014-2020 multiannual financial framework and previous frameworks</w:t>
            </w:r>
          </w:p>
        </w:tc>
        <w:tc>
          <w:tcPr>
            <w:tcW w:w="283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vAlign w:val="center"/>
            <w:hideMark/>
          </w:tcPr>
          <w:p w14:paraId="481B41C7"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2021-2027 multiannual financial framework</w:t>
            </w:r>
          </w:p>
        </w:tc>
        <w:tc>
          <w:tcPr>
            <w:tcW w:w="1134"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vAlign w:val="center"/>
            <w:hideMark/>
          </w:tcPr>
          <w:p w14:paraId="58B74011"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Total net financial corrections</w:t>
            </w:r>
          </w:p>
        </w:tc>
      </w:tr>
      <w:tr w:rsidR="00EB70E0" w:rsidRPr="005F4295" w14:paraId="6D267E09" w14:textId="77777777">
        <w:trPr>
          <w:trHeight w:val="286"/>
        </w:trPr>
        <w:tc>
          <w:tcPr>
            <w:tcW w:w="2405" w:type="dxa"/>
            <w:vMerge/>
            <w:noWrap/>
            <w:vAlign w:val="center"/>
            <w:hideMark/>
          </w:tcPr>
          <w:p w14:paraId="69D105CC" w14:textId="77777777" w:rsidR="00EB70E0" w:rsidRPr="005F4295" w:rsidRDefault="00EB70E0">
            <w:pPr>
              <w:spacing w:before="0" w:after="0" w:line="240" w:lineRule="auto"/>
              <w:jc w:val="center"/>
              <w:rPr>
                <w:rFonts w:cs="Arial"/>
                <w:b/>
                <w:noProof/>
                <w:color w:val="FFFFFF"/>
                <w:sz w:val="16"/>
                <w:szCs w:val="16"/>
                <w:lang w:eastAsia="en-IE"/>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vAlign w:val="center"/>
            <w:hideMark/>
          </w:tcPr>
          <w:p w14:paraId="12D850BC"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Recovery order</w:t>
            </w: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vAlign w:val="center"/>
            <w:hideMark/>
          </w:tcPr>
          <w:p w14:paraId="0F9DE5CF" w14:textId="77777777" w:rsidR="00EB70E0" w:rsidRPr="005F4295" w:rsidRDefault="00EB70E0">
            <w:pPr>
              <w:suppressAutoHyphens w:val="0"/>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 xml:space="preserve">Decommitment </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vAlign w:val="center"/>
            <w:hideMark/>
          </w:tcPr>
          <w:p w14:paraId="378601CD"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Total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vAlign w:val="center"/>
            <w:hideMark/>
          </w:tcPr>
          <w:p w14:paraId="2AFFF9E1"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Recovery order</w:t>
            </w: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vAlign w:val="center"/>
            <w:hideMark/>
          </w:tcPr>
          <w:p w14:paraId="3921EF80" w14:textId="77777777" w:rsidR="00EB70E0" w:rsidRPr="005F4295" w:rsidRDefault="00EB70E0">
            <w:pPr>
              <w:suppressAutoHyphens w:val="0"/>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Decommit</w:t>
            </w:r>
            <w:r w:rsidRPr="005F4295">
              <w:rPr>
                <w:rFonts w:cs="Arial"/>
                <w:b/>
                <w:noProof/>
                <w:color w:val="FFFFFF"/>
                <w:sz w:val="16"/>
                <w:szCs w:val="16"/>
                <w:lang w:eastAsia="en-IE"/>
              </w:rPr>
              <w:softHyphen/>
              <w:t xml:space="preserve">ment </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themeFill="text2"/>
            <w:vAlign w:val="center"/>
            <w:hideMark/>
          </w:tcPr>
          <w:p w14:paraId="65EDD545"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 xml:space="preserve">Total </w:t>
            </w:r>
          </w:p>
        </w:tc>
        <w:tc>
          <w:tcPr>
            <w:tcW w:w="1134" w:type="dxa"/>
            <w:vMerge/>
            <w:vAlign w:val="center"/>
            <w:hideMark/>
          </w:tcPr>
          <w:p w14:paraId="701B94C0" w14:textId="77777777" w:rsidR="00EB70E0" w:rsidRPr="005F4295" w:rsidRDefault="00EB70E0">
            <w:pPr>
              <w:spacing w:before="0" w:after="0" w:line="240" w:lineRule="auto"/>
              <w:rPr>
                <w:rFonts w:cs="Arial"/>
                <w:b/>
                <w:noProof/>
                <w:color w:val="FFFFFF"/>
                <w:sz w:val="16"/>
                <w:szCs w:val="16"/>
                <w:lang w:eastAsia="en-IE"/>
              </w:rPr>
            </w:pPr>
          </w:p>
        </w:tc>
      </w:tr>
      <w:tr w:rsidR="00EB70E0" w:rsidRPr="005F4295" w14:paraId="14F4FE75" w14:textId="77777777">
        <w:trPr>
          <w:trHeight w:val="298"/>
        </w:trPr>
        <w:tc>
          <w:tcPr>
            <w:tcW w:w="2405" w:type="dxa"/>
            <w:vMerge/>
            <w:noWrap/>
            <w:vAlign w:val="center"/>
            <w:hideMark/>
          </w:tcPr>
          <w:p w14:paraId="78BE1BDF" w14:textId="77777777" w:rsidR="00EB70E0" w:rsidRPr="005F4295" w:rsidRDefault="00EB70E0">
            <w:pPr>
              <w:spacing w:before="0" w:after="0" w:line="240" w:lineRule="auto"/>
              <w:jc w:val="center"/>
              <w:rPr>
                <w:rFonts w:cs="Arial"/>
                <w:b/>
                <w:noProof/>
                <w:color w:val="FFFFFF"/>
                <w:sz w:val="16"/>
                <w:szCs w:val="16"/>
                <w:lang w:eastAsia="en-IE"/>
              </w:rPr>
            </w:pPr>
          </w:p>
        </w:tc>
        <w:tc>
          <w:tcPr>
            <w:tcW w:w="992" w:type="dxa"/>
            <w:tcBorders>
              <w:top w:val="single" w:sz="4" w:space="0" w:color="FFFFFF" w:themeColor="background1"/>
              <w:left w:val="single" w:sz="4" w:space="0" w:color="FFFFFF" w:themeColor="background1"/>
              <w:bottom w:val="single" w:sz="4" w:space="0" w:color="7F7F7F" w:themeColor="text1" w:themeTint="80"/>
              <w:right w:val="single" w:sz="4" w:space="0" w:color="FFFFFF" w:themeColor="background1"/>
            </w:tcBorders>
            <w:shd w:val="clear" w:color="auto" w:fill="003399" w:themeFill="text2"/>
            <w:vAlign w:val="center"/>
            <w:hideMark/>
          </w:tcPr>
          <w:p w14:paraId="30403CEA"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(a)</w:t>
            </w:r>
          </w:p>
        </w:tc>
        <w:tc>
          <w:tcPr>
            <w:tcW w:w="993" w:type="dxa"/>
            <w:tcBorders>
              <w:top w:val="single" w:sz="4" w:space="0" w:color="FFFFFF" w:themeColor="background1"/>
              <w:left w:val="single" w:sz="4" w:space="0" w:color="FFFFFF" w:themeColor="background1"/>
              <w:bottom w:val="single" w:sz="4" w:space="0" w:color="7F7F7F" w:themeColor="text1" w:themeTint="80"/>
              <w:right w:val="single" w:sz="4" w:space="0" w:color="FFFFFF" w:themeColor="background1"/>
            </w:tcBorders>
            <w:shd w:val="clear" w:color="auto" w:fill="003399" w:themeFill="text2"/>
            <w:vAlign w:val="center"/>
            <w:hideMark/>
          </w:tcPr>
          <w:p w14:paraId="2B6D9D13"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(b)</w:t>
            </w:r>
          </w:p>
        </w:tc>
        <w:tc>
          <w:tcPr>
            <w:tcW w:w="850" w:type="dxa"/>
            <w:tcBorders>
              <w:top w:val="single" w:sz="4" w:space="0" w:color="FFFFFF" w:themeColor="background1"/>
              <w:left w:val="single" w:sz="4" w:space="0" w:color="FFFFFF" w:themeColor="background1"/>
              <w:bottom w:val="single" w:sz="4" w:space="0" w:color="7F7F7F" w:themeColor="text1" w:themeTint="80"/>
              <w:right w:val="single" w:sz="4" w:space="0" w:color="FFFFFF" w:themeColor="background1"/>
            </w:tcBorders>
            <w:shd w:val="clear" w:color="auto" w:fill="003399" w:themeFill="text2"/>
            <w:vAlign w:val="center"/>
            <w:hideMark/>
          </w:tcPr>
          <w:p w14:paraId="272FA0FE"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(c)</w:t>
            </w:r>
            <w:r w:rsidRPr="005F4295">
              <w:rPr>
                <w:rFonts w:ascii="Calibri" w:hAnsi="Calibri" w:cs="Calibri"/>
                <w:b/>
                <w:noProof/>
                <w:color w:val="FFFFFF"/>
                <w:sz w:val="16"/>
                <w:szCs w:val="16"/>
                <w:lang w:eastAsia="en-IE"/>
              </w:rPr>
              <w:t> </w:t>
            </w:r>
            <w:r w:rsidRPr="005F4295">
              <w:rPr>
                <w:rFonts w:cs="Arial"/>
                <w:b/>
                <w:noProof/>
                <w:color w:val="FFFFFF"/>
                <w:sz w:val="16"/>
                <w:szCs w:val="16"/>
                <w:lang w:eastAsia="en-IE"/>
              </w:rPr>
              <w:t>=</w:t>
            </w:r>
            <w:r w:rsidRPr="005F4295">
              <w:rPr>
                <w:rFonts w:ascii="Calibri" w:hAnsi="Calibri" w:cs="Calibri"/>
                <w:b/>
                <w:noProof/>
                <w:color w:val="FFFFFF"/>
                <w:sz w:val="16"/>
                <w:szCs w:val="16"/>
                <w:lang w:eastAsia="en-IE"/>
              </w:rPr>
              <w:t> </w:t>
            </w:r>
            <w:r w:rsidRPr="005F4295">
              <w:rPr>
                <w:rFonts w:cs="Calibri"/>
                <w:b/>
                <w:noProof/>
                <w:color w:val="FFFFFF"/>
                <w:sz w:val="16"/>
                <w:szCs w:val="16"/>
                <w:lang w:eastAsia="en-IE"/>
              </w:rPr>
              <w:br/>
              <w:t>(</w:t>
            </w:r>
            <w:r w:rsidRPr="005F4295">
              <w:rPr>
                <w:rFonts w:cs="Arial"/>
                <w:b/>
                <w:noProof/>
                <w:color w:val="FFFFFF"/>
                <w:sz w:val="16"/>
                <w:szCs w:val="16"/>
                <w:lang w:eastAsia="en-IE"/>
              </w:rPr>
              <w:t>a)</w:t>
            </w:r>
            <w:r w:rsidRPr="005F4295">
              <w:rPr>
                <w:rFonts w:ascii="Calibri" w:hAnsi="Calibri" w:cs="Calibri"/>
                <w:b/>
                <w:noProof/>
                <w:color w:val="FFFFFF"/>
                <w:sz w:val="16"/>
                <w:szCs w:val="16"/>
                <w:lang w:eastAsia="en-IE"/>
              </w:rPr>
              <w:t> </w:t>
            </w:r>
            <w:r w:rsidRPr="005F4295">
              <w:rPr>
                <w:rFonts w:cs="Arial"/>
                <w:b/>
                <w:noProof/>
                <w:color w:val="FFFFFF"/>
                <w:sz w:val="16"/>
                <w:szCs w:val="16"/>
                <w:lang w:eastAsia="en-IE"/>
              </w:rPr>
              <w:t>+</w:t>
            </w:r>
            <w:r w:rsidRPr="005F4295">
              <w:rPr>
                <w:rFonts w:ascii="Calibri" w:hAnsi="Calibri" w:cs="Calibri"/>
                <w:b/>
                <w:noProof/>
                <w:color w:val="FFFFFF"/>
                <w:sz w:val="16"/>
                <w:szCs w:val="16"/>
                <w:lang w:eastAsia="en-IE"/>
              </w:rPr>
              <w:t> </w:t>
            </w:r>
            <w:r w:rsidRPr="005F4295">
              <w:rPr>
                <w:rFonts w:cs="Calibri"/>
                <w:b/>
                <w:noProof/>
                <w:color w:val="FFFFFF"/>
                <w:sz w:val="16"/>
                <w:szCs w:val="16"/>
                <w:lang w:eastAsia="en-IE"/>
              </w:rPr>
              <w:t>(</w:t>
            </w:r>
            <w:r w:rsidRPr="005F4295">
              <w:rPr>
                <w:rFonts w:cs="Arial"/>
                <w:b/>
                <w:noProof/>
                <w:color w:val="FFFFFF"/>
                <w:sz w:val="16"/>
                <w:szCs w:val="16"/>
                <w:lang w:eastAsia="en-IE"/>
              </w:rPr>
              <w:t>b)</w:t>
            </w:r>
          </w:p>
        </w:tc>
        <w:tc>
          <w:tcPr>
            <w:tcW w:w="992" w:type="dxa"/>
            <w:tcBorders>
              <w:top w:val="single" w:sz="4" w:space="0" w:color="FFFFFF" w:themeColor="background1"/>
              <w:left w:val="single" w:sz="4" w:space="0" w:color="FFFFFF" w:themeColor="background1"/>
              <w:bottom w:val="single" w:sz="4" w:space="0" w:color="7F7F7F" w:themeColor="text1" w:themeTint="80"/>
              <w:right w:val="single" w:sz="4" w:space="0" w:color="FFFFFF" w:themeColor="background1"/>
            </w:tcBorders>
            <w:shd w:val="clear" w:color="auto" w:fill="003399" w:themeFill="text2"/>
            <w:vAlign w:val="center"/>
            <w:hideMark/>
          </w:tcPr>
          <w:p w14:paraId="694007DD"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(d)</w:t>
            </w:r>
          </w:p>
        </w:tc>
        <w:tc>
          <w:tcPr>
            <w:tcW w:w="993" w:type="dxa"/>
            <w:tcBorders>
              <w:top w:val="single" w:sz="4" w:space="0" w:color="FFFFFF" w:themeColor="background1"/>
              <w:left w:val="single" w:sz="4" w:space="0" w:color="FFFFFF" w:themeColor="background1"/>
              <w:bottom w:val="single" w:sz="4" w:space="0" w:color="7F7F7F" w:themeColor="text1" w:themeTint="80"/>
              <w:right w:val="single" w:sz="4" w:space="0" w:color="FFFFFF" w:themeColor="background1"/>
            </w:tcBorders>
            <w:shd w:val="clear" w:color="auto" w:fill="003399" w:themeFill="text2"/>
            <w:vAlign w:val="center"/>
            <w:hideMark/>
          </w:tcPr>
          <w:p w14:paraId="587A9016" w14:textId="2A3EA695"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w:t>
            </w:r>
            <w:r w:rsidR="00446737" w:rsidRPr="005F4295">
              <w:rPr>
                <w:rFonts w:cs="Arial"/>
                <w:b/>
                <w:noProof/>
                <w:color w:val="FFFFFF"/>
                <w:sz w:val="16"/>
                <w:szCs w:val="16"/>
                <w:lang w:eastAsia="en-IE"/>
              </w:rPr>
              <w:t>e</w:t>
            </w:r>
            <w:r w:rsidRPr="005F4295">
              <w:rPr>
                <w:rFonts w:cs="Arial"/>
                <w:b/>
                <w:noProof/>
                <w:color w:val="FFFFFF"/>
                <w:sz w:val="16"/>
                <w:szCs w:val="16"/>
                <w:lang w:eastAsia="en-IE"/>
              </w:rPr>
              <w:t>)</w:t>
            </w:r>
          </w:p>
        </w:tc>
        <w:tc>
          <w:tcPr>
            <w:tcW w:w="850" w:type="dxa"/>
            <w:tcBorders>
              <w:top w:val="single" w:sz="4" w:space="0" w:color="FFFFFF" w:themeColor="background1"/>
              <w:left w:val="single" w:sz="4" w:space="0" w:color="FFFFFF" w:themeColor="background1"/>
              <w:bottom w:val="single" w:sz="4" w:space="0" w:color="7F7F7F" w:themeColor="text1" w:themeTint="80"/>
              <w:right w:val="single" w:sz="4" w:space="0" w:color="FFFFFF" w:themeColor="background1"/>
            </w:tcBorders>
            <w:shd w:val="clear" w:color="auto" w:fill="003399" w:themeFill="text2"/>
            <w:vAlign w:val="center"/>
            <w:hideMark/>
          </w:tcPr>
          <w:p w14:paraId="70F67DEC" w14:textId="7593A8B2"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(f)</w:t>
            </w:r>
            <w:r w:rsidRPr="005F4295">
              <w:rPr>
                <w:rFonts w:ascii="Calibri" w:hAnsi="Calibri" w:cs="Calibri"/>
                <w:b/>
                <w:noProof/>
                <w:color w:val="FFFFFF"/>
                <w:sz w:val="16"/>
                <w:szCs w:val="16"/>
                <w:lang w:eastAsia="en-IE"/>
              </w:rPr>
              <w:t> </w:t>
            </w:r>
            <w:r w:rsidRPr="005F4295">
              <w:rPr>
                <w:rFonts w:cs="Arial"/>
                <w:b/>
                <w:noProof/>
                <w:color w:val="FFFFFF"/>
                <w:sz w:val="16"/>
                <w:szCs w:val="16"/>
                <w:lang w:eastAsia="en-IE"/>
              </w:rPr>
              <w:t>=</w:t>
            </w:r>
            <w:r w:rsidRPr="005F4295">
              <w:rPr>
                <w:rFonts w:ascii="Calibri" w:hAnsi="Calibri" w:cs="Calibri"/>
                <w:b/>
                <w:noProof/>
                <w:color w:val="FFFFFF"/>
                <w:sz w:val="16"/>
                <w:szCs w:val="16"/>
                <w:lang w:eastAsia="en-IE"/>
              </w:rPr>
              <w:t> </w:t>
            </w:r>
            <w:r w:rsidRPr="005F4295">
              <w:rPr>
                <w:rFonts w:cs="Calibri"/>
                <w:b/>
                <w:noProof/>
                <w:color w:val="FFFFFF"/>
                <w:sz w:val="16"/>
                <w:szCs w:val="16"/>
                <w:lang w:eastAsia="en-IE"/>
              </w:rPr>
              <w:br/>
              <w:t>(</w:t>
            </w:r>
            <w:r w:rsidRPr="005F4295">
              <w:rPr>
                <w:rFonts w:cs="Arial"/>
                <w:b/>
                <w:noProof/>
                <w:color w:val="FFFFFF"/>
                <w:sz w:val="16"/>
                <w:szCs w:val="16"/>
                <w:lang w:eastAsia="en-IE"/>
              </w:rPr>
              <w:t>d)</w:t>
            </w:r>
            <w:r w:rsidRPr="005F4295">
              <w:rPr>
                <w:rFonts w:ascii="Calibri" w:hAnsi="Calibri" w:cs="Calibri"/>
                <w:b/>
                <w:noProof/>
                <w:color w:val="FFFFFF"/>
                <w:sz w:val="16"/>
                <w:szCs w:val="16"/>
                <w:lang w:eastAsia="en-IE"/>
              </w:rPr>
              <w:t> </w:t>
            </w:r>
            <w:r w:rsidRPr="005F4295">
              <w:rPr>
                <w:rFonts w:cs="Arial"/>
                <w:b/>
                <w:noProof/>
                <w:color w:val="FFFFFF"/>
                <w:sz w:val="16"/>
                <w:szCs w:val="16"/>
                <w:lang w:eastAsia="en-IE"/>
              </w:rPr>
              <w:t>+</w:t>
            </w:r>
            <w:r w:rsidRPr="005F4295">
              <w:rPr>
                <w:rFonts w:ascii="Calibri" w:hAnsi="Calibri" w:cs="Calibri"/>
                <w:b/>
                <w:noProof/>
                <w:color w:val="FFFFFF"/>
                <w:sz w:val="16"/>
                <w:szCs w:val="16"/>
                <w:lang w:eastAsia="en-IE"/>
              </w:rPr>
              <w:t> </w:t>
            </w:r>
            <w:r w:rsidRPr="005F4295">
              <w:rPr>
                <w:rFonts w:cs="Arial"/>
                <w:b/>
                <w:noProof/>
                <w:color w:val="FFFFFF"/>
                <w:sz w:val="16"/>
                <w:szCs w:val="16"/>
                <w:lang w:eastAsia="en-IE"/>
              </w:rPr>
              <w:t>(</w:t>
            </w:r>
            <w:r w:rsidR="00446737" w:rsidRPr="005F4295">
              <w:rPr>
                <w:rFonts w:cs="Arial"/>
                <w:b/>
                <w:noProof/>
                <w:color w:val="FFFFFF"/>
                <w:sz w:val="16"/>
                <w:szCs w:val="16"/>
                <w:lang w:eastAsia="en-IE"/>
              </w:rPr>
              <w:t>e</w:t>
            </w:r>
            <w:r w:rsidRPr="005F4295">
              <w:rPr>
                <w:rFonts w:cs="Arial"/>
                <w:b/>
                <w:noProof/>
                <w:color w:val="FFFFFF"/>
                <w:sz w:val="16"/>
                <w:szCs w:val="16"/>
                <w:lang w:eastAsia="en-IE"/>
              </w:rPr>
              <w:t>)</w:t>
            </w:r>
          </w:p>
        </w:tc>
        <w:tc>
          <w:tcPr>
            <w:tcW w:w="1134" w:type="dxa"/>
            <w:tcBorders>
              <w:top w:val="single" w:sz="4" w:space="0" w:color="FFFFFF" w:themeColor="background1"/>
              <w:left w:val="single" w:sz="4" w:space="0" w:color="FFFFFF" w:themeColor="background1"/>
              <w:bottom w:val="single" w:sz="4" w:space="0" w:color="7F7F7F" w:themeColor="text1" w:themeTint="80"/>
              <w:right w:val="single" w:sz="4" w:space="0" w:color="FFFFFF" w:themeColor="background1"/>
            </w:tcBorders>
            <w:shd w:val="clear" w:color="auto" w:fill="003399" w:themeFill="text2"/>
            <w:vAlign w:val="center"/>
            <w:hideMark/>
          </w:tcPr>
          <w:p w14:paraId="3B49B016" w14:textId="77777777" w:rsidR="00EB70E0" w:rsidRPr="005F4295" w:rsidRDefault="00EB70E0">
            <w:pPr>
              <w:spacing w:before="0" w:after="0" w:line="240" w:lineRule="auto"/>
              <w:jc w:val="center"/>
              <w:rPr>
                <w:rFonts w:cs="Arial"/>
                <w:b/>
                <w:noProof/>
                <w:color w:val="FFFFFF"/>
                <w:sz w:val="16"/>
                <w:szCs w:val="16"/>
                <w:lang w:eastAsia="en-IE"/>
              </w:rPr>
            </w:pPr>
            <w:r w:rsidRPr="005F4295">
              <w:rPr>
                <w:rFonts w:cs="Arial"/>
                <w:b/>
                <w:noProof/>
                <w:color w:val="FFFFFF"/>
                <w:sz w:val="16"/>
                <w:szCs w:val="16"/>
                <w:lang w:eastAsia="en-IE"/>
              </w:rPr>
              <w:t>(g)</w:t>
            </w:r>
            <w:r w:rsidRPr="005F4295">
              <w:rPr>
                <w:rFonts w:ascii="Calibri" w:hAnsi="Calibri" w:cs="Calibri"/>
                <w:b/>
                <w:noProof/>
                <w:color w:val="FFFFFF"/>
                <w:sz w:val="16"/>
                <w:szCs w:val="16"/>
                <w:lang w:eastAsia="en-IE"/>
              </w:rPr>
              <w:t> </w:t>
            </w:r>
            <w:r w:rsidRPr="005F4295">
              <w:rPr>
                <w:rFonts w:cs="Arial"/>
                <w:b/>
                <w:noProof/>
                <w:color w:val="FFFFFF"/>
                <w:sz w:val="16"/>
                <w:szCs w:val="16"/>
                <w:lang w:eastAsia="en-IE"/>
              </w:rPr>
              <w:t>=</w:t>
            </w:r>
            <w:r w:rsidRPr="005F4295">
              <w:rPr>
                <w:rFonts w:ascii="Calibri" w:hAnsi="Calibri" w:cs="Calibri"/>
                <w:b/>
                <w:noProof/>
                <w:color w:val="FFFFFF"/>
                <w:sz w:val="16"/>
                <w:szCs w:val="16"/>
                <w:lang w:eastAsia="en-IE"/>
              </w:rPr>
              <w:t> </w:t>
            </w:r>
            <w:r w:rsidRPr="005F4295">
              <w:rPr>
                <w:rFonts w:cs="Arial"/>
                <w:b/>
                <w:noProof/>
                <w:color w:val="FFFFFF"/>
                <w:sz w:val="16"/>
                <w:szCs w:val="16"/>
                <w:lang w:eastAsia="en-IE"/>
              </w:rPr>
              <w:t>(c)</w:t>
            </w:r>
            <w:r w:rsidRPr="005F4295">
              <w:rPr>
                <w:rFonts w:ascii="Calibri" w:hAnsi="Calibri" w:cs="Calibri"/>
                <w:b/>
                <w:noProof/>
                <w:color w:val="FFFFFF"/>
                <w:sz w:val="16"/>
                <w:szCs w:val="16"/>
                <w:lang w:eastAsia="en-IE"/>
              </w:rPr>
              <w:t> </w:t>
            </w:r>
            <w:r w:rsidRPr="005F4295">
              <w:rPr>
                <w:rFonts w:cs="Arial"/>
                <w:b/>
                <w:noProof/>
                <w:color w:val="FFFFFF"/>
                <w:sz w:val="16"/>
                <w:szCs w:val="16"/>
                <w:lang w:eastAsia="en-IE"/>
              </w:rPr>
              <w:t>+</w:t>
            </w:r>
            <w:r w:rsidRPr="005F4295">
              <w:rPr>
                <w:rFonts w:ascii="Calibri" w:hAnsi="Calibri" w:cs="Calibri"/>
                <w:b/>
                <w:noProof/>
                <w:color w:val="FFFFFF"/>
                <w:sz w:val="16"/>
                <w:szCs w:val="16"/>
                <w:lang w:eastAsia="en-IE"/>
              </w:rPr>
              <w:t> </w:t>
            </w:r>
            <w:r w:rsidRPr="005F4295">
              <w:rPr>
                <w:rFonts w:cs="Calibri"/>
                <w:b/>
                <w:noProof/>
                <w:color w:val="FFFFFF"/>
                <w:sz w:val="16"/>
                <w:szCs w:val="16"/>
                <w:lang w:eastAsia="en-IE"/>
              </w:rPr>
              <w:t>(</w:t>
            </w:r>
            <w:r w:rsidRPr="005F4295">
              <w:rPr>
                <w:rFonts w:cs="Arial"/>
                <w:b/>
                <w:noProof/>
                <w:color w:val="FFFFFF"/>
                <w:sz w:val="16"/>
                <w:szCs w:val="16"/>
                <w:lang w:eastAsia="en-IE"/>
              </w:rPr>
              <w:t>f)</w:t>
            </w:r>
          </w:p>
        </w:tc>
      </w:tr>
      <w:tr w:rsidR="00EB70E0" w:rsidRPr="005F4295" w14:paraId="660F8B1C" w14:textId="77777777">
        <w:trPr>
          <w:trHeight w:val="286"/>
        </w:trPr>
        <w:tc>
          <w:tcPr>
            <w:tcW w:w="2405" w:type="dxa"/>
            <w:tcBorders>
              <w:top w:val="single" w:sz="4" w:space="0" w:color="7F7F7F" w:themeColor="text1" w:themeTint="80"/>
              <w:left w:val="single" w:sz="4" w:space="0" w:color="FFFFFF" w:themeColor="background1"/>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15D28667" w14:textId="17C8157E" w:rsidR="00EB70E0" w:rsidRPr="005F4295" w:rsidRDefault="00EB70E0">
            <w:pPr>
              <w:spacing w:before="0" w:after="0" w:line="240" w:lineRule="auto"/>
              <w:rPr>
                <w:rFonts w:cs="Arial"/>
                <w:b/>
                <w:noProof/>
                <w:color w:val="003399" w:themeColor="text2"/>
                <w:sz w:val="18"/>
                <w:szCs w:val="18"/>
                <w:lang w:eastAsia="en-IE"/>
              </w:rPr>
            </w:pPr>
            <w:r w:rsidRPr="005F4295">
              <w:rPr>
                <w:rFonts w:cs="Arial"/>
                <w:b/>
                <w:noProof/>
                <w:color w:val="003399" w:themeColor="text2"/>
                <w:sz w:val="18"/>
                <w:szCs w:val="18"/>
                <w:lang w:eastAsia="en-IE"/>
              </w:rPr>
              <w:t>2. Cohesion</w:t>
            </w:r>
            <w:r w:rsidR="00D05B7B" w:rsidRPr="005F4295">
              <w:rPr>
                <w:rFonts w:cs="Arial"/>
                <w:b/>
                <w:noProof/>
                <w:color w:val="003399" w:themeColor="text2"/>
                <w:sz w:val="18"/>
                <w:szCs w:val="18"/>
                <w:lang w:eastAsia="en-IE"/>
              </w:rPr>
              <w:t>,</w:t>
            </w:r>
            <w:r w:rsidRPr="005F4295">
              <w:rPr>
                <w:rFonts w:cs="Arial"/>
                <w:b/>
                <w:noProof/>
                <w:color w:val="003399" w:themeColor="text2"/>
                <w:sz w:val="18"/>
                <w:szCs w:val="18"/>
                <w:lang w:eastAsia="en-IE"/>
              </w:rPr>
              <w:t xml:space="preserve"> resilience and values</w:t>
            </w:r>
            <w:r w:rsidRPr="005F4295">
              <w:rPr>
                <w:rFonts w:ascii="Calibri" w:hAnsi="Calibri" w:cs="Calibri"/>
                <w:b/>
                <w:bCs/>
                <w:noProof/>
                <w:color w:val="003399" w:themeColor="text2"/>
                <w:sz w:val="18"/>
                <w:szCs w:val="18"/>
                <w:lang w:eastAsia="en-IE"/>
              </w:rPr>
              <w:t> </w:t>
            </w:r>
            <w:r w:rsidRPr="005F4295">
              <w:rPr>
                <w:rFonts w:cs="Arial"/>
                <w:noProof/>
                <w:color w:val="003399" w:themeColor="text2"/>
                <w:sz w:val="18"/>
                <w:szCs w:val="18"/>
                <w:lang w:eastAsia="en-IE"/>
              </w:rPr>
              <w:t>(*)</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487AE43A" w14:textId="69ADD072" w:rsidR="00EB70E0" w:rsidRPr="005F4295" w:rsidRDefault="00EB70E0">
            <w:pPr>
              <w:spacing w:before="0" w:after="0" w:line="240" w:lineRule="auto"/>
              <w:jc w:val="right"/>
              <w:rPr>
                <w:rFonts w:cs="Arial"/>
                <w:b/>
                <w:noProof/>
                <w:color w:val="003399" w:themeColor="text2"/>
                <w:sz w:val="18"/>
                <w:szCs w:val="18"/>
                <w:lang w:eastAsia="en-IE"/>
              </w:rPr>
            </w:pPr>
            <w:r w:rsidRPr="005F4295" w:rsidDel="00EC6BE2">
              <w:rPr>
                <w:rFonts w:cs="Arial"/>
                <w:b/>
                <w:noProof/>
                <w:color w:val="003399" w:themeColor="text2"/>
                <w:sz w:val="18"/>
                <w:szCs w:val="18"/>
                <w:lang w:eastAsia="en-IE"/>
              </w:rPr>
              <w:t xml:space="preserve"> </w:t>
            </w:r>
            <w:r w:rsidR="00EC6BE2" w:rsidRPr="005F4295">
              <w:rPr>
                <w:rFonts w:cs="Arial"/>
                <w:b/>
                <w:noProof/>
                <w:color w:val="003399" w:themeColor="text2"/>
                <w:sz w:val="18"/>
                <w:szCs w:val="18"/>
                <w:lang w:eastAsia="en-IE"/>
              </w:rPr>
              <w:t>30.2</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2D925180" w14:textId="71ED496E" w:rsidR="00EB70E0" w:rsidRPr="005F4295" w:rsidRDefault="007C4BD2">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5.</w:t>
            </w:r>
            <w:r w:rsidR="007800BE" w:rsidRPr="005F4295">
              <w:rPr>
                <w:rFonts w:cs="Arial"/>
                <w:b/>
                <w:noProof/>
                <w:color w:val="003399" w:themeColor="text2"/>
                <w:sz w:val="18"/>
                <w:szCs w:val="18"/>
                <w:lang w:eastAsia="en-IE"/>
              </w:rPr>
              <w:t>9</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614D5977" w14:textId="6A4B4948" w:rsidR="00EB70E0" w:rsidRPr="005F4295" w:rsidRDefault="007C4BD2">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3</w:t>
            </w:r>
            <w:r w:rsidR="007800BE" w:rsidRPr="005F4295">
              <w:rPr>
                <w:rFonts w:cs="Arial"/>
                <w:b/>
                <w:noProof/>
                <w:color w:val="003399" w:themeColor="text2"/>
                <w:sz w:val="18"/>
                <w:szCs w:val="18"/>
                <w:lang w:eastAsia="en-IE"/>
              </w:rPr>
              <w:t>6</w:t>
            </w:r>
            <w:r w:rsidRPr="005F4295">
              <w:rPr>
                <w:rFonts w:cs="Arial"/>
                <w:b/>
                <w:noProof/>
                <w:color w:val="003399" w:themeColor="text2"/>
                <w:sz w:val="18"/>
                <w:szCs w:val="18"/>
                <w:lang w:eastAsia="en-IE"/>
              </w:rPr>
              <w:t>.</w:t>
            </w:r>
            <w:r w:rsidR="007800BE" w:rsidRPr="005F4295">
              <w:rPr>
                <w:rFonts w:cs="Arial"/>
                <w:b/>
                <w:noProof/>
                <w:color w:val="003399" w:themeColor="text2"/>
                <w:sz w:val="18"/>
                <w:szCs w:val="18"/>
                <w:lang w:eastAsia="en-IE"/>
              </w:rPr>
              <w:t>1</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6F6E0C62" w14:textId="77777777" w:rsidR="00EB70E0" w:rsidRPr="005F4295" w:rsidRDefault="00EB70E0">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6BDE09DA" w14:textId="77777777" w:rsidR="00EB70E0" w:rsidRPr="005F4295" w:rsidRDefault="00EB70E0">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402CF2F2" w14:textId="77777777" w:rsidR="00EB70E0" w:rsidRPr="005F4295" w:rsidRDefault="00EB70E0">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FFFFFF" w:themeColor="background1"/>
            </w:tcBorders>
            <w:shd w:val="clear" w:color="auto" w:fill="F2F2F2" w:themeFill="background1" w:themeFillShade="F2"/>
            <w:vAlign w:val="center"/>
            <w:hideMark/>
          </w:tcPr>
          <w:p w14:paraId="17710668" w14:textId="79358B30" w:rsidR="00EB70E0" w:rsidRPr="005F4295" w:rsidRDefault="003C5573">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3</w:t>
            </w:r>
            <w:r w:rsidR="008D0FFE" w:rsidRPr="005F4295">
              <w:rPr>
                <w:rFonts w:cs="Arial"/>
                <w:b/>
                <w:noProof/>
                <w:color w:val="003399" w:themeColor="text2"/>
                <w:sz w:val="18"/>
                <w:szCs w:val="18"/>
                <w:lang w:eastAsia="en-IE"/>
              </w:rPr>
              <w:t>6</w:t>
            </w:r>
            <w:r w:rsidRPr="005F4295">
              <w:rPr>
                <w:rFonts w:cs="Arial"/>
                <w:b/>
                <w:noProof/>
                <w:color w:val="003399" w:themeColor="text2"/>
                <w:sz w:val="18"/>
                <w:szCs w:val="18"/>
                <w:lang w:eastAsia="en-IE"/>
              </w:rPr>
              <w:t>.</w:t>
            </w:r>
            <w:r w:rsidR="008D0FFE" w:rsidRPr="005F4295">
              <w:rPr>
                <w:rFonts w:cs="Arial"/>
                <w:b/>
                <w:noProof/>
                <w:color w:val="003399" w:themeColor="text2"/>
                <w:sz w:val="18"/>
                <w:szCs w:val="18"/>
                <w:lang w:eastAsia="en-IE"/>
              </w:rPr>
              <w:t>1</w:t>
            </w:r>
          </w:p>
        </w:tc>
      </w:tr>
      <w:tr w:rsidR="00EB70E0" w:rsidRPr="005F4295" w14:paraId="0A80EA59" w14:textId="77777777">
        <w:trPr>
          <w:trHeight w:val="286"/>
        </w:trPr>
        <w:tc>
          <w:tcPr>
            <w:tcW w:w="2405" w:type="dxa"/>
            <w:tcBorders>
              <w:top w:val="single" w:sz="4" w:space="0" w:color="7F7F7F" w:themeColor="text1" w:themeTint="80"/>
              <w:left w:val="single" w:sz="4" w:space="0" w:color="FFFFFF" w:themeColor="background1"/>
              <w:bottom w:val="single" w:sz="4" w:space="0" w:color="7F7F7F" w:themeColor="text1" w:themeTint="80"/>
              <w:right w:val="single" w:sz="4" w:space="0" w:color="7F7F7F" w:themeColor="text1" w:themeTint="80"/>
            </w:tcBorders>
            <w:vAlign w:val="center"/>
            <w:hideMark/>
          </w:tcPr>
          <w:p w14:paraId="7D58AE60" w14:textId="77777777" w:rsidR="00EB70E0" w:rsidRPr="005F4295" w:rsidRDefault="00EB70E0">
            <w:pPr>
              <w:spacing w:before="0" w:after="0" w:line="240" w:lineRule="auto"/>
              <w:rPr>
                <w:rFonts w:cs="Arial"/>
                <w:noProof/>
                <w:color w:val="000000"/>
                <w:sz w:val="18"/>
                <w:szCs w:val="18"/>
                <w:lang w:eastAsia="en-IE"/>
              </w:rPr>
            </w:pPr>
            <w:r w:rsidRPr="005F4295">
              <w:rPr>
                <w:rFonts w:cs="Arial"/>
                <w:noProof/>
                <w:color w:val="000000"/>
                <w:sz w:val="18"/>
                <w:szCs w:val="18"/>
                <w:lang w:eastAsia="en-IE"/>
              </w:rPr>
              <w:t>European Regional Development Fund and Cohesion Fund</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4E2686B8" w14:textId="3C10582F" w:rsidR="00EB70E0" w:rsidRPr="005F4295" w:rsidRDefault="00D00DCB">
            <w:pPr>
              <w:spacing w:before="0" w:after="0" w:line="240" w:lineRule="auto"/>
              <w:jc w:val="right"/>
              <w:rPr>
                <w:rFonts w:cs="Arial"/>
                <w:noProof/>
                <w:color w:val="000000"/>
                <w:sz w:val="18"/>
                <w:szCs w:val="18"/>
                <w:lang w:eastAsia="en-IE"/>
              </w:rPr>
            </w:pPr>
            <w:r w:rsidRPr="005F4295">
              <w:rPr>
                <w:rFonts w:cs="Arial"/>
                <w:noProof/>
                <w:color w:val="000000"/>
                <w:sz w:val="18"/>
                <w:szCs w:val="18"/>
                <w:lang w:eastAsia="en-IE"/>
              </w:rPr>
              <w:t>30.2</w:t>
            </w:r>
            <w:r w:rsidR="00EB70E0" w:rsidRPr="005F4295">
              <w:rPr>
                <w:rFonts w:cs="Arial"/>
                <w:noProof/>
                <w:color w:val="000000"/>
                <w:sz w:val="18"/>
                <w:szCs w:val="18"/>
                <w:lang w:eastAsia="en-IE"/>
              </w:rPr>
              <w:t xml:space="preserve"> </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370B25C6" w14:textId="5A13D7F7" w:rsidR="00EB70E0" w:rsidRPr="005F4295" w:rsidRDefault="00EC6BE2">
            <w:pPr>
              <w:spacing w:before="0" w:after="0" w:line="240" w:lineRule="auto"/>
              <w:jc w:val="right"/>
              <w:rPr>
                <w:rFonts w:cs="Arial"/>
                <w:noProof/>
                <w:color w:val="000000"/>
                <w:sz w:val="18"/>
                <w:szCs w:val="18"/>
                <w:lang w:eastAsia="en-IE"/>
              </w:rPr>
            </w:pPr>
            <w:r w:rsidRPr="005F4295">
              <w:rPr>
                <w:rFonts w:cs="Arial"/>
                <w:noProof/>
                <w:color w:val="000000"/>
                <w:sz w:val="18"/>
                <w:szCs w:val="18"/>
                <w:lang w:eastAsia="en-IE"/>
              </w:rPr>
              <w:t>5.7</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41B4EA1B" w14:textId="46511737" w:rsidR="00EB70E0" w:rsidRPr="005F4295" w:rsidRDefault="00EC6BE2">
            <w:pPr>
              <w:spacing w:before="0" w:after="0" w:line="240" w:lineRule="auto"/>
              <w:jc w:val="right"/>
              <w:rPr>
                <w:rFonts w:cs="Arial"/>
                <w:noProof/>
                <w:color w:val="000000"/>
                <w:sz w:val="18"/>
                <w:szCs w:val="18"/>
                <w:lang w:eastAsia="en-IE"/>
              </w:rPr>
            </w:pPr>
            <w:r w:rsidRPr="005F4295">
              <w:rPr>
                <w:rFonts w:cs="Arial"/>
                <w:noProof/>
                <w:color w:val="000000"/>
                <w:sz w:val="18"/>
                <w:szCs w:val="18"/>
                <w:lang w:eastAsia="en-IE"/>
              </w:rPr>
              <w:t>35.9</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5485EB18" w14:textId="77777777" w:rsidR="00EB70E0" w:rsidRPr="005F4295" w:rsidRDefault="00EB70E0">
            <w:pPr>
              <w:spacing w:before="0" w:after="0" w:line="240" w:lineRule="auto"/>
              <w:jc w:val="right"/>
              <w:rPr>
                <w:rFonts w:cs="Arial"/>
                <w:noProof/>
                <w:color w:val="000000"/>
                <w:sz w:val="18"/>
                <w:szCs w:val="18"/>
                <w:lang w:eastAsia="en-IE"/>
              </w:rPr>
            </w:pPr>
            <w:r w:rsidRPr="005F4295">
              <w:rPr>
                <w:rFonts w:cs="Arial"/>
                <w:noProof/>
                <w:sz w:val="18"/>
                <w:szCs w:val="18"/>
                <w:lang w:eastAsia="en-IE"/>
              </w:rPr>
              <w:t>—</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3098D707" w14:textId="77777777" w:rsidR="00EB70E0" w:rsidRPr="005F4295" w:rsidRDefault="00EB70E0">
            <w:pPr>
              <w:spacing w:before="0" w:after="0" w:line="240" w:lineRule="auto"/>
              <w:jc w:val="right"/>
              <w:rPr>
                <w:rFonts w:cs="Arial"/>
                <w:noProof/>
                <w:color w:val="000000"/>
                <w:sz w:val="18"/>
                <w:szCs w:val="18"/>
                <w:lang w:eastAsia="en-IE"/>
              </w:rPr>
            </w:pPr>
            <w:r w:rsidRPr="005F4295">
              <w:rPr>
                <w:rFonts w:cs="Arial"/>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727E032D" w14:textId="77777777" w:rsidR="00EB70E0" w:rsidRPr="005F4295" w:rsidRDefault="00EB70E0">
            <w:pPr>
              <w:spacing w:before="0" w:after="0" w:line="240" w:lineRule="auto"/>
              <w:jc w:val="right"/>
              <w:rPr>
                <w:rFonts w:cs="Arial"/>
                <w:noProof/>
                <w:color w:val="000000"/>
                <w:sz w:val="18"/>
                <w:szCs w:val="18"/>
                <w:lang w:eastAsia="en-IE"/>
              </w:rPr>
            </w:pPr>
            <w:r w:rsidRPr="005F4295">
              <w:rPr>
                <w:rFonts w:cs="Arial"/>
                <w:noProof/>
                <w:sz w:val="18"/>
                <w:szCs w:val="18"/>
                <w:lang w:eastAsia="en-IE"/>
              </w:rPr>
              <w:t>—</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FFFFFF" w:themeColor="background1"/>
            </w:tcBorders>
            <w:vAlign w:val="center"/>
            <w:hideMark/>
          </w:tcPr>
          <w:p w14:paraId="674CDB2B" w14:textId="2FF475D1" w:rsidR="00EB70E0" w:rsidRPr="005F4295" w:rsidRDefault="00EC6BE2">
            <w:pPr>
              <w:spacing w:before="0" w:after="0" w:line="240" w:lineRule="auto"/>
              <w:jc w:val="right"/>
              <w:rPr>
                <w:rFonts w:cs="Arial"/>
                <w:noProof/>
                <w:color w:val="000000"/>
                <w:sz w:val="18"/>
                <w:szCs w:val="18"/>
                <w:lang w:eastAsia="en-IE"/>
              </w:rPr>
            </w:pPr>
            <w:r w:rsidRPr="005F4295">
              <w:rPr>
                <w:rFonts w:cs="Arial"/>
                <w:noProof/>
                <w:color w:val="000000"/>
                <w:sz w:val="18"/>
                <w:szCs w:val="18"/>
                <w:lang w:eastAsia="en-IE"/>
              </w:rPr>
              <w:t>35.9</w:t>
            </w:r>
          </w:p>
        </w:tc>
      </w:tr>
      <w:tr w:rsidR="00EB70E0" w:rsidRPr="005F4295" w14:paraId="04566515" w14:textId="77777777">
        <w:trPr>
          <w:trHeight w:val="286"/>
        </w:trPr>
        <w:tc>
          <w:tcPr>
            <w:tcW w:w="2405" w:type="dxa"/>
            <w:tcBorders>
              <w:top w:val="single" w:sz="4" w:space="0" w:color="7F7F7F" w:themeColor="text1" w:themeTint="80"/>
              <w:left w:val="single" w:sz="4" w:space="0" w:color="FFFFFF" w:themeColor="background1"/>
              <w:bottom w:val="single" w:sz="4" w:space="0" w:color="7F7F7F" w:themeColor="text1" w:themeTint="80"/>
              <w:right w:val="single" w:sz="4" w:space="0" w:color="7F7F7F" w:themeColor="text1" w:themeTint="80"/>
            </w:tcBorders>
            <w:vAlign w:val="center"/>
            <w:hideMark/>
          </w:tcPr>
          <w:p w14:paraId="0EAB1720" w14:textId="77777777" w:rsidR="00EB70E0" w:rsidRPr="005F4295" w:rsidRDefault="00EB70E0">
            <w:pPr>
              <w:spacing w:before="0" w:after="0" w:line="240" w:lineRule="auto"/>
              <w:rPr>
                <w:rFonts w:cs="Arial"/>
                <w:noProof/>
                <w:color w:val="000000"/>
                <w:sz w:val="18"/>
                <w:szCs w:val="18"/>
                <w:lang w:eastAsia="en-IE"/>
              </w:rPr>
            </w:pPr>
            <w:r w:rsidRPr="005F4295">
              <w:rPr>
                <w:rFonts w:cs="Arial"/>
                <w:noProof/>
                <w:color w:val="000000"/>
                <w:sz w:val="18"/>
                <w:szCs w:val="18"/>
                <w:lang w:eastAsia="en-IE"/>
              </w:rPr>
              <w:t>European Social Fund</w:t>
            </w:r>
            <w:r w:rsidRPr="005F4295">
              <w:rPr>
                <w:rFonts w:ascii="Calibri" w:hAnsi="Calibri" w:cs="Calibri"/>
                <w:noProof/>
                <w:color w:val="000000"/>
                <w:sz w:val="18"/>
                <w:szCs w:val="18"/>
                <w:lang w:eastAsia="en-IE"/>
              </w:rPr>
              <w:t> </w:t>
            </w:r>
            <w:r w:rsidRPr="005F4295">
              <w:rPr>
                <w:rFonts w:cs="Arial"/>
                <w:noProof/>
                <w:color w:val="000000"/>
                <w:sz w:val="18"/>
                <w:szCs w:val="18"/>
                <w:lang w:eastAsia="en-IE"/>
              </w:rPr>
              <w:t>/ youth employment initiative and Fund for European Aid to the Most Deprived</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54A2E258" w14:textId="77777777" w:rsidR="00EB70E0" w:rsidRPr="005F4295" w:rsidRDefault="00EB70E0">
            <w:pPr>
              <w:spacing w:before="0" w:after="0" w:line="240" w:lineRule="auto"/>
              <w:jc w:val="right"/>
              <w:rPr>
                <w:rFonts w:cs="Arial"/>
                <w:noProof/>
                <w:color w:val="000000"/>
                <w:sz w:val="18"/>
                <w:szCs w:val="18"/>
                <w:lang w:eastAsia="en-IE"/>
              </w:rPr>
            </w:pPr>
            <w:r w:rsidRPr="005F4295">
              <w:rPr>
                <w:rFonts w:cs="Arial"/>
                <w:noProof/>
                <w:color w:val="000000"/>
                <w:sz w:val="18"/>
                <w:szCs w:val="18"/>
                <w:lang w:eastAsia="en-IE"/>
              </w:rPr>
              <w:t xml:space="preserve"> </w:t>
            </w:r>
            <w:r w:rsidRPr="005F4295">
              <w:rPr>
                <w:rFonts w:cs="Arial"/>
                <w:noProof/>
                <w:sz w:val="18"/>
                <w:szCs w:val="18"/>
                <w:lang w:eastAsia="en-IE"/>
              </w:rPr>
              <w:t>—</w:t>
            </w:r>
            <w:r w:rsidRPr="005F4295">
              <w:rPr>
                <w:rFonts w:cs="Arial"/>
                <w:noProof/>
                <w:color w:val="000000"/>
                <w:sz w:val="18"/>
                <w:szCs w:val="18"/>
                <w:lang w:eastAsia="en-IE"/>
              </w:rPr>
              <w:t xml:space="preserve"> </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07D21AE5" w14:textId="1629B6B6" w:rsidR="00EB70E0" w:rsidRPr="005F4295" w:rsidRDefault="008D0FFE">
            <w:pPr>
              <w:spacing w:before="0" w:after="0" w:line="240" w:lineRule="auto"/>
              <w:jc w:val="right"/>
              <w:rPr>
                <w:rFonts w:cs="Arial"/>
                <w:noProof/>
                <w:color w:val="000000"/>
                <w:sz w:val="18"/>
                <w:szCs w:val="18"/>
                <w:lang w:eastAsia="en-IE"/>
              </w:rPr>
            </w:pPr>
            <w:r w:rsidRPr="005F4295">
              <w:rPr>
                <w:rFonts w:cs="Arial"/>
                <w:noProof/>
                <w:sz w:val="18"/>
                <w:szCs w:val="18"/>
                <w:lang w:eastAsia="en-IE"/>
              </w:rPr>
              <w:t>0.3</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225E7D43" w14:textId="59532AC6" w:rsidR="00EB70E0" w:rsidRPr="005F4295" w:rsidRDefault="008D0FFE">
            <w:pPr>
              <w:spacing w:before="0" w:after="0" w:line="240" w:lineRule="auto"/>
              <w:jc w:val="right"/>
              <w:rPr>
                <w:rFonts w:cs="Arial"/>
                <w:noProof/>
                <w:color w:val="000000"/>
                <w:sz w:val="18"/>
                <w:szCs w:val="18"/>
                <w:lang w:eastAsia="en-IE"/>
              </w:rPr>
            </w:pPr>
            <w:r w:rsidRPr="005F4295">
              <w:rPr>
                <w:rFonts w:cs="Arial"/>
                <w:noProof/>
                <w:sz w:val="18"/>
                <w:szCs w:val="18"/>
                <w:lang w:eastAsia="en-IE"/>
              </w:rPr>
              <w:t>0.3</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1DF8446A" w14:textId="77777777" w:rsidR="00EB70E0" w:rsidRPr="005F4295" w:rsidRDefault="00EB70E0">
            <w:pPr>
              <w:spacing w:before="0" w:after="0" w:line="240" w:lineRule="auto"/>
              <w:jc w:val="right"/>
              <w:rPr>
                <w:rFonts w:cs="Arial"/>
                <w:noProof/>
                <w:color w:val="000000"/>
                <w:sz w:val="18"/>
                <w:szCs w:val="18"/>
                <w:lang w:eastAsia="en-IE"/>
              </w:rPr>
            </w:pPr>
            <w:r w:rsidRPr="005F4295">
              <w:rPr>
                <w:rFonts w:cs="Arial"/>
                <w:noProof/>
                <w:sz w:val="18"/>
                <w:szCs w:val="18"/>
                <w:lang w:eastAsia="en-IE"/>
              </w:rPr>
              <w:t>—</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58655E83" w14:textId="77777777" w:rsidR="00EB70E0" w:rsidRPr="005F4295" w:rsidRDefault="00EB70E0">
            <w:pPr>
              <w:spacing w:before="0" w:after="0" w:line="240" w:lineRule="auto"/>
              <w:jc w:val="right"/>
              <w:rPr>
                <w:rFonts w:cs="Arial"/>
                <w:noProof/>
                <w:color w:val="000000"/>
                <w:sz w:val="18"/>
                <w:szCs w:val="18"/>
                <w:lang w:eastAsia="en-IE"/>
              </w:rPr>
            </w:pPr>
            <w:r w:rsidRPr="005F4295">
              <w:rPr>
                <w:rFonts w:cs="Arial"/>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43E7B6C9" w14:textId="77777777" w:rsidR="00EB70E0" w:rsidRPr="005F4295" w:rsidRDefault="00EB70E0">
            <w:pPr>
              <w:spacing w:before="0" w:after="0" w:line="240" w:lineRule="auto"/>
              <w:jc w:val="right"/>
              <w:rPr>
                <w:rFonts w:cs="Arial"/>
                <w:noProof/>
                <w:color w:val="000000"/>
                <w:sz w:val="18"/>
                <w:szCs w:val="18"/>
                <w:lang w:eastAsia="en-IE"/>
              </w:rPr>
            </w:pPr>
            <w:r w:rsidRPr="005F4295">
              <w:rPr>
                <w:rFonts w:cs="Arial"/>
                <w:noProof/>
                <w:sz w:val="18"/>
                <w:szCs w:val="18"/>
                <w:lang w:eastAsia="en-IE"/>
              </w:rPr>
              <w:t>—</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FFFFFF" w:themeColor="background1"/>
            </w:tcBorders>
            <w:vAlign w:val="center"/>
            <w:hideMark/>
          </w:tcPr>
          <w:p w14:paraId="2B5C05C7" w14:textId="294F2F3B" w:rsidR="00EB70E0" w:rsidRPr="005F4295" w:rsidRDefault="00EB70E0">
            <w:pPr>
              <w:spacing w:before="0" w:after="0" w:line="240" w:lineRule="auto"/>
              <w:jc w:val="right"/>
              <w:rPr>
                <w:rFonts w:cs="Arial"/>
                <w:noProof/>
                <w:color w:val="000000"/>
                <w:sz w:val="18"/>
                <w:szCs w:val="18"/>
                <w:lang w:eastAsia="en-IE"/>
              </w:rPr>
            </w:pPr>
            <w:r w:rsidRPr="005F4295">
              <w:rPr>
                <w:rFonts w:cs="Arial"/>
                <w:noProof/>
                <w:color w:val="000000"/>
                <w:sz w:val="18"/>
                <w:szCs w:val="18"/>
                <w:lang w:eastAsia="en-IE"/>
              </w:rPr>
              <w:t xml:space="preserve"> </w:t>
            </w:r>
            <w:r w:rsidR="008D0FFE" w:rsidRPr="005F4295">
              <w:rPr>
                <w:rFonts w:cs="Arial"/>
                <w:noProof/>
                <w:sz w:val="18"/>
                <w:szCs w:val="18"/>
                <w:lang w:eastAsia="en-IE"/>
              </w:rPr>
              <w:t>0.3</w:t>
            </w:r>
          </w:p>
        </w:tc>
      </w:tr>
      <w:tr w:rsidR="00B33835" w:rsidRPr="005F4295" w14:paraId="411E365B" w14:textId="77777777">
        <w:trPr>
          <w:trHeight w:val="286"/>
        </w:trPr>
        <w:tc>
          <w:tcPr>
            <w:tcW w:w="2405" w:type="dxa"/>
            <w:tcBorders>
              <w:top w:val="single" w:sz="4" w:space="0" w:color="7F7F7F" w:themeColor="text1" w:themeTint="80"/>
              <w:left w:val="single" w:sz="4" w:space="0" w:color="FFFFFF" w:themeColor="background1"/>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01709C8B" w14:textId="77777777" w:rsidR="00B33835" w:rsidRPr="005F4295" w:rsidRDefault="00B33835" w:rsidP="00B33835">
            <w:pPr>
              <w:spacing w:before="0" w:after="0" w:line="240" w:lineRule="auto"/>
              <w:rPr>
                <w:rFonts w:cs="Calibri"/>
                <w:b/>
                <w:bCs/>
                <w:noProof/>
                <w:color w:val="003399" w:themeColor="text2"/>
                <w:sz w:val="18"/>
                <w:szCs w:val="18"/>
                <w:lang w:eastAsia="en-IE"/>
              </w:rPr>
            </w:pPr>
            <w:r w:rsidRPr="005F4295">
              <w:rPr>
                <w:rFonts w:cs="Arial"/>
                <w:b/>
                <w:bCs/>
                <w:noProof/>
                <w:color w:val="003399" w:themeColor="text2"/>
                <w:sz w:val="18"/>
                <w:szCs w:val="18"/>
                <w:lang w:eastAsia="en-IE"/>
              </w:rPr>
              <w:t>3. Natural resources and environment</w:t>
            </w:r>
            <w:r w:rsidRPr="005F4295">
              <w:rPr>
                <w:rFonts w:ascii="Calibri" w:hAnsi="Calibri" w:cs="Calibri"/>
                <w:noProof/>
                <w:color w:val="003399" w:themeColor="text2"/>
                <w:sz w:val="18"/>
                <w:szCs w:val="18"/>
                <w:lang w:eastAsia="en-IE"/>
              </w:rPr>
              <w:t> </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58321FAA" w14:textId="1D7A30E8"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432.4</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15F5AC2E" w14:textId="73B2EDAC"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0CDB237A" w14:textId="3254E4EF"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432.</w:t>
            </w:r>
            <w:r w:rsidRPr="005F4295" w:rsidDel="003053B4">
              <w:rPr>
                <w:rFonts w:cs="Arial"/>
                <w:b/>
                <w:noProof/>
                <w:color w:val="003399" w:themeColor="text2"/>
                <w:sz w:val="18"/>
                <w:szCs w:val="18"/>
                <w:lang w:eastAsia="en-IE"/>
              </w:rPr>
              <w:t>4</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4DECACBA" w14:textId="7DDF6BA1"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Pr>
                <w:rFonts w:cs="Arial"/>
                <w:b/>
                <w:bCs/>
                <w:noProof/>
                <w:color w:val="003399" w:themeColor="text2"/>
                <w:sz w:val="18"/>
                <w:szCs w:val="18"/>
                <w:lang w:eastAsia="en-IE"/>
              </w:rPr>
              <w:t>351.3</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0BAB3843" w14:textId="7F30F246"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429A09E7" w14:textId="13CB7220"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Pr>
                <w:rFonts w:cs="Arial"/>
                <w:b/>
                <w:bCs/>
                <w:noProof/>
                <w:color w:val="003399" w:themeColor="text2"/>
                <w:sz w:val="18"/>
                <w:szCs w:val="18"/>
                <w:lang w:eastAsia="en-IE"/>
              </w:rPr>
              <w:t>351.3</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FFFFFF" w:themeColor="background1"/>
            </w:tcBorders>
            <w:shd w:val="clear" w:color="auto" w:fill="F2F2F2" w:themeFill="background1" w:themeFillShade="F2"/>
            <w:vAlign w:val="center"/>
            <w:hideMark/>
          </w:tcPr>
          <w:p w14:paraId="2A7AB929" w14:textId="7EE5F17D" w:rsidR="00B33835" w:rsidRPr="005F4295" w:rsidRDefault="00B33835" w:rsidP="00B33835">
            <w:pPr>
              <w:spacing w:before="0" w:after="0" w:line="240" w:lineRule="auto"/>
              <w:jc w:val="right"/>
              <w:rPr>
                <w:rFonts w:cs="Arial"/>
                <w:b/>
                <w:bCs/>
                <w:noProof/>
                <w:color w:val="003399" w:themeColor="text2"/>
                <w:sz w:val="18"/>
                <w:szCs w:val="18"/>
                <w:lang w:eastAsia="en-IE"/>
              </w:rPr>
            </w:pPr>
            <w:r w:rsidRPr="005F4295">
              <w:rPr>
                <w:noProof/>
              </w:rPr>
              <w:t xml:space="preserve"> </w:t>
            </w:r>
            <w:r w:rsidR="00183B12" w:rsidRPr="005F4295">
              <w:rPr>
                <w:rFonts w:cs="Arial"/>
                <w:b/>
                <w:bCs/>
                <w:noProof/>
                <w:color w:val="003399" w:themeColor="text2"/>
                <w:sz w:val="18"/>
                <w:szCs w:val="18"/>
                <w:lang w:eastAsia="en-IE"/>
              </w:rPr>
              <w:t>783.7</w:t>
            </w:r>
            <w:r w:rsidRPr="005F4295">
              <w:rPr>
                <w:noProof/>
              </w:rPr>
              <w:t xml:space="preserve"> </w:t>
            </w:r>
          </w:p>
        </w:tc>
      </w:tr>
      <w:tr w:rsidR="00B33835" w:rsidRPr="005F4295" w14:paraId="31B62C1D" w14:textId="77777777">
        <w:trPr>
          <w:trHeight w:val="286"/>
        </w:trPr>
        <w:tc>
          <w:tcPr>
            <w:tcW w:w="2405" w:type="dxa"/>
            <w:tcBorders>
              <w:top w:val="single" w:sz="4" w:space="0" w:color="7F7F7F" w:themeColor="text1" w:themeTint="80"/>
              <w:left w:val="single" w:sz="4" w:space="0" w:color="FFFFFF" w:themeColor="background1"/>
              <w:bottom w:val="single" w:sz="4" w:space="0" w:color="7F7F7F" w:themeColor="text1" w:themeTint="80"/>
              <w:right w:val="single" w:sz="4" w:space="0" w:color="7F7F7F" w:themeColor="text1" w:themeTint="80"/>
            </w:tcBorders>
            <w:vAlign w:val="center"/>
            <w:hideMark/>
          </w:tcPr>
          <w:p w14:paraId="3F182071" w14:textId="77777777" w:rsidR="00B33835" w:rsidRPr="005F4295" w:rsidRDefault="00B33835" w:rsidP="00B33835">
            <w:pPr>
              <w:spacing w:before="0" w:after="0" w:line="240" w:lineRule="auto"/>
              <w:rPr>
                <w:rFonts w:cs="Arial"/>
                <w:noProof/>
                <w:color w:val="000000"/>
                <w:sz w:val="18"/>
                <w:szCs w:val="18"/>
                <w:lang w:eastAsia="en-IE"/>
              </w:rPr>
            </w:pPr>
            <w:r w:rsidRPr="005F4295">
              <w:rPr>
                <w:rFonts w:cs="Arial"/>
                <w:noProof/>
                <w:color w:val="000000"/>
                <w:sz w:val="18"/>
                <w:szCs w:val="18"/>
                <w:lang w:eastAsia="en-IE"/>
              </w:rPr>
              <w:t>European Agricultural Guarantee Fund</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1BA171A9" w14:textId="566E4DA2"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299.6</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1B92155F" w14:textId="77777777"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4E4AA119" w14:textId="60A51831"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299.6</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20130FC7" w14:textId="389DEF8F"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355.0</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16511B04" w14:textId="77777777" w:rsidR="00B33835" w:rsidRPr="005F4295" w:rsidRDefault="00B33835" w:rsidP="00B33835">
            <w:pPr>
              <w:spacing w:before="0" w:after="0" w:line="240" w:lineRule="auto"/>
              <w:jc w:val="right"/>
              <w:rPr>
                <w:rFonts w:cs="Arial"/>
                <w:noProof/>
                <w:color w:val="000000"/>
                <w:sz w:val="18"/>
                <w:szCs w:val="18"/>
                <w:lang w:eastAsia="en-IE"/>
              </w:rPr>
            </w:pPr>
            <w:r w:rsidRPr="005F4295">
              <w:rPr>
                <w:rFonts w:cs="Arial"/>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40861423" w14:textId="1DFC2009"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355.0</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FFFFFF" w:themeColor="background1"/>
            </w:tcBorders>
            <w:vAlign w:val="center"/>
            <w:hideMark/>
          </w:tcPr>
          <w:p w14:paraId="72BF5894" w14:textId="6C65C000"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 xml:space="preserve"> </w:t>
            </w:r>
            <w:r w:rsidR="00183B12" w:rsidRPr="005F4295">
              <w:rPr>
                <w:rFonts w:cs="Arial"/>
                <w:noProof/>
                <w:sz w:val="18"/>
                <w:szCs w:val="18"/>
                <w:lang w:eastAsia="en-IE"/>
              </w:rPr>
              <w:t>654.6</w:t>
            </w:r>
            <w:r w:rsidRPr="005F4295">
              <w:rPr>
                <w:rFonts w:cs="Arial"/>
                <w:noProof/>
                <w:sz w:val="18"/>
                <w:szCs w:val="18"/>
                <w:lang w:eastAsia="en-IE"/>
              </w:rPr>
              <w:t xml:space="preserve"> </w:t>
            </w:r>
          </w:p>
        </w:tc>
      </w:tr>
      <w:tr w:rsidR="00B33835" w:rsidRPr="005F4295" w14:paraId="0306838E" w14:textId="77777777">
        <w:trPr>
          <w:trHeight w:val="286"/>
        </w:trPr>
        <w:tc>
          <w:tcPr>
            <w:tcW w:w="2405" w:type="dxa"/>
            <w:tcBorders>
              <w:top w:val="single" w:sz="4" w:space="0" w:color="7F7F7F" w:themeColor="text1" w:themeTint="80"/>
              <w:left w:val="single" w:sz="4" w:space="0" w:color="FFFFFF" w:themeColor="background1"/>
              <w:bottom w:val="single" w:sz="4" w:space="0" w:color="7F7F7F" w:themeColor="text1" w:themeTint="80"/>
              <w:right w:val="single" w:sz="4" w:space="0" w:color="7F7F7F" w:themeColor="text1" w:themeTint="80"/>
            </w:tcBorders>
            <w:vAlign w:val="center"/>
            <w:hideMark/>
          </w:tcPr>
          <w:p w14:paraId="34C7223D" w14:textId="77777777" w:rsidR="00B33835" w:rsidRPr="005F4295" w:rsidRDefault="00B33835" w:rsidP="00B33835">
            <w:pPr>
              <w:spacing w:before="0" w:after="0" w:line="240" w:lineRule="auto"/>
              <w:rPr>
                <w:rFonts w:cs="Arial"/>
                <w:noProof/>
                <w:color w:val="000000"/>
                <w:sz w:val="18"/>
                <w:szCs w:val="18"/>
                <w:lang w:eastAsia="en-IE"/>
              </w:rPr>
            </w:pPr>
            <w:r w:rsidRPr="005F4295">
              <w:rPr>
                <w:rFonts w:cs="Arial"/>
                <w:noProof/>
                <w:color w:val="000000"/>
                <w:sz w:val="18"/>
                <w:szCs w:val="18"/>
                <w:lang w:eastAsia="en-IE"/>
              </w:rPr>
              <w:t>European Agricultural Fund for Rural Development</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56793F7F" w14:textId="1683ABD3"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 xml:space="preserve"> 132.8 </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0485D3F7" w14:textId="77777777"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1D2162A1" w14:textId="54637FD0"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 xml:space="preserve"> 132.8 </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24D1814C" w14:textId="082B3751"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-3.7</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145A0D0A" w14:textId="77777777" w:rsidR="00B33835" w:rsidRPr="005F4295" w:rsidRDefault="00B33835" w:rsidP="00B33835">
            <w:pPr>
              <w:spacing w:before="0" w:after="0" w:line="240" w:lineRule="auto"/>
              <w:jc w:val="right"/>
              <w:rPr>
                <w:rFonts w:cs="Arial"/>
                <w:noProof/>
                <w:color w:val="000000"/>
                <w:sz w:val="18"/>
                <w:szCs w:val="18"/>
                <w:lang w:eastAsia="en-IE"/>
              </w:rPr>
            </w:pPr>
            <w:r w:rsidRPr="005F4295">
              <w:rPr>
                <w:rFonts w:cs="Arial"/>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5DB2F699" w14:textId="7CF5CF5A"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-3.7</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FFFFFF" w:themeColor="background1"/>
            </w:tcBorders>
            <w:vAlign w:val="center"/>
            <w:hideMark/>
          </w:tcPr>
          <w:p w14:paraId="35AB2DBD" w14:textId="7D20A0FC"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 xml:space="preserve"> </w:t>
            </w:r>
            <w:r w:rsidR="00C506B3" w:rsidRPr="005F4295">
              <w:rPr>
                <w:rFonts w:cs="Arial"/>
                <w:noProof/>
                <w:sz w:val="18"/>
                <w:szCs w:val="18"/>
                <w:lang w:eastAsia="en-IE"/>
              </w:rPr>
              <w:t>129.1</w:t>
            </w:r>
            <w:r w:rsidRPr="005F4295">
              <w:rPr>
                <w:rFonts w:cs="Arial"/>
                <w:noProof/>
                <w:sz w:val="18"/>
                <w:szCs w:val="18"/>
                <w:lang w:eastAsia="en-IE"/>
              </w:rPr>
              <w:t xml:space="preserve"> </w:t>
            </w:r>
          </w:p>
        </w:tc>
      </w:tr>
      <w:tr w:rsidR="00B33835" w:rsidRPr="005F4295" w14:paraId="22078925" w14:textId="77777777">
        <w:trPr>
          <w:trHeight w:val="286"/>
        </w:trPr>
        <w:tc>
          <w:tcPr>
            <w:tcW w:w="2405" w:type="dxa"/>
            <w:tcBorders>
              <w:top w:val="single" w:sz="4" w:space="0" w:color="7F7F7F" w:themeColor="text1" w:themeTint="80"/>
              <w:left w:val="single" w:sz="4" w:space="0" w:color="FFFFFF" w:themeColor="background1"/>
              <w:bottom w:val="single" w:sz="4" w:space="0" w:color="7F7F7F" w:themeColor="text1" w:themeTint="80"/>
              <w:right w:val="single" w:sz="4" w:space="0" w:color="7F7F7F" w:themeColor="text1" w:themeTint="80"/>
            </w:tcBorders>
            <w:vAlign w:val="center"/>
            <w:hideMark/>
          </w:tcPr>
          <w:p w14:paraId="2BF19489" w14:textId="77777777" w:rsidR="00B33835" w:rsidRPr="005F4295" w:rsidRDefault="00B33835" w:rsidP="00B33835">
            <w:pPr>
              <w:spacing w:before="0" w:after="0" w:line="240" w:lineRule="auto"/>
              <w:rPr>
                <w:rFonts w:cs="Arial"/>
                <w:noProof/>
                <w:color w:val="000000"/>
                <w:sz w:val="18"/>
                <w:szCs w:val="18"/>
                <w:lang w:eastAsia="en-IE"/>
              </w:rPr>
            </w:pPr>
            <w:r w:rsidRPr="005F4295">
              <w:rPr>
                <w:rFonts w:cs="Arial"/>
                <w:noProof/>
                <w:color w:val="000000"/>
                <w:sz w:val="18"/>
                <w:szCs w:val="18"/>
                <w:lang w:eastAsia="en-IE"/>
              </w:rPr>
              <w:t>European Maritime and Fisheries Fund</w:t>
            </w:r>
            <w:r w:rsidRPr="005F4295">
              <w:rPr>
                <w:rFonts w:ascii="Calibri" w:hAnsi="Calibri" w:cs="Calibri"/>
                <w:noProof/>
                <w:color w:val="000000"/>
                <w:sz w:val="18"/>
                <w:szCs w:val="18"/>
                <w:lang w:eastAsia="en-IE"/>
              </w:rPr>
              <w:t> </w:t>
            </w:r>
            <w:r w:rsidRPr="005F4295">
              <w:rPr>
                <w:rFonts w:cs="Arial"/>
                <w:noProof/>
                <w:color w:val="000000"/>
                <w:sz w:val="18"/>
                <w:szCs w:val="18"/>
                <w:lang w:eastAsia="en-IE"/>
              </w:rPr>
              <w:t>/ European Fisheries Fund</w:t>
            </w:r>
            <w:r w:rsidRPr="005F4295">
              <w:rPr>
                <w:rFonts w:ascii="Calibri" w:hAnsi="Calibri" w:cs="Calibri"/>
                <w:noProof/>
                <w:color w:val="000000"/>
                <w:sz w:val="18"/>
                <w:szCs w:val="18"/>
                <w:lang w:eastAsia="en-IE"/>
              </w:rPr>
              <w:t> </w:t>
            </w:r>
            <w:r w:rsidRPr="005F4295">
              <w:rPr>
                <w:rFonts w:cs="Arial"/>
                <w:noProof/>
                <w:color w:val="000000"/>
                <w:sz w:val="18"/>
                <w:szCs w:val="18"/>
                <w:lang w:eastAsia="en-IE"/>
              </w:rPr>
              <w:t>/ Financial Instrument for Fisheries Guidance</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6DDC1D37" w14:textId="67CCD5F6" w:rsidR="00B33835" w:rsidRPr="005F4295" w:rsidRDefault="00B33835" w:rsidP="00B33835">
            <w:pPr>
              <w:spacing w:before="0" w:after="0" w:line="240" w:lineRule="auto"/>
              <w:jc w:val="right"/>
              <w:rPr>
                <w:rFonts w:cs="Arial"/>
                <w:noProof/>
                <w:sz w:val="18"/>
                <w:szCs w:val="18"/>
                <w:lang w:eastAsia="en-IE"/>
              </w:rPr>
            </w:pPr>
            <w:r w:rsidRPr="005F4295">
              <w:rPr>
                <w:rFonts w:cs="Arial"/>
                <w:noProof/>
                <w:color w:val="000000"/>
                <w:sz w:val="18"/>
                <w:szCs w:val="18"/>
                <w:lang w:eastAsia="en-IE"/>
              </w:rPr>
              <w:t xml:space="preserve"> </w:t>
            </w:r>
            <w:r w:rsidRPr="005F4295">
              <w:rPr>
                <w:rFonts w:cs="Arial"/>
                <w:noProof/>
                <w:sz w:val="18"/>
                <w:szCs w:val="18"/>
                <w:lang w:eastAsia="en-IE"/>
              </w:rPr>
              <w:t>—</w:t>
            </w:r>
            <w:r w:rsidRPr="005F4295">
              <w:rPr>
                <w:rFonts w:cs="Arial"/>
                <w:noProof/>
                <w:color w:val="000000"/>
                <w:sz w:val="18"/>
                <w:szCs w:val="18"/>
                <w:lang w:eastAsia="en-IE"/>
              </w:rPr>
              <w:t xml:space="preserve"> </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3059C8D5" w14:textId="3839264B"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7F7A64F9" w14:textId="037EE29E"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15809D3F" w14:textId="35C872EF" w:rsidR="00B33835" w:rsidRPr="005F4295" w:rsidRDefault="00B33835" w:rsidP="00B33835">
            <w:pPr>
              <w:spacing w:before="0" w:after="0" w:line="240" w:lineRule="auto"/>
              <w:jc w:val="right"/>
              <w:rPr>
                <w:rFonts w:cs="Arial"/>
                <w:noProof/>
                <w:sz w:val="18"/>
                <w:szCs w:val="18"/>
                <w:lang w:eastAsia="en-IE"/>
              </w:rPr>
            </w:pPr>
            <w:r w:rsidRPr="005F4295" w:rsidDel="005F544C">
              <w:rPr>
                <w:rFonts w:cs="Arial"/>
                <w:noProof/>
                <w:sz w:val="18"/>
                <w:szCs w:val="18"/>
                <w:lang w:eastAsia="en-IE"/>
              </w:rPr>
              <w:t>—</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021D25E0" w14:textId="65EE02C1" w:rsidR="00B33835" w:rsidRPr="005F4295" w:rsidRDefault="00B33835" w:rsidP="00B33835">
            <w:pPr>
              <w:spacing w:before="0" w:after="0" w:line="240" w:lineRule="auto"/>
              <w:jc w:val="right"/>
              <w:rPr>
                <w:rFonts w:cs="Arial"/>
                <w:noProof/>
                <w:sz w:val="18"/>
                <w:szCs w:val="18"/>
                <w:lang w:eastAsia="en-IE"/>
              </w:rPr>
            </w:pPr>
            <w:r w:rsidRPr="005F4295" w:rsidDel="005F544C">
              <w:rPr>
                <w:rFonts w:cs="Arial"/>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3342A764" w14:textId="76EC8E56" w:rsidR="00B33835" w:rsidRPr="005F4295" w:rsidRDefault="00B33835" w:rsidP="00B33835">
            <w:pPr>
              <w:spacing w:before="0" w:after="0" w:line="240" w:lineRule="auto"/>
              <w:jc w:val="right"/>
              <w:rPr>
                <w:rFonts w:cs="Arial"/>
                <w:noProof/>
                <w:sz w:val="18"/>
                <w:szCs w:val="18"/>
                <w:lang w:eastAsia="en-IE"/>
              </w:rPr>
            </w:pPr>
            <w:r w:rsidRPr="005F4295" w:rsidDel="005F544C">
              <w:rPr>
                <w:rFonts w:cs="Arial"/>
                <w:noProof/>
                <w:sz w:val="18"/>
                <w:szCs w:val="18"/>
                <w:lang w:eastAsia="en-IE"/>
              </w:rPr>
              <w:t>—</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FFFFFF" w:themeColor="background1"/>
            </w:tcBorders>
            <w:vAlign w:val="center"/>
            <w:hideMark/>
          </w:tcPr>
          <w:p w14:paraId="1F1C76D5" w14:textId="6C1D6C7B" w:rsidR="00B33835" w:rsidRPr="005F4295" w:rsidRDefault="00B33835" w:rsidP="00B33835">
            <w:pPr>
              <w:spacing w:before="0" w:after="0" w:line="240" w:lineRule="auto"/>
              <w:jc w:val="right"/>
              <w:rPr>
                <w:rFonts w:cs="Arial"/>
                <w:noProof/>
                <w:sz w:val="18"/>
                <w:szCs w:val="18"/>
                <w:lang w:eastAsia="en-IE"/>
              </w:rPr>
            </w:pPr>
            <w:r w:rsidRPr="005F4295">
              <w:rPr>
                <w:rFonts w:cs="Arial"/>
                <w:noProof/>
                <w:color w:val="000000"/>
                <w:sz w:val="18"/>
                <w:szCs w:val="18"/>
                <w:lang w:eastAsia="en-IE"/>
              </w:rPr>
              <w:t xml:space="preserve">  </w:t>
            </w:r>
            <w:r w:rsidRPr="005F4295">
              <w:rPr>
                <w:rFonts w:cs="Arial"/>
                <w:noProof/>
                <w:sz w:val="18"/>
                <w:szCs w:val="18"/>
                <w:lang w:eastAsia="en-IE"/>
              </w:rPr>
              <w:t>—</w:t>
            </w:r>
          </w:p>
        </w:tc>
      </w:tr>
      <w:tr w:rsidR="00B33835" w:rsidRPr="005F4295" w14:paraId="7B605193" w14:textId="77777777">
        <w:trPr>
          <w:trHeight w:val="298"/>
        </w:trPr>
        <w:tc>
          <w:tcPr>
            <w:tcW w:w="2405" w:type="dxa"/>
            <w:tcBorders>
              <w:top w:val="single" w:sz="4" w:space="0" w:color="7F7F7F" w:themeColor="text1" w:themeTint="80"/>
              <w:left w:val="single" w:sz="4" w:space="0" w:color="FFFFFF" w:themeColor="background1"/>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16251A06" w14:textId="77777777" w:rsidR="00B33835" w:rsidRPr="005F4295" w:rsidRDefault="00B33835" w:rsidP="00B33835">
            <w:pPr>
              <w:spacing w:before="0" w:after="0" w:line="240" w:lineRule="auto"/>
              <w:rPr>
                <w:rFonts w:cs="Arial"/>
                <w:b/>
                <w:noProof/>
                <w:color w:val="003399" w:themeColor="text2"/>
                <w:sz w:val="18"/>
                <w:szCs w:val="18"/>
                <w:lang w:eastAsia="en-IE"/>
              </w:rPr>
            </w:pPr>
            <w:r w:rsidRPr="005F4295">
              <w:rPr>
                <w:rFonts w:cs="Arial"/>
                <w:b/>
                <w:noProof/>
                <w:color w:val="003399" w:themeColor="text2"/>
                <w:sz w:val="18"/>
                <w:szCs w:val="18"/>
                <w:lang w:eastAsia="en-IE"/>
              </w:rPr>
              <w:t>4. Migration and border management</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286419E5" w14:textId="3FD7929C"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Pr>
                <w:rFonts w:cs="Arial"/>
                <w:noProof/>
                <w:color w:val="000000"/>
                <w:sz w:val="18"/>
                <w:szCs w:val="18"/>
                <w:lang w:eastAsia="en-IE"/>
              </w:rPr>
              <w:t xml:space="preserve"> </w:t>
            </w:r>
            <w:r w:rsidRPr="005F4295">
              <w:rPr>
                <w:rFonts w:cs="Arial"/>
                <w:noProof/>
                <w:sz w:val="18"/>
                <w:szCs w:val="18"/>
                <w:lang w:eastAsia="en-IE"/>
              </w:rPr>
              <w:t>—</w:t>
            </w:r>
            <w:r w:rsidRPr="005F4295">
              <w:rPr>
                <w:rFonts w:cs="Arial"/>
                <w:noProof/>
                <w:color w:val="000000"/>
                <w:sz w:val="18"/>
                <w:szCs w:val="18"/>
                <w:lang w:eastAsia="en-IE"/>
              </w:rPr>
              <w:t xml:space="preserve"> </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23422522" w14:textId="4C20421D"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sidDel="00382D3D">
              <w:rPr>
                <w:rFonts w:cs="Arial"/>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3B975302" w14:textId="0C952B67"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Pr>
                <w:rFonts w:cs="Arial"/>
                <w:noProof/>
                <w:sz w:val="18"/>
                <w:szCs w:val="18"/>
                <w:lang w:eastAsia="en-IE"/>
              </w:rPr>
              <w:t>—</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37583C68" w14:textId="51AED23A"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sidDel="00382D3D">
              <w:rPr>
                <w:rFonts w:cs="Arial"/>
                <w:sz w:val="18"/>
                <w:szCs w:val="18"/>
                <w:lang w:eastAsia="en-IE"/>
              </w:rPr>
              <w:t>—</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4F1242F6" w14:textId="3AC3E3AC"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sidDel="00382D3D">
              <w:rPr>
                <w:rFonts w:cs="Arial"/>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hideMark/>
          </w:tcPr>
          <w:p w14:paraId="0A9FC7C3" w14:textId="080206D8"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sidDel="00382D3D">
              <w:rPr>
                <w:rFonts w:cs="Arial"/>
                <w:sz w:val="18"/>
                <w:szCs w:val="18"/>
                <w:lang w:eastAsia="en-IE"/>
              </w:rPr>
              <w:t>—</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FFFFFF" w:themeColor="background1"/>
            </w:tcBorders>
            <w:shd w:val="clear" w:color="auto" w:fill="F2F2F2" w:themeFill="background1" w:themeFillShade="F2"/>
            <w:vAlign w:val="center"/>
            <w:hideMark/>
          </w:tcPr>
          <w:p w14:paraId="2EBF4900" w14:textId="50CD3946" w:rsidR="00B33835" w:rsidRPr="005F4295" w:rsidRDefault="00B33835" w:rsidP="00B33835">
            <w:pPr>
              <w:spacing w:before="0" w:after="0" w:line="240" w:lineRule="auto"/>
              <w:jc w:val="right"/>
              <w:rPr>
                <w:rFonts w:cs="Arial"/>
                <w:noProof/>
                <w:sz w:val="18"/>
                <w:szCs w:val="18"/>
                <w:lang w:eastAsia="en-IE"/>
              </w:rPr>
            </w:pPr>
            <w:r w:rsidRPr="005F4295">
              <w:rPr>
                <w:rFonts w:cs="Arial"/>
                <w:noProof/>
                <w:color w:val="000000"/>
                <w:sz w:val="18"/>
                <w:szCs w:val="18"/>
                <w:lang w:eastAsia="en-IE"/>
              </w:rPr>
              <w:t xml:space="preserve">  </w:t>
            </w:r>
            <w:r w:rsidRPr="005F4295">
              <w:rPr>
                <w:rFonts w:cs="Arial"/>
                <w:noProof/>
                <w:sz w:val="18"/>
                <w:szCs w:val="18"/>
                <w:lang w:eastAsia="en-IE"/>
              </w:rPr>
              <w:t>—</w:t>
            </w:r>
          </w:p>
        </w:tc>
      </w:tr>
      <w:tr w:rsidR="00B33835" w:rsidRPr="005F4295" w14:paraId="30AC8775" w14:textId="77777777">
        <w:trPr>
          <w:trHeight w:val="298"/>
        </w:trPr>
        <w:tc>
          <w:tcPr>
            <w:tcW w:w="2405" w:type="dxa"/>
            <w:tcBorders>
              <w:top w:val="single" w:sz="4" w:space="0" w:color="7F7F7F" w:themeColor="text1" w:themeTint="80"/>
              <w:left w:val="single" w:sz="4" w:space="0" w:color="FFFFFF" w:themeColor="background1"/>
              <w:bottom w:val="single" w:sz="4" w:space="0" w:color="7F7F7F" w:themeColor="text1" w:themeTint="80"/>
              <w:right w:val="single" w:sz="4" w:space="0" w:color="7F7F7F" w:themeColor="text1" w:themeTint="80"/>
            </w:tcBorders>
            <w:shd w:val="clear" w:color="auto" w:fill="FEDEC6" w:themeFill="accent2" w:themeFillTint="33"/>
            <w:noWrap/>
            <w:vAlign w:val="center"/>
            <w:hideMark/>
          </w:tcPr>
          <w:p w14:paraId="392666AB" w14:textId="77777777" w:rsidR="00B33835" w:rsidRPr="005F4295" w:rsidRDefault="00B33835" w:rsidP="00B33835">
            <w:pPr>
              <w:spacing w:before="0" w:after="0" w:line="240" w:lineRule="auto"/>
              <w:rPr>
                <w:rFonts w:cs="Arial"/>
                <w:b/>
                <w:noProof/>
                <w:color w:val="000000"/>
                <w:sz w:val="18"/>
                <w:szCs w:val="18"/>
                <w:lang w:eastAsia="en-IE"/>
              </w:rPr>
            </w:pPr>
            <w:r w:rsidRPr="005F4295">
              <w:rPr>
                <w:rFonts w:cs="Arial"/>
                <w:b/>
                <w:noProof/>
                <w:color w:val="000000"/>
                <w:sz w:val="18"/>
                <w:szCs w:val="18"/>
                <w:lang w:eastAsia="en-IE"/>
              </w:rPr>
              <w:t>Total</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hideMark/>
          </w:tcPr>
          <w:p w14:paraId="113D881D" w14:textId="6C1B2418" w:rsidR="00B33835" w:rsidRPr="005F4295" w:rsidRDefault="00B33835" w:rsidP="00B33835">
            <w:pPr>
              <w:spacing w:before="0" w:after="0" w:line="240" w:lineRule="auto"/>
              <w:jc w:val="right"/>
              <w:rPr>
                <w:rFonts w:cs="Arial"/>
                <w:b/>
                <w:noProof/>
                <w:color w:val="003399" w:themeColor="text2"/>
                <w:sz w:val="18"/>
                <w:szCs w:val="18"/>
                <w:lang w:eastAsia="en-IE"/>
              </w:rPr>
            </w:pPr>
            <w:r w:rsidRPr="005F4295">
              <w:rPr>
                <w:rFonts w:cs="Arial"/>
                <w:b/>
                <w:noProof/>
                <w:color w:val="003399" w:themeColor="text2"/>
                <w:sz w:val="18"/>
                <w:szCs w:val="18"/>
                <w:lang w:eastAsia="en-IE"/>
              </w:rPr>
              <w:t xml:space="preserve"> </w:t>
            </w:r>
            <w:r w:rsidRPr="005F4295">
              <w:rPr>
                <w:rFonts w:cs="Arial"/>
                <w:b/>
                <w:sz w:val="18"/>
                <w:szCs w:val="18"/>
                <w:lang w:eastAsia="en-IE"/>
              </w:rPr>
              <w:t>462.</w:t>
            </w:r>
            <w:r w:rsidRPr="005F4295">
              <w:rPr>
                <w:rFonts w:cs="Arial"/>
                <w:b/>
                <w:bCs/>
                <w:noProof/>
                <w:sz w:val="18"/>
                <w:szCs w:val="18"/>
                <w:lang w:eastAsia="en-IE"/>
              </w:rPr>
              <w:t>6</w:t>
            </w:r>
            <w:r w:rsidRPr="005F4295">
              <w:rPr>
                <w:rFonts w:cs="Arial"/>
                <w:b/>
                <w:noProof/>
                <w:color w:val="003399" w:themeColor="text2"/>
                <w:sz w:val="18"/>
                <w:szCs w:val="18"/>
                <w:lang w:eastAsia="en-IE"/>
              </w:rPr>
              <w:t xml:space="preserve"> </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hideMark/>
          </w:tcPr>
          <w:p w14:paraId="009B79C9" w14:textId="5DD3A57A" w:rsidR="00B33835" w:rsidRPr="005F4295" w:rsidRDefault="00B33835" w:rsidP="00B33835">
            <w:pPr>
              <w:spacing w:before="0" w:after="0" w:line="240" w:lineRule="auto"/>
              <w:jc w:val="right"/>
              <w:rPr>
                <w:rFonts w:cs="Arial"/>
                <w:b/>
                <w:noProof/>
                <w:sz w:val="18"/>
                <w:szCs w:val="18"/>
                <w:lang w:eastAsia="en-IE"/>
              </w:rPr>
            </w:pPr>
            <w:r w:rsidRPr="005F4295">
              <w:rPr>
                <w:rFonts w:cs="Arial"/>
                <w:b/>
                <w:bCs/>
                <w:noProof/>
                <w:sz w:val="18"/>
                <w:szCs w:val="18"/>
                <w:lang w:eastAsia="en-IE"/>
              </w:rPr>
              <w:t>5.</w:t>
            </w:r>
            <w:r w:rsidR="008D0FFE" w:rsidRPr="005F4295">
              <w:rPr>
                <w:rFonts w:cs="Arial"/>
                <w:b/>
                <w:bCs/>
                <w:noProof/>
                <w:sz w:val="18"/>
                <w:szCs w:val="18"/>
                <w:lang w:eastAsia="en-IE"/>
              </w:rPr>
              <w:t>9</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hideMark/>
          </w:tcPr>
          <w:p w14:paraId="679BBECD" w14:textId="1B801842" w:rsidR="00B33835" w:rsidRPr="005F4295" w:rsidRDefault="00B33835" w:rsidP="00B33835">
            <w:pPr>
              <w:spacing w:before="0" w:after="0" w:line="240" w:lineRule="auto"/>
              <w:jc w:val="right"/>
              <w:rPr>
                <w:rFonts w:cs="Arial"/>
                <w:b/>
                <w:noProof/>
                <w:sz w:val="18"/>
                <w:szCs w:val="18"/>
                <w:lang w:eastAsia="en-IE"/>
              </w:rPr>
            </w:pPr>
            <w:r w:rsidRPr="005F4295">
              <w:rPr>
                <w:rFonts w:cs="Arial"/>
                <w:b/>
                <w:bCs/>
                <w:noProof/>
                <w:sz w:val="18"/>
                <w:szCs w:val="18"/>
                <w:lang w:eastAsia="en-IE"/>
              </w:rPr>
              <w:t>468.</w:t>
            </w:r>
            <w:r w:rsidR="008D0FFE" w:rsidRPr="005F4295">
              <w:rPr>
                <w:rFonts w:cs="Arial"/>
                <w:b/>
                <w:bCs/>
                <w:noProof/>
                <w:sz w:val="18"/>
                <w:szCs w:val="18"/>
                <w:lang w:eastAsia="en-IE"/>
              </w:rPr>
              <w:t>5</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hideMark/>
          </w:tcPr>
          <w:p w14:paraId="5CF3B3CF" w14:textId="23449D5F" w:rsidR="00B33835" w:rsidRPr="005F4295" w:rsidRDefault="00B33835" w:rsidP="00B33835">
            <w:pPr>
              <w:spacing w:before="0" w:after="0" w:line="240" w:lineRule="auto"/>
              <w:jc w:val="right"/>
              <w:rPr>
                <w:rFonts w:cs="Arial"/>
                <w:b/>
                <w:noProof/>
                <w:sz w:val="18"/>
                <w:szCs w:val="18"/>
                <w:lang w:eastAsia="en-IE"/>
              </w:rPr>
            </w:pPr>
            <w:r w:rsidRPr="005F4295">
              <w:rPr>
                <w:rFonts w:cs="Arial"/>
                <w:b/>
                <w:bCs/>
                <w:noProof/>
                <w:sz w:val="18"/>
                <w:szCs w:val="18"/>
                <w:lang w:eastAsia="en-IE"/>
              </w:rPr>
              <w:t>351.3</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hideMark/>
          </w:tcPr>
          <w:p w14:paraId="0C4602BD" w14:textId="77777777" w:rsidR="00B33835" w:rsidRPr="005F4295" w:rsidRDefault="00B33835" w:rsidP="00B33835">
            <w:pPr>
              <w:spacing w:before="0" w:after="0" w:line="240" w:lineRule="auto"/>
              <w:jc w:val="right"/>
              <w:rPr>
                <w:rFonts w:cs="Arial"/>
                <w:b/>
                <w:noProof/>
                <w:sz w:val="18"/>
                <w:szCs w:val="18"/>
                <w:lang w:eastAsia="en-IE"/>
              </w:rPr>
            </w:pPr>
            <w:r w:rsidRPr="005F4295">
              <w:rPr>
                <w:rFonts w:cs="Arial"/>
                <w:b/>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EDEC6" w:themeFill="accent2" w:themeFillTint="33"/>
            <w:noWrap/>
            <w:vAlign w:val="center"/>
            <w:hideMark/>
          </w:tcPr>
          <w:p w14:paraId="74E3CDC5" w14:textId="1A561922" w:rsidR="00B33835" w:rsidRPr="005F4295" w:rsidRDefault="00B33835" w:rsidP="00B33835">
            <w:pPr>
              <w:spacing w:before="0" w:after="0" w:line="240" w:lineRule="auto"/>
              <w:jc w:val="right"/>
              <w:rPr>
                <w:rFonts w:cs="Arial"/>
                <w:b/>
                <w:noProof/>
                <w:sz w:val="18"/>
                <w:szCs w:val="18"/>
                <w:lang w:eastAsia="en-IE"/>
              </w:rPr>
            </w:pPr>
            <w:r w:rsidRPr="005F4295">
              <w:rPr>
                <w:rFonts w:cs="Arial"/>
                <w:b/>
                <w:bCs/>
                <w:noProof/>
                <w:sz w:val="18"/>
                <w:szCs w:val="18"/>
                <w:lang w:eastAsia="en-IE"/>
              </w:rPr>
              <w:t>351.3</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FFFFFF" w:themeColor="background1"/>
            </w:tcBorders>
            <w:shd w:val="clear" w:color="auto" w:fill="FEDEC6" w:themeFill="accent2" w:themeFillTint="33"/>
            <w:noWrap/>
            <w:vAlign w:val="center"/>
            <w:hideMark/>
          </w:tcPr>
          <w:p w14:paraId="6259F8D9" w14:textId="1C2F54C6" w:rsidR="00B33835" w:rsidRPr="005F4295" w:rsidRDefault="00C506B3" w:rsidP="00B33835">
            <w:pPr>
              <w:spacing w:before="0" w:after="0" w:line="240" w:lineRule="auto"/>
              <w:jc w:val="right"/>
              <w:rPr>
                <w:rFonts w:cs="Arial"/>
                <w:b/>
                <w:noProof/>
                <w:sz w:val="18"/>
                <w:szCs w:val="18"/>
                <w:lang w:eastAsia="en-IE"/>
              </w:rPr>
            </w:pPr>
            <w:r w:rsidRPr="005F4295">
              <w:rPr>
                <w:rFonts w:cs="Arial"/>
                <w:b/>
                <w:bCs/>
                <w:noProof/>
                <w:sz w:val="18"/>
                <w:szCs w:val="18"/>
                <w:lang w:eastAsia="en-IE"/>
              </w:rPr>
              <w:t>819.</w:t>
            </w:r>
            <w:r w:rsidR="008D0FFE" w:rsidRPr="005F4295">
              <w:rPr>
                <w:rFonts w:cs="Arial"/>
                <w:b/>
                <w:bCs/>
                <w:noProof/>
                <w:sz w:val="18"/>
                <w:szCs w:val="18"/>
                <w:lang w:eastAsia="en-IE"/>
              </w:rPr>
              <w:t>9</w:t>
            </w:r>
          </w:p>
        </w:tc>
      </w:tr>
      <w:tr w:rsidR="00B33835" w:rsidRPr="005F4295" w14:paraId="1F815128" w14:textId="77777777">
        <w:trPr>
          <w:trHeight w:val="286"/>
        </w:trPr>
        <w:tc>
          <w:tcPr>
            <w:tcW w:w="2405" w:type="dxa"/>
            <w:tcBorders>
              <w:top w:val="single" w:sz="4" w:space="0" w:color="7F7F7F" w:themeColor="text1" w:themeTint="80"/>
              <w:left w:val="single" w:sz="4" w:space="0" w:color="FFFFFF" w:themeColor="background1"/>
              <w:bottom w:val="single" w:sz="4" w:space="0" w:color="7F7F7F" w:themeColor="text1" w:themeTint="80"/>
              <w:right w:val="single" w:sz="4" w:space="0" w:color="7F7F7F" w:themeColor="text1" w:themeTint="80"/>
            </w:tcBorders>
            <w:vAlign w:val="center"/>
            <w:hideMark/>
          </w:tcPr>
          <w:p w14:paraId="65D5592F" w14:textId="77777777" w:rsidR="00B33835" w:rsidRPr="005F4295" w:rsidRDefault="00B33835" w:rsidP="00B33835">
            <w:pPr>
              <w:spacing w:before="0" w:after="0" w:line="240" w:lineRule="auto"/>
              <w:rPr>
                <w:rFonts w:cs="Arial"/>
                <w:noProof/>
                <w:color w:val="000000"/>
                <w:sz w:val="18"/>
                <w:szCs w:val="18"/>
                <w:lang w:eastAsia="en-IE"/>
              </w:rPr>
            </w:pPr>
            <w:r w:rsidRPr="005F4295">
              <w:rPr>
                <w:rFonts w:cs="Arial"/>
                <w:noProof/>
                <w:color w:val="000000"/>
                <w:sz w:val="18"/>
                <w:szCs w:val="18"/>
                <w:lang w:eastAsia="en-IE"/>
              </w:rPr>
              <w:t>European Globalisation Fund (special instruments)</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44CB5D6E" w14:textId="77777777"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48CC1A61" w14:textId="77777777"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591CD7C6" w14:textId="77777777"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w:t>
            </w:r>
          </w:p>
        </w:tc>
        <w:tc>
          <w:tcPr>
            <w:tcW w:w="99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428EAD48" w14:textId="77777777"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w:t>
            </w:r>
          </w:p>
        </w:tc>
        <w:tc>
          <w:tcPr>
            <w:tcW w:w="9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769A81A3" w14:textId="77777777"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206C4C4B" w14:textId="7DEA479C" w:rsidR="00B33835" w:rsidRPr="005F4295" w:rsidRDefault="00B33835" w:rsidP="00B33835">
            <w:pPr>
              <w:spacing w:before="0" w:after="0" w:line="240" w:lineRule="auto"/>
              <w:jc w:val="right"/>
              <w:rPr>
                <w:rFonts w:cs="Arial"/>
                <w:noProof/>
                <w:sz w:val="18"/>
                <w:szCs w:val="18"/>
                <w:lang w:eastAsia="en-IE"/>
              </w:rPr>
            </w:pPr>
            <w:r w:rsidRPr="005F4295" w:rsidDel="00F97668">
              <w:rPr>
                <w:rFonts w:cs="Arial"/>
                <w:noProof/>
                <w:sz w:val="18"/>
                <w:szCs w:val="18"/>
                <w:lang w:eastAsia="en-IE"/>
              </w:rPr>
              <w:t>—</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FFFFFF" w:themeColor="background1"/>
            </w:tcBorders>
            <w:vAlign w:val="center"/>
            <w:hideMark/>
          </w:tcPr>
          <w:p w14:paraId="75B7994F" w14:textId="77777777" w:rsidR="00B33835" w:rsidRPr="005F4295" w:rsidRDefault="00B33835" w:rsidP="00B33835">
            <w:pPr>
              <w:spacing w:before="0" w:after="0" w:line="240" w:lineRule="auto"/>
              <w:jc w:val="right"/>
              <w:rPr>
                <w:rFonts w:cs="Arial"/>
                <w:noProof/>
                <w:sz w:val="18"/>
                <w:szCs w:val="18"/>
                <w:lang w:eastAsia="en-IE"/>
              </w:rPr>
            </w:pPr>
            <w:r w:rsidRPr="005F4295">
              <w:rPr>
                <w:rFonts w:cs="Arial"/>
                <w:noProof/>
                <w:sz w:val="18"/>
                <w:szCs w:val="18"/>
                <w:lang w:eastAsia="en-IE"/>
              </w:rPr>
              <w:t>—</w:t>
            </w:r>
          </w:p>
        </w:tc>
      </w:tr>
      <w:tr w:rsidR="00C506B3" w:rsidRPr="005F4295" w14:paraId="16C6B237" w14:textId="77777777">
        <w:trPr>
          <w:trHeight w:val="298"/>
        </w:trPr>
        <w:tc>
          <w:tcPr>
            <w:tcW w:w="2405" w:type="dxa"/>
            <w:tcBorders>
              <w:top w:val="single" w:sz="4" w:space="0" w:color="7F7F7F" w:themeColor="text1" w:themeTint="80"/>
              <w:left w:val="single" w:sz="4" w:space="0" w:color="FFFFFF" w:themeColor="background1"/>
              <w:bottom w:val="single" w:sz="4" w:space="0" w:color="FFFFFF" w:themeColor="background1"/>
              <w:right w:val="single" w:sz="4" w:space="0" w:color="7F7F7F" w:themeColor="text1" w:themeTint="80"/>
            </w:tcBorders>
            <w:shd w:val="clear" w:color="auto" w:fill="FEDEC6" w:themeFill="accent2" w:themeFillTint="33"/>
            <w:vAlign w:val="center"/>
            <w:hideMark/>
          </w:tcPr>
          <w:p w14:paraId="3F131CE9" w14:textId="5ED3FDA1" w:rsidR="00C506B3" w:rsidRPr="005F4295" w:rsidRDefault="00C506B3" w:rsidP="00C506B3">
            <w:pPr>
              <w:spacing w:before="0" w:after="0" w:line="240" w:lineRule="auto"/>
              <w:rPr>
                <w:rFonts w:cs="Arial"/>
                <w:b/>
                <w:noProof/>
                <w:color w:val="000000"/>
                <w:sz w:val="18"/>
                <w:szCs w:val="18"/>
                <w:lang w:eastAsia="en-IE"/>
              </w:rPr>
            </w:pPr>
            <w:r w:rsidRPr="005F4295">
              <w:rPr>
                <w:rFonts w:cs="Arial"/>
                <w:b/>
                <w:noProof/>
                <w:color w:val="000000"/>
                <w:sz w:val="18"/>
                <w:szCs w:val="18"/>
                <w:lang w:eastAsia="en-IE"/>
              </w:rPr>
              <w:t>T</w:t>
            </w:r>
            <w:r w:rsidRPr="005F4295">
              <w:rPr>
                <w:rFonts w:cs="Arial"/>
                <w:b/>
                <w:bCs/>
                <w:noProof/>
                <w:color w:val="000000"/>
                <w:sz w:val="18"/>
                <w:szCs w:val="18"/>
                <w:lang w:eastAsia="en-IE"/>
              </w:rPr>
              <w:t>otal</w:t>
            </w:r>
            <w:r w:rsidR="00FC4800" w:rsidRPr="005F4295">
              <w:rPr>
                <w:rFonts w:cs="Arial"/>
                <w:b/>
                <w:bCs/>
                <w:noProof/>
                <w:color w:val="000000"/>
                <w:sz w:val="18"/>
                <w:szCs w:val="18"/>
                <w:lang w:eastAsia="en-IE"/>
              </w:rPr>
              <w:t>,</w:t>
            </w:r>
            <w:r w:rsidRPr="005F4295">
              <w:rPr>
                <w:rFonts w:cs="Arial"/>
                <w:b/>
                <w:noProof/>
                <w:color w:val="000000"/>
                <w:sz w:val="18"/>
                <w:szCs w:val="18"/>
                <w:lang w:eastAsia="en-IE"/>
              </w:rPr>
              <w:t xml:space="preserve"> including </w:t>
            </w:r>
            <w:r w:rsidRPr="005F4295">
              <w:rPr>
                <w:rFonts w:cs="Arial"/>
                <w:b/>
                <w:bCs/>
                <w:noProof/>
                <w:color w:val="000000"/>
                <w:sz w:val="18"/>
                <w:szCs w:val="18"/>
                <w:lang w:eastAsia="en-IE"/>
              </w:rPr>
              <w:t>special instruments</w:t>
            </w:r>
          </w:p>
        </w:tc>
        <w:tc>
          <w:tcPr>
            <w:tcW w:w="992" w:type="dxa"/>
            <w:tcBorders>
              <w:top w:val="single" w:sz="4" w:space="0" w:color="7F7F7F" w:themeColor="text1" w:themeTint="80"/>
              <w:left w:val="single" w:sz="4" w:space="0" w:color="7F7F7F" w:themeColor="text1" w:themeTint="80"/>
              <w:bottom w:val="single" w:sz="4" w:space="0" w:color="FFFFFF" w:themeColor="background1"/>
              <w:right w:val="single" w:sz="4" w:space="0" w:color="7F7F7F" w:themeColor="text1" w:themeTint="80"/>
            </w:tcBorders>
            <w:shd w:val="clear" w:color="auto" w:fill="FEDEC6" w:themeFill="accent2" w:themeFillTint="33"/>
            <w:noWrap/>
            <w:vAlign w:val="center"/>
            <w:hideMark/>
          </w:tcPr>
          <w:p w14:paraId="5B48E505" w14:textId="1FCA27AE" w:rsidR="00C506B3" w:rsidRPr="005F4295" w:rsidRDefault="00C506B3" w:rsidP="00C506B3">
            <w:pPr>
              <w:spacing w:before="0" w:after="0" w:line="240" w:lineRule="auto"/>
              <w:jc w:val="right"/>
              <w:rPr>
                <w:rFonts w:cs="Arial"/>
                <w:b/>
                <w:noProof/>
                <w:sz w:val="18"/>
                <w:szCs w:val="18"/>
                <w:lang w:eastAsia="en-IE"/>
              </w:rPr>
            </w:pPr>
            <w:r w:rsidRPr="005F4295">
              <w:rPr>
                <w:rFonts w:cs="Arial"/>
                <w:b/>
                <w:noProof/>
                <w:color w:val="003399" w:themeColor="text2"/>
                <w:sz w:val="18"/>
                <w:szCs w:val="18"/>
                <w:lang w:eastAsia="en-IE"/>
              </w:rPr>
              <w:t xml:space="preserve"> </w:t>
            </w:r>
            <w:r w:rsidRPr="005F4295">
              <w:rPr>
                <w:rFonts w:cs="Arial"/>
                <w:b/>
                <w:bCs/>
                <w:noProof/>
                <w:sz w:val="18"/>
                <w:szCs w:val="18"/>
                <w:lang w:eastAsia="en-IE"/>
              </w:rPr>
              <w:t>462.6</w:t>
            </w:r>
            <w:r w:rsidRPr="005F4295">
              <w:rPr>
                <w:rFonts w:cs="Arial"/>
                <w:b/>
                <w:noProof/>
                <w:color w:val="003399" w:themeColor="text2"/>
                <w:sz w:val="18"/>
                <w:szCs w:val="18"/>
                <w:lang w:eastAsia="en-IE"/>
              </w:rPr>
              <w:t xml:space="preserve"> </w:t>
            </w:r>
          </w:p>
        </w:tc>
        <w:tc>
          <w:tcPr>
            <w:tcW w:w="993" w:type="dxa"/>
            <w:tcBorders>
              <w:top w:val="single" w:sz="4" w:space="0" w:color="7F7F7F" w:themeColor="text1" w:themeTint="80"/>
              <w:left w:val="single" w:sz="4" w:space="0" w:color="7F7F7F" w:themeColor="text1" w:themeTint="80"/>
              <w:bottom w:val="single" w:sz="4" w:space="0" w:color="FFFFFF" w:themeColor="background1"/>
              <w:right w:val="single" w:sz="4" w:space="0" w:color="7F7F7F" w:themeColor="text1" w:themeTint="80"/>
            </w:tcBorders>
            <w:shd w:val="clear" w:color="auto" w:fill="FEDEC6" w:themeFill="accent2" w:themeFillTint="33"/>
            <w:noWrap/>
            <w:vAlign w:val="center"/>
            <w:hideMark/>
          </w:tcPr>
          <w:p w14:paraId="1686CA82" w14:textId="05B5F131" w:rsidR="00C506B3" w:rsidRPr="005F4295" w:rsidRDefault="00C506B3" w:rsidP="00C506B3">
            <w:pPr>
              <w:spacing w:before="0" w:after="0" w:line="240" w:lineRule="auto"/>
              <w:jc w:val="right"/>
              <w:rPr>
                <w:rFonts w:cs="Arial"/>
                <w:b/>
                <w:noProof/>
                <w:sz w:val="18"/>
                <w:szCs w:val="18"/>
                <w:lang w:eastAsia="en-IE"/>
              </w:rPr>
            </w:pPr>
            <w:r w:rsidRPr="005F4295">
              <w:rPr>
                <w:rFonts w:cs="Arial"/>
                <w:b/>
                <w:bCs/>
                <w:noProof/>
                <w:sz w:val="18"/>
                <w:szCs w:val="18"/>
                <w:lang w:eastAsia="en-IE"/>
              </w:rPr>
              <w:t>5.</w:t>
            </w:r>
            <w:r w:rsidR="008D0FFE" w:rsidRPr="005F4295">
              <w:rPr>
                <w:rFonts w:cs="Arial"/>
                <w:b/>
                <w:bCs/>
                <w:noProof/>
                <w:sz w:val="18"/>
                <w:szCs w:val="18"/>
                <w:lang w:eastAsia="en-IE"/>
              </w:rPr>
              <w:t>9</w:t>
            </w:r>
          </w:p>
        </w:tc>
        <w:tc>
          <w:tcPr>
            <w:tcW w:w="850" w:type="dxa"/>
            <w:tcBorders>
              <w:top w:val="single" w:sz="4" w:space="0" w:color="7F7F7F" w:themeColor="text1" w:themeTint="80"/>
              <w:left w:val="single" w:sz="4" w:space="0" w:color="7F7F7F" w:themeColor="text1" w:themeTint="80"/>
              <w:bottom w:val="single" w:sz="4" w:space="0" w:color="FFFFFF" w:themeColor="background1"/>
              <w:right w:val="single" w:sz="4" w:space="0" w:color="7F7F7F" w:themeColor="text1" w:themeTint="80"/>
            </w:tcBorders>
            <w:shd w:val="clear" w:color="auto" w:fill="FEDEC6" w:themeFill="accent2" w:themeFillTint="33"/>
            <w:noWrap/>
            <w:vAlign w:val="center"/>
            <w:hideMark/>
          </w:tcPr>
          <w:p w14:paraId="4C13A0F6" w14:textId="2FF2A743" w:rsidR="00C506B3" w:rsidRPr="005F4295" w:rsidRDefault="00C506B3" w:rsidP="00C506B3">
            <w:pPr>
              <w:spacing w:before="0" w:after="0" w:line="240" w:lineRule="auto"/>
              <w:jc w:val="right"/>
              <w:rPr>
                <w:rFonts w:cs="Arial"/>
                <w:b/>
                <w:noProof/>
                <w:sz w:val="18"/>
                <w:szCs w:val="18"/>
                <w:lang w:eastAsia="en-IE"/>
              </w:rPr>
            </w:pPr>
            <w:r w:rsidRPr="005F4295">
              <w:rPr>
                <w:rFonts w:cs="Arial"/>
                <w:b/>
                <w:bCs/>
                <w:noProof/>
                <w:sz w:val="18"/>
                <w:szCs w:val="18"/>
                <w:lang w:eastAsia="en-IE"/>
              </w:rPr>
              <w:t>468.</w:t>
            </w:r>
            <w:r w:rsidR="008D0FFE" w:rsidRPr="005F4295">
              <w:rPr>
                <w:rFonts w:cs="Arial"/>
                <w:b/>
                <w:bCs/>
                <w:noProof/>
                <w:sz w:val="18"/>
                <w:szCs w:val="18"/>
                <w:lang w:eastAsia="en-IE"/>
              </w:rPr>
              <w:t>5</w:t>
            </w:r>
          </w:p>
        </w:tc>
        <w:tc>
          <w:tcPr>
            <w:tcW w:w="992" w:type="dxa"/>
            <w:tcBorders>
              <w:top w:val="single" w:sz="4" w:space="0" w:color="7F7F7F" w:themeColor="text1" w:themeTint="80"/>
              <w:left w:val="single" w:sz="4" w:space="0" w:color="7F7F7F" w:themeColor="text1" w:themeTint="80"/>
              <w:bottom w:val="single" w:sz="4" w:space="0" w:color="FFFFFF" w:themeColor="background1"/>
              <w:right w:val="single" w:sz="4" w:space="0" w:color="7F7F7F" w:themeColor="text1" w:themeTint="80"/>
            </w:tcBorders>
            <w:shd w:val="clear" w:color="auto" w:fill="FEDEC6" w:themeFill="accent2" w:themeFillTint="33"/>
            <w:noWrap/>
            <w:vAlign w:val="center"/>
            <w:hideMark/>
          </w:tcPr>
          <w:p w14:paraId="2812DF00" w14:textId="6826741C" w:rsidR="00C506B3" w:rsidRPr="005F4295" w:rsidRDefault="00C506B3" w:rsidP="00C506B3">
            <w:pPr>
              <w:spacing w:before="0" w:after="0" w:line="240" w:lineRule="auto"/>
              <w:jc w:val="right"/>
              <w:rPr>
                <w:rFonts w:cs="Arial"/>
                <w:b/>
                <w:noProof/>
                <w:sz w:val="18"/>
                <w:szCs w:val="18"/>
                <w:lang w:eastAsia="en-IE"/>
              </w:rPr>
            </w:pPr>
            <w:r w:rsidRPr="005F4295">
              <w:rPr>
                <w:rFonts w:cs="Arial"/>
                <w:b/>
                <w:bCs/>
                <w:noProof/>
                <w:sz w:val="18"/>
                <w:szCs w:val="18"/>
                <w:lang w:eastAsia="en-IE"/>
              </w:rPr>
              <w:t>351.3</w:t>
            </w:r>
          </w:p>
        </w:tc>
        <w:tc>
          <w:tcPr>
            <w:tcW w:w="993" w:type="dxa"/>
            <w:tcBorders>
              <w:top w:val="single" w:sz="4" w:space="0" w:color="7F7F7F" w:themeColor="text1" w:themeTint="80"/>
              <w:left w:val="single" w:sz="4" w:space="0" w:color="7F7F7F" w:themeColor="text1" w:themeTint="80"/>
              <w:bottom w:val="single" w:sz="4" w:space="0" w:color="FFFFFF" w:themeColor="background1"/>
              <w:right w:val="single" w:sz="4" w:space="0" w:color="7F7F7F" w:themeColor="text1" w:themeTint="80"/>
            </w:tcBorders>
            <w:shd w:val="clear" w:color="auto" w:fill="FEDEC6" w:themeFill="accent2" w:themeFillTint="33"/>
            <w:noWrap/>
            <w:vAlign w:val="center"/>
            <w:hideMark/>
          </w:tcPr>
          <w:p w14:paraId="7701D079" w14:textId="264147FD" w:rsidR="00C506B3" w:rsidRPr="005F4295" w:rsidRDefault="00C506B3" w:rsidP="00C506B3">
            <w:pPr>
              <w:spacing w:before="0" w:after="0" w:line="240" w:lineRule="auto"/>
              <w:jc w:val="right"/>
              <w:rPr>
                <w:rFonts w:cs="Arial"/>
                <w:b/>
                <w:noProof/>
                <w:sz w:val="18"/>
                <w:szCs w:val="18"/>
                <w:lang w:eastAsia="en-IE"/>
              </w:rPr>
            </w:pPr>
            <w:r w:rsidRPr="005F4295" w:rsidDel="002F0C41">
              <w:rPr>
                <w:rFonts w:cs="Arial"/>
                <w:b/>
                <w:bCs/>
                <w:noProof/>
                <w:sz w:val="18"/>
                <w:szCs w:val="18"/>
                <w:lang w:eastAsia="en-IE"/>
              </w:rPr>
              <w:t>—</w:t>
            </w:r>
          </w:p>
        </w:tc>
        <w:tc>
          <w:tcPr>
            <w:tcW w:w="850" w:type="dxa"/>
            <w:tcBorders>
              <w:top w:val="single" w:sz="4" w:space="0" w:color="7F7F7F" w:themeColor="text1" w:themeTint="80"/>
              <w:left w:val="single" w:sz="4" w:space="0" w:color="7F7F7F" w:themeColor="text1" w:themeTint="80"/>
              <w:bottom w:val="single" w:sz="4" w:space="0" w:color="FFFFFF" w:themeColor="background1"/>
              <w:right w:val="single" w:sz="4" w:space="0" w:color="7F7F7F" w:themeColor="text1" w:themeTint="80"/>
            </w:tcBorders>
            <w:shd w:val="clear" w:color="auto" w:fill="FEDEC6" w:themeFill="accent2" w:themeFillTint="33"/>
            <w:noWrap/>
            <w:vAlign w:val="center"/>
            <w:hideMark/>
          </w:tcPr>
          <w:p w14:paraId="1BA7AB1E" w14:textId="31738B61" w:rsidR="00C506B3" w:rsidRPr="005F4295" w:rsidRDefault="00C506B3" w:rsidP="00C506B3">
            <w:pPr>
              <w:spacing w:before="0" w:after="0" w:line="240" w:lineRule="auto"/>
              <w:jc w:val="right"/>
              <w:rPr>
                <w:rFonts w:cs="Arial"/>
                <w:b/>
                <w:noProof/>
                <w:sz w:val="18"/>
                <w:szCs w:val="18"/>
                <w:lang w:eastAsia="en-IE"/>
              </w:rPr>
            </w:pPr>
            <w:r w:rsidRPr="005F4295">
              <w:rPr>
                <w:rFonts w:cs="Arial"/>
                <w:b/>
                <w:bCs/>
                <w:noProof/>
                <w:sz w:val="18"/>
                <w:szCs w:val="18"/>
                <w:lang w:eastAsia="en-IE"/>
              </w:rPr>
              <w:t>351.3</w:t>
            </w:r>
          </w:p>
        </w:tc>
        <w:tc>
          <w:tcPr>
            <w:tcW w:w="1134" w:type="dxa"/>
            <w:tcBorders>
              <w:top w:val="single" w:sz="4" w:space="0" w:color="7F7F7F" w:themeColor="text1" w:themeTint="80"/>
              <w:left w:val="single" w:sz="4" w:space="0" w:color="7F7F7F" w:themeColor="text1" w:themeTint="80"/>
              <w:bottom w:val="single" w:sz="4" w:space="0" w:color="FFFFFF" w:themeColor="background1"/>
              <w:right w:val="single" w:sz="4" w:space="0" w:color="FFFFFF" w:themeColor="background1"/>
            </w:tcBorders>
            <w:shd w:val="clear" w:color="auto" w:fill="FEDEC6" w:themeFill="accent2" w:themeFillTint="33"/>
            <w:noWrap/>
            <w:vAlign w:val="center"/>
            <w:hideMark/>
          </w:tcPr>
          <w:p w14:paraId="0A5C6CCD" w14:textId="0B07939A" w:rsidR="00C506B3" w:rsidRPr="005F4295" w:rsidRDefault="00C506B3" w:rsidP="00C506B3">
            <w:pPr>
              <w:spacing w:before="0" w:after="0" w:line="240" w:lineRule="auto"/>
              <w:jc w:val="right"/>
              <w:rPr>
                <w:rFonts w:cs="Arial"/>
                <w:b/>
                <w:noProof/>
                <w:sz w:val="18"/>
                <w:szCs w:val="18"/>
                <w:lang w:eastAsia="en-IE"/>
              </w:rPr>
            </w:pPr>
            <w:r w:rsidRPr="005F4295">
              <w:rPr>
                <w:rFonts w:cs="Arial"/>
                <w:b/>
                <w:bCs/>
                <w:noProof/>
                <w:sz w:val="18"/>
                <w:szCs w:val="18"/>
                <w:lang w:eastAsia="en-IE"/>
              </w:rPr>
              <w:t>819.</w:t>
            </w:r>
            <w:r w:rsidR="008D0FFE" w:rsidRPr="005F4295">
              <w:rPr>
                <w:rFonts w:cs="Arial"/>
                <w:b/>
                <w:bCs/>
                <w:noProof/>
                <w:sz w:val="18"/>
                <w:szCs w:val="18"/>
                <w:lang w:eastAsia="en-IE"/>
              </w:rPr>
              <w:t>9</w:t>
            </w:r>
          </w:p>
        </w:tc>
      </w:tr>
    </w:tbl>
    <w:p w14:paraId="5FAFB53B" w14:textId="3705558A" w:rsidR="00EB70E0" w:rsidRPr="005F4295" w:rsidRDefault="00EB70E0" w:rsidP="000F313C">
      <w:pPr>
        <w:pStyle w:val="TableNotes"/>
        <w:ind w:left="284" w:hanging="284"/>
        <w:rPr>
          <w:b/>
          <w:spacing w:val="1"/>
        </w:rPr>
      </w:pPr>
      <w:r w:rsidRPr="005F4295">
        <w:rPr>
          <w:rFonts w:ascii="EC Square Sans Pro" w:hAnsi="EC Square Sans Pro"/>
          <w:noProof/>
        </w:rPr>
        <w:t>(*)</w:t>
      </w:r>
      <w:r w:rsidRPr="005F4295">
        <w:rPr>
          <w:rFonts w:ascii="EC Square Sans Pro" w:hAnsi="EC Square Sans Pro"/>
          <w:noProof/>
        </w:rPr>
        <w:tab/>
        <w:t>For cohesion funds</w:t>
      </w:r>
      <w:r w:rsidR="008A3888" w:rsidRPr="005F4295">
        <w:rPr>
          <w:rFonts w:ascii="EC Square Sans Pro" w:hAnsi="EC Square Sans Pro"/>
          <w:noProof/>
        </w:rPr>
        <w:t>,</w:t>
      </w:r>
      <w:r w:rsidRPr="005F4295">
        <w:rPr>
          <w:rFonts w:ascii="EC Square Sans Pro" w:hAnsi="EC Square Sans Pro"/>
          <w:noProof/>
        </w:rPr>
        <w:t xml:space="preserve"> the amounts presented in the table above concern </w:t>
      </w:r>
      <w:r w:rsidRPr="005F4295">
        <w:rPr>
          <w:rStyle w:val="Bold"/>
          <w:b w:val="0"/>
        </w:rPr>
        <w:t xml:space="preserve">net financial corrections applied in respect of pre-2014 </w:t>
      </w:r>
      <w:r w:rsidR="00375E8A" w:rsidRPr="005F4295">
        <w:rPr>
          <w:rStyle w:val="Bold"/>
          <w:b w:val="0"/>
          <w:bCs/>
          <w:noProof/>
        </w:rPr>
        <w:t>a</w:t>
      </w:r>
      <w:r w:rsidR="00BE5BFA" w:rsidRPr="005F4295">
        <w:rPr>
          <w:rStyle w:val="Bold"/>
          <w:b w:val="0"/>
          <w:bCs/>
          <w:noProof/>
        </w:rPr>
        <w:t>nd</w:t>
      </w:r>
      <w:r w:rsidR="00375E8A" w:rsidRPr="005F4295">
        <w:rPr>
          <w:rStyle w:val="Bold"/>
          <w:b w:val="0"/>
        </w:rPr>
        <w:t xml:space="preserve"> on the 2014-2020 </w:t>
      </w:r>
      <w:r w:rsidR="000F313C" w:rsidRPr="005F4295">
        <w:rPr>
          <w:rStyle w:val="Bold"/>
          <w:b w:val="0"/>
        </w:rPr>
        <w:t>programmes.</w:t>
      </w:r>
    </w:p>
    <w:p w14:paraId="72C87CAF" w14:textId="4F56B612" w:rsidR="00EB70E0" w:rsidRPr="005F4295" w:rsidRDefault="00EB70E0" w:rsidP="00BE45A5">
      <w:pPr>
        <w:pStyle w:val="TableNotes"/>
        <w:tabs>
          <w:tab w:val="left" w:pos="4536"/>
        </w:tabs>
        <w:ind w:left="283"/>
        <w:rPr>
          <w:rFonts w:ascii="EC Square Sans Pro" w:hAnsi="EC Square Sans Pro"/>
          <w:noProof/>
        </w:rPr>
      </w:pPr>
      <w:r w:rsidRPr="005F4295">
        <w:rPr>
          <w:rFonts w:ascii="EC Square Sans Pro" w:hAnsi="EC Square Sans Pro"/>
          <w:noProof/>
        </w:rPr>
        <w:t>During the 2000</w:t>
      </w:r>
      <w:r w:rsidRPr="005F4295">
        <w:rPr>
          <w:rFonts w:ascii="Cambria Math" w:hAnsi="Cambria Math" w:cs="Cambria Math"/>
          <w:noProof/>
        </w:rPr>
        <w:t>‐</w:t>
      </w:r>
      <w:r w:rsidRPr="005F4295">
        <w:rPr>
          <w:rFonts w:ascii="EC Square Sans Pro" w:hAnsi="EC Square Sans Pro"/>
          <w:noProof/>
        </w:rPr>
        <w:t>2006 and 2007</w:t>
      </w:r>
      <w:r w:rsidRPr="005F4295">
        <w:rPr>
          <w:rFonts w:ascii="Cambria Math" w:hAnsi="Cambria Math" w:cs="Cambria Math"/>
          <w:noProof/>
        </w:rPr>
        <w:t>‐</w:t>
      </w:r>
      <w:r w:rsidRPr="005F4295">
        <w:rPr>
          <w:rFonts w:ascii="EC Square Sans Pro" w:hAnsi="EC Square Sans Pro"/>
          <w:noProof/>
        </w:rPr>
        <w:t>2013 programming periods</w:t>
      </w:r>
      <w:r w:rsidR="00BE5BFA" w:rsidRPr="005F4295">
        <w:rPr>
          <w:rFonts w:ascii="EC Square Sans Pro" w:hAnsi="EC Square Sans Pro"/>
          <w:noProof/>
        </w:rPr>
        <w:t>,</w:t>
      </w:r>
      <w:r w:rsidRPr="005F4295">
        <w:rPr>
          <w:rFonts w:ascii="EC Square Sans Pro" w:hAnsi="EC Square Sans Pro"/>
          <w:noProof/>
        </w:rPr>
        <w:t xml:space="preserve"> the applicable legislation allowed</w:t>
      </w:r>
      <w:r w:rsidRPr="005F4295" w:rsidDel="007C0ED7">
        <w:rPr>
          <w:rFonts w:ascii="EC Square Sans Pro" w:hAnsi="EC Square Sans Pro"/>
          <w:noProof/>
        </w:rPr>
        <w:t xml:space="preserve"> </w:t>
      </w:r>
      <w:r w:rsidRPr="005F4295">
        <w:rPr>
          <w:rFonts w:ascii="EC Square Sans Pro" w:hAnsi="EC Square Sans Pro"/>
          <w:noProof/>
        </w:rPr>
        <w:t>Member States to replace irregular expenditure with new expenditure if they took the necessary corrective action and applied the related financial corrections (confirmed financial corrections). However</w:t>
      </w:r>
      <w:r w:rsidR="00BE5BFA" w:rsidRPr="005F4295">
        <w:rPr>
          <w:rFonts w:ascii="EC Square Sans Pro" w:hAnsi="EC Square Sans Pro"/>
          <w:noProof/>
        </w:rPr>
        <w:t>,</w:t>
      </w:r>
      <w:r w:rsidRPr="005F4295">
        <w:rPr>
          <w:rFonts w:ascii="EC Square Sans Pro" w:hAnsi="EC Square Sans Pro"/>
          <w:noProof/>
        </w:rPr>
        <w:t xml:space="preserve"> if the Member States did not have such additional expenditure to declare</w:t>
      </w:r>
      <w:r w:rsidR="00BE5BFA" w:rsidRPr="005F4295">
        <w:rPr>
          <w:rFonts w:ascii="EC Square Sans Pro" w:hAnsi="EC Square Sans Pro"/>
          <w:noProof/>
        </w:rPr>
        <w:t>,</w:t>
      </w:r>
      <w:r w:rsidRPr="005F4295">
        <w:rPr>
          <w:rFonts w:ascii="EC Square Sans Pro" w:hAnsi="EC Square Sans Pro"/>
          <w:noProof/>
        </w:rPr>
        <w:t xml:space="preserve"> the financial corrections became (at least in part) net corrections.</w:t>
      </w:r>
    </w:p>
    <w:p w14:paraId="10644721" w14:textId="585DD883" w:rsidR="00EB70E0" w:rsidRPr="005F4295" w:rsidRDefault="00EB70E0" w:rsidP="00EB70E0">
      <w:pPr>
        <w:pStyle w:val="TableNotes"/>
        <w:ind w:left="283"/>
        <w:rPr>
          <w:rFonts w:ascii="EC Square Sans Pro" w:hAnsi="EC Square Sans Pro"/>
          <w:noProof/>
        </w:rPr>
      </w:pPr>
      <w:r w:rsidRPr="005F4295">
        <w:rPr>
          <w:rFonts w:ascii="EC Square Sans Pro" w:hAnsi="EC Square Sans Pro"/>
          <w:noProof/>
        </w:rPr>
        <w:t>Net financial corrections also originate from Commission decisions (</w:t>
      </w:r>
      <w:r w:rsidRPr="005F4295">
        <w:rPr>
          <w:rFonts w:ascii="EC Square Sans Pro" w:hAnsi="EC Square Sans Pro"/>
          <w:i/>
        </w:rPr>
        <w:t>‘</w:t>
      </w:r>
      <w:r w:rsidRPr="005F4295">
        <w:rPr>
          <w:rStyle w:val="amprcharItalic"/>
          <w:rFonts w:ascii="EC Square Sans Pro" w:hAnsi="EC Square Sans Pro"/>
          <w:i w:val="0"/>
        </w:rPr>
        <w:t>decided’</w:t>
      </w:r>
      <w:r w:rsidRPr="005F4295">
        <w:rPr>
          <w:rFonts w:ascii="EC Square Sans Pro" w:hAnsi="EC Square Sans Pro"/>
          <w:noProof/>
        </w:rPr>
        <w:t xml:space="preserve"> financial corrections</w:t>
      </w:r>
      <w:r w:rsidRPr="005F4295">
        <w:rPr>
          <w:rFonts w:ascii="EC Square Sans Pro" w:hAnsi="EC Square Sans Pro"/>
        </w:rPr>
        <w:t>)</w:t>
      </w:r>
      <w:r w:rsidR="00BD5B84" w:rsidRPr="005F4295">
        <w:rPr>
          <w:rFonts w:ascii="EC Square Sans Pro" w:hAnsi="EC Square Sans Pro"/>
        </w:rPr>
        <w:t>,</w:t>
      </w:r>
      <w:r w:rsidRPr="005F4295">
        <w:rPr>
          <w:rFonts w:ascii="EC Square Sans Pro" w:hAnsi="EC Square Sans Pro"/>
          <w:noProof/>
        </w:rPr>
        <w:t xml:space="preserve"> which always ha</w:t>
      </w:r>
      <w:r w:rsidR="00462319" w:rsidRPr="005F4295">
        <w:rPr>
          <w:rFonts w:ascii="EC Square Sans Pro" w:hAnsi="EC Square Sans Pro"/>
          <w:noProof/>
        </w:rPr>
        <w:t>ve</w:t>
      </w:r>
      <w:r w:rsidRPr="005F4295">
        <w:rPr>
          <w:rFonts w:ascii="EC Square Sans Pro" w:hAnsi="EC Square Sans Pro"/>
          <w:noProof/>
        </w:rPr>
        <w:t xml:space="preserve"> a direct and net impact on the Member State</w:t>
      </w:r>
      <w:r w:rsidR="00BD5B84" w:rsidRPr="005F4295">
        <w:rPr>
          <w:rFonts w:ascii="EC Square Sans Pro" w:hAnsi="EC Square Sans Pro"/>
          <w:noProof/>
        </w:rPr>
        <w:t>,</w:t>
      </w:r>
      <w:r w:rsidRPr="005F4295">
        <w:rPr>
          <w:rFonts w:ascii="EC Square Sans Pro" w:hAnsi="EC Square Sans Pro"/>
          <w:noProof/>
        </w:rPr>
        <w:t xml:space="preserve"> as it was not possible to reuse the corrected amount for other eligible operations and the Member States had to return the financial corrections amounts to the EU budget.</w:t>
      </w:r>
    </w:p>
    <w:p w14:paraId="720972B6" w14:textId="23480052" w:rsidR="00EB70E0" w:rsidRPr="005F4295" w:rsidRDefault="00EB70E0" w:rsidP="00EB70E0">
      <w:pPr>
        <w:pStyle w:val="TableNotes"/>
        <w:ind w:left="283"/>
        <w:rPr>
          <w:rFonts w:ascii="EC Square Sans Pro" w:hAnsi="EC Square Sans Pro"/>
          <w:noProof/>
        </w:rPr>
      </w:pPr>
      <w:r w:rsidRPr="005F4295">
        <w:rPr>
          <w:rFonts w:ascii="EC Square Sans Pro" w:hAnsi="EC Square Sans Pro"/>
          <w:noProof/>
        </w:rPr>
        <w:t>In both cases of net financial corrections</w:t>
      </w:r>
      <w:r w:rsidR="00BD5B84" w:rsidRPr="005F4295">
        <w:rPr>
          <w:rFonts w:ascii="EC Square Sans Pro" w:hAnsi="EC Square Sans Pro"/>
          <w:noProof/>
        </w:rPr>
        <w:t>,</w:t>
      </w:r>
      <w:r w:rsidRPr="005F4295">
        <w:rPr>
          <w:rFonts w:ascii="EC Square Sans Pro" w:hAnsi="EC Square Sans Pro"/>
          <w:noProof/>
        </w:rPr>
        <w:t xml:space="preserve"> the operational programmes’ envelopes were reduced and the Member States had to pay the amounts back to the EU budget (</w:t>
      </w:r>
      <w:r w:rsidRPr="005F4295">
        <w:rPr>
          <w:rStyle w:val="Bold"/>
          <w:b w:val="0"/>
        </w:rPr>
        <w:t>implementation by recovery order issued by the Commission</w:t>
      </w:r>
      <w:r w:rsidRPr="005F4295">
        <w:rPr>
          <w:rFonts w:ascii="Calibri" w:hAnsi="Calibri" w:cs="Calibri"/>
          <w:b/>
          <w:noProof/>
        </w:rPr>
        <w:t> </w:t>
      </w:r>
      <w:r w:rsidRPr="005F4295">
        <w:rPr>
          <w:rFonts w:ascii="EC Square Sans Pro" w:hAnsi="EC Square Sans Pro"/>
          <w:b/>
        </w:rPr>
        <w:t>–</w:t>
      </w:r>
      <w:r w:rsidRPr="005F4295">
        <w:rPr>
          <w:rFonts w:ascii="EC Square Sans Pro" w:hAnsi="EC Square Sans Pro"/>
          <w:noProof/>
        </w:rPr>
        <w:t xml:space="preserve"> column</w:t>
      </w:r>
      <w:r w:rsidRPr="005F4295">
        <w:rPr>
          <w:rFonts w:ascii="Calibri" w:hAnsi="Calibri" w:cs="Calibri"/>
          <w:noProof/>
        </w:rPr>
        <w:t> </w:t>
      </w:r>
      <w:r w:rsidRPr="005F4295">
        <w:rPr>
          <w:rFonts w:ascii="EC Square Sans Pro" w:hAnsi="EC Square Sans Pro"/>
          <w:noProof/>
        </w:rPr>
        <w:t>a) and/or at closure they received a lower overall funding envelope (</w:t>
      </w:r>
      <w:r w:rsidRPr="005F4295">
        <w:rPr>
          <w:rStyle w:val="Bold"/>
          <w:b w:val="0"/>
        </w:rPr>
        <w:t>implementation by decommitment</w:t>
      </w:r>
      <w:r w:rsidRPr="005F4295">
        <w:rPr>
          <w:rFonts w:ascii="Calibri" w:hAnsi="Calibri" w:cs="Calibri"/>
          <w:b/>
          <w:noProof/>
        </w:rPr>
        <w:t> </w:t>
      </w:r>
      <w:r w:rsidRPr="005F4295">
        <w:rPr>
          <w:rFonts w:ascii="EC Square Sans Pro" w:hAnsi="EC Square Sans Pro"/>
          <w:noProof/>
        </w:rPr>
        <w:t>– column</w:t>
      </w:r>
      <w:r w:rsidRPr="005F4295">
        <w:rPr>
          <w:rFonts w:ascii="Calibri" w:hAnsi="Calibri" w:cs="Calibri"/>
          <w:noProof/>
        </w:rPr>
        <w:t> </w:t>
      </w:r>
      <w:r w:rsidRPr="005F4295">
        <w:rPr>
          <w:rFonts w:ascii="EC Square Sans Pro" w:hAnsi="EC Square Sans Pro"/>
          <w:noProof/>
        </w:rPr>
        <w:t>b).</w:t>
      </w:r>
    </w:p>
    <w:p w14:paraId="6F829305" w14:textId="046C0970" w:rsidR="00EB70E0" w:rsidRPr="005F4295" w:rsidRDefault="00EB70E0" w:rsidP="00EB70E0">
      <w:pPr>
        <w:pStyle w:val="TableNotes"/>
        <w:rPr>
          <w:rFonts w:ascii="EC Square Sans Pro" w:hAnsi="EC Square Sans Pro"/>
          <w:noProof/>
        </w:rPr>
      </w:pPr>
      <w:r w:rsidRPr="005F4295">
        <w:rPr>
          <w:rFonts w:ascii="EC Square Sans Pro" w:hAnsi="EC Square Sans Pro"/>
          <w:noProof/>
        </w:rPr>
        <w:t>NB: Due to the rounding of figures to the nearest million</w:t>
      </w:r>
      <w:r w:rsidR="00A53569" w:rsidRPr="005F4295">
        <w:rPr>
          <w:rFonts w:ascii="Calibri" w:hAnsi="Calibri" w:cs="Calibri"/>
          <w:noProof/>
        </w:rPr>
        <w:t xml:space="preserve"> </w:t>
      </w:r>
      <w:r w:rsidRPr="005F4295">
        <w:rPr>
          <w:rFonts w:ascii="EC Square Sans Pro" w:hAnsi="EC Square Sans Pro"/>
          <w:noProof/>
        </w:rPr>
        <w:t>EUR</w:t>
      </w:r>
      <w:r w:rsidR="00A53569" w:rsidRPr="005F4295">
        <w:rPr>
          <w:rFonts w:ascii="EC Square Sans Pro" w:hAnsi="EC Square Sans Pro"/>
          <w:noProof/>
        </w:rPr>
        <w:t>,</w:t>
      </w:r>
      <w:r w:rsidRPr="005F4295">
        <w:rPr>
          <w:rFonts w:ascii="EC Square Sans Pro" w:hAnsi="EC Square Sans Pro"/>
          <w:noProof/>
        </w:rPr>
        <w:t xml:space="preserve"> some financial data in the table above may appear not to add up.</w:t>
      </w:r>
    </w:p>
    <w:p w14:paraId="7F4F1E06" w14:textId="77777777" w:rsidR="00EB70E0" w:rsidRPr="005F4295" w:rsidDel="00983434" w:rsidRDefault="00EB70E0" w:rsidP="00EB70E0">
      <w:pPr>
        <w:pStyle w:val="TableSource"/>
        <w:rPr>
          <w:noProof/>
          <w:szCs w:val="16"/>
        </w:rPr>
      </w:pPr>
      <w:r w:rsidRPr="005F4295">
        <w:rPr>
          <w:rStyle w:val="Italic"/>
        </w:rPr>
        <w:t>Source:</w:t>
      </w:r>
      <w:r w:rsidRPr="005F4295">
        <w:rPr>
          <w:noProof/>
        </w:rPr>
        <w:t xml:space="preserve"> European Commission.</w:t>
      </w:r>
    </w:p>
    <w:p w14:paraId="193FCC16" w14:textId="77777777" w:rsidR="00EB70E0" w:rsidRPr="005F4295" w:rsidRDefault="00EB70E0" w:rsidP="00EB70E0">
      <w:pPr>
        <w:suppressAutoHyphens w:val="0"/>
        <w:rPr>
          <w:rFonts w:eastAsia="SimSun"/>
          <w:sz w:val="16"/>
        </w:rPr>
      </w:pPr>
      <w:r w:rsidRPr="005F4295">
        <w:br w:type="page"/>
      </w:r>
    </w:p>
    <w:p w14:paraId="3F851DDE" w14:textId="77777777" w:rsidR="00EB70E0" w:rsidRPr="005F4295" w:rsidRDefault="00EB70E0" w:rsidP="00EB70E0">
      <w:pPr>
        <w:pStyle w:val="TableNote"/>
        <w:rPr>
          <w:noProof/>
          <w:sz w:val="20"/>
          <w:highlight w:val="lightGray"/>
        </w:rPr>
        <w:sectPr w:rsidR="00EB70E0" w:rsidRPr="005F4295" w:rsidSect="00EB70E0">
          <w:headerReference w:type="even" r:id="rId56"/>
          <w:headerReference w:type="default" r:id="rId57"/>
          <w:footerReference w:type="even" r:id="rId58"/>
          <w:footerReference w:type="default" r:id="rId59"/>
          <w:headerReference w:type="first" r:id="rId60"/>
          <w:footerReference w:type="first" r:id="rId61"/>
          <w:endnotePr>
            <w:pos w:val="sectEnd"/>
            <w:numFmt w:val="lowerLetter"/>
          </w:endnotePr>
          <w:pgSz w:w="11907" w:h="16839" w:code="9"/>
          <w:pgMar w:top="1418" w:right="1418" w:bottom="1418" w:left="1418" w:header="680" w:footer="567" w:gutter="0"/>
          <w:cols w:space="720"/>
          <w:docGrid w:linePitch="272"/>
        </w:sectPr>
      </w:pPr>
    </w:p>
    <w:p w14:paraId="70D79820" w14:textId="77777777" w:rsidR="00EB70E0" w:rsidRPr="005F4295" w:rsidRDefault="00EB70E0" w:rsidP="00EB70E0">
      <w:pPr>
        <w:rPr>
          <w:noProof/>
          <w:highlight w:val="lightGray"/>
        </w:rPr>
        <w:sectPr w:rsidR="00EB70E0" w:rsidRPr="005F4295" w:rsidSect="00EB70E0">
          <w:headerReference w:type="even" r:id="rId62"/>
          <w:headerReference w:type="default" r:id="rId63"/>
          <w:footerReference w:type="even" r:id="rId64"/>
          <w:footerReference w:type="default" r:id="rId65"/>
          <w:headerReference w:type="first" r:id="rId66"/>
          <w:footerReference w:type="first" r:id="rId67"/>
          <w:endnotePr>
            <w:pos w:val="sectEnd"/>
            <w:numFmt w:val="lowerLetter"/>
          </w:endnotePr>
          <w:type w:val="oddPage"/>
          <w:pgSz w:w="11907" w:h="16839" w:code="9"/>
          <w:pgMar w:top="1418" w:right="1418" w:bottom="1418" w:left="1418" w:header="680" w:footer="567" w:gutter="0"/>
          <w:cols w:space="720"/>
          <w:docGrid w:linePitch="272"/>
        </w:sectPr>
      </w:pPr>
      <w:r w:rsidRPr="005F4295">
        <w:rPr>
          <w:noProof/>
          <w:highlight w:val="lightGray"/>
        </w:rPr>
        <mc:AlternateContent>
          <mc:Choice Requires="wps">
            <w:drawing>
              <wp:anchor distT="0" distB="0" distL="114300" distR="114300" simplePos="0" relativeHeight="251658246" behindDoc="0" locked="1" layoutInCell="1" allowOverlap="1" wp14:anchorId="6DC23542" wp14:editId="4E821D76">
                <wp:simplePos x="0" y="0"/>
                <wp:positionH relativeFrom="column">
                  <wp:posOffset>2376170</wp:posOffset>
                </wp:positionH>
                <wp:positionV relativeFrom="page">
                  <wp:posOffset>3240405</wp:posOffset>
                </wp:positionV>
                <wp:extent cx="3600000" cy="5040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600000" cy="5040000"/>
                        </a:xfrm>
                        <a:prstGeom prst="rect">
                          <a:avLst/>
                        </a:prstGeom>
                        <a:noFill/>
                        <a:ln w="6350">
                          <a:noFill/>
                        </a:ln>
                      </wps:spPr>
                      <wps:txbx>
                        <w:txbxContent>
                          <w:p w14:paraId="3BB4363E" w14:textId="77777777"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6</w:t>
                            </w:r>
                            <w:r>
                              <w:rPr>
                                <w:rFonts w:ascii="Calibri" w:eastAsiaTheme="minorHAnsi" w:hAnsi="Calibri" w:cs="Calibri"/>
                              </w:rPr>
                              <w:t> </w:t>
                            </w:r>
                            <w:r w:rsidRPr="007F744E">
                              <w:rPr>
                                <w:rFonts w:eastAsiaTheme="minorHAnsi"/>
                              </w:rPr>
                              <w:t xml:space="preserve">– </w:t>
                            </w:r>
                            <w:r w:rsidRPr="00EE19C3">
                              <w:rPr>
                                <w:rFonts w:eastAsiaTheme="minorHAnsi"/>
                              </w:rPr>
                              <w:t>Assurance</w:t>
                            </w:r>
                            <w:r w:rsidRPr="008E4015">
                              <w:rPr>
                                <w:rFonts w:eastAsiaTheme="minorHAnsi"/>
                              </w:rPr>
                              <w:t xml:space="preserve"> provided by the Internal Audit Service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23542" id="Text Box 6" o:spid="_x0000_s1027" type="#_x0000_t202" style="position:absolute;margin-left:187.1pt;margin-top:255.15pt;width:283.45pt;height:396.8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" filled="f" stroked="f" strokeweight=".5pt">
                <v:textbox>
                  <w:txbxContent>
                    <w:p w14:paraId="3BB4363E" w14:textId="77777777"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6</w:t>
                      </w:r>
                      <w:r>
                        <w:rPr>
                          <w:rFonts w:ascii="Calibri" w:eastAsiaTheme="minorHAnsi" w:hAnsi="Calibri" w:cs="Calibri"/>
                        </w:rPr>
                        <w:t> </w:t>
                      </w:r>
                      <w:r w:rsidRPr="007F744E">
                        <w:rPr>
                          <w:rFonts w:eastAsiaTheme="minorHAnsi"/>
                        </w:rPr>
                        <w:t xml:space="preserve">– </w:t>
                      </w:r>
                      <w:r w:rsidRPr="00EE19C3">
                        <w:rPr>
                          <w:rFonts w:eastAsiaTheme="minorHAnsi"/>
                        </w:rPr>
                        <w:t>Assurance</w:t>
                      </w:r>
                      <w:r w:rsidRPr="008E4015">
                        <w:rPr>
                          <w:rFonts w:eastAsiaTheme="minorHAnsi"/>
                        </w:rPr>
                        <w:t xml:space="preserve"> provided by the Internal Audit Service</w:t>
                      </w:r>
                    </w:p>
                  </w:txbxContent>
                </v:textbox>
                <w10:wrap anchory="page"/>
                <w10:anchorlock/>
              </v:shape>
            </w:pict>
          </mc:Fallback>
        </mc:AlternateContent>
      </w:r>
    </w:p>
    <w:p w14:paraId="19F3F299" w14:textId="77777777" w:rsidR="00EB70E0" w:rsidRPr="005F4295" w:rsidRDefault="00EB70E0" w:rsidP="00EB70E0">
      <w:pPr>
        <w:rPr>
          <w:noProof/>
          <w:highlight w:val="lightGray"/>
        </w:rPr>
      </w:pPr>
    </w:p>
    <w:p w14:paraId="3EAE8B82" w14:textId="77777777" w:rsidR="00EB70E0" w:rsidRPr="005F4295" w:rsidRDefault="00EB70E0" w:rsidP="00EB70E0">
      <w:pPr>
        <w:rPr>
          <w:noProof/>
          <w:highlight w:val="lightGray"/>
        </w:rPr>
        <w:sectPr w:rsidR="00EB70E0" w:rsidRPr="005F4295" w:rsidSect="00EB70E0">
          <w:headerReference w:type="even" r:id="rId68"/>
          <w:headerReference w:type="default" r:id="rId69"/>
          <w:footerReference w:type="even" r:id="rId70"/>
          <w:footerReference w:type="default" r:id="rId71"/>
          <w:headerReference w:type="first" r:id="rId72"/>
          <w:footerReference w:type="first" r:id="rId73"/>
          <w:endnotePr>
            <w:pos w:val="sectEnd"/>
            <w:numFmt w:val="lowerLetter"/>
          </w:endnotePr>
          <w:pgSz w:w="11907" w:h="16839" w:code="9"/>
          <w:pgMar w:top="1418" w:right="1418" w:bottom="1418" w:left="1418" w:header="680" w:footer="567" w:gutter="0"/>
          <w:cols w:space="720"/>
          <w:docGrid w:linePitch="272"/>
        </w:sectPr>
      </w:pPr>
    </w:p>
    <w:p w14:paraId="492ACF58" w14:textId="281ED76C" w:rsidR="00EB70E0" w:rsidRPr="005F4295" w:rsidRDefault="00EB70E0" w:rsidP="00EB70E0">
      <w:pPr>
        <w:pStyle w:val="HeadingT-AnnexesL1"/>
        <w:rPr>
          <w:noProof/>
        </w:rPr>
      </w:pPr>
      <w:bookmarkStart w:id="58" w:name="_Toc130821432"/>
      <w:bookmarkStart w:id="59" w:name="_Toc130832075"/>
      <w:bookmarkStart w:id="60" w:name="_Toc166086400"/>
      <w:bookmarkStart w:id="61" w:name="_Toc168585094"/>
      <w:bookmarkStart w:id="62" w:name="_Toc229386276"/>
      <w:bookmarkStart w:id="63" w:name="_Toc231914920"/>
      <w:bookmarkStart w:id="64" w:name="_Toc231480274"/>
      <w:r w:rsidRPr="005F4295">
        <w:rPr>
          <w:noProof/>
        </w:rPr>
        <w:t>Annex</w:t>
      </w:r>
      <w:r w:rsidRPr="005F4295">
        <w:rPr>
          <w:rFonts w:ascii="Calibri" w:hAnsi="Calibri" w:cs="Calibri"/>
          <w:noProof/>
        </w:rPr>
        <w:t> </w:t>
      </w:r>
      <w:r w:rsidRPr="005F4295">
        <w:rPr>
          <w:noProof/>
        </w:rPr>
        <w:t>6</w:t>
      </w:r>
      <w:r w:rsidRPr="005F4295">
        <w:rPr>
          <w:rFonts w:ascii="Calibri" w:hAnsi="Calibri" w:cs="Calibri"/>
          <w:noProof/>
        </w:rPr>
        <w:t> </w:t>
      </w:r>
      <w:r w:rsidRPr="005F4295">
        <w:rPr>
          <w:noProof/>
        </w:rPr>
        <w:t xml:space="preserve">– </w:t>
      </w:r>
      <w:bookmarkEnd w:id="58"/>
      <w:bookmarkEnd w:id="59"/>
      <w:r w:rsidRPr="005F4295">
        <w:rPr>
          <w:noProof/>
        </w:rPr>
        <w:t>Assurance provided by the Internal Audit Service</w:t>
      </w:r>
      <w:bookmarkEnd w:id="60"/>
      <w:bookmarkEnd w:id="61"/>
      <w:bookmarkEnd w:id="62"/>
      <w:bookmarkEnd w:id="63"/>
      <w:bookmarkEnd w:id="64"/>
    </w:p>
    <w:p w14:paraId="4416330E" w14:textId="248822E5" w:rsidR="004E3B88" w:rsidRPr="005F4295" w:rsidRDefault="004E3B88" w:rsidP="004E3B88">
      <w:pPr>
        <w:rPr>
          <w:noProof/>
        </w:rPr>
      </w:pPr>
      <w:r w:rsidRPr="005F4295">
        <w:rPr>
          <w:noProof/>
        </w:rPr>
        <w:t>The work of the Internal Audit Service, its audit findings and recommendations, and the results of the oversight provided by the Audit Progress Committee contribute to the overall assurance-building process at the European Commission level. For the 2025 reporting year, the Internal Audit Service produced an annual internal audit report, in line with Article</w:t>
      </w:r>
      <w:r w:rsidR="0021287C" w:rsidRPr="005F4295">
        <w:rPr>
          <w:rFonts w:ascii="Calibri" w:hAnsi="Calibri" w:cs="Calibri"/>
          <w:noProof/>
        </w:rPr>
        <w:t> </w:t>
      </w:r>
      <w:r w:rsidRPr="005F4295">
        <w:rPr>
          <w:noProof/>
        </w:rPr>
        <w:t xml:space="preserve">118(4) of the Financial Regulation , which (1) summarised the internal audits completed in 2025, (2) presented the principal recommendations issued in 2025, (3) focused on the overall compliance with the principles of sound financial management and performance, (4) outlined the actions taken by auditees regarding the </w:t>
      </w:r>
      <w:r w:rsidR="00195DF8" w:rsidRPr="005F4295">
        <w:rPr>
          <w:noProof/>
        </w:rPr>
        <w:t>Internal Audit Service’s</w:t>
      </w:r>
      <w:r w:rsidRPr="005F4295">
        <w:rPr>
          <w:noProof/>
        </w:rPr>
        <w:t xml:space="preserve"> recommendations</w:t>
      </w:r>
      <w:r w:rsidR="0021287C" w:rsidRPr="005F4295">
        <w:rPr>
          <w:noProof/>
        </w:rPr>
        <w:t>,</w:t>
      </w:r>
      <w:r w:rsidRPr="005F4295">
        <w:rPr>
          <w:noProof/>
        </w:rPr>
        <w:t xml:space="preserve"> and (5) indicated whether any systemic problems have been detected by the Commission’s financial irregularities panel. </w:t>
      </w:r>
    </w:p>
    <w:p w14:paraId="4583F940" w14:textId="397FB2AC" w:rsidR="004E3B88" w:rsidRPr="005F4295" w:rsidRDefault="004E3B88" w:rsidP="004E3B88">
      <w:pPr>
        <w:rPr>
          <w:noProof/>
          <w:highlight w:val="yellow"/>
        </w:rPr>
      </w:pPr>
      <w:r w:rsidRPr="005F4295">
        <w:rPr>
          <w:noProof/>
        </w:rPr>
        <w:t xml:space="preserve">Through its audit work, the </w:t>
      </w:r>
      <w:r w:rsidR="00195DF8" w:rsidRPr="005F4295">
        <w:rPr>
          <w:noProof/>
        </w:rPr>
        <w:t>Internal Audit Service</w:t>
      </w:r>
      <w:r w:rsidRPr="005F4295">
        <w:rPr>
          <w:noProof/>
        </w:rPr>
        <w:t xml:space="preserve"> adds value to the effective and efficient implementation of risk management, control and governance processes, EU policies, programmes and actions, efficient and economical management of resources, legal and regular spending of the EU budget and compliance with the legal frameworks by the audited entities. In this way, the </w:t>
      </w:r>
      <w:r w:rsidR="00195DF8" w:rsidRPr="005F4295">
        <w:rPr>
          <w:noProof/>
        </w:rPr>
        <w:t>Internal Audit Service</w:t>
      </w:r>
      <w:r w:rsidRPr="005F4295">
        <w:rPr>
          <w:noProof/>
        </w:rPr>
        <w:t xml:space="preserve"> contributes to providing value for money for citizens and thus to increasing public confidence in the E</w:t>
      </w:r>
      <w:r w:rsidR="00195DF8" w:rsidRPr="005F4295">
        <w:rPr>
          <w:noProof/>
        </w:rPr>
        <w:t>U</w:t>
      </w:r>
      <w:r w:rsidRPr="005F4295">
        <w:rPr>
          <w:noProof/>
        </w:rPr>
        <w:t xml:space="preserve"> and enhancing its image</w:t>
      </w:r>
      <w:r w:rsidR="00195DF8" w:rsidRPr="005F4295">
        <w:rPr>
          <w:noProof/>
        </w:rPr>
        <w:t>.</w:t>
      </w:r>
    </w:p>
    <w:p w14:paraId="4F389B06" w14:textId="647819B0" w:rsidR="00EB70E0" w:rsidRPr="005F4295" w:rsidRDefault="005C4F0A" w:rsidP="00186A61">
      <w:pPr>
        <w:pStyle w:val="Heading2"/>
        <w:rPr>
          <w:noProof/>
          <w:highlight w:val="lightGray"/>
        </w:rPr>
      </w:pPr>
      <w:r w:rsidRPr="005F4295">
        <w:rPr>
          <w:noProof/>
        </w:rPr>
        <w:t>Financial management: Internal Auditor’s overall conclusion</w:t>
      </w:r>
    </w:p>
    <w:p w14:paraId="47B0B2A7" w14:textId="2C577DF9" w:rsidR="005C4F0A" w:rsidRPr="005F4295" w:rsidRDefault="00EB374C" w:rsidP="00EB70E0">
      <w:pPr>
        <w:suppressAutoHyphens w:val="0"/>
        <w:rPr>
          <w:noProof/>
        </w:rPr>
      </w:pPr>
      <w:r w:rsidRPr="005F4295">
        <w:rPr>
          <w:noProof/>
        </w:rPr>
        <w:t>Based</w:t>
      </w:r>
      <w:r w:rsidR="00390AF8" w:rsidRPr="005F4295">
        <w:rPr>
          <w:noProof/>
        </w:rPr>
        <w:t xml:space="preserve"> on:</w:t>
      </w:r>
    </w:p>
    <w:p w14:paraId="7F958536" w14:textId="77777777" w:rsidR="009153A5" w:rsidRPr="005F4295" w:rsidRDefault="009153A5" w:rsidP="009153A5">
      <w:pPr>
        <w:pStyle w:val="ListBullet"/>
      </w:pPr>
      <w:r w:rsidRPr="005F4295">
        <w:t>the work done by the Internal Audit Service covering the years 2023-2025, the principal findings and recommendations of which are summarised in its reports and annexes submitted under Article 118(4) of the Financial Regulation issued in parallel to the annual overall conclusion,</w:t>
      </w:r>
    </w:p>
    <w:p w14:paraId="3AB6EA4D" w14:textId="77777777" w:rsidR="007524DB" w:rsidRPr="005F4295" w:rsidRDefault="007524DB" w:rsidP="007524DB">
      <w:pPr>
        <w:pStyle w:val="ListBullet"/>
      </w:pPr>
      <w:r w:rsidRPr="005F4295">
        <w:t>reviews of the related accountability reports provided by management and the assurances given by management in their annual activity reports and annexed declarations of assurance,</w:t>
      </w:r>
    </w:p>
    <w:p w14:paraId="1509D004" w14:textId="484AC55E" w:rsidR="00390AF8" w:rsidRPr="005F4295" w:rsidRDefault="00212C45" w:rsidP="00390AF8">
      <w:pPr>
        <w:pStyle w:val="ListBullet"/>
      </w:pPr>
      <w:r w:rsidRPr="005F4295">
        <w:t>information presented in the draft Annual Management and Performance Report for the EU Budget</w:t>
      </w:r>
      <w:r w:rsidR="000F5960" w:rsidRPr="005F4295">
        <w:t xml:space="preserve"> -</w:t>
      </w:r>
      <w:r w:rsidRPr="005F4295">
        <w:t xml:space="preserve"> financial year 2025 (Volume II, Annexes 2 and 3, and Volume III, Annex 5), the Annual Management and Performance Report for the EU Budget – financial year 2024 (Volume II, Annexes 2 and 3, and Volume III, Annex 5) and the Annual Management and Performance Report for the EU Budget – financial year 2023 (Volume II, Annexes 2 and 3, and Volume III, Annex 5), as part of the integrated set of financial and accountability reports (Article 253 of the Financial Regulation</w:t>
      </w:r>
      <w:r w:rsidR="00465CF1" w:rsidRPr="005F4295">
        <w:rPr>
          <w:rFonts w:cs="Calibri"/>
        </w:rPr>
        <w:t> </w:t>
      </w:r>
      <w:r w:rsidR="00465CF1" w:rsidRPr="005F4295">
        <w:t>(</w:t>
      </w:r>
      <w:r w:rsidR="00465CF1" w:rsidRPr="005F4295">
        <w:rPr>
          <w:rStyle w:val="FootnoteReference"/>
        </w:rPr>
        <w:footnoteReference w:id="28"/>
      </w:r>
      <w:r w:rsidR="00465CF1" w:rsidRPr="005F4295">
        <w:t>))</w:t>
      </w:r>
    </w:p>
    <w:p w14:paraId="6953398C" w14:textId="77777777" w:rsidR="00195429" w:rsidRPr="005F4295" w:rsidRDefault="00195429" w:rsidP="00195429">
      <w:pPr>
        <w:pStyle w:val="ListBullet"/>
      </w:pPr>
      <w:r w:rsidRPr="005F4295">
        <w:t>information from other sources, the European Court of Auditors’ reports,</w:t>
      </w:r>
    </w:p>
    <w:p w14:paraId="13E37687" w14:textId="689B7D00" w:rsidR="00195429" w:rsidRPr="005F4295" w:rsidRDefault="005C425A" w:rsidP="005C425A">
      <w:r w:rsidRPr="005F4295">
        <w:t>and taking into account that:</w:t>
      </w:r>
    </w:p>
    <w:p w14:paraId="085D78EB" w14:textId="5F259F7E" w:rsidR="005C425A" w:rsidRPr="005F4295" w:rsidRDefault="00835E54" w:rsidP="005C425A">
      <w:pPr>
        <w:pStyle w:val="ListBullet"/>
      </w:pPr>
      <w:r w:rsidRPr="005F4295">
        <w:t>management has adopted plans which the Internal Audit Service considers are adequate to address the residual risks identified by auditors, and to implement the accepted recommendations made by the Internal Audit Service</w:t>
      </w:r>
      <w:r w:rsidR="005976F2" w:rsidRPr="005F4295">
        <w:rPr>
          <w:rFonts w:cs="Calibri"/>
        </w:rPr>
        <w:t> </w:t>
      </w:r>
      <w:r w:rsidR="005976F2" w:rsidRPr="005F4295">
        <w:t>(</w:t>
      </w:r>
      <w:r w:rsidR="005976F2" w:rsidRPr="005F4295">
        <w:rPr>
          <w:rStyle w:val="FootnoteReference"/>
        </w:rPr>
        <w:footnoteReference w:id="29"/>
      </w:r>
      <w:r w:rsidR="005976F2" w:rsidRPr="005F4295">
        <w:t>)</w:t>
      </w:r>
      <w:r w:rsidR="009E67BE" w:rsidRPr="005F4295">
        <w:t>,</w:t>
      </w:r>
      <w:r w:rsidR="00AA6197" w:rsidRPr="005F4295">
        <w:t xml:space="preserve"> and</w:t>
      </w:r>
    </w:p>
    <w:p w14:paraId="3FF78E03" w14:textId="77777777" w:rsidR="00C24DBB" w:rsidRPr="005F4295" w:rsidRDefault="00C24DBB" w:rsidP="00C24DBB">
      <w:pPr>
        <w:pStyle w:val="ListBullet"/>
      </w:pPr>
      <w:r w:rsidRPr="005F4295">
        <w:t>the implementation of these plans is monitored through reports by management and through follow-up audits by the Internal Audit Service.</w:t>
      </w:r>
    </w:p>
    <w:p w14:paraId="0EF5CB94" w14:textId="40D810CA" w:rsidR="009E67BE" w:rsidRPr="005F4295" w:rsidRDefault="00846B08" w:rsidP="00C24DBB">
      <w:r w:rsidRPr="005F4295">
        <w:t>The Internal Auditor considers that in 2025 the Commission put into place governance, risk management and internal control procedures which, taken as a whole, are adequate to give reasonable assurance over the achievement of its financial objectives, with the exception of those areas of financial management over which authorising officers by delegation have expressed reservations in their declaration of assurance.</w:t>
      </w:r>
    </w:p>
    <w:p w14:paraId="4DD21763" w14:textId="77777777" w:rsidR="00696D37" w:rsidRPr="005F4295" w:rsidRDefault="00696D37" w:rsidP="00696D37">
      <w:r w:rsidRPr="005F4295">
        <w:t xml:space="preserve">Without further qualifying the overall conclusion for 2025, the Internal Auditor draws the attention to the need to </w:t>
      </w:r>
      <w:r w:rsidRPr="005F4295">
        <w:rPr>
          <w:b/>
          <w:bCs/>
        </w:rPr>
        <w:t>ensure that the control and assurance framework remains robust, proportionate and effective to manage risks to an acceptable level</w:t>
      </w:r>
      <w:r w:rsidRPr="005F4295">
        <w:t xml:space="preserve">, especially in the context of concurrent priorities and continuous pressure on resources. This is particularly pertinent in view of the need to accelerate implementation and ensure a timely closure of the current programmes while preparing for the upcoming multi-annual financial framework, which will introduce further innovative instruments and delivery models.   </w:t>
      </w:r>
    </w:p>
    <w:p w14:paraId="0FD821A9" w14:textId="77777777" w:rsidR="00696D37" w:rsidRPr="005F4295" w:rsidRDefault="00696D37" w:rsidP="00696D37">
      <w:r w:rsidRPr="005F4295">
        <w:t xml:space="preserve">The challenging socio-economic and political environment and need to respond to the various crises during the past few years required rapid mobilisation of unprecedented amounts of resources and funding, and the creation of novel performance-based instruments. Delays in </w:t>
      </w:r>
      <w:r w:rsidRPr="005F4295">
        <w:rPr>
          <w:b/>
          <w:bCs/>
        </w:rPr>
        <w:t>finalising and implementing the control and audit strategies for the current programming period</w:t>
      </w:r>
      <w:r w:rsidRPr="005F4295">
        <w:t xml:space="preserve">, as a result of the necessary adaptations to the revised delivery models, should be given due attention. At the same time, the Commission has to continue the simplification efforts to ensure that EU funding remains accessible and delivers results while ensuring sound financial management. </w:t>
      </w:r>
    </w:p>
    <w:p w14:paraId="71900B10" w14:textId="77777777" w:rsidR="00696D37" w:rsidRPr="005F4295" w:rsidRDefault="00696D37" w:rsidP="00696D37">
      <w:r w:rsidRPr="005F4295">
        <w:t xml:space="preserve">In the context of a major overhaul of funding and delivery models </w:t>
      </w:r>
      <w:r w:rsidRPr="005F4295">
        <w:rPr>
          <w:b/>
          <w:bCs/>
        </w:rPr>
        <w:t>under the next multi-annual financial framework</w:t>
      </w:r>
      <w:r w:rsidRPr="005F4295">
        <w:t xml:space="preserve">, the Commission should make use of the lessons learned from the current 7-year period and </w:t>
      </w:r>
      <w:r w:rsidRPr="005F4295">
        <w:rPr>
          <w:b/>
          <w:bCs/>
        </w:rPr>
        <w:t>ensure that the assurance model is defined from the outset</w:t>
      </w:r>
      <w:r w:rsidRPr="005F4295">
        <w:t xml:space="preserve">, in order for control strategies for individual instruments to be developed in good time before implementation starts. </w:t>
      </w:r>
    </w:p>
    <w:p w14:paraId="3E054745" w14:textId="77777777" w:rsidR="00696D37" w:rsidRPr="005F4295" w:rsidRDefault="00696D37" w:rsidP="00696D37">
      <w:r w:rsidRPr="005F4295">
        <w:t xml:space="preserve">The continued shift towards performance-based delivery models will require a </w:t>
      </w:r>
      <w:r w:rsidRPr="005F4295">
        <w:rPr>
          <w:b/>
          <w:bCs/>
        </w:rPr>
        <w:t>revised approach to enable the Commission to provide assurance on the legality and regularity of expenditure</w:t>
      </w:r>
      <w:r w:rsidRPr="005F4295">
        <w:t xml:space="preserve">, including where necessary support to the Member States, adjustments to the organisation of the audit function and revision of traditional legality and regularity indicators, such as the error rate. </w:t>
      </w:r>
    </w:p>
    <w:p w14:paraId="6B8BEF9D" w14:textId="77777777" w:rsidR="00696D37" w:rsidRPr="005F4295" w:rsidRDefault="00696D37" w:rsidP="00696D37">
      <w:r w:rsidRPr="005F4295">
        <w:t xml:space="preserve">Continued attention needs to be paid to proportionate and effective controls for </w:t>
      </w:r>
      <w:r w:rsidRPr="005F4295">
        <w:rPr>
          <w:b/>
          <w:bCs/>
        </w:rPr>
        <w:t>the oversight of budget amounts implemented by the Member States and/or third parties</w:t>
      </w:r>
      <w:r w:rsidRPr="005F4295">
        <w:t xml:space="preserve">, considering the increased reliance the Commission places on them. </w:t>
      </w:r>
    </w:p>
    <w:p w14:paraId="72745A29" w14:textId="77777777" w:rsidR="00696D37" w:rsidRPr="005F4295" w:rsidRDefault="00696D37" w:rsidP="00696D37">
      <w:r w:rsidRPr="005F4295">
        <w:t xml:space="preserve">In addition, the expanding financial operations of the Union highlight the importance of a </w:t>
      </w:r>
      <w:r w:rsidRPr="005F4295">
        <w:rPr>
          <w:b/>
          <w:bCs/>
        </w:rPr>
        <w:t>robust and well-integrated risk management framework and strong oversight of loans, budgetary guarantees and financing through the issuance of debt securities</w:t>
      </w:r>
      <w:r w:rsidRPr="005F4295">
        <w:t>.</w:t>
      </w:r>
    </w:p>
    <w:p w14:paraId="57C76357" w14:textId="54E36C93" w:rsidR="00AB7B40" w:rsidRDefault="00696D37" w:rsidP="00AB7B40">
      <w:r w:rsidRPr="005F4295">
        <w:t xml:space="preserve">Finally, to ensure delivery of its objectives relating to accountability, sound financial management and protection of the EU budget, the Commission should continue efforts and seize opportunities to </w:t>
      </w:r>
      <w:r w:rsidRPr="005F4295">
        <w:rPr>
          <w:b/>
          <w:bCs/>
        </w:rPr>
        <w:t>optimise the use of limited resources</w:t>
      </w:r>
      <w:r w:rsidRPr="005F4295">
        <w:t xml:space="preserve"> and to </w:t>
      </w:r>
      <w:r w:rsidRPr="005F4295">
        <w:rPr>
          <w:b/>
          <w:bCs/>
        </w:rPr>
        <w:t>adjust its organisation, processes and operations</w:t>
      </w:r>
      <w:r w:rsidRPr="005F4295">
        <w:t>. The design of new assurance models and the individual control strategies should be accompanied by a definition of adequate human resources, in numbers, skills and timing, and a strategy for effectively leveraging appropriate technological means, while carefully managing the risks they introduce.</w:t>
      </w:r>
      <w:r w:rsidR="00AB7B40">
        <w:br w:type="page"/>
      </w:r>
    </w:p>
    <w:p w14:paraId="3819A13F" w14:textId="1767AD11" w:rsidR="00186A61" w:rsidRPr="005F4295" w:rsidRDefault="00EF45F1" w:rsidP="00EF45F1">
      <w:pPr>
        <w:pStyle w:val="Heading2"/>
      </w:pPr>
      <w:r w:rsidRPr="005F4295">
        <w:rPr>
          <w:noProof/>
        </w:rPr>
        <w:t>Performance: results of audits by the Internal Audit Service</w:t>
      </w:r>
    </w:p>
    <w:p w14:paraId="3E132552" w14:textId="77777777" w:rsidR="00A6368E" w:rsidRPr="005F4295" w:rsidRDefault="00A6368E" w:rsidP="00A6368E">
      <w:pPr>
        <w:suppressAutoHyphens w:val="0"/>
        <w:rPr>
          <w:noProof/>
        </w:rPr>
      </w:pPr>
      <w:r w:rsidRPr="005F4295">
        <w:rPr>
          <w:noProof/>
        </w:rPr>
        <w:t xml:space="preserve">The Internal Audit Service’s 2025 engagements indicate that the Commission’s financial management, operational and support processes remain robust, though certain areas require attention to ensure compliance and long-term effectiveness. </w:t>
      </w:r>
    </w:p>
    <w:p w14:paraId="7F8B863D" w14:textId="77777777" w:rsidR="00A6368E" w:rsidRPr="005F4295" w:rsidRDefault="00A6368E" w:rsidP="00A6368E">
      <w:pPr>
        <w:suppressAutoHyphens w:val="0"/>
        <w:rPr>
          <w:noProof/>
        </w:rPr>
      </w:pPr>
      <w:r w:rsidRPr="005F4295">
        <w:rPr>
          <w:noProof/>
        </w:rPr>
        <w:t xml:space="preserve">While financial management systems are generally effective, some vulnerabilities in procurement and grant management, notably assurance and audit strategies, require to be addressed. Audits of funding programmes revealed a need for greater consistency in performance measurement, where clearer indicators and streamlined processes could enhance transparency and impact, in particular in view of moving towards performance-based delivery models. Similarly, the operational performance would benefit from clearer definition of roles and responsibilities of parties involved and from the sound management of risks related to the support systems, mainly IT. Finally, considering the reliance of the Commission on the talent and technological resources, the systems for selection and recruitment of staff, for IT project management and for cybersecurity management require strengthening as key founding blocks for modern public administration. </w:t>
      </w:r>
    </w:p>
    <w:p w14:paraId="44B7D3FD" w14:textId="4ED0E768" w:rsidR="00EF45F1" w:rsidRPr="005F4295" w:rsidRDefault="00785050" w:rsidP="00785050">
      <w:pPr>
        <w:pStyle w:val="Heading3"/>
        <w:rPr>
          <w:noProof/>
          <w:highlight w:val="lightGray"/>
        </w:rPr>
      </w:pPr>
      <w:r w:rsidRPr="005F4295">
        <w:rPr>
          <w:noProof/>
        </w:rPr>
        <w:t>Financial processes</w:t>
      </w:r>
    </w:p>
    <w:p w14:paraId="315AE6B1" w14:textId="0F5E649E" w:rsidR="00EF45F1" w:rsidRPr="005F4295" w:rsidRDefault="00D079F0" w:rsidP="00EB70E0">
      <w:pPr>
        <w:suppressAutoHyphens w:val="0"/>
      </w:pPr>
      <w:r w:rsidRPr="005F4295">
        <w:rPr>
          <w:noProof/>
        </w:rPr>
        <w:t xml:space="preserve">The </w:t>
      </w:r>
      <w:r w:rsidR="00DF1ABC" w:rsidRPr="005F4295">
        <w:rPr>
          <w:noProof/>
        </w:rPr>
        <w:t>Internal Audit Service</w:t>
      </w:r>
      <w:r w:rsidRPr="005F4295">
        <w:rPr>
          <w:noProof/>
        </w:rPr>
        <w:t xml:space="preserve"> audits consisted in providing assurance to the College</w:t>
      </w:r>
      <w:r w:rsidR="0003236C" w:rsidRPr="005F4295">
        <w:rPr>
          <w:noProof/>
        </w:rPr>
        <w:t xml:space="preserve"> of Commissioners</w:t>
      </w:r>
      <w:r w:rsidRPr="005F4295">
        <w:rPr>
          <w:noProof/>
        </w:rPr>
        <w:t xml:space="preserve">, as well as to heads of audited entities, on the efficient and effective implementation of internal controls on financial management. Five audits carried out by the </w:t>
      </w:r>
      <w:r w:rsidR="002A434A" w:rsidRPr="005F4295">
        <w:rPr>
          <w:noProof/>
        </w:rPr>
        <w:t xml:space="preserve">Internal Audit Service </w:t>
      </w:r>
      <w:r w:rsidRPr="005F4295">
        <w:rPr>
          <w:noProof/>
        </w:rPr>
        <w:t>did not reveal any major weaknesses in the control systems under examination and the other 13 audits revealed a need for improvements and led to the issuance of critical and very important recommendations.</w:t>
      </w:r>
    </w:p>
    <w:p w14:paraId="48187D79" w14:textId="3346AAE9" w:rsidR="00D079F0" w:rsidRPr="005F4295" w:rsidRDefault="00741CC3" w:rsidP="00EB70E0">
      <w:pPr>
        <w:suppressAutoHyphens w:val="0"/>
      </w:pPr>
      <w:r w:rsidRPr="005F4295">
        <w:rPr>
          <w:noProof/>
        </w:rPr>
        <w:t xml:space="preserve">In the field of </w:t>
      </w:r>
      <w:r w:rsidRPr="005F4295">
        <w:rPr>
          <w:b/>
          <w:bCs/>
          <w:noProof/>
        </w:rPr>
        <w:t>grant management</w:t>
      </w:r>
      <w:r w:rsidRPr="005F4295">
        <w:rPr>
          <w:noProof/>
        </w:rPr>
        <w:t xml:space="preserve">, the </w:t>
      </w:r>
      <w:r w:rsidR="00C130FB" w:rsidRPr="005F4295">
        <w:rPr>
          <w:noProof/>
        </w:rPr>
        <w:t xml:space="preserve">Internal Audit Service </w:t>
      </w:r>
      <w:r w:rsidRPr="005F4295">
        <w:rPr>
          <w:noProof/>
        </w:rPr>
        <w:t>identified a couple of cases where the entities under examination needed to improve the processes in place.</w:t>
      </w:r>
    </w:p>
    <w:p w14:paraId="17D0F87A" w14:textId="71D81901" w:rsidR="00741CC3" w:rsidRPr="005F4295" w:rsidRDefault="00F72961" w:rsidP="00EB70E0">
      <w:pPr>
        <w:suppressAutoHyphens w:val="0"/>
      </w:pPr>
      <w:r w:rsidRPr="005F4295">
        <w:rPr>
          <w:noProof/>
        </w:rPr>
        <w:t xml:space="preserve">Five audits carried out by the </w:t>
      </w:r>
      <w:r w:rsidR="00C130FB" w:rsidRPr="005F4295">
        <w:rPr>
          <w:noProof/>
        </w:rPr>
        <w:t>Internal Audit Service</w:t>
      </w:r>
      <w:r w:rsidR="00C130FB" w:rsidRPr="005F4295" w:rsidDel="00C130FB">
        <w:rPr>
          <w:noProof/>
        </w:rPr>
        <w:t xml:space="preserve"> </w:t>
      </w:r>
      <w:r w:rsidRPr="005F4295">
        <w:rPr>
          <w:noProof/>
        </w:rPr>
        <w:t xml:space="preserve">on grant management ended in </w:t>
      </w:r>
      <w:r w:rsidRPr="005F4295">
        <w:rPr>
          <w:b/>
        </w:rPr>
        <w:t>unqualified audit conclusions</w:t>
      </w:r>
      <w:r w:rsidRPr="005F4295">
        <w:rPr>
          <w:noProof/>
        </w:rPr>
        <w:t xml:space="preserve">: (a) NGO funding under the LIFE programme; (b) implementation of the Connecting Europe Facility; (c) project management and payment process for the EU4Health </w:t>
      </w:r>
      <w:r w:rsidR="00817172" w:rsidRPr="005F4295">
        <w:rPr>
          <w:noProof/>
        </w:rPr>
        <w:t>pr</w:t>
      </w:r>
      <w:r w:rsidRPr="005F4295">
        <w:rPr>
          <w:noProof/>
        </w:rPr>
        <w:t>ogramme; (d) project management and payment process of the European Defence Fund; and (e) early implementation of grants in the short-term defence instruments EDIRPA and ASAP.</w:t>
      </w:r>
    </w:p>
    <w:p w14:paraId="64CB959A" w14:textId="1273E535" w:rsidR="00892F4A" w:rsidRPr="005F4295" w:rsidRDefault="00892F4A" w:rsidP="00892F4A">
      <w:pPr>
        <w:suppressAutoHyphens w:val="0"/>
        <w:rPr>
          <w:noProof/>
        </w:rPr>
      </w:pPr>
      <w:r w:rsidRPr="005F4295">
        <w:rPr>
          <w:noProof/>
        </w:rPr>
        <w:t xml:space="preserve">An audit on the European Innovation Council grant agreements preparation and award procedures resulted in a negative opinion and a </w:t>
      </w:r>
      <w:r w:rsidRPr="005F4295">
        <w:rPr>
          <w:b/>
        </w:rPr>
        <w:t>critical recommendation</w:t>
      </w:r>
      <w:r w:rsidRPr="005F4295">
        <w:rPr>
          <w:noProof/>
        </w:rPr>
        <w:t xml:space="preserve"> concerning the need for the directorate-general and the executive agency concerned to revise the award decision process specific to the European Innovation </w:t>
      </w:r>
      <w:r w:rsidR="005E6228" w:rsidRPr="005F4295">
        <w:rPr>
          <w:noProof/>
        </w:rPr>
        <w:br/>
      </w:r>
      <w:r w:rsidRPr="005F4295">
        <w:rPr>
          <w:noProof/>
        </w:rPr>
        <w:t xml:space="preserve">Council Accelerator scheme in line with the applicable rules. The audit also issued a number of very important recommendations to both </w:t>
      </w:r>
      <w:r w:rsidR="000F358A" w:rsidRPr="005F4295">
        <w:rPr>
          <w:noProof/>
        </w:rPr>
        <w:t>a</w:t>
      </w:r>
      <w:r w:rsidRPr="005F4295">
        <w:rPr>
          <w:noProof/>
        </w:rPr>
        <w:t xml:space="preserve">uditees for reinforcement of the controls related to the grant agreement preparation; revision of the reporting on the time-to-grant indicator in the Annual Activity Report and assessing the key root causes for delays; revision of the amending award decision process; and </w:t>
      </w:r>
      <w:r w:rsidR="005E6228" w:rsidRPr="005F4295">
        <w:rPr>
          <w:noProof/>
        </w:rPr>
        <w:br/>
      </w:r>
      <w:r w:rsidRPr="005F4295">
        <w:rPr>
          <w:noProof/>
        </w:rPr>
        <w:t>reinforcement of budget monitoring, and ensuring formal transmission of the award decisions to the European Investment Bank.</w:t>
      </w:r>
    </w:p>
    <w:p w14:paraId="22FC66A9" w14:textId="4946ED57" w:rsidR="008A505D" w:rsidRPr="005F4295" w:rsidRDefault="00892F4A" w:rsidP="00892F4A">
      <w:pPr>
        <w:suppressAutoHyphens w:val="0"/>
      </w:pPr>
      <w:r w:rsidRPr="005F4295">
        <w:rPr>
          <w:noProof/>
        </w:rPr>
        <w:t xml:space="preserve">In another audit carried out on grants, the internal control system for managing grants under the </w:t>
      </w:r>
      <w:r w:rsidR="00EF3124" w:rsidRPr="005F4295">
        <w:rPr>
          <w:noProof/>
        </w:rPr>
        <w:t>c</w:t>
      </w:r>
      <w:r w:rsidRPr="005F4295">
        <w:rPr>
          <w:noProof/>
        </w:rPr>
        <w:t xml:space="preserve">ustoms </w:t>
      </w:r>
      <w:r w:rsidR="00EF3124" w:rsidRPr="005F4295">
        <w:rPr>
          <w:noProof/>
        </w:rPr>
        <w:t>c</w:t>
      </w:r>
      <w:r w:rsidRPr="005F4295">
        <w:rPr>
          <w:noProof/>
        </w:rPr>
        <w:t xml:space="preserve">ontrol </w:t>
      </w:r>
      <w:r w:rsidR="00EF3124" w:rsidRPr="005F4295">
        <w:rPr>
          <w:noProof/>
        </w:rPr>
        <w:t>e</w:t>
      </w:r>
      <w:r w:rsidRPr="005F4295">
        <w:rPr>
          <w:noProof/>
        </w:rPr>
        <w:t xml:space="preserve">quipment </w:t>
      </w:r>
      <w:r w:rsidR="00EF3124" w:rsidRPr="005F4295">
        <w:rPr>
          <w:noProof/>
        </w:rPr>
        <w:t>i</w:t>
      </w:r>
      <w:r w:rsidRPr="005F4295">
        <w:rPr>
          <w:noProof/>
        </w:rPr>
        <w:t>nstrument programme had been found to be adequately designed and effectively implemented, except for two issues related to the instrument’s control strategy, and for documenting of the project monitoring and payment processing in the eGrants tool.</w:t>
      </w:r>
    </w:p>
    <w:p w14:paraId="10B5ACF4" w14:textId="410C031D" w:rsidR="00F45EF6" w:rsidRPr="005F4295" w:rsidRDefault="00F45EF6" w:rsidP="00F45EF6">
      <w:pPr>
        <w:suppressAutoHyphens w:val="0"/>
        <w:rPr>
          <w:noProof/>
        </w:rPr>
      </w:pPr>
      <w:r w:rsidRPr="005F4295">
        <w:rPr>
          <w:noProof/>
        </w:rPr>
        <w:t xml:space="preserve">In the field of </w:t>
      </w:r>
      <w:r w:rsidRPr="005F4295">
        <w:rPr>
          <w:b/>
        </w:rPr>
        <w:t>programme management</w:t>
      </w:r>
      <w:r w:rsidRPr="005F4295">
        <w:rPr>
          <w:noProof/>
        </w:rPr>
        <w:t xml:space="preserve"> for the current programming period, the </w:t>
      </w:r>
      <w:r w:rsidR="00EF3124" w:rsidRPr="005F4295">
        <w:rPr>
          <w:noProof/>
        </w:rPr>
        <w:t xml:space="preserve">Internal Audit Service </w:t>
      </w:r>
      <w:r w:rsidRPr="005F4295">
        <w:rPr>
          <w:noProof/>
        </w:rPr>
        <w:t xml:space="preserve">carried out two audits.  </w:t>
      </w:r>
    </w:p>
    <w:p w14:paraId="24B8CFC7" w14:textId="04E04794" w:rsidR="00F45EF6" w:rsidRPr="005F4295" w:rsidRDefault="00F45EF6" w:rsidP="00F45EF6">
      <w:pPr>
        <w:suppressAutoHyphens w:val="0"/>
        <w:rPr>
          <w:noProof/>
        </w:rPr>
      </w:pPr>
      <w:r w:rsidRPr="005F4295">
        <w:rPr>
          <w:noProof/>
        </w:rPr>
        <w:t xml:space="preserve">With the view of enhancing simplification in the implementation of the cohesion policy funds in the 2021-2027 programming period, adequate and effective internal control processes for the capacity building, </w:t>
      </w:r>
      <w:r w:rsidRPr="005F4295">
        <w:rPr>
          <w:i/>
        </w:rPr>
        <w:t>ex ante</w:t>
      </w:r>
      <w:r w:rsidRPr="005F4295">
        <w:rPr>
          <w:noProof/>
        </w:rPr>
        <w:t xml:space="preserve"> assessment and monitoring and reporting on simplified cost options and financing not linked to costs had been designed and implemented. However, related guidance, documentation and </w:t>
      </w:r>
      <w:r w:rsidRPr="005F4295">
        <w:rPr>
          <w:i/>
        </w:rPr>
        <w:t>ex ante</w:t>
      </w:r>
      <w:r w:rsidRPr="005F4295">
        <w:rPr>
          <w:noProof/>
        </w:rPr>
        <w:t xml:space="preserve"> assessments need to be improved. In addition, training needs to be enhanced and risks of dependency on external experts need to be monitored. Finally, the </w:t>
      </w:r>
      <w:r w:rsidR="00AF5FD1" w:rsidRPr="005F4295">
        <w:rPr>
          <w:noProof/>
        </w:rPr>
        <w:t>directorates-general</w:t>
      </w:r>
      <w:r w:rsidRPr="005F4295">
        <w:rPr>
          <w:noProof/>
        </w:rPr>
        <w:t xml:space="preserve"> need to improve monitoring and reporting.</w:t>
      </w:r>
    </w:p>
    <w:p w14:paraId="3692877F" w14:textId="2B26BCA7" w:rsidR="00C62002" w:rsidRPr="005F4295" w:rsidRDefault="00F45EF6" w:rsidP="00892F4A">
      <w:pPr>
        <w:suppressAutoHyphens w:val="0"/>
      </w:pPr>
      <w:r w:rsidRPr="005F4295">
        <w:rPr>
          <w:noProof/>
        </w:rPr>
        <w:t xml:space="preserve">In another audit, the </w:t>
      </w:r>
      <w:r w:rsidR="00AF5FD1" w:rsidRPr="005F4295">
        <w:rPr>
          <w:noProof/>
        </w:rPr>
        <w:t>Internal Audit Service</w:t>
      </w:r>
      <w:r w:rsidRPr="005F4295">
        <w:rPr>
          <w:noProof/>
        </w:rPr>
        <w:t xml:space="preserve"> concluded that the internal control processes for reviewing and approving the amendments to the Common Agricultural Policy national strategic plans, has been adequately designed and implemented. However, there was a lack of clarity on the date of start of eligibility for approved changes in the EAFRD interventions which were previously notified but found non-compliant with the legal basis for notifications. In addition, a very important weakness was identified regarding the clarification on the acceptable deviations between result indicators and outputs and correction of detected non-compliances in the CAP Strategic Plans.</w:t>
      </w:r>
    </w:p>
    <w:p w14:paraId="314AFA6F" w14:textId="08201BE0" w:rsidR="003D45B3" w:rsidRPr="005F4295" w:rsidRDefault="003D45B3" w:rsidP="003D45B3">
      <w:pPr>
        <w:suppressAutoHyphens w:val="0"/>
        <w:rPr>
          <w:noProof/>
        </w:rPr>
      </w:pPr>
      <w:r w:rsidRPr="005F4295">
        <w:rPr>
          <w:noProof/>
        </w:rPr>
        <w:t xml:space="preserve">In the thematic area of </w:t>
      </w:r>
      <w:r w:rsidRPr="005F4295">
        <w:rPr>
          <w:b/>
        </w:rPr>
        <w:t>assurance building and audit strategy</w:t>
      </w:r>
      <w:r w:rsidR="001A12C3" w:rsidRPr="005F4295">
        <w:t>,</w:t>
      </w:r>
      <w:r w:rsidRPr="005F4295">
        <w:rPr>
          <w:noProof/>
        </w:rPr>
        <w:t xml:space="preserve"> the </w:t>
      </w:r>
      <w:r w:rsidR="001A12C3" w:rsidRPr="005F4295">
        <w:rPr>
          <w:noProof/>
        </w:rPr>
        <w:t>Internal Audit Service</w:t>
      </w:r>
      <w:r w:rsidRPr="005F4295">
        <w:rPr>
          <w:noProof/>
        </w:rPr>
        <w:t xml:space="preserve"> identified cases where the entities under examination needed to improve the processes in place.</w:t>
      </w:r>
    </w:p>
    <w:p w14:paraId="2476440D" w14:textId="0C8C1D21" w:rsidR="003D45B3" w:rsidRPr="005F4295" w:rsidRDefault="003D45B3" w:rsidP="003D45B3">
      <w:pPr>
        <w:suppressAutoHyphens w:val="0"/>
        <w:rPr>
          <w:noProof/>
        </w:rPr>
      </w:pPr>
      <w:r w:rsidRPr="005F4295">
        <w:rPr>
          <w:noProof/>
        </w:rPr>
        <w:t xml:space="preserve">In a programme covered by the Common Provisions Regulation for the 2021-2027 programming period, the audited directorate-general set up audit arrangements based on the </w:t>
      </w:r>
      <w:r w:rsidR="00F06A8E" w:rsidRPr="005F4295">
        <w:rPr>
          <w:noProof/>
        </w:rPr>
        <w:t>s</w:t>
      </w:r>
      <w:r w:rsidRPr="005F4295">
        <w:rPr>
          <w:noProof/>
        </w:rPr>
        <w:t xml:space="preserve">ingle </w:t>
      </w:r>
      <w:r w:rsidR="00F06A8E" w:rsidRPr="005F4295">
        <w:rPr>
          <w:noProof/>
        </w:rPr>
        <w:t>a</w:t>
      </w:r>
      <w:r w:rsidRPr="005F4295">
        <w:rPr>
          <w:noProof/>
        </w:rPr>
        <w:t xml:space="preserve">udit </w:t>
      </w:r>
      <w:r w:rsidR="00F06A8E" w:rsidRPr="005F4295">
        <w:rPr>
          <w:noProof/>
        </w:rPr>
        <w:t>s</w:t>
      </w:r>
      <w:r w:rsidRPr="005F4295">
        <w:rPr>
          <w:noProof/>
        </w:rPr>
        <w:t>trategy but by the end of the fieldwork it had not fully established additional audit arrangements related to the special handling of documents, a comprehensive risk assessment approach and audit planning incorporating fund-specific and common risk factors.</w:t>
      </w:r>
    </w:p>
    <w:p w14:paraId="681D6463" w14:textId="0D1870CD" w:rsidR="003D45B3" w:rsidRPr="005F4295" w:rsidRDefault="003D45B3" w:rsidP="003D45B3">
      <w:pPr>
        <w:suppressAutoHyphens w:val="0"/>
        <w:rPr>
          <w:noProof/>
        </w:rPr>
      </w:pPr>
      <w:r w:rsidRPr="005F4295">
        <w:rPr>
          <w:noProof/>
        </w:rPr>
        <w:t xml:space="preserve">In another audit, risk management and control processes for the Recovery and Resilience Facility risk assessment methodology and </w:t>
      </w:r>
      <w:r w:rsidRPr="005F4295">
        <w:rPr>
          <w:i/>
        </w:rPr>
        <w:t>ex post</w:t>
      </w:r>
      <w:r w:rsidRPr="005F4295">
        <w:rPr>
          <w:noProof/>
        </w:rPr>
        <w:t xml:space="preserve"> audits on milestones and targets in compliance with the </w:t>
      </w:r>
      <w:r w:rsidR="00F06A8E" w:rsidRPr="005F4295">
        <w:rPr>
          <w:noProof/>
        </w:rPr>
        <w:t>Recovery and Resilience Facility</w:t>
      </w:r>
      <w:r w:rsidR="00F06A8E" w:rsidRPr="005F4295" w:rsidDel="00F06A8E">
        <w:rPr>
          <w:noProof/>
        </w:rPr>
        <w:t xml:space="preserve"> </w:t>
      </w:r>
      <w:r w:rsidRPr="005F4295">
        <w:rPr>
          <w:noProof/>
        </w:rPr>
        <w:t xml:space="preserve">Regulation had been adequately designed and effectively implemented, except for two very important issues related to: (a) the duration of audits; and (b) auditing standards and quality assurance programme. </w:t>
      </w:r>
    </w:p>
    <w:p w14:paraId="243FD9ED" w14:textId="4AA1169C" w:rsidR="003D45B3" w:rsidRPr="005F4295" w:rsidRDefault="003D45B3" w:rsidP="003D45B3">
      <w:pPr>
        <w:suppressAutoHyphens w:val="0"/>
      </w:pPr>
      <w:r w:rsidRPr="005F4295">
        <w:rPr>
          <w:noProof/>
        </w:rPr>
        <w:t>Relating to the reliability of audit opinions on the legality and regularity of Erasmus+ expenditure declared by National Agencies, the audited directorate-general had effectively implemented measures that are adequately designed to ensure the reliability of audit opinions issued by the independent audit bodies to obtain the necessary assurance, except for one issue related to the management of observations.</w:t>
      </w:r>
    </w:p>
    <w:p w14:paraId="7D9C279F" w14:textId="77777777" w:rsidR="00CE57AE" w:rsidRPr="005F4295" w:rsidRDefault="00CE57AE" w:rsidP="00CE57AE">
      <w:pPr>
        <w:suppressAutoHyphens w:val="0"/>
        <w:rPr>
          <w:noProof/>
        </w:rPr>
      </w:pPr>
      <w:r w:rsidRPr="005F4295">
        <w:rPr>
          <w:noProof/>
        </w:rPr>
        <w:t>To ensure that the financial aid provided to the countries covered by a crisis declaration is delivered following the principle of sound operational and financial management, the risk management and control systems put in place had been found to be adequately designed and effectively implemented, except for the monitoring and reporting mechanism related to contracts concluded under flexible procedures.</w:t>
      </w:r>
    </w:p>
    <w:p w14:paraId="47F452DD" w14:textId="450EBAF6" w:rsidR="00AB7B40" w:rsidRDefault="00CE57AE">
      <w:pPr>
        <w:suppressAutoHyphens w:val="0"/>
        <w:rPr>
          <w:noProof/>
        </w:rPr>
      </w:pPr>
      <w:r w:rsidRPr="005F4295">
        <w:rPr>
          <w:noProof/>
        </w:rPr>
        <w:t>The I</w:t>
      </w:r>
      <w:r w:rsidR="00071F5C" w:rsidRPr="005F4295">
        <w:rPr>
          <w:noProof/>
        </w:rPr>
        <w:t xml:space="preserve">nternal </w:t>
      </w:r>
      <w:r w:rsidRPr="005F4295">
        <w:rPr>
          <w:noProof/>
        </w:rPr>
        <w:t>A</w:t>
      </w:r>
      <w:r w:rsidR="00071F5C" w:rsidRPr="005F4295">
        <w:rPr>
          <w:noProof/>
        </w:rPr>
        <w:t xml:space="preserve">udit </w:t>
      </w:r>
      <w:r w:rsidRPr="005F4295">
        <w:rPr>
          <w:noProof/>
        </w:rPr>
        <w:t>S</w:t>
      </w:r>
      <w:r w:rsidR="00071F5C" w:rsidRPr="005F4295">
        <w:rPr>
          <w:noProof/>
        </w:rPr>
        <w:t>ervice</w:t>
      </w:r>
      <w:r w:rsidRPr="005F4295">
        <w:rPr>
          <w:noProof/>
        </w:rPr>
        <w:t xml:space="preserve"> also carried out limited reviews on control results provided by partners which concluded that the systems designed and implemented by the responsible directorates-general in the area of external relations to ensure that the management declarations contribute to the assurance on the effective implementation of EU funds under indirect management with entrusted entities are adequate, except for issues related to some aspects of the design and to the effectiveness and efficiency of management declarations as a control measure.</w:t>
      </w:r>
      <w:r w:rsidR="00AB7B40">
        <w:rPr>
          <w:noProof/>
        </w:rPr>
        <w:br w:type="page"/>
      </w:r>
    </w:p>
    <w:p w14:paraId="166787A2" w14:textId="77777777" w:rsidR="00EE541E" w:rsidRPr="005F4295" w:rsidRDefault="00EE541E" w:rsidP="00A3730A">
      <w:pPr>
        <w:pStyle w:val="Heading3"/>
        <w:rPr>
          <w:noProof/>
        </w:rPr>
      </w:pPr>
      <w:r w:rsidRPr="005F4295">
        <w:rPr>
          <w:noProof/>
        </w:rPr>
        <w:t>Support processes</w:t>
      </w:r>
    </w:p>
    <w:p w14:paraId="6766CBA6" w14:textId="52D9D0FA" w:rsidR="009E5A98" w:rsidRPr="005F4295" w:rsidRDefault="00EE541E" w:rsidP="00CE57AE">
      <w:pPr>
        <w:suppressAutoHyphens w:val="0"/>
      </w:pPr>
      <w:r w:rsidRPr="005F4295">
        <w:rPr>
          <w:noProof/>
        </w:rPr>
        <w:t xml:space="preserve">Furthermore, the  </w:t>
      </w:r>
      <w:r w:rsidR="007F356D" w:rsidRPr="005F4295">
        <w:rPr>
          <w:noProof/>
        </w:rPr>
        <w:t>Internal Audit Service</w:t>
      </w:r>
      <w:r w:rsidRPr="005F4295">
        <w:rPr>
          <w:noProof/>
        </w:rPr>
        <w:t xml:space="preserve"> continued to provide reassurance to the College </w:t>
      </w:r>
      <w:r w:rsidR="00BB60A8" w:rsidRPr="005F4295">
        <w:rPr>
          <w:noProof/>
        </w:rPr>
        <w:t>of Commissioners</w:t>
      </w:r>
      <w:r w:rsidRPr="005F4295">
        <w:rPr>
          <w:noProof/>
        </w:rPr>
        <w:t xml:space="preserve"> and the directorates-general and services on the efficient and effective implementation of the internal controls for the administrative processes that support the functioning of the Commission (human resources, IT, etc</w:t>
      </w:r>
      <w:r w:rsidR="00BB60A8" w:rsidRPr="005F4295">
        <w:rPr>
          <w:noProof/>
        </w:rPr>
        <w:t>.</w:t>
      </w:r>
      <w:r w:rsidRPr="005F4295">
        <w:rPr>
          <w:noProof/>
        </w:rPr>
        <w:t>).</w:t>
      </w:r>
    </w:p>
    <w:p w14:paraId="0B4F27E6" w14:textId="77777777" w:rsidR="00F65C93" w:rsidRPr="005F4295" w:rsidRDefault="00F65C93" w:rsidP="00F65C93">
      <w:pPr>
        <w:pStyle w:val="Heading4"/>
        <w:rPr>
          <w:noProof/>
        </w:rPr>
      </w:pPr>
      <w:r w:rsidRPr="005F4295">
        <w:rPr>
          <w:noProof/>
        </w:rPr>
        <w:t>Human resource management</w:t>
      </w:r>
    </w:p>
    <w:p w14:paraId="741295FC" w14:textId="20588E8C" w:rsidR="00A3730A" w:rsidRPr="005F4295" w:rsidRDefault="00F65C93" w:rsidP="00EE541E">
      <w:pPr>
        <w:suppressAutoHyphens w:val="0"/>
      </w:pPr>
      <w:r w:rsidRPr="005F4295">
        <w:rPr>
          <w:noProof/>
        </w:rPr>
        <w:t xml:space="preserve">An audit carried out on the </w:t>
      </w:r>
      <w:r w:rsidR="00BB60A8" w:rsidRPr="005F4295">
        <w:rPr>
          <w:noProof/>
        </w:rPr>
        <w:t>h</w:t>
      </w:r>
      <w:r w:rsidRPr="005F4295">
        <w:rPr>
          <w:noProof/>
        </w:rPr>
        <w:t xml:space="preserve">uman </w:t>
      </w:r>
      <w:r w:rsidR="00BB60A8" w:rsidRPr="005F4295">
        <w:rPr>
          <w:noProof/>
        </w:rPr>
        <w:t>r</w:t>
      </w:r>
      <w:r w:rsidRPr="005F4295">
        <w:rPr>
          <w:noProof/>
        </w:rPr>
        <w:t xml:space="preserve">esources </w:t>
      </w:r>
      <w:r w:rsidR="00BB60A8" w:rsidRPr="005F4295">
        <w:rPr>
          <w:noProof/>
        </w:rPr>
        <w:t>t</w:t>
      </w:r>
      <w:r w:rsidRPr="005F4295">
        <w:rPr>
          <w:noProof/>
        </w:rPr>
        <w:t>r</w:t>
      </w:r>
      <w:r w:rsidR="00BB60A8" w:rsidRPr="005F4295">
        <w:rPr>
          <w:noProof/>
        </w:rPr>
        <w:t>a</w:t>
      </w:r>
      <w:r w:rsidRPr="005F4295">
        <w:rPr>
          <w:noProof/>
        </w:rPr>
        <w:t xml:space="preserve">nsformation </w:t>
      </w:r>
      <w:r w:rsidR="00BB60A8" w:rsidRPr="005F4295">
        <w:rPr>
          <w:noProof/>
        </w:rPr>
        <w:t>p</w:t>
      </w:r>
      <w:r w:rsidRPr="005F4295">
        <w:rPr>
          <w:noProof/>
        </w:rPr>
        <w:t>rogramme concluded that although the programme’s governance structure and processes are overall well set up, a very important issue relating to the IT security management processes remains and may affect the achievement of the programme’s strategic objectives and compliance with the Commission’s internal security standards.</w:t>
      </w:r>
    </w:p>
    <w:p w14:paraId="6E82F502" w14:textId="77777777" w:rsidR="003F416F" w:rsidRPr="005F4295" w:rsidRDefault="003F416F" w:rsidP="003F416F">
      <w:pPr>
        <w:pStyle w:val="Heading4"/>
        <w:rPr>
          <w:noProof/>
        </w:rPr>
      </w:pPr>
      <w:r w:rsidRPr="005F4295">
        <w:rPr>
          <w:noProof/>
        </w:rPr>
        <w:t xml:space="preserve">Information technology governance, IT project management and IT security management </w:t>
      </w:r>
    </w:p>
    <w:p w14:paraId="30FE4444" w14:textId="00616229" w:rsidR="003F416F" w:rsidRPr="005F4295" w:rsidRDefault="003F416F" w:rsidP="003F416F">
      <w:pPr>
        <w:suppressAutoHyphens w:val="0"/>
        <w:rPr>
          <w:noProof/>
        </w:rPr>
      </w:pPr>
      <w:r w:rsidRPr="005F4295">
        <w:rPr>
          <w:noProof/>
        </w:rPr>
        <w:t xml:space="preserve">Two audits were carried out by the </w:t>
      </w:r>
      <w:r w:rsidR="007200DC" w:rsidRPr="005F4295">
        <w:rPr>
          <w:noProof/>
        </w:rPr>
        <w:t xml:space="preserve">Internal Audit Service </w:t>
      </w:r>
      <w:r w:rsidRPr="005F4295">
        <w:rPr>
          <w:noProof/>
        </w:rPr>
        <w:t>in this area.</w:t>
      </w:r>
    </w:p>
    <w:p w14:paraId="258DA5F8" w14:textId="64FA23C2" w:rsidR="003F416F" w:rsidRPr="005F4295" w:rsidRDefault="003F416F" w:rsidP="003F416F">
      <w:pPr>
        <w:suppressAutoHyphens w:val="0"/>
        <w:rPr>
          <w:noProof/>
        </w:rPr>
      </w:pPr>
      <w:r w:rsidRPr="005F4295">
        <w:rPr>
          <w:noProof/>
        </w:rPr>
        <w:t>An audit carried out on IT governance and IT security management in one directorate-general revealed that, overall, the governance, risk management and control system put in place with regard to IT governance and IT security arrangements is adequately designed and efficiently and effectively implemented except for one issue related to aligning business needs and recovery expectations, maintaining IT security plans and formalising processes about incident and user access management.</w:t>
      </w:r>
    </w:p>
    <w:p w14:paraId="4624D696" w14:textId="321F0C7E" w:rsidR="003F416F" w:rsidRPr="005F4295" w:rsidRDefault="003F416F" w:rsidP="003F416F">
      <w:pPr>
        <w:suppressAutoHyphens w:val="0"/>
        <w:rPr>
          <w:noProof/>
        </w:rPr>
      </w:pPr>
      <w:r w:rsidRPr="005F4295">
        <w:rPr>
          <w:noProof/>
        </w:rPr>
        <w:t xml:space="preserve">For the Arachne+ project, the governance, risk management and control processes put in place by a </w:t>
      </w:r>
      <w:r w:rsidR="009419FC" w:rsidRPr="005F4295">
        <w:rPr>
          <w:noProof/>
        </w:rPr>
        <w:t>directorate-general</w:t>
      </w:r>
      <w:r w:rsidRPr="005F4295">
        <w:rPr>
          <w:noProof/>
        </w:rPr>
        <w:t>, as system owner, with the support of other directorates-general, were not appropriate to deliver phase 2 of the project effectively and to achieve the strategic objectives and business expectations for the overall project within the allocated time and resources. IT security and personal data protection control processes were compliant with the Commission’s process steps, though significant improvements are necessary as regards the quality of IT security artefacts.</w:t>
      </w:r>
    </w:p>
    <w:p w14:paraId="01B0AFF5" w14:textId="0E491AE0" w:rsidR="00F65C93" w:rsidRPr="005F4295" w:rsidRDefault="003F416F" w:rsidP="00F65C93">
      <w:pPr>
        <w:suppressAutoHyphens w:val="0"/>
      </w:pPr>
      <w:r w:rsidRPr="005F4295">
        <w:rPr>
          <w:noProof/>
        </w:rPr>
        <w:t>Additionally, a number of other audits looked at the IT aspects of audited processes and identified in different cases adequate controls or weaknesses.</w:t>
      </w:r>
    </w:p>
    <w:p w14:paraId="2ACC5754" w14:textId="77777777" w:rsidR="000F57F5" w:rsidRPr="005F4295" w:rsidRDefault="000F57F5" w:rsidP="009E5FA0">
      <w:pPr>
        <w:pStyle w:val="Heading3"/>
        <w:rPr>
          <w:noProof/>
        </w:rPr>
      </w:pPr>
      <w:r w:rsidRPr="005F4295">
        <w:rPr>
          <w:noProof/>
        </w:rPr>
        <w:t>Operational and policy processes</w:t>
      </w:r>
    </w:p>
    <w:p w14:paraId="7C3EF5D9" w14:textId="6C2EFC69" w:rsidR="000F57F5" w:rsidRPr="005F4295" w:rsidRDefault="000F57F5" w:rsidP="000F57F5">
      <w:pPr>
        <w:suppressAutoHyphens w:val="0"/>
        <w:rPr>
          <w:noProof/>
        </w:rPr>
      </w:pPr>
      <w:r w:rsidRPr="005F4295">
        <w:rPr>
          <w:noProof/>
        </w:rPr>
        <w:t xml:space="preserve">The </w:t>
      </w:r>
      <w:r w:rsidR="008C394D" w:rsidRPr="005F4295">
        <w:rPr>
          <w:noProof/>
        </w:rPr>
        <w:t>Internal Audit Service</w:t>
      </w:r>
      <w:r w:rsidRPr="005F4295">
        <w:rPr>
          <w:noProof/>
        </w:rPr>
        <w:t xml:space="preserve"> performed six audits that focused on specific activities or programmes.</w:t>
      </w:r>
    </w:p>
    <w:p w14:paraId="166A78DA" w14:textId="77777777" w:rsidR="000F57F5" w:rsidRPr="005F4295" w:rsidRDefault="000F57F5" w:rsidP="000F57F5">
      <w:pPr>
        <w:suppressAutoHyphens w:val="0"/>
        <w:rPr>
          <w:noProof/>
        </w:rPr>
      </w:pPr>
      <w:r w:rsidRPr="005F4295">
        <w:rPr>
          <w:noProof/>
        </w:rPr>
        <w:t xml:space="preserve">In an audit on the management of EURES and the EURES portal, the responsible directorate-general and the affiliated decentralised agency have put in place a number of arrangements to govern the cooperation between themselves. However, these arrangements had not always been sufficiently detailed or up to date in a number of areas, including IT governance and the mandate of the IT Steering Committee. </w:t>
      </w:r>
    </w:p>
    <w:p w14:paraId="0DAAEFC8" w14:textId="77777777" w:rsidR="000F57F5" w:rsidRPr="005F4295" w:rsidRDefault="000F57F5" w:rsidP="000F57F5">
      <w:pPr>
        <w:suppressAutoHyphens w:val="0"/>
        <w:rPr>
          <w:noProof/>
        </w:rPr>
      </w:pPr>
      <w:r w:rsidRPr="005F4295">
        <w:rPr>
          <w:noProof/>
        </w:rPr>
        <w:t>An audit carried out on the coordination mechanisms related to the financial supervision, the Commission’s directorate-general had adequately designed and effectively and efficiently implemented the coordination mechanisms with the three supervisory authorities except for issues related to the questions and answers process, and review and evaluation.</w:t>
      </w:r>
    </w:p>
    <w:p w14:paraId="71BD820D" w14:textId="77777777" w:rsidR="000F57F5" w:rsidRPr="005F4295" w:rsidRDefault="000F57F5" w:rsidP="00AB7B40">
      <w:pPr>
        <w:keepLines/>
        <w:suppressAutoHyphens w:val="0"/>
        <w:rPr>
          <w:noProof/>
        </w:rPr>
      </w:pPr>
      <w:r w:rsidRPr="005F4295">
        <w:rPr>
          <w:noProof/>
        </w:rPr>
        <w:t>Another audit found that processes for managing the control data of the Common Fisheries Policy had been adequately designed and effectively and efficiently implemented, in line with the legal framework applicable at the time of the audit, except for one issue related to the reception, use and publication of data related to fishing opportunities.</w:t>
      </w:r>
    </w:p>
    <w:p w14:paraId="0E3327FC" w14:textId="77777777" w:rsidR="000F57F5" w:rsidRPr="005F4295" w:rsidRDefault="000F57F5" w:rsidP="000F57F5">
      <w:pPr>
        <w:suppressAutoHyphens w:val="0"/>
        <w:rPr>
          <w:noProof/>
        </w:rPr>
      </w:pPr>
      <w:r w:rsidRPr="005F4295">
        <w:rPr>
          <w:noProof/>
        </w:rPr>
        <w:t>An audit on the selection process in the European Personnel Selection Office, concluded that the governance, risk management and control processes set up by the responsible Office for the new competition model for permanent staff are not adequately designed. The identified issues included the management of clients’ needs and related communication aspects, the roadmap for the deployment of the new competition model and procedure for the selection process, and the indicators and monitoring for assessing the achievement of the objectives of the new competition model.</w:t>
      </w:r>
    </w:p>
    <w:p w14:paraId="5B919A61" w14:textId="77777777" w:rsidR="000F57F5" w:rsidRPr="005F4295" w:rsidRDefault="000F57F5" w:rsidP="000F57F5">
      <w:pPr>
        <w:suppressAutoHyphens w:val="0"/>
        <w:rPr>
          <w:noProof/>
        </w:rPr>
      </w:pPr>
      <w:r w:rsidRPr="005F4295">
        <w:rPr>
          <w:noProof/>
        </w:rPr>
        <w:t>In an audit carried out on the management of childcare services, the offices in charge have overall designed an adequate framework and control system. However, issues were identified in the implementation concerning the roles and responsibilities of the oversight committees and external actors involved; the establishment of the interinstitutional budget and allocation of costs and calculation of parental and institutional contributions; and IT controls on project management and IT security of the relevant IT tool.</w:t>
      </w:r>
    </w:p>
    <w:p w14:paraId="7BDC5F0A" w14:textId="77777777" w:rsidR="000F57F5" w:rsidRPr="005F4295" w:rsidRDefault="000F57F5" w:rsidP="000F57F5">
      <w:pPr>
        <w:suppressAutoHyphens w:val="0"/>
        <w:rPr>
          <w:noProof/>
        </w:rPr>
      </w:pPr>
      <w:r w:rsidRPr="005F4295">
        <w:rPr>
          <w:noProof/>
        </w:rPr>
        <w:t>An audit on the management of in-kind contributions under Horizon Europe concluded that overall, the responsible directorate-general had provided adequate support to the joint undertakings, except for one very important issue concerning the IT support and the functionalities available in its IT tool.</w:t>
      </w:r>
    </w:p>
    <w:p w14:paraId="15D6BC58" w14:textId="77777777" w:rsidR="000F57F5" w:rsidRPr="005F4295" w:rsidRDefault="000F57F5" w:rsidP="003F416F">
      <w:pPr>
        <w:suppressAutoHyphens w:val="0"/>
        <w:rPr>
          <w:noProof/>
          <w:highlight w:val="lightGray"/>
        </w:rPr>
      </w:pPr>
    </w:p>
    <w:p w14:paraId="60168629" w14:textId="0D8DF326" w:rsidR="00EB70E0" w:rsidRPr="005F4295" w:rsidRDefault="00EB70E0" w:rsidP="00EB70E0">
      <w:pPr>
        <w:rPr>
          <w:noProof/>
          <w:highlight w:val="lightGray"/>
        </w:rPr>
      </w:pPr>
    </w:p>
    <w:p w14:paraId="5B25C934" w14:textId="77777777" w:rsidR="00EB70E0" w:rsidRPr="005F4295" w:rsidRDefault="00EB70E0" w:rsidP="00EB70E0">
      <w:pPr>
        <w:rPr>
          <w:noProof/>
          <w:highlight w:val="lightGray"/>
        </w:rPr>
        <w:sectPr w:rsidR="00EB70E0" w:rsidRPr="005F4295" w:rsidSect="00EB70E0">
          <w:headerReference w:type="even" r:id="rId74"/>
          <w:headerReference w:type="default" r:id="rId75"/>
          <w:footerReference w:type="even" r:id="rId76"/>
          <w:footerReference w:type="default" r:id="rId77"/>
          <w:headerReference w:type="first" r:id="rId78"/>
          <w:footerReference w:type="first" r:id="rId79"/>
          <w:endnotePr>
            <w:pos w:val="sectEnd"/>
            <w:numFmt w:val="lowerLetter"/>
          </w:endnotePr>
          <w:pgSz w:w="11907" w:h="16839" w:code="9"/>
          <w:pgMar w:top="1418" w:right="1418" w:bottom="1418" w:left="1418" w:header="680" w:footer="567" w:gutter="0"/>
          <w:cols w:space="720"/>
          <w:docGrid w:linePitch="272"/>
        </w:sectPr>
      </w:pPr>
    </w:p>
    <w:p w14:paraId="21178853" w14:textId="77777777" w:rsidR="00EB70E0" w:rsidRPr="005F4295" w:rsidRDefault="00EB70E0" w:rsidP="00EB70E0">
      <w:pPr>
        <w:rPr>
          <w:noProof/>
          <w:highlight w:val="lightGray"/>
        </w:rPr>
      </w:pPr>
      <w:r w:rsidRPr="005F4295">
        <w:rPr>
          <w:noProof/>
          <w:highlight w:val="lightGray"/>
        </w:rPr>
        <mc:AlternateContent>
          <mc:Choice Requires="wps">
            <w:drawing>
              <wp:anchor distT="0" distB="0" distL="114300" distR="114300" simplePos="0" relativeHeight="251658241" behindDoc="0" locked="1" layoutInCell="1" allowOverlap="1" wp14:anchorId="70B114B3" wp14:editId="54741940">
                <wp:simplePos x="0" y="0"/>
                <wp:positionH relativeFrom="column">
                  <wp:posOffset>2376170</wp:posOffset>
                </wp:positionH>
                <wp:positionV relativeFrom="page">
                  <wp:posOffset>3240405</wp:posOffset>
                </wp:positionV>
                <wp:extent cx="3600000" cy="5040000"/>
                <wp:effectExtent l="0" t="0" r="0" b="0"/>
                <wp:wrapNone/>
                <wp:docPr id="3243" name="Text Box 3243"/>
                <wp:cNvGraphicFramePr/>
                <a:graphic xmlns:a="http://schemas.openxmlformats.org/drawingml/2006/main">
                  <a:graphicData uri="http://schemas.microsoft.com/office/word/2010/wordprocessingShape">
                    <wps:wsp>
                      <wps:cNvSpPr txBox="1"/>
                      <wps:spPr>
                        <a:xfrm>
                          <a:off x="0" y="0"/>
                          <a:ext cx="3600000" cy="5040000"/>
                        </a:xfrm>
                        <a:prstGeom prst="rect">
                          <a:avLst/>
                        </a:prstGeom>
                        <a:noFill/>
                        <a:ln w="6350">
                          <a:noFill/>
                        </a:ln>
                      </wps:spPr>
                      <wps:txbx>
                        <w:txbxContent>
                          <w:p w14:paraId="72F6CEA7" w14:textId="77777777"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7</w:t>
                            </w:r>
                            <w:r>
                              <w:rPr>
                                <w:rFonts w:ascii="Calibri" w:eastAsiaTheme="minorHAnsi" w:hAnsi="Calibri" w:cs="Calibri"/>
                              </w:rPr>
                              <w:t> </w:t>
                            </w:r>
                            <w:r w:rsidRPr="007F744E">
                              <w:rPr>
                                <w:rFonts w:eastAsiaTheme="minorHAnsi"/>
                              </w:rPr>
                              <w:t xml:space="preserve">– </w:t>
                            </w:r>
                            <w:r w:rsidRPr="008E4015">
                              <w:rPr>
                                <w:rFonts w:eastAsiaTheme="minorHAnsi"/>
                              </w:rPr>
                              <w:t>Summary of the work and conclusions of the Audit Progress Committee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114B3" id="Text Box 3243" o:spid="_x0000_s1028" type="#_x0000_t202" style="position:absolute;margin-left:187.1pt;margin-top:255.15pt;width:283.45pt;height:396.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" filled="f" stroked="f" strokeweight=".5pt">
                <v:textbox>
                  <w:txbxContent>
                    <w:p w14:paraId="72F6CEA7" w14:textId="77777777"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7</w:t>
                      </w:r>
                      <w:r>
                        <w:rPr>
                          <w:rFonts w:ascii="Calibri" w:eastAsiaTheme="minorHAnsi" w:hAnsi="Calibri" w:cs="Calibri"/>
                        </w:rPr>
                        <w:t> </w:t>
                      </w:r>
                      <w:r w:rsidRPr="007F744E">
                        <w:rPr>
                          <w:rFonts w:eastAsiaTheme="minorHAnsi"/>
                        </w:rPr>
                        <w:t xml:space="preserve">– </w:t>
                      </w:r>
                      <w:r w:rsidRPr="008E4015">
                        <w:rPr>
                          <w:rFonts w:eastAsiaTheme="minorHAnsi"/>
                        </w:rPr>
                        <w:t>Summary of the work and conclusions of the Audit Progress Committee</w:t>
                      </w:r>
                    </w:p>
                  </w:txbxContent>
                </v:textbox>
                <w10:wrap anchory="page"/>
                <w10:anchorlock/>
              </v:shape>
            </w:pict>
          </mc:Fallback>
        </mc:AlternateContent>
      </w:r>
    </w:p>
    <w:p w14:paraId="1ED5A867" w14:textId="77777777" w:rsidR="00EB70E0" w:rsidRPr="005F4295" w:rsidRDefault="00EB70E0" w:rsidP="00EB70E0">
      <w:pPr>
        <w:rPr>
          <w:noProof/>
          <w:highlight w:val="lightGray"/>
        </w:rPr>
        <w:sectPr w:rsidR="00EB70E0" w:rsidRPr="005F4295" w:rsidSect="00EB70E0">
          <w:headerReference w:type="even" r:id="rId80"/>
          <w:headerReference w:type="default" r:id="rId81"/>
          <w:footerReference w:type="even" r:id="rId82"/>
          <w:footerReference w:type="default" r:id="rId83"/>
          <w:headerReference w:type="first" r:id="rId84"/>
          <w:footerReference w:type="first" r:id="rId85"/>
          <w:endnotePr>
            <w:pos w:val="sectEnd"/>
            <w:numFmt w:val="lowerLetter"/>
          </w:endnotePr>
          <w:type w:val="oddPage"/>
          <w:pgSz w:w="11907" w:h="16839" w:code="9"/>
          <w:pgMar w:top="1418" w:right="1418" w:bottom="1418" w:left="1418" w:header="680" w:footer="567" w:gutter="0"/>
          <w:cols w:space="720"/>
          <w:docGrid w:linePitch="272"/>
        </w:sectPr>
      </w:pPr>
    </w:p>
    <w:p w14:paraId="05AA3F81" w14:textId="77777777" w:rsidR="00EB70E0" w:rsidRPr="005F4295" w:rsidRDefault="00EB70E0" w:rsidP="00EB70E0">
      <w:pPr>
        <w:rPr>
          <w:noProof/>
          <w:highlight w:val="lightGray"/>
        </w:rPr>
      </w:pPr>
    </w:p>
    <w:p w14:paraId="6F52E14C" w14:textId="77777777" w:rsidR="00EB70E0" w:rsidRPr="005F4295" w:rsidRDefault="00EB70E0" w:rsidP="00EB70E0">
      <w:pPr>
        <w:rPr>
          <w:noProof/>
          <w:highlight w:val="lightGray"/>
        </w:rPr>
        <w:sectPr w:rsidR="00EB70E0" w:rsidRPr="005F4295" w:rsidSect="00EB70E0">
          <w:headerReference w:type="even" r:id="rId86"/>
          <w:headerReference w:type="default" r:id="rId87"/>
          <w:footerReference w:type="even" r:id="rId88"/>
          <w:footerReference w:type="default" r:id="rId89"/>
          <w:headerReference w:type="first" r:id="rId90"/>
          <w:footerReference w:type="first" r:id="rId91"/>
          <w:endnotePr>
            <w:pos w:val="sectEnd"/>
            <w:numFmt w:val="lowerLetter"/>
          </w:endnotePr>
          <w:pgSz w:w="11907" w:h="16839" w:code="9"/>
          <w:pgMar w:top="1418" w:right="1418" w:bottom="1418" w:left="1418" w:header="680" w:footer="567" w:gutter="0"/>
          <w:cols w:space="720"/>
          <w:docGrid w:linePitch="272"/>
        </w:sectPr>
      </w:pPr>
    </w:p>
    <w:p w14:paraId="599A0B9B" w14:textId="11D1720F" w:rsidR="00EB70E0" w:rsidRPr="005F4295" w:rsidRDefault="00EB70E0" w:rsidP="00EB70E0">
      <w:pPr>
        <w:pStyle w:val="HeadingT-AnnexesL1"/>
        <w:rPr>
          <w:noProof/>
        </w:rPr>
      </w:pPr>
      <w:bookmarkStart w:id="65" w:name="_Toc130821435"/>
      <w:bookmarkStart w:id="66" w:name="_Toc130832079"/>
      <w:bookmarkStart w:id="67" w:name="_Toc166086401"/>
      <w:bookmarkStart w:id="68" w:name="_Toc168585095"/>
      <w:bookmarkStart w:id="69" w:name="_Toc229386277"/>
      <w:bookmarkStart w:id="70" w:name="_Toc231914921"/>
      <w:bookmarkStart w:id="71" w:name="_Toc231480275"/>
      <w:r w:rsidRPr="005F4295">
        <w:rPr>
          <w:noProof/>
        </w:rPr>
        <w:t>Annex</w:t>
      </w:r>
      <w:r w:rsidRPr="005F4295">
        <w:rPr>
          <w:rFonts w:ascii="Calibri" w:hAnsi="Calibri" w:cs="Calibri"/>
          <w:noProof/>
        </w:rPr>
        <w:t> </w:t>
      </w:r>
      <w:r w:rsidRPr="005F4295">
        <w:rPr>
          <w:noProof/>
        </w:rPr>
        <w:t>7</w:t>
      </w:r>
      <w:r w:rsidRPr="005F4295">
        <w:rPr>
          <w:rFonts w:ascii="Calibri" w:hAnsi="Calibri" w:cs="Calibri"/>
          <w:noProof/>
        </w:rPr>
        <w:t> </w:t>
      </w:r>
      <w:r w:rsidRPr="005F4295">
        <w:rPr>
          <w:noProof/>
        </w:rPr>
        <w:t xml:space="preserve">– </w:t>
      </w:r>
      <w:bookmarkEnd w:id="65"/>
      <w:bookmarkEnd w:id="66"/>
      <w:r w:rsidRPr="005F4295">
        <w:rPr>
          <w:noProof/>
        </w:rPr>
        <w:t>Summary of the work and conclusions of the Audit Progress Committee</w:t>
      </w:r>
      <w:bookmarkEnd w:id="67"/>
      <w:bookmarkEnd w:id="68"/>
      <w:bookmarkEnd w:id="69"/>
      <w:bookmarkEnd w:id="70"/>
      <w:bookmarkEnd w:id="71"/>
    </w:p>
    <w:p w14:paraId="3DCADDF5" w14:textId="6606BE12" w:rsidR="00DB4D23" w:rsidRPr="005F4295" w:rsidRDefault="00DB4D23" w:rsidP="00A152A4">
      <w:r w:rsidRPr="005F4295">
        <w:t>The Audit Progress Committee of the European Commission (hereafter referred to as the Committee) held four</w:t>
      </w:r>
      <w:r w:rsidRPr="005F4295">
        <w:rPr>
          <w:rFonts w:cs="Calibri"/>
        </w:rPr>
        <w:t> </w:t>
      </w:r>
      <w:r w:rsidRPr="005F4295">
        <w:t>(</w:t>
      </w:r>
      <w:r w:rsidRPr="005F4295">
        <w:rPr>
          <w:rStyle w:val="FootnoteReference"/>
        </w:rPr>
        <w:footnoteReference w:id="30"/>
      </w:r>
      <w:r w:rsidRPr="005F4295">
        <w:t>) rounds of meetings between June 2025 and May 2026. The Committee’s work was structured around the four key objectives set out in the 2025 and 2026 work programmes. During this reporting period</w:t>
      </w:r>
      <w:r w:rsidR="00567CF1" w:rsidRPr="005F4295">
        <w:t>,</w:t>
      </w:r>
      <w:r w:rsidRPr="005F4295">
        <w:t xml:space="preserve"> the Committee also considered a number of other issues. </w:t>
      </w:r>
    </w:p>
    <w:p w14:paraId="2F76E407" w14:textId="2F7A286C" w:rsidR="006E7A55" w:rsidRPr="005F4295" w:rsidRDefault="006E7A55" w:rsidP="00A152A4">
      <w:r w:rsidRPr="005F4295">
        <w:rPr>
          <w:szCs w:val="24"/>
        </w:rPr>
        <w:t xml:space="preserve">The reporting period continued to be affected by the consequences of the </w:t>
      </w:r>
      <w:r w:rsidRPr="005F4295">
        <w:rPr>
          <w:rStyle w:val="Bold"/>
        </w:rPr>
        <w:t xml:space="preserve">succession of unprecedented challenges </w:t>
      </w:r>
      <w:r w:rsidRPr="005F4295">
        <w:rPr>
          <w:szCs w:val="24"/>
        </w:rPr>
        <w:t>impacting the E</w:t>
      </w:r>
      <w:r w:rsidR="00567CF1" w:rsidRPr="005F4295">
        <w:rPr>
          <w:szCs w:val="24"/>
        </w:rPr>
        <w:t>U</w:t>
      </w:r>
      <w:r w:rsidRPr="005F4295">
        <w:rPr>
          <w:szCs w:val="24"/>
        </w:rPr>
        <w:t xml:space="preserve"> since 2020. At various occasions</w:t>
      </w:r>
      <w:r w:rsidR="00082BC8" w:rsidRPr="005F4295">
        <w:rPr>
          <w:szCs w:val="24"/>
        </w:rPr>
        <w:t>,</w:t>
      </w:r>
      <w:r w:rsidRPr="005F4295">
        <w:rPr>
          <w:szCs w:val="24"/>
        </w:rPr>
        <w:t xml:space="preserve"> the Committee took stock of the potential impact of these events on the internal audit work and capacity</w:t>
      </w:r>
      <w:r w:rsidR="000925CB" w:rsidRPr="005F4295">
        <w:rPr>
          <w:szCs w:val="24"/>
        </w:rPr>
        <w:t>,</w:t>
      </w:r>
      <w:r w:rsidRPr="005F4295">
        <w:rPr>
          <w:szCs w:val="24"/>
        </w:rPr>
        <w:t xml:space="preserve"> and was informed about the risks on performance</w:t>
      </w:r>
      <w:r w:rsidR="000925CB" w:rsidRPr="005F4295">
        <w:rPr>
          <w:szCs w:val="24"/>
        </w:rPr>
        <w:t>,</w:t>
      </w:r>
      <w:r w:rsidRPr="005F4295">
        <w:rPr>
          <w:szCs w:val="24"/>
        </w:rPr>
        <w:t xml:space="preserve"> control</w:t>
      </w:r>
      <w:r w:rsidR="000925CB" w:rsidRPr="005F4295">
        <w:rPr>
          <w:szCs w:val="24"/>
        </w:rPr>
        <w:t>,</w:t>
      </w:r>
      <w:r w:rsidRPr="005F4295">
        <w:rPr>
          <w:szCs w:val="24"/>
        </w:rPr>
        <w:t xml:space="preserve"> audit and assurance-building aspects of the implementation of the E</w:t>
      </w:r>
      <w:r w:rsidR="000925CB" w:rsidRPr="005F4295">
        <w:rPr>
          <w:szCs w:val="24"/>
        </w:rPr>
        <w:t>U</w:t>
      </w:r>
      <w:r w:rsidRPr="005F4295">
        <w:rPr>
          <w:szCs w:val="24"/>
        </w:rPr>
        <w:t xml:space="preserve"> budget. </w:t>
      </w:r>
      <w:r w:rsidRPr="005F4295">
        <w:t xml:space="preserve">This occurred especially when considering the internal and external audit planning for 2025 and 2026 </w:t>
      </w:r>
      <w:r w:rsidRPr="005F4295">
        <w:rPr>
          <w:szCs w:val="24"/>
        </w:rPr>
        <w:t xml:space="preserve">and holding the related discussions on </w:t>
      </w:r>
      <w:r w:rsidRPr="005F4295">
        <w:t>the list of critical risks identified by management for 2026 and the Internal Auditor’s overall conclusion on financial management for 2025.</w:t>
      </w:r>
    </w:p>
    <w:p w14:paraId="7F16A8C5" w14:textId="652CC400" w:rsidR="006E7A55" w:rsidRPr="005F4295" w:rsidRDefault="006E7A55" w:rsidP="00A152A4">
      <w:r w:rsidRPr="005F4295">
        <w:t xml:space="preserve">The majority of the Committee’s work between June 2025 and May 2026 related to the four main objectives of its annual work programme: (i) considering the </w:t>
      </w:r>
      <w:r w:rsidRPr="005F4295">
        <w:rPr>
          <w:rStyle w:val="Bold"/>
        </w:rPr>
        <w:t>audit planning</w:t>
      </w:r>
      <w:r w:rsidRPr="005F4295">
        <w:t xml:space="preserve">; (ii) analysing </w:t>
      </w:r>
      <w:r w:rsidRPr="005F4295">
        <w:rPr>
          <w:rStyle w:val="Bold"/>
        </w:rPr>
        <w:t>audit reports</w:t>
      </w:r>
      <w:r w:rsidRPr="005F4295">
        <w:t xml:space="preserve"> and other relevant communications to identify potentially significant risks</w:t>
      </w:r>
      <w:r w:rsidR="00530EDE" w:rsidRPr="005F4295">
        <w:t>,</w:t>
      </w:r>
      <w:r w:rsidRPr="005F4295">
        <w:t xml:space="preserve"> including where appropriate in a thematic manner; (iii) monitoring the </w:t>
      </w:r>
      <w:r w:rsidRPr="005F4295">
        <w:rPr>
          <w:rStyle w:val="Bold"/>
        </w:rPr>
        <w:t>follow-up to significant residual risks</w:t>
      </w:r>
      <w:r w:rsidRPr="005F4295">
        <w:t xml:space="preserve"> identified by internal or external audit work</w:t>
      </w:r>
      <w:r w:rsidR="00530EDE" w:rsidRPr="005F4295">
        <w:t>,</w:t>
      </w:r>
      <w:r w:rsidRPr="005F4295">
        <w:t xml:space="preserve"> including where appropriate in a thematic manner; and (iv) </w:t>
      </w:r>
      <w:r w:rsidR="00447420" w:rsidRPr="005F4295">
        <w:t>e</w:t>
      </w:r>
      <w:r w:rsidRPr="005F4295">
        <w:t xml:space="preserve">nsuring the </w:t>
      </w:r>
      <w:r w:rsidRPr="005F4295">
        <w:rPr>
          <w:rStyle w:val="Bold"/>
        </w:rPr>
        <w:t>independence</w:t>
      </w:r>
      <w:r w:rsidRPr="005F4295">
        <w:t xml:space="preserve"> of the Internal Auditor and monitoring the </w:t>
      </w:r>
      <w:r w:rsidRPr="005F4295">
        <w:rPr>
          <w:rStyle w:val="Bold"/>
        </w:rPr>
        <w:t>quality</w:t>
      </w:r>
      <w:r w:rsidRPr="005F4295">
        <w:t xml:space="preserve"> of internal audit work.</w:t>
      </w:r>
    </w:p>
    <w:p w14:paraId="310C1624" w14:textId="6F933F8E" w:rsidR="00152CB0" w:rsidRPr="005F4295" w:rsidRDefault="00152CB0" w:rsidP="00A152A4">
      <w:pPr>
        <w:rPr>
          <w:szCs w:val="24"/>
        </w:rPr>
      </w:pPr>
      <w:r w:rsidRPr="005F4295">
        <w:t xml:space="preserve">The Committee </w:t>
      </w:r>
      <w:r w:rsidRPr="005F4295">
        <w:rPr>
          <w:szCs w:val="24"/>
        </w:rPr>
        <w:t xml:space="preserve">took note of the </w:t>
      </w:r>
      <w:r w:rsidRPr="005F4295">
        <w:rPr>
          <w:rStyle w:val="Bold"/>
        </w:rPr>
        <w:t>update from the Internal Auditor on the Internal Audit Strategy 2025-2029</w:t>
      </w:r>
      <w:r w:rsidRPr="005F4295">
        <w:rPr>
          <w:szCs w:val="24"/>
        </w:rPr>
        <w:t xml:space="preserve"> and its implementation</w:t>
      </w:r>
      <w:r w:rsidR="00447420" w:rsidRPr="005F4295">
        <w:rPr>
          <w:szCs w:val="24"/>
        </w:rPr>
        <w:t>, a</w:t>
      </w:r>
      <w:r w:rsidR="00B961B8" w:rsidRPr="005F4295">
        <w:rPr>
          <w:szCs w:val="24"/>
        </w:rPr>
        <w:t>nd</w:t>
      </w:r>
      <w:r w:rsidRPr="005F4295">
        <w:rPr>
          <w:szCs w:val="24"/>
        </w:rPr>
        <w:t xml:space="preserve"> of the risk assessment performed by the Internal Audit Service in the last quarter of 2025. It further welcomed the </w:t>
      </w:r>
      <w:r w:rsidRPr="005F4295">
        <w:rPr>
          <w:rStyle w:val="Bold"/>
        </w:rPr>
        <w:t>audit plan for 2026</w:t>
      </w:r>
      <w:r w:rsidRPr="005F4295">
        <w:rPr>
          <w:szCs w:val="24"/>
        </w:rPr>
        <w:t xml:space="preserve"> and the reassurances provided by the Internal Auditor that the audit plan will provide </w:t>
      </w:r>
      <w:r w:rsidRPr="005F4295">
        <w:rPr>
          <w:rStyle w:val="Bold"/>
        </w:rPr>
        <w:t>adequate coverage of the highest risks</w:t>
      </w:r>
      <w:r w:rsidR="00B961B8" w:rsidRPr="005F4295">
        <w:rPr>
          <w:szCs w:val="24"/>
        </w:rPr>
        <w:t>,</w:t>
      </w:r>
      <w:r w:rsidRPr="005F4295">
        <w:rPr>
          <w:szCs w:val="24"/>
        </w:rPr>
        <w:t xml:space="preserve"> in line with the priorities of its audit strategy and </w:t>
      </w:r>
      <w:r w:rsidRPr="005F4295">
        <w:rPr>
          <w:rStyle w:val="Bold"/>
        </w:rPr>
        <w:t>to support the overall conclusion on financial management</w:t>
      </w:r>
      <w:r w:rsidRPr="005F4295">
        <w:rPr>
          <w:szCs w:val="24"/>
        </w:rPr>
        <w:t xml:space="preserve">. The Committee also took note of the </w:t>
      </w:r>
      <w:r w:rsidRPr="005F4295">
        <w:rPr>
          <w:rStyle w:val="Bold"/>
        </w:rPr>
        <w:t>broad convergence between the results of the risk assessments</w:t>
      </w:r>
      <w:r w:rsidRPr="005F4295">
        <w:rPr>
          <w:szCs w:val="24"/>
        </w:rPr>
        <w:t xml:space="preserve"> performed by management and the Internal Audit Service</w:t>
      </w:r>
      <w:r w:rsidR="00B961B8" w:rsidRPr="005F4295">
        <w:rPr>
          <w:szCs w:val="24"/>
        </w:rPr>
        <w:t>,</w:t>
      </w:r>
      <w:r w:rsidRPr="005F4295">
        <w:rPr>
          <w:szCs w:val="24"/>
        </w:rPr>
        <w:t xml:space="preserve"> which continues to illustrate the robustness of the institution’s approach.</w:t>
      </w:r>
    </w:p>
    <w:p w14:paraId="0EF2B08D" w14:textId="3C8202E1" w:rsidR="003315BA" w:rsidRPr="005F4295" w:rsidRDefault="00152CB0" w:rsidP="003315BA">
      <w:pPr>
        <w:shd w:val="clear" w:color="auto" w:fill="FFFFFF" w:themeFill="background1"/>
        <w:spacing w:before="100" w:beforeAutospacing="1" w:after="120"/>
        <w:rPr>
          <w:szCs w:val="24"/>
        </w:rPr>
      </w:pPr>
      <w:r w:rsidRPr="005F4295">
        <w:t xml:space="preserve">The Committee took note of the </w:t>
      </w:r>
      <w:r w:rsidRPr="005F4295">
        <w:rPr>
          <w:rStyle w:val="Bold"/>
        </w:rPr>
        <w:t xml:space="preserve">draft annual internal audit report and the draft overall conclusion </w:t>
      </w:r>
      <w:r w:rsidR="001A18FF" w:rsidRPr="005F4295">
        <w:rPr>
          <w:b/>
          <w:bCs/>
        </w:rPr>
        <w:t xml:space="preserve">on the state of the Commission’s financial management </w:t>
      </w:r>
      <w:r w:rsidRPr="005F4295">
        <w:rPr>
          <w:rStyle w:val="Bold"/>
        </w:rPr>
        <w:t>for 2025</w:t>
      </w:r>
      <w:r w:rsidR="003315BA" w:rsidRPr="005F4295">
        <w:rPr>
          <w:rStyle w:val="Bold"/>
        </w:rPr>
        <w:t xml:space="preserve"> </w:t>
      </w:r>
      <w:r w:rsidR="003315BA" w:rsidRPr="005F4295">
        <w:t>and its placeholders,</w:t>
      </w:r>
      <w:r w:rsidR="003315BA" w:rsidRPr="005F4295">
        <w:rPr>
          <w:szCs w:val="24"/>
        </w:rPr>
        <w:t xml:space="preserve"> and of the fact that it was only qualified by the reservations set out by the services in their annual activity reports. It welcomed the reassurance provided by the Internal Auditor that the risks identified through the audit work were properly reported by the Commission services and, where appropriate, were the subject of reservations by the Directors-General in their </w:t>
      </w:r>
      <w:r w:rsidR="0055798A" w:rsidRPr="005F4295">
        <w:rPr>
          <w:szCs w:val="24"/>
        </w:rPr>
        <w:t>a</w:t>
      </w:r>
      <w:r w:rsidR="003315BA" w:rsidRPr="005F4295">
        <w:rPr>
          <w:szCs w:val="24"/>
        </w:rPr>
        <w:t xml:space="preserve">nnual </w:t>
      </w:r>
      <w:r w:rsidR="0055798A" w:rsidRPr="005F4295">
        <w:rPr>
          <w:szCs w:val="24"/>
        </w:rPr>
        <w:t>a</w:t>
      </w:r>
      <w:r w:rsidR="003315BA" w:rsidRPr="005F4295">
        <w:rPr>
          <w:szCs w:val="24"/>
        </w:rPr>
        <w:t xml:space="preserve">ctivity </w:t>
      </w:r>
      <w:r w:rsidR="0055798A" w:rsidRPr="005F4295">
        <w:rPr>
          <w:szCs w:val="24"/>
        </w:rPr>
        <w:t>r</w:t>
      </w:r>
      <w:r w:rsidR="003315BA" w:rsidRPr="005F4295">
        <w:rPr>
          <w:szCs w:val="24"/>
        </w:rPr>
        <w:t xml:space="preserve">eports. The </w:t>
      </w:r>
      <w:r w:rsidR="0055798A" w:rsidRPr="005F4295">
        <w:rPr>
          <w:szCs w:val="24"/>
        </w:rPr>
        <w:t>c</w:t>
      </w:r>
      <w:r w:rsidR="003315BA" w:rsidRPr="005F4295">
        <w:rPr>
          <w:szCs w:val="24"/>
        </w:rPr>
        <w:t xml:space="preserve">ommittee took note of the emphasis of matter raised by the Internal Auditor, which did not qualify the overall conclusion, but drew the attention of the College and the authorising officers by delegation to the need to ensure that the control and assurance framework remains robust, proportionate and effective to manage risks to an acceptable level. In particular, it took note of the issues raised, namely the expansion of financial operations of the Union, the need for continued oversight of the budget implemented by the Member States and/or third parties, the continued shift towards more performance-based delivery models, the need to finalise and implement the control and audit strategies for the current programming period while ensuring that the assurance model under the next one is defined from the outset and, lastly, the need for the Commission to optimise the use of limited human resources and appropriate technological resources. The </w:t>
      </w:r>
      <w:r w:rsidR="00782DC5" w:rsidRPr="005F4295">
        <w:rPr>
          <w:szCs w:val="24"/>
        </w:rPr>
        <w:t>c</w:t>
      </w:r>
      <w:r w:rsidR="003315BA" w:rsidRPr="005F4295">
        <w:rPr>
          <w:szCs w:val="24"/>
        </w:rPr>
        <w:t>ommittee took note of the state of play of the preparation of the 2025 Annual Management and Performance Report as presented by the Secretariat-General and the Directorate-General for Budget, highlighting the key challenges faced by the Commission and welcomed the reassuring messages from the central services on the reported achievements in internal control and financial management, and that the EU budget is well managed and protected and continues to deliver on the Commission’s overall objectives.</w:t>
      </w:r>
    </w:p>
    <w:p w14:paraId="218343A9" w14:textId="1A8EA733" w:rsidR="00C23CB8" w:rsidRPr="005F4295" w:rsidRDefault="00C23CB8" w:rsidP="00A152A4">
      <w:r w:rsidRPr="005F4295">
        <w:t>During the reporting period</w:t>
      </w:r>
      <w:r w:rsidR="00480FC2" w:rsidRPr="005F4295">
        <w:t>,</w:t>
      </w:r>
      <w:r w:rsidRPr="005F4295">
        <w:t xml:space="preserve"> the Committee examined audit reports on an individual or thematic basis according to the seriousness or significance of the findings. It examined 1</w:t>
      </w:r>
      <w:r w:rsidR="007006E2" w:rsidRPr="005F4295">
        <w:t>3</w:t>
      </w:r>
      <w:r w:rsidRPr="005F4295">
        <w:t xml:space="preserve"> final audit reports from the Internal Audit Service in the presence of the audited services. The Committee held discussions on important topics such as data protection</w:t>
      </w:r>
      <w:r w:rsidR="00B961B8" w:rsidRPr="005F4295">
        <w:t>,</w:t>
      </w:r>
      <w:r w:rsidRPr="005F4295">
        <w:t xml:space="preserve"> </w:t>
      </w:r>
      <w:r w:rsidR="00B961B8" w:rsidRPr="005F4295">
        <w:t>h</w:t>
      </w:r>
      <w:r w:rsidRPr="005F4295">
        <w:t xml:space="preserve">uman </w:t>
      </w:r>
      <w:r w:rsidR="00B961B8" w:rsidRPr="005F4295">
        <w:t>r</w:t>
      </w:r>
      <w:r w:rsidRPr="005F4295">
        <w:t>esources</w:t>
      </w:r>
      <w:r w:rsidR="00B961B8" w:rsidRPr="005F4295">
        <w:t>,</w:t>
      </w:r>
      <w:r w:rsidRPr="005F4295">
        <w:t xml:space="preserve"> IT security and financial management and financial instruments.</w:t>
      </w:r>
    </w:p>
    <w:p w14:paraId="5CC8F968" w14:textId="4CF159CA" w:rsidR="005677DE" w:rsidRPr="005F4295" w:rsidRDefault="005677DE" w:rsidP="00A152A4">
      <w:r w:rsidRPr="005F4295">
        <w:t>During the reporting period</w:t>
      </w:r>
      <w:r w:rsidR="002B6F8E" w:rsidRPr="005F4295">
        <w:t>,</w:t>
      </w:r>
      <w:r w:rsidRPr="005F4295">
        <w:t xml:space="preserve"> the Committee monitored the effective implementation of internal audit recommendations by reviewing and discussing the quarterly reports on long-overdue recommendations. </w:t>
      </w:r>
      <w:r w:rsidR="0025717F" w:rsidRPr="005F4295">
        <w:t xml:space="preserve">All </w:t>
      </w:r>
      <w:r w:rsidR="0025717F" w:rsidRPr="005F4295">
        <w:rPr>
          <w:lang w:eastAsia="en-US"/>
        </w:rPr>
        <w:t>‘critical’ and almost</w:t>
      </w:r>
      <w:r w:rsidR="0025717F" w:rsidRPr="005F4295">
        <w:t xml:space="preserve"> all </w:t>
      </w:r>
      <w:r w:rsidRPr="005F4295">
        <w:t>‘very important’ recommendations</w:t>
      </w:r>
      <w:r w:rsidRPr="005F4295">
        <w:rPr>
          <w:rFonts w:ascii="Calibri" w:hAnsi="Calibri" w:cs="Calibri"/>
        </w:rPr>
        <w:t> </w:t>
      </w:r>
      <w:r w:rsidRPr="005F4295">
        <w:t>(</w:t>
      </w:r>
      <w:r w:rsidRPr="005F4295">
        <w:rPr>
          <w:rStyle w:val="FootnoteReference"/>
        </w:rPr>
        <w:footnoteReference w:id="31"/>
      </w:r>
      <w:r w:rsidRPr="005F4295">
        <w:t>) issued by the Internal Audit Service and discussed during the reporting period were accepted by the audited services and management established action plans to address the risks identified. Overall</w:t>
      </w:r>
      <w:r w:rsidR="00775690" w:rsidRPr="005F4295">
        <w:t>,</w:t>
      </w:r>
      <w:r w:rsidRPr="005F4295">
        <w:t xml:space="preserve"> </w:t>
      </w:r>
      <w:r w:rsidRPr="005F4295">
        <w:rPr>
          <w:rStyle w:val="Bold"/>
        </w:rPr>
        <w:t>the situation for the implementation of the recommendations was very satisfactory.</w:t>
      </w:r>
    </w:p>
    <w:p w14:paraId="2514E7EB" w14:textId="0F90ED89" w:rsidR="005677DE" w:rsidRPr="005F4295" w:rsidRDefault="005677DE" w:rsidP="00A152A4">
      <w:r w:rsidRPr="005F4295">
        <w:t>The rate of the Internal Auditor’s recommendations issued between 2021 and 2025 that were found to have been effectively implemented in an Internal Audit Service follow-up audit was 94%. Based on the information provided by the Internal Audit Service</w:t>
      </w:r>
      <w:r w:rsidR="00D14F8F" w:rsidRPr="005F4295">
        <w:t>,</w:t>
      </w:r>
      <w:r w:rsidRPr="005F4295">
        <w:t xml:space="preserve"> </w:t>
      </w:r>
      <w:r w:rsidR="001C42BA" w:rsidRPr="005F4295">
        <w:t>overall,</w:t>
      </w:r>
      <w:r w:rsidRPr="005F4295">
        <w:t xml:space="preserve"> the number of</w:t>
      </w:r>
      <w:r w:rsidR="00E06906" w:rsidRPr="005F4295">
        <w:t xml:space="preserve"> ‘critical’ and</w:t>
      </w:r>
      <w:r w:rsidRPr="005F4295">
        <w:t xml:space="preserve"> ‘very important’ audit recommendations that are more than </w:t>
      </w:r>
      <w:r w:rsidR="00B05B49" w:rsidRPr="005F4295">
        <w:t>six</w:t>
      </w:r>
      <w:r w:rsidRPr="005F4295">
        <w:t xml:space="preserve"> months overdue has fallen considerably over recent years</w:t>
      </w:r>
      <w:r w:rsidR="002118B4" w:rsidRPr="005F4295">
        <w:t>,</w:t>
      </w:r>
      <w:r w:rsidRPr="005F4295">
        <w:t xml:space="preserve"> as shown in the chart below.</w:t>
      </w:r>
    </w:p>
    <w:p w14:paraId="6ABF8473" w14:textId="695BC95F" w:rsidR="0000552B" w:rsidRPr="005F4295" w:rsidRDefault="00EB70E0" w:rsidP="00B71AD3">
      <w:pPr>
        <w:pStyle w:val="ImageTitle"/>
      </w:pPr>
      <w:r w:rsidRPr="005F4295">
        <w:t>Number of critical and very important Internal Audit Service recommendations overdue for more than six months</w:t>
      </w:r>
    </w:p>
    <w:p w14:paraId="465DAE52" w14:textId="262857D0" w:rsidR="00EB70E0" w:rsidRPr="005F4295" w:rsidRDefault="009A0E49" w:rsidP="00A152A4">
      <w:pPr>
        <w:pStyle w:val="ImagePlaceholder"/>
      </w:pPr>
      <w:r w:rsidRPr="009A0E49">
        <w:rPr>
          <w:noProof/>
        </w:rPr>
        <w:drawing>
          <wp:inline distT="0" distB="0" distL="0" distR="0" wp14:anchorId="74BD8DE4" wp14:editId="08981C95">
            <wp:extent cx="5552035" cy="2479853"/>
            <wp:effectExtent l="0" t="0" r="0" b="0"/>
            <wp:docPr id="8" name="Picture 7">
              <a:extLst xmlns:a="http://schemas.openxmlformats.org/drawingml/2006/main">
                <a:ext uri="{FF2B5EF4-FFF2-40B4-BE49-F238E27FC236}">
                  <a16:creationId xmlns:a16="http://schemas.microsoft.com/office/drawing/2014/main" id="{D9BC0D5D-DB3B-8726-FC71-F4B4B697C5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9BC0D5D-DB3B-8726-FC71-F4B4B697C54F}"/>
                        </a:ext>
                      </a:extLst>
                    </pic:cNvPr>
                    <pic:cNvPicPr>
                      <a:picLocks noChangeAspect="1"/>
                    </pic:cNvPicPr>
                  </pic:nvPicPr>
                  <pic:blipFill rotWithShape="1">
                    <a:blip r:embed="rId92"/>
                    <a:srcRect l="2921" r="3227" b="6869"/>
                    <a:stretch>
                      <a:fillRect/>
                    </a:stretch>
                  </pic:blipFill>
                  <pic:spPr bwMode="auto">
                    <a:xfrm>
                      <a:off x="0" y="0"/>
                      <a:ext cx="5560438" cy="2483606"/>
                    </a:xfrm>
                    <a:prstGeom prst="rect">
                      <a:avLst/>
                    </a:prstGeom>
                    <a:ln>
                      <a:noFill/>
                    </a:ln>
                    <a:extLst>
                      <a:ext uri="{53640926-AAD7-44D8-BBD7-CCE9431645EC}">
                        <a14:shadowObscured xmlns:a14="http://schemas.microsoft.com/office/drawing/2010/main"/>
                      </a:ext>
                    </a:extLst>
                  </pic:spPr>
                </pic:pic>
              </a:graphicData>
            </a:graphic>
          </wp:inline>
        </w:drawing>
      </w:r>
    </w:p>
    <w:p w14:paraId="12F54B9F" w14:textId="77777777" w:rsidR="00EB70E0" w:rsidRPr="005F4295" w:rsidRDefault="00EB70E0" w:rsidP="00EB70E0">
      <w:pPr>
        <w:pStyle w:val="ImageSource"/>
        <w:rPr>
          <w:color w:val="000000" w:themeColor="dark1"/>
        </w:rPr>
      </w:pPr>
      <w:r w:rsidRPr="005F4295">
        <w:rPr>
          <w:rStyle w:val="Italic"/>
        </w:rPr>
        <w:t>Source:</w:t>
      </w:r>
      <w:r w:rsidRPr="005F4295">
        <w:rPr>
          <w:color w:val="000000" w:themeColor="dark1"/>
        </w:rPr>
        <w:t xml:space="preserve"> European Commission.</w:t>
      </w:r>
    </w:p>
    <w:p w14:paraId="07B45C7C" w14:textId="1C7E404E" w:rsidR="003006AF" w:rsidRPr="005F4295" w:rsidRDefault="003006AF" w:rsidP="007D6F5B">
      <w:pPr>
        <w:keepLines/>
      </w:pPr>
      <w:bookmarkStart w:id="72" w:name="_Toc3814038"/>
      <w:r w:rsidRPr="005F4295">
        <w:t>During the reporting period</w:t>
      </w:r>
      <w:r w:rsidR="002118B4" w:rsidRPr="005F4295">
        <w:t>,</w:t>
      </w:r>
      <w:r w:rsidRPr="005F4295">
        <w:t xml:space="preserve"> the Committee also </w:t>
      </w:r>
      <w:r w:rsidRPr="005F4295">
        <w:rPr>
          <w:szCs w:val="24"/>
        </w:rPr>
        <w:t xml:space="preserve">continued its exchanges with the European Court of Auditors and held a discussion with the external auditor </w:t>
      </w:r>
      <w:bookmarkStart w:id="73" w:name="_Hlk227144213"/>
      <w:r w:rsidRPr="005F4295">
        <w:rPr>
          <w:szCs w:val="24"/>
        </w:rPr>
        <w:t xml:space="preserve">on its </w:t>
      </w:r>
      <w:r w:rsidR="003D3E9F" w:rsidRPr="005F4295">
        <w:rPr>
          <w:szCs w:val="24"/>
        </w:rPr>
        <w:t xml:space="preserve">2026-2030 </w:t>
      </w:r>
      <w:r w:rsidRPr="005F4295">
        <w:rPr>
          <w:szCs w:val="24"/>
        </w:rPr>
        <w:t>multiannual strategy and its annual work programme for 2026</w:t>
      </w:r>
      <w:bookmarkEnd w:id="73"/>
      <w:r w:rsidRPr="005F4295">
        <w:rPr>
          <w:szCs w:val="24"/>
        </w:rPr>
        <w:t xml:space="preserve">. It </w:t>
      </w:r>
      <w:r w:rsidRPr="005F4295">
        <w:t>also continued to scrutinise the state of play of implementation of the Court</w:t>
      </w:r>
      <w:r w:rsidR="00C56793" w:rsidRPr="005F4295">
        <w:t xml:space="preserve"> </w:t>
      </w:r>
      <w:r w:rsidR="00C56793" w:rsidRPr="005F4295">
        <w:rPr>
          <w:szCs w:val="24"/>
        </w:rPr>
        <w:t>of Auditor</w:t>
      </w:r>
      <w:r w:rsidRPr="005F4295">
        <w:t>’s recommendations</w:t>
      </w:r>
      <w:r w:rsidR="00CD60D8" w:rsidRPr="005F4295">
        <w:t>,</w:t>
      </w:r>
      <w:r w:rsidRPr="005F4295">
        <w:rPr>
          <w:rStyle w:val="Bold"/>
        </w:rPr>
        <w:t xml:space="preserve"> </w:t>
      </w:r>
      <w:r w:rsidRPr="005F4295">
        <w:t>which remained high and therefore satisfactory</w:t>
      </w:r>
      <w:r w:rsidR="00035E50" w:rsidRPr="005F4295">
        <w:t xml:space="preserve">, </w:t>
      </w:r>
      <w:r w:rsidR="00DC4F4A" w:rsidRPr="005F4295">
        <w:t>with none of the outstanding recommendations relating to the reliability of the European Union consolidated accounts</w:t>
      </w:r>
      <w:r w:rsidR="00A225B3" w:rsidRPr="005F4295">
        <w:t xml:space="preserve">. </w:t>
      </w:r>
      <w:r w:rsidR="0007364F" w:rsidRPr="005F4295">
        <w:t xml:space="preserve">It also scrutinised the </w:t>
      </w:r>
      <w:r w:rsidRPr="005F4295">
        <w:t>Commission’s follow-up to the Court</w:t>
      </w:r>
      <w:r w:rsidR="00D277A7" w:rsidRPr="005F4295">
        <w:t xml:space="preserve"> </w:t>
      </w:r>
      <w:r w:rsidR="00D277A7" w:rsidRPr="005F4295">
        <w:rPr>
          <w:szCs w:val="24"/>
        </w:rPr>
        <w:t>of Auditor</w:t>
      </w:r>
      <w:r w:rsidRPr="005F4295">
        <w:t>’s 18</w:t>
      </w:r>
      <w:r w:rsidR="00ED4CAD" w:rsidRPr="005F4295">
        <w:rPr>
          <w:vertAlign w:val="superscript"/>
        </w:rPr>
        <w:t>th</w:t>
      </w:r>
      <w:r w:rsidR="00ED4CAD" w:rsidRPr="005F4295">
        <w:t xml:space="preserve"> </w:t>
      </w:r>
      <w:r w:rsidRPr="005F4295">
        <w:t>consecutive clean opinion on the reliability of the E</w:t>
      </w:r>
      <w:r w:rsidR="00681403" w:rsidRPr="005F4295">
        <w:t>U’s</w:t>
      </w:r>
      <w:r w:rsidRPr="005F4295">
        <w:t xml:space="preserve"> consolidated accounts.</w:t>
      </w:r>
    </w:p>
    <w:p w14:paraId="2D4CB20D" w14:textId="36929B85" w:rsidR="003006AF" w:rsidRPr="005F4295" w:rsidRDefault="003006AF" w:rsidP="00A152A4">
      <w:r w:rsidRPr="005F4295">
        <w:t>The Committee remains an effective player in the Commission’s governance structures and continues to play an important role in enhancing governance</w:t>
      </w:r>
      <w:r w:rsidR="002224C7" w:rsidRPr="005F4295">
        <w:t>,</w:t>
      </w:r>
      <w:r w:rsidRPr="005F4295">
        <w:t xml:space="preserve"> organisational performance and accountability across the entire organisation.</w:t>
      </w:r>
    </w:p>
    <w:p w14:paraId="5419A194" w14:textId="77777777" w:rsidR="00DB4D23" w:rsidRPr="005F4295" w:rsidRDefault="00DB4D23" w:rsidP="00A152A4"/>
    <w:p w14:paraId="423D12CA" w14:textId="77777777" w:rsidR="00DB4D23" w:rsidRPr="005F4295" w:rsidRDefault="00DB4D23" w:rsidP="00A152A4"/>
    <w:bookmarkEnd w:id="72"/>
    <w:p w14:paraId="65F22DD3" w14:textId="77777777" w:rsidR="00EB70E0" w:rsidRPr="005F4295" w:rsidRDefault="00EB70E0" w:rsidP="00EB70E0">
      <w:pPr>
        <w:sectPr w:rsidR="00EB70E0" w:rsidRPr="005F4295" w:rsidSect="00EB70E0">
          <w:headerReference w:type="even" r:id="rId93"/>
          <w:headerReference w:type="default" r:id="rId94"/>
          <w:footerReference w:type="even" r:id="rId95"/>
          <w:footerReference w:type="default" r:id="rId96"/>
          <w:headerReference w:type="first" r:id="rId97"/>
          <w:footerReference w:type="first" r:id="rId98"/>
          <w:endnotePr>
            <w:pos w:val="sectEnd"/>
            <w:numFmt w:val="lowerLetter"/>
          </w:endnotePr>
          <w:pgSz w:w="11907" w:h="16839" w:code="9"/>
          <w:pgMar w:top="1418" w:right="1418" w:bottom="1418" w:left="1418" w:header="680" w:footer="567" w:gutter="0"/>
          <w:cols w:space="720"/>
          <w:docGrid w:linePitch="272"/>
        </w:sectPr>
      </w:pPr>
    </w:p>
    <w:p w14:paraId="16D4F024" w14:textId="77777777" w:rsidR="00EB70E0" w:rsidRPr="005F4295" w:rsidRDefault="00EB70E0" w:rsidP="00EB70E0">
      <w:r w:rsidRPr="005F4295">
        <w:rPr>
          <w:noProof/>
        </w:rPr>
        <mc:AlternateContent>
          <mc:Choice Requires="wps">
            <w:drawing>
              <wp:anchor distT="0" distB="0" distL="114300" distR="114300" simplePos="0" relativeHeight="251658242" behindDoc="0" locked="1" layoutInCell="1" allowOverlap="1" wp14:anchorId="4DD21102" wp14:editId="0EE35A50">
                <wp:simplePos x="0" y="0"/>
                <wp:positionH relativeFrom="column">
                  <wp:posOffset>2376170</wp:posOffset>
                </wp:positionH>
                <wp:positionV relativeFrom="page">
                  <wp:posOffset>3240405</wp:posOffset>
                </wp:positionV>
                <wp:extent cx="3600000" cy="5040000"/>
                <wp:effectExtent l="0" t="0" r="0" b="0"/>
                <wp:wrapNone/>
                <wp:docPr id="3248" name="Text Box 3248"/>
                <wp:cNvGraphicFramePr/>
                <a:graphic xmlns:a="http://schemas.openxmlformats.org/drawingml/2006/main">
                  <a:graphicData uri="http://schemas.microsoft.com/office/word/2010/wordprocessingShape">
                    <wps:wsp>
                      <wps:cNvSpPr txBox="1"/>
                      <wps:spPr>
                        <a:xfrm>
                          <a:off x="0" y="0"/>
                          <a:ext cx="3600000" cy="5040000"/>
                        </a:xfrm>
                        <a:prstGeom prst="rect">
                          <a:avLst/>
                        </a:prstGeom>
                        <a:noFill/>
                        <a:ln w="6350">
                          <a:noFill/>
                        </a:ln>
                      </wps:spPr>
                      <wps:txbx>
                        <w:txbxContent>
                          <w:p w14:paraId="4508B37E" w14:textId="77777777"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8</w:t>
                            </w:r>
                            <w:r>
                              <w:rPr>
                                <w:rFonts w:ascii="Calibri" w:eastAsiaTheme="minorHAnsi" w:hAnsi="Calibri" w:cs="Calibri"/>
                              </w:rPr>
                              <w:t> </w:t>
                            </w:r>
                            <w:r w:rsidRPr="007F744E">
                              <w:rPr>
                                <w:rFonts w:eastAsiaTheme="minorHAnsi"/>
                              </w:rPr>
                              <w:t xml:space="preserve">– </w:t>
                            </w:r>
                            <w:r w:rsidRPr="00216955">
                              <w:rPr>
                                <w:rFonts w:eastAsiaTheme="minorHAnsi"/>
                              </w:rPr>
                              <w:t>Compliance with payment time limits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21102" id="Text Box 3248" o:spid="_x0000_s1029" type="#_x0000_t202" style="position:absolute;margin-left:187.1pt;margin-top:255.15pt;width:283.45pt;height:396.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" filled="f" stroked="f" strokeweight=".5pt">
                <v:textbox>
                  <w:txbxContent>
                    <w:p w14:paraId="4508B37E" w14:textId="77777777"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8</w:t>
                      </w:r>
                      <w:r>
                        <w:rPr>
                          <w:rFonts w:ascii="Calibri" w:eastAsiaTheme="minorHAnsi" w:hAnsi="Calibri" w:cs="Calibri"/>
                        </w:rPr>
                        <w:t> </w:t>
                      </w:r>
                      <w:r w:rsidRPr="007F744E">
                        <w:rPr>
                          <w:rFonts w:eastAsiaTheme="minorHAnsi"/>
                        </w:rPr>
                        <w:t xml:space="preserve">– </w:t>
                      </w:r>
                      <w:r w:rsidRPr="00216955">
                        <w:rPr>
                          <w:rFonts w:eastAsiaTheme="minorHAnsi"/>
                        </w:rPr>
                        <w:t>Compliance with payment time limits</w:t>
                      </w:r>
                    </w:p>
                  </w:txbxContent>
                </v:textbox>
                <w10:wrap anchory="page"/>
                <w10:anchorlock/>
              </v:shape>
            </w:pict>
          </mc:Fallback>
        </mc:AlternateContent>
      </w:r>
    </w:p>
    <w:p w14:paraId="020D4B8E" w14:textId="77777777" w:rsidR="00EB70E0" w:rsidRPr="005F4295" w:rsidRDefault="00EB70E0" w:rsidP="00EB70E0">
      <w:pPr>
        <w:rPr>
          <w:noProof/>
          <w:highlight w:val="lightGray"/>
        </w:rPr>
        <w:sectPr w:rsidR="00EB70E0" w:rsidRPr="005F4295" w:rsidSect="00EB70E0">
          <w:headerReference w:type="even" r:id="rId99"/>
          <w:headerReference w:type="default" r:id="rId100"/>
          <w:footerReference w:type="even" r:id="rId101"/>
          <w:footerReference w:type="default" r:id="rId102"/>
          <w:headerReference w:type="first" r:id="rId103"/>
          <w:footerReference w:type="first" r:id="rId104"/>
          <w:endnotePr>
            <w:pos w:val="sectEnd"/>
            <w:numFmt w:val="lowerLetter"/>
          </w:endnotePr>
          <w:type w:val="oddPage"/>
          <w:pgSz w:w="11907" w:h="16839" w:code="9"/>
          <w:pgMar w:top="1418" w:right="1418" w:bottom="1418" w:left="1418" w:header="680" w:footer="567" w:gutter="0"/>
          <w:cols w:space="720"/>
          <w:docGrid w:linePitch="272"/>
        </w:sectPr>
      </w:pPr>
    </w:p>
    <w:p w14:paraId="53183C15" w14:textId="77777777" w:rsidR="00EB70E0" w:rsidRPr="005F4295" w:rsidRDefault="00EB70E0" w:rsidP="00EB70E0"/>
    <w:p w14:paraId="63C5E5FE" w14:textId="77777777" w:rsidR="00EB70E0" w:rsidRPr="005F4295" w:rsidRDefault="00EB70E0" w:rsidP="00EB70E0">
      <w:pPr>
        <w:rPr>
          <w:noProof/>
          <w:highlight w:val="lightGray"/>
        </w:rPr>
        <w:sectPr w:rsidR="00EB70E0" w:rsidRPr="005F4295" w:rsidSect="00EB70E0">
          <w:headerReference w:type="even" r:id="rId105"/>
          <w:headerReference w:type="default" r:id="rId106"/>
          <w:footerReference w:type="even" r:id="rId107"/>
          <w:footerReference w:type="default" r:id="rId108"/>
          <w:headerReference w:type="first" r:id="rId109"/>
          <w:footerReference w:type="first" r:id="rId110"/>
          <w:endnotePr>
            <w:pos w:val="sectEnd"/>
            <w:numFmt w:val="lowerLetter"/>
          </w:endnotePr>
          <w:pgSz w:w="11907" w:h="16839" w:code="9"/>
          <w:pgMar w:top="1418" w:right="1418" w:bottom="1418" w:left="1418" w:header="680" w:footer="567" w:gutter="0"/>
          <w:cols w:space="720"/>
          <w:docGrid w:linePitch="272"/>
        </w:sectPr>
      </w:pPr>
    </w:p>
    <w:p w14:paraId="3A15357D" w14:textId="646E9D79" w:rsidR="00EB70E0" w:rsidRPr="005F4295" w:rsidRDefault="00EB70E0" w:rsidP="00EB70E0">
      <w:pPr>
        <w:pStyle w:val="HeadingT-AnnexesL1"/>
        <w:rPr>
          <w:noProof/>
        </w:rPr>
      </w:pPr>
      <w:bookmarkStart w:id="74" w:name="_Toc130821438"/>
      <w:bookmarkStart w:id="75" w:name="_Toc130832083"/>
      <w:bookmarkStart w:id="76" w:name="_Toc166086402"/>
      <w:bookmarkStart w:id="77" w:name="_Toc168585096"/>
      <w:bookmarkStart w:id="78" w:name="_Toc229386278"/>
      <w:bookmarkStart w:id="79" w:name="_Toc231914922"/>
      <w:bookmarkStart w:id="80" w:name="_Toc231480276"/>
      <w:r w:rsidRPr="005F4295">
        <w:rPr>
          <w:noProof/>
        </w:rPr>
        <w:t>Annex</w:t>
      </w:r>
      <w:r w:rsidRPr="005F4295">
        <w:rPr>
          <w:rFonts w:ascii="Calibri" w:hAnsi="Calibri" w:cs="Calibri"/>
          <w:noProof/>
        </w:rPr>
        <w:t> </w:t>
      </w:r>
      <w:r w:rsidRPr="005F4295">
        <w:rPr>
          <w:noProof/>
        </w:rPr>
        <w:t>8</w:t>
      </w:r>
      <w:r w:rsidRPr="005F4295">
        <w:rPr>
          <w:rFonts w:ascii="Calibri" w:hAnsi="Calibri" w:cs="Calibri"/>
          <w:noProof/>
        </w:rPr>
        <w:t> </w:t>
      </w:r>
      <w:r w:rsidRPr="005F4295">
        <w:rPr>
          <w:noProof/>
        </w:rPr>
        <w:t xml:space="preserve">– </w:t>
      </w:r>
      <w:bookmarkEnd w:id="74"/>
      <w:bookmarkEnd w:id="75"/>
      <w:r w:rsidRPr="005F4295">
        <w:rPr>
          <w:noProof/>
        </w:rPr>
        <w:t>Compliance with payment</w:t>
      </w:r>
      <w:r w:rsidR="00F33BD5" w:rsidRPr="005F4295">
        <w:br/>
      </w:r>
      <w:r w:rsidRPr="005F4295">
        <w:rPr>
          <w:noProof/>
        </w:rPr>
        <w:t>time limits</w:t>
      </w:r>
      <w:bookmarkEnd w:id="76"/>
      <w:bookmarkEnd w:id="77"/>
      <w:bookmarkEnd w:id="78"/>
      <w:bookmarkEnd w:id="79"/>
      <w:bookmarkEnd w:id="80"/>
    </w:p>
    <w:p w14:paraId="5AB1CBAF" w14:textId="31651369" w:rsidR="00EB70E0" w:rsidRPr="005F4295" w:rsidRDefault="00EB70E0" w:rsidP="00EB70E0">
      <w:pPr>
        <w:rPr>
          <w:noProof/>
        </w:rPr>
      </w:pPr>
      <w:r w:rsidRPr="005F4295">
        <w:rPr>
          <w:noProof/>
        </w:rPr>
        <w:t xml:space="preserve">The </w:t>
      </w:r>
      <w:r w:rsidRPr="005F4295">
        <w:rPr>
          <w:rStyle w:val="Bold"/>
          <w:noProof/>
        </w:rPr>
        <w:t>statutory time limits</w:t>
      </w:r>
      <w:r w:rsidRPr="005F4295">
        <w:rPr>
          <w:noProof/>
        </w:rPr>
        <w:t xml:space="preserve"> for payments are laid down in the Financial Regulation on the financial rules applicable to the general budget of the EU</w:t>
      </w:r>
      <w:r w:rsidRPr="005F4295">
        <w:rPr>
          <w:rFonts w:ascii="Calibri" w:hAnsi="Calibri" w:cs="Calibri"/>
          <w:noProof/>
        </w:rPr>
        <w:t> </w:t>
      </w:r>
      <w:r w:rsidRPr="005F4295">
        <w:rPr>
          <w:noProof/>
        </w:rPr>
        <w:t>(</w:t>
      </w:r>
      <w:r w:rsidRPr="005F4295">
        <w:rPr>
          <w:rStyle w:val="FootnoteReference"/>
        </w:rPr>
        <w:footnoteReference w:id="32"/>
      </w:r>
      <w:r w:rsidRPr="005F4295">
        <w:rPr>
          <w:noProof/>
        </w:rPr>
        <w:t>). There are also some exceptionally applied time limits</w:t>
      </w:r>
      <w:r w:rsidR="00B35263" w:rsidRPr="005F4295">
        <w:rPr>
          <w:noProof/>
        </w:rPr>
        <w:t>,</w:t>
      </w:r>
      <w:r w:rsidRPr="005F4295">
        <w:rPr>
          <w:noProof/>
        </w:rPr>
        <w:t xml:space="preserve"> which are detailed in sector-specific regulations.</w:t>
      </w:r>
    </w:p>
    <w:p w14:paraId="46F67600" w14:textId="456394BF" w:rsidR="00393968" w:rsidRPr="005F4295" w:rsidRDefault="00393968" w:rsidP="00393968">
      <w:pPr>
        <w:rPr>
          <w:noProof/>
        </w:rPr>
      </w:pPr>
      <w:r w:rsidRPr="005F4295">
        <w:rPr>
          <w:noProof/>
        </w:rPr>
        <w:t>Article</w:t>
      </w:r>
      <w:r w:rsidRPr="005F4295">
        <w:rPr>
          <w:rFonts w:ascii="Calibri" w:hAnsi="Calibri" w:cs="Calibri"/>
          <w:noProof/>
        </w:rPr>
        <w:t> </w:t>
      </w:r>
      <w:r w:rsidRPr="005F4295">
        <w:rPr>
          <w:noProof/>
        </w:rPr>
        <w:t xml:space="preserve">116 of the </w:t>
      </w:r>
      <w:r w:rsidR="00997AA5" w:rsidRPr="005F4295">
        <w:rPr>
          <w:noProof/>
        </w:rPr>
        <w:t>F</w:t>
      </w:r>
      <w:r w:rsidRPr="005F4295">
        <w:rPr>
          <w:noProof/>
        </w:rPr>
        <w:t xml:space="preserve">inancial </w:t>
      </w:r>
      <w:r w:rsidR="00997AA5" w:rsidRPr="005F4295">
        <w:rPr>
          <w:noProof/>
        </w:rPr>
        <w:t>R</w:t>
      </w:r>
      <w:r w:rsidRPr="005F4295">
        <w:rPr>
          <w:noProof/>
        </w:rPr>
        <w:t>egulation foresees that payments to creditors must be made within the deadlines of 30, 60 or 90</w:t>
      </w:r>
      <w:r w:rsidRPr="005F4295">
        <w:rPr>
          <w:rFonts w:ascii="Calibri" w:hAnsi="Calibri" w:cs="Calibri"/>
          <w:noProof/>
        </w:rPr>
        <w:t> </w:t>
      </w:r>
      <w:r w:rsidRPr="005F4295">
        <w:rPr>
          <w:noProof/>
        </w:rPr>
        <w:t>days, depending on how demanding and complex it is to test the deliverables against the contractual obligations. For contracts and grant agreements for which payment depends on the approval of a report or a certificate, the time limit for the purposes of the payment periods is no longer automatically suspended until the report or certificate in question has been approved.</w:t>
      </w:r>
    </w:p>
    <w:p w14:paraId="339AB28B" w14:textId="0DC33DE8" w:rsidR="00EB70E0" w:rsidRPr="005F4295" w:rsidRDefault="00EB70E0" w:rsidP="00EB70E0">
      <w:pPr>
        <w:rPr>
          <w:noProof/>
        </w:rPr>
      </w:pPr>
      <w:r w:rsidRPr="005F4295">
        <w:rPr>
          <w:noProof/>
        </w:rPr>
        <w:t>The period of two months remains valid for payments under Article</w:t>
      </w:r>
      <w:r w:rsidRPr="005F4295">
        <w:rPr>
          <w:rFonts w:ascii="Calibri" w:hAnsi="Calibri" w:cs="Calibri"/>
          <w:noProof/>
        </w:rPr>
        <w:t> </w:t>
      </w:r>
      <w:r w:rsidRPr="005F4295">
        <w:rPr>
          <w:noProof/>
        </w:rPr>
        <w:t>93 of the Common Provisions Regulation</w:t>
      </w:r>
      <w:r w:rsidRPr="005F4295">
        <w:rPr>
          <w:rFonts w:ascii="Calibri" w:hAnsi="Calibri" w:cs="Calibri"/>
          <w:noProof/>
        </w:rPr>
        <w:t> </w:t>
      </w:r>
      <w:r w:rsidRPr="005F4295">
        <w:rPr>
          <w:noProof/>
        </w:rPr>
        <w:t>(</w:t>
      </w:r>
      <w:r w:rsidRPr="005F4295">
        <w:rPr>
          <w:rStyle w:val="FootnoteReference"/>
        </w:rPr>
        <w:footnoteReference w:id="33"/>
      </w:r>
      <w:r w:rsidRPr="005F4295">
        <w:rPr>
          <w:noProof/>
        </w:rPr>
        <w:t>) laying down the general provisions on the European Regional Development Fund</w:t>
      </w:r>
      <w:r w:rsidR="00A43DF3" w:rsidRPr="005F4295">
        <w:rPr>
          <w:noProof/>
        </w:rPr>
        <w:t>,</w:t>
      </w:r>
      <w:r w:rsidRPr="005F4295">
        <w:rPr>
          <w:noProof/>
        </w:rPr>
        <w:t xml:space="preserve"> the European Social Fund and the Cohesion Fund.</w:t>
      </w:r>
    </w:p>
    <w:p w14:paraId="63CB984B" w14:textId="77777777" w:rsidR="0010608E" w:rsidRPr="005F4295" w:rsidRDefault="0010608E" w:rsidP="0010608E">
      <w:pPr>
        <w:rPr>
          <w:noProof/>
        </w:rPr>
      </w:pPr>
      <w:r w:rsidRPr="005F4295">
        <w:rPr>
          <w:noProof/>
        </w:rPr>
        <w:t>Compliance with payment time limits has been reported by the services in their annual activity reports since 2007. In accordance with the applicable rules, the payment times reported in this annex have been calculated based on the data available in the Commission’s corporate accounting system, SUMMA, as follows.</w:t>
      </w:r>
    </w:p>
    <w:p w14:paraId="7A2159EB" w14:textId="162AB3B7" w:rsidR="00EB70E0" w:rsidRPr="005F4295" w:rsidRDefault="00EB70E0" w:rsidP="00EB70E0">
      <w:pPr>
        <w:rPr>
          <w:noProof/>
        </w:rPr>
      </w:pPr>
      <w:r w:rsidRPr="005F4295">
        <w:rPr>
          <w:noProof/>
        </w:rPr>
        <w:t>For payments relating to contracts and grant agreements signed before 2013</w:t>
      </w:r>
      <w:r w:rsidR="00596DB8" w:rsidRPr="005F4295">
        <w:rPr>
          <w:noProof/>
        </w:rPr>
        <w:t>,</w:t>
      </w:r>
      <w:r w:rsidRPr="005F4295">
        <w:rPr>
          <w:noProof/>
        </w:rPr>
        <w:t xml:space="preserve"> the time limits specified in the 2007 Financial Regulation are applied:</w:t>
      </w:r>
    </w:p>
    <w:p w14:paraId="6C837472" w14:textId="7F3D436D" w:rsidR="00EB70E0" w:rsidRPr="005F4295" w:rsidRDefault="00EB70E0" w:rsidP="00ED5750">
      <w:pPr>
        <w:pStyle w:val="ListBullet"/>
        <w:numPr>
          <w:ilvl w:val="0"/>
          <w:numId w:val="26"/>
        </w:numPr>
        <w:rPr>
          <w:noProof/>
        </w:rPr>
      </w:pPr>
      <w:r w:rsidRPr="005F4295">
        <w:rPr>
          <w:noProof/>
        </w:rPr>
        <w:t>where the payment is contingent upon the approval of a report</w:t>
      </w:r>
      <w:r w:rsidR="00A43DF3" w:rsidRPr="005F4295">
        <w:rPr>
          <w:noProof/>
        </w:rPr>
        <w:t>,</w:t>
      </w:r>
      <w:r w:rsidRPr="005F4295">
        <w:rPr>
          <w:noProof/>
        </w:rPr>
        <w:t xml:space="preserve"> the time from approval of the report until payment;</w:t>
      </w:r>
    </w:p>
    <w:p w14:paraId="0A171ECC" w14:textId="6C50A588" w:rsidR="00EB70E0" w:rsidRPr="005F4295" w:rsidRDefault="00EB70E0" w:rsidP="00ED5750">
      <w:pPr>
        <w:pStyle w:val="ListBullet"/>
        <w:numPr>
          <w:ilvl w:val="0"/>
          <w:numId w:val="26"/>
        </w:numPr>
        <w:rPr>
          <w:noProof/>
        </w:rPr>
      </w:pPr>
      <w:r w:rsidRPr="005F4295">
        <w:rPr>
          <w:noProof/>
        </w:rPr>
        <w:t>where no report is required</w:t>
      </w:r>
      <w:r w:rsidR="00A43DF3" w:rsidRPr="005F4295">
        <w:rPr>
          <w:noProof/>
        </w:rPr>
        <w:t>,</w:t>
      </w:r>
      <w:r w:rsidRPr="005F4295">
        <w:rPr>
          <w:noProof/>
        </w:rPr>
        <w:t xml:space="preserve"> the time from reception of the payment request until payment.</w:t>
      </w:r>
    </w:p>
    <w:p w14:paraId="34052272" w14:textId="32E1B623" w:rsidR="00EB70E0" w:rsidRPr="005F4295" w:rsidRDefault="00EB70E0" w:rsidP="00EB70E0">
      <w:pPr>
        <w:rPr>
          <w:noProof/>
        </w:rPr>
      </w:pPr>
      <w:r w:rsidRPr="005F4295">
        <w:rPr>
          <w:noProof/>
        </w:rPr>
        <w:t>For payments relating to contracts and grant agreements signed as from 2013</w:t>
      </w:r>
      <w:r w:rsidR="00A43DF3" w:rsidRPr="005F4295">
        <w:rPr>
          <w:noProof/>
        </w:rPr>
        <w:t>,</w:t>
      </w:r>
      <w:r w:rsidRPr="005F4295">
        <w:rPr>
          <w:noProof/>
        </w:rPr>
        <w:t xml:space="preserve"> the time limits specified in the </w:t>
      </w:r>
      <w:r w:rsidR="006B7199" w:rsidRPr="005F4295">
        <w:rPr>
          <w:noProof/>
        </w:rPr>
        <w:t xml:space="preserve">2024 </w:t>
      </w:r>
      <w:r w:rsidRPr="005F4295">
        <w:t>Financial Regulation</w:t>
      </w:r>
      <w:r w:rsidRPr="005F4295">
        <w:rPr>
          <w:noProof/>
        </w:rPr>
        <w:t xml:space="preserve"> </w:t>
      </w:r>
      <w:r w:rsidR="006B7199" w:rsidRPr="005F4295">
        <w:rPr>
          <w:noProof/>
        </w:rPr>
        <w:t xml:space="preserve">is </w:t>
      </w:r>
      <w:r w:rsidRPr="005F4295">
        <w:rPr>
          <w:noProof/>
        </w:rPr>
        <w:t xml:space="preserve">applied: </w:t>
      </w:r>
    </w:p>
    <w:p w14:paraId="44073AF1" w14:textId="160A3341" w:rsidR="00EB70E0" w:rsidRPr="005F4295" w:rsidRDefault="00EB70E0" w:rsidP="00ED5750">
      <w:pPr>
        <w:pStyle w:val="ListBullet"/>
        <w:numPr>
          <w:ilvl w:val="0"/>
          <w:numId w:val="27"/>
        </w:numPr>
        <w:rPr>
          <w:noProof/>
        </w:rPr>
      </w:pPr>
      <w:r w:rsidRPr="005F4295">
        <w:rPr>
          <w:noProof/>
        </w:rPr>
        <w:t>where no report is required and where the payment is contingent upon the approval of a report</w:t>
      </w:r>
      <w:r w:rsidR="00A43DF3" w:rsidRPr="005F4295">
        <w:rPr>
          <w:noProof/>
        </w:rPr>
        <w:t>,</w:t>
      </w:r>
      <w:r w:rsidRPr="005F4295">
        <w:rPr>
          <w:noProof/>
        </w:rPr>
        <w:t xml:space="preserve"> the time from reception of the payment request until payment.</w:t>
      </w:r>
    </w:p>
    <w:p w14:paraId="646D0CFC" w14:textId="77777777" w:rsidR="00EB70E0" w:rsidRPr="005F4295" w:rsidRDefault="00EB70E0" w:rsidP="00EB70E0">
      <w:pPr>
        <w:pageBreakBefore/>
        <w:rPr>
          <w:noProof/>
        </w:rPr>
      </w:pPr>
      <w:r w:rsidRPr="005F4295">
        <w:rPr>
          <w:rStyle w:val="Bold"/>
          <w:noProof/>
        </w:rPr>
        <w:t>The Commission’s global average payment time</w:t>
      </w:r>
      <w:r w:rsidRPr="005F4295">
        <w:rPr>
          <w:noProof/>
        </w:rPr>
        <w:t xml:space="preserve"> is monitored by the Accounting Officer. It evolved as follows in the last five</w:t>
      </w:r>
      <w:r w:rsidRPr="005F4295">
        <w:rPr>
          <w:rFonts w:cs="Calibri"/>
          <w:noProof/>
        </w:rPr>
        <w:t xml:space="preserve"> </w:t>
      </w:r>
      <w:r w:rsidRPr="005F4295">
        <w:rPr>
          <w:noProof/>
        </w:rPr>
        <w:t>monitored years.</w:t>
      </w:r>
    </w:p>
    <w:p w14:paraId="46980CCB" w14:textId="77777777" w:rsidR="00EB70E0" w:rsidRPr="005F4295" w:rsidRDefault="00EB70E0" w:rsidP="00EB70E0">
      <w:pPr>
        <w:pStyle w:val="ImageTitle"/>
        <w:rPr>
          <w:noProof/>
        </w:rPr>
      </w:pPr>
      <w:r w:rsidRPr="005F4295">
        <w:rPr>
          <w:noProof/>
        </w:rPr>
        <w:t>Global average payment time in days</w:t>
      </w:r>
    </w:p>
    <w:p w14:paraId="522F9B24" w14:textId="1BB03F53" w:rsidR="00EB70E0" w:rsidRPr="005F4295" w:rsidRDefault="00185CD0" w:rsidP="00EB70E0">
      <w:pPr>
        <w:pStyle w:val="ImagePlaceholder"/>
      </w:pPr>
      <w:r w:rsidRPr="005F4295">
        <w:rPr>
          <w:noProof/>
        </w:rPr>
        <w:drawing>
          <wp:inline distT="0" distB="0" distL="0" distR="0" wp14:anchorId="537A11C9" wp14:editId="6B3731EC">
            <wp:extent cx="5760085" cy="3859530"/>
            <wp:effectExtent l="0" t="0" r="0" b="7620"/>
            <wp:docPr id="11" name="Picture 10">
              <a:extLst xmlns:a="http://schemas.openxmlformats.org/drawingml/2006/main">
                <a:ext uri="{FF2B5EF4-FFF2-40B4-BE49-F238E27FC236}">
                  <a16:creationId xmlns:a16="http://schemas.microsoft.com/office/drawing/2014/main" id="{A915ADD8-2DC3-36CA-6BD4-B8F6534AD1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A915ADD8-2DC3-36CA-6BD4-B8F6534AD1A5}"/>
                        </a:ext>
                      </a:extLst>
                    </pic:cNvPr>
                    <pic:cNvPicPr>
                      <a:picLocks noChangeAspect="1"/>
                    </pic:cNvPicPr>
                  </pic:nvPicPr>
                  <pic:blipFill>
                    <a:blip r:embed="rId111"/>
                    <a:srcRect l="5687" t="2920" r="2462"/>
                    <a:stretch>
                      <a:fillRect/>
                    </a:stretch>
                  </pic:blipFill>
                  <pic:spPr>
                    <a:xfrm>
                      <a:off x="0" y="0"/>
                      <a:ext cx="5760085" cy="3859530"/>
                    </a:xfrm>
                    <a:prstGeom prst="rect">
                      <a:avLst/>
                    </a:prstGeom>
                  </pic:spPr>
                </pic:pic>
              </a:graphicData>
            </a:graphic>
          </wp:inline>
        </w:drawing>
      </w:r>
    </w:p>
    <w:p w14:paraId="075F944A" w14:textId="77777777" w:rsidR="00EB70E0" w:rsidRPr="005F4295" w:rsidRDefault="00EB70E0" w:rsidP="00EB70E0">
      <w:pPr>
        <w:pStyle w:val="ImageSource"/>
        <w:spacing w:after="240"/>
        <w:rPr>
          <w:noProof/>
        </w:rPr>
      </w:pPr>
      <w:r w:rsidRPr="005F4295">
        <w:rPr>
          <w:rStyle w:val="Italic"/>
        </w:rPr>
        <w:t>Source:</w:t>
      </w:r>
      <w:r w:rsidRPr="005F4295">
        <w:rPr>
          <w:noProof/>
        </w:rPr>
        <w:t xml:space="preserve"> European Commission.</w:t>
      </w:r>
    </w:p>
    <w:p w14:paraId="4857B255" w14:textId="735D89B2" w:rsidR="001817B8" w:rsidRPr="005F4295" w:rsidRDefault="001817B8" w:rsidP="001817B8">
      <w:pPr>
        <w:spacing w:before="360"/>
        <w:rPr>
          <w:noProof/>
        </w:rPr>
      </w:pPr>
      <w:r w:rsidRPr="005F4295">
        <w:rPr>
          <w:noProof/>
        </w:rPr>
        <w:t>The data shows that the global average net payment time of the Commission services, i.e. including the time of suspensions, and the global average gross payment time, i.e. excluding the time of suspensions, was below 30</w:t>
      </w:r>
      <w:r w:rsidRPr="005F4295">
        <w:rPr>
          <w:rFonts w:ascii="Calibri" w:hAnsi="Calibri" w:cs="Calibri"/>
          <w:noProof/>
        </w:rPr>
        <w:t> </w:t>
      </w:r>
      <w:r w:rsidRPr="005F4295">
        <w:rPr>
          <w:noProof/>
        </w:rPr>
        <w:t xml:space="preserve">days in the last </w:t>
      </w:r>
      <w:r w:rsidR="00596DB8" w:rsidRPr="005F4295">
        <w:rPr>
          <w:noProof/>
        </w:rPr>
        <w:t>five</w:t>
      </w:r>
      <w:r w:rsidR="000F030E" w:rsidRPr="005F4295">
        <w:rPr>
          <w:rFonts w:ascii="Calibri" w:hAnsi="Calibri" w:cs="Calibri"/>
          <w:noProof/>
        </w:rPr>
        <w:t xml:space="preserve"> </w:t>
      </w:r>
      <w:r w:rsidRPr="005F4295">
        <w:rPr>
          <w:noProof/>
        </w:rPr>
        <w:t>years for all time limits combined. The average payment time with and without suspensions improved in comparison with the previous year. Services are encouraged to continue their efforts in this regard and to implement follow-up measures whenever payment time challenges are identified.</w:t>
      </w:r>
    </w:p>
    <w:p w14:paraId="676132DB" w14:textId="77777777" w:rsidR="001817B8" w:rsidRPr="005F4295" w:rsidRDefault="001817B8" w:rsidP="001817B8">
      <w:pPr>
        <w:rPr>
          <w:noProof/>
        </w:rPr>
      </w:pPr>
      <w:r w:rsidRPr="005F4295">
        <w:rPr>
          <w:noProof/>
        </w:rPr>
        <w:t xml:space="preserve">The table below illustrates the evolution of </w:t>
      </w:r>
      <w:r w:rsidRPr="005F4295">
        <w:rPr>
          <w:rStyle w:val="Bold"/>
          <w:noProof/>
        </w:rPr>
        <w:t>‘late payments’</w:t>
      </w:r>
      <w:r w:rsidRPr="005F4295">
        <w:rPr>
          <w:rStyle w:val="Bold"/>
          <w:b w:val="0"/>
        </w:rPr>
        <w:t>,</w:t>
      </w:r>
      <w:r w:rsidRPr="005F4295">
        <w:rPr>
          <w:noProof/>
        </w:rPr>
        <w:t xml:space="preserve"> i.e. payments made after expiry of the statutory time limit in recent years for all payments combined.</w:t>
      </w:r>
    </w:p>
    <w:p w14:paraId="36F23A93" w14:textId="22196F85" w:rsidR="00EB70E0" w:rsidRPr="005F4295" w:rsidRDefault="00EB70E0" w:rsidP="00B024A2">
      <w:pPr>
        <w:pStyle w:val="ImageTitle"/>
      </w:pPr>
      <w:r w:rsidRPr="005F4295">
        <w:t>Evolution of late payments (202</w:t>
      </w:r>
      <w:r w:rsidR="00EA0380" w:rsidRPr="005F4295">
        <w:t>1</w:t>
      </w:r>
      <w:r w:rsidRPr="005F4295">
        <w:t>-202</w:t>
      </w:r>
      <w:r w:rsidR="00EA0380" w:rsidRPr="005F4295">
        <w:t>5</w:t>
      </w:r>
      <w:r w:rsidRPr="005F4295">
        <w:t>)</w:t>
      </w:r>
    </w:p>
    <w:p w14:paraId="05BDFAAA" w14:textId="55FC1D6E" w:rsidR="00EB70E0" w:rsidRPr="005F4295" w:rsidRDefault="00F9646D" w:rsidP="00EB70E0">
      <w:pPr>
        <w:pStyle w:val="ImagePlaceholder"/>
      </w:pPr>
      <w:r w:rsidRPr="005F4295">
        <w:rPr>
          <w:noProof/>
        </w:rPr>
        <w:drawing>
          <wp:inline distT="0" distB="0" distL="0" distR="0" wp14:anchorId="4401EE16" wp14:editId="0B3A7F69">
            <wp:extent cx="5760085" cy="2828925"/>
            <wp:effectExtent l="0" t="0" r="0" b="9525"/>
            <wp:docPr id="15" name="Picture 14">
              <a:extLst xmlns:a="http://schemas.openxmlformats.org/drawingml/2006/main">
                <a:ext uri="{FF2B5EF4-FFF2-40B4-BE49-F238E27FC236}">
                  <a16:creationId xmlns:a16="http://schemas.microsoft.com/office/drawing/2014/main" id="{3E6DCE0B-2833-C04F-F385-351591FE76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3E6DCE0B-2833-C04F-F385-351591FE765C}"/>
                        </a:ext>
                      </a:extLst>
                    </pic:cNvPr>
                    <pic:cNvPicPr>
                      <a:picLocks noChangeAspect="1"/>
                    </pic:cNvPicPr>
                  </pic:nvPicPr>
                  <pic:blipFill>
                    <a:blip r:embed="rId112"/>
                    <a:srcRect l="4123" t="9999" r="3675" b="8625"/>
                    <a:stretch>
                      <a:fillRect/>
                    </a:stretch>
                  </pic:blipFill>
                  <pic:spPr>
                    <a:xfrm>
                      <a:off x="0" y="0"/>
                      <a:ext cx="5760085" cy="2828925"/>
                    </a:xfrm>
                    <a:prstGeom prst="rect">
                      <a:avLst/>
                    </a:prstGeom>
                  </pic:spPr>
                </pic:pic>
              </a:graphicData>
            </a:graphic>
          </wp:inline>
        </w:drawing>
      </w:r>
    </w:p>
    <w:p w14:paraId="6445F664" w14:textId="77777777" w:rsidR="00EB70E0" w:rsidRPr="005F4295" w:rsidRDefault="00EB70E0" w:rsidP="00B024A2">
      <w:pPr>
        <w:pStyle w:val="ImageSource"/>
      </w:pPr>
      <w:r w:rsidRPr="005F4295">
        <w:rPr>
          <w:rStyle w:val="Italic"/>
        </w:rPr>
        <w:t>Source:</w:t>
      </w:r>
      <w:r w:rsidRPr="005F4295">
        <w:t xml:space="preserve"> European Commission.</w:t>
      </w:r>
    </w:p>
    <w:p w14:paraId="35AED81B" w14:textId="62BCB6BB" w:rsidR="007122CF" w:rsidRPr="005F4295" w:rsidRDefault="006F5A00" w:rsidP="00DD69DA">
      <w:pPr>
        <w:rPr>
          <w:noProof/>
        </w:rPr>
      </w:pPr>
      <w:r w:rsidRPr="005F4295">
        <w:rPr>
          <w:noProof/>
        </w:rPr>
        <w:t>The share of late payments</w:t>
      </w:r>
      <w:r w:rsidR="00B729A1" w:rsidRPr="005F4295">
        <w:rPr>
          <w:noProof/>
        </w:rPr>
        <w:t>,</w:t>
      </w:r>
      <w:r w:rsidRPr="005F4295">
        <w:rPr>
          <w:noProof/>
        </w:rPr>
        <w:t xml:space="preserve"> both in numbers and values</w:t>
      </w:r>
      <w:r w:rsidR="00B729A1" w:rsidRPr="005F4295">
        <w:rPr>
          <w:noProof/>
        </w:rPr>
        <w:t>,</w:t>
      </w:r>
      <w:r w:rsidRPr="005F4295">
        <w:rPr>
          <w:noProof/>
        </w:rPr>
        <w:t xml:space="preserve"> increased compared to the previous year due to the transition to a new system</w:t>
      </w:r>
      <w:r w:rsidR="00E34CA9" w:rsidRPr="005F4295">
        <w:rPr>
          <w:noProof/>
        </w:rPr>
        <w:t>,</w:t>
      </w:r>
      <w:r w:rsidRPr="005F4295">
        <w:rPr>
          <w:noProof/>
        </w:rPr>
        <w:t xml:space="preserve"> SUMMA</w:t>
      </w:r>
      <w:r w:rsidR="00E34CA9" w:rsidRPr="005F4295">
        <w:rPr>
          <w:noProof/>
        </w:rPr>
        <w:t>,</w:t>
      </w:r>
      <w:r w:rsidR="007A583A" w:rsidRPr="005F4295">
        <w:rPr>
          <w:noProof/>
        </w:rPr>
        <w:t xml:space="preserve"> in the first part of 2025</w:t>
      </w:r>
      <w:r w:rsidRPr="005F4295">
        <w:rPr>
          <w:noProof/>
        </w:rPr>
        <w:t xml:space="preserve">. </w:t>
      </w:r>
    </w:p>
    <w:p w14:paraId="6591DB45" w14:textId="485F887D" w:rsidR="00932058" w:rsidRPr="005F4295" w:rsidRDefault="00932058" w:rsidP="00932058">
      <w:pPr>
        <w:spacing w:after="360"/>
        <w:rPr>
          <w:noProof/>
        </w:rPr>
      </w:pPr>
      <w:r w:rsidRPr="005F4295">
        <w:rPr>
          <w:noProof/>
        </w:rPr>
        <w:t xml:space="preserve">Concerning the </w:t>
      </w:r>
      <w:r w:rsidRPr="005F4295">
        <w:rPr>
          <w:rStyle w:val="Bold"/>
          <w:noProof/>
        </w:rPr>
        <w:t>interest paid for late payments</w:t>
      </w:r>
      <w:r w:rsidRPr="005F4295">
        <w:rPr>
          <w:rFonts w:ascii="Calibri" w:hAnsi="Calibri" w:cs="Calibri"/>
          <w:noProof/>
        </w:rPr>
        <w:t> </w:t>
      </w:r>
      <w:r w:rsidRPr="005F4295">
        <w:rPr>
          <w:noProof/>
        </w:rPr>
        <w:t>(</w:t>
      </w:r>
      <w:r w:rsidRPr="005F4295">
        <w:rPr>
          <w:rStyle w:val="FootnoteReference"/>
        </w:rPr>
        <w:footnoteReference w:id="34"/>
      </w:r>
      <w:r w:rsidRPr="005F4295">
        <w:rPr>
          <w:noProof/>
        </w:rPr>
        <w:t xml:space="preserve">), </w:t>
      </w:r>
      <w:r w:rsidRPr="005F4295">
        <w:rPr>
          <w:rStyle w:val="Bold"/>
          <w:noProof/>
        </w:rPr>
        <w:t xml:space="preserve">the total amount paid by the Commission in 2025 increased compared </w:t>
      </w:r>
      <w:r w:rsidR="00674FA4" w:rsidRPr="005F4295">
        <w:rPr>
          <w:rStyle w:val="Bold"/>
          <w:noProof/>
        </w:rPr>
        <w:t>with</w:t>
      </w:r>
      <w:r w:rsidRPr="005F4295">
        <w:rPr>
          <w:rStyle w:val="Bold"/>
          <w:noProof/>
        </w:rPr>
        <w:t xml:space="preserve"> the previous </w:t>
      </w:r>
      <w:r w:rsidR="00674FA4" w:rsidRPr="005F4295">
        <w:rPr>
          <w:rStyle w:val="Bold"/>
          <w:noProof/>
        </w:rPr>
        <w:t>four</w:t>
      </w:r>
      <w:r w:rsidRPr="005F4295">
        <w:rPr>
          <w:rStyle w:val="Bold"/>
          <w:noProof/>
        </w:rPr>
        <w:t xml:space="preserve"> years</w:t>
      </w:r>
      <w:r w:rsidR="00674FA4" w:rsidRPr="005F4295">
        <w:rPr>
          <w:rStyle w:val="Bold"/>
          <w:noProof/>
        </w:rPr>
        <w:t>.</w:t>
      </w:r>
    </w:p>
    <w:tbl>
      <w:tblPr>
        <w:tblStyle w:val="BodyTable"/>
        <w:tblW w:w="4999" w:type="pct"/>
        <w:tblBorders>
          <w:insideH w:val="none" w:sz="0" w:space="0" w:color="auto"/>
          <w:insideV w:val="single" w:sz="4" w:space="0" w:color="FFFFFF" w:themeColor="background1"/>
        </w:tblBorders>
        <w:tblLook w:val="0660" w:firstRow="1" w:lastRow="1" w:firstColumn="0" w:lastColumn="0" w:noHBand="1" w:noVBand="1"/>
      </w:tblPr>
      <w:tblGrid>
        <w:gridCol w:w="2132"/>
        <w:gridCol w:w="1382"/>
        <w:gridCol w:w="1382"/>
        <w:gridCol w:w="1381"/>
        <w:gridCol w:w="1381"/>
        <w:gridCol w:w="1381"/>
      </w:tblGrid>
      <w:tr w:rsidR="002E1E9B" w:rsidRPr="005F4295" w14:paraId="68301507" w14:textId="112B5510" w:rsidTr="00515357">
        <w:trPr>
          <w:cnfStyle w:val="100000000000" w:firstRow="1" w:lastRow="0" w:firstColumn="0" w:lastColumn="0" w:oddVBand="0" w:evenVBand="0" w:oddHBand="0" w:evenHBand="0" w:firstRowFirstColumn="0" w:firstRowLastColumn="0" w:lastRowFirstColumn="0" w:lastRowLastColumn="0"/>
          <w:tblHeader/>
        </w:trPr>
        <w:tc>
          <w:tcPr>
            <w:tcW w:w="1179" w:type="pct"/>
            <w:tcBorders>
              <w:bottom w:val="single" w:sz="4" w:space="0" w:color="8C8C8C"/>
            </w:tcBorders>
            <w:vAlign w:val="center"/>
          </w:tcPr>
          <w:p w14:paraId="24391FEC" w14:textId="77777777" w:rsidR="00A92C77" w:rsidRPr="005F4295" w:rsidRDefault="00A92C77">
            <w:pPr>
              <w:jc w:val="left"/>
              <w:rPr>
                <w:noProof/>
                <w:sz w:val="20"/>
                <w:lang w:val="en-GB"/>
              </w:rPr>
            </w:pPr>
          </w:p>
        </w:tc>
        <w:tc>
          <w:tcPr>
            <w:tcW w:w="764" w:type="pct"/>
            <w:tcBorders>
              <w:bottom w:val="single" w:sz="4" w:space="0" w:color="8C8C8C"/>
            </w:tcBorders>
            <w:vAlign w:val="center"/>
          </w:tcPr>
          <w:p w14:paraId="5F84E27B" w14:textId="77777777" w:rsidR="00A92C77" w:rsidRPr="005F4295" w:rsidRDefault="00A92C77">
            <w:pPr>
              <w:rPr>
                <w:noProof/>
                <w:sz w:val="20"/>
                <w:lang w:val="en-GB"/>
              </w:rPr>
            </w:pPr>
            <w:r w:rsidRPr="005F4295">
              <w:rPr>
                <w:noProof/>
                <w:sz w:val="20"/>
                <w:lang w:val="en-GB"/>
              </w:rPr>
              <w:t>2021</w:t>
            </w:r>
          </w:p>
        </w:tc>
        <w:tc>
          <w:tcPr>
            <w:tcW w:w="764" w:type="pct"/>
            <w:tcBorders>
              <w:bottom w:val="single" w:sz="4" w:space="0" w:color="8C8C8C"/>
            </w:tcBorders>
            <w:vAlign w:val="center"/>
          </w:tcPr>
          <w:p w14:paraId="07F17316" w14:textId="77777777" w:rsidR="00A92C77" w:rsidRPr="005F4295" w:rsidRDefault="00A92C77">
            <w:pPr>
              <w:rPr>
                <w:noProof/>
                <w:sz w:val="20"/>
                <w:lang w:val="en-GB"/>
              </w:rPr>
            </w:pPr>
            <w:r w:rsidRPr="005F4295">
              <w:rPr>
                <w:noProof/>
                <w:sz w:val="20"/>
                <w:lang w:val="en-GB"/>
              </w:rPr>
              <w:t>2022</w:t>
            </w:r>
          </w:p>
        </w:tc>
        <w:tc>
          <w:tcPr>
            <w:tcW w:w="764" w:type="pct"/>
            <w:tcBorders>
              <w:bottom w:val="single" w:sz="4" w:space="0" w:color="8C8C8C"/>
            </w:tcBorders>
          </w:tcPr>
          <w:p w14:paraId="54D8C3C5" w14:textId="77777777" w:rsidR="00A92C77" w:rsidRPr="005F4295" w:rsidRDefault="00A92C77">
            <w:pPr>
              <w:rPr>
                <w:noProof/>
                <w:sz w:val="20"/>
                <w:lang w:val="en-GB"/>
              </w:rPr>
            </w:pPr>
            <w:r w:rsidRPr="005F4295">
              <w:rPr>
                <w:noProof/>
                <w:sz w:val="20"/>
                <w:lang w:val="en-GB"/>
              </w:rPr>
              <w:t>2023</w:t>
            </w:r>
          </w:p>
        </w:tc>
        <w:tc>
          <w:tcPr>
            <w:tcW w:w="764" w:type="pct"/>
            <w:tcBorders>
              <w:bottom w:val="single" w:sz="4" w:space="0" w:color="8C8C8C"/>
            </w:tcBorders>
          </w:tcPr>
          <w:p w14:paraId="1ADB3FED" w14:textId="77777777" w:rsidR="00A92C77" w:rsidRPr="005F4295" w:rsidRDefault="00A92C77">
            <w:pPr>
              <w:rPr>
                <w:noProof/>
                <w:lang w:val="en-GB"/>
              </w:rPr>
            </w:pPr>
            <w:r w:rsidRPr="005F4295">
              <w:rPr>
                <w:noProof/>
                <w:lang w:val="en-GB"/>
              </w:rPr>
              <w:t>2024</w:t>
            </w:r>
          </w:p>
        </w:tc>
        <w:tc>
          <w:tcPr>
            <w:tcW w:w="764" w:type="pct"/>
            <w:tcBorders>
              <w:bottom w:val="single" w:sz="4" w:space="0" w:color="8C8C8C"/>
            </w:tcBorders>
          </w:tcPr>
          <w:p w14:paraId="466AF1BF" w14:textId="21D105E5" w:rsidR="00A92C77" w:rsidRPr="005F4295" w:rsidRDefault="00A92C77">
            <w:pPr>
              <w:rPr>
                <w:noProof/>
                <w:lang w:val="en-GB"/>
              </w:rPr>
            </w:pPr>
            <w:r w:rsidRPr="005F4295">
              <w:rPr>
                <w:noProof/>
                <w:lang w:val="en-GB"/>
              </w:rPr>
              <w:t>2025</w:t>
            </w:r>
          </w:p>
        </w:tc>
      </w:tr>
      <w:tr w:rsidR="009265B3" w:rsidRPr="005F4295" w14:paraId="66A65C8F" w14:textId="14D037EF" w:rsidTr="00515357">
        <w:trPr>
          <w:cnfStyle w:val="100000000000" w:firstRow="1" w:lastRow="0" w:firstColumn="0" w:lastColumn="0" w:oddVBand="0" w:evenVBand="0" w:oddHBand="0" w:evenHBand="0" w:firstRowFirstColumn="0" w:firstRowLastColumn="0" w:lastRowFirstColumn="0" w:lastRowLastColumn="0"/>
          <w:tblHeader/>
        </w:trPr>
        <w:tc>
          <w:tcPr>
            <w:tcW w:w="1179" w:type="pct"/>
            <w:tcBorders>
              <w:top w:val="single" w:sz="4" w:space="0" w:color="8C8C8C"/>
              <w:right w:val="single" w:sz="4" w:space="0" w:color="7F7F7F" w:themeColor="text1" w:themeTint="80"/>
            </w:tcBorders>
            <w:shd w:val="clear" w:color="auto" w:fill="FEDEC6" w:themeFill="accent2" w:themeFillTint="33"/>
            <w:vAlign w:val="center"/>
          </w:tcPr>
          <w:p w14:paraId="17A394A6" w14:textId="77777777" w:rsidR="00A92C77" w:rsidRPr="005F4295" w:rsidRDefault="00A92C77">
            <w:pPr>
              <w:jc w:val="left"/>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Interest paid for late payments (in EUR)</w:t>
            </w:r>
          </w:p>
        </w:tc>
        <w:tc>
          <w:tcPr>
            <w:tcW w:w="764" w:type="pct"/>
            <w:tcBorders>
              <w:top w:val="single" w:sz="4" w:space="0" w:color="8C8C8C"/>
              <w:left w:val="single" w:sz="4" w:space="0" w:color="7F7F7F" w:themeColor="text1" w:themeTint="80"/>
              <w:right w:val="single" w:sz="4" w:space="0" w:color="7F7F7F" w:themeColor="text1" w:themeTint="80"/>
            </w:tcBorders>
            <w:shd w:val="clear" w:color="auto" w:fill="FEDEC6" w:themeFill="accent2" w:themeFillTint="33"/>
            <w:vAlign w:val="center"/>
          </w:tcPr>
          <w:p w14:paraId="4AFA6977" w14:textId="77777777" w:rsidR="00A92C77" w:rsidRPr="005F4295" w:rsidRDefault="00A92C77">
            <w:pPr>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235</w:t>
            </w:r>
            <w:r w:rsidRPr="005F4295">
              <w:rPr>
                <w:rFonts w:ascii="Calibri" w:hAnsi="Calibri" w:cs="Calibri"/>
                <w:b w:val="0"/>
                <w:color w:val="000000" w:themeColor="text1"/>
                <w:sz w:val="20"/>
                <w:lang w:val="en-GB"/>
              </w:rPr>
              <w:t> </w:t>
            </w:r>
            <w:r w:rsidRPr="005F4295">
              <w:rPr>
                <w:rFonts w:ascii="EC Square Sans Pro Medium" w:hAnsi="EC Square Sans Pro Medium"/>
                <w:b w:val="0"/>
                <w:color w:val="000000" w:themeColor="text1"/>
                <w:sz w:val="20"/>
                <w:lang w:val="en-GB"/>
              </w:rPr>
              <w:t>456</w:t>
            </w:r>
          </w:p>
        </w:tc>
        <w:tc>
          <w:tcPr>
            <w:tcW w:w="764" w:type="pct"/>
            <w:tcBorders>
              <w:top w:val="single" w:sz="4" w:space="0" w:color="8C8C8C"/>
              <w:left w:val="single" w:sz="4" w:space="0" w:color="7F7F7F" w:themeColor="text1" w:themeTint="80"/>
              <w:right w:val="single" w:sz="4" w:space="0" w:color="7F7F7F" w:themeColor="text1" w:themeTint="80"/>
            </w:tcBorders>
            <w:shd w:val="clear" w:color="auto" w:fill="FEDEC6" w:themeFill="accent2" w:themeFillTint="33"/>
            <w:vAlign w:val="center"/>
          </w:tcPr>
          <w:p w14:paraId="03ACE48F" w14:textId="77777777" w:rsidR="00A92C77" w:rsidRPr="005F4295" w:rsidRDefault="00A92C77">
            <w:pPr>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164</w:t>
            </w:r>
            <w:r w:rsidRPr="005F4295">
              <w:rPr>
                <w:rFonts w:ascii="Calibri" w:hAnsi="Calibri" w:cs="Calibri"/>
                <w:b w:val="0"/>
                <w:color w:val="000000" w:themeColor="text1"/>
                <w:sz w:val="20"/>
                <w:lang w:val="en-GB"/>
              </w:rPr>
              <w:t> </w:t>
            </w:r>
            <w:r w:rsidRPr="005F4295">
              <w:rPr>
                <w:rFonts w:ascii="EC Square Sans Pro Medium" w:hAnsi="EC Square Sans Pro Medium"/>
                <w:b w:val="0"/>
                <w:color w:val="000000" w:themeColor="text1"/>
                <w:sz w:val="20"/>
                <w:lang w:val="en-GB"/>
              </w:rPr>
              <w:t>535</w:t>
            </w:r>
          </w:p>
        </w:tc>
        <w:tc>
          <w:tcPr>
            <w:tcW w:w="764" w:type="pct"/>
            <w:tcBorders>
              <w:top w:val="single" w:sz="4" w:space="0" w:color="8C8C8C"/>
              <w:left w:val="single" w:sz="4" w:space="0" w:color="7F7F7F" w:themeColor="text1" w:themeTint="80"/>
            </w:tcBorders>
            <w:shd w:val="clear" w:color="auto" w:fill="FEDEC6" w:themeFill="accent2" w:themeFillTint="33"/>
            <w:vAlign w:val="center"/>
          </w:tcPr>
          <w:p w14:paraId="1AC8EBC3" w14:textId="77777777" w:rsidR="00A92C77" w:rsidRPr="005F4295" w:rsidRDefault="00A92C77">
            <w:pPr>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327</w:t>
            </w:r>
            <w:r w:rsidRPr="005F4295">
              <w:rPr>
                <w:rFonts w:ascii="Calibri" w:hAnsi="Calibri" w:cs="Calibri"/>
                <w:b w:val="0"/>
                <w:color w:val="000000" w:themeColor="text1"/>
                <w:sz w:val="20"/>
                <w:lang w:val="en-GB"/>
              </w:rPr>
              <w:t> </w:t>
            </w:r>
            <w:r w:rsidRPr="005F4295">
              <w:rPr>
                <w:rFonts w:ascii="EC Square Sans Pro Medium" w:hAnsi="EC Square Sans Pro Medium" w:cs="Calibri"/>
                <w:b w:val="0"/>
                <w:color w:val="000000" w:themeColor="text1"/>
                <w:sz w:val="20"/>
                <w:lang w:val="en-GB"/>
              </w:rPr>
              <w:t>473</w:t>
            </w:r>
          </w:p>
        </w:tc>
        <w:tc>
          <w:tcPr>
            <w:tcW w:w="764" w:type="pct"/>
            <w:tcBorders>
              <w:top w:val="single" w:sz="4" w:space="0" w:color="8C8C8C"/>
              <w:left w:val="single" w:sz="4" w:space="0" w:color="7F7F7F" w:themeColor="text1" w:themeTint="80"/>
            </w:tcBorders>
            <w:shd w:val="clear" w:color="auto" w:fill="FEDEC6" w:themeFill="accent2" w:themeFillTint="33"/>
            <w:vAlign w:val="center"/>
          </w:tcPr>
          <w:p w14:paraId="290958F4" w14:textId="77777777" w:rsidR="00A92C77" w:rsidRPr="005F4295" w:rsidRDefault="00A92C77" w:rsidP="00515357">
            <w:pPr>
              <w:spacing w:before="0" w:after="0"/>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480</w:t>
            </w:r>
            <w:r w:rsidRPr="005F4295">
              <w:rPr>
                <w:rFonts w:ascii="Calibri" w:hAnsi="Calibri" w:cs="Calibri"/>
                <w:b w:val="0"/>
                <w:color w:val="000000" w:themeColor="text1"/>
                <w:sz w:val="20"/>
                <w:lang w:val="en-GB"/>
              </w:rPr>
              <w:t> </w:t>
            </w:r>
            <w:r w:rsidRPr="005F4295">
              <w:rPr>
                <w:rFonts w:ascii="EC Square Sans Pro Medium" w:hAnsi="EC Square Sans Pro Medium"/>
                <w:b w:val="0"/>
                <w:color w:val="000000" w:themeColor="text1"/>
                <w:sz w:val="20"/>
                <w:lang w:val="en-GB"/>
              </w:rPr>
              <w:t>924</w:t>
            </w:r>
          </w:p>
        </w:tc>
        <w:tc>
          <w:tcPr>
            <w:tcW w:w="764" w:type="pct"/>
            <w:tcBorders>
              <w:top w:val="single" w:sz="4" w:space="0" w:color="8C8C8C"/>
              <w:left w:val="single" w:sz="4" w:space="0" w:color="7F7F7F" w:themeColor="text1" w:themeTint="80"/>
            </w:tcBorders>
            <w:shd w:val="clear" w:color="auto" w:fill="FEDEC6" w:themeFill="accent2" w:themeFillTint="33"/>
            <w:vAlign w:val="center"/>
          </w:tcPr>
          <w:p w14:paraId="12FE830D" w14:textId="726341B2" w:rsidR="00A92C77" w:rsidRPr="005F4295" w:rsidRDefault="00A92C77" w:rsidP="00515357">
            <w:pPr>
              <w:spacing w:before="0" w:after="0"/>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1</w:t>
            </w:r>
            <w:r w:rsidRPr="005F4295">
              <w:rPr>
                <w:rFonts w:ascii="Calibri" w:hAnsi="Calibri" w:cs="Calibri"/>
                <w:b w:val="0"/>
                <w:color w:val="000000" w:themeColor="text1"/>
                <w:sz w:val="20"/>
                <w:lang w:val="en-GB"/>
              </w:rPr>
              <w:t> </w:t>
            </w:r>
            <w:r w:rsidRPr="005F4295">
              <w:rPr>
                <w:rFonts w:ascii="EC Square Sans Pro Medium" w:hAnsi="EC Square Sans Pro Medium"/>
                <w:b w:val="0"/>
                <w:color w:val="000000" w:themeColor="text1"/>
                <w:sz w:val="20"/>
                <w:lang w:val="en-GB"/>
              </w:rPr>
              <w:t>092</w:t>
            </w:r>
            <w:r w:rsidRPr="005F4295">
              <w:rPr>
                <w:rFonts w:ascii="Calibri" w:hAnsi="Calibri" w:cs="Calibri"/>
                <w:b w:val="0"/>
                <w:color w:val="000000" w:themeColor="text1"/>
                <w:sz w:val="20"/>
                <w:lang w:val="en-GB"/>
              </w:rPr>
              <w:t> </w:t>
            </w:r>
            <w:r w:rsidRPr="005F4295">
              <w:rPr>
                <w:rFonts w:ascii="EC Square Sans Pro Medium" w:hAnsi="EC Square Sans Pro Medium"/>
                <w:b w:val="0"/>
                <w:color w:val="000000" w:themeColor="text1"/>
                <w:sz w:val="20"/>
                <w:lang w:val="en-GB"/>
              </w:rPr>
              <w:t>031</w:t>
            </w:r>
          </w:p>
        </w:tc>
      </w:tr>
    </w:tbl>
    <w:p w14:paraId="1739C493" w14:textId="77777777" w:rsidR="00EB70E0" w:rsidRPr="005F4295" w:rsidRDefault="00EB70E0" w:rsidP="00EB70E0">
      <w:pPr>
        <w:pStyle w:val="TableSource"/>
        <w:rPr>
          <w:noProof/>
        </w:rPr>
      </w:pPr>
      <w:r w:rsidRPr="005F4295">
        <w:rPr>
          <w:rStyle w:val="Italic"/>
        </w:rPr>
        <w:t>Source:</w:t>
      </w:r>
      <w:r w:rsidRPr="005F4295">
        <w:rPr>
          <w:noProof/>
        </w:rPr>
        <w:t xml:space="preserve"> European Commission.</w:t>
      </w:r>
    </w:p>
    <w:p w14:paraId="0DA4EE3F" w14:textId="77777777" w:rsidR="00664EB5" w:rsidRPr="005F4295" w:rsidRDefault="00664EB5" w:rsidP="00664EB5">
      <w:pPr>
        <w:spacing w:before="360" w:after="360"/>
        <w:rPr>
          <w:noProof/>
        </w:rPr>
      </w:pPr>
      <w:r w:rsidRPr="005F4295">
        <w:rPr>
          <w:noProof/>
        </w:rPr>
        <w:t xml:space="preserve">In general, the </w:t>
      </w:r>
      <w:r w:rsidRPr="005F4295">
        <w:rPr>
          <w:rStyle w:val="Bold"/>
          <w:noProof/>
        </w:rPr>
        <w:t>causes of late payments</w:t>
      </w:r>
      <w:r w:rsidRPr="005F4295">
        <w:rPr>
          <w:noProof/>
        </w:rPr>
        <w:t xml:space="preserve"> include the transition in 2025 to the Commission’s new accounting system, SUMMA, that has required the adjustment to a new system and has impacted budget implementation tasks, processes and financial management activities, particularly during the first part of the year. Other causes are associated with difficulties in coordinating the financial and operational checks of payment requests, issues with the management of payment suspensions and a temporary lack of payment appropriations and the complexities of evaluating the supporting documents that are a prerequisite for all payments. This is particularly onerous when the supporting documents are reports of a technical nature that sometimes have to be assessed by external experts.</w:t>
      </w:r>
    </w:p>
    <w:p w14:paraId="1DDB1846" w14:textId="77777777" w:rsidR="00D92F79" w:rsidRPr="005F4295" w:rsidRDefault="00D92F79" w:rsidP="00D92F79">
      <w:pPr>
        <w:pStyle w:val="amprboxtext"/>
        <w:rPr>
          <w:noProof/>
        </w:rPr>
      </w:pPr>
      <w:r w:rsidRPr="005F4295">
        <w:rPr>
          <w:noProof/>
        </w:rPr>
        <w:t xml:space="preserve">The 2009 communication establishing Commission-internal payment targets provided a clear incentive to services to reduce their payment times. Despite the results achieved, there is scope for decreasing payment times even more. When setting up action plans in this area, services should focus on further reducing late payments from their current levels of 7.9% of payments in terms of their number and 3% in terms of their value. </w:t>
      </w:r>
      <w:r w:rsidRPr="005F4295">
        <w:rPr>
          <w:rStyle w:val="Bold"/>
          <w:noProof/>
        </w:rPr>
        <w:t>The aim is to meet the statutory payment time for every payment</w:t>
      </w:r>
      <w:r w:rsidRPr="005F4295">
        <w:rPr>
          <w:rStyle w:val="Bold"/>
          <w:bCs/>
          <w:noProof/>
        </w:rPr>
        <w:t>.</w:t>
      </w:r>
    </w:p>
    <w:tbl>
      <w:tblPr>
        <w:tblStyle w:val="BodyTable"/>
        <w:tblpPr w:leftFromText="141" w:rightFromText="141" w:vertAnchor="text" w:horzAnchor="margin" w:tblpY="845"/>
        <w:tblW w:w="4985" w:type="pct"/>
        <w:jc w:val="left"/>
        <w:tblBorders>
          <w:insideH w:val="none" w:sz="0" w:space="0" w:color="auto"/>
          <w:insideV w:val="single" w:sz="4" w:space="0" w:color="FFFFFF" w:themeColor="background1"/>
        </w:tblBorders>
        <w:tblLook w:val="0660" w:firstRow="1" w:lastRow="1" w:firstColumn="0" w:lastColumn="0" w:noHBand="1" w:noVBand="1"/>
      </w:tblPr>
      <w:tblGrid>
        <w:gridCol w:w="2069"/>
        <w:gridCol w:w="1390"/>
        <w:gridCol w:w="1390"/>
        <w:gridCol w:w="1390"/>
        <w:gridCol w:w="1390"/>
        <w:gridCol w:w="1385"/>
      </w:tblGrid>
      <w:tr w:rsidR="00A25CCC" w:rsidRPr="005F4295" w14:paraId="341C037E" w14:textId="77777777" w:rsidTr="0001263F">
        <w:trPr>
          <w:cnfStyle w:val="100000000000" w:firstRow="1" w:lastRow="0" w:firstColumn="0" w:lastColumn="0" w:oddVBand="0" w:evenVBand="0" w:oddHBand="0" w:evenHBand="0" w:firstRowFirstColumn="0" w:firstRowLastColumn="0" w:lastRowFirstColumn="0" w:lastRowLastColumn="0"/>
          <w:trHeight w:val="467"/>
          <w:tblHeader/>
          <w:jc w:val="left"/>
        </w:trPr>
        <w:tc>
          <w:tcPr>
            <w:tcW w:w="1148" w:type="pct"/>
            <w:tcBorders>
              <w:bottom w:val="single" w:sz="4" w:space="0" w:color="8C8C8C"/>
            </w:tcBorders>
          </w:tcPr>
          <w:p w14:paraId="612FD472" w14:textId="77777777" w:rsidR="00266D48" w:rsidRPr="005F4295" w:rsidRDefault="00266D48" w:rsidP="00473F0D">
            <w:pPr>
              <w:jc w:val="left"/>
              <w:rPr>
                <w:noProof/>
                <w:sz w:val="20"/>
                <w:lang w:val="en-GB"/>
              </w:rPr>
            </w:pPr>
          </w:p>
        </w:tc>
        <w:tc>
          <w:tcPr>
            <w:tcW w:w="771" w:type="pct"/>
            <w:tcBorders>
              <w:bottom w:val="single" w:sz="4" w:space="0" w:color="8C8C8C"/>
            </w:tcBorders>
            <w:vAlign w:val="center"/>
          </w:tcPr>
          <w:p w14:paraId="02F5F428" w14:textId="77777777" w:rsidR="00266D48" w:rsidRPr="005F4295" w:rsidRDefault="00266D48" w:rsidP="00473F0D">
            <w:pPr>
              <w:spacing w:before="0" w:after="0"/>
              <w:rPr>
                <w:noProof/>
                <w:sz w:val="20"/>
                <w:lang w:val="en-GB"/>
              </w:rPr>
            </w:pPr>
            <w:r w:rsidRPr="005F4295">
              <w:rPr>
                <w:noProof/>
                <w:sz w:val="20"/>
                <w:lang w:val="en-GB"/>
              </w:rPr>
              <w:t>2021</w:t>
            </w:r>
          </w:p>
        </w:tc>
        <w:tc>
          <w:tcPr>
            <w:tcW w:w="771" w:type="pct"/>
            <w:tcBorders>
              <w:bottom w:val="single" w:sz="4" w:space="0" w:color="8C8C8C"/>
            </w:tcBorders>
            <w:vAlign w:val="center"/>
          </w:tcPr>
          <w:p w14:paraId="30A454BC" w14:textId="77777777" w:rsidR="00266D48" w:rsidRPr="005F4295" w:rsidRDefault="00266D48" w:rsidP="00473F0D">
            <w:pPr>
              <w:spacing w:before="0" w:after="0"/>
              <w:rPr>
                <w:noProof/>
                <w:sz w:val="20"/>
                <w:lang w:val="en-GB"/>
              </w:rPr>
            </w:pPr>
            <w:r w:rsidRPr="005F4295">
              <w:rPr>
                <w:noProof/>
                <w:sz w:val="20"/>
                <w:lang w:val="en-GB"/>
              </w:rPr>
              <w:t>2022</w:t>
            </w:r>
          </w:p>
        </w:tc>
        <w:tc>
          <w:tcPr>
            <w:tcW w:w="771" w:type="pct"/>
            <w:tcBorders>
              <w:bottom w:val="single" w:sz="4" w:space="0" w:color="8C8C8C"/>
            </w:tcBorders>
            <w:vAlign w:val="center"/>
          </w:tcPr>
          <w:p w14:paraId="2B537E9A" w14:textId="77777777" w:rsidR="00266D48" w:rsidRPr="005F4295" w:rsidRDefault="00266D48" w:rsidP="00473F0D">
            <w:pPr>
              <w:spacing w:before="0" w:after="0"/>
              <w:rPr>
                <w:noProof/>
                <w:sz w:val="20"/>
                <w:lang w:val="en-GB"/>
              </w:rPr>
            </w:pPr>
            <w:r w:rsidRPr="005F4295">
              <w:rPr>
                <w:noProof/>
                <w:sz w:val="20"/>
                <w:lang w:val="en-GB"/>
              </w:rPr>
              <w:t>2023</w:t>
            </w:r>
          </w:p>
        </w:tc>
        <w:tc>
          <w:tcPr>
            <w:tcW w:w="771" w:type="pct"/>
            <w:tcBorders>
              <w:bottom w:val="single" w:sz="4" w:space="0" w:color="8C8C8C"/>
            </w:tcBorders>
          </w:tcPr>
          <w:p w14:paraId="3D2C9D4E" w14:textId="77777777" w:rsidR="00266D48" w:rsidRPr="005F4295" w:rsidRDefault="00266D48" w:rsidP="00473F0D">
            <w:pPr>
              <w:spacing w:after="0"/>
              <w:rPr>
                <w:noProof/>
                <w:lang w:val="en-GB"/>
              </w:rPr>
            </w:pPr>
            <w:r w:rsidRPr="005F4295">
              <w:rPr>
                <w:noProof/>
                <w:sz w:val="20"/>
                <w:lang w:val="en-GB"/>
              </w:rPr>
              <w:t>2024</w:t>
            </w:r>
          </w:p>
        </w:tc>
        <w:tc>
          <w:tcPr>
            <w:tcW w:w="769" w:type="pct"/>
            <w:tcBorders>
              <w:bottom w:val="single" w:sz="4" w:space="0" w:color="8C8C8C"/>
            </w:tcBorders>
          </w:tcPr>
          <w:p w14:paraId="739B9E7C" w14:textId="77777777" w:rsidR="00266D48" w:rsidRPr="005F4295" w:rsidRDefault="00266D48" w:rsidP="00473F0D">
            <w:pPr>
              <w:spacing w:after="0"/>
              <w:rPr>
                <w:noProof/>
                <w:lang w:val="en-GB"/>
              </w:rPr>
            </w:pPr>
            <w:r w:rsidRPr="005F4295">
              <w:rPr>
                <w:noProof/>
                <w:lang w:val="en-GB"/>
              </w:rPr>
              <w:t>2025</w:t>
            </w:r>
          </w:p>
        </w:tc>
      </w:tr>
      <w:tr w:rsidR="00A25CCC" w:rsidRPr="005F4295" w14:paraId="61E1E78D" w14:textId="77777777" w:rsidTr="0001263F">
        <w:trPr>
          <w:cnfStyle w:val="100000000000" w:firstRow="1" w:lastRow="0" w:firstColumn="0" w:lastColumn="0" w:oddVBand="0" w:evenVBand="0" w:oddHBand="0" w:evenHBand="0" w:firstRowFirstColumn="0" w:firstRowLastColumn="0" w:lastRowFirstColumn="0" w:lastRowLastColumn="0"/>
          <w:trHeight w:val="467"/>
          <w:tblHeader/>
          <w:jc w:val="left"/>
        </w:trPr>
        <w:tc>
          <w:tcPr>
            <w:tcW w:w="1148" w:type="pct"/>
            <w:tcBorders>
              <w:bottom w:val="single" w:sz="4" w:space="0" w:color="8C8C8C"/>
            </w:tcBorders>
            <w:shd w:val="clear" w:color="auto" w:fill="FEDEC6" w:themeFill="accent2" w:themeFillTint="33"/>
            <w:vAlign w:val="center"/>
          </w:tcPr>
          <w:p w14:paraId="31BEC9C6" w14:textId="77777777" w:rsidR="00266D48" w:rsidRPr="005F4295" w:rsidRDefault="00266D48" w:rsidP="00473F0D">
            <w:pPr>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Total number of suspensions</w:t>
            </w:r>
          </w:p>
        </w:tc>
        <w:tc>
          <w:tcPr>
            <w:tcW w:w="771" w:type="pct"/>
            <w:tcBorders>
              <w:bottom w:val="single" w:sz="4" w:space="0" w:color="8C8C8C"/>
            </w:tcBorders>
            <w:shd w:val="clear" w:color="auto" w:fill="FEDEC6" w:themeFill="accent2" w:themeFillTint="33"/>
            <w:vAlign w:val="center"/>
          </w:tcPr>
          <w:p w14:paraId="7F4F71F7" w14:textId="77777777" w:rsidR="00266D48" w:rsidRPr="005F4295" w:rsidRDefault="00266D48" w:rsidP="00473F0D">
            <w:pPr>
              <w:spacing w:before="0" w:after="0"/>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20</w:t>
            </w:r>
            <w:r w:rsidRPr="005F4295">
              <w:rPr>
                <w:rFonts w:ascii="Calibri" w:hAnsi="Calibri" w:cs="Calibri"/>
                <w:b w:val="0"/>
                <w:color w:val="000000" w:themeColor="text1"/>
                <w:sz w:val="20"/>
                <w:lang w:val="en-GB"/>
              </w:rPr>
              <w:t> </w:t>
            </w:r>
            <w:r w:rsidRPr="005F4295">
              <w:rPr>
                <w:rFonts w:ascii="EC Square Sans Pro Medium" w:hAnsi="EC Square Sans Pro Medium"/>
                <w:b w:val="0"/>
                <w:color w:val="000000" w:themeColor="text1"/>
                <w:sz w:val="20"/>
                <w:lang w:val="en-GB"/>
              </w:rPr>
              <w:t>552</w:t>
            </w:r>
          </w:p>
        </w:tc>
        <w:tc>
          <w:tcPr>
            <w:tcW w:w="771" w:type="pct"/>
            <w:tcBorders>
              <w:bottom w:val="single" w:sz="4" w:space="0" w:color="8C8C8C"/>
            </w:tcBorders>
            <w:shd w:val="clear" w:color="auto" w:fill="FEDEC6" w:themeFill="accent2" w:themeFillTint="33"/>
            <w:vAlign w:val="center"/>
          </w:tcPr>
          <w:p w14:paraId="25D4040C" w14:textId="77777777" w:rsidR="00266D48" w:rsidRPr="005F4295" w:rsidRDefault="00266D48" w:rsidP="00473F0D">
            <w:pPr>
              <w:spacing w:before="0" w:after="0"/>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23</w:t>
            </w:r>
            <w:r w:rsidRPr="005F4295">
              <w:rPr>
                <w:rFonts w:ascii="Calibri" w:hAnsi="Calibri" w:cs="Calibri"/>
                <w:b w:val="0"/>
                <w:color w:val="000000" w:themeColor="text1"/>
                <w:sz w:val="20"/>
                <w:lang w:val="en-GB"/>
              </w:rPr>
              <w:t> </w:t>
            </w:r>
            <w:r w:rsidRPr="005F4295">
              <w:rPr>
                <w:rFonts w:ascii="EC Square Sans Pro Medium" w:hAnsi="EC Square Sans Pro Medium"/>
                <w:b w:val="0"/>
                <w:color w:val="000000" w:themeColor="text1"/>
                <w:sz w:val="20"/>
                <w:lang w:val="en-GB"/>
              </w:rPr>
              <w:t>856</w:t>
            </w:r>
          </w:p>
        </w:tc>
        <w:tc>
          <w:tcPr>
            <w:tcW w:w="771" w:type="pct"/>
            <w:tcBorders>
              <w:bottom w:val="single" w:sz="4" w:space="0" w:color="8C8C8C"/>
            </w:tcBorders>
            <w:shd w:val="clear" w:color="auto" w:fill="FEDEC6" w:themeFill="accent2" w:themeFillTint="33"/>
            <w:vAlign w:val="center"/>
          </w:tcPr>
          <w:p w14:paraId="51AC08D0" w14:textId="77777777" w:rsidR="00266D48" w:rsidRPr="005F4295" w:rsidRDefault="00266D48" w:rsidP="00473F0D">
            <w:pPr>
              <w:spacing w:before="0" w:after="0"/>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23</w:t>
            </w:r>
            <w:r w:rsidRPr="005F4295">
              <w:rPr>
                <w:rFonts w:ascii="Calibri" w:hAnsi="Calibri" w:cs="Calibri"/>
                <w:b w:val="0"/>
                <w:color w:val="000000" w:themeColor="text1"/>
                <w:sz w:val="20"/>
                <w:lang w:val="en-GB"/>
              </w:rPr>
              <w:t> </w:t>
            </w:r>
            <w:r w:rsidRPr="005F4295">
              <w:rPr>
                <w:rFonts w:ascii="EC Square Sans Pro Medium" w:hAnsi="EC Square Sans Pro Medium" w:cs="Calibri"/>
                <w:b w:val="0"/>
                <w:color w:val="000000" w:themeColor="text1"/>
                <w:sz w:val="20"/>
                <w:lang w:val="en-GB"/>
              </w:rPr>
              <w:t>015</w:t>
            </w:r>
          </w:p>
        </w:tc>
        <w:tc>
          <w:tcPr>
            <w:tcW w:w="771" w:type="pct"/>
            <w:tcBorders>
              <w:bottom w:val="single" w:sz="4" w:space="0" w:color="8C8C8C"/>
            </w:tcBorders>
            <w:shd w:val="clear" w:color="auto" w:fill="FEDEC6" w:themeFill="accent2" w:themeFillTint="33"/>
            <w:vAlign w:val="center"/>
          </w:tcPr>
          <w:p w14:paraId="4FDB0634" w14:textId="77777777" w:rsidR="00266D48" w:rsidRPr="005F4295" w:rsidRDefault="00266D48" w:rsidP="0001263F">
            <w:pPr>
              <w:spacing w:before="0" w:after="0"/>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21</w:t>
            </w:r>
            <w:r w:rsidRPr="005F4295">
              <w:rPr>
                <w:rFonts w:ascii="Calibri" w:hAnsi="Calibri" w:cs="Calibri"/>
                <w:b w:val="0"/>
                <w:color w:val="000000" w:themeColor="text1"/>
                <w:sz w:val="20"/>
                <w:lang w:val="en-GB"/>
              </w:rPr>
              <w:t> </w:t>
            </w:r>
            <w:r w:rsidRPr="005F4295">
              <w:rPr>
                <w:rFonts w:ascii="EC Square Sans Pro Medium" w:hAnsi="EC Square Sans Pro Medium"/>
                <w:b w:val="0"/>
                <w:color w:val="000000" w:themeColor="text1"/>
                <w:sz w:val="20"/>
                <w:lang w:val="en-GB"/>
              </w:rPr>
              <w:t>908</w:t>
            </w:r>
          </w:p>
        </w:tc>
        <w:tc>
          <w:tcPr>
            <w:tcW w:w="769" w:type="pct"/>
            <w:tcBorders>
              <w:bottom w:val="single" w:sz="4" w:space="0" w:color="8C8C8C"/>
            </w:tcBorders>
            <w:shd w:val="clear" w:color="auto" w:fill="FEDEC6" w:themeFill="accent2" w:themeFillTint="33"/>
            <w:vAlign w:val="center"/>
          </w:tcPr>
          <w:p w14:paraId="2089CF49" w14:textId="77777777" w:rsidR="00266D48" w:rsidRPr="005F4295" w:rsidRDefault="00266D48" w:rsidP="0001263F">
            <w:pPr>
              <w:spacing w:before="0" w:after="0"/>
              <w:rPr>
                <w:rFonts w:ascii="EC Square Sans Pro Medium" w:hAnsi="EC Square Sans Pro Medium"/>
                <w:b w:val="0"/>
                <w:bCs/>
                <w:noProof/>
                <w:color w:val="000000" w:themeColor="text1"/>
                <w:sz w:val="20"/>
                <w:lang w:val="en-GB"/>
              </w:rPr>
            </w:pPr>
            <w:r w:rsidRPr="005F4295">
              <w:rPr>
                <w:rFonts w:ascii="EC Square Sans Pro Medium" w:hAnsi="EC Square Sans Pro Medium"/>
                <w:b w:val="0"/>
                <w:color w:val="000000" w:themeColor="text1"/>
                <w:sz w:val="20"/>
                <w:lang w:val="en-GB"/>
              </w:rPr>
              <w:t>19</w:t>
            </w:r>
            <w:r w:rsidRPr="005F4295">
              <w:rPr>
                <w:rFonts w:ascii="Calibri" w:hAnsi="Calibri" w:cs="Calibri"/>
                <w:b w:val="0"/>
                <w:color w:val="000000" w:themeColor="text1"/>
                <w:sz w:val="20"/>
                <w:lang w:val="en-GB"/>
              </w:rPr>
              <w:t> </w:t>
            </w:r>
            <w:r w:rsidRPr="005F4295">
              <w:rPr>
                <w:rFonts w:ascii="EC Square Sans Pro Medium" w:hAnsi="EC Square Sans Pro Medium"/>
                <w:b w:val="0"/>
                <w:color w:val="000000" w:themeColor="text1"/>
                <w:sz w:val="20"/>
                <w:lang w:val="en-GB"/>
              </w:rPr>
              <w:t>891</w:t>
            </w:r>
          </w:p>
        </w:tc>
      </w:tr>
    </w:tbl>
    <w:p w14:paraId="6907BBF7" w14:textId="77777777" w:rsidR="00EB70E0" w:rsidRPr="005F4295" w:rsidRDefault="00EB70E0" w:rsidP="00EB70E0">
      <w:pPr>
        <w:spacing w:before="360" w:after="360"/>
        <w:rPr>
          <w:noProof/>
        </w:rPr>
      </w:pPr>
      <w:r w:rsidRPr="005F4295">
        <w:rPr>
          <w:noProof/>
        </w:rPr>
        <w:t xml:space="preserve">The table below shows the number of </w:t>
      </w:r>
      <w:r w:rsidRPr="005F4295">
        <w:t xml:space="preserve">suspensions of payments </w:t>
      </w:r>
      <w:r w:rsidRPr="005F4295">
        <w:rPr>
          <w:noProof/>
        </w:rPr>
        <w:t>over the last five years.</w:t>
      </w:r>
    </w:p>
    <w:p w14:paraId="2AF94D86" w14:textId="77777777" w:rsidR="00EB70E0" w:rsidRPr="005F4295" w:rsidRDefault="00EB70E0" w:rsidP="0001263F">
      <w:pPr>
        <w:pStyle w:val="TableSource"/>
        <w:jc w:val="both"/>
        <w:rPr>
          <w:noProof/>
        </w:rPr>
      </w:pPr>
      <w:r w:rsidRPr="005F4295">
        <w:rPr>
          <w:rStyle w:val="Italic"/>
        </w:rPr>
        <w:t>Source:</w:t>
      </w:r>
      <w:r w:rsidRPr="005F4295">
        <w:rPr>
          <w:noProof/>
        </w:rPr>
        <w:t xml:space="preserve"> European Commission.</w:t>
      </w:r>
    </w:p>
    <w:p w14:paraId="391FCA5F" w14:textId="7ABAD387" w:rsidR="00EB70E0" w:rsidRPr="005F4295" w:rsidRDefault="00B35B3B" w:rsidP="00EB70E0">
      <w:pPr>
        <w:spacing w:before="360"/>
        <w:rPr>
          <w:noProof/>
          <w:highlight w:val="lightGray"/>
        </w:rPr>
      </w:pPr>
      <w:r w:rsidRPr="005F4295">
        <w:rPr>
          <w:noProof/>
        </w:rPr>
        <w:t>Suspensions are a tool that allows the responsible authorising officer to temporarily</w:t>
      </w:r>
      <w:r w:rsidR="000B3F8B" w:rsidRPr="005F4295">
        <w:rPr>
          <w:noProof/>
        </w:rPr>
        <w:t xml:space="preserve"> </w:t>
      </w:r>
      <w:r w:rsidRPr="005F4295">
        <w:rPr>
          <w:noProof/>
        </w:rPr>
        <w:t xml:space="preserve">withhold the execution of a payment because the amount is not due, because of the absence of appropriate supporting documentation or because there are doubts </w:t>
      </w:r>
      <w:r w:rsidR="00EB2E15" w:rsidRPr="005F4295">
        <w:rPr>
          <w:noProof/>
        </w:rPr>
        <w:t>about</w:t>
      </w:r>
      <w:r w:rsidRPr="005F4295">
        <w:rPr>
          <w:noProof/>
        </w:rPr>
        <w:t xml:space="preserve"> the eligibility of the expenditure concerned. It is a basic tool for the authorising officer in the payment process towards avoiding irregular or erroneous payments and fundamental towards ensuring sound financial management and protecting the EU’s financial interest.</w:t>
      </w:r>
      <w:bookmarkStart w:id="81" w:name="_Toc130832128"/>
      <w:bookmarkStart w:id="82" w:name="_Toc130832099"/>
      <w:bookmarkStart w:id="83" w:name="_Toc130821450"/>
      <w:bookmarkStart w:id="84" w:name="_Toc130576978"/>
      <w:bookmarkStart w:id="85" w:name="_Toc135906061"/>
      <w:bookmarkStart w:id="86" w:name="_Toc135906560"/>
      <w:bookmarkEnd w:id="81"/>
      <w:bookmarkEnd w:id="82"/>
      <w:bookmarkEnd w:id="83"/>
      <w:bookmarkEnd w:id="84"/>
      <w:bookmarkEnd w:id="85"/>
      <w:bookmarkEnd w:id="86"/>
    </w:p>
    <w:p w14:paraId="79C7E592" w14:textId="77777777" w:rsidR="00EB70E0" w:rsidRDefault="00EB70E0" w:rsidP="00EB70E0">
      <w:pPr>
        <w:rPr>
          <w:noProof/>
          <w:highlight w:val="lightGray"/>
        </w:rPr>
      </w:pPr>
    </w:p>
    <w:p w14:paraId="13A37D4D" w14:textId="77777777" w:rsidR="00ED4CA9" w:rsidRPr="005F4295" w:rsidRDefault="00ED4CA9" w:rsidP="00EB70E0">
      <w:pPr>
        <w:rPr>
          <w:noProof/>
          <w:highlight w:val="lightGray"/>
        </w:rPr>
        <w:sectPr w:rsidR="00ED4CA9" w:rsidRPr="005F4295" w:rsidSect="00EB70E0">
          <w:headerReference w:type="even" r:id="rId113"/>
          <w:headerReference w:type="default" r:id="rId114"/>
          <w:footerReference w:type="even" r:id="rId115"/>
          <w:footerReference w:type="default" r:id="rId116"/>
          <w:headerReference w:type="first" r:id="rId117"/>
          <w:footerReference w:type="first" r:id="rId118"/>
          <w:endnotePr>
            <w:pos w:val="sectEnd"/>
            <w:numFmt w:val="lowerLetter"/>
          </w:endnotePr>
          <w:pgSz w:w="11907" w:h="16839" w:code="9"/>
          <w:pgMar w:top="1418" w:right="1418" w:bottom="1418" w:left="1418" w:header="680" w:footer="567" w:gutter="0"/>
          <w:cols w:space="720"/>
          <w:docGrid w:linePitch="272"/>
        </w:sectPr>
      </w:pPr>
    </w:p>
    <w:p w14:paraId="4BED639B" w14:textId="77777777" w:rsidR="00EB70E0" w:rsidRPr="005F4295" w:rsidRDefault="00EB70E0" w:rsidP="00EB70E0">
      <w:pPr>
        <w:rPr>
          <w:noProof/>
          <w:highlight w:val="lightGray"/>
        </w:rPr>
      </w:pPr>
      <w:r w:rsidRPr="005F4295">
        <w:rPr>
          <w:noProof/>
          <w:highlight w:val="lightGray"/>
        </w:rPr>
        <mc:AlternateContent>
          <mc:Choice Requires="wps">
            <w:drawing>
              <wp:anchor distT="0" distB="0" distL="114300" distR="114300" simplePos="0" relativeHeight="251658243" behindDoc="0" locked="1" layoutInCell="1" allowOverlap="1" wp14:anchorId="28B053D3" wp14:editId="0F8C8F4F">
                <wp:simplePos x="0" y="0"/>
                <wp:positionH relativeFrom="column">
                  <wp:posOffset>2376170</wp:posOffset>
                </wp:positionH>
                <wp:positionV relativeFrom="page">
                  <wp:posOffset>3240405</wp:posOffset>
                </wp:positionV>
                <wp:extent cx="3600000" cy="5040000"/>
                <wp:effectExtent l="0" t="0" r="0" b="0"/>
                <wp:wrapNone/>
                <wp:docPr id="3253" name="Text Box 3253"/>
                <wp:cNvGraphicFramePr/>
                <a:graphic xmlns:a="http://schemas.openxmlformats.org/drawingml/2006/main">
                  <a:graphicData uri="http://schemas.microsoft.com/office/word/2010/wordprocessingShape">
                    <wps:wsp>
                      <wps:cNvSpPr txBox="1"/>
                      <wps:spPr>
                        <a:xfrm>
                          <a:off x="0" y="0"/>
                          <a:ext cx="3600000" cy="5040000"/>
                        </a:xfrm>
                        <a:prstGeom prst="rect">
                          <a:avLst/>
                        </a:prstGeom>
                        <a:noFill/>
                        <a:ln w="6350">
                          <a:noFill/>
                        </a:ln>
                      </wps:spPr>
                      <wps:txbx>
                        <w:txbxContent>
                          <w:p w14:paraId="55CB1C4E" w14:textId="77777777"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9</w:t>
                            </w:r>
                            <w:r>
                              <w:rPr>
                                <w:rFonts w:ascii="Calibri" w:eastAsiaTheme="minorHAnsi" w:hAnsi="Calibri" w:cs="Calibri"/>
                              </w:rPr>
                              <w:t> </w:t>
                            </w:r>
                            <w:r w:rsidRPr="007F744E">
                              <w:rPr>
                                <w:rFonts w:eastAsiaTheme="minorHAnsi"/>
                              </w:rPr>
                              <w:t xml:space="preserve">– </w:t>
                            </w:r>
                            <w:r w:rsidRPr="00CB1573">
                              <w:rPr>
                                <w:rFonts w:eastAsiaTheme="minorHAnsi"/>
                              </w:rPr>
                              <w:t>Summary of waivers of recoveries of established amounts receivable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053D3" id="Text Box 3253" o:spid="_x0000_s1030" type="#_x0000_t202" style="position:absolute;margin-left:187.1pt;margin-top:255.15pt;width:283.45pt;height:396.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" filled="f" stroked="f" strokeweight=".5pt">
                <v:textbox>
                  <w:txbxContent>
                    <w:p w14:paraId="55CB1C4E" w14:textId="77777777"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9</w:t>
                      </w:r>
                      <w:r>
                        <w:rPr>
                          <w:rFonts w:ascii="Calibri" w:eastAsiaTheme="minorHAnsi" w:hAnsi="Calibri" w:cs="Calibri"/>
                        </w:rPr>
                        <w:t> </w:t>
                      </w:r>
                      <w:r w:rsidRPr="007F744E">
                        <w:rPr>
                          <w:rFonts w:eastAsiaTheme="minorHAnsi"/>
                        </w:rPr>
                        <w:t xml:space="preserve">– </w:t>
                      </w:r>
                      <w:r w:rsidRPr="00CB1573">
                        <w:rPr>
                          <w:rFonts w:eastAsiaTheme="minorHAnsi"/>
                        </w:rPr>
                        <w:t>Summary of waivers of recoveries of established amounts receivable</w:t>
                      </w:r>
                    </w:p>
                  </w:txbxContent>
                </v:textbox>
                <w10:wrap anchory="page"/>
                <w10:anchorlock/>
              </v:shape>
            </w:pict>
          </mc:Fallback>
        </mc:AlternateContent>
      </w:r>
    </w:p>
    <w:p w14:paraId="6D131051" w14:textId="77777777" w:rsidR="00EB70E0" w:rsidRPr="005F4295" w:rsidRDefault="00EB70E0" w:rsidP="00EB70E0">
      <w:pPr>
        <w:rPr>
          <w:noProof/>
          <w:highlight w:val="lightGray"/>
        </w:rPr>
        <w:sectPr w:rsidR="00EB70E0" w:rsidRPr="005F4295" w:rsidSect="00EB70E0">
          <w:headerReference w:type="even" r:id="rId119"/>
          <w:headerReference w:type="default" r:id="rId120"/>
          <w:footerReference w:type="even" r:id="rId121"/>
          <w:footerReference w:type="default" r:id="rId122"/>
          <w:headerReference w:type="first" r:id="rId123"/>
          <w:footerReference w:type="first" r:id="rId124"/>
          <w:endnotePr>
            <w:pos w:val="sectEnd"/>
            <w:numFmt w:val="lowerLetter"/>
          </w:endnotePr>
          <w:type w:val="oddPage"/>
          <w:pgSz w:w="11907" w:h="16839" w:code="9"/>
          <w:pgMar w:top="1418" w:right="1418" w:bottom="1418" w:left="1418" w:header="680" w:footer="567" w:gutter="0"/>
          <w:cols w:space="720"/>
          <w:docGrid w:linePitch="272"/>
        </w:sectPr>
      </w:pPr>
    </w:p>
    <w:p w14:paraId="0F65D98E" w14:textId="77777777" w:rsidR="00EB70E0" w:rsidRPr="005F4295" w:rsidRDefault="00EB70E0" w:rsidP="00EB70E0">
      <w:pPr>
        <w:rPr>
          <w:noProof/>
          <w:highlight w:val="lightGray"/>
        </w:rPr>
      </w:pPr>
    </w:p>
    <w:p w14:paraId="5157E63D" w14:textId="77777777" w:rsidR="00EB70E0" w:rsidRPr="005F4295" w:rsidRDefault="00EB70E0" w:rsidP="00EB70E0">
      <w:pPr>
        <w:rPr>
          <w:noProof/>
          <w:highlight w:val="lightGray"/>
        </w:rPr>
        <w:sectPr w:rsidR="00EB70E0" w:rsidRPr="005F4295" w:rsidSect="00EB70E0">
          <w:headerReference w:type="even" r:id="rId125"/>
          <w:headerReference w:type="default" r:id="rId126"/>
          <w:footerReference w:type="even" r:id="rId127"/>
          <w:footerReference w:type="default" r:id="rId128"/>
          <w:headerReference w:type="first" r:id="rId129"/>
          <w:footerReference w:type="first" r:id="rId130"/>
          <w:endnotePr>
            <w:pos w:val="sectEnd"/>
            <w:numFmt w:val="lowerLetter"/>
          </w:endnotePr>
          <w:pgSz w:w="11907" w:h="16839" w:code="9"/>
          <w:pgMar w:top="1418" w:right="1418" w:bottom="1418" w:left="1418" w:header="680" w:footer="567" w:gutter="0"/>
          <w:cols w:space="720"/>
          <w:docGrid w:linePitch="272"/>
        </w:sectPr>
      </w:pPr>
    </w:p>
    <w:p w14:paraId="3428A134" w14:textId="58499932" w:rsidR="00EB70E0" w:rsidRPr="005F4295" w:rsidRDefault="00EB70E0" w:rsidP="00EB70E0">
      <w:pPr>
        <w:pStyle w:val="HeadingT-AnnexesL1"/>
        <w:rPr>
          <w:noProof/>
        </w:rPr>
      </w:pPr>
      <w:bookmarkStart w:id="87" w:name="_Toc130821441"/>
      <w:bookmarkStart w:id="88" w:name="_Toc130832087"/>
      <w:bookmarkStart w:id="89" w:name="_Toc166086403"/>
      <w:bookmarkStart w:id="90" w:name="_Toc168585097"/>
      <w:bookmarkStart w:id="91" w:name="_Toc229386279"/>
      <w:bookmarkStart w:id="92" w:name="_Toc231914923"/>
      <w:bookmarkStart w:id="93" w:name="_Toc231480277"/>
      <w:r w:rsidRPr="005F4295">
        <w:rPr>
          <w:noProof/>
        </w:rPr>
        <w:t>Annex</w:t>
      </w:r>
      <w:r w:rsidRPr="005F4295">
        <w:rPr>
          <w:rFonts w:ascii="Calibri" w:hAnsi="Calibri" w:cs="Calibri"/>
          <w:noProof/>
        </w:rPr>
        <w:t> </w:t>
      </w:r>
      <w:r w:rsidRPr="005F4295">
        <w:rPr>
          <w:noProof/>
        </w:rPr>
        <w:t>9</w:t>
      </w:r>
      <w:r w:rsidRPr="005F4295">
        <w:rPr>
          <w:rFonts w:ascii="Calibri" w:hAnsi="Calibri" w:cs="Calibri"/>
          <w:noProof/>
        </w:rPr>
        <w:t> </w:t>
      </w:r>
      <w:r w:rsidRPr="005F4295">
        <w:rPr>
          <w:noProof/>
        </w:rPr>
        <w:t xml:space="preserve">– </w:t>
      </w:r>
      <w:bookmarkEnd w:id="87"/>
      <w:bookmarkEnd w:id="88"/>
      <w:r w:rsidRPr="005F4295">
        <w:rPr>
          <w:noProof/>
        </w:rPr>
        <w:t>Summary of waivers of recoveries of established amounts receivable</w:t>
      </w:r>
      <w:bookmarkEnd w:id="89"/>
      <w:bookmarkEnd w:id="90"/>
      <w:bookmarkEnd w:id="91"/>
      <w:bookmarkEnd w:id="92"/>
      <w:bookmarkEnd w:id="93"/>
    </w:p>
    <w:p w14:paraId="15BD2913" w14:textId="3B60E69C" w:rsidR="00EB70E0" w:rsidRPr="005F4295" w:rsidRDefault="00EB70E0" w:rsidP="00EB70E0">
      <w:pPr>
        <w:rPr>
          <w:noProof/>
        </w:rPr>
      </w:pPr>
      <w:r w:rsidRPr="005F4295">
        <w:rPr>
          <w:noProof/>
        </w:rPr>
        <w:t>In accordance with Article</w:t>
      </w:r>
      <w:r w:rsidRPr="005F4295">
        <w:rPr>
          <w:rFonts w:ascii="Calibri" w:hAnsi="Calibri" w:cs="Calibri"/>
          <w:noProof/>
        </w:rPr>
        <w:t> </w:t>
      </w:r>
      <w:r w:rsidRPr="005F4295">
        <w:rPr>
          <w:noProof/>
        </w:rPr>
        <w:t>101(5) of the Financial Regulation</w:t>
      </w:r>
      <w:r w:rsidRPr="005F4295">
        <w:rPr>
          <w:rFonts w:ascii="Calibri" w:hAnsi="Calibri" w:cs="Calibri"/>
          <w:noProof/>
          <w:sz w:val="22"/>
        </w:rPr>
        <w:t> </w:t>
      </w:r>
      <w:r w:rsidRPr="005F4295">
        <w:rPr>
          <w:rFonts w:cs="Calibri"/>
          <w:noProof/>
        </w:rPr>
        <w:t>(</w:t>
      </w:r>
      <w:r w:rsidRPr="005F4295">
        <w:rPr>
          <w:rStyle w:val="FootnoteReference"/>
        </w:rPr>
        <w:footnoteReference w:id="35"/>
      </w:r>
      <w:r w:rsidRPr="005F4295">
        <w:rPr>
          <w:rFonts w:cs="Calibri"/>
          <w:noProof/>
        </w:rPr>
        <w:t>)</w:t>
      </w:r>
      <w:r w:rsidR="005B799D" w:rsidRPr="005F4295">
        <w:rPr>
          <w:noProof/>
        </w:rPr>
        <w:t>,</w:t>
      </w:r>
      <w:r w:rsidRPr="005F4295">
        <w:rPr>
          <w:noProof/>
        </w:rPr>
        <w:t xml:space="preserve"> the Commission reports</w:t>
      </w:r>
      <w:r w:rsidRPr="005F4295" w:rsidDel="00580B2F">
        <w:rPr>
          <w:noProof/>
        </w:rPr>
        <w:t xml:space="preserve"> </w:t>
      </w:r>
      <w:r w:rsidRPr="005F4295">
        <w:rPr>
          <w:noProof/>
        </w:rPr>
        <w:t>to the budgetary authority each year on the waivers it has granted in an annex to the summary of the annual activity reports. The table below shows the total value and the number of waivers above and below EUR</w:t>
      </w:r>
      <w:r w:rsidRPr="005F4295">
        <w:rPr>
          <w:rFonts w:ascii="Calibri" w:hAnsi="Calibri" w:cs="Calibri"/>
          <w:noProof/>
        </w:rPr>
        <w:t> </w:t>
      </w:r>
      <w:r w:rsidRPr="005F4295">
        <w:rPr>
          <w:noProof/>
        </w:rPr>
        <w:t>60</w:t>
      </w:r>
      <w:r w:rsidRPr="005F4295">
        <w:rPr>
          <w:rFonts w:ascii="Calibri" w:hAnsi="Calibri" w:cs="Calibri"/>
          <w:noProof/>
        </w:rPr>
        <w:t> </w:t>
      </w:r>
      <w:r w:rsidRPr="005F4295">
        <w:rPr>
          <w:noProof/>
        </w:rPr>
        <w:t xml:space="preserve">000 in </w:t>
      </w:r>
      <w:r w:rsidR="004616C0" w:rsidRPr="005F4295">
        <w:rPr>
          <w:noProof/>
        </w:rPr>
        <w:t>2025</w:t>
      </w:r>
      <w:r w:rsidRPr="005F4295">
        <w:rPr>
          <w:noProof/>
        </w:rPr>
        <w:t>. The individual annual activity reports of the Commission’s departments provide more details on the individual waivers above EUR</w:t>
      </w:r>
      <w:r w:rsidRPr="005F4295">
        <w:rPr>
          <w:rFonts w:ascii="Calibri" w:hAnsi="Calibri" w:cs="Calibri"/>
          <w:noProof/>
        </w:rPr>
        <w:t> </w:t>
      </w:r>
      <w:r w:rsidRPr="005F4295">
        <w:rPr>
          <w:noProof/>
        </w:rPr>
        <w:t>60</w:t>
      </w:r>
      <w:r w:rsidRPr="005F4295">
        <w:rPr>
          <w:rFonts w:ascii="Calibri" w:hAnsi="Calibri" w:cs="Calibri"/>
          <w:noProof/>
        </w:rPr>
        <w:t> </w:t>
      </w:r>
      <w:r w:rsidRPr="005F4295">
        <w:rPr>
          <w:noProof/>
        </w:rPr>
        <w:t>000.</w:t>
      </w:r>
    </w:p>
    <w:tbl>
      <w:tblPr>
        <w:tblStyle w:val="BodyTable2"/>
        <w:tblW w:w="5000" w:type="pct"/>
        <w:tblBorders>
          <w:top w:val="none" w:sz="0" w:space="0" w:color="auto"/>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410"/>
        <w:gridCol w:w="1277"/>
        <w:gridCol w:w="1346"/>
        <w:gridCol w:w="1346"/>
        <w:gridCol w:w="1346"/>
        <w:gridCol w:w="1346"/>
      </w:tblGrid>
      <w:tr w:rsidR="003D3D4C" w:rsidRPr="005F4295" w14:paraId="01791FF6" w14:textId="77777777" w:rsidTr="00D2751E">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1328" w:type="pct"/>
            <w:vMerge w:val="restart"/>
            <w:vAlign w:val="center"/>
          </w:tcPr>
          <w:p w14:paraId="14DD87EF" w14:textId="77777777" w:rsidR="00EB70E0" w:rsidRPr="005F4295" w:rsidRDefault="00EB70E0">
            <w:pPr>
              <w:spacing w:before="60" w:after="60" w:line="240" w:lineRule="auto"/>
              <w:rPr>
                <w:rFonts w:eastAsia="EC Square Sans Pro" w:cs="Tunga"/>
                <w:color w:val="003399" w:themeColor="text2"/>
                <w:sz w:val="18"/>
                <w:szCs w:val="22"/>
                <w:lang w:eastAsia="en-US"/>
              </w:rPr>
            </w:pPr>
            <w:r w:rsidRPr="005F4295">
              <w:rPr>
                <w:rFonts w:eastAsia="EC Square Sans Pro" w:cs="Tunga"/>
                <w:color w:val="FFFFFF" w:themeColor="background1"/>
                <w:sz w:val="18"/>
                <w:szCs w:val="22"/>
                <w:lang w:eastAsia="en-US"/>
              </w:rPr>
              <w:t>EU budget area</w:t>
            </w:r>
          </w:p>
        </w:tc>
        <w:tc>
          <w:tcPr>
            <w:tcW w:w="704" w:type="pct"/>
            <w:vMerge w:val="restart"/>
            <w:shd w:val="clear" w:color="auto" w:fill="003399" w:themeFill="text2"/>
            <w:vAlign w:val="center"/>
          </w:tcPr>
          <w:p w14:paraId="11B4A0FC" w14:textId="77777777" w:rsidR="00EB70E0" w:rsidRPr="005F4295" w:rsidRDefault="00EB70E0">
            <w:pPr>
              <w:spacing w:line="240" w:lineRule="auto"/>
              <w:cnfStyle w:val="100000000000" w:firstRow="1" w:lastRow="0" w:firstColumn="0" w:lastColumn="0" w:oddVBand="0" w:evenVBand="0" w:oddHBand="0" w:evenHBand="0" w:firstRowFirstColumn="0" w:firstRowLastColumn="0" w:lastRowFirstColumn="0" w:lastRowLastColumn="0"/>
              <w:rPr>
                <w:rFonts w:eastAsia="EC Square Sans Pro" w:cs="Tunga"/>
                <w:color w:val="FFFFFF" w:themeColor="background1"/>
                <w:sz w:val="18"/>
                <w:szCs w:val="22"/>
                <w:lang w:eastAsia="en-US"/>
              </w:rPr>
            </w:pPr>
            <w:r w:rsidRPr="005F4295">
              <w:rPr>
                <w:rFonts w:eastAsia="EC Square Sans Pro" w:cs="Tunga"/>
                <w:color w:val="FFFFFF" w:themeColor="background1"/>
                <w:sz w:val="18"/>
                <w:szCs w:val="22"/>
                <w:lang w:eastAsia="en-US"/>
              </w:rPr>
              <w:t>Total value of waivers</w:t>
            </w:r>
          </w:p>
        </w:tc>
        <w:tc>
          <w:tcPr>
            <w:tcW w:w="1484" w:type="pct"/>
            <w:gridSpan w:val="2"/>
            <w:shd w:val="clear" w:color="auto" w:fill="003399" w:themeFill="text2"/>
            <w:vAlign w:val="center"/>
          </w:tcPr>
          <w:p w14:paraId="5990B01F" w14:textId="77777777" w:rsidR="00EB70E0" w:rsidRPr="005F4295" w:rsidRDefault="00EB70E0">
            <w:pPr>
              <w:spacing w:line="240" w:lineRule="auto"/>
              <w:cnfStyle w:val="100000000000" w:firstRow="1" w:lastRow="0" w:firstColumn="0" w:lastColumn="0" w:oddVBand="0" w:evenVBand="0" w:oddHBand="0" w:evenHBand="0" w:firstRowFirstColumn="0" w:firstRowLastColumn="0" w:lastRowFirstColumn="0" w:lastRowLastColumn="0"/>
              <w:rPr>
                <w:rFonts w:eastAsia="EC Square Sans Pro" w:cs="Tunga"/>
                <w:color w:val="FFFFFF" w:themeColor="background1"/>
                <w:sz w:val="18"/>
                <w:szCs w:val="22"/>
                <w:lang w:eastAsia="en-US"/>
              </w:rPr>
            </w:pPr>
            <w:r w:rsidRPr="005F4295">
              <w:rPr>
                <w:rFonts w:eastAsia="EC Square Sans Pro" w:cs="Tunga"/>
                <w:color w:val="FFFFFF" w:themeColor="background1"/>
                <w:sz w:val="18"/>
                <w:szCs w:val="22"/>
                <w:lang w:eastAsia="en-US"/>
              </w:rPr>
              <w:t>Waivers above EUR</w:t>
            </w:r>
            <w:r w:rsidRPr="005F4295">
              <w:rPr>
                <w:rFonts w:ascii="Calibri" w:eastAsia="EC Square Sans Pro" w:hAnsi="Calibri" w:cs="Calibri"/>
                <w:color w:val="FFFFFF" w:themeColor="background1"/>
                <w:sz w:val="18"/>
                <w:szCs w:val="22"/>
                <w:lang w:eastAsia="en-US"/>
              </w:rPr>
              <w:t> </w:t>
            </w:r>
            <w:r w:rsidRPr="005F4295">
              <w:rPr>
                <w:rFonts w:eastAsia="EC Square Sans Pro" w:cs="Tunga"/>
                <w:color w:val="FFFFFF" w:themeColor="background1"/>
                <w:sz w:val="18"/>
                <w:szCs w:val="22"/>
                <w:lang w:eastAsia="en-US"/>
              </w:rPr>
              <w:t>60</w:t>
            </w:r>
            <w:r w:rsidRPr="005F4295">
              <w:rPr>
                <w:rFonts w:ascii="Calibri" w:eastAsia="EC Square Sans Pro" w:hAnsi="Calibri" w:cs="Calibri"/>
                <w:color w:val="FFFFFF" w:themeColor="background1"/>
                <w:sz w:val="18"/>
                <w:szCs w:val="22"/>
                <w:lang w:eastAsia="en-US"/>
              </w:rPr>
              <w:t> </w:t>
            </w:r>
            <w:r w:rsidRPr="005F4295">
              <w:rPr>
                <w:rFonts w:eastAsia="EC Square Sans Pro" w:cs="Tunga"/>
                <w:color w:val="FFFFFF" w:themeColor="background1"/>
                <w:sz w:val="18"/>
                <w:szCs w:val="22"/>
                <w:lang w:eastAsia="en-US"/>
              </w:rPr>
              <w:t>000</w:t>
            </w:r>
          </w:p>
        </w:tc>
        <w:tc>
          <w:tcPr>
            <w:tcW w:w="1484" w:type="pct"/>
            <w:gridSpan w:val="2"/>
            <w:shd w:val="clear" w:color="auto" w:fill="003399" w:themeFill="text2"/>
            <w:vAlign w:val="center"/>
          </w:tcPr>
          <w:p w14:paraId="1EC18788" w14:textId="77777777" w:rsidR="00EB70E0" w:rsidRPr="005F4295" w:rsidRDefault="00EB70E0">
            <w:pPr>
              <w:spacing w:line="240" w:lineRule="auto"/>
              <w:cnfStyle w:val="100000000000" w:firstRow="1" w:lastRow="0" w:firstColumn="0" w:lastColumn="0" w:oddVBand="0" w:evenVBand="0" w:oddHBand="0" w:evenHBand="0" w:firstRowFirstColumn="0" w:firstRowLastColumn="0" w:lastRowFirstColumn="0" w:lastRowLastColumn="0"/>
              <w:rPr>
                <w:rFonts w:eastAsia="EC Square Sans Pro" w:cs="Tunga"/>
                <w:b w:val="0"/>
                <w:color w:val="FFFFFF" w:themeColor="background1"/>
                <w:sz w:val="18"/>
                <w:szCs w:val="22"/>
                <w:lang w:eastAsia="en-US"/>
              </w:rPr>
            </w:pPr>
            <w:r w:rsidRPr="005F4295">
              <w:rPr>
                <w:rFonts w:eastAsia="EC Square Sans Pro" w:cs="Tunga"/>
                <w:color w:val="FFFFFF" w:themeColor="background1"/>
                <w:sz w:val="18"/>
                <w:szCs w:val="22"/>
                <w:lang w:eastAsia="en-US"/>
              </w:rPr>
              <w:t>Waivers below EUR</w:t>
            </w:r>
            <w:r w:rsidRPr="005F4295">
              <w:rPr>
                <w:rFonts w:ascii="Calibri" w:eastAsia="EC Square Sans Pro" w:hAnsi="Calibri" w:cs="Calibri"/>
                <w:color w:val="FFFFFF" w:themeColor="background1"/>
                <w:sz w:val="18"/>
                <w:szCs w:val="22"/>
                <w:lang w:eastAsia="en-US"/>
              </w:rPr>
              <w:t> </w:t>
            </w:r>
            <w:r w:rsidRPr="005F4295">
              <w:rPr>
                <w:rFonts w:eastAsia="EC Square Sans Pro" w:cs="Tunga"/>
                <w:color w:val="FFFFFF" w:themeColor="background1"/>
                <w:sz w:val="18"/>
                <w:szCs w:val="22"/>
                <w:lang w:eastAsia="en-US"/>
              </w:rPr>
              <w:t>60</w:t>
            </w:r>
            <w:r w:rsidRPr="005F4295">
              <w:rPr>
                <w:rFonts w:ascii="Calibri" w:eastAsia="EC Square Sans Pro" w:hAnsi="Calibri" w:cs="Calibri"/>
                <w:color w:val="FFFFFF" w:themeColor="background1"/>
                <w:sz w:val="18"/>
                <w:szCs w:val="22"/>
                <w:lang w:eastAsia="en-US"/>
              </w:rPr>
              <w:t> </w:t>
            </w:r>
            <w:r w:rsidRPr="005F4295">
              <w:rPr>
                <w:rFonts w:eastAsia="EC Square Sans Pro" w:cs="Tunga"/>
                <w:color w:val="FFFFFF" w:themeColor="background1"/>
                <w:sz w:val="18"/>
                <w:szCs w:val="22"/>
                <w:lang w:eastAsia="en-US"/>
              </w:rPr>
              <w:t>000</w:t>
            </w:r>
          </w:p>
        </w:tc>
      </w:tr>
      <w:tr w:rsidR="003D3D4C" w:rsidRPr="005F4295" w14:paraId="0A142411" w14:textId="77777777" w:rsidTr="00D2751E">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1328" w:type="pct"/>
            <w:vMerge/>
            <w:tcBorders>
              <w:bottom w:val="single" w:sz="4" w:space="0" w:color="8C8C8C"/>
            </w:tcBorders>
          </w:tcPr>
          <w:p w14:paraId="1ECBD2A5" w14:textId="77777777" w:rsidR="00EB70E0" w:rsidRPr="005F4295" w:rsidRDefault="00EB70E0">
            <w:pPr>
              <w:spacing w:before="60" w:after="60" w:line="240" w:lineRule="auto"/>
              <w:rPr>
                <w:rFonts w:eastAsia="EC Square Sans Pro" w:cs="Tunga"/>
                <w:color w:val="FFFFFF" w:themeColor="background1"/>
                <w:sz w:val="18"/>
                <w:szCs w:val="22"/>
                <w:lang w:eastAsia="en-US"/>
              </w:rPr>
            </w:pPr>
          </w:p>
        </w:tc>
        <w:tc>
          <w:tcPr>
            <w:tcW w:w="704" w:type="pct"/>
            <w:vMerge/>
            <w:tcBorders>
              <w:bottom w:val="single" w:sz="4" w:space="0" w:color="8C8C8C"/>
            </w:tcBorders>
            <w:shd w:val="clear" w:color="auto" w:fill="003399" w:themeFill="text2"/>
            <w:vAlign w:val="center"/>
          </w:tcPr>
          <w:p w14:paraId="0C5CD937" w14:textId="77777777" w:rsidR="00EB70E0" w:rsidRPr="005F4295" w:rsidRDefault="00EB70E0">
            <w:pPr>
              <w:spacing w:line="240" w:lineRule="auto"/>
              <w:cnfStyle w:val="100000000000" w:firstRow="1" w:lastRow="0" w:firstColumn="0" w:lastColumn="0" w:oddVBand="0" w:evenVBand="0" w:oddHBand="0" w:evenHBand="0" w:firstRowFirstColumn="0" w:firstRowLastColumn="0" w:lastRowFirstColumn="0" w:lastRowLastColumn="0"/>
              <w:rPr>
                <w:rFonts w:eastAsia="EC Square Sans Pro" w:cs="Tunga"/>
                <w:color w:val="FFFFFF" w:themeColor="background1"/>
                <w:sz w:val="18"/>
                <w:szCs w:val="22"/>
                <w:lang w:eastAsia="en-US"/>
              </w:rPr>
            </w:pPr>
          </w:p>
        </w:tc>
        <w:tc>
          <w:tcPr>
            <w:tcW w:w="742" w:type="pct"/>
            <w:tcBorders>
              <w:bottom w:val="single" w:sz="4" w:space="0" w:color="8C8C8C"/>
            </w:tcBorders>
            <w:shd w:val="clear" w:color="auto" w:fill="003399" w:themeFill="text2"/>
            <w:vAlign w:val="center"/>
          </w:tcPr>
          <w:p w14:paraId="6105C6B7" w14:textId="77777777" w:rsidR="00EB70E0" w:rsidRPr="005F4295" w:rsidRDefault="00EB70E0">
            <w:pPr>
              <w:spacing w:line="240" w:lineRule="auto"/>
              <w:cnfStyle w:val="100000000000" w:firstRow="1" w:lastRow="0" w:firstColumn="0" w:lastColumn="0" w:oddVBand="0" w:evenVBand="0" w:oddHBand="0" w:evenHBand="0" w:firstRowFirstColumn="0" w:firstRowLastColumn="0" w:lastRowFirstColumn="0" w:lastRowLastColumn="0"/>
              <w:rPr>
                <w:rFonts w:eastAsia="EC Square Sans Pro" w:cs="Tunga"/>
                <w:color w:val="FFFFFF" w:themeColor="background1"/>
                <w:sz w:val="18"/>
                <w:szCs w:val="22"/>
                <w:lang w:eastAsia="en-US"/>
              </w:rPr>
            </w:pPr>
            <w:r w:rsidRPr="005F4295">
              <w:rPr>
                <w:rFonts w:eastAsia="EC Square Sans Pro" w:cs="Tunga"/>
                <w:color w:val="FFFFFF" w:themeColor="background1"/>
                <w:sz w:val="18"/>
                <w:szCs w:val="22"/>
                <w:lang w:eastAsia="en-US"/>
              </w:rPr>
              <w:t>in number</w:t>
            </w:r>
          </w:p>
        </w:tc>
        <w:tc>
          <w:tcPr>
            <w:tcW w:w="742" w:type="pct"/>
            <w:tcBorders>
              <w:bottom w:val="single" w:sz="4" w:space="0" w:color="8C8C8C"/>
            </w:tcBorders>
            <w:shd w:val="clear" w:color="auto" w:fill="003399" w:themeFill="text2"/>
            <w:vAlign w:val="center"/>
          </w:tcPr>
          <w:p w14:paraId="35A557B9" w14:textId="77777777" w:rsidR="00EB70E0" w:rsidRPr="005F4295" w:rsidRDefault="00EB70E0">
            <w:pPr>
              <w:spacing w:line="240" w:lineRule="auto"/>
              <w:cnfStyle w:val="100000000000" w:firstRow="1" w:lastRow="0" w:firstColumn="0" w:lastColumn="0" w:oddVBand="0" w:evenVBand="0" w:oddHBand="0" w:evenHBand="0" w:firstRowFirstColumn="0" w:firstRowLastColumn="0" w:lastRowFirstColumn="0" w:lastRowLastColumn="0"/>
              <w:rPr>
                <w:rFonts w:eastAsia="EC Square Sans Pro" w:cs="Tunga"/>
                <w:color w:val="FFFFFF" w:themeColor="background1"/>
                <w:sz w:val="18"/>
                <w:szCs w:val="22"/>
                <w:lang w:eastAsia="en-US"/>
              </w:rPr>
            </w:pPr>
            <w:r w:rsidRPr="005F4295">
              <w:rPr>
                <w:rFonts w:eastAsia="EC Square Sans Pro" w:cs="Tunga"/>
                <w:color w:val="FFFFFF" w:themeColor="background1"/>
                <w:sz w:val="18"/>
                <w:szCs w:val="22"/>
                <w:lang w:eastAsia="en-US"/>
              </w:rPr>
              <w:t>in value (EUR)</w:t>
            </w:r>
          </w:p>
        </w:tc>
        <w:tc>
          <w:tcPr>
            <w:tcW w:w="742" w:type="pct"/>
            <w:tcBorders>
              <w:bottom w:val="single" w:sz="4" w:space="0" w:color="8C8C8C"/>
            </w:tcBorders>
            <w:shd w:val="clear" w:color="auto" w:fill="003399" w:themeFill="text2"/>
            <w:vAlign w:val="center"/>
          </w:tcPr>
          <w:p w14:paraId="23233252" w14:textId="77777777" w:rsidR="00EB70E0" w:rsidRPr="005F4295" w:rsidRDefault="00EB70E0">
            <w:pPr>
              <w:spacing w:line="240" w:lineRule="auto"/>
              <w:cnfStyle w:val="100000000000" w:firstRow="1" w:lastRow="0" w:firstColumn="0" w:lastColumn="0" w:oddVBand="0" w:evenVBand="0" w:oddHBand="0" w:evenHBand="0" w:firstRowFirstColumn="0" w:firstRowLastColumn="0" w:lastRowFirstColumn="0" w:lastRowLastColumn="0"/>
              <w:rPr>
                <w:rFonts w:eastAsia="EC Square Sans Pro" w:cs="Tunga"/>
                <w:color w:val="FFFFFF" w:themeColor="background1"/>
                <w:sz w:val="18"/>
                <w:szCs w:val="22"/>
                <w:lang w:eastAsia="en-US"/>
              </w:rPr>
            </w:pPr>
            <w:r w:rsidRPr="005F4295">
              <w:rPr>
                <w:rFonts w:eastAsia="EC Square Sans Pro" w:cs="Tunga"/>
                <w:color w:val="FFFFFF" w:themeColor="background1"/>
                <w:sz w:val="18"/>
                <w:szCs w:val="22"/>
                <w:lang w:eastAsia="en-US"/>
              </w:rPr>
              <w:t>in number</w:t>
            </w:r>
          </w:p>
        </w:tc>
        <w:tc>
          <w:tcPr>
            <w:tcW w:w="742" w:type="pct"/>
            <w:tcBorders>
              <w:bottom w:val="single" w:sz="4" w:space="0" w:color="8C8C8C"/>
            </w:tcBorders>
            <w:shd w:val="clear" w:color="auto" w:fill="003399" w:themeFill="text2"/>
            <w:vAlign w:val="center"/>
          </w:tcPr>
          <w:p w14:paraId="184E2CAA" w14:textId="77777777" w:rsidR="00EB70E0" w:rsidRPr="005F4295" w:rsidRDefault="00EB70E0">
            <w:pPr>
              <w:spacing w:line="240" w:lineRule="auto"/>
              <w:cnfStyle w:val="100000000000" w:firstRow="1" w:lastRow="0" w:firstColumn="0" w:lastColumn="0" w:oddVBand="0" w:evenVBand="0" w:oddHBand="0" w:evenHBand="0" w:firstRowFirstColumn="0" w:firstRowLastColumn="0" w:lastRowFirstColumn="0" w:lastRowLastColumn="0"/>
              <w:rPr>
                <w:rFonts w:eastAsia="EC Square Sans Pro" w:cs="Tunga"/>
                <w:color w:val="FFFFFF" w:themeColor="background1"/>
                <w:sz w:val="18"/>
                <w:szCs w:val="22"/>
                <w:lang w:eastAsia="en-US"/>
              </w:rPr>
            </w:pPr>
            <w:r w:rsidRPr="005F4295">
              <w:rPr>
                <w:rFonts w:eastAsia="EC Square Sans Pro" w:cs="Tunga"/>
                <w:color w:val="FFFFFF" w:themeColor="background1"/>
                <w:sz w:val="18"/>
                <w:szCs w:val="22"/>
                <w:lang w:eastAsia="en-US"/>
              </w:rPr>
              <w:t>in value (EUR)</w:t>
            </w:r>
          </w:p>
        </w:tc>
      </w:tr>
      <w:tr w:rsidR="003D3D4C" w:rsidRPr="005F4295" w14:paraId="17DD623C" w14:textId="77777777" w:rsidTr="00D2751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25387E78" w14:textId="0F6239A4"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Directorate-General for Mobility and Transport</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3588FF9" w14:textId="6EFA1A39"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42</w:t>
            </w:r>
            <w:r w:rsidRPr="005F4295">
              <w:rPr>
                <w:rFonts w:ascii="Calibri" w:hAnsi="Calibri" w:cs="Calibri"/>
                <w:sz w:val="18"/>
                <w:szCs w:val="18"/>
              </w:rPr>
              <w:t> </w:t>
            </w:r>
            <w:r w:rsidRPr="005F4295">
              <w:rPr>
                <w:rFonts w:asciiTheme="minorHAnsi" w:hAnsiTheme="minorHAnsi"/>
                <w:sz w:val="18"/>
                <w:szCs w:val="18"/>
              </w:rPr>
              <w:t xml:space="preserve">744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797F6C8" w14:textId="77777777"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1BE340C2" w14:textId="77777777"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8380DBE" w14:textId="1153BF44"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1</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197425DE" w14:textId="4F7FE5E1"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42</w:t>
            </w:r>
            <w:r w:rsidRPr="005F4295">
              <w:rPr>
                <w:rFonts w:ascii="Calibri" w:hAnsi="Calibri" w:cs="Calibri"/>
                <w:sz w:val="18"/>
                <w:szCs w:val="18"/>
              </w:rPr>
              <w:t> </w:t>
            </w:r>
            <w:r w:rsidRPr="005F4295">
              <w:rPr>
                <w:rFonts w:asciiTheme="minorHAnsi" w:hAnsiTheme="minorHAnsi"/>
                <w:sz w:val="18"/>
                <w:szCs w:val="18"/>
              </w:rPr>
              <w:t xml:space="preserve">744 </w:t>
            </w:r>
          </w:p>
        </w:tc>
      </w:tr>
      <w:tr w:rsidR="003D3D4C" w:rsidRPr="005F4295" w14:paraId="6345B600" w14:textId="77777777" w:rsidTr="003C2B0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54BDFDA6" w14:textId="464A118F"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Directorate-General for Environment</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17B8A026" w14:textId="6ECB5548"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2</w:t>
            </w:r>
            <w:r w:rsidRPr="005F4295">
              <w:rPr>
                <w:rFonts w:ascii="Calibri" w:hAnsi="Calibri" w:cs="Calibri"/>
                <w:sz w:val="18"/>
                <w:szCs w:val="18"/>
              </w:rPr>
              <w:t> </w:t>
            </w:r>
            <w:r w:rsidRPr="005F4295">
              <w:rPr>
                <w:rFonts w:asciiTheme="minorHAnsi" w:hAnsiTheme="minorHAnsi"/>
                <w:sz w:val="18"/>
                <w:szCs w:val="18"/>
              </w:rPr>
              <w:t>369</w:t>
            </w:r>
            <w:r w:rsidRPr="005F4295">
              <w:rPr>
                <w:rFonts w:ascii="Calibri" w:hAnsi="Calibri" w:cs="Calibri"/>
                <w:sz w:val="18"/>
                <w:szCs w:val="18"/>
              </w:rPr>
              <w:t> </w:t>
            </w:r>
            <w:r w:rsidRPr="005F4295">
              <w:rPr>
                <w:rFonts w:asciiTheme="minorHAnsi" w:hAnsiTheme="minorHAnsi"/>
                <w:sz w:val="18"/>
                <w:szCs w:val="18"/>
              </w:rPr>
              <w:t xml:space="preserve">984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0E4994A" w14:textId="344D0632"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2</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CD96A4B" w14:textId="746AA0CB"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2</w:t>
            </w:r>
            <w:r w:rsidRPr="005F4295">
              <w:rPr>
                <w:rFonts w:ascii="Calibri" w:hAnsi="Calibri" w:cs="Calibri"/>
                <w:sz w:val="18"/>
                <w:szCs w:val="18"/>
              </w:rPr>
              <w:t> </w:t>
            </w:r>
            <w:r w:rsidRPr="005F4295">
              <w:rPr>
                <w:rFonts w:asciiTheme="minorHAnsi" w:hAnsiTheme="minorHAnsi"/>
                <w:sz w:val="18"/>
                <w:szCs w:val="18"/>
              </w:rPr>
              <w:t>369</w:t>
            </w:r>
            <w:r w:rsidRPr="005F4295">
              <w:rPr>
                <w:rFonts w:ascii="Calibri" w:hAnsi="Calibri" w:cs="Calibri"/>
                <w:sz w:val="18"/>
                <w:szCs w:val="18"/>
              </w:rPr>
              <w:t> </w:t>
            </w:r>
            <w:r w:rsidRPr="005F4295">
              <w:rPr>
                <w:rFonts w:asciiTheme="minorHAnsi" w:hAnsiTheme="minorHAnsi"/>
                <w:sz w:val="18"/>
                <w:szCs w:val="18"/>
              </w:rPr>
              <w:t xml:space="preserve">984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3BCFCB36" w14:textId="77777777"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2DB3BC25" w14:textId="77777777"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p>
        </w:tc>
      </w:tr>
      <w:tr w:rsidR="003D3D4C" w:rsidRPr="005F4295" w14:paraId="3EA435FF" w14:textId="77777777" w:rsidTr="00D2751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5E4FEBBC" w14:textId="229071A5"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Directorate-General for Research and Innovation</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3B1383B5" w14:textId="6B2F60EB"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869</w:t>
            </w:r>
            <w:r w:rsidRPr="005F4295">
              <w:rPr>
                <w:rFonts w:ascii="Calibri" w:hAnsi="Calibri" w:cs="Calibri"/>
                <w:sz w:val="18"/>
                <w:szCs w:val="18"/>
              </w:rPr>
              <w:t> </w:t>
            </w:r>
            <w:r w:rsidRPr="005F4295">
              <w:rPr>
                <w:rFonts w:asciiTheme="minorHAnsi" w:hAnsiTheme="minorHAnsi"/>
                <w:sz w:val="18"/>
                <w:szCs w:val="18"/>
              </w:rPr>
              <w:t xml:space="preserve">994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6B08C9E" w14:textId="61A1E4E0"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7</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6E0F8FBE" w14:textId="61348A27"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812</w:t>
            </w:r>
            <w:r w:rsidRPr="005F4295">
              <w:rPr>
                <w:rFonts w:ascii="Calibri" w:hAnsi="Calibri" w:cs="Calibri"/>
                <w:sz w:val="18"/>
                <w:szCs w:val="18"/>
              </w:rPr>
              <w:t> </w:t>
            </w:r>
            <w:r w:rsidRPr="005F4295">
              <w:rPr>
                <w:rFonts w:asciiTheme="minorHAnsi" w:hAnsiTheme="minorHAnsi"/>
                <w:sz w:val="18"/>
                <w:szCs w:val="18"/>
              </w:rPr>
              <w:t xml:space="preserve">461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660A6016" w14:textId="06A8689A"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4</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371513C5" w14:textId="4A3DB8B3"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57</w:t>
            </w:r>
            <w:r w:rsidRPr="005F4295">
              <w:rPr>
                <w:rFonts w:ascii="Calibri" w:hAnsi="Calibri" w:cs="Calibri"/>
                <w:sz w:val="18"/>
                <w:szCs w:val="18"/>
              </w:rPr>
              <w:t> </w:t>
            </w:r>
            <w:r w:rsidRPr="005F4295">
              <w:rPr>
                <w:rFonts w:asciiTheme="minorHAnsi" w:hAnsiTheme="minorHAnsi"/>
                <w:sz w:val="18"/>
                <w:szCs w:val="18"/>
              </w:rPr>
              <w:t xml:space="preserve">533 </w:t>
            </w:r>
          </w:p>
        </w:tc>
      </w:tr>
      <w:tr w:rsidR="003D3D4C" w:rsidRPr="005F4295" w14:paraId="68E1ADF1" w14:textId="77777777" w:rsidTr="003C2B0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093454DF" w14:textId="3E51509E"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Directorate-General for Communications Networks, Content and Technology</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37A8B153" w14:textId="3DF74CFD"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7</w:t>
            </w:r>
            <w:r w:rsidRPr="005F4295">
              <w:rPr>
                <w:rFonts w:ascii="Calibri" w:hAnsi="Calibri" w:cs="Calibri"/>
                <w:sz w:val="18"/>
                <w:szCs w:val="18"/>
              </w:rPr>
              <w:t> </w:t>
            </w:r>
            <w:r w:rsidRPr="005F4295">
              <w:rPr>
                <w:rFonts w:asciiTheme="minorHAnsi" w:hAnsiTheme="minorHAnsi"/>
                <w:sz w:val="18"/>
                <w:szCs w:val="18"/>
              </w:rPr>
              <w:t>122</w:t>
            </w:r>
            <w:r w:rsidRPr="005F4295">
              <w:rPr>
                <w:rFonts w:ascii="Calibri" w:hAnsi="Calibri" w:cs="Calibri"/>
                <w:sz w:val="18"/>
                <w:szCs w:val="18"/>
              </w:rPr>
              <w:t> </w:t>
            </w:r>
            <w:r w:rsidRPr="005F4295">
              <w:rPr>
                <w:rFonts w:asciiTheme="minorHAnsi" w:hAnsiTheme="minorHAnsi"/>
                <w:sz w:val="18"/>
                <w:szCs w:val="18"/>
              </w:rPr>
              <w:t xml:space="preserve">861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5DA78D79" w14:textId="2A4C7FB7"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24</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FEB505E" w14:textId="3DCCE965"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6</w:t>
            </w:r>
            <w:r w:rsidRPr="005F4295">
              <w:rPr>
                <w:rFonts w:ascii="Calibri" w:hAnsi="Calibri" w:cs="Calibri"/>
                <w:sz w:val="18"/>
                <w:szCs w:val="18"/>
              </w:rPr>
              <w:t> </w:t>
            </w:r>
            <w:r w:rsidRPr="005F4295">
              <w:rPr>
                <w:rFonts w:asciiTheme="minorHAnsi" w:hAnsiTheme="minorHAnsi"/>
                <w:sz w:val="18"/>
                <w:szCs w:val="18"/>
              </w:rPr>
              <w:t>705</w:t>
            </w:r>
            <w:r w:rsidRPr="005F4295">
              <w:rPr>
                <w:rFonts w:ascii="Calibri" w:hAnsi="Calibri" w:cs="Calibri"/>
                <w:sz w:val="18"/>
                <w:szCs w:val="18"/>
              </w:rPr>
              <w:t> </w:t>
            </w:r>
            <w:r w:rsidRPr="005F4295">
              <w:rPr>
                <w:rFonts w:asciiTheme="minorHAnsi" w:hAnsiTheme="minorHAnsi"/>
                <w:sz w:val="18"/>
                <w:szCs w:val="18"/>
              </w:rPr>
              <w:t xml:space="preserve">870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1771832" w14:textId="01358369"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16</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50E7D4F5" w14:textId="3DA7B217"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416</w:t>
            </w:r>
            <w:r w:rsidRPr="005F4295">
              <w:rPr>
                <w:rFonts w:ascii="Calibri" w:hAnsi="Calibri" w:cs="Calibri"/>
                <w:sz w:val="18"/>
                <w:szCs w:val="18"/>
              </w:rPr>
              <w:t> </w:t>
            </w:r>
            <w:r w:rsidRPr="005F4295">
              <w:rPr>
                <w:rFonts w:asciiTheme="minorHAnsi" w:hAnsiTheme="minorHAnsi"/>
                <w:sz w:val="18"/>
                <w:szCs w:val="18"/>
              </w:rPr>
              <w:t xml:space="preserve">991 </w:t>
            </w:r>
          </w:p>
        </w:tc>
      </w:tr>
      <w:tr w:rsidR="003D3D4C" w:rsidRPr="005F4295" w14:paraId="20A47771" w14:textId="77777777" w:rsidTr="00D2751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1F7BDF82" w14:textId="508EA027"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Directorate-General for Enlargement and Eastern Neighbourhood</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6E3A3632" w14:textId="65B8F3B8"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712</w:t>
            </w:r>
            <w:r w:rsidRPr="005F4295">
              <w:rPr>
                <w:rFonts w:ascii="Calibri" w:hAnsi="Calibri" w:cs="Calibri"/>
                <w:sz w:val="18"/>
                <w:szCs w:val="18"/>
              </w:rPr>
              <w:t> </w:t>
            </w:r>
            <w:r w:rsidRPr="005F4295">
              <w:rPr>
                <w:rFonts w:asciiTheme="minorHAnsi" w:hAnsiTheme="minorHAnsi"/>
                <w:sz w:val="18"/>
                <w:szCs w:val="18"/>
              </w:rPr>
              <w:t xml:space="preserve">378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A3E104D" w14:textId="7D35984C"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4</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A0448CB" w14:textId="37088FF9"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553</w:t>
            </w:r>
            <w:r w:rsidRPr="005F4295">
              <w:rPr>
                <w:rFonts w:ascii="Calibri" w:hAnsi="Calibri" w:cs="Calibri"/>
                <w:sz w:val="18"/>
                <w:szCs w:val="18"/>
              </w:rPr>
              <w:t> </w:t>
            </w:r>
            <w:r w:rsidRPr="005F4295">
              <w:rPr>
                <w:rFonts w:asciiTheme="minorHAnsi" w:hAnsiTheme="minorHAnsi"/>
                <w:sz w:val="18"/>
                <w:szCs w:val="18"/>
              </w:rPr>
              <w:t xml:space="preserve">193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1696006" w14:textId="36BDC099"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6</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62959C92" w14:textId="262C460B"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159</w:t>
            </w:r>
            <w:r w:rsidRPr="005F4295">
              <w:rPr>
                <w:rFonts w:ascii="Calibri" w:hAnsi="Calibri" w:cs="Calibri"/>
                <w:sz w:val="18"/>
                <w:szCs w:val="18"/>
              </w:rPr>
              <w:t> </w:t>
            </w:r>
            <w:r w:rsidRPr="005F4295">
              <w:rPr>
                <w:rFonts w:asciiTheme="minorHAnsi" w:hAnsiTheme="minorHAnsi"/>
                <w:sz w:val="18"/>
                <w:szCs w:val="18"/>
              </w:rPr>
              <w:t xml:space="preserve">186 </w:t>
            </w:r>
          </w:p>
        </w:tc>
      </w:tr>
      <w:tr w:rsidR="003D3D4C" w:rsidRPr="005F4295" w14:paraId="718BD9E3" w14:textId="77777777" w:rsidTr="003C2B0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0647F0DA" w14:textId="0AA2E172"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Directorate-General for the Middle East, North Africa and the Gulf</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10EF9891" w14:textId="1493360E"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385</w:t>
            </w:r>
            <w:r w:rsidRPr="005F4295">
              <w:rPr>
                <w:rFonts w:ascii="Calibri" w:hAnsi="Calibri" w:cs="Calibri"/>
                <w:sz w:val="18"/>
                <w:szCs w:val="18"/>
              </w:rPr>
              <w:t> </w:t>
            </w:r>
            <w:r w:rsidRPr="005F4295">
              <w:rPr>
                <w:rFonts w:asciiTheme="minorHAnsi" w:hAnsiTheme="minorHAnsi"/>
                <w:sz w:val="18"/>
                <w:szCs w:val="18"/>
              </w:rPr>
              <w:t xml:space="preserve">425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52BC9D16" w14:textId="105A2955"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1</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8E3277D" w14:textId="71ACBD92"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325</w:t>
            </w:r>
            <w:r w:rsidRPr="005F4295">
              <w:rPr>
                <w:rFonts w:ascii="Calibri" w:hAnsi="Calibri" w:cs="Calibri"/>
                <w:sz w:val="18"/>
                <w:szCs w:val="18"/>
              </w:rPr>
              <w:t> </w:t>
            </w:r>
            <w:r w:rsidRPr="005F4295">
              <w:rPr>
                <w:rFonts w:asciiTheme="minorHAnsi" w:hAnsiTheme="minorHAnsi"/>
                <w:sz w:val="18"/>
                <w:szCs w:val="18"/>
              </w:rPr>
              <w:t xml:space="preserve">971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D6EBFBA" w14:textId="03926E75"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1</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0CBE09D5" w14:textId="6E7C87D6"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59</w:t>
            </w:r>
            <w:r w:rsidRPr="005F4295">
              <w:rPr>
                <w:rFonts w:ascii="Calibri" w:hAnsi="Calibri" w:cs="Calibri"/>
                <w:sz w:val="18"/>
                <w:szCs w:val="18"/>
              </w:rPr>
              <w:t> </w:t>
            </w:r>
            <w:r w:rsidRPr="005F4295">
              <w:rPr>
                <w:rFonts w:asciiTheme="minorHAnsi" w:hAnsiTheme="minorHAnsi"/>
                <w:sz w:val="18"/>
                <w:szCs w:val="18"/>
              </w:rPr>
              <w:t xml:space="preserve">454 </w:t>
            </w:r>
          </w:p>
        </w:tc>
      </w:tr>
      <w:tr w:rsidR="003D3D4C" w:rsidRPr="005F4295" w14:paraId="4D2C3EB5" w14:textId="77777777" w:rsidTr="00D2751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55E9F699" w14:textId="25AF8DC2"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Directorate-General for International Partnerships</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BA6384E" w14:textId="2DB3F8B2"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2</w:t>
            </w:r>
            <w:r w:rsidRPr="005F4295">
              <w:rPr>
                <w:rFonts w:ascii="Calibri" w:hAnsi="Calibri" w:cs="Calibri"/>
                <w:sz w:val="18"/>
                <w:szCs w:val="18"/>
              </w:rPr>
              <w:t> </w:t>
            </w:r>
            <w:r w:rsidRPr="005F4295">
              <w:rPr>
                <w:rFonts w:asciiTheme="minorHAnsi" w:hAnsiTheme="minorHAnsi"/>
                <w:sz w:val="18"/>
                <w:szCs w:val="18"/>
              </w:rPr>
              <w:t>165</w:t>
            </w:r>
            <w:r w:rsidRPr="005F4295">
              <w:rPr>
                <w:rFonts w:ascii="Calibri" w:hAnsi="Calibri" w:cs="Calibri"/>
                <w:sz w:val="18"/>
                <w:szCs w:val="18"/>
              </w:rPr>
              <w:t> </w:t>
            </w:r>
            <w:r w:rsidRPr="005F4295">
              <w:rPr>
                <w:rFonts w:asciiTheme="minorHAnsi" w:hAnsiTheme="minorHAnsi"/>
                <w:sz w:val="18"/>
                <w:szCs w:val="18"/>
              </w:rPr>
              <w:t xml:space="preserve">096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2CAD152" w14:textId="0AE64AA4"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13</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39CCE71E" w14:textId="18244F71"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2</w:t>
            </w:r>
            <w:r w:rsidRPr="005F4295">
              <w:rPr>
                <w:rFonts w:ascii="Calibri" w:hAnsi="Calibri" w:cs="Calibri"/>
                <w:sz w:val="18"/>
                <w:szCs w:val="18"/>
              </w:rPr>
              <w:t> </w:t>
            </w:r>
            <w:r w:rsidRPr="005F4295">
              <w:rPr>
                <w:rFonts w:asciiTheme="minorHAnsi" w:hAnsiTheme="minorHAnsi"/>
                <w:sz w:val="18"/>
                <w:szCs w:val="18"/>
              </w:rPr>
              <w:t>079</w:t>
            </w:r>
            <w:r w:rsidRPr="005F4295">
              <w:rPr>
                <w:rFonts w:ascii="Calibri" w:hAnsi="Calibri" w:cs="Calibri"/>
                <w:sz w:val="18"/>
                <w:szCs w:val="18"/>
              </w:rPr>
              <w:t> </w:t>
            </w:r>
            <w:r w:rsidRPr="005F4295">
              <w:rPr>
                <w:rFonts w:asciiTheme="minorHAnsi" w:hAnsiTheme="minorHAnsi"/>
                <w:sz w:val="18"/>
                <w:szCs w:val="18"/>
              </w:rPr>
              <w:t xml:space="preserve">652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4CB49D0" w14:textId="44794447"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7</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05DB67DD" w14:textId="0E97EFCA"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85</w:t>
            </w:r>
            <w:r w:rsidRPr="005F4295">
              <w:rPr>
                <w:rFonts w:ascii="Calibri" w:hAnsi="Calibri" w:cs="Calibri"/>
                <w:sz w:val="18"/>
                <w:szCs w:val="18"/>
              </w:rPr>
              <w:t> </w:t>
            </w:r>
            <w:r w:rsidRPr="005F4295">
              <w:rPr>
                <w:rFonts w:asciiTheme="minorHAnsi" w:hAnsiTheme="minorHAnsi"/>
                <w:sz w:val="18"/>
                <w:szCs w:val="18"/>
              </w:rPr>
              <w:t xml:space="preserve">444 </w:t>
            </w:r>
          </w:p>
        </w:tc>
      </w:tr>
      <w:tr w:rsidR="003D3D4C" w:rsidRPr="005F4295" w14:paraId="2C9EFEA2" w14:textId="77777777" w:rsidTr="003C2B0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0F6F80C0" w14:textId="5ADE1FEB"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Service for Foreign Policy Instruments</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3AB02E4" w14:textId="4AA85BFE"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98</w:t>
            </w:r>
            <w:r w:rsidRPr="005F4295">
              <w:rPr>
                <w:rFonts w:ascii="Calibri" w:hAnsi="Calibri" w:cs="Calibri"/>
                <w:sz w:val="18"/>
                <w:szCs w:val="18"/>
              </w:rPr>
              <w:t> </w:t>
            </w:r>
            <w:r w:rsidRPr="005F4295">
              <w:rPr>
                <w:rFonts w:asciiTheme="minorHAnsi" w:hAnsiTheme="minorHAnsi"/>
                <w:sz w:val="18"/>
                <w:szCs w:val="18"/>
              </w:rPr>
              <w:t xml:space="preserve">949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129AC710" w14:textId="12812960"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1</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56D3694F" w14:textId="5A40187B"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98</w:t>
            </w:r>
            <w:r w:rsidRPr="005F4295">
              <w:rPr>
                <w:rFonts w:ascii="Calibri" w:hAnsi="Calibri" w:cs="Calibri"/>
                <w:sz w:val="18"/>
                <w:szCs w:val="18"/>
              </w:rPr>
              <w:t> </w:t>
            </w:r>
            <w:r w:rsidRPr="005F4295">
              <w:rPr>
                <w:rFonts w:asciiTheme="minorHAnsi" w:hAnsiTheme="minorHAnsi"/>
                <w:sz w:val="18"/>
                <w:szCs w:val="18"/>
              </w:rPr>
              <w:t xml:space="preserve">806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77BD3E5" w14:textId="05A1C5B8"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1</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347CA3A7" w14:textId="065634CC"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 xml:space="preserve">143 </w:t>
            </w:r>
          </w:p>
        </w:tc>
      </w:tr>
      <w:tr w:rsidR="003D3D4C" w:rsidRPr="005F4295" w14:paraId="6A1D107E" w14:textId="77777777" w:rsidTr="00D2751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5534ECC5" w14:textId="167B6F69"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Office for Infrastructure and Logistics in Brussels</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6A6C30C2" w14:textId="32890BB6"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 xml:space="preserve">038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53977198" w14:textId="77777777"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3EDBC5E" w14:textId="77777777"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2604E6D" w14:textId="7FF91B3A"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3</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43AD4AD8" w14:textId="7C4877FC"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 xml:space="preserve">038 </w:t>
            </w:r>
          </w:p>
        </w:tc>
      </w:tr>
      <w:tr w:rsidR="003D3D4C" w:rsidRPr="005F4295" w14:paraId="62F5436F" w14:textId="77777777" w:rsidTr="003C2B0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52C8FAA5" w14:textId="186DDE59"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European Innovation Council and SMEs Executive Agency</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34476A5" w14:textId="77553973"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911</w:t>
            </w:r>
            <w:r w:rsidRPr="005F4295">
              <w:rPr>
                <w:rFonts w:ascii="Calibri" w:hAnsi="Calibri" w:cs="Calibri"/>
                <w:sz w:val="18"/>
                <w:szCs w:val="18"/>
              </w:rPr>
              <w:t> </w:t>
            </w:r>
            <w:r w:rsidRPr="005F4295">
              <w:rPr>
                <w:rFonts w:asciiTheme="minorHAnsi" w:hAnsiTheme="minorHAnsi"/>
                <w:sz w:val="18"/>
                <w:szCs w:val="18"/>
              </w:rPr>
              <w:t xml:space="preserve">373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4883E3A" w14:textId="457C7DA2"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4</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9C8304F" w14:textId="4CA178CF"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911</w:t>
            </w:r>
            <w:r w:rsidRPr="005F4295">
              <w:rPr>
                <w:rFonts w:ascii="Calibri" w:hAnsi="Calibri" w:cs="Calibri"/>
                <w:sz w:val="18"/>
                <w:szCs w:val="18"/>
              </w:rPr>
              <w:t> </w:t>
            </w:r>
            <w:r w:rsidRPr="005F4295">
              <w:rPr>
                <w:rFonts w:asciiTheme="minorHAnsi" w:hAnsiTheme="minorHAnsi"/>
                <w:sz w:val="18"/>
                <w:szCs w:val="18"/>
              </w:rPr>
              <w:t xml:space="preserve">373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FF20D34" w14:textId="77777777"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03F1812D" w14:textId="77777777"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p>
        </w:tc>
      </w:tr>
      <w:tr w:rsidR="003D3D4C" w:rsidRPr="005F4295" w14:paraId="0A7D534F" w14:textId="77777777" w:rsidTr="00D2751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0A1FFB86" w14:textId="49F7AF95"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European Education and Culture Executive Agency</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800FEF4" w14:textId="63D0FF50"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279</w:t>
            </w:r>
            <w:r w:rsidRPr="005F4295">
              <w:rPr>
                <w:rFonts w:ascii="Calibri" w:hAnsi="Calibri" w:cs="Calibri"/>
                <w:sz w:val="18"/>
                <w:szCs w:val="18"/>
              </w:rPr>
              <w:t> </w:t>
            </w:r>
            <w:r w:rsidRPr="005F4295">
              <w:rPr>
                <w:rFonts w:asciiTheme="minorHAnsi" w:hAnsiTheme="minorHAnsi"/>
                <w:sz w:val="18"/>
                <w:szCs w:val="18"/>
              </w:rPr>
              <w:t xml:space="preserve">676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9417DC1" w14:textId="545D2CF9"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1</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508227E9" w14:textId="13CF50FE"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88</w:t>
            </w:r>
            <w:r w:rsidRPr="005F4295">
              <w:rPr>
                <w:rFonts w:ascii="Calibri" w:hAnsi="Calibri" w:cs="Calibri"/>
                <w:sz w:val="18"/>
                <w:szCs w:val="18"/>
              </w:rPr>
              <w:t> </w:t>
            </w:r>
            <w:r w:rsidRPr="005F4295">
              <w:rPr>
                <w:rFonts w:asciiTheme="minorHAnsi" w:hAnsiTheme="minorHAnsi"/>
                <w:sz w:val="18"/>
                <w:szCs w:val="18"/>
              </w:rPr>
              <w:t xml:space="preserve">524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C41E478" w14:textId="5353F430"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9</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76E6ACBA" w14:textId="521D1604"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191</w:t>
            </w:r>
            <w:r w:rsidRPr="005F4295">
              <w:rPr>
                <w:rFonts w:ascii="Calibri" w:hAnsi="Calibri" w:cs="Calibri"/>
                <w:sz w:val="18"/>
                <w:szCs w:val="18"/>
              </w:rPr>
              <w:t> </w:t>
            </w:r>
            <w:r w:rsidRPr="005F4295">
              <w:rPr>
                <w:rFonts w:asciiTheme="minorHAnsi" w:hAnsiTheme="minorHAnsi"/>
                <w:sz w:val="18"/>
                <w:szCs w:val="18"/>
              </w:rPr>
              <w:t xml:space="preserve">153 </w:t>
            </w:r>
          </w:p>
        </w:tc>
      </w:tr>
      <w:tr w:rsidR="003D3D4C" w:rsidRPr="005F4295" w14:paraId="74044AB0" w14:textId="77777777" w:rsidTr="003C2B0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061F1E43" w14:textId="3E17CA42"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European Climate, Infrastructure and Environment Executive Agency</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2D8A889" w14:textId="71D1FAAC"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176</w:t>
            </w:r>
            <w:r w:rsidRPr="005F4295">
              <w:rPr>
                <w:rFonts w:ascii="Calibri" w:hAnsi="Calibri" w:cs="Calibri"/>
                <w:sz w:val="18"/>
                <w:szCs w:val="18"/>
              </w:rPr>
              <w:t> </w:t>
            </w:r>
            <w:r w:rsidRPr="005F4295">
              <w:rPr>
                <w:rFonts w:asciiTheme="minorHAnsi" w:hAnsiTheme="minorHAnsi"/>
                <w:sz w:val="18"/>
                <w:szCs w:val="18"/>
              </w:rPr>
              <w:t xml:space="preserve">749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CC67272" w14:textId="3BF97F9D"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3</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64218828" w14:textId="73B5781B"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176</w:t>
            </w:r>
            <w:r w:rsidRPr="005F4295">
              <w:rPr>
                <w:rFonts w:ascii="Calibri" w:hAnsi="Calibri" w:cs="Calibri"/>
                <w:sz w:val="18"/>
                <w:szCs w:val="18"/>
              </w:rPr>
              <w:t> </w:t>
            </w:r>
            <w:r w:rsidRPr="005F4295">
              <w:rPr>
                <w:rFonts w:asciiTheme="minorHAnsi" w:hAnsiTheme="minorHAnsi"/>
                <w:sz w:val="18"/>
                <w:szCs w:val="18"/>
              </w:rPr>
              <w:t xml:space="preserve">749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5715366" w14:textId="77777777"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17996D56" w14:textId="77777777"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p>
        </w:tc>
      </w:tr>
      <w:tr w:rsidR="003D3D4C" w:rsidRPr="005F4295" w14:paraId="29C3F0CE" w14:textId="77777777" w:rsidTr="00D2751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6CDA771A" w14:textId="31B72BBB"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European Research Executive Agency</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141814A9" w14:textId="3C714874"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299</w:t>
            </w:r>
            <w:r w:rsidRPr="005F4295">
              <w:rPr>
                <w:rFonts w:ascii="Calibri" w:hAnsi="Calibri" w:cs="Calibri"/>
                <w:sz w:val="18"/>
                <w:szCs w:val="18"/>
              </w:rPr>
              <w:t> </w:t>
            </w:r>
            <w:r w:rsidRPr="005F4295">
              <w:rPr>
                <w:rFonts w:asciiTheme="minorHAnsi" w:hAnsiTheme="minorHAnsi"/>
                <w:sz w:val="18"/>
                <w:szCs w:val="18"/>
              </w:rPr>
              <w:t xml:space="preserve">960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7ADD66BE" w14:textId="27EA679D"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7</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1ABB6E94" w14:textId="6E53E56B"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w:t>
            </w:r>
            <w:r w:rsidRPr="005F4295">
              <w:rPr>
                <w:rFonts w:ascii="Calibri" w:hAnsi="Calibri" w:cs="Calibri"/>
                <w:sz w:val="18"/>
                <w:szCs w:val="18"/>
              </w:rPr>
              <w:t> </w:t>
            </w:r>
            <w:r w:rsidRPr="005F4295">
              <w:rPr>
                <w:rFonts w:asciiTheme="minorHAnsi" w:hAnsiTheme="minorHAnsi"/>
                <w:sz w:val="18"/>
                <w:szCs w:val="18"/>
              </w:rPr>
              <w:t>177</w:t>
            </w:r>
            <w:r w:rsidRPr="005F4295">
              <w:rPr>
                <w:rFonts w:ascii="Calibri" w:hAnsi="Calibri" w:cs="Calibri"/>
                <w:sz w:val="18"/>
                <w:szCs w:val="18"/>
              </w:rPr>
              <w:t> </w:t>
            </w:r>
            <w:r w:rsidRPr="005F4295">
              <w:rPr>
                <w:rFonts w:asciiTheme="minorHAnsi" w:hAnsiTheme="minorHAnsi"/>
                <w:sz w:val="18"/>
                <w:szCs w:val="18"/>
              </w:rPr>
              <w:t xml:space="preserve">161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38DD871" w14:textId="5EDC0886"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5</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13B53521" w14:textId="2AE54A7D" w:rsidR="000F5318" w:rsidRPr="005F4295" w:rsidRDefault="000F5318" w:rsidP="000F5318">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122</w:t>
            </w:r>
            <w:r w:rsidRPr="005F4295">
              <w:rPr>
                <w:rFonts w:ascii="Calibri" w:hAnsi="Calibri" w:cs="Calibri"/>
                <w:sz w:val="18"/>
                <w:szCs w:val="18"/>
              </w:rPr>
              <w:t> </w:t>
            </w:r>
            <w:r w:rsidRPr="005F4295">
              <w:rPr>
                <w:rFonts w:asciiTheme="minorHAnsi" w:hAnsiTheme="minorHAnsi"/>
                <w:sz w:val="18"/>
                <w:szCs w:val="18"/>
              </w:rPr>
              <w:t xml:space="preserve">798 </w:t>
            </w:r>
          </w:p>
        </w:tc>
      </w:tr>
      <w:tr w:rsidR="003D3D4C" w:rsidRPr="005F4295" w14:paraId="5FAD82B6" w14:textId="77777777" w:rsidTr="003C2B0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22F25318" w14:textId="5B157209" w:rsidR="000F5318" w:rsidRPr="005F4295" w:rsidRDefault="000F5318" w:rsidP="000F5318">
            <w:pPr>
              <w:spacing w:line="240" w:lineRule="auto"/>
              <w:rPr>
                <w:rFonts w:eastAsia="EC Square Sans Pro" w:cs="Tunga"/>
                <w:noProof/>
                <w:sz w:val="18"/>
                <w:szCs w:val="22"/>
                <w:highlight w:val="lightGray"/>
                <w:lang w:eastAsia="en-US"/>
              </w:rPr>
            </w:pPr>
            <w:r w:rsidRPr="005F4295">
              <w:rPr>
                <w:rFonts w:ascii="Calibri" w:hAnsi="Calibri" w:cs="Calibri"/>
                <w:color w:val="000000"/>
                <w:sz w:val="22"/>
                <w:szCs w:val="22"/>
              </w:rPr>
              <w:t>European Health and Digital Executive Agency</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56A907E" w14:textId="4C4BFDFD"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19</w:t>
            </w:r>
            <w:r w:rsidRPr="005F4295">
              <w:rPr>
                <w:rFonts w:ascii="Calibri" w:hAnsi="Calibri" w:cs="Calibri"/>
                <w:sz w:val="18"/>
                <w:szCs w:val="18"/>
              </w:rPr>
              <w:t> </w:t>
            </w:r>
            <w:r w:rsidRPr="005F4295">
              <w:rPr>
                <w:rFonts w:asciiTheme="minorHAnsi" w:hAnsiTheme="minorHAnsi"/>
                <w:sz w:val="18"/>
                <w:szCs w:val="18"/>
              </w:rPr>
              <w:t xml:space="preserve">546 </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4360446" w14:textId="77777777"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74EA461" w14:textId="77777777"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F050ADC" w14:textId="4A18CB02"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cs="Calibri"/>
                <w:color w:val="000000"/>
                <w:sz w:val="18"/>
                <w:szCs w:val="18"/>
              </w:rPr>
              <w:t>1</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tcPr>
          <w:p w14:paraId="6F7E69CB" w14:textId="4B43E4CF" w:rsidR="000F5318" w:rsidRPr="005F4295" w:rsidRDefault="000F5318" w:rsidP="000F5318">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highlight w:val="lightGray"/>
                <w:lang w:eastAsia="en-IE"/>
              </w:rPr>
            </w:pPr>
            <w:r w:rsidRPr="005F4295">
              <w:rPr>
                <w:rFonts w:asciiTheme="minorHAnsi" w:hAnsiTheme="minorHAnsi"/>
                <w:sz w:val="18"/>
                <w:szCs w:val="18"/>
              </w:rPr>
              <w:t>19</w:t>
            </w:r>
            <w:r w:rsidRPr="005F4295">
              <w:rPr>
                <w:rFonts w:ascii="Calibri" w:hAnsi="Calibri" w:cs="Calibri"/>
                <w:sz w:val="18"/>
                <w:szCs w:val="18"/>
              </w:rPr>
              <w:t> </w:t>
            </w:r>
            <w:r w:rsidRPr="005F4295">
              <w:rPr>
                <w:rFonts w:asciiTheme="minorHAnsi" w:hAnsiTheme="minorHAnsi"/>
                <w:sz w:val="18"/>
                <w:szCs w:val="18"/>
              </w:rPr>
              <w:t xml:space="preserve">546 </w:t>
            </w:r>
          </w:p>
        </w:tc>
      </w:tr>
      <w:tr w:rsidR="003D3D4C" w:rsidRPr="005F4295" w14:paraId="43CB4A52" w14:textId="77777777" w:rsidTr="00D2751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A0F419" w14:textId="77777777" w:rsidR="00EB70E0" w:rsidRPr="005F4295" w:rsidRDefault="00EB70E0">
            <w:pPr>
              <w:spacing w:line="240" w:lineRule="auto"/>
              <w:rPr>
                <w:rFonts w:eastAsia="EC Square Sans Pro" w:cs="Tunga"/>
                <w:sz w:val="22"/>
                <w:szCs w:val="22"/>
                <w:lang w:eastAsia="en-US"/>
              </w:rPr>
            </w:pPr>
            <w:r w:rsidRPr="005F4295">
              <w:rPr>
                <w:rFonts w:eastAsia="EC Square Sans Pro" w:cs="Tunga"/>
                <w:color w:val="auto"/>
                <w:sz w:val="22"/>
                <w:szCs w:val="22"/>
                <w:lang w:eastAsia="en-US"/>
              </w:rPr>
              <w:t>European Commission total</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8C10819" w14:textId="5DCF70D2" w:rsidR="00EB70E0" w:rsidRPr="005F4295" w:rsidRDefault="001A2DA4">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color w:val="333333"/>
                <w:sz w:val="18"/>
                <w:szCs w:val="18"/>
                <w:lang w:eastAsia="en-IE"/>
              </w:rPr>
            </w:pPr>
            <w:r w:rsidRPr="005F4295">
              <w:rPr>
                <w:rFonts w:asciiTheme="minorHAnsi" w:hAnsiTheme="minorHAnsi" w:cs="Arial"/>
                <w:b/>
                <w:noProof/>
                <w:color w:val="333333"/>
                <w:sz w:val="18"/>
                <w:szCs w:val="18"/>
                <w:lang w:eastAsia="en-IE"/>
              </w:rPr>
              <w:t>20</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455</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77</w:t>
            </w:r>
            <w:r w:rsidR="000F5318" w:rsidRPr="005F4295">
              <w:rPr>
                <w:rFonts w:asciiTheme="minorHAnsi" w:hAnsiTheme="minorHAnsi" w:cs="Calibri"/>
                <w:b/>
                <w:noProof/>
                <w:color w:val="333333"/>
                <w:sz w:val="18"/>
                <w:szCs w:val="18"/>
                <w:lang w:eastAsia="en-IE"/>
              </w:rPr>
              <w:t>4</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0607694" w14:textId="1C2AA470" w:rsidR="00EB70E0" w:rsidRPr="005F4295" w:rsidRDefault="001A2DA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333333"/>
                <w:sz w:val="18"/>
                <w:szCs w:val="18"/>
                <w:lang w:eastAsia="en-IE"/>
              </w:rPr>
            </w:pPr>
            <w:r w:rsidRPr="005F4295">
              <w:rPr>
                <w:rFonts w:asciiTheme="minorHAnsi" w:hAnsiTheme="minorHAnsi" w:cs="Arial"/>
                <w:b/>
                <w:noProof/>
                <w:color w:val="333333"/>
                <w:sz w:val="18"/>
                <w:szCs w:val="18"/>
                <w:lang w:eastAsia="en-IE"/>
              </w:rPr>
              <w:t>67</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FB20140" w14:textId="79D27191" w:rsidR="00EB70E0" w:rsidRPr="005F4295" w:rsidRDefault="001A2DA4">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color w:val="333333"/>
                <w:sz w:val="18"/>
                <w:szCs w:val="18"/>
                <w:lang w:eastAsia="en-IE"/>
              </w:rPr>
            </w:pPr>
            <w:r w:rsidRPr="005F4295">
              <w:rPr>
                <w:rFonts w:asciiTheme="minorHAnsi" w:hAnsiTheme="minorHAnsi" w:cs="Arial"/>
                <w:b/>
                <w:noProof/>
                <w:color w:val="333333"/>
                <w:sz w:val="18"/>
                <w:szCs w:val="18"/>
                <w:lang w:eastAsia="en-IE"/>
              </w:rPr>
              <w:t>19</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299</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74</w:t>
            </w:r>
            <w:r w:rsidR="000F5318" w:rsidRPr="005F4295">
              <w:rPr>
                <w:rFonts w:asciiTheme="minorHAnsi" w:hAnsiTheme="minorHAnsi" w:cs="Calibri"/>
                <w:b/>
                <w:noProof/>
                <w:color w:val="333333"/>
                <w:sz w:val="18"/>
                <w:szCs w:val="18"/>
                <w:lang w:eastAsia="en-IE"/>
              </w:rPr>
              <w:t>4</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AE6ED43" w14:textId="4C4CA44D" w:rsidR="00EB70E0" w:rsidRPr="005F4295" w:rsidRDefault="001A2DA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333333"/>
                <w:sz w:val="18"/>
                <w:szCs w:val="18"/>
                <w:lang w:eastAsia="en-IE"/>
              </w:rPr>
            </w:pPr>
            <w:r w:rsidRPr="005F4295">
              <w:rPr>
                <w:rFonts w:asciiTheme="minorHAnsi" w:hAnsiTheme="minorHAnsi" w:cs="Arial"/>
                <w:b/>
                <w:noProof/>
                <w:color w:val="333333"/>
                <w:sz w:val="18"/>
                <w:szCs w:val="18"/>
                <w:lang w:eastAsia="en-IE"/>
              </w:rPr>
              <w:t>5</w:t>
            </w:r>
            <w:r w:rsidR="000F5318" w:rsidRPr="005F4295">
              <w:rPr>
                <w:rFonts w:asciiTheme="minorHAnsi" w:hAnsiTheme="minorHAnsi" w:cs="Arial"/>
                <w:b/>
                <w:noProof/>
                <w:color w:val="333333"/>
                <w:sz w:val="18"/>
                <w:szCs w:val="18"/>
                <w:lang w:eastAsia="en-IE"/>
              </w:rPr>
              <w:t>4</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hideMark/>
          </w:tcPr>
          <w:p w14:paraId="2828E44E" w14:textId="5D8DA61B" w:rsidR="00EB70E0" w:rsidRPr="005F4295" w:rsidRDefault="001A2DA4">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color w:val="333333"/>
                <w:sz w:val="18"/>
                <w:szCs w:val="18"/>
                <w:lang w:eastAsia="en-IE"/>
              </w:rPr>
            </w:pPr>
            <w:r w:rsidRPr="005F4295">
              <w:rPr>
                <w:rFonts w:asciiTheme="minorHAnsi" w:hAnsiTheme="minorHAnsi" w:cs="Arial"/>
                <w:b/>
                <w:noProof/>
                <w:color w:val="333333"/>
                <w:sz w:val="18"/>
                <w:szCs w:val="18"/>
                <w:lang w:eastAsia="en-IE"/>
              </w:rPr>
              <w:t>1</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156</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0</w:t>
            </w:r>
            <w:r w:rsidR="000F5318" w:rsidRPr="005F4295">
              <w:rPr>
                <w:rFonts w:asciiTheme="minorHAnsi" w:hAnsiTheme="minorHAnsi" w:cs="Calibri"/>
                <w:b/>
                <w:noProof/>
                <w:color w:val="333333"/>
                <w:sz w:val="18"/>
                <w:szCs w:val="18"/>
                <w:lang w:eastAsia="en-IE"/>
              </w:rPr>
              <w:t>30</w:t>
            </w:r>
          </w:p>
        </w:tc>
      </w:tr>
      <w:tr w:rsidR="00C659DF" w:rsidRPr="005F4295" w14:paraId="43F4C97A" w14:textId="77777777" w:rsidTr="003C2B0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EEF84A" w14:textId="77777777" w:rsidR="00EB70E0" w:rsidRPr="005F4295" w:rsidRDefault="00EB70E0">
            <w:pPr>
              <w:spacing w:line="240" w:lineRule="auto"/>
              <w:rPr>
                <w:rFonts w:eastAsia="EC Square Sans Pro" w:cs="Tunga"/>
                <w:noProof/>
                <w:sz w:val="22"/>
                <w:szCs w:val="22"/>
                <w:lang w:eastAsia="en-US"/>
              </w:rPr>
            </w:pPr>
            <w:r w:rsidRPr="005F4295">
              <w:rPr>
                <w:rFonts w:eastAsia="EC Square Sans Pro" w:cs="Tunga"/>
                <w:noProof/>
                <w:color w:val="auto"/>
                <w:sz w:val="22"/>
                <w:szCs w:val="22"/>
                <w:lang w:eastAsia="en-US"/>
              </w:rPr>
              <w:t>European Development Fund</w:t>
            </w:r>
          </w:p>
        </w:tc>
        <w:tc>
          <w:tcPr>
            <w:tcW w:w="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2B81A2E" w14:textId="4602E034" w:rsidR="00EB70E0" w:rsidRPr="005F4295" w:rsidRDefault="005501A5">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noProof/>
                <w:color w:val="333333"/>
                <w:sz w:val="18"/>
                <w:szCs w:val="18"/>
                <w:lang w:eastAsia="en-IE"/>
              </w:rPr>
            </w:pPr>
            <w:r w:rsidRPr="005F4295">
              <w:rPr>
                <w:rFonts w:asciiTheme="minorHAnsi" w:hAnsiTheme="minorHAnsi" w:cs="Arial"/>
                <w:noProof/>
                <w:color w:val="333333"/>
                <w:sz w:val="18"/>
                <w:szCs w:val="18"/>
                <w:lang w:eastAsia="en-IE"/>
              </w:rPr>
              <w:t>1</w:t>
            </w:r>
            <w:r w:rsidRPr="005F4295">
              <w:rPr>
                <w:rFonts w:ascii="Calibri" w:hAnsi="Calibri" w:cs="Calibri"/>
                <w:noProof/>
                <w:color w:val="333333"/>
                <w:sz w:val="18"/>
                <w:szCs w:val="18"/>
                <w:lang w:eastAsia="en-IE"/>
              </w:rPr>
              <w:t> </w:t>
            </w:r>
            <w:r w:rsidRPr="005F4295">
              <w:rPr>
                <w:rFonts w:asciiTheme="minorHAnsi" w:hAnsiTheme="minorHAnsi" w:cs="Calibri"/>
                <w:noProof/>
                <w:color w:val="333333"/>
                <w:sz w:val="18"/>
                <w:szCs w:val="18"/>
                <w:lang w:eastAsia="en-IE"/>
              </w:rPr>
              <w:t>005</w:t>
            </w:r>
            <w:r w:rsidRPr="005F4295">
              <w:rPr>
                <w:rFonts w:ascii="Calibri" w:hAnsi="Calibri" w:cs="Calibri"/>
                <w:noProof/>
                <w:color w:val="333333"/>
                <w:sz w:val="18"/>
                <w:szCs w:val="18"/>
                <w:lang w:eastAsia="en-IE"/>
              </w:rPr>
              <w:t> </w:t>
            </w:r>
            <w:r w:rsidRPr="005F4295">
              <w:rPr>
                <w:rFonts w:asciiTheme="minorHAnsi" w:hAnsiTheme="minorHAnsi" w:cs="Calibri"/>
                <w:noProof/>
                <w:color w:val="333333"/>
                <w:sz w:val="18"/>
                <w:szCs w:val="18"/>
                <w:lang w:eastAsia="en-IE"/>
              </w:rPr>
              <w:t>400</w:t>
            </w:r>
          </w:p>
        </w:tc>
        <w:tc>
          <w:tcPr>
            <w:tcW w:w="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BD134BF" w14:textId="6FC48868" w:rsidR="00EB70E0" w:rsidRPr="005F4295" w:rsidRDefault="005501A5">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noProof/>
                <w:color w:val="333333"/>
                <w:sz w:val="18"/>
                <w:szCs w:val="18"/>
                <w:lang w:eastAsia="en-IE"/>
              </w:rPr>
            </w:pPr>
            <w:r w:rsidRPr="005F4295">
              <w:rPr>
                <w:rFonts w:asciiTheme="minorHAnsi" w:hAnsiTheme="minorHAnsi" w:cs="Arial"/>
                <w:noProof/>
                <w:color w:val="333333"/>
                <w:sz w:val="18"/>
                <w:szCs w:val="18"/>
                <w:lang w:eastAsia="en-IE"/>
              </w:rPr>
              <w:t>5</w:t>
            </w:r>
          </w:p>
        </w:tc>
        <w:tc>
          <w:tcPr>
            <w:tcW w:w="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3E15BA8" w14:textId="76DEAAEE" w:rsidR="00EB70E0" w:rsidRPr="005F4295" w:rsidRDefault="005501A5">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noProof/>
                <w:color w:val="333333"/>
                <w:sz w:val="18"/>
                <w:szCs w:val="18"/>
                <w:lang w:eastAsia="en-IE"/>
              </w:rPr>
            </w:pPr>
            <w:r w:rsidRPr="005F4295">
              <w:rPr>
                <w:rFonts w:asciiTheme="minorHAnsi" w:hAnsiTheme="minorHAnsi" w:cs="Arial"/>
                <w:noProof/>
                <w:color w:val="333333"/>
                <w:sz w:val="18"/>
                <w:szCs w:val="18"/>
                <w:lang w:eastAsia="en-IE"/>
              </w:rPr>
              <w:t>687</w:t>
            </w:r>
            <w:r w:rsidRPr="005F4295">
              <w:rPr>
                <w:rFonts w:ascii="Calibri" w:hAnsi="Calibri" w:cs="Calibri"/>
                <w:noProof/>
                <w:color w:val="333333"/>
                <w:sz w:val="18"/>
                <w:szCs w:val="18"/>
                <w:lang w:eastAsia="en-IE"/>
              </w:rPr>
              <w:t> </w:t>
            </w:r>
            <w:r w:rsidRPr="005F4295">
              <w:rPr>
                <w:rFonts w:asciiTheme="minorHAnsi" w:hAnsiTheme="minorHAnsi" w:cs="Calibri"/>
                <w:noProof/>
                <w:color w:val="333333"/>
                <w:sz w:val="18"/>
                <w:szCs w:val="18"/>
                <w:lang w:eastAsia="en-IE"/>
              </w:rPr>
              <w:t>758</w:t>
            </w:r>
          </w:p>
        </w:tc>
        <w:tc>
          <w:tcPr>
            <w:tcW w:w="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785EE74" w14:textId="2C706C35" w:rsidR="00EB70E0" w:rsidRPr="005F4295" w:rsidRDefault="00880F50">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noProof/>
                <w:color w:val="333333"/>
                <w:sz w:val="18"/>
                <w:szCs w:val="18"/>
                <w:lang w:eastAsia="en-IE"/>
              </w:rPr>
            </w:pPr>
            <w:r w:rsidRPr="005F4295">
              <w:rPr>
                <w:rFonts w:asciiTheme="minorHAnsi" w:hAnsiTheme="minorHAnsi" w:cs="Arial"/>
                <w:noProof/>
                <w:color w:val="333333"/>
                <w:sz w:val="18"/>
                <w:szCs w:val="18"/>
                <w:lang w:eastAsia="en-IE"/>
              </w:rPr>
              <w:t>15</w:t>
            </w:r>
          </w:p>
        </w:tc>
        <w:tc>
          <w:tcPr>
            <w:tcW w:w="0"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hideMark/>
          </w:tcPr>
          <w:p w14:paraId="6819E1B5" w14:textId="3D23C491" w:rsidR="00EB70E0" w:rsidRPr="005F4295" w:rsidRDefault="00880F50">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noProof/>
                <w:color w:val="333333"/>
                <w:sz w:val="18"/>
                <w:szCs w:val="18"/>
                <w:lang w:eastAsia="en-IE"/>
              </w:rPr>
            </w:pPr>
            <w:r w:rsidRPr="005F4295">
              <w:rPr>
                <w:rFonts w:asciiTheme="minorHAnsi" w:hAnsiTheme="minorHAnsi" w:cs="Arial"/>
                <w:noProof/>
                <w:color w:val="333333"/>
                <w:sz w:val="18"/>
                <w:szCs w:val="18"/>
                <w:lang w:eastAsia="en-IE"/>
              </w:rPr>
              <w:t>317</w:t>
            </w:r>
            <w:r w:rsidRPr="005F4295">
              <w:rPr>
                <w:rFonts w:ascii="Calibri" w:hAnsi="Calibri" w:cs="Calibri"/>
                <w:noProof/>
                <w:color w:val="333333"/>
                <w:sz w:val="18"/>
                <w:szCs w:val="18"/>
                <w:lang w:eastAsia="en-IE"/>
              </w:rPr>
              <w:t> </w:t>
            </w:r>
            <w:r w:rsidRPr="005F4295">
              <w:rPr>
                <w:rFonts w:asciiTheme="minorHAnsi" w:hAnsiTheme="minorHAnsi" w:cs="Calibri"/>
                <w:noProof/>
                <w:color w:val="333333"/>
                <w:sz w:val="18"/>
                <w:szCs w:val="18"/>
                <w:lang w:eastAsia="en-IE"/>
              </w:rPr>
              <w:t>642</w:t>
            </w:r>
          </w:p>
        </w:tc>
      </w:tr>
      <w:tr w:rsidR="003D3D4C" w:rsidRPr="005F4295" w14:paraId="78D0084F" w14:textId="77777777" w:rsidTr="00D2751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E2164D" w14:textId="62C44F34" w:rsidR="00EB70E0" w:rsidRPr="005F4295" w:rsidRDefault="00EB70E0">
            <w:pPr>
              <w:spacing w:line="240" w:lineRule="auto"/>
              <w:rPr>
                <w:rFonts w:eastAsia="EC Square Sans Pro" w:cs="Tunga"/>
                <w:noProof/>
                <w:sz w:val="22"/>
                <w:szCs w:val="22"/>
                <w:lang w:eastAsia="en-US"/>
              </w:rPr>
            </w:pPr>
            <w:r w:rsidRPr="005F4295">
              <w:rPr>
                <w:rFonts w:eastAsia="EC Square Sans Pro" w:cs="Tunga"/>
                <w:noProof/>
                <w:color w:val="auto"/>
                <w:sz w:val="22"/>
                <w:szCs w:val="22"/>
                <w:lang w:eastAsia="en-US"/>
              </w:rPr>
              <w:t>Mutual Insurance Mechanism</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C7E5EAB" w14:textId="49B5CC29" w:rsidR="00EB70E0" w:rsidRPr="005F4295" w:rsidRDefault="00BD5E55">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noProof/>
                <w:color w:val="333333"/>
                <w:sz w:val="18"/>
                <w:szCs w:val="18"/>
                <w:lang w:eastAsia="en-IE"/>
              </w:rPr>
            </w:pPr>
            <w:r w:rsidRPr="005F4295">
              <w:rPr>
                <w:rFonts w:asciiTheme="minorHAnsi" w:hAnsiTheme="minorHAnsi" w:cs="Arial"/>
                <w:noProof/>
                <w:color w:val="333333"/>
                <w:sz w:val="18"/>
                <w:szCs w:val="18"/>
                <w:lang w:eastAsia="en-IE"/>
              </w:rPr>
              <w:t>13</w:t>
            </w:r>
            <w:r w:rsidRPr="005F4295">
              <w:rPr>
                <w:rFonts w:ascii="Calibri" w:hAnsi="Calibri" w:cs="Calibri"/>
                <w:noProof/>
                <w:color w:val="333333"/>
                <w:sz w:val="18"/>
                <w:szCs w:val="18"/>
                <w:lang w:eastAsia="en-IE"/>
              </w:rPr>
              <w:t> </w:t>
            </w:r>
            <w:r w:rsidRPr="005F4295">
              <w:rPr>
                <w:rFonts w:asciiTheme="minorHAnsi" w:hAnsiTheme="minorHAnsi" w:cs="Calibri"/>
                <w:noProof/>
                <w:color w:val="333333"/>
                <w:sz w:val="18"/>
                <w:szCs w:val="18"/>
                <w:lang w:eastAsia="en-IE"/>
              </w:rPr>
              <w:t>301</w:t>
            </w:r>
            <w:r w:rsidRPr="005F4295">
              <w:rPr>
                <w:rFonts w:ascii="Calibri" w:hAnsi="Calibri" w:cs="Calibri"/>
                <w:noProof/>
                <w:color w:val="333333"/>
                <w:sz w:val="18"/>
                <w:szCs w:val="18"/>
                <w:lang w:eastAsia="en-IE"/>
              </w:rPr>
              <w:t> </w:t>
            </w:r>
            <w:r w:rsidRPr="005F4295">
              <w:rPr>
                <w:rFonts w:asciiTheme="minorHAnsi" w:hAnsiTheme="minorHAnsi" w:cs="Calibri"/>
                <w:noProof/>
                <w:color w:val="333333"/>
                <w:sz w:val="18"/>
                <w:szCs w:val="18"/>
                <w:lang w:eastAsia="en-IE"/>
              </w:rPr>
              <w:t>741</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7027FAB" w14:textId="0B2E3E7C" w:rsidR="00EB70E0" w:rsidRPr="005F4295" w:rsidRDefault="00045E0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noProof/>
                <w:color w:val="333333"/>
                <w:sz w:val="18"/>
                <w:szCs w:val="18"/>
                <w:lang w:eastAsia="en-IE"/>
              </w:rPr>
            </w:pPr>
            <w:r w:rsidRPr="005F4295">
              <w:rPr>
                <w:rFonts w:asciiTheme="minorHAnsi" w:hAnsiTheme="minorHAnsi" w:cs="Arial"/>
                <w:noProof/>
                <w:color w:val="333333"/>
                <w:sz w:val="18"/>
                <w:szCs w:val="18"/>
                <w:lang w:eastAsia="en-IE"/>
              </w:rPr>
              <w:t>41</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5E889C7" w14:textId="38822E66" w:rsidR="00EB70E0" w:rsidRPr="005F4295" w:rsidRDefault="00045E0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noProof/>
                <w:color w:val="333333"/>
                <w:sz w:val="18"/>
                <w:szCs w:val="18"/>
                <w:lang w:eastAsia="en-IE"/>
              </w:rPr>
            </w:pPr>
            <w:r w:rsidRPr="005F4295">
              <w:rPr>
                <w:rFonts w:asciiTheme="minorHAnsi" w:hAnsiTheme="minorHAnsi" w:cs="Arial"/>
                <w:noProof/>
                <w:color w:val="333333"/>
                <w:sz w:val="18"/>
                <w:szCs w:val="18"/>
                <w:lang w:eastAsia="en-IE"/>
              </w:rPr>
              <w:t>12</w:t>
            </w:r>
            <w:r w:rsidRPr="005F4295">
              <w:rPr>
                <w:rFonts w:ascii="Calibri" w:hAnsi="Calibri" w:cs="Calibri"/>
                <w:noProof/>
                <w:color w:val="333333"/>
                <w:sz w:val="18"/>
                <w:szCs w:val="18"/>
                <w:lang w:eastAsia="en-IE"/>
              </w:rPr>
              <w:t> </w:t>
            </w:r>
            <w:r w:rsidRPr="005F4295">
              <w:rPr>
                <w:rFonts w:asciiTheme="minorHAnsi" w:hAnsiTheme="minorHAnsi" w:cs="Calibri"/>
                <w:noProof/>
                <w:color w:val="333333"/>
                <w:sz w:val="18"/>
                <w:szCs w:val="18"/>
                <w:lang w:eastAsia="en-IE"/>
              </w:rPr>
              <w:t>837</w:t>
            </w:r>
            <w:r w:rsidRPr="005F4295">
              <w:rPr>
                <w:rFonts w:ascii="Calibri" w:hAnsi="Calibri" w:cs="Calibri"/>
                <w:noProof/>
                <w:color w:val="333333"/>
                <w:sz w:val="18"/>
                <w:szCs w:val="18"/>
                <w:lang w:eastAsia="en-IE"/>
              </w:rPr>
              <w:t> </w:t>
            </w:r>
            <w:r w:rsidRPr="005F4295">
              <w:rPr>
                <w:rFonts w:asciiTheme="minorHAnsi" w:hAnsiTheme="minorHAnsi" w:cs="Calibri"/>
                <w:noProof/>
                <w:color w:val="333333"/>
                <w:sz w:val="18"/>
                <w:szCs w:val="18"/>
                <w:lang w:eastAsia="en-IE"/>
              </w:rPr>
              <w:t>762</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4FA7C25" w14:textId="3CE646B5" w:rsidR="00EB70E0" w:rsidRPr="005F4295" w:rsidRDefault="00DB34D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noProof/>
                <w:color w:val="333333"/>
                <w:sz w:val="18"/>
                <w:szCs w:val="18"/>
                <w:lang w:eastAsia="en-IE"/>
              </w:rPr>
            </w:pPr>
            <w:r w:rsidRPr="005F4295">
              <w:rPr>
                <w:rFonts w:asciiTheme="minorHAnsi" w:hAnsiTheme="minorHAnsi" w:cs="Arial"/>
                <w:noProof/>
                <w:color w:val="333333"/>
                <w:sz w:val="18"/>
                <w:szCs w:val="18"/>
                <w:lang w:eastAsia="en-IE"/>
              </w:rPr>
              <w:t>16</w:t>
            </w:r>
          </w:p>
        </w:tc>
        <w:tc>
          <w:tcPr>
            <w:tcW w:w="742" w:type="pct"/>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hideMark/>
          </w:tcPr>
          <w:p w14:paraId="4879842A" w14:textId="4D653E4C" w:rsidR="00EB70E0" w:rsidRPr="005F4295" w:rsidRDefault="00DB34D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noProof/>
                <w:color w:val="333333"/>
                <w:sz w:val="18"/>
                <w:szCs w:val="18"/>
                <w:lang w:eastAsia="en-IE"/>
              </w:rPr>
            </w:pPr>
            <w:r w:rsidRPr="005F4295">
              <w:rPr>
                <w:rFonts w:asciiTheme="minorHAnsi" w:hAnsiTheme="minorHAnsi" w:cs="Arial"/>
                <w:noProof/>
                <w:color w:val="333333"/>
                <w:sz w:val="18"/>
                <w:szCs w:val="18"/>
                <w:lang w:eastAsia="en-IE"/>
              </w:rPr>
              <w:t>463</w:t>
            </w:r>
            <w:r w:rsidRPr="005F4295">
              <w:rPr>
                <w:rFonts w:ascii="Calibri" w:hAnsi="Calibri" w:cs="Calibri"/>
                <w:noProof/>
                <w:color w:val="333333"/>
                <w:sz w:val="18"/>
                <w:szCs w:val="18"/>
                <w:lang w:eastAsia="en-IE"/>
              </w:rPr>
              <w:t> </w:t>
            </w:r>
            <w:r w:rsidRPr="005F4295">
              <w:rPr>
                <w:rFonts w:asciiTheme="minorHAnsi" w:hAnsiTheme="minorHAnsi" w:cs="Calibri"/>
                <w:noProof/>
                <w:color w:val="333333"/>
                <w:sz w:val="18"/>
                <w:szCs w:val="18"/>
                <w:lang w:eastAsia="en-IE"/>
              </w:rPr>
              <w:t>979</w:t>
            </w:r>
          </w:p>
        </w:tc>
      </w:tr>
      <w:tr w:rsidR="00C659DF" w:rsidRPr="005F4295" w14:paraId="6B562A7E" w14:textId="77777777" w:rsidTr="003C2B0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BFBFBF" w:themeColor="background1" w:themeShade="BF"/>
              <w:right w:val="single" w:sz="4" w:space="0" w:color="BFBFBF" w:themeColor="background1" w:themeShade="BF"/>
            </w:tcBorders>
            <w:noWrap/>
            <w:hideMark/>
          </w:tcPr>
          <w:p w14:paraId="5FDBC2B9" w14:textId="77777777" w:rsidR="00EB70E0" w:rsidRPr="005F4295" w:rsidRDefault="00EB70E0">
            <w:pPr>
              <w:spacing w:line="240" w:lineRule="auto"/>
              <w:rPr>
                <w:rFonts w:eastAsia="EC Square Sans Pro" w:cs="Tunga"/>
                <w:noProof/>
                <w:sz w:val="22"/>
                <w:szCs w:val="22"/>
                <w:lang w:eastAsia="en-US"/>
              </w:rPr>
            </w:pPr>
            <w:r w:rsidRPr="005F4295">
              <w:rPr>
                <w:rFonts w:eastAsia="EC Square Sans Pro" w:cs="Tunga"/>
                <w:noProof/>
                <w:color w:val="auto"/>
                <w:sz w:val="22"/>
                <w:szCs w:val="22"/>
                <w:lang w:eastAsia="en-US"/>
              </w:rPr>
              <w:t>Total</w:t>
            </w:r>
          </w:p>
        </w:tc>
        <w:tc>
          <w:tcPr>
            <w:tcW w:w="0" w:type="pc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14:paraId="0CCA0F26" w14:textId="51B44654" w:rsidR="00EB70E0" w:rsidRPr="005F4295" w:rsidRDefault="00C21CE0">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noProof/>
                <w:color w:val="333333"/>
                <w:sz w:val="18"/>
                <w:szCs w:val="18"/>
                <w:lang w:eastAsia="en-IE"/>
              </w:rPr>
            </w:pPr>
            <w:r w:rsidRPr="005F4295">
              <w:rPr>
                <w:rFonts w:asciiTheme="minorHAnsi" w:hAnsiTheme="minorHAnsi" w:cs="Arial"/>
                <w:b/>
                <w:noProof/>
                <w:color w:val="333333"/>
                <w:sz w:val="18"/>
                <w:szCs w:val="18"/>
                <w:lang w:eastAsia="en-IE"/>
              </w:rPr>
              <w:t>34</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762</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916</w:t>
            </w:r>
          </w:p>
        </w:tc>
        <w:tc>
          <w:tcPr>
            <w:tcW w:w="0" w:type="pc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14:paraId="3EB3D369" w14:textId="59B505C4" w:rsidR="00EB70E0" w:rsidRPr="005F4295" w:rsidRDefault="00C21CE0">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lang w:eastAsia="en-IE"/>
              </w:rPr>
            </w:pPr>
            <w:r w:rsidRPr="005F4295">
              <w:rPr>
                <w:rFonts w:asciiTheme="minorHAnsi" w:hAnsiTheme="minorHAnsi" w:cs="Arial"/>
                <w:b/>
                <w:noProof/>
                <w:color w:val="333333"/>
                <w:sz w:val="18"/>
                <w:szCs w:val="18"/>
                <w:lang w:eastAsia="en-IE"/>
              </w:rPr>
              <w:t>113</w:t>
            </w:r>
          </w:p>
        </w:tc>
        <w:tc>
          <w:tcPr>
            <w:tcW w:w="0" w:type="pc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14:paraId="13C23C3D" w14:textId="31E99EE3" w:rsidR="00EB70E0" w:rsidRPr="005F4295" w:rsidRDefault="003C2B0C">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noProof/>
                <w:color w:val="333333"/>
                <w:sz w:val="18"/>
                <w:szCs w:val="18"/>
                <w:lang w:eastAsia="en-IE"/>
              </w:rPr>
            </w:pPr>
            <w:r w:rsidRPr="005F4295">
              <w:rPr>
                <w:rFonts w:asciiTheme="minorHAnsi" w:hAnsiTheme="minorHAnsi" w:cs="Arial"/>
                <w:b/>
                <w:noProof/>
                <w:color w:val="333333"/>
                <w:sz w:val="18"/>
                <w:szCs w:val="18"/>
                <w:lang w:eastAsia="en-IE"/>
              </w:rPr>
              <w:t>32</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825</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265</w:t>
            </w:r>
          </w:p>
        </w:tc>
        <w:tc>
          <w:tcPr>
            <w:tcW w:w="0" w:type="pc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14:paraId="1D8DA284" w14:textId="0EE6AAB1" w:rsidR="00EB70E0" w:rsidRPr="005F4295" w:rsidRDefault="003C2B0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b/>
                <w:noProof/>
                <w:color w:val="333333"/>
                <w:sz w:val="18"/>
                <w:szCs w:val="18"/>
                <w:lang w:eastAsia="en-IE"/>
              </w:rPr>
            </w:pPr>
            <w:r w:rsidRPr="005F4295">
              <w:rPr>
                <w:rFonts w:asciiTheme="minorHAnsi" w:hAnsiTheme="minorHAnsi" w:cs="Arial"/>
                <w:b/>
                <w:noProof/>
                <w:color w:val="333333"/>
                <w:sz w:val="18"/>
                <w:szCs w:val="18"/>
                <w:lang w:eastAsia="en-IE"/>
              </w:rPr>
              <w:t>85</w:t>
            </w:r>
          </w:p>
        </w:tc>
        <w:tc>
          <w:tcPr>
            <w:tcW w:w="0" w:type="pct"/>
            <w:tcBorders>
              <w:top w:val="single" w:sz="4" w:space="0" w:color="BFBFBF" w:themeColor="background1" w:themeShade="BF"/>
              <w:left w:val="single" w:sz="4" w:space="0" w:color="BFBFBF" w:themeColor="background1" w:themeShade="BF"/>
            </w:tcBorders>
            <w:noWrap/>
            <w:vAlign w:val="center"/>
            <w:hideMark/>
          </w:tcPr>
          <w:p w14:paraId="5DA057D3" w14:textId="0F89E1F8" w:rsidR="00EB70E0" w:rsidRPr="005F4295" w:rsidRDefault="003C2B0C">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noProof/>
                <w:color w:val="333333"/>
                <w:sz w:val="18"/>
                <w:szCs w:val="18"/>
                <w:lang w:eastAsia="en-IE"/>
              </w:rPr>
            </w:pPr>
            <w:r w:rsidRPr="005F4295">
              <w:rPr>
                <w:rFonts w:asciiTheme="minorHAnsi" w:hAnsiTheme="minorHAnsi" w:cs="Arial"/>
                <w:b/>
                <w:noProof/>
                <w:color w:val="333333"/>
                <w:sz w:val="18"/>
                <w:szCs w:val="18"/>
                <w:lang w:eastAsia="en-IE"/>
              </w:rPr>
              <w:t>1</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937</w:t>
            </w:r>
            <w:r w:rsidRPr="005F4295">
              <w:rPr>
                <w:rFonts w:ascii="Calibri" w:hAnsi="Calibri" w:cs="Calibri"/>
                <w:b/>
                <w:noProof/>
                <w:color w:val="333333"/>
                <w:sz w:val="18"/>
                <w:szCs w:val="18"/>
                <w:lang w:eastAsia="en-IE"/>
              </w:rPr>
              <w:t> </w:t>
            </w:r>
            <w:r w:rsidRPr="005F4295">
              <w:rPr>
                <w:rFonts w:asciiTheme="minorHAnsi" w:hAnsiTheme="minorHAnsi" w:cs="Calibri"/>
                <w:b/>
                <w:noProof/>
                <w:color w:val="333333"/>
                <w:sz w:val="18"/>
                <w:szCs w:val="18"/>
                <w:lang w:eastAsia="en-IE"/>
              </w:rPr>
              <w:t>651</w:t>
            </w:r>
          </w:p>
        </w:tc>
      </w:tr>
    </w:tbl>
    <w:p w14:paraId="63A912BE" w14:textId="4FDD0243" w:rsidR="00EB70E0" w:rsidRPr="005F4295" w:rsidRDefault="00EB70E0" w:rsidP="00EB70E0">
      <w:pPr>
        <w:pStyle w:val="TableSource"/>
        <w:rPr>
          <w:rFonts w:ascii="EC Square Sans Pro" w:hAnsi="EC Square Sans Pro"/>
        </w:rPr>
      </w:pPr>
      <w:bookmarkStart w:id="94" w:name="_Hlk198652199"/>
      <w:r w:rsidRPr="005F4295">
        <w:rPr>
          <w:rStyle w:val="Italic"/>
        </w:rPr>
        <w:t>Source:</w:t>
      </w:r>
      <w:r w:rsidRPr="005F4295">
        <w:rPr>
          <w:rFonts w:ascii="EC Square Sans Pro" w:hAnsi="EC Square Sans Pro"/>
        </w:rPr>
        <w:t xml:space="preserve"> European Commission</w:t>
      </w:r>
      <w:bookmarkEnd w:id="94"/>
      <w:r w:rsidR="000F5318" w:rsidRPr="005F4295">
        <w:rPr>
          <w:rFonts w:ascii="Calibri" w:hAnsi="Calibri" w:cs="Calibri"/>
          <w:noProof/>
        </w:rPr>
        <w:t> </w:t>
      </w:r>
    </w:p>
    <w:p w14:paraId="6840DD4F" w14:textId="77777777" w:rsidR="00EB70E0" w:rsidRPr="005F4295" w:rsidRDefault="00EB70E0" w:rsidP="00EB70E0">
      <w:pPr>
        <w:spacing w:before="60" w:after="0"/>
        <w:rPr>
          <w:noProof/>
          <w:highlight w:val="lightGray"/>
        </w:rPr>
      </w:pPr>
    </w:p>
    <w:p w14:paraId="1B771B2F" w14:textId="1DF293F6" w:rsidR="00EB70E0" w:rsidRPr="005F4295" w:rsidRDefault="00E723B7" w:rsidP="00EB70E0">
      <w:pPr>
        <w:rPr>
          <w:noProof/>
          <w:highlight w:val="lightGray"/>
        </w:rPr>
      </w:pPr>
      <w:r w:rsidRPr="005F4295">
        <w:rPr>
          <w:noProof/>
        </w:rPr>
        <w:t xml:space="preserve">In 2025, the Commission continued implementing its enhanced corporate strategy for managing the Commission’s debtors by adopting two combined waiver decisions. The decrease in </w:t>
      </w:r>
      <w:r w:rsidR="002A4745" w:rsidRPr="005F4295">
        <w:rPr>
          <w:noProof/>
        </w:rPr>
        <w:t xml:space="preserve">total </w:t>
      </w:r>
      <w:r w:rsidRPr="005F4295">
        <w:rPr>
          <w:noProof/>
        </w:rPr>
        <w:t>amounts</w:t>
      </w:r>
      <w:r w:rsidR="003C2B0C" w:rsidRPr="005F4295">
        <w:rPr>
          <w:noProof/>
        </w:rPr>
        <w:t xml:space="preserve"> of waivers</w:t>
      </w:r>
      <w:r w:rsidR="00F06728" w:rsidRPr="005F4295">
        <w:rPr>
          <w:noProof/>
        </w:rPr>
        <w:t>,</w:t>
      </w:r>
      <w:r w:rsidR="003C2B0C" w:rsidRPr="005F4295">
        <w:rPr>
          <w:noProof/>
        </w:rPr>
        <w:t xml:space="preserve"> </w:t>
      </w:r>
      <w:r w:rsidRPr="005F4295">
        <w:rPr>
          <w:noProof/>
        </w:rPr>
        <w:t>from EUR</w:t>
      </w:r>
      <w:r w:rsidR="00F6527B" w:rsidRPr="005F4295">
        <w:rPr>
          <w:rFonts w:ascii="Calibri" w:hAnsi="Calibri" w:cs="Calibri"/>
          <w:noProof/>
        </w:rPr>
        <w:t> </w:t>
      </w:r>
      <w:r w:rsidR="00AC3383" w:rsidRPr="005F4295">
        <w:rPr>
          <w:noProof/>
        </w:rPr>
        <w:t>84.9</w:t>
      </w:r>
      <w:r w:rsidR="00F6527B" w:rsidRPr="005F4295">
        <w:rPr>
          <w:rFonts w:ascii="Calibri" w:hAnsi="Calibri" w:cs="Calibri"/>
          <w:noProof/>
        </w:rPr>
        <w:t> </w:t>
      </w:r>
      <w:r w:rsidRPr="005F4295">
        <w:rPr>
          <w:noProof/>
        </w:rPr>
        <w:t>million in 2024 to EUR</w:t>
      </w:r>
      <w:r w:rsidR="00F6527B" w:rsidRPr="005F4295">
        <w:rPr>
          <w:rFonts w:ascii="Calibri" w:hAnsi="Calibri" w:cs="Calibri"/>
          <w:noProof/>
        </w:rPr>
        <w:t> </w:t>
      </w:r>
      <w:r w:rsidR="00293C07" w:rsidRPr="005F4295">
        <w:rPr>
          <w:noProof/>
        </w:rPr>
        <w:t>34.8</w:t>
      </w:r>
      <w:r w:rsidR="00F6527B" w:rsidRPr="005F4295">
        <w:rPr>
          <w:rFonts w:ascii="Calibri" w:hAnsi="Calibri" w:cs="Calibri"/>
          <w:noProof/>
        </w:rPr>
        <w:t> </w:t>
      </w:r>
      <w:r w:rsidRPr="005F4295">
        <w:rPr>
          <w:noProof/>
        </w:rPr>
        <w:t xml:space="preserve">million in 2025, is </w:t>
      </w:r>
      <w:r w:rsidR="00D2751E" w:rsidRPr="005F4295">
        <w:rPr>
          <w:noProof/>
        </w:rPr>
        <w:t xml:space="preserve">mainly </w:t>
      </w:r>
      <w:r w:rsidRPr="005F4295">
        <w:rPr>
          <w:noProof/>
        </w:rPr>
        <w:t>explained by a reduction in the backlog of waivers and the establishment of a more stable situation. No waivers of competition fines were registered for DG Competition</w:t>
      </w:r>
      <w:r w:rsidR="00F06728" w:rsidRPr="005F4295">
        <w:rPr>
          <w:noProof/>
        </w:rPr>
        <w:t>,</w:t>
      </w:r>
      <w:r w:rsidRPr="005F4295">
        <w:rPr>
          <w:noProof/>
        </w:rPr>
        <w:t xml:space="preserve"> which accounted for EUR</w:t>
      </w:r>
      <w:r w:rsidR="00F06728" w:rsidRPr="005F4295">
        <w:rPr>
          <w:rFonts w:ascii="Calibri" w:hAnsi="Calibri" w:cs="Calibri"/>
          <w:noProof/>
        </w:rPr>
        <w:t> </w:t>
      </w:r>
      <w:r w:rsidRPr="005F4295">
        <w:rPr>
          <w:noProof/>
        </w:rPr>
        <w:t>18</w:t>
      </w:r>
      <w:r w:rsidR="00F06728" w:rsidRPr="005F4295">
        <w:rPr>
          <w:rFonts w:ascii="Calibri" w:hAnsi="Calibri" w:cs="Calibri"/>
          <w:noProof/>
        </w:rPr>
        <w:t> </w:t>
      </w:r>
      <w:r w:rsidRPr="005F4295">
        <w:rPr>
          <w:noProof/>
        </w:rPr>
        <w:t>million</w:t>
      </w:r>
      <w:r w:rsidR="00A04E05" w:rsidRPr="005F4295">
        <w:rPr>
          <w:noProof/>
        </w:rPr>
        <w:t xml:space="preserve"> in 2024</w:t>
      </w:r>
      <w:r w:rsidRPr="005F4295">
        <w:rPr>
          <w:noProof/>
        </w:rPr>
        <w:t>.</w:t>
      </w:r>
      <w:r w:rsidR="005C1A43" w:rsidRPr="005F4295">
        <w:rPr>
          <w:noProof/>
        </w:rPr>
        <w:t xml:space="preserve"> This is considered to be a rather normal situation</w:t>
      </w:r>
      <w:r w:rsidR="00A04E05" w:rsidRPr="005F4295">
        <w:rPr>
          <w:noProof/>
        </w:rPr>
        <w:t>.</w:t>
      </w:r>
      <w:r w:rsidRPr="005F4295">
        <w:rPr>
          <w:noProof/>
        </w:rPr>
        <w:t xml:space="preserve"> Furthermore, a slight decrease in the number of waivers recorded in the systems was observed, partly due to the migration to the new corporate financial system.</w:t>
      </w:r>
      <w:r w:rsidRPr="005F4295">
        <w:rPr>
          <w:noProof/>
          <w:highlight w:val="lightGray"/>
        </w:rPr>
        <w:t xml:space="preserve"> </w:t>
      </w:r>
    </w:p>
    <w:p w14:paraId="400A9657" w14:textId="77777777" w:rsidR="00EB70E0" w:rsidRPr="005F4295" w:rsidRDefault="00EB70E0" w:rsidP="00EB70E0">
      <w:pPr>
        <w:rPr>
          <w:noProof/>
          <w:highlight w:val="lightGray"/>
        </w:rPr>
      </w:pPr>
    </w:p>
    <w:p w14:paraId="71364B0A" w14:textId="77777777" w:rsidR="00EB70E0" w:rsidRPr="005F4295" w:rsidRDefault="00EB70E0" w:rsidP="00EB70E0">
      <w:pPr>
        <w:spacing w:before="60" w:after="0"/>
        <w:rPr>
          <w:noProof/>
          <w:highlight w:val="lightGray"/>
        </w:rPr>
        <w:sectPr w:rsidR="00EB70E0" w:rsidRPr="005F4295" w:rsidSect="00EB70E0">
          <w:headerReference w:type="even" r:id="rId131"/>
          <w:headerReference w:type="default" r:id="rId132"/>
          <w:footerReference w:type="even" r:id="rId133"/>
          <w:footerReference w:type="default" r:id="rId134"/>
          <w:headerReference w:type="first" r:id="rId135"/>
          <w:footerReference w:type="first" r:id="rId136"/>
          <w:endnotePr>
            <w:pos w:val="sectEnd"/>
            <w:numFmt w:val="lowerLetter"/>
          </w:endnotePr>
          <w:pgSz w:w="11907" w:h="16839" w:code="9"/>
          <w:pgMar w:top="1418" w:right="1418" w:bottom="1418" w:left="1418" w:header="680" w:footer="567" w:gutter="0"/>
          <w:cols w:space="720"/>
          <w:docGrid w:linePitch="272"/>
        </w:sectPr>
      </w:pPr>
    </w:p>
    <w:p w14:paraId="4AE9AAC1" w14:textId="77777777" w:rsidR="00EB70E0" w:rsidRPr="005F4295" w:rsidRDefault="00EB70E0" w:rsidP="00EB70E0">
      <w:pPr>
        <w:rPr>
          <w:noProof/>
          <w:highlight w:val="lightGray"/>
        </w:rPr>
      </w:pPr>
    </w:p>
    <w:p w14:paraId="01488C27" w14:textId="77777777" w:rsidR="00EB70E0" w:rsidRPr="005F4295" w:rsidRDefault="00EB70E0" w:rsidP="00EB70E0">
      <w:pPr>
        <w:rPr>
          <w:noProof/>
          <w:highlight w:val="lightGray"/>
        </w:rPr>
      </w:pPr>
      <w:r w:rsidRPr="005F4295">
        <w:rPr>
          <w:noProof/>
          <w:highlight w:val="lightGray"/>
        </w:rPr>
        <mc:AlternateContent>
          <mc:Choice Requires="wps">
            <w:drawing>
              <wp:anchor distT="0" distB="0" distL="114300" distR="114300" simplePos="0" relativeHeight="251658244" behindDoc="0" locked="1" layoutInCell="1" allowOverlap="1" wp14:anchorId="1E629262" wp14:editId="4696746C">
                <wp:simplePos x="0" y="0"/>
                <wp:positionH relativeFrom="column">
                  <wp:posOffset>2376170</wp:posOffset>
                </wp:positionH>
                <wp:positionV relativeFrom="page">
                  <wp:posOffset>3240405</wp:posOffset>
                </wp:positionV>
                <wp:extent cx="3600000" cy="5040000"/>
                <wp:effectExtent l="0" t="0" r="0" b="0"/>
                <wp:wrapNone/>
                <wp:docPr id="3258" name="Text Box 3258"/>
                <wp:cNvGraphicFramePr/>
                <a:graphic xmlns:a="http://schemas.openxmlformats.org/drawingml/2006/main">
                  <a:graphicData uri="http://schemas.microsoft.com/office/word/2010/wordprocessingShape">
                    <wps:wsp>
                      <wps:cNvSpPr txBox="1"/>
                      <wps:spPr>
                        <a:xfrm>
                          <a:off x="0" y="0"/>
                          <a:ext cx="3600000" cy="5040000"/>
                        </a:xfrm>
                        <a:prstGeom prst="rect">
                          <a:avLst/>
                        </a:prstGeom>
                        <a:noFill/>
                        <a:ln w="6350">
                          <a:noFill/>
                        </a:ln>
                      </wps:spPr>
                      <wps:txbx>
                        <w:txbxContent>
                          <w:p w14:paraId="4A8ABA6F" w14:textId="273064E4"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10</w:t>
                            </w:r>
                            <w:r>
                              <w:rPr>
                                <w:rFonts w:ascii="Calibri" w:eastAsiaTheme="minorHAnsi" w:hAnsi="Calibri" w:cs="Calibri"/>
                              </w:rPr>
                              <w:t> </w:t>
                            </w:r>
                            <w:r w:rsidRPr="007F744E">
                              <w:rPr>
                                <w:rFonts w:eastAsiaTheme="minorHAnsi"/>
                              </w:rPr>
                              <w:t xml:space="preserve">– </w:t>
                            </w:r>
                            <w:r w:rsidRPr="00CB1573">
                              <w:rPr>
                                <w:rFonts w:eastAsiaTheme="minorHAnsi"/>
                              </w:rPr>
                              <w:t>Report on negotiated procedures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29262" id="Text Box 3258" o:spid="_x0000_s1031" type="#_x0000_t202" style="position:absolute;margin-left:187.1pt;margin-top:255.15pt;width:283.45pt;height:396.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" filled="f" stroked="f" strokeweight=".5pt">
                <v:textbox>
                  <w:txbxContent>
                    <w:p w14:paraId="4A8ABA6F" w14:textId="273064E4"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10</w:t>
                      </w:r>
                      <w:r>
                        <w:rPr>
                          <w:rFonts w:ascii="Calibri" w:eastAsiaTheme="minorHAnsi" w:hAnsi="Calibri" w:cs="Calibri"/>
                        </w:rPr>
                        <w:t> </w:t>
                      </w:r>
                      <w:r w:rsidRPr="007F744E">
                        <w:rPr>
                          <w:rFonts w:eastAsiaTheme="minorHAnsi"/>
                        </w:rPr>
                        <w:t xml:space="preserve">– </w:t>
                      </w:r>
                      <w:r w:rsidRPr="00CB1573">
                        <w:rPr>
                          <w:rFonts w:eastAsiaTheme="minorHAnsi"/>
                        </w:rPr>
                        <w:t>Report on negotiated procedures</w:t>
                      </w:r>
                    </w:p>
                  </w:txbxContent>
                </v:textbox>
                <w10:wrap anchory="page"/>
                <w10:anchorlock/>
              </v:shape>
            </w:pict>
          </mc:Fallback>
        </mc:AlternateContent>
      </w:r>
    </w:p>
    <w:p w14:paraId="57356612" w14:textId="77777777" w:rsidR="00EB70E0" w:rsidRPr="005F4295" w:rsidRDefault="00EB70E0" w:rsidP="00EB70E0">
      <w:pPr>
        <w:rPr>
          <w:noProof/>
          <w:highlight w:val="lightGray"/>
        </w:rPr>
        <w:sectPr w:rsidR="00EB70E0" w:rsidRPr="005F4295" w:rsidSect="00EB70E0">
          <w:headerReference w:type="even" r:id="rId137"/>
          <w:headerReference w:type="default" r:id="rId138"/>
          <w:footerReference w:type="even" r:id="rId139"/>
          <w:footerReference w:type="default" r:id="rId140"/>
          <w:headerReference w:type="first" r:id="rId141"/>
          <w:footerReference w:type="first" r:id="rId142"/>
          <w:endnotePr>
            <w:pos w:val="sectEnd"/>
            <w:numFmt w:val="lowerLetter"/>
          </w:endnotePr>
          <w:type w:val="oddPage"/>
          <w:pgSz w:w="11907" w:h="16839" w:code="9"/>
          <w:pgMar w:top="1418" w:right="1418" w:bottom="1418" w:left="1418" w:header="680" w:footer="567" w:gutter="0"/>
          <w:cols w:space="720"/>
          <w:docGrid w:linePitch="272"/>
        </w:sectPr>
      </w:pPr>
    </w:p>
    <w:p w14:paraId="36999955" w14:textId="77777777" w:rsidR="00EB70E0" w:rsidRPr="005F4295" w:rsidRDefault="00EB70E0" w:rsidP="00EB70E0">
      <w:pPr>
        <w:rPr>
          <w:noProof/>
          <w:highlight w:val="lightGray"/>
        </w:rPr>
      </w:pPr>
    </w:p>
    <w:p w14:paraId="3D9C1A2F" w14:textId="77777777" w:rsidR="00EB70E0" w:rsidRPr="005F4295" w:rsidRDefault="00EB70E0" w:rsidP="00EB70E0">
      <w:pPr>
        <w:rPr>
          <w:noProof/>
          <w:highlight w:val="lightGray"/>
        </w:rPr>
        <w:sectPr w:rsidR="00EB70E0" w:rsidRPr="005F4295" w:rsidSect="00EB70E0">
          <w:headerReference w:type="even" r:id="rId143"/>
          <w:headerReference w:type="default" r:id="rId144"/>
          <w:footerReference w:type="even" r:id="rId145"/>
          <w:footerReference w:type="default" r:id="rId146"/>
          <w:headerReference w:type="first" r:id="rId147"/>
          <w:footerReference w:type="first" r:id="rId148"/>
          <w:endnotePr>
            <w:pos w:val="sectEnd"/>
            <w:numFmt w:val="lowerLetter"/>
          </w:endnotePr>
          <w:pgSz w:w="11907" w:h="16839" w:code="9"/>
          <w:pgMar w:top="1418" w:right="1418" w:bottom="1418" w:left="1418" w:header="680" w:footer="567" w:gutter="0"/>
          <w:cols w:space="720"/>
          <w:docGrid w:linePitch="272"/>
        </w:sectPr>
      </w:pPr>
    </w:p>
    <w:p w14:paraId="28A561C8" w14:textId="55E4BECF" w:rsidR="00EB70E0" w:rsidRPr="005F4295" w:rsidRDefault="00EB70E0" w:rsidP="00F752A4">
      <w:pPr>
        <w:pStyle w:val="HeadingT-AnnexesL1"/>
        <w:spacing w:after="480"/>
        <w:rPr>
          <w:noProof/>
        </w:rPr>
      </w:pPr>
      <w:bookmarkStart w:id="95" w:name="_Toc130821444"/>
      <w:bookmarkStart w:id="96" w:name="_Toc130832091"/>
      <w:bookmarkStart w:id="97" w:name="_Toc166086404"/>
      <w:bookmarkStart w:id="98" w:name="_Toc168585098"/>
      <w:bookmarkStart w:id="99" w:name="_Toc229386280"/>
      <w:bookmarkStart w:id="100" w:name="_Toc231914924"/>
      <w:bookmarkStart w:id="101" w:name="_Toc231480278"/>
      <w:r w:rsidRPr="005F4295">
        <w:rPr>
          <w:noProof/>
        </w:rPr>
        <w:t>Annex</w:t>
      </w:r>
      <w:r w:rsidRPr="005F4295">
        <w:rPr>
          <w:rFonts w:ascii="Calibri" w:hAnsi="Calibri" w:cs="Calibri"/>
          <w:noProof/>
        </w:rPr>
        <w:t> </w:t>
      </w:r>
      <w:r w:rsidRPr="005F4295">
        <w:rPr>
          <w:noProof/>
        </w:rPr>
        <w:t>10</w:t>
      </w:r>
      <w:r w:rsidRPr="005F4295">
        <w:rPr>
          <w:rFonts w:ascii="Calibri" w:hAnsi="Calibri" w:cs="Calibri"/>
          <w:noProof/>
        </w:rPr>
        <w:t> </w:t>
      </w:r>
      <w:r w:rsidRPr="005F4295">
        <w:rPr>
          <w:noProof/>
        </w:rPr>
        <w:t xml:space="preserve">– </w:t>
      </w:r>
      <w:bookmarkEnd w:id="95"/>
      <w:bookmarkEnd w:id="96"/>
      <w:r w:rsidRPr="005F4295">
        <w:rPr>
          <w:noProof/>
        </w:rPr>
        <w:t>Report on negotiated procedures</w:t>
      </w:r>
      <w:bookmarkEnd w:id="97"/>
      <w:bookmarkEnd w:id="98"/>
      <w:bookmarkEnd w:id="99"/>
      <w:bookmarkEnd w:id="100"/>
      <w:bookmarkEnd w:id="101"/>
    </w:p>
    <w:p w14:paraId="44577B52" w14:textId="77777777" w:rsidR="00E11359" w:rsidRPr="005F4295" w:rsidRDefault="00E11359" w:rsidP="00F752A4">
      <w:pPr>
        <w:pStyle w:val="HeadingMan-NumT-AnnexesL2-11"/>
        <w:spacing w:before="360"/>
        <w:rPr>
          <w:rFonts w:ascii="EC Square Sans Pro" w:hAnsi="EC Square Sans Pro"/>
        </w:rPr>
      </w:pPr>
      <w:bookmarkStart w:id="102" w:name="_Toc229386281"/>
      <w:r w:rsidRPr="005F4295">
        <w:rPr>
          <w:rFonts w:ascii="EC Square Sans Pro" w:hAnsi="EC Square Sans Pro"/>
        </w:rPr>
        <w:t>10.1.</w:t>
      </w:r>
      <w:r w:rsidRPr="005F4295">
        <w:rPr>
          <w:rFonts w:ascii="EC Square Sans Pro" w:hAnsi="EC Square Sans Pro"/>
        </w:rPr>
        <w:tab/>
        <w:t>Legal basis</w:t>
      </w:r>
    </w:p>
    <w:p w14:paraId="0A6D8B68" w14:textId="63314313" w:rsidR="006A5DFA" w:rsidRPr="005F4295" w:rsidRDefault="00E11359" w:rsidP="00E11359">
      <w:r w:rsidRPr="005F4295">
        <w:t>This report is established pursuant to Article</w:t>
      </w:r>
      <w:r w:rsidR="00CA7BF4" w:rsidRPr="005F4295">
        <w:rPr>
          <w:rFonts w:ascii="Calibri" w:hAnsi="Calibri" w:cs="Calibri"/>
        </w:rPr>
        <w:t> </w:t>
      </w:r>
      <w:r w:rsidRPr="005F4295">
        <w:t>74(10) of the Financial Regulation</w:t>
      </w:r>
      <w:r w:rsidRPr="005F4295">
        <w:rPr>
          <w:rFonts w:cs="Calibri"/>
        </w:rPr>
        <w:t> </w:t>
      </w:r>
      <w:r w:rsidRPr="005F4295">
        <w:t>(</w:t>
      </w:r>
      <w:r w:rsidRPr="005F4295">
        <w:rPr>
          <w:rStyle w:val="FootnoteReference"/>
        </w:rPr>
        <w:footnoteReference w:id="36"/>
      </w:r>
      <w:r w:rsidRPr="005F4295">
        <w:t>)</w:t>
      </w:r>
      <w:r w:rsidR="00C902FA" w:rsidRPr="005F4295">
        <w:t xml:space="preserve"> and provides an overview of negotiated procedures </w:t>
      </w:r>
      <w:r w:rsidR="00B03EB0" w:rsidRPr="005F4295">
        <w:t>awarded in 2025</w:t>
      </w:r>
      <w:r w:rsidR="00C902FA" w:rsidRPr="005F4295">
        <w:t xml:space="preserve">, including </w:t>
      </w:r>
      <w:r w:rsidR="00B03EB0" w:rsidRPr="005F4295">
        <w:t>an analysis of their use</w:t>
      </w:r>
      <w:r w:rsidR="00C902FA" w:rsidRPr="005F4295">
        <w:t xml:space="preserve"> and any measures adopted where necessary to address significant increases.</w:t>
      </w:r>
    </w:p>
    <w:p w14:paraId="329DF4A9" w14:textId="77777777" w:rsidR="00E11359" w:rsidRPr="005F4295" w:rsidRDefault="00E11359" w:rsidP="00E11359">
      <w:pPr>
        <w:pStyle w:val="HeadingMan-NumT-AnnexesL2-11"/>
        <w:rPr>
          <w:rFonts w:ascii="EC Square Sans Pro" w:hAnsi="EC Square Sans Pro"/>
        </w:rPr>
      </w:pPr>
      <w:r w:rsidRPr="005F4295">
        <w:rPr>
          <w:rFonts w:ascii="EC Square Sans Pro" w:hAnsi="EC Square Sans Pro"/>
        </w:rPr>
        <w:t>10.2.</w:t>
      </w:r>
      <w:r w:rsidRPr="005F4295">
        <w:rPr>
          <w:rFonts w:ascii="EC Square Sans Pro" w:hAnsi="EC Square Sans Pro"/>
        </w:rPr>
        <w:tab/>
        <w:t>Methodology</w:t>
      </w:r>
    </w:p>
    <w:p w14:paraId="70BFC7F1" w14:textId="4876C397" w:rsidR="00E11359" w:rsidRPr="005F4295" w:rsidRDefault="00E11359" w:rsidP="00E11359">
      <w:pPr>
        <w:rPr>
          <w:rFonts w:eastAsia="EC Square Sans Pro"/>
        </w:rPr>
      </w:pPr>
      <w:r w:rsidRPr="005F4295">
        <w:rPr>
          <w:rFonts w:eastAsia="EC Square Sans Pro"/>
        </w:rPr>
        <w:t>A distinction is made between the 48 departments</w:t>
      </w:r>
      <w:r w:rsidRPr="005F4295">
        <w:rPr>
          <w:rFonts w:ascii="Calibri" w:eastAsia="EC Square Sans Pro" w:hAnsi="Calibri" w:cs="Calibri"/>
          <w:sz w:val="22"/>
        </w:rPr>
        <w:t> (</w:t>
      </w:r>
      <w:r w:rsidRPr="005F4295">
        <w:rPr>
          <w:rStyle w:val="FootnoteReference"/>
          <w:rFonts w:eastAsia="EC Square Sans Pro"/>
        </w:rPr>
        <w:footnoteReference w:id="37"/>
      </w:r>
      <w:r w:rsidRPr="005F4295">
        <w:rPr>
          <w:rFonts w:ascii="Calibri" w:eastAsia="EC Square Sans Pro" w:hAnsi="Calibri" w:cs="Calibri"/>
          <w:sz w:val="22"/>
        </w:rPr>
        <w:t>)</w:t>
      </w:r>
      <w:r w:rsidRPr="005F4295">
        <w:rPr>
          <w:rFonts w:eastAsia="EC Square Sans Pro"/>
        </w:rPr>
        <w:t xml:space="preserve"> that normally do not provide external aid and those four departments (DGs International Partnerships, </w:t>
      </w:r>
      <w:r w:rsidRPr="005F4295">
        <w:t>Middle East, North Africa and Gulf, Enlargement and Eastern Neighbourhood</w:t>
      </w:r>
      <w:r w:rsidRPr="005F4295" w:rsidDel="00EA1B83">
        <w:t xml:space="preserve"> </w:t>
      </w:r>
      <w:r w:rsidRPr="005F4295">
        <w:rPr>
          <w:rFonts w:eastAsia="EC Square Sans Pro"/>
        </w:rPr>
        <w:t>and the Service for Foreign Policy Instruments</w:t>
      </w:r>
      <w:r w:rsidRPr="005F4295">
        <w:rPr>
          <w:rFonts w:ascii="Calibri" w:eastAsia="EC Square Sans Pro" w:hAnsi="Calibri" w:cs="Calibri"/>
        </w:rPr>
        <w:t> </w:t>
      </w:r>
      <w:r w:rsidRPr="005F4295">
        <w:rPr>
          <w:rFonts w:eastAsia="EC Square Sans Pro"/>
        </w:rPr>
        <w:t>– ‘external actions’ departments)</w:t>
      </w:r>
      <w:r w:rsidRPr="005F4295" w:rsidDel="00F61D4F">
        <w:rPr>
          <w:rFonts w:eastAsia="EC Square Sans Pro"/>
        </w:rPr>
        <w:t xml:space="preserve"> </w:t>
      </w:r>
      <w:r w:rsidRPr="005F4295">
        <w:rPr>
          <w:rFonts w:eastAsia="EC Square Sans Pro"/>
        </w:rPr>
        <w:t xml:space="preserve">that conclude procurement contracts in the area of external actions or award contracts on their own account but outside </w:t>
      </w:r>
      <w:r w:rsidRPr="005F4295" w:rsidDel="00051B0D">
        <w:rPr>
          <w:rFonts w:eastAsia="EC Square Sans Pro"/>
        </w:rPr>
        <w:t xml:space="preserve">of the </w:t>
      </w:r>
      <w:r w:rsidRPr="005F4295">
        <w:rPr>
          <w:rFonts w:eastAsia="EC Square Sans Pro"/>
        </w:rPr>
        <w:t>E</w:t>
      </w:r>
      <w:r w:rsidR="00041036" w:rsidRPr="005F4295">
        <w:rPr>
          <w:rFonts w:eastAsia="EC Square Sans Pro"/>
        </w:rPr>
        <w:t>U</w:t>
      </w:r>
      <w:r w:rsidRPr="005F4295">
        <w:rPr>
          <w:rFonts w:ascii="Calibri" w:eastAsia="EC Square Sans Pro" w:hAnsi="Calibri" w:cs="Calibri"/>
          <w:sz w:val="22"/>
        </w:rPr>
        <w:t> </w:t>
      </w:r>
      <w:r w:rsidRPr="005F4295">
        <w:rPr>
          <w:rFonts w:eastAsia="EC Square Sans Pro" w:cs="Calibri"/>
        </w:rPr>
        <w:t>(</w:t>
      </w:r>
      <w:r w:rsidRPr="005F4295">
        <w:rPr>
          <w:rStyle w:val="FootnoteReference"/>
          <w:rFonts w:eastAsia="EC Square Sans Pro"/>
        </w:rPr>
        <w:footnoteReference w:id="38"/>
      </w:r>
      <w:r w:rsidRPr="005F4295">
        <w:rPr>
          <w:rFonts w:eastAsia="EC Square Sans Pro" w:cs="Calibri"/>
        </w:rPr>
        <w:t>)</w:t>
      </w:r>
      <w:r w:rsidRPr="005F4295">
        <w:rPr>
          <w:rFonts w:eastAsia="EC Square Sans Pro"/>
        </w:rPr>
        <w:t>.</w:t>
      </w:r>
    </w:p>
    <w:p w14:paraId="08664C82" w14:textId="77777777" w:rsidR="00E11359" w:rsidRPr="005F4295" w:rsidRDefault="00E11359" w:rsidP="00E11359">
      <w:pPr>
        <w:rPr>
          <w:rFonts w:eastAsia="EC Square Sans Pro"/>
        </w:rPr>
      </w:pPr>
      <w:r w:rsidRPr="005F4295">
        <w:rPr>
          <w:rFonts w:eastAsia="EC Square Sans Pro"/>
        </w:rPr>
        <w:t>These four departments have special characteristics as regards data collection (decentralised services, etc.), the total number of contracts concluded and the thresholds to be applied for the recording of negotiated procedures (EUR</w:t>
      </w:r>
      <w:r w:rsidRPr="005F4295">
        <w:rPr>
          <w:rFonts w:ascii="Calibri" w:eastAsia="Calibri" w:hAnsi="Calibri" w:cs="Calibri"/>
        </w:rPr>
        <w:t> </w:t>
      </w:r>
      <w:r w:rsidRPr="005F4295">
        <w:rPr>
          <w:rFonts w:eastAsia="EC Square Sans Pro"/>
        </w:rPr>
        <w:t>20</w:t>
      </w:r>
      <w:r w:rsidRPr="005F4295">
        <w:rPr>
          <w:rFonts w:ascii="Calibri" w:eastAsia="Calibri" w:hAnsi="Calibri" w:cs="Calibri"/>
        </w:rPr>
        <w:t> </w:t>
      </w:r>
      <w:r w:rsidRPr="005F4295">
        <w:rPr>
          <w:rFonts w:eastAsia="EC Square Sans Pro"/>
        </w:rPr>
        <w:t>000), along with the possibility of having recourse to negotiated procedures within the framework of the Rapid Reaction Mechanism (extreme urgency). For these reasons, a separate approach has been used for procurement contracts awarded by these departments, and the number of their negotiated procedures is compared to each other instead of being compared with the other 48 departments.</w:t>
      </w:r>
    </w:p>
    <w:p w14:paraId="35752531" w14:textId="4D072C53" w:rsidR="00EB70E0" w:rsidRPr="005F4295" w:rsidRDefault="00EB70E0" w:rsidP="00EB70E0">
      <w:pPr>
        <w:pStyle w:val="HeadingMan-NumT-AnnexesL2-11"/>
        <w:rPr>
          <w:rFonts w:ascii="EC Square Sans Pro" w:hAnsi="EC Square Sans Pro"/>
          <w:noProof/>
        </w:rPr>
      </w:pPr>
      <w:bookmarkStart w:id="103" w:name="_Toc229386283"/>
      <w:bookmarkEnd w:id="102"/>
      <w:r w:rsidRPr="005F4295">
        <w:rPr>
          <w:rFonts w:ascii="EC Square Sans Pro" w:hAnsi="EC Square Sans Pro"/>
          <w:noProof/>
        </w:rPr>
        <w:t>10</w:t>
      </w:r>
      <w:r w:rsidR="006D4957" w:rsidRPr="005F4295">
        <w:rPr>
          <w:rFonts w:ascii="Calibri" w:hAnsi="Calibri" w:cs="Calibri"/>
          <w:noProof/>
        </w:rPr>
        <w:t>.</w:t>
      </w:r>
      <w:r w:rsidRPr="005F4295">
        <w:rPr>
          <w:rFonts w:ascii="EC Square Sans Pro" w:hAnsi="EC Square Sans Pro"/>
          <w:noProof/>
        </w:rPr>
        <w:t>3</w:t>
      </w:r>
      <w:r w:rsidR="000F5318" w:rsidRPr="005F4295">
        <w:rPr>
          <w:rFonts w:ascii="Calibri" w:hAnsi="Calibri" w:cs="Calibri"/>
          <w:noProof/>
        </w:rPr>
        <w:t> </w:t>
      </w:r>
      <w:r w:rsidRPr="005F4295">
        <w:rPr>
          <w:rFonts w:ascii="EC Square Sans Pro" w:hAnsi="EC Square Sans Pro"/>
          <w:noProof/>
        </w:rPr>
        <w:tab/>
        <w:t>Overall results of negotiated procedures recorded</w:t>
      </w:r>
      <w:bookmarkEnd w:id="103"/>
    </w:p>
    <w:p w14:paraId="290F35B3" w14:textId="77777777" w:rsidR="00305F4E" w:rsidRPr="005F4295" w:rsidRDefault="00305F4E" w:rsidP="00305F4E">
      <w:bookmarkStart w:id="104" w:name="_Toc229386284"/>
      <w:r w:rsidRPr="005F4295">
        <w:t>The number of negotiated procedures, including those conducted by the ‘external actions’ departments, continued to decline, falling to 158 in 2025, compared with 193 in 2024 and 200 in 2023, in line with the downward trend also observed in the overall number of procurement procedures (764 in 2025, 893 in 2024 and 960 in 2023).</w:t>
      </w:r>
    </w:p>
    <w:p w14:paraId="6A208C16" w14:textId="7E14F31D" w:rsidR="00EB70E0" w:rsidRPr="005F4295" w:rsidRDefault="00EB70E0" w:rsidP="003617E5">
      <w:pPr>
        <w:pStyle w:val="HeadingMan-NumT-AnnexesL3-111"/>
        <w:spacing w:before="240"/>
        <w:rPr>
          <w:rFonts w:ascii="EC Square Sans Pro" w:hAnsi="EC Square Sans Pro"/>
          <w:noProof/>
        </w:rPr>
      </w:pPr>
      <w:r w:rsidRPr="005F4295">
        <w:rPr>
          <w:rFonts w:ascii="EC Square Sans Pro" w:hAnsi="EC Square Sans Pro"/>
          <w:noProof/>
        </w:rPr>
        <w:t>10</w:t>
      </w:r>
      <w:r w:rsidR="006D4957" w:rsidRPr="005F4295">
        <w:rPr>
          <w:rFonts w:ascii="Calibri" w:hAnsi="Calibri" w:cs="Calibri"/>
          <w:noProof/>
        </w:rPr>
        <w:t>.</w:t>
      </w:r>
      <w:r w:rsidRPr="005F4295">
        <w:rPr>
          <w:rFonts w:ascii="EC Square Sans Pro" w:hAnsi="EC Square Sans Pro"/>
          <w:noProof/>
        </w:rPr>
        <w:t>3</w:t>
      </w:r>
      <w:r w:rsidR="006D4957" w:rsidRPr="005F4295">
        <w:rPr>
          <w:rFonts w:ascii="Calibri" w:hAnsi="Calibri" w:cs="Calibri"/>
          <w:noProof/>
        </w:rPr>
        <w:t>.</w:t>
      </w:r>
      <w:r w:rsidRPr="005F4295">
        <w:rPr>
          <w:rFonts w:ascii="EC Square Sans Pro" w:hAnsi="EC Square Sans Pro"/>
          <w:noProof/>
        </w:rPr>
        <w:t>1</w:t>
      </w:r>
      <w:r w:rsidR="000F5318" w:rsidRPr="005F4295">
        <w:rPr>
          <w:rFonts w:ascii="Calibri" w:hAnsi="Calibri" w:cs="Calibri"/>
          <w:noProof/>
        </w:rPr>
        <w:t> </w:t>
      </w:r>
      <w:r w:rsidRPr="005F4295">
        <w:rPr>
          <w:rFonts w:ascii="EC Square Sans Pro" w:hAnsi="EC Square Sans Pro"/>
          <w:noProof/>
        </w:rPr>
        <w:tab/>
        <w:t>The 48 departments</w:t>
      </w:r>
      <w:r w:rsidR="00E912B5" w:rsidRPr="005F4295">
        <w:rPr>
          <w:rFonts w:ascii="Calibri" w:hAnsi="Calibri" w:cs="Calibri"/>
          <w:noProof/>
        </w:rPr>
        <w:t>,</w:t>
      </w:r>
      <w:r w:rsidRPr="005F4295">
        <w:rPr>
          <w:rFonts w:ascii="EC Square Sans Pro" w:hAnsi="EC Square Sans Pro"/>
          <w:noProof/>
        </w:rPr>
        <w:t xml:space="preserve"> excluding ‘external </w:t>
      </w:r>
      <w:bookmarkEnd w:id="104"/>
      <w:r w:rsidR="00FD4F8A" w:rsidRPr="005F4295">
        <w:rPr>
          <w:rFonts w:ascii="EC Square Sans Pro" w:hAnsi="EC Square Sans Pro"/>
          <w:noProof/>
        </w:rPr>
        <w:t>actions’</w:t>
      </w:r>
    </w:p>
    <w:tbl>
      <w:tblPr>
        <w:tblStyle w:val="BodyTable"/>
        <w:tblW w:w="5000" w:type="pct"/>
        <w:tblLook w:val="04A0" w:firstRow="1" w:lastRow="0" w:firstColumn="1" w:lastColumn="0" w:noHBand="0" w:noVBand="1"/>
      </w:tblPr>
      <w:tblGrid>
        <w:gridCol w:w="1788"/>
        <w:gridCol w:w="1223"/>
        <w:gridCol w:w="1106"/>
        <w:gridCol w:w="1220"/>
        <w:gridCol w:w="1183"/>
        <w:gridCol w:w="1220"/>
        <w:gridCol w:w="1301"/>
      </w:tblGrid>
      <w:tr w:rsidR="00221A92" w:rsidRPr="005F4295" w14:paraId="0E230693" w14:textId="77777777" w:rsidTr="00766132">
        <w:trPr>
          <w:cnfStyle w:val="100000000000" w:firstRow="1" w:lastRow="0" w:firstColumn="0" w:lastColumn="0" w:oddVBand="0" w:evenVBand="0" w:oddHBand="0" w:evenHBand="0" w:firstRowFirstColumn="0" w:firstRowLastColumn="0" w:lastRowFirstColumn="0" w:lastRowLastColumn="0"/>
          <w:trHeight w:val="314"/>
          <w:tblHeader/>
        </w:trPr>
        <w:tc>
          <w:tcPr>
            <w:cnfStyle w:val="001000000000" w:firstRow="0" w:lastRow="0" w:firstColumn="1" w:lastColumn="0" w:oddVBand="0" w:evenVBand="0" w:oddHBand="0" w:evenHBand="0" w:firstRowFirstColumn="0" w:firstRowLastColumn="0" w:lastRowFirstColumn="0" w:lastRowLastColumn="0"/>
            <w:tcW w:w="1757" w:type="dxa"/>
            <w:vMerge w:val="restart"/>
          </w:tcPr>
          <w:p w14:paraId="27990AD6" w14:textId="77777777" w:rsidR="00221A92" w:rsidRPr="005F4295" w:rsidRDefault="00221A92" w:rsidP="00687233">
            <w:pPr>
              <w:suppressAutoHyphens w:val="0"/>
              <w:spacing w:before="0"/>
              <w:rPr>
                <w:lang w:val="en-GB"/>
              </w:rPr>
            </w:pPr>
          </w:p>
        </w:tc>
        <w:tc>
          <w:tcPr>
            <w:tcW w:w="2287" w:type="dxa"/>
            <w:gridSpan w:val="2"/>
          </w:tcPr>
          <w:p w14:paraId="2C2C9DF8" w14:textId="21BD56C7" w:rsidR="00221A92" w:rsidRPr="005F4295" w:rsidRDefault="00221A92" w:rsidP="00687233">
            <w:pPr>
              <w:suppressAutoHyphens w:val="0"/>
              <w:spacing w:before="0"/>
              <w:cnfStyle w:val="100000000000" w:firstRow="1" w:lastRow="0" w:firstColumn="0" w:lastColumn="0" w:oddVBand="0" w:evenVBand="0" w:oddHBand="0" w:evenHBand="0" w:firstRowFirstColumn="0" w:firstRowLastColumn="0" w:lastRowFirstColumn="0" w:lastRowLastColumn="0"/>
              <w:rPr>
                <w:lang w:val="en-GB"/>
              </w:rPr>
            </w:pPr>
            <w:r w:rsidRPr="005F4295">
              <w:rPr>
                <w:lang w:val="en-GB"/>
              </w:rPr>
              <w:t>202</w:t>
            </w:r>
            <w:r w:rsidR="008C4DEF">
              <w:rPr>
                <w:lang w:val="en-GB"/>
              </w:rPr>
              <w:t>5</w:t>
            </w:r>
          </w:p>
        </w:tc>
        <w:tc>
          <w:tcPr>
            <w:tcW w:w="2360" w:type="dxa"/>
            <w:gridSpan w:val="2"/>
          </w:tcPr>
          <w:p w14:paraId="2A08E6A5" w14:textId="77B6CB09" w:rsidR="00221A92" w:rsidRPr="005F4295" w:rsidRDefault="00221A92" w:rsidP="00687233">
            <w:pPr>
              <w:suppressAutoHyphens w:val="0"/>
              <w:spacing w:before="0"/>
              <w:cnfStyle w:val="100000000000" w:firstRow="1" w:lastRow="0" w:firstColumn="0" w:lastColumn="0" w:oddVBand="0" w:evenVBand="0" w:oddHBand="0" w:evenHBand="0" w:firstRowFirstColumn="0" w:firstRowLastColumn="0" w:lastRowFirstColumn="0" w:lastRowLastColumn="0"/>
              <w:rPr>
                <w:lang w:val="en-GB"/>
              </w:rPr>
            </w:pPr>
            <w:r w:rsidRPr="005F4295">
              <w:rPr>
                <w:lang w:val="en-GB"/>
              </w:rPr>
              <w:t>202</w:t>
            </w:r>
            <w:r w:rsidR="008C4DEF">
              <w:rPr>
                <w:lang w:val="en-GB"/>
              </w:rPr>
              <w:t>4</w:t>
            </w:r>
          </w:p>
        </w:tc>
        <w:tc>
          <w:tcPr>
            <w:tcW w:w="2476" w:type="dxa"/>
            <w:gridSpan w:val="2"/>
          </w:tcPr>
          <w:p w14:paraId="3706777F" w14:textId="65B01ABA" w:rsidR="00221A92" w:rsidRPr="005F4295" w:rsidRDefault="00221A92" w:rsidP="00687233">
            <w:pPr>
              <w:suppressAutoHyphens w:val="0"/>
              <w:spacing w:before="0"/>
              <w:cnfStyle w:val="100000000000" w:firstRow="1" w:lastRow="0" w:firstColumn="0" w:lastColumn="0" w:oddVBand="0" w:evenVBand="0" w:oddHBand="0" w:evenHBand="0" w:firstRowFirstColumn="0" w:firstRowLastColumn="0" w:lastRowFirstColumn="0" w:lastRowLastColumn="0"/>
              <w:rPr>
                <w:lang w:val="en-GB"/>
              </w:rPr>
            </w:pPr>
            <w:r w:rsidRPr="005F4295">
              <w:rPr>
                <w:lang w:val="en-GB"/>
              </w:rPr>
              <w:t>Change</w:t>
            </w:r>
          </w:p>
        </w:tc>
      </w:tr>
      <w:tr w:rsidR="00766132" w:rsidRPr="005F4295" w14:paraId="57EB0254" w14:textId="77777777" w:rsidTr="00766132">
        <w:trPr>
          <w:cnfStyle w:val="100000000000" w:firstRow="1" w:lastRow="0" w:firstColumn="0" w:lastColumn="0" w:oddVBand="0" w:evenVBand="0" w:oddHBand="0" w:evenHBand="0" w:firstRowFirstColumn="0" w:firstRowLastColumn="0" w:lastRowFirstColumn="0" w:lastRowLastColumn="0"/>
          <w:trHeight w:val="314"/>
          <w:tblHeader/>
        </w:trPr>
        <w:tc>
          <w:tcPr>
            <w:cnfStyle w:val="001000000000" w:firstRow="0" w:lastRow="0" w:firstColumn="1" w:lastColumn="0" w:oddVBand="0" w:evenVBand="0" w:oddHBand="0" w:evenHBand="0" w:firstRowFirstColumn="0" w:firstRowLastColumn="0" w:lastRowFirstColumn="0" w:lastRowLastColumn="0"/>
            <w:tcW w:w="1757" w:type="dxa"/>
            <w:vMerge/>
          </w:tcPr>
          <w:p w14:paraId="4035834E" w14:textId="77777777" w:rsidR="00221A92" w:rsidRPr="005F4295" w:rsidRDefault="00221A92" w:rsidP="00687233">
            <w:pPr>
              <w:suppressAutoHyphens w:val="0"/>
              <w:spacing w:before="0"/>
              <w:rPr>
                <w:lang w:val="en-GB"/>
              </w:rPr>
            </w:pPr>
          </w:p>
        </w:tc>
        <w:tc>
          <w:tcPr>
            <w:tcW w:w="1201" w:type="dxa"/>
          </w:tcPr>
          <w:p w14:paraId="5FFB1B1B" w14:textId="77777777" w:rsidR="00221A92" w:rsidRPr="005F4295" w:rsidRDefault="00221A92" w:rsidP="00687233">
            <w:pPr>
              <w:suppressAutoHyphens w:val="0"/>
              <w:spacing w:before="0"/>
              <w:cnfStyle w:val="100000000000" w:firstRow="1" w:lastRow="0" w:firstColumn="0" w:lastColumn="0" w:oddVBand="0" w:evenVBand="0" w:oddHBand="0" w:evenHBand="0" w:firstRowFirstColumn="0" w:firstRowLastColumn="0" w:lastRowFirstColumn="0" w:lastRowLastColumn="0"/>
              <w:rPr>
                <w:lang w:val="en-GB"/>
              </w:rPr>
            </w:pPr>
            <w:r w:rsidRPr="005F4295">
              <w:rPr>
                <w:rFonts w:cs="Times New Roman"/>
                <w:lang w:val="en-GB"/>
              </w:rPr>
              <w:t>Number</w:t>
            </w:r>
          </w:p>
        </w:tc>
        <w:tc>
          <w:tcPr>
            <w:tcW w:w="1086" w:type="dxa"/>
          </w:tcPr>
          <w:p w14:paraId="3F4BB77F" w14:textId="77777777" w:rsidR="00221A92" w:rsidRPr="005F4295" w:rsidRDefault="00221A92" w:rsidP="00687233">
            <w:pPr>
              <w:suppressAutoHyphens w:val="0"/>
              <w:spacing w:before="0"/>
              <w:cnfStyle w:val="100000000000" w:firstRow="1" w:lastRow="0" w:firstColumn="0" w:lastColumn="0" w:oddVBand="0" w:evenVBand="0" w:oddHBand="0" w:evenHBand="0" w:firstRowFirstColumn="0" w:firstRowLastColumn="0" w:lastRowFirstColumn="0" w:lastRowLastColumn="0"/>
              <w:rPr>
                <w:lang w:val="en-GB"/>
              </w:rPr>
            </w:pPr>
            <w:r w:rsidRPr="005F4295">
              <w:rPr>
                <w:rFonts w:cs="Times New Roman"/>
                <w:lang w:val="en-GB"/>
              </w:rPr>
              <w:t>EUR billion</w:t>
            </w:r>
          </w:p>
        </w:tc>
        <w:tc>
          <w:tcPr>
            <w:tcW w:w="1198" w:type="dxa"/>
          </w:tcPr>
          <w:p w14:paraId="56CB5110" w14:textId="77777777" w:rsidR="00221A92" w:rsidRPr="005F4295" w:rsidRDefault="00221A92" w:rsidP="00687233">
            <w:pPr>
              <w:suppressAutoHyphens w:val="0"/>
              <w:spacing w:before="0"/>
              <w:cnfStyle w:val="100000000000" w:firstRow="1" w:lastRow="0" w:firstColumn="0" w:lastColumn="0" w:oddVBand="0" w:evenVBand="0" w:oddHBand="0" w:evenHBand="0" w:firstRowFirstColumn="0" w:firstRowLastColumn="0" w:lastRowFirstColumn="0" w:lastRowLastColumn="0"/>
              <w:rPr>
                <w:lang w:val="en-GB"/>
              </w:rPr>
            </w:pPr>
            <w:r w:rsidRPr="005F4295">
              <w:rPr>
                <w:rFonts w:cs="Times New Roman"/>
                <w:lang w:val="en-GB"/>
              </w:rPr>
              <w:t>Number</w:t>
            </w:r>
          </w:p>
        </w:tc>
        <w:tc>
          <w:tcPr>
            <w:tcW w:w="1162" w:type="dxa"/>
          </w:tcPr>
          <w:p w14:paraId="50F1A90E" w14:textId="77777777" w:rsidR="00221A92" w:rsidRPr="005F4295" w:rsidRDefault="00221A92" w:rsidP="00687233">
            <w:pPr>
              <w:suppressAutoHyphens w:val="0"/>
              <w:spacing w:before="0"/>
              <w:cnfStyle w:val="100000000000" w:firstRow="1" w:lastRow="0" w:firstColumn="0" w:lastColumn="0" w:oddVBand="0" w:evenVBand="0" w:oddHBand="0" w:evenHBand="0" w:firstRowFirstColumn="0" w:firstRowLastColumn="0" w:lastRowFirstColumn="0" w:lastRowLastColumn="0"/>
              <w:rPr>
                <w:lang w:val="en-GB"/>
              </w:rPr>
            </w:pPr>
            <w:r w:rsidRPr="005F4295">
              <w:rPr>
                <w:rFonts w:cs="Times New Roman"/>
                <w:lang w:val="en-GB"/>
              </w:rPr>
              <w:t>EUR billion</w:t>
            </w:r>
          </w:p>
        </w:tc>
        <w:tc>
          <w:tcPr>
            <w:tcW w:w="1198" w:type="dxa"/>
          </w:tcPr>
          <w:p w14:paraId="61EF5A8C" w14:textId="77777777" w:rsidR="00221A92" w:rsidRPr="005F4295" w:rsidRDefault="00221A92" w:rsidP="00687233">
            <w:pPr>
              <w:suppressAutoHyphens w:val="0"/>
              <w:spacing w:before="0"/>
              <w:cnfStyle w:val="100000000000" w:firstRow="1" w:lastRow="0" w:firstColumn="0" w:lastColumn="0" w:oddVBand="0" w:evenVBand="0" w:oddHBand="0" w:evenHBand="0" w:firstRowFirstColumn="0" w:firstRowLastColumn="0" w:lastRowFirstColumn="0" w:lastRowLastColumn="0"/>
              <w:rPr>
                <w:lang w:val="en-GB"/>
              </w:rPr>
            </w:pPr>
            <w:r w:rsidRPr="005F4295">
              <w:rPr>
                <w:rFonts w:cs="Times New Roman"/>
                <w:lang w:val="en-GB"/>
              </w:rPr>
              <w:t>Number</w:t>
            </w:r>
          </w:p>
        </w:tc>
        <w:tc>
          <w:tcPr>
            <w:tcW w:w="1278" w:type="dxa"/>
          </w:tcPr>
          <w:p w14:paraId="36718C3E" w14:textId="77777777" w:rsidR="00221A92" w:rsidRPr="005F4295" w:rsidRDefault="00221A92" w:rsidP="00687233">
            <w:pPr>
              <w:suppressAutoHyphens w:val="0"/>
              <w:spacing w:before="0"/>
              <w:cnfStyle w:val="100000000000" w:firstRow="1" w:lastRow="0" w:firstColumn="0" w:lastColumn="0" w:oddVBand="0" w:evenVBand="0" w:oddHBand="0" w:evenHBand="0" w:firstRowFirstColumn="0" w:firstRowLastColumn="0" w:lastRowFirstColumn="0" w:lastRowLastColumn="0"/>
              <w:rPr>
                <w:lang w:val="en-GB"/>
              </w:rPr>
            </w:pPr>
            <w:r w:rsidRPr="005F4295">
              <w:rPr>
                <w:rFonts w:cs="Times New Roman"/>
                <w:lang w:val="en-GB"/>
              </w:rPr>
              <w:t>EUR billion</w:t>
            </w:r>
          </w:p>
        </w:tc>
      </w:tr>
      <w:tr w:rsidR="00311FBF" w:rsidRPr="005F4295" w14:paraId="1F30B61F" w14:textId="77777777" w:rsidTr="00766132">
        <w:trPr>
          <w:cnfStyle w:val="000000100000" w:firstRow="0" w:lastRow="0" w:firstColumn="0" w:lastColumn="0" w:oddVBand="0" w:evenVBand="0" w:oddHBand="1" w:evenHBand="0" w:firstRowFirstColumn="0" w:firstRowLastColumn="0" w:lastRowFirstColumn="0" w:lastRowLastColumn="0"/>
          <w:trHeight w:val="81"/>
        </w:trPr>
        <w:tc>
          <w:tcPr>
            <w:cnfStyle w:val="001000000000" w:firstRow="0" w:lastRow="0" w:firstColumn="1" w:lastColumn="0" w:oddVBand="0" w:evenVBand="0" w:oddHBand="0" w:evenHBand="0" w:firstRowFirstColumn="0" w:firstRowLastColumn="0" w:lastRowFirstColumn="0" w:lastRowLastColumn="0"/>
            <w:tcW w:w="1757" w:type="dxa"/>
            <w:hideMark/>
          </w:tcPr>
          <w:p w14:paraId="44511253" w14:textId="77777777" w:rsidR="00687233" w:rsidRPr="005F4295" w:rsidRDefault="00687233" w:rsidP="00687233">
            <w:pPr>
              <w:suppressAutoHyphens w:val="0"/>
              <w:spacing w:before="0" w:after="240"/>
              <w:rPr>
                <w:lang w:val="en-GB"/>
              </w:rPr>
            </w:pPr>
            <w:r w:rsidRPr="005F4295">
              <w:rPr>
                <w:rFonts w:cs="Times New Roman"/>
                <w:lang w:val="en-GB"/>
              </w:rPr>
              <w:t>Negotiated procedures</w:t>
            </w:r>
          </w:p>
        </w:tc>
        <w:tc>
          <w:tcPr>
            <w:tcW w:w="1201" w:type="dxa"/>
            <w:hideMark/>
          </w:tcPr>
          <w:p w14:paraId="7538E419" w14:textId="77777777" w:rsidR="00687233" w:rsidRPr="005F4295" w:rsidRDefault="00687233" w:rsidP="000062A1">
            <w:pPr>
              <w:suppressAutoHyphens w:val="0"/>
              <w:spacing w:before="0"/>
              <w:jc w:val="center"/>
              <w:cnfStyle w:val="000000100000" w:firstRow="0" w:lastRow="0" w:firstColumn="0" w:lastColumn="0" w:oddVBand="0" w:evenVBand="0" w:oddHBand="1" w:evenHBand="0" w:firstRowFirstColumn="0" w:firstRowLastColumn="0" w:lastRowFirstColumn="0" w:lastRowLastColumn="0"/>
              <w:rPr>
                <w:lang w:val="en-GB"/>
              </w:rPr>
            </w:pPr>
            <w:r w:rsidRPr="005F4295">
              <w:rPr>
                <w:rFonts w:cs="Times New Roman"/>
                <w:lang w:val="en-GB"/>
              </w:rPr>
              <w:t>80</w:t>
            </w:r>
          </w:p>
        </w:tc>
        <w:tc>
          <w:tcPr>
            <w:tcW w:w="1086" w:type="dxa"/>
          </w:tcPr>
          <w:p w14:paraId="22938D24" w14:textId="77777777" w:rsidR="00687233" w:rsidRPr="005F4295" w:rsidRDefault="00687233" w:rsidP="000062A1">
            <w:pPr>
              <w:suppressAutoHyphens w:val="0"/>
              <w:spacing w:before="0" w:after="240"/>
              <w:jc w:val="center"/>
              <w:cnfStyle w:val="000000100000" w:firstRow="0" w:lastRow="0" w:firstColumn="0" w:lastColumn="0" w:oddVBand="0" w:evenVBand="0" w:oddHBand="1" w:evenHBand="0" w:firstRowFirstColumn="0" w:firstRowLastColumn="0" w:lastRowFirstColumn="0" w:lastRowLastColumn="0"/>
              <w:rPr>
                <w:lang w:val="en-GB"/>
              </w:rPr>
            </w:pPr>
            <w:r w:rsidRPr="005F4295">
              <w:rPr>
                <w:rFonts w:cs="Times New Roman"/>
                <w:lang w:val="en-GB"/>
              </w:rPr>
              <w:t>1.88</w:t>
            </w:r>
          </w:p>
        </w:tc>
        <w:tc>
          <w:tcPr>
            <w:tcW w:w="1198" w:type="dxa"/>
            <w:hideMark/>
          </w:tcPr>
          <w:p w14:paraId="119A73E0" w14:textId="77777777" w:rsidR="00687233" w:rsidRPr="005F4295" w:rsidRDefault="00687233" w:rsidP="000062A1">
            <w:pPr>
              <w:suppressAutoHyphens w:val="0"/>
              <w:spacing w:before="0"/>
              <w:jc w:val="center"/>
              <w:cnfStyle w:val="000000100000" w:firstRow="0" w:lastRow="0" w:firstColumn="0" w:lastColumn="0" w:oddVBand="0" w:evenVBand="0" w:oddHBand="1" w:evenHBand="0" w:firstRowFirstColumn="0" w:firstRowLastColumn="0" w:lastRowFirstColumn="0" w:lastRowLastColumn="0"/>
              <w:rPr>
                <w:lang w:val="en-GB"/>
              </w:rPr>
            </w:pPr>
            <w:r w:rsidRPr="005F4295">
              <w:rPr>
                <w:rFonts w:cs="Times New Roman"/>
                <w:lang w:val="en-GB"/>
              </w:rPr>
              <w:t>85</w:t>
            </w:r>
          </w:p>
        </w:tc>
        <w:tc>
          <w:tcPr>
            <w:tcW w:w="1162" w:type="dxa"/>
          </w:tcPr>
          <w:p w14:paraId="6D5C0B06" w14:textId="77777777" w:rsidR="00687233" w:rsidRPr="005F4295" w:rsidRDefault="00687233" w:rsidP="000062A1">
            <w:pPr>
              <w:suppressAutoHyphens w:val="0"/>
              <w:spacing w:before="0" w:after="240"/>
              <w:jc w:val="center"/>
              <w:cnfStyle w:val="000000100000" w:firstRow="0" w:lastRow="0" w:firstColumn="0" w:lastColumn="0" w:oddVBand="0" w:evenVBand="0" w:oddHBand="1" w:evenHBand="0" w:firstRowFirstColumn="0" w:firstRowLastColumn="0" w:lastRowFirstColumn="0" w:lastRowLastColumn="0"/>
              <w:rPr>
                <w:lang w:val="en-GB"/>
              </w:rPr>
            </w:pPr>
            <w:r w:rsidRPr="005F4295">
              <w:rPr>
                <w:rFonts w:cs="Times New Roman"/>
                <w:lang w:val="en-GB"/>
              </w:rPr>
              <w:t>0.458</w:t>
            </w:r>
          </w:p>
        </w:tc>
        <w:tc>
          <w:tcPr>
            <w:tcW w:w="1198" w:type="dxa"/>
            <w:hideMark/>
          </w:tcPr>
          <w:p w14:paraId="7F1FDD49" w14:textId="77777777" w:rsidR="00687233" w:rsidRPr="005F4295" w:rsidRDefault="00687233" w:rsidP="000062A1">
            <w:pPr>
              <w:suppressAutoHyphens w:val="0"/>
              <w:spacing w:before="0"/>
              <w:jc w:val="center"/>
              <w:cnfStyle w:val="000000100000" w:firstRow="0" w:lastRow="0" w:firstColumn="0" w:lastColumn="0" w:oddVBand="0" w:evenVBand="0" w:oddHBand="1" w:evenHBand="0" w:firstRowFirstColumn="0" w:firstRowLastColumn="0" w:lastRowFirstColumn="0" w:lastRowLastColumn="0"/>
              <w:rPr>
                <w:lang w:val="en-GB"/>
              </w:rPr>
            </w:pPr>
            <w:r w:rsidRPr="005F4295">
              <w:rPr>
                <w:rFonts w:cs="Times New Roman"/>
                <w:lang w:val="en-GB"/>
              </w:rPr>
              <w:t>–</w:t>
            </w:r>
            <w:r w:rsidRPr="005F4295">
              <w:rPr>
                <w:rFonts w:ascii="Calibri" w:hAnsi="Calibri" w:cs="Calibri"/>
                <w:lang w:val="en-GB"/>
              </w:rPr>
              <w:t> </w:t>
            </w:r>
            <w:r w:rsidRPr="005F4295">
              <w:rPr>
                <w:rFonts w:cs="Times New Roman"/>
                <w:lang w:val="en-GB"/>
              </w:rPr>
              <w:t>5</w:t>
            </w:r>
          </w:p>
        </w:tc>
        <w:tc>
          <w:tcPr>
            <w:tcW w:w="1278" w:type="dxa"/>
          </w:tcPr>
          <w:p w14:paraId="04794052" w14:textId="77777777" w:rsidR="00687233" w:rsidRPr="005F4295" w:rsidRDefault="00687233" w:rsidP="000062A1">
            <w:pPr>
              <w:suppressAutoHyphens w:val="0"/>
              <w:spacing w:before="0" w:after="240"/>
              <w:jc w:val="center"/>
              <w:cnfStyle w:val="000000100000" w:firstRow="0" w:lastRow="0" w:firstColumn="0" w:lastColumn="0" w:oddVBand="0" w:evenVBand="0" w:oddHBand="1" w:evenHBand="0" w:firstRowFirstColumn="0" w:firstRowLastColumn="0" w:lastRowFirstColumn="0" w:lastRowLastColumn="0"/>
              <w:rPr>
                <w:lang w:val="en-GB"/>
              </w:rPr>
            </w:pPr>
            <w:r w:rsidRPr="005F4295">
              <w:rPr>
                <w:rFonts w:cs="Times New Roman"/>
                <w:lang w:val="en-GB"/>
              </w:rPr>
              <w:t>+</w:t>
            </w:r>
            <w:r w:rsidRPr="005F4295">
              <w:rPr>
                <w:rFonts w:ascii="Calibri" w:hAnsi="Calibri" w:cs="Calibri"/>
                <w:lang w:val="en-GB"/>
              </w:rPr>
              <w:t> </w:t>
            </w:r>
            <w:r w:rsidRPr="005F4295">
              <w:rPr>
                <w:rFonts w:cs="Times New Roman"/>
                <w:lang w:val="en-GB"/>
              </w:rPr>
              <w:t>1.422</w:t>
            </w:r>
          </w:p>
        </w:tc>
      </w:tr>
      <w:tr w:rsidR="00766132" w:rsidRPr="005F4295" w14:paraId="093AA5EC" w14:textId="77777777" w:rsidTr="00766132">
        <w:trPr>
          <w:cnfStyle w:val="000000010000" w:firstRow="0" w:lastRow="0" w:firstColumn="0" w:lastColumn="0" w:oddVBand="0" w:evenVBand="0" w:oddHBand="0" w:evenHBand="1" w:firstRowFirstColumn="0" w:firstRowLastColumn="0" w:lastRowFirstColumn="0" w:lastRowLastColumn="0"/>
          <w:trHeight w:val="81"/>
        </w:trPr>
        <w:tc>
          <w:tcPr>
            <w:cnfStyle w:val="001000000000" w:firstRow="0" w:lastRow="0" w:firstColumn="1" w:lastColumn="0" w:oddVBand="0" w:evenVBand="0" w:oddHBand="0" w:evenHBand="0" w:firstRowFirstColumn="0" w:firstRowLastColumn="0" w:lastRowFirstColumn="0" w:lastRowLastColumn="0"/>
            <w:tcW w:w="1757" w:type="dxa"/>
          </w:tcPr>
          <w:p w14:paraId="6EDEBA60" w14:textId="77777777" w:rsidR="00687233" w:rsidRPr="005F4295" w:rsidRDefault="00687233" w:rsidP="00687233">
            <w:pPr>
              <w:suppressAutoHyphens w:val="0"/>
              <w:spacing w:before="0"/>
              <w:rPr>
                <w:lang w:val="en-GB"/>
              </w:rPr>
            </w:pPr>
            <w:r w:rsidRPr="005F4295">
              <w:rPr>
                <w:rFonts w:cs="Times New Roman"/>
                <w:lang w:val="en-GB"/>
              </w:rPr>
              <w:t>Total procurement procedures</w:t>
            </w:r>
          </w:p>
        </w:tc>
        <w:tc>
          <w:tcPr>
            <w:tcW w:w="1201" w:type="dxa"/>
          </w:tcPr>
          <w:p w14:paraId="71A0DFF2" w14:textId="77777777" w:rsidR="00687233" w:rsidRPr="005F4295" w:rsidRDefault="00687233" w:rsidP="000062A1">
            <w:pPr>
              <w:suppressAutoHyphens w:val="0"/>
              <w:spacing w:before="0"/>
              <w:jc w:val="center"/>
              <w:cnfStyle w:val="000000010000" w:firstRow="0" w:lastRow="0" w:firstColumn="0" w:lastColumn="0" w:oddVBand="0" w:evenVBand="0" w:oddHBand="0" w:evenHBand="1" w:firstRowFirstColumn="0" w:firstRowLastColumn="0" w:lastRowFirstColumn="0" w:lastRowLastColumn="0"/>
              <w:rPr>
                <w:lang w:val="en-GB"/>
              </w:rPr>
            </w:pPr>
            <w:r w:rsidRPr="005F4295">
              <w:rPr>
                <w:rFonts w:cs="Times New Roman"/>
                <w:lang w:val="en-GB"/>
              </w:rPr>
              <w:t>523</w:t>
            </w:r>
          </w:p>
        </w:tc>
        <w:tc>
          <w:tcPr>
            <w:tcW w:w="1086" w:type="dxa"/>
          </w:tcPr>
          <w:p w14:paraId="43BC367B" w14:textId="77777777" w:rsidR="00687233" w:rsidRPr="005F4295" w:rsidRDefault="00687233" w:rsidP="000062A1">
            <w:pPr>
              <w:suppressAutoHyphens w:val="0"/>
              <w:spacing w:before="0"/>
              <w:jc w:val="center"/>
              <w:cnfStyle w:val="000000010000" w:firstRow="0" w:lastRow="0" w:firstColumn="0" w:lastColumn="0" w:oddVBand="0" w:evenVBand="0" w:oddHBand="0" w:evenHBand="1" w:firstRowFirstColumn="0" w:firstRowLastColumn="0" w:lastRowFirstColumn="0" w:lastRowLastColumn="0"/>
              <w:rPr>
                <w:lang w:val="en-GB"/>
              </w:rPr>
            </w:pPr>
            <w:r w:rsidRPr="005F4295">
              <w:rPr>
                <w:rFonts w:cs="Times New Roman"/>
                <w:lang w:val="en-GB"/>
              </w:rPr>
              <w:t>6.7</w:t>
            </w:r>
          </w:p>
        </w:tc>
        <w:tc>
          <w:tcPr>
            <w:tcW w:w="1198" w:type="dxa"/>
          </w:tcPr>
          <w:p w14:paraId="2682F85C" w14:textId="77777777" w:rsidR="00687233" w:rsidRPr="005F4295" w:rsidRDefault="00687233" w:rsidP="000062A1">
            <w:pPr>
              <w:suppressAutoHyphens w:val="0"/>
              <w:spacing w:before="0"/>
              <w:jc w:val="center"/>
              <w:cnfStyle w:val="000000010000" w:firstRow="0" w:lastRow="0" w:firstColumn="0" w:lastColumn="0" w:oddVBand="0" w:evenVBand="0" w:oddHBand="0" w:evenHBand="1" w:firstRowFirstColumn="0" w:firstRowLastColumn="0" w:lastRowFirstColumn="0" w:lastRowLastColumn="0"/>
              <w:rPr>
                <w:lang w:val="en-GB"/>
              </w:rPr>
            </w:pPr>
            <w:r w:rsidRPr="005F4295">
              <w:rPr>
                <w:rFonts w:cs="Times New Roman"/>
                <w:lang w:val="en-GB"/>
              </w:rPr>
              <w:t>613</w:t>
            </w:r>
          </w:p>
        </w:tc>
        <w:tc>
          <w:tcPr>
            <w:tcW w:w="1162" w:type="dxa"/>
          </w:tcPr>
          <w:p w14:paraId="097E9593" w14:textId="77777777" w:rsidR="00687233" w:rsidRPr="005F4295" w:rsidRDefault="00687233" w:rsidP="000062A1">
            <w:pPr>
              <w:suppressAutoHyphens w:val="0"/>
              <w:spacing w:before="0"/>
              <w:jc w:val="center"/>
              <w:cnfStyle w:val="000000010000" w:firstRow="0" w:lastRow="0" w:firstColumn="0" w:lastColumn="0" w:oddVBand="0" w:evenVBand="0" w:oddHBand="0" w:evenHBand="1" w:firstRowFirstColumn="0" w:firstRowLastColumn="0" w:lastRowFirstColumn="0" w:lastRowLastColumn="0"/>
              <w:rPr>
                <w:lang w:val="en-GB"/>
              </w:rPr>
            </w:pPr>
            <w:r w:rsidRPr="005F4295">
              <w:rPr>
                <w:rFonts w:cs="Times New Roman"/>
                <w:lang w:val="en-GB"/>
              </w:rPr>
              <w:t>6.4</w:t>
            </w:r>
          </w:p>
        </w:tc>
        <w:tc>
          <w:tcPr>
            <w:tcW w:w="1198" w:type="dxa"/>
          </w:tcPr>
          <w:p w14:paraId="583CEC10" w14:textId="77777777" w:rsidR="00687233" w:rsidRPr="005F4295" w:rsidRDefault="00687233" w:rsidP="000062A1">
            <w:pPr>
              <w:suppressAutoHyphens w:val="0"/>
              <w:spacing w:before="0"/>
              <w:jc w:val="center"/>
              <w:cnfStyle w:val="000000010000" w:firstRow="0" w:lastRow="0" w:firstColumn="0" w:lastColumn="0" w:oddVBand="0" w:evenVBand="0" w:oddHBand="0" w:evenHBand="1" w:firstRowFirstColumn="0" w:firstRowLastColumn="0" w:lastRowFirstColumn="0" w:lastRowLastColumn="0"/>
              <w:rPr>
                <w:lang w:val="en-GB"/>
              </w:rPr>
            </w:pPr>
            <w:r w:rsidRPr="005F4295">
              <w:rPr>
                <w:rFonts w:cs="Times New Roman"/>
                <w:lang w:val="en-GB"/>
              </w:rPr>
              <w:t>–</w:t>
            </w:r>
            <w:r w:rsidRPr="005F4295">
              <w:rPr>
                <w:rFonts w:ascii="Calibri" w:hAnsi="Calibri" w:cs="Calibri"/>
                <w:lang w:val="en-GB"/>
              </w:rPr>
              <w:t> </w:t>
            </w:r>
            <w:r w:rsidRPr="005F4295">
              <w:rPr>
                <w:rFonts w:cs="Times New Roman"/>
                <w:lang w:val="en-GB"/>
              </w:rPr>
              <w:t>90</w:t>
            </w:r>
          </w:p>
        </w:tc>
        <w:tc>
          <w:tcPr>
            <w:tcW w:w="1278" w:type="dxa"/>
          </w:tcPr>
          <w:p w14:paraId="3438FC7A" w14:textId="77777777" w:rsidR="00687233" w:rsidRPr="005F4295" w:rsidRDefault="00687233" w:rsidP="000062A1">
            <w:pPr>
              <w:suppressAutoHyphens w:val="0"/>
              <w:spacing w:before="0"/>
              <w:jc w:val="center"/>
              <w:cnfStyle w:val="000000010000" w:firstRow="0" w:lastRow="0" w:firstColumn="0" w:lastColumn="0" w:oddVBand="0" w:evenVBand="0" w:oddHBand="0" w:evenHBand="1" w:firstRowFirstColumn="0" w:firstRowLastColumn="0" w:lastRowFirstColumn="0" w:lastRowLastColumn="0"/>
              <w:rPr>
                <w:lang w:val="en-GB"/>
              </w:rPr>
            </w:pPr>
            <w:r w:rsidRPr="005F4295">
              <w:rPr>
                <w:rFonts w:cs="Times New Roman"/>
                <w:lang w:val="en-GB"/>
              </w:rPr>
              <w:t>+</w:t>
            </w:r>
            <w:r w:rsidRPr="005F4295">
              <w:rPr>
                <w:rFonts w:ascii="Calibri" w:hAnsi="Calibri" w:cs="Calibri"/>
                <w:lang w:val="en-GB"/>
              </w:rPr>
              <w:t> </w:t>
            </w:r>
            <w:r w:rsidRPr="005F4295">
              <w:rPr>
                <w:rFonts w:cs="Times New Roman"/>
                <w:lang w:val="en-GB"/>
              </w:rPr>
              <w:t>0.3</w:t>
            </w:r>
          </w:p>
        </w:tc>
      </w:tr>
    </w:tbl>
    <w:p w14:paraId="490E16B2" w14:textId="77777777" w:rsidR="00FD4F8A" w:rsidRPr="005F4295" w:rsidRDefault="00FD4F8A" w:rsidP="00FD4F8A">
      <w:pPr>
        <w:suppressAutoHyphens w:val="0"/>
        <w:rPr>
          <w:rFonts w:cs="Arial"/>
        </w:rPr>
      </w:pPr>
      <w:r w:rsidRPr="005F4295">
        <w:rPr>
          <w:rFonts w:cs="Arial"/>
        </w:rPr>
        <w:t>In 2025, negotiated procedures accounted for 15% of all procedures in terms of number and 28% in terms of value. While the share in terms of number remained broadly stable compared with 2024 (14%), the significant increase in value, compared with 7% in 2024, was mainly driven by a limited number of exceptionally high-value procedures carried out by DG Digital Services in its role as the Commission’s domain leader for IT, representing around 85% of the total value of negotiated procedures</w:t>
      </w:r>
      <w:r w:rsidRPr="005F4295">
        <w:rPr>
          <w:rFonts w:ascii="Calibri" w:hAnsi="Calibri" w:cs="Calibri"/>
        </w:rPr>
        <w:t> </w:t>
      </w:r>
      <w:r w:rsidRPr="005F4295">
        <w:rPr>
          <w:rFonts w:cs="Arial"/>
        </w:rPr>
        <w:t>(</w:t>
      </w:r>
      <w:r w:rsidRPr="005F4295">
        <w:rPr>
          <w:rStyle w:val="FootnoteReference"/>
        </w:rPr>
        <w:footnoteReference w:id="39"/>
      </w:r>
      <w:r w:rsidRPr="005F4295">
        <w:rPr>
          <w:rFonts w:cs="Arial"/>
        </w:rPr>
        <w:t>).</w:t>
      </w:r>
    </w:p>
    <w:p w14:paraId="3C8982B5" w14:textId="65668B86" w:rsidR="00FD4F8A" w:rsidRPr="005F4295" w:rsidRDefault="00FD4F8A" w:rsidP="00FD4F8A">
      <w:pPr>
        <w:suppressAutoHyphens w:val="0"/>
        <w:rPr>
          <w:rFonts w:cs="Arial"/>
        </w:rPr>
      </w:pPr>
      <w:r w:rsidRPr="005F4295">
        <w:rPr>
          <w:rFonts w:cs="Arial"/>
        </w:rPr>
        <w:t>The most frequent reason to use negotiated procedures was point 11.1(b) of Annex</w:t>
      </w:r>
      <w:r w:rsidR="00D70263" w:rsidRPr="005F4295">
        <w:rPr>
          <w:rFonts w:ascii="Calibri" w:hAnsi="Calibri" w:cs="Calibri"/>
        </w:rPr>
        <w:t> </w:t>
      </w:r>
      <w:r w:rsidRPr="005F4295">
        <w:rPr>
          <w:rFonts w:cs="Arial"/>
        </w:rPr>
        <w:t>I to the Financial Regulation, relating to artistic or technical reasons, exclusive rights or technical monopoly situations, which accounted for the majority of procedures, followed by procedures based on point 11.1(e), concerning the repetition of similar services or works, notably in the IT domain where technical dependency and continuity requirements often limit competition. The urgency exception under point 11.1(c) was used only in a limited number of cases.</w:t>
      </w:r>
    </w:p>
    <w:p w14:paraId="02681DA5" w14:textId="2A03857F" w:rsidR="00FD4F8A" w:rsidRPr="005F4295" w:rsidRDefault="00FD4F8A" w:rsidP="00FD4F8A">
      <w:pPr>
        <w:suppressAutoHyphens w:val="0"/>
        <w:rPr>
          <w:rFonts w:cs="Arial"/>
        </w:rPr>
      </w:pPr>
      <w:r w:rsidRPr="005F4295">
        <w:rPr>
          <w:rFonts w:cs="Arial"/>
        </w:rPr>
        <w:t>Authorising Officers by Delegation are required to report to the institution where the proportion of negotiated procedures awarded, relative to the total number of contracts, is considered ‘distinctly higher than the average recorded for the institution</w:t>
      </w:r>
      <w:r w:rsidR="00551BCB" w:rsidRPr="005F4295">
        <w:rPr>
          <w:rFonts w:cs="Arial"/>
        </w:rPr>
        <w:t>’</w:t>
      </w:r>
      <w:r w:rsidRPr="005F4295">
        <w:rPr>
          <w:rFonts w:ascii="Calibri" w:hAnsi="Calibri" w:cs="Calibri"/>
        </w:rPr>
        <w:t> </w:t>
      </w:r>
      <w:r w:rsidRPr="005F4295">
        <w:rPr>
          <w:rFonts w:cs="Arial"/>
        </w:rPr>
        <w:t>(</w:t>
      </w:r>
      <w:r w:rsidRPr="005F4295">
        <w:rPr>
          <w:rStyle w:val="FootnoteReference"/>
        </w:rPr>
        <w:footnoteReference w:id="40"/>
      </w:r>
      <w:r w:rsidRPr="005F4295">
        <w:rPr>
          <w:rFonts w:cs="Arial"/>
        </w:rPr>
        <w:t xml:space="preserve">). </w:t>
      </w:r>
    </w:p>
    <w:p w14:paraId="6F45E5C8" w14:textId="77777777" w:rsidR="00FD4F8A" w:rsidRPr="005F4295" w:rsidRDefault="00FD4F8A" w:rsidP="00FD4F8A">
      <w:pPr>
        <w:suppressAutoHyphens w:val="0"/>
        <w:rPr>
          <w:rFonts w:cs="Arial"/>
        </w:rPr>
      </w:pPr>
      <w:r w:rsidRPr="005F4295">
        <w:rPr>
          <w:rFonts w:cs="Arial"/>
        </w:rPr>
        <w:t>During the reporting year, more than half of the departments (26) did not use negotiated procedures. Among the departments that did, the proportion was considered ‘distinctly higher’ for six departments. However, most of these departments concluded between one and three negotiated procedures only, and the comparatively low overall number of procedures conducted by those departments (fewer than eight) resulted in proportionally higher averages. Consequently, these results should not be regarded as significant.</w:t>
      </w:r>
    </w:p>
    <w:p w14:paraId="678D1541" w14:textId="64252F9A" w:rsidR="00FD4F8A" w:rsidRPr="005F4295" w:rsidRDefault="00FD4F8A" w:rsidP="00FD4F8A">
      <w:pPr>
        <w:suppressAutoHyphens w:val="0"/>
        <w:rPr>
          <w:rFonts w:cs="Arial"/>
        </w:rPr>
      </w:pPr>
      <w:r w:rsidRPr="005F4295">
        <w:rPr>
          <w:rFonts w:cs="Arial"/>
        </w:rPr>
        <w:t>The following categories of justification for the use of negotiated procedures were reported by the departments exceeding the thresholds</w:t>
      </w:r>
      <w:r w:rsidR="009A2DD8" w:rsidRPr="005F4295">
        <w:rPr>
          <w:rFonts w:cs="Arial"/>
        </w:rPr>
        <w:t>.</w:t>
      </w:r>
    </w:p>
    <w:p w14:paraId="2A75493D" w14:textId="6B870C7B" w:rsidR="00FD4F8A" w:rsidRPr="005F4295" w:rsidRDefault="00FD4F8A" w:rsidP="00FD4F8A">
      <w:pPr>
        <w:pStyle w:val="ListBullet"/>
      </w:pPr>
      <w:r w:rsidRPr="005F4295">
        <w:rPr>
          <w:b/>
          <w:bCs/>
        </w:rPr>
        <w:t>Objective situations in the relevant economic sector</w:t>
      </w:r>
      <w:r w:rsidR="0066426C" w:rsidRPr="005F4295">
        <w:rPr>
          <w:b/>
          <w:bCs/>
        </w:rPr>
        <w:t>.</w:t>
      </w:r>
      <w:r w:rsidRPr="005F4295">
        <w:t xml:space="preserve"> </w:t>
      </w:r>
      <w:r w:rsidR="0066426C" w:rsidRPr="005F4295">
        <w:t>This is</w:t>
      </w:r>
      <w:r w:rsidRPr="005F4295">
        <w:t xml:space="preserve"> where the number of operators is very limited or where monopoly situations exist due to specific technical expertise or reasons, exclusive rights or highly specialised markets with little or no competition. Situations of technical captivity may also arise, particularly in the field of information technology, owing to the absence of competition for technical reasons and/or the protection of exclusive rights linked to proprietary licences or the maintenance and continuity of existing applications.</w:t>
      </w:r>
    </w:p>
    <w:p w14:paraId="4BF34BD3" w14:textId="07830584" w:rsidR="006551D8" w:rsidRPr="005F4295" w:rsidRDefault="00FD4F8A" w:rsidP="00F554FA">
      <w:pPr>
        <w:pStyle w:val="ListBullet"/>
        <w:rPr>
          <w:rFonts w:eastAsia="EC Square Sans Pro"/>
          <w:spacing w:val="1"/>
        </w:rPr>
      </w:pPr>
      <w:r w:rsidRPr="005F4295">
        <w:rPr>
          <w:rStyle w:val="Bold"/>
          <w:rFonts w:eastAsia="EC Square Sans Pro"/>
        </w:rPr>
        <w:t>Additional services</w:t>
      </w:r>
      <w:r w:rsidRPr="005F4295">
        <w:rPr>
          <w:b/>
          <w:bCs/>
        </w:rPr>
        <w:t xml:space="preserve"> </w:t>
      </w:r>
      <w:r w:rsidRPr="005F4295">
        <w:rPr>
          <w:rFonts w:eastAsia="EC Square Sans Pro"/>
          <w:b/>
          <w:bCs/>
          <w:spacing w:val="1"/>
        </w:rPr>
        <w:t>and higher-than-anticipated demand during contract implementation.</w:t>
      </w:r>
      <w:r w:rsidRPr="005F4295">
        <w:rPr>
          <w:rFonts w:eastAsia="EC Square Sans Pro"/>
          <w:b/>
          <w:spacing w:val="1"/>
        </w:rPr>
        <w:t xml:space="preserve"> </w:t>
      </w:r>
      <w:r w:rsidRPr="005F4295">
        <w:rPr>
          <w:rFonts w:eastAsia="EC Square Sans Pro"/>
          <w:bCs/>
          <w:spacing w:val="1"/>
        </w:rPr>
        <w:t>In certain cases, services not initially included in the contract became necessary due to unforeseen circumstances or evolving priorities.</w:t>
      </w:r>
      <w:r w:rsidR="00D65DE7" w:rsidRPr="005F4295">
        <w:rPr>
          <w:rFonts w:eastAsia="EC Square Sans Pro"/>
          <w:bCs/>
          <w:spacing w:val="1"/>
        </w:rPr>
        <w:br w:type="page"/>
      </w:r>
    </w:p>
    <w:p w14:paraId="243E4BFF" w14:textId="3E3C1E86" w:rsidR="00EB70E0" w:rsidRPr="005F4295" w:rsidRDefault="00EB70E0" w:rsidP="00AC042B">
      <w:pPr>
        <w:pStyle w:val="HeadingMan-NumT-AnnexesL3-111"/>
        <w:shd w:val="clear" w:color="auto" w:fill="FFFFFF" w:themeFill="background1"/>
        <w:rPr>
          <w:rFonts w:ascii="EC Square Sans Pro" w:hAnsi="EC Square Sans Pro"/>
          <w:noProof/>
        </w:rPr>
      </w:pPr>
      <w:bookmarkStart w:id="105" w:name="_Toc229386285"/>
      <w:bookmarkStart w:id="106" w:name="_Hlk197083849"/>
      <w:r w:rsidRPr="005F4295">
        <w:rPr>
          <w:rFonts w:ascii="EC Square Sans Pro" w:hAnsi="EC Square Sans Pro"/>
          <w:noProof/>
        </w:rPr>
        <w:t>10</w:t>
      </w:r>
      <w:r w:rsidR="006D4957" w:rsidRPr="005F4295">
        <w:rPr>
          <w:rFonts w:ascii="Calibri" w:hAnsi="Calibri" w:cs="Calibri"/>
          <w:noProof/>
        </w:rPr>
        <w:t>.</w:t>
      </w:r>
      <w:r w:rsidRPr="005F4295">
        <w:rPr>
          <w:rFonts w:ascii="EC Square Sans Pro" w:hAnsi="EC Square Sans Pro"/>
          <w:noProof/>
        </w:rPr>
        <w:t>3</w:t>
      </w:r>
      <w:r w:rsidR="006D4957" w:rsidRPr="005F4295">
        <w:rPr>
          <w:rFonts w:ascii="Calibri" w:hAnsi="Calibri" w:cs="Calibri"/>
          <w:noProof/>
        </w:rPr>
        <w:t>.</w:t>
      </w:r>
      <w:r w:rsidRPr="005F4295">
        <w:rPr>
          <w:rFonts w:ascii="EC Square Sans Pro" w:hAnsi="EC Square Sans Pro"/>
          <w:noProof/>
        </w:rPr>
        <w:t>2</w:t>
      </w:r>
      <w:r w:rsidR="000F5318" w:rsidRPr="005F4295">
        <w:rPr>
          <w:rFonts w:ascii="Calibri" w:hAnsi="Calibri" w:cs="Calibri"/>
          <w:noProof/>
        </w:rPr>
        <w:t> </w:t>
      </w:r>
      <w:r w:rsidRPr="005F4295">
        <w:rPr>
          <w:rFonts w:ascii="EC Square Sans Pro" w:hAnsi="EC Square Sans Pro"/>
          <w:noProof/>
        </w:rPr>
        <w:t xml:space="preserve">The ‘external </w:t>
      </w:r>
      <w:r w:rsidR="004C36BD" w:rsidRPr="005F4295">
        <w:rPr>
          <w:rFonts w:ascii="EC Square Sans Pro" w:hAnsi="EC Square Sans Pro"/>
          <w:noProof/>
        </w:rPr>
        <w:t xml:space="preserve">actions’ </w:t>
      </w:r>
      <w:r w:rsidRPr="005F4295">
        <w:rPr>
          <w:rFonts w:ascii="EC Square Sans Pro" w:hAnsi="EC Square Sans Pro"/>
          <w:noProof/>
        </w:rPr>
        <w:t>departments</w:t>
      </w:r>
      <w:bookmarkEnd w:id="105"/>
    </w:p>
    <w:bookmarkEnd w:id="106"/>
    <w:tbl>
      <w:tblPr>
        <w:tblStyle w:val="BodyTable"/>
        <w:tblW w:w="4983" w:type="pct"/>
        <w:tblLook w:val="04A0" w:firstRow="1" w:lastRow="0" w:firstColumn="1" w:lastColumn="0" w:noHBand="0" w:noVBand="1"/>
      </w:tblPr>
      <w:tblGrid>
        <w:gridCol w:w="1902"/>
        <w:gridCol w:w="1189"/>
        <w:gridCol w:w="1176"/>
        <w:gridCol w:w="1189"/>
        <w:gridCol w:w="1183"/>
        <w:gridCol w:w="1189"/>
        <w:gridCol w:w="1182"/>
      </w:tblGrid>
      <w:tr w:rsidR="005F4295" w:rsidRPr="005F4295" w14:paraId="07765EE5" w14:textId="77777777" w:rsidTr="00766132">
        <w:trPr>
          <w:cnfStyle w:val="100000000000" w:firstRow="1" w:lastRow="0" w:firstColumn="0" w:lastColumn="0" w:oddVBand="0" w:evenVBand="0" w:oddHBand="0" w:evenHBand="0" w:firstRowFirstColumn="0" w:firstRowLastColumn="0" w:lastRowFirstColumn="0" w:lastRowLastColumn="0"/>
          <w:trHeight w:val="133"/>
          <w:tblHeader/>
        </w:trPr>
        <w:tc>
          <w:tcPr>
            <w:cnfStyle w:val="001000000000" w:firstRow="0" w:lastRow="0" w:firstColumn="1" w:lastColumn="0" w:oddVBand="0" w:evenVBand="0" w:oddHBand="0" w:evenHBand="0" w:firstRowFirstColumn="0" w:firstRowLastColumn="0" w:lastRowFirstColumn="0" w:lastRowLastColumn="0"/>
            <w:tcW w:w="1910" w:type="dxa"/>
            <w:vMerge w:val="restart"/>
            <w:hideMark/>
          </w:tcPr>
          <w:p w14:paraId="4A89CAB0" w14:textId="77777777" w:rsidR="005F4295" w:rsidRPr="005F4295" w:rsidRDefault="005F4295" w:rsidP="00407D19">
            <w:pPr>
              <w:rPr>
                <w:b w:val="0"/>
                <w:lang w:val="en-GB"/>
              </w:rPr>
            </w:pPr>
          </w:p>
        </w:tc>
        <w:tc>
          <w:tcPr>
            <w:tcW w:w="2373" w:type="dxa"/>
            <w:gridSpan w:val="2"/>
          </w:tcPr>
          <w:p w14:paraId="27064EAF" w14:textId="57E95E8A" w:rsidR="005F4295" w:rsidRPr="005F4295" w:rsidRDefault="005F4295" w:rsidP="00407D19">
            <w:pPr>
              <w:cnfStyle w:val="100000000000" w:firstRow="1" w:lastRow="0" w:firstColumn="0" w:lastColumn="0" w:oddVBand="0" w:evenVBand="0" w:oddHBand="0" w:evenHBand="0" w:firstRowFirstColumn="0" w:firstRowLastColumn="0" w:lastRowFirstColumn="0" w:lastRowLastColumn="0"/>
              <w:rPr>
                <w:b w:val="0"/>
                <w:lang w:val="en-GB"/>
              </w:rPr>
            </w:pPr>
            <w:r w:rsidRPr="005F4295">
              <w:rPr>
                <w:lang w:val="en-GB"/>
              </w:rPr>
              <w:t>202</w:t>
            </w:r>
            <w:r>
              <w:rPr>
                <w:lang w:val="en-GB"/>
              </w:rPr>
              <w:t>5</w:t>
            </w:r>
          </w:p>
        </w:tc>
        <w:tc>
          <w:tcPr>
            <w:tcW w:w="2380" w:type="dxa"/>
            <w:gridSpan w:val="2"/>
          </w:tcPr>
          <w:p w14:paraId="5D5FD2C5" w14:textId="630AFB21" w:rsidR="005F4295" w:rsidRPr="005F4295" w:rsidRDefault="005F4295" w:rsidP="00407D19">
            <w:pPr>
              <w:cnfStyle w:val="100000000000" w:firstRow="1" w:lastRow="0" w:firstColumn="0" w:lastColumn="0" w:oddVBand="0" w:evenVBand="0" w:oddHBand="0" w:evenHBand="0" w:firstRowFirstColumn="0" w:firstRowLastColumn="0" w:lastRowFirstColumn="0" w:lastRowLastColumn="0"/>
              <w:rPr>
                <w:b w:val="0"/>
                <w:lang w:val="en-GB"/>
              </w:rPr>
            </w:pPr>
            <w:r w:rsidRPr="005F4295">
              <w:rPr>
                <w:lang w:val="en-GB"/>
              </w:rPr>
              <w:t>202</w:t>
            </w:r>
            <w:r>
              <w:rPr>
                <w:lang w:val="en-GB"/>
              </w:rPr>
              <w:t>4</w:t>
            </w:r>
          </w:p>
        </w:tc>
        <w:tc>
          <w:tcPr>
            <w:tcW w:w="2378" w:type="dxa"/>
            <w:gridSpan w:val="2"/>
          </w:tcPr>
          <w:p w14:paraId="10CF9AE8" w14:textId="5E5F11D1" w:rsidR="005F4295" w:rsidRPr="005F4295" w:rsidRDefault="005F4295" w:rsidP="00407D19">
            <w:pPr>
              <w:cnfStyle w:val="100000000000" w:firstRow="1" w:lastRow="0" w:firstColumn="0" w:lastColumn="0" w:oddVBand="0" w:evenVBand="0" w:oddHBand="0" w:evenHBand="0" w:firstRowFirstColumn="0" w:firstRowLastColumn="0" w:lastRowFirstColumn="0" w:lastRowLastColumn="0"/>
              <w:rPr>
                <w:lang w:val="en-GB"/>
              </w:rPr>
            </w:pPr>
            <w:r w:rsidRPr="005F4295">
              <w:rPr>
                <w:lang w:val="en-GB"/>
              </w:rPr>
              <w:t>Change</w:t>
            </w:r>
          </w:p>
        </w:tc>
      </w:tr>
      <w:tr w:rsidR="005F4295" w:rsidRPr="005F4295" w14:paraId="7E92CED2" w14:textId="77777777" w:rsidTr="00766132">
        <w:trPr>
          <w:cnfStyle w:val="100000000000" w:firstRow="1" w:lastRow="0" w:firstColumn="0" w:lastColumn="0" w:oddVBand="0" w:evenVBand="0" w:oddHBand="0" w:evenHBand="0" w:firstRowFirstColumn="0" w:firstRowLastColumn="0" w:lastRowFirstColumn="0" w:lastRowLastColumn="0"/>
          <w:trHeight w:val="343"/>
          <w:tblHeader/>
        </w:trPr>
        <w:tc>
          <w:tcPr>
            <w:cnfStyle w:val="001000000000" w:firstRow="0" w:lastRow="0" w:firstColumn="1" w:lastColumn="0" w:oddVBand="0" w:evenVBand="0" w:oddHBand="0" w:evenHBand="0" w:firstRowFirstColumn="0" w:firstRowLastColumn="0" w:lastRowFirstColumn="0" w:lastRowLastColumn="0"/>
            <w:tcW w:w="1910" w:type="dxa"/>
            <w:vMerge/>
          </w:tcPr>
          <w:p w14:paraId="63233BE6" w14:textId="77777777" w:rsidR="00643E56" w:rsidRPr="005F4295" w:rsidRDefault="00643E56" w:rsidP="00407D19">
            <w:pPr>
              <w:rPr>
                <w:lang w:val="en-GB"/>
              </w:rPr>
            </w:pPr>
          </w:p>
        </w:tc>
        <w:tc>
          <w:tcPr>
            <w:tcW w:w="1192" w:type="dxa"/>
          </w:tcPr>
          <w:p w14:paraId="59BDD60C" w14:textId="77777777" w:rsidR="00643E56" w:rsidRPr="005F4295" w:rsidRDefault="00643E56" w:rsidP="00407D19">
            <w:pPr>
              <w:cnfStyle w:val="100000000000" w:firstRow="1" w:lastRow="0" w:firstColumn="0" w:lastColumn="0" w:oddVBand="0" w:evenVBand="0" w:oddHBand="0" w:evenHBand="0" w:firstRowFirstColumn="0" w:firstRowLastColumn="0" w:lastRowFirstColumn="0" w:lastRowLastColumn="0"/>
              <w:rPr>
                <w:lang w:val="en-GB"/>
              </w:rPr>
            </w:pPr>
            <w:r w:rsidRPr="005F4295">
              <w:rPr>
                <w:lang w:val="en-GB"/>
              </w:rPr>
              <w:t>Number</w:t>
            </w:r>
          </w:p>
        </w:tc>
        <w:tc>
          <w:tcPr>
            <w:tcW w:w="1181" w:type="dxa"/>
          </w:tcPr>
          <w:p w14:paraId="62C96EFC" w14:textId="77777777" w:rsidR="00643E56" w:rsidRPr="005F4295" w:rsidRDefault="00643E56" w:rsidP="00407D19">
            <w:pPr>
              <w:cnfStyle w:val="100000000000" w:firstRow="1" w:lastRow="0" w:firstColumn="0" w:lastColumn="0" w:oddVBand="0" w:evenVBand="0" w:oddHBand="0" w:evenHBand="0" w:firstRowFirstColumn="0" w:firstRowLastColumn="0" w:lastRowFirstColumn="0" w:lastRowLastColumn="0"/>
              <w:rPr>
                <w:lang w:val="en-GB"/>
              </w:rPr>
            </w:pPr>
            <w:r w:rsidRPr="005F4295">
              <w:rPr>
                <w:lang w:val="en-GB"/>
              </w:rPr>
              <w:t>EUR billion</w:t>
            </w:r>
          </w:p>
        </w:tc>
        <w:tc>
          <w:tcPr>
            <w:tcW w:w="1192" w:type="dxa"/>
          </w:tcPr>
          <w:p w14:paraId="64B3B793" w14:textId="77777777" w:rsidR="00643E56" w:rsidRPr="005F4295" w:rsidRDefault="00643E56" w:rsidP="00407D19">
            <w:pPr>
              <w:cnfStyle w:val="100000000000" w:firstRow="1" w:lastRow="0" w:firstColumn="0" w:lastColumn="0" w:oddVBand="0" w:evenVBand="0" w:oddHBand="0" w:evenHBand="0" w:firstRowFirstColumn="0" w:firstRowLastColumn="0" w:lastRowFirstColumn="0" w:lastRowLastColumn="0"/>
              <w:rPr>
                <w:lang w:val="en-GB"/>
              </w:rPr>
            </w:pPr>
            <w:r w:rsidRPr="005F4295">
              <w:rPr>
                <w:lang w:val="en-GB"/>
              </w:rPr>
              <w:t>Number</w:t>
            </w:r>
          </w:p>
        </w:tc>
        <w:tc>
          <w:tcPr>
            <w:tcW w:w="1188" w:type="dxa"/>
          </w:tcPr>
          <w:p w14:paraId="5D96702C" w14:textId="77777777" w:rsidR="00643E56" w:rsidRPr="005F4295" w:rsidRDefault="00643E56" w:rsidP="00407D19">
            <w:pPr>
              <w:cnfStyle w:val="100000000000" w:firstRow="1" w:lastRow="0" w:firstColumn="0" w:lastColumn="0" w:oddVBand="0" w:evenVBand="0" w:oddHBand="0" w:evenHBand="0" w:firstRowFirstColumn="0" w:firstRowLastColumn="0" w:lastRowFirstColumn="0" w:lastRowLastColumn="0"/>
              <w:rPr>
                <w:lang w:val="en-GB"/>
              </w:rPr>
            </w:pPr>
            <w:r w:rsidRPr="005F4295">
              <w:rPr>
                <w:lang w:val="en-GB"/>
              </w:rPr>
              <w:t>EUR billion</w:t>
            </w:r>
          </w:p>
        </w:tc>
        <w:tc>
          <w:tcPr>
            <w:tcW w:w="1192" w:type="dxa"/>
          </w:tcPr>
          <w:p w14:paraId="6F5A25CB" w14:textId="77777777" w:rsidR="00643E56" w:rsidRPr="005F4295" w:rsidRDefault="00643E56" w:rsidP="00407D19">
            <w:pPr>
              <w:cnfStyle w:val="100000000000" w:firstRow="1" w:lastRow="0" w:firstColumn="0" w:lastColumn="0" w:oddVBand="0" w:evenVBand="0" w:oddHBand="0" w:evenHBand="0" w:firstRowFirstColumn="0" w:firstRowLastColumn="0" w:lastRowFirstColumn="0" w:lastRowLastColumn="0"/>
              <w:rPr>
                <w:lang w:val="en-GB"/>
              </w:rPr>
            </w:pPr>
            <w:r w:rsidRPr="005F4295">
              <w:rPr>
                <w:lang w:val="en-GB"/>
              </w:rPr>
              <w:t>Number</w:t>
            </w:r>
          </w:p>
        </w:tc>
        <w:tc>
          <w:tcPr>
            <w:tcW w:w="1186" w:type="dxa"/>
          </w:tcPr>
          <w:p w14:paraId="7068C678" w14:textId="77777777" w:rsidR="00643E56" w:rsidRPr="005F4295" w:rsidRDefault="00643E56" w:rsidP="00407D19">
            <w:pPr>
              <w:cnfStyle w:val="100000000000" w:firstRow="1" w:lastRow="0" w:firstColumn="0" w:lastColumn="0" w:oddVBand="0" w:evenVBand="0" w:oddHBand="0" w:evenHBand="0" w:firstRowFirstColumn="0" w:firstRowLastColumn="0" w:lastRowFirstColumn="0" w:lastRowLastColumn="0"/>
              <w:rPr>
                <w:lang w:val="en-GB"/>
              </w:rPr>
            </w:pPr>
            <w:r w:rsidRPr="005F4295">
              <w:rPr>
                <w:lang w:val="en-GB"/>
              </w:rPr>
              <w:t>EUR billion</w:t>
            </w:r>
          </w:p>
        </w:tc>
      </w:tr>
      <w:tr w:rsidR="005F4295" w:rsidRPr="005F4295" w14:paraId="7D213394" w14:textId="77777777" w:rsidTr="00766132">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1910" w:type="dxa"/>
            <w:hideMark/>
          </w:tcPr>
          <w:p w14:paraId="61153769" w14:textId="77777777" w:rsidR="00D65DE7" w:rsidRPr="005F4295" w:rsidRDefault="00D65DE7" w:rsidP="00407D19">
            <w:pPr>
              <w:rPr>
                <w:lang w:val="en-GB"/>
              </w:rPr>
            </w:pPr>
            <w:r w:rsidRPr="005F4295">
              <w:rPr>
                <w:lang w:val="en-GB"/>
              </w:rPr>
              <w:t>Negotiated procedures</w:t>
            </w:r>
          </w:p>
        </w:tc>
        <w:tc>
          <w:tcPr>
            <w:tcW w:w="1192" w:type="dxa"/>
            <w:hideMark/>
          </w:tcPr>
          <w:p w14:paraId="05FBB15B" w14:textId="77777777" w:rsidR="00D65DE7" w:rsidRPr="005F4295" w:rsidRDefault="00D65DE7" w:rsidP="000062A1">
            <w:pPr>
              <w:jc w:val="center"/>
              <w:cnfStyle w:val="000000100000" w:firstRow="0" w:lastRow="0" w:firstColumn="0" w:lastColumn="0" w:oddVBand="0" w:evenVBand="0" w:oddHBand="1" w:evenHBand="0" w:firstRowFirstColumn="0" w:firstRowLastColumn="0" w:lastRowFirstColumn="0" w:lastRowLastColumn="0"/>
              <w:rPr>
                <w:lang w:val="en-GB"/>
              </w:rPr>
            </w:pPr>
            <w:r w:rsidRPr="005F4295">
              <w:rPr>
                <w:lang w:val="en-GB"/>
              </w:rPr>
              <w:t>78</w:t>
            </w:r>
          </w:p>
        </w:tc>
        <w:tc>
          <w:tcPr>
            <w:tcW w:w="1181" w:type="dxa"/>
          </w:tcPr>
          <w:p w14:paraId="23CFAD5A" w14:textId="77777777" w:rsidR="00D65DE7" w:rsidRPr="005F4295" w:rsidRDefault="00D65DE7" w:rsidP="000062A1">
            <w:pPr>
              <w:jc w:val="center"/>
              <w:cnfStyle w:val="000000100000" w:firstRow="0" w:lastRow="0" w:firstColumn="0" w:lastColumn="0" w:oddVBand="0" w:evenVBand="0" w:oddHBand="1" w:evenHBand="0" w:firstRowFirstColumn="0" w:firstRowLastColumn="0" w:lastRowFirstColumn="0" w:lastRowLastColumn="0"/>
              <w:rPr>
                <w:lang w:val="en-GB"/>
              </w:rPr>
            </w:pPr>
            <w:r w:rsidRPr="005F4295">
              <w:rPr>
                <w:lang w:val="en-GB"/>
              </w:rPr>
              <w:t>0.110</w:t>
            </w:r>
          </w:p>
        </w:tc>
        <w:tc>
          <w:tcPr>
            <w:tcW w:w="1192" w:type="dxa"/>
            <w:hideMark/>
          </w:tcPr>
          <w:p w14:paraId="713A1F7F" w14:textId="77777777" w:rsidR="00D65DE7" w:rsidRPr="005F4295" w:rsidRDefault="00D65DE7" w:rsidP="000062A1">
            <w:pPr>
              <w:jc w:val="center"/>
              <w:cnfStyle w:val="000000100000" w:firstRow="0" w:lastRow="0" w:firstColumn="0" w:lastColumn="0" w:oddVBand="0" w:evenVBand="0" w:oddHBand="1" w:evenHBand="0" w:firstRowFirstColumn="0" w:firstRowLastColumn="0" w:lastRowFirstColumn="0" w:lastRowLastColumn="0"/>
              <w:rPr>
                <w:lang w:val="en-GB"/>
              </w:rPr>
            </w:pPr>
            <w:r w:rsidRPr="005F4295">
              <w:rPr>
                <w:lang w:val="en-GB"/>
              </w:rPr>
              <w:t>108</w:t>
            </w:r>
          </w:p>
        </w:tc>
        <w:tc>
          <w:tcPr>
            <w:tcW w:w="1188" w:type="dxa"/>
          </w:tcPr>
          <w:p w14:paraId="5DD7481E" w14:textId="77777777" w:rsidR="00D65DE7" w:rsidRPr="005F4295" w:rsidRDefault="00D65DE7" w:rsidP="000062A1">
            <w:pPr>
              <w:jc w:val="center"/>
              <w:cnfStyle w:val="000000100000" w:firstRow="0" w:lastRow="0" w:firstColumn="0" w:lastColumn="0" w:oddVBand="0" w:evenVBand="0" w:oddHBand="1" w:evenHBand="0" w:firstRowFirstColumn="0" w:firstRowLastColumn="0" w:lastRowFirstColumn="0" w:lastRowLastColumn="0"/>
              <w:rPr>
                <w:lang w:val="en-GB"/>
              </w:rPr>
            </w:pPr>
            <w:r w:rsidRPr="005F4295">
              <w:rPr>
                <w:lang w:val="en-GB"/>
              </w:rPr>
              <w:t>0.244</w:t>
            </w:r>
          </w:p>
        </w:tc>
        <w:tc>
          <w:tcPr>
            <w:tcW w:w="1192" w:type="dxa"/>
            <w:hideMark/>
          </w:tcPr>
          <w:p w14:paraId="26F67FD7" w14:textId="77777777" w:rsidR="00D65DE7" w:rsidRPr="005F4295" w:rsidRDefault="00D65DE7" w:rsidP="000062A1">
            <w:pPr>
              <w:jc w:val="center"/>
              <w:cnfStyle w:val="000000100000" w:firstRow="0" w:lastRow="0" w:firstColumn="0" w:lastColumn="0" w:oddVBand="0" w:evenVBand="0" w:oddHBand="1" w:evenHBand="0" w:firstRowFirstColumn="0" w:firstRowLastColumn="0" w:lastRowFirstColumn="0" w:lastRowLastColumn="0"/>
              <w:rPr>
                <w:lang w:val="en-GB"/>
              </w:rPr>
            </w:pPr>
            <w:r w:rsidRPr="005F4295">
              <w:rPr>
                <w:lang w:val="en-GB"/>
              </w:rPr>
              <w:t>–</w:t>
            </w:r>
            <w:r w:rsidRPr="005F4295">
              <w:rPr>
                <w:rFonts w:ascii="Calibri" w:hAnsi="Calibri" w:cs="Calibri"/>
                <w:lang w:val="en-GB"/>
              </w:rPr>
              <w:t> </w:t>
            </w:r>
            <w:r w:rsidRPr="005F4295">
              <w:rPr>
                <w:lang w:val="en-GB"/>
              </w:rPr>
              <w:t>30</w:t>
            </w:r>
          </w:p>
        </w:tc>
        <w:tc>
          <w:tcPr>
            <w:tcW w:w="1186" w:type="dxa"/>
          </w:tcPr>
          <w:p w14:paraId="599325E2" w14:textId="77777777" w:rsidR="00D65DE7" w:rsidRPr="005F4295" w:rsidRDefault="00D65DE7" w:rsidP="000062A1">
            <w:pPr>
              <w:jc w:val="center"/>
              <w:cnfStyle w:val="000000100000" w:firstRow="0" w:lastRow="0" w:firstColumn="0" w:lastColumn="0" w:oddVBand="0" w:evenVBand="0" w:oddHBand="1" w:evenHBand="0" w:firstRowFirstColumn="0" w:firstRowLastColumn="0" w:lastRowFirstColumn="0" w:lastRowLastColumn="0"/>
              <w:rPr>
                <w:lang w:val="en-GB"/>
              </w:rPr>
            </w:pPr>
            <w:r w:rsidRPr="005F4295">
              <w:rPr>
                <w:lang w:val="en-GB"/>
              </w:rPr>
              <w:t>–</w:t>
            </w:r>
            <w:r w:rsidRPr="005F4295">
              <w:rPr>
                <w:rFonts w:ascii="Calibri" w:hAnsi="Calibri" w:cs="Calibri"/>
                <w:lang w:val="en-GB"/>
              </w:rPr>
              <w:t> </w:t>
            </w:r>
            <w:r w:rsidRPr="005F4295">
              <w:rPr>
                <w:lang w:val="en-GB"/>
              </w:rPr>
              <w:t>0.134</w:t>
            </w:r>
          </w:p>
        </w:tc>
      </w:tr>
      <w:tr w:rsidR="005F4295" w:rsidRPr="005F4295" w14:paraId="34554157" w14:textId="77777777" w:rsidTr="00766132">
        <w:trPr>
          <w:cnfStyle w:val="000000010000" w:firstRow="0" w:lastRow="0" w:firstColumn="0" w:lastColumn="0" w:oddVBand="0" w:evenVBand="0" w:oddHBand="0" w:evenHBand="1"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1910" w:type="dxa"/>
          </w:tcPr>
          <w:p w14:paraId="7DC4A4DB" w14:textId="77777777" w:rsidR="00D65DE7" w:rsidRPr="005F4295" w:rsidRDefault="00D65DE7" w:rsidP="00407D19">
            <w:pPr>
              <w:rPr>
                <w:lang w:val="en-GB"/>
              </w:rPr>
            </w:pPr>
            <w:r w:rsidRPr="005F4295">
              <w:rPr>
                <w:lang w:val="en-GB"/>
              </w:rPr>
              <w:t>Total procurement procedures</w:t>
            </w:r>
          </w:p>
        </w:tc>
        <w:tc>
          <w:tcPr>
            <w:tcW w:w="1192" w:type="dxa"/>
          </w:tcPr>
          <w:p w14:paraId="7BF55B91" w14:textId="77777777" w:rsidR="00D65DE7" w:rsidRPr="005F4295" w:rsidRDefault="00D65DE7" w:rsidP="000062A1">
            <w:pPr>
              <w:jc w:val="center"/>
              <w:cnfStyle w:val="000000010000" w:firstRow="0" w:lastRow="0" w:firstColumn="0" w:lastColumn="0" w:oddVBand="0" w:evenVBand="0" w:oddHBand="0" w:evenHBand="1" w:firstRowFirstColumn="0" w:firstRowLastColumn="0" w:lastRowFirstColumn="0" w:lastRowLastColumn="0"/>
              <w:rPr>
                <w:lang w:val="en-GB"/>
              </w:rPr>
            </w:pPr>
            <w:r w:rsidRPr="005F4295">
              <w:rPr>
                <w:lang w:val="en-GB"/>
              </w:rPr>
              <w:t>241</w:t>
            </w:r>
          </w:p>
        </w:tc>
        <w:tc>
          <w:tcPr>
            <w:tcW w:w="1181" w:type="dxa"/>
          </w:tcPr>
          <w:p w14:paraId="0EC6CD2E" w14:textId="77777777" w:rsidR="00D65DE7" w:rsidRPr="005F4295" w:rsidRDefault="00D65DE7" w:rsidP="000062A1">
            <w:pPr>
              <w:jc w:val="center"/>
              <w:cnfStyle w:val="000000010000" w:firstRow="0" w:lastRow="0" w:firstColumn="0" w:lastColumn="0" w:oddVBand="0" w:evenVBand="0" w:oddHBand="0" w:evenHBand="1" w:firstRowFirstColumn="0" w:firstRowLastColumn="0" w:lastRowFirstColumn="0" w:lastRowLastColumn="0"/>
              <w:rPr>
                <w:lang w:val="en-GB"/>
              </w:rPr>
            </w:pPr>
            <w:r w:rsidRPr="005F4295">
              <w:rPr>
                <w:lang w:val="en-GB"/>
              </w:rPr>
              <w:t>0.631</w:t>
            </w:r>
          </w:p>
        </w:tc>
        <w:tc>
          <w:tcPr>
            <w:tcW w:w="1192" w:type="dxa"/>
          </w:tcPr>
          <w:p w14:paraId="7BBA08CB" w14:textId="77777777" w:rsidR="00D65DE7" w:rsidRPr="005F4295" w:rsidRDefault="00D65DE7" w:rsidP="000062A1">
            <w:pPr>
              <w:jc w:val="center"/>
              <w:cnfStyle w:val="000000010000" w:firstRow="0" w:lastRow="0" w:firstColumn="0" w:lastColumn="0" w:oddVBand="0" w:evenVBand="0" w:oddHBand="0" w:evenHBand="1" w:firstRowFirstColumn="0" w:firstRowLastColumn="0" w:lastRowFirstColumn="0" w:lastRowLastColumn="0"/>
              <w:rPr>
                <w:lang w:val="en-GB"/>
              </w:rPr>
            </w:pPr>
            <w:r w:rsidRPr="005F4295">
              <w:rPr>
                <w:lang w:val="en-GB"/>
              </w:rPr>
              <w:t>280</w:t>
            </w:r>
          </w:p>
        </w:tc>
        <w:tc>
          <w:tcPr>
            <w:tcW w:w="1188" w:type="dxa"/>
          </w:tcPr>
          <w:p w14:paraId="2AF03E98" w14:textId="77777777" w:rsidR="00D65DE7" w:rsidRPr="005F4295" w:rsidRDefault="00D65DE7" w:rsidP="000062A1">
            <w:pPr>
              <w:jc w:val="center"/>
              <w:cnfStyle w:val="000000010000" w:firstRow="0" w:lastRow="0" w:firstColumn="0" w:lastColumn="0" w:oddVBand="0" w:evenVBand="0" w:oddHBand="0" w:evenHBand="1" w:firstRowFirstColumn="0" w:firstRowLastColumn="0" w:lastRowFirstColumn="0" w:lastRowLastColumn="0"/>
              <w:rPr>
                <w:lang w:val="en-GB"/>
              </w:rPr>
            </w:pPr>
            <w:r w:rsidRPr="005F4295">
              <w:rPr>
                <w:lang w:val="en-GB"/>
              </w:rPr>
              <w:t>0.625</w:t>
            </w:r>
          </w:p>
        </w:tc>
        <w:tc>
          <w:tcPr>
            <w:tcW w:w="1192" w:type="dxa"/>
          </w:tcPr>
          <w:p w14:paraId="5D9E27F5" w14:textId="77777777" w:rsidR="00D65DE7" w:rsidRPr="005F4295" w:rsidRDefault="00D65DE7" w:rsidP="000062A1">
            <w:pPr>
              <w:jc w:val="center"/>
              <w:cnfStyle w:val="000000010000" w:firstRow="0" w:lastRow="0" w:firstColumn="0" w:lastColumn="0" w:oddVBand="0" w:evenVBand="0" w:oddHBand="0" w:evenHBand="1" w:firstRowFirstColumn="0" w:firstRowLastColumn="0" w:lastRowFirstColumn="0" w:lastRowLastColumn="0"/>
              <w:rPr>
                <w:lang w:val="en-GB"/>
              </w:rPr>
            </w:pPr>
            <w:r w:rsidRPr="005F4295">
              <w:rPr>
                <w:lang w:val="en-GB"/>
              </w:rPr>
              <w:t>–</w:t>
            </w:r>
            <w:r w:rsidRPr="005F4295">
              <w:rPr>
                <w:rFonts w:ascii="Calibri" w:hAnsi="Calibri" w:cs="Calibri"/>
                <w:lang w:val="en-GB"/>
              </w:rPr>
              <w:t> </w:t>
            </w:r>
            <w:r w:rsidRPr="005F4295">
              <w:rPr>
                <w:lang w:val="en-GB"/>
              </w:rPr>
              <w:t>39</w:t>
            </w:r>
          </w:p>
        </w:tc>
        <w:tc>
          <w:tcPr>
            <w:tcW w:w="1186" w:type="dxa"/>
          </w:tcPr>
          <w:p w14:paraId="176FBA92" w14:textId="77777777" w:rsidR="00D65DE7" w:rsidRPr="005F4295" w:rsidRDefault="00D65DE7" w:rsidP="000062A1">
            <w:pPr>
              <w:jc w:val="center"/>
              <w:cnfStyle w:val="000000010000" w:firstRow="0" w:lastRow="0" w:firstColumn="0" w:lastColumn="0" w:oddVBand="0" w:evenVBand="0" w:oddHBand="0" w:evenHBand="1" w:firstRowFirstColumn="0" w:firstRowLastColumn="0" w:lastRowFirstColumn="0" w:lastRowLastColumn="0"/>
              <w:rPr>
                <w:lang w:val="en-GB"/>
              </w:rPr>
            </w:pPr>
            <w:r w:rsidRPr="005F4295">
              <w:rPr>
                <w:lang w:val="en-GB"/>
              </w:rPr>
              <w:t>+</w:t>
            </w:r>
            <w:r w:rsidRPr="005F4295">
              <w:rPr>
                <w:rFonts w:ascii="Calibri" w:hAnsi="Calibri" w:cs="Calibri"/>
                <w:lang w:val="en-GB"/>
              </w:rPr>
              <w:t> </w:t>
            </w:r>
            <w:r w:rsidRPr="005F4295">
              <w:rPr>
                <w:lang w:val="en-GB"/>
              </w:rPr>
              <w:t>0.006</w:t>
            </w:r>
          </w:p>
        </w:tc>
      </w:tr>
    </w:tbl>
    <w:p w14:paraId="32A6FF31" w14:textId="6B0EAE88" w:rsidR="00E864F9" w:rsidRPr="005F4295" w:rsidRDefault="00E864F9" w:rsidP="00E864F9">
      <w:pPr>
        <w:rPr>
          <w:rFonts w:cs="Arial"/>
        </w:rPr>
      </w:pPr>
      <w:r w:rsidRPr="005F4295">
        <w:rPr>
          <w:rFonts w:cs="Arial"/>
        </w:rPr>
        <w:t>Concerning the ‘external actions’ departments, negotiated procedures accounted for 32% of all procedures in terms of number and 18% in terms of value. Compared with 2024, this represents a decrease from 39% in both number and value. The most frequent used legal basis across the external relations departments was point 39.1(a) of Annex</w:t>
      </w:r>
      <w:r w:rsidR="00F011CB" w:rsidRPr="005F4295">
        <w:rPr>
          <w:rFonts w:ascii="Calibri" w:hAnsi="Calibri" w:cs="Calibri"/>
        </w:rPr>
        <w:t> </w:t>
      </w:r>
      <w:r w:rsidRPr="005F4295">
        <w:rPr>
          <w:rFonts w:cs="Arial"/>
        </w:rPr>
        <w:t xml:space="preserve">I to the Financial Regulation, concerning services entrusted to public-sector bodies or non-profit organisations followed by point 11.1(e), relating to the repetition of similar services or works. Point 11.1(c), concerning cases of extreme urgency caused by unforeseeable events, was the third most frequently used justification, notably by DG </w:t>
      </w:r>
      <w:r w:rsidR="00C9176D" w:rsidRPr="005F4295">
        <w:rPr>
          <w:rFonts w:cs="Arial"/>
        </w:rPr>
        <w:t xml:space="preserve">Middle East, North Africa and Gulf </w:t>
      </w:r>
      <w:r w:rsidR="00790B5C" w:rsidRPr="005F4295">
        <w:rPr>
          <w:rFonts w:cs="Arial"/>
        </w:rPr>
        <w:t xml:space="preserve">and </w:t>
      </w:r>
      <w:r w:rsidRPr="005F4295">
        <w:rPr>
          <w:rFonts w:cs="Arial"/>
        </w:rPr>
        <w:t>DG International Partnerships.</w:t>
      </w:r>
    </w:p>
    <w:p w14:paraId="4B98BD7D" w14:textId="68A89899" w:rsidR="00E864F9" w:rsidRPr="005F4295" w:rsidRDefault="00E864F9" w:rsidP="00E864F9">
      <w:pPr>
        <w:rPr>
          <w:rFonts w:cs="Arial"/>
        </w:rPr>
      </w:pPr>
      <w:r w:rsidRPr="005F4295">
        <w:rPr>
          <w:rFonts w:cs="Arial"/>
        </w:rPr>
        <w:t>Authorising Officers per Delegation are required to report to the institution when the proportion of negotiated procedures awarded, relative to the total number of contracts, is considered ‘distinctly higher’ than the average recorded for the institution</w:t>
      </w:r>
      <w:r w:rsidRPr="005F4295">
        <w:rPr>
          <w:rFonts w:cs="Calibri"/>
        </w:rPr>
        <w:t> </w:t>
      </w:r>
      <w:r w:rsidRPr="005F4295">
        <w:rPr>
          <w:rFonts w:cs="Arial"/>
        </w:rPr>
        <w:t>(</w:t>
      </w:r>
      <w:r w:rsidRPr="005F4295">
        <w:rPr>
          <w:rStyle w:val="FootnoteReference"/>
        </w:rPr>
        <w:footnoteReference w:id="41"/>
      </w:r>
      <w:r w:rsidRPr="005F4295">
        <w:rPr>
          <w:rFonts w:cs="Arial"/>
        </w:rPr>
        <w:t>). None of the four departments fell into this category.</w:t>
      </w:r>
    </w:p>
    <w:p w14:paraId="125F0B51" w14:textId="5C3A9CC0" w:rsidR="00EB70E0" w:rsidRPr="005F4295" w:rsidRDefault="00EB70E0" w:rsidP="00EB70E0">
      <w:pPr>
        <w:pStyle w:val="HeadingMan-NumT-AnnexesL2-11"/>
        <w:rPr>
          <w:rFonts w:ascii="EC Square Sans Pro" w:hAnsi="EC Square Sans Pro"/>
          <w:noProof/>
        </w:rPr>
      </w:pPr>
      <w:bookmarkStart w:id="107" w:name="_Toc229386287"/>
      <w:r w:rsidRPr="005F4295">
        <w:rPr>
          <w:rFonts w:ascii="EC Square Sans Pro" w:hAnsi="EC Square Sans Pro"/>
          <w:noProof/>
        </w:rPr>
        <w:t>10</w:t>
      </w:r>
      <w:r w:rsidR="000E23FB" w:rsidRPr="005F4295">
        <w:rPr>
          <w:rFonts w:ascii="EC Square Sans Pro" w:hAnsi="EC Square Sans Pro"/>
          <w:noProof/>
        </w:rPr>
        <w:t>.</w:t>
      </w:r>
      <w:r w:rsidR="006A7621" w:rsidRPr="005F4295">
        <w:rPr>
          <w:rFonts w:ascii="EC Square Sans Pro" w:hAnsi="EC Square Sans Pro"/>
          <w:noProof/>
        </w:rPr>
        <w:t>4</w:t>
      </w:r>
      <w:r w:rsidR="000F5318" w:rsidRPr="005F4295">
        <w:rPr>
          <w:rFonts w:ascii="Calibri" w:hAnsi="Calibri" w:cs="Calibri"/>
          <w:noProof/>
        </w:rPr>
        <w:t> </w:t>
      </w:r>
      <w:r w:rsidRPr="005F4295">
        <w:rPr>
          <w:rFonts w:ascii="EC Square Sans Pro" w:hAnsi="EC Square Sans Pro"/>
          <w:noProof/>
        </w:rPr>
        <w:tab/>
        <w:t>Lists of procedures by department</w:t>
      </w:r>
      <w:bookmarkEnd w:id="107"/>
    </w:p>
    <w:p w14:paraId="6341DCB8" w14:textId="7D01F927" w:rsidR="00EB70E0" w:rsidRPr="005F4295" w:rsidRDefault="00EB70E0" w:rsidP="00EB70E0">
      <w:pPr>
        <w:rPr>
          <w:noProof/>
          <w:lang w:eastAsia="zh-CN"/>
        </w:rPr>
      </w:pPr>
      <w:r w:rsidRPr="005F4295">
        <w:rPr>
          <w:noProof/>
          <w:lang w:eastAsia="zh-CN"/>
        </w:rPr>
        <w:t>The tables below present the negotiated procedures and the summary of procedures by department and legal basis (relevant section of the former Financial Regulation (Regulation (EU Euratom) 2018/1046))</w:t>
      </w:r>
      <w:r w:rsidR="00897156" w:rsidRPr="005F4295">
        <w:rPr>
          <w:noProof/>
          <w:lang w:eastAsia="zh-CN"/>
        </w:rPr>
        <w:t>,</w:t>
      </w:r>
      <w:r w:rsidRPr="005F4295">
        <w:rPr>
          <w:noProof/>
          <w:lang w:eastAsia="zh-CN"/>
        </w:rPr>
        <w:t xml:space="preserve"> as recorded in the corporate financial and accounting information systems of the Commission</w:t>
      </w:r>
      <w:r w:rsidR="00897156" w:rsidRPr="005F4295">
        <w:rPr>
          <w:rFonts w:ascii="Calibri" w:hAnsi="Calibri" w:cs="Calibri"/>
          <w:noProof/>
          <w:lang w:eastAsia="zh-CN"/>
        </w:rPr>
        <w:t>.</w:t>
      </w:r>
    </w:p>
    <w:p w14:paraId="6AFDEAF6" w14:textId="3175FEAD" w:rsidR="00151A88" w:rsidRPr="005F4295" w:rsidRDefault="00151A88" w:rsidP="00151A88">
      <w:pPr>
        <w:pStyle w:val="ListBullet"/>
        <w:numPr>
          <w:ilvl w:val="0"/>
          <w:numId w:val="30"/>
        </w:numPr>
        <w:suppressAutoHyphens/>
        <w:rPr>
          <w:lang w:eastAsia="zh-CN"/>
        </w:rPr>
      </w:pPr>
      <w:r w:rsidRPr="005F4295">
        <w:rPr>
          <w:lang w:eastAsia="zh-CN"/>
        </w:rPr>
        <w:t>Table</w:t>
      </w:r>
      <w:r w:rsidRPr="005F4295">
        <w:rPr>
          <w:rFonts w:ascii="Calibri" w:hAnsi="Calibri" w:cs="Calibri"/>
          <w:lang w:eastAsia="zh-CN"/>
        </w:rPr>
        <w:t> </w:t>
      </w:r>
      <w:r w:rsidRPr="005F4295">
        <w:rPr>
          <w:lang w:eastAsia="zh-CN"/>
        </w:rPr>
        <w:t>I presents the negotiated procedures (internal &gt;</w:t>
      </w:r>
      <w:r w:rsidRPr="005F4295">
        <w:rPr>
          <w:rFonts w:ascii="Calibri" w:hAnsi="Calibri" w:cs="Calibri"/>
          <w:lang w:eastAsia="zh-CN"/>
        </w:rPr>
        <w:t> </w:t>
      </w:r>
      <w:r w:rsidRPr="005F4295">
        <w:rPr>
          <w:lang w:eastAsia="zh-CN"/>
        </w:rPr>
        <w:t>EUR</w:t>
      </w:r>
      <w:r w:rsidRPr="005F4295">
        <w:rPr>
          <w:rFonts w:ascii="Calibri" w:hAnsi="Calibri" w:cs="Calibri"/>
          <w:lang w:eastAsia="zh-CN"/>
        </w:rPr>
        <w:t> </w:t>
      </w:r>
      <w:r w:rsidRPr="005F4295">
        <w:rPr>
          <w:lang w:eastAsia="zh-CN"/>
        </w:rPr>
        <w:t>60</w:t>
      </w:r>
      <w:r w:rsidRPr="005F4295">
        <w:rPr>
          <w:rFonts w:ascii="Calibri" w:hAnsi="Calibri" w:cs="Calibri"/>
          <w:lang w:eastAsia="zh-CN"/>
        </w:rPr>
        <w:t> </w:t>
      </w:r>
      <w:r w:rsidRPr="005F4295">
        <w:rPr>
          <w:lang w:eastAsia="zh-CN"/>
        </w:rPr>
        <w:t>000 and external &gt;</w:t>
      </w:r>
      <w:r w:rsidR="002A4899" w:rsidRPr="005F4295">
        <w:rPr>
          <w:rFonts w:ascii="Calibri" w:hAnsi="Calibri" w:cs="Calibri"/>
          <w:lang w:eastAsia="zh-CN"/>
        </w:rPr>
        <w:t> </w:t>
      </w:r>
      <w:r w:rsidRPr="005F4295">
        <w:rPr>
          <w:lang w:eastAsia="zh-CN"/>
        </w:rPr>
        <w:t>20 000) of the  departments, excluding ‘external actions’.</w:t>
      </w:r>
    </w:p>
    <w:p w14:paraId="2A2BD78E" w14:textId="070459F7" w:rsidR="00151A88" w:rsidRPr="005F4295" w:rsidRDefault="00151A88" w:rsidP="00151A88">
      <w:pPr>
        <w:pStyle w:val="ListBullet"/>
        <w:numPr>
          <w:ilvl w:val="0"/>
          <w:numId w:val="30"/>
        </w:numPr>
        <w:suppressAutoHyphens/>
        <w:rPr>
          <w:lang w:eastAsia="zh-CN"/>
        </w:rPr>
      </w:pPr>
      <w:r w:rsidRPr="005F4295">
        <w:rPr>
          <w:lang w:eastAsia="zh-CN"/>
        </w:rPr>
        <w:t>Table</w:t>
      </w:r>
      <w:r w:rsidRPr="005F4295">
        <w:rPr>
          <w:rFonts w:ascii="Calibri" w:hAnsi="Calibri" w:cs="Calibri"/>
          <w:lang w:eastAsia="zh-CN"/>
        </w:rPr>
        <w:t> </w:t>
      </w:r>
      <w:r w:rsidRPr="005F4295">
        <w:t>J</w:t>
      </w:r>
      <w:r w:rsidRPr="005F4295">
        <w:rPr>
          <w:lang w:eastAsia="zh-CN"/>
        </w:rPr>
        <w:t xml:space="preserve"> presents the negotiated procedures (internal &gt;</w:t>
      </w:r>
      <w:r w:rsidRPr="005F4295">
        <w:rPr>
          <w:rFonts w:ascii="Calibri" w:hAnsi="Calibri" w:cs="Calibri"/>
          <w:lang w:eastAsia="zh-CN"/>
        </w:rPr>
        <w:t> </w:t>
      </w:r>
      <w:r w:rsidRPr="005F4295">
        <w:rPr>
          <w:lang w:eastAsia="zh-CN"/>
        </w:rPr>
        <w:t>EUR</w:t>
      </w:r>
      <w:r w:rsidRPr="005F4295">
        <w:rPr>
          <w:rFonts w:ascii="Calibri" w:hAnsi="Calibri" w:cs="Calibri"/>
          <w:lang w:eastAsia="zh-CN"/>
        </w:rPr>
        <w:t> </w:t>
      </w:r>
      <w:r w:rsidRPr="005F4295">
        <w:rPr>
          <w:lang w:eastAsia="zh-CN"/>
        </w:rPr>
        <w:t>60</w:t>
      </w:r>
      <w:r w:rsidRPr="005F4295">
        <w:rPr>
          <w:rFonts w:ascii="Calibri" w:hAnsi="Calibri" w:cs="Calibri"/>
          <w:lang w:eastAsia="zh-CN"/>
        </w:rPr>
        <w:t> </w:t>
      </w:r>
      <w:r w:rsidRPr="005F4295">
        <w:rPr>
          <w:lang w:eastAsia="zh-CN"/>
        </w:rPr>
        <w:t>000 and external &gt;</w:t>
      </w:r>
      <w:r w:rsidR="00B24A0A" w:rsidRPr="005F4295">
        <w:rPr>
          <w:rFonts w:ascii="Calibri" w:hAnsi="Calibri" w:cs="Calibri"/>
          <w:lang w:eastAsia="zh-CN"/>
        </w:rPr>
        <w:t> </w:t>
      </w:r>
      <w:r w:rsidRPr="005F4295">
        <w:rPr>
          <w:lang w:eastAsia="zh-CN"/>
        </w:rPr>
        <w:t xml:space="preserve">20 000) of the ‘external </w:t>
      </w:r>
      <w:r w:rsidR="00B77A2B" w:rsidRPr="005F4295">
        <w:rPr>
          <w:lang w:eastAsia="zh-CN"/>
        </w:rPr>
        <w:t>actions</w:t>
      </w:r>
      <w:r w:rsidRPr="005F4295">
        <w:rPr>
          <w:lang w:eastAsia="zh-CN"/>
        </w:rPr>
        <w:t>’ departments.</w:t>
      </w:r>
    </w:p>
    <w:p w14:paraId="59B06FDD" w14:textId="77777777" w:rsidR="00EB70E0" w:rsidRPr="006E3A7E" w:rsidRDefault="00EB70E0" w:rsidP="006E3A7E">
      <w:pPr>
        <w:rPr>
          <w:highlight w:val="lightGray"/>
        </w:rPr>
      </w:pPr>
      <w:r w:rsidRPr="006E3A7E">
        <w:rPr>
          <w:highlight w:val="lightGray"/>
        </w:rPr>
        <w:br w:type="page"/>
      </w:r>
    </w:p>
    <w:p w14:paraId="60C06859" w14:textId="606E1EB9" w:rsidR="00EB70E0" w:rsidRPr="005F4295" w:rsidRDefault="00EB70E0" w:rsidP="00013B1E">
      <w:pPr>
        <w:pStyle w:val="TableTitle"/>
        <w:spacing w:after="240"/>
        <w:rPr>
          <w:noProof/>
          <w:highlight w:val="lightGray"/>
        </w:rPr>
      </w:pPr>
      <w:r w:rsidRPr="005F4295">
        <w:rPr>
          <w:noProof/>
        </w:rPr>
        <w:t>Table</w:t>
      </w:r>
      <w:r w:rsidRPr="005F4295">
        <w:rPr>
          <w:rFonts w:ascii="Calibri" w:hAnsi="Calibri" w:cs="Calibri"/>
          <w:noProof/>
        </w:rPr>
        <w:t> </w:t>
      </w:r>
      <w:r w:rsidRPr="005F4295">
        <w:rPr>
          <w:noProof/>
        </w:rPr>
        <w:t>I</w:t>
      </w:r>
      <w:r w:rsidRPr="005F4295">
        <w:rPr>
          <w:rFonts w:ascii="Calibri" w:hAnsi="Calibri" w:cs="Calibri"/>
          <w:noProof/>
        </w:rPr>
        <w:t> –</w:t>
      </w:r>
      <w:r w:rsidR="002E277A" w:rsidRPr="005F4295">
        <w:t>N</w:t>
      </w:r>
      <w:r w:rsidR="00F74D0C" w:rsidRPr="005F4295">
        <w:t>egotiated procedures of the departments, excluding ‘external actions’</w:t>
      </w:r>
    </w:p>
    <w:tbl>
      <w:tblPr>
        <w:tblStyle w:val="BodyTable2"/>
        <w:tblW w:w="5000" w:type="pct"/>
        <w:tblLayout w:type="fixed"/>
        <w:tblLook w:val="04A0" w:firstRow="1" w:lastRow="0" w:firstColumn="1" w:lastColumn="0" w:noHBand="0" w:noVBand="1"/>
      </w:tblPr>
      <w:tblGrid>
        <w:gridCol w:w="4536"/>
        <w:gridCol w:w="1513"/>
        <w:gridCol w:w="3022"/>
      </w:tblGrid>
      <w:tr w:rsidR="000F7546" w:rsidRPr="005F4295" w14:paraId="3389F408" w14:textId="77777777" w:rsidTr="00650F13">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003399" w:themeFill="text2"/>
            <w:noWrap/>
            <w:vAlign w:val="center"/>
            <w:hideMark/>
          </w:tcPr>
          <w:p w14:paraId="7548B9F3" w14:textId="77777777" w:rsidR="000F7546" w:rsidRPr="005F4295" w:rsidRDefault="000F7546">
            <w:pPr>
              <w:jc w:val="left"/>
              <w:rPr>
                <w:color w:val="FFFFFF" w:themeColor="background1"/>
                <w:lang w:eastAsia="zh-CN"/>
              </w:rPr>
            </w:pPr>
            <w:r w:rsidRPr="005F4295">
              <w:rPr>
                <w:color w:val="FFFFFF" w:themeColor="background1"/>
                <w:lang w:eastAsia="zh-CN"/>
              </w:rPr>
              <w:t>By department and legal basis</w:t>
            </w:r>
          </w:p>
        </w:tc>
        <w:tc>
          <w:tcPr>
            <w:tcW w:w="834" w:type="pct"/>
            <w:tcBorders>
              <w:left w:val="single" w:sz="4" w:space="0" w:color="D9D9D9" w:themeColor="background1" w:themeShade="D9"/>
              <w:bottom w:val="single" w:sz="4" w:space="0" w:color="8C8C8C"/>
              <w:right w:val="single" w:sz="4" w:space="0" w:color="D9D9D9" w:themeColor="background1" w:themeShade="D9"/>
            </w:tcBorders>
            <w:shd w:val="clear" w:color="auto" w:fill="003399" w:themeFill="text2"/>
            <w:noWrap/>
            <w:vAlign w:val="center"/>
            <w:hideMark/>
          </w:tcPr>
          <w:p w14:paraId="0212A075" w14:textId="77777777" w:rsidR="000F7546" w:rsidRPr="005F4295" w:rsidRDefault="000F7546" w:rsidP="00650F13">
            <w:pPr>
              <w:cnfStyle w:val="100000000000" w:firstRow="1" w:lastRow="0" w:firstColumn="0" w:lastColumn="0" w:oddVBand="0" w:evenVBand="0" w:oddHBand="0" w:evenHBand="0" w:firstRowFirstColumn="0" w:firstRowLastColumn="0" w:lastRowFirstColumn="0" w:lastRowLastColumn="0"/>
              <w:rPr>
                <w:b w:val="0"/>
                <w:color w:val="FFFFFF" w:themeColor="background1"/>
                <w:lang w:eastAsia="zh-CN"/>
              </w:rPr>
            </w:pPr>
            <w:r w:rsidRPr="005F4295">
              <w:rPr>
                <w:color w:val="FFFFFF" w:themeColor="background1"/>
                <w:lang w:eastAsia="zh-CN"/>
              </w:rPr>
              <w:t>In number</w:t>
            </w:r>
          </w:p>
        </w:tc>
        <w:tc>
          <w:tcPr>
            <w:tcW w:w="1666" w:type="pct"/>
            <w:tcBorders>
              <w:left w:val="single" w:sz="4" w:space="0" w:color="D9D9D9" w:themeColor="background1" w:themeShade="D9"/>
            </w:tcBorders>
            <w:shd w:val="clear" w:color="auto" w:fill="003399" w:themeFill="text2"/>
            <w:noWrap/>
            <w:vAlign w:val="center"/>
            <w:hideMark/>
          </w:tcPr>
          <w:p w14:paraId="1FA261AD" w14:textId="77777777" w:rsidR="000F7546" w:rsidRPr="005F4295" w:rsidRDefault="000F7546">
            <w:pPr>
              <w:cnfStyle w:val="100000000000" w:firstRow="1" w:lastRow="0" w:firstColumn="0" w:lastColumn="0" w:oddVBand="0" w:evenVBand="0" w:oddHBand="0" w:evenHBand="0" w:firstRowFirstColumn="0" w:firstRowLastColumn="0" w:lastRowFirstColumn="0" w:lastRowLastColumn="0"/>
              <w:rPr>
                <w:b w:val="0"/>
                <w:color w:val="FFFFFF" w:themeColor="background1"/>
                <w:lang w:eastAsia="zh-CN"/>
              </w:rPr>
            </w:pPr>
            <w:r w:rsidRPr="005F4295">
              <w:rPr>
                <w:color w:val="FFFFFF" w:themeColor="background1"/>
                <w:lang w:eastAsia="zh-CN"/>
              </w:rPr>
              <w:t>In value (EUR)</w:t>
            </w:r>
          </w:p>
        </w:tc>
      </w:tr>
      <w:tr w:rsidR="000F7546" w:rsidRPr="005F4295" w14:paraId="14B17B84"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4E639AA4" w14:textId="77777777" w:rsidR="000F7546" w:rsidRPr="005F4295" w:rsidRDefault="000F7546">
            <w:pPr>
              <w:rPr>
                <w:lang w:eastAsia="zh-CN"/>
              </w:rPr>
            </w:pPr>
            <w:r w:rsidRPr="005F4295">
              <w:rPr>
                <w:lang w:eastAsia="zh-CN"/>
              </w:rPr>
              <w:t>DG Budget</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5E306735"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b/>
                <w:color w:val="003399" w:themeColor="text2"/>
                <w:lang w:eastAsia="zh-CN"/>
              </w:rPr>
              <w:t>4</w:t>
            </w:r>
          </w:p>
        </w:tc>
        <w:tc>
          <w:tcPr>
            <w:tcW w:w="1666" w:type="pct"/>
            <w:tcBorders>
              <w:left w:val="single" w:sz="4" w:space="0" w:color="D9D9D9" w:themeColor="background1" w:themeShade="D9"/>
            </w:tcBorders>
            <w:shd w:val="clear" w:color="auto" w:fill="FFFFFF" w:themeFill="background1"/>
            <w:noWrap/>
            <w:vAlign w:val="center"/>
          </w:tcPr>
          <w:p w14:paraId="01F45019" w14:textId="4E98BA6F"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b/>
                <w:color w:val="003399" w:themeColor="text2"/>
                <w:lang w:eastAsia="zh-CN"/>
              </w:rPr>
              <w:t>42</w:t>
            </w:r>
            <w:r w:rsidR="00B24A0A" w:rsidRPr="005F4295">
              <w:rPr>
                <w:rFonts w:ascii="Calibri" w:hAnsi="Calibri" w:cs="Calibri"/>
                <w:b/>
                <w:color w:val="003399" w:themeColor="text2"/>
                <w:lang w:eastAsia="zh-CN"/>
              </w:rPr>
              <w:t> </w:t>
            </w:r>
            <w:r w:rsidRPr="005F4295">
              <w:rPr>
                <w:b/>
                <w:color w:val="003399" w:themeColor="text2"/>
                <w:lang w:eastAsia="zh-CN"/>
              </w:rPr>
              <w:t>830</w:t>
            </w:r>
            <w:r w:rsidRPr="005F4295">
              <w:rPr>
                <w:rFonts w:ascii="Calibri" w:hAnsi="Calibri" w:cs="Calibri"/>
                <w:b/>
                <w:color w:val="003399" w:themeColor="text2"/>
                <w:lang w:eastAsia="zh-CN"/>
              </w:rPr>
              <w:t> </w:t>
            </w:r>
            <w:r w:rsidRPr="005F4295">
              <w:rPr>
                <w:b/>
                <w:color w:val="003399" w:themeColor="text2"/>
                <w:lang w:eastAsia="zh-CN"/>
              </w:rPr>
              <w:t xml:space="preserve">000.00 </w:t>
            </w:r>
          </w:p>
        </w:tc>
      </w:tr>
      <w:tr w:rsidR="000F7546" w:rsidRPr="005F4295" w14:paraId="418F15EF"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77DC45C7" w14:textId="77777777" w:rsidR="000F7546" w:rsidRPr="005F4295" w:rsidRDefault="000F7546">
            <w:pPr>
              <w:rPr>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586DD76E"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4</w:t>
            </w:r>
          </w:p>
        </w:tc>
        <w:tc>
          <w:tcPr>
            <w:tcW w:w="1666" w:type="pct"/>
            <w:tcBorders>
              <w:left w:val="single" w:sz="4" w:space="0" w:color="D9D9D9" w:themeColor="background1" w:themeShade="D9"/>
            </w:tcBorders>
            <w:shd w:val="clear" w:color="auto" w:fill="FFFFFF" w:themeFill="background1"/>
            <w:noWrap/>
            <w:vAlign w:val="center"/>
          </w:tcPr>
          <w:p w14:paraId="08EE85C9" w14:textId="54350BFD"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sz w:val="18"/>
                <w:szCs w:val="18"/>
                <w:lang w:eastAsia="zh-CN"/>
              </w:rPr>
              <w:t>42</w:t>
            </w:r>
            <w:r w:rsidR="00B24A0A" w:rsidRPr="005F4295">
              <w:rPr>
                <w:rFonts w:ascii="Calibri" w:hAnsi="Calibri" w:cs="Calibri"/>
                <w:sz w:val="18"/>
                <w:szCs w:val="18"/>
                <w:lang w:eastAsia="zh-CN"/>
              </w:rPr>
              <w:t> </w:t>
            </w:r>
            <w:r w:rsidRPr="005F4295">
              <w:rPr>
                <w:sz w:val="18"/>
                <w:szCs w:val="18"/>
                <w:lang w:eastAsia="zh-CN"/>
              </w:rPr>
              <w:t>830</w:t>
            </w:r>
            <w:r w:rsidRPr="005F4295">
              <w:rPr>
                <w:rFonts w:ascii="Calibri" w:hAnsi="Calibri" w:cs="Calibri"/>
                <w:sz w:val="18"/>
                <w:szCs w:val="18"/>
                <w:lang w:eastAsia="zh-CN"/>
              </w:rPr>
              <w:t> </w:t>
            </w:r>
            <w:r w:rsidRPr="005F4295">
              <w:rPr>
                <w:sz w:val="18"/>
                <w:szCs w:val="18"/>
                <w:lang w:eastAsia="zh-CN"/>
              </w:rPr>
              <w:t xml:space="preserve">000.00 </w:t>
            </w:r>
          </w:p>
        </w:tc>
      </w:tr>
      <w:tr w:rsidR="000F7546" w:rsidRPr="005F4295" w14:paraId="25201CAC"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29494838" w14:textId="77777777" w:rsidR="000F7546" w:rsidRPr="005F4295" w:rsidRDefault="000F7546">
            <w:pPr>
              <w:rPr>
                <w:sz w:val="18"/>
                <w:szCs w:val="18"/>
                <w:lang w:eastAsia="zh-CN"/>
              </w:rPr>
            </w:pPr>
            <w:r w:rsidRPr="005F4295">
              <w:rPr>
                <w:lang w:eastAsia="zh-CN"/>
              </w:rPr>
              <w:t>DG Climate Action</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7B645060"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3</w:t>
            </w:r>
          </w:p>
        </w:tc>
        <w:tc>
          <w:tcPr>
            <w:tcW w:w="1666" w:type="pct"/>
            <w:tcBorders>
              <w:left w:val="single" w:sz="4" w:space="0" w:color="D9D9D9" w:themeColor="background1" w:themeShade="D9"/>
            </w:tcBorders>
            <w:shd w:val="clear" w:color="auto" w:fill="FFFFFF" w:themeFill="background1"/>
            <w:noWrap/>
            <w:vAlign w:val="center"/>
          </w:tcPr>
          <w:p w14:paraId="526C7061" w14:textId="044DAF06"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10</w:t>
            </w:r>
            <w:r w:rsidR="00B24A0A" w:rsidRPr="005F4295">
              <w:rPr>
                <w:rFonts w:ascii="Calibri" w:hAnsi="Calibri" w:cs="Calibri"/>
                <w:sz w:val="18"/>
                <w:szCs w:val="18"/>
                <w:lang w:eastAsia="zh-CN"/>
              </w:rPr>
              <w:t> </w:t>
            </w:r>
            <w:r w:rsidRPr="005F4295">
              <w:rPr>
                <w:b/>
                <w:color w:val="003399" w:themeColor="text2"/>
                <w:lang w:eastAsia="zh-CN"/>
              </w:rPr>
              <w:t>683</w:t>
            </w:r>
            <w:r w:rsidR="00B24A0A" w:rsidRPr="005F4295">
              <w:rPr>
                <w:rFonts w:ascii="Calibri" w:hAnsi="Calibri" w:cs="Calibri"/>
                <w:sz w:val="18"/>
                <w:szCs w:val="18"/>
                <w:lang w:eastAsia="zh-CN"/>
              </w:rPr>
              <w:t> </w:t>
            </w:r>
            <w:r w:rsidRPr="005F4295">
              <w:rPr>
                <w:b/>
                <w:color w:val="003399" w:themeColor="text2"/>
                <w:lang w:eastAsia="zh-CN"/>
              </w:rPr>
              <w:t xml:space="preserve">489.96 </w:t>
            </w:r>
          </w:p>
        </w:tc>
      </w:tr>
      <w:tr w:rsidR="000F7546" w:rsidRPr="005F4295" w14:paraId="741C9D41"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5BF8A762"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6D3A3D94"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shd w:val="clear" w:color="auto" w:fill="FFFFFF" w:themeFill="background1"/>
            <w:noWrap/>
            <w:vAlign w:val="center"/>
          </w:tcPr>
          <w:p w14:paraId="6E5954F1" w14:textId="425F5F49"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10</w:t>
            </w:r>
            <w:r w:rsidR="00B24A0A" w:rsidRPr="005F4295">
              <w:rPr>
                <w:rFonts w:ascii="Calibri" w:hAnsi="Calibri" w:cs="Calibri"/>
                <w:sz w:val="18"/>
                <w:szCs w:val="18"/>
                <w:lang w:eastAsia="zh-CN"/>
              </w:rPr>
              <w:t> </w:t>
            </w:r>
            <w:r w:rsidRPr="005F4295">
              <w:rPr>
                <w:sz w:val="18"/>
                <w:szCs w:val="18"/>
                <w:lang w:eastAsia="zh-CN"/>
              </w:rPr>
              <w:t>000</w:t>
            </w:r>
            <w:r w:rsidR="00B24A0A" w:rsidRPr="005F4295">
              <w:rPr>
                <w:rFonts w:ascii="Calibri" w:hAnsi="Calibri" w:cs="Calibri"/>
                <w:sz w:val="18"/>
                <w:szCs w:val="18"/>
                <w:lang w:eastAsia="zh-CN"/>
              </w:rPr>
              <w:t> </w:t>
            </w:r>
            <w:r w:rsidRPr="005F4295">
              <w:rPr>
                <w:sz w:val="18"/>
                <w:szCs w:val="18"/>
                <w:lang w:eastAsia="zh-CN"/>
              </w:rPr>
              <w:t xml:space="preserve">000.00 </w:t>
            </w:r>
          </w:p>
        </w:tc>
      </w:tr>
      <w:tr w:rsidR="000F7546" w:rsidRPr="005F4295" w14:paraId="05494439"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08C9C2A0"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3F3C18EA"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2</w:t>
            </w:r>
          </w:p>
        </w:tc>
        <w:tc>
          <w:tcPr>
            <w:tcW w:w="1666" w:type="pct"/>
            <w:tcBorders>
              <w:left w:val="single" w:sz="4" w:space="0" w:color="D9D9D9" w:themeColor="background1" w:themeShade="D9"/>
            </w:tcBorders>
            <w:shd w:val="clear" w:color="auto" w:fill="FFFFFF" w:themeFill="background1"/>
            <w:noWrap/>
            <w:vAlign w:val="center"/>
          </w:tcPr>
          <w:p w14:paraId="7F94A9F6" w14:textId="5FD75599"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683</w:t>
            </w:r>
            <w:r w:rsidR="00B24A0A" w:rsidRPr="005F4295">
              <w:rPr>
                <w:rFonts w:ascii="Calibri" w:hAnsi="Calibri" w:cs="Calibri"/>
                <w:sz w:val="18"/>
                <w:szCs w:val="18"/>
                <w:lang w:eastAsia="zh-CN"/>
              </w:rPr>
              <w:t> </w:t>
            </w:r>
            <w:r w:rsidRPr="005F4295">
              <w:rPr>
                <w:sz w:val="18"/>
                <w:szCs w:val="18"/>
                <w:lang w:eastAsia="zh-CN"/>
              </w:rPr>
              <w:t>489.96</w:t>
            </w:r>
          </w:p>
        </w:tc>
      </w:tr>
      <w:tr w:rsidR="000F7546" w:rsidRPr="005F4295" w14:paraId="4B4B3837"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66CAE9F0" w14:textId="77777777" w:rsidR="000F7546" w:rsidRPr="005F4295" w:rsidRDefault="000F7546">
            <w:pPr>
              <w:rPr>
                <w:lang w:eastAsia="zh-CN"/>
              </w:rPr>
            </w:pPr>
            <w:r w:rsidRPr="005F4295">
              <w:rPr>
                <w:lang w:eastAsia="zh-CN"/>
              </w:rPr>
              <w:t>DG Communication</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117D94FA"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11</w:t>
            </w:r>
          </w:p>
        </w:tc>
        <w:tc>
          <w:tcPr>
            <w:tcW w:w="1666" w:type="pct"/>
            <w:tcBorders>
              <w:left w:val="single" w:sz="4" w:space="0" w:color="D9D9D9" w:themeColor="background1" w:themeShade="D9"/>
            </w:tcBorders>
            <w:shd w:val="clear" w:color="auto" w:fill="FFFFFF" w:themeFill="background1"/>
            <w:noWrap/>
            <w:vAlign w:val="center"/>
          </w:tcPr>
          <w:p w14:paraId="19C8E6CE" w14:textId="6FE2B614"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31</w:t>
            </w:r>
            <w:r w:rsidR="006B35CC" w:rsidRPr="005F4295">
              <w:rPr>
                <w:rFonts w:ascii="Calibri" w:hAnsi="Calibri" w:cs="Calibri"/>
                <w:sz w:val="18"/>
                <w:szCs w:val="18"/>
                <w:lang w:eastAsia="zh-CN"/>
              </w:rPr>
              <w:t> </w:t>
            </w:r>
            <w:r w:rsidRPr="005F4295">
              <w:rPr>
                <w:b/>
                <w:color w:val="003399" w:themeColor="text2"/>
                <w:lang w:eastAsia="zh-CN"/>
              </w:rPr>
              <w:t>600</w:t>
            </w:r>
            <w:r w:rsidR="006B35CC" w:rsidRPr="005F4295">
              <w:rPr>
                <w:rFonts w:ascii="Calibri" w:hAnsi="Calibri" w:cs="Calibri"/>
                <w:sz w:val="18"/>
                <w:szCs w:val="18"/>
                <w:lang w:eastAsia="zh-CN"/>
              </w:rPr>
              <w:t> </w:t>
            </w:r>
            <w:r w:rsidRPr="005F4295">
              <w:rPr>
                <w:b/>
                <w:color w:val="003399" w:themeColor="text2"/>
                <w:lang w:eastAsia="zh-CN"/>
              </w:rPr>
              <w:t>703.75</w:t>
            </w:r>
          </w:p>
        </w:tc>
      </w:tr>
      <w:tr w:rsidR="000F7546" w:rsidRPr="005F4295" w14:paraId="47163EB9"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hideMark/>
          </w:tcPr>
          <w:p w14:paraId="1FB8657B" w14:textId="77777777" w:rsidR="000F7546" w:rsidRPr="005F4295" w:rsidRDefault="000F7546">
            <w:pPr>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834" w:type="pct"/>
            <w:tcBorders>
              <w:left w:val="single" w:sz="4" w:space="0" w:color="D9D9D9" w:themeColor="background1" w:themeShade="D9"/>
              <w:right w:val="single" w:sz="4" w:space="0" w:color="D9D9D9" w:themeColor="background1" w:themeShade="D9"/>
            </w:tcBorders>
            <w:noWrap/>
            <w:vAlign w:val="center"/>
            <w:hideMark/>
          </w:tcPr>
          <w:p w14:paraId="0019EED0"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7</w:t>
            </w:r>
          </w:p>
        </w:tc>
        <w:tc>
          <w:tcPr>
            <w:tcW w:w="1666" w:type="pct"/>
            <w:tcBorders>
              <w:left w:val="single" w:sz="4" w:space="0" w:color="D9D9D9" w:themeColor="background1" w:themeShade="D9"/>
            </w:tcBorders>
            <w:noWrap/>
            <w:vAlign w:val="center"/>
            <w:hideMark/>
          </w:tcPr>
          <w:p w14:paraId="7DEB4DD7" w14:textId="51D7058C"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31</w:t>
            </w:r>
            <w:r w:rsidR="006B35CC" w:rsidRPr="005F4295">
              <w:rPr>
                <w:rFonts w:ascii="Calibri" w:hAnsi="Calibri" w:cs="Calibri"/>
                <w:sz w:val="18"/>
                <w:szCs w:val="18"/>
                <w:lang w:eastAsia="zh-CN"/>
              </w:rPr>
              <w:t> </w:t>
            </w:r>
            <w:r w:rsidRPr="005F4295">
              <w:rPr>
                <w:sz w:val="18"/>
                <w:szCs w:val="18"/>
                <w:lang w:eastAsia="zh-CN"/>
              </w:rPr>
              <w:t>245</w:t>
            </w:r>
            <w:r w:rsidR="006B35CC" w:rsidRPr="005F4295">
              <w:rPr>
                <w:rFonts w:ascii="Calibri" w:hAnsi="Calibri" w:cs="Calibri"/>
                <w:sz w:val="18"/>
                <w:szCs w:val="18"/>
                <w:lang w:eastAsia="zh-CN"/>
              </w:rPr>
              <w:t> </w:t>
            </w:r>
            <w:r w:rsidRPr="005F4295">
              <w:rPr>
                <w:sz w:val="18"/>
                <w:szCs w:val="18"/>
                <w:lang w:eastAsia="zh-CN"/>
              </w:rPr>
              <w:t xml:space="preserve">541.20 </w:t>
            </w:r>
          </w:p>
        </w:tc>
      </w:tr>
      <w:tr w:rsidR="000F7546" w:rsidRPr="005F4295" w14:paraId="51F995A1"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hideMark/>
          </w:tcPr>
          <w:p w14:paraId="3B710C02" w14:textId="77777777" w:rsidR="000F7546" w:rsidRPr="005F4295" w:rsidRDefault="000F7546">
            <w:pPr>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a)</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Follow-up of an open/restricted procedure where no (or no suitable) </w:t>
            </w:r>
            <w:r w:rsidRPr="005F4295">
              <w:rPr>
                <w:b w:val="0"/>
                <w:bCs/>
                <w:color w:val="auto"/>
                <w:sz w:val="18"/>
                <w:szCs w:val="18"/>
                <w:lang w:eastAsia="zh-CN"/>
              </w:rPr>
              <w:t>tenders</w:t>
            </w:r>
            <w:r w:rsidRPr="005F4295">
              <w:rPr>
                <w:rFonts w:ascii="Calibri" w:hAnsi="Calibri" w:cs="Calibri"/>
                <w:b w:val="0"/>
                <w:bCs/>
                <w:color w:val="auto"/>
                <w:sz w:val="18"/>
                <w:szCs w:val="18"/>
                <w:lang w:eastAsia="zh-CN"/>
              </w:rPr>
              <w:t> </w:t>
            </w:r>
            <w:r w:rsidRPr="005F4295">
              <w:rPr>
                <w:b w:val="0"/>
                <w:bCs/>
                <w:color w:val="auto"/>
                <w:sz w:val="18"/>
                <w:szCs w:val="18"/>
                <w:lang w:eastAsia="zh-CN"/>
              </w:rPr>
              <w:t>/ requests</w:t>
            </w:r>
            <w:r w:rsidRPr="005F4295">
              <w:rPr>
                <w:b w:val="0"/>
                <w:color w:val="auto"/>
                <w:sz w:val="18"/>
                <w:szCs w:val="18"/>
                <w:lang w:eastAsia="zh-CN"/>
              </w:rPr>
              <w:t xml:space="preserve"> to participate have been submitted</w:t>
            </w:r>
          </w:p>
        </w:tc>
        <w:tc>
          <w:tcPr>
            <w:tcW w:w="834" w:type="pct"/>
            <w:tcBorders>
              <w:left w:val="single" w:sz="4" w:space="0" w:color="D9D9D9" w:themeColor="background1" w:themeShade="D9"/>
              <w:right w:val="single" w:sz="4" w:space="0" w:color="D9D9D9" w:themeColor="background1" w:themeShade="D9"/>
            </w:tcBorders>
            <w:noWrap/>
            <w:vAlign w:val="center"/>
            <w:hideMark/>
          </w:tcPr>
          <w:p w14:paraId="7AE68988"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hideMark/>
          </w:tcPr>
          <w:p w14:paraId="79371A51" w14:textId="77777777"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120</w:t>
            </w:r>
            <w:r w:rsidRPr="005F4295">
              <w:rPr>
                <w:rFonts w:ascii="Calibri" w:hAnsi="Calibri" w:cs="Calibri"/>
                <w:bCs/>
                <w:sz w:val="18"/>
                <w:szCs w:val="18"/>
                <w:lang w:eastAsia="zh-CN"/>
              </w:rPr>
              <w:t> </w:t>
            </w:r>
            <w:r w:rsidRPr="005F4295">
              <w:rPr>
                <w:sz w:val="18"/>
                <w:szCs w:val="18"/>
                <w:lang w:eastAsia="zh-CN"/>
              </w:rPr>
              <w:t xml:space="preserve">000.00 </w:t>
            </w:r>
          </w:p>
        </w:tc>
      </w:tr>
      <w:tr w:rsidR="000F7546" w:rsidRPr="005F4295" w14:paraId="183D4E16" w14:textId="77777777" w:rsidTr="00650F13">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hideMark/>
          </w:tcPr>
          <w:p w14:paraId="6EEE133C" w14:textId="77777777" w:rsidR="000F7546" w:rsidRPr="005F4295" w:rsidRDefault="000F7546">
            <w:pPr>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noWrap/>
            <w:vAlign w:val="center"/>
            <w:hideMark/>
          </w:tcPr>
          <w:p w14:paraId="3E64C528"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3</w:t>
            </w:r>
          </w:p>
        </w:tc>
        <w:tc>
          <w:tcPr>
            <w:tcW w:w="1666" w:type="pct"/>
            <w:tcBorders>
              <w:left w:val="single" w:sz="4" w:space="0" w:color="D9D9D9" w:themeColor="background1" w:themeShade="D9"/>
            </w:tcBorders>
            <w:noWrap/>
            <w:vAlign w:val="center"/>
            <w:hideMark/>
          </w:tcPr>
          <w:p w14:paraId="3AEC59C9" w14:textId="40FCA2A0"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235</w:t>
            </w:r>
            <w:r w:rsidR="006B35CC" w:rsidRPr="005F4295">
              <w:rPr>
                <w:rFonts w:ascii="Calibri" w:hAnsi="Calibri" w:cs="Calibri"/>
                <w:sz w:val="18"/>
                <w:szCs w:val="18"/>
                <w:lang w:eastAsia="zh-CN"/>
              </w:rPr>
              <w:t> </w:t>
            </w:r>
            <w:r w:rsidRPr="005F4295">
              <w:rPr>
                <w:sz w:val="18"/>
                <w:szCs w:val="18"/>
                <w:lang w:eastAsia="zh-CN"/>
              </w:rPr>
              <w:t xml:space="preserve">162.55 </w:t>
            </w:r>
          </w:p>
        </w:tc>
      </w:tr>
      <w:tr w:rsidR="000F7546" w:rsidRPr="005F4295" w14:paraId="7217006A" w14:textId="77777777" w:rsidTr="00650F13">
        <w:trPr>
          <w:cnfStyle w:val="000000010000" w:firstRow="0" w:lastRow="0" w:firstColumn="0" w:lastColumn="0" w:oddVBand="0" w:evenVBand="0" w:oddHBand="0" w:evenHBand="1"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02E96236" w14:textId="77777777" w:rsidR="000F7546" w:rsidRPr="005F4295" w:rsidRDefault="000F7546">
            <w:pPr>
              <w:rPr>
                <w:sz w:val="18"/>
                <w:szCs w:val="18"/>
                <w:lang w:eastAsia="zh-CN"/>
              </w:rPr>
            </w:pPr>
            <w:r w:rsidRPr="005F4295">
              <w:rPr>
                <w:lang w:eastAsia="zh-CN"/>
              </w:rPr>
              <w:t>DG Communications Networks, Content and Technology</w:t>
            </w:r>
          </w:p>
        </w:tc>
        <w:tc>
          <w:tcPr>
            <w:tcW w:w="834" w:type="pct"/>
            <w:tcBorders>
              <w:left w:val="single" w:sz="4" w:space="0" w:color="D9D9D9" w:themeColor="background1" w:themeShade="D9"/>
              <w:right w:val="single" w:sz="4" w:space="0" w:color="D9D9D9" w:themeColor="background1" w:themeShade="D9"/>
            </w:tcBorders>
            <w:noWrap/>
            <w:vAlign w:val="center"/>
          </w:tcPr>
          <w:p w14:paraId="4E695848"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1</w:t>
            </w:r>
          </w:p>
        </w:tc>
        <w:tc>
          <w:tcPr>
            <w:tcW w:w="1666" w:type="pct"/>
            <w:tcBorders>
              <w:left w:val="single" w:sz="4" w:space="0" w:color="D9D9D9" w:themeColor="background1" w:themeShade="D9"/>
            </w:tcBorders>
            <w:noWrap/>
            <w:vAlign w:val="center"/>
          </w:tcPr>
          <w:p w14:paraId="3A6C9182" w14:textId="36F7BB01"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998</w:t>
            </w:r>
            <w:r w:rsidR="006B35CC" w:rsidRPr="005F4295">
              <w:rPr>
                <w:rFonts w:ascii="Calibri" w:hAnsi="Calibri" w:cs="Calibri"/>
                <w:sz w:val="18"/>
                <w:szCs w:val="18"/>
                <w:lang w:eastAsia="zh-CN"/>
              </w:rPr>
              <w:t> </w:t>
            </w:r>
            <w:r w:rsidRPr="005F4295">
              <w:rPr>
                <w:b/>
                <w:color w:val="003399" w:themeColor="text2"/>
                <w:lang w:eastAsia="zh-CN"/>
              </w:rPr>
              <w:t>157.00</w:t>
            </w:r>
          </w:p>
        </w:tc>
      </w:tr>
      <w:tr w:rsidR="000F7546" w:rsidRPr="005F4295" w14:paraId="57C23354" w14:textId="77777777" w:rsidTr="00650F13">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7777DAB1"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834" w:type="pct"/>
            <w:tcBorders>
              <w:left w:val="single" w:sz="4" w:space="0" w:color="D9D9D9" w:themeColor="background1" w:themeShade="D9"/>
              <w:right w:val="single" w:sz="4" w:space="0" w:color="D9D9D9" w:themeColor="background1" w:themeShade="D9"/>
            </w:tcBorders>
            <w:noWrap/>
            <w:vAlign w:val="center"/>
          </w:tcPr>
          <w:p w14:paraId="4C0D9FA0"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41B1A98C" w14:textId="58CDD7E6"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998</w:t>
            </w:r>
            <w:r w:rsidR="006B35CC" w:rsidRPr="005F4295">
              <w:rPr>
                <w:rFonts w:ascii="Calibri" w:hAnsi="Calibri" w:cs="Calibri"/>
                <w:sz w:val="18"/>
                <w:szCs w:val="18"/>
                <w:lang w:eastAsia="zh-CN"/>
              </w:rPr>
              <w:t> </w:t>
            </w:r>
            <w:r w:rsidRPr="005F4295">
              <w:rPr>
                <w:sz w:val="18"/>
                <w:szCs w:val="18"/>
                <w:lang w:eastAsia="zh-CN"/>
              </w:rPr>
              <w:t>157.00</w:t>
            </w:r>
          </w:p>
        </w:tc>
      </w:tr>
      <w:tr w:rsidR="000F7546" w:rsidRPr="005F4295" w14:paraId="0F94EC79" w14:textId="77777777" w:rsidTr="00650F13">
        <w:trPr>
          <w:cnfStyle w:val="000000010000" w:firstRow="0" w:lastRow="0" w:firstColumn="0" w:lastColumn="0" w:oddVBand="0" w:evenVBand="0" w:oddHBand="0" w:evenHBand="1"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503804B1" w14:textId="77777777" w:rsidR="000F7546" w:rsidRPr="005F4295" w:rsidRDefault="000F7546">
            <w:pPr>
              <w:rPr>
                <w:sz w:val="18"/>
                <w:szCs w:val="18"/>
                <w:lang w:eastAsia="zh-CN"/>
              </w:rPr>
            </w:pPr>
            <w:r w:rsidRPr="005F4295">
              <w:rPr>
                <w:lang w:eastAsia="zh-CN"/>
              </w:rPr>
              <w:t>DG Digital Services</w:t>
            </w:r>
          </w:p>
        </w:tc>
        <w:tc>
          <w:tcPr>
            <w:tcW w:w="834" w:type="pct"/>
            <w:tcBorders>
              <w:left w:val="single" w:sz="4" w:space="0" w:color="D9D9D9" w:themeColor="background1" w:themeShade="D9"/>
              <w:right w:val="single" w:sz="4" w:space="0" w:color="D9D9D9" w:themeColor="background1" w:themeShade="D9"/>
            </w:tcBorders>
            <w:noWrap/>
            <w:vAlign w:val="center"/>
          </w:tcPr>
          <w:p w14:paraId="1018D8B7"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4</w:t>
            </w:r>
          </w:p>
        </w:tc>
        <w:tc>
          <w:tcPr>
            <w:tcW w:w="1666" w:type="pct"/>
            <w:tcBorders>
              <w:left w:val="single" w:sz="4" w:space="0" w:color="D9D9D9" w:themeColor="background1" w:themeShade="D9"/>
            </w:tcBorders>
            <w:noWrap/>
            <w:vAlign w:val="center"/>
          </w:tcPr>
          <w:p w14:paraId="243E92DD" w14:textId="0B3A18B5"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1</w:t>
            </w:r>
            <w:r w:rsidR="006B35CC" w:rsidRPr="005F4295">
              <w:rPr>
                <w:rFonts w:ascii="Calibri" w:hAnsi="Calibri" w:cs="Calibri"/>
                <w:sz w:val="18"/>
                <w:szCs w:val="18"/>
                <w:lang w:eastAsia="zh-CN"/>
              </w:rPr>
              <w:t> </w:t>
            </w:r>
            <w:r w:rsidRPr="005F4295">
              <w:rPr>
                <w:b/>
                <w:color w:val="003399" w:themeColor="text2"/>
                <w:lang w:eastAsia="zh-CN"/>
              </w:rPr>
              <w:t>559</w:t>
            </w:r>
            <w:r w:rsidR="006B35CC" w:rsidRPr="005F4295">
              <w:rPr>
                <w:rFonts w:ascii="Calibri" w:hAnsi="Calibri" w:cs="Calibri"/>
                <w:sz w:val="18"/>
                <w:szCs w:val="18"/>
                <w:lang w:eastAsia="zh-CN"/>
              </w:rPr>
              <w:t> </w:t>
            </w:r>
            <w:r w:rsidRPr="005F4295">
              <w:rPr>
                <w:b/>
                <w:color w:val="003399" w:themeColor="text2"/>
                <w:lang w:eastAsia="zh-CN"/>
              </w:rPr>
              <w:t>338</w:t>
            </w:r>
            <w:r w:rsidR="006B35CC" w:rsidRPr="005F4295">
              <w:rPr>
                <w:rFonts w:ascii="Calibri" w:hAnsi="Calibri" w:cs="Calibri"/>
                <w:sz w:val="18"/>
                <w:szCs w:val="18"/>
                <w:lang w:eastAsia="zh-CN"/>
              </w:rPr>
              <w:t> </w:t>
            </w:r>
            <w:r w:rsidRPr="005F4295">
              <w:rPr>
                <w:b/>
                <w:color w:val="003399" w:themeColor="text2"/>
                <w:lang w:eastAsia="zh-CN"/>
              </w:rPr>
              <w:t xml:space="preserve">477.18 </w:t>
            </w:r>
          </w:p>
        </w:tc>
      </w:tr>
      <w:tr w:rsidR="000F7546" w:rsidRPr="005F4295" w14:paraId="2542C92F" w14:textId="77777777" w:rsidTr="00650F13">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5F409CAC"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noWrap/>
            <w:vAlign w:val="center"/>
          </w:tcPr>
          <w:p w14:paraId="4CC74D99"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3</w:t>
            </w:r>
          </w:p>
        </w:tc>
        <w:tc>
          <w:tcPr>
            <w:tcW w:w="1666" w:type="pct"/>
            <w:tcBorders>
              <w:left w:val="single" w:sz="4" w:space="0" w:color="D9D9D9" w:themeColor="background1" w:themeShade="D9"/>
            </w:tcBorders>
            <w:noWrap/>
            <w:vAlign w:val="center"/>
          </w:tcPr>
          <w:p w14:paraId="14F8BBA1" w14:textId="01562407"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866</w:t>
            </w:r>
            <w:r w:rsidR="006B35CC" w:rsidRPr="005F4295">
              <w:rPr>
                <w:rFonts w:ascii="Calibri" w:hAnsi="Calibri" w:cs="Calibri"/>
                <w:sz w:val="18"/>
                <w:szCs w:val="18"/>
                <w:lang w:eastAsia="zh-CN"/>
              </w:rPr>
              <w:t> </w:t>
            </w:r>
            <w:r w:rsidRPr="005F4295">
              <w:rPr>
                <w:sz w:val="18"/>
                <w:szCs w:val="18"/>
                <w:lang w:eastAsia="zh-CN"/>
              </w:rPr>
              <w:t>319</w:t>
            </w:r>
            <w:r w:rsidR="006B35CC" w:rsidRPr="005F4295">
              <w:rPr>
                <w:rFonts w:ascii="Calibri" w:hAnsi="Calibri" w:cs="Calibri"/>
                <w:sz w:val="18"/>
                <w:szCs w:val="18"/>
                <w:lang w:eastAsia="zh-CN"/>
              </w:rPr>
              <w:t> </w:t>
            </w:r>
            <w:r w:rsidRPr="005F4295">
              <w:rPr>
                <w:sz w:val="18"/>
                <w:szCs w:val="18"/>
                <w:lang w:eastAsia="zh-CN"/>
              </w:rPr>
              <w:t xml:space="preserve">807.11 </w:t>
            </w:r>
          </w:p>
        </w:tc>
      </w:tr>
      <w:tr w:rsidR="000F7546" w:rsidRPr="005F4295" w14:paraId="10CCAF0E" w14:textId="77777777" w:rsidTr="00650F13">
        <w:trPr>
          <w:cnfStyle w:val="000000010000" w:firstRow="0" w:lastRow="0" w:firstColumn="0" w:lastColumn="0" w:oddVBand="0" w:evenVBand="0" w:oddHBand="0" w:evenHBand="1"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0E2CE4AC"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834" w:type="pct"/>
            <w:tcBorders>
              <w:left w:val="single" w:sz="4" w:space="0" w:color="D9D9D9" w:themeColor="background1" w:themeShade="D9"/>
              <w:right w:val="single" w:sz="4" w:space="0" w:color="D9D9D9" w:themeColor="background1" w:themeShade="D9"/>
            </w:tcBorders>
            <w:noWrap/>
            <w:vAlign w:val="center"/>
          </w:tcPr>
          <w:p w14:paraId="6B4D50BB"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101F0342" w14:textId="7ADC7452"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693</w:t>
            </w:r>
            <w:r w:rsidR="006B35CC" w:rsidRPr="005F4295">
              <w:rPr>
                <w:rFonts w:ascii="Calibri" w:hAnsi="Calibri" w:cs="Calibri"/>
                <w:sz w:val="18"/>
                <w:szCs w:val="18"/>
                <w:lang w:eastAsia="zh-CN"/>
              </w:rPr>
              <w:t> </w:t>
            </w:r>
            <w:r w:rsidRPr="005F4295">
              <w:rPr>
                <w:sz w:val="18"/>
                <w:szCs w:val="18"/>
                <w:lang w:eastAsia="zh-CN"/>
              </w:rPr>
              <w:t>018</w:t>
            </w:r>
            <w:r w:rsidR="006B35CC" w:rsidRPr="005F4295">
              <w:rPr>
                <w:rFonts w:ascii="Calibri" w:hAnsi="Calibri" w:cs="Calibri"/>
                <w:sz w:val="18"/>
                <w:szCs w:val="18"/>
                <w:lang w:eastAsia="zh-CN"/>
              </w:rPr>
              <w:t> </w:t>
            </w:r>
            <w:r w:rsidRPr="005F4295">
              <w:rPr>
                <w:sz w:val="18"/>
                <w:szCs w:val="18"/>
                <w:lang w:eastAsia="zh-CN"/>
              </w:rPr>
              <w:t>670.07</w:t>
            </w:r>
          </w:p>
        </w:tc>
      </w:tr>
      <w:tr w:rsidR="000F7546" w:rsidRPr="005F4295" w14:paraId="4F26225B" w14:textId="77777777" w:rsidTr="00650F13">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176468C8" w14:textId="77777777" w:rsidR="000F7546" w:rsidRPr="005F4295" w:rsidRDefault="000F7546">
            <w:pPr>
              <w:rPr>
                <w:sz w:val="18"/>
                <w:szCs w:val="18"/>
                <w:lang w:eastAsia="zh-CN"/>
              </w:rPr>
            </w:pPr>
            <w:r w:rsidRPr="005F4295">
              <w:rPr>
                <w:lang w:eastAsia="zh-CN"/>
              </w:rPr>
              <w:t>DG Energy</w:t>
            </w:r>
          </w:p>
        </w:tc>
        <w:tc>
          <w:tcPr>
            <w:tcW w:w="834" w:type="pct"/>
            <w:tcBorders>
              <w:left w:val="single" w:sz="4" w:space="0" w:color="D9D9D9" w:themeColor="background1" w:themeShade="D9"/>
              <w:right w:val="single" w:sz="4" w:space="0" w:color="D9D9D9" w:themeColor="background1" w:themeShade="D9"/>
            </w:tcBorders>
            <w:noWrap/>
            <w:vAlign w:val="center"/>
          </w:tcPr>
          <w:p w14:paraId="02147915"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3</w:t>
            </w:r>
          </w:p>
        </w:tc>
        <w:tc>
          <w:tcPr>
            <w:tcW w:w="1666" w:type="pct"/>
            <w:tcBorders>
              <w:left w:val="single" w:sz="4" w:space="0" w:color="D9D9D9" w:themeColor="background1" w:themeShade="D9"/>
            </w:tcBorders>
            <w:noWrap/>
            <w:vAlign w:val="center"/>
          </w:tcPr>
          <w:p w14:paraId="6675C57C" w14:textId="7ACAE5CF"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4</w:t>
            </w:r>
            <w:r w:rsidR="006B35CC" w:rsidRPr="005F4295">
              <w:rPr>
                <w:rFonts w:ascii="Calibri" w:hAnsi="Calibri" w:cs="Calibri"/>
                <w:sz w:val="18"/>
                <w:szCs w:val="18"/>
                <w:lang w:eastAsia="zh-CN"/>
              </w:rPr>
              <w:t> </w:t>
            </w:r>
            <w:r w:rsidRPr="005F4295">
              <w:rPr>
                <w:b/>
                <w:color w:val="003399" w:themeColor="text2"/>
                <w:lang w:eastAsia="zh-CN"/>
              </w:rPr>
              <w:t>270</w:t>
            </w:r>
            <w:r w:rsidR="006B35CC" w:rsidRPr="005F4295">
              <w:rPr>
                <w:rFonts w:ascii="Calibri" w:hAnsi="Calibri" w:cs="Calibri"/>
                <w:sz w:val="18"/>
                <w:szCs w:val="18"/>
                <w:lang w:eastAsia="zh-CN"/>
              </w:rPr>
              <w:t> </w:t>
            </w:r>
            <w:r w:rsidRPr="005F4295">
              <w:rPr>
                <w:b/>
                <w:color w:val="003399" w:themeColor="text2"/>
                <w:lang w:eastAsia="zh-CN"/>
              </w:rPr>
              <w:t>000.00</w:t>
            </w:r>
          </w:p>
        </w:tc>
      </w:tr>
      <w:tr w:rsidR="000F7546" w:rsidRPr="005F4295" w14:paraId="1BB5B803" w14:textId="77777777" w:rsidTr="00650F13">
        <w:trPr>
          <w:cnfStyle w:val="000000010000" w:firstRow="0" w:lastRow="0" w:firstColumn="0" w:lastColumn="0" w:oddVBand="0" w:evenVBand="0" w:oddHBand="0" w:evenHBand="1"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0500D4A7"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noWrap/>
            <w:vAlign w:val="center"/>
          </w:tcPr>
          <w:p w14:paraId="0BEACB1C"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3</w:t>
            </w:r>
          </w:p>
        </w:tc>
        <w:tc>
          <w:tcPr>
            <w:tcW w:w="1666" w:type="pct"/>
            <w:tcBorders>
              <w:left w:val="single" w:sz="4" w:space="0" w:color="D9D9D9" w:themeColor="background1" w:themeShade="D9"/>
            </w:tcBorders>
            <w:noWrap/>
            <w:vAlign w:val="center"/>
          </w:tcPr>
          <w:p w14:paraId="497EACBD" w14:textId="0FA77CA8"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4</w:t>
            </w:r>
            <w:r w:rsidR="006B35CC" w:rsidRPr="005F4295">
              <w:rPr>
                <w:rFonts w:ascii="Calibri" w:hAnsi="Calibri" w:cs="Calibri"/>
                <w:sz w:val="18"/>
                <w:szCs w:val="18"/>
                <w:lang w:eastAsia="zh-CN"/>
              </w:rPr>
              <w:t> </w:t>
            </w:r>
            <w:r w:rsidRPr="005F4295">
              <w:rPr>
                <w:sz w:val="18"/>
                <w:szCs w:val="18"/>
                <w:lang w:eastAsia="zh-CN"/>
              </w:rPr>
              <w:t>270</w:t>
            </w:r>
            <w:r w:rsidR="006B35CC" w:rsidRPr="005F4295">
              <w:rPr>
                <w:rFonts w:ascii="Calibri" w:hAnsi="Calibri" w:cs="Calibri"/>
                <w:sz w:val="18"/>
                <w:szCs w:val="18"/>
                <w:lang w:eastAsia="zh-CN"/>
              </w:rPr>
              <w:t> </w:t>
            </w:r>
            <w:r w:rsidRPr="005F4295">
              <w:rPr>
                <w:sz w:val="18"/>
                <w:szCs w:val="18"/>
                <w:lang w:eastAsia="zh-CN"/>
              </w:rPr>
              <w:t xml:space="preserve">000.00 </w:t>
            </w:r>
          </w:p>
        </w:tc>
      </w:tr>
      <w:tr w:rsidR="000F7546" w:rsidRPr="005F4295" w14:paraId="027C8496" w14:textId="77777777" w:rsidTr="00650F1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hideMark/>
          </w:tcPr>
          <w:p w14:paraId="25610D67" w14:textId="77777777" w:rsidR="000F7546" w:rsidRPr="005F4295" w:rsidRDefault="000F7546">
            <w:pPr>
              <w:rPr>
                <w:lang w:eastAsia="zh-CN"/>
              </w:rPr>
            </w:pPr>
            <w:r w:rsidRPr="005F4295">
              <w:rPr>
                <w:lang w:eastAsia="zh-CN"/>
              </w:rPr>
              <w:t>DG Human Resources and Security</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hideMark/>
          </w:tcPr>
          <w:p w14:paraId="174BF8BE"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b/>
                <w:color w:val="003399" w:themeColor="text2"/>
                <w:lang w:eastAsia="zh-CN"/>
              </w:rPr>
              <w:t>3</w:t>
            </w:r>
          </w:p>
        </w:tc>
        <w:tc>
          <w:tcPr>
            <w:tcW w:w="1666" w:type="pct"/>
            <w:tcBorders>
              <w:left w:val="single" w:sz="4" w:space="0" w:color="D9D9D9" w:themeColor="background1" w:themeShade="D9"/>
            </w:tcBorders>
            <w:shd w:val="clear" w:color="auto" w:fill="FFFFFF" w:themeFill="background1"/>
            <w:noWrap/>
            <w:vAlign w:val="center"/>
            <w:hideMark/>
          </w:tcPr>
          <w:p w14:paraId="58926012" w14:textId="0A3DBF46"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b/>
                <w:color w:val="003399" w:themeColor="text2"/>
                <w:lang w:eastAsia="zh-CN"/>
              </w:rPr>
              <w:t>114</w:t>
            </w:r>
            <w:r w:rsidR="006B35CC" w:rsidRPr="005F4295">
              <w:rPr>
                <w:rFonts w:ascii="Calibri" w:hAnsi="Calibri" w:cs="Calibri"/>
                <w:sz w:val="18"/>
                <w:szCs w:val="18"/>
                <w:lang w:eastAsia="zh-CN"/>
              </w:rPr>
              <w:t> </w:t>
            </w:r>
            <w:r w:rsidRPr="005F4295">
              <w:rPr>
                <w:b/>
                <w:color w:val="003399" w:themeColor="text2"/>
                <w:lang w:eastAsia="zh-CN"/>
              </w:rPr>
              <w:t>318</w:t>
            </w:r>
            <w:r w:rsidR="006B35CC" w:rsidRPr="005F4295">
              <w:rPr>
                <w:rFonts w:ascii="Calibri" w:hAnsi="Calibri" w:cs="Calibri"/>
                <w:sz w:val="18"/>
                <w:szCs w:val="18"/>
                <w:lang w:eastAsia="zh-CN"/>
              </w:rPr>
              <w:t> </w:t>
            </w:r>
            <w:r w:rsidRPr="005F4295">
              <w:rPr>
                <w:b/>
                <w:color w:val="003399" w:themeColor="text2"/>
                <w:lang w:eastAsia="zh-CN"/>
              </w:rPr>
              <w:t>717.04</w:t>
            </w:r>
          </w:p>
        </w:tc>
      </w:tr>
      <w:tr w:rsidR="000F7546" w:rsidRPr="005F4295" w14:paraId="6C88E53D"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hideMark/>
          </w:tcPr>
          <w:p w14:paraId="7DF70D22" w14:textId="77777777" w:rsidR="000F7546" w:rsidRPr="005F4295" w:rsidRDefault="000F7546">
            <w:pPr>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noWrap/>
            <w:vAlign w:val="center"/>
            <w:hideMark/>
          </w:tcPr>
          <w:p w14:paraId="09BFDCB9"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3</w:t>
            </w:r>
          </w:p>
        </w:tc>
        <w:tc>
          <w:tcPr>
            <w:tcW w:w="1666" w:type="pct"/>
            <w:tcBorders>
              <w:left w:val="single" w:sz="4" w:space="0" w:color="D9D9D9" w:themeColor="background1" w:themeShade="D9"/>
            </w:tcBorders>
            <w:noWrap/>
            <w:vAlign w:val="center"/>
            <w:hideMark/>
          </w:tcPr>
          <w:p w14:paraId="20836A12" w14:textId="08843710"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114</w:t>
            </w:r>
            <w:r w:rsidR="006B35CC" w:rsidRPr="005F4295">
              <w:rPr>
                <w:rFonts w:ascii="Calibri" w:hAnsi="Calibri" w:cs="Calibri"/>
                <w:sz w:val="18"/>
                <w:szCs w:val="18"/>
                <w:lang w:eastAsia="zh-CN"/>
              </w:rPr>
              <w:t> </w:t>
            </w:r>
            <w:r w:rsidRPr="005F4295">
              <w:rPr>
                <w:sz w:val="18"/>
                <w:szCs w:val="18"/>
                <w:lang w:eastAsia="zh-CN"/>
              </w:rPr>
              <w:t>318</w:t>
            </w:r>
            <w:r w:rsidR="006B35CC" w:rsidRPr="005F4295">
              <w:rPr>
                <w:rFonts w:ascii="Calibri" w:hAnsi="Calibri" w:cs="Calibri"/>
                <w:sz w:val="18"/>
                <w:szCs w:val="18"/>
                <w:lang w:eastAsia="zh-CN"/>
              </w:rPr>
              <w:t> </w:t>
            </w:r>
            <w:r w:rsidRPr="005F4295">
              <w:rPr>
                <w:sz w:val="18"/>
                <w:szCs w:val="18"/>
                <w:lang w:eastAsia="zh-CN"/>
              </w:rPr>
              <w:t xml:space="preserve">717.04 </w:t>
            </w:r>
          </w:p>
        </w:tc>
      </w:tr>
      <w:tr w:rsidR="000F7546" w:rsidRPr="005F4295" w14:paraId="2CFA9F34"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hideMark/>
          </w:tcPr>
          <w:p w14:paraId="5ACF57E9" w14:textId="77777777" w:rsidR="000F7546" w:rsidRPr="005F4295" w:rsidRDefault="000F7546">
            <w:pPr>
              <w:rPr>
                <w:lang w:eastAsia="zh-CN"/>
              </w:rPr>
            </w:pPr>
            <w:r w:rsidRPr="005F4295">
              <w:rPr>
                <w:lang w:eastAsia="zh-CN"/>
              </w:rPr>
              <w:t>DG Internal Market, Industry, Entrepreneurship and SMEs</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hideMark/>
          </w:tcPr>
          <w:p w14:paraId="5F6C5E22"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b/>
                <w:color w:val="003399" w:themeColor="text2"/>
                <w:lang w:eastAsia="zh-CN"/>
              </w:rPr>
              <w:t>2</w:t>
            </w:r>
          </w:p>
        </w:tc>
        <w:tc>
          <w:tcPr>
            <w:tcW w:w="1666" w:type="pct"/>
            <w:tcBorders>
              <w:left w:val="single" w:sz="4" w:space="0" w:color="D9D9D9" w:themeColor="background1" w:themeShade="D9"/>
            </w:tcBorders>
            <w:shd w:val="clear" w:color="auto" w:fill="FFFFFF" w:themeFill="background1"/>
            <w:noWrap/>
            <w:vAlign w:val="center"/>
            <w:hideMark/>
          </w:tcPr>
          <w:p w14:paraId="5B642C0C" w14:textId="05AB0A6B"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b/>
                <w:color w:val="003399" w:themeColor="text2"/>
                <w:lang w:eastAsia="zh-CN"/>
              </w:rPr>
              <w:t>7</w:t>
            </w:r>
            <w:r w:rsidR="006B35CC" w:rsidRPr="005F4295">
              <w:rPr>
                <w:rFonts w:ascii="Calibri" w:hAnsi="Calibri" w:cs="Calibri"/>
                <w:sz w:val="18"/>
                <w:szCs w:val="18"/>
                <w:lang w:eastAsia="zh-CN"/>
              </w:rPr>
              <w:t> </w:t>
            </w:r>
            <w:r w:rsidRPr="005F4295">
              <w:rPr>
                <w:b/>
                <w:color w:val="003399" w:themeColor="text2"/>
                <w:lang w:eastAsia="zh-CN"/>
              </w:rPr>
              <w:t>566</w:t>
            </w:r>
            <w:r w:rsidR="006B35CC" w:rsidRPr="005F4295">
              <w:rPr>
                <w:rFonts w:ascii="Calibri" w:hAnsi="Calibri" w:cs="Calibri"/>
                <w:sz w:val="18"/>
                <w:szCs w:val="18"/>
                <w:lang w:eastAsia="zh-CN"/>
              </w:rPr>
              <w:t> </w:t>
            </w:r>
            <w:r w:rsidRPr="005F4295">
              <w:rPr>
                <w:b/>
                <w:color w:val="003399" w:themeColor="text2"/>
                <w:lang w:eastAsia="zh-CN"/>
              </w:rPr>
              <w:t xml:space="preserve">000.00 </w:t>
            </w:r>
          </w:p>
        </w:tc>
      </w:tr>
      <w:tr w:rsidR="000F7546" w:rsidRPr="005F4295" w14:paraId="4EF39893"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hideMark/>
          </w:tcPr>
          <w:p w14:paraId="25BA5560" w14:textId="77777777" w:rsidR="000F7546" w:rsidRPr="005F4295" w:rsidRDefault="000F7546">
            <w:pPr>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834" w:type="pct"/>
            <w:tcBorders>
              <w:left w:val="single" w:sz="4" w:space="0" w:color="D9D9D9" w:themeColor="background1" w:themeShade="D9"/>
              <w:right w:val="single" w:sz="4" w:space="0" w:color="D9D9D9" w:themeColor="background1" w:themeShade="D9"/>
            </w:tcBorders>
            <w:noWrap/>
            <w:vAlign w:val="center"/>
            <w:hideMark/>
          </w:tcPr>
          <w:p w14:paraId="786A024A"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hideMark/>
          </w:tcPr>
          <w:p w14:paraId="15E6B67D" w14:textId="7A9283EC" w:rsidR="000F7546" w:rsidRPr="005F4295" w:rsidRDefault="000F7546" w:rsidP="00650F13">
            <w:pPr>
              <w:suppressAutoHyphens w:val="0"/>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7</w:t>
            </w:r>
            <w:r w:rsidR="006B35CC" w:rsidRPr="005F4295">
              <w:rPr>
                <w:rFonts w:ascii="Calibri" w:hAnsi="Calibri" w:cs="Calibri"/>
                <w:sz w:val="18"/>
                <w:szCs w:val="18"/>
                <w:lang w:eastAsia="zh-CN"/>
              </w:rPr>
              <w:t> </w:t>
            </w:r>
            <w:r w:rsidRPr="005F4295">
              <w:rPr>
                <w:sz w:val="18"/>
                <w:szCs w:val="18"/>
                <w:lang w:eastAsia="zh-CN"/>
              </w:rPr>
              <w:t>500</w:t>
            </w:r>
            <w:r w:rsidR="006B35CC" w:rsidRPr="005F4295">
              <w:rPr>
                <w:rFonts w:ascii="Calibri" w:hAnsi="Calibri" w:cs="Calibri"/>
                <w:sz w:val="18"/>
                <w:szCs w:val="18"/>
                <w:lang w:eastAsia="zh-CN"/>
              </w:rPr>
              <w:t> </w:t>
            </w:r>
            <w:r w:rsidRPr="005F4295">
              <w:rPr>
                <w:sz w:val="18"/>
                <w:szCs w:val="18"/>
                <w:lang w:eastAsia="zh-CN"/>
              </w:rPr>
              <w:t xml:space="preserve">000.00 </w:t>
            </w:r>
          </w:p>
        </w:tc>
      </w:tr>
      <w:tr w:rsidR="000F7546" w:rsidRPr="005F4295" w14:paraId="72BFC674"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72311DF6"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noWrap/>
            <w:vAlign w:val="center"/>
          </w:tcPr>
          <w:p w14:paraId="6157490C"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6C9A33BD" w14:textId="3BBDBE87"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66</w:t>
            </w:r>
            <w:r w:rsidR="006B35CC" w:rsidRPr="005F4295">
              <w:rPr>
                <w:rFonts w:ascii="Calibri" w:hAnsi="Calibri" w:cs="Calibri"/>
                <w:sz w:val="18"/>
                <w:szCs w:val="18"/>
                <w:lang w:eastAsia="zh-CN"/>
              </w:rPr>
              <w:t> </w:t>
            </w:r>
            <w:r w:rsidRPr="005F4295">
              <w:rPr>
                <w:sz w:val="18"/>
                <w:szCs w:val="18"/>
                <w:lang w:eastAsia="zh-CN"/>
              </w:rPr>
              <w:t>000.00</w:t>
            </w:r>
          </w:p>
        </w:tc>
      </w:tr>
      <w:tr w:rsidR="000F7546" w:rsidRPr="005F4295" w14:paraId="1B499C72"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hideMark/>
          </w:tcPr>
          <w:p w14:paraId="422D4674" w14:textId="77777777" w:rsidR="000F7546" w:rsidRPr="005F4295" w:rsidRDefault="000F7546">
            <w:pPr>
              <w:rPr>
                <w:lang w:eastAsia="zh-CN"/>
              </w:rPr>
            </w:pPr>
            <w:r w:rsidRPr="005F4295">
              <w:rPr>
                <w:lang w:eastAsia="zh-CN"/>
              </w:rPr>
              <w:t>DG Mobility and Transport</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hideMark/>
          </w:tcPr>
          <w:p w14:paraId="5DF4A2C9"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1</w:t>
            </w:r>
          </w:p>
        </w:tc>
        <w:tc>
          <w:tcPr>
            <w:tcW w:w="1666" w:type="pct"/>
            <w:tcBorders>
              <w:left w:val="single" w:sz="4" w:space="0" w:color="D9D9D9" w:themeColor="background1" w:themeShade="D9"/>
            </w:tcBorders>
            <w:shd w:val="clear" w:color="auto" w:fill="FFFFFF" w:themeFill="background1"/>
            <w:noWrap/>
            <w:vAlign w:val="center"/>
            <w:hideMark/>
          </w:tcPr>
          <w:p w14:paraId="0D15E046" w14:textId="5D4622A3"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119</w:t>
            </w:r>
            <w:r w:rsidR="00976B78" w:rsidRPr="005F4295">
              <w:rPr>
                <w:rFonts w:ascii="Calibri" w:hAnsi="Calibri" w:cs="Calibri"/>
                <w:sz w:val="18"/>
                <w:szCs w:val="18"/>
                <w:lang w:eastAsia="zh-CN"/>
              </w:rPr>
              <w:t> </w:t>
            </w:r>
            <w:r w:rsidRPr="005F4295">
              <w:rPr>
                <w:b/>
                <w:color w:val="003399" w:themeColor="text2"/>
                <w:lang w:eastAsia="zh-CN"/>
              </w:rPr>
              <w:t xml:space="preserve">576.00 </w:t>
            </w:r>
          </w:p>
        </w:tc>
      </w:tr>
      <w:tr w:rsidR="000F7546" w:rsidRPr="005F4295" w14:paraId="4E7562CD"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hideMark/>
          </w:tcPr>
          <w:p w14:paraId="72039209" w14:textId="77777777" w:rsidR="000F7546" w:rsidRPr="005F4295" w:rsidRDefault="000F7546">
            <w:pPr>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noWrap/>
            <w:vAlign w:val="center"/>
            <w:hideMark/>
          </w:tcPr>
          <w:p w14:paraId="0E064E32"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hideMark/>
          </w:tcPr>
          <w:p w14:paraId="22F28F6F" w14:textId="66ABB894"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119</w:t>
            </w:r>
            <w:r w:rsidR="00976B78" w:rsidRPr="005F4295">
              <w:rPr>
                <w:rFonts w:ascii="Calibri" w:hAnsi="Calibri" w:cs="Calibri"/>
                <w:sz w:val="18"/>
                <w:szCs w:val="18"/>
                <w:lang w:eastAsia="zh-CN"/>
              </w:rPr>
              <w:t> </w:t>
            </w:r>
            <w:r w:rsidRPr="005F4295">
              <w:rPr>
                <w:sz w:val="18"/>
                <w:szCs w:val="18"/>
                <w:lang w:eastAsia="zh-CN"/>
              </w:rPr>
              <w:t xml:space="preserve">576.00 </w:t>
            </w:r>
          </w:p>
        </w:tc>
      </w:tr>
      <w:tr w:rsidR="000F7546" w:rsidRPr="005F4295" w14:paraId="1283261B"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tcPr>
          <w:p w14:paraId="085C2546" w14:textId="77777777" w:rsidR="000F7546" w:rsidRPr="005F4295" w:rsidRDefault="000F7546">
            <w:pPr>
              <w:rPr>
                <w:sz w:val="18"/>
                <w:szCs w:val="18"/>
                <w:lang w:eastAsia="zh-CN"/>
              </w:rPr>
            </w:pPr>
            <w:r w:rsidRPr="005F4295">
              <w:rPr>
                <w:lang w:eastAsia="zh-CN"/>
              </w:rPr>
              <w:t>DG Regional and Urban Policy</w:t>
            </w:r>
          </w:p>
        </w:tc>
        <w:tc>
          <w:tcPr>
            <w:tcW w:w="834" w:type="pct"/>
            <w:tcBorders>
              <w:left w:val="single" w:sz="4" w:space="0" w:color="D9D9D9" w:themeColor="background1" w:themeShade="D9"/>
              <w:right w:val="single" w:sz="4" w:space="0" w:color="D9D9D9" w:themeColor="background1" w:themeShade="D9"/>
            </w:tcBorders>
            <w:noWrap/>
          </w:tcPr>
          <w:p w14:paraId="520E96E4"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1</w:t>
            </w:r>
          </w:p>
        </w:tc>
        <w:tc>
          <w:tcPr>
            <w:tcW w:w="1666" w:type="pct"/>
            <w:tcBorders>
              <w:left w:val="single" w:sz="4" w:space="0" w:color="D9D9D9" w:themeColor="background1" w:themeShade="D9"/>
            </w:tcBorders>
            <w:noWrap/>
          </w:tcPr>
          <w:p w14:paraId="14BF85F8" w14:textId="64D4FF26"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rPr>
              <w:t>466</w:t>
            </w:r>
            <w:r w:rsidR="00976B78" w:rsidRPr="005F4295">
              <w:rPr>
                <w:rFonts w:ascii="Calibri" w:hAnsi="Calibri" w:cs="Calibri"/>
                <w:sz w:val="18"/>
                <w:szCs w:val="18"/>
                <w:lang w:eastAsia="zh-CN"/>
              </w:rPr>
              <w:t> </w:t>
            </w:r>
            <w:r w:rsidRPr="005F4295">
              <w:rPr>
                <w:b/>
                <w:color w:val="003399" w:themeColor="text2"/>
              </w:rPr>
              <w:t>400.00</w:t>
            </w:r>
          </w:p>
        </w:tc>
      </w:tr>
      <w:tr w:rsidR="000F7546" w:rsidRPr="005F4295" w14:paraId="636B0132"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4C599753"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39.</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Tender procedure unsuccessful (e</w:t>
            </w:r>
            <w:r w:rsidRPr="005F4295">
              <w:rPr>
                <w:sz w:val="18"/>
                <w:szCs w:val="18"/>
                <w:lang w:eastAsia="zh-CN"/>
              </w:rPr>
              <w:t>xternal procedures &gt;</w:t>
            </w:r>
            <w:r w:rsidRPr="005F4295">
              <w:rPr>
                <w:rFonts w:ascii="Calibri" w:hAnsi="Calibri" w:cs="Calibri"/>
                <w:sz w:val="18"/>
                <w:szCs w:val="18"/>
                <w:lang w:eastAsia="zh-CN"/>
              </w:rPr>
              <w:t> </w:t>
            </w:r>
            <w:r w:rsidRPr="005F4295">
              <w:rPr>
                <w:sz w:val="18"/>
                <w:szCs w:val="18"/>
                <w:lang w:eastAsia="zh-CN"/>
              </w:rPr>
              <w:t>EUR</w:t>
            </w:r>
            <w:r w:rsidRPr="005F4295">
              <w:rPr>
                <w:rFonts w:ascii="Calibri" w:hAnsi="Calibri" w:cs="Calibri"/>
                <w:sz w:val="18"/>
                <w:szCs w:val="18"/>
                <w:lang w:eastAsia="zh-CN"/>
              </w:rPr>
              <w:t> </w:t>
            </w:r>
            <w:r w:rsidRPr="005F4295">
              <w:rPr>
                <w:sz w:val="18"/>
                <w:szCs w:val="18"/>
                <w:lang w:eastAsia="zh-CN"/>
              </w:rPr>
              <w:t>20</w:t>
            </w:r>
            <w:r w:rsidRPr="005F4295">
              <w:rPr>
                <w:rFonts w:ascii="Calibri" w:hAnsi="Calibri" w:cs="Calibri"/>
                <w:sz w:val="18"/>
                <w:szCs w:val="18"/>
                <w:lang w:eastAsia="zh-CN"/>
              </w:rPr>
              <w:t> </w:t>
            </w:r>
            <w:r w:rsidRPr="005F4295">
              <w:rPr>
                <w:sz w:val="18"/>
                <w:szCs w:val="18"/>
                <w:lang w:eastAsia="zh-CN"/>
              </w:rPr>
              <w:t>000)</w:t>
            </w:r>
          </w:p>
        </w:tc>
        <w:tc>
          <w:tcPr>
            <w:tcW w:w="834" w:type="pct"/>
            <w:tcBorders>
              <w:left w:val="single" w:sz="4" w:space="0" w:color="D9D9D9" w:themeColor="background1" w:themeShade="D9"/>
              <w:right w:val="single" w:sz="4" w:space="0" w:color="D9D9D9" w:themeColor="background1" w:themeShade="D9"/>
            </w:tcBorders>
            <w:noWrap/>
            <w:vAlign w:val="center"/>
          </w:tcPr>
          <w:p w14:paraId="240F29DD"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74C5CD89" w14:textId="5A4D3888"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466</w:t>
            </w:r>
            <w:r w:rsidR="00976B78" w:rsidRPr="005F4295">
              <w:rPr>
                <w:rFonts w:ascii="Calibri" w:hAnsi="Calibri" w:cs="Calibri"/>
                <w:sz w:val="18"/>
                <w:szCs w:val="18"/>
                <w:lang w:eastAsia="zh-CN"/>
              </w:rPr>
              <w:t> </w:t>
            </w:r>
            <w:r w:rsidRPr="005F4295">
              <w:rPr>
                <w:sz w:val="18"/>
                <w:szCs w:val="18"/>
                <w:lang w:eastAsia="zh-CN"/>
              </w:rPr>
              <w:t>400.00</w:t>
            </w:r>
          </w:p>
        </w:tc>
      </w:tr>
      <w:tr w:rsidR="000F7546" w:rsidRPr="005F4295" w14:paraId="662F6F7E"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1B19C1E5" w14:textId="77777777" w:rsidR="000F7546" w:rsidRPr="005F4295" w:rsidRDefault="000F7546">
            <w:pPr>
              <w:rPr>
                <w:sz w:val="18"/>
                <w:szCs w:val="18"/>
                <w:lang w:eastAsia="zh-CN"/>
              </w:rPr>
            </w:pPr>
            <w:r w:rsidRPr="005F4295">
              <w:rPr>
                <w:lang w:eastAsia="zh-CN"/>
              </w:rPr>
              <w:t>DG Research and Innovation</w:t>
            </w:r>
          </w:p>
        </w:tc>
        <w:tc>
          <w:tcPr>
            <w:tcW w:w="834" w:type="pct"/>
            <w:tcBorders>
              <w:left w:val="single" w:sz="4" w:space="0" w:color="D9D9D9" w:themeColor="background1" w:themeShade="D9"/>
              <w:right w:val="single" w:sz="4" w:space="0" w:color="D9D9D9" w:themeColor="background1" w:themeShade="D9"/>
            </w:tcBorders>
            <w:noWrap/>
            <w:vAlign w:val="center"/>
          </w:tcPr>
          <w:p w14:paraId="463022CB"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1</w:t>
            </w:r>
          </w:p>
        </w:tc>
        <w:tc>
          <w:tcPr>
            <w:tcW w:w="1666" w:type="pct"/>
            <w:tcBorders>
              <w:left w:val="single" w:sz="4" w:space="0" w:color="D9D9D9" w:themeColor="background1" w:themeShade="D9"/>
            </w:tcBorders>
            <w:noWrap/>
            <w:vAlign w:val="center"/>
          </w:tcPr>
          <w:p w14:paraId="3FB38CDA" w14:textId="5F7EB08A"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5</w:t>
            </w:r>
            <w:r w:rsidR="00976B78" w:rsidRPr="005F4295">
              <w:rPr>
                <w:rFonts w:ascii="Calibri" w:hAnsi="Calibri" w:cs="Calibri"/>
                <w:sz w:val="18"/>
                <w:szCs w:val="18"/>
                <w:lang w:eastAsia="zh-CN"/>
              </w:rPr>
              <w:t> </w:t>
            </w:r>
            <w:r w:rsidRPr="005F4295">
              <w:rPr>
                <w:b/>
                <w:color w:val="003399" w:themeColor="text2"/>
                <w:lang w:eastAsia="zh-CN"/>
              </w:rPr>
              <w:t>000</w:t>
            </w:r>
            <w:r w:rsidRPr="005F4295">
              <w:rPr>
                <w:rFonts w:ascii="Calibri" w:hAnsi="Calibri" w:cs="Calibri"/>
                <w:b/>
                <w:color w:val="003399" w:themeColor="text2"/>
                <w:lang w:eastAsia="zh-CN"/>
              </w:rPr>
              <w:t> </w:t>
            </w:r>
            <w:r w:rsidRPr="005F4295">
              <w:rPr>
                <w:b/>
                <w:color w:val="003399" w:themeColor="text2"/>
                <w:lang w:eastAsia="zh-CN"/>
              </w:rPr>
              <w:t xml:space="preserve">000.00 </w:t>
            </w:r>
          </w:p>
        </w:tc>
      </w:tr>
      <w:tr w:rsidR="000F7546" w:rsidRPr="005F4295" w14:paraId="19EF8444"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44D52EFB"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834" w:type="pct"/>
            <w:tcBorders>
              <w:left w:val="single" w:sz="4" w:space="0" w:color="D9D9D9" w:themeColor="background1" w:themeShade="D9"/>
              <w:right w:val="single" w:sz="4" w:space="0" w:color="D9D9D9" w:themeColor="background1" w:themeShade="D9"/>
            </w:tcBorders>
            <w:noWrap/>
            <w:vAlign w:val="center"/>
          </w:tcPr>
          <w:p w14:paraId="417836D7"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3BDC9FE9" w14:textId="1A4796FF"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5</w:t>
            </w:r>
            <w:r w:rsidR="00976B78" w:rsidRPr="005F4295">
              <w:rPr>
                <w:rFonts w:ascii="Calibri" w:hAnsi="Calibri" w:cs="Calibri"/>
                <w:sz w:val="18"/>
                <w:szCs w:val="18"/>
                <w:lang w:eastAsia="zh-CN"/>
              </w:rPr>
              <w:t> </w:t>
            </w:r>
            <w:r w:rsidRPr="005F4295">
              <w:rPr>
                <w:sz w:val="18"/>
                <w:szCs w:val="18"/>
                <w:lang w:eastAsia="zh-CN"/>
              </w:rPr>
              <w:t>000</w:t>
            </w:r>
            <w:r w:rsidRPr="005F4295">
              <w:rPr>
                <w:rFonts w:ascii="Calibri" w:hAnsi="Calibri" w:cs="Calibri"/>
                <w:bCs/>
                <w:sz w:val="18"/>
                <w:szCs w:val="18"/>
                <w:lang w:eastAsia="zh-CN"/>
              </w:rPr>
              <w:t> </w:t>
            </w:r>
            <w:r w:rsidRPr="005F4295">
              <w:rPr>
                <w:sz w:val="18"/>
                <w:szCs w:val="18"/>
                <w:lang w:eastAsia="zh-CN"/>
              </w:rPr>
              <w:t xml:space="preserve">000.00 </w:t>
            </w:r>
          </w:p>
        </w:tc>
      </w:tr>
      <w:tr w:rsidR="000F7546" w:rsidRPr="005F4295" w14:paraId="5CE0A210"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14B1D748" w14:textId="77777777" w:rsidR="000F7546" w:rsidRPr="005F4295" w:rsidRDefault="000F7546">
            <w:pPr>
              <w:rPr>
                <w:sz w:val="18"/>
                <w:szCs w:val="18"/>
                <w:lang w:eastAsia="zh-CN"/>
              </w:rPr>
            </w:pPr>
            <w:r w:rsidRPr="005F4295">
              <w:rPr>
                <w:lang w:eastAsia="zh-CN"/>
              </w:rPr>
              <w:t>DG Taxation and Customs Union</w:t>
            </w:r>
          </w:p>
        </w:tc>
        <w:tc>
          <w:tcPr>
            <w:tcW w:w="834" w:type="pct"/>
            <w:tcBorders>
              <w:left w:val="single" w:sz="4" w:space="0" w:color="D9D9D9" w:themeColor="background1" w:themeShade="D9"/>
              <w:right w:val="single" w:sz="4" w:space="0" w:color="D9D9D9" w:themeColor="background1" w:themeShade="D9"/>
            </w:tcBorders>
            <w:noWrap/>
            <w:vAlign w:val="center"/>
          </w:tcPr>
          <w:p w14:paraId="059CAFF0"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1</w:t>
            </w:r>
          </w:p>
        </w:tc>
        <w:tc>
          <w:tcPr>
            <w:tcW w:w="1666" w:type="pct"/>
            <w:tcBorders>
              <w:left w:val="single" w:sz="4" w:space="0" w:color="D9D9D9" w:themeColor="background1" w:themeShade="D9"/>
            </w:tcBorders>
            <w:noWrap/>
            <w:vAlign w:val="center"/>
          </w:tcPr>
          <w:p w14:paraId="6716484D" w14:textId="47786796"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385</w:t>
            </w:r>
            <w:r w:rsidR="00976B78" w:rsidRPr="005F4295">
              <w:rPr>
                <w:rFonts w:ascii="Calibri" w:hAnsi="Calibri" w:cs="Calibri"/>
                <w:sz w:val="18"/>
                <w:szCs w:val="18"/>
                <w:lang w:eastAsia="zh-CN"/>
              </w:rPr>
              <w:t> </w:t>
            </w:r>
            <w:r w:rsidRPr="005F4295">
              <w:rPr>
                <w:b/>
                <w:color w:val="003399" w:themeColor="text2"/>
                <w:lang w:eastAsia="zh-CN"/>
              </w:rPr>
              <w:t xml:space="preserve">000.00 </w:t>
            </w:r>
          </w:p>
        </w:tc>
      </w:tr>
      <w:tr w:rsidR="000F7546" w:rsidRPr="005F4295" w14:paraId="5E81001A"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30B635D3"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(c)</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Extreme urgency caused by unforeseeable events not </w:t>
            </w:r>
            <w:r w:rsidRPr="005F4295">
              <w:rPr>
                <w:b w:val="0"/>
                <w:bCs/>
                <w:color w:val="auto"/>
                <w:sz w:val="18"/>
                <w:szCs w:val="18"/>
                <w:lang w:eastAsia="zh-CN"/>
              </w:rPr>
              <w:t>attributable</w:t>
            </w:r>
            <w:r w:rsidRPr="005F4295">
              <w:rPr>
                <w:b w:val="0"/>
                <w:color w:val="auto"/>
                <w:sz w:val="18"/>
                <w:szCs w:val="18"/>
                <w:lang w:eastAsia="zh-CN"/>
              </w:rPr>
              <w:t xml:space="preserve"> to the contracting authority</w:t>
            </w:r>
          </w:p>
        </w:tc>
        <w:tc>
          <w:tcPr>
            <w:tcW w:w="834" w:type="pct"/>
            <w:tcBorders>
              <w:left w:val="single" w:sz="4" w:space="0" w:color="D9D9D9" w:themeColor="background1" w:themeShade="D9"/>
              <w:right w:val="single" w:sz="4" w:space="0" w:color="D9D9D9" w:themeColor="background1" w:themeShade="D9"/>
            </w:tcBorders>
            <w:noWrap/>
            <w:vAlign w:val="center"/>
          </w:tcPr>
          <w:p w14:paraId="593BBCB6"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63C382E2" w14:textId="712AD31C"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385</w:t>
            </w:r>
            <w:r w:rsidR="00976B78" w:rsidRPr="005F4295">
              <w:rPr>
                <w:rFonts w:ascii="Calibri" w:hAnsi="Calibri" w:cs="Calibri"/>
                <w:sz w:val="18"/>
                <w:szCs w:val="18"/>
                <w:lang w:eastAsia="zh-CN"/>
              </w:rPr>
              <w:t> </w:t>
            </w:r>
            <w:r w:rsidRPr="005F4295">
              <w:rPr>
                <w:sz w:val="18"/>
                <w:szCs w:val="18"/>
                <w:lang w:eastAsia="zh-CN"/>
              </w:rPr>
              <w:t xml:space="preserve">000.00 </w:t>
            </w:r>
          </w:p>
        </w:tc>
      </w:tr>
      <w:tr w:rsidR="000F7546" w:rsidRPr="005F4295" w14:paraId="5C50CC31"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15EDC3C8" w14:textId="77777777" w:rsidR="000F7546" w:rsidRPr="005F4295" w:rsidRDefault="000F7546">
            <w:pPr>
              <w:rPr>
                <w:sz w:val="18"/>
                <w:szCs w:val="18"/>
                <w:lang w:eastAsia="zh-CN"/>
              </w:rPr>
            </w:pPr>
            <w:r w:rsidRPr="005F4295">
              <w:rPr>
                <w:lang w:eastAsia="zh-CN"/>
              </w:rPr>
              <w:t>DG Trade and Economic Security</w:t>
            </w:r>
          </w:p>
        </w:tc>
        <w:tc>
          <w:tcPr>
            <w:tcW w:w="834" w:type="pct"/>
            <w:tcBorders>
              <w:left w:val="single" w:sz="4" w:space="0" w:color="D9D9D9" w:themeColor="background1" w:themeShade="D9"/>
              <w:right w:val="single" w:sz="4" w:space="0" w:color="D9D9D9" w:themeColor="background1" w:themeShade="D9"/>
            </w:tcBorders>
            <w:noWrap/>
            <w:vAlign w:val="center"/>
          </w:tcPr>
          <w:p w14:paraId="5D7C9D6E"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1</w:t>
            </w:r>
          </w:p>
        </w:tc>
        <w:tc>
          <w:tcPr>
            <w:tcW w:w="1666" w:type="pct"/>
            <w:tcBorders>
              <w:left w:val="single" w:sz="4" w:space="0" w:color="D9D9D9" w:themeColor="background1" w:themeShade="D9"/>
            </w:tcBorders>
            <w:noWrap/>
            <w:vAlign w:val="center"/>
          </w:tcPr>
          <w:p w14:paraId="10B073A2" w14:textId="12F1CF69"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200</w:t>
            </w:r>
            <w:r w:rsidR="00976B78" w:rsidRPr="005F4295">
              <w:rPr>
                <w:rFonts w:ascii="Calibri" w:hAnsi="Calibri" w:cs="Calibri"/>
                <w:sz w:val="18"/>
                <w:szCs w:val="18"/>
                <w:lang w:eastAsia="zh-CN"/>
              </w:rPr>
              <w:t> </w:t>
            </w:r>
            <w:r w:rsidRPr="005F4295">
              <w:rPr>
                <w:b/>
                <w:color w:val="003399" w:themeColor="text2"/>
                <w:lang w:eastAsia="zh-CN"/>
              </w:rPr>
              <w:t xml:space="preserve">000.00 </w:t>
            </w:r>
          </w:p>
        </w:tc>
      </w:tr>
      <w:tr w:rsidR="000F7546" w:rsidRPr="005F4295" w14:paraId="71A4ECC7"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22B65270"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noWrap/>
            <w:vAlign w:val="center"/>
          </w:tcPr>
          <w:p w14:paraId="478555F9"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61400FA4" w14:textId="61AEBAE5"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Cs/>
                <w:sz w:val="18"/>
                <w:szCs w:val="18"/>
                <w:lang w:eastAsia="zh-CN"/>
              </w:rPr>
              <w:t>200</w:t>
            </w:r>
            <w:r w:rsidR="00976B78" w:rsidRPr="005F4295">
              <w:rPr>
                <w:rFonts w:ascii="Calibri" w:hAnsi="Calibri" w:cs="Calibri"/>
                <w:sz w:val="18"/>
                <w:szCs w:val="18"/>
                <w:lang w:eastAsia="zh-CN"/>
              </w:rPr>
              <w:t> </w:t>
            </w:r>
            <w:r w:rsidRPr="005F4295">
              <w:rPr>
                <w:bCs/>
                <w:sz w:val="18"/>
                <w:szCs w:val="18"/>
                <w:lang w:eastAsia="zh-CN"/>
              </w:rPr>
              <w:t xml:space="preserve">000.00 </w:t>
            </w:r>
          </w:p>
        </w:tc>
      </w:tr>
      <w:tr w:rsidR="000F7546" w:rsidRPr="005F4295" w14:paraId="3D0BCCD4"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5F1C8534" w14:textId="77777777" w:rsidR="000F7546" w:rsidRPr="005F4295" w:rsidRDefault="000F7546">
            <w:pPr>
              <w:rPr>
                <w:sz w:val="18"/>
                <w:szCs w:val="18"/>
                <w:lang w:eastAsia="zh-CN"/>
              </w:rPr>
            </w:pPr>
            <w:r w:rsidRPr="005F4295">
              <w:rPr>
                <w:lang w:eastAsia="zh-CN"/>
              </w:rPr>
              <w:t>Eurostat</w:t>
            </w:r>
          </w:p>
        </w:tc>
        <w:tc>
          <w:tcPr>
            <w:tcW w:w="834" w:type="pct"/>
            <w:tcBorders>
              <w:left w:val="single" w:sz="4" w:space="0" w:color="D9D9D9" w:themeColor="background1" w:themeShade="D9"/>
              <w:right w:val="single" w:sz="4" w:space="0" w:color="D9D9D9" w:themeColor="background1" w:themeShade="D9"/>
            </w:tcBorders>
            <w:noWrap/>
            <w:vAlign w:val="center"/>
          </w:tcPr>
          <w:p w14:paraId="642EFFEB"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1</w:t>
            </w:r>
          </w:p>
        </w:tc>
        <w:tc>
          <w:tcPr>
            <w:tcW w:w="1666" w:type="pct"/>
            <w:tcBorders>
              <w:left w:val="single" w:sz="4" w:space="0" w:color="D9D9D9" w:themeColor="background1" w:themeShade="D9"/>
            </w:tcBorders>
            <w:noWrap/>
            <w:vAlign w:val="center"/>
          </w:tcPr>
          <w:p w14:paraId="7A1CC704" w14:textId="0744D589"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99</w:t>
            </w:r>
            <w:r w:rsidR="00976B78" w:rsidRPr="005F4295">
              <w:rPr>
                <w:rFonts w:ascii="Calibri" w:hAnsi="Calibri" w:cs="Calibri"/>
                <w:sz w:val="18"/>
                <w:szCs w:val="18"/>
                <w:lang w:eastAsia="zh-CN"/>
              </w:rPr>
              <w:t> </w:t>
            </w:r>
            <w:r w:rsidRPr="005F4295">
              <w:rPr>
                <w:b/>
                <w:color w:val="003399" w:themeColor="text2"/>
                <w:lang w:eastAsia="zh-CN"/>
              </w:rPr>
              <w:t xml:space="preserve">750.00 </w:t>
            </w:r>
          </w:p>
        </w:tc>
      </w:tr>
      <w:tr w:rsidR="000F7546" w:rsidRPr="005F4295" w14:paraId="308A5CCB"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08BDBBE8"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noWrap/>
            <w:vAlign w:val="center"/>
          </w:tcPr>
          <w:p w14:paraId="71DE736B"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7DFEBC4A" w14:textId="76C0A349"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99</w:t>
            </w:r>
            <w:r w:rsidR="00976B78" w:rsidRPr="005F4295">
              <w:rPr>
                <w:rFonts w:ascii="Calibri" w:hAnsi="Calibri" w:cs="Calibri"/>
                <w:sz w:val="18"/>
                <w:szCs w:val="18"/>
                <w:lang w:eastAsia="zh-CN"/>
              </w:rPr>
              <w:t> </w:t>
            </w:r>
            <w:r w:rsidRPr="005F4295">
              <w:rPr>
                <w:sz w:val="18"/>
                <w:szCs w:val="18"/>
                <w:lang w:eastAsia="zh-CN"/>
              </w:rPr>
              <w:t xml:space="preserve">750. 00 </w:t>
            </w:r>
          </w:p>
        </w:tc>
      </w:tr>
      <w:tr w:rsidR="000F7546" w:rsidRPr="005F4295" w14:paraId="4372B2DE"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47169F9A" w14:textId="77777777" w:rsidR="000F7546" w:rsidRPr="005F4295" w:rsidRDefault="000F7546">
            <w:pPr>
              <w:rPr>
                <w:sz w:val="18"/>
                <w:szCs w:val="18"/>
                <w:lang w:eastAsia="zh-CN"/>
              </w:rPr>
            </w:pPr>
            <w:r w:rsidRPr="005F4295">
              <w:rPr>
                <w:lang w:eastAsia="zh-CN"/>
              </w:rPr>
              <w:t>European Health and Digital Executive Agency</w:t>
            </w:r>
          </w:p>
        </w:tc>
        <w:tc>
          <w:tcPr>
            <w:tcW w:w="834" w:type="pct"/>
            <w:tcBorders>
              <w:left w:val="single" w:sz="4" w:space="0" w:color="D9D9D9" w:themeColor="background1" w:themeShade="D9"/>
              <w:right w:val="single" w:sz="4" w:space="0" w:color="D9D9D9" w:themeColor="background1" w:themeShade="D9"/>
            </w:tcBorders>
            <w:noWrap/>
            <w:vAlign w:val="center"/>
          </w:tcPr>
          <w:p w14:paraId="49F5B834"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2</w:t>
            </w:r>
          </w:p>
        </w:tc>
        <w:tc>
          <w:tcPr>
            <w:tcW w:w="1666" w:type="pct"/>
            <w:tcBorders>
              <w:left w:val="single" w:sz="4" w:space="0" w:color="D9D9D9" w:themeColor="background1" w:themeShade="D9"/>
            </w:tcBorders>
            <w:noWrap/>
            <w:vAlign w:val="center"/>
          </w:tcPr>
          <w:p w14:paraId="72A873E3" w14:textId="12459F10"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b/>
                <w:color w:val="003399" w:themeColor="text2"/>
                <w:lang w:eastAsia="zh-CN"/>
              </w:rPr>
              <w:t>18</w:t>
            </w:r>
            <w:r w:rsidR="00976B78" w:rsidRPr="005F4295">
              <w:rPr>
                <w:rFonts w:ascii="Calibri" w:hAnsi="Calibri" w:cs="Calibri"/>
                <w:sz w:val="18"/>
                <w:szCs w:val="18"/>
                <w:lang w:eastAsia="zh-CN"/>
              </w:rPr>
              <w:t> </w:t>
            </w:r>
            <w:r w:rsidRPr="005F4295">
              <w:rPr>
                <w:b/>
                <w:color w:val="003399" w:themeColor="text2"/>
                <w:lang w:eastAsia="zh-CN"/>
              </w:rPr>
              <w:t>081</w:t>
            </w:r>
            <w:r w:rsidR="00976B78" w:rsidRPr="005F4295">
              <w:rPr>
                <w:rFonts w:ascii="Calibri" w:hAnsi="Calibri" w:cs="Calibri"/>
                <w:sz w:val="18"/>
                <w:szCs w:val="18"/>
                <w:lang w:eastAsia="zh-CN"/>
              </w:rPr>
              <w:t> </w:t>
            </w:r>
            <w:r w:rsidRPr="005F4295">
              <w:rPr>
                <w:b/>
                <w:color w:val="003399" w:themeColor="text2"/>
                <w:lang w:eastAsia="zh-CN"/>
              </w:rPr>
              <w:t>900. 00</w:t>
            </w:r>
          </w:p>
        </w:tc>
      </w:tr>
      <w:tr w:rsidR="000F7546" w:rsidRPr="005F4295" w14:paraId="21E7EB2B"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2244BB9A"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noWrap/>
            <w:vAlign w:val="center"/>
          </w:tcPr>
          <w:p w14:paraId="41DDCB54"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74CE1AD2" w14:textId="13F3F3E5"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81</w:t>
            </w:r>
            <w:r w:rsidR="00976B78" w:rsidRPr="005F4295">
              <w:rPr>
                <w:rFonts w:ascii="Calibri" w:hAnsi="Calibri" w:cs="Calibri"/>
                <w:sz w:val="18"/>
                <w:szCs w:val="18"/>
                <w:lang w:eastAsia="zh-CN"/>
              </w:rPr>
              <w:t> </w:t>
            </w:r>
            <w:r w:rsidRPr="005F4295">
              <w:rPr>
                <w:sz w:val="18"/>
                <w:szCs w:val="18"/>
                <w:lang w:eastAsia="zh-CN"/>
              </w:rPr>
              <w:t xml:space="preserve">900.00 </w:t>
            </w:r>
          </w:p>
        </w:tc>
      </w:tr>
      <w:tr w:rsidR="000F7546" w:rsidRPr="005F4295" w14:paraId="386B03F6"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59359448" w14:textId="77777777" w:rsidR="000F7546" w:rsidRPr="005F4295" w:rsidRDefault="000F7546">
            <w:pPr>
              <w:rPr>
                <w:sz w:val="18"/>
                <w:szCs w:val="18"/>
                <w:lang w:eastAsia="zh-CN"/>
              </w:rPr>
            </w:pPr>
            <w:r w:rsidRPr="005F4295">
              <w:rPr>
                <w:b w:val="0"/>
                <w:color w:val="auto"/>
                <w:sz w:val="18"/>
                <w:szCs w:val="18"/>
                <w:lang w:eastAsia="zh-CN"/>
              </w:rPr>
              <w:t>Annex 1 - 11.1 (e) - New services/works consisting in the repetition of similar services/works</w:t>
            </w:r>
          </w:p>
        </w:tc>
        <w:tc>
          <w:tcPr>
            <w:tcW w:w="834" w:type="pct"/>
            <w:tcBorders>
              <w:left w:val="single" w:sz="4" w:space="0" w:color="D9D9D9" w:themeColor="background1" w:themeShade="D9"/>
              <w:right w:val="single" w:sz="4" w:space="0" w:color="D9D9D9" w:themeColor="background1" w:themeShade="D9"/>
            </w:tcBorders>
            <w:noWrap/>
            <w:vAlign w:val="center"/>
          </w:tcPr>
          <w:p w14:paraId="778668D1"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7A7011E2" w14:textId="07C9708A"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18</w:t>
            </w:r>
            <w:r w:rsidR="00976B78" w:rsidRPr="005F4295">
              <w:rPr>
                <w:rFonts w:ascii="Calibri" w:hAnsi="Calibri" w:cs="Calibri"/>
                <w:sz w:val="18"/>
                <w:szCs w:val="18"/>
                <w:lang w:eastAsia="zh-CN"/>
              </w:rPr>
              <w:t> </w:t>
            </w:r>
            <w:r w:rsidRPr="005F4295">
              <w:rPr>
                <w:sz w:val="18"/>
                <w:szCs w:val="18"/>
                <w:lang w:eastAsia="zh-CN"/>
              </w:rPr>
              <w:t>000</w:t>
            </w:r>
            <w:r w:rsidR="00976B78" w:rsidRPr="005F4295">
              <w:rPr>
                <w:rFonts w:ascii="Calibri" w:hAnsi="Calibri" w:cs="Calibri"/>
                <w:sz w:val="18"/>
                <w:szCs w:val="18"/>
                <w:lang w:eastAsia="zh-CN"/>
              </w:rPr>
              <w:t> </w:t>
            </w:r>
            <w:r w:rsidRPr="005F4295">
              <w:rPr>
                <w:sz w:val="18"/>
                <w:szCs w:val="18"/>
                <w:lang w:eastAsia="zh-CN"/>
              </w:rPr>
              <w:t>000.00</w:t>
            </w:r>
          </w:p>
        </w:tc>
      </w:tr>
      <w:tr w:rsidR="000F7546" w:rsidRPr="005F4295" w14:paraId="1BBEC96C"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7C83CDC1" w14:textId="77777777" w:rsidR="000F7546" w:rsidRPr="005F4295" w:rsidRDefault="000F7546">
            <w:pPr>
              <w:rPr>
                <w:sz w:val="18"/>
                <w:szCs w:val="18"/>
                <w:lang w:eastAsia="zh-CN"/>
              </w:rPr>
            </w:pPr>
            <w:r w:rsidRPr="005F4295">
              <w:rPr>
                <w:lang w:eastAsia="zh-CN"/>
              </w:rPr>
              <w:t>European Innovation Council and SMEs Executive Agency</w:t>
            </w:r>
          </w:p>
        </w:tc>
        <w:tc>
          <w:tcPr>
            <w:tcW w:w="834" w:type="pct"/>
            <w:tcBorders>
              <w:left w:val="single" w:sz="4" w:space="0" w:color="D9D9D9" w:themeColor="background1" w:themeShade="D9"/>
              <w:right w:val="single" w:sz="4" w:space="0" w:color="D9D9D9" w:themeColor="background1" w:themeShade="D9"/>
            </w:tcBorders>
            <w:noWrap/>
            <w:vAlign w:val="center"/>
          </w:tcPr>
          <w:p w14:paraId="677959B3"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1</w:t>
            </w:r>
          </w:p>
        </w:tc>
        <w:tc>
          <w:tcPr>
            <w:tcW w:w="1666" w:type="pct"/>
            <w:tcBorders>
              <w:left w:val="single" w:sz="4" w:space="0" w:color="D9D9D9" w:themeColor="background1" w:themeShade="D9"/>
            </w:tcBorders>
            <w:noWrap/>
            <w:vAlign w:val="center"/>
          </w:tcPr>
          <w:p w14:paraId="35731A25" w14:textId="4E35EE58"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2</w:t>
            </w:r>
            <w:r w:rsidR="00976B78" w:rsidRPr="005F4295">
              <w:rPr>
                <w:rFonts w:ascii="Calibri" w:hAnsi="Calibri" w:cs="Calibri"/>
                <w:sz w:val="18"/>
                <w:szCs w:val="18"/>
                <w:lang w:eastAsia="zh-CN"/>
              </w:rPr>
              <w:t> </w:t>
            </w:r>
            <w:r w:rsidRPr="005F4295">
              <w:rPr>
                <w:b/>
                <w:color w:val="003399" w:themeColor="text2"/>
                <w:lang w:eastAsia="zh-CN"/>
              </w:rPr>
              <w:t>999</w:t>
            </w:r>
            <w:r w:rsidR="00976B78" w:rsidRPr="005F4295">
              <w:rPr>
                <w:rFonts w:ascii="Calibri" w:hAnsi="Calibri" w:cs="Calibri"/>
                <w:sz w:val="18"/>
                <w:szCs w:val="18"/>
                <w:lang w:eastAsia="zh-CN"/>
              </w:rPr>
              <w:t> </w:t>
            </w:r>
            <w:r w:rsidRPr="005F4295">
              <w:rPr>
                <w:b/>
                <w:color w:val="003399" w:themeColor="text2"/>
                <w:lang w:eastAsia="zh-CN"/>
              </w:rPr>
              <w:t xml:space="preserve">999.00 </w:t>
            </w:r>
          </w:p>
        </w:tc>
      </w:tr>
      <w:tr w:rsidR="000F7546" w:rsidRPr="005F4295" w14:paraId="128470AF"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0141EEC2"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834" w:type="pct"/>
            <w:tcBorders>
              <w:left w:val="single" w:sz="4" w:space="0" w:color="D9D9D9" w:themeColor="background1" w:themeShade="D9"/>
              <w:right w:val="single" w:sz="4" w:space="0" w:color="D9D9D9" w:themeColor="background1" w:themeShade="D9"/>
            </w:tcBorders>
            <w:noWrap/>
            <w:vAlign w:val="center"/>
          </w:tcPr>
          <w:p w14:paraId="597136A2"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6749BA7E" w14:textId="1E9A1C21"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2</w:t>
            </w:r>
            <w:r w:rsidR="00976B78" w:rsidRPr="005F4295">
              <w:rPr>
                <w:rFonts w:ascii="Calibri" w:hAnsi="Calibri" w:cs="Calibri"/>
                <w:sz w:val="18"/>
                <w:szCs w:val="18"/>
                <w:lang w:eastAsia="zh-CN"/>
              </w:rPr>
              <w:t> </w:t>
            </w:r>
            <w:r w:rsidRPr="005F4295">
              <w:rPr>
                <w:sz w:val="18"/>
                <w:szCs w:val="18"/>
                <w:lang w:eastAsia="zh-CN"/>
              </w:rPr>
              <w:t>999</w:t>
            </w:r>
            <w:r w:rsidR="00976B78" w:rsidRPr="005F4295">
              <w:rPr>
                <w:rFonts w:ascii="Calibri" w:hAnsi="Calibri" w:cs="Calibri"/>
                <w:sz w:val="18"/>
                <w:szCs w:val="18"/>
                <w:lang w:eastAsia="zh-CN"/>
              </w:rPr>
              <w:t> </w:t>
            </w:r>
            <w:r w:rsidRPr="005F4295">
              <w:rPr>
                <w:sz w:val="18"/>
                <w:szCs w:val="18"/>
                <w:lang w:eastAsia="zh-CN"/>
              </w:rPr>
              <w:t xml:space="preserve">999.00 </w:t>
            </w:r>
          </w:p>
        </w:tc>
      </w:tr>
      <w:tr w:rsidR="000F7546" w:rsidRPr="005F4295" w14:paraId="51BE6F6F"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7DE3952E" w14:textId="77777777" w:rsidR="000F7546" w:rsidRPr="005F4295" w:rsidRDefault="000F7546">
            <w:pPr>
              <w:rPr>
                <w:sz w:val="18"/>
                <w:szCs w:val="18"/>
                <w:lang w:eastAsia="zh-CN"/>
              </w:rPr>
            </w:pPr>
            <w:r w:rsidRPr="005F4295">
              <w:rPr>
                <w:lang w:eastAsia="zh-CN"/>
              </w:rPr>
              <w:t>European Research Council Executive Agency</w:t>
            </w:r>
          </w:p>
        </w:tc>
        <w:tc>
          <w:tcPr>
            <w:tcW w:w="834" w:type="pct"/>
            <w:tcBorders>
              <w:left w:val="single" w:sz="4" w:space="0" w:color="D9D9D9" w:themeColor="background1" w:themeShade="D9"/>
              <w:right w:val="single" w:sz="4" w:space="0" w:color="D9D9D9" w:themeColor="background1" w:themeShade="D9"/>
            </w:tcBorders>
            <w:noWrap/>
            <w:vAlign w:val="center"/>
          </w:tcPr>
          <w:p w14:paraId="1EDEFAFA"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1</w:t>
            </w:r>
          </w:p>
        </w:tc>
        <w:tc>
          <w:tcPr>
            <w:tcW w:w="1666" w:type="pct"/>
            <w:tcBorders>
              <w:left w:val="single" w:sz="4" w:space="0" w:color="D9D9D9" w:themeColor="background1" w:themeShade="D9"/>
            </w:tcBorders>
            <w:noWrap/>
            <w:vAlign w:val="center"/>
          </w:tcPr>
          <w:p w14:paraId="6B4F06A2" w14:textId="1935DC42"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480</w:t>
            </w:r>
            <w:r w:rsidR="00976B78" w:rsidRPr="005F4295">
              <w:rPr>
                <w:rFonts w:ascii="Calibri" w:hAnsi="Calibri" w:cs="Calibri"/>
                <w:sz w:val="18"/>
                <w:szCs w:val="18"/>
                <w:lang w:eastAsia="zh-CN"/>
              </w:rPr>
              <w:t> </w:t>
            </w:r>
            <w:r w:rsidRPr="005F4295">
              <w:rPr>
                <w:b/>
                <w:color w:val="003399" w:themeColor="text2"/>
                <w:lang w:eastAsia="zh-CN"/>
              </w:rPr>
              <w:t xml:space="preserve">000.00 </w:t>
            </w:r>
          </w:p>
        </w:tc>
      </w:tr>
      <w:tr w:rsidR="000F7546" w:rsidRPr="005F4295" w14:paraId="058B6888"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11C5D576"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a)</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Follow-up open/</w:t>
            </w:r>
            <w:r w:rsidRPr="005F4295">
              <w:rPr>
                <w:b w:val="0"/>
                <w:bCs/>
                <w:color w:val="auto"/>
                <w:sz w:val="18"/>
                <w:szCs w:val="18"/>
                <w:lang w:eastAsia="zh-CN"/>
              </w:rPr>
              <w:t>restricted/</w:t>
            </w:r>
            <w:r w:rsidRPr="005F4295">
              <w:rPr>
                <w:b w:val="0"/>
                <w:color w:val="auto"/>
                <w:sz w:val="18"/>
                <w:szCs w:val="18"/>
                <w:lang w:eastAsia="zh-CN"/>
              </w:rPr>
              <w:t xml:space="preserve">competitive </w:t>
            </w:r>
            <w:r w:rsidRPr="005F4295">
              <w:rPr>
                <w:b w:val="0"/>
                <w:bCs/>
                <w:color w:val="auto"/>
                <w:sz w:val="18"/>
                <w:szCs w:val="18"/>
                <w:lang w:eastAsia="zh-CN"/>
              </w:rPr>
              <w:t>procedure with negotiation</w:t>
            </w:r>
            <w:r w:rsidRPr="005F4295">
              <w:rPr>
                <w:b w:val="0"/>
                <w:color w:val="auto"/>
                <w:sz w:val="18"/>
                <w:szCs w:val="18"/>
                <w:lang w:eastAsia="zh-CN"/>
              </w:rPr>
              <w:t xml:space="preserve"> where contract notice is published and no</w:t>
            </w:r>
            <w:r w:rsidRPr="005F4295">
              <w:rPr>
                <w:b w:val="0"/>
                <w:bCs/>
                <w:color w:val="auto"/>
                <w:sz w:val="18"/>
                <w:szCs w:val="18"/>
                <w:lang w:eastAsia="zh-CN"/>
              </w:rPr>
              <w:t xml:space="preserve"> (or no suitable) tenders</w:t>
            </w:r>
            <w:r w:rsidRPr="005F4295">
              <w:rPr>
                <w:rFonts w:ascii="Calibri" w:hAnsi="Calibri" w:cs="Calibri"/>
                <w:b w:val="0"/>
                <w:bCs/>
                <w:color w:val="auto"/>
                <w:sz w:val="18"/>
                <w:szCs w:val="18"/>
                <w:lang w:eastAsia="zh-CN"/>
              </w:rPr>
              <w:t> </w:t>
            </w:r>
            <w:r w:rsidRPr="005F4295">
              <w:rPr>
                <w:b w:val="0"/>
                <w:bCs/>
                <w:color w:val="auto"/>
                <w:sz w:val="18"/>
                <w:szCs w:val="18"/>
                <w:lang w:eastAsia="zh-CN"/>
              </w:rPr>
              <w:t>/ requests</w:t>
            </w:r>
            <w:r w:rsidRPr="005F4295">
              <w:rPr>
                <w:b w:val="0"/>
                <w:color w:val="auto"/>
                <w:sz w:val="18"/>
                <w:szCs w:val="18"/>
                <w:lang w:eastAsia="zh-CN"/>
              </w:rPr>
              <w:t xml:space="preserve"> were submitted</w:t>
            </w:r>
          </w:p>
        </w:tc>
        <w:tc>
          <w:tcPr>
            <w:tcW w:w="834" w:type="pct"/>
            <w:tcBorders>
              <w:left w:val="single" w:sz="4" w:space="0" w:color="D9D9D9" w:themeColor="background1" w:themeShade="D9"/>
              <w:right w:val="single" w:sz="4" w:space="0" w:color="D9D9D9" w:themeColor="background1" w:themeShade="D9"/>
            </w:tcBorders>
            <w:noWrap/>
            <w:vAlign w:val="center"/>
          </w:tcPr>
          <w:p w14:paraId="6D9AC510"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6586F5AA" w14:textId="424F8148"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480</w:t>
            </w:r>
            <w:r w:rsidR="00976B78" w:rsidRPr="005F4295">
              <w:rPr>
                <w:rFonts w:ascii="Calibri" w:hAnsi="Calibri" w:cs="Calibri"/>
                <w:sz w:val="18"/>
                <w:szCs w:val="18"/>
                <w:lang w:eastAsia="zh-CN"/>
              </w:rPr>
              <w:t> </w:t>
            </w:r>
            <w:r w:rsidRPr="005F4295">
              <w:rPr>
                <w:sz w:val="18"/>
                <w:szCs w:val="18"/>
                <w:lang w:eastAsia="zh-CN"/>
              </w:rPr>
              <w:t xml:space="preserve">000.00 </w:t>
            </w:r>
          </w:p>
        </w:tc>
      </w:tr>
      <w:tr w:rsidR="000F7546" w:rsidRPr="005F4295" w14:paraId="50DDB6C3"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5035E0DA" w14:textId="77777777" w:rsidR="000F7546" w:rsidRPr="005F4295" w:rsidRDefault="000F7546">
            <w:pPr>
              <w:rPr>
                <w:sz w:val="18"/>
                <w:szCs w:val="18"/>
                <w:lang w:eastAsia="zh-CN"/>
              </w:rPr>
            </w:pPr>
            <w:r w:rsidRPr="005F4295">
              <w:rPr>
                <w:lang w:eastAsia="zh-CN"/>
              </w:rPr>
              <w:t>European Research Executive Agency</w:t>
            </w:r>
          </w:p>
        </w:tc>
        <w:tc>
          <w:tcPr>
            <w:tcW w:w="834" w:type="pct"/>
            <w:tcBorders>
              <w:left w:val="single" w:sz="4" w:space="0" w:color="D9D9D9" w:themeColor="background1" w:themeShade="D9"/>
              <w:right w:val="single" w:sz="4" w:space="0" w:color="D9D9D9" w:themeColor="background1" w:themeShade="D9"/>
            </w:tcBorders>
            <w:noWrap/>
            <w:vAlign w:val="center"/>
          </w:tcPr>
          <w:p w14:paraId="3DFFF4EB"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1</w:t>
            </w:r>
          </w:p>
        </w:tc>
        <w:tc>
          <w:tcPr>
            <w:tcW w:w="1666" w:type="pct"/>
            <w:tcBorders>
              <w:left w:val="single" w:sz="4" w:space="0" w:color="D9D9D9" w:themeColor="background1" w:themeShade="D9"/>
            </w:tcBorders>
            <w:noWrap/>
            <w:vAlign w:val="center"/>
          </w:tcPr>
          <w:p w14:paraId="1F63C087" w14:textId="73E1681F"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1</w:t>
            </w:r>
            <w:r w:rsidR="00976B78" w:rsidRPr="005F4295">
              <w:rPr>
                <w:rFonts w:ascii="Calibri" w:hAnsi="Calibri" w:cs="Calibri"/>
                <w:sz w:val="18"/>
                <w:szCs w:val="18"/>
                <w:lang w:eastAsia="zh-CN"/>
              </w:rPr>
              <w:t> </w:t>
            </w:r>
            <w:r w:rsidRPr="005F4295">
              <w:rPr>
                <w:b/>
                <w:color w:val="003399" w:themeColor="text2"/>
                <w:lang w:eastAsia="zh-CN"/>
              </w:rPr>
              <w:t>500</w:t>
            </w:r>
            <w:r w:rsidR="00976B78" w:rsidRPr="005F4295">
              <w:rPr>
                <w:rFonts w:ascii="Calibri" w:hAnsi="Calibri" w:cs="Calibri"/>
                <w:sz w:val="18"/>
                <w:szCs w:val="18"/>
                <w:lang w:eastAsia="zh-CN"/>
              </w:rPr>
              <w:t> </w:t>
            </w:r>
            <w:r w:rsidRPr="005F4295">
              <w:rPr>
                <w:b/>
                <w:color w:val="003399" w:themeColor="text2"/>
                <w:lang w:eastAsia="zh-CN"/>
              </w:rPr>
              <w:t xml:space="preserve">000.00 </w:t>
            </w:r>
          </w:p>
        </w:tc>
      </w:tr>
      <w:tr w:rsidR="000F7546" w:rsidRPr="005F4295" w14:paraId="3AC3D6DF"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64B927C3" w14:textId="77777777" w:rsidR="000F7546" w:rsidRPr="005F4295" w:rsidRDefault="000F7546">
            <w:pPr>
              <w:rPr>
                <w:sz w:val="18"/>
                <w:szCs w:val="18"/>
                <w:lang w:eastAsia="zh-CN"/>
              </w:rPr>
            </w:pPr>
            <w:r w:rsidRPr="005F4295">
              <w:rPr>
                <w:b w:val="0"/>
                <w:color w:val="auto"/>
                <w:sz w:val="18"/>
                <w:szCs w:val="18"/>
                <w:lang w:eastAsia="zh-CN"/>
              </w:rPr>
              <w:t>Annex 1 - 11.1 (e) - New services/works consisting in the repetition of similar services/works</w:t>
            </w:r>
          </w:p>
        </w:tc>
        <w:tc>
          <w:tcPr>
            <w:tcW w:w="834" w:type="pct"/>
            <w:tcBorders>
              <w:left w:val="single" w:sz="4" w:space="0" w:color="D9D9D9" w:themeColor="background1" w:themeShade="D9"/>
              <w:right w:val="single" w:sz="4" w:space="0" w:color="D9D9D9" w:themeColor="background1" w:themeShade="D9"/>
            </w:tcBorders>
            <w:noWrap/>
            <w:vAlign w:val="center"/>
          </w:tcPr>
          <w:p w14:paraId="2E374446"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19430281" w14:textId="0969E6C7"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r w:rsidR="00976B78" w:rsidRPr="005F4295">
              <w:rPr>
                <w:rFonts w:ascii="Calibri" w:hAnsi="Calibri" w:cs="Calibri"/>
                <w:sz w:val="18"/>
                <w:szCs w:val="18"/>
                <w:lang w:eastAsia="zh-CN"/>
              </w:rPr>
              <w:t> </w:t>
            </w:r>
            <w:r w:rsidRPr="005F4295">
              <w:rPr>
                <w:sz w:val="18"/>
                <w:szCs w:val="18"/>
                <w:lang w:eastAsia="zh-CN"/>
              </w:rPr>
              <w:t>500</w:t>
            </w:r>
            <w:r w:rsidR="00976B78" w:rsidRPr="005F4295">
              <w:rPr>
                <w:rFonts w:ascii="Calibri" w:hAnsi="Calibri" w:cs="Calibri"/>
                <w:sz w:val="18"/>
                <w:szCs w:val="18"/>
                <w:lang w:eastAsia="zh-CN"/>
              </w:rPr>
              <w:t> </w:t>
            </w:r>
            <w:r w:rsidRPr="005F4295">
              <w:rPr>
                <w:sz w:val="18"/>
                <w:szCs w:val="18"/>
                <w:lang w:eastAsia="zh-CN"/>
              </w:rPr>
              <w:t xml:space="preserve">000.00 </w:t>
            </w:r>
          </w:p>
        </w:tc>
      </w:tr>
      <w:tr w:rsidR="000F7546" w:rsidRPr="005F4295" w14:paraId="13DD7BD5"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0616F1D9" w14:textId="77777777" w:rsidR="000F7546" w:rsidRPr="005F4295" w:rsidRDefault="000F7546">
            <w:pPr>
              <w:rPr>
                <w:sz w:val="18"/>
                <w:szCs w:val="18"/>
                <w:lang w:eastAsia="zh-CN"/>
              </w:rPr>
            </w:pPr>
            <w:r w:rsidRPr="005F4295">
              <w:rPr>
                <w:lang w:eastAsia="zh-CN"/>
              </w:rPr>
              <w:t>Joint Research Centre</w:t>
            </w:r>
          </w:p>
        </w:tc>
        <w:tc>
          <w:tcPr>
            <w:tcW w:w="834" w:type="pct"/>
            <w:tcBorders>
              <w:left w:val="single" w:sz="4" w:space="0" w:color="D9D9D9" w:themeColor="background1" w:themeShade="D9"/>
              <w:right w:val="single" w:sz="4" w:space="0" w:color="D9D9D9" w:themeColor="background1" w:themeShade="D9"/>
            </w:tcBorders>
            <w:noWrap/>
            <w:vAlign w:val="center"/>
          </w:tcPr>
          <w:p w14:paraId="3948B43A"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30</w:t>
            </w:r>
          </w:p>
        </w:tc>
        <w:tc>
          <w:tcPr>
            <w:tcW w:w="1666" w:type="pct"/>
            <w:tcBorders>
              <w:left w:val="single" w:sz="4" w:space="0" w:color="D9D9D9" w:themeColor="background1" w:themeShade="D9"/>
            </w:tcBorders>
            <w:noWrap/>
            <w:vAlign w:val="center"/>
          </w:tcPr>
          <w:p w14:paraId="3536D6DC" w14:textId="7895C3FB" w:rsidR="000F7546" w:rsidRPr="005F4295" w:rsidRDefault="000F7546">
            <w:pPr>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color w:val="003399" w:themeColor="text2"/>
                <w:lang w:eastAsia="zh-CN"/>
              </w:rPr>
              <w:t>15</w:t>
            </w:r>
            <w:r w:rsidR="00976B78" w:rsidRPr="005F4295">
              <w:rPr>
                <w:rFonts w:ascii="Calibri" w:hAnsi="Calibri" w:cs="Calibri"/>
                <w:sz w:val="18"/>
                <w:szCs w:val="18"/>
                <w:lang w:eastAsia="zh-CN"/>
              </w:rPr>
              <w:t> </w:t>
            </w:r>
            <w:r w:rsidRPr="005F4295">
              <w:rPr>
                <w:b/>
                <w:color w:val="003399" w:themeColor="text2"/>
                <w:lang w:eastAsia="zh-CN"/>
              </w:rPr>
              <w:t>676</w:t>
            </w:r>
            <w:r w:rsidR="00976B78" w:rsidRPr="005F4295">
              <w:rPr>
                <w:rFonts w:ascii="Calibri" w:hAnsi="Calibri" w:cs="Calibri"/>
                <w:sz w:val="18"/>
                <w:szCs w:val="18"/>
                <w:lang w:eastAsia="zh-CN"/>
              </w:rPr>
              <w:t> </w:t>
            </w:r>
            <w:r w:rsidRPr="005F4295">
              <w:rPr>
                <w:b/>
                <w:color w:val="003399" w:themeColor="text2"/>
                <w:lang w:eastAsia="zh-CN"/>
              </w:rPr>
              <w:t xml:space="preserve">519.76 </w:t>
            </w:r>
          </w:p>
        </w:tc>
      </w:tr>
      <w:tr w:rsidR="000F7546" w:rsidRPr="005F4295" w14:paraId="3BCE59E5"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32E45FEA"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a)</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Follow-up of an open/restricted procedure where no (or no suitable) </w:t>
            </w:r>
            <w:r w:rsidRPr="005F4295">
              <w:rPr>
                <w:b w:val="0"/>
                <w:bCs/>
                <w:color w:val="auto"/>
                <w:sz w:val="18"/>
                <w:szCs w:val="18"/>
                <w:lang w:eastAsia="zh-CN"/>
              </w:rPr>
              <w:t>tenders</w:t>
            </w:r>
            <w:r w:rsidRPr="005F4295">
              <w:rPr>
                <w:rFonts w:ascii="Calibri" w:hAnsi="Calibri" w:cs="Calibri"/>
                <w:b w:val="0"/>
                <w:bCs/>
                <w:color w:val="auto"/>
                <w:sz w:val="18"/>
                <w:szCs w:val="18"/>
                <w:lang w:eastAsia="zh-CN"/>
              </w:rPr>
              <w:t> </w:t>
            </w:r>
            <w:r w:rsidRPr="005F4295">
              <w:rPr>
                <w:b w:val="0"/>
                <w:bCs/>
                <w:color w:val="auto"/>
                <w:sz w:val="18"/>
                <w:szCs w:val="18"/>
                <w:lang w:eastAsia="zh-CN"/>
              </w:rPr>
              <w:t>/ requests</w:t>
            </w:r>
            <w:r w:rsidRPr="005F4295">
              <w:rPr>
                <w:b w:val="0"/>
                <w:color w:val="auto"/>
                <w:sz w:val="18"/>
                <w:szCs w:val="18"/>
                <w:lang w:eastAsia="zh-CN"/>
              </w:rPr>
              <w:t xml:space="preserve"> to participate have been submitted</w:t>
            </w:r>
          </w:p>
        </w:tc>
        <w:tc>
          <w:tcPr>
            <w:tcW w:w="834" w:type="pct"/>
            <w:tcBorders>
              <w:left w:val="single" w:sz="4" w:space="0" w:color="D9D9D9" w:themeColor="background1" w:themeShade="D9"/>
              <w:right w:val="single" w:sz="4" w:space="0" w:color="D9D9D9" w:themeColor="background1" w:themeShade="D9"/>
            </w:tcBorders>
            <w:noWrap/>
            <w:vAlign w:val="center"/>
          </w:tcPr>
          <w:p w14:paraId="7E405D0F"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063F0C7A" w14:textId="248C7B5B"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78</w:t>
            </w:r>
            <w:r w:rsidR="00976B78" w:rsidRPr="005F4295">
              <w:rPr>
                <w:rFonts w:ascii="Calibri" w:hAnsi="Calibri" w:cs="Calibri"/>
                <w:sz w:val="18"/>
                <w:szCs w:val="18"/>
                <w:lang w:eastAsia="zh-CN"/>
              </w:rPr>
              <w:t> </w:t>
            </w:r>
            <w:r w:rsidRPr="005F4295">
              <w:rPr>
                <w:sz w:val="18"/>
                <w:szCs w:val="18"/>
                <w:lang w:eastAsia="zh-CN"/>
              </w:rPr>
              <w:t>000.00</w:t>
            </w:r>
          </w:p>
        </w:tc>
      </w:tr>
      <w:tr w:rsidR="000F7546" w:rsidRPr="005F4295" w14:paraId="32377E73"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765B7B28"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noWrap/>
            <w:vAlign w:val="center"/>
          </w:tcPr>
          <w:p w14:paraId="2E90ACFC"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27</w:t>
            </w:r>
          </w:p>
        </w:tc>
        <w:tc>
          <w:tcPr>
            <w:tcW w:w="1666" w:type="pct"/>
            <w:tcBorders>
              <w:left w:val="single" w:sz="4" w:space="0" w:color="D9D9D9" w:themeColor="background1" w:themeShade="D9"/>
            </w:tcBorders>
            <w:noWrap/>
            <w:vAlign w:val="center"/>
          </w:tcPr>
          <w:p w14:paraId="7F491855" w14:textId="0E7A7D70"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15</w:t>
            </w:r>
            <w:r w:rsidR="00976B78" w:rsidRPr="005F4295">
              <w:rPr>
                <w:rFonts w:ascii="Calibri" w:hAnsi="Calibri" w:cs="Calibri"/>
                <w:sz w:val="18"/>
                <w:szCs w:val="18"/>
                <w:lang w:eastAsia="zh-CN"/>
              </w:rPr>
              <w:t> </w:t>
            </w:r>
            <w:r w:rsidRPr="005F4295">
              <w:rPr>
                <w:sz w:val="18"/>
                <w:szCs w:val="18"/>
                <w:lang w:eastAsia="zh-CN"/>
              </w:rPr>
              <w:t>246</w:t>
            </w:r>
            <w:r w:rsidR="00976B78" w:rsidRPr="005F4295">
              <w:rPr>
                <w:rFonts w:ascii="Calibri" w:hAnsi="Calibri" w:cs="Calibri"/>
                <w:sz w:val="18"/>
                <w:szCs w:val="18"/>
                <w:lang w:eastAsia="zh-CN"/>
              </w:rPr>
              <w:t> </w:t>
            </w:r>
            <w:r w:rsidRPr="005F4295">
              <w:rPr>
                <w:sz w:val="18"/>
                <w:szCs w:val="18"/>
                <w:lang w:eastAsia="zh-CN"/>
              </w:rPr>
              <w:t xml:space="preserve">142.80 </w:t>
            </w:r>
          </w:p>
        </w:tc>
      </w:tr>
      <w:tr w:rsidR="000F7546" w:rsidRPr="005F4295" w14:paraId="515F80F7"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15FAC823"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(c)</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Extreme urgency caused by unforeseeable events not </w:t>
            </w:r>
            <w:r w:rsidRPr="005F4295">
              <w:rPr>
                <w:b w:val="0"/>
                <w:bCs/>
                <w:color w:val="auto"/>
                <w:sz w:val="18"/>
                <w:szCs w:val="18"/>
                <w:lang w:eastAsia="zh-CN"/>
              </w:rPr>
              <w:t>attributable</w:t>
            </w:r>
            <w:r w:rsidRPr="005F4295">
              <w:rPr>
                <w:b w:val="0"/>
                <w:color w:val="auto"/>
                <w:sz w:val="18"/>
                <w:szCs w:val="18"/>
                <w:lang w:eastAsia="zh-CN"/>
              </w:rPr>
              <w:t xml:space="preserve"> to the contracting authority</w:t>
            </w:r>
          </w:p>
        </w:tc>
        <w:tc>
          <w:tcPr>
            <w:tcW w:w="834" w:type="pct"/>
            <w:tcBorders>
              <w:left w:val="single" w:sz="4" w:space="0" w:color="D9D9D9" w:themeColor="background1" w:themeShade="D9"/>
              <w:right w:val="single" w:sz="4" w:space="0" w:color="D9D9D9" w:themeColor="background1" w:themeShade="D9"/>
            </w:tcBorders>
            <w:noWrap/>
            <w:vAlign w:val="center"/>
          </w:tcPr>
          <w:p w14:paraId="50DCAFB2"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3D4D165B" w14:textId="1035D56E"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99</w:t>
            </w:r>
            <w:r w:rsidR="00976B78" w:rsidRPr="005F4295">
              <w:rPr>
                <w:rFonts w:ascii="Calibri" w:hAnsi="Calibri" w:cs="Calibri"/>
                <w:sz w:val="18"/>
                <w:szCs w:val="18"/>
                <w:lang w:eastAsia="zh-CN"/>
              </w:rPr>
              <w:t> </w:t>
            </w:r>
            <w:r w:rsidRPr="005F4295">
              <w:rPr>
                <w:sz w:val="18"/>
                <w:szCs w:val="18"/>
                <w:lang w:eastAsia="zh-CN"/>
              </w:rPr>
              <w:t>376.96</w:t>
            </w:r>
          </w:p>
        </w:tc>
      </w:tr>
      <w:tr w:rsidR="000F7546" w:rsidRPr="005F4295" w14:paraId="725E535B"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noWrap/>
            <w:vAlign w:val="center"/>
          </w:tcPr>
          <w:p w14:paraId="57E370C0" w14:textId="77777777" w:rsidR="000F7546" w:rsidRPr="005F4295" w:rsidRDefault="000F7546">
            <w:pPr>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834" w:type="pct"/>
            <w:tcBorders>
              <w:left w:val="single" w:sz="4" w:space="0" w:color="D9D9D9" w:themeColor="background1" w:themeShade="D9"/>
              <w:right w:val="single" w:sz="4" w:space="0" w:color="D9D9D9" w:themeColor="background1" w:themeShade="D9"/>
            </w:tcBorders>
            <w:noWrap/>
            <w:vAlign w:val="center"/>
          </w:tcPr>
          <w:p w14:paraId="4B695A9A"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1666" w:type="pct"/>
            <w:tcBorders>
              <w:left w:val="single" w:sz="4" w:space="0" w:color="D9D9D9" w:themeColor="background1" w:themeShade="D9"/>
            </w:tcBorders>
            <w:noWrap/>
            <w:vAlign w:val="center"/>
          </w:tcPr>
          <w:p w14:paraId="23C5B285" w14:textId="7C49A749"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253</w:t>
            </w:r>
            <w:r w:rsidR="00976B78" w:rsidRPr="005F4295">
              <w:rPr>
                <w:rFonts w:ascii="Calibri" w:hAnsi="Calibri" w:cs="Calibri"/>
                <w:sz w:val="18"/>
                <w:szCs w:val="18"/>
                <w:lang w:eastAsia="zh-CN"/>
              </w:rPr>
              <w:t> </w:t>
            </w:r>
            <w:r w:rsidRPr="005F4295">
              <w:rPr>
                <w:sz w:val="18"/>
                <w:szCs w:val="18"/>
                <w:lang w:eastAsia="zh-CN"/>
              </w:rPr>
              <w:t>000.00</w:t>
            </w:r>
          </w:p>
        </w:tc>
      </w:tr>
      <w:tr w:rsidR="000F7546" w:rsidRPr="005F4295" w14:paraId="626A3E96"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27B0CF5C" w14:textId="77777777" w:rsidR="000F7546" w:rsidRPr="005F4295" w:rsidRDefault="000F7546">
            <w:pPr>
              <w:rPr>
                <w:lang w:eastAsia="zh-CN"/>
              </w:rPr>
            </w:pPr>
            <w:r w:rsidRPr="005F4295">
              <w:rPr>
                <w:lang w:eastAsia="zh-CN"/>
              </w:rPr>
              <w:t>Office for the Administration and Payment of Individual Entitlements</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450FB54B"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1</w:t>
            </w:r>
          </w:p>
        </w:tc>
        <w:tc>
          <w:tcPr>
            <w:tcW w:w="1666" w:type="pct"/>
            <w:tcBorders>
              <w:left w:val="single" w:sz="4" w:space="0" w:color="D9D9D9" w:themeColor="background1" w:themeShade="D9"/>
            </w:tcBorders>
            <w:shd w:val="clear" w:color="auto" w:fill="FFFFFF" w:themeFill="background1"/>
            <w:noWrap/>
            <w:vAlign w:val="center"/>
          </w:tcPr>
          <w:p w14:paraId="06AAD2EB" w14:textId="10ADCD8B"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3</w:t>
            </w:r>
            <w:r w:rsidR="00976B78" w:rsidRPr="005F4295">
              <w:rPr>
                <w:rFonts w:ascii="Calibri" w:hAnsi="Calibri" w:cs="Calibri"/>
                <w:sz w:val="18"/>
                <w:szCs w:val="18"/>
                <w:lang w:eastAsia="zh-CN"/>
              </w:rPr>
              <w:t> </w:t>
            </w:r>
            <w:r w:rsidRPr="005F4295">
              <w:rPr>
                <w:b/>
                <w:color w:val="003399" w:themeColor="text2"/>
                <w:lang w:eastAsia="zh-CN"/>
              </w:rPr>
              <w:t>140</w:t>
            </w:r>
            <w:r w:rsidR="00976B78" w:rsidRPr="005F4295">
              <w:rPr>
                <w:rFonts w:ascii="Calibri" w:hAnsi="Calibri" w:cs="Calibri"/>
                <w:sz w:val="18"/>
                <w:szCs w:val="18"/>
                <w:lang w:eastAsia="zh-CN"/>
              </w:rPr>
              <w:t> </w:t>
            </w:r>
            <w:r w:rsidRPr="005F4295">
              <w:rPr>
                <w:b/>
                <w:color w:val="003399" w:themeColor="text2"/>
                <w:lang w:eastAsia="zh-CN"/>
              </w:rPr>
              <w:t xml:space="preserve">000.00 </w:t>
            </w:r>
          </w:p>
        </w:tc>
      </w:tr>
      <w:tr w:rsidR="000F7546" w:rsidRPr="005F4295" w14:paraId="719A20D3"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20EFE9B2" w14:textId="77777777" w:rsidR="000F7546" w:rsidRPr="005F4295" w:rsidRDefault="000F7546">
            <w:pPr>
              <w:rPr>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2EE5060A"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sz w:val="18"/>
                <w:szCs w:val="18"/>
                <w:lang w:eastAsia="zh-CN"/>
              </w:rPr>
              <w:t>1</w:t>
            </w:r>
          </w:p>
        </w:tc>
        <w:tc>
          <w:tcPr>
            <w:tcW w:w="1666" w:type="pct"/>
            <w:tcBorders>
              <w:left w:val="single" w:sz="4" w:space="0" w:color="D9D9D9" w:themeColor="background1" w:themeShade="D9"/>
            </w:tcBorders>
            <w:shd w:val="clear" w:color="auto" w:fill="FFFFFF" w:themeFill="background1"/>
            <w:noWrap/>
            <w:vAlign w:val="center"/>
          </w:tcPr>
          <w:p w14:paraId="23258633" w14:textId="4B674B92"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sz w:val="18"/>
                <w:szCs w:val="18"/>
                <w:lang w:eastAsia="zh-CN"/>
              </w:rPr>
              <w:t>3</w:t>
            </w:r>
            <w:r w:rsidR="00976B78" w:rsidRPr="005F4295">
              <w:rPr>
                <w:rFonts w:ascii="Calibri" w:hAnsi="Calibri" w:cs="Calibri"/>
                <w:sz w:val="18"/>
                <w:szCs w:val="18"/>
                <w:lang w:eastAsia="zh-CN"/>
              </w:rPr>
              <w:t> </w:t>
            </w:r>
            <w:r w:rsidRPr="005F4295">
              <w:rPr>
                <w:sz w:val="18"/>
                <w:szCs w:val="18"/>
                <w:lang w:eastAsia="zh-CN"/>
              </w:rPr>
              <w:t>140</w:t>
            </w:r>
            <w:r w:rsidR="00976B78" w:rsidRPr="005F4295">
              <w:rPr>
                <w:rFonts w:ascii="Calibri" w:hAnsi="Calibri" w:cs="Calibri"/>
                <w:sz w:val="18"/>
                <w:szCs w:val="18"/>
                <w:lang w:eastAsia="zh-CN"/>
              </w:rPr>
              <w:t> </w:t>
            </w:r>
            <w:r w:rsidRPr="005F4295">
              <w:rPr>
                <w:sz w:val="18"/>
                <w:szCs w:val="18"/>
                <w:lang w:eastAsia="zh-CN"/>
              </w:rPr>
              <w:t xml:space="preserve">000.00 </w:t>
            </w:r>
          </w:p>
        </w:tc>
      </w:tr>
      <w:tr w:rsidR="000F7546" w:rsidRPr="005F4295" w14:paraId="750ACAC3"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40EA37BD" w14:textId="77777777" w:rsidR="000F7546" w:rsidRPr="005F4295" w:rsidRDefault="000F7546">
            <w:pPr>
              <w:rPr>
                <w:lang w:eastAsia="zh-CN"/>
              </w:rPr>
            </w:pPr>
            <w:r w:rsidRPr="005F4295">
              <w:rPr>
                <w:lang w:eastAsia="zh-CN"/>
              </w:rPr>
              <w:t>Office for Infrastructure and Logistics in Brussels</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74691583"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6</w:t>
            </w:r>
          </w:p>
        </w:tc>
        <w:tc>
          <w:tcPr>
            <w:tcW w:w="1666" w:type="pct"/>
            <w:tcBorders>
              <w:left w:val="single" w:sz="4" w:space="0" w:color="D9D9D9" w:themeColor="background1" w:themeShade="D9"/>
            </w:tcBorders>
            <w:shd w:val="clear" w:color="auto" w:fill="FFFFFF" w:themeFill="background1"/>
            <w:noWrap/>
            <w:vAlign w:val="center"/>
          </w:tcPr>
          <w:p w14:paraId="7E6B4A35" w14:textId="08E9C989"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55</w:t>
            </w:r>
            <w:r w:rsidR="00976B78" w:rsidRPr="005F4295">
              <w:rPr>
                <w:rFonts w:ascii="Calibri" w:hAnsi="Calibri" w:cs="Calibri"/>
                <w:sz w:val="18"/>
                <w:szCs w:val="18"/>
                <w:lang w:eastAsia="zh-CN"/>
              </w:rPr>
              <w:t> </w:t>
            </w:r>
            <w:r w:rsidRPr="005F4295">
              <w:rPr>
                <w:b/>
                <w:color w:val="003399" w:themeColor="text2"/>
                <w:lang w:eastAsia="zh-CN"/>
              </w:rPr>
              <w:t>790</w:t>
            </w:r>
            <w:r w:rsidR="00976B78" w:rsidRPr="005F4295">
              <w:rPr>
                <w:rFonts w:ascii="Calibri" w:hAnsi="Calibri" w:cs="Calibri"/>
                <w:sz w:val="18"/>
                <w:szCs w:val="18"/>
                <w:lang w:eastAsia="zh-CN"/>
              </w:rPr>
              <w:t> </w:t>
            </w:r>
            <w:r w:rsidRPr="005F4295">
              <w:rPr>
                <w:b/>
                <w:color w:val="003399" w:themeColor="text2"/>
                <w:lang w:eastAsia="zh-CN"/>
              </w:rPr>
              <w:t xml:space="preserve">721.00 </w:t>
            </w:r>
          </w:p>
        </w:tc>
      </w:tr>
      <w:tr w:rsidR="000F7546" w:rsidRPr="005F4295" w14:paraId="1B102783"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3A119041" w14:textId="77777777" w:rsidR="000F7546" w:rsidRPr="005F4295" w:rsidRDefault="000F7546">
            <w:pPr>
              <w:rPr>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(c)</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Extreme urgency caused by unforeseeable events not </w:t>
            </w:r>
            <w:r w:rsidRPr="005F4295">
              <w:rPr>
                <w:b w:val="0"/>
                <w:bCs/>
                <w:color w:val="auto"/>
                <w:sz w:val="18"/>
                <w:szCs w:val="18"/>
                <w:lang w:eastAsia="zh-CN"/>
              </w:rPr>
              <w:t>attributable</w:t>
            </w:r>
            <w:r w:rsidRPr="005F4295">
              <w:rPr>
                <w:b w:val="0"/>
                <w:color w:val="auto"/>
                <w:sz w:val="18"/>
                <w:szCs w:val="18"/>
                <w:lang w:eastAsia="zh-CN"/>
              </w:rPr>
              <w:t xml:space="preserve"> to the contracting authority</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4ED7D95D"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sz w:val="18"/>
                <w:szCs w:val="18"/>
                <w:lang w:eastAsia="zh-CN"/>
              </w:rPr>
              <w:t>2</w:t>
            </w:r>
          </w:p>
        </w:tc>
        <w:tc>
          <w:tcPr>
            <w:tcW w:w="1666" w:type="pct"/>
            <w:tcBorders>
              <w:left w:val="single" w:sz="4" w:space="0" w:color="D9D9D9" w:themeColor="background1" w:themeShade="D9"/>
            </w:tcBorders>
            <w:shd w:val="clear" w:color="auto" w:fill="FFFFFF" w:themeFill="background1"/>
            <w:noWrap/>
            <w:vAlign w:val="center"/>
          </w:tcPr>
          <w:p w14:paraId="49BAB720" w14:textId="762BF38E"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sz w:val="18"/>
                <w:szCs w:val="18"/>
                <w:lang w:eastAsia="zh-CN"/>
              </w:rPr>
              <w:t>22</w:t>
            </w:r>
            <w:r w:rsidR="00976B78" w:rsidRPr="005F4295">
              <w:rPr>
                <w:rFonts w:ascii="Calibri" w:hAnsi="Calibri" w:cs="Calibri"/>
                <w:sz w:val="18"/>
                <w:szCs w:val="18"/>
                <w:lang w:eastAsia="zh-CN"/>
              </w:rPr>
              <w:t> </w:t>
            </w:r>
            <w:r w:rsidRPr="005F4295">
              <w:rPr>
                <w:sz w:val="18"/>
                <w:szCs w:val="18"/>
                <w:lang w:eastAsia="zh-CN"/>
              </w:rPr>
              <w:t>790</w:t>
            </w:r>
            <w:r w:rsidR="00976B78" w:rsidRPr="005F4295">
              <w:rPr>
                <w:rFonts w:ascii="Calibri" w:hAnsi="Calibri" w:cs="Calibri"/>
                <w:sz w:val="18"/>
                <w:szCs w:val="18"/>
                <w:lang w:eastAsia="zh-CN"/>
              </w:rPr>
              <w:t> </w:t>
            </w:r>
            <w:r w:rsidRPr="005F4295">
              <w:rPr>
                <w:sz w:val="18"/>
                <w:szCs w:val="18"/>
                <w:lang w:eastAsia="zh-CN"/>
              </w:rPr>
              <w:t xml:space="preserve">430.00 </w:t>
            </w:r>
          </w:p>
        </w:tc>
      </w:tr>
      <w:tr w:rsidR="000F7546" w:rsidRPr="005F4295" w14:paraId="16FDC58A"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55C87ABF" w14:textId="77777777" w:rsidR="000F7546" w:rsidRPr="005F4295" w:rsidRDefault="000F7546">
            <w:pPr>
              <w:rPr>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a)</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Follow-up open/</w:t>
            </w:r>
            <w:r w:rsidRPr="005F4295">
              <w:rPr>
                <w:b w:val="0"/>
                <w:bCs/>
                <w:color w:val="auto"/>
                <w:sz w:val="18"/>
                <w:szCs w:val="18"/>
                <w:lang w:eastAsia="zh-CN"/>
              </w:rPr>
              <w:t>restricted/</w:t>
            </w:r>
            <w:r w:rsidRPr="005F4295">
              <w:rPr>
                <w:b w:val="0"/>
                <w:color w:val="auto"/>
                <w:sz w:val="18"/>
                <w:szCs w:val="18"/>
                <w:lang w:eastAsia="zh-CN"/>
              </w:rPr>
              <w:t xml:space="preserve">competitive </w:t>
            </w:r>
            <w:r w:rsidRPr="005F4295">
              <w:rPr>
                <w:b w:val="0"/>
                <w:bCs/>
                <w:color w:val="auto"/>
                <w:sz w:val="18"/>
                <w:szCs w:val="18"/>
                <w:lang w:eastAsia="zh-CN"/>
              </w:rPr>
              <w:t>procedure with negotiation</w:t>
            </w:r>
            <w:r w:rsidRPr="005F4295">
              <w:rPr>
                <w:b w:val="0"/>
                <w:color w:val="auto"/>
                <w:sz w:val="18"/>
                <w:szCs w:val="18"/>
                <w:lang w:eastAsia="zh-CN"/>
              </w:rPr>
              <w:t xml:space="preserve"> where contract notice is published and no</w:t>
            </w:r>
            <w:r w:rsidRPr="005F4295">
              <w:rPr>
                <w:b w:val="0"/>
                <w:bCs/>
                <w:color w:val="auto"/>
                <w:sz w:val="18"/>
                <w:szCs w:val="18"/>
                <w:lang w:eastAsia="zh-CN"/>
              </w:rPr>
              <w:t xml:space="preserve"> (or no suitable) tenders</w:t>
            </w:r>
            <w:r w:rsidRPr="005F4295">
              <w:rPr>
                <w:rFonts w:ascii="Calibri" w:hAnsi="Calibri" w:cs="Calibri"/>
                <w:b w:val="0"/>
                <w:bCs/>
                <w:color w:val="auto"/>
                <w:sz w:val="18"/>
                <w:szCs w:val="18"/>
                <w:lang w:eastAsia="zh-CN"/>
              </w:rPr>
              <w:t> </w:t>
            </w:r>
            <w:r w:rsidRPr="005F4295">
              <w:rPr>
                <w:b w:val="0"/>
                <w:bCs/>
                <w:color w:val="auto"/>
                <w:sz w:val="18"/>
                <w:szCs w:val="18"/>
                <w:lang w:eastAsia="zh-CN"/>
              </w:rPr>
              <w:t>/ requests</w:t>
            </w:r>
            <w:r w:rsidRPr="005F4295">
              <w:rPr>
                <w:b w:val="0"/>
                <w:color w:val="auto"/>
                <w:sz w:val="18"/>
                <w:szCs w:val="18"/>
                <w:lang w:eastAsia="zh-CN"/>
              </w:rPr>
              <w:t xml:space="preserve"> were submitted</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0719C709"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sz w:val="18"/>
                <w:szCs w:val="18"/>
                <w:lang w:eastAsia="zh-CN"/>
              </w:rPr>
              <w:t>1</w:t>
            </w:r>
          </w:p>
        </w:tc>
        <w:tc>
          <w:tcPr>
            <w:tcW w:w="1666" w:type="pct"/>
            <w:tcBorders>
              <w:left w:val="single" w:sz="4" w:space="0" w:color="D9D9D9" w:themeColor="background1" w:themeShade="D9"/>
            </w:tcBorders>
            <w:shd w:val="clear" w:color="auto" w:fill="FFFFFF" w:themeFill="background1"/>
            <w:noWrap/>
            <w:vAlign w:val="center"/>
          </w:tcPr>
          <w:p w14:paraId="02F548FD" w14:textId="0F2B7CA9"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sz w:val="18"/>
                <w:szCs w:val="18"/>
                <w:lang w:eastAsia="zh-CN"/>
              </w:rPr>
              <w:t>449</w:t>
            </w:r>
            <w:r w:rsidR="00976B78" w:rsidRPr="005F4295">
              <w:rPr>
                <w:rFonts w:ascii="Calibri" w:hAnsi="Calibri" w:cs="Calibri"/>
                <w:sz w:val="18"/>
                <w:szCs w:val="18"/>
                <w:lang w:eastAsia="zh-CN"/>
              </w:rPr>
              <w:t> </w:t>
            </w:r>
            <w:r w:rsidRPr="005F4295">
              <w:rPr>
                <w:sz w:val="18"/>
                <w:szCs w:val="18"/>
                <w:lang w:eastAsia="zh-CN"/>
              </w:rPr>
              <w:t>709.00</w:t>
            </w:r>
          </w:p>
        </w:tc>
      </w:tr>
      <w:tr w:rsidR="000F7546" w:rsidRPr="005F4295" w14:paraId="717FF4B1"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208FF862" w14:textId="77777777" w:rsidR="000F7546" w:rsidRPr="005F4295" w:rsidRDefault="000F7546">
            <w:pPr>
              <w:rPr>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4E388963"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sz w:val="18"/>
                <w:szCs w:val="18"/>
                <w:lang w:eastAsia="zh-CN"/>
              </w:rPr>
              <w:t>3</w:t>
            </w:r>
          </w:p>
        </w:tc>
        <w:tc>
          <w:tcPr>
            <w:tcW w:w="1666" w:type="pct"/>
            <w:tcBorders>
              <w:left w:val="single" w:sz="4" w:space="0" w:color="D9D9D9" w:themeColor="background1" w:themeShade="D9"/>
            </w:tcBorders>
            <w:shd w:val="clear" w:color="auto" w:fill="FFFFFF" w:themeFill="background1"/>
            <w:noWrap/>
            <w:vAlign w:val="center"/>
          </w:tcPr>
          <w:p w14:paraId="69FB873C" w14:textId="239B91CF"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sz w:val="18"/>
                <w:szCs w:val="18"/>
                <w:lang w:eastAsia="zh-CN"/>
              </w:rPr>
              <w:t>32</w:t>
            </w:r>
            <w:r w:rsidR="00976B78" w:rsidRPr="005F4295">
              <w:rPr>
                <w:rFonts w:ascii="Calibri" w:hAnsi="Calibri" w:cs="Calibri"/>
                <w:sz w:val="18"/>
                <w:szCs w:val="18"/>
                <w:lang w:eastAsia="zh-CN"/>
              </w:rPr>
              <w:t> </w:t>
            </w:r>
            <w:r w:rsidRPr="005F4295">
              <w:rPr>
                <w:sz w:val="18"/>
                <w:szCs w:val="18"/>
                <w:lang w:eastAsia="zh-CN"/>
              </w:rPr>
              <w:t>550</w:t>
            </w:r>
            <w:r w:rsidR="00976B78" w:rsidRPr="005F4295">
              <w:rPr>
                <w:rFonts w:ascii="Calibri" w:hAnsi="Calibri" w:cs="Calibri"/>
                <w:sz w:val="18"/>
                <w:szCs w:val="18"/>
                <w:lang w:eastAsia="zh-CN"/>
              </w:rPr>
              <w:t> </w:t>
            </w:r>
            <w:r w:rsidRPr="005F4295">
              <w:rPr>
                <w:sz w:val="18"/>
                <w:szCs w:val="18"/>
                <w:lang w:eastAsia="zh-CN"/>
              </w:rPr>
              <w:t xml:space="preserve">582.00 </w:t>
            </w:r>
          </w:p>
        </w:tc>
      </w:tr>
      <w:tr w:rsidR="000F7546" w:rsidRPr="005F4295" w14:paraId="577D14BD"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54DB19B8" w14:textId="77777777" w:rsidR="000F7546" w:rsidRPr="005F4295" w:rsidRDefault="000F7546">
            <w:pPr>
              <w:rPr>
                <w:lang w:eastAsia="zh-CN"/>
              </w:rPr>
            </w:pPr>
            <w:r w:rsidRPr="005F4295">
              <w:rPr>
                <w:lang w:eastAsia="zh-CN"/>
              </w:rPr>
              <w:t>Office for Infrastructure and Logistics in Luxembourg</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74768593"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1</w:t>
            </w:r>
          </w:p>
        </w:tc>
        <w:tc>
          <w:tcPr>
            <w:tcW w:w="1666" w:type="pct"/>
            <w:tcBorders>
              <w:left w:val="single" w:sz="4" w:space="0" w:color="D9D9D9" w:themeColor="background1" w:themeShade="D9"/>
            </w:tcBorders>
            <w:shd w:val="clear" w:color="auto" w:fill="FFFFFF" w:themeFill="background1"/>
            <w:noWrap/>
            <w:vAlign w:val="center"/>
          </w:tcPr>
          <w:p w14:paraId="01EF6186" w14:textId="22356E5E" w:rsidR="000F7546" w:rsidRPr="005F4295" w:rsidRDefault="000F7546">
            <w:pPr>
              <w:suppressAutoHyphens w:val="0"/>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128</w:t>
            </w:r>
            <w:r w:rsidR="00976B78" w:rsidRPr="005F4295">
              <w:rPr>
                <w:rFonts w:ascii="Calibri" w:hAnsi="Calibri" w:cs="Calibri"/>
                <w:sz w:val="18"/>
                <w:szCs w:val="18"/>
                <w:lang w:eastAsia="zh-CN"/>
              </w:rPr>
              <w:t> </w:t>
            </w:r>
            <w:r w:rsidRPr="005F4295">
              <w:rPr>
                <w:b/>
                <w:color w:val="003399" w:themeColor="text2"/>
                <w:lang w:eastAsia="zh-CN"/>
              </w:rPr>
              <w:t>000.00</w:t>
            </w:r>
          </w:p>
        </w:tc>
      </w:tr>
      <w:tr w:rsidR="000F7546" w:rsidRPr="005F4295" w14:paraId="74989589" w14:textId="77777777" w:rsidTr="00650F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FFFFF" w:themeFill="background1"/>
            <w:noWrap/>
            <w:vAlign w:val="center"/>
          </w:tcPr>
          <w:p w14:paraId="7491864E" w14:textId="77777777" w:rsidR="000F7546" w:rsidRPr="005F4295" w:rsidRDefault="000F7546">
            <w:pPr>
              <w:rPr>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834"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0DDA418B" w14:textId="77777777" w:rsidR="000F7546" w:rsidRPr="005F4295" w:rsidRDefault="000F7546" w:rsidP="00650F13">
            <w:pPr>
              <w:jc w:val="center"/>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sz w:val="18"/>
                <w:szCs w:val="18"/>
                <w:lang w:eastAsia="zh-CN"/>
              </w:rPr>
              <w:t>1</w:t>
            </w:r>
          </w:p>
        </w:tc>
        <w:tc>
          <w:tcPr>
            <w:tcW w:w="1666" w:type="pct"/>
            <w:tcBorders>
              <w:left w:val="single" w:sz="4" w:space="0" w:color="D9D9D9" w:themeColor="background1" w:themeShade="D9"/>
            </w:tcBorders>
            <w:shd w:val="clear" w:color="auto" w:fill="FFFFFF" w:themeFill="background1"/>
            <w:noWrap/>
            <w:vAlign w:val="center"/>
          </w:tcPr>
          <w:p w14:paraId="091137DC" w14:textId="76D7E084" w:rsidR="000F7546" w:rsidRPr="005F4295" w:rsidRDefault="000F7546">
            <w:pPr>
              <w:suppressAutoHyphens w:val="0"/>
              <w:jc w:val="right"/>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sz w:val="18"/>
                <w:szCs w:val="18"/>
                <w:lang w:eastAsia="zh-CN"/>
              </w:rPr>
              <w:t>128</w:t>
            </w:r>
            <w:r w:rsidR="00976B78" w:rsidRPr="005F4295">
              <w:rPr>
                <w:rFonts w:ascii="Calibri" w:hAnsi="Calibri" w:cs="Calibri"/>
                <w:sz w:val="18"/>
                <w:szCs w:val="18"/>
                <w:lang w:eastAsia="zh-CN"/>
              </w:rPr>
              <w:t> </w:t>
            </w:r>
            <w:r w:rsidRPr="005F4295">
              <w:rPr>
                <w:sz w:val="18"/>
                <w:szCs w:val="18"/>
                <w:lang w:eastAsia="zh-CN"/>
              </w:rPr>
              <w:t xml:space="preserve">000.00 </w:t>
            </w:r>
          </w:p>
        </w:tc>
      </w:tr>
      <w:tr w:rsidR="000F7546" w:rsidRPr="005F4295" w14:paraId="669051D6" w14:textId="77777777" w:rsidTr="00650F1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D9D9D9" w:themeColor="background1" w:themeShade="D9"/>
            </w:tcBorders>
            <w:shd w:val="clear" w:color="auto" w:fill="FEDEC6" w:themeFill="accent2" w:themeFillTint="33"/>
            <w:noWrap/>
            <w:vAlign w:val="center"/>
            <w:hideMark/>
          </w:tcPr>
          <w:p w14:paraId="1CADA5D4" w14:textId="77777777" w:rsidR="000F7546" w:rsidRPr="005F4295" w:rsidRDefault="000F7546">
            <w:pPr>
              <w:rPr>
                <w:lang w:eastAsia="zh-CN"/>
              </w:rPr>
            </w:pPr>
            <w:r w:rsidRPr="005F4295">
              <w:rPr>
                <w:lang w:eastAsia="zh-CN"/>
              </w:rPr>
              <w:t>Total</w:t>
            </w:r>
          </w:p>
        </w:tc>
        <w:tc>
          <w:tcPr>
            <w:tcW w:w="834" w:type="pct"/>
            <w:tcBorders>
              <w:left w:val="single" w:sz="4" w:space="0" w:color="D9D9D9" w:themeColor="background1" w:themeShade="D9"/>
              <w:right w:val="single" w:sz="4" w:space="0" w:color="D9D9D9" w:themeColor="background1" w:themeShade="D9"/>
            </w:tcBorders>
            <w:shd w:val="clear" w:color="auto" w:fill="FEDEC6" w:themeFill="accent2" w:themeFillTint="33"/>
            <w:noWrap/>
            <w:vAlign w:val="center"/>
            <w:hideMark/>
          </w:tcPr>
          <w:p w14:paraId="4CBF6FA3" w14:textId="77777777" w:rsidR="000F7546" w:rsidRPr="005F4295" w:rsidRDefault="000F7546" w:rsidP="00650F13">
            <w:pPr>
              <w:jc w:val="center"/>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80</w:t>
            </w:r>
          </w:p>
        </w:tc>
        <w:tc>
          <w:tcPr>
            <w:tcW w:w="1666" w:type="pct"/>
            <w:tcBorders>
              <w:left w:val="single" w:sz="4" w:space="0" w:color="D9D9D9" w:themeColor="background1" w:themeShade="D9"/>
            </w:tcBorders>
            <w:shd w:val="clear" w:color="auto" w:fill="FEDEC6" w:themeFill="accent2" w:themeFillTint="33"/>
            <w:noWrap/>
            <w:vAlign w:val="center"/>
            <w:hideMark/>
          </w:tcPr>
          <w:p w14:paraId="672A8DD7" w14:textId="4ED9629C" w:rsidR="000F7546" w:rsidRPr="005F4295" w:rsidRDefault="000F7546">
            <w:pPr>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1</w:t>
            </w:r>
            <w:r w:rsidR="00976B78" w:rsidRPr="005F4295">
              <w:rPr>
                <w:rFonts w:ascii="Calibri" w:hAnsi="Calibri" w:cs="Calibri"/>
                <w:sz w:val="18"/>
                <w:szCs w:val="18"/>
                <w:lang w:eastAsia="zh-CN"/>
              </w:rPr>
              <w:t> </w:t>
            </w:r>
            <w:r w:rsidRPr="005F4295">
              <w:rPr>
                <w:b/>
                <w:color w:val="003399" w:themeColor="text2"/>
                <w:lang w:eastAsia="zh-CN"/>
              </w:rPr>
              <w:t>875</w:t>
            </w:r>
            <w:r w:rsidR="00976B78" w:rsidRPr="005F4295">
              <w:rPr>
                <w:rFonts w:ascii="Calibri" w:hAnsi="Calibri" w:cs="Calibri"/>
                <w:sz w:val="18"/>
                <w:szCs w:val="18"/>
                <w:lang w:eastAsia="zh-CN"/>
              </w:rPr>
              <w:t> </w:t>
            </w:r>
            <w:r w:rsidRPr="005F4295">
              <w:rPr>
                <w:b/>
                <w:color w:val="003399" w:themeColor="text2"/>
                <w:lang w:eastAsia="zh-CN"/>
              </w:rPr>
              <w:t>673</w:t>
            </w:r>
            <w:r w:rsidR="00976B78" w:rsidRPr="005F4295">
              <w:rPr>
                <w:rFonts w:ascii="Calibri" w:hAnsi="Calibri" w:cs="Calibri"/>
                <w:sz w:val="18"/>
                <w:szCs w:val="18"/>
                <w:lang w:eastAsia="zh-CN"/>
              </w:rPr>
              <w:t> </w:t>
            </w:r>
            <w:r w:rsidRPr="005F4295">
              <w:rPr>
                <w:b/>
                <w:color w:val="003399" w:themeColor="text2"/>
                <w:lang w:eastAsia="zh-CN"/>
              </w:rPr>
              <w:t xml:space="preserve">410.69 </w:t>
            </w:r>
          </w:p>
        </w:tc>
      </w:tr>
    </w:tbl>
    <w:p w14:paraId="66041E6B" w14:textId="628783A6" w:rsidR="00EB70E0" w:rsidRPr="005F4295" w:rsidRDefault="00EB70E0" w:rsidP="00EB70E0">
      <w:pPr>
        <w:spacing w:before="0"/>
        <w:rPr>
          <w:noProof/>
          <w:sz w:val="16"/>
          <w:szCs w:val="16"/>
          <w:highlight w:val="lightGray"/>
        </w:rPr>
      </w:pPr>
      <w:r w:rsidRPr="005F4295">
        <w:rPr>
          <w:noProof/>
          <w:sz w:val="16"/>
          <w:szCs w:val="16"/>
          <w:highlight w:val="lightGray"/>
        </w:rPr>
        <w:br w:type="page"/>
      </w:r>
    </w:p>
    <w:p w14:paraId="3EE68F5E" w14:textId="0D52916E" w:rsidR="00B77A2B" w:rsidRPr="005F4295" w:rsidRDefault="00EB70E0" w:rsidP="00AC042B">
      <w:pPr>
        <w:pStyle w:val="TableTitle"/>
        <w:spacing w:before="0"/>
      </w:pPr>
      <w:r w:rsidRPr="005F4295">
        <w:rPr>
          <w:noProof/>
        </w:rPr>
        <w:t>Table</w:t>
      </w:r>
      <w:r w:rsidRPr="005F4295">
        <w:rPr>
          <w:rFonts w:ascii="Calibri" w:hAnsi="Calibri" w:cs="Calibri"/>
          <w:noProof/>
        </w:rPr>
        <w:t> </w:t>
      </w:r>
      <w:r w:rsidRPr="005F4295">
        <w:rPr>
          <w:noProof/>
        </w:rPr>
        <w:t>J</w:t>
      </w:r>
      <w:r w:rsidRPr="005F4295">
        <w:rPr>
          <w:rFonts w:ascii="Calibri" w:hAnsi="Calibri" w:cs="Calibri"/>
          <w:noProof/>
        </w:rPr>
        <w:t> –</w:t>
      </w:r>
      <w:r w:rsidRPr="005F4295">
        <w:rPr>
          <w:noProof/>
        </w:rPr>
        <w:t xml:space="preserve"> </w:t>
      </w:r>
      <w:r w:rsidR="00E238EE" w:rsidRPr="005F4295">
        <w:t>Negotiated procedures of the ‘external actions’ departments</w:t>
      </w:r>
      <w:r w:rsidR="00E238EE" w:rsidRPr="005F4295" w:rsidDel="00E238EE">
        <w:rPr>
          <w:noProof/>
        </w:rPr>
        <w:t xml:space="preserve"> </w:t>
      </w:r>
    </w:p>
    <w:tbl>
      <w:tblPr>
        <w:tblStyle w:val="BodyTable2"/>
        <w:tblW w:w="5000" w:type="pct"/>
        <w:tblLayout w:type="fixed"/>
        <w:tblLook w:val="04A0" w:firstRow="1" w:lastRow="0" w:firstColumn="1" w:lastColumn="0" w:noHBand="0" w:noVBand="1"/>
      </w:tblPr>
      <w:tblGrid>
        <w:gridCol w:w="6045"/>
        <w:gridCol w:w="1257"/>
        <w:gridCol w:w="1769"/>
      </w:tblGrid>
      <w:tr w:rsidR="00F23486" w:rsidRPr="005F4295" w14:paraId="62AC77D3" w14:textId="77777777" w:rsidTr="0019476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shd w:val="clear" w:color="auto" w:fill="003399" w:themeFill="text2"/>
            <w:noWrap/>
            <w:vAlign w:val="center"/>
            <w:hideMark/>
          </w:tcPr>
          <w:p w14:paraId="7BCAA144" w14:textId="77777777" w:rsidR="00F23486" w:rsidRPr="005F4295" w:rsidRDefault="00F23486" w:rsidP="001C4B04">
            <w:pPr>
              <w:spacing w:beforeLines="20" w:before="48" w:afterLines="20" w:after="48"/>
              <w:rPr>
                <w:color w:val="FFFFFF" w:themeColor="background1"/>
                <w:lang w:eastAsia="zh-CN"/>
              </w:rPr>
            </w:pPr>
            <w:r w:rsidRPr="005F4295">
              <w:rPr>
                <w:color w:val="FFFFFF" w:themeColor="background1"/>
                <w:lang w:eastAsia="zh-CN"/>
              </w:rPr>
              <w:t>By department and legal basis</w:t>
            </w:r>
          </w:p>
        </w:tc>
        <w:tc>
          <w:tcPr>
            <w:tcW w:w="693" w:type="pct"/>
            <w:tcBorders>
              <w:left w:val="single" w:sz="4" w:space="0" w:color="D9D9D9" w:themeColor="background1" w:themeShade="D9"/>
              <w:bottom w:val="single" w:sz="4" w:space="0" w:color="8C8C8C"/>
              <w:right w:val="single" w:sz="4" w:space="0" w:color="D9D9D9" w:themeColor="background1" w:themeShade="D9"/>
            </w:tcBorders>
            <w:shd w:val="clear" w:color="auto" w:fill="003399" w:themeFill="text2"/>
            <w:noWrap/>
            <w:vAlign w:val="center"/>
            <w:hideMark/>
          </w:tcPr>
          <w:p w14:paraId="27999807" w14:textId="77777777" w:rsidR="00F23486" w:rsidRPr="005F4295" w:rsidRDefault="00F23486" w:rsidP="001C4B04">
            <w:pPr>
              <w:spacing w:beforeLines="20" w:before="48" w:afterLines="20" w:after="48"/>
              <w:jc w:val="right"/>
              <w:cnfStyle w:val="100000000000" w:firstRow="1" w:lastRow="0" w:firstColumn="0" w:lastColumn="0" w:oddVBand="0" w:evenVBand="0" w:oddHBand="0" w:evenHBand="0" w:firstRowFirstColumn="0" w:firstRowLastColumn="0" w:lastRowFirstColumn="0" w:lastRowLastColumn="0"/>
              <w:rPr>
                <w:b w:val="0"/>
                <w:color w:val="FFFFFF" w:themeColor="background1"/>
                <w:lang w:eastAsia="zh-CN"/>
              </w:rPr>
            </w:pPr>
            <w:r w:rsidRPr="005F4295">
              <w:rPr>
                <w:color w:val="FFFFFF" w:themeColor="background1"/>
                <w:lang w:eastAsia="zh-CN"/>
              </w:rPr>
              <w:t>In number</w:t>
            </w:r>
          </w:p>
        </w:tc>
        <w:tc>
          <w:tcPr>
            <w:tcW w:w="975" w:type="pct"/>
            <w:tcBorders>
              <w:left w:val="single" w:sz="4" w:space="0" w:color="D9D9D9" w:themeColor="background1" w:themeShade="D9"/>
            </w:tcBorders>
            <w:shd w:val="clear" w:color="auto" w:fill="003399" w:themeFill="text2"/>
            <w:noWrap/>
            <w:vAlign w:val="center"/>
            <w:hideMark/>
          </w:tcPr>
          <w:p w14:paraId="4A6A14CA" w14:textId="77777777" w:rsidR="00F23486" w:rsidRPr="005F4295" w:rsidRDefault="00F23486" w:rsidP="001C4B04">
            <w:pPr>
              <w:spacing w:beforeLines="20" w:before="48" w:afterLines="20" w:after="48"/>
              <w:jc w:val="right"/>
              <w:cnfStyle w:val="100000000000" w:firstRow="1" w:lastRow="0" w:firstColumn="0" w:lastColumn="0" w:oddVBand="0" w:evenVBand="0" w:oddHBand="0" w:evenHBand="0" w:firstRowFirstColumn="0" w:firstRowLastColumn="0" w:lastRowFirstColumn="0" w:lastRowLastColumn="0"/>
              <w:rPr>
                <w:b w:val="0"/>
                <w:color w:val="FFFFFF" w:themeColor="background1"/>
                <w:lang w:eastAsia="zh-CN"/>
              </w:rPr>
            </w:pPr>
            <w:r w:rsidRPr="005F4295">
              <w:rPr>
                <w:color w:val="FFFFFF" w:themeColor="background1"/>
                <w:lang w:eastAsia="zh-CN"/>
              </w:rPr>
              <w:t xml:space="preserve">In value (EUR) </w:t>
            </w:r>
          </w:p>
        </w:tc>
      </w:tr>
      <w:tr w:rsidR="00F23486" w:rsidRPr="005F4295" w14:paraId="056499B6"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shd w:val="clear" w:color="auto" w:fill="FFFFFF" w:themeFill="background1"/>
            <w:noWrap/>
            <w:vAlign w:val="center"/>
            <w:hideMark/>
          </w:tcPr>
          <w:p w14:paraId="0D7DCFD1" w14:textId="77777777" w:rsidR="00F23486" w:rsidRPr="005F4295" w:rsidRDefault="00F23486" w:rsidP="001C4B04">
            <w:pPr>
              <w:spacing w:beforeLines="20" w:before="48" w:afterLines="20" w:after="48"/>
              <w:rPr>
                <w:lang w:eastAsia="zh-CN"/>
              </w:rPr>
            </w:pPr>
            <w:r w:rsidRPr="005F4295">
              <w:rPr>
                <w:lang w:eastAsia="zh-CN"/>
              </w:rPr>
              <w:t>DG Enlargement and Eastern Neighbourhood</w:t>
            </w:r>
          </w:p>
        </w:tc>
        <w:tc>
          <w:tcPr>
            <w:tcW w:w="693"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hideMark/>
          </w:tcPr>
          <w:p w14:paraId="2E9A4990"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b/>
                <w:color w:val="003399" w:themeColor="text2"/>
                <w:lang w:eastAsia="zh-CN"/>
              </w:rPr>
              <w:t>18</w:t>
            </w:r>
          </w:p>
        </w:tc>
        <w:tc>
          <w:tcPr>
            <w:tcW w:w="975" w:type="pct"/>
            <w:tcBorders>
              <w:left w:val="single" w:sz="4" w:space="0" w:color="D9D9D9" w:themeColor="background1" w:themeShade="D9"/>
            </w:tcBorders>
            <w:shd w:val="clear" w:color="auto" w:fill="FFFFFF" w:themeFill="background1"/>
            <w:noWrap/>
            <w:vAlign w:val="center"/>
            <w:hideMark/>
          </w:tcPr>
          <w:p w14:paraId="7004DB79" w14:textId="0FE5D7DB"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b/>
                <w:color w:val="003399" w:themeColor="text2"/>
                <w:lang w:eastAsia="zh-CN"/>
              </w:rPr>
            </w:pPr>
            <w:r w:rsidRPr="005F4295">
              <w:rPr>
                <w:b/>
                <w:color w:val="003399" w:themeColor="text2"/>
                <w:lang w:eastAsia="zh-CN"/>
              </w:rPr>
              <w:t>42</w:t>
            </w:r>
            <w:r w:rsidR="00B557C2" w:rsidRPr="005F4295">
              <w:rPr>
                <w:rFonts w:ascii="Calibri" w:hAnsi="Calibri" w:cs="Calibri"/>
                <w:sz w:val="18"/>
                <w:szCs w:val="18"/>
                <w:lang w:eastAsia="zh-CN"/>
              </w:rPr>
              <w:t> </w:t>
            </w:r>
            <w:r w:rsidRPr="005F4295">
              <w:rPr>
                <w:b/>
                <w:color w:val="003399" w:themeColor="text2"/>
                <w:lang w:eastAsia="zh-CN"/>
              </w:rPr>
              <w:t>838</w:t>
            </w:r>
            <w:r w:rsidR="00B557C2" w:rsidRPr="005F4295">
              <w:rPr>
                <w:rFonts w:ascii="Calibri" w:hAnsi="Calibri" w:cs="Calibri"/>
                <w:sz w:val="18"/>
                <w:szCs w:val="18"/>
                <w:lang w:eastAsia="zh-CN"/>
              </w:rPr>
              <w:t> </w:t>
            </w:r>
            <w:r w:rsidRPr="005F4295">
              <w:rPr>
                <w:b/>
                <w:color w:val="003399" w:themeColor="text2"/>
                <w:lang w:eastAsia="zh-CN"/>
              </w:rPr>
              <w:t>221.11</w:t>
            </w:r>
          </w:p>
        </w:tc>
      </w:tr>
      <w:tr w:rsidR="00F23486" w:rsidRPr="005F4295" w14:paraId="08677DD3"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7F698C31" w14:textId="77777777" w:rsidR="00F23486" w:rsidRPr="005F4295" w:rsidRDefault="00F23486" w:rsidP="001C4B04">
            <w:pPr>
              <w:spacing w:beforeLines="20" w:before="48" w:afterLines="20" w:after="48"/>
              <w:rPr>
                <w:color w:val="auto"/>
                <w:sz w:val="18"/>
                <w:szCs w:val="18"/>
                <w:lang w:eastAsia="zh-CN"/>
              </w:rPr>
            </w:pPr>
            <w:r w:rsidRPr="005F4295">
              <w:rPr>
                <w:color w:val="auto"/>
                <w:sz w:val="18"/>
                <w:szCs w:val="18"/>
                <w:lang w:eastAsia="zh-CN"/>
              </w:rPr>
              <w:t>External procedures &gt;</w:t>
            </w:r>
            <w:r w:rsidRPr="005F4295">
              <w:rPr>
                <w:rFonts w:ascii="Calibri" w:hAnsi="Calibri" w:cs="Calibri"/>
                <w:color w:val="auto"/>
                <w:sz w:val="18"/>
                <w:szCs w:val="18"/>
                <w:lang w:eastAsia="zh-CN"/>
              </w:rPr>
              <w:t> </w:t>
            </w:r>
            <w:r w:rsidRPr="005F4295">
              <w:rPr>
                <w:color w:val="auto"/>
                <w:sz w:val="18"/>
                <w:szCs w:val="18"/>
                <w:lang w:eastAsia="zh-CN"/>
              </w:rPr>
              <w:t>EUR</w:t>
            </w:r>
            <w:r w:rsidRPr="005F4295">
              <w:rPr>
                <w:rFonts w:ascii="Calibri" w:hAnsi="Calibri" w:cs="Calibri"/>
                <w:color w:val="auto"/>
                <w:sz w:val="18"/>
                <w:szCs w:val="18"/>
                <w:lang w:eastAsia="zh-CN"/>
              </w:rPr>
              <w:t> </w:t>
            </w:r>
            <w:r w:rsidRPr="005F4295">
              <w:rPr>
                <w:color w:val="auto"/>
                <w:sz w:val="18"/>
                <w:szCs w:val="18"/>
                <w:lang w:eastAsia="zh-CN"/>
              </w:rPr>
              <w:t>20</w:t>
            </w:r>
            <w:r w:rsidRPr="005F4295">
              <w:rPr>
                <w:rFonts w:ascii="Calibri" w:hAnsi="Calibri" w:cs="Calibri"/>
                <w:color w:val="auto"/>
                <w:sz w:val="18"/>
                <w:szCs w:val="18"/>
                <w:lang w:eastAsia="zh-CN"/>
              </w:rPr>
              <w:t> </w:t>
            </w:r>
            <w:r w:rsidRPr="005F4295">
              <w:rPr>
                <w:color w:val="auto"/>
                <w:sz w:val="18"/>
                <w:szCs w:val="18"/>
                <w:lang w:eastAsia="zh-CN"/>
              </w:rPr>
              <w:t>000</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0F343308"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sz w:val="18"/>
                <w:szCs w:val="18"/>
                <w:lang w:eastAsia="zh-CN"/>
              </w:rPr>
            </w:pPr>
            <w:r w:rsidRPr="005F4295">
              <w:rPr>
                <w:b/>
                <w:sz w:val="18"/>
                <w:szCs w:val="18"/>
                <w:lang w:eastAsia="zh-CN"/>
              </w:rPr>
              <w:t>18</w:t>
            </w:r>
          </w:p>
        </w:tc>
        <w:tc>
          <w:tcPr>
            <w:tcW w:w="975" w:type="pct"/>
            <w:tcBorders>
              <w:left w:val="single" w:sz="4" w:space="0" w:color="D9D9D9" w:themeColor="background1" w:themeShade="D9"/>
            </w:tcBorders>
            <w:noWrap/>
            <w:vAlign w:val="center"/>
            <w:hideMark/>
          </w:tcPr>
          <w:p w14:paraId="60967DDD" w14:textId="5207799C" w:rsidR="00F23486" w:rsidRPr="005F4295" w:rsidRDefault="00F23486" w:rsidP="001C4B04">
            <w:pPr>
              <w:suppressAutoHyphens w:val="0"/>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bCs/>
                <w:sz w:val="18"/>
                <w:szCs w:val="18"/>
                <w:lang w:eastAsia="zh-CN"/>
              </w:rPr>
            </w:pPr>
            <w:r w:rsidRPr="005F4295">
              <w:rPr>
                <w:b/>
                <w:bCs/>
                <w:sz w:val="18"/>
                <w:szCs w:val="18"/>
                <w:lang w:eastAsia="zh-CN"/>
              </w:rPr>
              <w:t>42</w:t>
            </w:r>
            <w:r w:rsidR="00B557C2" w:rsidRPr="005F4295">
              <w:rPr>
                <w:rFonts w:ascii="Calibri" w:hAnsi="Calibri" w:cs="Calibri"/>
                <w:sz w:val="18"/>
                <w:szCs w:val="18"/>
                <w:lang w:eastAsia="zh-CN"/>
              </w:rPr>
              <w:t> </w:t>
            </w:r>
            <w:r w:rsidRPr="005F4295">
              <w:rPr>
                <w:b/>
                <w:bCs/>
                <w:sz w:val="18"/>
                <w:szCs w:val="18"/>
                <w:lang w:eastAsia="zh-CN"/>
              </w:rPr>
              <w:t>838</w:t>
            </w:r>
            <w:r w:rsidR="00B557C2" w:rsidRPr="005F4295">
              <w:rPr>
                <w:rFonts w:ascii="Calibri" w:hAnsi="Calibri" w:cs="Calibri"/>
                <w:sz w:val="18"/>
                <w:szCs w:val="18"/>
                <w:lang w:eastAsia="zh-CN"/>
              </w:rPr>
              <w:t> </w:t>
            </w:r>
            <w:r w:rsidRPr="005F4295">
              <w:rPr>
                <w:b/>
                <w:bCs/>
                <w:sz w:val="18"/>
                <w:szCs w:val="18"/>
                <w:lang w:eastAsia="zh-CN"/>
              </w:rPr>
              <w:t>221.11</w:t>
            </w:r>
          </w:p>
        </w:tc>
      </w:tr>
      <w:tr w:rsidR="00F23486" w:rsidRPr="005F4295" w14:paraId="3370B026"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shd w:val="clear" w:color="auto" w:fill="F2F2F2" w:themeFill="background1" w:themeFillShade="F2"/>
            <w:noWrap/>
            <w:vAlign w:val="center"/>
            <w:hideMark/>
          </w:tcPr>
          <w:p w14:paraId="0552C8C5"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(c)</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Extreme urgency caused by unforeseeable events not </w:t>
            </w:r>
            <w:r w:rsidRPr="005F4295">
              <w:rPr>
                <w:b w:val="0"/>
                <w:bCs/>
                <w:color w:val="auto"/>
                <w:sz w:val="18"/>
                <w:szCs w:val="18"/>
                <w:lang w:eastAsia="zh-CN"/>
              </w:rPr>
              <w:t>attributable</w:t>
            </w:r>
            <w:r w:rsidRPr="005F4295">
              <w:rPr>
                <w:b w:val="0"/>
                <w:color w:val="auto"/>
                <w:sz w:val="18"/>
                <w:szCs w:val="18"/>
                <w:lang w:eastAsia="zh-CN"/>
              </w:rPr>
              <w:t xml:space="preserve"> to the contracting authority</w:t>
            </w:r>
          </w:p>
        </w:tc>
        <w:tc>
          <w:tcPr>
            <w:tcW w:w="693" w:type="pct"/>
            <w:tcBorders>
              <w:left w:val="single" w:sz="4" w:space="0" w:color="D9D9D9" w:themeColor="background1" w:themeShade="D9"/>
              <w:right w:val="single" w:sz="4" w:space="0" w:color="D9D9D9" w:themeColor="background1" w:themeShade="D9"/>
            </w:tcBorders>
            <w:shd w:val="clear" w:color="auto" w:fill="F2F2F2" w:themeFill="background1" w:themeFillShade="F2"/>
            <w:noWrap/>
            <w:vAlign w:val="center"/>
            <w:hideMark/>
          </w:tcPr>
          <w:p w14:paraId="53ECDB1F"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975" w:type="pct"/>
            <w:tcBorders>
              <w:left w:val="single" w:sz="4" w:space="0" w:color="D9D9D9" w:themeColor="background1" w:themeShade="D9"/>
            </w:tcBorders>
            <w:shd w:val="clear" w:color="auto" w:fill="F2F2F2" w:themeFill="background1" w:themeFillShade="F2"/>
            <w:noWrap/>
            <w:vAlign w:val="center"/>
            <w:hideMark/>
          </w:tcPr>
          <w:p w14:paraId="409F1EE3" w14:textId="0E825EF3"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2</w:t>
            </w:r>
            <w:r w:rsidR="00B557C2" w:rsidRPr="005F4295">
              <w:rPr>
                <w:rFonts w:ascii="Calibri" w:hAnsi="Calibri" w:cs="Calibri"/>
                <w:sz w:val="18"/>
                <w:szCs w:val="18"/>
                <w:lang w:eastAsia="zh-CN"/>
              </w:rPr>
              <w:t> </w:t>
            </w:r>
            <w:r w:rsidRPr="005F4295">
              <w:rPr>
                <w:sz w:val="18"/>
                <w:szCs w:val="18"/>
                <w:lang w:eastAsia="zh-CN"/>
              </w:rPr>
              <w:t>698</w:t>
            </w:r>
            <w:r w:rsidR="00B557C2" w:rsidRPr="005F4295">
              <w:rPr>
                <w:rFonts w:ascii="Calibri" w:hAnsi="Calibri" w:cs="Calibri"/>
                <w:sz w:val="18"/>
                <w:szCs w:val="18"/>
                <w:lang w:eastAsia="zh-CN"/>
              </w:rPr>
              <w:t> </w:t>
            </w:r>
            <w:r w:rsidRPr="005F4295">
              <w:rPr>
                <w:sz w:val="18"/>
                <w:szCs w:val="18"/>
                <w:lang w:eastAsia="zh-CN"/>
              </w:rPr>
              <w:t>090.00</w:t>
            </w:r>
          </w:p>
        </w:tc>
      </w:tr>
      <w:tr w:rsidR="00F23486" w:rsidRPr="005F4295" w14:paraId="081DA61F"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052278CD"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1680FF88"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13</w:t>
            </w:r>
          </w:p>
        </w:tc>
        <w:tc>
          <w:tcPr>
            <w:tcW w:w="975" w:type="pct"/>
            <w:tcBorders>
              <w:left w:val="single" w:sz="4" w:space="0" w:color="D9D9D9" w:themeColor="background1" w:themeShade="D9"/>
            </w:tcBorders>
            <w:noWrap/>
            <w:vAlign w:val="center"/>
            <w:hideMark/>
          </w:tcPr>
          <w:p w14:paraId="6DD7BA94" w14:textId="0DF9BECE" w:rsidR="00F23486" w:rsidRPr="005F4295" w:rsidRDefault="00F23486" w:rsidP="001C4B04">
            <w:pPr>
              <w:suppressAutoHyphens w:val="0"/>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38</w:t>
            </w:r>
            <w:r w:rsidR="00B557C2" w:rsidRPr="005F4295">
              <w:rPr>
                <w:rFonts w:ascii="Calibri" w:hAnsi="Calibri" w:cs="Calibri"/>
                <w:sz w:val="18"/>
                <w:szCs w:val="18"/>
                <w:lang w:eastAsia="zh-CN"/>
              </w:rPr>
              <w:t> </w:t>
            </w:r>
            <w:r w:rsidRPr="005F4295">
              <w:rPr>
                <w:sz w:val="18"/>
                <w:szCs w:val="18"/>
                <w:lang w:eastAsia="zh-CN"/>
              </w:rPr>
              <w:t>746</w:t>
            </w:r>
            <w:r w:rsidR="00B557C2" w:rsidRPr="005F4295">
              <w:rPr>
                <w:rFonts w:ascii="Calibri" w:hAnsi="Calibri" w:cs="Calibri"/>
                <w:sz w:val="18"/>
                <w:szCs w:val="18"/>
                <w:lang w:eastAsia="zh-CN"/>
              </w:rPr>
              <w:t> </w:t>
            </w:r>
            <w:r w:rsidRPr="005F4295">
              <w:rPr>
                <w:sz w:val="18"/>
                <w:szCs w:val="18"/>
                <w:lang w:eastAsia="zh-CN"/>
              </w:rPr>
              <w:t xml:space="preserve">267.11 </w:t>
            </w:r>
          </w:p>
        </w:tc>
      </w:tr>
      <w:tr w:rsidR="00F23486" w:rsidRPr="005F4295" w14:paraId="0BB6F203"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shd w:val="clear" w:color="auto" w:fill="F2F2F2" w:themeFill="background1" w:themeFillShade="F2"/>
            <w:noWrap/>
            <w:vAlign w:val="center"/>
            <w:hideMark/>
          </w:tcPr>
          <w:p w14:paraId="747AAB88"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39.</w:t>
            </w:r>
            <w:r w:rsidRPr="005F4295">
              <w:rPr>
                <w:b w:val="0"/>
                <w:bCs/>
                <w:color w:val="auto"/>
                <w:sz w:val="18"/>
                <w:szCs w:val="18"/>
                <w:lang w:eastAsia="zh-CN"/>
              </w:rPr>
              <w:t>1(</w:t>
            </w:r>
            <w:r w:rsidRPr="005F4295">
              <w:rPr>
                <w:b w:val="0"/>
                <w:color w:val="auto"/>
                <w:sz w:val="18"/>
                <w:szCs w:val="18"/>
                <w:lang w:eastAsia="zh-CN"/>
              </w:rPr>
              <w:t>a)</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Services entrusted to public-sector bodies or non-profit institutions or organisations</w:t>
            </w:r>
          </w:p>
        </w:tc>
        <w:tc>
          <w:tcPr>
            <w:tcW w:w="693" w:type="pct"/>
            <w:tcBorders>
              <w:left w:val="single" w:sz="4" w:space="0" w:color="D9D9D9" w:themeColor="background1" w:themeShade="D9"/>
              <w:right w:val="single" w:sz="4" w:space="0" w:color="D9D9D9" w:themeColor="background1" w:themeShade="D9"/>
            </w:tcBorders>
            <w:shd w:val="clear" w:color="auto" w:fill="F2F2F2" w:themeFill="background1" w:themeFillShade="F2"/>
            <w:noWrap/>
            <w:vAlign w:val="center"/>
            <w:hideMark/>
          </w:tcPr>
          <w:p w14:paraId="21136A0F"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4</w:t>
            </w:r>
          </w:p>
        </w:tc>
        <w:tc>
          <w:tcPr>
            <w:tcW w:w="975" w:type="pct"/>
            <w:tcBorders>
              <w:left w:val="single" w:sz="4" w:space="0" w:color="D9D9D9" w:themeColor="background1" w:themeShade="D9"/>
            </w:tcBorders>
            <w:shd w:val="clear" w:color="auto" w:fill="F2F2F2" w:themeFill="background1" w:themeFillShade="F2"/>
            <w:noWrap/>
            <w:vAlign w:val="center"/>
            <w:hideMark/>
          </w:tcPr>
          <w:p w14:paraId="00D8796D" w14:textId="0C6298D8"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r w:rsidR="00B557C2" w:rsidRPr="005F4295">
              <w:rPr>
                <w:rFonts w:ascii="Calibri" w:hAnsi="Calibri" w:cs="Calibri"/>
                <w:sz w:val="18"/>
                <w:szCs w:val="18"/>
                <w:lang w:eastAsia="zh-CN"/>
              </w:rPr>
              <w:t> </w:t>
            </w:r>
            <w:r w:rsidRPr="005F4295">
              <w:rPr>
                <w:sz w:val="18"/>
                <w:szCs w:val="18"/>
                <w:lang w:eastAsia="zh-CN"/>
              </w:rPr>
              <w:t>393</w:t>
            </w:r>
            <w:r w:rsidR="00B557C2" w:rsidRPr="005F4295">
              <w:rPr>
                <w:rFonts w:ascii="Calibri" w:hAnsi="Calibri" w:cs="Calibri"/>
                <w:sz w:val="18"/>
                <w:szCs w:val="18"/>
                <w:lang w:eastAsia="zh-CN"/>
              </w:rPr>
              <w:t> </w:t>
            </w:r>
            <w:r w:rsidRPr="005F4295">
              <w:rPr>
                <w:sz w:val="18"/>
                <w:szCs w:val="18"/>
                <w:lang w:eastAsia="zh-CN"/>
              </w:rPr>
              <w:t>864.00</w:t>
            </w:r>
          </w:p>
        </w:tc>
      </w:tr>
      <w:tr w:rsidR="00F23486" w:rsidRPr="005F4295" w14:paraId="58E46D0E"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shd w:val="clear" w:color="auto" w:fill="FFFFFF" w:themeFill="background1"/>
            <w:noWrap/>
            <w:vAlign w:val="center"/>
            <w:hideMark/>
          </w:tcPr>
          <w:p w14:paraId="046F2567" w14:textId="77777777" w:rsidR="00F23486" w:rsidRPr="005F4295" w:rsidRDefault="00F23486" w:rsidP="001C4B04">
            <w:pPr>
              <w:spacing w:beforeLines="20" w:before="48" w:afterLines="20" w:after="48"/>
              <w:rPr>
                <w:lang w:eastAsia="zh-CN"/>
              </w:rPr>
            </w:pPr>
            <w:r w:rsidRPr="005F4295">
              <w:rPr>
                <w:lang w:eastAsia="zh-CN"/>
              </w:rPr>
              <w:t>DG International Partnerships</w:t>
            </w:r>
          </w:p>
        </w:tc>
        <w:tc>
          <w:tcPr>
            <w:tcW w:w="693"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hideMark/>
          </w:tcPr>
          <w:p w14:paraId="36FA83E6"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46</w:t>
            </w:r>
          </w:p>
        </w:tc>
        <w:tc>
          <w:tcPr>
            <w:tcW w:w="975" w:type="pct"/>
            <w:tcBorders>
              <w:left w:val="single" w:sz="4" w:space="0" w:color="D9D9D9" w:themeColor="background1" w:themeShade="D9"/>
            </w:tcBorders>
            <w:shd w:val="clear" w:color="auto" w:fill="FFFFFF" w:themeFill="background1"/>
            <w:noWrap/>
            <w:vAlign w:val="center"/>
            <w:hideMark/>
          </w:tcPr>
          <w:p w14:paraId="43A2D579"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61</w:t>
            </w:r>
            <w:r w:rsidRPr="005F4295">
              <w:rPr>
                <w:rFonts w:ascii="Calibri" w:hAnsi="Calibri" w:cs="Calibri"/>
                <w:b/>
                <w:color w:val="003399" w:themeColor="text2"/>
                <w:lang w:eastAsia="zh-CN"/>
              </w:rPr>
              <w:t> </w:t>
            </w:r>
            <w:r w:rsidRPr="005F4295">
              <w:rPr>
                <w:b/>
                <w:color w:val="003399" w:themeColor="text2"/>
                <w:lang w:eastAsia="zh-CN"/>
              </w:rPr>
              <w:t>721</w:t>
            </w:r>
            <w:r w:rsidRPr="005F4295">
              <w:rPr>
                <w:rFonts w:ascii="Calibri" w:hAnsi="Calibri" w:cs="Calibri"/>
                <w:b/>
                <w:color w:val="003399" w:themeColor="text2"/>
                <w:lang w:eastAsia="zh-CN"/>
              </w:rPr>
              <w:t> </w:t>
            </w:r>
            <w:r w:rsidRPr="005F4295">
              <w:rPr>
                <w:b/>
                <w:color w:val="003399" w:themeColor="text2"/>
                <w:lang w:eastAsia="zh-CN"/>
              </w:rPr>
              <w:t xml:space="preserve">065.36 </w:t>
            </w:r>
          </w:p>
        </w:tc>
      </w:tr>
      <w:tr w:rsidR="00F23486" w:rsidRPr="005F4295" w14:paraId="51F0B464"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4E3893B8" w14:textId="77777777" w:rsidR="00F23486" w:rsidRPr="005F4295" w:rsidRDefault="00F23486" w:rsidP="001C4B04">
            <w:pPr>
              <w:spacing w:beforeLines="20" w:before="48" w:afterLines="20" w:after="48"/>
              <w:rPr>
                <w:color w:val="auto"/>
                <w:sz w:val="18"/>
                <w:szCs w:val="18"/>
                <w:lang w:eastAsia="zh-CN"/>
              </w:rPr>
            </w:pPr>
            <w:r w:rsidRPr="005F4295">
              <w:rPr>
                <w:color w:val="auto"/>
                <w:sz w:val="18"/>
                <w:szCs w:val="18"/>
                <w:lang w:eastAsia="zh-CN"/>
              </w:rPr>
              <w:t>External procedures &gt;</w:t>
            </w:r>
            <w:r w:rsidRPr="005F4295">
              <w:rPr>
                <w:rFonts w:ascii="Calibri" w:hAnsi="Calibri" w:cs="Calibri"/>
                <w:color w:val="auto"/>
                <w:sz w:val="18"/>
                <w:szCs w:val="18"/>
                <w:lang w:eastAsia="zh-CN"/>
              </w:rPr>
              <w:t> </w:t>
            </w:r>
            <w:r w:rsidRPr="005F4295">
              <w:rPr>
                <w:color w:val="auto"/>
                <w:sz w:val="18"/>
                <w:szCs w:val="18"/>
                <w:lang w:eastAsia="zh-CN"/>
              </w:rPr>
              <w:t>EUR</w:t>
            </w:r>
            <w:r w:rsidRPr="005F4295">
              <w:rPr>
                <w:rFonts w:ascii="Calibri" w:hAnsi="Calibri" w:cs="Calibri"/>
                <w:color w:val="auto"/>
                <w:sz w:val="18"/>
                <w:szCs w:val="18"/>
                <w:lang w:eastAsia="zh-CN"/>
              </w:rPr>
              <w:t> </w:t>
            </w:r>
            <w:r w:rsidRPr="005F4295">
              <w:rPr>
                <w:color w:val="auto"/>
                <w:sz w:val="18"/>
                <w:szCs w:val="18"/>
                <w:lang w:eastAsia="zh-CN"/>
              </w:rPr>
              <w:t>20</w:t>
            </w:r>
            <w:r w:rsidRPr="005F4295">
              <w:rPr>
                <w:rFonts w:ascii="Calibri" w:hAnsi="Calibri" w:cs="Calibri"/>
                <w:color w:val="auto"/>
                <w:sz w:val="18"/>
                <w:szCs w:val="18"/>
                <w:lang w:eastAsia="zh-CN"/>
              </w:rPr>
              <w:t> </w:t>
            </w:r>
            <w:r w:rsidRPr="005F4295">
              <w:rPr>
                <w:color w:val="auto"/>
                <w:sz w:val="18"/>
                <w:szCs w:val="18"/>
                <w:lang w:eastAsia="zh-CN"/>
              </w:rPr>
              <w:t>000</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6B87C751"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b/>
                <w:sz w:val="18"/>
                <w:szCs w:val="18"/>
                <w:lang w:eastAsia="zh-CN"/>
              </w:rPr>
            </w:pPr>
            <w:r w:rsidRPr="005F4295">
              <w:rPr>
                <w:b/>
                <w:sz w:val="18"/>
                <w:szCs w:val="18"/>
                <w:lang w:eastAsia="zh-CN"/>
              </w:rPr>
              <w:t>44</w:t>
            </w:r>
          </w:p>
        </w:tc>
        <w:tc>
          <w:tcPr>
            <w:tcW w:w="975" w:type="pct"/>
            <w:tcBorders>
              <w:left w:val="single" w:sz="4" w:space="0" w:color="D9D9D9" w:themeColor="background1" w:themeShade="D9"/>
            </w:tcBorders>
            <w:noWrap/>
            <w:vAlign w:val="center"/>
            <w:hideMark/>
          </w:tcPr>
          <w:p w14:paraId="52F66796" w14:textId="16DFD8C7"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b/>
                <w:bCs/>
                <w:sz w:val="18"/>
                <w:szCs w:val="18"/>
                <w:lang w:eastAsia="zh-CN"/>
              </w:rPr>
              <w:t>48</w:t>
            </w:r>
            <w:r w:rsidR="00B557C2" w:rsidRPr="005F4295">
              <w:rPr>
                <w:rFonts w:ascii="Calibri" w:hAnsi="Calibri" w:cs="Calibri"/>
                <w:sz w:val="18"/>
                <w:szCs w:val="18"/>
                <w:lang w:eastAsia="zh-CN"/>
              </w:rPr>
              <w:t> </w:t>
            </w:r>
            <w:r w:rsidRPr="005F4295">
              <w:rPr>
                <w:b/>
                <w:bCs/>
                <w:sz w:val="18"/>
                <w:szCs w:val="18"/>
                <w:lang w:eastAsia="zh-CN"/>
              </w:rPr>
              <w:t>081</w:t>
            </w:r>
            <w:r w:rsidR="00B557C2" w:rsidRPr="005F4295">
              <w:rPr>
                <w:rFonts w:ascii="Calibri" w:hAnsi="Calibri" w:cs="Calibri"/>
                <w:sz w:val="18"/>
                <w:szCs w:val="18"/>
                <w:lang w:eastAsia="zh-CN"/>
              </w:rPr>
              <w:t> </w:t>
            </w:r>
            <w:r w:rsidRPr="005F4295">
              <w:rPr>
                <w:b/>
                <w:bCs/>
                <w:sz w:val="18"/>
                <w:szCs w:val="18"/>
                <w:lang w:eastAsia="zh-CN"/>
              </w:rPr>
              <w:t>815.36</w:t>
            </w:r>
          </w:p>
        </w:tc>
      </w:tr>
      <w:tr w:rsidR="00F23486" w:rsidRPr="005F4295" w14:paraId="2840E25F"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1A45446F"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(c)</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Extreme urgency caused by unforeseeable events not </w:t>
            </w:r>
            <w:r w:rsidRPr="005F4295">
              <w:rPr>
                <w:b w:val="0"/>
                <w:bCs/>
                <w:color w:val="auto"/>
                <w:sz w:val="18"/>
                <w:szCs w:val="18"/>
                <w:lang w:eastAsia="zh-CN"/>
              </w:rPr>
              <w:t>attributable</w:t>
            </w:r>
            <w:r w:rsidRPr="005F4295">
              <w:rPr>
                <w:b w:val="0"/>
                <w:color w:val="auto"/>
                <w:sz w:val="18"/>
                <w:szCs w:val="18"/>
                <w:lang w:eastAsia="zh-CN"/>
              </w:rPr>
              <w:t xml:space="preserve"> to the contracting authority</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6E5F2393"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8</w:t>
            </w:r>
          </w:p>
        </w:tc>
        <w:tc>
          <w:tcPr>
            <w:tcW w:w="975" w:type="pct"/>
            <w:tcBorders>
              <w:left w:val="single" w:sz="4" w:space="0" w:color="D9D9D9" w:themeColor="background1" w:themeShade="D9"/>
            </w:tcBorders>
            <w:noWrap/>
            <w:vAlign w:val="center"/>
            <w:hideMark/>
          </w:tcPr>
          <w:p w14:paraId="52E4A2A8" w14:textId="2C5C202B" w:rsidR="00F23486" w:rsidRPr="005F4295" w:rsidRDefault="00F23486" w:rsidP="001C4B04">
            <w:pPr>
              <w:suppressAutoHyphens w:val="0"/>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9</w:t>
            </w:r>
            <w:r w:rsidR="00B557C2" w:rsidRPr="005F4295">
              <w:rPr>
                <w:rFonts w:ascii="Calibri" w:hAnsi="Calibri" w:cs="Calibri"/>
                <w:sz w:val="18"/>
                <w:szCs w:val="18"/>
                <w:lang w:eastAsia="zh-CN"/>
              </w:rPr>
              <w:t> </w:t>
            </w:r>
            <w:r w:rsidRPr="005F4295">
              <w:rPr>
                <w:sz w:val="18"/>
                <w:szCs w:val="18"/>
                <w:lang w:eastAsia="zh-CN"/>
              </w:rPr>
              <w:t>446</w:t>
            </w:r>
            <w:r w:rsidR="00B557C2" w:rsidRPr="005F4295">
              <w:rPr>
                <w:rFonts w:ascii="Calibri" w:hAnsi="Calibri" w:cs="Calibri"/>
                <w:sz w:val="18"/>
                <w:szCs w:val="18"/>
                <w:lang w:eastAsia="zh-CN"/>
              </w:rPr>
              <w:t> </w:t>
            </w:r>
            <w:r w:rsidRPr="005F4295">
              <w:rPr>
                <w:sz w:val="18"/>
                <w:szCs w:val="18"/>
                <w:lang w:eastAsia="zh-CN"/>
              </w:rPr>
              <w:t xml:space="preserve">469.80 </w:t>
            </w:r>
          </w:p>
        </w:tc>
      </w:tr>
      <w:tr w:rsidR="00F23486" w:rsidRPr="005F4295" w14:paraId="0FB67124"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5C391A18"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New services/works consisting in the repetition of similar services/works</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15AB04C8"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4</w:t>
            </w:r>
          </w:p>
        </w:tc>
        <w:tc>
          <w:tcPr>
            <w:tcW w:w="975" w:type="pct"/>
            <w:tcBorders>
              <w:left w:val="single" w:sz="4" w:space="0" w:color="D9D9D9" w:themeColor="background1" w:themeShade="D9"/>
            </w:tcBorders>
            <w:noWrap/>
            <w:vAlign w:val="center"/>
            <w:hideMark/>
          </w:tcPr>
          <w:p w14:paraId="5CE31C02" w14:textId="0277CABD"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3</w:t>
            </w:r>
            <w:r w:rsidR="00B557C2" w:rsidRPr="005F4295">
              <w:rPr>
                <w:rFonts w:ascii="Calibri" w:hAnsi="Calibri" w:cs="Calibri"/>
                <w:sz w:val="18"/>
                <w:szCs w:val="18"/>
                <w:lang w:eastAsia="zh-CN"/>
              </w:rPr>
              <w:t> </w:t>
            </w:r>
            <w:r w:rsidRPr="005F4295">
              <w:rPr>
                <w:sz w:val="18"/>
                <w:szCs w:val="18"/>
                <w:lang w:eastAsia="zh-CN"/>
              </w:rPr>
              <w:t>803</w:t>
            </w:r>
            <w:r w:rsidR="00B557C2" w:rsidRPr="005F4295">
              <w:rPr>
                <w:rFonts w:ascii="Calibri" w:hAnsi="Calibri" w:cs="Calibri"/>
                <w:sz w:val="18"/>
                <w:szCs w:val="18"/>
                <w:lang w:eastAsia="zh-CN"/>
              </w:rPr>
              <w:t> </w:t>
            </w:r>
            <w:r w:rsidRPr="005F4295">
              <w:rPr>
                <w:sz w:val="18"/>
                <w:szCs w:val="18"/>
                <w:lang w:eastAsia="zh-CN"/>
              </w:rPr>
              <w:t xml:space="preserve">667.50 </w:t>
            </w:r>
          </w:p>
        </w:tc>
      </w:tr>
      <w:tr w:rsidR="00F23486" w:rsidRPr="005F4295" w14:paraId="125D4CA1"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651F2195"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7658311C"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3</w:t>
            </w:r>
          </w:p>
        </w:tc>
        <w:tc>
          <w:tcPr>
            <w:tcW w:w="975" w:type="pct"/>
            <w:tcBorders>
              <w:left w:val="single" w:sz="4" w:space="0" w:color="D9D9D9" w:themeColor="background1" w:themeShade="D9"/>
            </w:tcBorders>
            <w:noWrap/>
            <w:vAlign w:val="center"/>
            <w:hideMark/>
          </w:tcPr>
          <w:p w14:paraId="3060F32A" w14:textId="48A9630A" w:rsidR="00F23486" w:rsidRPr="005F4295" w:rsidRDefault="00F23486" w:rsidP="001C4B04">
            <w:pPr>
              <w:suppressAutoHyphens w:val="0"/>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211</w:t>
            </w:r>
            <w:r w:rsidR="00D8602E" w:rsidRPr="005F4295">
              <w:rPr>
                <w:rFonts w:ascii="Calibri" w:hAnsi="Calibri" w:cs="Calibri"/>
                <w:sz w:val="18"/>
                <w:szCs w:val="18"/>
                <w:lang w:eastAsia="zh-CN"/>
              </w:rPr>
              <w:t> </w:t>
            </w:r>
            <w:r w:rsidRPr="005F4295">
              <w:rPr>
                <w:sz w:val="18"/>
                <w:szCs w:val="18"/>
                <w:lang w:eastAsia="zh-CN"/>
              </w:rPr>
              <w:t xml:space="preserve">912.54 </w:t>
            </w:r>
          </w:p>
        </w:tc>
      </w:tr>
      <w:tr w:rsidR="00F23486" w:rsidRPr="005F4295" w14:paraId="3CD64721"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20518313"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39.1</w:t>
            </w:r>
            <w:r w:rsidRPr="005F4295">
              <w:rPr>
                <w:b w:val="0"/>
                <w:bCs/>
                <w:color w:val="auto"/>
                <w:sz w:val="18"/>
                <w:szCs w:val="18"/>
                <w:lang w:eastAsia="zh-CN"/>
              </w:rPr>
              <w:t>(c)</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Early termination of existing contract</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721E276C"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975" w:type="pct"/>
            <w:tcBorders>
              <w:left w:val="single" w:sz="4" w:space="0" w:color="D9D9D9" w:themeColor="background1" w:themeShade="D9"/>
            </w:tcBorders>
            <w:noWrap/>
            <w:vAlign w:val="center"/>
            <w:hideMark/>
          </w:tcPr>
          <w:p w14:paraId="09DB4AEE" w14:textId="2549612F"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131</w:t>
            </w:r>
            <w:r w:rsidR="00D8602E" w:rsidRPr="005F4295">
              <w:rPr>
                <w:rFonts w:ascii="Calibri" w:hAnsi="Calibri" w:cs="Calibri"/>
                <w:sz w:val="18"/>
                <w:szCs w:val="18"/>
                <w:lang w:eastAsia="zh-CN"/>
              </w:rPr>
              <w:t> </w:t>
            </w:r>
            <w:r w:rsidRPr="005F4295">
              <w:rPr>
                <w:sz w:val="18"/>
                <w:szCs w:val="18"/>
                <w:lang w:eastAsia="zh-CN"/>
              </w:rPr>
              <w:t>890.45</w:t>
            </w:r>
          </w:p>
        </w:tc>
      </w:tr>
      <w:tr w:rsidR="00F23486" w:rsidRPr="005F4295" w14:paraId="12227D37"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03739F73"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39.</w:t>
            </w:r>
            <w:r w:rsidRPr="005F4295">
              <w:rPr>
                <w:b w:val="0"/>
                <w:bCs/>
                <w:color w:val="auto"/>
                <w:sz w:val="18"/>
                <w:szCs w:val="18"/>
                <w:lang w:eastAsia="zh-CN"/>
              </w:rPr>
              <w:t>1(</w:t>
            </w:r>
            <w:r w:rsidRPr="005F4295">
              <w:rPr>
                <w:b w:val="0"/>
                <w:color w:val="auto"/>
                <w:sz w:val="18"/>
                <w:szCs w:val="18"/>
                <w:lang w:eastAsia="zh-CN"/>
              </w:rPr>
              <w:t>a)</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Services entrusted to public-sector bodies or non-profit institutions or organisations</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17BE0EC2" w14:textId="75202F9C"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22</w:t>
            </w:r>
          </w:p>
        </w:tc>
        <w:tc>
          <w:tcPr>
            <w:tcW w:w="975" w:type="pct"/>
            <w:tcBorders>
              <w:left w:val="single" w:sz="4" w:space="0" w:color="D9D9D9" w:themeColor="background1" w:themeShade="D9"/>
            </w:tcBorders>
            <w:noWrap/>
            <w:vAlign w:val="center"/>
            <w:hideMark/>
          </w:tcPr>
          <w:p w14:paraId="7148D50E" w14:textId="2888DF85"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28</w:t>
            </w:r>
            <w:r w:rsidR="00D8602E" w:rsidRPr="005F4295">
              <w:rPr>
                <w:rFonts w:ascii="Calibri" w:hAnsi="Calibri" w:cs="Calibri"/>
                <w:sz w:val="18"/>
                <w:szCs w:val="18"/>
                <w:lang w:eastAsia="zh-CN"/>
              </w:rPr>
              <w:t> </w:t>
            </w:r>
            <w:r w:rsidRPr="005F4295">
              <w:rPr>
                <w:sz w:val="18"/>
                <w:szCs w:val="18"/>
                <w:lang w:eastAsia="zh-CN"/>
              </w:rPr>
              <w:t>925</w:t>
            </w:r>
            <w:r w:rsidR="00D8602E" w:rsidRPr="005F4295">
              <w:rPr>
                <w:rFonts w:ascii="Calibri" w:hAnsi="Calibri" w:cs="Calibri"/>
                <w:sz w:val="18"/>
                <w:szCs w:val="18"/>
                <w:lang w:eastAsia="zh-CN"/>
              </w:rPr>
              <w:t> </w:t>
            </w:r>
            <w:r w:rsidRPr="005F4295">
              <w:rPr>
                <w:sz w:val="18"/>
                <w:szCs w:val="18"/>
                <w:lang w:eastAsia="zh-CN"/>
              </w:rPr>
              <w:t xml:space="preserve">809.25 </w:t>
            </w:r>
          </w:p>
        </w:tc>
      </w:tr>
      <w:tr w:rsidR="00F23486" w:rsidRPr="005F4295" w14:paraId="35075AE9"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502A55A9"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39.</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Tender procedure unsuccessful</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03251475"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6</w:t>
            </w:r>
          </w:p>
        </w:tc>
        <w:tc>
          <w:tcPr>
            <w:tcW w:w="975" w:type="pct"/>
            <w:tcBorders>
              <w:left w:val="single" w:sz="4" w:space="0" w:color="D9D9D9" w:themeColor="background1" w:themeShade="D9"/>
            </w:tcBorders>
            <w:noWrap/>
            <w:vAlign w:val="center"/>
            <w:hideMark/>
          </w:tcPr>
          <w:p w14:paraId="408E7ABC" w14:textId="111C795E"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5</w:t>
            </w:r>
            <w:r w:rsidR="00033D88" w:rsidRPr="005F4295">
              <w:rPr>
                <w:rFonts w:ascii="Calibri" w:hAnsi="Calibri" w:cs="Calibri"/>
                <w:sz w:val="18"/>
                <w:szCs w:val="18"/>
                <w:lang w:eastAsia="zh-CN"/>
              </w:rPr>
              <w:t> </w:t>
            </w:r>
            <w:r w:rsidRPr="005F4295">
              <w:rPr>
                <w:sz w:val="18"/>
                <w:szCs w:val="18"/>
                <w:lang w:eastAsia="zh-CN"/>
              </w:rPr>
              <w:t>562</w:t>
            </w:r>
            <w:r w:rsidR="00033D88" w:rsidRPr="005F4295">
              <w:rPr>
                <w:rFonts w:ascii="Calibri" w:hAnsi="Calibri" w:cs="Calibri"/>
                <w:sz w:val="18"/>
                <w:szCs w:val="18"/>
                <w:lang w:eastAsia="zh-CN"/>
              </w:rPr>
              <w:t> </w:t>
            </w:r>
            <w:r w:rsidRPr="005F4295">
              <w:rPr>
                <w:sz w:val="18"/>
                <w:szCs w:val="18"/>
                <w:lang w:eastAsia="zh-CN"/>
              </w:rPr>
              <w:t xml:space="preserve">065.82 </w:t>
            </w:r>
          </w:p>
        </w:tc>
      </w:tr>
      <w:tr w:rsidR="00F23486" w:rsidRPr="005F4295" w14:paraId="276F870C"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76377A9A" w14:textId="77777777" w:rsidR="00F23486" w:rsidRPr="005F4295" w:rsidRDefault="00F23486" w:rsidP="001C4B04">
            <w:pPr>
              <w:spacing w:beforeLines="20" w:before="48" w:afterLines="20" w:after="48"/>
              <w:rPr>
                <w:color w:val="auto"/>
                <w:sz w:val="18"/>
                <w:szCs w:val="18"/>
                <w:lang w:eastAsia="zh-CN"/>
              </w:rPr>
            </w:pPr>
            <w:r w:rsidRPr="005F4295">
              <w:rPr>
                <w:color w:val="auto"/>
                <w:sz w:val="18"/>
                <w:szCs w:val="18"/>
                <w:lang w:eastAsia="zh-CN"/>
              </w:rPr>
              <w:t>Internal procedures &gt;</w:t>
            </w:r>
            <w:r w:rsidRPr="005F4295">
              <w:rPr>
                <w:rFonts w:ascii="Calibri" w:hAnsi="Calibri" w:cs="Calibri"/>
                <w:color w:val="auto"/>
                <w:sz w:val="18"/>
                <w:szCs w:val="18"/>
                <w:lang w:eastAsia="zh-CN"/>
              </w:rPr>
              <w:t> </w:t>
            </w:r>
            <w:r w:rsidRPr="005F4295">
              <w:rPr>
                <w:color w:val="auto"/>
                <w:sz w:val="18"/>
                <w:szCs w:val="18"/>
                <w:lang w:eastAsia="zh-CN"/>
              </w:rPr>
              <w:t>EUR</w:t>
            </w:r>
            <w:r w:rsidRPr="005F4295">
              <w:rPr>
                <w:rFonts w:ascii="Calibri" w:hAnsi="Calibri" w:cs="Calibri"/>
                <w:color w:val="auto"/>
                <w:sz w:val="18"/>
                <w:szCs w:val="18"/>
                <w:lang w:eastAsia="zh-CN"/>
              </w:rPr>
              <w:t> </w:t>
            </w:r>
            <w:r w:rsidRPr="005F4295">
              <w:rPr>
                <w:color w:val="auto"/>
                <w:sz w:val="18"/>
                <w:szCs w:val="18"/>
                <w:lang w:eastAsia="zh-CN"/>
              </w:rPr>
              <w:t>60</w:t>
            </w:r>
            <w:r w:rsidRPr="005F4295">
              <w:rPr>
                <w:rFonts w:ascii="Calibri" w:hAnsi="Calibri" w:cs="Calibri"/>
                <w:color w:val="auto"/>
                <w:sz w:val="18"/>
                <w:szCs w:val="18"/>
                <w:lang w:eastAsia="zh-CN"/>
              </w:rPr>
              <w:t> </w:t>
            </w:r>
            <w:r w:rsidRPr="005F4295">
              <w:rPr>
                <w:color w:val="auto"/>
                <w:sz w:val="18"/>
                <w:szCs w:val="18"/>
                <w:lang w:eastAsia="zh-CN"/>
              </w:rPr>
              <w:t>000</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49675D9B"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bCs/>
                <w:sz w:val="18"/>
                <w:szCs w:val="18"/>
                <w:lang w:eastAsia="zh-CN"/>
              </w:rPr>
            </w:pPr>
            <w:r w:rsidRPr="005F4295">
              <w:rPr>
                <w:b/>
                <w:bCs/>
                <w:sz w:val="18"/>
                <w:szCs w:val="18"/>
                <w:lang w:eastAsia="zh-CN"/>
              </w:rPr>
              <w:t>2</w:t>
            </w:r>
          </w:p>
        </w:tc>
        <w:tc>
          <w:tcPr>
            <w:tcW w:w="975" w:type="pct"/>
            <w:tcBorders>
              <w:left w:val="single" w:sz="4" w:space="0" w:color="D9D9D9" w:themeColor="background1" w:themeShade="D9"/>
            </w:tcBorders>
            <w:noWrap/>
            <w:vAlign w:val="center"/>
            <w:hideMark/>
          </w:tcPr>
          <w:p w14:paraId="1D7EE04C" w14:textId="29715148" w:rsidR="00F23486" w:rsidRPr="005F4295" w:rsidRDefault="00F23486" w:rsidP="001C4B04">
            <w:pPr>
              <w:suppressAutoHyphens w:val="0"/>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bCs/>
                <w:sz w:val="18"/>
                <w:szCs w:val="18"/>
                <w:lang w:eastAsia="zh-CN"/>
              </w:rPr>
            </w:pPr>
            <w:r w:rsidRPr="005F4295">
              <w:rPr>
                <w:b/>
                <w:bCs/>
                <w:sz w:val="18"/>
                <w:szCs w:val="18"/>
                <w:lang w:eastAsia="zh-CN"/>
              </w:rPr>
              <w:t>13</w:t>
            </w:r>
            <w:r w:rsidR="00033D88" w:rsidRPr="005F4295">
              <w:rPr>
                <w:rFonts w:ascii="Calibri" w:hAnsi="Calibri" w:cs="Calibri"/>
                <w:sz w:val="18"/>
                <w:szCs w:val="18"/>
                <w:lang w:eastAsia="zh-CN"/>
              </w:rPr>
              <w:t> </w:t>
            </w:r>
            <w:r w:rsidRPr="005F4295">
              <w:rPr>
                <w:b/>
                <w:bCs/>
                <w:sz w:val="18"/>
                <w:szCs w:val="18"/>
                <w:lang w:eastAsia="zh-CN"/>
              </w:rPr>
              <w:t>639</w:t>
            </w:r>
            <w:r w:rsidR="00033D88" w:rsidRPr="005F4295">
              <w:rPr>
                <w:rFonts w:ascii="Calibri" w:hAnsi="Calibri" w:cs="Calibri"/>
                <w:sz w:val="18"/>
                <w:szCs w:val="18"/>
                <w:lang w:eastAsia="zh-CN"/>
              </w:rPr>
              <w:t> </w:t>
            </w:r>
            <w:r w:rsidRPr="005F4295">
              <w:rPr>
                <w:b/>
                <w:bCs/>
                <w:sz w:val="18"/>
                <w:szCs w:val="18"/>
                <w:lang w:eastAsia="zh-CN"/>
              </w:rPr>
              <w:t xml:space="preserve">250.00 </w:t>
            </w:r>
          </w:p>
        </w:tc>
      </w:tr>
      <w:tr w:rsidR="00F23486" w:rsidRPr="005F4295" w14:paraId="2CD752FF"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7C9C9D1D"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1F4465DC"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2</w:t>
            </w:r>
          </w:p>
        </w:tc>
        <w:tc>
          <w:tcPr>
            <w:tcW w:w="975" w:type="pct"/>
            <w:tcBorders>
              <w:left w:val="single" w:sz="4" w:space="0" w:color="D9D9D9" w:themeColor="background1" w:themeShade="D9"/>
            </w:tcBorders>
            <w:noWrap/>
            <w:vAlign w:val="center"/>
            <w:hideMark/>
          </w:tcPr>
          <w:p w14:paraId="1E047A5F" w14:textId="1437358A"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13</w:t>
            </w:r>
            <w:r w:rsidR="00033D88" w:rsidRPr="005F4295">
              <w:rPr>
                <w:rFonts w:ascii="Calibri" w:hAnsi="Calibri" w:cs="Calibri"/>
                <w:sz w:val="18"/>
                <w:szCs w:val="18"/>
                <w:lang w:eastAsia="zh-CN"/>
              </w:rPr>
              <w:t> </w:t>
            </w:r>
            <w:r w:rsidRPr="005F4295">
              <w:rPr>
                <w:sz w:val="18"/>
                <w:szCs w:val="18"/>
                <w:lang w:eastAsia="zh-CN"/>
              </w:rPr>
              <w:t>639</w:t>
            </w:r>
            <w:r w:rsidR="00033D88" w:rsidRPr="005F4295">
              <w:rPr>
                <w:rFonts w:ascii="Calibri" w:hAnsi="Calibri" w:cs="Calibri"/>
                <w:sz w:val="18"/>
                <w:szCs w:val="18"/>
                <w:lang w:eastAsia="zh-CN"/>
              </w:rPr>
              <w:t> </w:t>
            </w:r>
            <w:r w:rsidRPr="005F4295">
              <w:rPr>
                <w:sz w:val="18"/>
                <w:szCs w:val="18"/>
                <w:lang w:eastAsia="zh-CN"/>
              </w:rPr>
              <w:t xml:space="preserve">250.00 </w:t>
            </w:r>
          </w:p>
        </w:tc>
      </w:tr>
      <w:tr w:rsidR="00F23486" w:rsidRPr="005F4295" w14:paraId="2E5CF216"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tcPr>
          <w:p w14:paraId="5B97DB39" w14:textId="77777777" w:rsidR="00F23486" w:rsidRPr="005F4295" w:rsidRDefault="00F23486" w:rsidP="001C4B04">
            <w:pPr>
              <w:spacing w:beforeLines="20" w:before="48" w:afterLines="20" w:after="48"/>
              <w:rPr>
                <w:sz w:val="18"/>
                <w:szCs w:val="18"/>
                <w:lang w:eastAsia="zh-CN"/>
              </w:rPr>
            </w:pPr>
            <w:r w:rsidRPr="005F4295">
              <w:rPr>
                <w:lang w:eastAsia="zh-CN"/>
              </w:rPr>
              <w:t xml:space="preserve">DG for the Middle East, North Africa, and the Gulf </w:t>
            </w:r>
          </w:p>
        </w:tc>
        <w:tc>
          <w:tcPr>
            <w:tcW w:w="693" w:type="pct"/>
            <w:tcBorders>
              <w:left w:val="single" w:sz="4" w:space="0" w:color="D9D9D9" w:themeColor="background1" w:themeShade="D9"/>
              <w:right w:val="single" w:sz="4" w:space="0" w:color="D9D9D9" w:themeColor="background1" w:themeShade="D9"/>
            </w:tcBorders>
            <w:noWrap/>
            <w:vAlign w:val="center"/>
          </w:tcPr>
          <w:p w14:paraId="6BC20AB2"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12</w:t>
            </w:r>
          </w:p>
        </w:tc>
        <w:tc>
          <w:tcPr>
            <w:tcW w:w="975" w:type="pct"/>
            <w:tcBorders>
              <w:left w:val="single" w:sz="4" w:space="0" w:color="D9D9D9" w:themeColor="background1" w:themeShade="D9"/>
            </w:tcBorders>
            <w:noWrap/>
            <w:vAlign w:val="center"/>
          </w:tcPr>
          <w:p w14:paraId="0E214B93" w14:textId="18AAFAC2" w:rsidR="00F23486" w:rsidRPr="005F4295" w:rsidRDefault="00F23486" w:rsidP="001C4B04">
            <w:pPr>
              <w:suppressAutoHyphens w:val="0"/>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3</w:t>
            </w:r>
            <w:r w:rsidR="00033D88" w:rsidRPr="005F4295">
              <w:rPr>
                <w:rFonts w:ascii="Calibri" w:hAnsi="Calibri" w:cs="Calibri"/>
                <w:sz w:val="18"/>
                <w:szCs w:val="18"/>
                <w:lang w:eastAsia="zh-CN"/>
              </w:rPr>
              <w:t> </w:t>
            </w:r>
            <w:r w:rsidRPr="005F4295">
              <w:rPr>
                <w:b/>
                <w:color w:val="003399" w:themeColor="text2"/>
                <w:lang w:eastAsia="zh-CN"/>
              </w:rPr>
              <w:t>769</w:t>
            </w:r>
            <w:r w:rsidR="00033D88" w:rsidRPr="005F4295">
              <w:rPr>
                <w:rFonts w:ascii="Calibri" w:hAnsi="Calibri" w:cs="Calibri"/>
                <w:sz w:val="18"/>
                <w:szCs w:val="18"/>
                <w:lang w:eastAsia="zh-CN"/>
              </w:rPr>
              <w:t> </w:t>
            </w:r>
            <w:r w:rsidRPr="005F4295">
              <w:rPr>
                <w:b/>
                <w:color w:val="003399" w:themeColor="text2"/>
                <w:lang w:eastAsia="zh-CN"/>
              </w:rPr>
              <w:t>772.00</w:t>
            </w:r>
          </w:p>
        </w:tc>
      </w:tr>
      <w:tr w:rsidR="00F23486" w:rsidRPr="005F4295" w14:paraId="760E5803"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tcPr>
          <w:p w14:paraId="3EC00BDC" w14:textId="77777777" w:rsidR="00F23486" w:rsidRPr="005F4295" w:rsidRDefault="00F23486" w:rsidP="001C4B04">
            <w:pPr>
              <w:spacing w:beforeLines="20" w:before="48" w:afterLines="20" w:after="48"/>
              <w:rPr>
                <w:sz w:val="18"/>
                <w:szCs w:val="18"/>
                <w:lang w:eastAsia="zh-CN"/>
              </w:rPr>
            </w:pPr>
            <w:r w:rsidRPr="005F4295">
              <w:rPr>
                <w:color w:val="auto"/>
                <w:sz w:val="18"/>
                <w:szCs w:val="18"/>
                <w:lang w:eastAsia="zh-CN"/>
              </w:rPr>
              <w:t>External procedures &gt;</w:t>
            </w:r>
            <w:r w:rsidRPr="005F4295">
              <w:rPr>
                <w:rFonts w:ascii="Calibri" w:hAnsi="Calibri" w:cs="Calibri"/>
                <w:color w:val="auto"/>
                <w:sz w:val="18"/>
                <w:szCs w:val="18"/>
                <w:lang w:eastAsia="zh-CN"/>
              </w:rPr>
              <w:t> </w:t>
            </w:r>
            <w:r w:rsidRPr="005F4295">
              <w:rPr>
                <w:color w:val="auto"/>
                <w:sz w:val="18"/>
                <w:szCs w:val="18"/>
                <w:lang w:eastAsia="zh-CN"/>
              </w:rPr>
              <w:t>EUR</w:t>
            </w:r>
            <w:r w:rsidRPr="005F4295">
              <w:rPr>
                <w:rFonts w:ascii="Calibri" w:hAnsi="Calibri" w:cs="Calibri"/>
                <w:color w:val="auto"/>
                <w:sz w:val="18"/>
                <w:szCs w:val="18"/>
                <w:lang w:eastAsia="zh-CN"/>
              </w:rPr>
              <w:t> </w:t>
            </w:r>
            <w:r w:rsidRPr="005F4295">
              <w:rPr>
                <w:color w:val="auto"/>
                <w:sz w:val="18"/>
                <w:szCs w:val="18"/>
                <w:lang w:eastAsia="zh-CN"/>
              </w:rPr>
              <w:t>20</w:t>
            </w:r>
            <w:r w:rsidRPr="005F4295">
              <w:rPr>
                <w:rFonts w:ascii="Calibri" w:hAnsi="Calibri" w:cs="Calibri"/>
                <w:color w:val="auto"/>
                <w:sz w:val="18"/>
                <w:szCs w:val="18"/>
                <w:lang w:eastAsia="zh-CN"/>
              </w:rPr>
              <w:t> </w:t>
            </w:r>
            <w:r w:rsidRPr="005F4295">
              <w:rPr>
                <w:color w:val="auto"/>
                <w:sz w:val="18"/>
                <w:szCs w:val="18"/>
                <w:lang w:eastAsia="zh-CN"/>
              </w:rPr>
              <w:t>000</w:t>
            </w:r>
          </w:p>
        </w:tc>
        <w:tc>
          <w:tcPr>
            <w:tcW w:w="693" w:type="pct"/>
            <w:tcBorders>
              <w:left w:val="single" w:sz="4" w:space="0" w:color="D9D9D9" w:themeColor="background1" w:themeShade="D9"/>
              <w:right w:val="single" w:sz="4" w:space="0" w:color="D9D9D9" w:themeColor="background1" w:themeShade="D9"/>
            </w:tcBorders>
            <w:noWrap/>
            <w:vAlign w:val="center"/>
          </w:tcPr>
          <w:p w14:paraId="6893D6E7"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b/>
                <w:bCs/>
                <w:sz w:val="18"/>
                <w:szCs w:val="18"/>
                <w:lang w:eastAsia="zh-CN"/>
              </w:rPr>
            </w:pPr>
            <w:r w:rsidRPr="005F4295">
              <w:rPr>
                <w:b/>
                <w:bCs/>
                <w:sz w:val="18"/>
                <w:szCs w:val="18"/>
                <w:lang w:eastAsia="zh-CN"/>
              </w:rPr>
              <w:t>12</w:t>
            </w:r>
          </w:p>
        </w:tc>
        <w:tc>
          <w:tcPr>
            <w:tcW w:w="975" w:type="pct"/>
            <w:tcBorders>
              <w:left w:val="single" w:sz="4" w:space="0" w:color="D9D9D9" w:themeColor="background1" w:themeShade="D9"/>
            </w:tcBorders>
            <w:noWrap/>
            <w:vAlign w:val="center"/>
          </w:tcPr>
          <w:p w14:paraId="0AA84FE9" w14:textId="4D99E439"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b/>
                <w:bCs/>
                <w:sz w:val="18"/>
                <w:szCs w:val="18"/>
                <w:lang w:eastAsia="zh-CN"/>
              </w:rPr>
            </w:pPr>
            <w:r w:rsidRPr="005F4295">
              <w:rPr>
                <w:b/>
                <w:bCs/>
                <w:sz w:val="18"/>
                <w:szCs w:val="18"/>
                <w:lang w:eastAsia="zh-CN"/>
              </w:rPr>
              <w:t>3</w:t>
            </w:r>
            <w:r w:rsidR="00033D88" w:rsidRPr="005F4295">
              <w:rPr>
                <w:rFonts w:ascii="Calibri" w:hAnsi="Calibri" w:cs="Calibri"/>
                <w:sz w:val="18"/>
                <w:szCs w:val="18"/>
                <w:lang w:eastAsia="zh-CN"/>
              </w:rPr>
              <w:t> </w:t>
            </w:r>
            <w:r w:rsidRPr="005F4295">
              <w:rPr>
                <w:b/>
                <w:bCs/>
                <w:sz w:val="18"/>
                <w:szCs w:val="18"/>
                <w:lang w:eastAsia="zh-CN"/>
              </w:rPr>
              <w:t>769</w:t>
            </w:r>
            <w:r w:rsidR="00033D88" w:rsidRPr="005F4295">
              <w:rPr>
                <w:rFonts w:ascii="Calibri" w:hAnsi="Calibri" w:cs="Calibri"/>
                <w:sz w:val="18"/>
                <w:szCs w:val="18"/>
                <w:lang w:eastAsia="zh-CN"/>
              </w:rPr>
              <w:t> </w:t>
            </w:r>
            <w:r w:rsidRPr="005F4295">
              <w:rPr>
                <w:b/>
                <w:bCs/>
                <w:sz w:val="18"/>
                <w:szCs w:val="18"/>
                <w:lang w:eastAsia="zh-CN"/>
              </w:rPr>
              <w:t>772.00</w:t>
            </w:r>
          </w:p>
        </w:tc>
      </w:tr>
      <w:tr w:rsidR="00F23486" w:rsidRPr="005F4295" w14:paraId="1E623BBD"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tcPr>
          <w:p w14:paraId="1F53580A" w14:textId="77777777" w:rsidR="00F23486" w:rsidRPr="005F4295" w:rsidRDefault="00F23486" w:rsidP="001C4B04">
            <w:pPr>
              <w:spacing w:beforeLines="20" w:before="48" w:afterLines="20" w:after="48"/>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Artistic/technical reasons or exclusive rights or technical </w:t>
            </w:r>
            <w:r w:rsidRPr="005F4295">
              <w:rPr>
                <w:b w:val="0"/>
                <w:bCs/>
                <w:color w:val="auto"/>
                <w:sz w:val="18"/>
                <w:szCs w:val="18"/>
                <w:lang w:eastAsia="zh-CN"/>
              </w:rPr>
              <w:t>monopoly</w:t>
            </w:r>
            <w:r w:rsidRPr="005F4295">
              <w:rPr>
                <w:rFonts w:ascii="Calibri" w:hAnsi="Calibri" w:cs="Calibri"/>
                <w:b w:val="0"/>
                <w:bCs/>
                <w:color w:val="auto"/>
                <w:sz w:val="18"/>
                <w:szCs w:val="18"/>
                <w:lang w:eastAsia="zh-CN"/>
              </w:rPr>
              <w:t> </w:t>
            </w:r>
            <w:r w:rsidRPr="005F4295">
              <w:rPr>
                <w:b w:val="0"/>
                <w:bCs/>
                <w:color w:val="auto"/>
                <w:sz w:val="18"/>
                <w:szCs w:val="18"/>
                <w:lang w:eastAsia="zh-CN"/>
              </w:rPr>
              <w:t xml:space="preserve">/ captive </w:t>
            </w:r>
            <w:r w:rsidRPr="005F4295">
              <w:rPr>
                <w:b w:val="0"/>
                <w:color w:val="auto"/>
                <w:sz w:val="18"/>
                <w:szCs w:val="18"/>
                <w:lang w:eastAsia="zh-CN"/>
              </w:rPr>
              <w:t>market</w:t>
            </w:r>
          </w:p>
        </w:tc>
        <w:tc>
          <w:tcPr>
            <w:tcW w:w="693" w:type="pct"/>
            <w:tcBorders>
              <w:left w:val="single" w:sz="4" w:space="0" w:color="D9D9D9" w:themeColor="background1" w:themeShade="D9"/>
              <w:right w:val="single" w:sz="4" w:space="0" w:color="D9D9D9" w:themeColor="background1" w:themeShade="D9"/>
            </w:tcBorders>
            <w:noWrap/>
            <w:vAlign w:val="center"/>
          </w:tcPr>
          <w:p w14:paraId="5B652F4E"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3</w:t>
            </w:r>
          </w:p>
        </w:tc>
        <w:tc>
          <w:tcPr>
            <w:tcW w:w="975" w:type="pct"/>
            <w:tcBorders>
              <w:left w:val="single" w:sz="4" w:space="0" w:color="D9D9D9" w:themeColor="background1" w:themeShade="D9"/>
            </w:tcBorders>
            <w:noWrap/>
            <w:vAlign w:val="center"/>
          </w:tcPr>
          <w:p w14:paraId="53D49B9A" w14:textId="46C19AB4" w:rsidR="00F23486" w:rsidRPr="005F4295" w:rsidRDefault="00F23486" w:rsidP="001C4B04">
            <w:pPr>
              <w:suppressAutoHyphens w:val="0"/>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r w:rsidR="00033D88" w:rsidRPr="005F4295">
              <w:rPr>
                <w:rFonts w:ascii="Calibri" w:hAnsi="Calibri" w:cs="Calibri"/>
                <w:sz w:val="18"/>
                <w:szCs w:val="18"/>
                <w:lang w:eastAsia="zh-CN"/>
              </w:rPr>
              <w:t> </w:t>
            </w:r>
            <w:r w:rsidRPr="005F4295">
              <w:rPr>
                <w:sz w:val="18"/>
                <w:szCs w:val="18"/>
                <w:lang w:eastAsia="zh-CN"/>
              </w:rPr>
              <w:t>279</w:t>
            </w:r>
            <w:r w:rsidR="00033D88" w:rsidRPr="005F4295">
              <w:rPr>
                <w:rFonts w:ascii="Calibri" w:hAnsi="Calibri" w:cs="Calibri"/>
                <w:sz w:val="18"/>
                <w:szCs w:val="18"/>
                <w:lang w:eastAsia="zh-CN"/>
              </w:rPr>
              <w:t> </w:t>
            </w:r>
            <w:r w:rsidRPr="005F4295">
              <w:rPr>
                <w:sz w:val="18"/>
                <w:szCs w:val="18"/>
                <w:lang w:eastAsia="zh-CN"/>
              </w:rPr>
              <w:t>700.00</w:t>
            </w:r>
          </w:p>
        </w:tc>
      </w:tr>
      <w:tr w:rsidR="00F23486" w:rsidRPr="005F4295" w14:paraId="6DD106C7"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tcPr>
          <w:p w14:paraId="399A7E81" w14:textId="77777777" w:rsidR="00F23486" w:rsidRPr="005F4295" w:rsidRDefault="00F23486" w:rsidP="001C4B04">
            <w:pPr>
              <w:spacing w:beforeLines="20" w:before="48" w:afterLines="20" w:after="48"/>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(c)</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Extreme urgency caused by unforeseeable events not </w:t>
            </w:r>
            <w:r w:rsidRPr="005F4295">
              <w:rPr>
                <w:b w:val="0"/>
                <w:bCs/>
                <w:color w:val="auto"/>
                <w:sz w:val="18"/>
                <w:szCs w:val="18"/>
                <w:lang w:eastAsia="zh-CN"/>
              </w:rPr>
              <w:t>attributable</w:t>
            </w:r>
            <w:r w:rsidRPr="005F4295">
              <w:rPr>
                <w:b w:val="0"/>
                <w:color w:val="auto"/>
                <w:sz w:val="18"/>
                <w:szCs w:val="18"/>
                <w:lang w:eastAsia="zh-CN"/>
              </w:rPr>
              <w:t xml:space="preserve"> to the contracting authority</w:t>
            </w:r>
          </w:p>
        </w:tc>
        <w:tc>
          <w:tcPr>
            <w:tcW w:w="693" w:type="pct"/>
            <w:tcBorders>
              <w:left w:val="single" w:sz="4" w:space="0" w:color="D9D9D9" w:themeColor="background1" w:themeShade="D9"/>
              <w:right w:val="single" w:sz="4" w:space="0" w:color="D9D9D9" w:themeColor="background1" w:themeShade="D9"/>
            </w:tcBorders>
            <w:noWrap/>
            <w:vAlign w:val="center"/>
          </w:tcPr>
          <w:p w14:paraId="76F3E138"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4</w:t>
            </w:r>
          </w:p>
        </w:tc>
        <w:tc>
          <w:tcPr>
            <w:tcW w:w="975" w:type="pct"/>
            <w:tcBorders>
              <w:left w:val="single" w:sz="4" w:space="0" w:color="D9D9D9" w:themeColor="background1" w:themeShade="D9"/>
            </w:tcBorders>
            <w:noWrap/>
            <w:vAlign w:val="center"/>
          </w:tcPr>
          <w:p w14:paraId="051410B1" w14:textId="439085BF"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r w:rsidR="00033D88" w:rsidRPr="005F4295">
              <w:rPr>
                <w:rFonts w:ascii="Calibri" w:hAnsi="Calibri" w:cs="Calibri"/>
                <w:sz w:val="18"/>
                <w:szCs w:val="18"/>
                <w:lang w:eastAsia="zh-CN"/>
              </w:rPr>
              <w:t> </w:t>
            </w:r>
            <w:r w:rsidRPr="005F4295">
              <w:rPr>
                <w:sz w:val="18"/>
                <w:szCs w:val="18"/>
                <w:lang w:eastAsia="zh-CN"/>
              </w:rPr>
              <w:t>322</w:t>
            </w:r>
            <w:r w:rsidR="00033D88" w:rsidRPr="005F4295">
              <w:rPr>
                <w:rFonts w:ascii="Calibri" w:hAnsi="Calibri" w:cs="Calibri"/>
                <w:sz w:val="18"/>
                <w:szCs w:val="18"/>
                <w:lang w:eastAsia="zh-CN"/>
              </w:rPr>
              <w:t> </w:t>
            </w:r>
            <w:r w:rsidRPr="005F4295">
              <w:rPr>
                <w:sz w:val="18"/>
                <w:szCs w:val="18"/>
                <w:lang w:eastAsia="zh-CN"/>
              </w:rPr>
              <w:t>252.00</w:t>
            </w:r>
          </w:p>
        </w:tc>
      </w:tr>
      <w:tr w:rsidR="00F23486" w:rsidRPr="005F4295" w14:paraId="7AB7882E"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tcPr>
          <w:p w14:paraId="06FDEE24" w14:textId="77777777" w:rsidR="00F23486" w:rsidRPr="005F4295" w:rsidRDefault="00F23486" w:rsidP="001C4B04">
            <w:pPr>
              <w:spacing w:beforeLines="20" w:before="48" w:afterLines="20" w:after="48"/>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39.</w:t>
            </w:r>
            <w:r w:rsidRPr="005F4295">
              <w:rPr>
                <w:b w:val="0"/>
                <w:bCs/>
                <w:color w:val="auto"/>
                <w:sz w:val="18"/>
                <w:szCs w:val="18"/>
                <w:lang w:eastAsia="zh-CN"/>
              </w:rPr>
              <w:t>1(</w:t>
            </w:r>
            <w:r w:rsidRPr="005F4295">
              <w:rPr>
                <w:b w:val="0"/>
                <w:color w:val="auto"/>
                <w:sz w:val="18"/>
                <w:szCs w:val="18"/>
                <w:lang w:eastAsia="zh-CN"/>
              </w:rPr>
              <w:t>a)</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color w:val="auto"/>
                <w:sz w:val="18"/>
                <w:szCs w:val="18"/>
                <w:lang w:eastAsia="zh-CN"/>
              </w:rPr>
              <w:t xml:space="preserve"> Services entrusted to public-sector bodies or non-profit institutions or organisations</w:t>
            </w:r>
          </w:p>
        </w:tc>
        <w:tc>
          <w:tcPr>
            <w:tcW w:w="693" w:type="pct"/>
            <w:tcBorders>
              <w:left w:val="single" w:sz="4" w:space="0" w:color="D9D9D9" w:themeColor="background1" w:themeShade="D9"/>
              <w:right w:val="single" w:sz="4" w:space="0" w:color="D9D9D9" w:themeColor="background1" w:themeShade="D9"/>
            </w:tcBorders>
            <w:noWrap/>
            <w:vAlign w:val="center"/>
          </w:tcPr>
          <w:p w14:paraId="56A599A4"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3</w:t>
            </w:r>
          </w:p>
        </w:tc>
        <w:tc>
          <w:tcPr>
            <w:tcW w:w="975" w:type="pct"/>
            <w:tcBorders>
              <w:left w:val="single" w:sz="4" w:space="0" w:color="D9D9D9" w:themeColor="background1" w:themeShade="D9"/>
            </w:tcBorders>
            <w:noWrap/>
            <w:vAlign w:val="center"/>
          </w:tcPr>
          <w:p w14:paraId="2A041C1F" w14:textId="1A67BD0A" w:rsidR="00F23486" w:rsidRPr="005F4295" w:rsidRDefault="00F23486" w:rsidP="001C4B04">
            <w:pPr>
              <w:suppressAutoHyphens w:val="0"/>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618</w:t>
            </w:r>
            <w:r w:rsidR="00033D88" w:rsidRPr="005F4295">
              <w:rPr>
                <w:rFonts w:ascii="Calibri" w:hAnsi="Calibri" w:cs="Calibri"/>
                <w:sz w:val="18"/>
                <w:szCs w:val="18"/>
                <w:lang w:eastAsia="zh-CN"/>
              </w:rPr>
              <w:t> </w:t>
            </w:r>
            <w:r w:rsidRPr="005F4295">
              <w:rPr>
                <w:sz w:val="18"/>
                <w:szCs w:val="18"/>
                <w:lang w:eastAsia="zh-CN"/>
              </w:rPr>
              <w:t>520.00</w:t>
            </w:r>
          </w:p>
        </w:tc>
      </w:tr>
      <w:tr w:rsidR="00F23486" w:rsidRPr="005F4295" w14:paraId="05994AD9"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tcPr>
          <w:p w14:paraId="6DF05261" w14:textId="77777777" w:rsidR="00F23486" w:rsidRPr="005F4295" w:rsidRDefault="00F23486" w:rsidP="001C4B04">
            <w:pPr>
              <w:spacing w:beforeLines="20" w:before="48" w:afterLines="20" w:after="48"/>
              <w:rPr>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39.</w:t>
            </w:r>
            <w:r w:rsidRPr="005F4295">
              <w:rPr>
                <w:b w:val="0"/>
                <w:bCs/>
                <w:color w:val="auto"/>
                <w:sz w:val="18"/>
                <w:szCs w:val="18"/>
                <w:lang w:eastAsia="zh-CN"/>
              </w:rPr>
              <w:t>1(</w:t>
            </w:r>
            <w:r w:rsidRPr="005F4295">
              <w:rPr>
                <w:b w:val="0"/>
                <w:color w:val="auto"/>
                <w:sz w:val="18"/>
                <w:szCs w:val="18"/>
                <w:lang w:eastAsia="zh-CN"/>
              </w:rPr>
              <w:t>b)</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Tender procedure unsuccessful</w:t>
            </w:r>
          </w:p>
        </w:tc>
        <w:tc>
          <w:tcPr>
            <w:tcW w:w="693" w:type="pct"/>
            <w:tcBorders>
              <w:left w:val="single" w:sz="4" w:space="0" w:color="D9D9D9" w:themeColor="background1" w:themeShade="D9"/>
              <w:right w:val="single" w:sz="4" w:space="0" w:color="D9D9D9" w:themeColor="background1" w:themeShade="D9"/>
            </w:tcBorders>
            <w:noWrap/>
            <w:vAlign w:val="center"/>
          </w:tcPr>
          <w:p w14:paraId="3795553D"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2</w:t>
            </w:r>
          </w:p>
        </w:tc>
        <w:tc>
          <w:tcPr>
            <w:tcW w:w="975" w:type="pct"/>
            <w:tcBorders>
              <w:left w:val="single" w:sz="4" w:space="0" w:color="D9D9D9" w:themeColor="background1" w:themeShade="D9"/>
            </w:tcBorders>
            <w:noWrap/>
            <w:vAlign w:val="center"/>
          </w:tcPr>
          <w:p w14:paraId="76F3E4B1" w14:textId="18CBFB82"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549</w:t>
            </w:r>
            <w:r w:rsidR="00033D88" w:rsidRPr="005F4295">
              <w:rPr>
                <w:rFonts w:ascii="Calibri" w:hAnsi="Calibri" w:cs="Calibri"/>
                <w:sz w:val="18"/>
                <w:szCs w:val="18"/>
                <w:lang w:eastAsia="zh-CN"/>
              </w:rPr>
              <w:t> </w:t>
            </w:r>
            <w:r w:rsidRPr="005F4295">
              <w:rPr>
                <w:sz w:val="18"/>
                <w:szCs w:val="18"/>
                <w:lang w:eastAsia="zh-CN"/>
              </w:rPr>
              <w:t>300.00</w:t>
            </w:r>
          </w:p>
        </w:tc>
      </w:tr>
      <w:tr w:rsidR="00F23486" w:rsidRPr="005F4295" w14:paraId="2BD9E560"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shd w:val="clear" w:color="auto" w:fill="FFFFFF" w:themeFill="background1"/>
            <w:noWrap/>
            <w:vAlign w:val="center"/>
            <w:hideMark/>
          </w:tcPr>
          <w:p w14:paraId="64D913B6" w14:textId="77777777" w:rsidR="00F23486" w:rsidRPr="005F4295" w:rsidRDefault="00F23486" w:rsidP="001C4B04">
            <w:pPr>
              <w:spacing w:beforeLines="20" w:before="48" w:afterLines="20" w:after="48"/>
              <w:rPr>
                <w:lang w:eastAsia="zh-CN"/>
              </w:rPr>
            </w:pPr>
            <w:r w:rsidRPr="005F4295">
              <w:rPr>
                <w:lang w:eastAsia="zh-CN"/>
              </w:rPr>
              <w:t>Service for Foreign Policy Instruments</w:t>
            </w:r>
          </w:p>
        </w:tc>
        <w:tc>
          <w:tcPr>
            <w:tcW w:w="693"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hideMark/>
          </w:tcPr>
          <w:p w14:paraId="76D625C0"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2</w:t>
            </w:r>
          </w:p>
        </w:tc>
        <w:tc>
          <w:tcPr>
            <w:tcW w:w="975" w:type="pct"/>
            <w:tcBorders>
              <w:left w:val="single" w:sz="4" w:space="0" w:color="D9D9D9" w:themeColor="background1" w:themeShade="D9"/>
            </w:tcBorders>
            <w:shd w:val="clear" w:color="auto" w:fill="FFFFFF" w:themeFill="background1"/>
            <w:noWrap/>
            <w:vAlign w:val="center"/>
            <w:hideMark/>
          </w:tcPr>
          <w:p w14:paraId="10732187" w14:textId="11885B0D"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1</w:t>
            </w:r>
            <w:r w:rsidR="00033D88" w:rsidRPr="005F4295">
              <w:rPr>
                <w:rFonts w:ascii="Calibri" w:hAnsi="Calibri" w:cs="Calibri"/>
                <w:sz w:val="18"/>
                <w:szCs w:val="18"/>
                <w:lang w:eastAsia="zh-CN"/>
              </w:rPr>
              <w:t> </w:t>
            </w:r>
            <w:r w:rsidRPr="005F4295">
              <w:rPr>
                <w:b/>
                <w:color w:val="003399" w:themeColor="text2"/>
                <w:lang w:eastAsia="zh-CN"/>
              </w:rPr>
              <w:t>799</w:t>
            </w:r>
            <w:r w:rsidR="00033D88" w:rsidRPr="005F4295">
              <w:rPr>
                <w:rFonts w:ascii="Calibri" w:hAnsi="Calibri" w:cs="Calibri"/>
                <w:sz w:val="18"/>
                <w:szCs w:val="18"/>
                <w:lang w:eastAsia="zh-CN"/>
              </w:rPr>
              <w:t> </w:t>
            </w:r>
            <w:r w:rsidRPr="005F4295">
              <w:rPr>
                <w:b/>
                <w:color w:val="003399" w:themeColor="text2"/>
                <w:lang w:eastAsia="zh-CN"/>
              </w:rPr>
              <w:t xml:space="preserve">992.00 </w:t>
            </w:r>
          </w:p>
        </w:tc>
      </w:tr>
      <w:tr w:rsidR="00F23486" w:rsidRPr="005F4295" w14:paraId="269B1D06"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shd w:val="clear" w:color="auto" w:fill="FFFFFF" w:themeFill="background1"/>
            <w:noWrap/>
            <w:vAlign w:val="center"/>
          </w:tcPr>
          <w:p w14:paraId="61416997" w14:textId="77777777" w:rsidR="00F23486" w:rsidRPr="005F4295" w:rsidRDefault="00F23486" w:rsidP="001C4B04">
            <w:pPr>
              <w:spacing w:beforeLines="20" w:before="48" w:afterLines="20" w:after="48"/>
              <w:rPr>
                <w:lang w:eastAsia="zh-CN"/>
              </w:rPr>
            </w:pPr>
            <w:r w:rsidRPr="005F4295">
              <w:rPr>
                <w:color w:val="auto"/>
                <w:sz w:val="18"/>
                <w:szCs w:val="18"/>
                <w:lang w:eastAsia="zh-CN"/>
              </w:rPr>
              <w:t>External procedures &gt;</w:t>
            </w:r>
            <w:r w:rsidRPr="005F4295">
              <w:rPr>
                <w:rFonts w:ascii="Calibri" w:hAnsi="Calibri" w:cs="Calibri"/>
                <w:color w:val="auto"/>
                <w:sz w:val="18"/>
                <w:szCs w:val="18"/>
                <w:lang w:eastAsia="zh-CN"/>
              </w:rPr>
              <w:t> </w:t>
            </w:r>
            <w:r w:rsidRPr="005F4295">
              <w:rPr>
                <w:color w:val="auto"/>
                <w:sz w:val="18"/>
                <w:szCs w:val="18"/>
                <w:lang w:eastAsia="zh-CN"/>
              </w:rPr>
              <w:t>EUR</w:t>
            </w:r>
            <w:r w:rsidRPr="005F4295">
              <w:rPr>
                <w:rFonts w:ascii="Calibri" w:hAnsi="Calibri" w:cs="Calibri"/>
                <w:color w:val="auto"/>
                <w:sz w:val="18"/>
                <w:szCs w:val="18"/>
                <w:lang w:eastAsia="zh-CN"/>
              </w:rPr>
              <w:t> </w:t>
            </w:r>
            <w:r w:rsidRPr="005F4295">
              <w:rPr>
                <w:color w:val="auto"/>
                <w:sz w:val="18"/>
                <w:szCs w:val="18"/>
                <w:lang w:eastAsia="zh-CN"/>
              </w:rPr>
              <w:t>20</w:t>
            </w:r>
            <w:r w:rsidRPr="005F4295">
              <w:rPr>
                <w:rFonts w:ascii="Calibri" w:hAnsi="Calibri" w:cs="Calibri"/>
                <w:color w:val="auto"/>
                <w:sz w:val="18"/>
                <w:szCs w:val="18"/>
                <w:lang w:eastAsia="zh-CN"/>
              </w:rPr>
              <w:t> </w:t>
            </w:r>
            <w:r w:rsidRPr="005F4295">
              <w:rPr>
                <w:color w:val="auto"/>
                <w:sz w:val="18"/>
                <w:szCs w:val="18"/>
                <w:lang w:eastAsia="zh-CN"/>
              </w:rPr>
              <w:t>000</w:t>
            </w:r>
          </w:p>
        </w:tc>
        <w:tc>
          <w:tcPr>
            <w:tcW w:w="693" w:type="pct"/>
            <w:tcBorders>
              <w:left w:val="single" w:sz="4" w:space="0" w:color="D9D9D9" w:themeColor="background1" w:themeShade="D9"/>
              <w:right w:val="single" w:sz="4" w:space="0" w:color="D9D9D9" w:themeColor="background1" w:themeShade="D9"/>
            </w:tcBorders>
            <w:shd w:val="clear" w:color="auto" w:fill="FFFFFF" w:themeFill="background1"/>
            <w:noWrap/>
            <w:vAlign w:val="center"/>
          </w:tcPr>
          <w:p w14:paraId="257CBE44"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b/>
                <w:bCs/>
                <w:sz w:val="18"/>
                <w:szCs w:val="18"/>
                <w:lang w:eastAsia="zh-CN"/>
              </w:rPr>
            </w:pPr>
            <w:r w:rsidRPr="005F4295">
              <w:rPr>
                <w:b/>
                <w:bCs/>
                <w:sz w:val="18"/>
                <w:szCs w:val="18"/>
                <w:lang w:eastAsia="zh-CN"/>
              </w:rPr>
              <w:t>2</w:t>
            </w:r>
          </w:p>
        </w:tc>
        <w:tc>
          <w:tcPr>
            <w:tcW w:w="975" w:type="pct"/>
            <w:tcBorders>
              <w:left w:val="single" w:sz="4" w:space="0" w:color="D9D9D9" w:themeColor="background1" w:themeShade="D9"/>
            </w:tcBorders>
            <w:shd w:val="clear" w:color="auto" w:fill="FFFFFF" w:themeFill="background1"/>
            <w:noWrap/>
            <w:vAlign w:val="center"/>
          </w:tcPr>
          <w:p w14:paraId="3D9C0C92" w14:textId="6F12C52A"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b/>
                <w:bCs/>
                <w:sz w:val="18"/>
                <w:szCs w:val="18"/>
                <w:lang w:eastAsia="zh-CN"/>
              </w:rPr>
            </w:pPr>
            <w:r w:rsidRPr="005F4295">
              <w:rPr>
                <w:b/>
                <w:bCs/>
                <w:sz w:val="18"/>
                <w:szCs w:val="18"/>
                <w:lang w:eastAsia="zh-CN"/>
              </w:rPr>
              <w:t>1</w:t>
            </w:r>
            <w:r w:rsidR="00033D88" w:rsidRPr="005F4295">
              <w:rPr>
                <w:rFonts w:ascii="Calibri" w:hAnsi="Calibri" w:cs="Calibri"/>
                <w:sz w:val="18"/>
                <w:szCs w:val="18"/>
                <w:lang w:eastAsia="zh-CN"/>
              </w:rPr>
              <w:t> </w:t>
            </w:r>
            <w:r w:rsidRPr="005F4295">
              <w:rPr>
                <w:b/>
                <w:bCs/>
                <w:sz w:val="18"/>
                <w:szCs w:val="18"/>
                <w:lang w:eastAsia="zh-CN"/>
              </w:rPr>
              <w:t>799</w:t>
            </w:r>
            <w:r w:rsidR="00033D88" w:rsidRPr="005F4295">
              <w:rPr>
                <w:rFonts w:ascii="Calibri" w:hAnsi="Calibri" w:cs="Calibri"/>
                <w:sz w:val="18"/>
                <w:szCs w:val="18"/>
                <w:lang w:eastAsia="zh-CN"/>
              </w:rPr>
              <w:t> </w:t>
            </w:r>
            <w:r w:rsidRPr="005F4295">
              <w:rPr>
                <w:b/>
                <w:bCs/>
                <w:sz w:val="18"/>
                <w:szCs w:val="18"/>
                <w:lang w:eastAsia="zh-CN"/>
              </w:rPr>
              <w:t xml:space="preserve">992.00 </w:t>
            </w:r>
          </w:p>
        </w:tc>
      </w:tr>
      <w:tr w:rsidR="00F23486" w:rsidRPr="005F4295" w14:paraId="0F4B7FCD"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27B53CCF"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(c)</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 xml:space="preserve">Extreme urgency caused by unforeseeable events not </w:t>
            </w:r>
            <w:r w:rsidRPr="005F4295">
              <w:rPr>
                <w:b w:val="0"/>
                <w:bCs/>
                <w:color w:val="auto"/>
                <w:sz w:val="18"/>
                <w:szCs w:val="18"/>
                <w:lang w:eastAsia="zh-CN"/>
              </w:rPr>
              <w:t>attributable</w:t>
            </w:r>
            <w:r w:rsidRPr="005F4295">
              <w:rPr>
                <w:b w:val="0"/>
                <w:color w:val="auto"/>
                <w:sz w:val="18"/>
                <w:szCs w:val="18"/>
                <w:lang w:eastAsia="zh-CN"/>
              </w:rPr>
              <w:t xml:space="preserve"> to the contracting authority</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6EEA8B91"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1</w:t>
            </w:r>
          </w:p>
        </w:tc>
        <w:tc>
          <w:tcPr>
            <w:tcW w:w="975" w:type="pct"/>
            <w:tcBorders>
              <w:left w:val="single" w:sz="4" w:space="0" w:color="D9D9D9" w:themeColor="background1" w:themeShade="D9"/>
            </w:tcBorders>
            <w:noWrap/>
            <w:vAlign w:val="center"/>
            <w:hideMark/>
          </w:tcPr>
          <w:p w14:paraId="36F9269F" w14:textId="3E22CCBA"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sz w:val="18"/>
                <w:szCs w:val="18"/>
                <w:lang w:eastAsia="zh-CN"/>
              </w:rPr>
            </w:pPr>
            <w:r w:rsidRPr="005F4295">
              <w:rPr>
                <w:sz w:val="18"/>
                <w:szCs w:val="18"/>
                <w:lang w:eastAsia="zh-CN"/>
              </w:rPr>
              <w:t>249</w:t>
            </w:r>
            <w:r w:rsidR="00033D88" w:rsidRPr="005F4295">
              <w:rPr>
                <w:rFonts w:ascii="Calibri" w:hAnsi="Calibri" w:cs="Calibri"/>
                <w:sz w:val="18"/>
                <w:szCs w:val="18"/>
                <w:lang w:eastAsia="zh-CN"/>
              </w:rPr>
              <w:t> </w:t>
            </w:r>
            <w:r w:rsidRPr="005F4295">
              <w:rPr>
                <w:sz w:val="18"/>
                <w:szCs w:val="18"/>
                <w:lang w:eastAsia="zh-CN"/>
              </w:rPr>
              <w:t>992.00</w:t>
            </w:r>
          </w:p>
        </w:tc>
      </w:tr>
      <w:tr w:rsidR="00F23486" w:rsidRPr="005F4295" w14:paraId="1F1E4A17" w14:textId="77777777" w:rsidTr="0019476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noWrap/>
            <w:vAlign w:val="center"/>
            <w:hideMark/>
          </w:tcPr>
          <w:p w14:paraId="5E728D60" w14:textId="77777777" w:rsidR="00F23486" w:rsidRPr="005F4295" w:rsidRDefault="00F23486" w:rsidP="001C4B04">
            <w:pPr>
              <w:spacing w:beforeLines="20" w:before="48" w:afterLines="20" w:after="48"/>
              <w:rPr>
                <w:b w:val="0"/>
                <w:color w:val="auto"/>
                <w:sz w:val="18"/>
                <w:szCs w:val="18"/>
                <w:lang w:eastAsia="zh-CN"/>
              </w:rPr>
            </w:pPr>
            <w:r w:rsidRPr="005F4295">
              <w:rPr>
                <w:b w:val="0"/>
                <w:color w:val="auto"/>
                <w:sz w:val="18"/>
                <w:szCs w:val="18"/>
                <w:lang w:eastAsia="zh-CN"/>
              </w:rPr>
              <w:t>Annex</w:t>
            </w:r>
            <w:r w:rsidRPr="005F4295">
              <w:rPr>
                <w:rFonts w:ascii="Calibri" w:hAnsi="Calibri" w:cs="Calibri"/>
                <w:b w:val="0"/>
                <w:bCs/>
                <w:color w:val="auto"/>
                <w:sz w:val="18"/>
                <w:szCs w:val="18"/>
                <w:lang w:eastAsia="zh-CN"/>
              </w:rPr>
              <w:t> </w:t>
            </w:r>
            <w:r w:rsidRPr="005F4295">
              <w:rPr>
                <w:b w:val="0"/>
                <w:color w:val="auto"/>
                <w:sz w:val="18"/>
                <w:szCs w:val="18"/>
                <w:lang w:eastAsia="zh-CN"/>
              </w:rPr>
              <w:t>1</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11.1</w:t>
            </w:r>
            <w:r w:rsidRPr="005F4295">
              <w:rPr>
                <w:b w:val="0"/>
                <w:bCs/>
                <w:color w:val="auto"/>
                <w:sz w:val="18"/>
                <w:szCs w:val="18"/>
                <w:lang w:eastAsia="zh-CN"/>
              </w:rPr>
              <w:t>(e)</w:t>
            </w:r>
            <w:r w:rsidRPr="005F4295">
              <w:rPr>
                <w:rFonts w:ascii="Calibri" w:hAnsi="Calibri" w:cs="Calibri"/>
                <w:b w:val="0"/>
                <w:bCs/>
                <w:color w:val="auto"/>
                <w:sz w:val="18"/>
                <w:szCs w:val="18"/>
                <w:lang w:eastAsia="zh-CN"/>
              </w:rPr>
              <w:t> </w:t>
            </w:r>
            <w:r w:rsidRPr="005F4295">
              <w:rPr>
                <w:rFonts w:cs="EC Square Sans Pro"/>
                <w:b w:val="0"/>
                <w:bCs/>
                <w:color w:val="auto"/>
                <w:sz w:val="18"/>
                <w:szCs w:val="18"/>
                <w:lang w:eastAsia="zh-CN"/>
              </w:rPr>
              <w:t>–</w:t>
            </w:r>
            <w:r w:rsidRPr="005F4295">
              <w:rPr>
                <w:b w:val="0"/>
                <w:bCs/>
                <w:color w:val="auto"/>
                <w:sz w:val="18"/>
                <w:szCs w:val="18"/>
                <w:lang w:eastAsia="zh-CN"/>
              </w:rPr>
              <w:t xml:space="preserve"> </w:t>
            </w:r>
            <w:r w:rsidRPr="005F4295">
              <w:rPr>
                <w:b w:val="0"/>
                <w:color w:val="auto"/>
                <w:sz w:val="18"/>
                <w:szCs w:val="18"/>
                <w:lang w:eastAsia="zh-CN"/>
              </w:rPr>
              <w:t>New services/works consisting in the repetition of similar services/works</w:t>
            </w:r>
          </w:p>
        </w:tc>
        <w:tc>
          <w:tcPr>
            <w:tcW w:w="693" w:type="pct"/>
            <w:tcBorders>
              <w:left w:val="single" w:sz="4" w:space="0" w:color="D9D9D9" w:themeColor="background1" w:themeShade="D9"/>
              <w:right w:val="single" w:sz="4" w:space="0" w:color="D9D9D9" w:themeColor="background1" w:themeShade="D9"/>
            </w:tcBorders>
            <w:noWrap/>
            <w:vAlign w:val="center"/>
            <w:hideMark/>
          </w:tcPr>
          <w:p w14:paraId="6BA674AA" w14:textId="77777777" w:rsidR="00F23486" w:rsidRPr="005F4295" w:rsidRDefault="00F23486" w:rsidP="001C4B04">
            <w:pPr>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p>
        </w:tc>
        <w:tc>
          <w:tcPr>
            <w:tcW w:w="975" w:type="pct"/>
            <w:tcBorders>
              <w:left w:val="single" w:sz="4" w:space="0" w:color="D9D9D9" w:themeColor="background1" w:themeShade="D9"/>
            </w:tcBorders>
            <w:noWrap/>
            <w:vAlign w:val="center"/>
            <w:hideMark/>
          </w:tcPr>
          <w:p w14:paraId="6BD680F6" w14:textId="3040C65B" w:rsidR="00F23486" w:rsidRPr="005F4295" w:rsidRDefault="00F23486" w:rsidP="001C4B04">
            <w:pPr>
              <w:suppressAutoHyphens w:val="0"/>
              <w:spacing w:beforeLines="20" w:before="48" w:afterLines="20" w:after="48"/>
              <w:jc w:val="right"/>
              <w:cnfStyle w:val="000000100000" w:firstRow="0" w:lastRow="0" w:firstColumn="0" w:lastColumn="0" w:oddVBand="0" w:evenVBand="0" w:oddHBand="1" w:evenHBand="0" w:firstRowFirstColumn="0" w:firstRowLastColumn="0" w:lastRowFirstColumn="0" w:lastRowLastColumn="0"/>
              <w:rPr>
                <w:sz w:val="18"/>
                <w:szCs w:val="18"/>
                <w:lang w:eastAsia="zh-CN"/>
              </w:rPr>
            </w:pPr>
            <w:r w:rsidRPr="005F4295">
              <w:rPr>
                <w:sz w:val="18"/>
                <w:szCs w:val="18"/>
                <w:lang w:eastAsia="zh-CN"/>
              </w:rPr>
              <w:t>1</w:t>
            </w:r>
            <w:r w:rsidR="00033D88" w:rsidRPr="005F4295">
              <w:rPr>
                <w:rFonts w:ascii="Calibri" w:hAnsi="Calibri" w:cs="Calibri"/>
                <w:sz w:val="18"/>
                <w:szCs w:val="18"/>
                <w:lang w:eastAsia="zh-CN"/>
              </w:rPr>
              <w:t> </w:t>
            </w:r>
            <w:r w:rsidRPr="005F4295">
              <w:rPr>
                <w:sz w:val="18"/>
                <w:szCs w:val="18"/>
                <w:lang w:eastAsia="zh-CN"/>
              </w:rPr>
              <w:t>550</w:t>
            </w:r>
            <w:r w:rsidR="00866DAE" w:rsidRPr="005F4295">
              <w:rPr>
                <w:rFonts w:ascii="Calibri" w:hAnsi="Calibri" w:cs="Calibri"/>
                <w:sz w:val="18"/>
                <w:szCs w:val="18"/>
                <w:lang w:eastAsia="zh-CN"/>
              </w:rPr>
              <w:t> </w:t>
            </w:r>
            <w:r w:rsidRPr="005F4295">
              <w:rPr>
                <w:sz w:val="18"/>
                <w:szCs w:val="18"/>
                <w:lang w:eastAsia="zh-CN"/>
              </w:rPr>
              <w:t xml:space="preserve">000.00 </w:t>
            </w:r>
          </w:p>
        </w:tc>
      </w:tr>
      <w:tr w:rsidR="00F23486" w:rsidRPr="005F4295" w14:paraId="32F60528" w14:textId="77777777" w:rsidTr="0019476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31" w:type="pct"/>
            <w:tcBorders>
              <w:right w:val="single" w:sz="4" w:space="0" w:color="D9D9D9" w:themeColor="background1" w:themeShade="D9"/>
            </w:tcBorders>
            <w:shd w:val="clear" w:color="auto" w:fill="FEDEC6" w:themeFill="accent2" w:themeFillTint="33"/>
            <w:noWrap/>
          </w:tcPr>
          <w:p w14:paraId="680D1D69" w14:textId="77777777" w:rsidR="00F23486" w:rsidRPr="005F4295" w:rsidRDefault="00F23486" w:rsidP="001C4B04">
            <w:pPr>
              <w:spacing w:beforeLines="20" w:before="48" w:afterLines="20" w:after="48"/>
              <w:rPr>
                <w:lang w:eastAsia="zh-CN"/>
              </w:rPr>
            </w:pPr>
            <w:r w:rsidRPr="005F4295">
              <w:t>Total</w:t>
            </w:r>
          </w:p>
        </w:tc>
        <w:tc>
          <w:tcPr>
            <w:tcW w:w="693" w:type="pct"/>
            <w:tcBorders>
              <w:left w:val="single" w:sz="4" w:space="0" w:color="D9D9D9" w:themeColor="background1" w:themeShade="D9"/>
              <w:right w:val="single" w:sz="4" w:space="0" w:color="D9D9D9" w:themeColor="background1" w:themeShade="D9"/>
            </w:tcBorders>
            <w:shd w:val="clear" w:color="auto" w:fill="FEDEC6" w:themeFill="accent2" w:themeFillTint="33"/>
            <w:noWrap/>
          </w:tcPr>
          <w:p w14:paraId="5A2E22CE" w14:textId="77777777"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78</w:t>
            </w:r>
          </w:p>
        </w:tc>
        <w:tc>
          <w:tcPr>
            <w:tcW w:w="975" w:type="pct"/>
            <w:tcBorders>
              <w:left w:val="single" w:sz="4" w:space="0" w:color="D9D9D9" w:themeColor="background1" w:themeShade="D9"/>
            </w:tcBorders>
            <w:shd w:val="clear" w:color="auto" w:fill="FEDEC6" w:themeFill="accent2" w:themeFillTint="33"/>
            <w:noWrap/>
          </w:tcPr>
          <w:p w14:paraId="36FA14A0" w14:textId="3BA6CDE0" w:rsidR="00F23486" w:rsidRPr="005F4295" w:rsidRDefault="00F23486" w:rsidP="001C4B04">
            <w:pPr>
              <w:spacing w:beforeLines="20" w:before="48" w:afterLines="20" w:after="48"/>
              <w:jc w:val="right"/>
              <w:cnfStyle w:val="000000010000" w:firstRow="0" w:lastRow="0" w:firstColumn="0" w:lastColumn="0" w:oddVBand="0" w:evenVBand="0" w:oddHBand="0" w:evenHBand="1" w:firstRowFirstColumn="0" w:firstRowLastColumn="0" w:lastRowFirstColumn="0" w:lastRowLastColumn="0"/>
              <w:rPr>
                <w:b/>
                <w:color w:val="003399" w:themeColor="text2"/>
                <w:lang w:eastAsia="zh-CN"/>
              </w:rPr>
            </w:pPr>
            <w:r w:rsidRPr="005F4295">
              <w:rPr>
                <w:b/>
                <w:color w:val="003399" w:themeColor="text2"/>
                <w:lang w:eastAsia="zh-CN"/>
              </w:rPr>
              <w:t>110</w:t>
            </w:r>
            <w:r w:rsidR="00866DAE" w:rsidRPr="005F4295">
              <w:rPr>
                <w:rFonts w:ascii="Calibri" w:hAnsi="Calibri" w:cs="Calibri"/>
                <w:sz w:val="18"/>
                <w:szCs w:val="18"/>
                <w:lang w:eastAsia="zh-CN"/>
              </w:rPr>
              <w:t> </w:t>
            </w:r>
            <w:r w:rsidRPr="005F4295">
              <w:rPr>
                <w:b/>
                <w:color w:val="003399" w:themeColor="text2"/>
                <w:lang w:eastAsia="zh-CN"/>
              </w:rPr>
              <w:t>129</w:t>
            </w:r>
            <w:r w:rsidR="00866DAE" w:rsidRPr="005F4295">
              <w:rPr>
                <w:rFonts w:ascii="Calibri" w:hAnsi="Calibri" w:cs="Calibri"/>
                <w:sz w:val="18"/>
                <w:szCs w:val="18"/>
                <w:lang w:eastAsia="zh-CN"/>
              </w:rPr>
              <w:t> </w:t>
            </w:r>
            <w:r w:rsidRPr="005F4295">
              <w:rPr>
                <w:b/>
                <w:color w:val="003399" w:themeColor="text2"/>
                <w:lang w:eastAsia="zh-CN"/>
              </w:rPr>
              <w:t>050.47</w:t>
            </w:r>
          </w:p>
        </w:tc>
      </w:tr>
    </w:tbl>
    <w:p w14:paraId="37A0EBEE" w14:textId="77777777" w:rsidR="00B77A2B" w:rsidRPr="005F4295" w:rsidRDefault="00B77A2B" w:rsidP="009E6EAC">
      <w:pPr>
        <w:rPr>
          <w:highlight w:val="lightGray"/>
        </w:rPr>
      </w:pPr>
    </w:p>
    <w:p w14:paraId="50224969" w14:textId="77777777" w:rsidR="00EB70E0" w:rsidRPr="005F4295" w:rsidRDefault="00EB70E0" w:rsidP="00EB70E0">
      <w:pPr>
        <w:spacing w:before="80" w:after="0"/>
        <w:rPr>
          <w:noProof/>
          <w:highlight w:val="lightGray"/>
        </w:rPr>
        <w:sectPr w:rsidR="00EB70E0" w:rsidRPr="005F4295" w:rsidSect="00EB70E0">
          <w:headerReference w:type="even" r:id="rId149"/>
          <w:headerReference w:type="default" r:id="rId150"/>
          <w:footerReference w:type="even" r:id="rId151"/>
          <w:footerReference w:type="default" r:id="rId152"/>
          <w:headerReference w:type="first" r:id="rId153"/>
          <w:footerReference w:type="first" r:id="rId154"/>
          <w:endnotePr>
            <w:pos w:val="sectEnd"/>
            <w:numFmt w:val="lowerLetter"/>
          </w:endnotePr>
          <w:pgSz w:w="11907" w:h="16839" w:code="9"/>
          <w:pgMar w:top="1418" w:right="1418" w:bottom="1418" w:left="1418" w:header="680" w:footer="567" w:gutter="0"/>
          <w:cols w:space="720"/>
          <w:docGrid w:linePitch="272"/>
        </w:sectPr>
      </w:pPr>
    </w:p>
    <w:p w14:paraId="4E6711C4" w14:textId="77777777" w:rsidR="00EB70E0" w:rsidRPr="005F4295" w:rsidRDefault="00EB70E0" w:rsidP="00EB70E0">
      <w:pPr>
        <w:rPr>
          <w:noProof/>
          <w:highlight w:val="lightGray"/>
        </w:rPr>
      </w:pPr>
    </w:p>
    <w:p w14:paraId="63217720" w14:textId="77777777" w:rsidR="00EB70E0" w:rsidRPr="005F4295" w:rsidRDefault="00EB70E0" w:rsidP="00EB70E0">
      <w:pPr>
        <w:rPr>
          <w:noProof/>
          <w:highlight w:val="lightGray"/>
        </w:rPr>
      </w:pPr>
      <w:r w:rsidRPr="005F4295">
        <w:rPr>
          <w:noProof/>
          <w:highlight w:val="lightGray"/>
        </w:rPr>
        <mc:AlternateContent>
          <mc:Choice Requires="wps">
            <w:drawing>
              <wp:anchor distT="0" distB="0" distL="114300" distR="114300" simplePos="0" relativeHeight="251658245" behindDoc="0" locked="1" layoutInCell="1" allowOverlap="1" wp14:anchorId="14FD1D44" wp14:editId="4D587EDD">
                <wp:simplePos x="0" y="0"/>
                <wp:positionH relativeFrom="column">
                  <wp:posOffset>2376170</wp:posOffset>
                </wp:positionH>
                <wp:positionV relativeFrom="page">
                  <wp:posOffset>3240405</wp:posOffset>
                </wp:positionV>
                <wp:extent cx="3600000" cy="5040000"/>
                <wp:effectExtent l="0" t="0" r="0" b="0"/>
                <wp:wrapNone/>
                <wp:docPr id="3263" name="Text Box 3263"/>
                <wp:cNvGraphicFramePr/>
                <a:graphic xmlns:a="http://schemas.openxmlformats.org/drawingml/2006/main">
                  <a:graphicData uri="http://schemas.microsoft.com/office/word/2010/wordprocessingShape">
                    <wps:wsp>
                      <wps:cNvSpPr txBox="1"/>
                      <wps:spPr>
                        <a:xfrm>
                          <a:off x="0" y="0"/>
                          <a:ext cx="3600000" cy="5040000"/>
                        </a:xfrm>
                        <a:prstGeom prst="rect">
                          <a:avLst/>
                        </a:prstGeom>
                        <a:noFill/>
                        <a:ln w="6350">
                          <a:noFill/>
                        </a:ln>
                      </wps:spPr>
                      <wps:txbx>
                        <w:txbxContent>
                          <w:p w14:paraId="0F2F9EC2" w14:textId="74F17B91"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11</w:t>
                            </w:r>
                            <w:r>
                              <w:rPr>
                                <w:rFonts w:ascii="Calibri" w:eastAsiaTheme="minorHAnsi" w:hAnsi="Calibri" w:cs="Calibri"/>
                              </w:rPr>
                              <w:t> </w:t>
                            </w:r>
                            <w:r w:rsidRPr="007F744E">
                              <w:rPr>
                                <w:rFonts w:eastAsiaTheme="minorHAnsi"/>
                              </w:rPr>
                              <w:t xml:space="preserve">– </w:t>
                            </w:r>
                            <w:r w:rsidR="00692F02">
                              <w:rPr>
                                <w:rFonts w:eastAsiaTheme="minorHAnsi"/>
                              </w:rPr>
                              <w:br/>
                            </w:r>
                            <w:r w:rsidRPr="00CB1573">
                              <w:rPr>
                                <w:rFonts w:eastAsiaTheme="minorHAnsi"/>
                              </w:rPr>
                              <w:t xml:space="preserve">EU </w:t>
                            </w:r>
                            <w:r>
                              <w:rPr>
                                <w:rFonts w:eastAsiaTheme="minorHAnsi"/>
                              </w:rPr>
                              <w:t>t</w:t>
                            </w:r>
                            <w:r w:rsidRPr="00CB1573">
                              <w:rPr>
                                <w:rFonts w:eastAsiaTheme="minorHAnsi"/>
                              </w:rPr>
                              <w:t xml:space="preserve">rust </w:t>
                            </w:r>
                            <w:r>
                              <w:rPr>
                                <w:rFonts w:eastAsiaTheme="minorHAnsi"/>
                              </w:rPr>
                              <w:t>f</w:t>
                            </w:r>
                            <w:r w:rsidRPr="00CB1573">
                              <w:rPr>
                                <w:rFonts w:eastAsiaTheme="minorHAnsi"/>
                              </w:rPr>
                              <w:t>unds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D1D44" id="Text Box 3263" o:spid="_x0000_s1032" type="#_x0000_t202" style="position:absolute;margin-left:187.1pt;margin-top:255.15pt;width:283.45pt;height:396.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" filled="f" stroked="f" strokeweight=".5pt">
                <v:textbox>
                  <w:txbxContent>
                    <w:p w14:paraId="0F2F9EC2" w14:textId="74F17B91" w:rsidR="00EB70E0" w:rsidRDefault="00EB70E0" w:rsidP="00EE19C3">
                      <w:pPr>
                        <w:pStyle w:val="HparaT-AnnexesSectiontitle"/>
                        <w:rPr>
                          <w:rFonts w:eastAsiaTheme="minorHAnsi"/>
                        </w:rPr>
                      </w:pPr>
                      <w:r w:rsidRPr="007F744E">
                        <w:rPr>
                          <w:rFonts w:eastAsiaTheme="minorHAnsi"/>
                        </w:rPr>
                        <w:t>Annex</w:t>
                      </w:r>
                      <w:r>
                        <w:rPr>
                          <w:rFonts w:ascii="Calibri" w:eastAsiaTheme="minorHAnsi" w:hAnsi="Calibri" w:cs="Calibri"/>
                        </w:rPr>
                        <w:t> </w:t>
                      </w:r>
                      <w:r>
                        <w:rPr>
                          <w:rFonts w:eastAsiaTheme="minorHAnsi"/>
                        </w:rPr>
                        <w:t>11</w:t>
                      </w:r>
                      <w:r>
                        <w:rPr>
                          <w:rFonts w:ascii="Calibri" w:eastAsiaTheme="minorHAnsi" w:hAnsi="Calibri" w:cs="Calibri"/>
                        </w:rPr>
                        <w:t> </w:t>
                      </w:r>
                      <w:r w:rsidRPr="007F744E">
                        <w:rPr>
                          <w:rFonts w:eastAsiaTheme="minorHAnsi"/>
                        </w:rPr>
                        <w:t xml:space="preserve">– </w:t>
                      </w:r>
                      <w:r w:rsidR="00692F02">
                        <w:rPr>
                          <w:rFonts w:eastAsiaTheme="minorHAnsi"/>
                        </w:rPr>
                        <w:br/>
                      </w:r>
                      <w:r w:rsidRPr="00CB1573">
                        <w:rPr>
                          <w:rFonts w:eastAsiaTheme="minorHAnsi"/>
                        </w:rPr>
                        <w:t xml:space="preserve">EU </w:t>
                      </w:r>
                      <w:r>
                        <w:rPr>
                          <w:rFonts w:eastAsiaTheme="minorHAnsi"/>
                        </w:rPr>
                        <w:t>t</w:t>
                      </w:r>
                      <w:r w:rsidRPr="00CB1573">
                        <w:rPr>
                          <w:rFonts w:eastAsiaTheme="minorHAnsi"/>
                        </w:rPr>
                        <w:t xml:space="preserve">rust </w:t>
                      </w:r>
                      <w:r>
                        <w:rPr>
                          <w:rFonts w:eastAsiaTheme="minorHAnsi"/>
                        </w:rPr>
                        <w:t>f</w:t>
                      </w:r>
                      <w:r w:rsidRPr="00CB1573">
                        <w:rPr>
                          <w:rFonts w:eastAsiaTheme="minorHAnsi"/>
                        </w:rPr>
                        <w:t>unds</w:t>
                      </w:r>
                    </w:p>
                  </w:txbxContent>
                </v:textbox>
                <w10:wrap anchory="page"/>
                <w10:anchorlock/>
              </v:shape>
            </w:pict>
          </mc:Fallback>
        </mc:AlternateContent>
      </w:r>
    </w:p>
    <w:p w14:paraId="15E3E82F" w14:textId="77777777" w:rsidR="00EB70E0" w:rsidRPr="005F4295" w:rsidRDefault="00EB70E0" w:rsidP="00EB70E0">
      <w:pPr>
        <w:rPr>
          <w:noProof/>
          <w:highlight w:val="lightGray"/>
        </w:rPr>
        <w:sectPr w:rsidR="00EB70E0" w:rsidRPr="005F4295" w:rsidSect="00EB70E0">
          <w:headerReference w:type="even" r:id="rId155"/>
          <w:headerReference w:type="default" r:id="rId156"/>
          <w:footerReference w:type="even" r:id="rId157"/>
          <w:footerReference w:type="default" r:id="rId158"/>
          <w:headerReference w:type="first" r:id="rId159"/>
          <w:footerReference w:type="first" r:id="rId160"/>
          <w:endnotePr>
            <w:pos w:val="sectEnd"/>
            <w:numFmt w:val="lowerLetter"/>
          </w:endnotePr>
          <w:type w:val="oddPage"/>
          <w:pgSz w:w="11907" w:h="16839" w:code="9"/>
          <w:pgMar w:top="1418" w:right="1418" w:bottom="1418" w:left="1418" w:header="680" w:footer="567" w:gutter="0"/>
          <w:cols w:space="720"/>
          <w:docGrid w:linePitch="272"/>
        </w:sectPr>
      </w:pPr>
    </w:p>
    <w:p w14:paraId="634F1994" w14:textId="77777777" w:rsidR="00EB70E0" w:rsidRPr="005F4295" w:rsidRDefault="00EB70E0" w:rsidP="00EB70E0">
      <w:pPr>
        <w:rPr>
          <w:noProof/>
          <w:highlight w:val="lightGray"/>
        </w:rPr>
      </w:pPr>
    </w:p>
    <w:p w14:paraId="6C95400B" w14:textId="77777777" w:rsidR="00EB70E0" w:rsidRPr="005F4295" w:rsidRDefault="00EB70E0" w:rsidP="00EB70E0">
      <w:pPr>
        <w:rPr>
          <w:noProof/>
          <w:highlight w:val="lightGray"/>
        </w:rPr>
        <w:sectPr w:rsidR="00EB70E0" w:rsidRPr="005F4295" w:rsidSect="00EB70E0">
          <w:headerReference w:type="even" r:id="rId161"/>
          <w:headerReference w:type="default" r:id="rId162"/>
          <w:footerReference w:type="even" r:id="rId163"/>
          <w:footerReference w:type="default" r:id="rId164"/>
          <w:headerReference w:type="first" r:id="rId165"/>
          <w:footerReference w:type="first" r:id="rId166"/>
          <w:endnotePr>
            <w:pos w:val="sectEnd"/>
            <w:numFmt w:val="lowerLetter"/>
          </w:endnotePr>
          <w:pgSz w:w="11907" w:h="16839" w:code="9"/>
          <w:pgMar w:top="1418" w:right="1418" w:bottom="1418" w:left="1418" w:header="680" w:footer="567" w:gutter="0"/>
          <w:cols w:space="720"/>
          <w:docGrid w:linePitch="272"/>
        </w:sectPr>
      </w:pPr>
    </w:p>
    <w:p w14:paraId="34C6DACF" w14:textId="77777777" w:rsidR="00EB70E0" w:rsidRPr="005F4295" w:rsidRDefault="00EB70E0" w:rsidP="00EB70E0">
      <w:pPr>
        <w:pStyle w:val="HeadingT-AnnexesL1"/>
        <w:rPr>
          <w:noProof/>
        </w:rPr>
      </w:pPr>
      <w:bookmarkStart w:id="108" w:name="_Toc130821447"/>
      <w:bookmarkStart w:id="109" w:name="_Toc130832095"/>
      <w:bookmarkStart w:id="110" w:name="_Toc166086405"/>
      <w:bookmarkStart w:id="111" w:name="_Toc168585099"/>
      <w:bookmarkStart w:id="112" w:name="_Toc229386288"/>
      <w:bookmarkStart w:id="113" w:name="_Toc231914925"/>
      <w:bookmarkStart w:id="114" w:name="_Toc231480279"/>
      <w:r w:rsidRPr="005F4295">
        <w:rPr>
          <w:noProof/>
        </w:rPr>
        <w:t>Annex</w:t>
      </w:r>
      <w:r w:rsidRPr="005F4295">
        <w:rPr>
          <w:rFonts w:ascii="Calibri" w:hAnsi="Calibri" w:cs="Calibri"/>
          <w:noProof/>
        </w:rPr>
        <w:t> </w:t>
      </w:r>
      <w:r w:rsidRPr="005F4295">
        <w:rPr>
          <w:noProof/>
        </w:rPr>
        <w:t>11</w:t>
      </w:r>
      <w:r w:rsidRPr="005F4295">
        <w:rPr>
          <w:rFonts w:ascii="Calibri" w:hAnsi="Calibri" w:cs="Calibri"/>
          <w:noProof/>
        </w:rPr>
        <w:t> </w:t>
      </w:r>
      <w:r w:rsidRPr="005F4295">
        <w:rPr>
          <w:noProof/>
        </w:rPr>
        <w:t xml:space="preserve">– </w:t>
      </w:r>
      <w:bookmarkEnd w:id="108"/>
      <w:bookmarkEnd w:id="109"/>
      <w:r w:rsidRPr="005F4295">
        <w:rPr>
          <w:noProof/>
        </w:rPr>
        <w:t xml:space="preserve">EU </w:t>
      </w:r>
      <w:bookmarkEnd w:id="110"/>
      <w:r w:rsidRPr="005F4295">
        <w:rPr>
          <w:noProof/>
        </w:rPr>
        <w:t>trust funds</w:t>
      </w:r>
      <w:bookmarkEnd w:id="111"/>
      <w:bookmarkEnd w:id="112"/>
      <w:bookmarkEnd w:id="113"/>
      <w:bookmarkEnd w:id="114"/>
    </w:p>
    <w:p w14:paraId="4BC517EE" w14:textId="2C297CFB" w:rsidR="00EB70E0" w:rsidRPr="005F4295" w:rsidRDefault="00EB70E0" w:rsidP="00EB70E0">
      <w:pPr>
        <w:rPr>
          <w:noProof/>
        </w:rPr>
      </w:pPr>
      <w:r w:rsidRPr="005F4295">
        <w:rPr>
          <w:noProof/>
        </w:rPr>
        <w:t>The European Commission</w:t>
      </w:r>
      <w:r w:rsidR="00332B76" w:rsidRPr="005F4295">
        <w:rPr>
          <w:rFonts w:ascii="Calibri" w:hAnsi="Calibri" w:cs="Calibri"/>
          <w:noProof/>
        </w:rPr>
        <w:t>,</w:t>
      </w:r>
      <w:r w:rsidRPr="005F4295">
        <w:rPr>
          <w:noProof/>
        </w:rPr>
        <w:t xml:space="preserve"> </w:t>
      </w:r>
      <w:r w:rsidR="00B579C8" w:rsidRPr="005F4295">
        <w:rPr>
          <w:noProof/>
        </w:rPr>
        <w:t>along</w:t>
      </w:r>
      <w:r w:rsidRPr="005F4295">
        <w:rPr>
          <w:noProof/>
        </w:rPr>
        <w:t xml:space="preserve"> with several external donors</w:t>
      </w:r>
      <w:r w:rsidR="00332B76" w:rsidRPr="005F4295">
        <w:rPr>
          <w:noProof/>
        </w:rPr>
        <w:t xml:space="preserve">, </w:t>
      </w:r>
      <w:r w:rsidRPr="005F4295">
        <w:rPr>
          <w:noProof/>
        </w:rPr>
        <w:t>established four EU trust funds between 2014 and 2016</w:t>
      </w:r>
      <w:r w:rsidR="005C68AC" w:rsidRPr="005F4295">
        <w:rPr>
          <w:rFonts w:ascii="Calibri" w:hAnsi="Calibri" w:cs="Calibri"/>
          <w:noProof/>
        </w:rPr>
        <w:t>.</w:t>
      </w:r>
      <w:r w:rsidRPr="005F4295">
        <w:rPr>
          <w:noProof/>
        </w:rPr>
        <w:t xml:space="preserve"> During their life cycle</w:t>
      </w:r>
      <w:r w:rsidR="005C68AC" w:rsidRPr="005F4295">
        <w:rPr>
          <w:noProof/>
        </w:rPr>
        <w:t>,</w:t>
      </w:r>
      <w:r w:rsidRPr="005F4295">
        <w:rPr>
          <w:noProof/>
        </w:rPr>
        <w:t xml:space="preserve"> up to the end of 202</w:t>
      </w:r>
      <w:r w:rsidR="00774CFF" w:rsidRPr="005F4295">
        <w:rPr>
          <w:noProof/>
        </w:rPr>
        <w:t>5</w:t>
      </w:r>
      <w:r w:rsidR="005C68AC" w:rsidRPr="005F4295">
        <w:rPr>
          <w:noProof/>
        </w:rPr>
        <w:t>,</w:t>
      </w:r>
      <w:r w:rsidRPr="005F4295">
        <w:rPr>
          <w:noProof/>
        </w:rPr>
        <w:t xml:space="preserve"> the four EU trust funds received approximately EUR</w:t>
      </w:r>
      <w:r w:rsidRPr="005F4295">
        <w:rPr>
          <w:rFonts w:ascii="Calibri" w:hAnsi="Calibri" w:cs="Calibri"/>
          <w:noProof/>
        </w:rPr>
        <w:t> </w:t>
      </w:r>
      <w:r w:rsidRPr="005F4295">
        <w:rPr>
          <w:noProof/>
        </w:rPr>
        <w:t>7</w:t>
      </w:r>
      <w:r w:rsidR="005C68AC" w:rsidRPr="005F4295">
        <w:rPr>
          <w:noProof/>
        </w:rPr>
        <w:t>.</w:t>
      </w:r>
      <w:r w:rsidRPr="005F4295">
        <w:rPr>
          <w:noProof/>
        </w:rPr>
        <w:t>9</w:t>
      </w:r>
      <w:r w:rsidRPr="005F4295">
        <w:rPr>
          <w:rFonts w:ascii="Calibri" w:hAnsi="Calibri" w:cs="Calibri"/>
          <w:noProof/>
        </w:rPr>
        <w:t> </w:t>
      </w:r>
      <w:r w:rsidRPr="005F4295">
        <w:rPr>
          <w:noProof/>
        </w:rPr>
        <w:t>billion in contributions from the EU budget</w:t>
      </w:r>
      <w:r w:rsidR="003708A5" w:rsidRPr="005F4295">
        <w:rPr>
          <w:rFonts w:ascii="Calibri" w:hAnsi="Calibri" w:cs="Calibri"/>
          <w:noProof/>
        </w:rPr>
        <w:t>,</w:t>
      </w:r>
      <w:r w:rsidRPr="005F4295">
        <w:rPr>
          <w:noProof/>
        </w:rPr>
        <w:t xml:space="preserve"> the </w:t>
      </w:r>
      <w:bookmarkStart w:id="115" w:name="_Hlk198138348"/>
      <w:r w:rsidRPr="005F4295">
        <w:rPr>
          <w:noProof/>
        </w:rPr>
        <w:t>European Development Fund</w:t>
      </w:r>
      <w:bookmarkEnd w:id="115"/>
      <w:r w:rsidR="00AE0593" w:rsidRPr="005F4295">
        <w:rPr>
          <w:noProof/>
        </w:rPr>
        <w:t>,</w:t>
      </w:r>
      <w:r w:rsidRPr="005F4295">
        <w:rPr>
          <w:noProof/>
        </w:rPr>
        <w:t xml:space="preserve"> Member States</w:t>
      </w:r>
      <w:r w:rsidRPr="005F4295" w:rsidDel="00AE0593">
        <w:rPr>
          <w:noProof/>
        </w:rPr>
        <w:t xml:space="preserve"> </w:t>
      </w:r>
      <w:r w:rsidRPr="005F4295">
        <w:rPr>
          <w:noProof/>
        </w:rPr>
        <w:t>and other external donors</w:t>
      </w:r>
      <w:r w:rsidR="00AE0593" w:rsidRPr="005F4295">
        <w:rPr>
          <w:rFonts w:ascii="Calibri" w:hAnsi="Calibri" w:cs="Calibri"/>
          <w:noProof/>
        </w:rPr>
        <w:t>.</w:t>
      </w:r>
    </w:p>
    <w:p w14:paraId="6333F268" w14:textId="4EAC650D" w:rsidR="00EB70E0" w:rsidRPr="005F4295" w:rsidRDefault="00EB70E0" w:rsidP="00EB70E0">
      <w:pPr>
        <w:pStyle w:val="ImageTitle"/>
        <w:spacing w:after="360"/>
        <w:rPr>
          <w:rFonts w:eastAsia="Times New Roman"/>
          <w:b/>
          <w:noProof/>
          <w:color w:val="auto"/>
        </w:rPr>
      </w:pPr>
      <w:r w:rsidRPr="005F4295">
        <w:rPr>
          <w:noProof/>
        </w:rPr>
        <w:t>Source of financing of EU trust funds (million</w:t>
      </w:r>
      <w:r w:rsidR="008940AB" w:rsidRPr="005F4295">
        <w:rPr>
          <w:rFonts w:ascii="Calibri" w:hAnsi="Calibri" w:cs="Calibri"/>
          <w:noProof/>
        </w:rPr>
        <w:t xml:space="preserve"> </w:t>
      </w:r>
      <w:r w:rsidRPr="005F4295">
        <w:rPr>
          <w:noProof/>
        </w:rPr>
        <w:t>EUR)</w:t>
      </w:r>
      <w:r w:rsidRPr="005F4295">
        <w:rPr>
          <w:rFonts w:eastAsia="Times New Roman"/>
          <w:noProof/>
          <w:color w:val="auto"/>
        </w:rPr>
        <w:t xml:space="preserve"> </w:t>
      </w:r>
    </w:p>
    <w:p w14:paraId="6791FEAC" w14:textId="77777777" w:rsidR="00530338" w:rsidRPr="005F4295" w:rsidRDefault="00530338" w:rsidP="00EB70E0">
      <w:pPr>
        <w:pStyle w:val="ImagePlaceholder"/>
        <w:rPr>
          <w:noProof/>
          <w:highlight w:val="lightGray"/>
        </w:rPr>
      </w:pPr>
    </w:p>
    <w:p w14:paraId="5AE75DAA" w14:textId="4C0628E9" w:rsidR="00EB70E0" w:rsidRPr="005F4295" w:rsidRDefault="002C5741" w:rsidP="00EB70E0">
      <w:pPr>
        <w:pStyle w:val="ImagePlaceholder"/>
        <w:rPr>
          <w:highlight w:val="lightGray"/>
        </w:rPr>
      </w:pPr>
      <w:r w:rsidRPr="005F4295">
        <w:rPr>
          <w:noProof/>
          <w:highlight w:val="lightGray"/>
        </w:rPr>
        <w:drawing>
          <wp:inline distT="0" distB="0" distL="0" distR="0" wp14:anchorId="3E0EFBC9" wp14:editId="6082B0F9">
            <wp:extent cx="4818380" cy="3257550"/>
            <wp:effectExtent l="0" t="0" r="1270" b="0"/>
            <wp:docPr id="1966040077" name="Picture 17">
              <a:extLst xmlns:a="http://schemas.openxmlformats.org/drawingml/2006/main">
                <a:ext uri="{FF2B5EF4-FFF2-40B4-BE49-F238E27FC236}">
                  <a16:creationId xmlns:a16="http://schemas.microsoft.com/office/drawing/2014/main" id="{DF9D7335-47FB-5748-6905-B1D2CEDBB4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DF9D7335-47FB-5748-6905-B1D2CEDBB4B9}"/>
                        </a:ext>
                      </a:extLst>
                    </pic:cNvPr>
                    <pic:cNvPicPr>
                      <a:picLocks noChangeAspect="1"/>
                    </pic:cNvPicPr>
                  </pic:nvPicPr>
                  <pic:blipFill rotWithShape="1">
                    <a:blip r:embed="rId167"/>
                    <a:srcRect l="18200" t="6022" r="11535" b="4266"/>
                    <a:stretch>
                      <a:fillRect/>
                    </a:stretch>
                  </pic:blipFill>
                  <pic:spPr bwMode="auto">
                    <a:xfrm>
                      <a:off x="0" y="0"/>
                      <a:ext cx="4818743" cy="3257795"/>
                    </a:xfrm>
                    <a:prstGeom prst="rect">
                      <a:avLst/>
                    </a:prstGeom>
                    <a:ln>
                      <a:noFill/>
                    </a:ln>
                    <a:extLst>
                      <a:ext uri="{53640926-AAD7-44D8-BBD7-CCE9431645EC}">
                        <a14:shadowObscured xmlns:a14="http://schemas.microsoft.com/office/drawing/2010/main"/>
                      </a:ext>
                    </a:extLst>
                  </pic:spPr>
                </pic:pic>
              </a:graphicData>
            </a:graphic>
          </wp:inline>
        </w:drawing>
      </w:r>
    </w:p>
    <w:p w14:paraId="79013372" w14:textId="49981C29" w:rsidR="00EB70E0" w:rsidRPr="005F4295" w:rsidRDefault="00EB70E0" w:rsidP="00EB70E0">
      <w:pPr>
        <w:pStyle w:val="ImageSource"/>
        <w:rPr>
          <w:noProof/>
          <w:szCs w:val="16"/>
        </w:rPr>
      </w:pPr>
      <w:r w:rsidRPr="005F4295">
        <w:rPr>
          <w:rStyle w:val="Italic"/>
        </w:rPr>
        <w:t>Source:</w:t>
      </w:r>
      <w:r w:rsidRPr="005F4295">
        <w:rPr>
          <w:noProof/>
          <w:szCs w:val="16"/>
        </w:rPr>
        <w:t xml:space="preserve"> European Commission</w:t>
      </w:r>
      <w:r w:rsidR="00B579C8" w:rsidRPr="005F4295">
        <w:rPr>
          <w:noProof/>
          <w:szCs w:val="16"/>
        </w:rPr>
        <w:t>.</w:t>
      </w:r>
    </w:p>
    <w:p w14:paraId="3E1FA3CF" w14:textId="46AD8295" w:rsidR="00EB70E0" w:rsidRPr="005F4295" w:rsidRDefault="00EB70E0" w:rsidP="00EB70E0">
      <w:pPr>
        <w:pStyle w:val="ImageTitle"/>
        <w:rPr>
          <w:b/>
        </w:rPr>
      </w:pPr>
      <w:r w:rsidRPr="005F4295">
        <w:t>Cumulative amount made available for payments (million</w:t>
      </w:r>
      <w:r w:rsidR="00B579C8" w:rsidRPr="005F4295">
        <w:t xml:space="preserve"> </w:t>
      </w:r>
      <w:r w:rsidRPr="005F4295">
        <w:t>EUR)</w:t>
      </w:r>
    </w:p>
    <w:p w14:paraId="11BC5F4F" w14:textId="6582848A" w:rsidR="0068309B" w:rsidRPr="00FA6D87" w:rsidRDefault="00803811" w:rsidP="00FA6D87">
      <w:pPr>
        <w:keepNext/>
        <w:keepLines/>
      </w:pPr>
      <w:r w:rsidRPr="005F4295">
        <w:rPr>
          <w:noProof/>
        </w:rPr>
        <w:t>The cumulative amount made available for payments at the end of 2025 amounted to EUR</w:t>
      </w:r>
      <w:r w:rsidR="00CB2603" w:rsidRPr="005F4295">
        <w:rPr>
          <w:rFonts w:ascii="Calibri" w:hAnsi="Calibri" w:cs="Calibri"/>
          <w:noProof/>
        </w:rPr>
        <w:t> </w:t>
      </w:r>
      <w:r w:rsidRPr="005F4295">
        <w:rPr>
          <w:noProof/>
        </w:rPr>
        <w:t>7.8</w:t>
      </w:r>
      <w:r w:rsidR="00CB2603" w:rsidRPr="005F4295">
        <w:rPr>
          <w:rFonts w:ascii="Calibri" w:hAnsi="Calibri" w:cs="Calibri"/>
          <w:noProof/>
        </w:rPr>
        <w:t> </w:t>
      </w:r>
      <w:r w:rsidRPr="005F4295">
        <w:rPr>
          <w:noProof/>
        </w:rPr>
        <w:t>billion</w:t>
      </w:r>
      <w:r w:rsidR="00C17B9B" w:rsidRPr="005F4295">
        <w:rPr>
          <w:noProof/>
        </w:rPr>
        <w:t>,</w:t>
      </w:r>
      <w:r w:rsidRPr="005F4295">
        <w:rPr>
          <w:noProof/>
        </w:rPr>
        <w:t xml:space="preserve"> including EUR</w:t>
      </w:r>
      <w:r w:rsidR="00CB2603" w:rsidRPr="005F4295">
        <w:rPr>
          <w:rFonts w:ascii="Calibri" w:hAnsi="Calibri" w:cs="Calibri"/>
          <w:noProof/>
        </w:rPr>
        <w:t> </w:t>
      </w:r>
      <w:r w:rsidRPr="005F4295">
        <w:rPr>
          <w:noProof/>
        </w:rPr>
        <w:t>3.3</w:t>
      </w:r>
      <w:r w:rsidR="00CB2603" w:rsidRPr="005F4295">
        <w:rPr>
          <w:rFonts w:ascii="Calibri" w:hAnsi="Calibri" w:cs="Calibri"/>
          <w:noProof/>
        </w:rPr>
        <w:t> </w:t>
      </w:r>
      <w:r w:rsidRPr="005F4295">
        <w:rPr>
          <w:noProof/>
        </w:rPr>
        <w:t>billion from the EU budget, EUR</w:t>
      </w:r>
      <w:r w:rsidR="00C17B9B" w:rsidRPr="005F4295">
        <w:rPr>
          <w:rFonts w:ascii="Calibri" w:hAnsi="Calibri" w:cs="Calibri"/>
          <w:noProof/>
        </w:rPr>
        <w:t> 1 </w:t>
      </w:r>
      <w:r w:rsidRPr="005F4295">
        <w:rPr>
          <w:noProof/>
        </w:rPr>
        <w:t>billion from EU Member states and other donors and EUR</w:t>
      </w:r>
      <w:r w:rsidR="00CB2603" w:rsidRPr="005F4295">
        <w:rPr>
          <w:rFonts w:ascii="Calibri" w:hAnsi="Calibri" w:cs="Calibri"/>
          <w:noProof/>
        </w:rPr>
        <w:t> </w:t>
      </w:r>
      <w:r w:rsidRPr="005F4295">
        <w:rPr>
          <w:noProof/>
        </w:rPr>
        <w:t>3.4</w:t>
      </w:r>
      <w:r w:rsidR="00CB2603" w:rsidRPr="005F4295">
        <w:rPr>
          <w:rFonts w:ascii="Calibri" w:hAnsi="Calibri" w:cs="Calibri"/>
          <w:noProof/>
        </w:rPr>
        <w:t> </w:t>
      </w:r>
      <w:r w:rsidRPr="005F4295">
        <w:rPr>
          <w:noProof/>
        </w:rPr>
        <w:t xml:space="preserve">billion from the European </w:t>
      </w:r>
      <w:r w:rsidR="00C17B9B" w:rsidRPr="005F4295">
        <w:rPr>
          <w:noProof/>
        </w:rPr>
        <w:t>D</w:t>
      </w:r>
      <w:r w:rsidRPr="005F4295">
        <w:rPr>
          <w:noProof/>
        </w:rPr>
        <w:t>evelopment Fund.</w:t>
      </w:r>
    </w:p>
    <w:p w14:paraId="3D93C04E" w14:textId="588C1988" w:rsidR="00EB70E0" w:rsidRPr="005F4295" w:rsidRDefault="00272CEB" w:rsidP="00EB70E0">
      <w:pPr>
        <w:pStyle w:val="ImagePlaceholder"/>
        <w:rPr>
          <w:highlight w:val="yellow"/>
        </w:rPr>
      </w:pPr>
      <w:r w:rsidRPr="00FA6D87">
        <w:rPr>
          <w:noProof/>
        </w:rPr>
        <w:drawing>
          <wp:inline distT="0" distB="0" distL="0" distR="0" wp14:anchorId="58888B80" wp14:editId="45DA0A91">
            <wp:extent cx="4908083" cy="3775983"/>
            <wp:effectExtent l="0" t="0" r="6985" b="0"/>
            <wp:docPr id="100" name="Picture 99">
              <a:extLst xmlns:a="http://schemas.openxmlformats.org/drawingml/2006/main">
                <a:ext uri="{FF2B5EF4-FFF2-40B4-BE49-F238E27FC236}">
                  <a16:creationId xmlns:a16="http://schemas.microsoft.com/office/drawing/2014/main" id="{18AD69BC-6EC7-A85C-9FBE-7D0D72C396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99">
                      <a:extLst>
                        <a:ext uri="{FF2B5EF4-FFF2-40B4-BE49-F238E27FC236}">
                          <a16:creationId xmlns:a16="http://schemas.microsoft.com/office/drawing/2014/main" id="{18AD69BC-6EC7-A85C-9FBE-7D0D72C396E1}"/>
                        </a:ext>
                      </a:extLst>
                    </pic:cNvPr>
                    <pic:cNvPicPr>
                      <a:picLocks noChangeAspect="1"/>
                    </pic:cNvPicPr>
                  </pic:nvPicPr>
                  <pic:blipFill rotWithShape="1">
                    <a:blip r:embed="rId168"/>
                    <a:srcRect l="6623" t="1691" r="8160" b="3433"/>
                    <a:stretch>
                      <a:fillRect/>
                    </a:stretch>
                  </pic:blipFill>
                  <pic:spPr bwMode="auto">
                    <a:xfrm>
                      <a:off x="0" y="0"/>
                      <a:ext cx="4908553" cy="3776345"/>
                    </a:xfrm>
                    <a:prstGeom prst="rect">
                      <a:avLst/>
                    </a:prstGeom>
                    <a:ln>
                      <a:noFill/>
                    </a:ln>
                    <a:extLst>
                      <a:ext uri="{53640926-AAD7-44D8-BBD7-CCE9431645EC}">
                        <a14:shadowObscured xmlns:a14="http://schemas.microsoft.com/office/drawing/2010/main"/>
                      </a:ext>
                    </a:extLst>
                  </pic:spPr>
                </pic:pic>
              </a:graphicData>
            </a:graphic>
          </wp:inline>
        </w:drawing>
      </w:r>
    </w:p>
    <w:p w14:paraId="6845380A" w14:textId="65A478CE" w:rsidR="00EB70E0" w:rsidRPr="005F4295" w:rsidRDefault="00EB70E0" w:rsidP="00EB70E0">
      <w:pPr>
        <w:pStyle w:val="ImageSource"/>
        <w:rPr>
          <w:szCs w:val="16"/>
        </w:rPr>
      </w:pPr>
      <w:r w:rsidRPr="005F4295">
        <w:rPr>
          <w:rStyle w:val="Italic"/>
        </w:rPr>
        <w:t>Source:</w:t>
      </w:r>
      <w:r w:rsidRPr="005F4295">
        <w:rPr>
          <w:szCs w:val="16"/>
        </w:rPr>
        <w:t xml:space="preserve"> European Commission</w:t>
      </w:r>
      <w:r w:rsidR="009D1857" w:rsidRPr="005F4295">
        <w:rPr>
          <w:noProof/>
          <w:szCs w:val="16"/>
        </w:rPr>
        <w:t>.</w:t>
      </w:r>
      <w:r w:rsidR="000F5318" w:rsidRPr="005F4295">
        <w:rPr>
          <w:rFonts w:ascii="Calibri" w:hAnsi="Calibri" w:cs="Calibri"/>
          <w:szCs w:val="16"/>
        </w:rPr>
        <w:t> </w:t>
      </w:r>
    </w:p>
    <w:p w14:paraId="4283D151" w14:textId="7116F001" w:rsidR="00EB70E0" w:rsidRPr="005F4295" w:rsidRDefault="00EB70E0" w:rsidP="00EB70E0">
      <w:pPr>
        <w:spacing w:before="480"/>
        <w:rPr>
          <w:noProof/>
          <w:highlight w:val="lightGray"/>
        </w:rPr>
      </w:pPr>
      <w:r w:rsidRPr="005F4295">
        <w:rPr>
          <w:noProof/>
        </w:rPr>
        <w:t>The EU trust funds’ annual reports set out</w:t>
      </w:r>
      <w:r w:rsidR="00146E50" w:rsidRPr="005F4295">
        <w:rPr>
          <w:noProof/>
        </w:rPr>
        <w:t>,</w:t>
      </w:r>
      <w:r w:rsidRPr="005F4295">
        <w:rPr>
          <w:noProof/>
        </w:rPr>
        <w:t xml:space="preserve"> in accordance with Article</w:t>
      </w:r>
      <w:r w:rsidRPr="005F4295">
        <w:rPr>
          <w:rFonts w:ascii="Calibri" w:hAnsi="Calibri" w:cs="Calibri"/>
          <w:noProof/>
        </w:rPr>
        <w:t> </w:t>
      </w:r>
      <w:r w:rsidRPr="005F4295">
        <w:rPr>
          <w:noProof/>
        </w:rPr>
        <w:t>258 of the Financial Regulation</w:t>
      </w:r>
      <w:r w:rsidRPr="005F4295">
        <w:rPr>
          <w:rFonts w:ascii="Calibri" w:hAnsi="Calibri" w:cs="Calibri"/>
          <w:sz w:val="22"/>
          <w:szCs w:val="22"/>
        </w:rPr>
        <w:t> </w:t>
      </w:r>
      <w:r w:rsidRPr="005F4295">
        <w:rPr>
          <w:rFonts w:cs="Calibri"/>
          <w:noProof/>
        </w:rPr>
        <w:t>(</w:t>
      </w:r>
      <w:r w:rsidRPr="005F4295">
        <w:rPr>
          <w:rStyle w:val="FootnoteReference"/>
        </w:rPr>
        <w:footnoteReference w:id="42"/>
      </w:r>
      <w:r w:rsidRPr="005F4295">
        <w:rPr>
          <w:rFonts w:cs="Calibri"/>
          <w:noProof/>
        </w:rPr>
        <w:t>)</w:t>
      </w:r>
      <w:r w:rsidR="00263E00" w:rsidRPr="005F4295">
        <w:rPr>
          <w:rFonts w:cs="Calibri"/>
          <w:noProof/>
        </w:rPr>
        <w:t>,</w:t>
      </w:r>
      <w:r w:rsidRPr="005F4295">
        <w:rPr>
          <w:noProof/>
        </w:rPr>
        <w:t xml:space="preserve"> the activities they supported</w:t>
      </w:r>
      <w:r w:rsidR="00146E50" w:rsidRPr="005F4295">
        <w:rPr>
          <w:noProof/>
        </w:rPr>
        <w:t>,</w:t>
      </w:r>
      <w:r w:rsidRPr="005F4295">
        <w:rPr>
          <w:noProof/>
        </w:rPr>
        <w:t xml:space="preserve"> their implementation and performance and their accounts</w:t>
      </w:r>
      <w:r w:rsidR="004A3668" w:rsidRPr="005F4295">
        <w:rPr>
          <w:rFonts w:ascii="Calibri" w:hAnsi="Calibri" w:cs="Calibri"/>
          <w:noProof/>
        </w:rPr>
        <w:t>.</w:t>
      </w:r>
      <w:r w:rsidRPr="005F4295">
        <w:rPr>
          <w:noProof/>
        </w:rPr>
        <w:t xml:space="preserve"> These reports are annexed to the annual activity reports of </w:t>
      </w:r>
      <w:r w:rsidR="00C300EC" w:rsidRPr="005F4295">
        <w:rPr>
          <w:noProof/>
        </w:rPr>
        <w:t>DG Middle East</w:t>
      </w:r>
      <w:r w:rsidR="004068A3" w:rsidRPr="005F4295">
        <w:rPr>
          <w:rFonts w:ascii="Calibri" w:hAnsi="Calibri" w:cs="Calibri"/>
          <w:noProof/>
        </w:rPr>
        <w:t>,</w:t>
      </w:r>
      <w:r w:rsidR="00C300EC" w:rsidRPr="005F4295">
        <w:rPr>
          <w:noProof/>
        </w:rPr>
        <w:t xml:space="preserve"> North Africa and Gulf and DG International Partnerships</w:t>
      </w:r>
      <w:r w:rsidR="004068A3" w:rsidRPr="005F4295">
        <w:rPr>
          <w:noProof/>
        </w:rPr>
        <w:t>.</w:t>
      </w:r>
      <w:r w:rsidR="00C300EC" w:rsidRPr="005F4295" w:rsidDel="004068A3">
        <w:rPr>
          <w:noProof/>
        </w:rPr>
        <w:t xml:space="preserve"> </w:t>
      </w:r>
      <w:r w:rsidRPr="005F4295">
        <w:rPr>
          <w:noProof/>
          <w:highlight w:val="lightGray"/>
        </w:rPr>
        <w:br w:type="page"/>
      </w:r>
    </w:p>
    <w:p w14:paraId="5601E9AA" w14:textId="77777777" w:rsidR="00EB70E0" w:rsidRPr="005F4295" w:rsidRDefault="00EB70E0" w:rsidP="00EB70E0">
      <w:pPr>
        <w:spacing w:before="480"/>
        <w:rPr>
          <w:noProof/>
          <w:sz w:val="2"/>
          <w:szCs w:val="2"/>
          <w:highlight w:val="lightGray"/>
        </w:rPr>
      </w:pPr>
    </w:p>
    <w:tbl>
      <w:tblPr>
        <w:tblStyle w:val="BodyTable2"/>
        <w:tblW w:w="9128" w:type="dxa"/>
        <w:tblLook w:val="04A0" w:firstRow="1" w:lastRow="0" w:firstColumn="1" w:lastColumn="0" w:noHBand="0" w:noVBand="1"/>
      </w:tblPr>
      <w:tblGrid>
        <w:gridCol w:w="1316"/>
        <w:gridCol w:w="4828"/>
        <w:gridCol w:w="2975"/>
        <w:gridCol w:w="9"/>
      </w:tblGrid>
      <w:tr w:rsidR="00EB70E0" w:rsidRPr="005F4295" w14:paraId="329F3143" w14:textId="77777777">
        <w:trPr>
          <w:gridAfter w:val="1"/>
          <w:cnfStyle w:val="100000000000" w:firstRow="1" w:lastRow="0" w:firstColumn="0" w:lastColumn="0" w:oddVBand="0" w:evenVBand="0" w:oddHBand="0" w:evenHBand="0" w:firstRowFirstColumn="0" w:firstRowLastColumn="0" w:lastRowFirstColumn="0" w:lastRowLastColumn="0"/>
          <w:wAfter w:w="9" w:type="dxa"/>
          <w:tblHead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26E0569" w14:textId="77777777" w:rsidR="00EB70E0" w:rsidRPr="005F4295" w:rsidRDefault="00EB70E0">
            <w:pPr>
              <w:rPr>
                <w:noProof/>
              </w:rPr>
            </w:pPr>
            <w:r w:rsidRPr="005F4295">
              <w:rPr>
                <w:noProof/>
              </w:rPr>
              <w:t>Established (year)</w:t>
            </w:r>
          </w:p>
        </w:tc>
        <w:tc>
          <w:tcPr>
            <w:tcW w:w="4677" w:type="dxa"/>
            <w:vAlign w:val="center"/>
          </w:tcPr>
          <w:p w14:paraId="71D26123" w14:textId="77777777" w:rsidR="00EB70E0" w:rsidRPr="005F4295" w:rsidRDefault="00EB70E0">
            <w:pPr>
              <w:cnfStyle w:val="100000000000" w:firstRow="1" w:lastRow="0" w:firstColumn="0" w:lastColumn="0" w:oddVBand="0" w:evenVBand="0" w:oddHBand="0" w:evenHBand="0" w:firstRowFirstColumn="0" w:firstRowLastColumn="0" w:lastRowFirstColumn="0" w:lastRowLastColumn="0"/>
              <w:rPr>
                <w:noProof/>
              </w:rPr>
            </w:pPr>
            <w:r w:rsidRPr="005F4295">
              <w:rPr>
                <w:noProof/>
              </w:rPr>
              <w:t>EU trust fund</w:t>
            </w:r>
          </w:p>
        </w:tc>
        <w:tc>
          <w:tcPr>
            <w:tcW w:w="2882" w:type="dxa"/>
            <w:vAlign w:val="center"/>
          </w:tcPr>
          <w:p w14:paraId="2EE56D4F" w14:textId="77777777" w:rsidR="00EB70E0" w:rsidRPr="005F4295" w:rsidRDefault="00EB70E0">
            <w:pPr>
              <w:cnfStyle w:val="100000000000" w:firstRow="1" w:lastRow="0" w:firstColumn="0" w:lastColumn="0" w:oddVBand="0" w:evenVBand="0" w:oddHBand="0" w:evenHBand="0" w:firstRowFirstColumn="0" w:firstRowLastColumn="0" w:lastRowFirstColumn="0" w:lastRowLastColumn="0"/>
              <w:rPr>
                <w:noProof/>
              </w:rPr>
            </w:pPr>
            <w:r w:rsidRPr="005F4295">
              <w:rPr>
                <w:noProof/>
              </w:rPr>
              <w:t>Annual report annexed to DG’s annual activity report</w:t>
            </w:r>
          </w:p>
        </w:tc>
      </w:tr>
      <w:tr w:rsidR="00EB70E0" w:rsidRPr="005F4295" w14:paraId="0DA54AD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7F7F7F" w:themeColor="text1" w:themeTint="80"/>
              <w:right w:val="single" w:sz="4" w:space="0" w:color="7F7F7F" w:themeColor="text1" w:themeTint="80"/>
            </w:tcBorders>
          </w:tcPr>
          <w:p w14:paraId="2031AEB5" w14:textId="77777777" w:rsidR="00EB70E0" w:rsidRPr="005F4295" w:rsidRDefault="00EB70E0">
            <w:pPr>
              <w:jc w:val="center"/>
              <w:rPr>
                <w:noProof/>
              </w:rPr>
            </w:pPr>
            <w:r w:rsidRPr="005F4295">
              <w:rPr>
                <w:noProof/>
              </w:rPr>
              <w:t>2014</w:t>
            </w:r>
          </w:p>
        </w:tc>
        <w:tc>
          <w:tcPr>
            <w:tcW w:w="4677" w:type="dxa"/>
            <w:tcBorders>
              <w:left w:val="single" w:sz="4" w:space="0" w:color="7F7F7F" w:themeColor="text1" w:themeTint="80"/>
              <w:bottom w:val="single" w:sz="4" w:space="0" w:color="7F7F7F" w:themeColor="text1" w:themeTint="80"/>
              <w:right w:val="single" w:sz="4" w:space="0" w:color="7F7F7F" w:themeColor="text1" w:themeTint="80"/>
            </w:tcBorders>
          </w:tcPr>
          <w:p w14:paraId="2D0827A7" w14:textId="77777777" w:rsidR="00EB70E0" w:rsidRPr="005F4295" w:rsidRDefault="00EB70E0">
            <w:pPr>
              <w:cnfStyle w:val="000000100000" w:firstRow="0" w:lastRow="0" w:firstColumn="0" w:lastColumn="0" w:oddVBand="0" w:evenVBand="0" w:oddHBand="1" w:evenHBand="0" w:firstRowFirstColumn="0" w:firstRowLastColumn="0" w:lastRowFirstColumn="0" w:lastRowLastColumn="0"/>
              <w:rPr>
                <w:noProof/>
              </w:rPr>
            </w:pPr>
            <w:r w:rsidRPr="005F4295">
              <w:rPr>
                <w:rStyle w:val="Bold"/>
                <w:noProof/>
              </w:rPr>
              <w:t>Bêkou Trust Fund</w:t>
            </w:r>
            <w:r w:rsidRPr="005F4295">
              <w:rPr>
                <w:rFonts w:ascii="Calibri" w:hAnsi="Calibri" w:cs="Calibri"/>
                <w:noProof/>
              </w:rPr>
              <w:t> </w:t>
            </w:r>
            <w:r w:rsidRPr="005F4295">
              <w:rPr>
                <w:noProof/>
              </w:rPr>
              <w:t>– EU Trust Fund for the Central African Republic</w:t>
            </w:r>
          </w:p>
        </w:tc>
        <w:tc>
          <w:tcPr>
            <w:tcW w:w="2891" w:type="dxa"/>
            <w:gridSpan w:val="2"/>
            <w:tcBorders>
              <w:left w:val="single" w:sz="4" w:space="0" w:color="7F7F7F" w:themeColor="text1" w:themeTint="80"/>
              <w:bottom w:val="single" w:sz="4" w:space="0" w:color="7F7F7F" w:themeColor="text1" w:themeTint="80"/>
            </w:tcBorders>
          </w:tcPr>
          <w:p w14:paraId="2CE5F99A" w14:textId="77777777" w:rsidR="00EB70E0" w:rsidRPr="005F4295" w:rsidRDefault="00EB70E0">
            <w:pPr>
              <w:cnfStyle w:val="000000100000" w:firstRow="0" w:lastRow="0" w:firstColumn="0" w:lastColumn="0" w:oddVBand="0" w:evenVBand="0" w:oddHBand="1" w:evenHBand="0" w:firstRowFirstColumn="0" w:firstRowLastColumn="0" w:lastRowFirstColumn="0" w:lastRowLastColumn="0"/>
              <w:rPr>
                <w:noProof/>
              </w:rPr>
            </w:pPr>
            <w:r w:rsidRPr="005F4295">
              <w:rPr>
                <w:noProof/>
              </w:rPr>
              <w:t>DG International Partnerships</w:t>
            </w:r>
          </w:p>
        </w:tc>
      </w:tr>
      <w:tr w:rsidR="00EB70E0" w:rsidRPr="005F4295" w14:paraId="1BAB9DB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1933B414" w14:textId="77777777" w:rsidR="00EB70E0" w:rsidRPr="005F4295" w:rsidRDefault="00EB70E0">
            <w:pPr>
              <w:jc w:val="center"/>
              <w:rPr>
                <w:noProof/>
              </w:rPr>
            </w:pPr>
            <w:r w:rsidRPr="005F4295">
              <w:rPr>
                <w:noProof/>
              </w:rPr>
              <w:t>2014</w:t>
            </w:r>
          </w:p>
        </w:tc>
        <w:tc>
          <w:tcPr>
            <w:tcW w:w="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9024AD" w14:textId="77777777" w:rsidR="00EB70E0" w:rsidRPr="005F4295" w:rsidRDefault="00EB70E0">
            <w:pPr>
              <w:cnfStyle w:val="000000010000" w:firstRow="0" w:lastRow="0" w:firstColumn="0" w:lastColumn="0" w:oddVBand="0" w:evenVBand="0" w:oddHBand="0" w:evenHBand="1" w:firstRowFirstColumn="0" w:firstRowLastColumn="0" w:lastRowFirstColumn="0" w:lastRowLastColumn="0"/>
              <w:rPr>
                <w:noProof/>
              </w:rPr>
            </w:pPr>
            <w:r w:rsidRPr="005F4295">
              <w:rPr>
                <w:rStyle w:val="Bold"/>
                <w:noProof/>
              </w:rPr>
              <w:t>EU Regional Trust Fund in Response to the Syrian Crisis</w:t>
            </w:r>
          </w:p>
        </w:tc>
        <w:tc>
          <w:tcPr>
            <w:tcW w:w="0"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07DBF0A5" w14:textId="4C3ACCEE" w:rsidR="00EB70E0" w:rsidRPr="005F4295" w:rsidRDefault="00C300EC">
            <w:pPr>
              <w:cnfStyle w:val="000000010000" w:firstRow="0" w:lastRow="0" w:firstColumn="0" w:lastColumn="0" w:oddVBand="0" w:evenVBand="0" w:oddHBand="0" w:evenHBand="1" w:firstRowFirstColumn="0" w:firstRowLastColumn="0" w:lastRowFirstColumn="0" w:lastRowLastColumn="0"/>
              <w:rPr>
                <w:noProof/>
              </w:rPr>
            </w:pPr>
            <w:r w:rsidRPr="005F4295">
              <w:rPr>
                <w:noProof/>
              </w:rPr>
              <w:t>DG Middle East</w:t>
            </w:r>
            <w:r w:rsidR="00484B1E" w:rsidRPr="005F4295">
              <w:rPr>
                <w:noProof/>
              </w:rPr>
              <w:t>,</w:t>
            </w:r>
            <w:r w:rsidRPr="005F4295">
              <w:rPr>
                <w:noProof/>
              </w:rPr>
              <w:t xml:space="preserve"> North Africa and Gulf</w:t>
            </w:r>
          </w:p>
        </w:tc>
      </w:tr>
      <w:tr w:rsidR="00EB70E0" w:rsidRPr="005F4295" w14:paraId="49293D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bottom w:val="single" w:sz="4" w:space="0" w:color="7F7F7F" w:themeColor="text1" w:themeTint="80"/>
              <w:right w:val="single" w:sz="4" w:space="0" w:color="7F7F7F" w:themeColor="text1" w:themeTint="80"/>
            </w:tcBorders>
          </w:tcPr>
          <w:p w14:paraId="21CE6307" w14:textId="77777777" w:rsidR="00EB70E0" w:rsidRPr="005F4295" w:rsidRDefault="00EB70E0">
            <w:pPr>
              <w:jc w:val="center"/>
              <w:rPr>
                <w:noProof/>
              </w:rPr>
            </w:pPr>
            <w:r w:rsidRPr="005F4295">
              <w:rPr>
                <w:noProof/>
              </w:rPr>
              <w:t>2015</w:t>
            </w:r>
          </w:p>
        </w:tc>
        <w:tc>
          <w:tcPr>
            <w:tcW w:w="467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5B9CC74" w14:textId="452EE9D7" w:rsidR="00EB70E0" w:rsidRPr="005F4295" w:rsidRDefault="00EB70E0">
            <w:pPr>
              <w:cnfStyle w:val="000000100000" w:firstRow="0" w:lastRow="0" w:firstColumn="0" w:lastColumn="0" w:oddVBand="0" w:evenVBand="0" w:oddHBand="1" w:evenHBand="0" w:firstRowFirstColumn="0" w:firstRowLastColumn="0" w:lastRowFirstColumn="0" w:lastRowLastColumn="0"/>
              <w:rPr>
                <w:noProof/>
              </w:rPr>
            </w:pPr>
            <w:r w:rsidRPr="005F4295">
              <w:rPr>
                <w:rStyle w:val="Bold"/>
                <w:noProof/>
              </w:rPr>
              <w:t>Africa Trust Fund</w:t>
            </w:r>
            <w:r w:rsidRPr="005F4295">
              <w:rPr>
                <w:rFonts w:ascii="Calibri" w:hAnsi="Calibri" w:cs="Calibri"/>
                <w:noProof/>
              </w:rPr>
              <w:t> </w:t>
            </w:r>
            <w:r w:rsidRPr="005F4295">
              <w:rPr>
                <w:noProof/>
              </w:rPr>
              <w:t>– European Union Emergency Trust Fund for stability and addressing root causes of irregular migration and displaced persons in Africa</w:t>
            </w:r>
            <w:r w:rsidR="00CD3168" w:rsidRPr="005F4295">
              <w:rPr>
                <w:noProof/>
              </w:rPr>
              <w:t>.</w:t>
            </w:r>
            <w:r w:rsidRPr="005F4295">
              <w:rPr>
                <w:noProof/>
              </w:rPr>
              <w:t xml:space="preserve"> This EU trust fund involves three regions: the Horn of Africa</w:t>
            </w:r>
            <w:r w:rsidR="00CD3168" w:rsidRPr="005F4295">
              <w:rPr>
                <w:noProof/>
              </w:rPr>
              <w:t>,</w:t>
            </w:r>
            <w:r w:rsidRPr="005F4295">
              <w:rPr>
                <w:noProof/>
              </w:rPr>
              <w:t xml:space="preserve"> the Sahel and Lake Chad</w:t>
            </w:r>
            <w:r w:rsidR="004A361A" w:rsidRPr="005F4295">
              <w:rPr>
                <w:rFonts w:ascii="Calibri" w:hAnsi="Calibri" w:cs="Calibri"/>
                <w:noProof/>
              </w:rPr>
              <w:t>,</w:t>
            </w:r>
            <w:r w:rsidRPr="005F4295">
              <w:rPr>
                <w:noProof/>
              </w:rPr>
              <w:t xml:space="preserve"> and the North of Africa (management cross-sub-delegated to DG Neighbourhood and Enlargement Negotiations)</w:t>
            </w:r>
          </w:p>
        </w:tc>
        <w:tc>
          <w:tcPr>
            <w:tcW w:w="289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43E52780" w14:textId="77777777" w:rsidR="00EB70E0" w:rsidRPr="005F4295" w:rsidRDefault="00EB70E0">
            <w:pPr>
              <w:cnfStyle w:val="000000100000" w:firstRow="0" w:lastRow="0" w:firstColumn="0" w:lastColumn="0" w:oddVBand="0" w:evenVBand="0" w:oddHBand="1" w:evenHBand="0" w:firstRowFirstColumn="0" w:firstRowLastColumn="0" w:lastRowFirstColumn="0" w:lastRowLastColumn="0"/>
              <w:rPr>
                <w:noProof/>
              </w:rPr>
            </w:pPr>
            <w:r w:rsidRPr="005F4295">
              <w:rPr>
                <w:noProof/>
              </w:rPr>
              <w:t>DG International Partnerships</w:t>
            </w:r>
          </w:p>
        </w:tc>
      </w:tr>
      <w:tr w:rsidR="00EB70E0" w:rsidRPr="005F4295" w14:paraId="3271A3E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right w:val="single" w:sz="4" w:space="0" w:color="7F7F7F" w:themeColor="text1" w:themeTint="80"/>
            </w:tcBorders>
          </w:tcPr>
          <w:p w14:paraId="4E2A50B0" w14:textId="77777777" w:rsidR="00EB70E0" w:rsidRPr="005F4295" w:rsidRDefault="00EB70E0">
            <w:pPr>
              <w:jc w:val="center"/>
              <w:rPr>
                <w:noProof/>
              </w:rPr>
            </w:pPr>
            <w:r w:rsidRPr="005F4295">
              <w:rPr>
                <w:noProof/>
              </w:rPr>
              <w:t>2016</w:t>
            </w:r>
          </w:p>
        </w:tc>
        <w:tc>
          <w:tcPr>
            <w:tcW w:w="4677" w:type="dxa"/>
            <w:tcBorders>
              <w:top w:val="single" w:sz="4" w:space="0" w:color="7F7F7F" w:themeColor="text1" w:themeTint="80"/>
              <w:left w:val="single" w:sz="4" w:space="0" w:color="7F7F7F" w:themeColor="text1" w:themeTint="80"/>
              <w:right w:val="single" w:sz="4" w:space="0" w:color="7F7F7F" w:themeColor="text1" w:themeTint="80"/>
            </w:tcBorders>
          </w:tcPr>
          <w:p w14:paraId="48665850" w14:textId="77777777" w:rsidR="00EB70E0" w:rsidRPr="005F4295" w:rsidRDefault="00EB70E0">
            <w:pPr>
              <w:cnfStyle w:val="000000010000" w:firstRow="0" w:lastRow="0" w:firstColumn="0" w:lastColumn="0" w:oddVBand="0" w:evenVBand="0" w:oddHBand="0" w:evenHBand="1" w:firstRowFirstColumn="0" w:firstRowLastColumn="0" w:lastRowFirstColumn="0" w:lastRowLastColumn="0"/>
              <w:rPr>
                <w:noProof/>
              </w:rPr>
            </w:pPr>
            <w:r w:rsidRPr="005F4295">
              <w:rPr>
                <w:rStyle w:val="Bold"/>
                <w:noProof/>
              </w:rPr>
              <w:t>Colombia Trust Fund</w:t>
            </w:r>
            <w:r w:rsidRPr="005F4295">
              <w:rPr>
                <w:rFonts w:ascii="Calibri" w:hAnsi="Calibri" w:cs="Calibri"/>
                <w:noProof/>
              </w:rPr>
              <w:t> </w:t>
            </w:r>
            <w:r w:rsidRPr="005F4295">
              <w:rPr>
                <w:noProof/>
              </w:rPr>
              <w:t>– European Union Trust Fund for Colombia</w:t>
            </w:r>
          </w:p>
        </w:tc>
        <w:tc>
          <w:tcPr>
            <w:tcW w:w="2891" w:type="dxa"/>
            <w:gridSpan w:val="2"/>
            <w:tcBorders>
              <w:top w:val="single" w:sz="4" w:space="0" w:color="7F7F7F" w:themeColor="text1" w:themeTint="80"/>
              <w:left w:val="single" w:sz="4" w:space="0" w:color="7F7F7F" w:themeColor="text1" w:themeTint="80"/>
            </w:tcBorders>
          </w:tcPr>
          <w:p w14:paraId="1956CFE1" w14:textId="77777777" w:rsidR="00EB70E0" w:rsidRPr="005F4295" w:rsidRDefault="00EB70E0">
            <w:pPr>
              <w:cnfStyle w:val="000000010000" w:firstRow="0" w:lastRow="0" w:firstColumn="0" w:lastColumn="0" w:oddVBand="0" w:evenVBand="0" w:oddHBand="0" w:evenHBand="1" w:firstRowFirstColumn="0" w:firstRowLastColumn="0" w:lastRowFirstColumn="0" w:lastRowLastColumn="0"/>
              <w:rPr>
                <w:noProof/>
              </w:rPr>
            </w:pPr>
            <w:r w:rsidRPr="005F4295">
              <w:rPr>
                <w:noProof/>
              </w:rPr>
              <w:t>DG International Partnerships</w:t>
            </w:r>
          </w:p>
        </w:tc>
      </w:tr>
    </w:tbl>
    <w:p w14:paraId="4CA9EBD3" w14:textId="5C9F737E" w:rsidR="00EB70E0" w:rsidRPr="005F4295" w:rsidRDefault="00EB70E0" w:rsidP="00EB70E0">
      <w:pPr>
        <w:rPr>
          <w:noProof/>
        </w:rPr>
      </w:pPr>
      <w:r w:rsidRPr="005F4295">
        <w:rPr>
          <w:noProof/>
        </w:rPr>
        <w:t>The constitutive act of the EU trust funds</w:t>
      </w:r>
      <w:r w:rsidR="00C74605" w:rsidRPr="005F4295">
        <w:rPr>
          <w:noProof/>
        </w:rPr>
        <w:t>,</w:t>
      </w:r>
      <w:r w:rsidRPr="005F4295">
        <w:rPr>
          <w:noProof/>
        </w:rPr>
        <w:t xml:space="preserve"> signed by the Commission and </w:t>
      </w:r>
      <w:r w:rsidR="00C74605" w:rsidRPr="005F4295">
        <w:rPr>
          <w:noProof/>
        </w:rPr>
        <w:t xml:space="preserve">the </w:t>
      </w:r>
      <w:r w:rsidRPr="005F4295">
        <w:rPr>
          <w:noProof/>
        </w:rPr>
        <w:t>donors</w:t>
      </w:r>
      <w:r w:rsidR="00C74605" w:rsidRPr="005F4295">
        <w:rPr>
          <w:noProof/>
        </w:rPr>
        <w:t>,</w:t>
      </w:r>
      <w:r w:rsidRPr="005F4295">
        <w:rPr>
          <w:noProof/>
        </w:rPr>
        <w:t xml:space="preserve"> details the main features of each EU trust fund</w:t>
      </w:r>
      <w:r w:rsidR="00CD331F" w:rsidRPr="005F4295">
        <w:rPr>
          <w:noProof/>
        </w:rPr>
        <w:t>,</w:t>
      </w:r>
      <w:r w:rsidRPr="005F4295">
        <w:rPr>
          <w:noProof/>
        </w:rPr>
        <w:t xml:space="preserve"> including its specific objectives</w:t>
      </w:r>
      <w:r w:rsidR="00CD331F" w:rsidRPr="005F4295">
        <w:rPr>
          <w:noProof/>
        </w:rPr>
        <w:t>,</w:t>
      </w:r>
      <w:r w:rsidRPr="005F4295">
        <w:rPr>
          <w:noProof/>
        </w:rPr>
        <w:t xml:space="preserve"> the rules for its composition and the internal rules of its board</w:t>
      </w:r>
      <w:r w:rsidR="00CD331F" w:rsidRPr="005F4295">
        <w:rPr>
          <w:noProof/>
        </w:rPr>
        <w:t>,</w:t>
      </w:r>
      <w:r w:rsidRPr="005F4295">
        <w:rPr>
          <w:noProof/>
        </w:rPr>
        <w:t xml:space="preserve"> and the </w:t>
      </w:r>
      <w:r w:rsidR="00030505" w:rsidRPr="005F4295">
        <w:rPr>
          <w:noProof/>
        </w:rPr>
        <w:t xml:space="preserve">(limited) </w:t>
      </w:r>
      <w:r w:rsidRPr="005F4295">
        <w:rPr>
          <w:noProof/>
        </w:rPr>
        <w:t>duration of the trust fund</w:t>
      </w:r>
      <w:r w:rsidR="00030505" w:rsidRPr="005F4295">
        <w:rPr>
          <w:noProof/>
        </w:rPr>
        <w:t>.</w:t>
      </w:r>
    </w:p>
    <w:p w14:paraId="2DC8D0C0" w14:textId="35A8289A" w:rsidR="00EB70E0" w:rsidRPr="005F4295" w:rsidRDefault="00EB70E0" w:rsidP="00EB70E0">
      <w:pPr>
        <w:rPr>
          <w:noProof/>
        </w:rPr>
      </w:pPr>
      <w:r w:rsidRPr="005F4295">
        <w:rPr>
          <w:noProof/>
        </w:rPr>
        <w:t>The EU trust funds were set up for an initial 60</w:t>
      </w:r>
      <w:r w:rsidRPr="005F4295">
        <w:rPr>
          <w:rFonts w:ascii="Calibri" w:hAnsi="Calibri" w:cs="Calibri"/>
          <w:noProof/>
        </w:rPr>
        <w:t> </w:t>
      </w:r>
      <w:r w:rsidRPr="005F4295">
        <w:rPr>
          <w:noProof/>
        </w:rPr>
        <w:t>months (five</w:t>
      </w:r>
      <w:r w:rsidRPr="005F4295">
        <w:rPr>
          <w:rFonts w:ascii="Calibri" w:hAnsi="Calibri" w:cs="Calibri"/>
          <w:noProof/>
        </w:rPr>
        <w:t xml:space="preserve"> </w:t>
      </w:r>
      <w:r w:rsidRPr="005F4295">
        <w:rPr>
          <w:noProof/>
        </w:rPr>
        <w:t>years)</w:t>
      </w:r>
      <w:r w:rsidR="00061D0A" w:rsidRPr="005F4295">
        <w:rPr>
          <w:rFonts w:ascii="Calibri" w:hAnsi="Calibri" w:cs="Calibri"/>
          <w:noProof/>
        </w:rPr>
        <w:t>,</w:t>
      </w:r>
      <w:r w:rsidRPr="005F4295">
        <w:rPr>
          <w:noProof/>
        </w:rPr>
        <w:t xml:space="preserve"> apart from the Colombia Trust Fund which was set up for four</w:t>
      </w:r>
      <w:r w:rsidR="004A361A" w:rsidRPr="005F4295">
        <w:rPr>
          <w:noProof/>
        </w:rPr>
        <w:t xml:space="preserve"> </w:t>
      </w:r>
      <w:r w:rsidRPr="005F4295">
        <w:rPr>
          <w:noProof/>
        </w:rPr>
        <w:t>years</w:t>
      </w:r>
      <w:r w:rsidR="00252E35" w:rsidRPr="005F4295">
        <w:rPr>
          <w:rFonts w:ascii="Calibri" w:hAnsi="Calibri" w:cs="Calibri"/>
          <w:noProof/>
        </w:rPr>
        <w:t>.</w:t>
      </w:r>
      <w:r w:rsidRPr="005F4295">
        <w:rPr>
          <w:noProof/>
        </w:rPr>
        <w:t xml:space="preserve"> Before their end date</w:t>
      </w:r>
      <w:r w:rsidR="00C35954" w:rsidRPr="005F4295">
        <w:rPr>
          <w:noProof/>
        </w:rPr>
        <w:t>,</w:t>
      </w:r>
      <w:r w:rsidRPr="005F4295" w:rsidDel="002B1A4A">
        <w:rPr>
          <w:noProof/>
        </w:rPr>
        <w:t xml:space="preserve"> </w:t>
      </w:r>
      <w:r w:rsidRPr="005F4295">
        <w:rPr>
          <w:noProof/>
        </w:rPr>
        <w:t>they were all subject to a one-year extension that was adopted after consultation with the European Parliament and the European Council</w:t>
      </w:r>
      <w:r w:rsidR="008E5421" w:rsidRPr="005F4295">
        <w:rPr>
          <w:noProof/>
        </w:rPr>
        <w:t>.</w:t>
      </w:r>
      <w:r w:rsidRPr="005F4295">
        <w:rPr>
          <w:noProof/>
        </w:rPr>
        <w:t xml:space="preserve"> This one-year extension allowed the EU trust funds to adapt their activities in order to address the challenges relating to COVID-19 in the countries within their scope</w:t>
      </w:r>
      <w:r w:rsidR="008E5421" w:rsidRPr="005F4295">
        <w:rPr>
          <w:noProof/>
        </w:rPr>
        <w:t>.</w:t>
      </w:r>
      <w:r w:rsidRPr="005F4295">
        <w:rPr>
          <w:noProof/>
        </w:rPr>
        <w:t xml:space="preserve"> This also gave the EU trust funds the necessary time to adapt the ongoing initiatives to the new challenges and to finalise their contracting by the end of 2021</w:t>
      </w:r>
      <w:r w:rsidR="008E5421" w:rsidRPr="005F4295">
        <w:rPr>
          <w:noProof/>
        </w:rPr>
        <w:t>.</w:t>
      </w:r>
      <w:r w:rsidRPr="005F4295">
        <w:rPr>
          <w:noProof/>
        </w:rPr>
        <w:t xml:space="preserve"> The implementation of the existing projects will</w:t>
      </w:r>
      <w:r w:rsidR="008E5421" w:rsidRPr="005F4295">
        <w:rPr>
          <w:noProof/>
        </w:rPr>
        <w:t>,</w:t>
      </w:r>
      <w:r w:rsidRPr="005F4295">
        <w:rPr>
          <w:noProof/>
        </w:rPr>
        <w:t xml:space="preserve"> however</w:t>
      </w:r>
      <w:r w:rsidR="008E5421" w:rsidRPr="005F4295">
        <w:rPr>
          <w:rFonts w:ascii="Calibri" w:hAnsi="Calibri" w:cs="Calibri"/>
          <w:noProof/>
        </w:rPr>
        <w:t>,</w:t>
      </w:r>
      <w:r w:rsidRPr="005F4295">
        <w:rPr>
          <w:noProof/>
        </w:rPr>
        <w:t xml:space="preserve"> continue until 2025</w:t>
      </w:r>
      <w:r w:rsidR="008E5421" w:rsidRPr="005F4295">
        <w:rPr>
          <w:noProof/>
        </w:rPr>
        <w:t>.</w:t>
      </w:r>
    </w:p>
    <w:p w14:paraId="0BFD1A17" w14:textId="681B528A" w:rsidR="00EB70E0" w:rsidRPr="005F4295" w:rsidRDefault="00EB70E0" w:rsidP="00EB70E0">
      <w:pPr>
        <w:pStyle w:val="HeadingMan-NumT-AnnexesL2-11"/>
        <w:rPr>
          <w:rFonts w:ascii="EC Square Sans Pro" w:hAnsi="EC Square Sans Pro"/>
          <w:noProof/>
        </w:rPr>
      </w:pPr>
      <w:bookmarkStart w:id="116" w:name="_Toc229386289"/>
      <w:r w:rsidRPr="005F4295">
        <w:rPr>
          <w:rFonts w:ascii="EC Square Sans Pro" w:hAnsi="EC Square Sans Pro"/>
          <w:noProof/>
        </w:rPr>
        <w:t>11</w:t>
      </w:r>
      <w:r w:rsidR="006E6813" w:rsidRPr="005F4295">
        <w:rPr>
          <w:rFonts w:ascii="Calibri" w:hAnsi="Calibri" w:cs="Calibri"/>
          <w:noProof/>
        </w:rPr>
        <w:t>.</w:t>
      </w:r>
      <w:r w:rsidRPr="005F4295">
        <w:rPr>
          <w:rFonts w:ascii="EC Square Sans Pro" w:hAnsi="EC Square Sans Pro"/>
          <w:noProof/>
        </w:rPr>
        <w:t>1</w:t>
      </w:r>
      <w:r w:rsidR="00284062" w:rsidRPr="005F4295">
        <w:rPr>
          <w:rFonts w:ascii="Calibri" w:hAnsi="Calibri" w:cs="Calibri"/>
          <w:noProof/>
        </w:rPr>
        <w:t>.</w:t>
      </w:r>
      <w:r w:rsidRPr="005F4295">
        <w:rPr>
          <w:rFonts w:ascii="EC Square Sans Pro" w:hAnsi="EC Square Sans Pro"/>
          <w:noProof/>
        </w:rPr>
        <w:tab/>
        <w:t>The Bêkou Trust Fund</w:t>
      </w:r>
      <w:bookmarkEnd w:id="116"/>
    </w:p>
    <w:p w14:paraId="22A31339" w14:textId="514D3057" w:rsidR="00FC1A5C" w:rsidRPr="005F4295" w:rsidRDefault="00FC1A5C" w:rsidP="00FC1A5C">
      <w:r w:rsidRPr="005F4295">
        <w:t>The total contributions from external donors</w:t>
      </w:r>
      <w:r w:rsidR="003434BF" w:rsidRPr="005F4295">
        <w:t>,</w:t>
      </w:r>
      <w:r w:rsidRPr="005F4295">
        <w:t xml:space="preserve"> the European Development Fund and the EU budget reached over EUR</w:t>
      </w:r>
      <w:r w:rsidR="000E2225" w:rsidRPr="005F4295">
        <w:rPr>
          <w:rFonts w:ascii="Calibri" w:hAnsi="Calibri" w:cs="Calibri"/>
        </w:rPr>
        <w:t> </w:t>
      </w:r>
      <w:r w:rsidRPr="005F4295">
        <w:t>310</w:t>
      </w:r>
      <w:r w:rsidR="000E2225" w:rsidRPr="005F4295">
        <w:rPr>
          <w:rFonts w:ascii="Calibri" w:hAnsi="Calibri" w:cs="Calibri"/>
        </w:rPr>
        <w:t> </w:t>
      </w:r>
      <w:r w:rsidRPr="005F4295">
        <w:t>million</w:t>
      </w:r>
      <w:r w:rsidR="003434BF" w:rsidRPr="005F4295">
        <w:t>.</w:t>
      </w:r>
      <w:r w:rsidRPr="005F4295">
        <w:t xml:space="preserve"> France</w:t>
      </w:r>
      <w:r w:rsidR="003434BF" w:rsidRPr="005F4295">
        <w:t>,</w:t>
      </w:r>
      <w:r w:rsidRPr="005F4295">
        <w:t xml:space="preserve"> Germany</w:t>
      </w:r>
      <w:r w:rsidR="003434BF" w:rsidRPr="005F4295">
        <w:t>,</w:t>
      </w:r>
      <w:r w:rsidRPr="005F4295">
        <w:t xml:space="preserve"> Italy</w:t>
      </w:r>
      <w:r w:rsidR="003434BF" w:rsidRPr="005F4295">
        <w:t>,</w:t>
      </w:r>
      <w:r w:rsidRPr="005F4295">
        <w:t xml:space="preserve"> the Netherlands and Switzerland have contributed to this EU trust fund</w:t>
      </w:r>
      <w:r w:rsidR="00705ABB" w:rsidRPr="005F4295">
        <w:t>.</w:t>
      </w:r>
      <w:r w:rsidRPr="005F4295">
        <w:t xml:space="preserve"> By 31</w:t>
      </w:r>
      <w:r w:rsidR="007C4C1B" w:rsidRPr="005F4295">
        <w:rPr>
          <w:rFonts w:ascii="Calibri" w:hAnsi="Calibri" w:cs="Calibri"/>
        </w:rPr>
        <w:t> </w:t>
      </w:r>
      <w:r w:rsidRPr="005F4295">
        <w:t>December 2025</w:t>
      </w:r>
      <w:r w:rsidR="00705ABB" w:rsidRPr="005F4295">
        <w:t>,</w:t>
      </w:r>
      <w:r w:rsidRPr="005F4295">
        <w:t xml:space="preserve"> the Bêkou Trust Fund had funded actions for a total value of EUR</w:t>
      </w:r>
      <w:r w:rsidR="00CA2C41" w:rsidRPr="005F4295">
        <w:rPr>
          <w:rFonts w:ascii="Calibri" w:hAnsi="Calibri" w:cs="Calibri"/>
        </w:rPr>
        <w:t> </w:t>
      </w:r>
      <w:r w:rsidRPr="005F4295">
        <w:t>308</w:t>
      </w:r>
      <w:r w:rsidR="00CA2C41" w:rsidRPr="005F4295">
        <w:rPr>
          <w:rFonts w:ascii="Calibri" w:hAnsi="Calibri" w:cs="Calibri"/>
        </w:rPr>
        <w:t> </w:t>
      </w:r>
      <w:r w:rsidRPr="005F4295">
        <w:t>million in commitments and contracted EUR</w:t>
      </w:r>
      <w:r w:rsidR="00CA2C41" w:rsidRPr="005F4295">
        <w:rPr>
          <w:rFonts w:ascii="Calibri" w:hAnsi="Calibri" w:cs="Calibri"/>
        </w:rPr>
        <w:t> </w:t>
      </w:r>
      <w:r w:rsidRPr="005F4295">
        <w:t>306</w:t>
      </w:r>
      <w:r w:rsidR="00CA2C41" w:rsidRPr="005F4295">
        <w:rPr>
          <w:rFonts w:ascii="Calibri" w:hAnsi="Calibri" w:cs="Calibri"/>
        </w:rPr>
        <w:t> </w:t>
      </w:r>
      <w:r w:rsidRPr="005F4295">
        <w:t>million in total</w:t>
      </w:r>
      <w:r w:rsidR="00274AD4" w:rsidRPr="005F4295">
        <w:t>,</w:t>
      </w:r>
      <w:r w:rsidRPr="005F4295">
        <w:t xml:space="preserve"> corresponding to an implementation rate of 99%</w:t>
      </w:r>
      <w:r w:rsidR="00274AD4" w:rsidRPr="005F4295">
        <w:t>.</w:t>
      </w:r>
    </w:p>
    <w:p w14:paraId="7F79AECF" w14:textId="70E70C5C" w:rsidR="00EB70E0" w:rsidRPr="005F4295" w:rsidRDefault="00FC1A5C" w:rsidP="00FC1A5C">
      <w:pPr>
        <w:rPr>
          <w:highlight w:val="lightGray"/>
        </w:rPr>
      </w:pPr>
      <w:r w:rsidRPr="005F4295">
        <w:t>The priority sectors that the trust fund has supported include basic services</w:t>
      </w:r>
      <w:r w:rsidR="001D3900" w:rsidRPr="005F4295">
        <w:t>,</w:t>
      </w:r>
      <w:r w:rsidRPr="005F4295">
        <w:t xml:space="preserve"> notably in health</w:t>
      </w:r>
      <w:r w:rsidR="001D3900" w:rsidRPr="005F4295">
        <w:t>,</w:t>
      </w:r>
      <w:r w:rsidRPr="005F4295">
        <w:t xml:space="preserve"> agriculture development</w:t>
      </w:r>
      <w:r w:rsidR="001D3900" w:rsidRPr="005F4295">
        <w:t>,</w:t>
      </w:r>
      <w:r w:rsidRPr="005F4295">
        <w:t xml:space="preserve"> restoration of national and local administrations</w:t>
      </w:r>
      <w:r w:rsidR="00BD7D05" w:rsidRPr="005F4295">
        <w:t>,</w:t>
      </w:r>
      <w:r w:rsidRPr="005F4295">
        <w:t xml:space="preserve"> economic recovery and reconciliation within the Central African Republic’s society</w:t>
      </w:r>
      <w:r w:rsidR="00BD7D05" w:rsidRPr="005F4295">
        <w:t>.</w:t>
      </w:r>
      <w:r w:rsidR="00EB70E0" w:rsidRPr="005F4295">
        <w:rPr>
          <w:highlight w:val="lightGray"/>
        </w:rPr>
        <w:br w:type="page"/>
      </w:r>
    </w:p>
    <w:p w14:paraId="7A34375A" w14:textId="166291D8" w:rsidR="00EB70E0" w:rsidRPr="005F4295" w:rsidRDefault="00EB70E0" w:rsidP="00EB70E0">
      <w:pPr>
        <w:pStyle w:val="HeadingMan-NumT-AnnexesL2-11"/>
        <w:rPr>
          <w:rFonts w:ascii="EC Square Sans Pro" w:hAnsi="EC Square Sans Pro"/>
          <w:noProof/>
        </w:rPr>
      </w:pPr>
      <w:bookmarkStart w:id="117" w:name="_Toc229386290"/>
      <w:r w:rsidRPr="005F4295">
        <w:rPr>
          <w:rFonts w:ascii="EC Square Sans Pro" w:hAnsi="EC Square Sans Pro"/>
          <w:noProof/>
        </w:rPr>
        <w:t>11</w:t>
      </w:r>
      <w:r w:rsidR="004F64F5" w:rsidRPr="005F4295">
        <w:rPr>
          <w:rFonts w:ascii="Calibri" w:hAnsi="Calibri" w:cs="Calibri"/>
          <w:noProof/>
        </w:rPr>
        <w:t>.</w:t>
      </w:r>
      <w:r w:rsidRPr="005F4295">
        <w:rPr>
          <w:rFonts w:ascii="EC Square Sans Pro" w:hAnsi="EC Square Sans Pro"/>
          <w:noProof/>
        </w:rPr>
        <w:t>2</w:t>
      </w:r>
      <w:r w:rsidR="004F64F5" w:rsidRPr="005F4295">
        <w:rPr>
          <w:rFonts w:ascii="Calibri" w:hAnsi="Calibri" w:cs="Calibri"/>
          <w:noProof/>
        </w:rPr>
        <w:t>.</w:t>
      </w:r>
      <w:r w:rsidRPr="005F4295">
        <w:rPr>
          <w:rFonts w:ascii="EC Square Sans Pro" w:hAnsi="EC Square Sans Pro"/>
          <w:noProof/>
        </w:rPr>
        <w:tab/>
        <w:t>The EU Regional Trust Fund in Response to the Syrian Crisis</w:t>
      </w:r>
      <w:bookmarkEnd w:id="117"/>
      <w:r w:rsidRPr="005F4295">
        <w:rPr>
          <w:rFonts w:ascii="EC Square Sans Pro" w:hAnsi="EC Square Sans Pro"/>
          <w:noProof/>
        </w:rPr>
        <w:t xml:space="preserve"> </w:t>
      </w:r>
    </w:p>
    <w:p w14:paraId="5CDC05AD" w14:textId="462007AE" w:rsidR="0072728F" w:rsidRPr="005F4295" w:rsidRDefault="0072728F" w:rsidP="00EB70E0">
      <w:pPr>
        <w:rPr>
          <w:noProof/>
        </w:rPr>
      </w:pPr>
      <w:r w:rsidRPr="005F4295">
        <w:rPr>
          <w:noProof/>
        </w:rPr>
        <w:t>By the end of 2025</w:t>
      </w:r>
      <w:r w:rsidR="00BD7D05" w:rsidRPr="005F4295">
        <w:rPr>
          <w:noProof/>
        </w:rPr>
        <w:t>,</w:t>
      </w:r>
      <w:r w:rsidRPr="005F4295">
        <w:rPr>
          <w:noProof/>
        </w:rPr>
        <w:t xml:space="preserve"> the contributions from the EU budget amounted to more than EUR</w:t>
      </w:r>
      <w:r w:rsidR="006D37FA" w:rsidRPr="005F4295">
        <w:rPr>
          <w:rFonts w:ascii="Calibri" w:hAnsi="Calibri" w:cs="Calibri"/>
          <w:noProof/>
        </w:rPr>
        <w:t> </w:t>
      </w:r>
      <w:r w:rsidRPr="005F4295">
        <w:rPr>
          <w:noProof/>
        </w:rPr>
        <w:t>2</w:t>
      </w:r>
      <w:r w:rsidR="006D37FA" w:rsidRPr="005F4295">
        <w:rPr>
          <w:noProof/>
        </w:rPr>
        <w:t>.</w:t>
      </w:r>
      <w:r w:rsidRPr="005F4295">
        <w:rPr>
          <w:noProof/>
        </w:rPr>
        <w:t>1</w:t>
      </w:r>
      <w:r w:rsidR="00CA2C41" w:rsidRPr="005F4295">
        <w:rPr>
          <w:rFonts w:ascii="Calibri" w:hAnsi="Calibri" w:cs="Calibri"/>
          <w:noProof/>
        </w:rPr>
        <w:t> </w:t>
      </w:r>
      <w:r w:rsidRPr="005F4295">
        <w:rPr>
          <w:noProof/>
        </w:rPr>
        <w:t>billion</w:t>
      </w:r>
      <w:r w:rsidR="006D37FA" w:rsidRPr="005F4295">
        <w:rPr>
          <w:noProof/>
        </w:rPr>
        <w:t>,</w:t>
      </w:r>
      <w:r w:rsidRPr="005F4295">
        <w:rPr>
          <w:noProof/>
        </w:rPr>
        <w:t xml:space="preserve"> while the contributions received from Member States and other donors amounted to EUR</w:t>
      </w:r>
      <w:r w:rsidR="00CA2C41" w:rsidRPr="005F4295">
        <w:rPr>
          <w:rFonts w:ascii="Calibri" w:hAnsi="Calibri" w:cs="Calibri"/>
          <w:noProof/>
        </w:rPr>
        <w:t> </w:t>
      </w:r>
      <w:r w:rsidRPr="005F4295">
        <w:rPr>
          <w:noProof/>
        </w:rPr>
        <w:t>262</w:t>
      </w:r>
      <w:r w:rsidR="00CA2C41" w:rsidRPr="005F4295">
        <w:rPr>
          <w:rFonts w:ascii="Calibri" w:hAnsi="Calibri" w:cs="Calibri"/>
          <w:noProof/>
        </w:rPr>
        <w:t> </w:t>
      </w:r>
      <w:r w:rsidRPr="005F4295">
        <w:rPr>
          <w:noProof/>
        </w:rPr>
        <w:t>million</w:t>
      </w:r>
      <w:r w:rsidR="005909FA" w:rsidRPr="005F4295">
        <w:rPr>
          <w:noProof/>
        </w:rPr>
        <w:t>,</w:t>
      </w:r>
      <w:r w:rsidRPr="005F4295">
        <w:rPr>
          <w:noProof/>
        </w:rPr>
        <w:t xml:space="preserve"> including EUR</w:t>
      </w:r>
      <w:r w:rsidR="005909FA" w:rsidRPr="005F4295">
        <w:rPr>
          <w:rFonts w:ascii="Calibri" w:hAnsi="Calibri" w:cs="Calibri"/>
          <w:noProof/>
        </w:rPr>
        <w:t> </w:t>
      </w:r>
      <w:r w:rsidRPr="005F4295">
        <w:rPr>
          <w:noProof/>
        </w:rPr>
        <w:t>24</w:t>
      </w:r>
      <w:r w:rsidR="005909FA" w:rsidRPr="005F4295">
        <w:rPr>
          <w:rFonts w:ascii="Calibri" w:hAnsi="Calibri" w:cs="Calibri"/>
          <w:noProof/>
        </w:rPr>
        <w:t>.</w:t>
      </w:r>
      <w:r w:rsidRPr="005F4295">
        <w:rPr>
          <w:noProof/>
        </w:rPr>
        <w:t>7</w:t>
      </w:r>
      <w:r w:rsidR="00CA2C41" w:rsidRPr="005F4295">
        <w:rPr>
          <w:rFonts w:ascii="Calibri" w:hAnsi="Calibri" w:cs="Calibri"/>
          <w:noProof/>
        </w:rPr>
        <w:t> </w:t>
      </w:r>
      <w:r w:rsidRPr="005F4295">
        <w:rPr>
          <w:noProof/>
        </w:rPr>
        <w:t>million from Türkiye</w:t>
      </w:r>
      <w:r w:rsidR="005909FA" w:rsidRPr="005F4295">
        <w:rPr>
          <w:rFonts w:ascii="Calibri" w:hAnsi="Calibri" w:cs="Calibri"/>
          <w:noProof/>
        </w:rPr>
        <w:t>.</w:t>
      </w:r>
      <w:r w:rsidRPr="005F4295">
        <w:rPr>
          <w:noProof/>
        </w:rPr>
        <w:t xml:space="preserve"> By 31</w:t>
      </w:r>
      <w:r w:rsidR="00CA2C41" w:rsidRPr="005F4295">
        <w:rPr>
          <w:rFonts w:ascii="Calibri" w:hAnsi="Calibri" w:cs="Calibri"/>
          <w:noProof/>
        </w:rPr>
        <w:t> </w:t>
      </w:r>
      <w:r w:rsidRPr="005F4295">
        <w:rPr>
          <w:noProof/>
        </w:rPr>
        <w:t>December 2025</w:t>
      </w:r>
      <w:r w:rsidR="005909FA" w:rsidRPr="005F4295">
        <w:rPr>
          <w:rFonts w:ascii="Calibri" w:hAnsi="Calibri" w:cs="Calibri"/>
          <w:noProof/>
        </w:rPr>
        <w:t>,</w:t>
      </w:r>
      <w:r w:rsidRPr="005F4295">
        <w:rPr>
          <w:noProof/>
        </w:rPr>
        <w:t xml:space="preserve"> the following donors had contributed to the trust fund: the EU budget</w:t>
      </w:r>
      <w:r w:rsidR="00AE20D7" w:rsidRPr="005F4295">
        <w:rPr>
          <w:rFonts w:ascii="Calibri" w:hAnsi="Calibri" w:cs="Calibri"/>
          <w:noProof/>
        </w:rPr>
        <w:t>,</w:t>
      </w:r>
      <w:r w:rsidRPr="005F4295">
        <w:rPr>
          <w:noProof/>
        </w:rPr>
        <w:t xml:space="preserve"> 22 Member States and Türkiye</w:t>
      </w:r>
      <w:r w:rsidR="00AE20D7" w:rsidRPr="005F4295">
        <w:rPr>
          <w:noProof/>
        </w:rPr>
        <w:t xml:space="preserve">, </w:t>
      </w:r>
      <w:r w:rsidRPr="005F4295">
        <w:rPr>
          <w:noProof/>
        </w:rPr>
        <w:t>with total contributions available reaching more than EUR</w:t>
      </w:r>
      <w:r w:rsidR="00C27930" w:rsidRPr="005F4295">
        <w:rPr>
          <w:rFonts w:ascii="Calibri" w:hAnsi="Calibri" w:cs="Calibri"/>
          <w:noProof/>
        </w:rPr>
        <w:t> </w:t>
      </w:r>
      <w:r w:rsidRPr="005F4295">
        <w:rPr>
          <w:noProof/>
        </w:rPr>
        <w:t>2</w:t>
      </w:r>
      <w:r w:rsidR="00C27930" w:rsidRPr="005F4295">
        <w:rPr>
          <w:rFonts w:ascii="Calibri" w:hAnsi="Calibri" w:cs="Calibri"/>
          <w:noProof/>
        </w:rPr>
        <w:t>.</w:t>
      </w:r>
      <w:r w:rsidRPr="005F4295">
        <w:rPr>
          <w:noProof/>
        </w:rPr>
        <w:t>3</w:t>
      </w:r>
      <w:r w:rsidR="00453F02" w:rsidRPr="005F4295">
        <w:rPr>
          <w:rFonts w:ascii="Calibri" w:hAnsi="Calibri" w:cs="Calibri"/>
          <w:noProof/>
        </w:rPr>
        <w:t> </w:t>
      </w:r>
      <w:r w:rsidRPr="005F4295">
        <w:rPr>
          <w:noProof/>
        </w:rPr>
        <w:t>billion</w:t>
      </w:r>
      <w:r w:rsidR="00C27930" w:rsidRPr="005F4295">
        <w:rPr>
          <w:rFonts w:ascii="Calibri" w:hAnsi="Calibri" w:cs="Calibri"/>
          <w:noProof/>
        </w:rPr>
        <w:t>.</w:t>
      </w:r>
    </w:p>
    <w:p w14:paraId="6AB3C598" w14:textId="460A50DB" w:rsidR="00EB70E0" w:rsidRPr="005F4295" w:rsidRDefault="00EB70E0" w:rsidP="00EB70E0">
      <w:pPr>
        <w:rPr>
          <w:noProof/>
        </w:rPr>
      </w:pPr>
      <w:r w:rsidRPr="005F4295">
        <w:rPr>
          <w:noProof/>
        </w:rPr>
        <w:t>Projects mainly focus on education</w:t>
      </w:r>
      <w:r w:rsidR="00C27930" w:rsidRPr="005F4295">
        <w:rPr>
          <w:noProof/>
        </w:rPr>
        <w:t>,</w:t>
      </w:r>
      <w:r w:rsidRPr="005F4295">
        <w:rPr>
          <w:noProof/>
        </w:rPr>
        <w:t xml:space="preserve"> livelihoods and health</w:t>
      </w:r>
      <w:r w:rsidR="00C27930" w:rsidRPr="005F4295">
        <w:rPr>
          <w:noProof/>
        </w:rPr>
        <w:t>,</w:t>
      </w:r>
      <w:r w:rsidRPr="005F4295">
        <w:rPr>
          <w:noProof/>
        </w:rPr>
        <w:t xml:space="preserve"> for which more than </w:t>
      </w:r>
      <w:r w:rsidRPr="005F4295">
        <w:t>EUR</w:t>
      </w:r>
      <w:r w:rsidR="00C27930" w:rsidRPr="005F4295">
        <w:rPr>
          <w:rFonts w:ascii="Calibri" w:hAnsi="Calibri" w:cs="Calibri"/>
        </w:rPr>
        <w:t> </w:t>
      </w:r>
      <w:r w:rsidRPr="005F4295">
        <w:t>2</w:t>
      </w:r>
      <w:r w:rsidR="00C27930" w:rsidRPr="005F4295">
        <w:t>.</w:t>
      </w:r>
      <w:r w:rsidRPr="005F4295">
        <w:t>3</w:t>
      </w:r>
      <w:r w:rsidRPr="005F4295">
        <w:rPr>
          <w:rFonts w:ascii="Calibri" w:hAnsi="Calibri" w:cs="Calibri"/>
        </w:rPr>
        <w:t> </w:t>
      </w:r>
      <w:r w:rsidRPr="005F4295">
        <w:t xml:space="preserve">billion </w:t>
      </w:r>
      <w:r w:rsidRPr="005F4295">
        <w:rPr>
          <w:noProof/>
        </w:rPr>
        <w:t>has been contracted to the trust fund’s implementing partners on the ground</w:t>
      </w:r>
      <w:r w:rsidR="0036482C" w:rsidRPr="005F4295">
        <w:rPr>
          <w:rFonts w:ascii="Calibri" w:hAnsi="Calibri" w:cs="Calibri"/>
          <w:noProof/>
        </w:rPr>
        <w:t>.</w:t>
      </w:r>
      <w:r w:rsidRPr="005F4295">
        <w:rPr>
          <w:noProof/>
        </w:rPr>
        <w:t xml:space="preserve"> The benefiting region is the Middle East</w:t>
      </w:r>
      <w:r w:rsidR="0036482C" w:rsidRPr="005F4295">
        <w:rPr>
          <w:noProof/>
        </w:rPr>
        <w:t>,</w:t>
      </w:r>
      <w:r w:rsidRPr="005F4295">
        <w:rPr>
          <w:noProof/>
        </w:rPr>
        <w:t xml:space="preserve"> mainly Iraq</w:t>
      </w:r>
      <w:r w:rsidR="0036482C" w:rsidRPr="005F4295">
        <w:rPr>
          <w:noProof/>
        </w:rPr>
        <w:t>,</w:t>
      </w:r>
      <w:r w:rsidRPr="005F4295">
        <w:rPr>
          <w:noProof/>
        </w:rPr>
        <w:t xml:space="preserve"> Jordan</w:t>
      </w:r>
      <w:r w:rsidR="0036482C" w:rsidRPr="005F4295">
        <w:rPr>
          <w:noProof/>
        </w:rPr>
        <w:t>,</w:t>
      </w:r>
      <w:r w:rsidRPr="005F4295">
        <w:rPr>
          <w:noProof/>
        </w:rPr>
        <w:t xml:space="preserve"> Lebanon and Türkiye</w:t>
      </w:r>
      <w:r w:rsidR="0036482C" w:rsidRPr="005F4295">
        <w:rPr>
          <w:rFonts w:ascii="Calibri" w:hAnsi="Calibri" w:cs="Calibri"/>
          <w:noProof/>
        </w:rPr>
        <w:t>.</w:t>
      </w:r>
    </w:p>
    <w:p w14:paraId="0DB03B6D" w14:textId="01A4E2B4" w:rsidR="00EB70E0" w:rsidRPr="005F4295" w:rsidRDefault="00EB70E0" w:rsidP="00EB70E0">
      <w:pPr>
        <w:rPr>
          <w:noProof/>
        </w:rPr>
      </w:pPr>
      <w:r w:rsidRPr="005F4295">
        <w:rPr>
          <w:noProof/>
        </w:rPr>
        <w:t>These programmes support refugees and host communities with their needs for basic education and child protection</w:t>
      </w:r>
      <w:r w:rsidR="00577215" w:rsidRPr="005F4295">
        <w:rPr>
          <w:noProof/>
        </w:rPr>
        <w:t>,</w:t>
      </w:r>
      <w:r w:rsidRPr="005F4295">
        <w:rPr>
          <w:noProof/>
        </w:rPr>
        <w:t xml:space="preserve"> training and higher education</w:t>
      </w:r>
      <w:r w:rsidR="00577215" w:rsidRPr="005F4295">
        <w:rPr>
          <w:rFonts w:ascii="Calibri" w:hAnsi="Calibri" w:cs="Calibri"/>
          <w:noProof/>
        </w:rPr>
        <w:t>,</w:t>
      </w:r>
      <w:r w:rsidRPr="005F4295">
        <w:rPr>
          <w:noProof/>
        </w:rPr>
        <w:t xml:space="preserve"> better access to healthcare and improved water and wastewater infrastructure</w:t>
      </w:r>
      <w:r w:rsidR="00453F02" w:rsidRPr="005F4295">
        <w:rPr>
          <w:noProof/>
        </w:rPr>
        <w:t>,</w:t>
      </w:r>
      <w:r w:rsidRPr="005F4295">
        <w:rPr>
          <w:noProof/>
        </w:rPr>
        <w:t xml:space="preserve"> along with support for projects promoting resilience</w:t>
      </w:r>
      <w:r w:rsidR="00237988" w:rsidRPr="005F4295">
        <w:rPr>
          <w:noProof/>
        </w:rPr>
        <w:t>,</w:t>
      </w:r>
      <w:r w:rsidRPr="005F4295">
        <w:rPr>
          <w:noProof/>
        </w:rPr>
        <w:t xml:space="preserve"> economic opportunities and social inclusion</w:t>
      </w:r>
      <w:r w:rsidR="00237988" w:rsidRPr="005F4295">
        <w:rPr>
          <w:rFonts w:ascii="Calibri" w:hAnsi="Calibri" w:cs="Calibri"/>
          <w:noProof/>
        </w:rPr>
        <w:t>.</w:t>
      </w:r>
    </w:p>
    <w:p w14:paraId="3CE48AF5" w14:textId="3E7C1B7D" w:rsidR="00EB70E0" w:rsidRPr="005F4295" w:rsidRDefault="00EB70E0" w:rsidP="00EB70E0">
      <w:pPr>
        <w:pStyle w:val="HeadingMan-NumT-AnnexesL2-11"/>
        <w:rPr>
          <w:rFonts w:ascii="EC Square Sans Pro" w:hAnsi="EC Square Sans Pro"/>
          <w:noProof/>
        </w:rPr>
      </w:pPr>
      <w:bookmarkStart w:id="118" w:name="_Toc229386291"/>
      <w:r w:rsidRPr="005F4295">
        <w:rPr>
          <w:rFonts w:ascii="EC Square Sans Pro" w:hAnsi="EC Square Sans Pro"/>
          <w:noProof/>
        </w:rPr>
        <w:t>11</w:t>
      </w:r>
      <w:r w:rsidR="00927616" w:rsidRPr="005F4295">
        <w:rPr>
          <w:rFonts w:ascii="Calibri" w:hAnsi="Calibri" w:cs="Calibri"/>
          <w:noProof/>
        </w:rPr>
        <w:t>.</w:t>
      </w:r>
      <w:r w:rsidRPr="005F4295">
        <w:rPr>
          <w:rFonts w:ascii="EC Square Sans Pro" w:hAnsi="EC Square Sans Pro"/>
          <w:noProof/>
        </w:rPr>
        <w:t>3</w:t>
      </w:r>
      <w:r w:rsidR="000F5318" w:rsidRPr="005F4295">
        <w:rPr>
          <w:rFonts w:ascii="Calibri" w:hAnsi="Calibri" w:cs="Calibri"/>
          <w:noProof/>
        </w:rPr>
        <w:t> </w:t>
      </w:r>
      <w:r w:rsidRPr="005F4295">
        <w:rPr>
          <w:rFonts w:ascii="EC Square Sans Pro" w:hAnsi="EC Square Sans Pro"/>
          <w:noProof/>
        </w:rPr>
        <w:tab/>
        <w:t>The Africa Trust Fund</w:t>
      </w:r>
      <w:bookmarkEnd w:id="118"/>
    </w:p>
    <w:p w14:paraId="69269F06" w14:textId="16DB3828" w:rsidR="00B56333" w:rsidRPr="005F4295" w:rsidRDefault="00B56333" w:rsidP="00B56333">
      <w:r w:rsidRPr="005F4295">
        <w:t>By the end of 2025, the 27 EU Member States</w:t>
      </w:r>
      <w:r w:rsidR="00446E7D" w:rsidRPr="005F4295">
        <w:t>,</w:t>
      </w:r>
      <w:r w:rsidRPr="005F4295">
        <w:t xml:space="preserve"> together with Norway, Switzerland and the United Kingdom</w:t>
      </w:r>
      <w:r w:rsidR="00446E7D" w:rsidRPr="005F4295">
        <w:t>,</w:t>
      </w:r>
      <w:r w:rsidRPr="005F4295">
        <w:t xml:space="preserve"> had contributed a total of EUR</w:t>
      </w:r>
      <w:r w:rsidR="00F6201E" w:rsidRPr="005F4295">
        <w:rPr>
          <w:rFonts w:ascii="Calibri" w:hAnsi="Calibri" w:cs="Calibri"/>
        </w:rPr>
        <w:t> </w:t>
      </w:r>
      <w:r w:rsidRPr="005F4295">
        <w:t>623</w:t>
      </w:r>
      <w:r w:rsidR="00F6201E" w:rsidRPr="005F4295">
        <w:rPr>
          <w:rFonts w:ascii="Calibri" w:hAnsi="Calibri" w:cs="Calibri"/>
        </w:rPr>
        <w:t> </w:t>
      </w:r>
      <w:r w:rsidRPr="005F4295">
        <w:t>million to the EU Emergency Trust Fund for Africa. Contributions from EU budget instruments and the European Development Fund amounted to EUR</w:t>
      </w:r>
      <w:r w:rsidR="00F6201E" w:rsidRPr="005F4295">
        <w:rPr>
          <w:rFonts w:ascii="Calibri" w:hAnsi="Calibri" w:cs="Calibri"/>
        </w:rPr>
        <w:t> </w:t>
      </w:r>
      <w:r w:rsidRPr="005F4295">
        <w:t>4</w:t>
      </w:r>
      <w:r w:rsidR="00F6201E" w:rsidRPr="005F4295">
        <w:rPr>
          <w:rFonts w:ascii="Calibri" w:hAnsi="Calibri" w:cs="Calibri"/>
        </w:rPr>
        <w:t> </w:t>
      </w:r>
      <w:r w:rsidRPr="005F4295">
        <w:t>440</w:t>
      </w:r>
      <w:r w:rsidR="00446E7D" w:rsidRPr="005F4295">
        <w:rPr>
          <w:rFonts w:ascii="Calibri" w:hAnsi="Calibri" w:cs="Calibri"/>
        </w:rPr>
        <w:t> </w:t>
      </w:r>
      <w:r w:rsidRPr="005F4295">
        <w:t>million.</w:t>
      </w:r>
    </w:p>
    <w:p w14:paraId="5D733B22" w14:textId="4AA675CB" w:rsidR="00C56791" w:rsidRPr="005F4295" w:rsidRDefault="00B56333" w:rsidP="00C56791">
      <w:pPr>
        <w:rPr>
          <w:noProof/>
        </w:rPr>
      </w:pPr>
      <w:r w:rsidRPr="005F4295">
        <w:t xml:space="preserve">In 2025, no new programme or budgetary top-up took place </w:t>
      </w:r>
      <w:r w:rsidR="002A7C27" w:rsidRPr="005F4295">
        <w:t>for</w:t>
      </w:r>
      <w:r w:rsidRPr="005F4295">
        <w:t xml:space="preserve"> any of the three regions of the Africa</w:t>
      </w:r>
      <w:r w:rsidR="004E246D" w:rsidRPr="005F4295">
        <w:t xml:space="preserve"> </w:t>
      </w:r>
      <w:r w:rsidRPr="005F4295">
        <w:t>T</w:t>
      </w:r>
      <w:r w:rsidR="004E246D" w:rsidRPr="005F4295">
        <w:t xml:space="preserve">rust </w:t>
      </w:r>
      <w:r w:rsidRPr="005F4295">
        <w:t>F</w:t>
      </w:r>
      <w:r w:rsidR="004E246D" w:rsidRPr="005F4295">
        <w:t>und</w:t>
      </w:r>
      <w:r w:rsidRPr="005F4295">
        <w:t>, in line with the end of the contracting period on 31</w:t>
      </w:r>
      <w:r w:rsidR="0062388F" w:rsidRPr="005F4295">
        <w:rPr>
          <w:rFonts w:ascii="Calibri" w:hAnsi="Calibri" w:cs="Calibri"/>
        </w:rPr>
        <w:t> </w:t>
      </w:r>
      <w:r w:rsidRPr="005F4295">
        <w:t>December 2021.</w:t>
      </w:r>
    </w:p>
    <w:p w14:paraId="28B06204" w14:textId="18C4DBEF" w:rsidR="00C56791" w:rsidRPr="005F4295" w:rsidRDefault="00C56791" w:rsidP="00C56791">
      <w:pPr>
        <w:rPr>
          <w:noProof/>
        </w:rPr>
      </w:pPr>
      <w:r w:rsidRPr="005F4295">
        <w:rPr>
          <w:noProof/>
        </w:rPr>
        <w:t>As of 31</w:t>
      </w:r>
      <w:r w:rsidR="00AC7211" w:rsidRPr="005F4295">
        <w:rPr>
          <w:rFonts w:ascii="Calibri" w:hAnsi="Calibri" w:cs="Calibri"/>
          <w:noProof/>
        </w:rPr>
        <w:t> </w:t>
      </w:r>
      <w:r w:rsidRPr="005F4295">
        <w:rPr>
          <w:noProof/>
        </w:rPr>
        <w:t>December 2025</w:t>
      </w:r>
      <w:r w:rsidR="00D33166" w:rsidRPr="005F4295">
        <w:rPr>
          <w:rFonts w:ascii="Calibri" w:hAnsi="Calibri" w:cs="Calibri"/>
          <w:noProof/>
        </w:rPr>
        <w:t>,</w:t>
      </w:r>
      <w:r w:rsidRPr="005F4295">
        <w:rPr>
          <w:noProof/>
        </w:rPr>
        <w:t xml:space="preserve"> </w:t>
      </w:r>
      <w:r w:rsidR="00703A27" w:rsidRPr="005F4295">
        <w:t>the total amount committed for this trust fund amounts to EUR</w:t>
      </w:r>
      <w:r w:rsidR="00703A27" w:rsidRPr="005F4295">
        <w:rPr>
          <w:rFonts w:ascii="Calibri" w:hAnsi="Calibri" w:cs="Calibri"/>
        </w:rPr>
        <w:t> </w:t>
      </w:r>
      <w:r w:rsidR="00703A27" w:rsidRPr="005F4295">
        <w:t>5</w:t>
      </w:r>
      <w:r w:rsidR="002A7C27" w:rsidRPr="005F4295">
        <w:rPr>
          <w:rFonts w:ascii="Calibri" w:hAnsi="Calibri" w:cs="Calibri"/>
        </w:rPr>
        <w:t> </w:t>
      </w:r>
      <w:r w:rsidR="00703A27" w:rsidRPr="005F4295">
        <w:t>053</w:t>
      </w:r>
      <w:r w:rsidR="00703A27" w:rsidRPr="005F4295">
        <w:rPr>
          <w:rFonts w:ascii="Calibri" w:hAnsi="Calibri" w:cs="Calibri"/>
        </w:rPr>
        <w:t> </w:t>
      </w:r>
      <w:r w:rsidR="00703A27" w:rsidRPr="005F4295">
        <w:t>million</w:t>
      </w:r>
      <w:r w:rsidR="004548AE" w:rsidRPr="005F4295">
        <w:t>. T</w:t>
      </w:r>
      <w:r w:rsidRPr="005F4295">
        <w:t>he</w:t>
      </w:r>
      <w:r w:rsidRPr="005F4295">
        <w:rPr>
          <w:noProof/>
        </w:rPr>
        <w:t xml:space="preserve"> split was EUR</w:t>
      </w:r>
      <w:r w:rsidR="00AC7211" w:rsidRPr="005F4295">
        <w:rPr>
          <w:rFonts w:ascii="Calibri" w:hAnsi="Calibri" w:cs="Calibri"/>
          <w:noProof/>
        </w:rPr>
        <w:t> </w:t>
      </w:r>
      <w:r w:rsidRPr="005F4295">
        <w:rPr>
          <w:noProof/>
        </w:rPr>
        <w:t>2</w:t>
      </w:r>
      <w:r w:rsidR="00AC7211" w:rsidRPr="005F4295">
        <w:rPr>
          <w:rFonts w:ascii="Calibri" w:hAnsi="Calibri" w:cs="Calibri"/>
          <w:noProof/>
        </w:rPr>
        <w:t> </w:t>
      </w:r>
      <w:r w:rsidRPr="005F4295">
        <w:rPr>
          <w:noProof/>
        </w:rPr>
        <w:t>085</w:t>
      </w:r>
      <w:r w:rsidR="002A7C27" w:rsidRPr="005F4295">
        <w:rPr>
          <w:rFonts w:ascii="Calibri" w:hAnsi="Calibri" w:cs="Calibri"/>
          <w:noProof/>
        </w:rPr>
        <w:t> </w:t>
      </w:r>
      <w:r w:rsidRPr="005F4295">
        <w:rPr>
          <w:noProof/>
        </w:rPr>
        <w:t>million (41%) for the Sahel and Lake Chad region</w:t>
      </w:r>
      <w:r w:rsidR="00D33166" w:rsidRPr="005F4295">
        <w:rPr>
          <w:noProof/>
        </w:rPr>
        <w:t>,</w:t>
      </w:r>
      <w:r w:rsidRPr="005F4295" w:rsidDel="00D33166">
        <w:rPr>
          <w:noProof/>
        </w:rPr>
        <w:t xml:space="preserve"> </w:t>
      </w:r>
      <w:r w:rsidRPr="005F4295">
        <w:rPr>
          <w:noProof/>
        </w:rPr>
        <w:t>EUR</w:t>
      </w:r>
      <w:r w:rsidR="00AC7211" w:rsidRPr="005F4295">
        <w:rPr>
          <w:rFonts w:ascii="Calibri" w:hAnsi="Calibri" w:cs="Calibri"/>
          <w:noProof/>
        </w:rPr>
        <w:t> </w:t>
      </w:r>
      <w:r w:rsidRPr="005F4295">
        <w:rPr>
          <w:noProof/>
        </w:rPr>
        <w:t>1</w:t>
      </w:r>
      <w:r w:rsidR="00AC7211" w:rsidRPr="005F4295">
        <w:rPr>
          <w:rFonts w:ascii="Calibri" w:hAnsi="Calibri" w:cs="Calibri"/>
          <w:noProof/>
        </w:rPr>
        <w:t> </w:t>
      </w:r>
      <w:r w:rsidRPr="005F4295">
        <w:rPr>
          <w:noProof/>
        </w:rPr>
        <w:t>790</w:t>
      </w:r>
      <w:r w:rsidR="00AC7211" w:rsidRPr="005F4295">
        <w:rPr>
          <w:rFonts w:ascii="Calibri" w:hAnsi="Calibri" w:cs="Calibri"/>
          <w:noProof/>
        </w:rPr>
        <w:t> </w:t>
      </w:r>
      <w:r w:rsidRPr="005F4295">
        <w:rPr>
          <w:noProof/>
        </w:rPr>
        <w:t>million (35%) for the Horn of Africa and EUR</w:t>
      </w:r>
      <w:r w:rsidR="00AC7211" w:rsidRPr="005F4295">
        <w:rPr>
          <w:rFonts w:ascii="Calibri" w:hAnsi="Calibri" w:cs="Calibri"/>
          <w:noProof/>
        </w:rPr>
        <w:t> </w:t>
      </w:r>
      <w:r w:rsidRPr="005F4295">
        <w:rPr>
          <w:noProof/>
        </w:rPr>
        <w:t>882</w:t>
      </w:r>
      <w:r w:rsidR="00AC7211" w:rsidRPr="005F4295">
        <w:rPr>
          <w:rFonts w:ascii="Calibri" w:hAnsi="Calibri" w:cs="Calibri"/>
          <w:noProof/>
        </w:rPr>
        <w:t> </w:t>
      </w:r>
      <w:r w:rsidRPr="005F4295">
        <w:rPr>
          <w:noProof/>
        </w:rPr>
        <w:t>million (17%) for the North of Africa region</w:t>
      </w:r>
      <w:r w:rsidR="00F74CD2" w:rsidRPr="005F4295">
        <w:rPr>
          <w:noProof/>
        </w:rPr>
        <w:t>,</w:t>
      </w:r>
      <w:r w:rsidRPr="005F4295">
        <w:rPr>
          <w:noProof/>
        </w:rPr>
        <w:t xml:space="preserve"> along with EUR</w:t>
      </w:r>
      <w:r w:rsidR="00F74CD2" w:rsidRPr="005F4295">
        <w:rPr>
          <w:rFonts w:ascii="Calibri" w:hAnsi="Calibri" w:cs="Calibri"/>
          <w:noProof/>
        </w:rPr>
        <w:t> </w:t>
      </w:r>
      <w:r w:rsidRPr="005F4295">
        <w:rPr>
          <w:noProof/>
        </w:rPr>
        <w:t>296</w:t>
      </w:r>
      <w:r w:rsidR="00AC7211" w:rsidRPr="005F4295">
        <w:rPr>
          <w:rFonts w:ascii="Calibri" w:hAnsi="Calibri" w:cs="Calibri"/>
          <w:noProof/>
        </w:rPr>
        <w:t> </w:t>
      </w:r>
      <w:r w:rsidRPr="005F4295">
        <w:rPr>
          <w:noProof/>
        </w:rPr>
        <w:t>million (7%) for regional and other programmes</w:t>
      </w:r>
      <w:r w:rsidR="001F3CE9" w:rsidRPr="005F4295">
        <w:rPr>
          <w:noProof/>
        </w:rPr>
        <w:t>.</w:t>
      </w:r>
      <w:r w:rsidRPr="005F4295">
        <w:rPr>
          <w:noProof/>
        </w:rPr>
        <w:t xml:space="preserve"> Contracts have been signed with implementing partners for a total amount of EUR</w:t>
      </w:r>
      <w:r w:rsidR="002B1E2E" w:rsidRPr="005F4295">
        <w:rPr>
          <w:rFonts w:ascii="Calibri" w:hAnsi="Calibri" w:cs="Calibri"/>
          <w:noProof/>
        </w:rPr>
        <w:t> </w:t>
      </w:r>
      <w:r w:rsidR="006C73F8" w:rsidRPr="005F4295">
        <w:t>4</w:t>
      </w:r>
      <w:r w:rsidR="00851E6C" w:rsidRPr="005F4295">
        <w:rPr>
          <w:rFonts w:ascii="Calibri" w:hAnsi="Calibri" w:cs="Calibri"/>
        </w:rPr>
        <w:t> </w:t>
      </w:r>
      <w:r w:rsidR="006C73F8" w:rsidRPr="005F4295">
        <w:t>963</w:t>
      </w:r>
      <w:r w:rsidR="002B1E2E" w:rsidRPr="005F4295">
        <w:rPr>
          <w:rFonts w:ascii="Calibri" w:hAnsi="Calibri" w:cs="Calibri"/>
        </w:rPr>
        <w:t> </w:t>
      </w:r>
      <w:r w:rsidR="00851E6C" w:rsidRPr="005F4295">
        <w:t>m</w:t>
      </w:r>
      <w:r w:rsidRPr="005F4295">
        <w:rPr>
          <w:noProof/>
        </w:rPr>
        <w:t>illion</w:t>
      </w:r>
      <w:r w:rsidR="001F3CE9" w:rsidRPr="005F4295">
        <w:t>.</w:t>
      </w:r>
    </w:p>
    <w:p w14:paraId="54FF0552" w14:textId="3A86FDF6" w:rsidR="00C56791" w:rsidRPr="005F4295" w:rsidRDefault="009D4CF4" w:rsidP="00C56791">
      <w:pPr>
        <w:rPr>
          <w:noProof/>
          <w:highlight w:val="lightGray"/>
        </w:rPr>
      </w:pPr>
      <w:r w:rsidRPr="005F4295">
        <w:t xml:space="preserve">The trust fund has aimed to help foster stability and contribute to better migration management in line with the EU development-led approach to forced displacement. It has also helped address the root causes of destabilisation, forced displacement and irregular migration by promoting economic and equal opportunities, security and development. The Africa </w:t>
      </w:r>
      <w:r w:rsidR="00ED2C31" w:rsidRPr="005F4295">
        <w:t>T</w:t>
      </w:r>
      <w:r w:rsidR="002649E6" w:rsidRPr="005F4295">
        <w:t>rust Fund</w:t>
      </w:r>
      <w:r w:rsidRPr="005F4295">
        <w:t xml:space="preserve"> has covered a comprehensive group of African countries crossed by the major migration routes.</w:t>
      </w:r>
    </w:p>
    <w:p w14:paraId="1D5DFC33" w14:textId="366BE304" w:rsidR="00EB70E0" w:rsidRPr="005F4295" w:rsidRDefault="00EB70E0" w:rsidP="00EB70E0">
      <w:pPr>
        <w:pStyle w:val="HeadingMan-NumT-AnnexesL2-11"/>
        <w:rPr>
          <w:rFonts w:ascii="EC Square Sans Pro" w:hAnsi="EC Square Sans Pro"/>
          <w:noProof/>
        </w:rPr>
      </w:pPr>
      <w:bookmarkStart w:id="119" w:name="_Toc229386292"/>
      <w:r w:rsidRPr="005F4295">
        <w:rPr>
          <w:rFonts w:ascii="EC Square Sans Pro" w:hAnsi="EC Square Sans Pro"/>
          <w:noProof/>
        </w:rPr>
        <w:t>11</w:t>
      </w:r>
      <w:r w:rsidR="00A45809" w:rsidRPr="005F4295">
        <w:rPr>
          <w:rFonts w:ascii="Calibri" w:hAnsi="Calibri" w:cs="Calibri"/>
          <w:noProof/>
        </w:rPr>
        <w:t>.</w:t>
      </w:r>
      <w:r w:rsidRPr="005F4295">
        <w:rPr>
          <w:rFonts w:ascii="EC Square Sans Pro" w:hAnsi="EC Square Sans Pro"/>
          <w:noProof/>
        </w:rPr>
        <w:t>4</w:t>
      </w:r>
      <w:r w:rsidR="000F5318" w:rsidRPr="005F4295">
        <w:rPr>
          <w:rFonts w:ascii="Calibri" w:hAnsi="Calibri" w:cs="Calibri"/>
          <w:noProof/>
        </w:rPr>
        <w:t> </w:t>
      </w:r>
      <w:r w:rsidRPr="005F4295">
        <w:rPr>
          <w:rFonts w:ascii="EC Square Sans Pro" w:hAnsi="EC Square Sans Pro"/>
          <w:noProof/>
        </w:rPr>
        <w:tab/>
        <w:t>The Colombia Trust Fund</w:t>
      </w:r>
      <w:bookmarkEnd w:id="119"/>
    </w:p>
    <w:p w14:paraId="71CA8F55" w14:textId="2B02615D" w:rsidR="00ED5750" w:rsidRPr="005F4295" w:rsidRDefault="00ED5750" w:rsidP="00ED5750">
      <w:pPr>
        <w:rPr>
          <w:noProof/>
        </w:rPr>
      </w:pPr>
      <w:r w:rsidRPr="005F4295">
        <w:rPr>
          <w:noProof/>
        </w:rPr>
        <w:t>By the end of 2025</w:t>
      </w:r>
      <w:r w:rsidR="00895524" w:rsidRPr="005F4295">
        <w:rPr>
          <w:noProof/>
        </w:rPr>
        <w:t>,</w:t>
      </w:r>
      <w:r w:rsidRPr="005F4295">
        <w:rPr>
          <w:noProof/>
        </w:rPr>
        <w:t xml:space="preserve"> the contributions from the EU budget amounted to EUR</w:t>
      </w:r>
      <w:r w:rsidR="002B1E2E" w:rsidRPr="005F4295">
        <w:rPr>
          <w:rFonts w:ascii="Calibri" w:hAnsi="Calibri" w:cs="Calibri"/>
          <w:noProof/>
        </w:rPr>
        <w:t> </w:t>
      </w:r>
      <w:r w:rsidRPr="005F4295">
        <w:rPr>
          <w:noProof/>
        </w:rPr>
        <w:t>94</w:t>
      </w:r>
      <w:r w:rsidR="002B1E2E" w:rsidRPr="005F4295">
        <w:rPr>
          <w:rFonts w:ascii="Calibri" w:hAnsi="Calibri" w:cs="Calibri"/>
          <w:noProof/>
        </w:rPr>
        <w:t> </w:t>
      </w:r>
      <w:r w:rsidRPr="005F4295">
        <w:rPr>
          <w:noProof/>
        </w:rPr>
        <w:t>million</w:t>
      </w:r>
      <w:r w:rsidR="00D44F78" w:rsidRPr="005F4295">
        <w:rPr>
          <w:noProof/>
        </w:rPr>
        <w:t>,</w:t>
      </w:r>
      <w:r w:rsidRPr="005F4295">
        <w:rPr>
          <w:noProof/>
        </w:rPr>
        <w:t xml:space="preserve"> while the contributions received from 21 Member States</w:t>
      </w:r>
      <w:r w:rsidR="00D44F78" w:rsidRPr="005F4295">
        <w:rPr>
          <w:noProof/>
        </w:rPr>
        <w:t>,</w:t>
      </w:r>
      <w:r w:rsidRPr="005F4295">
        <w:rPr>
          <w:noProof/>
        </w:rPr>
        <w:t xml:space="preserve"> along with a contribution by Chile</w:t>
      </w:r>
      <w:r w:rsidR="00D44F78" w:rsidRPr="005F4295">
        <w:rPr>
          <w:noProof/>
        </w:rPr>
        <w:t>,</w:t>
      </w:r>
      <w:r w:rsidRPr="005F4295">
        <w:rPr>
          <w:noProof/>
        </w:rPr>
        <w:t xml:space="preserve"> amounted to EUR</w:t>
      </w:r>
      <w:r w:rsidR="00D44F78" w:rsidRPr="005F4295">
        <w:rPr>
          <w:rFonts w:ascii="Calibri" w:hAnsi="Calibri" w:cs="Calibri"/>
          <w:noProof/>
        </w:rPr>
        <w:t> </w:t>
      </w:r>
      <w:r w:rsidRPr="005F4295">
        <w:rPr>
          <w:noProof/>
        </w:rPr>
        <w:t>37</w:t>
      </w:r>
      <w:r w:rsidR="00975FE5" w:rsidRPr="005F4295">
        <w:rPr>
          <w:rFonts w:ascii="Calibri" w:hAnsi="Calibri" w:cs="Calibri"/>
          <w:noProof/>
        </w:rPr>
        <w:t> </w:t>
      </w:r>
      <w:r w:rsidRPr="005F4295">
        <w:rPr>
          <w:noProof/>
        </w:rPr>
        <w:t>million</w:t>
      </w:r>
      <w:r w:rsidR="00D44F78" w:rsidRPr="005F4295">
        <w:rPr>
          <w:rFonts w:ascii="Calibri" w:hAnsi="Calibri" w:cs="Calibri"/>
          <w:noProof/>
        </w:rPr>
        <w:t>.</w:t>
      </w:r>
    </w:p>
    <w:p w14:paraId="02E9A200" w14:textId="59C7C051" w:rsidR="00ED5750" w:rsidRPr="005F4295" w:rsidRDefault="00ED5750" w:rsidP="00ED5750">
      <w:pPr>
        <w:rPr>
          <w:noProof/>
        </w:rPr>
      </w:pPr>
      <w:r w:rsidRPr="005F4295">
        <w:rPr>
          <w:noProof/>
        </w:rPr>
        <w:t>The Colombia Trust Fund has committed a total amount of EUR</w:t>
      </w:r>
      <w:r w:rsidR="00D44F78" w:rsidRPr="005F4295">
        <w:rPr>
          <w:rFonts w:ascii="Calibri" w:hAnsi="Calibri" w:cs="Calibri"/>
          <w:noProof/>
        </w:rPr>
        <w:t> </w:t>
      </w:r>
      <w:r w:rsidRPr="005F4295">
        <w:rPr>
          <w:noProof/>
        </w:rPr>
        <w:t>134</w:t>
      </w:r>
      <w:r w:rsidR="00975FE5" w:rsidRPr="005F4295">
        <w:rPr>
          <w:rFonts w:ascii="Calibri" w:hAnsi="Calibri" w:cs="Calibri"/>
          <w:noProof/>
        </w:rPr>
        <w:t> </w:t>
      </w:r>
      <w:r w:rsidRPr="005F4295">
        <w:rPr>
          <w:noProof/>
        </w:rPr>
        <w:t>million</w:t>
      </w:r>
      <w:r w:rsidR="00D44F78" w:rsidRPr="005F4295">
        <w:rPr>
          <w:rFonts w:ascii="Calibri" w:hAnsi="Calibri" w:cs="Calibri"/>
          <w:noProof/>
        </w:rPr>
        <w:t>,</w:t>
      </w:r>
      <w:r w:rsidRPr="005F4295">
        <w:rPr>
          <w:noProof/>
        </w:rPr>
        <w:t xml:space="preserve"> out of which 98% was contracted</w:t>
      </w:r>
      <w:r w:rsidR="00D44F78" w:rsidRPr="005F4295">
        <w:rPr>
          <w:rFonts w:ascii="Calibri" w:hAnsi="Calibri" w:cs="Calibri"/>
          <w:noProof/>
        </w:rPr>
        <w:t>.</w:t>
      </w:r>
    </w:p>
    <w:p w14:paraId="60804634" w14:textId="6C294F1D" w:rsidR="00ED5750" w:rsidRPr="005F4295" w:rsidRDefault="00ED5750" w:rsidP="00ED5750">
      <w:pPr>
        <w:rPr>
          <w:noProof/>
          <w:highlight w:val="lightGray"/>
        </w:rPr>
      </w:pPr>
      <w:r w:rsidRPr="005F4295">
        <w:rPr>
          <w:noProof/>
        </w:rPr>
        <w:t xml:space="preserve">The </w:t>
      </w:r>
      <w:r w:rsidR="00975FE5" w:rsidRPr="005F4295">
        <w:rPr>
          <w:noProof/>
        </w:rPr>
        <w:t>Colombia</w:t>
      </w:r>
      <w:r w:rsidRPr="005F4295">
        <w:rPr>
          <w:noProof/>
        </w:rPr>
        <w:t xml:space="preserve"> Trust Fund has helped to support the implementation of the peace agreement in the early recovery and stabilisation phases of the post-conflict environment</w:t>
      </w:r>
      <w:r w:rsidR="00772382" w:rsidRPr="005F4295">
        <w:rPr>
          <w:rFonts w:ascii="Calibri" w:hAnsi="Calibri" w:cs="Calibri"/>
          <w:noProof/>
        </w:rPr>
        <w:t>.</w:t>
      </w:r>
      <w:r w:rsidRPr="005F4295">
        <w:rPr>
          <w:noProof/>
        </w:rPr>
        <w:t xml:space="preserve"> The overall objective is to help Colombia secure stable and lasting peace</w:t>
      </w:r>
      <w:r w:rsidR="00772382" w:rsidRPr="005F4295">
        <w:rPr>
          <w:noProof/>
        </w:rPr>
        <w:t>,</w:t>
      </w:r>
      <w:r w:rsidRPr="005F4295">
        <w:rPr>
          <w:noProof/>
        </w:rPr>
        <w:t xml:space="preserve"> to rebuild its social and economic fabric and to give new hope to the people of Colombia</w:t>
      </w:r>
      <w:bookmarkEnd w:id="14"/>
      <w:r w:rsidR="00B22019" w:rsidRPr="005F4295">
        <w:rPr>
          <w:rFonts w:ascii="Calibri" w:hAnsi="Calibri" w:cs="Calibri"/>
          <w:noProof/>
        </w:rPr>
        <w:t>.</w:t>
      </w:r>
    </w:p>
    <w:sectPr w:rsidR="00ED5750" w:rsidRPr="005F4295" w:rsidSect="00090F57">
      <w:headerReference w:type="even" r:id="rId169"/>
      <w:headerReference w:type="default" r:id="rId170"/>
      <w:footerReference w:type="even" r:id="rId171"/>
      <w:footerReference w:type="default" r:id="rId172"/>
      <w:headerReference w:type="first" r:id="rId173"/>
      <w:footerReference w:type="first" r:id="rId174"/>
      <w:endnotePr>
        <w:pos w:val="sectEnd"/>
        <w:numFmt w:val="lowerLetter"/>
      </w:endnotePr>
      <w:pgSz w:w="11907" w:h="16839" w:code="9"/>
      <w:pgMar w:top="1418" w:right="1418" w:bottom="1418" w:left="1418" w:header="680" w:footer="567" w:gutter="0"/>
      <w:cols w:space="720"/>
      <w:docGrid w:linePitch="326" w:charSpace="10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4BC84" w14:textId="77777777" w:rsidR="003C6B29" w:rsidRPr="005F4295" w:rsidRDefault="003C6B29">
      <w:pPr>
        <w:spacing w:before="0" w:after="0" w:line="240" w:lineRule="auto"/>
      </w:pPr>
      <w:r w:rsidRPr="005F4295">
        <w:separator/>
      </w:r>
    </w:p>
  </w:endnote>
  <w:endnote w:type="continuationSeparator" w:id="0">
    <w:p w14:paraId="314F5ABF" w14:textId="77777777" w:rsidR="003C6B29" w:rsidRPr="005F4295" w:rsidRDefault="003C6B29">
      <w:pPr>
        <w:spacing w:before="0" w:after="0" w:line="240" w:lineRule="auto"/>
      </w:pPr>
      <w:r w:rsidRPr="005F42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C Square Sans Pro Medium">
    <w:altName w:val="Corbel"/>
    <w:panose1 w:val="020B0500000000020004"/>
    <w:charset w:val="00"/>
    <w:family w:val="swiss"/>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unga">
    <w:panose1 w:val="00000400000000000000"/>
    <w:charset w:val="00"/>
    <w:family w:val="swiss"/>
    <w:pitch w:val="variable"/>
    <w:sig w:usb0="004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8498" w14:textId="0230E6BA" w:rsidR="00894BCB" w:rsidRPr="00894BCB" w:rsidRDefault="00894BCB" w:rsidP="00894BCB">
    <w:pPr>
      <w:pStyle w:val="FooterCoverPage"/>
      <w:rPr>
        <w:rFonts w:ascii="Arial" w:hAnsi="Arial" w:cs="Arial"/>
        <w:b/>
        <w:sz w:val="48"/>
      </w:rPr>
    </w:pPr>
    <w:r w:rsidRPr="00894BCB">
      <w:rPr>
        <w:rFonts w:ascii="Arial" w:hAnsi="Arial" w:cs="Arial"/>
        <w:b/>
        <w:sz w:val="48"/>
      </w:rPr>
      <w:t>EN</w:t>
    </w:r>
    <w:r w:rsidRPr="00894BCB">
      <w:rPr>
        <w:rFonts w:ascii="Arial" w:hAnsi="Arial" w:cs="Arial"/>
        <w:b/>
        <w:sz w:val="48"/>
      </w:rPr>
      <w:tab/>
    </w:r>
    <w:r w:rsidRPr="00894BCB">
      <w:rPr>
        <w:rFonts w:ascii="Arial" w:hAnsi="Arial" w:cs="Arial"/>
        <w:b/>
        <w:sz w:val="48"/>
      </w:rPr>
      <w:tab/>
    </w:r>
    <w:r w:rsidRPr="00894BCB">
      <w:tab/>
    </w:r>
    <w:r w:rsidRPr="00894BC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99B3" w14:textId="78ABB54E" w:rsidR="00894BCB" w:rsidRPr="00894BCB" w:rsidRDefault="00894BCB" w:rsidP="00894BCB">
    <w:pPr>
      <w:pStyle w:val="FooterCoverPage"/>
      <w:rPr>
        <w:rFonts w:ascii="Arial" w:hAnsi="Arial" w:cs="Arial"/>
        <w:b/>
        <w:sz w:val="48"/>
      </w:rPr>
    </w:pPr>
    <w:r w:rsidRPr="00894BCB">
      <w:rPr>
        <w:rFonts w:ascii="Arial" w:hAnsi="Arial" w:cs="Arial"/>
        <w:b/>
        <w:sz w:val="48"/>
      </w:rPr>
      <w:t>EN</w:t>
    </w:r>
    <w:r w:rsidRPr="00894BCB">
      <w:rPr>
        <w:rFonts w:ascii="Arial" w:hAnsi="Arial" w:cs="Arial"/>
        <w:b/>
        <w:sz w:val="48"/>
      </w:rPr>
      <w:tab/>
    </w:r>
    <w:r w:rsidRPr="00894BCB">
      <w:rPr>
        <w:rFonts w:ascii="Arial" w:hAnsi="Arial" w:cs="Arial"/>
        <w:b/>
        <w:sz w:val="48"/>
      </w:rPr>
      <w:tab/>
    </w:r>
    <w:r w:rsidRPr="00894BCB">
      <w:tab/>
    </w:r>
    <w:r w:rsidRPr="00894BC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7FE85" w14:textId="77777777" w:rsidR="00894BCB" w:rsidRPr="00894BCB" w:rsidRDefault="00894BCB" w:rsidP="00894BC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85D58" w14:textId="77777777" w:rsidR="00EB70E0" w:rsidRPr="00213CDE" w:rsidRDefault="00EB70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5F00" w14:textId="77777777" w:rsidR="00EB70E0" w:rsidRPr="00213CDE" w:rsidRDefault="00EB70E0">
    <w:pPr>
      <w:pStyle w:val="amprFooter-Right"/>
    </w:pPr>
    <w:r w:rsidRPr="00D61A2C">
      <w:fldChar w:fldCharType="begin"/>
    </w:r>
    <w:r w:rsidRPr="00D61A2C">
      <w:instrText xml:space="preserve"> PAGE   \* MERGEFORMAT </w:instrText>
    </w:r>
    <w:r w:rsidRPr="00D61A2C">
      <w:fldChar w:fldCharType="separate"/>
    </w:r>
    <w:r>
      <w:rPr>
        <w:noProof/>
      </w:rPr>
      <w:t>3</w:t>
    </w:r>
    <w:r w:rsidRPr="00D61A2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86B6" w14:textId="77777777" w:rsidR="00EB70E0" w:rsidRPr="00213CDE" w:rsidRDefault="00EB70E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1A3C8" w14:textId="77777777" w:rsidR="00EB70E0" w:rsidRPr="00213CDE" w:rsidRDefault="00EB70E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73D1" w14:textId="77777777" w:rsidR="00EB70E0" w:rsidRPr="00213CDE" w:rsidRDefault="00EB70E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53AA0" w14:textId="77777777" w:rsidR="00EB70E0" w:rsidRPr="00213CDE" w:rsidRDefault="00EB70E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A788" w14:textId="77777777" w:rsidR="00EB70E0" w:rsidRPr="00213CDE" w:rsidRDefault="00EB70E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9AA6" w14:textId="77777777" w:rsidR="00EB70E0" w:rsidRPr="00213CDE" w:rsidRDefault="00EB70E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FEA0" w14:textId="77777777" w:rsidR="00EB70E0" w:rsidRPr="00213CDE" w:rsidRDefault="00EB70E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311D" w14:textId="77777777" w:rsidR="00EB70E0" w:rsidRPr="00A3573C" w:rsidRDefault="00EB70E0">
    <w:pPr>
      <w:pStyle w:val="amprFooter-Lef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9BEB7" w14:textId="77777777" w:rsidR="00EB70E0" w:rsidRPr="00394F4E" w:rsidRDefault="00EB70E0">
    <w:pPr>
      <w:pStyle w:val="amprFooter-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58AE" w14:textId="77777777" w:rsidR="00EB70E0" w:rsidRDefault="00EB70E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029E" w14:textId="77777777" w:rsidR="00EB70E0" w:rsidRPr="00A3573C" w:rsidRDefault="00EB70E0">
    <w:pPr>
      <w:pStyle w:val="amprFooter-Left"/>
    </w:pPr>
    <w:r>
      <w:fldChar w:fldCharType="begin"/>
    </w:r>
    <w:r>
      <w:instrText xml:space="preserve"> PAGE   \* MERGEFORMAT </w:instrText>
    </w:r>
    <w:r>
      <w:fldChar w:fldCharType="separate"/>
    </w:r>
    <w:r>
      <w:rPr>
        <w:noProof/>
      </w:rPr>
      <w:t>10</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8332" w14:textId="77777777" w:rsidR="00EB70E0" w:rsidRPr="00394F4E" w:rsidRDefault="00EB70E0">
    <w:pPr>
      <w:pStyle w:val="amprFooter-Right"/>
    </w:pPr>
    <w:r w:rsidRPr="00D61A2C">
      <w:fldChar w:fldCharType="begin"/>
    </w:r>
    <w:r w:rsidRPr="00D61A2C">
      <w:instrText xml:space="preserve"> PAGE   \* MERGEFORMAT </w:instrText>
    </w:r>
    <w:r w:rsidRPr="00D61A2C">
      <w:fldChar w:fldCharType="separate"/>
    </w:r>
    <w:r>
      <w:rPr>
        <w:noProof/>
      </w:rPr>
      <w:t>17</w:t>
    </w:r>
    <w:r w:rsidRPr="00D61A2C">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CD15C" w14:textId="77777777" w:rsidR="00EB70E0" w:rsidRDefault="00EB70E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44DA" w14:textId="77777777" w:rsidR="00EB70E0" w:rsidRPr="00A3573C" w:rsidRDefault="00EB70E0">
    <w:pPr>
      <w:pStyle w:val="amprFooter-Left"/>
    </w:pPr>
    <w:r>
      <w:fldChar w:fldCharType="begin"/>
    </w:r>
    <w:r>
      <w:instrText xml:space="preserve"> PAGE   \* MERGEFORMAT </w:instrText>
    </w:r>
    <w:r>
      <w:fldChar w:fldCharType="separate"/>
    </w:r>
    <w:r>
      <w:rPr>
        <w:noProof/>
      </w:rPr>
      <w:t>10</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87E2" w14:textId="77777777" w:rsidR="00EB70E0" w:rsidRPr="00394F4E" w:rsidRDefault="00EB70E0">
    <w:pPr>
      <w:pStyle w:val="amprFooter-Right"/>
    </w:pPr>
    <w:r w:rsidRPr="00D61A2C">
      <w:fldChar w:fldCharType="begin"/>
    </w:r>
    <w:r w:rsidRPr="00D61A2C">
      <w:instrText xml:space="preserve"> PAGE   \* MERGEFORMAT </w:instrText>
    </w:r>
    <w:r w:rsidRPr="00D61A2C">
      <w:fldChar w:fldCharType="separate"/>
    </w:r>
    <w:r>
      <w:rPr>
        <w:noProof/>
      </w:rPr>
      <w:t>9</w:t>
    </w:r>
    <w:r w:rsidRPr="00D61A2C">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564D4" w14:textId="77777777" w:rsidR="00EB70E0" w:rsidRDefault="00EB70E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156E2" w14:textId="77777777" w:rsidR="00EB70E0" w:rsidRPr="00B964EB" w:rsidRDefault="00EB70E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493EB" w14:textId="77777777" w:rsidR="00EB70E0" w:rsidRPr="00B964EB" w:rsidRDefault="00EB70E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7EF0" w14:textId="77777777" w:rsidR="00EB70E0" w:rsidRPr="00B964EB" w:rsidRDefault="00EB70E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AE30" w14:textId="77777777" w:rsidR="00EB70E0" w:rsidRPr="00213CDE" w:rsidRDefault="00EB70E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4334" w14:textId="77777777" w:rsidR="00EB70E0" w:rsidRPr="00213CDE" w:rsidRDefault="00EB70E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C897" w14:textId="77777777" w:rsidR="00EB70E0" w:rsidRPr="00213CDE" w:rsidRDefault="00EB70E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46DAE" w14:textId="77777777" w:rsidR="00EB70E0" w:rsidRPr="006D65A9" w:rsidRDefault="00EB70E0">
    <w:pPr>
      <w:pStyle w:val="amprFooter-Left"/>
    </w:pPr>
    <w:r>
      <w:fldChar w:fldCharType="begin"/>
    </w:r>
    <w:r>
      <w:instrText xml:space="preserve"> PAGE   \* MERGEFORMAT </w:instrText>
    </w:r>
    <w:r>
      <w:fldChar w:fldCharType="separate"/>
    </w:r>
    <w:r>
      <w:rPr>
        <w:noProof/>
      </w:rPr>
      <w:t>38</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DB1E" w14:textId="77777777" w:rsidR="00EB70E0" w:rsidRPr="000366A2" w:rsidRDefault="00EB70E0">
    <w:pPr>
      <w:pStyle w:val="amprFooter-Right"/>
    </w:pPr>
    <w:r w:rsidRPr="00D61A2C">
      <w:fldChar w:fldCharType="begin"/>
    </w:r>
    <w:r w:rsidRPr="00D61A2C">
      <w:instrText xml:space="preserve"> PAGE   \* MERGEFORMAT </w:instrText>
    </w:r>
    <w:r w:rsidRPr="00D61A2C">
      <w:fldChar w:fldCharType="separate"/>
    </w:r>
    <w:r>
      <w:rPr>
        <w:noProof/>
      </w:rPr>
      <w:t>37</w:t>
    </w:r>
    <w:r w:rsidRPr="00D61A2C">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6A647" w14:textId="77777777" w:rsidR="00EB70E0" w:rsidRDefault="00EB70E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1453" w14:textId="77777777" w:rsidR="00EB70E0" w:rsidRPr="00B964EB" w:rsidRDefault="00EB70E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AE34" w14:textId="77777777" w:rsidR="00EB70E0" w:rsidRPr="00B964EB" w:rsidRDefault="00EB70E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A5EC9" w14:textId="77777777" w:rsidR="00EB70E0" w:rsidRPr="00B964EB" w:rsidRDefault="00EB70E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BAD7" w14:textId="77777777" w:rsidR="00EB70E0" w:rsidRPr="00213CDE" w:rsidRDefault="00EB70E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C5C0" w14:textId="77777777" w:rsidR="00EB70E0" w:rsidRPr="00213CDE" w:rsidRDefault="00EB70E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EEF65" w14:textId="77777777" w:rsidR="00EB70E0" w:rsidRPr="00213CDE" w:rsidRDefault="00EB70E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C9361" w14:textId="77777777" w:rsidR="00EB70E0" w:rsidRPr="009B6DCF" w:rsidRDefault="00EB70E0">
    <w:pPr>
      <w:pStyle w:val="amprFooter-Left"/>
    </w:pPr>
    <w:r>
      <w:fldChar w:fldCharType="begin"/>
    </w:r>
    <w:r>
      <w:instrText xml:space="preserve"> PAGE   \* MERGEFORMAT </w:instrText>
    </w:r>
    <w:r>
      <w:fldChar w:fldCharType="separate"/>
    </w:r>
    <w:r>
      <w:t>40</w:t>
    </w:r>
    <w: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3010E" w14:textId="77777777" w:rsidR="00EB70E0" w:rsidRPr="006D65A9" w:rsidRDefault="00EB70E0">
    <w:pPr>
      <w:pStyle w:val="amprFooter-Right"/>
    </w:pPr>
    <w:r w:rsidRPr="00D61A2C">
      <w:fldChar w:fldCharType="begin"/>
    </w:r>
    <w:r w:rsidRPr="00D61A2C">
      <w:instrText xml:space="preserve"> PAGE   \* MERGEFORMAT </w:instrText>
    </w:r>
    <w:r w:rsidRPr="00D61A2C">
      <w:fldChar w:fldCharType="separate"/>
    </w:r>
    <w:r>
      <w:t>41</w:t>
    </w:r>
    <w:r w:rsidRPr="00D61A2C">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5DE08" w14:textId="77777777" w:rsidR="00EB70E0" w:rsidRDefault="00EB70E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0E4C" w14:textId="77777777" w:rsidR="00EB70E0" w:rsidRPr="00B964EB" w:rsidRDefault="00EB70E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13AB6" w14:textId="77777777" w:rsidR="00EB70E0" w:rsidRPr="00B964EB" w:rsidRDefault="00EB70E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0ACDA" w14:textId="77777777" w:rsidR="00EB70E0" w:rsidRPr="00B964EB" w:rsidRDefault="00EB70E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7518" w14:textId="77777777" w:rsidR="00EB70E0" w:rsidRPr="00213CDE" w:rsidRDefault="00EB70E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CADE2" w14:textId="77777777" w:rsidR="00EB70E0" w:rsidRPr="00213CDE" w:rsidRDefault="00EB70E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6A145" w14:textId="77777777" w:rsidR="00EB70E0" w:rsidRPr="00213CDE" w:rsidRDefault="00EB70E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48803" w14:textId="77777777" w:rsidR="00EB70E0" w:rsidRPr="006D65A9" w:rsidRDefault="00EB70E0">
    <w:pPr>
      <w:pStyle w:val="amprFooter-Left"/>
    </w:pPr>
    <w:r>
      <w:fldChar w:fldCharType="begin"/>
    </w:r>
    <w:r>
      <w:instrText xml:space="preserve"> PAGE   \* MERGEFORMAT </w:instrText>
    </w:r>
    <w:r>
      <w:fldChar w:fldCharType="separate"/>
    </w:r>
    <w:r>
      <w:rPr>
        <w:noProof/>
      </w:rPr>
      <w:t>54</w:t>
    </w:r>
    <w: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85018" w14:textId="77777777" w:rsidR="00EB70E0" w:rsidRPr="006D65A9" w:rsidRDefault="00EB70E0">
    <w:pPr>
      <w:pStyle w:val="amprFooter-Right"/>
    </w:pPr>
    <w:r w:rsidRPr="00D61A2C">
      <w:fldChar w:fldCharType="begin"/>
    </w:r>
    <w:r w:rsidRPr="00D61A2C">
      <w:instrText xml:space="preserve"> PAGE   \* MERGEFORMAT </w:instrText>
    </w:r>
    <w:r w:rsidRPr="00D61A2C">
      <w:fldChar w:fldCharType="separate"/>
    </w:r>
    <w:r>
      <w:rPr>
        <w:noProof/>
      </w:rPr>
      <w:t>53</w:t>
    </w:r>
    <w:r w:rsidRPr="00D61A2C">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4625" w14:textId="77777777" w:rsidR="00EB70E0" w:rsidRDefault="00EB70E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40AA" w14:textId="77777777" w:rsidR="00EB70E0" w:rsidRPr="00B964EB" w:rsidRDefault="00EB70E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30A8" w14:textId="77777777" w:rsidR="00EB70E0" w:rsidRPr="00B964EB" w:rsidRDefault="00EB70E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99B2D" w14:textId="77777777" w:rsidR="00EB70E0" w:rsidRPr="00B964EB" w:rsidRDefault="00EB70E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82AA" w14:textId="77777777" w:rsidR="00EB70E0" w:rsidRPr="00213CDE" w:rsidRDefault="00EB70E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4808" w14:textId="77777777" w:rsidR="00EB70E0" w:rsidRPr="00213CDE" w:rsidRDefault="00EB70E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8511" w14:textId="77777777" w:rsidR="00EB70E0" w:rsidRPr="00213CDE" w:rsidRDefault="00EB70E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4F2D" w14:textId="6FF3CB94" w:rsidR="00EB70E0" w:rsidRPr="00B85C2E" w:rsidRDefault="0024570B" w:rsidP="0024570B">
    <w:pPr>
      <w:pStyle w:val="amprFooter-Left"/>
    </w:pPr>
    <w:r>
      <w:fldChar w:fldCharType="begin"/>
    </w:r>
    <w:r>
      <w:instrText xml:space="preserve"> PAGE   \* MERGEFORMAT </w:instrText>
    </w:r>
    <w:r>
      <w:fldChar w:fldCharType="separate"/>
    </w:r>
    <w:r>
      <w:t>54</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06FF" w14:textId="11BB687C" w:rsidR="00EB70E0" w:rsidRPr="0024570B" w:rsidRDefault="0024570B" w:rsidP="0024570B">
    <w:pPr>
      <w:pStyle w:val="amprFooter-Right"/>
    </w:pPr>
    <w:r w:rsidRPr="00D61A2C">
      <w:fldChar w:fldCharType="begin"/>
    </w:r>
    <w:r w:rsidRPr="00D61A2C">
      <w:instrText xml:space="preserve"> PAGE   \* MERGEFORMAT </w:instrText>
    </w:r>
    <w:r w:rsidRPr="00D61A2C">
      <w:fldChar w:fldCharType="separate"/>
    </w:r>
    <w:r>
      <w:t>53</w:t>
    </w:r>
    <w:r w:rsidRPr="00D61A2C">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C328" w14:textId="77777777" w:rsidR="00EB70E0" w:rsidRDefault="00EB70E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73FA" w14:textId="77777777" w:rsidR="00EB70E0" w:rsidRPr="00B964EB" w:rsidRDefault="00EB70E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E0B8" w14:textId="77777777" w:rsidR="00EB70E0" w:rsidRPr="00B964EB" w:rsidRDefault="00EB70E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4FA43" w14:textId="77777777" w:rsidR="00EB70E0" w:rsidRPr="00B964EB" w:rsidRDefault="00EB70E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2E57A" w14:textId="77777777" w:rsidR="00EB70E0" w:rsidRPr="00213CDE" w:rsidRDefault="00EB70E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C989" w14:textId="77777777" w:rsidR="00EB70E0" w:rsidRPr="00213CDE" w:rsidRDefault="00EB70E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31D8" w14:textId="77777777" w:rsidR="00EB70E0" w:rsidRPr="00213CDE" w:rsidRDefault="00EB70E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B3EE" w14:textId="77777777" w:rsidR="00EB70E0" w:rsidRDefault="00EB70E0">
    <w:pPr>
      <w:pStyle w:val="amprFooter-Left"/>
    </w:pPr>
    <w:r>
      <w:fldChar w:fldCharType="begin"/>
    </w:r>
    <w:r>
      <w:instrText xml:space="preserve"> PAGE   \* MERGEFORMAT </w:instrText>
    </w:r>
    <w:r>
      <w:fldChar w:fldCharType="separate"/>
    </w:r>
    <w:r>
      <w:t>46</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07A64" w14:textId="77777777" w:rsidR="00EB70E0" w:rsidRDefault="00EB70E0">
    <w:pPr>
      <w:pStyle w:val="amprFooter-Right"/>
    </w:pPr>
    <w:r w:rsidRPr="00D61A2C">
      <w:fldChar w:fldCharType="begin"/>
    </w:r>
    <w:r w:rsidRPr="00D61A2C">
      <w:instrText xml:space="preserve"> PAGE   \* MERGEFORMAT </w:instrText>
    </w:r>
    <w:r w:rsidRPr="00D61A2C">
      <w:fldChar w:fldCharType="separate"/>
    </w:r>
    <w:r>
      <w:t>39</w:t>
    </w:r>
    <w:r w:rsidRPr="00D61A2C">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A545" w14:textId="77777777" w:rsidR="00EB70E0" w:rsidRDefault="00EB70E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E435" w14:textId="77777777" w:rsidR="00EB70E0" w:rsidRPr="00B964EB" w:rsidRDefault="00EB70E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BB4E" w14:textId="77777777" w:rsidR="00EB70E0" w:rsidRPr="00B964EB" w:rsidRDefault="00EB70E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66A4" w14:textId="77777777" w:rsidR="00EB70E0" w:rsidRPr="00B964EB" w:rsidRDefault="00EB70E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62AB" w14:textId="77777777" w:rsidR="00EB70E0" w:rsidRPr="00213CDE" w:rsidRDefault="00EB70E0">
    <w:pPr>
      <w:pStyle w:val="amprFooter-Left"/>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B8FB8" w14:textId="77777777" w:rsidR="00EB70E0" w:rsidRPr="00213CDE" w:rsidRDefault="00EB70E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58779" w14:textId="77777777" w:rsidR="00EB70E0" w:rsidRPr="00213CDE" w:rsidRDefault="00EB70E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846A" w14:textId="7DEC1823" w:rsidR="008842F9" w:rsidRPr="001F6DAD" w:rsidRDefault="001F6DAD" w:rsidP="001F6DAD">
    <w:pPr>
      <w:pStyle w:val="amprFooter-Left"/>
    </w:pPr>
    <w:r>
      <w:fldChar w:fldCharType="begin"/>
    </w:r>
    <w:r>
      <w:instrText xml:space="preserve"> PAGE \* MERGEFORMAT </w:instrText>
    </w:r>
    <w:r>
      <w:fldChar w:fldCharType="separate"/>
    </w:r>
    <w:r>
      <w:t>85</w:t>
    </w:r>
    <w: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BE40" w14:textId="11CAA9A5" w:rsidR="00403BBF" w:rsidRDefault="003A7BD6" w:rsidP="005A7122">
    <w:pPr>
      <w:pStyle w:val="amprFooter-Right"/>
    </w:pPr>
    <w:r>
      <w:fldChar w:fldCharType="begin"/>
    </w:r>
    <w:r>
      <w:instrText xml:space="preserve"> PAGE \* MERGEFORMAT </w:instrText>
    </w:r>
    <w:r>
      <w:fldChar w:fldCharType="separate"/>
    </w:r>
    <w:r w:rsidR="001D613A">
      <w:rPr>
        <w:noProof/>
      </w:rPr>
      <w:t>6</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3599" w14:textId="77777777" w:rsidR="008842F9" w:rsidRDefault="00884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7BC2E" w14:textId="77777777" w:rsidR="003C6B29" w:rsidRPr="005F4295" w:rsidRDefault="003C6B29">
      <w:pPr>
        <w:spacing w:before="0" w:after="0" w:line="240" w:lineRule="auto"/>
      </w:pPr>
      <w:r w:rsidRPr="005F4295">
        <w:separator/>
      </w:r>
    </w:p>
  </w:footnote>
  <w:footnote w:type="continuationSeparator" w:id="0">
    <w:p w14:paraId="2FF9A67C" w14:textId="77777777" w:rsidR="003C6B29" w:rsidRPr="005F4295" w:rsidRDefault="003C6B29">
      <w:pPr>
        <w:spacing w:before="0" w:after="0" w:line="240" w:lineRule="auto"/>
      </w:pPr>
      <w:r w:rsidRPr="005F4295">
        <w:continuationSeparator/>
      </w:r>
    </w:p>
  </w:footnote>
  <w:footnote w:id="1">
    <w:p w14:paraId="46C059B5" w14:textId="736B1A3A" w:rsidR="0037583E" w:rsidRPr="005F4295" w:rsidRDefault="0037583E" w:rsidP="003C65D8">
      <w:pPr>
        <w:pStyle w:val="FootnoteText"/>
      </w:pPr>
      <w:r w:rsidRPr="005F4295">
        <w:t>(</w:t>
      </w:r>
      <w:r w:rsidRPr="005F4295">
        <w:rPr>
          <w:rStyle w:val="FootnoteReference"/>
        </w:rPr>
        <w:footnoteRef/>
      </w:r>
      <w:r w:rsidRPr="005F4295">
        <w:t>)</w:t>
      </w:r>
      <w:r w:rsidR="003C65D8" w:rsidRPr="005F4295">
        <w:tab/>
      </w:r>
      <w:r w:rsidR="00D7092C" w:rsidRPr="005F4295">
        <w:t>Expenditure</w:t>
      </w:r>
      <w:r w:rsidR="007453AD" w:rsidRPr="005F4295">
        <w:t>-</w:t>
      </w:r>
      <w:r w:rsidR="00D7092C" w:rsidRPr="005F4295">
        <w:t xml:space="preserve">based </w:t>
      </w:r>
      <w:r w:rsidR="008E27E8" w:rsidRPr="005F4295">
        <w:t xml:space="preserve">simplified cost options such as lump sum </w:t>
      </w:r>
      <w:r w:rsidR="00F20E8C" w:rsidRPr="005F4295">
        <w:t xml:space="preserve">or financing not linked to costs </w:t>
      </w:r>
      <w:r w:rsidR="008E27E8" w:rsidRPr="005F4295">
        <w:t>are also included</w:t>
      </w:r>
      <w:r w:rsidR="00D7092C" w:rsidRPr="005F4295">
        <w:t xml:space="preserve"> </w:t>
      </w:r>
      <w:r w:rsidR="008E27E8" w:rsidRPr="005F4295">
        <w:t xml:space="preserve">in this </w:t>
      </w:r>
      <w:r w:rsidR="00310735" w:rsidRPr="005F4295">
        <w:t>category</w:t>
      </w:r>
      <w:r w:rsidR="007453AD" w:rsidRPr="005F4295">
        <w:t>.</w:t>
      </w:r>
    </w:p>
  </w:footnote>
  <w:footnote w:id="2">
    <w:p w14:paraId="5D6670DF" w14:textId="415CE80B" w:rsidR="00FB4EC6" w:rsidRPr="005F4295" w:rsidRDefault="00FB4EC6" w:rsidP="003C65D8">
      <w:pPr>
        <w:pStyle w:val="FootnoteText"/>
        <w:rPr>
          <w:rFonts w:asciiTheme="minorHAnsi" w:hAnsiTheme="minorHAnsi"/>
        </w:rPr>
      </w:pPr>
      <w:r w:rsidRPr="005F4295">
        <w:rPr>
          <w:rFonts w:asciiTheme="minorHAnsi" w:hAnsiTheme="minorHAnsi"/>
        </w:rPr>
        <w:t>(</w:t>
      </w:r>
      <w:r w:rsidRPr="005F4295">
        <w:rPr>
          <w:rStyle w:val="FootnoteReference"/>
        </w:rPr>
        <w:footnoteRef/>
      </w:r>
      <w:r w:rsidRPr="005F4295">
        <w:rPr>
          <w:rFonts w:asciiTheme="minorHAnsi" w:hAnsiTheme="minorHAnsi"/>
        </w:rPr>
        <w:t>)</w:t>
      </w:r>
      <w:r w:rsidR="003C65D8" w:rsidRPr="005F4295">
        <w:rPr>
          <w:rFonts w:asciiTheme="minorHAnsi" w:hAnsiTheme="minorHAnsi"/>
        </w:rPr>
        <w:tab/>
      </w:r>
      <w:r w:rsidRPr="005F4295">
        <w:rPr>
          <w:noProof/>
        </w:rPr>
        <w:t>Article</w:t>
      </w:r>
      <w:r w:rsidRPr="005F4295">
        <w:rPr>
          <w:rFonts w:ascii="Calibri" w:hAnsi="Calibri" w:cs="Calibri"/>
          <w:noProof/>
        </w:rPr>
        <w:t> </w:t>
      </w:r>
      <w:r w:rsidRPr="005F4295">
        <w:rPr>
          <w:noProof/>
        </w:rPr>
        <w:t xml:space="preserve">74(5) of </w:t>
      </w:r>
      <w:r w:rsidRPr="005F4295">
        <w:t>Regulation (EU, Euratom) 2024/2509 of the European Parliament and of the Council of 23</w:t>
      </w:r>
      <w:r w:rsidRPr="005F4295">
        <w:rPr>
          <w:rFonts w:ascii="Calibri" w:hAnsi="Calibri" w:cs="Calibri"/>
        </w:rPr>
        <w:t> </w:t>
      </w:r>
      <w:r w:rsidRPr="005F4295">
        <w:t>September 2024 on the financial rules applicable to the general budget of the Union</w:t>
      </w:r>
      <w:r w:rsidR="009B2ABD" w:rsidRPr="005F4295">
        <w:t xml:space="preserve"> (</w:t>
      </w:r>
      <w:r w:rsidRPr="005F4295">
        <w:t xml:space="preserve">OJ L, 2024/2509, 26.9.2024, ELI: </w:t>
      </w:r>
      <w:hyperlink r:id="rId1" w:history="1">
        <w:r w:rsidRPr="005F4295">
          <w:rPr>
            <w:rStyle w:val="Hyperlink"/>
          </w:rPr>
          <w:t>http://data.europa.eu/eli/reg/2024/2509/oj</w:t>
        </w:r>
      </w:hyperlink>
      <w:r w:rsidRPr="005F4295">
        <w:t>).</w:t>
      </w:r>
    </w:p>
  </w:footnote>
  <w:footnote w:id="3">
    <w:p w14:paraId="4B06C1A0" w14:textId="153AC8CD" w:rsidR="00827E45" w:rsidRPr="005F4295" w:rsidRDefault="00827E45" w:rsidP="003C65D8">
      <w:pPr>
        <w:pStyle w:val="FootnoteText"/>
      </w:pPr>
      <w:r w:rsidRPr="005F4295">
        <w:t>(</w:t>
      </w:r>
      <w:r w:rsidRPr="005F4295">
        <w:rPr>
          <w:rStyle w:val="FootnoteReference"/>
        </w:rPr>
        <w:footnoteRef/>
      </w:r>
      <w:r w:rsidRPr="005F4295">
        <w:t>)</w:t>
      </w:r>
      <w:r w:rsidR="003C65D8" w:rsidRPr="005F4295">
        <w:tab/>
      </w:r>
      <w:r w:rsidRPr="005F4295">
        <w:t>Article</w:t>
      </w:r>
      <w:r w:rsidR="00E470A3" w:rsidRPr="005F4295">
        <w:rPr>
          <w:rFonts w:ascii="Calibri" w:hAnsi="Calibri" w:cs="Calibri"/>
        </w:rPr>
        <w:t> </w:t>
      </w:r>
      <w:r w:rsidRPr="005F4295">
        <w:t>74(6) of the Financial Regulation.</w:t>
      </w:r>
    </w:p>
  </w:footnote>
  <w:footnote w:id="4">
    <w:p w14:paraId="6A323631" w14:textId="3418696B"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Such corrections are not sanctions and do not include penalties and fines.</w:t>
      </w:r>
    </w:p>
  </w:footnote>
  <w:footnote w:id="5">
    <w:p w14:paraId="2355D507" w14:textId="7E32CD34" w:rsidR="00EB70E0" w:rsidRPr="005F4295" w:rsidRDefault="00EB70E0" w:rsidP="003C65D8">
      <w:pPr>
        <w:pStyle w:val="FootnoteText"/>
        <w:rPr>
          <w:rFonts w:eastAsia="EC Square Sans Pro"/>
          <w:color w:val="000000" w:themeColor="text1"/>
        </w:rPr>
      </w:pPr>
      <w:r w:rsidRPr="005F4295">
        <w:t>(</w:t>
      </w:r>
      <w:r w:rsidRPr="005F4295">
        <w:rPr>
          <w:rStyle w:val="FootnoteReference"/>
        </w:rPr>
        <w:footnoteRef/>
      </w:r>
      <w:r w:rsidRPr="005F4295">
        <w:t>)</w:t>
      </w:r>
      <w:r w:rsidR="003C65D8" w:rsidRPr="005F4295">
        <w:tab/>
      </w:r>
      <w:r w:rsidRPr="005F4295">
        <w:t>Or equivalent, such as after the expenditure is accepted (i.e. registered in the Commission’s accounting system) or after the pre-financing is cleared.</w:t>
      </w:r>
    </w:p>
  </w:footnote>
  <w:footnote w:id="6">
    <w:p w14:paraId="2EDA32EE" w14:textId="1343CFBA"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For example, ‘adjusted error rates’ is used by DG Agriculture and Rural Development and ‘residual total error rates’ is used by DG Employment, Social Affairs and Inclusion, DG Maritime Affairs and Fisheries and DG Regional and Urban Policy.</w:t>
      </w:r>
    </w:p>
  </w:footnote>
  <w:footnote w:id="7">
    <w:p w14:paraId="03E08F95" w14:textId="1F4150F3"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00BD5C12" w:rsidRPr="005F4295">
        <w:t>For</w:t>
      </w:r>
      <w:r w:rsidRPr="005F4295">
        <w:t xml:space="preserve"> the common agricultural policy, the term ‘estimated final amount at risk’ is used instead, to better reflect the fact that there is no set closure point for European Agricultural Guarantee Fund measures.</w:t>
      </w:r>
      <w:r w:rsidR="00460C23" w:rsidRPr="005F4295">
        <w:t xml:space="preserve"> For cohesion policy funds, after the final assessment of legality and regularity of the programmes.</w:t>
      </w:r>
    </w:p>
  </w:footnote>
  <w:footnote w:id="8">
    <w:p w14:paraId="354B3D11" w14:textId="390E9221" w:rsidR="008E3974" w:rsidRPr="005F4295" w:rsidRDefault="008E3974" w:rsidP="003C65D8">
      <w:pPr>
        <w:pStyle w:val="FootnoteText"/>
      </w:pPr>
      <w:r w:rsidRPr="005F4295">
        <w:t>(</w:t>
      </w:r>
      <w:r w:rsidRPr="005F4295">
        <w:rPr>
          <w:rStyle w:val="FootnoteReference"/>
        </w:rPr>
        <w:footnoteRef/>
      </w:r>
      <w:r w:rsidRPr="005F4295">
        <w:t>)</w:t>
      </w:r>
      <w:r w:rsidR="003C65D8" w:rsidRPr="005F4295">
        <w:tab/>
      </w:r>
      <w:r w:rsidRPr="005F4295">
        <w:t>The only exceptions are: (i) 1% for revenue, which is stricter than the Court of Auditors, in view of the very large amounts; and (ii) the range of 2–5% for the Horizon 2020 programme (see details in Volume</w:t>
      </w:r>
      <w:r w:rsidRPr="005F4295">
        <w:rPr>
          <w:rFonts w:ascii="Calibri" w:hAnsi="Calibri" w:cs="Calibri"/>
        </w:rPr>
        <w:t> </w:t>
      </w:r>
      <w:r w:rsidRPr="005F4295">
        <w:t>II, Annex</w:t>
      </w:r>
      <w:r w:rsidRPr="005F4295">
        <w:rPr>
          <w:rFonts w:ascii="Calibri" w:hAnsi="Calibri" w:cs="Calibri"/>
        </w:rPr>
        <w:t> </w:t>
      </w:r>
      <w:r w:rsidRPr="005F4295">
        <w:t>II, Section</w:t>
      </w:r>
      <w:r w:rsidRPr="005F4295">
        <w:rPr>
          <w:rFonts w:ascii="Calibri" w:hAnsi="Calibri" w:cs="Calibri"/>
        </w:rPr>
        <w:t> </w:t>
      </w:r>
      <w:r w:rsidRPr="005F4295">
        <w:t>2.1.2 of this report).</w:t>
      </w:r>
    </w:p>
  </w:footnote>
  <w:footnote w:id="9">
    <w:p w14:paraId="227285CD" w14:textId="11B22FAC" w:rsidR="008E3974" w:rsidRPr="005F4295" w:rsidRDefault="008E3974" w:rsidP="003C65D8">
      <w:pPr>
        <w:pStyle w:val="FootnoteText"/>
        <w:rPr>
          <w:rFonts w:asciiTheme="minorHAnsi" w:hAnsiTheme="minorHAnsi"/>
          <w:szCs w:val="18"/>
        </w:rPr>
      </w:pPr>
      <w:r w:rsidRPr="005F4295">
        <w:rPr>
          <w:rFonts w:asciiTheme="minorHAnsi" w:hAnsiTheme="minorHAnsi"/>
          <w:szCs w:val="18"/>
        </w:rPr>
        <w:t>(</w:t>
      </w:r>
      <w:r w:rsidRPr="005F4295">
        <w:rPr>
          <w:rStyle w:val="FootnoteReference"/>
        </w:rPr>
        <w:footnoteRef/>
      </w:r>
      <w:r w:rsidRPr="005F4295">
        <w:rPr>
          <w:rFonts w:asciiTheme="minorHAnsi" w:hAnsiTheme="minorHAnsi"/>
          <w:szCs w:val="18"/>
        </w:rPr>
        <w:t>)</w:t>
      </w:r>
      <w:r w:rsidR="003C65D8" w:rsidRPr="005F4295">
        <w:rPr>
          <w:rFonts w:asciiTheme="minorHAnsi" w:hAnsiTheme="minorHAnsi"/>
          <w:szCs w:val="18"/>
        </w:rPr>
        <w:tab/>
      </w:r>
      <w:r w:rsidRPr="005F4295">
        <w:rPr>
          <w:rFonts w:asciiTheme="minorHAnsi" w:hAnsiTheme="minorHAnsi"/>
          <w:szCs w:val="18"/>
        </w:rPr>
        <w:t xml:space="preserve">European Court of Auditors, </w:t>
      </w:r>
      <w:r w:rsidRPr="005F4295">
        <w:t>Annual report on the implementation of the EU budget for the 2023 financial year</w:t>
      </w:r>
      <w:r w:rsidRPr="005F4295">
        <w:rPr>
          <w:rFonts w:asciiTheme="minorHAnsi" w:hAnsiTheme="minorHAnsi"/>
          <w:szCs w:val="18"/>
        </w:rPr>
        <w:t>, Publications Office of the European Union, Luxembourg, 2024, Annex</w:t>
      </w:r>
      <w:r w:rsidRPr="005F4295">
        <w:rPr>
          <w:rFonts w:ascii="Calibri" w:hAnsi="Calibri" w:cs="Calibri"/>
          <w:szCs w:val="18"/>
        </w:rPr>
        <w:t> </w:t>
      </w:r>
      <w:r w:rsidRPr="005F4295">
        <w:rPr>
          <w:rFonts w:asciiTheme="minorHAnsi" w:hAnsiTheme="minorHAnsi"/>
          <w:szCs w:val="18"/>
        </w:rPr>
        <w:t>1.1, paragraph</w:t>
      </w:r>
      <w:r w:rsidRPr="005F4295">
        <w:rPr>
          <w:rFonts w:ascii="Calibri" w:hAnsi="Calibri" w:cs="Calibri"/>
          <w:szCs w:val="18"/>
        </w:rPr>
        <w:t> </w:t>
      </w:r>
      <w:r w:rsidRPr="005F4295">
        <w:rPr>
          <w:rFonts w:asciiTheme="minorHAnsi" w:hAnsiTheme="minorHAnsi" w:cs="Calibri"/>
          <w:szCs w:val="18"/>
        </w:rPr>
        <w:t xml:space="preserve">36, </w:t>
      </w:r>
      <w:hyperlink r:id="rId2" w:history="1">
        <w:r w:rsidRPr="005F4295">
          <w:rPr>
            <w:rStyle w:val="Hyperlink"/>
          </w:rPr>
          <w:t>https://www.eca.europa.eu/ECAPublications/AR-2023/AR-2023_EN.pdf</w:t>
        </w:r>
      </w:hyperlink>
      <w:r w:rsidRPr="005F4295">
        <w:rPr>
          <w:rFonts w:asciiTheme="minorHAnsi" w:hAnsiTheme="minorHAnsi"/>
          <w:szCs w:val="18"/>
        </w:rPr>
        <w:t>.</w:t>
      </w:r>
    </w:p>
  </w:footnote>
  <w:footnote w:id="10">
    <w:p w14:paraId="3199A929" w14:textId="329E7550" w:rsidR="00EB70E0" w:rsidRPr="005F4295" w:rsidRDefault="00EB70E0" w:rsidP="003C65D8">
      <w:pPr>
        <w:pStyle w:val="FootnoteText"/>
        <w:rPr>
          <w:rFonts w:asciiTheme="minorHAnsi" w:hAnsiTheme="minorHAnsi"/>
          <w:szCs w:val="18"/>
        </w:rPr>
      </w:pPr>
      <w:r w:rsidRPr="005F4295">
        <w:rPr>
          <w:rFonts w:asciiTheme="minorHAnsi" w:hAnsiTheme="minorHAnsi"/>
          <w:szCs w:val="18"/>
        </w:rPr>
        <w:t>(</w:t>
      </w:r>
      <w:r w:rsidRPr="005F4295">
        <w:rPr>
          <w:rStyle w:val="FootnoteReference"/>
        </w:rPr>
        <w:footnoteRef/>
      </w:r>
      <w:r w:rsidRPr="005F4295">
        <w:rPr>
          <w:rFonts w:asciiTheme="minorHAnsi" w:hAnsiTheme="minorHAnsi"/>
          <w:szCs w:val="18"/>
        </w:rPr>
        <w:t>)</w:t>
      </w:r>
      <w:r w:rsidR="003C65D8" w:rsidRPr="005F4295">
        <w:rPr>
          <w:rFonts w:asciiTheme="minorHAnsi" w:hAnsiTheme="minorHAnsi"/>
          <w:szCs w:val="18"/>
        </w:rPr>
        <w:tab/>
      </w:r>
      <w:r w:rsidRPr="005F4295">
        <w:rPr>
          <w:rFonts w:asciiTheme="minorHAnsi" w:hAnsiTheme="minorHAnsi"/>
          <w:szCs w:val="18"/>
        </w:rPr>
        <w:t xml:space="preserve">European Court of Auditors, </w:t>
      </w:r>
      <w:r w:rsidRPr="005F4295">
        <w:t xml:space="preserve">Annual report on the implementation of the EU budget for the </w:t>
      </w:r>
      <w:r w:rsidR="007C7BA6" w:rsidRPr="005F4295">
        <w:t xml:space="preserve">2024 </w:t>
      </w:r>
      <w:r w:rsidRPr="005F4295">
        <w:t>financial year</w:t>
      </w:r>
      <w:r w:rsidRPr="005F4295">
        <w:rPr>
          <w:rFonts w:asciiTheme="minorHAnsi" w:hAnsiTheme="minorHAnsi"/>
          <w:szCs w:val="18"/>
        </w:rPr>
        <w:t xml:space="preserve">, Publications Office of the European Union, Luxembourg, </w:t>
      </w:r>
      <w:r w:rsidR="007C7BA6" w:rsidRPr="005F4295">
        <w:rPr>
          <w:rFonts w:asciiTheme="minorHAnsi" w:hAnsiTheme="minorHAnsi"/>
          <w:szCs w:val="18"/>
        </w:rPr>
        <w:t>2025</w:t>
      </w:r>
      <w:r w:rsidRPr="005F4295">
        <w:rPr>
          <w:rFonts w:asciiTheme="minorHAnsi" w:hAnsiTheme="minorHAnsi"/>
          <w:szCs w:val="18"/>
        </w:rPr>
        <w:t>, paragraph</w:t>
      </w:r>
      <w:r w:rsidRPr="005F4295">
        <w:rPr>
          <w:rFonts w:ascii="Calibri" w:hAnsi="Calibri" w:cs="Calibri"/>
          <w:szCs w:val="18"/>
        </w:rPr>
        <w:t> </w:t>
      </w:r>
      <w:r w:rsidRPr="005F4295">
        <w:rPr>
          <w:rFonts w:asciiTheme="minorHAnsi" w:hAnsiTheme="minorHAnsi"/>
          <w:szCs w:val="18"/>
        </w:rPr>
        <w:t xml:space="preserve">1.31, </w:t>
      </w:r>
      <w:hyperlink r:id="rId3" w:history="1">
        <w:r w:rsidR="00ED3292" w:rsidRPr="005F4295">
          <w:rPr>
            <w:rStyle w:val="Hyperlink"/>
          </w:rPr>
          <w:t>https://www.eca.europa.eu/ECAPublications/AR-2024/AR-2024_EN.pdf</w:t>
        </w:r>
      </w:hyperlink>
      <w:r w:rsidRPr="005F4295">
        <w:rPr>
          <w:rFonts w:asciiTheme="minorHAnsi" w:hAnsiTheme="minorHAnsi"/>
          <w:szCs w:val="18"/>
        </w:rPr>
        <w:t>.</w:t>
      </w:r>
    </w:p>
  </w:footnote>
  <w:footnote w:id="11">
    <w:p w14:paraId="652ABE4E" w14:textId="28738E36" w:rsidR="00EB70E0" w:rsidRPr="005F4295" w:rsidRDefault="00EB70E0" w:rsidP="003C65D8">
      <w:pPr>
        <w:pStyle w:val="FootnoteText"/>
        <w:rPr>
          <w:rFonts w:asciiTheme="minorHAnsi" w:hAnsiTheme="minorHAnsi"/>
          <w:szCs w:val="18"/>
        </w:rPr>
      </w:pPr>
      <w:r w:rsidRPr="005F4295">
        <w:rPr>
          <w:rFonts w:asciiTheme="minorHAnsi" w:hAnsiTheme="minorHAnsi"/>
          <w:szCs w:val="18"/>
        </w:rPr>
        <w:t>(</w:t>
      </w:r>
      <w:r w:rsidRPr="005F4295">
        <w:rPr>
          <w:rStyle w:val="FootnoteReference"/>
        </w:rPr>
        <w:footnoteRef/>
      </w:r>
      <w:r w:rsidRPr="005F4295">
        <w:rPr>
          <w:rFonts w:asciiTheme="minorHAnsi" w:hAnsiTheme="minorHAnsi"/>
          <w:szCs w:val="18"/>
        </w:rPr>
        <w:t>)</w:t>
      </w:r>
      <w:r w:rsidR="003C65D8" w:rsidRPr="005F4295">
        <w:rPr>
          <w:rFonts w:asciiTheme="minorHAnsi" w:hAnsiTheme="minorHAnsi"/>
          <w:szCs w:val="18"/>
        </w:rPr>
        <w:tab/>
      </w:r>
      <w:r w:rsidRPr="005F4295">
        <w:rPr>
          <w:rFonts w:asciiTheme="minorHAnsi" w:hAnsiTheme="minorHAnsi"/>
          <w:szCs w:val="18"/>
        </w:rPr>
        <w:t xml:space="preserve">European Court of Auditors, </w:t>
      </w:r>
      <w:r w:rsidRPr="005F4295">
        <w:t xml:space="preserve">Annual report on the implementation of the EU budget for the </w:t>
      </w:r>
      <w:r w:rsidR="00FF03A9" w:rsidRPr="005F4295">
        <w:t xml:space="preserve">2024 </w:t>
      </w:r>
      <w:r w:rsidRPr="005F4295">
        <w:t>financial year</w:t>
      </w:r>
      <w:r w:rsidRPr="005F4295">
        <w:rPr>
          <w:rFonts w:asciiTheme="minorHAnsi" w:hAnsiTheme="minorHAnsi"/>
          <w:szCs w:val="18"/>
        </w:rPr>
        <w:t xml:space="preserve">, Publications Office of the European Union, Luxembourg, </w:t>
      </w:r>
      <w:r w:rsidR="005D7E71" w:rsidRPr="005F4295">
        <w:rPr>
          <w:rFonts w:asciiTheme="minorHAnsi" w:hAnsiTheme="minorHAnsi"/>
          <w:szCs w:val="18"/>
        </w:rPr>
        <w:t>2025</w:t>
      </w:r>
      <w:r w:rsidRPr="005F4295">
        <w:rPr>
          <w:rFonts w:asciiTheme="minorHAnsi" w:hAnsiTheme="minorHAnsi"/>
          <w:szCs w:val="18"/>
        </w:rPr>
        <w:t>, Annex</w:t>
      </w:r>
      <w:r w:rsidRPr="005F4295">
        <w:rPr>
          <w:rFonts w:ascii="Calibri" w:hAnsi="Calibri" w:cs="Calibri"/>
          <w:szCs w:val="18"/>
        </w:rPr>
        <w:t> </w:t>
      </w:r>
      <w:r w:rsidRPr="005F4295">
        <w:rPr>
          <w:rFonts w:asciiTheme="minorHAnsi" w:hAnsiTheme="minorHAnsi"/>
          <w:szCs w:val="18"/>
        </w:rPr>
        <w:t>1.1, paragraph</w:t>
      </w:r>
      <w:r w:rsidRPr="005F4295">
        <w:rPr>
          <w:rFonts w:ascii="Calibri" w:hAnsi="Calibri" w:cs="Calibri"/>
          <w:szCs w:val="18"/>
        </w:rPr>
        <w:t> </w:t>
      </w:r>
      <w:r w:rsidRPr="005F4295">
        <w:rPr>
          <w:rFonts w:asciiTheme="minorHAnsi" w:hAnsiTheme="minorHAnsi"/>
          <w:szCs w:val="18"/>
        </w:rPr>
        <w:t xml:space="preserve">19, </w:t>
      </w:r>
      <w:hyperlink r:id="rId4" w:history="1">
        <w:r w:rsidR="005D7E71" w:rsidRPr="005F4295">
          <w:rPr>
            <w:rStyle w:val="Hyperlink"/>
          </w:rPr>
          <w:t>https://www.eca.europa.eu/ECAPublications/AR-2024/AR-2024_EN.pdf</w:t>
        </w:r>
      </w:hyperlink>
      <w:r w:rsidRPr="005F4295">
        <w:rPr>
          <w:rFonts w:asciiTheme="minorHAnsi" w:hAnsiTheme="minorHAnsi"/>
          <w:szCs w:val="18"/>
        </w:rPr>
        <w:t>.</w:t>
      </w:r>
    </w:p>
  </w:footnote>
  <w:footnote w:id="12">
    <w:p w14:paraId="33D3B424" w14:textId="120AA570"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For cohesion funds.</w:t>
      </w:r>
      <w:r w:rsidR="009F503D" w:rsidRPr="005F4295">
        <w:t>S</w:t>
      </w:r>
    </w:p>
  </w:footnote>
  <w:footnote w:id="13">
    <w:p w14:paraId="742C95F4" w14:textId="7788A87A" w:rsidR="00691461" w:rsidRPr="005F4295" w:rsidRDefault="00691461" w:rsidP="003C65D8">
      <w:pPr>
        <w:pStyle w:val="FootnoteText"/>
      </w:pPr>
      <w:r w:rsidRPr="005F4295">
        <w:t>(</w:t>
      </w:r>
      <w:r w:rsidRPr="005F4295">
        <w:rPr>
          <w:rStyle w:val="FootnoteReference"/>
        </w:rPr>
        <w:footnoteRef/>
      </w:r>
      <w:r w:rsidRPr="005F4295">
        <w:t>)</w:t>
      </w:r>
      <w:r w:rsidR="003C65D8" w:rsidRPr="005F4295">
        <w:tab/>
      </w:r>
      <w:r w:rsidRPr="005F4295">
        <w:t>DG Education, Youth, Sport and Culture, DG International Partnerships, DG European Civil Protection and Humanitarian Aid Operations and the European Education and Culture Executive Agency.</w:t>
      </w:r>
    </w:p>
  </w:footnote>
  <w:footnote w:id="14">
    <w:p w14:paraId="7DF47D0E" w14:textId="2F73C296" w:rsidR="006B2262" w:rsidRPr="005F4295" w:rsidRDefault="006B2262" w:rsidP="003C65D8">
      <w:pPr>
        <w:pStyle w:val="FootnoteText"/>
      </w:pPr>
      <w:r w:rsidRPr="005F4295">
        <w:t>(</w:t>
      </w:r>
      <w:r w:rsidRPr="005F4295">
        <w:rPr>
          <w:rStyle w:val="FootnoteReference"/>
        </w:rPr>
        <w:footnoteRef/>
      </w:r>
      <w:r w:rsidRPr="005F4295">
        <w:t>)</w:t>
      </w:r>
      <w:r w:rsidR="003C65D8" w:rsidRPr="005F4295">
        <w:tab/>
      </w:r>
      <w:r w:rsidRPr="005F4295">
        <w:t>DG Enlargement and Eastern Neighbourhood, and DG International Partnerships.</w:t>
      </w:r>
    </w:p>
  </w:footnote>
  <w:footnote w:id="15">
    <w:p w14:paraId="6EFB84B9" w14:textId="274E750D"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 xml:space="preserve">European Court of Auditors, Annual report on the implementation of the EU budget for the </w:t>
      </w:r>
      <w:r w:rsidR="005D7E71" w:rsidRPr="005F4295">
        <w:t xml:space="preserve">2024 </w:t>
      </w:r>
      <w:r w:rsidRPr="005F4295">
        <w:t xml:space="preserve">financial year, Publications Office of the European Union, Luxembourg, </w:t>
      </w:r>
      <w:r w:rsidR="005D7E71" w:rsidRPr="005F4295">
        <w:t>2025</w:t>
      </w:r>
      <w:r w:rsidRPr="005F4295">
        <w:t>, Chapter</w:t>
      </w:r>
      <w:r w:rsidRPr="005F4295">
        <w:rPr>
          <w:rFonts w:ascii="Calibri" w:hAnsi="Calibri" w:cs="Calibri"/>
        </w:rPr>
        <w:t> </w:t>
      </w:r>
      <w:r w:rsidRPr="005F4295">
        <w:t>1, Annex</w:t>
      </w:r>
      <w:r w:rsidRPr="005F4295">
        <w:rPr>
          <w:rFonts w:ascii="Calibri" w:hAnsi="Calibri" w:cs="Calibri"/>
        </w:rPr>
        <w:t> </w:t>
      </w:r>
      <w:r w:rsidRPr="005F4295">
        <w:t>1.1, paragraph</w:t>
      </w:r>
      <w:r w:rsidRPr="005F4295">
        <w:rPr>
          <w:rFonts w:ascii="Calibri" w:hAnsi="Calibri" w:cs="Calibri"/>
        </w:rPr>
        <w:t> </w:t>
      </w:r>
      <w:r w:rsidRPr="005F4295">
        <w:t xml:space="preserve">36, </w:t>
      </w:r>
      <w:hyperlink r:id="rId5" w:history="1">
        <w:r w:rsidR="00185A20" w:rsidRPr="005F4295">
          <w:rPr>
            <w:rStyle w:val="Hyperlink"/>
          </w:rPr>
          <w:t>https://www.eca.europa.eu/ECAPublications/AR-2024/AR-2024_EN.pdf</w:t>
        </w:r>
      </w:hyperlink>
      <w:r w:rsidRPr="005F4295">
        <w:t>.</w:t>
      </w:r>
    </w:p>
  </w:footnote>
  <w:footnote w:id="16">
    <w:p w14:paraId="421F95CF" w14:textId="31952F39"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Reservations are non-quantified when the financial impact is zero, when it is not possible to assess the financial impact accurately or when the consequences are only reputational.</w:t>
      </w:r>
    </w:p>
  </w:footnote>
  <w:footnote w:id="17">
    <w:p w14:paraId="50C2EF8E" w14:textId="41E763C8" w:rsidR="00EB70E0" w:rsidRPr="005F4295" w:rsidRDefault="00EB70E0" w:rsidP="003C65D8">
      <w:pPr>
        <w:pStyle w:val="FootnoteText"/>
        <w:rPr>
          <w:rFonts w:asciiTheme="minorHAnsi" w:hAnsiTheme="minorHAnsi"/>
          <w:szCs w:val="18"/>
        </w:rPr>
      </w:pPr>
      <w:r w:rsidRPr="005F4295">
        <w:rPr>
          <w:rFonts w:asciiTheme="minorHAnsi" w:hAnsiTheme="minorHAnsi"/>
          <w:szCs w:val="18"/>
        </w:rPr>
        <w:t>(</w:t>
      </w:r>
      <w:r w:rsidRPr="005F4295">
        <w:rPr>
          <w:rStyle w:val="FootnoteReference"/>
        </w:rPr>
        <w:footnoteRef/>
      </w:r>
      <w:r w:rsidRPr="005F4295">
        <w:rPr>
          <w:rFonts w:asciiTheme="minorHAnsi" w:hAnsiTheme="minorHAnsi"/>
          <w:szCs w:val="18"/>
        </w:rPr>
        <w:t>)</w:t>
      </w:r>
      <w:r w:rsidR="003C65D8" w:rsidRPr="005F4295">
        <w:rPr>
          <w:rFonts w:asciiTheme="minorHAnsi" w:hAnsiTheme="minorHAnsi"/>
          <w:szCs w:val="18"/>
        </w:rPr>
        <w:tab/>
      </w:r>
      <w:r w:rsidRPr="005F4295">
        <w:rPr>
          <w:rFonts w:asciiTheme="minorHAnsi" w:hAnsiTheme="minorHAnsi"/>
          <w:szCs w:val="18"/>
        </w:rPr>
        <w:t>European Commission: Directorate-General for Communication</w:t>
      </w:r>
      <w:r w:rsidR="008458DB" w:rsidRPr="005F4295">
        <w:rPr>
          <w:rFonts w:asciiTheme="minorHAnsi" w:hAnsiTheme="minorHAnsi"/>
          <w:szCs w:val="18"/>
        </w:rPr>
        <w:t xml:space="preserve"> (</w:t>
      </w:r>
      <w:r w:rsidR="0059644C" w:rsidRPr="005F4295">
        <w:rPr>
          <w:rFonts w:asciiTheme="minorHAnsi" w:hAnsiTheme="minorHAnsi"/>
          <w:szCs w:val="18"/>
        </w:rPr>
        <w:t>n.d.)</w:t>
      </w:r>
      <w:r w:rsidRPr="005F4295">
        <w:rPr>
          <w:rFonts w:asciiTheme="minorHAnsi" w:hAnsiTheme="minorHAnsi"/>
          <w:szCs w:val="18"/>
        </w:rPr>
        <w:t xml:space="preserve">, </w:t>
      </w:r>
      <w:r w:rsidRPr="005F4295">
        <w:t>‘</w:t>
      </w:r>
      <w:r w:rsidRPr="005F4295">
        <w:rPr>
          <w:rFonts w:asciiTheme="minorHAnsi" w:hAnsiTheme="minorHAnsi"/>
          <w:szCs w:val="18"/>
        </w:rPr>
        <w:t xml:space="preserve">Annual activity reports’, European Commission website, </w:t>
      </w:r>
      <w:hyperlink r:id="rId6" w:history="1">
        <w:r w:rsidRPr="005F4295">
          <w:rPr>
            <w:rStyle w:val="Hyperlink"/>
          </w:rPr>
          <w:t>https://commission.europa.eu/strategy-and-policy/strategy-documents/annual-activity-reports_en</w:t>
        </w:r>
      </w:hyperlink>
      <w:r w:rsidRPr="005F4295">
        <w:rPr>
          <w:rFonts w:asciiTheme="minorHAnsi" w:hAnsiTheme="minorHAnsi"/>
          <w:szCs w:val="18"/>
        </w:rPr>
        <w:t>.</w:t>
      </w:r>
    </w:p>
  </w:footnote>
  <w:footnote w:id="18">
    <w:p w14:paraId="3F28C3D7" w14:textId="43E30737" w:rsidR="000D22C9" w:rsidRPr="005F4295" w:rsidRDefault="000D22C9" w:rsidP="003C65D8">
      <w:pPr>
        <w:pStyle w:val="FootnoteText"/>
      </w:pPr>
      <w:r w:rsidRPr="005F4295">
        <w:t>(</w:t>
      </w:r>
      <w:r w:rsidRPr="005F4295">
        <w:rPr>
          <w:rStyle w:val="FootnoteReference"/>
        </w:rPr>
        <w:footnoteRef/>
      </w:r>
      <w:r w:rsidRPr="005F4295">
        <w:t>)</w:t>
      </w:r>
      <w:r w:rsidR="003C65D8" w:rsidRPr="005F4295">
        <w:tab/>
      </w:r>
      <w:r w:rsidRPr="005F4295">
        <w:t>One reservation issued in 2024 by the Directorate-General for Neighbourhood and Enlargement Negotiations, concerning external constraints affecting the control of financial programmes in Libya, Syria and Ukraine, is reflected in the 2025 AARs of DG Enlargement and Eastern Neighbourhood (Ukraine) and Directorate-General for the Middle East, North Africa and the Gulf (Syria, Libya and Palestine).</w:t>
      </w:r>
    </w:p>
  </w:footnote>
  <w:footnote w:id="19">
    <w:p w14:paraId="7CE1E0B0" w14:textId="358005E7" w:rsidR="00F84364" w:rsidRPr="005F4295" w:rsidRDefault="00F84364" w:rsidP="003C65D8">
      <w:pPr>
        <w:pStyle w:val="FootnoteText"/>
      </w:pPr>
      <w:r w:rsidRPr="005F4295">
        <w:t>(</w:t>
      </w:r>
      <w:r w:rsidRPr="005F4295">
        <w:rPr>
          <w:rStyle w:val="FootnoteReference"/>
        </w:rPr>
        <w:footnoteRef/>
      </w:r>
      <w:r w:rsidRPr="005F4295">
        <w:t>)</w:t>
      </w:r>
      <w:r w:rsidR="003C65D8" w:rsidRPr="005F4295">
        <w:tab/>
      </w:r>
      <w:r w:rsidRPr="005F4295">
        <w:rPr>
          <w:rFonts w:eastAsia="EC Square Sans Pro"/>
          <w:noProof/>
        </w:rPr>
        <w:t>Regulation (EU) 2024/795 of the European Parliament and of the Council of 29</w:t>
      </w:r>
      <w:r w:rsidRPr="005F4295">
        <w:rPr>
          <w:rFonts w:ascii="Calibri" w:eastAsia="EC Square Sans Pro" w:hAnsi="Calibri" w:cs="Calibri"/>
          <w:noProof/>
        </w:rPr>
        <w:t> </w:t>
      </w:r>
      <w:r w:rsidRPr="005F4295">
        <w:rPr>
          <w:rFonts w:eastAsia="EC Square Sans Pro"/>
          <w:noProof/>
        </w:rPr>
        <w:t>February 2024 establishing the Strategic Technologies for Europe Platform (STEP), and amending Directive</w:t>
      </w:r>
      <w:r w:rsidR="00660875" w:rsidRPr="005F4295">
        <w:rPr>
          <w:rFonts w:eastAsia="EC Square Sans Pro"/>
          <w:noProof/>
        </w:rPr>
        <w:t xml:space="preserve"> </w:t>
      </w:r>
      <w:r w:rsidRPr="005F4295">
        <w:rPr>
          <w:rFonts w:eastAsia="EC Square Sans Pro"/>
          <w:noProof/>
        </w:rPr>
        <w:t>2003/87/EC and Regulations (EU)</w:t>
      </w:r>
      <w:r w:rsidR="00660875" w:rsidRPr="005F4295">
        <w:rPr>
          <w:rFonts w:eastAsia="EC Square Sans Pro"/>
          <w:noProof/>
        </w:rPr>
        <w:t xml:space="preserve"> </w:t>
      </w:r>
      <w:r w:rsidRPr="005F4295">
        <w:rPr>
          <w:rFonts w:eastAsia="EC Square Sans Pro"/>
          <w:noProof/>
        </w:rPr>
        <w:t>2021/1058, (EU)</w:t>
      </w:r>
      <w:r w:rsidR="00660875" w:rsidRPr="005F4295">
        <w:rPr>
          <w:rFonts w:eastAsia="EC Square Sans Pro"/>
          <w:noProof/>
        </w:rPr>
        <w:t xml:space="preserve"> </w:t>
      </w:r>
      <w:r w:rsidRPr="005F4295">
        <w:rPr>
          <w:rFonts w:eastAsia="EC Square Sans Pro"/>
          <w:noProof/>
        </w:rPr>
        <w:t>2021/1056, (EU)</w:t>
      </w:r>
      <w:r w:rsidR="00660875" w:rsidRPr="005F4295">
        <w:rPr>
          <w:rFonts w:eastAsia="EC Square Sans Pro"/>
          <w:noProof/>
        </w:rPr>
        <w:t xml:space="preserve"> </w:t>
      </w:r>
      <w:r w:rsidRPr="005F4295">
        <w:rPr>
          <w:rFonts w:eastAsia="EC Square Sans Pro"/>
          <w:noProof/>
        </w:rPr>
        <w:t>2021/1057, (EU) No</w:t>
      </w:r>
      <w:r w:rsidRPr="005F4295">
        <w:rPr>
          <w:rFonts w:ascii="Calibri" w:eastAsia="EC Square Sans Pro" w:hAnsi="Calibri" w:cs="Calibri"/>
          <w:noProof/>
        </w:rPr>
        <w:t> </w:t>
      </w:r>
      <w:r w:rsidRPr="005F4295">
        <w:rPr>
          <w:rFonts w:eastAsia="EC Square Sans Pro"/>
          <w:noProof/>
        </w:rPr>
        <w:t>1303/2013, (EU) No</w:t>
      </w:r>
      <w:r w:rsidRPr="005F4295">
        <w:rPr>
          <w:rFonts w:ascii="Calibri" w:eastAsia="EC Square Sans Pro" w:hAnsi="Calibri" w:cs="Calibri"/>
          <w:noProof/>
        </w:rPr>
        <w:t> </w:t>
      </w:r>
      <w:r w:rsidRPr="005F4295">
        <w:rPr>
          <w:rFonts w:eastAsia="EC Square Sans Pro"/>
          <w:noProof/>
        </w:rPr>
        <w:t>223/2014, (EU)</w:t>
      </w:r>
      <w:r w:rsidR="00CE7748" w:rsidRPr="005F4295">
        <w:rPr>
          <w:rFonts w:eastAsia="EC Square Sans Pro"/>
          <w:noProof/>
        </w:rPr>
        <w:t xml:space="preserve"> </w:t>
      </w:r>
      <w:r w:rsidRPr="005F4295">
        <w:rPr>
          <w:rFonts w:eastAsia="EC Square Sans Pro"/>
          <w:noProof/>
        </w:rPr>
        <w:t>2021/1060, (EU)</w:t>
      </w:r>
      <w:r w:rsidR="00CE7748" w:rsidRPr="005F4295">
        <w:rPr>
          <w:rFonts w:eastAsia="EC Square Sans Pro"/>
          <w:noProof/>
        </w:rPr>
        <w:t xml:space="preserve"> </w:t>
      </w:r>
      <w:r w:rsidRPr="005F4295">
        <w:rPr>
          <w:rFonts w:eastAsia="EC Square Sans Pro"/>
          <w:noProof/>
        </w:rPr>
        <w:t>2021/523, (EU)</w:t>
      </w:r>
      <w:r w:rsidR="00CE7748" w:rsidRPr="005F4295">
        <w:rPr>
          <w:rFonts w:eastAsia="EC Square Sans Pro"/>
          <w:noProof/>
        </w:rPr>
        <w:t xml:space="preserve"> </w:t>
      </w:r>
      <w:r w:rsidRPr="005F4295">
        <w:rPr>
          <w:rFonts w:eastAsia="EC Square Sans Pro"/>
          <w:noProof/>
        </w:rPr>
        <w:t>2021/695, (EU)</w:t>
      </w:r>
      <w:r w:rsidR="00CE7748" w:rsidRPr="005F4295">
        <w:rPr>
          <w:rFonts w:eastAsia="EC Square Sans Pro"/>
          <w:noProof/>
        </w:rPr>
        <w:t xml:space="preserve"> </w:t>
      </w:r>
      <w:r w:rsidRPr="005F4295">
        <w:rPr>
          <w:rFonts w:eastAsia="EC Square Sans Pro"/>
          <w:noProof/>
        </w:rPr>
        <w:t>2021/697 and (EU)</w:t>
      </w:r>
      <w:r w:rsidR="00CE7748" w:rsidRPr="005F4295">
        <w:rPr>
          <w:rFonts w:eastAsia="EC Square Sans Pro"/>
          <w:noProof/>
        </w:rPr>
        <w:t xml:space="preserve"> </w:t>
      </w:r>
      <w:r w:rsidRPr="005F4295">
        <w:rPr>
          <w:rFonts w:eastAsia="EC Square Sans Pro"/>
          <w:noProof/>
        </w:rPr>
        <w:t>2021/241 (OJ L, 2024/795, 29.2.2024</w:t>
      </w:r>
      <w:r w:rsidR="00C26980" w:rsidRPr="005F4295">
        <w:rPr>
          <w:rFonts w:eastAsia="EC Square Sans Pro"/>
          <w:noProof/>
        </w:rPr>
        <w:t>,</w:t>
      </w:r>
      <w:r w:rsidR="00F01CD4" w:rsidRPr="005F4295">
        <w:rPr>
          <w:rFonts w:eastAsia="EC Square Sans Pro"/>
          <w:noProof/>
        </w:rPr>
        <w:t xml:space="preserve"> </w:t>
      </w:r>
      <w:r w:rsidRPr="005F4295">
        <w:rPr>
          <w:rFonts w:eastAsia="EC Square Sans Pro"/>
          <w:noProof/>
        </w:rPr>
        <w:t>ELI:</w:t>
      </w:r>
      <w:r w:rsidRPr="005F4295">
        <w:rPr>
          <w:rFonts w:ascii="Calibri" w:eastAsia="EC Square Sans Pro" w:hAnsi="Calibri" w:cs="Calibri"/>
          <w:noProof/>
        </w:rPr>
        <w:t> </w:t>
      </w:r>
      <w:hyperlink r:id="rId7" w:tgtFrame="_blank" w:tooltip="Gives access to this document through its ELI URI." w:history="1">
        <w:r w:rsidRPr="005F4295">
          <w:rPr>
            <w:rStyle w:val="Hyperlink"/>
            <w:rFonts w:eastAsia="EC Square Sans Pro" w:cs="EC Square Sans Pro"/>
            <w:noProof/>
          </w:rPr>
          <w:t>http://data.europa.eu/eli/reg/2024/795/oj</w:t>
        </w:r>
      </w:hyperlink>
      <w:r w:rsidRPr="005F4295">
        <w:rPr>
          <w:rFonts w:eastAsia="EC Square Sans Pro"/>
          <w:noProof/>
        </w:rPr>
        <w:t>).</w:t>
      </w:r>
    </w:p>
  </w:footnote>
  <w:footnote w:id="20">
    <w:p w14:paraId="616CEDC1" w14:textId="44FCA688"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Without prejudice to issuing a reservation for reputational reasons, if applicable.</w:t>
      </w:r>
    </w:p>
  </w:footnote>
  <w:footnote w:id="21">
    <w:p w14:paraId="221BDA9E" w14:textId="6F474E06" w:rsidR="0001615A" w:rsidRPr="005F4295" w:rsidRDefault="0001615A" w:rsidP="003C65D8">
      <w:pPr>
        <w:pStyle w:val="FootnoteText"/>
      </w:pPr>
      <w:r w:rsidRPr="005F4295">
        <w:t>(</w:t>
      </w:r>
      <w:r w:rsidRPr="005F4295">
        <w:rPr>
          <w:rStyle w:val="FootnoteReference"/>
        </w:rPr>
        <w:footnoteRef/>
      </w:r>
      <w:r w:rsidRPr="005F4295">
        <w:t>)</w:t>
      </w:r>
      <w:r w:rsidR="003C65D8" w:rsidRPr="005F4295">
        <w:tab/>
      </w:r>
      <w:r w:rsidRPr="005F4295">
        <w:t>Excluding the reservation issued for the Recovery and Resilience Facility.</w:t>
      </w:r>
    </w:p>
  </w:footnote>
  <w:footnote w:id="22">
    <w:p w14:paraId="6CAD1F2F" w14:textId="312F77C5"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Excluding the reservation issued for the Recovery and Resilience Facility.</w:t>
      </w:r>
    </w:p>
  </w:footnote>
  <w:footnote w:id="23">
    <w:p w14:paraId="489247AF" w14:textId="324DA0E6"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Excluding the reservation issued for the Recovery and Resilience Facility.</w:t>
      </w:r>
    </w:p>
  </w:footnote>
  <w:footnote w:id="24">
    <w:p w14:paraId="664FFEE4" w14:textId="53E54165"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 xml:space="preserve">For the last accounting year, </w:t>
      </w:r>
      <w:r w:rsidR="001035A4" w:rsidRPr="005F4295">
        <w:t xml:space="preserve">all </w:t>
      </w:r>
      <w:r w:rsidRPr="005F4295">
        <w:t xml:space="preserve">the </w:t>
      </w:r>
      <w:r w:rsidR="001035A4" w:rsidRPr="005F4295">
        <w:t>financial</w:t>
      </w:r>
      <w:r w:rsidRPr="005F4295">
        <w:t xml:space="preserve"> corrections </w:t>
      </w:r>
      <w:r w:rsidR="00B91D89" w:rsidRPr="005F4295">
        <w:t>(withdrawals, recoveries and deductions at closure) reported by the Member States have been</w:t>
      </w:r>
      <w:r w:rsidRPr="005F4295">
        <w:t xml:space="preserve"> </w:t>
      </w:r>
      <w:r w:rsidR="001035A4" w:rsidRPr="005F4295">
        <w:t>c</w:t>
      </w:r>
      <w:r w:rsidR="00B91D89" w:rsidRPr="005F4295">
        <w:t>onsidered</w:t>
      </w:r>
      <w:r w:rsidR="001035A4" w:rsidRPr="005F4295">
        <w:t xml:space="preserve"> as</w:t>
      </w:r>
      <w:r w:rsidRPr="005F4295">
        <w:t xml:space="preserve"> corrective, </w:t>
      </w:r>
      <w:r w:rsidR="00086732" w:rsidRPr="005F4295">
        <w:t>whereas in previous years, deductions at closure were considered as preventive measures.</w:t>
      </w:r>
      <w:r w:rsidR="00980C7B" w:rsidRPr="005F4295">
        <w:t xml:space="preserve"> </w:t>
      </w:r>
      <w:r w:rsidR="009E6EBB" w:rsidRPr="005F4295">
        <w:t>This is because</w:t>
      </w:r>
      <w:r w:rsidRPr="005F4295">
        <w:t xml:space="preserve"> no further action is possible after the submission of the final accounts in the next payment applications</w:t>
      </w:r>
      <w:r w:rsidR="009E6EBB" w:rsidRPr="005F4295">
        <w:t>,</w:t>
      </w:r>
      <w:r w:rsidRPr="005F4295">
        <w:t xml:space="preserve"> or subsequent accounts</w:t>
      </w:r>
      <w:r w:rsidR="009E6EBB" w:rsidRPr="005F4295">
        <w:t>, to take preventive measure into account and they become de facto corrective in nature</w:t>
      </w:r>
      <w:r w:rsidRPr="005F4295">
        <w:t>.</w:t>
      </w:r>
    </w:p>
  </w:footnote>
  <w:footnote w:id="25">
    <w:p w14:paraId="6C368AF5" w14:textId="3C67AD4B" w:rsidR="00EB70E0" w:rsidRPr="005F4295" w:rsidRDefault="00EB70E0" w:rsidP="003C65D8">
      <w:pPr>
        <w:pStyle w:val="FootnoteText"/>
      </w:pPr>
      <w:r w:rsidRPr="005F4295">
        <w:t>(</w:t>
      </w:r>
      <w:r w:rsidRPr="005F4295">
        <w:rPr>
          <w:rStyle w:val="FootnoteReference"/>
          <w:rFonts w:eastAsiaTheme="majorEastAsia"/>
        </w:rPr>
        <w:footnoteRef/>
      </w:r>
      <w:r w:rsidRPr="005F4295">
        <w:t>)</w:t>
      </w:r>
      <w:r w:rsidR="003C65D8" w:rsidRPr="005F4295">
        <w:tab/>
      </w:r>
      <w:r w:rsidRPr="005F4295">
        <w:t>This amount includes the corrections made to ensure a risk at closure below 2% for all programmes.</w:t>
      </w:r>
    </w:p>
  </w:footnote>
  <w:footnote w:id="26">
    <w:p w14:paraId="45E27641" w14:textId="107FD77F" w:rsidR="00E25C10" w:rsidRPr="005F4295" w:rsidRDefault="00E25C10" w:rsidP="003C65D8">
      <w:pPr>
        <w:pStyle w:val="FootnoteText"/>
      </w:pPr>
      <w:r w:rsidRPr="005F4295">
        <w:t>(</w:t>
      </w:r>
      <w:r w:rsidRPr="005F4295">
        <w:rPr>
          <w:rStyle w:val="FootnoteReference"/>
        </w:rPr>
        <w:footnoteRef/>
      </w:r>
      <w:r w:rsidRPr="005F4295">
        <w:t>)</w:t>
      </w:r>
      <w:r w:rsidR="003C65D8" w:rsidRPr="005F4295">
        <w:tab/>
      </w:r>
      <w:r w:rsidRPr="005F4295">
        <w:t>Article</w:t>
      </w:r>
      <w:r w:rsidRPr="005F4295">
        <w:rPr>
          <w:rFonts w:ascii="Calibri" w:hAnsi="Calibri" w:cs="Calibri"/>
        </w:rPr>
        <w:t> </w:t>
      </w:r>
      <w:r w:rsidRPr="005F4295">
        <w:t>14(4) ‘Amendments to Regulation (EU) No</w:t>
      </w:r>
      <w:r w:rsidR="003F5ADC" w:rsidRPr="005F4295">
        <w:rPr>
          <w:rFonts w:ascii="Calibri" w:hAnsi="Calibri" w:cs="Calibri"/>
        </w:rPr>
        <w:t> </w:t>
      </w:r>
      <w:r w:rsidRPr="005F4295">
        <w:t>1303/2013’: ‘in Article</w:t>
      </w:r>
      <w:r w:rsidRPr="005F4295">
        <w:rPr>
          <w:rFonts w:ascii="Calibri" w:hAnsi="Calibri" w:cs="Calibri"/>
        </w:rPr>
        <w:t> </w:t>
      </w:r>
      <w:r w:rsidRPr="005F4295">
        <w:t>138, the following subparagraph is added: “By way of derogation from the deadline set out in the first subparagraph, Member States may submit the documents referred to under points (a), (b) and (c) for the final accounting year by 15</w:t>
      </w:r>
      <w:r w:rsidRPr="005F4295">
        <w:rPr>
          <w:rFonts w:ascii="Calibri" w:hAnsi="Calibri" w:cs="Calibri"/>
        </w:rPr>
        <w:t> </w:t>
      </w:r>
      <w:r w:rsidRPr="005F4295">
        <w:t>February 2026.”.’</w:t>
      </w:r>
    </w:p>
  </w:footnote>
  <w:footnote w:id="27">
    <w:p w14:paraId="5E0172F1" w14:textId="6B6E0C5C"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Out of the EUR</w:t>
      </w:r>
      <w:r w:rsidRPr="005F4295">
        <w:rPr>
          <w:rFonts w:ascii="Calibri" w:hAnsi="Calibri" w:cs="Calibri"/>
        </w:rPr>
        <w:t> </w:t>
      </w:r>
      <w:r w:rsidRPr="005F4295">
        <w:t>41</w:t>
      </w:r>
      <w:r w:rsidR="00C11B22" w:rsidRPr="005F4295">
        <w:t>4</w:t>
      </w:r>
      <w:r w:rsidRPr="005F4295">
        <w:rPr>
          <w:rFonts w:ascii="Calibri" w:hAnsi="Calibri" w:cs="Calibri"/>
        </w:rPr>
        <w:t> </w:t>
      </w:r>
      <w:r w:rsidRPr="005F4295">
        <w:t>million: EUR</w:t>
      </w:r>
      <w:r w:rsidRPr="005F4295">
        <w:rPr>
          <w:rFonts w:ascii="Calibri" w:hAnsi="Calibri" w:cs="Calibri"/>
        </w:rPr>
        <w:t> </w:t>
      </w:r>
      <w:r w:rsidRPr="005F4295">
        <w:t>2</w:t>
      </w:r>
      <w:r w:rsidR="00FC01C8" w:rsidRPr="005F4295">
        <w:t>19</w:t>
      </w:r>
      <w:r w:rsidRPr="005F4295">
        <w:rPr>
          <w:rFonts w:ascii="Calibri" w:hAnsi="Calibri" w:cs="Calibri"/>
        </w:rPr>
        <w:t> </w:t>
      </w:r>
      <w:r w:rsidRPr="005F4295">
        <w:t xml:space="preserve">million was </w:t>
      </w:r>
      <w:r w:rsidR="00F5686D" w:rsidRPr="005F4295">
        <w:t xml:space="preserve">for </w:t>
      </w:r>
      <w:r w:rsidRPr="005F4295">
        <w:t>penalties/reductions imposed on final beneficiaries by the Member States, recovered and reimbursed to the EU budget, and EUR</w:t>
      </w:r>
      <w:r w:rsidRPr="005F4295">
        <w:rPr>
          <w:rFonts w:ascii="Calibri" w:hAnsi="Calibri" w:cs="Calibri"/>
        </w:rPr>
        <w:t> </w:t>
      </w:r>
      <w:r w:rsidRPr="005F4295">
        <w:t>1</w:t>
      </w:r>
      <w:r w:rsidR="00FC01C8" w:rsidRPr="005F4295">
        <w:t>95</w:t>
      </w:r>
      <w:r w:rsidRPr="005F4295">
        <w:rPr>
          <w:rFonts w:ascii="Calibri" w:hAnsi="Calibri" w:cs="Calibri"/>
        </w:rPr>
        <w:t> </w:t>
      </w:r>
      <w:r w:rsidRPr="005F4295">
        <w:t xml:space="preserve">million was </w:t>
      </w:r>
      <w:r w:rsidR="00F5686D" w:rsidRPr="005F4295">
        <w:t xml:space="preserve">for </w:t>
      </w:r>
      <w:r w:rsidRPr="005F4295">
        <w:t>penalties/reductions applied by the Member States, recovered and reused as regular expenditure to other final beneficiaries without reimbursement to the EU budget.</w:t>
      </w:r>
    </w:p>
  </w:footnote>
  <w:footnote w:id="28">
    <w:p w14:paraId="321FB141" w14:textId="767E24F6" w:rsidR="00465CF1" w:rsidRPr="005F4295" w:rsidRDefault="00465CF1" w:rsidP="003C65D8">
      <w:pPr>
        <w:pStyle w:val="FootnoteText"/>
      </w:pPr>
      <w:r w:rsidRPr="005F4295">
        <w:t>(</w:t>
      </w:r>
      <w:r w:rsidRPr="005F4295">
        <w:rPr>
          <w:rStyle w:val="FootnoteReference"/>
        </w:rPr>
        <w:footnoteRef/>
      </w:r>
      <w:r w:rsidRPr="005F4295">
        <w:t>)</w:t>
      </w:r>
      <w:r w:rsidR="003C65D8" w:rsidRPr="005F4295">
        <w:tab/>
      </w:r>
      <w:r w:rsidRPr="005F4295">
        <w:t>Regulation (EU, Euratom) 2024/2509 on the financial rules applicable to the general budget of the Union (recast) of 23 September 2024.</w:t>
      </w:r>
    </w:p>
  </w:footnote>
  <w:footnote w:id="29">
    <w:p w14:paraId="6E893AB6" w14:textId="65A422B4" w:rsidR="005976F2" w:rsidRPr="005F4295" w:rsidRDefault="005976F2" w:rsidP="003C65D8">
      <w:pPr>
        <w:pStyle w:val="FootnoteText"/>
      </w:pPr>
      <w:r w:rsidRPr="005F4295">
        <w:t>(</w:t>
      </w:r>
      <w:r w:rsidRPr="005F4295">
        <w:rPr>
          <w:rStyle w:val="FootnoteReference"/>
        </w:rPr>
        <w:footnoteRef/>
      </w:r>
      <w:r w:rsidRPr="005F4295">
        <w:t>)</w:t>
      </w:r>
      <w:r w:rsidR="003C65D8" w:rsidRPr="005F4295">
        <w:tab/>
      </w:r>
      <w:r w:rsidRPr="005F4295">
        <w:t>Action plans resulting from two audits are under discussion with respective auditees.</w:t>
      </w:r>
    </w:p>
  </w:footnote>
  <w:footnote w:id="30">
    <w:p w14:paraId="60C89C87" w14:textId="125B71C8" w:rsidR="00DB4D23" w:rsidRPr="005F4295" w:rsidRDefault="00147BC8" w:rsidP="003C65D8">
      <w:pPr>
        <w:pStyle w:val="FootnoteText"/>
      </w:pPr>
      <w:r w:rsidRPr="005F4295">
        <w:t>(</w:t>
      </w:r>
      <w:r w:rsidRPr="005F4295">
        <w:rPr>
          <w:rStyle w:val="FootnoteReference"/>
        </w:rPr>
        <w:footnoteRef/>
      </w:r>
      <w:r w:rsidRPr="005F4295">
        <w:t>)</w:t>
      </w:r>
      <w:r w:rsidR="003C65D8" w:rsidRPr="005F4295">
        <w:tab/>
      </w:r>
      <w:r w:rsidR="00F817B6">
        <w:t>119</w:t>
      </w:r>
      <w:r w:rsidR="00161FFA" w:rsidRPr="005F4295">
        <w:t>th, 120th, 121st and 122nd rounds of the Audit Progress Committee between June 2025 and May 2026. Each round comprised up to three meetings of the Preparatory Group to prepare the Committee meeting.</w:t>
      </w:r>
    </w:p>
  </w:footnote>
  <w:footnote w:id="31">
    <w:p w14:paraId="2E11F3BF" w14:textId="372930C1" w:rsidR="005677DE" w:rsidRPr="005F4295" w:rsidRDefault="005677DE" w:rsidP="003C65D8">
      <w:pPr>
        <w:pStyle w:val="FootnoteText"/>
      </w:pPr>
      <w:r w:rsidRPr="005F4295">
        <w:t>(</w:t>
      </w:r>
      <w:r w:rsidRPr="005F4295">
        <w:rPr>
          <w:rStyle w:val="FootnoteReference"/>
        </w:rPr>
        <w:footnoteRef/>
      </w:r>
      <w:r w:rsidRPr="005F4295">
        <w:t>)</w:t>
      </w:r>
      <w:r w:rsidR="003C65D8" w:rsidRPr="005F4295">
        <w:tab/>
      </w:r>
      <w:r w:rsidR="00CB554D" w:rsidRPr="005F4295">
        <w:t>Three</w:t>
      </w:r>
      <w:r w:rsidRPr="005F4295">
        <w:t xml:space="preserve"> ‘very important’ recommendations were partially accepted by the relevant audited services. </w:t>
      </w:r>
    </w:p>
  </w:footnote>
  <w:footnote w:id="32">
    <w:p w14:paraId="6D8322A1" w14:textId="3479A247" w:rsidR="00EB70E0" w:rsidRPr="005F4295" w:rsidRDefault="00EB70E0" w:rsidP="003C65D8">
      <w:pPr>
        <w:pStyle w:val="FootnoteText"/>
        <w:rPr>
          <w:rFonts w:asciiTheme="minorHAnsi" w:hAnsiTheme="minorHAnsi"/>
        </w:rPr>
      </w:pPr>
      <w:r w:rsidRPr="005F4295">
        <w:rPr>
          <w:rFonts w:asciiTheme="minorHAnsi" w:hAnsiTheme="minorHAnsi"/>
        </w:rPr>
        <w:t>(</w:t>
      </w:r>
      <w:r w:rsidRPr="005F4295">
        <w:rPr>
          <w:rStyle w:val="FootnoteReference"/>
        </w:rPr>
        <w:footnoteRef/>
      </w:r>
      <w:r w:rsidRPr="005F4295">
        <w:rPr>
          <w:rFonts w:asciiTheme="minorHAnsi" w:hAnsiTheme="minorHAnsi"/>
        </w:rPr>
        <w:t>)</w:t>
      </w:r>
      <w:r w:rsidR="003C65D8" w:rsidRPr="005F4295">
        <w:rPr>
          <w:rFonts w:asciiTheme="minorHAnsi" w:hAnsiTheme="minorHAnsi"/>
        </w:rPr>
        <w:tab/>
      </w:r>
      <w:r w:rsidRPr="005F4295">
        <w:t>Regulation (EU, Euratom) 2024/2509 of the European Parliament and of the Council of 23</w:t>
      </w:r>
      <w:r w:rsidRPr="005F4295">
        <w:rPr>
          <w:rFonts w:ascii="Calibri" w:hAnsi="Calibri" w:cs="Calibri"/>
        </w:rPr>
        <w:t> </w:t>
      </w:r>
      <w:r w:rsidRPr="005F4295">
        <w:t>September 2024 on the financial rules applicable to the general budget of the Union</w:t>
      </w:r>
      <w:r w:rsidR="00E120A1" w:rsidRPr="005F4295">
        <w:t xml:space="preserve"> (</w:t>
      </w:r>
      <w:r w:rsidRPr="005F4295">
        <w:t xml:space="preserve">OJ L, 2024/2509, 26.9.2024, ELI: </w:t>
      </w:r>
      <w:hyperlink r:id="rId8" w:history="1">
        <w:r w:rsidRPr="005F4295">
          <w:rPr>
            <w:rStyle w:val="Hyperlink"/>
          </w:rPr>
          <w:t>http://data.europa.eu/eli/reg/2024/2509/oj</w:t>
        </w:r>
      </w:hyperlink>
      <w:r w:rsidR="00E120A1" w:rsidRPr="005F4295">
        <w:t>).</w:t>
      </w:r>
    </w:p>
  </w:footnote>
  <w:footnote w:id="33">
    <w:p w14:paraId="5AD45C0B" w14:textId="4E136AFD"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Regulation (EU) 2021/1060 of the European Parliament and of the Council of 24</w:t>
      </w:r>
      <w:r w:rsidRPr="005F4295">
        <w:rPr>
          <w:rFonts w:cs="Arial"/>
          <w:rtl/>
        </w:rPr>
        <w:t> </w:t>
      </w:r>
      <w:r w:rsidRPr="005F4295">
        <w:t>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sidR="009C6617" w:rsidRPr="005F4295">
        <w:t xml:space="preserve"> (</w:t>
      </w:r>
      <w:r w:rsidRPr="005F4295">
        <w:t>OJ L</w:t>
      </w:r>
      <w:r w:rsidRPr="005F4295">
        <w:rPr>
          <w:rFonts w:ascii="Calibri" w:hAnsi="Calibri" w:cs="Calibri"/>
        </w:rPr>
        <w:t> </w:t>
      </w:r>
      <w:r w:rsidRPr="005F4295">
        <w:t>231, 30.6.2021, p.</w:t>
      </w:r>
      <w:r w:rsidRPr="005F4295">
        <w:rPr>
          <w:rFonts w:ascii="Calibri" w:hAnsi="Calibri" w:cs="Calibri"/>
        </w:rPr>
        <w:t> </w:t>
      </w:r>
      <w:r w:rsidRPr="005F4295">
        <w:t xml:space="preserve">159, </w:t>
      </w:r>
      <w:r w:rsidRPr="005F4295">
        <w:rPr>
          <w:color w:val="333333"/>
          <w:shd w:val="clear" w:color="auto" w:fill="FFFFFF"/>
        </w:rPr>
        <w:t xml:space="preserve">ELI: </w:t>
      </w:r>
      <w:hyperlink r:id="rId9" w:tooltip="Gives access to this document through its ELI URI." w:history="1">
        <w:r w:rsidRPr="005F4295">
          <w:rPr>
            <w:rStyle w:val="Hyperlink"/>
          </w:rPr>
          <w:t>http://data.europa.eu/eli/reg/2021/1060/oj</w:t>
        </w:r>
      </w:hyperlink>
      <w:r w:rsidR="00E02A02" w:rsidRPr="005F4295">
        <w:t>).</w:t>
      </w:r>
    </w:p>
  </w:footnote>
  <w:footnote w:id="34">
    <w:p w14:paraId="2795C9DF" w14:textId="3D772F26" w:rsidR="00932058" w:rsidRPr="005F4295" w:rsidRDefault="00932058" w:rsidP="003C65D8">
      <w:pPr>
        <w:pStyle w:val="FootnoteText"/>
      </w:pPr>
      <w:r w:rsidRPr="005F4295">
        <w:t>(</w:t>
      </w:r>
      <w:r w:rsidRPr="005F4295">
        <w:rPr>
          <w:rStyle w:val="FootnoteReference"/>
        </w:rPr>
        <w:footnoteRef/>
      </w:r>
      <w:r w:rsidRPr="005F4295">
        <w:rPr>
          <w:rFonts w:asciiTheme="minorHAnsi" w:hAnsiTheme="minorHAnsi"/>
        </w:rPr>
        <w:t>)</w:t>
      </w:r>
      <w:r w:rsidR="003C65D8" w:rsidRPr="005F4295">
        <w:rPr>
          <w:rFonts w:asciiTheme="minorHAnsi" w:hAnsiTheme="minorHAnsi"/>
        </w:rPr>
        <w:tab/>
      </w:r>
      <w:r w:rsidRPr="005F4295">
        <w:t>In other words, no longer conditional upon the presentation of a request for payment (with the exception of amounts below EUR</w:t>
      </w:r>
      <w:r w:rsidRPr="005F4295">
        <w:rPr>
          <w:rFonts w:ascii="Arial" w:hAnsi="Arial" w:cs="Arial" w:hint="cs"/>
          <w:rtl/>
        </w:rPr>
        <w:t> </w:t>
      </w:r>
      <w:r w:rsidRPr="005F4295">
        <w:t>200).</w:t>
      </w:r>
    </w:p>
  </w:footnote>
  <w:footnote w:id="35">
    <w:p w14:paraId="55D3214E" w14:textId="00584DCF"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Regulation (EU, Euratom) 2024/2509 of the European Parliament and of the Council of 23</w:t>
      </w:r>
      <w:r w:rsidRPr="005F4295">
        <w:rPr>
          <w:rFonts w:ascii="Calibri" w:hAnsi="Calibri" w:cs="Calibri"/>
        </w:rPr>
        <w:t> </w:t>
      </w:r>
      <w:r w:rsidRPr="005F4295">
        <w:t>September 2024 on the financial rules applicable to the general budget of the Union</w:t>
      </w:r>
      <w:r w:rsidR="00734494" w:rsidRPr="005F4295">
        <w:t xml:space="preserve"> (</w:t>
      </w:r>
      <w:r w:rsidRPr="005F4295">
        <w:t>OJ L, 2024/2509, 26.9.2024, ELI:</w:t>
      </w:r>
      <w:r w:rsidR="00734494" w:rsidRPr="005F4295">
        <w:rPr>
          <w:rFonts w:ascii="Calibri" w:hAnsi="Calibri" w:cs="Calibri"/>
        </w:rPr>
        <w:t> </w:t>
      </w:r>
      <w:hyperlink r:id="rId10" w:history="1">
        <w:r w:rsidRPr="005F4295">
          <w:rPr>
            <w:rStyle w:val="Hyperlink"/>
          </w:rPr>
          <w:t>http://data.europa.eu/eli/reg/2024/2509/oj</w:t>
        </w:r>
      </w:hyperlink>
      <w:r w:rsidR="00734494" w:rsidRPr="005F4295">
        <w:t>).</w:t>
      </w:r>
    </w:p>
  </w:footnote>
  <w:footnote w:id="36">
    <w:p w14:paraId="6641C6B5" w14:textId="62DBF09F" w:rsidR="00E11359" w:rsidRPr="005F4295" w:rsidRDefault="00E11359" w:rsidP="003C65D8">
      <w:pPr>
        <w:pStyle w:val="FootnoteText"/>
      </w:pPr>
      <w:r w:rsidRPr="005F4295">
        <w:t>(</w:t>
      </w:r>
      <w:r w:rsidRPr="005F4295">
        <w:rPr>
          <w:rStyle w:val="FootnoteReference"/>
        </w:rPr>
        <w:footnoteRef/>
      </w:r>
      <w:r w:rsidRPr="005F4295">
        <w:t>)</w:t>
      </w:r>
      <w:r w:rsidR="003C65D8" w:rsidRPr="005F4295">
        <w:tab/>
      </w:r>
      <w:r w:rsidRPr="005F4295">
        <w:t>Negotiated procedures in accordance with point 11.1, points (a) to (f), and point 39 of Annex</w:t>
      </w:r>
      <w:r w:rsidR="00041036" w:rsidRPr="005F4295">
        <w:rPr>
          <w:rFonts w:ascii="Calibri" w:hAnsi="Calibri" w:cs="Calibri"/>
        </w:rPr>
        <w:t> </w:t>
      </w:r>
      <w:r w:rsidRPr="005F4295">
        <w:t>I of Regulation (EU, Euratom) 2024/2509 of the European Parliament and of the Council of 23</w:t>
      </w:r>
      <w:r w:rsidR="00457ADE" w:rsidRPr="005F4295">
        <w:rPr>
          <w:rFonts w:ascii="Calibri" w:hAnsi="Calibri" w:cs="Calibri"/>
        </w:rPr>
        <w:t> </w:t>
      </w:r>
      <w:r w:rsidRPr="005F4295">
        <w:t>September 2024 on the financial rules applicable to the general budget of the Union</w:t>
      </w:r>
      <w:r w:rsidR="00457ADE" w:rsidRPr="005F4295">
        <w:t xml:space="preserve"> (</w:t>
      </w:r>
      <w:r w:rsidRPr="005F4295">
        <w:t xml:space="preserve">OJ L, 2024/2509, 26.9.2024, ELI: </w:t>
      </w:r>
      <w:hyperlink r:id="rId11" w:history="1">
        <w:r w:rsidRPr="005F4295">
          <w:rPr>
            <w:rStyle w:val="Hyperlink"/>
          </w:rPr>
          <w:t>https://eur-lex.europa.eu/eli/reg/2024/2509/oj</w:t>
        </w:r>
      </w:hyperlink>
      <w:r w:rsidR="008A2E9B" w:rsidRPr="005F4295">
        <w:t>).</w:t>
      </w:r>
    </w:p>
  </w:footnote>
  <w:footnote w:id="37">
    <w:p w14:paraId="7BEFD2B0" w14:textId="7820ED52" w:rsidR="00E11359" w:rsidRPr="005F4295" w:rsidRDefault="00E11359" w:rsidP="003C65D8">
      <w:pPr>
        <w:pStyle w:val="FootnoteText"/>
      </w:pPr>
      <w:r w:rsidRPr="005F4295">
        <w:t>(</w:t>
      </w:r>
      <w:r w:rsidRPr="005F4295">
        <w:rPr>
          <w:rStyle w:val="FootnoteReference"/>
        </w:rPr>
        <w:footnoteRef/>
      </w:r>
      <w:r w:rsidRPr="005F4295">
        <w:t>)</w:t>
      </w:r>
      <w:r w:rsidR="003C65D8" w:rsidRPr="005F4295">
        <w:tab/>
      </w:r>
      <w:r w:rsidRPr="005F4295">
        <w:t>Directorate-General or Executive Agency or Office.</w:t>
      </w:r>
    </w:p>
  </w:footnote>
  <w:footnote w:id="38">
    <w:p w14:paraId="3A729EAD" w14:textId="278D01B6" w:rsidR="00E11359" w:rsidRPr="005F4295" w:rsidRDefault="00E11359" w:rsidP="003C65D8">
      <w:pPr>
        <w:pStyle w:val="FootnoteText"/>
      </w:pPr>
      <w:r w:rsidRPr="005F4295">
        <w:t>(</w:t>
      </w:r>
      <w:r w:rsidRPr="005F4295">
        <w:rPr>
          <w:rStyle w:val="FootnoteReference"/>
        </w:rPr>
        <w:footnoteRef/>
      </w:r>
      <w:r w:rsidRPr="005F4295">
        <w:t>)</w:t>
      </w:r>
      <w:r w:rsidR="003C65D8" w:rsidRPr="005F4295">
        <w:tab/>
      </w:r>
      <w:r w:rsidRPr="005F4295">
        <w:t>They have a different legal basis; see Articles</w:t>
      </w:r>
      <w:r w:rsidRPr="005F4295">
        <w:rPr>
          <w:rFonts w:ascii="Calibri" w:hAnsi="Calibri" w:cs="Calibri"/>
        </w:rPr>
        <w:t> </w:t>
      </w:r>
      <w:r w:rsidRPr="005F4295">
        <w:t>179 and 181 of the Financial Regulation.</w:t>
      </w:r>
    </w:p>
  </w:footnote>
  <w:footnote w:id="39">
    <w:p w14:paraId="16B42B77" w14:textId="53393B87" w:rsidR="00FD4F8A" w:rsidRPr="005F4295" w:rsidRDefault="00FD4F8A" w:rsidP="003C65D8">
      <w:pPr>
        <w:pStyle w:val="FootnoteText"/>
      </w:pPr>
      <w:r w:rsidRPr="005F4295">
        <w:t>(</w:t>
      </w:r>
      <w:r w:rsidRPr="005F4295">
        <w:rPr>
          <w:rStyle w:val="FootnoteReference"/>
        </w:rPr>
        <w:footnoteRef/>
      </w:r>
      <w:r w:rsidRPr="005F4295">
        <w:t>)</w:t>
      </w:r>
      <w:r w:rsidR="003C65D8" w:rsidRPr="005F4295">
        <w:tab/>
      </w:r>
      <w:r w:rsidRPr="005F4295">
        <w:t xml:space="preserve">More information can be found in </w:t>
      </w:r>
      <w:r w:rsidR="00B26A5D" w:rsidRPr="005F4295">
        <w:t xml:space="preserve">the </w:t>
      </w:r>
      <w:r w:rsidRPr="005F4295">
        <w:t>DG D</w:t>
      </w:r>
      <w:r w:rsidR="008E764D" w:rsidRPr="005F4295">
        <w:t>igital Services</w:t>
      </w:r>
      <w:r w:rsidRPr="005F4295">
        <w:t xml:space="preserve"> </w:t>
      </w:r>
      <w:r w:rsidR="0051629F" w:rsidRPr="005F4295">
        <w:t>a</w:t>
      </w:r>
      <w:r w:rsidRPr="005F4295">
        <w:t xml:space="preserve">nnual </w:t>
      </w:r>
      <w:r w:rsidR="0051629F" w:rsidRPr="005F4295">
        <w:t>a</w:t>
      </w:r>
      <w:r w:rsidRPr="005F4295">
        <w:t xml:space="preserve">ctivity </w:t>
      </w:r>
      <w:r w:rsidR="0051629F" w:rsidRPr="005F4295">
        <w:t>r</w:t>
      </w:r>
      <w:r w:rsidRPr="005F4295">
        <w:t>eport.</w:t>
      </w:r>
    </w:p>
  </w:footnote>
  <w:footnote w:id="40">
    <w:p w14:paraId="18F4235D" w14:textId="009479A5" w:rsidR="00FD4F8A" w:rsidRPr="005F4295" w:rsidRDefault="00FD4F8A" w:rsidP="003C65D8">
      <w:pPr>
        <w:pStyle w:val="FootnoteText"/>
      </w:pPr>
      <w:r w:rsidRPr="005F4295">
        <w:t>(</w:t>
      </w:r>
      <w:r w:rsidRPr="005F4295">
        <w:rPr>
          <w:rStyle w:val="FootnoteReference"/>
        </w:rPr>
        <w:footnoteRef/>
      </w:r>
      <w:r w:rsidRPr="005F4295">
        <w:t>)</w:t>
      </w:r>
      <w:r w:rsidR="003C65D8" w:rsidRPr="005F4295">
        <w:tab/>
      </w:r>
      <w:r w:rsidRPr="005F4295">
        <w:t>The average proportion for the Commission of the number of negotiated procedures in relation to the total number of contracts they awarded in 2025 was 15% for all departments (excluding the four ‘external relations’ departments). The proportion of a department is considered ‘distinctly higher’ when it deviates by more than 50% upwards from the Commission’s average (23% for 2025), and when there is an increase of at least 10</w:t>
      </w:r>
      <w:r w:rsidRPr="005F4295">
        <w:rPr>
          <w:rFonts w:ascii="Calibri" w:hAnsi="Calibri" w:cs="Calibri"/>
        </w:rPr>
        <w:t> </w:t>
      </w:r>
      <w:r w:rsidRPr="005F4295">
        <w:t>percentage points in the proportion of negotiated procedures compared to the proportion of the previous year.</w:t>
      </w:r>
    </w:p>
  </w:footnote>
  <w:footnote w:id="41">
    <w:p w14:paraId="3DAA3136" w14:textId="5BE8B5C8" w:rsidR="00E864F9" w:rsidRPr="005F4295" w:rsidRDefault="00E864F9" w:rsidP="003C65D8">
      <w:pPr>
        <w:pStyle w:val="FootnoteText"/>
      </w:pPr>
      <w:r w:rsidRPr="005F4295">
        <w:t>(</w:t>
      </w:r>
      <w:r w:rsidRPr="005F4295">
        <w:rPr>
          <w:rStyle w:val="FootnoteReference"/>
        </w:rPr>
        <w:footnoteRef/>
      </w:r>
      <w:r w:rsidRPr="005F4295">
        <w:t>)</w:t>
      </w:r>
      <w:r w:rsidR="003C65D8" w:rsidRPr="005F4295">
        <w:tab/>
      </w:r>
      <w:r w:rsidRPr="005F4295">
        <w:t>The average proportion for the three ‘external relations’ departments of the number of negotiated procedures in relation to the total number of contracts they awarded in 2025 was 32%. The proportion of a department is considered ‘distinctly higher’ when it deviates by more than 50% upwards from the Commission’s average (49% for 2025), or when there is an increase of at least 10</w:t>
      </w:r>
      <w:r w:rsidRPr="005F4295">
        <w:rPr>
          <w:rFonts w:ascii="Calibri" w:hAnsi="Calibri" w:cs="Calibri"/>
        </w:rPr>
        <w:t> </w:t>
      </w:r>
      <w:r w:rsidRPr="005F4295">
        <w:t>percentage points in the proportion of negotiated procedures compared to the proportion of the previous year.</w:t>
      </w:r>
    </w:p>
  </w:footnote>
  <w:footnote w:id="42">
    <w:p w14:paraId="4DEEC275" w14:textId="569607CB" w:rsidR="00EB70E0" w:rsidRPr="005F4295" w:rsidRDefault="00EB70E0" w:rsidP="003C65D8">
      <w:pPr>
        <w:pStyle w:val="FootnoteText"/>
      </w:pPr>
      <w:r w:rsidRPr="005F4295">
        <w:t>(</w:t>
      </w:r>
      <w:r w:rsidRPr="005F4295">
        <w:rPr>
          <w:rStyle w:val="FootnoteReference"/>
        </w:rPr>
        <w:footnoteRef/>
      </w:r>
      <w:r w:rsidRPr="005F4295">
        <w:t>)</w:t>
      </w:r>
      <w:r w:rsidR="003C65D8" w:rsidRPr="005F4295">
        <w:tab/>
      </w:r>
      <w:r w:rsidRPr="005F4295">
        <w:t>Regulation (EU, Euratom) 2024/2509 of the European Parliament and of the Council of 23</w:t>
      </w:r>
      <w:r w:rsidRPr="005F4295">
        <w:rPr>
          <w:rFonts w:ascii="Calibri" w:hAnsi="Calibri" w:cs="Calibri"/>
        </w:rPr>
        <w:t> </w:t>
      </w:r>
      <w:r w:rsidRPr="005F4295">
        <w:t>September 2024 on the financial rules applicable to the general budget of the Union</w:t>
      </w:r>
      <w:r w:rsidR="00CD3168" w:rsidRPr="005F4295">
        <w:t xml:space="preserve"> (</w:t>
      </w:r>
      <w:r w:rsidRPr="005F4295">
        <w:t>OJ L, 2024/2509, 26.9.2024, ELI:</w:t>
      </w:r>
      <w:r w:rsidR="00CD3168" w:rsidRPr="005F4295">
        <w:rPr>
          <w:rFonts w:ascii="Calibri" w:hAnsi="Calibri" w:cs="Calibri"/>
        </w:rPr>
        <w:t> </w:t>
      </w:r>
      <w:hyperlink r:id="rId12" w:history="1">
        <w:r w:rsidRPr="005F4295">
          <w:rPr>
            <w:rStyle w:val="Hyperlink"/>
          </w:rPr>
          <w:t>http://data.europa.eu/eli/reg/2024/2509/oj</w:t>
        </w:r>
      </w:hyperlink>
      <w:r w:rsidR="00CD3168" w:rsidRPr="005F429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7EFAE" w14:textId="77777777" w:rsidR="00894BCB" w:rsidRPr="00894BCB" w:rsidRDefault="00894BCB" w:rsidP="00894BC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453A" w14:textId="77777777" w:rsidR="00894BCB" w:rsidRPr="00894BCB" w:rsidRDefault="00894BCB" w:rsidP="00894BC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FED9" w14:textId="77777777" w:rsidR="00894BCB" w:rsidRPr="00894BCB" w:rsidRDefault="00894BCB" w:rsidP="00894BC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6DD3E" w14:textId="77777777" w:rsidR="00EB70E0" w:rsidRPr="00213CDE" w:rsidRDefault="00EB70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7CA8" w14:textId="648F305F" w:rsidR="00EB70E0" w:rsidRPr="00213CDE" w:rsidRDefault="00EB70E0">
    <w:pPr>
      <w:pStyle w:val="amprHeader-Right"/>
    </w:pPr>
    <w:r w:rsidRPr="002B3FD9">
      <w:rPr>
        <w:noProof/>
        <w:lang w:eastAsia="en-GB"/>
      </w:rPr>
      <mc:AlternateContent>
        <mc:Choice Requires="wps">
          <w:drawing>
            <wp:anchor distT="0" distB="0" distL="114300" distR="114300" simplePos="0" relativeHeight="251649024" behindDoc="0" locked="1" layoutInCell="1" allowOverlap="1" wp14:anchorId="5CBFB2F8" wp14:editId="1926DD06">
              <wp:simplePos x="0" y="0"/>
              <wp:positionH relativeFrom="page">
                <wp:align>left</wp:align>
              </wp:positionH>
              <wp:positionV relativeFrom="page">
                <wp:align>top</wp:align>
              </wp:positionV>
              <wp:extent cx="7621200" cy="212400"/>
              <wp:effectExtent l="0" t="0" r="0" b="0"/>
              <wp:wrapNone/>
              <wp:docPr id="1843045042" name="Rectangle 18430450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4B9273" id="Rectangle 1843045042" o:spid="_x0000_s1026" alt="&quot;&quot;" style="position:absolute;margin-left:0;margin-top:0;width:600.1pt;height:16.7pt;z-index:25165826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rsidRPr="00D61A2C">
      <w:rPr>
        <w:noProof/>
        <w:lang w:eastAsia="en-GB"/>
      </w:rPr>
      <mc:AlternateContent>
        <mc:Choice Requires="wps">
          <w:drawing>
            <wp:anchor distT="0" distB="0" distL="114300" distR="114300" simplePos="0" relativeHeight="251638784" behindDoc="0" locked="0" layoutInCell="1" allowOverlap="1" wp14:anchorId="10D70EB2" wp14:editId="255B83B4">
              <wp:simplePos x="0" y="0"/>
              <wp:positionH relativeFrom="column">
                <wp:posOffset>-46990</wp:posOffset>
              </wp:positionH>
              <wp:positionV relativeFrom="paragraph">
                <wp:posOffset>-1474113</wp:posOffset>
              </wp:positionV>
              <wp:extent cx="112395" cy="471805"/>
              <wp:effectExtent l="0" t="0" r="1905" b="4445"/>
              <wp:wrapNone/>
              <wp:docPr id="457237998" name="Rectangle 457237998"/>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24C389" id="Rectangle 457237998" o:spid="_x0000_s1026" style="position:absolute;margin-left:-3.7pt;margin-top:-116.05pt;width:8.85pt;height:37.1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fillcolor="#3fb296" stroked="f" strokeweight="1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01DDD" w14:textId="77777777" w:rsidR="00EB70E0" w:rsidRPr="00213CDE" w:rsidRDefault="00EB70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ADD6" w14:textId="77777777" w:rsidR="00EB70E0" w:rsidRPr="007A0130" w:rsidRDefault="00EB70E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5281" w14:textId="77777777" w:rsidR="00EB70E0" w:rsidRPr="00213CDE" w:rsidRDefault="00EB70E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54451" w14:textId="77777777" w:rsidR="00EB70E0" w:rsidRPr="00213CDE" w:rsidRDefault="00EB70E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20D1D" w14:textId="77777777" w:rsidR="00EB70E0" w:rsidRPr="00213CDE" w:rsidRDefault="00EB70E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09C6" w14:textId="64E85AC5" w:rsidR="00EB70E0" w:rsidRPr="00213CDE" w:rsidRDefault="00EB70E0">
    <w:pPr>
      <w:pStyle w:val="Header"/>
    </w:pPr>
    <w:r>
      <w:rPr>
        <w:noProof/>
      </w:rPr>
      <w:drawing>
        <wp:anchor distT="0" distB="0" distL="114300" distR="114300" simplePos="0" relativeHeight="251627520" behindDoc="1" locked="1" layoutInCell="1" allowOverlap="1" wp14:anchorId="3E1F05F8" wp14:editId="17BED7AA">
          <wp:simplePos x="0" y="0"/>
          <wp:positionH relativeFrom="page">
            <wp:align>left</wp:align>
          </wp:positionH>
          <wp:positionV relativeFrom="page">
            <wp:align>top</wp:align>
          </wp:positionV>
          <wp:extent cx="7581900" cy="1072515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
                    <a:extLst>
                      <a:ext uri="{28A0092B-C50C-407E-A947-70E740481C1C}">
                        <a14:useLocalDpi xmlns:a14="http://schemas.microsoft.com/office/drawing/2010/main" val="0"/>
                      </a:ext>
                    </a:extLst>
                  </a:blip>
                  <a:stretch>
                    <a:fillRect/>
                  </a:stretch>
                </pic:blipFill>
                <pic:spPr>
                  <a:xfrm>
                    <a:off x="0" y="0"/>
                    <a:ext cx="7582241" cy="10725202"/>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48304" w14:textId="77777777" w:rsidR="00EB70E0" w:rsidRPr="00213CDE" w:rsidRDefault="00EB70E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D192" w14:textId="77777777" w:rsidR="00EB70E0" w:rsidRPr="00B73BA4" w:rsidRDefault="00EB70E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9C19" w14:textId="77777777" w:rsidR="00EB70E0" w:rsidRPr="00246BBE" w:rsidRDefault="00EB70E0">
    <w:pPr>
      <w:pStyle w:val="amprHeader-Right"/>
      <w:tabs>
        <w:tab w:val="left" w:pos="6686"/>
        <w:tab w:val="right" w:pos="9071"/>
      </w:tabs>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5F7C" w14:textId="77777777" w:rsidR="00EB70E0" w:rsidRDefault="00EB70E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9917" w14:textId="2830EE01" w:rsidR="00EB70E0" w:rsidRPr="00F8621B" w:rsidRDefault="00EB70E0">
    <w:pPr>
      <w:pStyle w:val="amprHeader-Left"/>
    </w:pPr>
    <w:r w:rsidRPr="002B3FD9">
      <w:rPr>
        <w:noProof/>
        <w:lang w:eastAsia="en-GB"/>
      </w:rPr>
      <mc:AlternateContent>
        <mc:Choice Requires="wps">
          <w:drawing>
            <wp:anchor distT="0" distB="0" distL="114300" distR="114300" simplePos="0" relativeHeight="251637760" behindDoc="0" locked="1" layoutInCell="1" allowOverlap="1" wp14:anchorId="24B624A2" wp14:editId="4AA6941B">
              <wp:simplePos x="0" y="0"/>
              <wp:positionH relativeFrom="page">
                <wp:align>left</wp:align>
              </wp:positionH>
              <wp:positionV relativeFrom="page">
                <wp:align>top</wp:align>
              </wp:positionV>
              <wp:extent cx="7621200" cy="212400"/>
              <wp:effectExtent l="0" t="0" r="0" b="0"/>
              <wp:wrapNone/>
              <wp:docPr id="92768879" name="Rectangle 927688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E9156" id="Rectangle 92768879" o:spid="_x0000_s1026" alt="&quot;&quot;" style="position:absolute;margin-left:0;margin-top:0;width:600.1pt;height:16.7pt;z-index:25165825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t>Annual Management and Performance Report for the EU Budget</w:t>
    </w:r>
    <w:r>
      <w:rPr>
        <w:rFonts w:ascii="Calibri" w:hAnsi="Calibri" w:cs="Calibri"/>
      </w:rPr>
      <w:t> </w:t>
    </w:r>
    <w:r>
      <w:t xml:space="preserve">– </w:t>
    </w:r>
    <w:r w:rsidRPr="00B12E79">
      <w:t>202</w:t>
    </w:r>
    <w:r w:rsidR="008F2FE9">
      <w:t>5</w:t>
    </w:r>
    <w:r w:rsidRPr="00B12E79">
      <w:t xml:space="preserve"> financial </w:t>
    </w:r>
    <w:r w:rsidDel="00B12E79">
      <w:t>year</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00C45" w14:textId="4DEC9965" w:rsidR="00EB70E0" w:rsidRPr="00246BBE" w:rsidRDefault="00EB70E0">
    <w:pPr>
      <w:pStyle w:val="amprHeader-Right"/>
    </w:pPr>
    <w:r w:rsidRPr="003B3217">
      <w:t>Annex</w:t>
    </w:r>
    <w:r>
      <w:rPr>
        <w:rFonts w:ascii="Calibri" w:hAnsi="Calibri" w:cs="Calibri"/>
      </w:rPr>
      <w:t> </w:t>
    </w:r>
    <w:r>
      <w:t>5</w:t>
    </w:r>
    <w:r>
      <w:rPr>
        <w:rFonts w:ascii="Calibri" w:hAnsi="Calibri" w:cs="Calibri"/>
      </w:rPr>
      <w:t> </w:t>
    </w:r>
    <w:r w:rsidRPr="003B3217">
      <w:t xml:space="preserve">– </w:t>
    </w:r>
    <w:r w:rsidRPr="00670F12">
      <w:t>Multiannual control cycle and control results</w:t>
    </w:r>
    <w:r w:rsidRPr="00D61A2C">
      <w:rPr>
        <w:lang w:eastAsia="en-GB"/>
      </w:rPr>
      <w:t xml:space="preserve"> </w:t>
    </w:r>
    <w:r w:rsidRPr="002B3FD9">
      <w:rPr>
        <w:noProof/>
        <w:lang w:eastAsia="en-GB"/>
      </w:rPr>
      <mc:AlternateContent>
        <mc:Choice Requires="wps">
          <w:drawing>
            <wp:anchor distT="0" distB="0" distL="114300" distR="114300" simplePos="0" relativeHeight="251650048" behindDoc="0" locked="1" layoutInCell="1" allowOverlap="1" wp14:anchorId="3EF41182" wp14:editId="02F9F7DD">
              <wp:simplePos x="0" y="0"/>
              <wp:positionH relativeFrom="page">
                <wp:align>left</wp:align>
              </wp:positionH>
              <wp:positionV relativeFrom="page">
                <wp:align>top</wp:align>
              </wp:positionV>
              <wp:extent cx="7621200" cy="212400"/>
              <wp:effectExtent l="0" t="0" r="0" b="0"/>
              <wp:wrapNone/>
              <wp:docPr id="1879806003" name="Rectangle 18798060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FACB5" id="Rectangle 1879806003" o:spid="_x0000_s1026" alt="&quot;&quot;" style="position:absolute;margin-left:0;margin-top:0;width:600.1pt;height:16.7pt;z-index:251658267;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rsidRPr="00D61A2C">
      <w:rPr>
        <w:noProof/>
        <w:lang w:eastAsia="en-GB"/>
      </w:rPr>
      <mc:AlternateContent>
        <mc:Choice Requires="wps">
          <w:drawing>
            <wp:anchor distT="0" distB="0" distL="114300" distR="114300" simplePos="0" relativeHeight="251626496" behindDoc="0" locked="0" layoutInCell="1" allowOverlap="1" wp14:anchorId="10BFCAA9" wp14:editId="28CE6A12">
              <wp:simplePos x="0" y="0"/>
              <wp:positionH relativeFrom="column">
                <wp:posOffset>-46990</wp:posOffset>
              </wp:positionH>
              <wp:positionV relativeFrom="paragraph">
                <wp:posOffset>-1474113</wp:posOffset>
              </wp:positionV>
              <wp:extent cx="112395" cy="471805"/>
              <wp:effectExtent l="0" t="0" r="1905" b="4445"/>
              <wp:wrapNone/>
              <wp:docPr id="30" name="Rectangle 30"/>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B53B7" id="Rectangle 30" o:spid="_x0000_s1026" style="position:absolute;margin-left:-3.7pt;margin-top:-116.05pt;width:8.85pt;height:37.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fillcolor="#3fb296" stroked="f" strokeweight="1pt"/>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CFE09" w14:textId="77777777" w:rsidR="00EB70E0" w:rsidRDefault="00EB70E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908A" w14:textId="229CF591" w:rsidR="00EB70E0" w:rsidRPr="00F8621B" w:rsidRDefault="00EB70E0">
    <w:pPr>
      <w:pStyle w:val="amprHeader-Left"/>
    </w:pPr>
    <w:r w:rsidRPr="002B3FD9">
      <w:rPr>
        <w:noProof/>
        <w:lang w:eastAsia="en-GB"/>
      </w:rPr>
      <mc:AlternateContent>
        <mc:Choice Requires="wps">
          <w:drawing>
            <wp:anchor distT="0" distB="0" distL="114300" distR="114300" simplePos="0" relativeHeight="251624448" behindDoc="0" locked="1" layoutInCell="1" allowOverlap="1" wp14:anchorId="5E866DCF" wp14:editId="73F6A944">
              <wp:simplePos x="0" y="0"/>
              <wp:positionH relativeFrom="page">
                <wp:align>left</wp:align>
              </wp:positionH>
              <wp:positionV relativeFrom="page">
                <wp:align>top</wp:align>
              </wp:positionV>
              <wp:extent cx="7621200" cy="212400"/>
              <wp:effectExtent l="0" t="0" r="0" b="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33B51" id="Rectangle 18" o:spid="_x0000_s1026" alt="&quot;&quot;" style="position:absolute;margin-left:0;margin-top:0;width:600.1pt;height:16.7pt;z-index:25165824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t>Annual Management and Performance Report for the EU Budget</w:t>
    </w:r>
    <w:r>
      <w:rPr>
        <w:rFonts w:ascii="Calibri" w:hAnsi="Calibri" w:cs="Calibri"/>
      </w:rPr>
      <w:t> </w:t>
    </w:r>
    <w:r>
      <w:t xml:space="preserve">– </w:t>
    </w:r>
    <w:r w:rsidRPr="00B12E79">
      <w:t>202</w:t>
    </w:r>
    <w:r w:rsidR="00962EB5">
      <w:t>5</w:t>
    </w:r>
    <w:r w:rsidRPr="00B12E79">
      <w:t xml:space="preserve"> financial </w:t>
    </w:r>
    <w:r w:rsidDel="00B12E79">
      <w:t>year</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C712D" w14:textId="08C5914F" w:rsidR="00EB70E0" w:rsidRPr="00246BBE" w:rsidRDefault="00EB70E0">
    <w:pPr>
      <w:pStyle w:val="amprHeader-Right"/>
    </w:pPr>
    <w:r w:rsidRPr="003B3217">
      <w:t>Annex</w:t>
    </w:r>
    <w:r>
      <w:rPr>
        <w:rFonts w:ascii="Calibri" w:hAnsi="Calibri" w:cs="Calibri"/>
      </w:rPr>
      <w:t> </w:t>
    </w:r>
    <w:r>
      <w:t>5</w:t>
    </w:r>
    <w:r>
      <w:rPr>
        <w:rFonts w:ascii="Calibri" w:hAnsi="Calibri" w:cs="Calibri"/>
      </w:rPr>
      <w:t> </w:t>
    </w:r>
    <w:r w:rsidRPr="003B3217">
      <w:t xml:space="preserve">– </w:t>
    </w:r>
    <w:r w:rsidRPr="00670F12">
      <w:t>Multiannual control cycle and control results</w:t>
    </w:r>
    <w:r w:rsidRPr="00D61A2C">
      <w:rPr>
        <w:lang w:eastAsia="en-GB"/>
      </w:rPr>
      <w:t xml:space="preserve"> </w:t>
    </w:r>
    <w:r w:rsidRPr="002B3FD9">
      <w:rPr>
        <w:noProof/>
        <w:lang w:eastAsia="en-GB"/>
      </w:rPr>
      <mc:AlternateContent>
        <mc:Choice Requires="wps">
          <w:drawing>
            <wp:anchor distT="0" distB="0" distL="114300" distR="114300" simplePos="0" relativeHeight="251646976" behindDoc="0" locked="1" layoutInCell="1" allowOverlap="1" wp14:anchorId="6A805BCB" wp14:editId="738C99D6">
              <wp:simplePos x="0" y="0"/>
              <wp:positionH relativeFrom="page">
                <wp:align>left</wp:align>
              </wp:positionH>
              <wp:positionV relativeFrom="page">
                <wp:align>top</wp:align>
              </wp:positionV>
              <wp:extent cx="7621200" cy="212400"/>
              <wp:effectExtent l="0" t="0" r="0" b="0"/>
              <wp:wrapNone/>
              <wp:docPr id="1276057943" name="Rectangle 12760579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8F3BF" id="Rectangle 1276057943" o:spid="_x0000_s1026" alt="&quot;&quot;" style="position:absolute;margin-left:0;margin-top:0;width:600.1pt;height:16.7pt;z-index:251658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rsidRPr="00D61A2C">
      <w:rPr>
        <w:noProof/>
        <w:lang w:eastAsia="en-GB"/>
      </w:rPr>
      <mc:AlternateContent>
        <mc:Choice Requires="wps">
          <w:drawing>
            <wp:anchor distT="0" distB="0" distL="114300" distR="114300" simplePos="0" relativeHeight="251623424" behindDoc="0" locked="0" layoutInCell="1" allowOverlap="1" wp14:anchorId="319EDBA9" wp14:editId="365DA442">
              <wp:simplePos x="0" y="0"/>
              <wp:positionH relativeFrom="column">
                <wp:posOffset>-46990</wp:posOffset>
              </wp:positionH>
              <wp:positionV relativeFrom="paragraph">
                <wp:posOffset>-1474113</wp:posOffset>
              </wp:positionV>
              <wp:extent cx="112395" cy="471805"/>
              <wp:effectExtent l="0" t="0" r="1905" b="4445"/>
              <wp:wrapNone/>
              <wp:docPr id="17" name="Rectangle 17"/>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39EAD" id="Rectangle 17" o:spid="_x0000_s1026" style="position:absolute;margin-left:-3.7pt;margin-top:-116.05pt;width:8.85pt;height:37.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fillcolor="#3fb296" stroked="f" strokeweight="1p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A691" w14:textId="77777777" w:rsidR="00EB70E0" w:rsidRDefault="00EB70E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1D36" w14:textId="77777777" w:rsidR="00EB70E0" w:rsidRPr="00B964EB" w:rsidRDefault="00EB70E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B686" w14:textId="1E644078" w:rsidR="00EB70E0" w:rsidRPr="00B964EB" w:rsidRDefault="00EB70E0">
    <w:pPr>
      <w:pStyle w:val="Header"/>
    </w:pPr>
    <w:r>
      <w:rPr>
        <w:noProof/>
      </w:rPr>
      <w:drawing>
        <wp:anchor distT="0" distB="0" distL="114300" distR="114300" simplePos="0" relativeHeight="251628544" behindDoc="1" locked="1" layoutInCell="1" allowOverlap="1" wp14:anchorId="7D6DF7A9" wp14:editId="0073196D">
          <wp:simplePos x="0" y="0"/>
          <wp:positionH relativeFrom="page">
            <wp:align>left</wp:align>
          </wp:positionH>
          <wp:positionV relativeFrom="page">
            <wp:align>top</wp:align>
          </wp:positionV>
          <wp:extent cx="7558405" cy="10691495"/>
          <wp:effectExtent l="0" t="0" r="4445"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margin">
            <wp14:pctWidth>0</wp14:pctWidth>
          </wp14:sizeRelH>
          <wp14:sizeRelV relativeFrom="margin">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D958" w14:textId="77777777" w:rsidR="00EB70E0" w:rsidRPr="00B964EB" w:rsidRDefault="00EB70E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4A79" w14:textId="77777777" w:rsidR="00EB70E0" w:rsidRPr="00213CDE" w:rsidRDefault="00EB70E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F59E7" w14:textId="77777777" w:rsidR="00EB70E0" w:rsidRPr="00213CDE" w:rsidRDefault="00EB70E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6F1FD" w14:textId="77777777" w:rsidR="00EB70E0" w:rsidRPr="00213CDE" w:rsidRDefault="00EB70E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DD65" w14:textId="0709FAFD" w:rsidR="00EB70E0" w:rsidRPr="00F8621B" w:rsidRDefault="00EB70E0">
    <w:pPr>
      <w:pStyle w:val="amprHeader-Left"/>
    </w:pPr>
    <w:r w:rsidRPr="002B3FD9">
      <w:rPr>
        <w:noProof/>
        <w:lang w:eastAsia="en-GB"/>
      </w:rPr>
      <mc:AlternateContent>
        <mc:Choice Requires="wps">
          <w:drawing>
            <wp:anchor distT="0" distB="0" distL="114300" distR="114300" simplePos="0" relativeHeight="251640832" behindDoc="0" locked="1" layoutInCell="1" allowOverlap="1" wp14:anchorId="7A1DACCC" wp14:editId="1ED8DD50">
              <wp:simplePos x="0" y="0"/>
              <wp:positionH relativeFrom="page">
                <wp:align>left</wp:align>
              </wp:positionH>
              <wp:positionV relativeFrom="page">
                <wp:align>top</wp:align>
              </wp:positionV>
              <wp:extent cx="7621200" cy="212400"/>
              <wp:effectExtent l="0" t="0" r="0" b="0"/>
              <wp:wrapNone/>
              <wp:docPr id="1699058784" name="Rectangle 169905878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ABF57" id="Rectangle 1699058784" o:spid="_x0000_s1026" alt="&quot;&quot;" style="position:absolute;margin-left:0;margin-top:0;width:600.1pt;height:16.7pt;z-index:25165825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t>Annual Management and Performance Report for the EU Budget</w:t>
    </w:r>
    <w:r>
      <w:rPr>
        <w:rFonts w:ascii="Calibri" w:hAnsi="Calibri" w:cs="Calibri"/>
      </w:rPr>
      <w:t> </w:t>
    </w:r>
    <w:r>
      <w:t xml:space="preserve">– </w:t>
    </w:r>
    <w:r w:rsidRPr="00B12E79">
      <w:t>202</w:t>
    </w:r>
    <w:r w:rsidR="00DF314A">
      <w:t>5</w:t>
    </w:r>
    <w:r w:rsidRPr="00B12E79">
      <w:t xml:space="preserve"> financial </w:t>
    </w:r>
    <w:r w:rsidDel="00B12E79">
      <w:t>year</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3BD5" w14:textId="684B509F" w:rsidR="00EB70E0" w:rsidRPr="003B3217" w:rsidRDefault="00EB70E0">
    <w:pPr>
      <w:pStyle w:val="amprHeader-Right"/>
    </w:pPr>
    <w:r w:rsidRPr="003B3217">
      <w:t>Annex</w:t>
    </w:r>
    <w:r>
      <w:rPr>
        <w:rFonts w:ascii="Calibri" w:hAnsi="Calibri" w:cs="Calibri"/>
      </w:rPr>
      <w:t> </w:t>
    </w:r>
    <w:r>
      <w:t>6</w:t>
    </w:r>
    <w:r>
      <w:rPr>
        <w:rFonts w:ascii="Calibri" w:hAnsi="Calibri" w:cs="Calibri"/>
      </w:rPr>
      <w:t> </w:t>
    </w:r>
    <w:r w:rsidRPr="003B3217">
      <w:t xml:space="preserve">– </w:t>
    </w:r>
    <w:r w:rsidRPr="004948C2">
      <w:t>Assurance provided by the Internal Audit Service</w:t>
    </w:r>
    <w:r w:rsidRPr="00D61A2C">
      <w:rPr>
        <w:lang w:eastAsia="en-GB"/>
      </w:rPr>
      <w:t xml:space="preserve"> </w:t>
    </w:r>
    <w:r w:rsidRPr="002B3FD9">
      <w:rPr>
        <w:noProof/>
        <w:lang w:eastAsia="en-GB"/>
      </w:rPr>
      <mc:AlternateContent>
        <mc:Choice Requires="wps">
          <w:drawing>
            <wp:anchor distT="0" distB="0" distL="114300" distR="114300" simplePos="0" relativeHeight="251648000" behindDoc="0" locked="1" layoutInCell="1" allowOverlap="1" wp14:anchorId="05E9A8F7" wp14:editId="58C87FBA">
              <wp:simplePos x="0" y="0"/>
              <wp:positionH relativeFrom="page">
                <wp:align>left</wp:align>
              </wp:positionH>
              <wp:positionV relativeFrom="page">
                <wp:align>top</wp:align>
              </wp:positionV>
              <wp:extent cx="7621200" cy="212400"/>
              <wp:effectExtent l="0" t="0" r="0" b="0"/>
              <wp:wrapNone/>
              <wp:docPr id="1654972306" name="Rectangle 16549723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0D20F" id="Rectangle 1654972306" o:spid="_x0000_s1026" alt="&quot;&quot;" style="position:absolute;margin-left:0;margin-top:0;width:600.1pt;height:16.7pt;z-index:25165826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rsidRPr="00D61A2C">
      <w:rPr>
        <w:noProof/>
        <w:lang w:eastAsia="en-GB"/>
      </w:rPr>
      <mc:AlternateContent>
        <mc:Choice Requires="wps">
          <w:drawing>
            <wp:anchor distT="0" distB="0" distL="114300" distR="114300" simplePos="0" relativeHeight="251635712" behindDoc="0" locked="0" layoutInCell="1" allowOverlap="1" wp14:anchorId="5AB14717" wp14:editId="5E01158B">
              <wp:simplePos x="0" y="0"/>
              <wp:positionH relativeFrom="column">
                <wp:posOffset>-46990</wp:posOffset>
              </wp:positionH>
              <wp:positionV relativeFrom="paragraph">
                <wp:posOffset>-1474113</wp:posOffset>
              </wp:positionV>
              <wp:extent cx="112395" cy="471805"/>
              <wp:effectExtent l="0" t="0" r="1905" b="4445"/>
              <wp:wrapNone/>
              <wp:docPr id="14571" name="Rectangle 14571"/>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25716" id="Rectangle 14571" o:spid="_x0000_s1026" style="position:absolute;margin-left:-3.7pt;margin-top:-116.05pt;width:8.85pt;height:37.1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fillcolor="#3fb296" stroked="f" strokeweight="1pt"/>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6659" w14:textId="77777777" w:rsidR="00EB70E0" w:rsidRDefault="00EB70E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435C" w14:textId="77777777" w:rsidR="00EB70E0" w:rsidRPr="00B964EB" w:rsidRDefault="00EB70E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76455" w14:textId="2C60C731" w:rsidR="00EB70E0" w:rsidRPr="00B964EB" w:rsidRDefault="00EB70E0">
    <w:pPr>
      <w:pStyle w:val="Header"/>
    </w:pPr>
    <w:r>
      <w:rPr>
        <w:noProof/>
      </w:rPr>
      <w:drawing>
        <wp:anchor distT="0" distB="0" distL="114300" distR="114300" simplePos="0" relativeHeight="251629568" behindDoc="1" locked="1" layoutInCell="1" allowOverlap="1" wp14:anchorId="1144E1C0" wp14:editId="3C027064">
          <wp:simplePos x="0" y="0"/>
          <wp:positionH relativeFrom="page">
            <wp:align>left</wp:align>
          </wp:positionH>
          <wp:positionV relativeFrom="page">
            <wp:align>top</wp:align>
          </wp:positionV>
          <wp:extent cx="7581900" cy="1072515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
                    <a:extLst>
                      <a:ext uri="{28A0092B-C50C-407E-A947-70E740481C1C}">
                        <a14:useLocalDpi xmlns:a14="http://schemas.microsoft.com/office/drawing/2010/main" val="0"/>
                      </a:ext>
                    </a:extLst>
                  </a:blip>
                  <a:stretch>
                    <a:fillRect/>
                  </a:stretch>
                </pic:blipFill>
                <pic:spPr>
                  <a:xfrm>
                    <a:off x="0" y="0"/>
                    <a:ext cx="7582241" cy="10725202"/>
                  </a:xfrm>
                  <a:prstGeom prst="rect">
                    <a:avLst/>
                  </a:prstGeom>
                </pic:spPr>
              </pic:pic>
            </a:graphicData>
          </a:graphic>
          <wp14:sizeRelH relativeFrom="margin">
            <wp14:pctWidth>0</wp14:pctWidth>
          </wp14:sizeRelH>
          <wp14:sizeRelV relativeFrom="margin">
            <wp14:pctHeight>0</wp14:pctHeight>
          </wp14:sizeRelV>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6D7B8" w14:textId="77777777" w:rsidR="00EB70E0" w:rsidRPr="00B964EB" w:rsidRDefault="00EB70E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ECA3" w14:textId="77777777" w:rsidR="00EB70E0" w:rsidRPr="00213CDE" w:rsidRDefault="00EB70E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8D631" w14:textId="77777777" w:rsidR="00EB70E0" w:rsidRPr="00213CDE" w:rsidRDefault="00EB70E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A05B5" w14:textId="77777777" w:rsidR="00EB70E0" w:rsidRPr="00213CDE" w:rsidRDefault="00EB70E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BE51" w14:textId="17C67E11" w:rsidR="00EB70E0" w:rsidRPr="0019658C" w:rsidRDefault="00EB70E0">
    <w:pPr>
      <w:pStyle w:val="amprHeader-Left"/>
    </w:pPr>
    <w:r w:rsidRPr="002B3FD9">
      <w:rPr>
        <w:noProof/>
        <w:lang w:eastAsia="en-GB"/>
      </w:rPr>
      <mc:AlternateContent>
        <mc:Choice Requires="wps">
          <w:drawing>
            <wp:anchor distT="0" distB="0" distL="114300" distR="114300" simplePos="0" relativeHeight="251639808" behindDoc="0" locked="1" layoutInCell="1" allowOverlap="1" wp14:anchorId="775C71BF" wp14:editId="3DB129B3">
              <wp:simplePos x="0" y="0"/>
              <wp:positionH relativeFrom="page">
                <wp:align>left</wp:align>
              </wp:positionH>
              <wp:positionV relativeFrom="page">
                <wp:align>top</wp:align>
              </wp:positionV>
              <wp:extent cx="7621200" cy="212400"/>
              <wp:effectExtent l="0" t="0" r="0" b="0"/>
              <wp:wrapNone/>
              <wp:docPr id="1584739070" name="Rectangle 15847390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E420E" id="Rectangle 1584739070" o:spid="_x0000_s1026" alt="&quot;&quot;" style="position:absolute;margin-left:0;margin-top:0;width:600.1pt;height:16.7pt;z-index:251658257;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t xml:space="preserve">Annual Management and Performance Report for the EU Budget – </w:t>
    </w:r>
    <w:r w:rsidRPr="00B12E79">
      <w:t>202</w:t>
    </w:r>
    <w:r w:rsidR="00DF314A">
      <w:t>5</w:t>
    </w:r>
    <w:r w:rsidRPr="00B12E79">
      <w:t xml:space="preserve"> financial year</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2064" w14:textId="34DF0ECB" w:rsidR="00EB70E0" w:rsidRDefault="00EB70E0">
    <w:pPr>
      <w:pStyle w:val="amprHeader-Right"/>
    </w:pPr>
    <w:r w:rsidRPr="003B3217">
      <w:t>Annex</w:t>
    </w:r>
    <w:r>
      <w:rPr>
        <w:rFonts w:ascii="Calibri" w:hAnsi="Calibri" w:cs="Calibri"/>
      </w:rPr>
      <w:t> </w:t>
    </w:r>
    <w:r>
      <w:t>7</w:t>
    </w:r>
    <w:r>
      <w:rPr>
        <w:rFonts w:ascii="Calibri" w:hAnsi="Calibri" w:cs="Calibri"/>
      </w:rPr>
      <w:t> </w:t>
    </w:r>
    <w:r w:rsidRPr="003B3217">
      <w:t xml:space="preserve">– </w:t>
    </w:r>
    <w:r w:rsidRPr="0018661B">
      <w:t>Summary of the work and conclusions of the Audit Progress Committee</w:t>
    </w:r>
    <w:r w:rsidRPr="00D61A2C">
      <w:rPr>
        <w:lang w:eastAsia="en-GB"/>
      </w:rPr>
      <w:t xml:space="preserve"> </w:t>
    </w:r>
    <w:r w:rsidRPr="002B3FD9">
      <w:rPr>
        <w:noProof/>
        <w:lang w:eastAsia="en-GB"/>
      </w:rPr>
      <mc:AlternateContent>
        <mc:Choice Requires="wps">
          <w:drawing>
            <wp:anchor distT="0" distB="0" distL="114300" distR="114300" simplePos="0" relativeHeight="251645952" behindDoc="0" locked="1" layoutInCell="1" allowOverlap="1" wp14:anchorId="5CC57AB3" wp14:editId="1ABA5416">
              <wp:simplePos x="0" y="0"/>
              <wp:positionH relativeFrom="page">
                <wp:align>left</wp:align>
              </wp:positionH>
              <wp:positionV relativeFrom="page">
                <wp:align>top</wp:align>
              </wp:positionV>
              <wp:extent cx="7621200" cy="212400"/>
              <wp:effectExtent l="0" t="0" r="0" b="0"/>
              <wp:wrapNone/>
              <wp:docPr id="1096490844" name="Rectangle 10964908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BC4C1" id="Rectangle 1096490844" o:spid="_x0000_s1026" alt="&quot;&quot;" style="position:absolute;margin-left:0;margin-top:0;width:600.1pt;height:16.7pt;z-index:25165826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rsidRPr="00D61A2C">
      <w:rPr>
        <w:noProof/>
        <w:lang w:eastAsia="en-GB"/>
      </w:rPr>
      <mc:AlternateContent>
        <mc:Choice Requires="wps">
          <w:drawing>
            <wp:anchor distT="0" distB="0" distL="114300" distR="114300" simplePos="0" relativeHeight="251622400" behindDoc="0" locked="0" layoutInCell="1" allowOverlap="1" wp14:anchorId="07A55523" wp14:editId="6CBFE40C">
              <wp:simplePos x="0" y="0"/>
              <wp:positionH relativeFrom="column">
                <wp:posOffset>-46990</wp:posOffset>
              </wp:positionH>
              <wp:positionV relativeFrom="paragraph">
                <wp:posOffset>-1474113</wp:posOffset>
              </wp:positionV>
              <wp:extent cx="112395" cy="471805"/>
              <wp:effectExtent l="0" t="0" r="1905" b="4445"/>
              <wp:wrapNone/>
              <wp:docPr id="14" name="Rectangle 14"/>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13218" id="Rectangle 14" o:spid="_x0000_s1026" style="position:absolute;margin-left:-3.7pt;margin-top:-116.05pt;width:8.85pt;height:3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fillcolor="#3fb296" stroked="f" strokeweight="1pt"/>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9386" w14:textId="77777777" w:rsidR="00EB70E0" w:rsidRDefault="00EB70E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6EF7E" w14:textId="77777777" w:rsidR="00EB70E0" w:rsidRPr="00B964EB" w:rsidRDefault="00EB70E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8714C" w14:textId="6C47598F" w:rsidR="00EB70E0" w:rsidRPr="00B964EB" w:rsidRDefault="00EB70E0">
    <w:pPr>
      <w:pStyle w:val="Header"/>
    </w:pPr>
    <w:r>
      <w:rPr>
        <w:noProof/>
      </w:rPr>
      <w:drawing>
        <wp:anchor distT="0" distB="0" distL="114300" distR="114300" simplePos="0" relativeHeight="251630592" behindDoc="1" locked="1" layoutInCell="1" allowOverlap="1" wp14:anchorId="75E1689C" wp14:editId="539335D2">
          <wp:simplePos x="0" y="0"/>
          <wp:positionH relativeFrom="page">
            <wp:posOffset>0</wp:posOffset>
          </wp:positionH>
          <wp:positionV relativeFrom="page">
            <wp:posOffset>0</wp:posOffset>
          </wp:positionV>
          <wp:extent cx="7619365" cy="10777220"/>
          <wp:effectExtent l="0" t="0" r="635" b="508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
                    <a:extLst>
                      <a:ext uri="{28A0092B-C50C-407E-A947-70E740481C1C}">
                        <a14:useLocalDpi xmlns:a14="http://schemas.microsoft.com/office/drawing/2010/main" val="0"/>
                      </a:ext>
                    </a:extLst>
                  </a:blip>
                  <a:stretch>
                    <a:fillRect/>
                  </a:stretch>
                </pic:blipFill>
                <pic:spPr>
                  <a:xfrm>
                    <a:off x="0" y="0"/>
                    <a:ext cx="7619365" cy="10777220"/>
                  </a:xfrm>
                  <a:prstGeom prst="rect">
                    <a:avLst/>
                  </a:prstGeom>
                </pic:spPr>
              </pic:pic>
            </a:graphicData>
          </a:graphic>
          <wp14:sizeRelH relativeFrom="margin">
            <wp14:pctWidth>0</wp14:pctWidth>
          </wp14:sizeRelH>
          <wp14:sizeRelV relativeFrom="margin">
            <wp14:pctHeight>0</wp14:pctHeight>
          </wp14:sizeRelV>
        </wp:anchor>
      </w:drawing>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B0D33" w14:textId="77777777" w:rsidR="00EB70E0" w:rsidRPr="00B964EB" w:rsidRDefault="00EB70E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8CE68" w14:textId="77777777" w:rsidR="00EB70E0" w:rsidRPr="00213CDE" w:rsidRDefault="00EB70E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39EA3" w14:textId="77777777" w:rsidR="00EB70E0" w:rsidRPr="00213CDE" w:rsidRDefault="00EB70E0">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8DF6" w14:textId="77777777" w:rsidR="00EB70E0" w:rsidRPr="00213CDE" w:rsidRDefault="00EB70E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8BEAE" w14:textId="209C8183" w:rsidR="00EB70E0" w:rsidRPr="00633FE2" w:rsidRDefault="00EB70E0">
    <w:pPr>
      <w:pStyle w:val="amprHeader-Left"/>
    </w:pPr>
    <w:r w:rsidRPr="002B3FD9">
      <w:rPr>
        <w:noProof/>
        <w:lang w:eastAsia="en-GB"/>
      </w:rPr>
      <mc:AlternateContent>
        <mc:Choice Requires="wps">
          <w:drawing>
            <wp:anchor distT="0" distB="0" distL="114300" distR="114300" simplePos="0" relativeHeight="251642880" behindDoc="0" locked="1" layoutInCell="1" allowOverlap="1" wp14:anchorId="1B4F4650" wp14:editId="2F2138A9">
              <wp:simplePos x="0" y="0"/>
              <wp:positionH relativeFrom="page">
                <wp:align>left</wp:align>
              </wp:positionH>
              <wp:positionV relativeFrom="page">
                <wp:align>top</wp:align>
              </wp:positionV>
              <wp:extent cx="7621200" cy="212400"/>
              <wp:effectExtent l="0" t="0" r="0" b="0"/>
              <wp:wrapNone/>
              <wp:docPr id="2025710143" name="Rectangle 20257101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830A2" id="Rectangle 2025710143" o:spid="_x0000_s1026" alt="&quot;&quot;" style="position:absolute;margin-left:0;margin-top:0;width:600.1pt;height:16.7pt;z-index:2516582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t xml:space="preserve">Annual Management and Performance Report for the EU Budget – </w:t>
    </w:r>
    <w:r w:rsidRPr="00B12E79">
      <w:t>202</w:t>
    </w:r>
    <w:r w:rsidR="005B3567">
      <w:t>5</w:t>
    </w:r>
    <w:r w:rsidRPr="00B12E79">
      <w:t xml:space="preserve"> financial year</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DE44F" w14:textId="29F608AD" w:rsidR="00EB70E0" w:rsidRPr="001C690D" w:rsidRDefault="00EB70E0">
    <w:pPr>
      <w:pStyle w:val="amprHeader-Right"/>
    </w:pPr>
    <w:r w:rsidRPr="003B3217">
      <w:t>Annex</w:t>
    </w:r>
    <w:r>
      <w:rPr>
        <w:rFonts w:ascii="Calibri" w:hAnsi="Calibri" w:cs="Calibri"/>
      </w:rPr>
      <w:t> </w:t>
    </w:r>
    <w:r>
      <w:t>8</w:t>
    </w:r>
    <w:r>
      <w:rPr>
        <w:rFonts w:ascii="Calibri" w:hAnsi="Calibri" w:cs="Calibri"/>
      </w:rPr>
      <w:t> </w:t>
    </w:r>
    <w:r w:rsidRPr="003B3217">
      <w:t xml:space="preserve">– </w:t>
    </w:r>
    <w:r w:rsidRPr="00F8789D">
      <w:t>Compliance with payment time limits</w:t>
    </w:r>
    <w:r w:rsidRPr="00D61A2C">
      <w:rPr>
        <w:lang w:eastAsia="en-GB"/>
      </w:rPr>
      <w:t xml:space="preserve"> </w:t>
    </w:r>
    <w:r w:rsidRPr="002B3FD9">
      <w:rPr>
        <w:noProof/>
        <w:lang w:eastAsia="en-GB"/>
      </w:rPr>
      <mc:AlternateContent>
        <mc:Choice Requires="wps">
          <w:drawing>
            <wp:anchor distT="0" distB="0" distL="114300" distR="114300" simplePos="0" relativeHeight="251644928" behindDoc="0" locked="1" layoutInCell="1" allowOverlap="1" wp14:anchorId="6869C8CF" wp14:editId="6A3424E0">
              <wp:simplePos x="0" y="0"/>
              <wp:positionH relativeFrom="page">
                <wp:align>left</wp:align>
              </wp:positionH>
              <wp:positionV relativeFrom="page">
                <wp:align>top</wp:align>
              </wp:positionV>
              <wp:extent cx="7621200" cy="212400"/>
              <wp:effectExtent l="0" t="0" r="0" b="0"/>
              <wp:wrapNone/>
              <wp:docPr id="966399288" name="Rectangle 9663992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A341E" id="Rectangle 966399288" o:spid="_x0000_s1026" alt="&quot;&quot;" style="position:absolute;margin-left:0;margin-top:0;width:600.1pt;height:16.7pt;z-index:25165826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rsidRPr="00D61A2C">
      <w:rPr>
        <w:noProof/>
        <w:lang w:eastAsia="en-GB"/>
      </w:rPr>
      <mc:AlternateContent>
        <mc:Choice Requires="wps">
          <w:drawing>
            <wp:anchor distT="0" distB="0" distL="114300" distR="114300" simplePos="0" relativeHeight="251636736" behindDoc="0" locked="0" layoutInCell="1" allowOverlap="1" wp14:anchorId="4DBF2367" wp14:editId="38BDF59E">
              <wp:simplePos x="0" y="0"/>
              <wp:positionH relativeFrom="column">
                <wp:posOffset>-46990</wp:posOffset>
              </wp:positionH>
              <wp:positionV relativeFrom="paragraph">
                <wp:posOffset>-1474113</wp:posOffset>
              </wp:positionV>
              <wp:extent cx="112395" cy="471805"/>
              <wp:effectExtent l="0" t="0" r="1905" b="4445"/>
              <wp:wrapNone/>
              <wp:docPr id="14575" name="Rectangle 14575"/>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5D3289" id="Rectangle 14575" o:spid="_x0000_s1026" style="position:absolute;margin-left:-3.7pt;margin-top:-116.05pt;width:8.85pt;height:37.1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fillcolor="#3fb296" stroked="f" strokeweight="1pt"/>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4D22" w14:textId="77777777" w:rsidR="00EB70E0" w:rsidRDefault="00EB70E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22967" w14:textId="77777777" w:rsidR="00EB70E0" w:rsidRPr="00B964EB" w:rsidRDefault="00EB70E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9CE29" w14:textId="5EB79FED" w:rsidR="00EB70E0" w:rsidRPr="00B964EB" w:rsidRDefault="00EB70E0">
    <w:pPr>
      <w:pStyle w:val="Header"/>
    </w:pPr>
    <w:r>
      <w:rPr>
        <w:noProof/>
      </w:rPr>
      <w:drawing>
        <wp:anchor distT="0" distB="0" distL="114300" distR="114300" simplePos="0" relativeHeight="251631616" behindDoc="1" locked="1" layoutInCell="1" allowOverlap="1" wp14:anchorId="71462131" wp14:editId="652CF4BF">
          <wp:simplePos x="0" y="0"/>
          <wp:positionH relativeFrom="page">
            <wp:align>left</wp:align>
          </wp:positionH>
          <wp:positionV relativeFrom="page">
            <wp:align>top</wp:align>
          </wp:positionV>
          <wp:extent cx="7558405" cy="10691495"/>
          <wp:effectExtent l="0" t="0" r="4445"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margin">
            <wp14:pctWidth>0</wp14:pctWidth>
          </wp14:sizeRelH>
          <wp14:sizeRelV relativeFrom="margin">
            <wp14:pctHeight>0</wp14:pctHeight>
          </wp14:sizeRelV>
        </wp:anchor>
      </w:drawing>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F773" w14:textId="77777777" w:rsidR="00EB70E0" w:rsidRPr="00B964EB" w:rsidRDefault="00EB70E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01C5" w14:textId="77777777" w:rsidR="00EB70E0" w:rsidRPr="00213CDE" w:rsidRDefault="00EB70E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9A0B8" w14:textId="77777777" w:rsidR="00EB70E0" w:rsidRPr="00213CDE" w:rsidRDefault="00EB70E0">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4EDB" w14:textId="77777777" w:rsidR="00EB70E0" w:rsidRPr="00213CDE" w:rsidRDefault="00EB70E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A109" w14:textId="457F2116" w:rsidR="00EB70E0" w:rsidRPr="00B85C2E" w:rsidRDefault="0024570B" w:rsidP="0024570B">
    <w:pPr>
      <w:pStyle w:val="amprHeader-Left"/>
    </w:pPr>
    <w:r w:rsidRPr="002B3FD9">
      <w:rPr>
        <w:noProof/>
        <w:lang w:eastAsia="en-GB"/>
      </w:rPr>
      <mc:AlternateContent>
        <mc:Choice Requires="wps">
          <w:drawing>
            <wp:anchor distT="0" distB="0" distL="114300" distR="114300" simplePos="0" relativeHeight="251656192" behindDoc="0" locked="1" layoutInCell="1" allowOverlap="1" wp14:anchorId="2173A22F" wp14:editId="6C21A463">
              <wp:simplePos x="0" y="0"/>
              <wp:positionH relativeFrom="page">
                <wp:align>left</wp:align>
              </wp:positionH>
              <wp:positionV relativeFrom="page">
                <wp:align>top</wp:align>
              </wp:positionV>
              <wp:extent cx="7621200" cy="212400"/>
              <wp:effectExtent l="0" t="0" r="0" b="0"/>
              <wp:wrapNone/>
              <wp:docPr id="973447390" name="Rectangle 9734473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D6FE8" id="Rectangle 973447390" o:spid="_x0000_s1026" alt="&quot;&quot;" style="position:absolute;margin-left:0;margin-top:0;width:600.1pt;height:16.7pt;z-index:25165827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t xml:space="preserve">Annual Management and Performance Report for the EU Budget – </w:t>
    </w:r>
    <w:r w:rsidRPr="00B12E79">
      <w:t>202</w:t>
    </w:r>
    <w:r>
      <w:t>5</w:t>
    </w:r>
    <w:r w:rsidRPr="00B12E79">
      <w:t xml:space="preserve"> financial year</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DBAE5" w14:textId="6FCD00B1" w:rsidR="00EB70E0" w:rsidRPr="00517428" w:rsidRDefault="00517428" w:rsidP="00517428">
    <w:pPr>
      <w:pStyle w:val="amprHeader-Right"/>
    </w:pPr>
    <w:r w:rsidRPr="003B3217">
      <w:t>Annex</w:t>
    </w:r>
    <w:r>
      <w:rPr>
        <w:rFonts w:ascii="Calibri" w:hAnsi="Calibri" w:cs="Calibri"/>
      </w:rPr>
      <w:t> </w:t>
    </w:r>
    <w:r>
      <w:t>9</w:t>
    </w:r>
    <w:r>
      <w:rPr>
        <w:rFonts w:ascii="Calibri" w:hAnsi="Calibri" w:cs="Calibri"/>
      </w:rPr>
      <w:t> </w:t>
    </w:r>
    <w:r w:rsidRPr="003B3217">
      <w:t xml:space="preserve">– </w:t>
    </w:r>
    <w:r w:rsidRPr="00EE0648">
      <w:t>Summary of waivers of recoveries of established amounts receivable</w:t>
    </w:r>
    <w:r w:rsidRPr="002B3FD9">
      <w:rPr>
        <w:noProof/>
        <w:lang w:eastAsia="en-GB"/>
      </w:rPr>
      <mc:AlternateContent>
        <mc:Choice Requires="wps">
          <w:drawing>
            <wp:anchor distT="0" distB="0" distL="114300" distR="114300" simplePos="0" relativeHeight="251655168" behindDoc="0" locked="1" layoutInCell="1" allowOverlap="1" wp14:anchorId="49B6D1C4" wp14:editId="059A1CC1">
              <wp:simplePos x="0" y="0"/>
              <wp:positionH relativeFrom="page">
                <wp:align>left</wp:align>
              </wp:positionH>
              <wp:positionV relativeFrom="page">
                <wp:align>top</wp:align>
              </wp:positionV>
              <wp:extent cx="7621200" cy="212400"/>
              <wp:effectExtent l="0" t="0" r="0" b="0"/>
              <wp:wrapNone/>
              <wp:docPr id="1545555105" name="Rectangle 15455551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AE52E" id="Rectangle 1545555105" o:spid="_x0000_s1026" alt="&quot;&quot;" style="position:absolute;margin-left:0;margin-top:0;width:600.1pt;height:16.7pt;z-index:2516582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rsidRPr="00D61A2C">
      <w:rPr>
        <w:noProof/>
        <w:lang w:eastAsia="en-GB"/>
      </w:rPr>
      <mc:AlternateContent>
        <mc:Choice Requires="wps">
          <w:drawing>
            <wp:anchor distT="0" distB="0" distL="114300" distR="114300" simplePos="0" relativeHeight="251654144" behindDoc="0" locked="0" layoutInCell="1" allowOverlap="1" wp14:anchorId="044DD5B5" wp14:editId="390C4012">
              <wp:simplePos x="0" y="0"/>
              <wp:positionH relativeFrom="column">
                <wp:posOffset>-46990</wp:posOffset>
              </wp:positionH>
              <wp:positionV relativeFrom="paragraph">
                <wp:posOffset>-1474113</wp:posOffset>
              </wp:positionV>
              <wp:extent cx="112395" cy="471805"/>
              <wp:effectExtent l="0" t="0" r="1905" b="4445"/>
              <wp:wrapNone/>
              <wp:docPr id="14577" name="Rectangle 14577"/>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88475" id="Rectangle 14577" o:spid="_x0000_s1026" style="position:absolute;margin-left:-3.7pt;margin-top:-116.05pt;width:8.85pt;height:37.1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fillcolor="#3fb296" stroked="f" strokeweight="1pt"/>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0ABA" w14:textId="77777777" w:rsidR="00EB70E0" w:rsidRDefault="00EB70E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8B2B7" w14:textId="26A07160" w:rsidR="00EB70E0" w:rsidRPr="00B964EB" w:rsidRDefault="00EB70E0">
    <w:pPr>
      <w:pStyle w:val="Header"/>
    </w:pPr>
    <w:r>
      <w:rPr>
        <w:noProof/>
      </w:rPr>
      <w:drawing>
        <wp:anchor distT="0" distB="0" distL="114300" distR="114300" simplePos="0" relativeHeight="251632640" behindDoc="1" locked="1" layoutInCell="1" allowOverlap="1" wp14:anchorId="467CE2CC" wp14:editId="40157DEE">
          <wp:simplePos x="0" y="0"/>
          <wp:positionH relativeFrom="page">
            <wp:align>left</wp:align>
          </wp:positionH>
          <wp:positionV relativeFrom="page">
            <wp:align>top</wp:align>
          </wp:positionV>
          <wp:extent cx="7549200" cy="1067760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ver_AMPR_separator.jpg"/>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FACA" w14:textId="742A3914" w:rsidR="00EB70E0" w:rsidRPr="00B964EB" w:rsidRDefault="00EB70E0">
    <w:pPr>
      <w:pStyle w:val="Header"/>
    </w:pPr>
    <w:r>
      <w:rPr>
        <w:noProof/>
      </w:rPr>
      <w:drawing>
        <wp:anchor distT="0" distB="0" distL="114300" distR="114300" simplePos="0" relativeHeight="251633664" behindDoc="1" locked="1" layoutInCell="1" allowOverlap="1" wp14:anchorId="51A22BA6" wp14:editId="4A6876C8">
          <wp:simplePos x="0" y="0"/>
          <wp:positionH relativeFrom="page">
            <wp:posOffset>0</wp:posOffset>
          </wp:positionH>
          <wp:positionV relativeFrom="page">
            <wp:posOffset>0</wp:posOffset>
          </wp:positionV>
          <wp:extent cx="7573645" cy="10712450"/>
          <wp:effectExtent l="0" t="0" r="8255"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2450"/>
                  </a:xfrm>
                  <a:prstGeom prst="rect">
                    <a:avLst/>
                  </a:prstGeom>
                </pic:spPr>
              </pic:pic>
            </a:graphicData>
          </a:graphic>
          <wp14:sizeRelH relativeFrom="margin">
            <wp14:pctWidth>0</wp14:pctWidth>
          </wp14:sizeRelH>
          <wp14:sizeRelV relativeFrom="margin">
            <wp14:pctHeight>0</wp14:pctHeight>
          </wp14:sizeRelV>
        </wp:anchor>
      </w:drawing>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613D" w14:textId="77777777" w:rsidR="00EB70E0" w:rsidRPr="00B964EB" w:rsidRDefault="00EB70E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54EB1" w14:textId="77777777" w:rsidR="00EB70E0" w:rsidRPr="00213CDE" w:rsidRDefault="00EB70E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1836C" w14:textId="77777777" w:rsidR="00EB70E0" w:rsidRPr="00213CDE" w:rsidRDefault="00EB70E0">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5E75" w14:textId="77777777" w:rsidR="00EB70E0" w:rsidRPr="00213CDE" w:rsidRDefault="00EB70E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766CE" w14:textId="12DC9FDE" w:rsidR="00EB70E0" w:rsidRDefault="00EB70E0">
    <w:pPr>
      <w:pStyle w:val="amprHeader-Left"/>
    </w:pPr>
    <w:r w:rsidRPr="002B3FD9">
      <w:rPr>
        <w:noProof/>
        <w:lang w:eastAsia="en-GB"/>
      </w:rPr>
      <mc:AlternateContent>
        <mc:Choice Requires="wps">
          <w:drawing>
            <wp:anchor distT="0" distB="0" distL="114300" distR="114300" simplePos="0" relativeHeight="251641856" behindDoc="0" locked="1" layoutInCell="1" allowOverlap="1" wp14:anchorId="3C318D6D" wp14:editId="1F7D0E0D">
              <wp:simplePos x="0" y="0"/>
              <wp:positionH relativeFrom="page">
                <wp:align>left</wp:align>
              </wp:positionH>
              <wp:positionV relativeFrom="page">
                <wp:align>top</wp:align>
              </wp:positionV>
              <wp:extent cx="7621200" cy="212400"/>
              <wp:effectExtent l="0" t="0" r="0" b="0"/>
              <wp:wrapNone/>
              <wp:docPr id="1780863268" name="Rectangle 17808632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B8D95F" id="Rectangle 1780863268" o:spid="_x0000_s1026" alt="&quot;&quot;" style="position:absolute;margin-left:0;margin-top:0;width:600.1pt;height:16.7pt;z-index:25165825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t xml:space="preserve">Annual Management and Performance Report for the EU Budget – </w:t>
    </w:r>
    <w:r w:rsidRPr="00B12E79">
      <w:t>202</w:t>
    </w:r>
    <w:r w:rsidR="005B3567">
      <w:t>5</w:t>
    </w:r>
    <w:r w:rsidRPr="00B12E79">
      <w:t xml:space="preserve"> financial year</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138F" w14:textId="1E3F172A" w:rsidR="00EB70E0" w:rsidRPr="00CE4F13" w:rsidRDefault="00EB70E0">
    <w:pPr>
      <w:pStyle w:val="amprHeader-Right"/>
    </w:pPr>
    <w:r w:rsidRPr="003B3217">
      <w:t>Annex</w:t>
    </w:r>
    <w:r>
      <w:rPr>
        <w:rFonts w:ascii="Calibri" w:hAnsi="Calibri" w:cs="Calibri"/>
      </w:rPr>
      <w:t> </w:t>
    </w:r>
    <w:r>
      <w:t>10</w:t>
    </w:r>
    <w:r>
      <w:rPr>
        <w:rFonts w:ascii="Calibri" w:hAnsi="Calibri" w:cs="Calibri"/>
      </w:rPr>
      <w:t> </w:t>
    </w:r>
    <w:r w:rsidRPr="003B3217">
      <w:t>–</w:t>
    </w:r>
    <w:r w:rsidRPr="002B3FD9">
      <w:rPr>
        <w:noProof/>
        <w:lang w:eastAsia="en-GB"/>
      </w:rPr>
      <mc:AlternateContent>
        <mc:Choice Requires="wps">
          <w:drawing>
            <wp:anchor distT="0" distB="0" distL="114300" distR="114300" simplePos="0" relativeHeight="251643904" behindDoc="0" locked="1" layoutInCell="1" allowOverlap="1" wp14:anchorId="01A81AD3" wp14:editId="632F0FC6">
              <wp:simplePos x="0" y="0"/>
              <wp:positionH relativeFrom="page">
                <wp:align>left</wp:align>
              </wp:positionH>
              <wp:positionV relativeFrom="page">
                <wp:align>top</wp:align>
              </wp:positionV>
              <wp:extent cx="7621200" cy="212400"/>
              <wp:effectExtent l="0" t="0" r="0" b="0"/>
              <wp:wrapNone/>
              <wp:docPr id="206697711" name="Rectangle 2066977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D4975" id="Rectangle 206697711" o:spid="_x0000_s1026" alt="&quot;&quot;" style="position:absolute;margin-left:0;margin-top:0;width:600.1pt;height:16.7pt;z-index:251658261;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rsidRPr="00D61A2C">
      <w:rPr>
        <w:noProof/>
        <w:lang w:eastAsia="en-GB"/>
      </w:rPr>
      <mc:AlternateContent>
        <mc:Choice Requires="wps">
          <w:drawing>
            <wp:anchor distT="0" distB="0" distL="114300" distR="114300" simplePos="0" relativeHeight="251625472" behindDoc="0" locked="0" layoutInCell="1" allowOverlap="1" wp14:anchorId="5B9D2223" wp14:editId="36337225">
              <wp:simplePos x="0" y="0"/>
              <wp:positionH relativeFrom="column">
                <wp:posOffset>-46990</wp:posOffset>
              </wp:positionH>
              <wp:positionV relativeFrom="paragraph">
                <wp:posOffset>-1474113</wp:posOffset>
              </wp:positionV>
              <wp:extent cx="112395" cy="471805"/>
              <wp:effectExtent l="0" t="0" r="1905" b="4445"/>
              <wp:wrapNone/>
              <wp:docPr id="25" name="Rectangle 25"/>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B2C28" id="Rectangle 25" o:spid="_x0000_s1026" style="position:absolute;margin-left:-3.7pt;margin-top:-116.05pt;width:8.85pt;height:37.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fillcolor="#3fb296" stroked="f" strokeweight="1pt"/>
          </w:pict>
        </mc:Fallback>
      </mc:AlternateContent>
    </w:r>
    <w:r>
      <w:t xml:space="preserve"> </w:t>
    </w:r>
    <w:r w:rsidRPr="00CB1573">
      <w:rPr>
        <w:rFonts w:eastAsiaTheme="minorHAnsi" w:cstheme="minorBidi"/>
      </w:rPr>
      <w:t>Report on negotiated procedures</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D8B0" w14:textId="77777777" w:rsidR="00EB70E0" w:rsidRDefault="00EB70E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FCA8" w14:textId="77777777" w:rsidR="00EB70E0" w:rsidRPr="00B964EB" w:rsidRDefault="00EB70E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EA5EC" w14:textId="75685A2E" w:rsidR="00EB70E0" w:rsidRPr="00B964EB" w:rsidRDefault="00EB70E0" w:rsidP="0047643C">
    <w:pPr>
      <w:pStyle w:val="Header"/>
      <w:tabs>
        <w:tab w:val="left" w:pos="2294"/>
      </w:tabs>
      <w:jc w:val="left"/>
    </w:pPr>
    <w:r>
      <w:rPr>
        <w:noProof/>
      </w:rPr>
      <w:drawing>
        <wp:anchor distT="0" distB="0" distL="114300" distR="114300" simplePos="0" relativeHeight="251634688" behindDoc="1" locked="1" layoutInCell="1" allowOverlap="1" wp14:anchorId="308B1ECE" wp14:editId="6B139D43">
          <wp:simplePos x="0" y="0"/>
          <wp:positionH relativeFrom="page">
            <wp:posOffset>0</wp:posOffset>
          </wp:positionH>
          <wp:positionV relativeFrom="page">
            <wp:posOffset>0</wp:posOffset>
          </wp:positionV>
          <wp:extent cx="7573645" cy="10712450"/>
          <wp:effectExtent l="0" t="0" r="8255"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2450"/>
                  </a:xfrm>
                  <a:prstGeom prst="rect">
                    <a:avLst/>
                  </a:prstGeom>
                </pic:spPr>
              </pic:pic>
            </a:graphicData>
          </a:graphic>
          <wp14:sizeRelH relativeFrom="margin">
            <wp14:pctWidth>0</wp14:pctWidth>
          </wp14:sizeRelH>
          <wp14:sizeRelV relativeFrom="margin">
            <wp14:pctHeight>0</wp14:pctHeight>
          </wp14:sizeRelV>
        </wp:anchor>
      </w:drawing>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BEF6" w14:textId="77777777" w:rsidR="00EB70E0" w:rsidRPr="00B964EB" w:rsidRDefault="00EB70E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1995" w14:textId="77777777" w:rsidR="00EB70E0" w:rsidRPr="00213CDE" w:rsidRDefault="00EB70E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638D" w14:textId="77777777" w:rsidR="00EB70E0" w:rsidRPr="00213CDE" w:rsidRDefault="00EB70E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F14F8" w14:textId="77777777" w:rsidR="00EB70E0" w:rsidRPr="00213CDE" w:rsidRDefault="00EB70E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FC39" w14:textId="3F589231" w:rsidR="000A4F30" w:rsidRPr="000A4F30" w:rsidRDefault="000A4F30" w:rsidP="000A4F30">
    <w:pPr>
      <w:pStyle w:val="amprHeader-Left"/>
    </w:pPr>
    <w:r w:rsidRPr="002B3FD9">
      <w:rPr>
        <w:noProof/>
        <w:lang w:eastAsia="en-GB"/>
      </w:rPr>
      <mc:AlternateContent>
        <mc:Choice Requires="wps">
          <w:drawing>
            <wp:anchor distT="0" distB="0" distL="114300" distR="114300" simplePos="0" relativeHeight="251651072" behindDoc="0" locked="1" layoutInCell="1" allowOverlap="1" wp14:anchorId="7A05624A" wp14:editId="7656C1AA">
              <wp:simplePos x="0" y="0"/>
              <wp:positionH relativeFrom="page">
                <wp:align>left</wp:align>
              </wp:positionH>
              <wp:positionV relativeFrom="page">
                <wp:align>top</wp:align>
              </wp:positionV>
              <wp:extent cx="7621200" cy="212400"/>
              <wp:effectExtent l="0" t="0" r="0" b="0"/>
              <wp:wrapNone/>
              <wp:docPr id="982231226" name="Rectangle 9822312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932DCC" id="Rectangle 982231226" o:spid="_x0000_s1026" alt="&quot;&quot;" style="position:absolute;margin-left:0;margin-top:0;width:600.1pt;height:16.7pt;z-index:25165826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t xml:space="preserve">Annual Management and Performance Report for the EU Budget – </w:t>
    </w:r>
    <w:r w:rsidRPr="00B12E79">
      <w:t>202</w:t>
    </w:r>
    <w:r>
      <w:t>5</w:t>
    </w:r>
    <w:r w:rsidRPr="00B12E79">
      <w:t xml:space="preserve"> financial year</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2980" w14:textId="010FBD7E" w:rsidR="003A7BD6" w:rsidRPr="001F6DAD" w:rsidRDefault="001F6DAD" w:rsidP="00FE3224">
    <w:pPr>
      <w:pStyle w:val="amprHeader-Right"/>
    </w:pPr>
    <w:r w:rsidRPr="003B3217">
      <w:t>Annex</w:t>
    </w:r>
    <w:r>
      <w:rPr>
        <w:rFonts w:ascii="Calibri" w:hAnsi="Calibri" w:cs="Calibri"/>
      </w:rPr>
      <w:t> </w:t>
    </w:r>
    <w:r>
      <w:t>11</w:t>
    </w:r>
    <w:r>
      <w:rPr>
        <w:rFonts w:ascii="Calibri" w:hAnsi="Calibri" w:cs="Calibri"/>
      </w:rPr>
      <w:t> </w:t>
    </w:r>
    <w:r w:rsidRPr="003B3217">
      <w:t>–</w:t>
    </w:r>
    <w:r w:rsidRPr="002B3FD9">
      <w:rPr>
        <w:noProof/>
        <w:lang w:eastAsia="en-GB"/>
      </w:rPr>
      <mc:AlternateContent>
        <mc:Choice Requires="wps">
          <w:drawing>
            <wp:anchor distT="0" distB="0" distL="114300" distR="114300" simplePos="0" relativeHeight="251653120" behindDoc="0" locked="1" layoutInCell="1" allowOverlap="1" wp14:anchorId="55F06BE4" wp14:editId="7E3FF2E9">
              <wp:simplePos x="0" y="0"/>
              <wp:positionH relativeFrom="page">
                <wp:align>left</wp:align>
              </wp:positionH>
              <wp:positionV relativeFrom="page">
                <wp:align>top</wp:align>
              </wp:positionV>
              <wp:extent cx="7621200" cy="212400"/>
              <wp:effectExtent l="0" t="0" r="0" b="0"/>
              <wp:wrapNone/>
              <wp:docPr id="685255258" name="Rectangle 6852552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B21BF6" id="Rectangle 685255258" o:spid="_x0000_s1026" alt="&quot;&quot;" style="position:absolute;margin-left:0;margin-top:0;width:600.1pt;height:16.7pt;z-index:25165827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rsidRPr="00D61A2C">
      <w:rPr>
        <w:noProof/>
        <w:lang w:eastAsia="en-GB"/>
      </w:rPr>
      <mc:AlternateContent>
        <mc:Choice Requires="wps">
          <w:drawing>
            <wp:anchor distT="0" distB="0" distL="114300" distR="114300" simplePos="0" relativeHeight="251652096" behindDoc="0" locked="0" layoutInCell="1" allowOverlap="1" wp14:anchorId="45A6D0FF" wp14:editId="2BACA905">
              <wp:simplePos x="0" y="0"/>
              <wp:positionH relativeFrom="column">
                <wp:posOffset>-46990</wp:posOffset>
              </wp:positionH>
              <wp:positionV relativeFrom="paragraph">
                <wp:posOffset>-1474113</wp:posOffset>
              </wp:positionV>
              <wp:extent cx="112395" cy="471805"/>
              <wp:effectExtent l="0" t="0" r="1905" b="4445"/>
              <wp:wrapNone/>
              <wp:docPr id="787350685" name="Rectangle 787350685"/>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17BDE" id="Rectangle 787350685" o:spid="_x0000_s1026" style="position:absolute;margin-left:-3.7pt;margin-top:-116.05pt;width:8.85pt;height:37.1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fillcolor="#3fb296" stroked="f" strokeweight="1pt"/>
          </w:pict>
        </mc:Fallback>
      </mc:AlternateContent>
    </w:r>
    <w:r>
      <w:t xml:space="preserve"> </w:t>
    </w:r>
    <w:r w:rsidRPr="002143EA">
      <w:rPr>
        <w:rFonts w:eastAsiaTheme="minorHAnsi"/>
      </w:rPr>
      <w:t>EU trust funds</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33F26" w14:textId="77777777" w:rsidR="008842F9" w:rsidRDefault="00884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BC7084"/>
    <w:lvl w:ilvl="0">
      <w:start w:val="1"/>
      <w:numFmt w:val="decimal"/>
      <w:pStyle w:val="ListNumber5"/>
      <w:lvlText w:val="%1."/>
      <w:lvlJc w:val="left"/>
      <w:pPr>
        <w:tabs>
          <w:tab w:val="num" w:pos="644"/>
        </w:tabs>
        <w:ind w:left="644" w:hanging="360"/>
      </w:pPr>
    </w:lvl>
  </w:abstractNum>
  <w:abstractNum w:abstractNumId="1" w15:restartNumberingAfterBreak="0">
    <w:nsid w:val="FFFFFF7D"/>
    <w:multiLevelType w:val="singleLevel"/>
    <w:tmpl w:val="57F6CF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AD212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228C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83E35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C8C5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C44B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8A1A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39945E0"/>
    <w:multiLevelType w:val="multilevel"/>
    <w:tmpl w:val="07C0ACE6"/>
    <w:name w:val="ListNumberNonindentedNumbering3"/>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05C17048"/>
    <w:multiLevelType w:val="multilevel"/>
    <w:tmpl w:val="EEE20258"/>
    <w:styleLink w:val="AMPRAnnex4ListNo-Bullets"/>
    <w:lvl w:ilvl="0">
      <w:start w:val="1"/>
      <w:numFmt w:val="none"/>
      <w:pStyle w:val="AMPRAnnex4ListNo-Bullets-L1"/>
      <w:lvlText w:val=""/>
      <w:lvlJc w:val="left"/>
      <w:pPr>
        <w:ind w:left="360" w:hanging="360"/>
      </w:pPr>
      <w:rPr>
        <w:rFonts w:hint="default"/>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9687F6E"/>
    <w:multiLevelType w:val="multilevel"/>
    <w:tmpl w:val="1B9A6BE2"/>
    <w:name w:val="ListNumberNumbering"/>
    <w:lvl w:ilvl="0">
      <w:start w:val="1"/>
      <w:numFmt w:val="decimal"/>
      <w:pStyle w:val="ListNumber"/>
      <w:lvlText w:val="%1."/>
      <w:lvlJc w:val="left"/>
      <w:pPr>
        <w:ind w:left="794" w:hanging="397"/>
      </w:pPr>
      <w:rPr>
        <w:rFonts w:hint="default"/>
      </w:rPr>
    </w:lvl>
    <w:lvl w:ilvl="1">
      <w:start w:val="1"/>
      <w:numFmt w:val="decimal"/>
      <w:pStyle w:val="ListNumberLevel2"/>
      <w:lvlText w:val="%1.%2."/>
      <w:lvlJc w:val="left"/>
      <w:pPr>
        <w:ind w:left="1587" w:hanging="510"/>
      </w:pPr>
      <w:rPr>
        <w:rFonts w:hint="default"/>
      </w:rPr>
    </w:lvl>
    <w:lvl w:ilvl="2">
      <w:start w:val="1"/>
      <w:numFmt w:val="decimal"/>
      <w:pStyle w:val="ListNumberLevel3"/>
      <w:lvlText w:val="%1.%2.%3."/>
      <w:lvlJc w:val="left"/>
      <w:pPr>
        <w:ind w:left="2381" w:hanging="680"/>
      </w:pPr>
      <w:rPr>
        <w:rFonts w:hint="default"/>
      </w:rPr>
    </w:lvl>
    <w:lvl w:ilvl="3">
      <w:start w:val="1"/>
      <w:numFmt w:val="decimal"/>
      <w:pStyle w:val="ListNumberLevel4"/>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0F1C67E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1153D01"/>
    <w:multiLevelType w:val="multilevel"/>
    <w:tmpl w:val="1D4C4A96"/>
    <w:name w:val="HeadingNumbering"/>
    <w:lvl w:ilvl="0">
      <w:start w:val="1"/>
      <w:numFmt w:val="decimal"/>
      <w:pStyle w:val="HeadingNumbered1"/>
      <w:lvlText w:val="%1."/>
      <w:lvlJc w:val="left"/>
      <w:pPr>
        <w:ind w:left="850" w:hanging="850"/>
      </w:pPr>
      <w:rPr>
        <w:rFonts w:hint="default"/>
      </w:rPr>
    </w:lvl>
    <w:lvl w:ilvl="1">
      <w:start w:val="1"/>
      <w:numFmt w:val="decimal"/>
      <w:pStyle w:val="HeadingNumbered2"/>
      <w:lvlText w:val="%1.%2."/>
      <w:lvlJc w:val="left"/>
      <w:pPr>
        <w:ind w:left="850" w:hanging="850"/>
      </w:pPr>
      <w:rPr>
        <w:rFonts w:hint="default"/>
      </w:rPr>
    </w:lvl>
    <w:lvl w:ilvl="2">
      <w:start w:val="1"/>
      <w:numFmt w:val="decimal"/>
      <w:pStyle w:val="HeadingNumbered3"/>
      <w:lvlText w:val="%1.%2.%3."/>
      <w:lvlJc w:val="left"/>
      <w:pPr>
        <w:ind w:left="850" w:hanging="850"/>
      </w:pPr>
      <w:rPr>
        <w:rFonts w:ascii="Calibri" w:hAnsi="Calibri" w:hint="default"/>
      </w:rPr>
    </w:lvl>
    <w:lvl w:ilvl="3">
      <w:start w:val="1"/>
      <w:numFmt w:val="decimal"/>
      <w:pStyle w:val="HeadingNumbered4"/>
      <w:lvlText w:val="%4)"/>
      <w:lvlJc w:val="left"/>
      <w:pPr>
        <w:ind w:left="850" w:hanging="340"/>
      </w:pPr>
      <w:rPr>
        <w:rFonts w:ascii="Calibri" w:hAnsi="Calibri" w:hint="default"/>
      </w:rPr>
    </w:lvl>
    <w:lvl w:ilvl="4">
      <w:start w:val="1"/>
      <w:numFmt w:val="lowerLetter"/>
      <w:pStyle w:val="HeadingNumbered5"/>
      <w:lvlText w:val="%5)"/>
      <w:lvlJc w:val="left"/>
      <w:pPr>
        <w:ind w:left="1191" w:hanging="341"/>
      </w:pPr>
      <w:rPr>
        <w:rFonts w:ascii="Calibri" w:hAnsi="Calibri" w:hint="default"/>
      </w:rPr>
    </w:lvl>
    <w:lvl w:ilvl="5">
      <w:start w:val="1"/>
      <w:numFmt w:val="lowerRoman"/>
      <w:pStyle w:val="HeadingNumbered6"/>
      <w:lvlText w:val="(%6)"/>
      <w:lvlJc w:val="left"/>
      <w:pPr>
        <w:ind w:left="1531" w:hanging="340"/>
      </w:pPr>
      <w:rPr>
        <w:rFonts w:ascii="Calibri" w:hAnsi="Calibri" w:hint="default"/>
      </w:rPr>
    </w:lvl>
    <w:lvl w:ilvl="6">
      <w:numFmt w:val="none"/>
      <w:pStyle w:val="HeadingNumbered7"/>
      <w:lvlText w:val=""/>
      <w:lvlJc w:val="left"/>
    </w:lvl>
    <w:lvl w:ilvl="7">
      <w:numFmt w:val="none"/>
      <w:pStyle w:val="HeadingNumbered8"/>
      <w:lvlText w:val=""/>
      <w:lvlJc w:val="left"/>
    </w:lvl>
    <w:lvl w:ilvl="8">
      <w:numFmt w:val="none"/>
      <w:pStyle w:val="HeadingNumbered9"/>
      <w:lvlText w:val=""/>
      <w:lvlJc w:val="left"/>
    </w:lvl>
  </w:abstractNum>
  <w:abstractNum w:abstractNumId="13" w15:restartNumberingAfterBreak="0">
    <w:nsid w:val="11153D02"/>
    <w:multiLevelType w:val="multilevel"/>
    <w:tmpl w:val="1E0CFBE8"/>
    <w:name w:val="ListNumberNonindentedNumbering"/>
    <w:lvl w:ilvl="0">
      <w:start w:val="1"/>
      <w:numFmt w:val="decimal"/>
      <w:pStyle w:val="ListNumberNonindented"/>
      <w:lvlText w:val="%1."/>
      <w:lvlJc w:val="left"/>
      <w:pPr>
        <w:ind w:left="397" w:hanging="397"/>
      </w:pPr>
      <w:rPr>
        <w:rFonts w:hint="default"/>
      </w:rPr>
    </w:lvl>
    <w:lvl w:ilvl="1">
      <w:start w:val="1"/>
      <w:numFmt w:val="decimal"/>
      <w:pStyle w:val="ListNumberNonindentedLevel2"/>
      <w:lvlText w:val="%1.%2."/>
      <w:lvlJc w:val="left"/>
      <w:pPr>
        <w:ind w:left="624" w:hanging="624"/>
      </w:pPr>
      <w:rPr>
        <w:rFonts w:hint="default"/>
      </w:rPr>
    </w:lvl>
    <w:lvl w:ilvl="2">
      <w:start w:val="1"/>
      <w:numFmt w:val="decimal"/>
      <w:pStyle w:val="ListNumberNonindentedLevel3"/>
      <w:lvlText w:val="%1.%2.%3."/>
      <w:lvlJc w:val="left"/>
      <w:pPr>
        <w:ind w:left="850" w:hanging="850"/>
      </w:pPr>
      <w:rPr>
        <w:rFonts w:hint="default"/>
      </w:rPr>
    </w:lvl>
    <w:lvl w:ilvl="3">
      <w:start w:val="1"/>
      <w:numFmt w:val="decimal"/>
      <w:pStyle w:val="ListNumberNonindentedLevel4"/>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1153D03"/>
    <w:multiLevelType w:val="multilevel"/>
    <w:tmpl w:val="111E0B03"/>
    <w:name w:val="ListMixedNumbering3"/>
    <w:lvl w:ilvl="0">
      <w:start w:val="1"/>
      <w:numFmt w:val="decimal"/>
      <w:pStyle w:val="ListMixed"/>
      <w:lvlText w:val="%1."/>
      <w:lvlJc w:val="left"/>
      <w:pPr>
        <w:ind w:left="794" w:hanging="397"/>
      </w:pPr>
      <w:rPr>
        <w:rFonts w:hint="default"/>
      </w:rPr>
    </w:lvl>
    <w:lvl w:ilvl="1">
      <w:start w:val="1"/>
      <w:numFmt w:val="lowerLetter"/>
      <w:pStyle w:val="ListMixedLevel2"/>
      <w:lvlText w:val="%2."/>
      <w:lvlJc w:val="left"/>
      <w:pPr>
        <w:tabs>
          <w:tab w:val="num" w:pos="1191"/>
        </w:tabs>
        <w:ind w:left="1587" w:hanging="396"/>
      </w:pPr>
      <w:rPr>
        <w:rFonts w:hint="default"/>
      </w:rPr>
    </w:lvl>
    <w:lvl w:ilvl="2">
      <w:start w:val="1"/>
      <w:numFmt w:val="lowerRoman"/>
      <w:pStyle w:val="ListMixedLevel3"/>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1183D01"/>
    <w:multiLevelType w:val="multilevel"/>
    <w:tmpl w:val="977052E4"/>
    <w:name w:val="LabelledNumberHeadingNumbering"/>
    <w:lvl w:ilvl="0">
      <w:start w:val="1"/>
      <w:numFmt w:val="decimal"/>
      <w:pStyle w:val="Heading2LabelledNumber"/>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6" w15:restartNumberingAfterBreak="0">
    <w:nsid w:val="11183D02"/>
    <w:multiLevelType w:val="multilevel"/>
    <w:tmpl w:val="BC3AB3F4"/>
    <w:name w:val="LabelledLetterHeadingNumbering"/>
    <w:lvl w:ilvl="0">
      <w:start w:val="1"/>
      <w:numFmt w:val="upperLetter"/>
      <w:pStyle w:val="Heading2Labelled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17" w15:restartNumberingAfterBreak="0">
    <w:nsid w:val="12393C79"/>
    <w:multiLevelType w:val="multilevel"/>
    <w:tmpl w:val="1B9A6BE2"/>
    <w:name w:val="ListNumberNumbering3"/>
    <w:lvl w:ilvl="0">
      <w:start w:val="1"/>
      <w:numFmt w:val="decimal"/>
      <w:lvlText w:val="%1."/>
      <w:lvlJc w:val="left"/>
      <w:pPr>
        <w:ind w:left="794" w:hanging="397"/>
      </w:pPr>
      <w:rPr>
        <w:rFonts w:hint="default"/>
      </w:rPr>
    </w:lvl>
    <w:lvl w:ilvl="1">
      <w:start w:val="1"/>
      <w:numFmt w:val="decimal"/>
      <w:lvlText w:val="%1.%2."/>
      <w:lvlJc w:val="left"/>
      <w:pPr>
        <w:ind w:left="1587" w:hanging="510"/>
      </w:pPr>
      <w:rPr>
        <w:rFonts w:hint="default"/>
      </w:rPr>
    </w:lvl>
    <w:lvl w:ilvl="2">
      <w:start w:val="1"/>
      <w:numFmt w:val="decimal"/>
      <w:lvlText w:val="%1.%2.%3."/>
      <w:lvlJc w:val="left"/>
      <w:pPr>
        <w:ind w:left="2381" w:hanging="680"/>
      </w:pPr>
      <w:rPr>
        <w:rFonts w:hint="default"/>
      </w:rPr>
    </w:lvl>
    <w:lvl w:ilvl="3">
      <w:start w:val="1"/>
      <w:numFmt w:val="decimal"/>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12AF0196"/>
    <w:multiLevelType w:val="multilevel"/>
    <w:tmpl w:val="D6C29086"/>
    <w:styleLink w:val="amprHLISTNumberedheadings"/>
    <w:lvl w:ilvl="0">
      <w:start w:val="1"/>
      <w:numFmt w:val="decimal"/>
      <w:lvlText w:val="%1."/>
      <w:lvlJc w:val="left"/>
      <w:pPr>
        <w:ind w:left="578" w:hanging="578"/>
      </w:pPr>
      <w:rPr>
        <w:rFonts w:hint="default"/>
      </w:rPr>
    </w:lvl>
    <w:lvl w:ilvl="1">
      <w:start w:val="1"/>
      <w:numFmt w:val="decimal"/>
      <w:lvlText w:val="%1.%2."/>
      <w:lvlJc w:val="left"/>
      <w:pPr>
        <w:ind w:left="1928" w:hanging="578"/>
      </w:pPr>
      <w:rPr>
        <w:rFonts w:hint="default"/>
      </w:rPr>
    </w:lvl>
    <w:lvl w:ilvl="2">
      <w:start w:val="1"/>
      <w:numFmt w:val="decimal"/>
      <w:lvlText w:val="%1.%2.%3."/>
      <w:lvlJc w:val="left"/>
      <w:pPr>
        <w:ind w:left="578" w:hanging="578"/>
      </w:pPr>
      <w:rPr>
        <w:rFonts w:hint="default"/>
      </w:rPr>
    </w:lvl>
    <w:lvl w:ilvl="3">
      <w:start w:val="1"/>
      <w:numFmt w:val="decimal"/>
      <w:lvlText w:val="%1.%2.%3.%4."/>
      <w:lvlJc w:val="left"/>
      <w:pPr>
        <w:ind w:left="578" w:hanging="578"/>
      </w:pPr>
      <w:rPr>
        <w:rFonts w:hint="default"/>
      </w:rPr>
    </w:lvl>
    <w:lvl w:ilvl="4">
      <w:start w:val="1"/>
      <w:numFmt w:val="lowerLetter"/>
      <w:lvlText w:val="(%5)"/>
      <w:lvlJc w:val="left"/>
      <w:pPr>
        <w:ind w:left="578" w:hanging="578"/>
      </w:pPr>
      <w:rPr>
        <w:rFonts w:hint="default"/>
      </w:rPr>
    </w:lvl>
    <w:lvl w:ilvl="5">
      <w:start w:val="1"/>
      <w:numFmt w:val="lowerRoman"/>
      <w:lvlText w:val="(%6)"/>
      <w:lvlJc w:val="left"/>
      <w:pPr>
        <w:ind w:left="578" w:hanging="578"/>
      </w:pPr>
      <w:rPr>
        <w:rFonts w:hint="default"/>
      </w:rPr>
    </w:lvl>
    <w:lvl w:ilvl="6">
      <w:start w:val="1"/>
      <w:numFmt w:val="decimal"/>
      <w:lvlText w:val="%7."/>
      <w:lvlJc w:val="left"/>
      <w:pPr>
        <w:ind w:left="578" w:hanging="578"/>
      </w:pPr>
      <w:rPr>
        <w:rFonts w:hint="default"/>
      </w:rPr>
    </w:lvl>
    <w:lvl w:ilvl="7">
      <w:start w:val="1"/>
      <w:numFmt w:val="lowerLetter"/>
      <w:lvlText w:val="%8."/>
      <w:lvlJc w:val="left"/>
      <w:pPr>
        <w:ind w:left="578" w:hanging="578"/>
      </w:pPr>
      <w:rPr>
        <w:rFonts w:hint="default"/>
      </w:rPr>
    </w:lvl>
    <w:lvl w:ilvl="8">
      <w:start w:val="1"/>
      <w:numFmt w:val="lowerRoman"/>
      <w:lvlText w:val="%9."/>
      <w:lvlJc w:val="left"/>
      <w:pPr>
        <w:ind w:left="578" w:hanging="578"/>
      </w:pPr>
      <w:rPr>
        <w:rFonts w:hint="default"/>
      </w:rPr>
    </w:lvl>
  </w:abstractNum>
  <w:abstractNum w:abstractNumId="19" w15:restartNumberingAfterBreak="0">
    <w:nsid w:val="16F60B8D"/>
    <w:multiLevelType w:val="hybridMultilevel"/>
    <w:tmpl w:val="B0067EBC"/>
    <w:lvl w:ilvl="0" w:tplc="AA3A00DE">
      <w:start w:val="14"/>
      <w:numFmt w:val="bullet"/>
      <w:lvlText w:val="("/>
      <w:lvlJc w:val="left"/>
      <w:pPr>
        <w:ind w:left="720" w:hanging="360"/>
      </w:pPr>
      <w:rPr>
        <w:rFonts w:ascii="EC Square Sans Pro" w:eastAsia="Times New Roman" w:hAnsi="EC Square Sans Pro"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BA53D75"/>
    <w:multiLevelType w:val="multilevel"/>
    <w:tmpl w:val="A17E0B58"/>
    <w:name w:val="ListAbcNumbering"/>
    <w:lvl w:ilvl="0">
      <w:start w:val="1"/>
      <w:numFmt w:val="lowerLetter"/>
      <w:pStyle w:val="Listabc"/>
      <w:lvlText w:val="%1)"/>
      <w:lvlJc w:val="left"/>
      <w:pPr>
        <w:tabs>
          <w:tab w:val="num" w:pos="397"/>
        </w:tabs>
        <w:ind w:left="794" w:hanging="397"/>
      </w:pPr>
      <w:rPr>
        <w:rFonts w:hint="default"/>
      </w:rPr>
    </w:lvl>
    <w:lvl w:ilvl="1">
      <w:start w:val="1"/>
      <w:numFmt w:val="bullet"/>
      <w:pStyle w:val="ListabcLevel2"/>
      <w:lvlText w:val="—"/>
      <w:lvlJc w:val="left"/>
      <w:pPr>
        <w:tabs>
          <w:tab w:val="num" w:pos="1191"/>
        </w:tabs>
        <w:ind w:left="1587" w:hanging="396"/>
      </w:pPr>
      <w:rPr>
        <w:rFonts w:hint="default"/>
      </w:rPr>
    </w:lvl>
    <w:lvl w:ilvl="2">
      <w:start w:val="1"/>
      <w:numFmt w:val="lowerRoman"/>
      <w:pStyle w:val="ListabcLevel3"/>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1C47181D"/>
    <w:multiLevelType w:val="multilevel"/>
    <w:tmpl w:val="460ED356"/>
    <w:styleLink w:val="amprLISTblackbullets"/>
    <w:lvl w:ilvl="0">
      <w:start w:val="1"/>
      <w:numFmt w:val="bullet"/>
      <w:lvlText w:val="•"/>
      <w:lvlJc w:val="left"/>
      <w:pPr>
        <w:ind w:left="794" w:hanging="397"/>
      </w:pPr>
      <w:rPr>
        <w:rFonts w:ascii="Calibri" w:hAnsi="Calibri" w:hint="default"/>
      </w:rPr>
    </w:lvl>
    <w:lvl w:ilvl="1">
      <w:start w:val="1"/>
      <w:numFmt w:val="bullet"/>
      <w:lvlText w:val="—"/>
      <w:lvlJc w:val="left"/>
      <w:pPr>
        <w:ind w:left="1588" w:hanging="397"/>
      </w:pPr>
      <w:rPr>
        <w:rFonts w:ascii="Times New Roman" w:hAnsi="Times New Roman" w:cs="Times New Roman" w:hint="default"/>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C931795"/>
    <w:multiLevelType w:val="hybridMultilevel"/>
    <w:tmpl w:val="8EA28A3C"/>
    <w:lvl w:ilvl="0" w:tplc="824869A8">
      <w:start w:val="1"/>
      <w:numFmt w:val="bullet"/>
      <w:lvlText w:val="·"/>
      <w:lvlJc w:val="left"/>
      <w:pPr>
        <w:ind w:left="720" w:hanging="360"/>
      </w:pPr>
      <w:rPr>
        <w:rFonts w:ascii="Symbol" w:hAnsi="Symbol" w:hint="default"/>
      </w:rPr>
    </w:lvl>
    <w:lvl w:ilvl="1" w:tplc="EB42C746">
      <w:start w:val="1"/>
      <w:numFmt w:val="bullet"/>
      <w:lvlText w:val="o"/>
      <w:lvlJc w:val="left"/>
      <w:pPr>
        <w:ind w:left="1440" w:hanging="360"/>
      </w:pPr>
      <w:rPr>
        <w:rFonts w:ascii="Courier New" w:hAnsi="Courier New" w:hint="default"/>
      </w:rPr>
    </w:lvl>
    <w:lvl w:ilvl="2" w:tplc="62469136">
      <w:start w:val="1"/>
      <w:numFmt w:val="bullet"/>
      <w:lvlText w:val=""/>
      <w:lvlJc w:val="left"/>
      <w:pPr>
        <w:ind w:left="2160" w:hanging="360"/>
      </w:pPr>
      <w:rPr>
        <w:rFonts w:ascii="Wingdings" w:hAnsi="Wingdings" w:hint="default"/>
      </w:rPr>
    </w:lvl>
    <w:lvl w:ilvl="3" w:tplc="38B62474">
      <w:start w:val="1"/>
      <w:numFmt w:val="bullet"/>
      <w:lvlText w:val=""/>
      <w:lvlJc w:val="left"/>
      <w:pPr>
        <w:ind w:left="2880" w:hanging="360"/>
      </w:pPr>
      <w:rPr>
        <w:rFonts w:ascii="Symbol" w:hAnsi="Symbol" w:hint="default"/>
      </w:rPr>
    </w:lvl>
    <w:lvl w:ilvl="4" w:tplc="C21C30D4">
      <w:start w:val="1"/>
      <w:numFmt w:val="bullet"/>
      <w:lvlText w:val="o"/>
      <w:lvlJc w:val="left"/>
      <w:pPr>
        <w:ind w:left="3600" w:hanging="360"/>
      </w:pPr>
      <w:rPr>
        <w:rFonts w:ascii="Courier New" w:hAnsi="Courier New" w:hint="default"/>
      </w:rPr>
    </w:lvl>
    <w:lvl w:ilvl="5" w:tplc="A75277A6">
      <w:start w:val="1"/>
      <w:numFmt w:val="bullet"/>
      <w:lvlText w:val=""/>
      <w:lvlJc w:val="left"/>
      <w:pPr>
        <w:ind w:left="4320" w:hanging="360"/>
      </w:pPr>
      <w:rPr>
        <w:rFonts w:ascii="Wingdings" w:hAnsi="Wingdings" w:hint="default"/>
      </w:rPr>
    </w:lvl>
    <w:lvl w:ilvl="6" w:tplc="A7086CD0">
      <w:start w:val="1"/>
      <w:numFmt w:val="bullet"/>
      <w:lvlText w:val=""/>
      <w:lvlJc w:val="left"/>
      <w:pPr>
        <w:ind w:left="5040" w:hanging="360"/>
      </w:pPr>
      <w:rPr>
        <w:rFonts w:ascii="Symbol" w:hAnsi="Symbol" w:hint="default"/>
      </w:rPr>
    </w:lvl>
    <w:lvl w:ilvl="7" w:tplc="FA3680EE">
      <w:start w:val="1"/>
      <w:numFmt w:val="bullet"/>
      <w:lvlText w:val="o"/>
      <w:lvlJc w:val="left"/>
      <w:pPr>
        <w:ind w:left="5760" w:hanging="360"/>
      </w:pPr>
      <w:rPr>
        <w:rFonts w:ascii="Courier New" w:hAnsi="Courier New" w:hint="default"/>
      </w:rPr>
    </w:lvl>
    <w:lvl w:ilvl="8" w:tplc="89A4DBB2">
      <w:start w:val="1"/>
      <w:numFmt w:val="bullet"/>
      <w:lvlText w:val=""/>
      <w:lvlJc w:val="left"/>
      <w:pPr>
        <w:ind w:left="6480" w:hanging="360"/>
      </w:pPr>
      <w:rPr>
        <w:rFonts w:ascii="Wingdings" w:hAnsi="Wingdings" w:hint="default"/>
      </w:rPr>
    </w:lvl>
  </w:abstractNum>
  <w:abstractNum w:abstractNumId="23" w15:restartNumberingAfterBreak="0">
    <w:nsid w:val="1DA45F38"/>
    <w:multiLevelType w:val="multilevel"/>
    <w:tmpl w:val="065077CE"/>
    <w:name w:val="ListMixedNumbering3222"/>
    <w:lvl w:ilvl="0">
      <w:start w:val="1"/>
      <w:numFmt w:val="decimal"/>
      <w:lvlText w:val="%1."/>
      <w:lvlJc w:val="left"/>
      <w:pPr>
        <w:ind w:left="794" w:hanging="397"/>
      </w:pPr>
      <w:rPr>
        <w:rFonts w:hint="default"/>
      </w:rPr>
    </w:lvl>
    <w:lvl w:ilvl="1">
      <w:start w:val="1"/>
      <w:numFmt w:val="lowerLetter"/>
      <w:lvlText w:val="%2."/>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1E486166"/>
    <w:multiLevelType w:val="hybridMultilevel"/>
    <w:tmpl w:val="BBCAA3E6"/>
    <w:lvl w:ilvl="0" w:tplc="45183480">
      <w:start w:val="1"/>
      <w:numFmt w:val="bullet"/>
      <w:lvlText w:val=""/>
      <w:lvlJc w:val="left"/>
      <w:pPr>
        <w:ind w:left="1120" w:hanging="360"/>
      </w:pPr>
      <w:rPr>
        <w:rFonts w:ascii="Symbol" w:hAnsi="Symbol"/>
      </w:rPr>
    </w:lvl>
    <w:lvl w:ilvl="1" w:tplc="7A36FA82">
      <w:start w:val="1"/>
      <w:numFmt w:val="bullet"/>
      <w:lvlText w:val=""/>
      <w:lvlJc w:val="left"/>
      <w:pPr>
        <w:ind w:left="1120" w:hanging="360"/>
      </w:pPr>
      <w:rPr>
        <w:rFonts w:ascii="Symbol" w:hAnsi="Symbol"/>
      </w:rPr>
    </w:lvl>
    <w:lvl w:ilvl="2" w:tplc="13305510">
      <w:start w:val="1"/>
      <w:numFmt w:val="bullet"/>
      <w:lvlText w:val=""/>
      <w:lvlJc w:val="left"/>
      <w:pPr>
        <w:ind w:left="1120" w:hanging="360"/>
      </w:pPr>
      <w:rPr>
        <w:rFonts w:ascii="Symbol" w:hAnsi="Symbol"/>
      </w:rPr>
    </w:lvl>
    <w:lvl w:ilvl="3" w:tplc="D25CBB68">
      <w:start w:val="1"/>
      <w:numFmt w:val="bullet"/>
      <w:lvlText w:val=""/>
      <w:lvlJc w:val="left"/>
      <w:pPr>
        <w:ind w:left="1120" w:hanging="360"/>
      </w:pPr>
      <w:rPr>
        <w:rFonts w:ascii="Symbol" w:hAnsi="Symbol"/>
      </w:rPr>
    </w:lvl>
    <w:lvl w:ilvl="4" w:tplc="2B48EC04">
      <w:start w:val="1"/>
      <w:numFmt w:val="bullet"/>
      <w:lvlText w:val=""/>
      <w:lvlJc w:val="left"/>
      <w:pPr>
        <w:ind w:left="1120" w:hanging="360"/>
      </w:pPr>
      <w:rPr>
        <w:rFonts w:ascii="Symbol" w:hAnsi="Symbol"/>
      </w:rPr>
    </w:lvl>
    <w:lvl w:ilvl="5" w:tplc="F460CAF6">
      <w:start w:val="1"/>
      <w:numFmt w:val="bullet"/>
      <w:lvlText w:val=""/>
      <w:lvlJc w:val="left"/>
      <w:pPr>
        <w:ind w:left="1120" w:hanging="360"/>
      </w:pPr>
      <w:rPr>
        <w:rFonts w:ascii="Symbol" w:hAnsi="Symbol"/>
      </w:rPr>
    </w:lvl>
    <w:lvl w:ilvl="6" w:tplc="B7D8532A">
      <w:start w:val="1"/>
      <w:numFmt w:val="bullet"/>
      <w:lvlText w:val=""/>
      <w:lvlJc w:val="left"/>
      <w:pPr>
        <w:ind w:left="1120" w:hanging="360"/>
      </w:pPr>
      <w:rPr>
        <w:rFonts w:ascii="Symbol" w:hAnsi="Symbol"/>
      </w:rPr>
    </w:lvl>
    <w:lvl w:ilvl="7" w:tplc="D17ADE98">
      <w:start w:val="1"/>
      <w:numFmt w:val="bullet"/>
      <w:lvlText w:val=""/>
      <w:lvlJc w:val="left"/>
      <w:pPr>
        <w:ind w:left="1120" w:hanging="360"/>
      </w:pPr>
      <w:rPr>
        <w:rFonts w:ascii="Symbol" w:hAnsi="Symbol"/>
      </w:rPr>
    </w:lvl>
    <w:lvl w:ilvl="8" w:tplc="0B8C57DE">
      <w:start w:val="1"/>
      <w:numFmt w:val="bullet"/>
      <w:lvlText w:val=""/>
      <w:lvlJc w:val="left"/>
      <w:pPr>
        <w:ind w:left="1120" w:hanging="360"/>
      </w:pPr>
      <w:rPr>
        <w:rFonts w:ascii="Symbol" w:hAnsi="Symbol"/>
      </w:rPr>
    </w:lvl>
  </w:abstractNum>
  <w:abstractNum w:abstractNumId="25" w15:restartNumberingAfterBreak="0">
    <w:nsid w:val="258649B9"/>
    <w:multiLevelType w:val="multilevel"/>
    <w:tmpl w:val="0EA2D634"/>
    <w:name w:val="ListBulletNumbering"/>
    <w:lvl w:ilvl="0">
      <w:start w:val="1"/>
      <w:numFmt w:val="bullet"/>
      <w:lvlText w:val="•"/>
      <w:lvlJc w:val="left"/>
      <w:pPr>
        <w:tabs>
          <w:tab w:val="num" w:pos="397"/>
        </w:tabs>
        <w:ind w:left="794" w:hanging="397"/>
      </w:pPr>
      <w:rPr>
        <w:rFonts w:asciiTheme="minorHAnsi" w:hAnsiTheme="minorHAnsi" w:hint="default"/>
        <w:color w:val="DE6002" w:themeColor="accent2"/>
      </w:rPr>
    </w:lvl>
    <w:lvl w:ilvl="1">
      <w:start w:val="1"/>
      <w:numFmt w:val="bullet"/>
      <w:lvlText w:val="—"/>
      <w:lvlJc w:val="left"/>
      <w:pPr>
        <w:tabs>
          <w:tab w:val="num" w:pos="1191"/>
        </w:tabs>
        <w:ind w:left="1587" w:hanging="396"/>
      </w:pPr>
      <w:rPr>
        <w:rFonts w:ascii="Times New Roman" w:hAnsi="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25BB3BC8"/>
    <w:multiLevelType w:val="hybridMultilevel"/>
    <w:tmpl w:val="6E1216DA"/>
    <w:lvl w:ilvl="0" w:tplc="FFFFFFFF">
      <w:start w:val="1"/>
      <w:numFmt w:val="bullet"/>
      <w:lvlText w:val=""/>
      <w:lvlJc w:val="left"/>
      <w:pPr>
        <w:ind w:left="720" w:hanging="360"/>
      </w:pPr>
      <w:rPr>
        <w:rFonts w:ascii="Symbol" w:hAnsi="Symbol" w:hint="default"/>
      </w:rPr>
    </w:lvl>
    <w:lvl w:ilvl="1" w:tplc="33A83AF8">
      <w:start w:val="1"/>
      <w:numFmt w:val="bullet"/>
      <w:lvlText w:val="-"/>
      <w:lvlJc w:val="left"/>
      <w:pPr>
        <w:ind w:left="1440" w:hanging="360"/>
      </w:pPr>
      <w:rPr>
        <w:rFonts w:ascii="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6B40D2D"/>
    <w:multiLevelType w:val="multilevel"/>
    <w:tmpl w:val="A73EAA08"/>
    <w:styleLink w:val="ListBulletLIST"/>
    <w:lvl w:ilvl="0">
      <w:start w:val="1"/>
      <w:numFmt w:val="bullet"/>
      <w:pStyle w:val="ListBullet"/>
      <w:lvlText w:val="•"/>
      <w:lvlJc w:val="left"/>
      <w:pPr>
        <w:tabs>
          <w:tab w:val="num" w:pos="397"/>
        </w:tabs>
        <w:ind w:left="794" w:hanging="397"/>
      </w:pPr>
      <w:rPr>
        <w:rFonts w:ascii="Calibri" w:hAnsi="Calibri" w:hint="default"/>
        <w:color w:val="DC3903"/>
      </w:rPr>
    </w:lvl>
    <w:lvl w:ilvl="1">
      <w:start w:val="1"/>
      <w:numFmt w:val="bullet"/>
      <w:pStyle w:val="ListBulletLevel2"/>
      <w:lvlText w:val="—"/>
      <w:lvlJc w:val="left"/>
      <w:pPr>
        <w:tabs>
          <w:tab w:val="num" w:pos="1361"/>
        </w:tabs>
        <w:ind w:left="1361" w:hanging="397"/>
      </w:pPr>
      <w:rPr>
        <w:rFonts w:ascii="Times New Roman" w:hAnsi="Times New Roman" w:cs="Times New Roman" w:hint="default"/>
        <w:color w:val="DC3903"/>
        <w:sz w:val="20"/>
      </w:rPr>
    </w:lvl>
    <w:lvl w:ilvl="2">
      <w:start w:val="1"/>
      <w:numFmt w:val="bullet"/>
      <w:pStyle w:val="ListBulletLevel3"/>
      <w:lvlText w:val=""/>
      <w:lvlJc w:val="left"/>
      <w:pPr>
        <w:tabs>
          <w:tab w:val="num" w:pos="1928"/>
        </w:tabs>
        <w:ind w:left="1928" w:hanging="397"/>
      </w:pPr>
      <w:rPr>
        <w:rFonts w:ascii="Wingdings" w:hAnsi="Wingdings" w:hint="default"/>
        <w:color w:val="DC3903"/>
      </w:rPr>
    </w:lvl>
    <w:lvl w:ilvl="3">
      <w:start w:val="1"/>
      <w:numFmt w:val="bullet"/>
      <w:pStyle w:val="ListBulletLevel4"/>
      <w:lvlText w:val=""/>
      <w:lvlJc w:val="left"/>
      <w:pPr>
        <w:tabs>
          <w:tab w:val="num" w:pos="2495"/>
        </w:tabs>
        <w:ind w:left="2495"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8" w15:restartNumberingAfterBreak="0">
    <w:nsid w:val="26E6126B"/>
    <w:multiLevelType w:val="multilevel"/>
    <w:tmpl w:val="2B329F20"/>
    <w:lvl w:ilvl="0">
      <w:start w:val="1"/>
      <w:numFmt w:val="bullet"/>
      <w:lvlText w:val=""/>
      <w:lvlJc w:val="left"/>
      <w:pPr>
        <w:tabs>
          <w:tab w:val="num" w:pos="644"/>
        </w:tabs>
        <w:ind w:left="644" w:hanging="360"/>
      </w:pPr>
      <w:rPr>
        <w:rFonts w:ascii="Symbol" w:hAnsi="Symbol" w:hint="default"/>
        <w:color w:val="DE6002" w:themeColor="accent2"/>
      </w:rPr>
    </w:lvl>
    <w:lvl w:ilvl="1">
      <w:numFmt w:val="decimal"/>
      <w:lvlText w:val=""/>
      <w:lvlJc w:val="left"/>
      <w:rPr>
        <w:rFonts w:hint="default"/>
        <w:color w:val="DE6002" w:themeColor="accent2"/>
        <w:sz w:val="20"/>
      </w:rPr>
    </w:lvl>
    <w:lvl w:ilvl="2">
      <w:numFmt w:val="decimal"/>
      <w:lvlText w:val=""/>
      <w:lvlJc w:val="left"/>
      <w:rPr>
        <w:rFonts w:hint="default"/>
        <w:color w:val="DE6002" w:themeColor="accent2"/>
      </w:rPr>
    </w:lvl>
    <w:lvl w:ilvl="3">
      <w:numFmt w:val="decimal"/>
      <w:lvlText w:val=""/>
      <w:lvlJc w:val="left"/>
      <w:rPr>
        <w:rFonts w:hint="default"/>
        <w:color w:val="DE6002" w:themeColor="accent2"/>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29" w15:restartNumberingAfterBreak="0">
    <w:nsid w:val="28724556"/>
    <w:multiLevelType w:val="multilevel"/>
    <w:tmpl w:val="C694B9AC"/>
    <w:name w:val="List_Bullet_AMPR"/>
    <w:styleLink w:val="ListBulletblueLIST"/>
    <w:lvl w:ilvl="0">
      <w:start w:val="1"/>
      <w:numFmt w:val="bullet"/>
      <w:lvlText w:val="•"/>
      <w:lvlJc w:val="left"/>
      <w:pPr>
        <w:tabs>
          <w:tab w:val="num" w:pos="397"/>
        </w:tabs>
        <w:ind w:left="397" w:hanging="397"/>
      </w:pPr>
      <w:rPr>
        <w:rFonts w:ascii="Calibri" w:hAnsi="Calibri" w:hint="default"/>
        <w:color w:val="003399" w:themeColor="text2"/>
      </w:rPr>
    </w:lvl>
    <w:lvl w:ilvl="1">
      <w:start w:val="1"/>
      <w:numFmt w:val="bullet"/>
      <w:lvlText w:val="—"/>
      <w:lvlJc w:val="left"/>
      <w:pPr>
        <w:tabs>
          <w:tab w:val="num" w:pos="1361"/>
        </w:tabs>
        <w:ind w:left="964" w:hanging="397"/>
      </w:pPr>
      <w:rPr>
        <w:rFonts w:ascii="Times New Roman" w:hAnsi="Times New Roman" w:cs="Times New Roman" w:hint="default"/>
        <w:color w:val="003399" w:themeColor="text2"/>
        <w:sz w:val="20"/>
      </w:rPr>
    </w:lvl>
    <w:lvl w:ilvl="2">
      <w:start w:val="1"/>
      <w:numFmt w:val="bullet"/>
      <w:lvlText w:val=""/>
      <w:lvlJc w:val="left"/>
      <w:pPr>
        <w:tabs>
          <w:tab w:val="num" w:pos="1928"/>
        </w:tabs>
        <w:ind w:left="1531" w:hanging="397"/>
      </w:pPr>
      <w:rPr>
        <w:rFonts w:ascii="Wingdings" w:hAnsi="Wingdings" w:hint="default"/>
        <w:color w:val="003399" w:themeColor="text2"/>
      </w:rPr>
    </w:lvl>
    <w:lvl w:ilvl="3">
      <w:start w:val="1"/>
      <w:numFmt w:val="bullet"/>
      <w:lvlText w:val=""/>
      <w:lvlJc w:val="left"/>
      <w:pPr>
        <w:tabs>
          <w:tab w:val="num" w:pos="2495"/>
        </w:tabs>
        <w:ind w:left="2098" w:hanging="397"/>
      </w:pPr>
      <w:rPr>
        <w:rFonts w:ascii="Wingdings 3" w:hAnsi="Wingdings 3" w:hint="default"/>
        <w:color w:val="003399" w:themeColor="tex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0" w15:restartNumberingAfterBreak="0">
    <w:nsid w:val="2C71355F"/>
    <w:multiLevelType w:val="hybridMultilevel"/>
    <w:tmpl w:val="6F7E99CE"/>
    <w:lvl w:ilvl="0" w:tplc="18090001">
      <w:start w:val="1"/>
      <w:numFmt w:val="bullet"/>
      <w:lvlText w:val=""/>
      <w:lvlJc w:val="left"/>
      <w:pPr>
        <w:ind w:left="1117" w:hanging="360"/>
      </w:pPr>
      <w:rPr>
        <w:rFonts w:ascii="Symbol" w:hAnsi="Symbol" w:hint="default"/>
      </w:rPr>
    </w:lvl>
    <w:lvl w:ilvl="1" w:tplc="18090003" w:tentative="1">
      <w:start w:val="1"/>
      <w:numFmt w:val="bullet"/>
      <w:lvlText w:val="o"/>
      <w:lvlJc w:val="left"/>
      <w:pPr>
        <w:ind w:left="1837" w:hanging="360"/>
      </w:pPr>
      <w:rPr>
        <w:rFonts w:ascii="Courier New" w:hAnsi="Courier New" w:cs="Courier New" w:hint="default"/>
      </w:rPr>
    </w:lvl>
    <w:lvl w:ilvl="2" w:tplc="18090005" w:tentative="1">
      <w:start w:val="1"/>
      <w:numFmt w:val="bullet"/>
      <w:lvlText w:val=""/>
      <w:lvlJc w:val="left"/>
      <w:pPr>
        <w:ind w:left="2557" w:hanging="360"/>
      </w:pPr>
      <w:rPr>
        <w:rFonts w:ascii="Wingdings" w:hAnsi="Wingdings" w:hint="default"/>
      </w:rPr>
    </w:lvl>
    <w:lvl w:ilvl="3" w:tplc="18090001" w:tentative="1">
      <w:start w:val="1"/>
      <w:numFmt w:val="bullet"/>
      <w:lvlText w:val=""/>
      <w:lvlJc w:val="left"/>
      <w:pPr>
        <w:ind w:left="3277" w:hanging="360"/>
      </w:pPr>
      <w:rPr>
        <w:rFonts w:ascii="Symbol" w:hAnsi="Symbol" w:hint="default"/>
      </w:rPr>
    </w:lvl>
    <w:lvl w:ilvl="4" w:tplc="18090003" w:tentative="1">
      <w:start w:val="1"/>
      <w:numFmt w:val="bullet"/>
      <w:lvlText w:val="o"/>
      <w:lvlJc w:val="left"/>
      <w:pPr>
        <w:ind w:left="3997" w:hanging="360"/>
      </w:pPr>
      <w:rPr>
        <w:rFonts w:ascii="Courier New" w:hAnsi="Courier New" w:cs="Courier New" w:hint="default"/>
      </w:rPr>
    </w:lvl>
    <w:lvl w:ilvl="5" w:tplc="18090005" w:tentative="1">
      <w:start w:val="1"/>
      <w:numFmt w:val="bullet"/>
      <w:lvlText w:val=""/>
      <w:lvlJc w:val="left"/>
      <w:pPr>
        <w:ind w:left="4717" w:hanging="360"/>
      </w:pPr>
      <w:rPr>
        <w:rFonts w:ascii="Wingdings" w:hAnsi="Wingdings" w:hint="default"/>
      </w:rPr>
    </w:lvl>
    <w:lvl w:ilvl="6" w:tplc="18090001" w:tentative="1">
      <w:start w:val="1"/>
      <w:numFmt w:val="bullet"/>
      <w:lvlText w:val=""/>
      <w:lvlJc w:val="left"/>
      <w:pPr>
        <w:ind w:left="5437" w:hanging="360"/>
      </w:pPr>
      <w:rPr>
        <w:rFonts w:ascii="Symbol" w:hAnsi="Symbol" w:hint="default"/>
      </w:rPr>
    </w:lvl>
    <w:lvl w:ilvl="7" w:tplc="18090003" w:tentative="1">
      <w:start w:val="1"/>
      <w:numFmt w:val="bullet"/>
      <w:lvlText w:val="o"/>
      <w:lvlJc w:val="left"/>
      <w:pPr>
        <w:ind w:left="6157" w:hanging="360"/>
      </w:pPr>
      <w:rPr>
        <w:rFonts w:ascii="Courier New" w:hAnsi="Courier New" w:cs="Courier New" w:hint="default"/>
      </w:rPr>
    </w:lvl>
    <w:lvl w:ilvl="8" w:tplc="18090005" w:tentative="1">
      <w:start w:val="1"/>
      <w:numFmt w:val="bullet"/>
      <w:lvlText w:val=""/>
      <w:lvlJc w:val="left"/>
      <w:pPr>
        <w:ind w:left="6877" w:hanging="360"/>
      </w:pPr>
      <w:rPr>
        <w:rFonts w:ascii="Wingdings" w:hAnsi="Wingdings" w:hint="default"/>
      </w:rPr>
    </w:lvl>
  </w:abstractNum>
  <w:abstractNum w:abstractNumId="31" w15:restartNumberingAfterBreak="0">
    <w:nsid w:val="32634FFC"/>
    <w:multiLevelType w:val="multilevel"/>
    <w:tmpl w:val="10143706"/>
    <w:name w:val="ListNumberNumbering2"/>
    <w:styleLink w:val="AMPRList-nobullets"/>
    <w:lvl w:ilvl="0">
      <w:start w:val="1"/>
      <w:numFmt w:val="none"/>
      <w:lvlText w:val=""/>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62730C3"/>
    <w:multiLevelType w:val="multilevel"/>
    <w:tmpl w:val="BC0CC2FC"/>
    <w:name w:val="ListAbcNumbering2"/>
    <w:lvl w:ilvl="0">
      <w:start w:val="1"/>
      <w:numFmt w:val="lowerLetter"/>
      <w:lvlText w:val="%1)"/>
      <w:lvlJc w:val="left"/>
      <w:pPr>
        <w:tabs>
          <w:tab w:val="num" w:pos="397"/>
        </w:tabs>
        <w:ind w:left="794" w:hanging="397"/>
      </w:pPr>
      <w:rPr>
        <w:rFonts w:hint="default"/>
      </w:rPr>
    </w:lvl>
    <w:lvl w:ilvl="1">
      <w:start w:val="1"/>
      <w:numFmt w:val="bullet"/>
      <w:lvlText w:val="—"/>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3A384444"/>
    <w:multiLevelType w:val="multilevel"/>
    <w:tmpl w:val="2CFC2574"/>
    <w:lvl w:ilvl="0">
      <w:start w:val="1"/>
      <w:numFmt w:val="bullet"/>
      <w:lvlText w:val=""/>
      <w:lvlJc w:val="left"/>
      <w:pPr>
        <w:tabs>
          <w:tab w:val="num" w:pos="644"/>
        </w:tabs>
        <w:ind w:left="644" w:hanging="360"/>
      </w:pPr>
      <w:rPr>
        <w:rFonts w:ascii="Symbol" w:hAnsi="Symbol" w:hint="default"/>
        <w:color w:val="DE6002" w:themeColor="accent2"/>
      </w:rPr>
    </w:lvl>
    <w:lvl w:ilvl="1">
      <w:numFmt w:val="decimal"/>
      <w:lvlText w:val=""/>
      <w:lvlJc w:val="left"/>
      <w:rPr>
        <w:rFonts w:hint="default"/>
        <w:color w:val="DE6002" w:themeColor="accent2"/>
        <w:sz w:val="20"/>
      </w:rPr>
    </w:lvl>
    <w:lvl w:ilvl="2">
      <w:numFmt w:val="decimal"/>
      <w:lvlText w:val=""/>
      <w:lvlJc w:val="left"/>
      <w:rPr>
        <w:rFonts w:hint="default"/>
        <w:color w:val="DE6002" w:themeColor="accent2"/>
      </w:rPr>
    </w:lvl>
    <w:lvl w:ilvl="3">
      <w:numFmt w:val="decimal"/>
      <w:lvlText w:val=""/>
      <w:lvlJc w:val="left"/>
      <w:rPr>
        <w:rFonts w:hint="default"/>
        <w:color w:val="DE6002" w:themeColor="accent2"/>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34" w15:restartNumberingAfterBreak="0">
    <w:nsid w:val="3DF069C5"/>
    <w:multiLevelType w:val="multilevel"/>
    <w:tmpl w:val="2CFC2574"/>
    <w:lvl w:ilvl="0">
      <w:start w:val="1"/>
      <w:numFmt w:val="bullet"/>
      <w:lvlText w:val=""/>
      <w:lvlJc w:val="left"/>
      <w:pPr>
        <w:tabs>
          <w:tab w:val="num" w:pos="644"/>
        </w:tabs>
        <w:ind w:left="644" w:hanging="360"/>
      </w:pPr>
      <w:rPr>
        <w:rFonts w:ascii="Symbol" w:hAnsi="Symbol" w:hint="default"/>
        <w:color w:val="DE6002" w:themeColor="accent2"/>
      </w:rPr>
    </w:lvl>
    <w:lvl w:ilvl="1">
      <w:numFmt w:val="decimal"/>
      <w:lvlText w:val=""/>
      <w:lvlJc w:val="left"/>
      <w:rPr>
        <w:rFonts w:hint="default"/>
        <w:color w:val="DE6002" w:themeColor="accent2"/>
        <w:sz w:val="20"/>
      </w:rPr>
    </w:lvl>
    <w:lvl w:ilvl="2">
      <w:numFmt w:val="decimal"/>
      <w:lvlText w:val=""/>
      <w:lvlJc w:val="left"/>
      <w:rPr>
        <w:rFonts w:hint="default"/>
        <w:color w:val="DE6002" w:themeColor="accent2"/>
      </w:rPr>
    </w:lvl>
    <w:lvl w:ilvl="3">
      <w:numFmt w:val="decimal"/>
      <w:lvlText w:val=""/>
      <w:lvlJc w:val="left"/>
      <w:rPr>
        <w:rFonts w:hint="default"/>
        <w:color w:val="DE6002" w:themeColor="accent2"/>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35" w15:restartNumberingAfterBreak="0">
    <w:nsid w:val="3F915386"/>
    <w:multiLevelType w:val="hybridMultilevel"/>
    <w:tmpl w:val="6A363202"/>
    <w:lvl w:ilvl="0" w:tplc="1876B4E0">
      <w:start w:val="1"/>
      <w:numFmt w:val="bullet"/>
      <w:pStyle w:val="amprboxBLUEbulletlist"/>
      <w:lvlText w:val="·"/>
      <w:lvlJc w:val="left"/>
      <w:pPr>
        <w:ind w:left="661" w:hanging="360"/>
      </w:pPr>
      <w:rPr>
        <w:rFonts w:ascii="Symbol" w:hAnsi="Symbol" w:hint="default"/>
        <w:color w:val="DC3903"/>
        <w:sz w:val="16"/>
      </w:rPr>
    </w:lvl>
    <w:lvl w:ilvl="1" w:tplc="07F0D404">
      <w:start w:val="1"/>
      <w:numFmt w:val="bullet"/>
      <w:lvlText w:val="o"/>
      <w:lvlJc w:val="left"/>
      <w:pPr>
        <w:ind w:left="1682" w:hanging="360"/>
      </w:pPr>
      <w:rPr>
        <w:rFonts w:ascii="Courier New" w:hAnsi="Courier New" w:hint="default"/>
      </w:rPr>
    </w:lvl>
    <w:lvl w:ilvl="2" w:tplc="3224E5FC">
      <w:start w:val="1"/>
      <w:numFmt w:val="bullet"/>
      <w:lvlText w:val=""/>
      <w:lvlJc w:val="left"/>
      <w:pPr>
        <w:ind w:left="2402" w:hanging="360"/>
      </w:pPr>
      <w:rPr>
        <w:rFonts w:ascii="Wingdings" w:hAnsi="Wingdings" w:hint="default"/>
      </w:rPr>
    </w:lvl>
    <w:lvl w:ilvl="3" w:tplc="9418E254">
      <w:start w:val="1"/>
      <w:numFmt w:val="bullet"/>
      <w:lvlText w:val=""/>
      <w:lvlJc w:val="left"/>
      <w:pPr>
        <w:ind w:left="3122" w:hanging="360"/>
      </w:pPr>
      <w:rPr>
        <w:rFonts w:ascii="Symbol" w:hAnsi="Symbol" w:hint="default"/>
      </w:rPr>
    </w:lvl>
    <w:lvl w:ilvl="4" w:tplc="2EC47462">
      <w:start w:val="1"/>
      <w:numFmt w:val="bullet"/>
      <w:lvlText w:val="o"/>
      <w:lvlJc w:val="left"/>
      <w:pPr>
        <w:ind w:left="3842" w:hanging="360"/>
      </w:pPr>
      <w:rPr>
        <w:rFonts w:ascii="Courier New" w:hAnsi="Courier New" w:hint="default"/>
      </w:rPr>
    </w:lvl>
    <w:lvl w:ilvl="5" w:tplc="430ECF8E">
      <w:start w:val="1"/>
      <w:numFmt w:val="bullet"/>
      <w:lvlText w:val=""/>
      <w:lvlJc w:val="left"/>
      <w:pPr>
        <w:ind w:left="4562" w:hanging="360"/>
      </w:pPr>
      <w:rPr>
        <w:rFonts w:ascii="Wingdings" w:hAnsi="Wingdings" w:hint="default"/>
      </w:rPr>
    </w:lvl>
    <w:lvl w:ilvl="6" w:tplc="128CE28E">
      <w:start w:val="1"/>
      <w:numFmt w:val="bullet"/>
      <w:lvlText w:val=""/>
      <w:lvlJc w:val="left"/>
      <w:pPr>
        <w:ind w:left="5282" w:hanging="360"/>
      </w:pPr>
      <w:rPr>
        <w:rFonts w:ascii="Symbol" w:hAnsi="Symbol" w:hint="default"/>
      </w:rPr>
    </w:lvl>
    <w:lvl w:ilvl="7" w:tplc="203A964A">
      <w:start w:val="1"/>
      <w:numFmt w:val="bullet"/>
      <w:lvlText w:val="o"/>
      <w:lvlJc w:val="left"/>
      <w:pPr>
        <w:ind w:left="6002" w:hanging="360"/>
      </w:pPr>
      <w:rPr>
        <w:rFonts w:ascii="Courier New" w:hAnsi="Courier New" w:hint="default"/>
      </w:rPr>
    </w:lvl>
    <w:lvl w:ilvl="8" w:tplc="FF027D66">
      <w:start w:val="1"/>
      <w:numFmt w:val="bullet"/>
      <w:lvlText w:val=""/>
      <w:lvlJc w:val="left"/>
      <w:pPr>
        <w:ind w:left="6722" w:hanging="360"/>
      </w:pPr>
      <w:rPr>
        <w:rFonts w:ascii="Wingdings" w:hAnsi="Wingdings" w:hint="default"/>
      </w:rPr>
    </w:lvl>
  </w:abstractNum>
  <w:abstractNum w:abstractNumId="36" w15:restartNumberingAfterBreak="0">
    <w:nsid w:val="3FAB4828"/>
    <w:multiLevelType w:val="multilevel"/>
    <w:tmpl w:val="2CFC2574"/>
    <w:lvl w:ilvl="0">
      <w:start w:val="1"/>
      <w:numFmt w:val="bullet"/>
      <w:lvlText w:val=""/>
      <w:lvlJc w:val="left"/>
      <w:pPr>
        <w:tabs>
          <w:tab w:val="num" w:pos="644"/>
        </w:tabs>
        <w:ind w:left="644" w:hanging="360"/>
      </w:pPr>
      <w:rPr>
        <w:rFonts w:ascii="Symbol" w:hAnsi="Symbol" w:hint="default"/>
        <w:color w:val="DE6002" w:themeColor="accent2"/>
      </w:rPr>
    </w:lvl>
    <w:lvl w:ilvl="1">
      <w:numFmt w:val="decimal"/>
      <w:lvlText w:val=""/>
      <w:lvlJc w:val="left"/>
      <w:rPr>
        <w:rFonts w:hint="default"/>
        <w:color w:val="DE6002" w:themeColor="accent2"/>
        <w:sz w:val="20"/>
      </w:rPr>
    </w:lvl>
    <w:lvl w:ilvl="2">
      <w:numFmt w:val="decimal"/>
      <w:lvlText w:val=""/>
      <w:lvlJc w:val="left"/>
      <w:rPr>
        <w:rFonts w:hint="default"/>
        <w:color w:val="DE6002" w:themeColor="accent2"/>
      </w:rPr>
    </w:lvl>
    <w:lvl w:ilvl="3">
      <w:numFmt w:val="decimal"/>
      <w:lvlText w:val=""/>
      <w:lvlJc w:val="left"/>
      <w:rPr>
        <w:rFonts w:hint="default"/>
        <w:color w:val="DE6002" w:themeColor="accent2"/>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37" w15:restartNumberingAfterBreak="0">
    <w:nsid w:val="47C8184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E58592F"/>
    <w:multiLevelType w:val="multilevel"/>
    <w:tmpl w:val="83DAEB82"/>
    <w:styleLink w:val="LISTAboutEUpage"/>
    <w:lvl w:ilvl="0">
      <w:start w:val="1"/>
      <w:numFmt w:val="bullet"/>
      <w:lvlText w:val="—"/>
      <w:lvlJc w:val="left"/>
      <w:pPr>
        <w:tabs>
          <w:tab w:val="num" w:pos="397"/>
        </w:tabs>
        <w:ind w:left="357" w:hanging="357"/>
      </w:pPr>
      <w:rPr>
        <w:rFonts w:ascii="Arial" w:hAnsi="Arial" w:hint="default"/>
        <w:color w:val="auto"/>
      </w:rPr>
    </w:lvl>
    <w:lvl w:ilvl="1">
      <w:start w:val="1"/>
      <w:numFmt w:val="none"/>
      <w:lvlText w:val=""/>
      <w:lvlJc w:val="left"/>
      <w:pPr>
        <w:tabs>
          <w:tab w:val="num" w:pos="397"/>
        </w:tabs>
        <w:ind w:left="357" w:hanging="357"/>
      </w:pPr>
      <w:rPr>
        <w:rFonts w:hint="default"/>
        <w:color w:val="auto"/>
        <w:sz w:val="20"/>
      </w:rPr>
    </w:lvl>
    <w:lvl w:ilvl="2">
      <w:start w:val="1"/>
      <w:numFmt w:val="none"/>
      <w:lvlText w:val=""/>
      <w:lvlJc w:val="left"/>
      <w:pPr>
        <w:tabs>
          <w:tab w:val="num" w:pos="397"/>
        </w:tabs>
        <w:ind w:left="357" w:hanging="357"/>
      </w:pPr>
      <w:rPr>
        <w:rFonts w:hint="default"/>
        <w:color w:val="auto"/>
      </w:rPr>
    </w:lvl>
    <w:lvl w:ilvl="3">
      <w:start w:val="1"/>
      <w:numFmt w:val="none"/>
      <w:lvlText w:val=""/>
      <w:lvlJc w:val="left"/>
      <w:pPr>
        <w:tabs>
          <w:tab w:val="num" w:pos="397"/>
        </w:tabs>
        <w:ind w:left="357" w:hanging="357"/>
      </w:pPr>
      <w:rPr>
        <w:rFonts w:hint="default"/>
        <w:color w:val="DE6002" w:themeColor="accent2"/>
      </w:rPr>
    </w:lvl>
    <w:lvl w:ilvl="4">
      <w:numFmt w:val="none"/>
      <w:lvlText w:val=""/>
      <w:lvlJc w:val="left"/>
      <w:pPr>
        <w:tabs>
          <w:tab w:val="num" w:pos="397"/>
        </w:tabs>
        <w:ind w:left="357" w:hanging="357"/>
      </w:pPr>
      <w:rPr>
        <w:rFonts w:hint="default"/>
      </w:rPr>
    </w:lvl>
    <w:lvl w:ilvl="5">
      <w:numFmt w:val="none"/>
      <w:lvlText w:val=""/>
      <w:lvlJc w:val="left"/>
      <w:pPr>
        <w:tabs>
          <w:tab w:val="num" w:pos="397"/>
        </w:tabs>
        <w:ind w:left="357" w:hanging="357"/>
      </w:pPr>
      <w:rPr>
        <w:rFonts w:hint="default"/>
      </w:rPr>
    </w:lvl>
    <w:lvl w:ilvl="6">
      <w:numFmt w:val="none"/>
      <w:lvlText w:val=""/>
      <w:lvlJc w:val="left"/>
      <w:pPr>
        <w:tabs>
          <w:tab w:val="num" w:pos="397"/>
        </w:tabs>
        <w:ind w:left="357" w:hanging="357"/>
      </w:pPr>
      <w:rPr>
        <w:rFonts w:hint="default"/>
      </w:rPr>
    </w:lvl>
    <w:lvl w:ilvl="7">
      <w:numFmt w:val="none"/>
      <w:lvlText w:val=""/>
      <w:lvlJc w:val="left"/>
      <w:pPr>
        <w:tabs>
          <w:tab w:val="num" w:pos="397"/>
        </w:tabs>
        <w:ind w:left="357" w:hanging="357"/>
      </w:pPr>
      <w:rPr>
        <w:rFonts w:hint="default"/>
      </w:rPr>
    </w:lvl>
    <w:lvl w:ilvl="8">
      <w:numFmt w:val="none"/>
      <w:lvlText w:val=""/>
      <w:lvlJc w:val="left"/>
      <w:pPr>
        <w:tabs>
          <w:tab w:val="num" w:pos="397"/>
        </w:tabs>
        <w:ind w:left="357" w:hanging="357"/>
      </w:pPr>
      <w:rPr>
        <w:rFonts w:hint="default"/>
      </w:rPr>
    </w:lvl>
  </w:abstractNum>
  <w:abstractNum w:abstractNumId="39" w15:restartNumberingAfterBreak="0">
    <w:nsid w:val="50C61505"/>
    <w:multiLevelType w:val="multilevel"/>
    <w:tmpl w:val="9DE615D6"/>
    <w:lvl w:ilvl="0">
      <w:start w:val="1"/>
      <w:numFmt w:val="bullet"/>
      <w:lvlText w:val="·"/>
      <w:lvlJc w:val="left"/>
      <w:pPr>
        <w:tabs>
          <w:tab w:val="num" w:pos="397"/>
        </w:tabs>
        <w:ind w:left="794" w:hanging="397"/>
      </w:pPr>
      <w:rPr>
        <w:rFonts w:ascii="Symbol" w:hAnsi="Symbol" w:hint="default"/>
        <w:color w:val="DE6002" w:themeColor="accent2"/>
      </w:rPr>
    </w:lvl>
    <w:lvl w:ilvl="1">
      <w:start w:val="1"/>
      <w:numFmt w:val="bullet"/>
      <w:lvlText w:val="—"/>
      <w:lvlJc w:val="left"/>
      <w:pPr>
        <w:tabs>
          <w:tab w:val="num" w:pos="1361"/>
        </w:tabs>
        <w:ind w:left="1361" w:hanging="397"/>
      </w:pPr>
      <w:rPr>
        <w:rFonts w:ascii="Times New Roman" w:hAnsi="Times New Roman" w:cs="Times New Roman" w:hint="default"/>
        <w:color w:val="DE6002" w:themeColor="accent2"/>
        <w:sz w:val="20"/>
      </w:rPr>
    </w:lvl>
    <w:lvl w:ilvl="2">
      <w:start w:val="1"/>
      <w:numFmt w:val="bullet"/>
      <w:lvlText w:val=""/>
      <w:lvlJc w:val="left"/>
      <w:pPr>
        <w:tabs>
          <w:tab w:val="num" w:pos="1928"/>
        </w:tabs>
        <w:ind w:left="1928" w:hanging="397"/>
      </w:pPr>
      <w:rPr>
        <w:rFonts w:ascii="Wingdings" w:hAnsi="Wingdings" w:hint="default"/>
        <w:color w:val="DE6002" w:themeColor="accent2"/>
      </w:rPr>
    </w:lvl>
    <w:lvl w:ilvl="3">
      <w:start w:val="1"/>
      <w:numFmt w:val="bullet"/>
      <w:lvlText w:val=""/>
      <w:lvlJc w:val="left"/>
      <w:pPr>
        <w:tabs>
          <w:tab w:val="num" w:pos="2495"/>
        </w:tabs>
        <w:ind w:left="2495" w:hanging="397"/>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0" w15:restartNumberingAfterBreak="0">
    <w:nsid w:val="55C64896"/>
    <w:multiLevelType w:val="multilevel"/>
    <w:tmpl w:val="B4C8DC34"/>
    <w:name w:val="[ampr box]_bullet_list_LIST"/>
    <w:styleLink w:val="amprboxbulletlistLIST"/>
    <w:lvl w:ilvl="0">
      <w:start w:val="1"/>
      <w:numFmt w:val="bullet"/>
      <w:pStyle w:val="amprboxbulletlist"/>
      <w:lvlText w:val="•"/>
      <w:lvlJc w:val="left"/>
      <w:pPr>
        <w:ind w:left="360" w:hanging="59"/>
      </w:pPr>
      <w:rPr>
        <w:rFonts w:ascii="Arial" w:hAnsi="Arial"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9BB2205"/>
    <w:multiLevelType w:val="multilevel"/>
    <w:tmpl w:val="78248A56"/>
    <w:styleLink w:val="amprLISTgreenbullets"/>
    <w:lvl w:ilvl="0">
      <w:start w:val="1"/>
      <w:numFmt w:val="bullet"/>
      <w:lvlText w:val=""/>
      <w:lvlJc w:val="left"/>
      <w:pPr>
        <w:ind w:left="714" w:hanging="357"/>
      </w:pPr>
      <w:rPr>
        <w:rFonts w:ascii="Symbol" w:hAnsi="Symbol" w:hint="default"/>
        <w:color w:val="008139" w:themeColor="accent1"/>
      </w:rPr>
    </w:lvl>
    <w:lvl w:ilvl="1">
      <w:start w:val="1"/>
      <w:numFmt w:val="bullet"/>
      <w:lvlText w:val="—"/>
      <w:lvlJc w:val="left"/>
      <w:pPr>
        <w:ind w:left="1435" w:hanging="358"/>
      </w:pPr>
      <w:rPr>
        <w:rFonts w:ascii="EC Square Sans Pro" w:hAnsi="EC Square Sans Pro" w:hint="default"/>
        <w:color w:val="008139" w:themeColor="accent1"/>
      </w:rPr>
    </w:lvl>
    <w:lvl w:ilvl="2">
      <w:start w:val="1"/>
      <w:numFmt w:val="bullet"/>
      <w:lvlText w:val=""/>
      <w:lvlJc w:val="left"/>
      <w:pPr>
        <w:ind w:left="2155" w:hanging="358"/>
      </w:pPr>
      <w:rPr>
        <w:rFonts w:ascii="Wingdings" w:hAnsi="Wingdings"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3595" w:hanging="357"/>
      </w:pPr>
      <w:rPr>
        <w:rFonts w:ascii="Courier New" w:hAnsi="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42" w15:restartNumberingAfterBreak="0">
    <w:nsid w:val="5B75613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B952158"/>
    <w:multiLevelType w:val="multilevel"/>
    <w:tmpl w:val="771A7F44"/>
    <w:lvl w:ilvl="0">
      <w:start w:val="1"/>
      <w:numFmt w:val="bullet"/>
      <w:lvlText w:val=""/>
      <w:lvlJc w:val="left"/>
      <w:pPr>
        <w:tabs>
          <w:tab w:val="num" w:pos="644"/>
        </w:tabs>
        <w:ind w:left="644" w:hanging="360"/>
      </w:pPr>
      <w:rPr>
        <w:rFonts w:ascii="Symbol" w:hAnsi="Symbol" w:hint="default"/>
        <w:color w:val="DE6002" w:themeColor="accent2"/>
      </w:rPr>
    </w:lvl>
    <w:lvl w:ilvl="1">
      <w:numFmt w:val="decimal"/>
      <w:lvlText w:val=""/>
      <w:lvlJc w:val="left"/>
      <w:rPr>
        <w:rFonts w:hint="default"/>
        <w:color w:val="DE6002" w:themeColor="accent2"/>
        <w:sz w:val="20"/>
      </w:rPr>
    </w:lvl>
    <w:lvl w:ilvl="2">
      <w:numFmt w:val="decimal"/>
      <w:lvlText w:val=""/>
      <w:lvlJc w:val="left"/>
      <w:rPr>
        <w:rFonts w:hint="default"/>
        <w:color w:val="DE6002" w:themeColor="accent2"/>
      </w:rPr>
    </w:lvl>
    <w:lvl w:ilvl="3">
      <w:numFmt w:val="decimal"/>
      <w:lvlText w:val=""/>
      <w:lvlJc w:val="left"/>
      <w:rPr>
        <w:rFonts w:hint="default"/>
        <w:color w:val="DE6002" w:themeColor="accent2"/>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44" w15:restartNumberingAfterBreak="0">
    <w:nsid w:val="5C802E7D"/>
    <w:multiLevelType w:val="hybridMultilevel"/>
    <w:tmpl w:val="970C37E4"/>
    <w:lvl w:ilvl="0" w:tplc="AF12D95C">
      <w:start w:val="1"/>
      <w:numFmt w:val="bullet"/>
      <w:lvlText w:val="·"/>
      <w:lvlJc w:val="left"/>
      <w:pPr>
        <w:ind w:left="720" w:hanging="360"/>
      </w:pPr>
      <w:rPr>
        <w:rFonts w:ascii="Symbol" w:hAnsi="Symbol" w:hint="default"/>
      </w:rPr>
    </w:lvl>
    <w:lvl w:ilvl="1" w:tplc="44B663F2">
      <w:start w:val="1"/>
      <w:numFmt w:val="bullet"/>
      <w:lvlText w:val="o"/>
      <w:lvlJc w:val="left"/>
      <w:pPr>
        <w:ind w:left="1440" w:hanging="360"/>
      </w:pPr>
      <w:rPr>
        <w:rFonts w:ascii="Courier New" w:hAnsi="Courier New" w:hint="default"/>
      </w:rPr>
    </w:lvl>
    <w:lvl w:ilvl="2" w:tplc="B692A6EA">
      <w:start w:val="1"/>
      <w:numFmt w:val="bullet"/>
      <w:lvlText w:val=""/>
      <w:lvlJc w:val="left"/>
      <w:pPr>
        <w:ind w:left="2160" w:hanging="360"/>
      </w:pPr>
      <w:rPr>
        <w:rFonts w:ascii="Wingdings" w:hAnsi="Wingdings" w:hint="default"/>
      </w:rPr>
    </w:lvl>
    <w:lvl w:ilvl="3" w:tplc="FFE6C6DA">
      <w:start w:val="1"/>
      <w:numFmt w:val="bullet"/>
      <w:lvlText w:val=""/>
      <w:lvlJc w:val="left"/>
      <w:pPr>
        <w:ind w:left="2880" w:hanging="360"/>
      </w:pPr>
      <w:rPr>
        <w:rFonts w:ascii="Symbol" w:hAnsi="Symbol" w:hint="default"/>
      </w:rPr>
    </w:lvl>
    <w:lvl w:ilvl="4" w:tplc="181ADE74">
      <w:start w:val="1"/>
      <w:numFmt w:val="bullet"/>
      <w:lvlText w:val="o"/>
      <w:lvlJc w:val="left"/>
      <w:pPr>
        <w:ind w:left="3600" w:hanging="360"/>
      </w:pPr>
      <w:rPr>
        <w:rFonts w:ascii="Courier New" w:hAnsi="Courier New" w:hint="default"/>
      </w:rPr>
    </w:lvl>
    <w:lvl w:ilvl="5" w:tplc="901AC44A">
      <w:start w:val="1"/>
      <w:numFmt w:val="bullet"/>
      <w:lvlText w:val=""/>
      <w:lvlJc w:val="left"/>
      <w:pPr>
        <w:ind w:left="4320" w:hanging="360"/>
      </w:pPr>
      <w:rPr>
        <w:rFonts w:ascii="Wingdings" w:hAnsi="Wingdings" w:hint="default"/>
      </w:rPr>
    </w:lvl>
    <w:lvl w:ilvl="6" w:tplc="FEA0F912">
      <w:start w:val="1"/>
      <w:numFmt w:val="bullet"/>
      <w:lvlText w:val=""/>
      <w:lvlJc w:val="left"/>
      <w:pPr>
        <w:ind w:left="5040" w:hanging="360"/>
      </w:pPr>
      <w:rPr>
        <w:rFonts w:ascii="Symbol" w:hAnsi="Symbol" w:hint="default"/>
      </w:rPr>
    </w:lvl>
    <w:lvl w:ilvl="7" w:tplc="C442C7AC">
      <w:start w:val="1"/>
      <w:numFmt w:val="bullet"/>
      <w:lvlText w:val="o"/>
      <w:lvlJc w:val="left"/>
      <w:pPr>
        <w:ind w:left="5760" w:hanging="360"/>
      </w:pPr>
      <w:rPr>
        <w:rFonts w:ascii="Courier New" w:hAnsi="Courier New" w:hint="default"/>
      </w:rPr>
    </w:lvl>
    <w:lvl w:ilvl="8" w:tplc="C868EC9C">
      <w:start w:val="1"/>
      <w:numFmt w:val="bullet"/>
      <w:lvlText w:val=""/>
      <w:lvlJc w:val="left"/>
      <w:pPr>
        <w:ind w:left="6480" w:hanging="360"/>
      </w:pPr>
      <w:rPr>
        <w:rFonts w:ascii="Wingdings" w:hAnsi="Wingdings" w:hint="default"/>
      </w:rPr>
    </w:lvl>
  </w:abstractNum>
  <w:abstractNum w:abstractNumId="45" w15:restartNumberingAfterBreak="0">
    <w:nsid w:val="5F620660"/>
    <w:multiLevelType w:val="multilevel"/>
    <w:tmpl w:val="22DA6280"/>
    <w:styleLink w:val="LISTBullet0"/>
    <w:lvl w:ilvl="0">
      <w:start w:val="1"/>
      <w:numFmt w:val="bullet"/>
      <w:lvlText w:val="•"/>
      <w:lvlJc w:val="left"/>
      <w:pPr>
        <w:tabs>
          <w:tab w:val="num" w:pos="397"/>
        </w:tabs>
        <w:ind w:left="794" w:hanging="397"/>
      </w:pPr>
      <w:rPr>
        <w:rFonts w:ascii="Calibri" w:hAnsi="Calibri" w:hint="default"/>
        <w:color w:val="DE6002" w:themeColor="accent2"/>
      </w:rPr>
    </w:lvl>
    <w:lvl w:ilvl="1">
      <w:start w:val="1"/>
      <w:numFmt w:val="bullet"/>
      <w:lvlText w:val="—"/>
      <w:lvlJc w:val="left"/>
      <w:pPr>
        <w:tabs>
          <w:tab w:val="num" w:pos="1361"/>
        </w:tabs>
        <w:ind w:left="1361" w:hanging="397"/>
      </w:pPr>
      <w:rPr>
        <w:rFonts w:ascii="Times New Roman" w:hAnsi="Times New Roman" w:cs="Times New Roman" w:hint="default"/>
        <w:color w:val="DE6002" w:themeColor="accent2"/>
        <w:sz w:val="20"/>
      </w:rPr>
    </w:lvl>
    <w:lvl w:ilvl="2">
      <w:start w:val="1"/>
      <w:numFmt w:val="bullet"/>
      <w:lvlText w:val=""/>
      <w:lvlJc w:val="left"/>
      <w:pPr>
        <w:tabs>
          <w:tab w:val="num" w:pos="1928"/>
        </w:tabs>
        <w:ind w:left="1928" w:hanging="397"/>
      </w:pPr>
      <w:rPr>
        <w:rFonts w:ascii="Wingdings" w:hAnsi="Wingdings" w:hint="default"/>
        <w:color w:val="DE6002" w:themeColor="accent2"/>
      </w:rPr>
    </w:lvl>
    <w:lvl w:ilvl="3">
      <w:start w:val="1"/>
      <w:numFmt w:val="bullet"/>
      <w:lvlText w:val=""/>
      <w:lvlJc w:val="left"/>
      <w:pPr>
        <w:tabs>
          <w:tab w:val="num" w:pos="2495"/>
        </w:tabs>
        <w:ind w:left="2495" w:hanging="397"/>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6" w15:restartNumberingAfterBreak="0">
    <w:nsid w:val="5FB03A96"/>
    <w:multiLevelType w:val="multilevel"/>
    <w:tmpl w:val="9DE615D6"/>
    <w:lvl w:ilvl="0">
      <w:start w:val="1"/>
      <w:numFmt w:val="bullet"/>
      <w:lvlText w:val="·"/>
      <w:lvlJc w:val="left"/>
      <w:pPr>
        <w:tabs>
          <w:tab w:val="num" w:pos="397"/>
        </w:tabs>
        <w:ind w:left="794" w:hanging="397"/>
      </w:pPr>
      <w:rPr>
        <w:rFonts w:ascii="Symbol" w:hAnsi="Symbol" w:hint="default"/>
        <w:color w:val="DE6002" w:themeColor="accent2"/>
      </w:rPr>
    </w:lvl>
    <w:lvl w:ilvl="1">
      <w:start w:val="1"/>
      <w:numFmt w:val="bullet"/>
      <w:lvlText w:val="—"/>
      <w:lvlJc w:val="left"/>
      <w:pPr>
        <w:tabs>
          <w:tab w:val="num" w:pos="1361"/>
        </w:tabs>
        <w:ind w:left="1361" w:hanging="397"/>
      </w:pPr>
      <w:rPr>
        <w:rFonts w:ascii="Times New Roman" w:hAnsi="Times New Roman" w:cs="Times New Roman" w:hint="default"/>
        <w:color w:val="DE6002" w:themeColor="accent2"/>
        <w:sz w:val="20"/>
      </w:rPr>
    </w:lvl>
    <w:lvl w:ilvl="2">
      <w:start w:val="1"/>
      <w:numFmt w:val="bullet"/>
      <w:lvlText w:val=""/>
      <w:lvlJc w:val="left"/>
      <w:pPr>
        <w:tabs>
          <w:tab w:val="num" w:pos="1928"/>
        </w:tabs>
        <w:ind w:left="1928" w:hanging="397"/>
      </w:pPr>
      <w:rPr>
        <w:rFonts w:ascii="Wingdings" w:hAnsi="Wingdings" w:hint="default"/>
        <w:color w:val="DE6002" w:themeColor="accent2"/>
      </w:rPr>
    </w:lvl>
    <w:lvl w:ilvl="3">
      <w:start w:val="1"/>
      <w:numFmt w:val="bullet"/>
      <w:lvlText w:val=""/>
      <w:lvlJc w:val="left"/>
      <w:pPr>
        <w:tabs>
          <w:tab w:val="num" w:pos="2495"/>
        </w:tabs>
        <w:ind w:left="2495" w:hanging="397"/>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7" w15:restartNumberingAfterBreak="0">
    <w:nsid w:val="66947790"/>
    <w:multiLevelType w:val="multilevel"/>
    <w:tmpl w:val="BCF466F4"/>
    <w:styleLink w:val="amprLISTOrderedAlphaLC"/>
    <w:lvl w:ilvl="0">
      <w:start w:val="1"/>
      <w:numFmt w:val="lowerLetter"/>
      <w:lvlText w:val="(%1)"/>
      <w:lvlJc w:val="left"/>
      <w:pPr>
        <w:ind w:left="714" w:hanging="357"/>
      </w:pPr>
    </w:lvl>
    <w:lvl w:ilvl="1">
      <w:start w:val="1"/>
      <w:numFmt w:val="lowerRoman"/>
      <w:lvlText w:val="%2)"/>
      <w:lvlJc w:val="left"/>
      <w:pPr>
        <w:ind w:left="720" w:hanging="360"/>
      </w:p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7A16712"/>
    <w:multiLevelType w:val="hybridMultilevel"/>
    <w:tmpl w:val="CD387AFC"/>
    <w:lvl w:ilvl="0" w:tplc="A84E3472">
      <w:start w:val="1"/>
      <w:numFmt w:val="bullet"/>
      <w:lvlText w:val=""/>
      <w:lvlJc w:val="left"/>
      <w:pPr>
        <w:ind w:left="1120" w:hanging="360"/>
      </w:pPr>
      <w:rPr>
        <w:rFonts w:ascii="Symbol" w:hAnsi="Symbol"/>
      </w:rPr>
    </w:lvl>
    <w:lvl w:ilvl="1" w:tplc="4B0462F4">
      <w:start w:val="1"/>
      <w:numFmt w:val="bullet"/>
      <w:lvlText w:val=""/>
      <w:lvlJc w:val="left"/>
      <w:pPr>
        <w:ind w:left="1120" w:hanging="360"/>
      </w:pPr>
      <w:rPr>
        <w:rFonts w:ascii="Symbol" w:hAnsi="Symbol"/>
      </w:rPr>
    </w:lvl>
    <w:lvl w:ilvl="2" w:tplc="8DAC8FB2">
      <w:start w:val="1"/>
      <w:numFmt w:val="bullet"/>
      <w:lvlText w:val=""/>
      <w:lvlJc w:val="left"/>
      <w:pPr>
        <w:ind w:left="1120" w:hanging="360"/>
      </w:pPr>
      <w:rPr>
        <w:rFonts w:ascii="Symbol" w:hAnsi="Symbol"/>
      </w:rPr>
    </w:lvl>
    <w:lvl w:ilvl="3" w:tplc="49BC1746">
      <w:start w:val="1"/>
      <w:numFmt w:val="bullet"/>
      <w:lvlText w:val=""/>
      <w:lvlJc w:val="left"/>
      <w:pPr>
        <w:ind w:left="1120" w:hanging="360"/>
      </w:pPr>
      <w:rPr>
        <w:rFonts w:ascii="Symbol" w:hAnsi="Symbol"/>
      </w:rPr>
    </w:lvl>
    <w:lvl w:ilvl="4" w:tplc="4706093E">
      <w:start w:val="1"/>
      <w:numFmt w:val="bullet"/>
      <w:lvlText w:val=""/>
      <w:lvlJc w:val="left"/>
      <w:pPr>
        <w:ind w:left="1120" w:hanging="360"/>
      </w:pPr>
      <w:rPr>
        <w:rFonts w:ascii="Symbol" w:hAnsi="Symbol"/>
      </w:rPr>
    </w:lvl>
    <w:lvl w:ilvl="5" w:tplc="03226B66">
      <w:start w:val="1"/>
      <w:numFmt w:val="bullet"/>
      <w:lvlText w:val=""/>
      <w:lvlJc w:val="left"/>
      <w:pPr>
        <w:ind w:left="1120" w:hanging="360"/>
      </w:pPr>
      <w:rPr>
        <w:rFonts w:ascii="Symbol" w:hAnsi="Symbol"/>
      </w:rPr>
    </w:lvl>
    <w:lvl w:ilvl="6" w:tplc="B2001934">
      <w:start w:val="1"/>
      <w:numFmt w:val="bullet"/>
      <w:lvlText w:val=""/>
      <w:lvlJc w:val="left"/>
      <w:pPr>
        <w:ind w:left="1120" w:hanging="360"/>
      </w:pPr>
      <w:rPr>
        <w:rFonts w:ascii="Symbol" w:hAnsi="Symbol"/>
      </w:rPr>
    </w:lvl>
    <w:lvl w:ilvl="7" w:tplc="1EEC8C08">
      <w:start w:val="1"/>
      <w:numFmt w:val="bullet"/>
      <w:lvlText w:val=""/>
      <w:lvlJc w:val="left"/>
      <w:pPr>
        <w:ind w:left="1120" w:hanging="360"/>
      </w:pPr>
      <w:rPr>
        <w:rFonts w:ascii="Symbol" w:hAnsi="Symbol"/>
      </w:rPr>
    </w:lvl>
    <w:lvl w:ilvl="8" w:tplc="762CD56A">
      <w:start w:val="1"/>
      <w:numFmt w:val="bullet"/>
      <w:lvlText w:val=""/>
      <w:lvlJc w:val="left"/>
      <w:pPr>
        <w:ind w:left="1120" w:hanging="360"/>
      </w:pPr>
      <w:rPr>
        <w:rFonts w:ascii="Symbol" w:hAnsi="Symbol"/>
      </w:rPr>
    </w:lvl>
  </w:abstractNum>
  <w:abstractNum w:abstractNumId="49" w15:restartNumberingAfterBreak="0">
    <w:nsid w:val="75EB7ABE"/>
    <w:multiLevelType w:val="hybridMultilevel"/>
    <w:tmpl w:val="D7EE504A"/>
    <w:lvl w:ilvl="0" w:tplc="91329A02">
      <w:numFmt w:val="bullet"/>
      <w:lvlText w:val="•"/>
      <w:lvlJc w:val="left"/>
      <w:pPr>
        <w:ind w:left="720" w:hanging="360"/>
      </w:pPr>
      <w:rPr>
        <w:rFonts w:ascii="EC Square Sans Pro" w:eastAsia="Times New Roman" w:hAnsi="EC Square Sans Pr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8853790">
    <w:abstractNumId w:val="9"/>
  </w:num>
  <w:num w:numId="2" w16cid:durableId="2062704224">
    <w:abstractNumId w:val="31"/>
  </w:num>
  <w:num w:numId="3" w16cid:durableId="2046172322">
    <w:abstractNumId w:val="18"/>
  </w:num>
  <w:num w:numId="4" w16cid:durableId="897669922">
    <w:abstractNumId w:val="21"/>
  </w:num>
  <w:num w:numId="5" w16cid:durableId="1804422721">
    <w:abstractNumId w:val="41"/>
  </w:num>
  <w:num w:numId="6" w16cid:durableId="1384252210">
    <w:abstractNumId w:val="47"/>
  </w:num>
  <w:num w:numId="7" w16cid:durableId="1647316347">
    <w:abstractNumId w:val="37"/>
  </w:num>
  <w:num w:numId="8" w16cid:durableId="1605763747">
    <w:abstractNumId w:val="42"/>
  </w:num>
  <w:num w:numId="9" w16cid:durableId="1698460062">
    <w:abstractNumId w:val="11"/>
  </w:num>
  <w:num w:numId="10" w16cid:durableId="789322875">
    <w:abstractNumId w:val="38"/>
  </w:num>
  <w:num w:numId="11" w16cid:durableId="825629767">
    <w:abstractNumId w:val="27"/>
  </w:num>
  <w:num w:numId="12" w16cid:durableId="1097680386">
    <w:abstractNumId w:val="45"/>
  </w:num>
  <w:num w:numId="13" w16cid:durableId="1583250354">
    <w:abstractNumId w:val="9"/>
  </w:num>
  <w:num w:numId="14" w16cid:durableId="1779568463">
    <w:abstractNumId w:val="16"/>
  </w:num>
  <w:num w:numId="15" w16cid:durableId="110714397">
    <w:abstractNumId w:val="15"/>
  </w:num>
  <w:num w:numId="16" w16cid:durableId="363293709">
    <w:abstractNumId w:val="12"/>
  </w:num>
  <w:num w:numId="17" w16cid:durableId="2051565873">
    <w:abstractNumId w:val="7"/>
  </w:num>
  <w:num w:numId="18" w16cid:durableId="1451972362">
    <w:abstractNumId w:val="6"/>
  </w:num>
  <w:num w:numId="19" w16cid:durableId="1703245397">
    <w:abstractNumId w:val="5"/>
  </w:num>
  <w:num w:numId="20" w16cid:durableId="1629584262">
    <w:abstractNumId w:val="4"/>
  </w:num>
  <w:num w:numId="21" w16cid:durableId="1439640301">
    <w:abstractNumId w:val="3"/>
  </w:num>
  <w:num w:numId="22" w16cid:durableId="2112578476">
    <w:abstractNumId w:val="2"/>
  </w:num>
  <w:num w:numId="23" w16cid:durableId="204372192">
    <w:abstractNumId w:val="1"/>
  </w:num>
  <w:num w:numId="24" w16cid:durableId="235366181">
    <w:abstractNumId w:val="0"/>
  </w:num>
  <w:num w:numId="25" w16cid:durableId="1814130917">
    <w:abstractNumId w:val="49"/>
  </w:num>
  <w:num w:numId="26" w16cid:durableId="1671641788">
    <w:abstractNumId w:val="46"/>
  </w:num>
  <w:num w:numId="27" w16cid:durableId="1537041653">
    <w:abstractNumId w:val="39"/>
  </w:num>
  <w:num w:numId="28" w16cid:durableId="721827151">
    <w:abstractNumId w:val="43"/>
  </w:num>
  <w:num w:numId="29" w16cid:durableId="516624707">
    <w:abstractNumId w:val="36"/>
  </w:num>
  <w:num w:numId="30" w16cid:durableId="577252447">
    <w:abstractNumId w:val="33"/>
  </w:num>
  <w:num w:numId="31" w16cid:durableId="1567303271">
    <w:abstractNumId w:val="34"/>
  </w:num>
  <w:num w:numId="32" w16cid:durableId="940844726">
    <w:abstractNumId w:val="28"/>
  </w:num>
  <w:num w:numId="33" w16cid:durableId="2105494037">
    <w:abstractNumId w:val="26"/>
  </w:num>
  <w:num w:numId="34" w16cid:durableId="433207170">
    <w:abstractNumId w:val="29"/>
  </w:num>
  <w:num w:numId="35" w16cid:durableId="2002469247">
    <w:abstractNumId w:val="40"/>
  </w:num>
  <w:num w:numId="36" w16cid:durableId="1908563162">
    <w:abstractNumId w:val="40"/>
  </w:num>
  <w:num w:numId="37" w16cid:durableId="1527792865">
    <w:abstractNumId w:val="20"/>
  </w:num>
  <w:num w:numId="38" w16cid:durableId="2071226097">
    <w:abstractNumId w:val="14"/>
  </w:num>
  <w:num w:numId="39" w16cid:durableId="1934123826">
    <w:abstractNumId w:val="10"/>
  </w:num>
  <w:num w:numId="40" w16cid:durableId="207954640">
    <w:abstractNumId w:val="13"/>
  </w:num>
  <w:num w:numId="41" w16cid:durableId="1468157822">
    <w:abstractNumId w:val="27"/>
  </w:num>
  <w:num w:numId="42" w16cid:durableId="1444225910">
    <w:abstractNumId w:val="35"/>
  </w:num>
  <w:num w:numId="43" w16cid:durableId="1660185673">
    <w:abstractNumId w:val="48"/>
  </w:num>
  <w:num w:numId="44" w16cid:durableId="962343403">
    <w:abstractNumId w:val="24"/>
  </w:num>
  <w:num w:numId="45" w16cid:durableId="239800109">
    <w:abstractNumId w:val="19"/>
  </w:num>
  <w:num w:numId="46" w16cid:durableId="2006474792">
    <w:abstractNumId w:val="30"/>
  </w:num>
  <w:num w:numId="47" w16cid:durableId="1400907278">
    <w:abstractNumId w:val="27"/>
  </w:num>
  <w:num w:numId="48" w16cid:durableId="1299191272">
    <w:abstractNumId w:val="44"/>
  </w:num>
  <w:num w:numId="49" w16cid:durableId="177234684">
    <w:abstractNumId w:val="2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efaultTableStyle w:val="BodyTable"/>
  <w:drawingGridHorizontalSpacing w:val="245"/>
  <w:drawingGridVerticalSpacing w:val="163"/>
  <w:displayVerticalDrawingGridEvery w:val="2"/>
  <w:characterSpacingControl w:val="doNotCompress"/>
  <w:hdrShapeDefaults>
    <o:shapedefaults v:ext="edit" spidmax="2051"/>
  </w:hdrShapeDefaults>
  <w:footnotePr>
    <w:footnote w:id="-1"/>
    <w:footnote w:id="0"/>
  </w:footnotePr>
  <w:endnotePr>
    <w:pos w:val="sectEnd"/>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EPKit_DocumentHasBeenSaved" w:val="true"/>
    <w:docVar w:name="LW_ACCOMPAGNANT.CP" w:val="to the "/>
    <w:docVar w:name="LW_ANNEX_NBR_FIRST" w:val="5"/>
    <w:docVar w:name="LW_ANNEX_NBR_LAST" w:val="11"/>
    <w:docVar w:name="LW_ANNEX_UNIQUE" w:val="0"/>
    <w:docVar w:name="LW_CORRIGENDUM" w:val="&lt;UNUSED&gt;"/>
    <w:docVar w:name="LW_COVERPAGE_EXISTS" w:val="True"/>
    <w:docVar w:name="LW_COVERPAGE_GUID" w:val="D48EF9FD-1020-45C6-951D-06E9AA8EE2F5"/>
    <w:docVar w:name="LW_COVERPAGE_TYPE" w:val="1"/>
    <w:docVar w:name="LW_CROSSREFERENCE" w:val="&lt;UNUSED&gt;"/>
    <w:docVar w:name="LW_DocType" w:val="CC01FFA530084E36B2CB27B66CCE9453"/>
    <w:docVar w:name="LW_EMISSION" w:val="16.6.2026"/>
    <w:docVar w:name="LW_EMISSION_ISODATE" w:val="2026-06-16"/>
    <w:docVar w:name="LW_EMISSION_LOCATION" w:val="STR"/>
    <w:docVar w:name="LW_EMISSION_PREFIX" w:val="Strasbourg,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Annual Management and Performance Report for the EU Budget \u8211? 2025 financial year"/>
    <w:docVar w:name="LW_PART_NBR" w:val="&lt;UNUSED&gt;"/>
    <w:docVar w:name="LW_PART_NBR_TOTAL" w:val="&lt;UNUSED&gt;"/>
    <w:docVar w:name="LW_REF.INST.NEW" w:val="COM"/>
    <w:docVar w:name="LW_REF.INST.NEW_ADOPTED" w:val="final"/>
    <w:docVar w:name="LW_REF.INST.NEW_TEXT" w:val="(2026) 8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REPORT FROM THE COMMISSION TO THE EUROPEAN PARLIAMENT, THE COUNCIL AND THE COURT OF AUDITORS "/>
  </w:docVars>
  <w:rsids>
    <w:rsidRoot w:val="001D613A"/>
    <w:rsid w:val="00000421"/>
    <w:rsid w:val="00000B78"/>
    <w:rsid w:val="0000117E"/>
    <w:rsid w:val="00001503"/>
    <w:rsid w:val="00001A56"/>
    <w:rsid w:val="00001B9A"/>
    <w:rsid w:val="00001C40"/>
    <w:rsid w:val="00001C54"/>
    <w:rsid w:val="0000227E"/>
    <w:rsid w:val="00002846"/>
    <w:rsid w:val="0000376B"/>
    <w:rsid w:val="0000397E"/>
    <w:rsid w:val="000039B3"/>
    <w:rsid w:val="00003D05"/>
    <w:rsid w:val="0000552B"/>
    <w:rsid w:val="000062A1"/>
    <w:rsid w:val="00006E84"/>
    <w:rsid w:val="00007E54"/>
    <w:rsid w:val="00010821"/>
    <w:rsid w:val="00011C76"/>
    <w:rsid w:val="000120B4"/>
    <w:rsid w:val="000123C2"/>
    <w:rsid w:val="000125E4"/>
    <w:rsid w:val="0001263F"/>
    <w:rsid w:val="00012D23"/>
    <w:rsid w:val="0001363E"/>
    <w:rsid w:val="0001384B"/>
    <w:rsid w:val="00013B1E"/>
    <w:rsid w:val="00013ECF"/>
    <w:rsid w:val="00013F4B"/>
    <w:rsid w:val="00014614"/>
    <w:rsid w:val="000152E8"/>
    <w:rsid w:val="000154E5"/>
    <w:rsid w:val="000154F6"/>
    <w:rsid w:val="00015BC9"/>
    <w:rsid w:val="000160EA"/>
    <w:rsid w:val="0001615A"/>
    <w:rsid w:val="000162AA"/>
    <w:rsid w:val="00017CA4"/>
    <w:rsid w:val="00020AAE"/>
    <w:rsid w:val="00020B30"/>
    <w:rsid w:val="000211B6"/>
    <w:rsid w:val="000217DC"/>
    <w:rsid w:val="000236E9"/>
    <w:rsid w:val="00023726"/>
    <w:rsid w:val="00023C9A"/>
    <w:rsid w:val="00024176"/>
    <w:rsid w:val="0002503F"/>
    <w:rsid w:val="0002601D"/>
    <w:rsid w:val="0002603B"/>
    <w:rsid w:val="00026117"/>
    <w:rsid w:val="000265D5"/>
    <w:rsid w:val="000266D8"/>
    <w:rsid w:val="0002683F"/>
    <w:rsid w:val="00026BCC"/>
    <w:rsid w:val="00026DDB"/>
    <w:rsid w:val="000271C8"/>
    <w:rsid w:val="000273E5"/>
    <w:rsid w:val="00027BCF"/>
    <w:rsid w:val="00030505"/>
    <w:rsid w:val="000305BD"/>
    <w:rsid w:val="0003177E"/>
    <w:rsid w:val="000320B3"/>
    <w:rsid w:val="0003236C"/>
    <w:rsid w:val="00032400"/>
    <w:rsid w:val="000327D6"/>
    <w:rsid w:val="00032EBB"/>
    <w:rsid w:val="00032ECB"/>
    <w:rsid w:val="000331AA"/>
    <w:rsid w:val="00033D88"/>
    <w:rsid w:val="000343B2"/>
    <w:rsid w:val="00034BFF"/>
    <w:rsid w:val="00034F40"/>
    <w:rsid w:val="0003562F"/>
    <w:rsid w:val="00035B78"/>
    <w:rsid w:val="00035E50"/>
    <w:rsid w:val="0003620D"/>
    <w:rsid w:val="00036ADD"/>
    <w:rsid w:val="00036F6A"/>
    <w:rsid w:val="0003725F"/>
    <w:rsid w:val="00037570"/>
    <w:rsid w:val="00037AC6"/>
    <w:rsid w:val="00037F6B"/>
    <w:rsid w:val="000404FE"/>
    <w:rsid w:val="00040EA1"/>
    <w:rsid w:val="00041036"/>
    <w:rsid w:val="00041676"/>
    <w:rsid w:val="00041727"/>
    <w:rsid w:val="000418B6"/>
    <w:rsid w:val="00041F47"/>
    <w:rsid w:val="000425FB"/>
    <w:rsid w:val="00042F18"/>
    <w:rsid w:val="00043382"/>
    <w:rsid w:val="00043529"/>
    <w:rsid w:val="00043B0F"/>
    <w:rsid w:val="0004420D"/>
    <w:rsid w:val="0004506D"/>
    <w:rsid w:val="00045CCC"/>
    <w:rsid w:val="00045E0E"/>
    <w:rsid w:val="00046727"/>
    <w:rsid w:val="00050C16"/>
    <w:rsid w:val="00051AAF"/>
    <w:rsid w:val="00051AB2"/>
    <w:rsid w:val="00051D6C"/>
    <w:rsid w:val="00051F57"/>
    <w:rsid w:val="00051FE7"/>
    <w:rsid w:val="000523A3"/>
    <w:rsid w:val="000525EB"/>
    <w:rsid w:val="00052A13"/>
    <w:rsid w:val="00053299"/>
    <w:rsid w:val="00053498"/>
    <w:rsid w:val="00055295"/>
    <w:rsid w:val="00055607"/>
    <w:rsid w:val="00056227"/>
    <w:rsid w:val="000568A9"/>
    <w:rsid w:val="00060BB6"/>
    <w:rsid w:val="00061437"/>
    <w:rsid w:val="00061D0A"/>
    <w:rsid w:val="00061D52"/>
    <w:rsid w:val="00062898"/>
    <w:rsid w:val="00062C3E"/>
    <w:rsid w:val="00062F11"/>
    <w:rsid w:val="00063ED2"/>
    <w:rsid w:val="00064847"/>
    <w:rsid w:val="00064A34"/>
    <w:rsid w:val="00065872"/>
    <w:rsid w:val="000659EE"/>
    <w:rsid w:val="00066756"/>
    <w:rsid w:val="00066773"/>
    <w:rsid w:val="00066BE3"/>
    <w:rsid w:val="000671D7"/>
    <w:rsid w:val="000702C4"/>
    <w:rsid w:val="00070312"/>
    <w:rsid w:val="0007044F"/>
    <w:rsid w:val="00070920"/>
    <w:rsid w:val="000709E9"/>
    <w:rsid w:val="00070F38"/>
    <w:rsid w:val="00070FDA"/>
    <w:rsid w:val="000711E1"/>
    <w:rsid w:val="0007188D"/>
    <w:rsid w:val="00071F5C"/>
    <w:rsid w:val="00072D5B"/>
    <w:rsid w:val="0007364F"/>
    <w:rsid w:val="0007395B"/>
    <w:rsid w:val="00073CB5"/>
    <w:rsid w:val="00073D31"/>
    <w:rsid w:val="00073E9A"/>
    <w:rsid w:val="00073F26"/>
    <w:rsid w:val="00075C1B"/>
    <w:rsid w:val="00076A2C"/>
    <w:rsid w:val="0007700D"/>
    <w:rsid w:val="0007739A"/>
    <w:rsid w:val="00077FB5"/>
    <w:rsid w:val="00080218"/>
    <w:rsid w:val="00080A41"/>
    <w:rsid w:val="00080F9C"/>
    <w:rsid w:val="00081036"/>
    <w:rsid w:val="0008226C"/>
    <w:rsid w:val="000824F0"/>
    <w:rsid w:val="000825C4"/>
    <w:rsid w:val="00082BC8"/>
    <w:rsid w:val="00082D72"/>
    <w:rsid w:val="00082E36"/>
    <w:rsid w:val="00083496"/>
    <w:rsid w:val="00084108"/>
    <w:rsid w:val="000841FC"/>
    <w:rsid w:val="000842DF"/>
    <w:rsid w:val="00084CCE"/>
    <w:rsid w:val="00084E9B"/>
    <w:rsid w:val="00085172"/>
    <w:rsid w:val="000852E7"/>
    <w:rsid w:val="0008545B"/>
    <w:rsid w:val="0008656F"/>
    <w:rsid w:val="00086732"/>
    <w:rsid w:val="00086BF7"/>
    <w:rsid w:val="00087412"/>
    <w:rsid w:val="00087A91"/>
    <w:rsid w:val="000908B2"/>
    <w:rsid w:val="00090D93"/>
    <w:rsid w:val="00090F57"/>
    <w:rsid w:val="00091019"/>
    <w:rsid w:val="00091BD3"/>
    <w:rsid w:val="00091C43"/>
    <w:rsid w:val="00091C48"/>
    <w:rsid w:val="000925CB"/>
    <w:rsid w:val="00094019"/>
    <w:rsid w:val="00094605"/>
    <w:rsid w:val="000947A6"/>
    <w:rsid w:val="00094BDC"/>
    <w:rsid w:val="00094D07"/>
    <w:rsid w:val="00094E57"/>
    <w:rsid w:val="00094E66"/>
    <w:rsid w:val="00095FCA"/>
    <w:rsid w:val="00096D9C"/>
    <w:rsid w:val="00096EE1"/>
    <w:rsid w:val="00097F9A"/>
    <w:rsid w:val="000A0350"/>
    <w:rsid w:val="000A13A6"/>
    <w:rsid w:val="000A3544"/>
    <w:rsid w:val="000A3865"/>
    <w:rsid w:val="000A3ECF"/>
    <w:rsid w:val="000A4D44"/>
    <w:rsid w:val="000A4F30"/>
    <w:rsid w:val="000A50D0"/>
    <w:rsid w:val="000A5E23"/>
    <w:rsid w:val="000A6C1F"/>
    <w:rsid w:val="000A6FA8"/>
    <w:rsid w:val="000A773A"/>
    <w:rsid w:val="000A783C"/>
    <w:rsid w:val="000A786E"/>
    <w:rsid w:val="000B2072"/>
    <w:rsid w:val="000B23EA"/>
    <w:rsid w:val="000B25BE"/>
    <w:rsid w:val="000B2756"/>
    <w:rsid w:val="000B2B6A"/>
    <w:rsid w:val="000B36D7"/>
    <w:rsid w:val="000B3B3C"/>
    <w:rsid w:val="000B3D58"/>
    <w:rsid w:val="000B3F8B"/>
    <w:rsid w:val="000B5C29"/>
    <w:rsid w:val="000B612A"/>
    <w:rsid w:val="000B6312"/>
    <w:rsid w:val="000B680C"/>
    <w:rsid w:val="000B6C43"/>
    <w:rsid w:val="000B6D88"/>
    <w:rsid w:val="000B79BA"/>
    <w:rsid w:val="000C0DE3"/>
    <w:rsid w:val="000C1A33"/>
    <w:rsid w:val="000C21FF"/>
    <w:rsid w:val="000C29C2"/>
    <w:rsid w:val="000C2AA5"/>
    <w:rsid w:val="000C2C39"/>
    <w:rsid w:val="000C2C6A"/>
    <w:rsid w:val="000C3699"/>
    <w:rsid w:val="000C4516"/>
    <w:rsid w:val="000C54D1"/>
    <w:rsid w:val="000C60E6"/>
    <w:rsid w:val="000C6100"/>
    <w:rsid w:val="000C6856"/>
    <w:rsid w:val="000C6A26"/>
    <w:rsid w:val="000C76ED"/>
    <w:rsid w:val="000C77CB"/>
    <w:rsid w:val="000D1B3D"/>
    <w:rsid w:val="000D22C9"/>
    <w:rsid w:val="000D22EB"/>
    <w:rsid w:val="000D244B"/>
    <w:rsid w:val="000D2DB3"/>
    <w:rsid w:val="000D3D1C"/>
    <w:rsid w:val="000D3FB8"/>
    <w:rsid w:val="000D41A8"/>
    <w:rsid w:val="000D42A4"/>
    <w:rsid w:val="000D456C"/>
    <w:rsid w:val="000D469D"/>
    <w:rsid w:val="000D51AC"/>
    <w:rsid w:val="000D5E1A"/>
    <w:rsid w:val="000D6967"/>
    <w:rsid w:val="000D6FF1"/>
    <w:rsid w:val="000D7AB1"/>
    <w:rsid w:val="000E014F"/>
    <w:rsid w:val="000E079A"/>
    <w:rsid w:val="000E1B56"/>
    <w:rsid w:val="000E1CBA"/>
    <w:rsid w:val="000E2225"/>
    <w:rsid w:val="000E23FB"/>
    <w:rsid w:val="000E2A1F"/>
    <w:rsid w:val="000E2D5E"/>
    <w:rsid w:val="000E5039"/>
    <w:rsid w:val="000E5802"/>
    <w:rsid w:val="000E587B"/>
    <w:rsid w:val="000E691A"/>
    <w:rsid w:val="000E721B"/>
    <w:rsid w:val="000F030E"/>
    <w:rsid w:val="000F0B8B"/>
    <w:rsid w:val="000F1A22"/>
    <w:rsid w:val="000F2296"/>
    <w:rsid w:val="000F24B3"/>
    <w:rsid w:val="000F313C"/>
    <w:rsid w:val="000F32FF"/>
    <w:rsid w:val="000F3411"/>
    <w:rsid w:val="000F358A"/>
    <w:rsid w:val="000F36B8"/>
    <w:rsid w:val="000F413E"/>
    <w:rsid w:val="000F5090"/>
    <w:rsid w:val="000F5318"/>
    <w:rsid w:val="000F574C"/>
    <w:rsid w:val="000F57F5"/>
    <w:rsid w:val="000F5960"/>
    <w:rsid w:val="000F6C71"/>
    <w:rsid w:val="000F74B2"/>
    <w:rsid w:val="000F7546"/>
    <w:rsid w:val="000F78C2"/>
    <w:rsid w:val="000F79C9"/>
    <w:rsid w:val="000F7BE4"/>
    <w:rsid w:val="000F7E09"/>
    <w:rsid w:val="001001C0"/>
    <w:rsid w:val="00100F84"/>
    <w:rsid w:val="001018BE"/>
    <w:rsid w:val="001035A4"/>
    <w:rsid w:val="001043E3"/>
    <w:rsid w:val="001045AF"/>
    <w:rsid w:val="00105B95"/>
    <w:rsid w:val="0010608E"/>
    <w:rsid w:val="00106163"/>
    <w:rsid w:val="00106464"/>
    <w:rsid w:val="00106CE1"/>
    <w:rsid w:val="001070F6"/>
    <w:rsid w:val="00110541"/>
    <w:rsid w:val="00110C0A"/>
    <w:rsid w:val="00110F56"/>
    <w:rsid w:val="00112787"/>
    <w:rsid w:val="00112F00"/>
    <w:rsid w:val="00113B62"/>
    <w:rsid w:val="0011427E"/>
    <w:rsid w:val="0011451D"/>
    <w:rsid w:val="00115DE3"/>
    <w:rsid w:val="00116F11"/>
    <w:rsid w:val="00120348"/>
    <w:rsid w:val="00121018"/>
    <w:rsid w:val="00121394"/>
    <w:rsid w:val="00121C3B"/>
    <w:rsid w:val="00121F80"/>
    <w:rsid w:val="00122FBB"/>
    <w:rsid w:val="00123002"/>
    <w:rsid w:val="00123DC9"/>
    <w:rsid w:val="0012483B"/>
    <w:rsid w:val="00124FDA"/>
    <w:rsid w:val="0012561B"/>
    <w:rsid w:val="00125629"/>
    <w:rsid w:val="0012707B"/>
    <w:rsid w:val="001272E0"/>
    <w:rsid w:val="001314DE"/>
    <w:rsid w:val="00131580"/>
    <w:rsid w:val="00132D24"/>
    <w:rsid w:val="0013354C"/>
    <w:rsid w:val="001340A2"/>
    <w:rsid w:val="0013436D"/>
    <w:rsid w:val="001346E8"/>
    <w:rsid w:val="00134E91"/>
    <w:rsid w:val="00135842"/>
    <w:rsid w:val="0013617A"/>
    <w:rsid w:val="00136206"/>
    <w:rsid w:val="0013676D"/>
    <w:rsid w:val="00137176"/>
    <w:rsid w:val="0013745F"/>
    <w:rsid w:val="001378EE"/>
    <w:rsid w:val="00140C33"/>
    <w:rsid w:val="00140C37"/>
    <w:rsid w:val="00140CE0"/>
    <w:rsid w:val="00140F45"/>
    <w:rsid w:val="00141315"/>
    <w:rsid w:val="00141C79"/>
    <w:rsid w:val="00141D0C"/>
    <w:rsid w:val="00141EB4"/>
    <w:rsid w:val="00142113"/>
    <w:rsid w:val="00142E9E"/>
    <w:rsid w:val="00143239"/>
    <w:rsid w:val="00143DC1"/>
    <w:rsid w:val="0014495C"/>
    <w:rsid w:val="001449D7"/>
    <w:rsid w:val="00144B4C"/>
    <w:rsid w:val="00144F9D"/>
    <w:rsid w:val="0014508A"/>
    <w:rsid w:val="001456AC"/>
    <w:rsid w:val="00146329"/>
    <w:rsid w:val="00146CE3"/>
    <w:rsid w:val="00146E50"/>
    <w:rsid w:val="00147A1D"/>
    <w:rsid w:val="00147BC8"/>
    <w:rsid w:val="00147D7E"/>
    <w:rsid w:val="00150820"/>
    <w:rsid w:val="001509D5"/>
    <w:rsid w:val="00150A47"/>
    <w:rsid w:val="00150C1A"/>
    <w:rsid w:val="00151677"/>
    <w:rsid w:val="00151A88"/>
    <w:rsid w:val="00151B6A"/>
    <w:rsid w:val="00151FE7"/>
    <w:rsid w:val="00152425"/>
    <w:rsid w:val="00152AA3"/>
    <w:rsid w:val="00152CB0"/>
    <w:rsid w:val="00152D0E"/>
    <w:rsid w:val="00153296"/>
    <w:rsid w:val="00153B0F"/>
    <w:rsid w:val="00153C37"/>
    <w:rsid w:val="00154866"/>
    <w:rsid w:val="00155127"/>
    <w:rsid w:val="001554C7"/>
    <w:rsid w:val="00155BB6"/>
    <w:rsid w:val="00155D9D"/>
    <w:rsid w:val="001560D2"/>
    <w:rsid w:val="0015668B"/>
    <w:rsid w:val="001573A5"/>
    <w:rsid w:val="0015774A"/>
    <w:rsid w:val="001603B5"/>
    <w:rsid w:val="001605C3"/>
    <w:rsid w:val="001609EA"/>
    <w:rsid w:val="00160F42"/>
    <w:rsid w:val="0016116F"/>
    <w:rsid w:val="0016131E"/>
    <w:rsid w:val="0016149A"/>
    <w:rsid w:val="001619CC"/>
    <w:rsid w:val="00161B5A"/>
    <w:rsid w:val="00161FFA"/>
    <w:rsid w:val="00162E68"/>
    <w:rsid w:val="001636E1"/>
    <w:rsid w:val="001640C6"/>
    <w:rsid w:val="00164333"/>
    <w:rsid w:val="00165261"/>
    <w:rsid w:val="001653D1"/>
    <w:rsid w:val="0016629E"/>
    <w:rsid w:val="00166776"/>
    <w:rsid w:val="00166881"/>
    <w:rsid w:val="00167100"/>
    <w:rsid w:val="0016713A"/>
    <w:rsid w:val="00167644"/>
    <w:rsid w:val="00170177"/>
    <w:rsid w:val="001704DF"/>
    <w:rsid w:val="00170A56"/>
    <w:rsid w:val="00170F97"/>
    <w:rsid w:val="0017109E"/>
    <w:rsid w:val="00171325"/>
    <w:rsid w:val="00171E2C"/>
    <w:rsid w:val="001721F1"/>
    <w:rsid w:val="0017275E"/>
    <w:rsid w:val="001727C0"/>
    <w:rsid w:val="00173408"/>
    <w:rsid w:val="00173518"/>
    <w:rsid w:val="0017410B"/>
    <w:rsid w:val="00174231"/>
    <w:rsid w:val="00174326"/>
    <w:rsid w:val="001749D6"/>
    <w:rsid w:val="00175072"/>
    <w:rsid w:val="001765CC"/>
    <w:rsid w:val="001772AF"/>
    <w:rsid w:val="00177BDE"/>
    <w:rsid w:val="00177C18"/>
    <w:rsid w:val="001800BC"/>
    <w:rsid w:val="00180472"/>
    <w:rsid w:val="001806C8"/>
    <w:rsid w:val="00180A3E"/>
    <w:rsid w:val="001813C2"/>
    <w:rsid w:val="00181684"/>
    <w:rsid w:val="001817B8"/>
    <w:rsid w:val="001827CD"/>
    <w:rsid w:val="001836BB"/>
    <w:rsid w:val="00183971"/>
    <w:rsid w:val="001839FA"/>
    <w:rsid w:val="00183B12"/>
    <w:rsid w:val="00185341"/>
    <w:rsid w:val="0018540A"/>
    <w:rsid w:val="001856A9"/>
    <w:rsid w:val="001857FC"/>
    <w:rsid w:val="00185A20"/>
    <w:rsid w:val="00185C51"/>
    <w:rsid w:val="00185CD0"/>
    <w:rsid w:val="00186735"/>
    <w:rsid w:val="00186A61"/>
    <w:rsid w:val="0018726D"/>
    <w:rsid w:val="001876FF"/>
    <w:rsid w:val="00187E86"/>
    <w:rsid w:val="00187E9B"/>
    <w:rsid w:val="00190919"/>
    <w:rsid w:val="00192538"/>
    <w:rsid w:val="00192C64"/>
    <w:rsid w:val="00192CFC"/>
    <w:rsid w:val="001944CA"/>
    <w:rsid w:val="0019476C"/>
    <w:rsid w:val="00195030"/>
    <w:rsid w:val="0019508D"/>
    <w:rsid w:val="00195429"/>
    <w:rsid w:val="00195536"/>
    <w:rsid w:val="0019558C"/>
    <w:rsid w:val="0019580E"/>
    <w:rsid w:val="00195942"/>
    <w:rsid w:val="00195CFB"/>
    <w:rsid w:val="00195DF8"/>
    <w:rsid w:val="00196070"/>
    <w:rsid w:val="001966F0"/>
    <w:rsid w:val="001A0ED0"/>
    <w:rsid w:val="001A0FFD"/>
    <w:rsid w:val="001A12C3"/>
    <w:rsid w:val="001A18FF"/>
    <w:rsid w:val="001A22E1"/>
    <w:rsid w:val="001A2D2B"/>
    <w:rsid w:val="001A2DA4"/>
    <w:rsid w:val="001A307A"/>
    <w:rsid w:val="001A329E"/>
    <w:rsid w:val="001A3326"/>
    <w:rsid w:val="001A35EB"/>
    <w:rsid w:val="001A416E"/>
    <w:rsid w:val="001A45CC"/>
    <w:rsid w:val="001A5EAE"/>
    <w:rsid w:val="001A5FA8"/>
    <w:rsid w:val="001A6577"/>
    <w:rsid w:val="001A6622"/>
    <w:rsid w:val="001A79CD"/>
    <w:rsid w:val="001B049D"/>
    <w:rsid w:val="001B0DB2"/>
    <w:rsid w:val="001B13FD"/>
    <w:rsid w:val="001B15EC"/>
    <w:rsid w:val="001B1986"/>
    <w:rsid w:val="001B1A82"/>
    <w:rsid w:val="001B200A"/>
    <w:rsid w:val="001B25F6"/>
    <w:rsid w:val="001B2B20"/>
    <w:rsid w:val="001B3267"/>
    <w:rsid w:val="001B3B0F"/>
    <w:rsid w:val="001B536C"/>
    <w:rsid w:val="001B541C"/>
    <w:rsid w:val="001B5FC3"/>
    <w:rsid w:val="001B662F"/>
    <w:rsid w:val="001B6C14"/>
    <w:rsid w:val="001C028C"/>
    <w:rsid w:val="001C0BB3"/>
    <w:rsid w:val="001C0BF1"/>
    <w:rsid w:val="001C11FB"/>
    <w:rsid w:val="001C18AE"/>
    <w:rsid w:val="001C261E"/>
    <w:rsid w:val="001C2704"/>
    <w:rsid w:val="001C288A"/>
    <w:rsid w:val="001C2BAA"/>
    <w:rsid w:val="001C2FAB"/>
    <w:rsid w:val="001C39E2"/>
    <w:rsid w:val="001C3B43"/>
    <w:rsid w:val="001C3D9A"/>
    <w:rsid w:val="001C3E06"/>
    <w:rsid w:val="001C42BA"/>
    <w:rsid w:val="001C445F"/>
    <w:rsid w:val="001C4921"/>
    <w:rsid w:val="001C4B04"/>
    <w:rsid w:val="001C4D66"/>
    <w:rsid w:val="001C50D3"/>
    <w:rsid w:val="001C59F0"/>
    <w:rsid w:val="001C6474"/>
    <w:rsid w:val="001C70DC"/>
    <w:rsid w:val="001D0BB9"/>
    <w:rsid w:val="001D1372"/>
    <w:rsid w:val="001D2363"/>
    <w:rsid w:val="001D297E"/>
    <w:rsid w:val="001D35D4"/>
    <w:rsid w:val="001D3900"/>
    <w:rsid w:val="001D3E17"/>
    <w:rsid w:val="001D4221"/>
    <w:rsid w:val="001D43CD"/>
    <w:rsid w:val="001D45FB"/>
    <w:rsid w:val="001D4D4D"/>
    <w:rsid w:val="001D4D55"/>
    <w:rsid w:val="001D5134"/>
    <w:rsid w:val="001D57F5"/>
    <w:rsid w:val="001D5B35"/>
    <w:rsid w:val="001D613A"/>
    <w:rsid w:val="001D6751"/>
    <w:rsid w:val="001D6A1C"/>
    <w:rsid w:val="001D6C4C"/>
    <w:rsid w:val="001D6E90"/>
    <w:rsid w:val="001D7CEA"/>
    <w:rsid w:val="001E0B91"/>
    <w:rsid w:val="001E163D"/>
    <w:rsid w:val="001E19BF"/>
    <w:rsid w:val="001E210B"/>
    <w:rsid w:val="001E23F3"/>
    <w:rsid w:val="001E298D"/>
    <w:rsid w:val="001E2D26"/>
    <w:rsid w:val="001E448F"/>
    <w:rsid w:val="001E451B"/>
    <w:rsid w:val="001E4855"/>
    <w:rsid w:val="001E4B91"/>
    <w:rsid w:val="001E599C"/>
    <w:rsid w:val="001E630B"/>
    <w:rsid w:val="001E6D66"/>
    <w:rsid w:val="001E6E5A"/>
    <w:rsid w:val="001E74E3"/>
    <w:rsid w:val="001E74E9"/>
    <w:rsid w:val="001E7818"/>
    <w:rsid w:val="001F0CA8"/>
    <w:rsid w:val="001F11E4"/>
    <w:rsid w:val="001F191D"/>
    <w:rsid w:val="001F1AE4"/>
    <w:rsid w:val="001F28BC"/>
    <w:rsid w:val="001F305B"/>
    <w:rsid w:val="001F3072"/>
    <w:rsid w:val="001F3AC3"/>
    <w:rsid w:val="001F3B01"/>
    <w:rsid w:val="001F3C17"/>
    <w:rsid w:val="001F3CE9"/>
    <w:rsid w:val="001F4317"/>
    <w:rsid w:val="001F455A"/>
    <w:rsid w:val="001F49A0"/>
    <w:rsid w:val="001F5AE6"/>
    <w:rsid w:val="001F6C9A"/>
    <w:rsid w:val="001F6DAD"/>
    <w:rsid w:val="001F7D0F"/>
    <w:rsid w:val="001F7F54"/>
    <w:rsid w:val="00200258"/>
    <w:rsid w:val="00200D34"/>
    <w:rsid w:val="002011A9"/>
    <w:rsid w:val="0020131C"/>
    <w:rsid w:val="0020263F"/>
    <w:rsid w:val="00202AD1"/>
    <w:rsid w:val="0020375E"/>
    <w:rsid w:val="00203B30"/>
    <w:rsid w:val="00203C99"/>
    <w:rsid w:val="00205CE2"/>
    <w:rsid w:val="0020645B"/>
    <w:rsid w:val="002069F8"/>
    <w:rsid w:val="00207714"/>
    <w:rsid w:val="00210826"/>
    <w:rsid w:val="002118B4"/>
    <w:rsid w:val="00211947"/>
    <w:rsid w:val="00211FDA"/>
    <w:rsid w:val="002124B9"/>
    <w:rsid w:val="00212540"/>
    <w:rsid w:val="0021287C"/>
    <w:rsid w:val="00212C45"/>
    <w:rsid w:val="00213655"/>
    <w:rsid w:val="00213FA5"/>
    <w:rsid w:val="002144D0"/>
    <w:rsid w:val="002155D3"/>
    <w:rsid w:val="00215A5C"/>
    <w:rsid w:val="00216A24"/>
    <w:rsid w:val="00216CDA"/>
    <w:rsid w:val="00216F12"/>
    <w:rsid w:val="00217BC8"/>
    <w:rsid w:val="00220330"/>
    <w:rsid w:val="00220F4A"/>
    <w:rsid w:val="0022118B"/>
    <w:rsid w:val="00221A92"/>
    <w:rsid w:val="00221CD8"/>
    <w:rsid w:val="00221E71"/>
    <w:rsid w:val="00221F23"/>
    <w:rsid w:val="002224C7"/>
    <w:rsid w:val="00222833"/>
    <w:rsid w:val="0022328F"/>
    <w:rsid w:val="00223720"/>
    <w:rsid w:val="002238F1"/>
    <w:rsid w:val="0022491C"/>
    <w:rsid w:val="00224CF9"/>
    <w:rsid w:val="002261FF"/>
    <w:rsid w:val="00226976"/>
    <w:rsid w:val="002305B8"/>
    <w:rsid w:val="00230E8B"/>
    <w:rsid w:val="00230FAB"/>
    <w:rsid w:val="002319F5"/>
    <w:rsid w:val="002327F2"/>
    <w:rsid w:val="00232987"/>
    <w:rsid w:val="002336FF"/>
    <w:rsid w:val="00233EDF"/>
    <w:rsid w:val="002347D7"/>
    <w:rsid w:val="00234B44"/>
    <w:rsid w:val="00234EB6"/>
    <w:rsid w:val="00235FB3"/>
    <w:rsid w:val="00236840"/>
    <w:rsid w:val="002370FC"/>
    <w:rsid w:val="0023726A"/>
    <w:rsid w:val="00237347"/>
    <w:rsid w:val="00237678"/>
    <w:rsid w:val="00237988"/>
    <w:rsid w:val="00240623"/>
    <w:rsid w:val="002406BF"/>
    <w:rsid w:val="0024075E"/>
    <w:rsid w:val="00240A5C"/>
    <w:rsid w:val="0024215B"/>
    <w:rsid w:val="00242737"/>
    <w:rsid w:val="002432F8"/>
    <w:rsid w:val="002438ED"/>
    <w:rsid w:val="00244417"/>
    <w:rsid w:val="00244BC7"/>
    <w:rsid w:val="00245656"/>
    <w:rsid w:val="0024570B"/>
    <w:rsid w:val="00245B4A"/>
    <w:rsid w:val="00245C67"/>
    <w:rsid w:val="00245F91"/>
    <w:rsid w:val="00246173"/>
    <w:rsid w:val="00246965"/>
    <w:rsid w:val="00246D8F"/>
    <w:rsid w:val="00247193"/>
    <w:rsid w:val="00247C0D"/>
    <w:rsid w:val="00247D14"/>
    <w:rsid w:val="00250DE7"/>
    <w:rsid w:val="00251193"/>
    <w:rsid w:val="002519D4"/>
    <w:rsid w:val="0025260C"/>
    <w:rsid w:val="00252E35"/>
    <w:rsid w:val="002535F7"/>
    <w:rsid w:val="002546F6"/>
    <w:rsid w:val="00254A94"/>
    <w:rsid w:val="002553F8"/>
    <w:rsid w:val="0025544B"/>
    <w:rsid w:val="00255B94"/>
    <w:rsid w:val="002561EC"/>
    <w:rsid w:val="00256C4D"/>
    <w:rsid w:val="0025717F"/>
    <w:rsid w:val="00257E63"/>
    <w:rsid w:val="00260562"/>
    <w:rsid w:val="002608EB"/>
    <w:rsid w:val="00260D14"/>
    <w:rsid w:val="0026174B"/>
    <w:rsid w:val="00261AD4"/>
    <w:rsid w:val="00261CE4"/>
    <w:rsid w:val="00261D49"/>
    <w:rsid w:val="00263B10"/>
    <w:rsid w:val="00263E00"/>
    <w:rsid w:val="00264677"/>
    <w:rsid w:val="002649E6"/>
    <w:rsid w:val="00265272"/>
    <w:rsid w:val="00265A32"/>
    <w:rsid w:val="002662C6"/>
    <w:rsid w:val="002667E9"/>
    <w:rsid w:val="00266CE0"/>
    <w:rsid w:val="00266D48"/>
    <w:rsid w:val="00266DBE"/>
    <w:rsid w:val="0026705B"/>
    <w:rsid w:val="002673E7"/>
    <w:rsid w:val="002675F7"/>
    <w:rsid w:val="00267B1F"/>
    <w:rsid w:val="00270E3A"/>
    <w:rsid w:val="0027115E"/>
    <w:rsid w:val="002714B4"/>
    <w:rsid w:val="002727FC"/>
    <w:rsid w:val="00272CEB"/>
    <w:rsid w:val="00273E29"/>
    <w:rsid w:val="00274329"/>
    <w:rsid w:val="00274663"/>
    <w:rsid w:val="00274AD4"/>
    <w:rsid w:val="002750C1"/>
    <w:rsid w:val="0027513A"/>
    <w:rsid w:val="002753AE"/>
    <w:rsid w:val="00275731"/>
    <w:rsid w:val="00275F33"/>
    <w:rsid w:val="002769A9"/>
    <w:rsid w:val="00277512"/>
    <w:rsid w:val="00277688"/>
    <w:rsid w:val="00277F29"/>
    <w:rsid w:val="00277F55"/>
    <w:rsid w:val="00280AA9"/>
    <w:rsid w:val="00281C93"/>
    <w:rsid w:val="00281D25"/>
    <w:rsid w:val="00282115"/>
    <w:rsid w:val="00282231"/>
    <w:rsid w:val="00283435"/>
    <w:rsid w:val="00284062"/>
    <w:rsid w:val="002847A8"/>
    <w:rsid w:val="002848D9"/>
    <w:rsid w:val="00284910"/>
    <w:rsid w:val="00284C56"/>
    <w:rsid w:val="00285887"/>
    <w:rsid w:val="00285E3D"/>
    <w:rsid w:val="00286984"/>
    <w:rsid w:val="00286EF1"/>
    <w:rsid w:val="002870E4"/>
    <w:rsid w:val="00287219"/>
    <w:rsid w:val="00287460"/>
    <w:rsid w:val="00287758"/>
    <w:rsid w:val="002878F9"/>
    <w:rsid w:val="002908FA"/>
    <w:rsid w:val="00290FFB"/>
    <w:rsid w:val="00291444"/>
    <w:rsid w:val="0029149E"/>
    <w:rsid w:val="002917A6"/>
    <w:rsid w:val="00291F42"/>
    <w:rsid w:val="002920F6"/>
    <w:rsid w:val="002927C4"/>
    <w:rsid w:val="0029280E"/>
    <w:rsid w:val="00292D12"/>
    <w:rsid w:val="0029339F"/>
    <w:rsid w:val="002933C4"/>
    <w:rsid w:val="002934F2"/>
    <w:rsid w:val="00293C07"/>
    <w:rsid w:val="00293E14"/>
    <w:rsid w:val="0029433D"/>
    <w:rsid w:val="002949CB"/>
    <w:rsid w:val="00294D75"/>
    <w:rsid w:val="002955DA"/>
    <w:rsid w:val="00295BB9"/>
    <w:rsid w:val="00295F19"/>
    <w:rsid w:val="0029636F"/>
    <w:rsid w:val="0029658C"/>
    <w:rsid w:val="00296992"/>
    <w:rsid w:val="00296DEA"/>
    <w:rsid w:val="0029716B"/>
    <w:rsid w:val="00297670"/>
    <w:rsid w:val="002979DD"/>
    <w:rsid w:val="00297AF2"/>
    <w:rsid w:val="002A0624"/>
    <w:rsid w:val="002A0751"/>
    <w:rsid w:val="002A0CF9"/>
    <w:rsid w:val="002A136C"/>
    <w:rsid w:val="002A20F0"/>
    <w:rsid w:val="002A23E7"/>
    <w:rsid w:val="002A2618"/>
    <w:rsid w:val="002A32C6"/>
    <w:rsid w:val="002A3BFF"/>
    <w:rsid w:val="002A403B"/>
    <w:rsid w:val="002A434A"/>
    <w:rsid w:val="002A4745"/>
    <w:rsid w:val="002A4899"/>
    <w:rsid w:val="002A4D5D"/>
    <w:rsid w:val="002A68BF"/>
    <w:rsid w:val="002A6FEB"/>
    <w:rsid w:val="002A7453"/>
    <w:rsid w:val="002A783C"/>
    <w:rsid w:val="002A7A63"/>
    <w:rsid w:val="002A7A66"/>
    <w:rsid w:val="002A7B70"/>
    <w:rsid w:val="002A7C27"/>
    <w:rsid w:val="002B007D"/>
    <w:rsid w:val="002B06F3"/>
    <w:rsid w:val="002B0B25"/>
    <w:rsid w:val="002B0E87"/>
    <w:rsid w:val="002B1A4A"/>
    <w:rsid w:val="002B1E2E"/>
    <w:rsid w:val="002B20DE"/>
    <w:rsid w:val="002B27DF"/>
    <w:rsid w:val="002B2895"/>
    <w:rsid w:val="002B2B26"/>
    <w:rsid w:val="002B2FF6"/>
    <w:rsid w:val="002B342E"/>
    <w:rsid w:val="002B3F4E"/>
    <w:rsid w:val="002B4416"/>
    <w:rsid w:val="002B5188"/>
    <w:rsid w:val="002B523C"/>
    <w:rsid w:val="002B543A"/>
    <w:rsid w:val="002B5497"/>
    <w:rsid w:val="002B54F5"/>
    <w:rsid w:val="002B5EA8"/>
    <w:rsid w:val="002B6246"/>
    <w:rsid w:val="002B6F8E"/>
    <w:rsid w:val="002B7AAD"/>
    <w:rsid w:val="002B7B37"/>
    <w:rsid w:val="002C1882"/>
    <w:rsid w:val="002C2252"/>
    <w:rsid w:val="002C2436"/>
    <w:rsid w:val="002C2747"/>
    <w:rsid w:val="002C2AA9"/>
    <w:rsid w:val="002C2FEF"/>
    <w:rsid w:val="002C3704"/>
    <w:rsid w:val="002C3D5A"/>
    <w:rsid w:val="002C41DF"/>
    <w:rsid w:val="002C475E"/>
    <w:rsid w:val="002C486E"/>
    <w:rsid w:val="002C4DAD"/>
    <w:rsid w:val="002C51AA"/>
    <w:rsid w:val="002C5628"/>
    <w:rsid w:val="002C5741"/>
    <w:rsid w:val="002C5957"/>
    <w:rsid w:val="002C59E5"/>
    <w:rsid w:val="002C5CFC"/>
    <w:rsid w:val="002C6218"/>
    <w:rsid w:val="002C7041"/>
    <w:rsid w:val="002C7211"/>
    <w:rsid w:val="002C7EB2"/>
    <w:rsid w:val="002D160A"/>
    <w:rsid w:val="002D1996"/>
    <w:rsid w:val="002D2425"/>
    <w:rsid w:val="002D3342"/>
    <w:rsid w:val="002D3865"/>
    <w:rsid w:val="002D3E16"/>
    <w:rsid w:val="002D5C24"/>
    <w:rsid w:val="002D5F04"/>
    <w:rsid w:val="002D61D9"/>
    <w:rsid w:val="002D62BB"/>
    <w:rsid w:val="002D698C"/>
    <w:rsid w:val="002D6E9F"/>
    <w:rsid w:val="002D7144"/>
    <w:rsid w:val="002E0208"/>
    <w:rsid w:val="002E0315"/>
    <w:rsid w:val="002E0443"/>
    <w:rsid w:val="002E0DC7"/>
    <w:rsid w:val="002E0FCF"/>
    <w:rsid w:val="002E16B3"/>
    <w:rsid w:val="002E1D70"/>
    <w:rsid w:val="002E1DB5"/>
    <w:rsid w:val="002E1E9B"/>
    <w:rsid w:val="002E277A"/>
    <w:rsid w:val="002E2AE6"/>
    <w:rsid w:val="002E39AF"/>
    <w:rsid w:val="002E3BBF"/>
    <w:rsid w:val="002E5515"/>
    <w:rsid w:val="002E7516"/>
    <w:rsid w:val="002E7603"/>
    <w:rsid w:val="002F0150"/>
    <w:rsid w:val="002F01A9"/>
    <w:rsid w:val="002F02AB"/>
    <w:rsid w:val="002F034D"/>
    <w:rsid w:val="002F0735"/>
    <w:rsid w:val="002F0863"/>
    <w:rsid w:val="002F1793"/>
    <w:rsid w:val="002F2BDC"/>
    <w:rsid w:val="002F2D56"/>
    <w:rsid w:val="002F2FB7"/>
    <w:rsid w:val="002F35C6"/>
    <w:rsid w:val="002F3FE2"/>
    <w:rsid w:val="002F40C3"/>
    <w:rsid w:val="002F437B"/>
    <w:rsid w:val="002F4509"/>
    <w:rsid w:val="002F522F"/>
    <w:rsid w:val="002F5280"/>
    <w:rsid w:val="002F53F3"/>
    <w:rsid w:val="002F5441"/>
    <w:rsid w:val="002F5E12"/>
    <w:rsid w:val="002F67D8"/>
    <w:rsid w:val="002F6D74"/>
    <w:rsid w:val="002F70BA"/>
    <w:rsid w:val="0030020B"/>
    <w:rsid w:val="003006AF"/>
    <w:rsid w:val="003010A8"/>
    <w:rsid w:val="00301B74"/>
    <w:rsid w:val="00302EDC"/>
    <w:rsid w:val="003031CA"/>
    <w:rsid w:val="00303B0B"/>
    <w:rsid w:val="0030405D"/>
    <w:rsid w:val="003040B2"/>
    <w:rsid w:val="0030411B"/>
    <w:rsid w:val="00304214"/>
    <w:rsid w:val="00304450"/>
    <w:rsid w:val="00305365"/>
    <w:rsid w:val="003059E4"/>
    <w:rsid w:val="00305A90"/>
    <w:rsid w:val="00305E34"/>
    <w:rsid w:val="00305F4E"/>
    <w:rsid w:val="0030639D"/>
    <w:rsid w:val="00306A8E"/>
    <w:rsid w:val="0030757A"/>
    <w:rsid w:val="00307CC5"/>
    <w:rsid w:val="003103B3"/>
    <w:rsid w:val="00310735"/>
    <w:rsid w:val="00310833"/>
    <w:rsid w:val="00310BD5"/>
    <w:rsid w:val="00311DDC"/>
    <w:rsid w:val="00311FBF"/>
    <w:rsid w:val="003124C3"/>
    <w:rsid w:val="00312781"/>
    <w:rsid w:val="00312B3D"/>
    <w:rsid w:val="00312EFC"/>
    <w:rsid w:val="003130CC"/>
    <w:rsid w:val="0031317B"/>
    <w:rsid w:val="00313E53"/>
    <w:rsid w:val="00314606"/>
    <w:rsid w:val="003147A7"/>
    <w:rsid w:val="00314A65"/>
    <w:rsid w:val="00314BCD"/>
    <w:rsid w:val="0031572A"/>
    <w:rsid w:val="00315FBD"/>
    <w:rsid w:val="0031659D"/>
    <w:rsid w:val="003169B7"/>
    <w:rsid w:val="003178F1"/>
    <w:rsid w:val="003179A2"/>
    <w:rsid w:val="00317A2E"/>
    <w:rsid w:val="00317C53"/>
    <w:rsid w:val="003203BD"/>
    <w:rsid w:val="00320A1C"/>
    <w:rsid w:val="00321FE6"/>
    <w:rsid w:val="0032239A"/>
    <w:rsid w:val="003227CB"/>
    <w:rsid w:val="00322A65"/>
    <w:rsid w:val="00322E49"/>
    <w:rsid w:val="0032365E"/>
    <w:rsid w:val="00323F2E"/>
    <w:rsid w:val="0032404F"/>
    <w:rsid w:val="00324080"/>
    <w:rsid w:val="00324175"/>
    <w:rsid w:val="0032532E"/>
    <w:rsid w:val="00325ED4"/>
    <w:rsid w:val="00325F6A"/>
    <w:rsid w:val="00326263"/>
    <w:rsid w:val="003265A6"/>
    <w:rsid w:val="00326DDA"/>
    <w:rsid w:val="00326ED4"/>
    <w:rsid w:val="0032741A"/>
    <w:rsid w:val="00327889"/>
    <w:rsid w:val="003307F4"/>
    <w:rsid w:val="003315BA"/>
    <w:rsid w:val="0033268D"/>
    <w:rsid w:val="00332B76"/>
    <w:rsid w:val="00332EAC"/>
    <w:rsid w:val="003334D1"/>
    <w:rsid w:val="00333E8E"/>
    <w:rsid w:val="003341EF"/>
    <w:rsid w:val="003346DF"/>
    <w:rsid w:val="003347FC"/>
    <w:rsid w:val="00334CF0"/>
    <w:rsid w:val="00334F1A"/>
    <w:rsid w:val="0033559F"/>
    <w:rsid w:val="00335766"/>
    <w:rsid w:val="003367AD"/>
    <w:rsid w:val="003367FD"/>
    <w:rsid w:val="00336DE7"/>
    <w:rsid w:val="003372F6"/>
    <w:rsid w:val="003401C4"/>
    <w:rsid w:val="0034171B"/>
    <w:rsid w:val="00341F9F"/>
    <w:rsid w:val="00342395"/>
    <w:rsid w:val="00342410"/>
    <w:rsid w:val="00342E70"/>
    <w:rsid w:val="003434BF"/>
    <w:rsid w:val="00343625"/>
    <w:rsid w:val="00343B6D"/>
    <w:rsid w:val="00343F01"/>
    <w:rsid w:val="00343F85"/>
    <w:rsid w:val="0034434E"/>
    <w:rsid w:val="0034487C"/>
    <w:rsid w:val="00344C6B"/>
    <w:rsid w:val="00344E51"/>
    <w:rsid w:val="00344EB1"/>
    <w:rsid w:val="00345163"/>
    <w:rsid w:val="00345A60"/>
    <w:rsid w:val="00345AE7"/>
    <w:rsid w:val="00346D8C"/>
    <w:rsid w:val="003473C4"/>
    <w:rsid w:val="003503B7"/>
    <w:rsid w:val="003507E2"/>
    <w:rsid w:val="00350E8D"/>
    <w:rsid w:val="00350F1C"/>
    <w:rsid w:val="00351151"/>
    <w:rsid w:val="00351524"/>
    <w:rsid w:val="00351CA5"/>
    <w:rsid w:val="003520A9"/>
    <w:rsid w:val="0035225C"/>
    <w:rsid w:val="003524AB"/>
    <w:rsid w:val="003529BC"/>
    <w:rsid w:val="00352C6F"/>
    <w:rsid w:val="0035364F"/>
    <w:rsid w:val="00354AD2"/>
    <w:rsid w:val="003557D0"/>
    <w:rsid w:val="00355E58"/>
    <w:rsid w:val="003562A6"/>
    <w:rsid w:val="003562BE"/>
    <w:rsid w:val="00356EE1"/>
    <w:rsid w:val="00357531"/>
    <w:rsid w:val="0035755F"/>
    <w:rsid w:val="00357B8A"/>
    <w:rsid w:val="00357CFE"/>
    <w:rsid w:val="00357D7F"/>
    <w:rsid w:val="00360792"/>
    <w:rsid w:val="003609E1"/>
    <w:rsid w:val="00360D28"/>
    <w:rsid w:val="00360DFF"/>
    <w:rsid w:val="00361352"/>
    <w:rsid w:val="003617E5"/>
    <w:rsid w:val="00361AA1"/>
    <w:rsid w:val="00361FCF"/>
    <w:rsid w:val="003627B0"/>
    <w:rsid w:val="003628DA"/>
    <w:rsid w:val="00363C06"/>
    <w:rsid w:val="003643F2"/>
    <w:rsid w:val="0036482C"/>
    <w:rsid w:val="0036487B"/>
    <w:rsid w:val="00364D1D"/>
    <w:rsid w:val="00364F8E"/>
    <w:rsid w:val="00365EB5"/>
    <w:rsid w:val="003660FF"/>
    <w:rsid w:val="00366269"/>
    <w:rsid w:val="00366BE5"/>
    <w:rsid w:val="00366D05"/>
    <w:rsid w:val="003677DB"/>
    <w:rsid w:val="003708A5"/>
    <w:rsid w:val="00370ACE"/>
    <w:rsid w:val="0037150D"/>
    <w:rsid w:val="00371D60"/>
    <w:rsid w:val="00372519"/>
    <w:rsid w:val="00373224"/>
    <w:rsid w:val="00373445"/>
    <w:rsid w:val="00374505"/>
    <w:rsid w:val="003748F7"/>
    <w:rsid w:val="00374E07"/>
    <w:rsid w:val="0037583E"/>
    <w:rsid w:val="00375C83"/>
    <w:rsid w:val="00375E8A"/>
    <w:rsid w:val="003762F9"/>
    <w:rsid w:val="00376740"/>
    <w:rsid w:val="00376B6A"/>
    <w:rsid w:val="00376CB4"/>
    <w:rsid w:val="00376F5A"/>
    <w:rsid w:val="00377BB7"/>
    <w:rsid w:val="0038005A"/>
    <w:rsid w:val="0038083F"/>
    <w:rsid w:val="003816B5"/>
    <w:rsid w:val="00381A89"/>
    <w:rsid w:val="00381E2D"/>
    <w:rsid w:val="00382C99"/>
    <w:rsid w:val="003830A4"/>
    <w:rsid w:val="003858A1"/>
    <w:rsid w:val="00385A9D"/>
    <w:rsid w:val="00387195"/>
    <w:rsid w:val="00390244"/>
    <w:rsid w:val="003903EB"/>
    <w:rsid w:val="00390946"/>
    <w:rsid w:val="00390AF8"/>
    <w:rsid w:val="00390D9D"/>
    <w:rsid w:val="00390DE7"/>
    <w:rsid w:val="00390F6B"/>
    <w:rsid w:val="0039123F"/>
    <w:rsid w:val="00392BD6"/>
    <w:rsid w:val="00393140"/>
    <w:rsid w:val="003936C6"/>
    <w:rsid w:val="003938E1"/>
    <w:rsid w:val="00393968"/>
    <w:rsid w:val="0039428F"/>
    <w:rsid w:val="00395E97"/>
    <w:rsid w:val="003963FD"/>
    <w:rsid w:val="00396992"/>
    <w:rsid w:val="0039705D"/>
    <w:rsid w:val="0039742B"/>
    <w:rsid w:val="00397E59"/>
    <w:rsid w:val="003A0A57"/>
    <w:rsid w:val="003A0DDC"/>
    <w:rsid w:val="003A18C3"/>
    <w:rsid w:val="003A19C5"/>
    <w:rsid w:val="003A32D2"/>
    <w:rsid w:val="003A36A9"/>
    <w:rsid w:val="003A44FD"/>
    <w:rsid w:val="003A5114"/>
    <w:rsid w:val="003A6125"/>
    <w:rsid w:val="003A625D"/>
    <w:rsid w:val="003A6AD1"/>
    <w:rsid w:val="003A7BD6"/>
    <w:rsid w:val="003B030F"/>
    <w:rsid w:val="003B1B6A"/>
    <w:rsid w:val="003B25F5"/>
    <w:rsid w:val="003B28AB"/>
    <w:rsid w:val="003B2DB3"/>
    <w:rsid w:val="003B3263"/>
    <w:rsid w:val="003B393E"/>
    <w:rsid w:val="003B3C8E"/>
    <w:rsid w:val="003B5D33"/>
    <w:rsid w:val="003B5E70"/>
    <w:rsid w:val="003B5F2D"/>
    <w:rsid w:val="003B6358"/>
    <w:rsid w:val="003B65D9"/>
    <w:rsid w:val="003B6A13"/>
    <w:rsid w:val="003B6FD8"/>
    <w:rsid w:val="003B7A92"/>
    <w:rsid w:val="003C0634"/>
    <w:rsid w:val="003C0E36"/>
    <w:rsid w:val="003C1085"/>
    <w:rsid w:val="003C1240"/>
    <w:rsid w:val="003C14AE"/>
    <w:rsid w:val="003C18B2"/>
    <w:rsid w:val="003C1C4C"/>
    <w:rsid w:val="003C2433"/>
    <w:rsid w:val="003C2B0C"/>
    <w:rsid w:val="003C2FDD"/>
    <w:rsid w:val="003C3035"/>
    <w:rsid w:val="003C3393"/>
    <w:rsid w:val="003C3849"/>
    <w:rsid w:val="003C3911"/>
    <w:rsid w:val="003C3AAB"/>
    <w:rsid w:val="003C4389"/>
    <w:rsid w:val="003C4ABE"/>
    <w:rsid w:val="003C5573"/>
    <w:rsid w:val="003C61A9"/>
    <w:rsid w:val="003C65D8"/>
    <w:rsid w:val="003C661D"/>
    <w:rsid w:val="003C6B29"/>
    <w:rsid w:val="003C7135"/>
    <w:rsid w:val="003C7FB1"/>
    <w:rsid w:val="003D001E"/>
    <w:rsid w:val="003D02E1"/>
    <w:rsid w:val="003D0692"/>
    <w:rsid w:val="003D0C5E"/>
    <w:rsid w:val="003D1434"/>
    <w:rsid w:val="003D1C75"/>
    <w:rsid w:val="003D1DFC"/>
    <w:rsid w:val="003D2116"/>
    <w:rsid w:val="003D2C1E"/>
    <w:rsid w:val="003D33F5"/>
    <w:rsid w:val="003D3D4C"/>
    <w:rsid w:val="003D3E9F"/>
    <w:rsid w:val="003D45B3"/>
    <w:rsid w:val="003D47CC"/>
    <w:rsid w:val="003D5943"/>
    <w:rsid w:val="003D72EF"/>
    <w:rsid w:val="003D7FF1"/>
    <w:rsid w:val="003E01B8"/>
    <w:rsid w:val="003E0408"/>
    <w:rsid w:val="003E0809"/>
    <w:rsid w:val="003E1BA2"/>
    <w:rsid w:val="003E1E73"/>
    <w:rsid w:val="003E1FD3"/>
    <w:rsid w:val="003E2392"/>
    <w:rsid w:val="003E2B6D"/>
    <w:rsid w:val="003E2EB6"/>
    <w:rsid w:val="003E343E"/>
    <w:rsid w:val="003E3EBA"/>
    <w:rsid w:val="003E3FFC"/>
    <w:rsid w:val="003E5A5A"/>
    <w:rsid w:val="003E5D6F"/>
    <w:rsid w:val="003E5F88"/>
    <w:rsid w:val="003E63EB"/>
    <w:rsid w:val="003E64C3"/>
    <w:rsid w:val="003E7800"/>
    <w:rsid w:val="003E79D2"/>
    <w:rsid w:val="003F00E6"/>
    <w:rsid w:val="003F02E1"/>
    <w:rsid w:val="003F04DF"/>
    <w:rsid w:val="003F0C03"/>
    <w:rsid w:val="003F1370"/>
    <w:rsid w:val="003F1684"/>
    <w:rsid w:val="003F3137"/>
    <w:rsid w:val="003F39B3"/>
    <w:rsid w:val="003F416F"/>
    <w:rsid w:val="003F4439"/>
    <w:rsid w:val="003F5ADC"/>
    <w:rsid w:val="003F646E"/>
    <w:rsid w:val="003F66C3"/>
    <w:rsid w:val="003F679B"/>
    <w:rsid w:val="003F6981"/>
    <w:rsid w:val="003F69AE"/>
    <w:rsid w:val="003F6E3F"/>
    <w:rsid w:val="003F7878"/>
    <w:rsid w:val="004000E2"/>
    <w:rsid w:val="004005C0"/>
    <w:rsid w:val="004006BA"/>
    <w:rsid w:val="004007D5"/>
    <w:rsid w:val="004016D1"/>
    <w:rsid w:val="00402C93"/>
    <w:rsid w:val="00402E9F"/>
    <w:rsid w:val="0040307C"/>
    <w:rsid w:val="00403094"/>
    <w:rsid w:val="004037E2"/>
    <w:rsid w:val="00403BBF"/>
    <w:rsid w:val="00403BF2"/>
    <w:rsid w:val="0040412F"/>
    <w:rsid w:val="00404DEC"/>
    <w:rsid w:val="0040585B"/>
    <w:rsid w:val="00405BEE"/>
    <w:rsid w:val="00405CB2"/>
    <w:rsid w:val="004061AE"/>
    <w:rsid w:val="00406775"/>
    <w:rsid w:val="004068A3"/>
    <w:rsid w:val="00406CAD"/>
    <w:rsid w:val="00407445"/>
    <w:rsid w:val="004074C5"/>
    <w:rsid w:val="00407948"/>
    <w:rsid w:val="00407C20"/>
    <w:rsid w:val="00407C6A"/>
    <w:rsid w:val="00407D19"/>
    <w:rsid w:val="00407F20"/>
    <w:rsid w:val="00410F89"/>
    <w:rsid w:val="00411295"/>
    <w:rsid w:val="00411410"/>
    <w:rsid w:val="0041169A"/>
    <w:rsid w:val="00412514"/>
    <w:rsid w:val="00413521"/>
    <w:rsid w:val="00413681"/>
    <w:rsid w:val="00413D38"/>
    <w:rsid w:val="0041422C"/>
    <w:rsid w:val="0041448D"/>
    <w:rsid w:val="00414C13"/>
    <w:rsid w:val="004157AC"/>
    <w:rsid w:val="00415BF2"/>
    <w:rsid w:val="0041727E"/>
    <w:rsid w:val="0041734D"/>
    <w:rsid w:val="0041746A"/>
    <w:rsid w:val="004200FD"/>
    <w:rsid w:val="004202CB"/>
    <w:rsid w:val="00420762"/>
    <w:rsid w:val="00420D74"/>
    <w:rsid w:val="00421243"/>
    <w:rsid w:val="00422524"/>
    <w:rsid w:val="00422C36"/>
    <w:rsid w:val="0042309C"/>
    <w:rsid w:val="004230FB"/>
    <w:rsid w:val="0042357C"/>
    <w:rsid w:val="0042393C"/>
    <w:rsid w:val="00423A0A"/>
    <w:rsid w:val="00423DB8"/>
    <w:rsid w:val="00424277"/>
    <w:rsid w:val="004242F4"/>
    <w:rsid w:val="0042442F"/>
    <w:rsid w:val="004246A5"/>
    <w:rsid w:val="0042484E"/>
    <w:rsid w:val="00424863"/>
    <w:rsid w:val="00424B0C"/>
    <w:rsid w:val="00424CC7"/>
    <w:rsid w:val="00424DA6"/>
    <w:rsid w:val="00424E46"/>
    <w:rsid w:val="00425391"/>
    <w:rsid w:val="00425970"/>
    <w:rsid w:val="0042603C"/>
    <w:rsid w:val="00426F04"/>
    <w:rsid w:val="004279E2"/>
    <w:rsid w:val="00427B2A"/>
    <w:rsid w:val="0043054C"/>
    <w:rsid w:val="0043105C"/>
    <w:rsid w:val="004315F8"/>
    <w:rsid w:val="00431B84"/>
    <w:rsid w:val="00431E5F"/>
    <w:rsid w:val="0043203D"/>
    <w:rsid w:val="00432B43"/>
    <w:rsid w:val="00432C2C"/>
    <w:rsid w:val="00432E5F"/>
    <w:rsid w:val="004334CF"/>
    <w:rsid w:val="004337A9"/>
    <w:rsid w:val="00434025"/>
    <w:rsid w:val="0043427C"/>
    <w:rsid w:val="004350AF"/>
    <w:rsid w:val="00435242"/>
    <w:rsid w:val="00435B1D"/>
    <w:rsid w:val="004361EC"/>
    <w:rsid w:val="00436E33"/>
    <w:rsid w:val="00437729"/>
    <w:rsid w:val="00437CB3"/>
    <w:rsid w:val="004406F1"/>
    <w:rsid w:val="00441B31"/>
    <w:rsid w:val="00442177"/>
    <w:rsid w:val="00442323"/>
    <w:rsid w:val="004437E1"/>
    <w:rsid w:val="0044415E"/>
    <w:rsid w:val="00444193"/>
    <w:rsid w:val="004448EE"/>
    <w:rsid w:val="0044522A"/>
    <w:rsid w:val="00445952"/>
    <w:rsid w:val="00445C0F"/>
    <w:rsid w:val="004466C0"/>
    <w:rsid w:val="00446737"/>
    <w:rsid w:val="00446E7D"/>
    <w:rsid w:val="00446EBE"/>
    <w:rsid w:val="00447420"/>
    <w:rsid w:val="00447B99"/>
    <w:rsid w:val="00447EF7"/>
    <w:rsid w:val="00447F23"/>
    <w:rsid w:val="00451F78"/>
    <w:rsid w:val="00452885"/>
    <w:rsid w:val="00452D9A"/>
    <w:rsid w:val="0045315A"/>
    <w:rsid w:val="0045325A"/>
    <w:rsid w:val="00453405"/>
    <w:rsid w:val="00453407"/>
    <w:rsid w:val="00453BB1"/>
    <w:rsid w:val="00453DD4"/>
    <w:rsid w:val="00453E67"/>
    <w:rsid w:val="00453F02"/>
    <w:rsid w:val="00454146"/>
    <w:rsid w:val="004548AE"/>
    <w:rsid w:val="00454ED6"/>
    <w:rsid w:val="0045506E"/>
    <w:rsid w:val="004550DD"/>
    <w:rsid w:val="004559E5"/>
    <w:rsid w:val="00455BBD"/>
    <w:rsid w:val="004562BF"/>
    <w:rsid w:val="00456493"/>
    <w:rsid w:val="004564AD"/>
    <w:rsid w:val="004565B8"/>
    <w:rsid w:val="004566B5"/>
    <w:rsid w:val="00457ADE"/>
    <w:rsid w:val="00457DA5"/>
    <w:rsid w:val="004604C3"/>
    <w:rsid w:val="00460A70"/>
    <w:rsid w:val="00460B33"/>
    <w:rsid w:val="00460C23"/>
    <w:rsid w:val="0046158F"/>
    <w:rsid w:val="004616C0"/>
    <w:rsid w:val="00461DF4"/>
    <w:rsid w:val="0046217A"/>
    <w:rsid w:val="00462319"/>
    <w:rsid w:val="00462D51"/>
    <w:rsid w:val="004642CA"/>
    <w:rsid w:val="00464543"/>
    <w:rsid w:val="00464D0F"/>
    <w:rsid w:val="004655EB"/>
    <w:rsid w:val="004656AE"/>
    <w:rsid w:val="00465BB0"/>
    <w:rsid w:val="00465CF1"/>
    <w:rsid w:val="00465E14"/>
    <w:rsid w:val="00466787"/>
    <w:rsid w:val="00466911"/>
    <w:rsid w:val="00466CA5"/>
    <w:rsid w:val="00470B25"/>
    <w:rsid w:val="00470F01"/>
    <w:rsid w:val="00471EE3"/>
    <w:rsid w:val="0047224E"/>
    <w:rsid w:val="004737F0"/>
    <w:rsid w:val="00473F0D"/>
    <w:rsid w:val="00474363"/>
    <w:rsid w:val="0047450B"/>
    <w:rsid w:val="00474ED9"/>
    <w:rsid w:val="0047643C"/>
    <w:rsid w:val="004770A3"/>
    <w:rsid w:val="00477F27"/>
    <w:rsid w:val="0048041B"/>
    <w:rsid w:val="00480983"/>
    <w:rsid w:val="00480FC2"/>
    <w:rsid w:val="004819D8"/>
    <w:rsid w:val="00482057"/>
    <w:rsid w:val="00482B84"/>
    <w:rsid w:val="00482C65"/>
    <w:rsid w:val="004830BF"/>
    <w:rsid w:val="0048334F"/>
    <w:rsid w:val="0048369B"/>
    <w:rsid w:val="0048380B"/>
    <w:rsid w:val="0048388A"/>
    <w:rsid w:val="00483BE3"/>
    <w:rsid w:val="004844FF"/>
    <w:rsid w:val="00484B1E"/>
    <w:rsid w:val="00484E85"/>
    <w:rsid w:val="004852B5"/>
    <w:rsid w:val="00485CED"/>
    <w:rsid w:val="00485EE6"/>
    <w:rsid w:val="00486488"/>
    <w:rsid w:val="0048656D"/>
    <w:rsid w:val="00486624"/>
    <w:rsid w:val="00486831"/>
    <w:rsid w:val="00486A5B"/>
    <w:rsid w:val="00487E38"/>
    <w:rsid w:val="0049026E"/>
    <w:rsid w:val="00490588"/>
    <w:rsid w:val="00491C51"/>
    <w:rsid w:val="00491E32"/>
    <w:rsid w:val="004921F2"/>
    <w:rsid w:val="00492802"/>
    <w:rsid w:val="004930AC"/>
    <w:rsid w:val="00493145"/>
    <w:rsid w:val="00493161"/>
    <w:rsid w:val="00493718"/>
    <w:rsid w:val="00494241"/>
    <w:rsid w:val="004942C4"/>
    <w:rsid w:val="0049456A"/>
    <w:rsid w:val="00494AA7"/>
    <w:rsid w:val="00494DB3"/>
    <w:rsid w:val="00495DD6"/>
    <w:rsid w:val="004966C3"/>
    <w:rsid w:val="00496B5C"/>
    <w:rsid w:val="00496EA8"/>
    <w:rsid w:val="00497785"/>
    <w:rsid w:val="00497882"/>
    <w:rsid w:val="00497A2D"/>
    <w:rsid w:val="004A1B49"/>
    <w:rsid w:val="004A1F9D"/>
    <w:rsid w:val="004A2261"/>
    <w:rsid w:val="004A242B"/>
    <w:rsid w:val="004A29A0"/>
    <w:rsid w:val="004A2E4D"/>
    <w:rsid w:val="004A361A"/>
    <w:rsid w:val="004A3668"/>
    <w:rsid w:val="004A3881"/>
    <w:rsid w:val="004A3D31"/>
    <w:rsid w:val="004A3DCC"/>
    <w:rsid w:val="004A401C"/>
    <w:rsid w:val="004A4166"/>
    <w:rsid w:val="004A5F48"/>
    <w:rsid w:val="004A617F"/>
    <w:rsid w:val="004A716D"/>
    <w:rsid w:val="004A7531"/>
    <w:rsid w:val="004A7884"/>
    <w:rsid w:val="004A7A27"/>
    <w:rsid w:val="004A7E1D"/>
    <w:rsid w:val="004B1585"/>
    <w:rsid w:val="004B177E"/>
    <w:rsid w:val="004B1EC7"/>
    <w:rsid w:val="004B2050"/>
    <w:rsid w:val="004B2170"/>
    <w:rsid w:val="004B2722"/>
    <w:rsid w:val="004B2F4D"/>
    <w:rsid w:val="004B3A9B"/>
    <w:rsid w:val="004B3F74"/>
    <w:rsid w:val="004B417D"/>
    <w:rsid w:val="004B41A6"/>
    <w:rsid w:val="004B41F0"/>
    <w:rsid w:val="004B44F6"/>
    <w:rsid w:val="004B456A"/>
    <w:rsid w:val="004B52F7"/>
    <w:rsid w:val="004B5400"/>
    <w:rsid w:val="004B607B"/>
    <w:rsid w:val="004B6294"/>
    <w:rsid w:val="004B651C"/>
    <w:rsid w:val="004B7525"/>
    <w:rsid w:val="004B7966"/>
    <w:rsid w:val="004B7D11"/>
    <w:rsid w:val="004C0638"/>
    <w:rsid w:val="004C0BD0"/>
    <w:rsid w:val="004C1D59"/>
    <w:rsid w:val="004C1FCA"/>
    <w:rsid w:val="004C36BD"/>
    <w:rsid w:val="004C3805"/>
    <w:rsid w:val="004C3AA1"/>
    <w:rsid w:val="004C3C6F"/>
    <w:rsid w:val="004C3DF9"/>
    <w:rsid w:val="004C4EBB"/>
    <w:rsid w:val="004C6124"/>
    <w:rsid w:val="004C6596"/>
    <w:rsid w:val="004C6A72"/>
    <w:rsid w:val="004C703B"/>
    <w:rsid w:val="004D0496"/>
    <w:rsid w:val="004D04E2"/>
    <w:rsid w:val="004D06C2"/>
    <w:rsid w:val="004D10FE"/>
    <w:rsid w:val="004D1C29"/>
    <w:rsid w:val="004D1E2F"/>
    <w:rsid w:val="004D2920"/>
    <w:rsid w:val="004D31E4"/>
    <w:rsid w:val="004D3AF7"/>
    <w:rsid w:val="004D4AFC"/>
    <w:rsid w:val="004D4CF8"/>
    <w:rsid w:val="004D60A9"/>
    <w:rsid w:val="004D6128"/>
    <w:rsid w:val="004D65E7"/>
    <w:rsid w:val="004D7621"/>
    <w:rsid w:val="004D7756"/>
    <w:rsid w:val="004E0DA8"/>
    <w:rsid w:val="004E12F7"/>
    <w:rsid w:val="004E1A0D"/>
    <w:rsid w:val="004E246D"/>
    <w:rsid w:val="004E2D7E"/>
    <w:rsid w:val="004E3779"/>
    <w:rsid w:val="004E37C4"/>
    <w:rsid w:val="004E3B88"/>
    <w:rsid w:val="004E48A4"/>
    <w:rsid w:val="004E63DB"/>
    <w:rsid w:val="004E6B1F"/>
    <w:rsid w:val="004E6DA5"/>
    <w:rsid w:val="004E6F8B"/>
    <w:rsid w:val="004E7138"/>
    <w:rsid w:val="004E7897"/>
    <w:rsid w:val="004E78B2"/>
    <w:rsid w:val="004E78B7"/>
    <w:rsid w:val="004E7F75"/>
    <w:rsid w:val="004F051F"/>
    <w:rsid w:val="004F0BD7"/>
    <w:rsid w:val="004F0D80"/>
    <w:rsid w:val="004F10E6"/>
    <w:rsid w:val="004F15EF"/>
    <w:rsid w:val="004F1742"/>
    <w:rsid w:val="004F268E"/>
    <w:rsid w:val="004F2E5E"/>
    <w:rsid w:val="004F3027"/>
    <w:rsid w:val="004F3056"/>
    <w:rsid w:val="004F31B3"/>
    <w:rsid w:val="004F3885"/>
    <w:rsid w:val="004F3A04"/>
    <w:rsid w:val="004F3A32"/>
    <w:rsid w:val="004F3B5E"/>
    <w:rsid w:val="004F3C39"/>
    <w:rsid w:val="004F3CD6"/>
    <w:rsid w:val="004F3D06"/>
    <w:rsid w:val="004F433E"/>
    <w:rsid w:val="004F47E4"/>
    <w:rsid w:val="004F4B8D"/>
    <w:rsid w:val="004F5F16"/>
    <w:rsid w:val="004F6161"/>
    <w:rsid w:val="004F61F5"/>
    <w:rsid w:val="004F6357"/>
    <w:rsid w:val="004F64F5"/>
    <w:rsid w:val="004F6683"/>
    <w:rsid w:val="004F6F0E"/>
    <w:rsid w:val="004F70C6"/>
    <w:rsid w:val="004F71FC"/>
    <w:rsid w:val="004F7F0A"/>
    <w:rsid w:val="005010F6"/>
    <w:rsid w:val="005013BF"/>
    <w:rsid w:val="005015AE"/>
    <w:rsid w:val="0050240B"/>
    <w:rsid w:val="0050306C"/>
    <w:rsid w:val="00503490"/>
    <w:rsid w:val="005038ED"/>
    <w:rsid w:val="00503915"/>
    <w:rsid w:val="00504BCB"/>
    <w:rsid w:val="00506705"/>
    <w:rsid w:val="00510468"/>
    <w:rsid w:val="00510EB2"/>
    <w:rsid w:val="0051102E"/>
    <w:rsid w:val="00511211"/>
    <w:rsid w:val="0051161D"/>
    <w:rsid w:val="005126D3"/>
    <w:rsid w:val="00512A85"/>
    <w:rsid w:val="00512AC5"/>
    <w:rsid w:val="00513083"/>
    <w:rsid w:val="00513506"/>
    <w:rsid w:val="0051378C"/>
    <w:rsid w:val="005140E0"/>
    <w:rsid w:val="005147FA"/>
    <w:rsid w:val="00514B20"/>
    <w:rsid w:val="0051516B"/>
    <w:rsid w:val="00515357"/>
    <w:rsid w:val="00515BA1"/>
    <w:rsid w:val="0051629F"/>
    <w:rsid w:val="00516730"/>
    <w:rsid w:val="005167DE"/>
    <w:rsid w:val="005172A7"/>
    <w:rsid w:val="0051735B"/>
    <w:rsid w:val="00517428"/>
    <w:rsid w:val="00517BBA"/>
    <w:rsid w:val="00517D6F"/>
    <w:rsid w:val="0052019A"/>
    <w:rsid w:val="005204D6"/>
    <w:rsid w:val="00520710"/>
    <w:rsid w:val="00521169"/>
    <w:rsid w:val="005216B1"/>
    <w:rsid w:val="00521733"/>
    <w:rsid w:val="00521A16"/>
    <w:rsid w:val="00521CFF"/>
    <w:rsid w:val="005220C9"/>
    <w:rsid w:val="00522636"/>
    <w:rsid w:val="00522DEF"/>
    <w:rsid w:val="00523831"/>
    <w:rsid w:val="005239A3"/>
    <w:rsid w:val="005249E5"/>
    <w:rsid w:val="00524E15"/>
    <w:rsid w:val="00525505"/>
    <w:rsid w:val="005261F9"/>
    <w:rsid w:val="005266A7"/>
    <w:rsid w:val="005268DA"/>
    <w:rsid w:val="00526CD0"/>
    <w:rsid w:val="005272A1"/>
    <w:rsid w:val="00527607"/>
    <w:rsid w:val="00527986"/>
    <w:rsid w:val="00530338"/>
    <w:rsid w:val="00530376"/>
    <w:rsid w:val="00530638"/>
    <w:rsid w:val="0053066C"/>
    <w:rsid w:val="00530E28"/>
    <w:rsid w:val="00530EDE"/>
    <w:rsid w:val="00531CD2"/>
    <w:rsid w:val="00531D7A"/>
    <w:rsid w:val="005322DB"/>
    <w:rsid w:val="0053263C"/>
    <w:rsid w:val="00532800"/>
    <w:rsid w:val="005338BB"/>
    <w:rsid w:val="0053417B"/>
    <w:rsid w:val="0053453B"/>
    <w:rsid w:val="00534AB3"/>
    <w:rsid w:val="0053507F"/>
    <w:rsid w:val="00535379"/>
    <w:rsid w:val="00535774"/>
    <w:rsid w:val="005359B8"/>
    <w:rsid w:val="0053610D"/>
    <w:rsid w:val="00537688"/>
    <w:rsid w:val="00537ABB"/>
    <w:rsid w:val="00540C08"/>
    <w:rsid w:val="005411AB"/>
    <w:rsid w:val="00541697"/>
    <w:rsid w:val="005416BE"/>
    <w:rsid w:val="00541F89"/>
    <w:rsid w:val="0054283F"/>
    <w:rsid w:val="00543730"/>
    <w:rsid w:val="00543734"/>
    <w:rsid w:val="00545698"/>
    <w:rsid w:val="00545927"/>
    <w:rsid w:val="00546298"/>
    <w:rsid w:val="00546664"/>
    <w:rsid w:val="005468D0"/>
    <w:rsid w:val="00547CB3"/>
    <w:rsid w:val="00550143"/>
    <w:rsid w:val="00550196"/>
    <w:rsid w:val="005501A5"/>
    <w:rsid w:val="00550775"/>
    <w:rsid w:val="00550AC0"/>
    <w:rsid w:val="00551B67"/>
    <w:rsid w:val="00551BCB"/>
    <w:rsid w:val="005526A7"/>
    <w:rsid w:val="00552C6E"/>
    <w:rsid w:val="0055305B"/>
    <w:rsid w:val="0055396E"/>
    <w:rsid w:val="0055435F"/>
    <w:rsid w:val="0055478C"/>
    <w:rsid w:val="005557F0"/>
    <w:rsid w:val="005560CD"/>
    <w:rsid w:val="005569CF"/>
    <w:rsid w:val="00556EB3"/>
    <w:rsid w:val="0055798A"/>
    <w:rsid w:val="00560547"/>
    <w:rsid w:val="0056139A"/>
    <w:rsid w:val="005615D6"/>
    <w:rsid w:val="00561606"/>
    <w:rsid w:val="005619AB"/>
    <w:rsid w:val="00561E84"/>
    <w:rsid w:val="00562A5B"/>
    <w:rsid w:val="00562E46"/>
    <w:rsid w:val="0056356C"/>
    <w:rsid w:val="00563695"/>
    <w:rsid w:val="00563AE0"/>
    <w:rsid w:val="0056494B"/>
    <w:rsid w:val="00564A1D"/>
    <w:rsid w:val="00565966"/>
    <w:rsid w:val="00565D02"/>
    <w:rsid w:val="00565D80"/>
    <w:rsid w:val="00566EB0"/>
    <w:rsid w:val="0056776B"/>
    <w:rsid w:val="005677DE"/>
    <w:rsid w:val="00567CF1"/>
    <w:rsid w:val="0057079C"/>
    <w:rsid w:val="0057113D"/>
    <w:rsid w:val="00571637"/>
    <w:rsid w:val="005717B7"/>
    <w:rsid w:val="00571F02"/>
    <w:rsid w:val="00572135"/>
    <w:rsid w:val="00573001"/>
    <w:rsid w:val="00573084"/>
    <w:rsid w:val="00574AC1"/>
    <w:rsid w:val="00574B0A"/>
    <w:rsid w:val="00574C8D"/>
    <w:rsid w:val="00575688"/>
    <w:rsid w:val="00575B42"/>
    <w:rsid w:val="00575E27"/>
    <w:rsid w:val="00576D75"/>
    <w:rsid w:val="005771E7"/>
    <w:rsid w:val="00577215"/>
    <w:rsid w:val="00577C74"/>
    <w:rsid w:val="00580058"/>
    <w:rsid w:val="005802A5"/>
    <w:rsid w:val="00581573"/>
    <w:rsid w:val="00581BCC"/>
    <w:rsid w:val="00581D1F"/>
    <w:rsid w:val="00581E6E"/>
    <w:rsid w:val="00581EE5"/>
    <w:rsid w:val="00582081"/>
    <w:rsid w:val="00582088"/>
    <w:rsid w:val="00582245"/>
    <w:rsid w:val="0058248E"/>
    <w:rsid w:val="0058284A"/>
    <w:rsid w:val="00583319"/>
    <w:rsid w:val="005835B0"/>
    <w:rsid w:val="00583943"/>
    <w:rsid w:val="00583C47"/>
    <w:rsid w:val="0058445C"/>
    <w:rsid w:val="0058596C"/>
    <w:rsid w:val="00585C9C"/>
    <w:rsid w:val="00585CBB"/>
    <w:rsid w:val="005868AD"/>
    <w:rsid w:val="005871D8"/>
    <w:rsid w:val="00587256"/>
    <w:rsid w:val="00587333"/>
    <w:rsid w:val="005906E6"/>
    <w:rsid w:val="005909FA"/>
    <w:rsid w:val="00590F49"/>
    <w:rsid w:val="00590F8D"/>
    <w:rsid w:val="0059109E"/>
    <w:rsid w:val="0059138A"/>
    <w:rsid w:val="0059159C"/>
    <w:rsid w:val="005915E3"/>
    <w:rsid w:val="0059160D"/>
    <w:rsid w:val="0059189A"/>
    <w:rsid w:val="005921CC"/>
    <w:rsid w:val="005931BF"/>
    <w:rsid w:val="00593BEC"/>
    <w:rsid w:val="00593D16"/>
    <w:rsid w:val="00594378"/>
    <w:rsid w:val="00594612"/>
    <w:rsid w:val="005954B9"/>
    <w:rsid w:val="005958D7"/>
    <w:rsid w:val="0059644C"/>
    <w:rsid w:val="00596CDE"/>
    <w:rsid w:val="00596DB8"/>
    <w:rsid w:val="005976F2"/>
    <w:rsid w:val="00597A10"/>
    <w:rsid w:val="005A0676"/>
    <w:rsid w:val="005A0A61"/>
    <w:rsid w:val="005A1996"/>
    <w:rsid w:val="005A1B21"/>
    <w:rsid w:val="005A1E63"/>
    <w:rsid w:val="005A2C61"/>
    <w:rsid w:val="005A3506"/>
    <w:rsid w:val="005A356C"/>
    <w:rsid w:val="005A3749"/>
    <w:rsid w:val="005A3843"/>
    <w:rsid w:val="005A42B8"/>
    <w:rsid w:val="005A446B"/>
    <w:rsid w:val="005A5494"/>
    <w:rsid w:val="005A5727"/>
    <w:rsid w:val="005A628B"/>
    <w:rsid w:val="005A665C"/>
    <w:rsid w:val="005A7122"/>
    <w:rsid w:val="005A71E2"/>
    <w:rsid w:val="005A747A"/>
    <w:rsid w:val="005A7641"/>
    <w:rsid w:val="005A7D26"/>
    <w:rsid w:val="005B090E"/>
    <w:rsid w:val="005B0AED"/>
    <w:rsid w:val="005B0C69"/>
    <w:rsid w:val="005B1029"/>
    <w:rsid w:val="005B1262"/>
    <w:rsid w:val="005B12E4"/>
    <w:rsid w:val="005B1406"/>
    <w:rsid w:val="005B17C1"/>
    <w:rsid w:val="005B2002"/>
    <w:rsid w:val="005B23F2"/>
    <w:rsid w:val="005B30C7"/>
    <w:rsid w:val="005B3396"/>
    <w:rsid w:val="005B3567"/>
    <w:rsid w:val="005B4150"/>
    <w:rsid w:val="005B43A7"/>
    <w:rsid w:val="005B4728"/>
    <w:rsid w:val="005B493F"/>
    <w:rsid w:val="005B4E74"/>
    <w:rsid w:val="005B53EB"/>
    <w:rsid w:val="005B55B0"/>
    <w:rsid w:val="005B5804"/>
    <w:rsid w:val="005B5987"/>
    <w:rsid w:val="005B61A9"/>
    <w:rsid w:val="005B734E"/>
    <w:rsid w:val="005B799D"/>
    <w:rsid w:val="005B79D4"/>
    <w:rsid w:val="005B7A97"/>
    <w:rsid w:val="005C031E"/>
    <w:rsid w:val="005C032C"/>
    <w:rsid w:val="005C06E7"/>
    <w:rsid w:val="005C0FDE"/>
    <w:rsid w:val="005C1541"/>
    <w:rsid w:val="005C1A43"/>
    <w:rsid w:val="005C2040"/>
    <w:rsid w:val="005C2F23"/>
    <w:rsid w:val="005C30CB"/>
    <w:rsid w:val="005C35C3"/>
    <w:rsid w:val="005C35D4"/>
    <w:rsid w:val="005C38C6"/>
    <w:rsid w:val="005C38CA"/>
    <w:rsid w:val="005C425A"/>
    <w:rsid w:val="005C4F0A"/>
    <w:rsid w:val="005C68AC"/>
    <w:rsid w:val="005C6DEE"/>
    <w:rsid w:val="005C6E67"/>
    <w:rsid w:val="005C7DCD"/>
    <w:rsid w:val="005D07DA"/>
    <w:rsid w:val="005D0D16"/>
    <w:rsid w:val="005D27E8"/>
    <w:rsid w:val="005D2CAB"/>
    <w:rsid w:val="005D3317"/>
    <w:rsid w:val="005D428E"/>
    <w:rsid w:val="005D500A"/>
    <w:rsid w:val="005D59B8"/>
    <w:rsid w:val="005D6DAF"/>
    <w:rsid w:val="005D70D7"/>
    <w:rsid w:val="005D7410"/>
    <w:rsid w:val="005D7E71"/>
    <w:rsid w:val="005E1D19"/>
    <w:rsid w:val="005E1E19"/>
    <w:rsid w:val="005E235A"/>
    <w:rsid w:val="005E330E"/>
    <w:rsid w:val="005E3556"/>
    <w:rsid w:val="005E3603"/>
    <w:rsid w:val="005E4404"/>
    <w:rsid w:val="005E46CE"/>
    <w:rsid w:val="005E4BB1"/>
    <w:rsid w:val="005E5930"/>
    <w:rsid w:val="005E595E"/>
    <w:rsid w:val="005E6049"/>
    <w:rsid w:val="005E6228"/>
    <w:rsid w:val="005E6287"/>
    <w:rsid w:val="005E635B"/>
    <w:rsid w:val="005E672E"/>
    <w:rsid w:val="005E6E04"/>
    <w:rsid w:val="005E791E"/>
    <w:rsid w:val="005E7AE9"/>
    <w:rsid w:val="005F0B8E"/>
    <w:rsid w:val="005F0FA6"/>
    <w:rsid w:val="005F1116"/>
    <w:rsid w:val="005F2FBF"/>
    <w:rsid w:val="005F30A0"/>
    <w:rsid w:val="005F32E9"/>
    <w:rsid w:val="005F397B"/>
    <w:rsid w:val="005F3B57"/>
    <w:rsid w:val="005F4214"/>
    <w:rsid w:val="005F4295"/>
    <w:rsid w:val="005F4BE4"/>
    <w:rsid w:val="005F5128"/>
    <w:rsid w:val="005F5297"/>
    <w:rsid w:val="005F5380"/>
    <w:rsid w:val="005F557A"/>
    <w:rsid w:val="005F55CF"/>
    <w:rsid w:val="005F61EA"/>
    <w:rsid w:val="005F68C8"/>
    <w:rsid w:val="005F6D8A"/>
    <w:rsid w:val="005F6E88"/>
    <w:rsid w:val="005F6EEF"/>
    <w:rsid w:val="005F7E85"/>
    <w:rsid w:val="00600882"/>
    <w:rsid w:val="00601188"/>
    <w:rsid w:val="006015B3"/>
    <w:rsid w:val="00601FD1"/>
    <w:rsid w:val="00602430"/>
    <w:rsid w:val="00602D2C"/>
    <w:rsid w:val="006037B6"/>
    <w:rsid w:val="00603B87"/>
    <w:rsid w:val="00604A21"/>
    <w:rsid w:val="00604E97"/>
    <w:rsid w:val="006055AF"/>
    <w:rsid w:val="00605763"/>
    <w:rsid w:val="00606284"/>
    <w:rsid w:val="006062A3"/>
    <w:rsid w:val="00606608"/>
    <w:rsid w:val="006074D7"/>
    <w:rsid w:val="006076EB"/>
    <w:rsid w:val="006078E1"/>
    <w:rsid w:val="00607D57"/>
    <w:rsid w:val="00607E94"/>
    <w:rsid w:val="00610459"/>
    <w:rsid w:val="00610A90"/>
    <w:rsid w:val="00611231"/>
    <w:rsid w:val="006119D3"/>
    <w:rsid w:val="00612CFB"/>
    <w:rsid w:val="006131C0"/>
    <w:rsid w:val="0061347D"/>
    <w:rsid w:val="00613708"/>
    <w:rsid w:val="00613972"/>
    <w:rsid w:val="00613F68"/>
    <w:rsid w:val="0061432A"/>
    <w:rsid w:val="0061487C"/>
    <w:rsid w:val="006154E8"/>
    <w:rsid w:val="006158C5"/>
    <w:rsid w:val="0061598C"/>
    <w:rsid w:val="00616C13"/>
    <w:rsid w:val="00616FFA"/>
    <w:rsid w:val="00617894"/>
    <w:rsid w:val="00617F77"/>
    <w:rsid w:val="00621164"/>
    <w:rsid w:val="006212BD"/>
    <w:rsid w:val="006220F4"/>
    <w:rsid w:val="006224C5"/>
    <w:rsid w:val="0062285C"/>
    <w:rsid w:val="00623244"/>
    <w:rsid w:val="00623371"/>
    <w:rsid w:val="00623456"/>
    <w:rsid w:val="00623473"/>
    <w:rsid w:val="006236B2"/>
    <w:rsid w:val="0062388F"/>
    <w:rsid w:val="00623EB5"/>
    <w:rsid w:val="006240DE"/>
    <w:rsid w:val="006252CA"/>
    <w:rsid w:val="00625548"/>
    <w:rsid w:val="006255B4"/>
    <w:rsid w:val="00625783"/>
    <w:rsid w:val="00625A28"/>
    <w:rsid w:val="00625D23"/>
    <w:rsid w:val="00625DC4"/>
    <w:rsid w:val="00625DEB"/>
    <w:rsid w:val="00626048"/>
    <w:rsid w:val="00626348"/>
    <w:rsid w:val="00626A20"/>
    <w:rsid w:val="00626C88"/>
    <w:rsid w:val="00626DBF"/>
    <w:rsid w:val="00627FDD"/>
    <w:rsid w:val="00630405"/>
    <w:rsid w:val="00630C05"/>
    <w:rsid w:val="00631FB5"/>
    <w:rsid w:val="0063219C"/>
    <w:rsid w:val="006327F0"/>
    <w:rsid w:val="0063282C"/>
    <w:rsid w:val="00632CF5"/>
    <w:rsid w:val="0063358D"/>
    <w:rsid w:val="00633A4D"/>
    <w:rsid w:val="00633EEF"/>
    <w:rsid w:val="00634559"/>
    <w:rsid w:val="00634A98"/>
    <w:rsid w:val="00634BDE"/>
    <w:rsid w:val="006352F2"/>
    <w:rsid w:val="006359A0"/>
    <w:rsid w:val="00635DD8"/>
    <w:rsid w:val="0063718E"/>
    <w:rsid w:val="00637308"/>
    <w:rsid w:val="006400E6"/>
    <w:rsid w:val="00640590"/>
    <w:rsid w:val="00640820"/>
    <w:rsid w:val="0064086E"/>
    <w:rsid w:val="00640929"/>
    <w:rsid w:val="00640A59"/>
    <w:rsid w:val="006413F7"/>
    <w:rsid w:val="00641E56"/>
    <w:rsid w:val="00641FC1"/>
    <w:rsid w:val="006420E9"/>
    <w:rsid w:val="0064267F"/>
    <w:rsid w:val="00642762"/>
    <w:rsid w:val="00643397"/>
    <w:rsid w:val="00643A1C"/>
    <w:rsid w:val="00643B06"/>
    <w:rsid w:val="00643C69"/>
    <w:rsid w:val="00643D32"/>
    <w:rsid w:val="00643E56"/>
    <w:rsid w:val="00644844"/>
    <w:rsid w:val="0064573A"/>
    <w:rsid w:val="0064580C"/>
    <w:rsid w:val="006464E0"/>
    <w:rsid w:val="006467A5"/>
    <w:rsid w:val="00646813"/>
    <w:rsid w:val="00646F6E"/>
    <w:rsid w:val="00647331"/>
    <w:rsid w:val="00647683"/>
    <w:rsid w:val="00647822"/>
    <w:rsid w:val="00650412"/>
    <w:rsid w:val="006508BA"/>
    <w:rsid w:val="00650F13"/>
    <w:rsid w:val="00651B18"/>
    <w:rsid w:val="00651F58"/>
    <w:rsid w:val="00652AD4"/>
    <w:rsid w:val="006547FF"/>
    <w:rsid w:val="00654CBB"/>
    <w:rsid w:val="006551D8"/>
    <w:rsid w:val="00655819"/>
    <w:rsid w:val="00656268"/>
    <w:rsid w:val="006567A9"/>
    <w:rsid w:val="00657E94"/>
    <w:rsid w:val="00660875"/>
    <w:rsid w:val="006614EA"/>
    <w:rsid w:val="00661740"/>
    <w:rsid w:val="00661E79"/>
    <w:rsid w:val="00661EA0"/>
    <w:rsid w:val="00661F22"/>
    <w:rsid w:val="006622C0"/>
    <w:rsid w:val="00662D14"/>
    <w:rsid w:val="0066426C"/>
    <w:rsid w:val="00664C6D"/>
    <w:rsid w:val="00664EB5"/>
    <w:rsid w:val="00664FF3"/>
    <w:rsid w:val="006651F0"/>
    <w:rsid w:val="0066523F"/>
    <w:rsid w:val="006654E3"/>
    <w:rsid w:val="00665AEE"/>
    <w:rsid w:val="00667588"/>
    <w:rsid w:val="0066772A"/>
    <w:rsid w:val="0067008E"/>
    <w:rsid w:val="0067057A"/>
    <w:rsid w:val="00670C08"/>
    <w:rsid w:val="00671D33"/>
    <w:rsid w:val="00672A68"/>
    <w:rsid w:val="00672CD5"/>
    <w:rsid w:val="00672FDD"/>
    <w:rsid w:val="00673000"/>
    <w:rsid w:val="006731A9"/>
    <w:rsid w:val="0067456C"/>
    <w:rsid w:val="00674A3D"/>
    <w:rsid w:val="00674A71"/>
    <w:rsid w:val="00674FA4"/>
    <w:rsid w:val="0067653B"/>
    <w:rsid w:val="00676862"/>
    <w:rsid w:val="00677A7E"/>
    <w:rsid w:val="00681403"/>
    <w:rsid w:val="00681DBD"/>
    <w:rsid w:val="00681DC2"/>
    <w:rsid w:val="006823D7"/>
    <w:rsid w:val="0068263D"/>
    <w:rsid w:val="006826BE"/>
    <w:rsid w:val="006829E5"/>
    <w:rsid w:val="0068309B"/>
    <w:rsid w:val="00683208"/>
    <w:rsid w:val="00683D89"/>
    <w:rsid w:val="00684635"/>
    <w:rsid w:val="00684791"/>
    <w:rsid w:val="00684F2A"/>
    <w:rsid w:val="00687233"/>
    <w:rsid w:val="0068764C"/>
    <w:rsid w:val="00687BFE"/>
    <w:rsid w:val="006902CD"/>
    <w:rsid w:val="006906B2"/>
    <w:rsid w:val="00691461"/>
    <w:rsid w:val="00691823"/>
    <w:rsid w:val="00691B7E"/>
    <w:rsid w:val="00691E6A"/>
    <w:rsid w:val="006925F3"/>
    <w:rsid w:val="00692938"/>
    <w:rsid w:val="00692A24"/>
    <w:rsid w:val="00692C53"/>
    <w:rsid w:val="00692F02"/>
    <w:rsid w:val="006932EE"/>
    <w:rsid w:val="006936F5"/>
    <w:rsid w:val="00693890"/>
    <w:rsid w:val="006942AD"/>
    <w:rsid w:val="00694469"/>
    <w:rsid w:val="00694641"/>
    <w:rsid w:val="006947C1"/>
    <w:rsid w:val="00694A41"/>
    <w:rsid w:val="006951C5"/>
    <w:rsid w:val="006951FF"/>
    <w:rsid w:val="00695597"/>
    <w:rsid w:val="0069563F"/>
    <w:rsid w:val="006959E0"/>
    <w:rsid w:val="00695E11"/>
    <w:rsid w:val="0069639C"/>
    <w:rsid w:val="006965F6"/>
    <w:rsid w:val="00696D37"/>
    <w:rsid w:val="00696EF5"/>
    <w:rsid w:val="006A0353"/>
    <w:rsid w:val="006A0EB6"/>
    <w:rsid w:val="006A1114"/>
    <w:rsid w:val="006A16CC"/>
    <w:rsid w:val="006A2680"/>
    <w:rsid w:val="006A275C"/>
    <w:rsid w:val="006A3276"/>
    <w:rsid w:val="006A3602"/>
    <w:rsid w:val="006A37E7"/>
    <w:rsid w:val="006A4232"/>
    <w:rsid w:val="006A4293"/>
    <w:rsid w:val="006A4B07"/>
    <w:rsid w:val="006A4B2E"/>
    <w:rsid w:val="006A52D6"/>
    <w:rsid w:val="006A52DF"/>
    <w:rsid w:val="006A5DFA"/>
    <w:rsid w:val="006A6C3B"/>
    <w:rsid w:val="006A6E79"/>
    <w:rsid w:val="006A7621"/>
    <w:rsid w:val="006A7A64"/>
    <w:rsid w:val="006A7EC1"/>
    <w:rsid w:val="006B04FC"/>
    <w:rsid w:val="006B158A"/>
    <w:rsid w:val="006B170E"/>
    <w:rsid w:val="006B1DEE"/>
    <w:rsid w:val="006B2262"/>
    <w:rsid w:val="006B2501"/>
    <w:rsid w:val="006B28E4"/>
    <w:rsid w:val="006B3442"/>
    <w:rsid w:val="006B35CC"/>
    <w:rsid w:val="006B365A"/>
    <w:rsid w:val="006B368B"/>
    <w:rsid w:val="006B3A46"/>
    <w:rsid w:val="006B3DF0"/>
    <w:rsid w:val="006B4600"/>
    <w:rsid w:val="006B4BB3"/>
    <w:rsid w:val="006B538A"/>
    <w:rsid w:val="006B6261"/>
    <w:rsid w:val="006B644C"/>
    <w:rsid w:val="006B66CC"/>
    <w:rsid w:val="006B6944"/>
    <w:rsid w:val="006B7199"/>
    <w:rsid w:val="006B7640"/>
    <w:rsid w:val="006C022C"/>
    <w:rsid w:val="006C044A"/>
    <w:rsid w:val="006C0647"/>
    <w:rsid w:val="006C076C"/>
    <w:rsid w:val="006C086A"/>
    <w:rsid w:val="006C1A37"/>
    <w:rsid w:val="006C1D16"/>
    <w:rsid w:val="006C1F3E"/>
    <w:rsid w:val="006C24BA"/>
    <w:rsid w:val="006C2856"/>
    <w:rsid w:val="006C3662"/>
    <w:rsid w:val="006C3741"/>
    <w:rsid w:val="006C37F1"/>
    <w:rsid w:val="006C3946"/>
    <w:rsid w:val="006C4F4F"/>
    <w:rsid w:val="006C6190"/>
    <w:rsid w:val="006C6F30"/>
    <w:rsid w:val="006C73F8"/>
    <w:rsid w:val="006C7A97"/>
    <w:rsid w:val="006C7B59"/>
    <w:rsid w:val="006C7EF7"/>
    <w:rsid w:val="006D05A9"/>
    <w:rsid w:val="006D0668"/>
    <w:rsid w:val="006D1220"/>
    <w:rsid w:val="006D1633"/>
    <w:rsid w:val="006D18D7"/>
    <w:rsid w:val="006D1DC3"/>
    <w:rsid w:val="006D1DC9"/>
    <w:rsid w:val="006D2F95"/>
    <w:rsid w:val="006D3658"/>
    <w:rsid w:val="006D37FA"/>
    <w:rsid w:val="006D3825"/>
    <w:rsid w:val="006D3DE0"/>
    <w:rsid w:val="006D40D3"/>
    <w:rsid w:val="006D4957"/>
    <w:rsid w:val="006D4A0F"/>
    <w:rsid w:val="006D5991"/>
    <w:rsid w:val="006D5D7C"/>
    <w:rsid w:val="006D6701"/>
    <w:rsid w:val="006D74DC"/>
    <w:rsid w:val="006D7873"/>
    <w:rsid w:val="006D7A36"/>
    <w:rsid w:val="006D7AF0"/>
    <w:rsid w:val="006D7B2A"/>
    <w:rsid w:val="006D7C55"/>
    <w:rsid w:val="006E09C1"/>
    <w:rsid w:val="006E0D25"/>
    <w:rsid w:val="006E0E3C"/>
    <w:rsid w:val="006E0E90"/>
    <w:rsid w:val="006E0F4A"/>
    <w:rsid w:val="006E14C2"/>
    <w:rsid w:val="006E1A9A"/>
    <w:rsid w:val="006E1B16"/>
    <w:rsid w:val="006E3224"/>
    <w:rsid w:val="006E359B"/>
    <w:rsid w:val="006E3A7E"/>
    <w:rsid w:val="006E3B6C"/>
    <w:rsid w:val="006E3CBA"/>
    <w:rsid w:val="006E4320"/>
    <w:rsid w:val="006E4783"/>
    <w:rsid w:val="006E53FA"/>
    <w:rsid w:val="006E61BA"/>
    <w:rsid w:val="006E6813"/>
    <w:rsid w:val="006E6F23"/>
    <w:rsid w:val="006E7A55"/>
    <w:rsid w:val="006E7BF1"/>
    <w:rsid w:val="006E7C78"/>
    <w:rsid w:val="006F0162"/>
    <w:rsid w:val="006F11C0"/>
    <w:rsid w:val="006F12AD"/>
    <w:rsid w:val="006F1425"/>
    <w:rsid w:val="006F1A1F"/>
    <w:rsid w:val="006F2206"/>
    <w:rsid w:val="006F24E8"/>
    <w:rsid w:val="006F40F1"/>
    <w:rsid w:val="006F4D24"/>
    <w:rsid w:val="006F5A00"/>
    <w:rsid w:val="006F5DA5"/>
    <w:rsid w:val="006F65D2"/>
    <w:rsid w:val="006F664B"/>
    <w:rsid w:val="006F686C"/>
    <w:rsid w:val="006F69AB"/>
    <w:rsid w:val="006F6DB4"/>
    <w:rsid w:val="006F6E99"/>
    <w:rsid w:val="006F6EAE"/>
    <w:rsid w:val="006F7681"/>
    <w:rsid w:val="00700165"/>
    <w:rsid w:val="007006E2"/>
    <w:rsid w:val="00700CA4"/>
    <w:rsid w:val="00700D1B"/>
    <w:rsid w:val="00700D6B"/>
    <w:rsid w:val="00701070"/>
    <w:rsid w:val="00701659"/>
    <w:rsid w:val="007019AB"/>
    <w:rsid w:val="00702987"/>
    <w:rsid w:val="00703139"/>
    <w:rsid w:val="0070383E"/>
    <w:rsid w:val="00703938"/>
    <w:rsid w:val="00703A27"/>
    <w:rsid w:val="007044CB"/>
    <w:rsid w:val="00704BB2"/>
    <w:rsid w:val="00704F71"/>
    <w:rsid w:val="00705ABB"/>
    <w:rsid w:val="00706C33"/>
    <w:rsid w:val="00706CC0"/>
    <w:rsid w:val="00706E61"/>
    <w:rsid w:val="00707332"/>
    <w:rsid w:val="007075FD"/>
    <w:rsid w:val="0071025B"/>
    <w:rsid w:val="00710595"/>
    <w:rsid w:val="00710982"/>
    <w:rsid w:val="00711A73"/>
    <w:rsid w:val="00711AAD"/>
    <w:rsid w:val="007122CF"/>
    <w:rsid w:val="0071239E"/>
    <w:rsid w:val="0071280B"/>
    <w:rsid w:val="0071289F"/>
    <w:rsid w:val="00713B5B"/>
    <w:rsid w:val="0071489D"/>
    <w:rsid w:val="00714DB8"/>
    <w:rsid w:val="0071530E"/>
    <w:rsid w:val="007158B5"/>
    <w:rsid w:val="00715982"/>
    <w:rsid w:val="00716463"/>
    <w:rsid w:val="00717EB4"/>
    <w:rsid w:val="00717EB8"/>
    <w:rsid w:val="00720033"/>
    <w:rsid w:val="007200DC"/>
    <w:rsid w:val="00720108"/>
    <w:rsid w:val="0072183A"/>
    <w:rsid w:val="00722774"/>
    <w:rsid w:val="00723654"/>
    <w:rsid w:val="0072459D"/>
    <w:rsid w:val="007249B5"/>
    <w:rsid w:val="00725ECF"/>
    <w:rsid w:val="00726163"/>
    <w:rsid w:val="0072728F"/>
    <w:rsid w:val="00730171"/>
    <w:rsid w:val="0073109D"/>
    <w:rsid w:val="007318BD"/>
    <w:rsid w:val="00732696"/>
    <w:rsid w:val="00732F2E"/>
    <w:rsid w:val="00733435"/>
    <w:rsid w:val="0073395B"/>
    <w:rsid w:val="00734494"/>
    <w:rsid w:val="00735C8E"/>
    <w:rsid w:val="00736045"/>
    <w:rsid w:val="00736DA7"/>
    <w:rsid w:val="00736E02"/>
    <w:rsid w:val="00736F79"/>
    <w:rsid w:val="0073701C"/>
    <w:rsid w:val="007372A3"/>
    <w:rsid w:val="0073786D"/>
    <w:rsid w:val="00737C54"/>
    <w:rsid w:val="00737F5F"/>
    <w:rsid w:val="0074144E"/>
    <w:rsid w:val="007416A1"/>
    <w:rsid w:val="00741CC3"/>
    <w:rsid w:val="007448D5"/>
    <w:rsid w:val="007453AD"/>
    <w:rsid w:val="007454C5"/>
    <w:rsid w:val="00747309"/>
    <w:rsid w:val="00747E97"/>
    <w:rsid w:val="007502F3"/>
    <w:rsid w:val="00751155"/>
    <w:rsid w:val="00751C1A"/>
    <w:rsid w:val="00751C26"/>
    <w:rsid w:val="00751F0A"/>
    <w:rsid w:val="007524DB"/>
    <w:rsid w:val="00752A1C"/>
    <w:rsid w:val="00753D4A"/>
    <w:rsid w:val="00753E98"/>
    <w:rsid w:val="0075405F"/>
    <w:rsid w:val="00754060"/>
    <w:rsid w:val="00754312"/>
    <w:rsid w:val="00754BA8"/>
    <w:rsid w:val="007551EB"/>
    <w:rsid w:val="007555A9"/>
    <w:rsid w:val="00756691"/>
    <w:rsid w:val="00756E8B"/>
    <w:rsid w:val="00757462"/>
    <w:rsid w:val="00757ADB"/>
    <w:rsid w:val="00757C0F"/>
    <w:rsid w:val="00757E87"/>
    <w:rsid w:val="00757FE5"/>
    <w:rsid w:val="00760654"/>
    <w:rsid w:val="00762409"/>
    <w:rsid w:val="00762AFC"/>
    <w:rsid w:val="00762E11"/>
    <w:rsid w:val="00763011"/>
    <w:rsid w:val="007635F9"/>
    <w:rsid w:val="00763629"/>
    <w:rsid w:val="007638EE"/>
    <w:rsid w:val="00764D51"/>
    <w:rsid w:val="007656F8"/>
    <w:rsid w:val="0076594B"/>
    <w:rsid w:val="00766132"/>
    <w:rsid w:val="007664CB"/>
    <w:rsid w:val="007667E2"/>
    <w:rsid w:val="00766A28"/>
    <w:rsid w:val="00766C09"/>
    <w:rsid w:val="007670EF"/>
    <w:rsid w:val="007671CD"/>
    <w:rsid w:val="00767440"/>
    <w:rsid w:val="00767A79"/>
    <w:rsid w:val="007714CE"/>
    <w:rsid w:val="0077158B"/>
    <w:rsid w:val="00771616"/>
    <w:rsid w:val="00771654"/>
    <w:rsid w:val="007717D0"/>
    <w:rsid w:val="0077193C"/>
    <w:rsid w:val="00771AF2"/>
    <w:rsid w:val="00772382"/>
    <w:rsid w:val="00772C5B"/>
    <w:rsid w:val="007732F3"/>
    <w:rsid w:val="007733DA"/>
    <w:rsid w:val="00773537"/>
    <w:rsid w:val="00773538"/>
    <w:rsid w:val="00773E74"/>
    <w:rsid w:val="0077482B"/>
    <w:rsid w:val="00774B6B"/>
    <w:rsid w:val="00774CFF"/>
    <w:rsid w:val="00774F7A"/>
    <w:rsid w:val="00774FA7"/>
    <w:rsid w:val="007754B8"/>
    <w:rsid w:val="00775690"/>
    <w:rsid w:val="007758B0"/>
    <w:rsid w:val="007765DF"/>
    <w:rsid w:val="00776747"/>
    <w:rsid w:val="00776D63"/>
    <w:rsid w:val="00776E77"/>
    <w:rsid w:val="00777141"/>
    <w:rsid w:val="00777281"/>
    <w:rsid w:val="00777540"/>
    <w:rsid w:val="007776BB"/>
    <w:rsid w:val="00777E85"/>
    <w:rsid w:val="007800BE"/>
    <w:rsid w:val="00780E80"/>
    <w:rsid w:val="007810A4"/>
    <w:rsid w:val="0078175E"/>
    <w:rsid w:val="00781B15"/>
    <w:rsid w:val="00781BC8"/>
    <w:rsid w:val="007828F6"/>
    <w:rsid w:val="00782973"/>
    <w:rsid w:val="00782D37"/>
    <w:rsid w:val="00782DC5"/>
    <w:rsid w:val="007832E8"/>
    <w:rsid w:val="0078346C"/>
    <w:rsid w:val="00783A49"/>
    <w:rsid w:val="00784973"/>
    <w:rsid w:val="00784DA7"/>
    <w:rsid w:val="00785050"/>
    <w:rsid w:val="00785E18"/>
    <w:rsid w:val="0078655D"/>
    <w:rsid w:val="00786E5E"/>
    <w:rsid w:val="00787126"/>
    <w:rsid w:val="0079078F"/>
    <w:rsid w:val="00790AC6"/>
    <w:rsid w:val="00790B5C"/>
    <w:rsid w:val="0079156D"/>
    <w:rsid w:val="007915E2"/>
    <w:rsid w:val="00791AB8"/>
    <w:rsid w:val="007921B6"/>
    <w:rsid w:val="0079353F"/>
    <w:rsid w:val="00793BA5"/>
    <w:rsid w:val="00793C93"/>
    <w:rsid w:val="00793F17"/>
    <w:rsid w:val="007944A4"/>
    <w:rsid w:val="00794DAA"/>
    <w:rsid w:val="00795215"/>
    <w:rsid w:val="007957F4"/>
    <w:rsid w:val="007962E4"/>
    <w:rsid w:val="00796F26"/>
    <w:rsid w:val="007972B7"/>
    <w:rsid w:val="007974DB"/>
    <w:rsid w:val="0079795B"/>
    <w:rsid w:val="00797B63"/>
    <w:rsid w:val="00797F24"/>
    <w:rsid w:val="007A06CB"/>
    <w:rsid w:val="007A0A1C"/>
    <w:rsid w:val="007A11B9"/>
    <w:rsid w:val="007A1943"/>
    <w:rsid w:val="007A1AC9"/>
    <w:rsid w:val="007A21C8"/>
    <w:rsid w:val="007A2FF0"/>
    <w:rsid w:val="007A30E1"/>
    <w:rsid w:val="007A480B"/>
    <w:rsid w:val="007A4A53"/>
    <w:rsid w:val="007A583A"/>
    <w:rsid w:val="007A5B72"/>
    <w:rsid w:val="007A5C65"/>
    <w:rsid w:val="007A63B9"/>
    <w:rsid w:val="007A6463"/>
    <w:rsid w:val="007A66BC"/>
    <w:rsid w:val="007A69A2"/>
    <w:rsid w:val="007A7A3A"/>
    <w:rsid w:val="007A7C4E"/>
    <w:rsid w:val="007A7F70"/>
    <w:rsid w:val="007B02C8"/>
    <w:rsid w:val="007B0449"/>
    <w:rsid w:val="007B0499"/>
    <w:rsid w:val="007B1411"/>
    <w:rsid w:val="007B1696"/>
    <w:rsid w:val="007B1A9A"/>
    <w:rsid w:val="007B221B"/>
    <w:rsid w:val="007B23C6"/>
    <w:rsid w:val="007B254D"/>
    <w:rsid w:val="007B296C"/>
    <w:rsid w:val="007B2B25"/>
    <w:rsid w:val="007B2D24"/>
    <w:rsid w:val="007B35E9"/>
    <w:rsid w:val="007B37EC"/>
    <w:rsid w:val="007B39A1"/>
    <w:rsid w:val="007B3E03"/>
    <w:rsid w:val="007B3FC4"/>
    <w:rsid w:val="007B4A4F"/>
    <w:rsid w:val="007B4D4A"/>
    <w:rsid w:val="007B583F"/>
    <w:rsid w:val="007B5C95"/>
    <w:rsid w:val="007B6119"/>
    <w:rsid w:val="007B61A7"/>
    <w:rsid w:val="007B649F"/>
    <w:rsid w:val="007B6E2A"/>
    <w:rsid w:val="007C05E3"/>
    <w:rsid w:val="007C0887"/>
    <w:rsid w:val="007C088D"/>
    <w:rsid w:val="007C2265"/>
    <w:rsid w:val="007C2737"/>
    <w:rsid w:val="007C2818"/>
    <w:rsid w:val="007C31ED"/>
    <w:rsid w:val="007C34F7"/>
    <w:rsid w:val="007C37B7"/>
    <w:rsid w:val="007C47E2"/>
    <w:rsid w:val="007C4929"/>
    <w:rsid w:val="007C4BD2"/>
    <w:rsid w:val="007C4C1B"/>
    <w:rsid w:val="007C5706"/>
    <w:rsid w:val="007C5B2F"/>
    <w:rsid w:val="007C5DE1"/>
    <w:rsid w:val="007C604A"/>
    <w:rsid w:val="007C62B0"/>
    <w:rsid w:val="007C6644"/>
    <w:rsid w:val="007C6F0F"/>
    <w:rsid w:val="007C757D"/>
    <w:rsid w:val="007C758F"/>
    <w:rsid w:val="007C78FE"/>
    <w:rsid w:val="007C7BA6"/>
    <w:rsid w:val="007D09B5"/>
    <w:rsid w:val="007D15A9"/>
    <w:rsid w:val="007D15EE"/>
    <w:rsid w:val="007D175C"/>
    <w:rsid w:val="007D1AC6"/>
    <w:rsid w:val="007D221D"/>
    <w:rsid w:val="007D374A"/>
    <w:rsid w:val="007D37AF"/>
    <w:rsid w:val="007D3A4F"/>
    <w:rsid w:val="007D3C15"/>
    <w:rsid w:val="007D4094"/>
    <w:rsid w:val="007D4616"/>
    <w:rsid w:val="007D4E82"/>
    <w:rsid w:val="007D57E7"/>
    <w:rsid w:val="007D5833"/>
    <w:rsid w:val="007D5876"/>
    <w:rsid w:val="007D5B6F"/>
    <w:rsid w:val="007D6876"/>
    <w:rsid w:val="007D6F5B"/>
    <w:rsid w:val="007D746D"/>
    <w:rsid w:val="007E0672"/>
    <w:rsid w:val="007E0D2E"/>
    <w:rsid w:val="007E0D98"/>
    <w:rsid w:val="007E17E9"/>
    <w:rsid w:val="007E233B"/>
    <w:rsid w:val="007E27DE"/>
    <w:rsid w:val="007E2B32"/>
    <w:rsid w:val="007E334C"/>
    <w:rsid w:val="007E338C"/>
    <w:rsid w:val="007E3464"/>
    <w:rsid w:val="007E3751"/>
    <w:rsid w:val="007E392F"/>
    <w:rsid w:val="007E3F2A"/>
    <w:rsid w:val="007E41FF"/>
    <w:rsid w:val="007E5158"/>
    <w:rsid w:val="007E5187"/>
    <w:rsid w:val="007E593A"/>
    <w:rsid w:val="007E601E"/>
    <w:rsid w:val="007E6271"/>
    <w:rsid w:val="007E6960"/>
    <w:rsid w:val="007E6B5A"/>
    <w:rsid w:val="007E6BFF"/>
    <w:rsid w:val="007E6D02"/>
    <w:rsid w:val="007E6DC1"/>
    <w:rsid w:val="007E7026"/>
    <w:rsid w:val="007E738D"/>
    <w:rsid w:val="007E7D10"/>
    <w:rsid w:val="007F0203"/>
    <w:rsid w:val="007F0849"/>
    <w:rsid w:val="007F1062"/>
    <w:rsid w:val="007F1276"/>
    <w:rsid w:val="007F225C"/>
    <w:rsid w:val="007F265E"/>
    <w:rsid w:val="007F2901"/>
    <w:rsid w:val="007F356D"/>
    <w:rsid w:val="007F3B90"/>
    <w:rsid w:val="007F3C97"/>
    <w:rsid w:val="007F4691"/>
    <w:rsid w:val="007F4D2E"/>
    <w:rsid w:val="007F4FB4"/>
    <w:rsid w:val="007F5555"/>
    <w:rsid w:val="007F562F"/>
    <w:rsid w:val="007F59E2"/>
    <w:rsid w:val="007F5D1A"/>
    <w:rsid w:val="007F69A3"/>
    <w:rsid w:val="007F6DAC"/>
    <w:rsid w:val="007F6E61"/>
    <w:rsid w:val="007F7053"/>
    <w:rsid w:val="007F787C"/>
    <w:rsid w:val="008008A8"/>
    <w:rsid w:val="00801179"/>
    <w:rsid w:val="00801800"/>
    <w:rsid w:val="008022D0"/>
    <w:rsid w:val="00802475"/>
    <w:rsid w:val="0080249C"/>
    <w:rsid w:val="00803259"/>
    <w:rsid w:val="0080379F"/>
    <w:rsid w:val="00803811"/>
    <w:rsid w:val="008040DC"/>
    <w:rsid w:val="0080503A"/>
    <w:rsid w:val="008051C2"/>
    <w:rsid w:val="008057C7"/>
    <w:rsid w:val="008069D4"/>
    <w:rsid w:val="008078DE"/>
    <w:rsid w:val="00812953"/>
    <w:rsid w:val="00813397"/>
    <w:rsid w:val="0081364A"/>
    <w:rsid w:val="008137C1"/>
    <w:rsid w:val="0081397E"/>
    <w:rsid w:val="00814B20"/>
    <w:rsid w:val="00816F4D"/>
    <w:rsid w:val="00817172"/>
    <w:rsid w:val="00817814"/>
    <w:rsid w:val="00817DB3"/>
    <w:rsid w:val="00820384"/>
    <w:rsid w:val="008207B6"/>
    <w:rsid w:val="0082084C"/>
    <w:rsid w:val="0082112B"/>
    <w:rsid w:val="008213F0"/>
    <w:rsid w:val="008225A8"/>
    <w:rsid w:val="00822605"/>
    <w:rsid w:val="00823309"/>
    <w:rsid w:val="00823367"/>
    <w:rsid w:val="008235CC"/>
    <w:rsid w:val="0082367B"/>
    <w:rsid w:val="00823CF3"/>
    <w:rsid w:val="0082401E"/>
    <w:rsid w:val="00824053"/>
    <w:rsid w:val="00824CC8"/>
    <w:rsid w:val="008253EA"/>
    <w:rsid w:val="008259F2"/>
    <w:rsid w:val="00826A87"/>
    <w:rsid w:val="0082704A"/>
    <w:rsid w:val="0082729E"/>
    <w:rsid w:val="00827484"/>
    <w:rsid w:val="00827E45"/>
    <w:rsid w:val="0083023E"/>
    <w:rsid w:val="0083096E"/>
    <w:rsid w:val="00831671"/>
    <w:rsid w:val="0083185F"/>
    <w:rsid w:val="00831A8B"/>
    <w:rsid w:val="00833287"/>
    <w:rsid w:val="0083334D"/>
    <w:rsid w:val="008338C6"/>
    <w:rsid w:val="00834043"/>
    <w:rsid w:val="008346BC"/>
    <w:rsid w:val="00834717"/>
    <w:rsid w:val="00835329"/>
    <w:rsid w:val="0083556D"/>
    <w:rsid w:val="008358C0"/>
    <w:rsid w:val="00835E54"/>
    <w:rsid w:val="0083761F"/>
    <w:rsid w:val="008401AA"/>
    <w:rsid w:val="00841CFD"/>
    <w:rsid w:val="00842AF4"/>
    <w:rsid w:val="00842EA9"/>
    <w:rsid w:val="008434C5"/>
    <w:rsid w:val="00843F69"/>
    <w:rsid w:val="0084416B"/>
    <w:rsid w:val="00844AA6"/>
    <w:rsid w:val="00844BEC"/>
    <w:rsid w:val="008457A8"/>
    <w:rsid w:val="008458DB"/>
    <w:rsid w:val="0084627F"/>
    <w:rsid w:val="00846536"/>
    <w:rsid w:val="0084655E"/>
    <w:rsid w:val="00846655"/>
    <w:rsid w:val="00846B08"/>
    <w:rsid w:val="00846F94"/>
    <w:rsid w:val="0084715E"/>
    <w:rsid w:val="008471E6"/>
    <w:rsid w:val="008477E5"/>
    <w:rsid w:val="008479CC"/>
    <w:rsid w:val="0085095D"/>
    <w:rsid w:val="00850BBD"/>
    <w:rsid w:val="008512AA"/>
    <w:rsid w:val="00851322"/>
    <w:rsid w:val="0085133A"/>
    <w:rsid w:val="00851994"/>
    <w:rsid w:val="00851E6C"/>
    <w:rsid w:val="008522AD"/>
    <w:rsid w:val="0085263A"/>
    <w:rsid w:val="008531BD"/>
    <w:rsid w:val="00853DF9"/>
    <w:rsid w:val="00854004"/>
    <w:rsid w:val="00854204"/>
    <w:rsid w:val="00854E1A"/>
    <w:rsid w:val="008559EF"/>
    <w:rsid w:val="00856091"/>
    <w:rsid w:val="00857400"/>
    <w:rsid w:val="008575D3"/>
    <w:rsid w:val="0086026E"/>
    <w:rsid w:val="00861B9E"/>
    <w:rsid w:val="00862393"/>
    <w:rsid w:val="00862BB4"/>
    <w:rsid w:val="008636CA"/>
    <w:rsid w:val="008659B5"/>
    <w:rsid w:val="00865CBF"/>
    <w:rsid w:val="00865E4A"/>
    <w:rsid w:val="008660D0"/>
    <w:rsid w:val="008667A3"/>
    <w:rsid w:val="008668FB"/>
    <w:rsid w:val="00866DAE"/>
    <w:rsid w:val="00867072"/>
    <w:rsid w:val="0087017C"/>
    <w:rsid w:val="00871D66"/>
    <w:rsid w:val="00871DFB"/>
    <w:rsid w:val="0087202F"/>
    <w:rsid w:val="00872AF9"/>
    <w:rsid w:val="00872C54"/>
    <w:rsid w:val="00873526"/>
    <w:rsid w:val="008739A5"/>
    <w:rsid w:val="00873A30"/>
    <w:rsid w:val="00873D70"/>
    <w:rsid w:val="00874038"/>
    <w:rsid w:val="008741A5"/>
    <w:rsid w:val="00874CC3"/>
    <w:rsid w:val="0087557A"/>
    <w:rsid w:val="00875878"/>
    <w:rsid w:val="00875A2B"/>
    <w:rsid w:val="00876E20"/>
    <w:rsid w:val="008771E2"/>
    <w:rsid w:val="00877623"/>
    <w:rsid w:val="00877984"/>
    <w:rsid w:val="00877B96"/>
    <w:rsid w:val="00877E7A"/>
    <w:rsid w:val="00880373"/>
    <w:rsid w:val="00880B92"/>
    <w:rsid w:val="00880F50"/>
    <w:rsid w:val="0088184F"/>
    <w:rsid w:val="00881860"/>
    <w:rsid w:val="00881E70"/>
    <w:rsid w:val="00882A4A"/>
    <w:rsid w:val="00882E62"/>
    <w:rsid w:val="00882F35"/>
    <w:rsid w:val="00883134"/>
    <w:rsid w:val="00883495"/>
    <w:rsid w:val="00883A78"/>
    <w:rsid w:val="008842F9"/>
    <w:rsid w:val="00884BF9"/>
    <w:rsid w:val="00885744"/>
    <w:rsid w:val="0088580B"/>
    <w:rsid w:val="008863CC"/>
    <w:rsid w:val="0088687A"/>
    <w:rsid w:val="00887508"/>
    <w:rsid w:val="00887920"/>
    <w:rsid w:val="00887C0B"/>
    <w:rsid w:val="00890682"/>
    <w:rsid w:val="00890BF9"/>
    <w:rsid w:val="00890C7E"/>
    <w:rsid w:val="00891C19"/>
    <w:rsid w:val="0089205D"/>
    <w:rsid w:val="00892F4A"/>
    <w:rsid w:val="00893172"/>
    <w:rsid w:val="00893497"/>
    <w:rsid w:val="008937F7"/>
    <w:rsid w:val="008938A8"/>
    <w:rsid w:val="00893C10"/>
    <w:rsid w:val="00893C19"/>
    <w:rsid w:val="0089407C"/>
    <w:rsid w:val="0089409F"/>
    <w:rsid w:val="008940AB"/>
    <w:rsid w:val="00894BCB"/>
    <w:rsid w:val="0089507B"/>
    <w:rsid w:val="0089519B"/>
    <w:rsid w:val="00895362"/>
    <w:rsid w:val="00895524"/>
    <w:rsid w:val="008957DF"/>
    <w:rsid w:val="008959A0"/>
    <w:rsid w:val="00895D4A"/>
    <w:rsid w:val="00896F36"/>
    <w:rsid w:val="00897156"/>
    <w:rsid w:val="008973AA"/>
    <w:rsid w:val="00897685"/>
    <w:rsid w:val="008978A5"/>
    <w:rsid w:val="008978DE"/>
    <w:rsid w:val="008979EA"/>
    <w:rsid w:val="008A0237"/>
    <w:rsid w:val="008A0CD1"/>
    <w:rsid w:val="008A0D19"/>
    <w:rsid w:val="008A126B"/>
    <w:rsid w:val="008A1A1F"/>
    <w:rsid w:val="008A1C9A"/>
    <w:rsid w:val="008A1DBB"/>
    <w:rsid w:val="008A1FDF"/>
    <w:rsid w:val="008A245A"/>
    <w:rsid w:val="008A2710"/>
    <w:rsid w:val="008A2E9B"/>
    <w:rsid w:val="008A3435"/>
    <w:rsid w:val="008A3888"/>
    <w:rsid w:val="008A3A63"/>
    <w:rsid w:val="008A3AF3"/>
    <w:rsid w:val="008A423D"/>
    <w:rsid w:val="008A4887"/>
    <w:rsid w:val="008A505D"/>
    <w:rsid w:val="008A5765"/>
    <w:rsid w:val="008A5BD7"/>
    <w:rsid w:val="008A64A3"/>
    <w:rsid w:val="008A66F3"/>
    <w:rsid w:val="008A6994"/>
    <w:rsid w:val="008A6FE0"/>
    <w:rsid w:val="008A721C"/>
    <w:rsid w:val="008A7B8D"/>
    <w:rsid w:val="008B0204"/>
    <w:rsid w:val="008B0421"/>
    <w:rsid w:val="008B0F9D"/>
    <w:rsid w:val="008B1CB8"/>
    <w:rsid w:val="008B27E7"/>
    <w:rsid w:val="008B27F0"/>
    <w:rsid w:val="008B28B1"/>
    <w:rsid w:val="008B44A7"/>
    <w:rsid w:val="008B4F99"/>
    <w:rsid w:val="008B5060"/>
    <w:rsid w:val="008B667A"/>
    <w:rsid w:val="008B6A97"/>
    <w:rsid w:val="008B7EDF"/>
    <w:rsid w:val="008C0A89"/>
    <w:rsid w:val="008C1D47"/>
    <w:rsid w:val="008C2A92"/>
    <w:rsid w:val="008C3615"/>
    <w:rsid w:val="008C3712"/>
    <w:rsid w:val="008C394D"/>
    <w:rsid w:val="008C3F19"/>
    <w:rsid w:val="008C4449"/>
    <w:rsid w:val="008C49A7"/>
    <w:rsid w:val="008C4DEF"/>
    <w:rsid w:val="008C5669"/>
    <w:rsid w:val="008C5D4B"/>
    <w:rsid w:val="008C6379"/>
    <w:rsid w:val="008C7733"/>
    <w:rsid w:val="008C7939"/>
    <w:rsid w:val="008C7ED6"/>
    <w:rsid w:val="008D01FC"/>
    <w:rsid w:val="008D038B"/>
    <w:rsid w:val="008D0554"/>
    <w:rsid w:val="008D0575"/>
    <w:rsid w:val="008D08DC"/>
    <w:rsid w:val="008D09BD"/>
    <w:rsid w:val="008D0FFE"/>
    <w:rsid w:val="008D1B90"/>
    <w:rsid w:val="008D2477"/>
    <w:rsid w:val="008D2BE5"/>
    <w:rsid w:val="008D313D"/>
    <w:rsid w:val="008D333A"/>
    <w:rsid w:val="008D33AB"/>
    <w:rsid w:val="008D3D96"/>
    <w:rsid w:val="008D435D"/>
    <w:rsid w:val="008D4DA6"/>
    <w:rsid w:val="008D5481"/>
    <w:rsid w:val="008D6343"/>
    <w:rsid w:val="008D635E"/>
    <w:rsid w:val="008D7105"/>
    <w:rsid w:val="008D7C53"/>
    <w:rsid w:val="008D7FDD"/>
    <w:rsid w:val="008E0856"/>
    <w:rsid w:val="008E0A9A"/>
    <w:rsid w:val="008E250C"/>
    <w:rsid w:val="008E25B1"/>
    <w:rsid w:val="008E27E8"/>
    <w:rsid w:val="008E3455"/>
    <w:rsid w:val="008E35DA"/>
    <w:rsid w:val="008E3974"/>
    <w:rsid w:val="008E50F4"/>
    <w:rsid w:val="008E5421"/>
    <w:rsid w:val="008E5AB4"/>
    <w:rsid w:val="008E68B1"/>
    <w:rsid w:val="008E6A4E"/>
    <w:rsid w:val="008E6CAE"/>
    <w:rsid w:val="008E764D"/>
    <w:rsid w:val="008E76EE"/>
    <w:rsid w:val="008E781E"/>
    <w:rsid w:val="008F0172"/>
    <w:rsid w:val="008F0E0B"/>
    <w:rsid w:val="008F1108"/>
    <w:rsid w:val="008F154B"/>
    <w:rsid w:val="008F190D"/>
    <w:rsid w:val="008F1B9A"/>
    <w:rsid w:val="008F1EE5"/>
    <w:rsid w:val="008F2357"/>
    <w:rsid w:val="008F2519"/>
    <w:rsid w:val="008F2FE9"/>
    <w:rsid w:val="008F4883"/>
    <w:rsid w:val="008F48E7"/>
    <w:rsid w:val="008F4D8E"/>
    <w:rsid w:val="008F52C5"/>
    <w:rsid w:val="008F5EA2"/>
    <w:rsid w:val="008F64F2"/>
    <w:rsid w:val="008F69F6"/>
    <w:rsid w:val="008F7222"/>
    <w:rsid w:val="008F7690"/>
    <w:rsid w:val="00900476"/>
    <w:rsid w:val="00900644"/>
    <w:rsid w:val="009006C7"/>
    <w:rsid w:val="00900894"/>
    <w:rsid w:val="0090146D"/>
    <w:rsid w:val="00901C40"/>
    <w:rsid w:val="009021E2"/>
    <w:rsid w:val="00903EBD"/>
    <w:rsid w:val="00904069"/>
    <w:rsid w:val="00904241"/>
    <w:rsid w:val="00904BF1"/>
    <w:rsid w:val="00904E0A"/>
    <w:rsid w:val="00905120"/>
    <w:rsid w:val="0090564B"/>
    <w:rsid w:val="00905711"/>
    <w:rsid w:val="00905BBB"/>
    <w:rsid w:val="00906530"/>
    <w:rsid w:val="009074A3"/>
    <w:rsid w:val="009113C9"/>
    <w:rsid w:val="0091150C"/>
    <w:rsid w:val="0091156D"/>
    <w:rsid w:val="0091181C"/>
    <w:rsid w:val="0091192F"/>
    <w:rsid w:val="00912060"/>
    <w:rsid w:val="009127C9"/>
    <w:rsid w:val="009133A2"/>
    <w:rsid w:val="00913426"/>
    <w:rsid w:val="009142F7"/>
    <w:rsid w:val="0091482F"/>
    <w:rsid w:val="00914AEA"/>
    <w:rsid w:val="00914D76"/>
    <w:rsid w:val="009153A5"/>
    <w:rsid w:val="009158AB"/>
    <w:rsid w:val="00915CA0"/>
    <w:rsid w:val="00916524"/>
    <w:rsid w:val="009166B0"/>
    <w:rsid w:val="00917370"/>
    <w:rsid w:val="009173F1"/>
    <w:rsid w:val="0091766F"/>
    <w:rsid w:val="00917A6F"/>
    <w:rsid w:val="00917B94"/>
    <w:rsid w:val="00917E98"/>
    <w:rsid w:val="00920813"/>
    <w:rsid w:val="00920C71"/>
    <w:rsid w:val="00921C86"/>
    <w:rsid w:val="00922077"/>
    <w:rsid w:val="0092207E"/>
    <w:rsid w:val="0092261D"/>
    <w:rsid w:val="00922C1D"/>
    <w:rsid w:val="009241BD"/>
    <w:rsid w:val="009251C9"/>
    <w:rsid w:val="009261BF"/>
    <w:rsid w:val="009265B3"/>
    <w:rsid w:val="00926DF6"/>
    <w:rsid w:val="00927616"/>
    <w:rsid w:val="009279A7"/>
    <w:rsid w:val="00927A4B"/>
    <w:rsid w:val="00930476"/>
    <w:rsid w:val="009319A9"/>
    <w:rsid w:val="00931CA1"/>
    <w:rsid w:val="00931F5D"/>
    <w:rsid w:val="00932058"/>
    <w:rsid w:val="0093250E"/>
    <w:rsid w:val="00932EF0"/>
    <w:rsid w:val="00932F40"/>
    <w:rsid w:val="009339DD"/>
    <w:rsid w:val="00934077"/>
    <w:rsid w:val="0093446E"/>
    <w:rsid w:val="00934499"/>
    <w:rsid w:val="00934A30"/>
    <w:rsid w:val="00935C61"/>
    <w:rsid w:val="00936317"/>
    <w:rsid w:val="00936C39"/>
    <w:rsid w:val="009371F6"/>
    <w:rsid w:val="00937492"/>
    <w:rsid w:val="009400A3"/>
    <w:rsid w:val="0094055B"/>
    <w:rsid w:val="00940AC2"/>
    <w:rsid w:val="00940EC8"/>
    <w:rsid w:val="009411FD"/>
    <w:rsid w:val="00941262"/>
    <w:rsid w:val="009419FC"/>
    <w:rsid w:val="0094392D"/>
    <w:rsid w:val="00943CF4"/>
    <w:rsid w:val="00944625"/>
    <w:rsid w:val="00945076"/>
    <w:rsid w:val="00945444"/>
    <w:rsid w:val="009458A4"/>
    <w:rsid w:val="00946EE8"/>
    <w:rsid w:val="00946F38"/>
    <w:rsid w:val="009473AF"/>
    <w:rsid w:val="009477B9"/>
    <w:rsid w:val="00947ECC"/>
    <w:rsid w:val="00950DEE"/>
    <w:rsid w:val="0095134F"/>
    <w:rsid w:val="009514F9"/>
    <w:rsid w:val="009515FA"/>
    <w:rsid w:val="0095192A"/>
    <w:rsid w:val="00951FFD"/>
    <w:rsid w:val="00952008"/>
    <w:rsid w:val="00952B91"/>
    <w:rsid w:val="00952BC8"/>
    <w:rsid w:val="00952FE3"/>
    <w:rsid w:val="00953A84"/>
    <w:rsid w:val="00953D7B"/>
    <w:rsid w:val="00953E15"/>
    <w:rsid w:val="00954AC0"/>
    <w:rsid w:val="009553E4"/>
    <w:rsid w:val="00956B97"/>
    <w:rsid w:val="0095753C"/>
    <w:rsid w:val="00957D86"/>
    <w:rsid w:val="00957FBF"/>
    <w:rsid w:val="0096006B"/>
    <w:rsid w:val="00960424"/>
    <w:rsid w:val="009606EB"/>
    <w:rsid w:val="00962009"/>
    <w:rsid w:val="009622A6"/>
    <w:rsid w:val="00962EB5"/>
    <w:rsid w:val="009631E3"/>
    <w:rsid w:val="00963291"/>
    <w:rsid w:val="00963B8E"/>
    <w:rsid w:val="009642A8"/>
    <w:rsid w:val="00964BBC"/>
    <w:rsid w:val="00964EFD"/>
    <w:rsid w:val="00965199"/>
    <w:rsid w:val="009653E8"/>
    <w:rsid w:val="0096584A"/>
    <w:rsid w:val="00965C50"/>
    <w:rsid w:val="00966640"/>
    <w:rsid w:val="009667CD"/>
    <w:rsid w:val="00967031"/>
    <w:rsid w:val="00967698"/>
    <w:rsid w:val="0096788C"/>
    <w:rsid w:val="009679E8"/>
    <w:rsid w:val="00970968"/>
    <w:rsid w:val="00971393"/>
    <w:rsid w:val="00971B28"/>
    <w:rsid w:val="00971CF5"/>
    <w:rsid w:val="00972566"/>
    <w:rsid w:val="009730DE"/>
    <w:rsid w:val="0097328E"/>
    <w:rsid w:val="00973AA7"/>
    <w:rsid w:val="00973D86"/>
    <w:rsid w:val="00973F50"/>
    <w:rsid w:val="00975FE5"/>
    <w:rsid w:val="00976528"/>
    <w:rsid w:val="00976634"/>
    <w:rsid w:val="009766D8"/>
    <w:rsid w:val="0097696E"/>
    <w:rsid w:val="009769E9"/>
    <w:rsid w:val="00976B78"/>
    <w:rsid w:val="009772F2"/>
    <w:rsid w:val="009776D0"/>
    <w:rsid w:val="00977BC1"/>
    <w:rsid w:val="00977C94"/>
    <w:rsid w:val="00980777"/>
    <w:rsid w:val="00980A65"/>
    <w:rsid w:val="00980C7B"/>
    <w:rsid w:val="00981080"/>
    <w:rsid w:val="0098162B"/>
    <w:rsid w:val="00982144"/>
    <w:rsid w:val="00982D62"/>
    <w:rsid w:val="00982F94"/>
    <w:rsid w:val="00983240"/>
    <w:rsid w:val="0098344E"/>
    <w:rsid w:val="009838A9"/>
    <w:rsid w:val="009838D1"/>
    <w:rsid w:val="00983B16"/>
    <w:rsid w:val="00984449"/>
    <w:rsid w:val="0098546E"/>
    <w:rsid w:val="0098605B"/>
    <w:rsid w:val="009862EA"/>
    <w:rsid w:val="009866A1"/>
    <w:rsid w:val="0098670A"/>
    <w:rsid w:val="009869F1"/>
    <w:rsid w:val="00987F57"/>
    <w:rsid w:val="0099035E"/>
    <w:rsid w:val="009908A6"/>
    <w:rsid w:val="00990D69"/>
    <w:rsid w:val="009911A9"/>
    <w:rsid w:val="0099149A"/>
    <w:rsid w:val="00991843"/>
    <w:rsid w:val="0099246D"/>
    <w:rsid w:val="00993696"/>
    <w:rsid w:val="009949B2"/>
    <w:rsid w:val="00994D58"/>
    <w:rsid w:val="0099544C"/>
    <w:rsid w:val="00995AEF"/>
    <w:rsid w:val="00996F1E"/>
    <w:rsid w:val="009978C0"/>
    <w:rsid w:val="00997AA5"/>
    <w:rsid w:val="00997F3E"/>
    <w:rsid w:val="009A0CDE"/>
    <w:rsid w:val="009A0E49"/>
    <w:rsid w:val="009A176D"/>
    <w:rsid w:val="009A2DD8"/>
    <w:rsid w:val="009A2E8B"/>
    <w:rsid w:val="009A3887"/>
    <w:rsid w:val="009A39CE"/>
    <w:rsid w:val="009A4BA5"/>
    <w:rsid w:val="009A59EF"/>
    <w:rsid w:val="009A5F8F"/>
    <w:rsid w:val="009A61DF"/>
    <w:rsid w:val="009A7426"/>
    <w:rsid w:val="009A7E43"/>
    <w:rsid w:val="009B05AC"/>
    <w:rsid w:val="009B0F46"/>
    <w:rsid w:val="009B11F6"/>
    <w:rsid w:val="009B1B43"/>
    <w:rsid w:val="009B2640"/>
    <w:rsid w:val="009B2A70"/>
    <w:rsid w:val="009B2ABD"/>
    <w:rsid w:val="009B2D9A"/>
    <w:rsid w:val="009B2DC6"/>
    <w:rsid w:val="009B2F8C"/>
    <w:rsid w:val="009B334B"/>
    <w:rsid w:val="009B3AB3"/>
    <w:rsid w:val="009B3F43"/>
    <w:rsid w:val="009B410C"/>
    <w:rsid w:val="009B4C82"/>
    <w:rsid w:val="009B58C4"/>
    <w:rsid w:val="009B5905"/>
    <w:rsid w:val="009B64C4"/>
    <w:rsid w:val="009B7024"/>
    <w:rsid w:val="009B7120"/>
    <w:rsid w:val="009C172E"/>
    <w:rsid w:val="009C186B"/>
    <w:rsid w:val="009C1DBF"/>
    <w:rsid w:val="009C216A"/>
    <w:rsid w:val="009C2508"/>
    <w:rsid w:val="009C254C"/>
    <w:rsid w:val="009C28C0"/>
    <w:rsid w:val="009C2BE4"/>
    <w:rsid w:val="009C3EFA"/>
    <w:rsid w:val="009C40EA"/>
    <w:rsid w:val="009C4504"/>
    <w:rsid w:val="009C53C2"/>
    <w:rsid w:val="009C59BD"/>
    <w:rsid w:val="009C5D06"/>
    <w:rsid w:val="009C61A0"/>
    <w:rsid w:val="009C6617"/>
    <w:rsid w:val="009C6F84"/>
    <w:rsid w:val="009C75DF"/>
    <w:rsid w:val="009D0279"/>
    <w:rsid w:val="009D0AF2"/>
    <w:rsid w:val="009D1857"/>
    <w:rsid w:val="009D1DD3"/>
    <w:rsid w:val="009D1DD6"/>
    <w:rsid w:val="009D2CA0"/>
    <w:rsid w:val="009D2F30"/>
    <w:rsid w:val="009D2F81"/>
    <w:rsid w:val="009D3627"/>
    <w:rsid w:val="009D39A5"/>
    <w:rsid w:val="009D462A"/>
    <w:rsid w:val="009D47F1"/>
    <w:rsid w:val="009D4CF4"/>
    <w:rsid w:val="009D56E7"/>
    <w:rsid w:val="009D7A15"/>
    <w:rsid w:val="009E00AA"/>
    <w:rsid w:val="009E0186"/>
    <w:rsid w:val="009E041A"/>
    <w:rsid w:val="009E21AB"/>
    <w:rsid w:val="009E3D26"/>
    <w:rsid w:val="009E4E69"/>
    <w:rsid w:val="009E50C5"/>
    <w:rsid w:val="009E5A98"/>
    <w:rsid w:val="009E5C09"/>
    <w:rsid w:val="009E5FA0"/>
    <w:rsid w:val="009E6113"/>
    <w:rsid w:val="009E67BE"/>
    <w:rsid w:val="009E6EAC"/>
    <w:rsid w:val="009E6EBB"/>
    <w:rsid w:val="009E70E3"/>
    <w:rsid w:val="009F0279"/>
    <w:rsid w:val="009F0CD7"/>
    <w:rsid w:val="009F0DFD"/>
    <w:rsid w:val="009F16C6"/>
    <w:rsid w:val="009F1838"/>
    <w:rsid w:val="009F2318"/>
    <w:rsid w:val="009F293C"/>
    <w:rsid w:val="009F2DB8"/>
    <w:rsid w:val="009F33B8"/>
    <w:rsid w:val="009F3688"/>
    <w:rsid w:val="009F3938"/>
    <w:rsid w:val="009F39C0"/>
    <w:rsid w:val="009F3DF0"/>
    <w:rsid w:val="009F4530"/>
    <w:rsid w:val="009F4569"/>
    <w:rsid w:val="009F48E6"/>
    <w:rsid w:val="009F4FB4"/>
    <w:rsid w:val="009F503D"/>
    <w:rsid w:val="009F51FE"/>
    <w:rsid w:val="009F56C7"/>
    <w:rsid w:val="009F578A"/>
    <w:rsid w:val="009F62E5"/>
    <w:rsid w:val="009F6BF6"/>
    <w:rsid w:val="009F7640"/>
    <w:rsid w:val="009F7A3D"/>
    <w:rsid w:val="009F7CBE"/>
    <w:rsid w:val="00A0041B"/>
    <w:rsid w:val="00A00577"/>
    <w:rsid w:val="00A00BD2"/>
    <w:rsid w:val="00A00C68"/>
    <w:rsid w:val="00A010C2"/>
    <w:rsid w:val="00A0125B"/>
    <w:rsid w:val="00A02026"/>
    <w:rsid w:val="00A0242F"/>
    <w:rsid w:val="00A02AF9"/>
    <w:rsid w:val="00A02E02"/>
    <w:rsid w:val="00A031A1"/>
    <w:rsid w:val="00A03B81"/>
    <w:rsid w:val="00A0463F"/>
    <w:rsid w:val="00A04E05"/>
    <w:rsid w:val="00A0522F"/>
    <w:rsid w:val="00A0550F"/>
    <w:rsid w:val="00A0589C"/>
    <w:rsid w:val="00A060C1"/>
    <w:rsid w:val="00A063A5"/>
    <w:rsid w:val="00A06BF1"/>
    <w:rsid w:val="00A06F02"/>
    <w:rsid w:val="00A07AF4"/>
    <w:rsid w:val="00A10217"/>
    <w:rsid w:val="00A102FF"/>
    <w:rsid w:val="00A11973"/>
    <w:rsid w:val="00A11ACC"/>
    <w:rsid w:val="00A133D6"/>
    <w:rsid w:val="00A1352B"/>
    <w:rsid w:val="00A13B64"/>
    <w:rsid w:val="00A147E6"/>
    <w:rsid w:val="00A148C7"/>
    <w:rsid w:val="00A14E08"/>
    <w:rsid w:val="00A152A4"/>
    <w:rsid w:val="00A15CCA"/>
    <w:rsid w:val="00A17150"/>
    <w:rsid w:val="00A1743B"/>
    <w:rsid w:val="00A17E21"/>
    <w:rsid w:val="00A21011"/>
    <w:rsid w:val="00A21D5F"/>
    <w:rsid w:val="00A22204"/>
    <w:rsid w:val="00A22419"/>
    <w:rsid w:val="00A225B3"/>
    <w:rsid w:val="00A246A0"/>
    <w:rsid w:val="00A24966"/>
    <w:rsid w:val="00A24BE4"/>
    <w:rsid w:val="00A24BE5"/>
    <w:rsid w:val="00A24E1D"/>
    <w:rsid w:val="00A252CA"/>
    <w:rsid w:val="00A253F0"/>
    <w:rsid w:val="00A25CCC"/>
    <w:rsid w:val="00A26361"/>
    <w:rsid w:val="00A263C5"/>
    <w:rsid w:val="00A26ADC"/>
    <w:rsid w:val="00A270B3"/>
    <w:rsid w:val="00A275C6"/>
    <w:rsid w:val="00A30A1E"/>
    <w:rsid w:val="00A31C8F"/>
    <w:rsid w:val="00A31CD4"/>
    <w:rsid w:val="00A321F2"/>
    <w:rsid w:val="00A32C04"/>
    <w:rsid w:val="00A32CB5"/>
    <w:rsid w:val="00A3375E"/>
    <w:rsid w:val="00A33A97"/>
    <w:rsid w:val="00A34191"/>
    <w:rsid w:val="00A343A9"/>
    <w:rsid w:val="00A3516C"/>
    <w:rsid w:val="00A352FA"/>
    <w:rsid w:val="00A3555E"/>
    <w:rsid w:val="00A35F0B"/>
    <w:rsid w:val="00A369B4"/>
    <w:rsid w:val="00A36ADA"/>
    <w:rsid w:val="00A36B15"/>
    <w:rsid w:val="00A372F7"/>
    <w:rsid w:val="00A3730A"/>
    <w:rsid w:val="00A377B3"/>
    <w:rsid w:val="00A37959"/>
    <w:rsid w:val="00A400AD"/>
    <w:rsid w:val="00A4016B"/>
    <w:rsid w:val="00A41D52"/>
    <w:rsid w:val="00A41D7E"/>
    <w:rsid w:val="00A434F7"/>
    <w:rsid w:val="00A4364F"/>
    <w:rsid w:val="00A43DF3"/>
    <w:rsid w:val="00A44024"/>
    <w:rsid w:val="00A44C35"/>
    <w:rsid w:val="00A45809"/>
    <w:rsid w:val="00A45A73"/>
    <w:rsid w:val="00A45DEF"/>
    <w:rsid w:val="00A46026"/>
    <w:rsid w:val="00A4645D"/>
    <w:rsid w:val="00A46AF8"/>
    <w:rsid w:val="00A474BA"/>
    <w:rsid w:val="00A5276B"/>
    <w:rsid w:val="00A53029"/>
    <w:rsid w:val="00A53569"/>
    <w:rsid w:val="00A535E9"/>
    <w:rsid w:val="00A54569"/>
    <w:rsid w:val="00A545CA"/>
    <w:rsid w:val="00A54675"/>
    <w:rsid w:val="00A54906"/>
    <w:rsid w:val="00A54A99"/>
    <w:rsid w:val="00A54D44"/>
    <w:rsid w:val="00A55398"/>
    <w:rsid w:val="00A563E2"/>
    <w:rsid w:val="00A56625"/>
    <w:rsid w:val="00A568DD"/>
    <w:rsid w:val="00A56E2A"/>
    <w:rsid w:val="00A575C3"/>
    <w:rsid w:val="00A5775B"/>
    <w:rsid w:val="00A57851"/>
    <w:rsid w:val="00A57CFA"/>
    <w:rsid w:val="00A57DC2"/>
    <w:rsid w:val="00A606F9"/>
    <w:rsid w:val="00A6103F"/>
    <w:rsid w:val="00A617D4"/>
    <w:rsid w:val="00A61B62"/>
    <w:rsid w:val="00A620E8"/>
    <w:rsid w:val="00A621E9"/>
    <w:rsid w:val="00A6221A"/>
    <w:rsid w:val="00A6254A"/>
    <w:rsid w:val="00A6306F"/>
    <w:rsid w:val="00A6368E"/>
    <w:rsid w:val="00A64F4C"/>
    <w:rsid w:val="00A656BE"/>
    <w:rsid w:val="00A65892"/>
    <w:rsid w:val="00A65B2E"/>
    <w:rsid w:val="00A65BFE"/>
    <w:rsid w:val="00A6655B"/>
    <w:rsid w:val="00A6675A"/>
    <w:rsid w:val="00A671A0"/>
    <w:rsid w:val="00A671B5"/>
    <w:rsid w:val="00A67E10"/>
    <w:rsid w:val="00A7019D"/>
    <w:rsid w:val="00A708EE"/>
    <w:rsid w:val="00A70CEE"/>
    <w:rsid w:val="00A71BD3"/>
    <w:rsid w:val="00A71E65"/>
    <w:rsid w:val="00A72BED"/>
    <w:rsid w:val="00A73140"/>
    <w:rsid w:val="00A742E1"/>
    <w:rsid w:val="00A74900"/>
    <w:rsid w:val="00A7627F"/>
    <w:rsid w:val="00A7648B"/>
    <w:rsid w:val="00A76B19"/>
    <w:rsid w:val="00A7709F"/>
    <w:rsid w:val="00A775C0"/>
    <w:rsid w:val="00A77A9E"/>
    <w:rsid w:val="00A80548"/>
    <w:rsid w:val="00A81424"/>
    <w:rsid w:val="00A81651"/>
    <w:rsid w:val="00A819B9"/>
    <w:rsid w:val="00A81A5F"/>
    <w:rsid w:val="00A828F4"/>
    <w:rsid w:val="00A82D32"/>
    <w:rsid w:val="00A830A3"/>
    <w:rsid w:val="00A83CFF"/>
    <w:rsid w:val="00A85129"/>
    <w:rsid w:val="00A856A0"/>
    <w:rsid w:val="00A86920"/>
    <w:rsid w:val="00A86B76"/>
    <w:rsid w:val="00A87770"/>
    <w:rsid w:val="00A90B91"/>
    <w:rsid w:val="00A90F8A"/>
    <w:rsid w:val="00A91292"/>
    <w:rsid w:val="00A91403"/>
    <w:rsid w:val="00A91CCF"/>
    <w:rsid w:val="00A92086"/>
    <w:rsid w:val="00A922DE"/>
    <w:rsid w:val="00A92334"/>
    <w:rsid w:val="00A92362"/>
    <w:rsid w:val="00A92C77"/>
    <w:rsid w:val="00A93124"/>
    <w:rsid w:val="00A932A4"/>
    <w:rsid w:val="00A93A57"/>
    <w:rsid w:val="00A93A5F"/>
    <w:rsid w:val="00A93CD0"/>
    <w:rsid w:val="00A942A9"/>
    <w:rsid w:val="00A94A6C"/>
    <w:rsid w:val="00A94A82"/>
    <w:rsid w:val="00A94E93"/>
    <w:rsid w:val="00A954B4"/>
    <w:rsid w:val="00A95982"/>
    <w:rsid w:val="00A96155"/>
    <w:rsid w:val="00A96A7F"/>
    <w:rsid w:val="00A96E26"/>
    <w:rsid w:val="00A978BE"/>
    <w:rsid w:val="00A97AE2"/>
    <w:rsid w:val="00A97F05"/>
    <w:rsid w:val="00AA053B"/>
    <w:rsid w:val="00AA0586"/>
    <w:rsid w:val="00AA0647"/>
    <w:rsid w:val="00AA07CB"/>
    <w:rsid w:val="00AA0F19"/>
    <w:rsid w:val="00AA171D"/>
    <w:rsid w:val="00AA2850"/>
    <w:rsid w:val="00AA2D2D"/>
    <w:rsid w:val="00AA2EBB"/>
    <w:rsid w:val="00AA33FE"/>
    <w:rsid w:val="00AA4409"/>
    <w:rsid w:val="00AA49DF"/>
    <w:rsid w:val="00AA56D7"/>
    <w:rsid w:val="00AA600A"/>
    <w:rsid w:val="00AA6197"/>
    <w:rsid w:val="00AA691D"/>
    <w:rsid w:val="00AA6D21"/>
    <w:rsid w:val="00AA6F45"/>
    <w:rsid w:val="00AA6FC1"/>
    <w:rsid w:val="00AA70EA"/>
    <w:rsid w:val="00AB03C3"/>
    <w:rsid w:val="00AB064B"/>
    <w:rsid w:val="00AB2059"/>
    <w:rsid w:val="00AB228B"/>
    <w:rsid w:val="00AB253C"/>
    <w:rsid w:val="00AB397B"/>
    <w:rsid w:val="00AB3FB2"/>
    <w:rsid w:val="00AB498D"/>
    <w:rsid w:val="00AB591B"/>
    <w:rsid w:val="00AB62C4"/>
    <w:rsid w:val="00AB7B40"/>
    <w:rsid w:val="00AB7DC4"/>
    <w:rsid w:val="00AC042B"/>
    <w:rsid w:val="00AC0966"/>
    <w:rsid w:val="00AC20F6"/>
    <w:rsid w:val="00AC24D0"/>
    <w:rsid w:val="00AC320A"/>
    <w:rsid w:val="00AC3383"/>
    <w:rsid w:val="00AC4282"/>
    <w:rsid w:val="00AC4492"/>
    <w:rsid w:val="00AC4950"/>
    <w:rsid w:val="00AC4C67"/>
    <w:rsid w:val="00AC576F"/>
    <w:rsid w:val="00AC5C83"/>
    <w:rsid w:val="00AC6005"/>
    <w:rsid w:val="00AC6BED"/>
    <w:rsid w:val="00AC6EC5"/>
    <w:rsid w:val="00AC7211"/>
    <w:rsid w:val="00AC72C2"/>
    <w:rsid w:val="00AC760A"/>
    <w:rsid w:val="00AC7658"/>
    <w:rsid w:val="00AC7B1A"/>
    <w:rsid w:val="00AD06E9"/>
    <w:rsid w:val="00AD0D6E"/>
    <w:rsid w:val="00AD0E2F"/>
    <w:rsid w:val="00AD19D0"/>
    <w:rsid w:val="00AD2552"/>
    <w:rsid w:val="00AD2CF7"/>
    <w:rsid w:val="00AD2EE9"/>
    <w:rsid w:val="00AD3441"/>
    <w:rsid w:val="00AD35EC"/>
    <w:rsid w:val="00AD36B3"/>
    <w:rsid w:val="00AD3DB2"/>
    <w:rsid w:val="00AD40EC"/>
    <w:rsid w:val="00AD5085"/>
    <w:rsid w:val="00AD5971"/>
    <w:rsid w:val="00AD5DC3"/>
    <w:rsid w:val="00AD6316"/>
    <w:rsid w:val="00AD67E9"/>
    <w:rsid w:val="00AD6879"/>
    <w:rsid w:val="00AD6984"/>
    <w:rsid w:val="00AD6F30"/>
    <w:rsid w:val="00AD7899"/>
    <w:rsid w:val="00AE0586"/>
    <w:rsid w:val="00AE0593"/>
    <w:rsid w:val="00AE06C1"/>
    <w:rsid w:val="00AE09CF"/>
    <w:rsid w:val="00AE0BFF"/>
    <w:rsid w:val="00AE0FB6"/>
    <w:rsid w:val="00AE1114"/>
    <w:rsid w:val="00AE18B8"/>
    <w:rsid w:val="00AE1B35"/>
    <w:rsid w:val="00AE1D36"/>
    <w:rsid w:val="00AE1D52"/>
    <w:rsid w:val="00AE20D7"/>
    <w:rsid w:val="00AE2170"/>
    <w:rsid w:val="00AE23C9"/>
    <w:rsid w:val="00AE3549"/>
    <w:rsid w:val="00AE480C"/>
    <w:rsid w:val="00AE527A"/>
    <w:rsid w:val="00AE53D8"/>
    <w:rsid w:val="00AE62A4"/>
    <w:rsid w:val="00AE642B"/>
    <w:rsid w:val="00AE6C67"/>
    <w:rsid w:val="00AE7470"/>
    <w:rsid w:val="00AE7CED"/>
    <w:rsid w:val="00AE7D07"/>
    <w:rsid w:val="00AE7FB8"/>
    <w:rsid w:val="00AF0277"/>
    <w:rsid w:val="00AF0876"/>
    <w:rsid w:val="00AF0C08"/>
    <w:rsid w:val="00AF0C33"/>
    <w:rsid w:val="00AF17D1"/>
    <w:rsid w:val="00AF2172"/>
    <w:rsid w:val="00AF2260"/>
    <w:rsid w:val="00AF3142"/>
    <w:rsid w:val="00AF3274"/>
    <w:rsid w:val="00AF3275"/>
    <w:rsid w:val="00AF3601"/>
    <w:rsid w:val="00AF37A5"/>
    <w:rsid w:val="00AF3DC1"/>
    <w:rsid w:val="00AF4967"/>
    <w:rsid w:val="00AF5321"/>
    <w:rsid w:val="00AF5425"/>
    <w:rsid w:val="00AF57B1"/>
    <w:rsid w:val="00AF5DD5"/>
    <w:rsid w:val="00AF5EDB"/>
    <w:rsid w:val="00AF5FD1"/>
    <w:rsid w:val="00AF63FB"/>
    <w:rsid w:val="00AF6AEC"/>
    <w:rsid w:val="00AF6EA1"/>
    <w:rsid w:val="00AF6F44"/>
    <w:rsid w:val="00AF72E0"/>
    <w:rsid w:val="00AF7868"/>
    <w:rsid w:val="00AF7A09"/>
    <w:rsid w:val="00B0013E"/>
    <w:rsid w:val="00B0049D"/>
    <w:rsid w:val="00B008F1"/>
    <w:rsid w:val="00B00D27"/>
    <w:rsid w:val="00B00FFD"/>
    <w:rsid w:val="00B02192"/>
    <w:rsid w:val="00B024A2"/>
    <w:rsid w:val="00B02537"/>
    <w:rsid w:val="00B02FF9"/>
    <w:rsid w:val="00B039FC"/>
    <w:rsid w:val="00B03D73"/>
    <w:rsid w:val="00B03EB0"/>
    <w:rsid w:val="00B04750"/>
    <w:rsid w:val="00B0596D"/>
    <w:rsid w:val="00B05B22"/>
    <w:rsid w:val="00B05B49"/>
    <w:rsid w:val="00B06603"/>
    <w:rsid w:val="00B066F0"/>
    <w:rsid w:val="00B0704C"/>
    <w:rsid w:val="00B10E7A"/>
    <w:rsid w:val="00B11582"/>
    <w:rsid w:val="00B12154"/>
    <w:rsid w:val="00B1247C"/>
    <w:rsid w:val="00B12E75"/>
    <w:rsid w:val="00B12E7A"/>
    <w:rsid w:val="00B12EE0"/>
    <w:rsid w:val="00B1393C"/>
    <w:rsid w:val="00B14379"/>
    <w:rsid w:val="00B1484E"/>
    <w:rsid w:val="00B1510E"/>
    <w:rsid w:val="00B1566A"/>
    <w:rsid w:val="00B16206"/>
    <w:rsid w:val="00B17050"/>
    <w:rsid w:val="00B17F55"/>
    <w:rsid w:val="00B200C8"/>
    <w:rsid w:val="00B20204"/>
    <w:rsid w:val="00B20CFD"/>
    <w:rsid w:val="00B20EAB"/>
    <w:rsid w:val="00B2107B"/>
    <w:rsid w:val="00B213E6"/>
    <w:rsid w:val="00B2153C"/>
    <w:rsid w:val="00B22019"/>
    <w:rsid w:val="00B22803"/>
    <w:rsid w:val="00B23272"/>
    <w:rsid w:val="00B23667"/>
    <w:rsid w:val="00B23838"/>
    <w:rsid w:val="00B23AB4"/>
    <w:rsid w:val="00B23E53"/>
    <w:rsid w:val="00B24388"/>
    <w:rsid w:val="00B24A0A"/>
    <w:rsid w:val="00B24F06"/>
    <w:rsid w:val="00B25146"/>
    <w:rsid w:val="00B2529C"/>
    <w:rsid w:val="00B25492"/>
    <w:rsid w:val="00B25A42"/>
    <w:rsid w:val="00B26A5D"/>
    <w:rsid w:val="00B26F79"/>
    <w:rsid w:val="00B27B23"/>
    <w:rsid w:val="00B27C2E"/>
    <w:rsid w:val="00B30816"/>
    <w:rsid w:val="00B3119A"/>
    <w:rsid w:val="00B31BA9"/>
    <w:rsid w:val="00B32D00"/>
    <w:rsid w:val="00B3353B"/>
    <w:rsid w:val="00B337F9"/>
    <w:rsid w:val="00B33835"/>
    <w:rsid w:val="00B33FC6"/>
    <w:rsid w:val="00B345D2"/>
    <w:rsid w:val="00B3475C"/>
    <w:rsid w:val="00B35263"/>
    <w:rsid w:val="00B35317"/>
    <w:rsid w:val="00B3533A"/>
    <w:rsid w:val="00B3559E"/>
    <w:rsid w:val="00B35902"/>
    <w:rsid w:val="00B35990"/>
    <w:rsid w:val="00B35B3B"/>
    <w:rsid w:val="00B35D06"/>
    <w:rsid w:val="00B36376"/>
    <w:rsid w:val="00B36623"/>
    <w:rsid w:val="00B36731"/>
    <w:rsid w:val="00B36C6C"/>
    <w:rsid w:val="00B3725F"/>
    <w:rsid w:val="00B374EF"/>
    <w:rsid w:val="00B375AB"/>
    <w:rsid w:val="00B37755"/>
    <w:rsid w:val="00B37BF9"/>
    <w:rsid w:val="00B37C56"/>
    <w:rsid w:val="00B401D0"/>
    <w:rsid w:val="00B402EB"/>
    <w:rsid w:val="00B41257"/>
    <w:rsid w:val="00B41C09"/>
    <w:rsid w:val="00B442E1"/>
    <w:rsid w:val="00B446B0"/>
    <w:rsid w:val="00B44E48"/>
    <w:rsid w:val="00B4591A"/>
    <w:rsid w:val="00B461C0"/>
    <w:rsid w:val="00B46445"/>
    <w:rsid w:val="00B467D7"/>
    <w:rsid w:val="00B468BA"/>
    <w:rsid w:val="00B47A12"/>
    <w:rsid w:val="00B5009E"/>
    <w:rsid w:val="00B50187"/>
    <w:rsid w:val="00B5029A"/>
    <w:rsid w:val="00B50740"/>
    <w:rsid w:val="00B50914"/>
    <w:rsid w:val="00B50F54"/>
    <w:rsid w:val="00B510F7"/>
    <w:rsid w:val="00B511FF"/>
    <w:rsid w:val="00B51B19"/>
    <w:rsid w:val="00B52B5B"/>
    <w:rsid w:val="00B53B45"/>
    <w:rsid w:val="00B53FFF"/>
    <w:rsid w:val="00B54061"/>
    <w:rsid w:val="00B54417"/>
    <w:rsid w:val="00B548D1"/>
    <w:rsid w:val="00B54A8C"/>
    <w:rsid w:val="00B54B74"/>
    <w:rsid w:val="00B55062"/>
    <w:rsid w:val="00B557C2"/>
    <w:rsid w:val="00B559A8"/>
    <w:rsid w:val="00B56333"/>
    <w:rsid w:val="00B56A2A"/>
    <w:rsid w:val="00B579C8"/>
    <w:rsid w:val="00B57DE4"/>
    <w:rsid w:val="00B60018"/>
    <w:rsid w:val="00B60131"/>
    <w:rsid w:val="00B61610"/>
    <w:rsid w:val="00B61AD4"/>
    <w:rsid w:val="00B61AD7"/>
    <w:rsid w:val="00B61BE0"/>
    <w:rsid w:val="00B628F4"/>
    <w:rsid w:val="00B6494F"/>
    <w:rsid w:val="00B64D52"/>
    <w:rsid w:val="00B64E0F"/>
    <w:rsid w:val="00B654E3"/>
    <w:rsid w:val="00B65773"/>
    <w:rsid w:val="00B65A5D"/>
    <w:rsid w:val="00B65A9B"/>
    <w:rsid w:val="00B65F1B"/>
    <w:rsid w:val="00B668E4"/>
    <w:rsid w:val="00B6700A"/>
    <w:rsid w:val="00B705E7"/>
    <w:rsid w:val="00B711FA"/>
    <w:rsid w:val="00B71745"/>
    <w:rsid w:val="00B718AE"/>
    <w:rsid w:val="00B71AD3"/>
    <w:rsid w:val="00B71C46"/>
    <w:rsid w:val="00B729A1"/>
    <w:rsid w:val="00B732F7"/>
    <w:rsid w:val="00B74B14"/>
    <w:rsid w:val="00B75D0C"/>
    <w:rsid w:val="00B76008"/>
    <w:rsid w:val="00B760FA"/>
    <w:rsid w:val="00B769A0"/>
    <w:rsid w:val="00B76C2D"/>
    <w:rsid w:val="00B76DB9"/>
    <w:rsid w:val="00B77563"/>
    <w:rsid w:val="00B77A2B"/>
    <w:rsid w:val="00B77B7D"/>
    <w:rsid w:val="00B80092"/>
    <w:rsid w:val="00B80122"/>
    <w:rsid w:val="00B80919"/>
    <w:rsid w:val="00B80A05"/>
    <w:rsid w:val="00B81CA1"/>
    <w:rsid w:val="00B82598"/>
    <w:rsid w:val="00B836B8"/>
    <w:rsid w:val="00B83AEE"/>
    <w:rsid w:val="00B83EA9"/>
    <w:rsid w:val="00B844F9"/>
    <w:rsid w:val="00B84D90"/>
    <w:rsid w:val="00B84DC9"/>
    <w:rsid w:val="00B8547E"/>
    <w:rsid w:val="00B859F0"/>
    <w:rsid w:val="00B85A12"/>
    <w:rsid w:val="00B85DAC"/>
    <w:rsid w:val="00B86B19"/>
    <w:rsid w:val="00B876C6"/>
    <w:rsid w:val="00B91730"/>
    <w:rsid w:val="00B91D89"/>
    <w:rsid w:val="00B92664"/>
    <w:rsid w:val="00B9267D"/>
    <w:rsid w:val="00B928B1"/>
    <w:rsid w:val="00B929E2"/>
    <w:rsid w:val="00B9374A"/>
    <w:rsid w:val="00B94208"/>
    <w:rsid w:val="00B94284"/>
    <w:rsid w:val="00B9434F"/>
    <w:rsid w:val="00B948D5"/>
    <w:rsid w:val="00B94ADD"/>
    <w:rsid w:val="00B94AEB"/>
    <w:rsid w:val="00B95311"/>
    <w:rsid w:val="00B95456"/>
    <w:rsid w:val="00B955F7"/>
    <w:rsid w:val="00B95AAE"/>
    <w:rsid w:val="00B95F41"/>
    <w:rsid w:val="00B961B8"/>
    <w:rsid w:val="00B964F5"/>
    <w:rsid w:val="00B96730"/>
    <w:rsid w:val="00B96988"/>
    <w:rsid w:val="00B9732B"/>
    <w:rsid w:val="00B9789B"/>
    <w:rsid w:val="00BA0180"/>
    <w:rsid w:val="00BA01CB"/>
    <w:rsid w:val="00BA06E3"/>
    <w:rsid w:val="00BA1120"/>
    <w:rsid w:val="00BA123A"/>
    <w:rsid w:val="00BA2837"/>
    <w:rsid w:val="00BA2A72"/>
    <w:rsid w:val="00BA3807"/>
    <w:rsid w:val="00BA44C7"/>
    <w:rsid w:val="00BA4FBE"/>
    <w:rsid w:val="00BA5A90"/>
    <w:rsid w:val="00BA5F4C"/>
    <w:rsid w:val="00BA628C"/>
    <w:rsid w:val="00BA73F5"/>
    <w:rsid w:val="00BA7448"/>
    <w:rsid w:val="00BA7C8C"/>
    <w:rsid w:val="00BB0951"/>
    <w:rsid w:val="00BB0ABB"/>
    <w:rsid w:val="00BB11D1"/>
    <w:rsid w:val="00BB15BC"/>
    <w:rsid w:val="00BB19A1"/>
    <w:rsid w:val="00BB1FD9"/>
    <w:rsid w:val="00BB20C5"/>
    <w:rsid w:val="00BB2AC7"/>
    <w:rsid w:val="00BB39E7"/>
    <w:rsid w:val="00BB3CC0"/>
    <w:rsid w:val="00BB4588"/>
    <w:rsid w:val="00BB4D48"/>
    <w:rsid w:val="00BB4EAC"/>
    <w:rsid w:val="00BB5120"/>
    <w:rsid w:val="00BB585C"/>
    <w:rsid w:val="00BB5F6B"/>
    <w:rsid w:val="00BB60A8"/>
    <w:rsid w:val="00BB62F2"/>
    <w:rsid w:val="00BB6D12"/>
    <w:rsid w:val="00BB712A"/>
    <w:rsid w:val="00BB7AE1"/>
    <w:rsid w:val="00BC0B0D"/>
    <w:rsid w:val="00BC0B2A"/>
    <w:rsid w:val="00BC143A"/>
    <w:rsid w:val="00BC1458"/>
    <w:rsid w:val="00BC2405"/>
    <w:rsid w:val="00BC2B48"/>
    <w:rsid w:val="00BC31B6"/>
    <w:rsid w:val="00BC3CC2"/>
    <w:rsid w:val="00BC4F48"/>
    <w:rsid w:val="00BC535A"/>
    <w:rsid w:val="00BC5684"/>
    <w:rsid w:val="00BC585F"/>
    <w:rsid w:val="00BC5996"/>
    <w:rsid w:val="00BC5A5C"/>
    <w:rsid w:val="00BC615B"/>
    <w:rsid w:val="00BC65B7"/>
    <w:rsid w:val="00BC6687"/>
    <w:rsid w:val="00BC7BAB"/>
    <w:rsid w:val="00BC7EB4"/>
    <w:rsid w:val="00BD06F9"/>
    <w:rsid w:val="00BD1150"/>
    <w:rsid w:val="00BD1C73"/>
    <w:rsid w:val="00BD23DB"/>
    <w:rsid w:val="00BD27AE"/>
    <w:rsid w:val="00BD2B33"/>
    <w:rsid w:val="00BD328B"/>
    <w:rsid w:val="00BD332D"/>
    <w:rsid w:val="00BD3DB8"/>
    <w:rsid w:val="00BD4BD0"/>
    <w:rsid w:val="00BD4DBE"/>
    <w:rsid w:val="00BD5B84"/>
    <w:rsid w:val="00BD5C12"/>
    <w:rsid w:val="00BD5CB0"/>
    <w:rsid w:val="00BD5E26"/>
    <w:rsid w:val="00BD5E55"/>
    <w:rsid w:val="00BD7A5A"/>
    <w:rsid w:val="00BD7D05"/>
    <w:rsid w:val="00BE000F"/>
    <w:rsid w:val="00BE062D"/>
    <w:rsid w:val="00BE073C"/>
    <w:rsid w:val="00BE0EC8"/>
    <w:rsid w:val="00BE2DD2"/>
    <w:rsid w:val="00BE35DE"/>
    <w:rsid w:val="00BE38B2"/>
    <w:rsid w:val="00BE3A94"/>
    <w:rsid w:val="00BE3F45"/>
    <w:rsid w:val="00BE41BA"/>
    <w:rsid w:val="00BE45A5"/>
    <w:rsid w:val="00BE4BFC"/>
    <w:rsid w:val="00BE4E15"/>
    <w:rsid w:val="00BE546E"/>
    <w:rsid w:val="00BE5BFA"/>
    <w:rsid w:val="00BE7089"/>
    <w:rsid w:val="00BF00FD"/>
    <w:rsid w:val="00BF0E76"/>
    <w:rsid w:val="00BF1910"/>
    <w:rsid w:val="00BF250A"/>
    <w:rsid w:val="00BF255A"/>
    <w:rsid w:val="00BF2C32"/>
    <w:rsid w:val="00BF348A"/>
    <w:rsid w:val="00BF3B6C"/>
    <w:rsid w:val="00BF5163"/>
    <w:rsid w:val="00BF5728"/>
    <w:rsid w:val="00BF62CC"/>
    <w:rsid w:val="00BF62FF"/>
    <w:rsid w:val="00BF6BE8"/>
    <w:rsid w:val="00BF7038"/>
    <w:rsid w:val="00BF753A"/>
    <w:rsid w:val="00BF7670"/>
    <w:rsid w:val="00C001D2"/>
    <w:rsid w:val="00C00A5C"/>
    <w:rsid w:val="00C01037"/>
    <w:rsid w:val="00C018F4"/>
    <w:rsid w:val="00C01CE8"/>
    <w:rsid w:val="00C02387"/>
    <w:rsid w:val="00C023D0"/>
    <w:rsid w:val="00C02FC3"/>
    <w:rsid w:val="00C034C6"/>
    <w:rsid w:val="00C03CD7"/>
    <w:rsid w:val="00C04780"/>
    <w:rsid w:val="00C04970"/>
    <w:rsid w:val="00C04AD2"/>
    <w:rsid w:val="00C05035"/>
    <w:rsid w:val="00C06C3A"/>
    <w:rsid w:val="00C075E5"/>
    <w:rsid w:val="00C07810"/>
    <w:rsid w:val="00C07D1D"/>
    <w:rsid w:val="00C07F69"/>
    <w:rsid w:val="00C102AD"/>
    <w:rsid w:val="00C10501"/>
    <w:rsid w:val="00C10617"/>
    <w:rsid w:val="00C10E2C"/>
    <w:rsid w:val="00C11B22"/>
    <w:rsid w:val="00C12EF7"/>
    <w:rsid w:val="00C13082"/>
    <w:rsid w:val="00C130FB"/>
    <w:rsid w:val="00C13A13"/>
    <w:rsid w:val="00C13BF0"/>
    <w:rsid w:val="00C13F49"/>
    <w:rsid w:val="00C14422"/>
    <w:rsid w:val="00C1575A"/>
    <w:rsid w:val="00C158A6"/>
    <w:rsid w:val="00C15C58"/>
    <w:rsid w:val="00C15ECE"/>
    <w:rsid w:val="00C1628C"/>
    <w:rsid w:val="00C16675"/>
    <w:rsid w:val="00C16E84"/>
    <w:rsid w:val="00C16FA1"/>
    <w:rsid w:val="00C17B9B"/>
    <w:rsid w:val="00C205C6"/>
    <w:rsid w:val="00C219A1"/>
    <w:rsid w:val="00C21CE0"/>
    <w:rsid w:val="00C2219F"/>
    <w:rsid w:val="00C22623"/>
    <w:rsid w:val="00C23A41"/>
    <w:rsid w:val="00C23CB8"/>
    <w:rsid w:val="00C23FD8"/>
    <w:rsid w:val="00C246CB"/>
    <w:rsid w:val="00C24DBB"/>
    <w:rsid w:val="00C25166"/>
    <w:rsid w:val="00C26228"/>
    <w:rsid w:val="00C264CE"/>
    <w:rsid w:val="00C26980"/>
    <w:rsid w:val="00C27930"/>
    <w:rsid w:val="00C27D1A"/>
    <w:rsid w:val="00C3006F"/>
    <w:rsid w:val="00C300EC"/>
    <w:rsid w:val="00C306F4"/>
    <w:rsid w:val="00C309D1"/>
    <w:rsid w:val="00C309EC"/>
    <w:rsid w:val="00C30BD8"/>
    <w:rsid w:val="00C3171B"/>
    <w:rsid w:val="00C31937"/>
    <w:rsid w:val="00C31F0C"/>
    <w:rsid w:val="00C334F6"/>
    <w:rsid w:val="00C335FB"/>
    <w:rsid w:val="00C337CD"/>
    <w:rsid w:val="00C3382D"/>
    <w:rsid w:val="00C33E96"/>
    <w:rsid w:val="00C3447A"/>
    <w:rsid w:val="00C34F36"/>
    <w:rsid w:val="00C3552F"/>
    <w:rsid w:val="00C35954"/>
    <w:rsid w:val="00C35C3A"/>
    <w:rsid w:val="00C3620F"/>
    <w:rsid w:val="00C36932"/>
    <w:rsid w:val="00C36CB1"/>
    <w:rsid w:val="00C372D8"/>
    <w:rsid w:val="00C37326"/>
    <w:rsid w:val="00C37BB0"/>
    <w:rsid w:val="00C37F50"/>
    <w:rsid w:val="00C40746"/>
    <w:rsid w:val="00C40A4D"/>
    <w:rsid w:val="00C40DC8"/>
    <w:rsid w:val="00C41618"/>
    <w:rsid w:val="00C41F49"/>
    <w:rsid w:val="00C42AC8"/>
    <w:rsid w:val="00C42B98"/>
    <w:rsid w:val="00C43CA1"/>
    <w:rsid w:val="00C43F48"/>
    <w:rsid w:val="00C4464C"/>
    <w:rsid w:val="00C44969"/>
    <w:rsid w:val="00C44F6A"/>
    <w:rsid w:val="00C44F70"/>
    <w:rsid w:val="00C45E11"/>
    <w:rsid w:val="00C46788"/>
    <w:rsid w:val="00C46861"/>
    <w:rsid w:val="00C46AA7"/>
    <w:rsid w:val="00C46F37"/>
    <w:rsid w:val="00C4758B"/>
    <w:rsid w:val="00C47862"/>
    <w:rsid w:val="00C47910"/>
    <w:rsid w:val="00C501B7"/>
    <w:rsid w:val="00C5022F"/>
    <w:rsid w:val="00C5037C"/>
    <w:rsid w:val="00C506B3"/>
    <w:rsid w:val="00C5201C"/>
    <w:rsid w:val="00C52C23"/>
    <w:rsid w:val="00C530F6"/>
    <w:rsid w:val="00C546EE"/>
    <w:rsid w:val="00C554DE"/>
    <w:rsid w:val="00C5550E"/>
    <w:rsid w:val="00C55603"/>
    <w:rsid w:val="00C56791"/>
    <w:rsid w:val="00C56793"/>
    <w:rsid w:val="00C57761"/>
    <w:rsid w:val="00C57BF0"/>
    <w:rsid w:val="00C607FD"/>
    <w:rsid w:val="00C60979"/>
    <w:rsid w:val="00C60D3D"/>
    <w:rsid w:val="00C6167F"/>
    <w:rsid w:val="00C617F5"/>
    <w:rsid w:val="00C62002"/>
    <w:rsid w:val="00C625A6"/>
    <w:rsid w:val="00C62813"/>
    <w:rsid w:val="00C634CA"/>
    <w:rsid w:val="00C63528"/>
    <w:rsid w:val="00C63F3E"/>
    <w:rsid w:val="00C64774"/>
    <w:rsid w:val="00C64844"/>
    <w:rsid w:val="00C64D32"/>
    <w:rsid w:val="00C65211"/>
    <w:rsid w:val="00C652FE"/>
    <w:rsid w:val="00C657E5"/>
    <w:rsid w:val="00C659DF"/>
    <w:rsid w:val="00C65AD9"/>
    <w:rsid w:val="00C65F41"/>
    <w:rsid w:val="00C663E9"/>
    <w:rsid w:val="00C66BC0"/>
    <w:rsid w:val="00C66E3F"/>
    <w:rsid w:val="00C66E49"/>
    <w:rsid w:val="00C66FF4"/>
    <w:rsid w:val="00C70262"/>
    <w:rsid w:val="00C705C3"/>
    <w:rsid w:val="00C7092D"/>
    <w:rsid w:val="00C7119B"/>
    <w:rsid w:val="00C71D3C"/>
    <w:rsid w:val="00C722EC"/>
    <w:rsid w:val="00C725FA"/>
    <w:rsid w:val="00C72BF9"/>
    <w:rsid w:val="00C7313C"/>
    <w:rsid w:val="00C73DEC"/>
    <w:rsid w:val="00C73ED9"/>
    <w:rsid w:val="00C744B7"/>
    <w:rsid w:val="00C74605"/>
    <w:rsid w:val="00C74CDA"/>
    <w:rsid w:val="00C76122"/>
    <w:rsid w:val="00C761A4"/>
    <w:rsid w:val="00C7684F"/>
    <w:rsid w:val="00C77294"/>
    <w:rsid w:val="00C777BA"/>
    <w:rsid w:val="00C77892"/>
    <w:rsid w:val="00C8010B"/>
    <w:rsid w:val="00C80678"/>
    <w:rsid w:val="00C80919"/>
    <w:rsid w:val="00C816AD"/>
    <w:rsid w:val="00C8200A"/>
    <w:rsid w:val="00C82074"/>
    <w:rsid w:val="00C829B9"/>
    <w:rsid w:val="00C832C2"/>
    <w:rsid w:val="00C83936"/>
    <w:rsid w:val="00C846A3"/>
    <w:rsid w:val="00C84A74"/>
    <w:rsid w:val="00C84D8A"/>
    <w:rsid w:val="00C859A0"/>
    <w:rsid w:val="00C85A6D"/>
    <w:rsid w:val="00C860AE"/>
    <w:rsid w:val="00C862AA"/>
    <w:rsid w:val="00C873AD"/>
    <w:rsid w:val="00C87766"/>
    <w:rsid w:val="00C87C94"/>
    <w:rsid w:val="00C87D59"/>
    <w:rsid w:val="00C87F7D"/>
    <w:rsid w:val="00C90062"/>
    <w:rsid w:val="00C902FA"/>
    <w:rsid w:val="00C9176D"/>
    <w:rsid w:val="00C931B6"/>
    <w:rsid w:val="00C94E48"/>
    <w:rsid w:val="00C952CC"/>
    <w:rsid w:val="00C959DC"/>
    <w:rsid w:val="00C95C75"/>
    <w:rsid w:val="00C965B8"/>
    <w:rsid w:val="00C9670F"/>
    <w:rsid w:val="00C96FA9"/>
    <w:rsid w:val="00C96FCF"/>
    <w:rsid w:val="00C971AD"/>
    <w:rsid w:val="00C972B4"/>
    <w:rsid w:val="00C973DA"/>
    <w:rsid w:val="00C976EF"/>
    <w:rsid w:val="00C97B16"/>
    <w:rsid w:val="00CA06B5"/>
    <w:rsid w:val="00CA0FBD"/>
    <w:rsid w:val="00CA11A0"/>
    <w:rsid w:val="00CA1B66"/>
    <w:rsid w:val="00CA1F2A"/>
    <w:rsid w:val="00CA29C4"/>
    <w:rsid w:val="00CA2C41"/>
    <w:rsid w:val="00CA34FC"/>
    <w:rsid w:val="00CA457C"/>
    <w:rsid w:val="00CA4A17"/>
    <w:rsid w:val="00CA4F50"/>
    <w:rsid w:val="00CA4FA8"/>
    <w:rsid w:val="00CA5ABA"/>
    <w:rsid w:val="00CA5C2D"/>
    <w:rsid w:val="00CA5F07"/>
    <w:rsid w:val="00CA601A"/>
    <w:rsid w:val="00CA7BF4"/>
    <w:rsid w:val="00CA7FA0"/>
    <w:rsid w:val="00CB090D"/>
    <w:rsid w:val="00CB0B70"/>
    <w:rsid w:val="00CB13C7"/>
    <w:rsid w:val="00CB1554"/>
    <w:rsid w:val="00CB1BCC"/>
    <w:rsid w:val="00CB214B"/>
    <w:rsid w:val="00CB2473"/>
    <w:rsid w:val="00CB2603"/>
    <w:rsid w:val="00CB3BD7"/>
    <w:rsid w:val="00CB41D3"/>
    <w:rsid w:val="00CB554D"/>
    <w:rsid w:val="00CB609E"/>
    <w:rsid w:val="00CB6B1B"/>
    <w:rsid w:val="00CB6B69"/>
    <w:rsid w:val="00CB7EBA"/>
    <w:rsid w:val="00CC0F8B"/>
    <w:rsid w:val="00CC1D52"/>
    <w:rsid w:val="00CC2469"/>
    <w:rsid w:val="00CC399A"/>
    <w:rsid w:val="00CC4DED"/>
    <w:rsid w:val="00CC529E"/>
    <w:rsid w:val="00CC56C3"/>
    <w:rsid w:val="00CC591B"/>
    <w:rsid w:val="00CC5D55"/>
    <w:rsid w:val="00CC6246"/>
    <w:rsid w:val="00CC64FD"/>
    <w:rsid w:val="00CC6DDB"/>
    <w:rsid w:val="00CC6E3A"/>
    <w:rsid w:val="00CD0142"/>
    <w:rsid w:val="00CD0C1D"/>
    <w:rsid w:val="00CD0C72"/>
    <w:rsid w:val="00CD1A95"/>
    <w:rsid w:val="00CD1C7A"/>
    <w:rsid w:val="00CD3168"/>
    <w:rsid w:val="00CD331F"/>
    <w:rsid w:val="00CD3871"/>
    <w:rsid w:val="00CD4000"/>
    <w:rsid w:val="00CD4316"/>
    <w:rsid w:val="00CD4A8D"/>
    <w:rsid w:val="00CD5AA3"/>
    <w:rsid w:val="00CD5C74"/>
    <w:rsid w:val="00CD60D8"/>
    <w:rsid w:val="00CD76BA"/>
    <w:rsid w:val="00CD7867"/>
    <w:rsid w:val="00CE0B8C"/>
    <w:rsid w:val="00CE1342"/>
    <w:rsid w:val="00CE1AB8"/>
    <w:rsid w:val="00CE2E3C"/>
    <w:rsid w:val="00CE3BE3"/>
    <w:rsid w:val="00CE3C4A"/>
    <w:rsid w:val="00CE452B"/>
    <w:rsid w:val="00CE4E2C"/>
    <w:rsid w:val="00CE5290"/>
    <w:rsid w:val="00CE55D7"/>
    <w:rsid w:val="00CE57AE"/>
    <w:rsid w:val="00CE5B50"/>
    <w:rsid w:val="00CE5DCF"/>
    <w:rsid w:val="00CE6338"/>
    <w:rsid w:val="00CE6664"/>
    <w:rsid w:val="00CE6BB7"/>
    <w:rsid w:val="00CE6BC3"/>
    <w:rsid w:val="00CE719D"/>
    <w:rsid w:val="00CE7302"/>
    <w:rsid w:val="00CE7748"/>
    <w:rsid w:val="00CE798B"/>
    <w:rsid w:val="00CE7C92"/>
    <w:rsid w:val="00CE7D6E"/>
    <w:rsid w:val="00CF008B"/>
    <w:rsid w:val="00CF0578"/>
    <w:rsid w:val="00CF08D5"/>
    <w:rsid w:val="00CF0EA7"/>
    <w:rsid w:val="00CF1A66"/>
    <w:rsid w:val="00CF1F9E"/>
    <w:rsid w:val="00CF2263"/>
    <w:rsid w:val="00CF2B23"/>
    <w:rsid w:val="00CF3389"/>
    <w:rsid w:val="00CF37B5"/>
    <w:rsid w:val="00CF3A5C"/>
    <w:rsid w:val="00CF417D"/>
    <w:rsid w:val="00CF4200"/>
    <w:rsid w:val="00CF4216"/>
    <w:rsid w:val="00CF4415"/>
    <w:rsid w:val="00CF5047"/>
    <w:rsid w:val="00CF507A"/>
    <w:rsid w:val="00CF5A51"/>
    <w:rsid w:val="00CF5C77"/>
    <w:rsid w:val="00CF633C"/>
    <w:rsid w:val="00CF6472"/>
    <w:rsid w:val="00CF65D2"/>
    <w:rsid w:val="00CF6DAC"/>
    <w:rsid w:val="00CF6FB2"/>
    <w:rsid w:val="00CF738C"/>
    <w:rsid w:val="00CF7419"/>
    <w:rsid w:val="00D000F5"/>
    <w:rsid w:val="00D0097E"/>
    <w:rsid w:val="00D00DCB"/>
    <w:rsid w:val="00D01A37"/>
    <w:rsid w:val="00D01F9B"/>
    <w:rsid w:val="00D028DC"/>
    <w:rsid w:val="00D02B5B"/>
    <w:rsid w:val="00D03558"/>
    <w:rsid w:val="00D045EC"/>
    <w:rsid w:val="00D0491E"/>
    <w:rsid w:val="00D04EEB"/>
    <w:rsid w:val="00D05085"/>
    <w:rsid w:val="00D054A1"/>
    <w:rsid w:val="00D056DD"/>
    <w:rsid w:val="00D05B7B"/>
    <w:rsid w:val="00D05CB8"/>
    <w:rsid w:val="00D06037"/>
    <w:rsid w:val="00D06562"/>
    <w:rsid w:val="00D06D3D"/>
    <w:rsid w:val="00D079F0"/>
    <w:rsid w:val="00D1076A"/>
    <w:rsid w:val="00D10CBA"/>
    <w:rsid w:val="00D10E6B"/>
    <w:rsid w:val="00D1176E"/>
    <w:rsid w:val="00D1222F"/>
    <w:rsid w:val="00D122A6"/>
    <w:rsid w:val="00D13449"/>
    <w:rsid w:val="00D13938"/>
    <w:rsid w:val="00D13B70"/>
    <w:rsid w:val="00D13D93"/>
    <w:rsid w:val="00D14651"/>
    <w:rsid w:val="00D147CE"/>
    <w:rsid w:val="00D14F8F"/>
    <w:rsid w:val="00D15817"/>
    <w:rsid w:val="00D162E1"/>
    <w:rsid w:val="00D17799"/>
    <w:rsid w:val="00D2020E"/>
    <w:rsid w:val="00D20268"/>
    <w:rsid w:val="00D20AFF"/>
    <w:rsid w:val="00D21415"/>
    <w:rsid w:val="00D22E8D"/>
    <w:rsid w:val="00D23A17"/>
    <w:rsid w:val="00D23BF9"/>
    <w:rsid w:val="00D23E25"/>
    <w:rsid w:val="00D23EFF"/>
    <w:rsid w:val="00D24433"/>
    <w:rsid w:val="00D24B8B"/>
    <w:rsid w:val="00D24CD6"/>
    <w:rsid w:val="00D24FBB"/>
    <w:rsid w:val="00D254DB"/>
    <w:rsid w:val="00D25A76"/>
    <w:rsid w:val="00D25C0E"/>
    <w:rsid w:val="00D25F14"/>
    <w:rsid w:val="00D260D0"/>
    <w:rsid w:val="00D26123"/>
    <w:rsid w:val="00D26307"/>
    <w:rsid w:val="00D26CFD"/>
    <w:rsid w:val="00D26DD5"/>
    <w:rsid w:val="00D273BC"/>
    <w:rsid w:val="00D27404"/>
    <w:rsid w:val="00D274C9"/>
    <w:rsid w:val="00D2751E"/>
    <w:rsid w:val="00D277A7"/>
    <w:rsid w:val="00D27A33"/>
    <w:rsid w:val="00D27EF6"/>
    <w:rsid w:val="00D27FB1"/>
    <w:rsid w:val="00D309BE"/>
    <w:rsid w:val="00D30F77"/>
    <w:rsid w:val="00D310E1"/>
    <w:rsid w:val="00D31F7B"/>
    <w:rsid w:val="00D32309"/>
    <w:rsid w:val="00D32702"/>
    <w:rsid w:val="00D32C3F"/>
    <w:rsid w:val="00D32CBD"/>
    <w:rsid w:val="00D33166"/>
    <w:rsid w:val="00D332B5"/>
    <w:rsid w:val="00D335EB"/>
    <w:rsid w:val="00D3421B"/>
    <w:rsid w:val="00D34C0D"/>
    <w:rsid w:val="00D3561B"/>
    <w:rsid w:val="00D359FD"/>
    <w:rsid w:val="00D35AF1"/>
    <w:rsid w:val="00D3636F"/>
    <w:rsid w:val="00D363CB"/>
    <w:rsid w:val="00D3643F"/>
    <w:rsid w:val="00D365FF"/>
    <w:rsid w:val="00D3715D"/>
    <w:rsid w:val="00D37C02"/>
    <w:rsid w:val="00D40E57"/>
    <w:rsid w:val="00D41C3E"/>
    <w:rsid w:val="00D42234"/>
    <w:rsid w:val="00D42C73"/>
    <w:rsid w:val="00D43084"/>
    <w:rsid w:val="00D43BFE"/>
    <w:rsid w:val="00D43CCA"/>
    <w:rsid w:val="00D43EEC"/>
    <w:rsid w:val="00D44589"/>
    <w:rsid w:val="00D44A8B"/>
    <w:rsid w:val="00D44F78"/>
    <w:rsid w:val="00D455D4"/>
    <w:rsid w:val="00D45A15"/>
    <w:rsid w:val="00D45F7A"/>
    <w:rsid w:val="00D463CA"/>
    <w:rsid w:val="00D465F9"/>
    <w:rsid w:val="00D46635"/>
    <w:rsid w:val="00D471B0"/>
    <w:rsid w:val="00D50FCA"/>
    <w:rsid w:val="00D51242"/>
    <w:rsid w:val="00D5143E"/>
    <w:rsid w:val="00D51F0F"/>
    <w:rsid w:val="00D521A8"/>
    <w:rsid w:val="00D52B51"/>
    <w:rsid w:val="00D53078"/>
    <w:rsid w:val="00D534B4"/>
    <w:rsid w:val="00D536C3"/>
    <w:rsid w:val="00D53B49"/>
    <w:rsid w:val="00D53C7D"/>
    <w:rsid w:val="00D547C8"/>
    <w:rsid w:val="00D557C4"/>
    <w:rsid w:val="00D55D5D"/>
    <w:rsid w:val="00D56332"/>
    <w:rsid w:val="00D56518"/>
    <w:rsid w:val="00D56715"/>
    <w:rsid w:val="00D56AB1"/>
    <w:rsid w:val="00D56FAB"/>
    <w:rsid w:val="00D57301"/>
    <w:rsid w:val="00D57A3C"/>
    <w:rsid w:val="00D57B8D"/>
    <w:rsid w:val="00D57BA1"/>
    <w:rsid w:val="00D60194"/>
    <w:rsid w:val="00D603B6"/>
    <w:rsid w:val="00D606CB"/>
    <w:rsid w:val="00D608FE"/>
    <w:rsid w:val="00D60D0C"/>
    <w:rsid w:val="00D60F81"/>
    <w:rsid w:val="00D61D4A"/>
    <w:rsid w:val="00D62060"/>
    <w:rsid w:val="00D62122"/>
    <w:rsid w:val="00D625D6"/>
    <w:rsid w:val="00D62840"/>
    <w:rsid w:val="00D62B30"/>
    <w:rsid w:val="00D63108"/>
    <w:rsid w:val="00D63846"/>
    <w:rsid w:val="00D63B75"/>
    <w:rsid w:val="00D63F64"/>
    <w:rsid w:val="00D65795"/>
    <w:rsid w:val="00D65BFD"/>
    <w:rsid w:val="00D65DE7"/>
    <w:rsid w:val="00D677D4"/>
    <w:rsid w:val="00D70263"/>
    <w:rsid w:val="00D7061E"/>
    <w:rsid w:val="00D7086D"/>
    <w:rsid w:val="00D7092C"/>
    <w:rsid w:val="00D70E79"/>
    <w:rsid w:val="00D715A2"/>
    <w:rsid w:val="00D71D1B"/>
    <w:rsid w:val="00D71D33"/>
    <w:rsid w:val="00D71F52"/>
    <w:rsid w:val="00D728D2"/>
    <w:rsid w:val="00D7290B"/>
    <w:rsid w:val="00D72DD8"/>
    <w:rsid w:val="00D737B3"/>
    <w:rsid w:val="00D737C3"/>
    <w:rsid w:val="00D73F7D"/>
    <w:rsid w:val="00D7405D"/>
    <w:rsid w:val="00D740BD"/>
    <w:rsid w:val="00D7427E"/>
    <w:rsid w:val="00D74336"/>
    <w:rsid w:val="00D74972"/>
    <w:rsid w:val="00D749DC"/>
    <w:rsid w:val="00D74CFF"/>
    <w:rsid w:val="00D74D5E"/>
    <w:rsid w:val="00D74D7B"/>
    <w:rsid w:val="00D74DA5"/>
    <w:rsid w:val="00D74E1A"/>
    <w:rsid w:val="00D74F96"/>
    <w:rsid w:val="00D75ADD"/>
    <w:rsid w:val="00D75CB1"/>
    <w:rsid w:val="00D75EA3"/>
    <w:rsid w:val="00D7769A"/>
    <w:rsid w:val="00D800EC"/>
    <w:rsid w:val="00D80753"/>
    <w:rsid w:val="00D80907"/>
    <w:rsid w:val="00D80EB1"/>
    <w:rsid w:val="00D812B6"/>
    <w:rsid w:val="00D81819"/>
    <w:rsid w:val="00D818E3"/>
    <w:rsid w:val="00D81F7E"/>
    <w:rsid w:val="00D8229D"/>
    <w:rsid w:val="00D823ED"/>
    <w:rsid w:val="00D826EC"/>
    <w:rsid w:val="00D8279F"/>
    <w:rsid w:val="00D84FE5"/>
    <w:rsid w:val="00D85482"/>
    <w:rsid w:val="00D85AD5"/>
    <w:rsid w:val="00D85B58"/>
    <w:rsid w:val="00D8602E"/>
    <w:rsid w:val="00D869ED"/>
    <w:rsid w:val="00D86DF2"/>
    <w:rsid w:val="00D86ECE"/>
    <w:rsid w:val="00D87E4E"/>
    <w:rsid w:val="00D915C4"/>
    <w:rsid w:val="00D91FE5"/>
    <w:rsid w:val="00D92001"/>
    <w:rsid w:val="00D9228F"/>
    <w:rsid w:val="00D92568"/>
    <w:rsid w:val="00D9290E"/>
    <w:rsid w:val="00D92B23"/>
    <w:rsid w:val="00D92F79"/>
    <w:rsid w:val="00D93462"/>
    <w:rsid w:val="00D93468"/>
    <w:rsid w:val="00D95E83"/>
    <w:rsid w:val="00D9616D"/>
    <w:rsid w:val="00D96AA4"/>
    <w:rsid w:val="00D96E50"/>
    <w:rsid w:val="00D977E8"/>
    <w:rsid w:val="00D97949"/>
    <w:rsid w:val="00D97E0E"/>
    <w:rsid w:val="00DA0C38"/>
    <w:rsid w:val="00DA0E03"/>
    <w:rsid w:val="00DA1172"/>
    <w:rsid w:val="00DA1E99"/>
    <w:rsid w:val="00DA2600"/>
    <w:rsid w:val="00DA265B"/>
    <w:rsid w:val="00DA2A98"/>
    <w:rsid w:val="00DA3330"/>
    <w:rsid w:val="00DA53CA"/>
    <w:rsid w:val="00DA5567"/>
    <w:rsid w:val="00DA57FD"/>
    <w:rsid w:val="00DA5C27"/>
    <w:rsid w:val="00DA5DF7"/>
    <w:rsid w:val="00DA66FF"/>
    <w:rsid w:val="00DA69F4"/>
    <w:rsid w:val="00DA7296"/>
    <w:rsid w:val="00DB0021"/>
    <w:rsid w:val="00DB0281"/>
    <w:rsid w:val="00DB0BA6"/>
    <w:rsid w:val="00DB120F"/>
    <w:rsid w:val="00DB121D"/>
    <w:rsid w:val="00DB264B"/>
    <w:rsid w:val="00DB2856"/>
    <w:rsid w:val="00DB2B4D"/>
    <w:rsid w:val="00DB2DA3"/>
    <w:rsid w:val="00DB2F4F"/>
    <w:rsid w:val="00DB34D0"/>
    <w:rsid w:val="00DB4131"/>
    <w:rsid w:val="00DB4CAF"/>
    <w:rsid w:val="00DB4D23"/>
    <w:rsid w:val="00DB4E51"/>
    <w:rsid w:val="00DB5ACF"/>
    <w:rsid w:val="00DB62CC"/>
    <w:rsid w:val="00DB69E2"/>
    <w:rsid w:val="00DB71C6"/>
    <w:rsid w:val="00DB7240"/>
    <w:rsid w:val="00DB74C4"/>
    <w:rsid w:val="00DC06D4"/>
    <w:rsid w:val="00DC0BA6"/>
    <w:rsid w:val="00DC1C29"/>
    <w:rsid w:val="00DC2309"/>
    <w:rsid w:val="00DC28B5"/>
    <w:rsid w:val="00DC2B06"/>
    <w:rsid w:val="00DC3CC0"/>
    <w:rsid w:val="00DC4B69"/>
    <w:rsid w:val="00DC4C36"/>
    <w:rsid w:val="00DC4F4A"/>
    <w:rsid w:val="00DC5678"/>
    <w:rsid w:val="00DC5AD1"/>
    <w:rsid w:val="00DC5D37"/>
    <w:rsid w:val="00DC6597"/>
    <w:rsid w:val="00DC686D"/>
    <w:rsid w:val="00DC7447"/>
    <w:rsid w:val="00DC764B"/>
    <w:rsid w:val="00DD054A"/>
    <w:rsid w:val="00DD07B4"/>
    <w:rsid w:val="00DD10DA"/>
    <w:rsid w:val="00DD1204"/>
    <w:rsid w:val="00DD1AEE"/>
    <w:rsid w:val="00DD2131"/>
    <w:rsid w:val="00DD286F"/>
    <w:rsid w:val="00DD3468"/>
    <w:rsid w:val="00DD36F5"/>
    <w:rsid w:val="00DD37D7"/>
    <w:rsid w:val="00DD3CE5"/>
    <w:rsid w:val="00DD4652"/>
    <w:rsid w:val="00DD4FDA"/>
    <w:rsid w:val="00DD58BF"/>
    <w:rsid w:val="00DD65C3"/>
    <w:rsid w:val="00DD69DA"/>
    <w:rsid w:val="00DD6B9C"/>
    <w:rsid w:val="00DD6C83"/>
    <w:rsid w:val="00DD7822"/>
    <w:rsid w:val="00DD7D38"/>
    <w:rsid w:val="00DD7D53"/>
    <w:rsid w:val="00DD7F11"/>
    <w:rsid w:val="00DE09D2"/>
    <w:rsid w:val="00DE1871"/>
    <w:rsid w:val="00DE1B2C"/>
    <w:rsid w:val="00DE2178"/>
    <w:rsid w:val="00DE2723"/>
    <w:rsid w:val="00DE314F"/>
    <w:rsid w:val="00DE3284"/>
    <w:rsid w:val="00DE49CD"/>
    <w:rsid w:val="00DE5181"/>
    <w:rsid w:val="00DE638E"/>
    <w:rsid w:val="00DE648E"/>
    <w:rsid w:val="00DE7957"/>
    <w:rsid w:val="00DE7AD3"/>
    <w:rsid w:val="00DF01C8"/>
    <w:rsid w:val="00DF0C46"/>
    <w:rsid w:val="00DF15A3"/>
    <w:rsid w:val="00DF1ABC"/>
    <w:rsid w:val="00DF2364"/>
    <w:rsid w:val="00DF2837"/>
    <w:rsid w:val="00DF2E0E"/>
    <w:rsid w:val="00DF314A"/>
    <w:rsid w:val="00DF3361"/>
    <w:rsid w:val="00DF33BE"/>
    <w:rsid w:val="00DF33CA"/>
    <w:rsid w:val="00DF3BA6"/>
    <w:rsid w:val="00DF3D8B"/>
    <w:rsid w:val="00DF47DA"/>
    <w:rsid w:val="00DF4B73"/>
    <w:rsid w:val="00DF4EED"/>
    <w:rsid w:val="00DF4EFB"/>
    <w:rsid w:val="00DF4F7C"/>
    <w:rsid w:val="00DF4FA5"/>
    <w:rsid w:val="00DF5629"/>
    <w:rsid w:val="00DF5D16"/>
    <w:rsid w:val="00DF5D88"/>
    <w:rsid w:val="00DF5F33"/>
    <w:rsid w:val="00DF606D"/>
    <w:rsid w:val="00DF606E"/>
    <w:rsid w:val="00DF724F"/>
    <w:rsid w:val="00DF7D0E"/>
    <w:rsid w:val="00E0032C"/>
    <w:rsid w:val="00E00BBC"/>
    <w:rsid w:val="00E01521"/>
    <w:rsid w:val="00E0168C"/>
    <w:rsid w:val="00E01C32"/>
    <w:rsid w:val="00E027CF"/>
    <w:rsid w:val="00E02A02"/>
    <w:rsid w:val="00E02DEC"/>
    <w:rsid w:val="00E0320C"/>
    <w:rsid w:val="00E035C5"/>
    <w:rsid w:val="00E03E22"/>
    <w:rsid w:val="00E046F1"/>
    <w:rsid w:val="00E04CE9"/>
    <w:rsid w:val="00E04E81"/>
    <w:rsid w:val="00E067A5"/>
    <w:rsid w:val="00E06906"/>
    <w:rsid w:val="00E0775E"/>
    <w:rsid w:val="00E0783C"/>
    <w:rsid w:val="00E10692"/>
    <w:rsid w:val="00E10E2A"/>
    <w:rsid w:val="00E112E7"/>
    <w:rsid w:val="00E112ED"/>
    <w:rsid w:val="00E11359"/>
    <w:rsid w:val="00E116FE"/>
    <w:rsid w:val="00E1198D"/>
    <w:rsid w:val="00E120A1"/>
    <w:rsid w:val="00E121B0"/>
    <w:rsid w:val="00E1246C"/>
    <w:rsid w:val="00E129D4"/>
    <w:rsid w:val="00E1309B"/>
    <w:rsid w:val="00E145FA"/>
    <w:rsid w:val="00E146EF"/>
    <w:rsid w:val="00E149A3"/>
    <w:rsid w:val="00E1527E"/>
    <w:rsid w:val="00E16649"/>
    <w:rsid w:val="00E16FE1"/>
    <w:rsid w:val="00E203FF"/>
    <w:rsid w:val="00E215D8"/>
    <w:rsid w:val="00E2194D"/>
    <w:rsid w:val="00E22814"/>
    <w:rsid w:val="00E23389"/>
    <w:rsid w:val="00E23395"/>
    <w:rsid w:val="00E23586"/>
    <w:rsid w:val="00E238EE"/>
    <w:rsid w:val="00E23DAE"/>
    <w:rsid w:val="00E24822"/>
    <w:rsid w:val="00E25095"/>
    <w:rsid w:val="00E255EC"/>
    <w:rsid w:val="00E257FB"/>
    <w:rsid w:val="00E25C10"/>
    <w:rsid w:val="00E264C0"/>
    <w:rsid w:val="00E264F6"/>
    <w:rsid w:val="00E26A08"/>
    <w:rsid w:val="00E26F6F"/>
    <w:rsid w:val="00E30F4D"/>
    <w:rsid w:val="00E3273D"/>
    <w:rsid w:val="00E3277D"/>
    <w:rsid w:val="00E3355C"/>
    <w:rsid w:val="00E34CA9"/>
    <w:rsid w:val="00E353B8"/>
    <w:rsid w:val="00E356F3"/>
    <w:rsid w:val="00E3670C"/>
    <w:rsid w:val="00E36C0C"/>
    <w:rsid w:val="00E36EDD"/>
    <w:rsid w:val="00E37190"/>
    <w:rsid w:val="00E37580"/>
    <w:rsid w:val="00E37711"/>
    <w:rsid w:val="00E378BC"/>
    <w:rsid w:val="00E40141"/>
    <w:rsid w:val="00E403A8"/>
    <w:rsid w:val="00E407D6"/>
    <w:rsid w:val="00E40EB5"/>
    <w:rsid w:val="00E4106D"/>
    <w:rsid w:val="00E41268"/>
    <w:rsid w:val="00E42A0E"/>
    <w:rsid w:val="00E42A92"/>
    <w:rsid w:val="00E42C9C"/>
    <w:rsid w:val="00E42D8C"/>
    <w:rsid w:val="00E438B3"/>
    <w:rsid w:val="00E43A23"/>
    <w:rsid w:val="00E43E4E"/>
    <w:rsid w:val="00E4447C"/>
    <w:rsid w:val="00E44DC4"/>
    <w:rsid w:val="00E44FD1"/>
    <w:rsid w:val="00E450B9"/>
    <w:rsid w:val="00E452D4"/>
    <w:rsid w:val="00E454C2"/>
    <w:rsid w:val="00E4582C"/>
    <w:rsid w:val="00E464B1"/>
    <w:rsid w:val="00E466BF"/>
    <w:rsid w:val="00E470A3"/>
    <w:rsid w:val="00E47654"/>
    <w:rsid w:val="00E47870"/>
    <w:rsid w:val="00E47AFF"/>
    <w:rsid w:val="00E500A6"/>
    <w:rsid w:val="00E5236E"/>
    <w:rsid w:val="00E52570"/>
    <w:rsid w:val="00E529F9"/>
    <w:rsid w:val="00E5332D"/>
    <w:rsid w:val="00E535F5"/>
    <w:rsid w:val="00E53640"/>
    <w:rsid w:val="00E543EF"/>
    <w:rsid w:val="00E54AAC"/>
    <w:rsid w:val="00E54AEE"/>
    <w:rsid w:val="00E55B2D"/>
    <w:rsid w:val="00E55C24"/>
    <w:rsid w:val="00E564DE"/>
    <w:rsid w:val="00E57D65"/>
    <w:rsid w:val="00E606BC"/>
    <w:rsid w:val="00E62135"/>
    <w:rsid w:val="00E62A44"/>
    <w:rsid w:val="00E6307D"/>
    <w:rsid w:val="00E63529"/>
    <w:rsid w:val="00E6373E"/>
    <w:rsid w:val="00E638A2"/>
    <w:rsid w:val="00E6432B"/>
    <w:rsid w:val="00E644A8"/>
    <w:rsid w:val="00E64C26"/>
    <w:rsid w:val="00E65AF0"/>
    <w:rsid w:val="00E65D5E"/>
    <w:rsid w:val="00E66944"/>
    <w:rsid w:val="00E679C3"/>
    <w:rsid w:val="00E67B11"/>
    <w:rsid w:val="00E67FB0"/>
    <w:rsid w:val="00E70215"/>
    <w:rsid w:val="00E70DB3"/>
    <w:rsid w:val="00E71598"/>
    <w:rsid w:val="00E71740"/>
    <w:rsid w:val="00E719C5"/>
    <w:rsid w:val="00E72079"/>
    <w:rsid w:val="00E72116"/>
    <w:rsid w:val="00E722C6"/>
    <w:rsid w:val="00E723B7"/>
    <w:rsid w:val="00E72743"/>
    <w:rsid w:val="00E7453C"/>
    <w:rsid w:val="00E746B8"/>
    <w:rsid w:val="00E74871"/>
    <w:rsid w:val="00E749A1"/>
    <w:rsid w:val="00E74A30"/>
    <w:rsid w:val="00E74E77"/>
    <w:rsid w:val="00E752BD"/>
    <w:rsid w:val="00E757B1"/>
    <w:rsid w:val="00E75982"/>
    <w:rsid w:val="00E75EC1"/>
    <w:rsid w:val="00E75EDE"/>
    <w:rsid w:val="00E75F6B"/>
    <w:rsid w:val="00E764AB"/>
    <w:rsid w:val="00E76ADD"/>
    <w:rsid w:val="00E76BFA"/>
    <w:rsid w:val="00E77078"/>
    <w:rsid w:val="00E773D6"/>
    <w:rsid w:val="00E77BD6"/>
    <w:rsid w:val="00E81070"/>
    <w:rsid w:val="00E817BE"/>
    <w:rsid w:val="00E81BB4"/>
    <w:rsid w:val="00E82447"/>
    <w:rsid w:val="00E82E23"/>
    <w:rsid w:val="00E835F0"/>
    <w:rsid w:val="00E83FB6"/>
    <w:rsid w:val="00E845F1"/>
    <w:rsid w:val="00E84E98"/>
    <w:rsid w:val="00E856B9"/>
    <w:rsid w:val="00E864F9"/>
    <w:rsid w:val="00E86FE1"/>
    <w:rsid w:val="00E876FC"/>
    <w:rsid w:val="00E8792C"/>
    <w:rsid w:val="00E87E31"/>
    <w:rsid w:val="00E901F8"/>
    <w:rsid w:val="00E904A3"/>
    <w:rsid w:val="00E9082A"/>
    <w:rsid w:val="00E90DAD"/>
    <w:rsid w:val="00E91021"/>
    <w:rsid w:val="00E910A8"/>
    <w:rsid w:val="00E912B5"/>
    <w:rsid w:val="00E91A9B"/>
    <w:rsid w:val="00E92336"/>
    <w:rsid w:val="00E92ADE"/>
    <w:rsid w:val="00E9415C"/>
    <w:rsid w:val="00E95546"/>
    <w:rsid w:val="00E95DE3"/>
    <w:rsid w:val="00E9633B"/>
    <w:rsid w:val="00E9693C"/>
    <w:rsid w:val="00E96DAE"/>
    <w:rsid w:val="00E97859"/>
    <w:rsid w:val="00E979A0"/>
    <w:rsid w:val="00E97D6F"/>
    <w:rsid w:val="00EA0380"/>
    <w:rsid w:val="00EA05DC"/>
    <w:rsid w:val="00EA0705"/>
    <w:rsid w:val="00EA0909"/>
    <w:rsid w:val="00EA0C5A"/>
    <w:rsid w:val="00EA0F8C"/>
    <w:rsid w:val="00EA1B5D"/>
    <w:rsid w:val="00EA1BE9"/>
    <w:rsid w:val="00EA20CD"/>
    <w:rsid w:val="00EA220E"/>
    <w:rsid w:val="00EA2234"/>
    <w:rsid w:val="00EA2596"/>
    <w:rsid w:val="00EA2814"/>
    <w:rsid w:val="00EA3BA5"/>
    <w:rsid w:val="00EA3EDE"/>
    <w:rsid w:val="00EA48E2"/>
    <w:rsid w:val="00EA4DD5"/>
    <w:rsid w:val="00EA53B9"/>
    <w:rsid w:val="00EA53CA"/>
    <w:rsid w:val="00EA5BFE"/>
    <w:rsid w:val="00EA5D82"/>
    <w:rsid w:val="00EA6D38"/>
    <w:rsid w:val="00EA733C"/>
    <w:rsid w:val="00EA7582"/>
    <w:rsid w:val="00EA7A6B"/>
    <w:rsid w:val="00EB0CA9"/>
    <w:rsid w:val="00EB0D70"/>
    <w:rsid w:val="00EB0F26"/>
    <w:rsid w:val="00EB10E4"/>
    <w:rsid w:val="00EB16DD"/>
    <w:rsid w:val="00EB26E1"/>
    <w:rsid w:val="00EB2E15"/>
    <w:rsid w:val="00EB313C"/>
    <w:rsid w:val="00EB35DB"/>
    <w:rsid w:val="00EB374C"/>
    <w:rsid w:val="00EB46FB"/>
    <w:rsid w:val="00EB4B0A"/>
    <w:rsid w:val="00EB4BD4"/>
    <w:rsid w:val="00EB50DF"/>
    <w:rsid w:val="00EB5AA9"/>
    <w:rsid w:val="00EB5D3F"/>
    <w:rsid w:val="00EB5EA5"/>
    <w:rsid w:val="00EB6A0D"/>
    <w:rsid w:val="00EB7019"/>
    <w:rsid w:val="00EB70E0"/>
    <w:rsid w:val="00EB785D"/>
    <w:rsid w:val="00EC0A83"/>
    <w:rsid w:val="00EC0FA6"/>
    <w:rsid w:val="00EC1B08"/>
    <w:rsid w:val="00EC283A"/>
    <w:rsid w:val="00EC2C59"/>
    <w:rsid w:val="00EC2CB7"/>
    <w:rsid w:val="00EC2D9B"/>
    <w:rsid w:val="00EC33E0"/>
    <w:rsid w:val="00EC3811"/>
    <w:rsid w:val="00EC3A56"/>
    <w:rsid w:val="00EC3AAD"/>
    <w:rsid w:val="00EC6BE2"/>
    <w:rsid w:val="00EC6CDF"/>
    <w:rsid w:val="00EC787F"/>
    <w:rsid w:val="00EC7D4B"/>
    <w:rsid w:val="00ED0089"/>
    <w:rsid w:val="00ED0A78"/>
    <w:rsid w:val="00ED1C4E"/>
    <w:rsid w:val="00ED2240"/>
    <w:rsid w:val="00ED2C31"/>
    <w:rsid w:val="00ED3292"/>
    <w:rsid w:val="00ED3457"/>
    <w:rsid w:val="00ED3B51"/>
    <w:rsid w:val="00ED3BAE"/>
    <w:rsid w:val="00ED3FDC"/>
    <w:rsid w:val="00ED4389"/>
    <w:rsid w:val="00ED4CA9"/>
    <w:rsid w:val="00ED4CAD"/>
    <w:rsid w:val="00ED56E0"/>
    <w:rsid w:val="00ED5750"/>
    <w:rsid w:val="00ED5E59"/>
    <w:rsid w:val="00ED5F0F"/>
    <w:rsid w:val="00ED6174"/>
    <w:rsid w:val="00EE1315"/>
    <w:rsid w:val="00EE141E"/>
    <w:rsid w:val="00EE19C3"/>
    <w:rsid w:val="00EE1D55"/>
    <w:rsid w:val="00EE201F"/>
    <w:rsid w:val="00EE2C39"/>
    <w:rsid w:val="00EE2F51"/>
    <w:rsid w:val="00EE3121"/>
    <w:rsid w:val="00EE3EBC"/>
    <w:rsid w:val="00EE4804"/>
    <w:rsid w:val="00EE541E"/>
    <w:rsid w:val="00EE60FF"/>
    <w:rsid w:val="00EE6202"/>
    <w:rsid w:val="00EE7975"/>
    <w:rsid w:val="00EE7ED6"/>
    <w:rsid w:val="00EF02F2"/>
    <w:rsid w:val="00EF040B"/>
    <w:rsid w:val="00EF0841"/>
    <w:rsid w:val="00EF1141"/>
    <w:rsid w:val="00EF12C1"/>
    <w:rsid w:val="00EF19AF"/>
    <w:rsid w:val="00EF1D5C"/>
    <w:rsid w:val="00EF240F"/>
    <w:rsid w:val="00EF3124"/>
    <w:rsid w:val="00EF326A"/>
    <w:rsid w:val="00EF3EA9"/>
    <w:rsid w:val="00EF3EDD"/>
    <w:rsid w:val="00EF3F4E"/>
    <w:rsid w:val="00EF45F1"/>
    <w:rsid w:val="00EF47BB"/>
    <w:rsid w:val="00EF5649"/>
    <w:rsid w:val="00EF58CB"/>
    <w:rsid w:val="00EF593A"/>
    <w:rsid w:val="00EF600A"/>
    <w:rsid w:val="00EF61F3"/>
    <w:rsid w:val="00EF641C"/>
    <w:rsid w:val="00EF6AB8"/>
    <w:rsid w:val="00EF725B"/>
    <w:rsid w:val="00EF7526"/>
    <w:rsid w:val="00EF7A6B"/>
    <w:rsid w:val="00EF7EBB"/>
    <w:rsid w:val="00F00A64"/>
    <w:rsid w:val="00F00EFB"/>
    <w:rsid w:val="00F011C2"/>
    <w:rsid w:val="00F011CB"/>
    <w:rsid w:val="00F011E0"/>
    <w:rsid w:val="00F01533"/>
    <w:rsid w:val="00F01889"/>
    <w:rsid w:val="00F01CD4"/>
    <w:rsid w:val="00F027C2"/>
    <w:rsid w:val="00F03619"/>
    <w:rsid w:val="00F0363A"/>
    <w:rsid w:val="00F04992"/>
    <w:rsid w:val="00F04CD5"/>
    <w:rsid w:val="00F04D71"/>
    <w:rsid w:val="00F05051"/>
    <w:rsid w:val="00F06728"/>
    <w:rsid w:val="00F06A8E"/>
    <w:rsid w:val="00F07113"/>
    <w:rsid w:val="00F0776E"/>
    <w:rsid w:val="00F108AF"/>
    <w:rsid w:val="00F11024"/>
    <w:rsid w:val="00F11035"/>
    <w:rsid w:val="00F113AC"/>
    <w:rsid w:val="00F1174B"/>
    <w:rsid w:val="00F11D89"/>
    <w:rsid w:val="00F12200"/>
    <w:rsid w:val="00F13403"/>
    <w:rsid w:val="00F136B1"/>
    <w:rsid w:val="00F14104"/>
    <w:rsid w:val="00F14182"/>
    <w:rsid w:val="00F1629D"/>
    <w:rsid w:val="00F16724"/>
    <w:rsid w:val="00F16A9E"/>
    <w:rsid w:val="00F16BF6"/>
    <w:rsid w:val="00F16CB6"/>
    <w:rsid w:val="00F16D6D"/>
    <w:rsid w:val="00F176F0"/>
    <w:rsid w:val="00F17F19"/>
    <w:rsid w:val="00F2000A"/>
    <w:rsid w:val="00F20358"/>
    <w:rsid w:val="00F208C7"/>
    <w:rsid w:val="00F2097A"/>
    <w:rsid w:val="00F20E8C"/>
    <w:rsid w:val="00F20ED1"/>
    <w:rsid w:val="00F20F84"/>
    <w:rsid w:val="00F223F9"/>
    <w:rsid w:val="00F23486"/>
    <w:rsid w:val="00F2455E"/>
    <w:rsid w:val="00F24D39"/>
    <w:rsid w:val="00F2610F"/>
    <w:rsid w:val="00F2661B"/>
    <w:rsid w:val="00F266E4"/>
    <w:rsid w:val="00F26753"/>
    <w:rsid w:val="00F271FB"/>
    <w:rsid w:val="00F27CBF"/>
    <w:rsid w:val="00F30259"/>
    <w:rsid w:val="00F30368"/>
    <w:rsid w:val="00F307DC"/>
    <w:rsid w:val="00F31583"/>
    <w:rsid w:val="00F31AE4"/>
    <w:rsid w:val="00F31AFA"/>
    <w:rsid w:val="00F32920"/>
    <w:rsid w:val="00F32A5A"/>
    <w:rsid w:val="00F32E31"/>
    <w:rsid w:val="00F3306E"/>
    <w:rsid w:val="00F33175"/>
    <w:rsid w:val="00F33757"/>
    <w:rsid w:val="00F33BD5"/>
    <w:rsid w:val="00F33D5E"/>
    <w:rsid w:val="00F34846"/>
    <w:rsid w:val="00F34972"/>
    <w:rsid w:val="00F349F1"/>
    <w:rsid w:val="00F34A58"/>
    <w:rsid w:val="00F34AEC"/>
    <w:rsid w:val="00F359D4"/>
    <w:rsid w:val="00F35F5D"/>
    <w:rsid w:val="00F36621"/>
    <w:rsid w:val="00F36B8A"/>
    <w:rsid w:val="00F3731E"/>
    <w:rsid w:val="00F374E9"/>
    <w:rsid w:val="00F37A46"/>
    <w:rsid w:val="00F37C7C"/>
    <w:rsid w:val="00F40786"/>
    <w:rsid w:val="00F40BC0"/>
    <w:rsid w:val="00F4129D"/>
    <w:rsid w:val="00F41552"/>
    <w:rsid w:val="00F41CF7"/>
    <w:rsid w:val="00F422F6"/>
    <w:rsid w:val="00F42606"/>
    <w:rsid w:val="00F42A00"/>
    <w:rsid w:val="00F433C4"/>
    <w:rsid w:val="00F43851"/>
    <w:rsid w:val="00F43910"/>
    <w:rsid w:val="00F43A99"/>
    <w:rsid w:val="00F43E22"/>
    <w:rsid w:val="00F45CE9"/>
    <w:rsid w:val="00F45EF6"/>
    <w:rsid w:val="00F466AA"/>
    <w:rsid w:val="00F46733"/>
    <w:rsid w:val="00F51056"/>
    <w:rsid w:val="00F51163"/>
    <w:rsid w:val="00F5151C"/>
    <w:rsid w:val="00F51B1D"/>
    <w:rsid w:val="00F5226B"/>
    <w:rsid w:val="00F52A71"/>
    <w:rsid w:val="00F52CF7"/>
    <w:rsid w:val="00F536BF"/>
    <w:rsid w:val="00F53809"/>
    <w:rsid w:val="00F54805"/>
    <w:rsid w:val="00F5547D"/>
    <w:rsid w:val="00F554FA"/>
    <w:rsid w:val="00F55D5D"/>
    <w:rsid w:val="00F55F29"/>
    <w:rsid w:val="00F564A1"/>
    <w:rsid w:val="00F5686D"/>
    <w:rsid w:val="00F571C1"/>
    <w:rsid w:val="00F5725A"/>
    <w:rsid w:val="00F57774"/>
    <w:rsid w:val="00F57B23"/>
    <w:rsid w:val="00F602C7"/>
    <w:rsid w:val="00F60323"/>
    <w:rsid w:val="00F612B9"/>
    <w:rsid w:val="00F614B7"/>
    <w:rsid w:val="00F617DC"/>
    <w:rsid w:val="00F61891"/>
    <w:rsid w:val="00F6201E"/>
    <w:rsid w:val="00F62731"/>
    <w:rsid w:val="00F633B4"/>
    <w:rsid w:val="00F63BF3"/>
    <w:rsid w:val="00F64557"/>
    <w:rsid w:val="00F6527B"/>
    <w:rsid w:val="00F65C93"/>
    <w:rsid w:val="00F678CD"/>
    <w:rsid w:val="00F67A87"/>
    <w:rsid w:val="00F67DE8"/>
    <w:rsid w:val="00F703FB"/>
    <w:rsid w:val="00F7059D"/>
    <w:rsid w:val="00F70F65"/>
    <w:rsid w:val="00F713B5"/>
    <w:rsid w:val="00F71E60"/>
    <w:rsid w:val="00F72616"/>
    <w:rsid w:val="00F72707"/>
    <w:rsid w:val="00F72961"/>
    <w:rsid w:val="00F731B9"/>
    <w:rsid w:val="00F73677"/>
    <w:rsid w:val="00F74BA3"/>
    <w:rsid w:val="00F74CD2"/>
    <w:rsid w:val="00F74D0C"/>
    <w:rsid w:val="00F752A4"/>
    <w:rsid w:val="00F765F9"/>
    <w:rsid w:val="00F76C0E"/>
    <w:rsid w:val="00F77502"/>
    <w:rsid w:val="00F77675"/>
    <w:rsid w:val="00F80646"/>
    <w:rsid w:val="00F80DD7"/>
    <w:rsid w:val="00F81625"/>
    <w:rsid w:val="00F817B6"/>
    <w:rsid w:val="00F82055"/>
    <w:rsid w:val="00F82987"/>
    <w:rsid w:val="00F82D48"/>
    <w:rsid w:val="00F82F79"/>
    <w:rsid w:val="00F84364"/>
    <w:rsid w:val="00F84636"/>
    <w:rsid w:val="00F856FE"/>
    <w:rsid w:val="00F867C0"/>
    <w:rsid w:val="00F86CC1"/>
    <w:rsid w:val="00F86D65"/>
    <w:rsid w:val="00F871EC"/>
    <w:rsid w:val="00F87472"/>
    <w:rsid w:val="00F87B03"/>
    <w:rsid w:val="00F87F3F"/>
    <w:rsid w:val="00F90BD4"/>
    <w:rsid w:val="00F90DED"/>
    <w:rsid w:val="00F91884"/>
    <w:rsid w:val="00F92DD8"/>
    <w:rsid w:val="00F92ECA"/>
    <w:rsid w:val="00F93A9B"/>
    <w:rsid w:val="00F93C7F"/>
    <w:rsid w:val="00F9500B"/>
    <w:rsid w:val="00F96394"/>
    <w:rsid w:val="00F963F9"/>
    <w:rsid w:val="00F9646D"/>
    <w:rsid w:val="00F966EB"/>
    <w:rsid w:val="00F96A63"/>
    <w:rsid w:val="00F96AE1"/>
    <w:rsid w:val="00F97C59"/>
    <w:rsid w:val="00F97DE9"/>
    <w:rsid w:val="00FA0834"/>
    <w:rsid w:val="00FA0DD5"/>
    <w:rsid w:val="00FA1144"/>
    <w:rsid w:val="00FA17D1"/>
    <w:rsid w:val="00FA1A7C"/>
    <w:rsid w:val="00FA20B9"/>
    <w:rsid w:val="00FA20EE"/>
    <w:rsid w:val="00FA233B"/>
    <w:rsid w:val="00FA2E00"/>
    <w:rsid w:val="00FA35C1"/>
    <w:rsid w:val="00FA3ADF"/>
    <w:rsid w:val="00FA4760"/>
    <w:rsid w:val="00FA4949"/>
    <w:rsid w:val="00FA5786"/>
    <w:rsid w:val="00FA6D87"/>
    <w:rsid w:val="00FA6D8B"/>
    <w:rsid w:val="00FA7EE9"/>
    <w:rsid w:val="00FB064F"/>
    <w:rsid w:val="00FB0823"/>
    <w:rsid w:val="00FB091B"/>
    <w:rsid w:val="00FB0D5F"/>
    <w:rsid w:val="00FB0EB1"/>
    <w:rsid w:val="00FB0EC4"/>
    <w:rsid w:val="00FB1499"/>
    <w:rsid w:val="00FB1F70"/>
    <w:rsid w:val="00FB1FAA"/>
    <w:rsid w:val="00FB1FDE"/>
    <w:rsid w:val="00FB2C08"/>
    <w:rsid w:val="00FB2F71"/>
    <w:rsid w:val="00FB2FBC"/>
    <w:rsid w:val="00FB3055"/>
    <w:rsid w:val="00FB312F"/>
    <w:rsid w:val="00FB375A"/>
    <w:rsid w:val="00FB3C38"/>
    <w:rsid w:val="00FB3DEE"/>
    <w:rsid w:val="00FB4653"/>
    <w:rsid w:val="00FB4EC6"/>
    <w:rsid w:val="00FB5150"/>
    <w:rsid w:val="00FB543C"/>
    <w:rsid w:val="00FB6225"/>
    <w:rsid w:val="00FB67D2"/>
    <w:rsid w:val="00FB6B8B"/>
    <w:rsid w:val="00FB6C55"/>
    <w:rsid w:val="00FB6D81"/>
    <w:rsid w:val="00FB79A5"/>
    <w:rsid w:val="00FC01C8"/>
    <w:rsid w:val="00FC04B8"/>
    <w:rsid w:val="00FC13CF"/>
    <w:rsid w:val="00FC1A5C"/>
    <w:rsid w:val="00FC2B88"/>
    <w:rsid w:val="00FC368F"/>
    <w:rsid w:val="00FC37BC"/>
    <w:rsid w:val="00FC39BC"/>
    <w:rsid w:val="00FC3C60"/>
    <w:rsid w:val="00FC4800"/>
    <w:rsid w:val="00FC5700"/>
    <w:rsid w:val="00FC6A91"/>
    <w:rsid w:val="00FC6D1D"/>
    <w:rsid w:val="00FC7186"/>
    <w:rsid w:val="00FD0195"/>
    <w:rsid w:val="00FD08B6"/>
    <w:rsid w:val="00FD0D25"/>
    <w:rsid w:val="00FD0F34"/>
    <w:rsid w:val="00FD1A3F"/>
    <w:rsid w:val="00FD243A"/>
    <w:rsid w:val="00FD2676"/>
    <w:rsid w:val="00FD2CD1"/>
    <w:rsid w:val="00FD3286"/>
    <w:rsid w:val="00FD36A1"/>
    <w:rsid w:val="00FD3FE3"/>
    <w:rsid w:val="00FD413C"/>
    <w:rsid w:val="00FD4421"/>
    <w:rsid w:val="00FD4686"/>
    <w:rsid w:val="00FD4A27"/>
    <w:rsid w:val="00FD4F8A"/>
    <w:rsid w:val="00FD513F"/>
    <w:rsid w:val="00FD57E3"/>
    <w:rsid w:val="00FD5A89"/>
    <w:rsid w:val="00FD60C1"/>
    <w:rsid w:val="00FD6417"/>
    <w:rsid w:val="00FD6FD2"/>
    <w:rsid w:val="00FD705B"/>
    <w:rsid w:val="00FD714B"/>
    <w:rsid w:val="00FD73EC"/>
    <w:rsid w:val="00FD7A58"/>
    <w:rsid w:val="00FD7C0A"/>
    <w:rsid w:val="00FE02E9"/>
    <w:rsid w:val="00FE0681"/>
    <w:rsid w:val="00FE0D72"/>
    <w:rsid w:val="00FE1456"/>
    <w:rsid w:val="00FE18E6"/>
    <w:rsid w:val="00FE1C65"/>
    <w:rsid w:val="00FE1CAD"/>
    <w:rsid w:val="00FE2480"/>
    <w:rsid w:val="00FE3224"/>
    <w:rsid w:val="00FE3FDC"/>
    <w:rsid w:val="00FE4450"/>
    <w:rsid w:val="00FE4603"/>
    <w:rsid w:val="00FE467C"/>
    <w:rsid w:val="00FE5818"/>
    <w:rsid w:val="00FE6BB1"/>
    <w:rsid w:val="00FE75B3"/>
    <w:rsid w:val="00FF03A9"/>
    <w:rsid w:val="00FF0622"/>
    <w:rsid w:val="00FF0A93"/>
    <w:rsid w:val="00FF0BFE"/>
    <w:rsid w:val="00FF125C"/>
    <w:rsid w:val="00FF12C1"/>
    <w:rsid w:val="00FF1A02"/>
    <w:rsid w:val="00FF28E8"/>
    <w:rsid w:val="00FF2AE5"/>
    <w:rsid w:val="00FF2E45"/>
    <w:rsid w:val="00FF43DE"/>
    <w:rsid w:val="00FF4BD9"/>
    <w:rsid w:val="00FF523F"/>
    <w:rsid w:val="00FF55E8"/>
    <w:rsid w:val="00FF59B8"/>
    <w:rsid w:val="00FF5E16"/>
    <w:rsid w:val="00FF5F8B"/>
    <w:rsid w:val="00FF5FFA"/>
    <w:rsid w:val="00FF6A9F"/>
    <w:rsid w:val="00FF6E68"/>
    <w:rsid w:val="051664B1"/>
    <w:rsid w:val="07C7DFFA"/>
    <w:rsid w:val="2496F672"/>
    <w:rsid w:val="27C814B2"/>
    <w:rsid w:val="2C59208C"/>
    <w:rsid w:val="301A1388"/>
    <w:rsid w:val="349096B7"/>
    <w:rsid w:val="38F63683"/>
    <w:rsid w:val="3A361A63"/>
    <w:rsid w:val="47CD2CC1"/>
    <w:rsid w:val="48CA82F8"/>
    <w:rsid w:val="5F838508"/>
    <w:rsid w:val="60FC545A"/>
    <w:rsid w:val="63504EC2"/>
    <w:rsid w:val="65FA948E"/>
    <w:rsid w:val="772A6DB8"/>
    <w:rsid w:val="77E31B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F7776B"/>
  <w15:docId w15:val="{FC4B12BD-12AC-4B95-AA4C-73F0FEEB4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GB" w:eastAsia="fr-FR" w:bidi="ar-SA"/>
      </w:rPr>
    </w:rPrDefault>
    <w:pPrDefault>
      <w:pPr>
        <w:spacing w:before="240" w:after="240" w:line="264" w:lineRule="auto"/>
      </w:pPr>
    </w:pPrDefault>
  </w:docDefaults>
  <w:latentStyles w:defLockedState="0" w:defUIPriority="0" w:defSemiHidden="0" w:defUnhideWhenUsed="0" w:defQFormat="0" w:count="376">
    <w:lsdException w:name="Normal" w:uiPriority="1" w:qFormat="1"/>
    <w:lsdException w:name="heading 1" w:uiPriority="9" w:qFormat="1"/>
    <w:lsdException w:name="heading 2" w:uiPriority="9"/>
    <w:lsdException w:name="heading 3" w:uiPriority="9"/>
    <w:lsdException w:name="heading 4" w:uiPriority="9" w:unhideWhenUsed="1" w:qFormat="1"/>
    <w:lsdException w:name="heading 5" w:uiPriority="9" w:unhideWhenUsed="1"/>
    <w:lsdException w:name="heading 6" w:uiPriority="9" w:unhideWhenUsed="1"/>
    <w:lsdException w:name="heading 7" w:uiPriority="9" w:unhideWhenUsed="1"/>
    <w:lsdException w:name="heading 8" w:uiPriority="9" w:unhideWhenUsed="1"/>
    <w:lsdException w:name="heading 9" w:uiPriority="9" w:unhideWhenUsed="1"/>
    <w:lsdException w:name="index 1" w:uiPriority="39" w:unhideWhenUsed="1"/>
    <w:lsdException w:name="index 2" w:uiPriority="39" w:unhideWhenUsed="1"/>
    <w:lsdException w:name="index 3" w:uiPriority="39" w:unhideWhenUsed="1"/>
    <w:lsdException w:name="index 4" w:uiPriority="39" w:unhideWhenUsed="1"/>
    <w:lsdException w:name="index 5" w:uiPriority="39" w:unhideWhenUsed="1"/>
    <w:lsdException w:name="index 6" w:uiPriority="39" w:unhideWhenUsed="1"/>
    <w:lsdException w:name="index 7" w:uiPriority="39" w:unhideWhenUsed="1"/>
    <w:lsdException w:name="index 8" w:uiPriority="39" w:unhideWhenUsed="1"/>
    <w:lsdException w:name="index 9" w:uiPriority="3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lsdException w:name="footnote text" w:uiPriority="1" w:unhideWhenUsed="1" w:qFormat="1"/>
    <w:lsdException w:name="annotation text" w:semiHidden="1" w:uiPriority="99" w:qFormat="1"/>
    <w:lsdException w:name="header" w:uiPriority="99"/>
    <w:lsdException w:name="footer" w:uiPriority="99"/>
    <w:lsdException w:name="index heading" w:uiPriority="39" w:unhideWhenUsed="1"/>
    <w:lsdException w:name="caption" w:semiHidden="1" w:uiPriority="35"/>
    <w:lsdException w:name="table of figures" w:uiPriority="39" w:unhideWhenUsed="1"/>
    <w:lsdException w:name="envelope address" w:semiHidden="1"/>
    <w:lsdException w:name="envelope return" w:semiHidden="1"/>
    <w:lsdException w:name="footnote reference" w:uiPriority="1" w:unhideWhenUsed="1" w:qFormat="1"/>
    <w:lsdException w:name="annotation reference" w:semiHidden="1" w:uiPriority="99" w:qFormat="1"/>
    <w:lsdException w:name="line number" w:semiHidden="1"/>
    <w:lsdException w:name="page number" w:semiHidden="1"/>
    <w:lsdException w:name="endnote reference" w:uiPriority="8" w:unhideWhenUsed="1"/>
    <w:lsdException w:name="endnote text" w:uiPriority="8" w:unhideWhenUsed="1"/>
    <w:lsdException w:name="table of authorities" w:semiHidden="1"/>
    <w:lsdException w:name="macro" w:uiPriority="39"/>
    <w:lsdException w:name="toa heading" w:semiHidden="1"/>
    <w:lsdException w:name="List" w:semiHidden="1" w:uiPriority="3"/>
    <w:lsdException w:name="List Bullet" w:uiPriority="3" w:qFormat="1"/>
    <w:lsdException w:name="List Number" w:uiPriority="99"/>
    <w:lsdException w:name="List 2" w:semiHidden="1" w:uiPriority="3"/>
    <w:lsdException w:name="List 3" w:semiHidden="1" w:uiPriority="3"/>
    <w:lsdException w:name="List 4" w:semiHidden="1" w:uiPriority="3"/>
    <w:lsdException w:name="List 5" w:semiHidden="1" w:uiPriority="3"/>
    <w:lsdException w:name="List Bullet 2" w:semiHidden="1" w:uiPriority="3"/>
    <w:lsdException w:name="List Bullet 3" w:semiHidden="1" w:uiPriority="3"/>
    <w:lsdException w:name="List Bullet 4" w:semiHidden="1" w:uiPriority="3"/>
    <w:lsdException w:name="List Bullet 5" w:semiHidden="1" w:uiPriority="3"/>
    <w:lsdException w:name="List Number 2" w:semiHidden="1"/>
    <w:lsdException w:name="List Number 3" w:semiHidden="1" w:uiPriority="3"/>
    <w:lsdException w:name="List Number 4" w:semiHidden="1" w:uiPriority="3"/>
    <w:lsdException w:name="List Number 5" w:semiHidden="1" w:uiPriority="3"/>
    <w:lsdException w:name="Title" w:semiHidden="1" w:uiPriority="14"/>
    <w:lsdException w:name="Closing" w:semiHidden="1"/>
    <w:lsdException w:name="Signature" w:semiHidden="1"/>
    <w:lsdException w:name="Default Paragraph Font" w:semiHidden="1" w:uiPriority="99"/>
    <w:lsdException w:name="Body Text" w:semiHidden="1"/>
    <w:lsdException w:name="Body Text Indent" w:semiHidden="1"/>
    <w:lsdException w:name="List Continue" w:semiHidden="1" w:uiPriority="3"/>
    <w:lsdException w:name="List Continue 2" w:semiHidden="1" w:uiPriority="3"/>
    <w:lsdException w:name="List Continue 3" w:semiHidden="1" w:uiPriority="3"/>
    <w:lsdException w:name="List Continue 4" w:semiHidden="1" w:uiPriority="3"/>
    <w:lsdException w:name="List Continue 5" w:semiHidden="1" w:uiPriority="3"/>
    <w:lsdException w:name="Message Header" w:semiHidden="1"/>
    <w:lsdException w:name="Subtitle" w:semiHidden="1" w:uiPriority="15"/>
    <w:lsdException w:name="Salutation" w:semiHidden="1"/>
    <w:lsdException w:name="Date" w:semiHidden="1" w:uiPriority="19"/>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unhideWhenUsed="1" w:qFormat="1"/>
    <w:lsdException w:name="FollowedHyperlink" w:semiHidden="1" w:uiPriority="99"/>
    <w:lsdException w:name="Strong" w:semiHidden="1"/>
    <w:lsdException w:name="Emphasis" w:semiHidden="1" w:uiPriority="20"/>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semiHidden="1"/>
    <w:lsdException w:name="HTML Acronym" w:semiHidden="1" w:uiPriority="39"/>
    <w:lsdException w:name="HTML Address" w:semiHidden="1" w:uiPriority="39"/>
    <w:lsdException w:name="HTML Cite" w:semiHidden="1" w:uiPriority="39"/>
    <w:lsdException w:name="HTML Code" w:semiHidden="1" w:uiPriority="39"/>
    <w:lsdException w:name="HTML Definition" w:semiHidden="1" w:uiPriority="39"/>
    <w:lsdException w:name="HTML Keyboard" w:semiHidden="1" w:uiPriority="39"/>
    <w:lsdException w:name="HTML Preformatted" w:semiHidden="1" w:uiPriority="39"/>
    <w:lsdException w:name="HTML Sample" w:semiHidden="1" w:uiPriority="39"/>
    <w:lsdException w:name="HTML Typewriter" w:semiHidden="1" w:uiPriority="39"/>
    <w:lsdException w:name="HTML Variable" w:semiHidden="1" w:uiPriority="39"/>
    <w:lsdException w:name="Normal Table" w:semiHidden="1" w:uiPriority="10" w:unhideWhenUsed="1"/>
    <w:lsdException w:name="annotation subject" w:semiHidden="1"/>
    <w:lsdException w:name="No List" w:semiHidden="1" w:uiPriority="99"/>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10"/>
    <w:lsdException w:name="Table Theme" w:semiHidden="1" w:unhideWhenUsed="1"/>
    <w:lsdException w:name="Placeholder Text" w:semiHidden="1" w:uiPriority="99"/>
    <w:lsdException w:name="No Spacing" w:uiPriority="2"/>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lsdException w:name="Quote" w:semiHidden="1"/>
    <w:lsdException w:name="Intense Quote" w:semiHidden="1" w:uiPriority="3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uiPriority="39"/>
    <w:lsdException w:name="Subtle Reference" w:semiHidden="1"/>
    <w:lsdException w:name="Intense Reference" w:semiHidden="1" w:uiPriority="39"/>
    <w:lsdException w:name="Book Title" w:semiHidden="1"/>
    <w:lsdException w:name="Bibliography" w:semiHidden="1"/>
    <w:lsdException w:name="TOC Heading" w:uiPriority="37"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474363"/>
    <w:pPr>
      <w:suppressAutoHyphens/>
    </w:pPr>
    <w:rPr>
      <w:rFonts w:ascii="EC Square Sans Pro" w:hAnsi="EC Square Sans Pro"/>
      <w:lang w:eastAsia="en-GB"/>
    </w:rPr>
  </w:style>
  <w:style w:type="paragraph" w:styleId="Heading1">
    <w:name w:val="heading 1"/>
    <w:next w:val="Normal"/>
    <w:link w:val="Heading1Char"/>
    <w:uiPriority w:val="9"/>
    <w:qFormat/>
    <w:rsid w:val="00090F57"/>
    <w:pPr>
      <w:keepNext/>
      <w:keepLines/>
      <w:pageBreakBefore/>
      <w:suppressAutoHyphens/>
      <w:spacing w:before="0" w:after="720"/>
      <w:outlineLvl w:val="0"/>
    </w:pPr>
    <w:rPr>
      <w:rFonts w:asciiTheme="majorHAnsi" w:hAnsiTheme="majorHAnsi"/>
      <w:color w:val="003399" w:themeColor="text2"/>
      <w:sz w:val="48"/>
      <w:lang w:eastAsia="en-GB"/>
    </w:rPr>
  </w:style>
  <w:style w:type="paragraph" w:styleId="Heading2">
    <w:name w:val="heading 2"/>
    <w:next w:val="Normal"/>
    <w:link w:val="Heading2Char"/>
    <w:uiPriority w:val="9"/>
    <w:rsid w:val="002C5CFC"/>
    <w:pPr>
      <w:keepNext/>
      <w:keepLines/>
      <w:pBdr>
        <w:bottom w:val="single" w:sz="6" w:space="1" w:color="DE6002"/>
      </w:pBdr>
      <w:suppressAutoHyphens/>
      <w:spacing w:before="480"/>
      <w:outlineLvl w:val="1"/>
    </w:pPr>
    <w:rPr>
      <w:rFonts w:asciiTheme="majorHAnsi" w:hAnsiTheme="majorHAnsi"/>
      <w:b/>
      <w:color w:val="003399" w:themeColor="text2"/>
      <w:sz w:val="28"/>
      <w:lang w:eastAsia="en-GB"/>
    </w:rPr>
  </w:style>
  <w:style w:type="paragraph" w:styleId="Heading3">
    <w:name w:val="heading 3"/>
    <w:next w:val="Normal"/>
    <w:link w:val="Heading3Char"/>
    <w:uiPriority w:val="9"/>
    <w:rsid w:val="00F867C0"/>
    <w:pPr>
      <w:keepNext/>
      <w:keepLines/>
      <w:suppressAutoHyphens/>
      <w:spacing w:before="480"/>
      <w:outlineLvl w:val="2"/>
    </w:pPr>
    <w:rPr>
      <w:rFonts w:asciiTheme="majorHAnsi" w:hAnsiTheme="majorHAnsi"/>
      <w:color w:val="003399" w:themeColor="text2"/>
      <w:sz w:val="28"/>
      <w:lang w:eastAsia="en-GB"/>
    </w:rPr>
  </w:style>
  <w:style w:type="paragraph" w:styleId="Heading4">
    <w:name w:val="heading 4"/>
    <w:next w:val="Normal"/>
    <w:link w:val="Heading4Char"/>
    <w:uiPriority w:val="9"/>
    <w:unhideWhenUsed/>
    <w:qFormat/>
    <w:rsid w:val="00090F57"/>
    <w:pPr>
      <w:keepNext/>
      <w:keepLines/>
      <w:suppressAutoHyphens/>
      <w:spacing w:before="480"/>
      <w:outlineLvl w:val="3"/>
    </w:pPr>
    <w:rPr>
      <w:rFonts w:asciiTheme="majorHAnsi" w:hAnsiTheme="majorHAnsi"/>
      <w:b/>
      <w:color w:val="003399" w:themeColor="text2"/>
      <w:sz w:val="22"/>
      <w:lang w:eastAsia="en-GB"/>
    </w:rPr>
  </w:style>
  <w:style w:type="paragraph" w:styleId="Heading5">
    <w:name w:val="heading 5"/>
    <w:next w:val="Normal"/>
    <w:link w:val="Heading5Char"/>
    <w:uiPriority w:val="9"/>
    <w:unhideWhenUsed/>
    <w:rsid w:val="00F867C0"/>
    <w:pPr>
      <w:keepNext/>
      <w:keepLines/>
      <w:suppressAutoHyphens/>
      <w:spacing w:before="360"/>
      <w:ind w:left="340"/>
      <w:outlineLvl w:val="4"/>
    </w:pPr>
    <w:rPr>
      <w:rFonts w:asciiTheme="majorHAnsi" w:hAnsiTheme="majorHAnsi"/>
      <w:b/>
      <w:color w:val="003399" w:themeColor="text2"/>
      <w:spacing w:val="12"/>
      <w:lang w:eastAsia="en-GB"/>
    </w:rPr>
  </w:style>
  <w:style w:type="paragraph" w:styleId="Heading6">
    <w:name w:val="heading 6"/>
    <w:next w:val="Normal"/>
    <w:link w:val="Heading6Char"/>
    <w:uiPriority w:val="9"/>
    <w:semiHidden/>
    <w:unhideWhenUsed/>
    <w:rsid w:val="00090F57"/>
    <w:pPr>
      <w:keepNext/>
      <w:keepLines/>
      <w:suppressAutoHyphens/>
      <w:ind w:left="1191"/>
      <w:outlineLvl w:val="5"/>
    </w:pPr>
    <w:rPr>
      <w:rFonts w:asciiTheme="majorHAnsi" w:hAnsiTheme="majorHAnsi"/>
      <w:i/>
      <w:color w:val="008139" w:themeColor="accent1"/>
      <w:spacing w:val="12"/>
      <w:lang w:eastAsia="en-GB"/>
    </w:rPr>
  </w:style>
  <w:style w:type="paragraph" w:styleId="Heading7">
    <w:name w:val="heading 7"/>
    <w:next w:val="Normal"/>
    <w:link w:val="Heading7Char"/>
    <w:uiPriority w:val="9"/>
    <w:semiHidden/>
    <w:unhideWhenUsed/>
    <w:rsid w:val="00090F57"/>
    <w:pPr>
      <w:keepNext/>
      <w:keepLines/>
      <w:suppressAutoHyphens/>
      <w:ind w:left="1531"/>
      <w:outlineLvl w:val="6"/>
    </w:pPr>
    <w:rPr>
      <w:rFonts w:asciiTheme="majorHAnsi" w:hAnsiTheme="majorHAnsi"/>
      <w:color w:val="008139" w:themeColor="accent1"/>
      <w:spacing w:val="12"/>
      <w:lang w:eastAsia="en-GB"/>
    </w:rPr>
  </w:style>
  <w:style w:type="paragraph" w:styleId="Heading8">
    <w:name w:val="heading 8"/>
    <w:next w:val="Normal"/>
    <w:link w:val="Heading8Char"/>
    <w:uiPriority w:val="9"/>
    <w:semiHidden/>
    <w:unhideWhenUsed/>
    <w:rsid w:val="00090F57"/>
    <w:pPr>
      <w:keepNext/>
      <w:keepLines/>
      <w:suppressAutoHyphens/>
      <w:ind w:left="1871"/>
      <w:outlineLvl w:val="7"/>
    </w:pPr>
    <w:rPr>
      <w:rFonts w:asciiTheme="majorHAnsi" w:hAnsiTheme="majorHAnsi"/>
      <w:i/>
      <w:color w:val="008139" w:themeColor="accent1"/>
      <w:spacing w:val="12"/>
      <w:lang w:eastAsia="en-GB"/>
    </w:rPr>
  </w:style>
  <w:style w:type="paragraph" w:styleId="Heading9">
    <w:name w:val="heading 9"/>
    <w:next w:val="Normal"/>
    <w:link w:val="Heading9Char"/>
    <w:uiPriority w:val="9"/>
    <w:semiHidden/>
    <w:unhideWhenUsed/>
    <w:rsid w:val="00090F57"/>
    <w:pPr>
      <w:keepNext/>
      <w:keepLines/>
      <w:suppressAutoHyphens/>
      <w:ind w:left="2211"/>
      <w:outlineLvl w:val="8"/>
    </w:pPr>
    <w:rPr>
      <w:rFonts w:asciiTheme="majorHAnsi" w:hAnsiTheme="majorHAnsi"/>
      <w:color w:val="008139" w:themeColor="accent1"/>
      <w:spacing w:val="1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link w:val="EndnoteText"/>
    <w:uiPriority w:val="8"/>
    <w:semiHidden/>
    <w:unhideWhenUsed/>
    <w:rsid w:val="00090F57"/>
    <w:rPr>
      <w:rFonts w:ascii="EC Square Sans Pro" w:hAnsi="EC Square Sans Pro"/>
      <w:color w:val="000000" w:themeColor="dark1"/>
      <w:sz w:val="18"/>
      <w:lang w:eastAsia="en-GB"/>
    </w:rPr>
  </w:style>
  <w:style w:type="character" w:customStyle="1" w:styleId="FootnoteTextChar">
    <w:name w:val="Footnote Text Char"/>
    <w:basedOn w:val="DefaultParagraphFont"/>
    <w:link w:val="FootnoteText"/>
    <w:uiPriority w:val="1"/>
    <w:qFormat/>
    <w:rsid w:val="00090F57"/>
    <w:rPr>
      <w:rFonts w:ascii="EC Square Sans Pro" w:hAnsi="EC Square Sans Pro"/>
      <w:sz w:val="18"/>
      <w:lang w:val="en-GB" w:eastAsia="en-GB"/>
    </w:rPr>
  </w:style>
  <w:style w:type="paragraph" w:customStyle="1" w:styleId="FooterCoverPage">
    <w:name w:val="Footer Cover Page"/>
    <w:basedOn w:val="Normal"/>
    <w:link w:val="FooterCoverPageChar"/>
    <w:uiPriority w:val="39"/>
    <w:semiHidden/>
    <w:rsid w:val="00090F57"/>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PublicationTitleChar"/>
    <w:link w:val="FooterCoverPage"/>
    <w:uiPriority w:val="39"/>
    <w:semiHidden/>
    <w:rsid w:val="00F867C0"/>
    <w:rPr>
      <w:rFonts w:ascii="Times New Roman" w:hAnsi="Times New Roman"/>
      <w:bCs w:val="0"/>
      <w:color w:val="003399" w:themeColor="text2"/>
      <w:sz w:val="24"/>
      <w:szCs w:val="72"/>
      <w:lang w:val="en-GB" w:eastAsia="en-GB"/>
    </w:rPr>
  </w:style>
  <w:style w:type="paragraph" w:customStyle="1" w:styleId="HeaderCoverPage">
    <w:name w:val="Header Cover Page"/>
    <w:basedOn w:val="Normal"/>
    <w:link w:val="HeaderCoverPageChar"/>
    <w:uiPriority w:val="39"/>
    <w:semiHidden/>
    <w:rsid w:val="00D41C3E"/>
    <w:pPr>
      <w:tabs>
        <w:tab w:val="center" w:pos="4535"/>
        <w:tab w:val="right" w:pos="9071"/>
      </w:tabs>
      <w:spacing w:before="0" w:after="120" w:line="240" w:lineRule="auto"/>
      <w:jc w:val="both"/>
    </w:pPr>
    <w:rPr>
      <w:rFonts w:ascii="Times New Roman" w:hAnsi="Times New Roman"/>
      <w:sz w:val="24"/>
    </w:rPr>
  </w:style>
  <w:style w:type="character" w:customStyle="1" w:styleId="HeaderCoverPageChar">
    <w:name w:val="Header Cover Page Char"/>
    <w:basedOn w:val="PublicationTitleChar"/>
    <w:link w:val="HeaderCoverPage"/>
    <w:uiPriority w:val="39"/>
    <w:semiHidden/>
    <w:rsid w:val="005B4728"/>
    <w:rPr>
      <w:rFonts w:ascii="Times New Roman" w:hAnsi="Times New Roman"/>
      <w:bCs w:val="0"/>
      <w:color w:val="003399" w:themeColor="text2"/>
      <w:sz w:val="24"/>
      <w:szCs w:val="72"/>
      <w:lang w:val="en-GB" w:eastAsia="en-GB"/>
    </w:rPr>
  </w:style>
  <w:style w:type="character" w:customStyle="1" w:styleId="BodyPlaceholderText">
    <w:name w:val="BodyPlaceholderText"/>
    <w:uiPriority w:val="1"/>
    <w:semiHidden/>
    <w:rsid w:val="00090F57"/>
    <w:rPr>
      <w:noProof w:val="0"/>
      <w:color w:val="003399" w:themeColor="text2"/>
      <w:shd w:val="clear" w:color="auto" w:fill="FFFFFF"/>
      <w:lang w:val="en-GB"/>
    </w:rPr>
  </w:style>
  <w:style w:type="character" w:customStyle="1" w:styleId="Bold">
    <w:name w:val="Bold"/>
    <w:qFormat/>
    <w:rsid w:val="00090F57"/>
    <w:rPr>
      <w:b/>
      <w:noProof w:val="0"/>
      <w:spacing w:val="1"/>
      <w:lang w:val="en-GB"/>
    </w:rPr>
  </w:style>
  <w:style w:type="character" w:customStyle="1" w:styleId="BoldAccent1">
    <w:name w:val="Bold (Accent 1)"/>
    <w:rsid w:val="00090F57"/>
    <w:rPr>
      <w:b/>
      <w:noProof w:val="0"/>
      <w:color w:val="003399" w:themeColor="text2"/>
      <w:spacing w:val="1"/>
      <w:lang w:val="en-GB"/>
    </w:rPr>
  </w:style>
  <w:style w:type="character" w:styleId="Emphasis">
    <w:name w:val="Emphasis"/>
    <w:uiPriority w:val="20"/>
    <w:semiHidden/>
    <w:rsid w:val="00090F57"/>
    <w:rPr>
      <w:b/>
      <w:noProof w:val="0"/>
      <w:lang w:val="en-GB"/>
    </w:rPr>
  </w:style>
  <w:style w:type="character" w:styleId="EndnoteReference">
    <w:name w:val="endnote reference"/>
    <w:basedOn w:val="DefaultParagraphFont"/>
    <w:uiPriority w:val="8"/>
    <w:semiHidden/>
    <w:unhideWhenUsed/>
    <w:rsid w:val="00090F57"/>
    <w:rPr>
      <w:rFonts w:ascii="Calibri" w:hAnsi="Calibri" w:cs="Calibri"/>
      <w:noProof w:val="0"/>
      <w:spacing w:val="0"/>
      <w:w w:val="100"/>
      <w:position w:val="-2"/>
      <w:sz w:val="22"/>
      <w:vertAlign w:val="superscript"/>
      <w:lang w:val="en-GB"/>
    </w:rPr>
  </w:style>
  <w:style w:type="character" w:styleId="FootnoteReference">
    <w:name w:val="footnote reference"/>
    <w:basedOn w:val="DefaultParagraphFont"/>
    <w:uiPriority w:val="1"/>
    <w:unhideWhenUsed/>
    <w:qFormat/>
    <w:rsid w:val="003C65D8"/>
    <w:rPr>
      <w:vertAlign w:val="superscript"/>
      <w:lang w:val="en-GB"/>
    </w:rPr>
  </w:style>
  <w:style w:type="character" w:styleId="Hyperlink">
    <w:name w:val="Hyperlink"/>
    <w:uiPriority w:val="99"/>
    <w:unhideWhenUsed/>
    <w:qFormat/>
    <w:rsid w:val="00090F57"/>
    <w:rPr>
      <w:noProof w:val="0"/>
      <w:color w:val="003399" w:themeColor="hyperlink"/>
      <w:u w:val="single"/>
      <w:shd w:val="clear" w:color="auto" w:fill="auto"/>
      <w:lang w:val="en-GB"/>
    </w:rPr>
  </w:style>
  <w:style w:type="character" w:customStyle="1" w:styleId="HyperlinkWhite">
    <w:name w:val="Hyperlink White"/>
    <w:basedOn w:val="Hyperlink"/>
    <w:semiHidden/>
    <w:unhideWhenUsed/>
    <w:rsid w:val="00090F57"/>
    <w:rPr>
      <w:noProof w:val="0"/>
      <w:color w:val="FFFFFF" w:themeColor="light1"/>
      <w:u w:val="single"/>
      <w:shd w:val="clear" w:color="auto" w:fill="auto"/>
      <w:lang w:val="en-GB"/>
    </w:rPr>
  </w:style>
  <w:style w:type="character" w:customStyle="1" w:styleId="langBG">
    <w:name w:val="lang_BG"/>
    <w:semiHidden/>
    <w:rsid w:val="00090F57"/>
    <w:rPr>
      <w:noProof w:val="0"/>
      <w:lang w:val="bg-BG"/>
    </w:rPr>
  </w:style>
  <w:style w:type="character" w:customStyle="1" w:styleId="langCS">
    <w:name w:val="lang_CS"/>
    <w:semiHidden/>
    <w:rsid w:val="00090F57"/>
    <w:rPr>
      <w:noProof w:val="0"/>
      <w:lang w:val="cs-CZ"/>
    </w:rPr>
  </w:style>
  <w:style w:type="character" w:customStyle="1" w:styleId="langDA">
    <w:name w:val="lang_DA"/>
    <w:semiHidden/>
    <w:rsid w:val="00090F57"/>
    <w:rPr>
      <w:noProof w:val="0"/>
      <w:lang w:val="da-DK"/>
    </w:rPr>
  </w:style>
  <w:style w:type="character" w:customStyle="1" w:styleId="langDE">
    <w:name w:val="lang_DE"/>
    <w:semiHidden/>
    <w:rsid w:val="00090F57"/>
    <w:rPr>
      <w:noProof w:val="0"/>
      <w:lang w:val="de-DE"/>
    </w:rPr>
  </w:style>
  <w:style w:type="character" w:customStyle="1" w:styleId="langEL">
    <w:name w:val="lang_EL"/>
    <w:semiHidden/>
    <w:rsid w:val="00090F57"/>
    <w:rPr>
      <w:noProof w:val="0"/>
      <w:lang w:val="el-GR"/>
    </w:rPr>
  </w:style>
  <w:style w:type="character" w:customStyle="1" w:styleId="langEN">
    <w:name w:val="lang_EN"/>
    <w:semiHidden/>
    <w:rsid w:val="00090F57"/>
    <w:rPr>
      <w:noProof w:val="0"/>
      <w:lang w:val="en-GB"/>
    </w:rPr>
  </w:style>
  <w:style w:type="character" w:customStyle="1" w:styleId="langES">
    <w:name w:val="lang_ES"/>
    <w:semiHidden/>
    <w:rsid w:val="00090F57"/>
    <w:rPr>
      <w:noProof w:val="0"/>
      <w:lang w:val="es-ES"/>
    </w:rPr>
  </w:style>
  <w:style w:type="character" w:customStyle="1" w:styleId="langET">
    <w:name w:val="lang_ET"/>
    <w:semiHidden/>
    <w:rsid w:val="00090F57"/>
    <w:rPr>
      <w:noProof w:val="0"/>
      <w:lang w:val="et-EE"/>
    </w:rPr>
  </w:style>
  <w:style w:type="character" w:customStyle="1" w:styleId="langFI">
    <w:name w:val="lang_FI"/>
    <w:semiHidden/>
    <w:rsid w:val="00090F57"/>
    <w:rPr>
      <w:noProof w:val="0"/>
      <w:lang w:val="fi-FI"/>
    </w:rPr>
  </w:style>
  <w:style w:type="character" w:customStyle="1" w:styleId="langFR">
    <w:name w:val="lang_FR"/>
    <w:semiHidden/>
    <w:rsid w:val="00090F57"/>
    <w:rPr>
      <w:noProof w:val="0"/>
      <w:lang w:val="fr-FR"/>
    </w:rPr>
  </w:style>
  <w:style w:type="character" w:customStyle="1" w:styleId="langGA">
    <w:name w:val="lang_GA"/>
    <w:semiHidden/>
    <w:rsid w:val="00090F57"/>
    <w:rPr>
      <w:noProof w:val="0"/>
      <w:lang w:val="ga-IE"/>
    </w:rPr>
  </w:style>
  <w:style w:type="character" w:customStyle="1" w:styleId="langHR">
    <w:name w:val="lang_HR"/>
    <w:semiHidden/>
    <w:rsid w:val="00090F57"/>
    <w:rPr>
      <w:noProof w:val="0"/>
      <w:lang w:val="hr-HR"/>
    </w:rPr>
  </w:style>
  <w:style w:type="character" w:customStyle="1" w:styleId="langHU">
    <w:name w:val="lang_HU"/>
    <w:semiHidden/>
    <w:rsid w:val="00090F57"/>
    <w:rPr>
      <w:noProof w:val="0"/>
      <w:lang w:val="hu-HU"/>
    </w:rPr>
  </w:style>
  <w:style w:type="character" w:customStyle="1" w:styleId="langIT">
    <w:name w:val="lang_IT"/>
    <w:semiHidden/>
    <w:rsid w:val="00090F57"/>
    <w:rPr>
      <w:noProof w:val="0"/>
      <w:lang w:val="it-IT"/>
    </w:rPr>
  </w:style>
  <w:style w:type="character" w:customStyle="1" w:styleId="langLT">
    <w:name w:val="lang_LT"/>
    <w:semiHidden/>
    <w:rsid w:val="00090F57"/>
    <w:rPr>
      <w:noProof w:val="0"/>
      <w:lang w:val="lt-LT"/>
    </w:rPr>
  </w:style>
  <w:style w:type="character" w:customStyle="1" w:styleId="langLV">
    <w:name w:val="lang_LV"/>
    <w:semiHidden/>
    <w:rsid w:val="00090F57"/>
    <w:rPr>
      <w:noProof w:val="0"/>
      <w:lang w:val="lv-LV"/>
    </w:rPr>
  </w:style>
  <w:style w:type="character" w:customStyle="1" w:styleId="langMT">
    <w:name w:val="lang_MT"/>
    <w:semiHidden/>
    <w:rsid w:val="00090F57"/>
    <w:rPr>
      <w:noProof w:val="0"/>
      <w:lang w:val="mt-MT"/>
    </w:rPr>
  </w:style>
  <w:style w:type="character" w:customStyle="1" w:styleId="langNL">
    <w:name w:val="lang_NL"/>
    <w:semiHidden/>
    <w:rsid w:val="00090F57"/>
    <w:rPr>
      <w:noProof w:val="0"/>
      <w:lang w:val="nl-NL"/>
    </w:rPr>
  </w:style>
  <w:style w:type="character" w:customStyle="1" w:styleId="langPL">
    <w:name w:val="lang_PL"/>
    <w:semiHidden/>
    <w:rsid w:val="00090F57"/>
    <w:rPr>
      <w:noProof w:val="0"/>
      <w:lang w:val="pl-PL"/>
    </w:rPr>
  </w:style>
  <w:style w:type="character" w:customStyle="1" w:styleId="langPT">
    <w:name w:val="lang_PT"/>
    <w:semiHidden/>
    <w:rsid w:val="00090F57"/>
    <w:rPr>
      <w:noProof w:val="0"/>
      <w:lang w:val="pt-PT"/>
    </w:rPr>
  </w:style>
  <w:style w:type="character" w:customStyle="1" w:styleId="langRO">
    <w:name w:val="lang_RO"/>
    <w:semiHidden/>
    <w:rsid w:val="00090F57"/>
    <w:rPr>
      <w:noProof w:val="0"/>
      <w:lang w:val="ro-RO"/>
    </w:rPr>
  </w:style>
  <w:style w:type="character" w:customStyle="1" w:styleId="langSK">
    <w:name w:val="lang_SK"/>
    <w:semiHidden/>
    <w:rsid w:val="00090F57"/>
    <w:rPr>
      <w:noProof w:val="0"/>
      <w:lang w:val="sk-SK"/>
    </w:rPr>
  </w:style>
  <w:style w:type="character" w:customStyle="1" w:styleId="langSL">
    <w:name w:val="lang_SL"/>
    <w:semiHidden/>
    <w:rsid w:val="00090F57"/>
    <w:rPr>
      <w:noProof w:val="0"/>
      <w:lang w:val="sl-SI"/>
    </w:rPr>
  </w:style>
  <w:style w:type="character" w:customStyle="1" w:styleId="langSV">
    <w:name w:val="lang_SV"/>
    <w:semiHidden/>
    <w:rsid w:val="00090F57"/>
    <w:rPr>
      <w:noProof w:val="0"/>
      <w:lang w:val="sv-SE"/>
    </w:rPr>
  </w:style>
  <w:style w:type="character" w:customStyle="1" w:styleId="langXX">
    <w:name w:val="lang_XX"/>
    <w:semiHidden/>
    <w:rsid w:val="00090F57"/>
    <w:rPr>
      <w:noProof w:val="0"/>
    </w:rPr>
  </w:style>
  <w:style w:type="character" w:styleId="PlaceholderText">
    <w:name w:val="Placeholder Text"/>
    <w:uiPriority w:val="99"/>
    <w:semiHidden/>
    <w:rsid w:val="00090F57"/>
    <w:rPr>
      <w:noProof w:val="0"/>
      <w:color w:val="003399" w:themeColor="text2"/>
      <w:shd w:val="clear" w:color="auto" w:fill="FFFFFF"/>
      <w:lang w:val="en-GB"/>
    </w:rPr>
  </w:style>
  <w:style w:type="paragraph" w:customStyle="1" w:styleId="BoxTitle">
    <w:name w:val="Box Title"/>
    <w:basedOn w:val="Normal"/>
    <w:next w:val="Normal"/>
    <w:uiPriority w:val="4"/>
    <w:rsid w:val="00905120"/>
    <w:rPr>
      <w:rFonts w:ascii="EC Square Sans Pro Medium" w:hAnsi="EC Square Sans Pro Medium"/>
      <w:color w:val="DC3903"/>
      <w:sz w:val="22"/>
    </w:rPr>
  </w:style>
  <w:style w:type="paragraph" w:styleId="Caption">
    <w:name w:val="caption"/>
    <w:next w:val="Normal"/>
    <w:uiPriority w:val="35"/>
    <w:semiHidden/>
    <w:rsid w:val="00090F57"/>
    <w:pPr>
      <w:suppressAutoHyphens/>
      <w:spacing w:after="200" w:line="240" w:lineRule="auto"/>
    </w:pPr>
    <w:rPr>
      <w:rFonts w:ascii="EC Square Sans Pro" w:hAnsi="EC Square Sans Pro"/>
      <w:b/>
      <w:lang w:eastAsia="en-GB"/>
    </w:rPr>
  </w:style>
  <w:style w:type="paragraph" w:customStyle="1" w:styleId="Comment">
    <w:name w:val="Comment"/>
    <w:basedOn w:val="Normal"/>
    <w:uiPriority w:val="36"/>
    <w:semiHidden/>
    <w:rsid w:val="00090F57"/>
    <w:pPr>
      <w:shd w:val="thinDiagStripe" w:color="D9D9D9" w:fill="auto"/>
    </w:pPr>
    <w:rPr>
      <w:vanish/>
    </w:rPr>
  </w:style>
  <w:style w:type="paragraph" w:customStyle="1" w:styleId="CopyrightPage">
    <w:name w:val="Copyright Page"/>
    <w:basedOn w:val="Normal"/>
    <w:uiPriority w:val="40"/>
    <w:semiHidden/>
    <w:rsid w:val="00090F57"/>
    <w:rPr>
      <w:rFonts w:eastAsia="SimSun"/>
      <w:sz w:val="18"/>
      <w:szCs w:val="18"/>
    </w:rPr>
  </w:style>
  <w:style w:type="paragraph" w:customStyle="1" w:styleId="CopyrightPageIdentifier">
    <w:name w:val="Copyright Page Identifier"/>
    <w:basedOn w:val="Normal"/>
    <w:uiPriority w:val="40"/>
    <w:semiHidden/>
    <w:rsid w:val="00090F57"/>
    <w:pPr>
      <w:tabs>
        <w:tab w:val="left" w:pos="567"/>
        <w:tab w:val="left" w:pos="2835"/>
        <w:tab w:val="left" w:pos="4535"/>
        <w:tab w:val="left" w:pos="6520"/>
      </w:tabs>
      <w:spacing w:before="120"/>
      <w:contextualSpacing/>
    </w:pPr>
    <w:rPr>
      <w:rFonts w:eastAsia="SimSun"/>
      <w:sz w:val="18"/>
      <w:szCs w:val="18"/>
    </w:rPr>
  </w:style>
  <w:style w:type="paragraph" w:customStyle="1" w:styleId="CopyrightPageNoSpace">
    <w:name w:val="Copyright Page NoSpace"/>
    <w:basedOn w:val="Normal"/>
    <w:uiPriority w:val="40"/>
    <w:semiHidden/>
    <w:rsid w:val="00090F57"/>
    <w:pPr>
      <w:spacing w:before="0" w:after="0"/>
    </w:pPr>
    <w:rPr>
      <w:rFonts w:eastAsia="SimSun"/>
      <w:sz w:val="18"/>
      <w:szCs w:val="18"/>
    </w:rPr>
  </w:style>
  <w:style w:type="paragraph" w:customStyle="1" w:styleId="FigureCopyrights">
    <w:name w:val="Figure Copyrights"/>
    <w:basedOn w:val="ImageCopyrights"/>
    <w:next w:val="FigureSource"/>
    <w:uiPriority w:val="5"/>
    <w:semiHidden/>
    <w:rsid w:val="00090F57"/>
  </w:style>
  <w:style w:type="paragraph" w:customStyle="1" w:styleId="FigurePlaceholder">
    <w:name w:val="Figure Placeholder"/>
    <w:basedOn w:val="ImagePlaceholder"/>
    <w:next w:val="FigureCopyrights"/>
    <w:uiPriority w:val="5"/>
    <w:semiHidden/>
    <w:rsid w:val="00090F57"/>
  </w:style>
  <w:style w:type="paragraph" w:customStyle="1" w:styleId="FigureSource">
    <w:name w:val="Figure Source"/>
    <w:basedOn w:val="ImageSource"/>
    <w:next w:val="Normal"/>
    <w:uiPriority w:val="5"/>
    <w:semiHidden/>
    <w:rsid w:val="00090F57"/>
  </w:style>
  <w:style w:type="paragraph" w:customStyle="1" w:styleId="FigureSubtitle">
    <w:name w:val="Figure Subtitle"/>
    <w:basedOn w:val="ImageSubtitle"/>
    <w:next w:val="FigurePlaceholder"/>
    <w:uiPriority w:val="5"/>
    <w:semiHidden/>
    <w:rsid w:val="00090F57"/>
  </w:style>
  <w:style w:type="paragraph" w:customStyle="1" w:styleId="FigureTitle">
    <w:name w:val="Figure Title"/>
    <w:basedOn w:val="ImageTitle"/>
    <w:next w:val="FigureSubtitle"/>
    <w:uiPriority w:val="5"/>
    <w:semiHidden/>
    <w:rsid w:val="00090F57"/>
  </w:style>
  <w:style w:type="paragraph" w:customStyle="1" w:styleId="FooterCover">
    <w:name w:val="Footer Cover"/>
    <w:uiPriority w:val="99"/>
    <w:semiHidden/>
    <w:rsid w:val="00090F57"/>
    <w:pPr>
      <w:suppressAutoHyphens/>
      <w:spacing w:before="0" w:after="0" w:line="240" w:lineRule="auto"/>
    </w:pPr>
    <w:rPr>
      <w:rFonts w:ascii="EC Square Sans Pro" w:hAnsi="EC Square Sans Pro"/>
      <w:color w:val="FFFFFF" w:themeColor="light1"/>
      <w:sz w:val="18"/>
      <w:lang w:eastAsia="en-GB"/>
    </w:rPr>
  </w:style>
  <w:style w:type="paragraph" w:customStyle="1" w:styleId="FooterEven">
    <w:name w:val="Footer Even"/>
    <w:basedOn w:val="Footer"/>
    <w:uiPriority w:val="15"/>
    <w:semiHidden/>
    <w:rsid w:val="00090F57"/>
    <w:pPr>
      <w:jc w:val="right"/>
    </w:pPr>
  </w:style>
  <w:style w:type="paragraph" w:customStyle="1" w:styleId="FooterOdd">
    <w:name w:val="Footer Odd"/>
    <w:basedOn w:val="Footer"/>
    <w:uiPriority w:val="15"/>
    <w:semiHidden/>
    <w:rsid w:val="00090F57"/>
    <w:pPr>
      <w:jc w:val="left"/>
    </w:pPr>
  </w:style>
  <w:style w:type="paragraph" w:customStyle="1" w:styleId="HeaderEven">
    <w:name w:val="Header Even"/>
    <w:basedOn w:val="Header"/>
    <w:uiPriority w:val="15"/>
    <w:semiHidden/>
    <w:rsid w:val="00090F57"/>
    <w:pPr>
      <w:jc w:val="right"/>
    </w:pPr>
  </w:style>
  <w:style w:type="paragraph" w:customStyle="1" w:styleId="HeaderOdd">
    <w:name w:val="Header Odd"/>
    <w:basedOn w:val="Header"/>
    <w:uiPriority w:val="15"/>
    <w:semiHidden/>
    <w:rsid w:val="00090F57"/>
    <w:pPr>
      <w:jc w:val="left"/>
    </w:pPr>
  </w:style>
  <w:style w:type="paragraph" w:customStyle="1" w:styleId="ImageAlternative">
    <w:name w:val="Image Alternative"/>
    <w:next w:val="ImageCaption"/>
    <w:uiPriority w:val="5"/>
    <w:semiHidden/>
    <w:rsid w:val="00090F57"/>
    <w:pPr>
      <w:keepNext/>
      <w:shd w:val="clear" w:color="auto" w:fill="C00000"/>
      <w:suppressAutoHyphens/>
      <w:spacing w:before="40" w:line="281" w:lineRule="auto"/>
    </w:pPr>
    <w:rPr>
      <w:rFonts w:ascii="EC Square Sans Pro" w:hAnsi="EC Square Sans Pro"/>
      <w:color w:val="FFFFFF" w:themeColor="light1"/>
      <w:sz w:val="22"/>
      <w:lang w:eastAsia="en-GB"/>
    </w:rPr>
  </w:style>
  <w:style w:type="paragraph" w:customStyle="1" w:styleId="ImageCaption">
    <w:name w:val="Image Caption"/>
    <w:next w:val="ImageCopyrights"/>
    <w:uiPriority w:val="5"/>
    <w:rsid w:val="00090F57"/>
    <w:pPr>
      <w:suppressAutoHyphens/>
      <w:spacing w:before="40" w:after="40" w:line="240" w:lineRule="auto"/>
    </w:pPr>
    <w:rPr>
      <w:rFonts w:ascii="EC Square Sans Pro Medium" w:eastAsia="SimSun" w:hAnsi="EC Square Sans Pro Medium"/>
      <w:sz w:val="16"/>
      <w:lang w:eastAsia="en-GB"/>
    </w:rPr>
  </w:style>
  <w:style w:type="paragraph" w:customStyle="1" w:styleId="ImageCopyrights">
    <w:name w:val="Image Copyrights"/>
    <w:next w:val="ImageSource"/>
    <w:uiPriority w:val="5"/>
    <w:rsid w:val="00090F57"/>
    <w:pPr>
      <w:keepNext/>
      <w:suppressAutoHyphens/>
      <w:spacing w:before="40" w:after="40" w:line="240" w:lineRule="auto"/>
    </w:pPr>
    <w:rPr>
      <w:rFonts w:ascii="EC Square Sans Pro" w:eastAsia="SimSun" w:hAnsi="EC Square Sans Pro"/>
      <w:sz w:val="16"/>
      <w:lang w:eastAsia="en-GB"/>
    </w:rPr>
  </w:style>
  <w:style w:type="paragraph" w:customStyle="1" w:styleId="ImageNotes">
    <w:name w:val="Image Notes"/>
    <w:uiPriority w:val="4"/>
    <w:qFormat/>
    <w:rsid w:val="00090F57"/>
    <w:pPr>
      <w:suppressAutoHyphens/>
      <w:spacing w:before="40" w:after="40" w:line="240" w:lineRule="auto"/>
    </w:pPr>
    <w:rPr>
      <w:sz w:val="16"/>
      <w:lang w:eastAsia="en-GB"/>
    </w:rPr>
  </w:style>
  <w:style w:type="paragraph" w:customStyle="1" w:styleId="ImagePlaceholder">
    <w:name w:val="Image Placeholder"/>
    <w:next w:val="ImageAlternative"/>
    <w:uiPriority w:val="4"/>
    <w:qFormat/>
    <w:rsid w:val="00090F57"/>
    <w:pPr>
      <w:keepNext/>
      <w:suppressAutoHyphens/>
      <w:spacing w:before="0" w:after="0" w:line="281" w:lineRule="auto"/>
      <w:jc w:val="center"/>
    </w:pPr>
    <w:rPr>
      <w:rFonts w:ascii="EC Square Sans Pro" w:eastAsia="SimSun" w:hAnsi="EC Square Sans Pro"/>
      <w:lang w:eastAsia="en-GB"/>
    </w:rPr>
  </w:style>
  <w:style w:type="paragraph" w:customStyle="1" w:styleId="ImageSource">
    <w:name w:val="Image Source"/>
    <w:next w:val="Normal"/>
    <w:uiPriority w:val="4"/>
    <w:qFormat/>
    <w:rsid w:val="00090F57"/>
    <w:pPr>
      <w:suppressAutoHyphens/>
      <w:spacing w:before="40" w:after="40" w:line="240" w:lineRule="auto"/>
    </w:pPr>
    <w:rPr>
      <w:rFonts w:ascii="EC Square Sans Pro" w:eastAsia="SimSun" w:hAnsi="EC Square Sans Pro"/>
      <w:sz w:val="16"/>
      <w:lang w:eastAsia="en-GB"/>
    </w:rPr>
  </w:style>
  <w:style w:type="paragraph" w:customStyle="1" w:styleId="ImageSubtitle">
    <w:name w:val="Image Subtitle"/>
    <w:next w:val="ImagePlaceholder"/>
    <w:uiPriority w:val="4"/>
    <w:qFormat/>
    <w:rsid w:val="00090F57"/>
    <w:pPr>
      <w:keepNext/>
      <w:suppressAutoHyphens/>
      <w:spacing w:before="0" w:after="60" w:line="281" w:lineRule="auto"/>
    </w:pPr>
    <w:rPr>
      <w:rFonts w:ascii="EC Square Sans Pro" w:eastAsia="SimSun" w:hAnsi="EC Square Sans Pro"/>
      <w:color w:val="DC3903"/>
      <w:lang w:eastAsia="en-GB"/>
    </w:rPr>
  </w:style>
  <w:style w:type="paragraph" w:customStyle="1" w:styleId="ImageTitle">
    <w:name w:val="Image Title"/>
    <w:next w:val="ImageSubtitle"/>
    <w:uiPriority w:val="4"/>
    <w:qFormat/>
    <w:rsid w:val="008575D3"/>
    <w:pPr>
      <w:keepNext/>
      <w:suppressAutoHyphens/>
      <w:spacing w:before="360" w:after="60"/>
    </w:pPr>
    <w:rPr>
      <w:rFonts w:ascii="EC Square Sans Pro Medium" w:eastAsia="SimSun" w:hAnsi="EC Square Sans Pro Medium"/>
      <w:color w:val="DC3903"/>
      <w:sz w:val="22"/>
      <w:lang w:eastAsia="en-GB"/>
    </w:rPr>
  </w:style>
  <w:style w:type="paragraph" w:styleId="Index1">
    <w:name w:val="index 1"/>
    <w:basedOn w:val="Normal"/>
    <w:next w:val="Normal"/>
    <w:uiPriority w:val="39"/>
    <w:semiHidden/>
    <w:rsid w:val="00090F57"/>
    <w:pPr>
      <w:spacing w:before="0" w:after="0" w:line="240" w:lineRule="auto"/>
      <w:ind w:left="238" w:hanging="238"/>
    </w:pPr>
  </w:style>
  <w:style w:type="paragraph" w:styleId="Index2">
    <w:name w:val="index 2"/>
    <w:basedOn w:val="Normal"/>
    <w:next w:val="Normal"/>
    <w:uiPriority w:val="39"/>
    <w:semiHidden/>
    <w:rsid w:val="00090F57"/>
    <w:pPr>
      <w:spacing w:before="0" w:after="0" w:line="240" w:lineRule="auto"/>
      <w:ind w:left="476" w:hanging="238"/>
    </w:pPr>
  </w:style>
  <w:style w:type="paragraph" w:styleId="Index3">
    <w:name w:val="index 3"/>
    <w:basedOn w:val="Normal"/>
    <w:next w:val="Normal"/>
    <w:uiPriority w:val="39"/>
    <w:semiHidden/>
    <w:rsid w:val="00090F57"/>
    <w:pPr>
      <w:spacing w:before="0" w:after="0" w:line="240" w:lineRule="auto"/>
      <w:ind w:left="720" w:hanging="238"/>
    </w:pPr>
  </w:style>
  <w:style w:type="paragraph" w:styleId="Index4">
    <w:name w:val="index 4"/>
    <w:basedOn w:val="Normal"/>
    <w:next w:val="Normal"/>
    <w:uiPriority w:val="39"/>
    <w:semiHidden/>
    <w:rsid w:val="00090F57"/>
    <w:pPr>
      <w:spacing w:before="0" w:after="0" w:line="240" w:lineRule="auto"/>
      <w:ind w:left="958" w:hanging="238"/>
    </w:pPr>
  </w:style>
  <w:style w:type="paragraph" w:styleId="Index5">
    <w:name w:val="index 5"/>
    <w:basedOn w:val="Normal"/>
    <w:next w:val="Normal"/>
    <w:uiPriority w:val="39"/>
    <w:semiHidden/>
    <w:rsid w:val="00090F57"/>
    <w:pPr>
      <w:spacing w:before="0" w:after="0" w:line="240" w:lineRule="auto"/>
      <w:ind w:left="1196" w:hanging="238"/>
    </w:pPr>
  </w:style>
  <w:style w:type="paragraph" w:styleId="Index6">
    <w:name w:val="index 6"/>
    <w:basedOn w:val="Normal"/>
    <w:next w:val="Normal"/>
    <w:uiPriority w:val="39"/>
    <w:semiHidden/>
    <w:rsid w:val="00090F57"/>
    <w:pPr>
      <w:spacing w:before="0" w:after="0" w:line="240" w:lineRule="auto"/>
      <w:ind w:left="1440" w:hanging="238"/>
    </w:pPr>
  </w:style>
  <w:style w:type="paragraph" w:styleId="Index7">
    <w:name w:val="index 7"/>
    <w:basedOn w:val="Normal"/>
    <w:next w:val="Normal"/>
    <w:uiPriority w:val="39"/>
    <w:semiHidden/>
    <w:rsid w:val="00090F57"/>
    <w:pPr>
      <w:spacing w:before="0" w:after="0" w:line="240" w:lineRule="auto"/>
      <w:ind w:left="1678" w:hanging="238"/>
    </w:pPr>
  </w:style>
  <w:style w:type="paragraph" w:styleId="Index8">
    <w:name w:val="index 8"/>
    <w:basedOn w:val="Normal"/>
    <w:next w:val="Normal"/>
    <w:uiPriority w:val="39"/>
    <w:semiHidden/>
    <w:rsid w:val="00090F57"/>
    <w:pPr>
      <w:spacing w:before="0" w:after="0" w:line="240" w:lineRule="auto"/>
      <w:ind w:left="1916" w:hanging="238"/>
    </w:pPr>
  </w:style>
  <w:style w:type="paragraph" w:styleId="Index9">
    <w:name w:val="index 9"/>
    <w:basedOn w:val="Normal"/>
    <w:next w:val="Normal"/>
    <w:uiPriority w:val="39"/>
    <w:semiHidden/>
    <w:rsid w:val="00090F57"/>
    <w:pPr>
      <w:spacing w:before="0" w:after="0" w:line="240" w:lineRule="auto"/>
      <w:ind w:left="2160" w:hanging="238"/>
    </w:pPr>
  </w:style>
  <w:style w:type="paragraph" w:styleId="IndexHeading">
    <w:name w:val="index heading"/>
    <w:basedOn w:val="Normal"/>
    <w:next w:val="Normal"/>
    <w:uiPriority w:val="39"/>
    <w:semiHidden/>
    <w:rsid w:val="00090F57"/>
    <w:rPr>
      <w:b/>
      <w:color w:val="003399" w:themeColor="text2"/>
    </w:rPr>
  </w:style>
  <w:style w:type="paragraph" w:customStyle="1" w:styleId="LayoutComment">
    <w:name w:val="Layout Comment"/>
    <w:basedOn w:val="Normal"/>
    <w:rsid w:val="00090F57"/>
    <w:pPr>
      <w:pBdr>
        <w:top w:val="single" w:sz="48" w:space="31" w:color="595959"/>
        <w:left w:val="single" w:sz="48" w:space="31" w:color="595959"/>
        <w:bottom w:val="single" w:sz="48" w:space="31" w:color="595959"/>
        <w:right w:val="single" w:sz="48" w:space="31" w:color="595959"/>
      </w:pBdr>
      <w:shd w:val="clear" w:color="auto" w:fill="595959"/>
      <w:ind w:left="-658" w:right="-680"/>
    </w:pPr>
    <w:rPr>
      <w:color w:val="FFFFFF" w:themeColor="light1"/>
    </w:rPr>
  </w:style>
  <w:style w:type="paragraph" w:customStyle="1" w:styleId="Listabc">
    <w:name w:val="List abc"/>
    <w:uiPriority w:val="1"/>
    <w:rsid w:val="00525505"/>
    <w:pPr>
      <w:numPr>
        <w:numId w:val="37"/>
      </w:numPr>
      <w:suppressAutoHyphens/>
      <w:spacing w:before="60" w:after="60"/>
    </w:pPr>
    <w:rPr>
      <w:rFonts w:ascii="EC Square Sans Pro" w:hAnsi="EC Square Sans Pro"/>
      <w:lang w:eastAsia="en-GB"/>
    </w:rPr>
  </w:style>
  <w:style w:type="paragraph" w:customStyle="1" w:styleId="ListabcLevel2">
    <w:name w:val="List abc (Level 2)"/>
    <w:uiPriority w:val="1"/>
    <w:rsid w:val="00525505"/>
    <w:pPr>
      <w:numPr>
        <w:ilvl w:val="1"/>
        <w:numId w:val="37"/>
      </w:numPr>
      <w:suppressAutoHyphens/>
      <w:spacing w:before="60" w:after="60"/>
    </w:pPr>
    <w:rPr>
      <w:rFonts w:ascii="EC Square Sans Pro" w:hAnsi="EC Square Sans Pro"/>
      <w:lang w:eastAsia="en-GB"/>
    </w:rPr>
  </w:style>
  <w:style w:type="paragraph" w:customStyle="1" w:styleId="ListabcLevel3">
    <w:name w:val="List abc (Level 3)"/>
    <w:uiPriority w:val="1"/>
    <w:unhideWhenUsed/>
    <w:rsid w:val="00525505"/>
    <w:pPr>
      <w:numPr>
        <w:ilvl w:val="2"/>
        <w:numId w:val="37"/>
      </w:numPr>
      <w:suppressAutoHyphens/>
      <w:spacing w:before="60" w:after="60"/>
    </w:pPr>
    <w:rPr>
      <w:rFonts w:ascii="EC Square Sans Pro" w:hAnsi="EC Square Sans Pro"/>
      <w:lang w:eastAsia="en-GB"/>
    </w:rPr>
  </w:style>
  <w:style w:type="paragraph" w:customStyle="1" w:styleId="ListabcLevel4">
    <w:name w:val="List abc (Level 4)"/>
    <w:basedOn w:val="Listabc"/>
    <w:uiPriority w:val="1"/>
    <w:semiHidden/>
    <w:rsid w:val="00525505"/>
    <w:pPr>
      <w:tabs>
        <w:tab w:val="num" w:pos="643"/>
      </w:tabs>
    </w:pPr>
    <w:rPr>
      <w:rFonts w:asciiTheme="minorHAnsi" w:hAnsiTheme="minorHAnsi"/>
    </w:rPr>
  </w:style>
  <w:style w:type="paragraph" w:styleId="ListBullet">
    <w:name w:val="List Bullet"/>
    <w:uiPriority w:val="3"/>
    <w:qFormat/>
    <w:rsid w:val="00525505"/>
    <w:pPr>
      <w:numPr>
        <w:numId w:val="41"/>
      </w:numPr>
      <w:spacing w:before="60" w:after="60"/>
    </w:pPr>
    <w:rPr>
      <w:rFonts w:ascii="EC Square Sans Pro" w:hAnsi="EC Square Sans Pro"/>
      <w:lang w:eastAsia="en-GB"/>
    </w:rPr>
  </w:style>
  <w:style w:type="paragraph" w:customStyle="1" w:styleId="ListBulletLevel2">
    <w:name w:val="List Bullet (Level 2)"/>
    <w:uiPriority w:val="3"/>
    <w:qFormat/>
    <w:rsid w:val="00525505"/>
    <w:pPr>
      <w:numPr>
        <w:ilvl w:val="1"/>
        <w:numId w:val="41"/>
      </w:numPr>
      <w:spacing w:before="60" w:after="60"/>
    </w:pPr>
    <w:rPr>
      <w:rFonts w:ascii="EC Square Sans Pro" w:hAnsi="EC Square Sans Pro"/>
      <w:lang w:eastAsia="en-GB"/>
    </w:rPr>
  </w:style>
  <w:style w:type="paragraph" w:customStyle="1" w:styleId="ListBulletLevel3">
    <w:name w:val="List Bullet (Level 3)"/>
    <w:uiPriority w:val="3"/>
    <w:unhideWhenUsed/>
    <w:rsid w:val="00525505"/>
    <w:pPr>
      <w:numPr>
        <w:ilvl w:val="2"/>
        <w:numId w:val="41"/>
      </w:numPr>
      <w:spacing w:before="60" w:after="60"/>
    </w:pPr>
    <w:rPr>
      <w:rFonts w:ascii="EC Square Sans Pro" w:hAnsi="EC Square Sans Pro"/>
      <w:lang w:eastAsia="en-GB"/>
    </w:rPr>
  </w:style>
  <w:style w:type="paragraph" w:customStyle="1" w:styleId="ListBulletLevel4">
    <w:name w:val="List Bullet (Level 4)"/>
    <w:uiPriority w:val="3"/>
    <w:unhideWhenUsed/>
    <w:rsid w:val="00525505"/>
    <w:pPr>
      <w:numPr>
        <w:ilvl w:val="3"/>
        <w:numId w:val="41"/>
      </w:numPr>
      <w:spacing w:before="60" w:after="60"/>
    </w:pPr>
    <w:rPr>
      <w:rFonts w:ascii="EC Square Sans Pro" w:hAnsi="EC Square Sans Pro"/>
      <w:lang w:eastAsia="en-GB"/>
    </w:rPr>
  </w:style>
  <w:style w:type="paragraph" w:customStyle="1" w:styleId="ListBulletLevel5">
    <w:name w:val="List Bullet (Level 5)"/>
    <w:uiPriority w:val="3"/>
    <w:semiHidden/>
    <w:rsid w:val="00525505"/>
    <w:pPr>
      <w:suppressAutoHyphens/>
    </w:pPr>
    <w:rPr>
      <w:rFonts w:ascii="EC Square Sans Pro" w:hAnsi="EC Square Sans Pro"/>
      <w:lang w:eastAsia="en-GB"/>
    </w:rPr>
  </w:style>
  <w:style w:type="paragraph" w:customStyle="1" w:styleId="ListMixed">
    <w:name w:val="List Mixed"/>
    <w:uiPriority w:val="1"/>
    <w:rsid w:val="00525505"/>
    <w:pPr>
      <w:numPr>
        <w:numId w:val="38"/>
      </w:numPr>
      <w:suppressAutoHyphens/>
      <w:spacing w:before="60" w:after="60"/>
    </w:pPr>
    <w:rPr>
      <w:rFonts w:ascii="EC Square Sans Pro" w:hAnsi="EC Square Sans Pro"/>
      <w:lang w:eastAsia="en-GB"/>
    </w:rPr>
  </w:style>
  <w:style w:type="paragraph" w:customStyle="1" w:styleId="ListMixedLevel2">
    <w:name w:val="List Mixed (Level 2)"/>
    <w:uiPriority w:val="1"/>
    <w:rsid w:val="00525505"/>
    <w:pPr>
      <w:numPr>
        <w:ilvl w:val="1"/>
        <w:numId w:val="38"/>
      </w:numPr>
      <w:suppressAutoHyphens/>
      <w:spacing w:before="60" w:after="60"/>
    </w:pPr>
    <w:rPr>
      <w:rFonts w:ascii="EC Square Sans Pro" w:hAnsi="EC Square Sans Pro"/>
      <w:lang w:eastAsia="en-GB"/>
    </w:rPr>
  </w:style>
  <w:style w:type="paragraph" w:customStyle="1" w:styleId="ListMixedLevel3">
    <w:name w:val="List Mixed (Level 3)"/>
    <w:uiPriority w:val="1"/>
    <w:unhideWhenUsed/>
    <w:rsid w:val="00525505"/>
    <w:pPr>
      <w:numPr>
        <w:ilvl w:val="2"/>
        <w:numId w:val="38"/>
      </w:numPr>
      <w:suppressAutoHyphens/>
      <w:spacing w:before="60" w:after="60"/>
    </w:pPr>
    <w:rPr>
      <w:rFonts w:ascii="EC Square Sans Pro" w:hAnsi="EC Square Sans Pro"/>
      <w:lang w:eastAsia="en-GB"/>
    </w:rPr>
  </w:style>
  <w:style w:type="paragraph" w:customStyle="1" w:styleId="ListMixedLevel4">
    <w:name w:val="List Mixed (Level 4)"/>
    <w:basedOn w:val="ListMixed"/>
    <w:uiPriority w:val="1"/>
    <w:semiHidden/>
    <w:rsid w:val="00525505"/>
    <w:rPr>
      <w:rFonts w:asciiTheme="minorHAnsi" w:hAnsiTheme="minorHAnsi"/>
    </w:rPr>
  </w:style>
  <w:style w:type="paragraph" w:styleId="ListNumber">
    <w:name w:val="List Number"/>
    <w:basedOn w:val="Normal"/>
    <w:uiPriority w:val="99"/>
    <w:rsid w:val="00525505"/>
    <w:pPr>
      <w:numPr>
        <w:numId w:val="39"/>
      </w:numPr>
      <w:spacing w:before="60" w:after="60"/>
    </w:pPr>
  </w:style>
  <w:style w:type="paragraph" w:customStyle="1" w:styleId="ListNumberLevel2">
    <w:name w:val="List Number (Level 2)"/>
    <w:basedOn w:val="ListNumber"/>
    <w:rsid w:val="00525505"/>
    <w:pPr>
      <w:numPr>
        <w:ilvl w:val="1"/>
      </w:numPr>
    </w:pPr>
  </w:style>
  <w:style w:type="paragraph" w:customStyle="1" w:styleId="ListNumberLevel3">
    <w:name w:val="List Number (Level 3)"/>
    <w:basedOn w:val="ListNumber"/>
    <w:unhideWhenUsed/>
    <w:rsid w:val="00525505"/>
    <w:pPr>
      <w:numPr>
        <w:ilvl w:val="2"/>
      </w:numPr>
    </w:pPr>
  </w:style>
  <w:style w:type="paragraph" w:customStyle="1" w:styleId="ListNumberLevel4">
    <w:name w:val="List Number (Level 4)"/>
    <w:basedOn w:val="ListNumber"/>
    <w:uiPriority w:val="1"/>
    <w:unhideWhenUsed/>
    <w:rsid w:val="00525505"/>
    <w:pPr>
      <w:numPr>
        <w:ilvl w:val="3"/>
      </w:numPr>
    </w:pPr>
  </w:style>
  <w:style w:type="paragraph" w:customStyle="1" w:styleId="ListNumberLevel5">
    <w:name w:val="List Number (Level 5)"/>
    <w:basedOn w:val="ListNumber"/>
    <w:uiPriority w:val="1"/>
    <w:semiHidden/>
    <w:rsid w:val="00525505"/>
  </w:style>
  <w:style w:type="paragraph" w:customStyle="1" w:styleId="ListNumberNonindented">
    <w:name w:val="List Number Nonindented"/>
    <w:uiPriority w:val="1"/>
    <w:rsid w:val="00525505"/>
    <w:pPr>
      <w:numPr>
        <w:numId w:val="40"/>
      </w:numPr>
      <w:suppressAutoHyphens/>
      <w:spacing w:before="60" w:after="60"/>
    </w:pPr>
    <w:rPr>
      <w:rFonts w:ascii="EC Square Sans Pro" w:hAnsi="EC Square Sans Pro"/>
      <w:lang w:eastAsia="en-GB"/>
    </w:rPr>
  </w:style>
  <w:style w:type="paragraph" w:customStyle="1" w:styleId="ListNumberNonindentedLevel2">
    <w:name w:val="List Number Nonindented (Level 2)"/>
    <w:uiPriority w:val="1"/>
    <w:rsid w:val="00525505"/>
    <w:pPr>
      <w:numPr>
        <w:ilvl w:val="1"/>
        <w:numId w:val="40"/>
      </w:numPr>
      <w:suppressAutoHyphens/>
      <w:spacing w:before="60" w:after="60"/>
    </w:pPr>
    <w:rPr>
      <w:rFonts w:ascii="EC Square Sans Pro" w:hAnsi="EC Square Sans Pro"/>
      <w:lang w:eastAsia="en-GB"/>
    </w:rPr>
  </w:style>
  <w:style w:type="paragraph" w:customStyle="1" w:styleId="ListNumberNonindentedLevel3">
    <w:name w:val="List Number Nonindented (Level 3)"/>
    <w:uiPriority w:val="1"/>
    <w:unhideWhenUsed/>
    <w:rsid w:val="00525505"/>
    <w:pPr>
      <w:numPr>
        <w:ilvl w:val="2"/>
        <w:numId w:val="40"/>
      </w:numPr>
      <w:suppressAutoHyphens/>
      <w:spacing w:before="60" w:after="60"/>
    </w:pPr>
    <w:rPr>
      <w:rFonts w:ascii="EC Square Sans Pro" w:hAnsi="EC Square Sans Pro"/>
      <w:lang w:eastAsia="en-GB"/>
    </w:rPr>
  </w:style>
  <w:style w:type="paragraph" w:customStyle="1" w:styleId="ListNumberNonindentedLevel4">
    <w:name w:val="List Number Nonindented (Level 4)"/>
    <w:uiPriority w:val="1"/>
    <w:unhideWhenUsed/>
    <w:rsid w:val="00525505"/>
    <w:pPr>
      <w:numPr>
        <w:ilvl w:val="3"/>
        <w:numId w:val="40"/>
      </w:numPr>
      <w:suppressAutoHyphens/>
      <w:spacing w:before="60" w:after="60"/>
    </w:pPr>
    <w:rPr>
      <w:rFonts w:ascii="EC Square Sans Pro" w:hAnsi="EC Square Sans Pro"/>
      <w:lang w:eastAsia="en-GB"/>
    </w:rPr>
  </w:style>
  <w:style w:type="paragraph" w:customStyle="1" w:styleId="ListNumberNonindentedLevel5">
    <w:name w:val="List Number Nonindented (Level 5)"/>
    <w:basedOn w:val="ListNumberNonindented"/>
    <w:uiPriority w:val="1"/>
    <w:semiHidden/>
    <w:rsid w:val="00525505"/>
    <w:rPr>
      <w:rFonts w:asciiTheme="minorHAnsi" w:hAnsiTheme="minorHAnsi"/>
    </w:rPr>
  </w:style>
  <w:style w:type="paragraph" w:styleId="MacroText">
    <w:name w:val="macro"/>
    <w:link w:val="MacroTextChar"/>
    <w:uiPriority w:val="39"/>
    <w:rsid w:val="00090F57"/>
    <w:pPr>
      <w:tabs>
        <w:tab w:val="left" w:pos="505"/>
        <w:tab w:val="left" w:pos="958"/>
        <w:tab w:val="left" w:pos="1440"/>
        <w:tab w:val="left" w:pos="1922"/>
        <w:tab w:val="left" w:pos="2398"/>
        <w:tab w:val="left" w:pos="2880"/>
        <w:tab w:val="left" w:pos="3362"/>
        <w:tab w:val="left" w:pos="3838"/>
        <w:tab w:val="left" w:pos="4320"/>
      </w:tabs>
      <w:suppressAutoHyphens/>
      <w:spacing w:after="0"/>
    </w:pPr>
    <w:rPr>
      <w:rFonts w:ascii="EC Square Sans Pro" w:hAnsi="EC Square Sans Pro"/>
      <w:lang w:eastAsia="en-GB"/>
    </w:rPr>
  </w:style>
  <w:style w:type="paragraph" w:styleId="NoSpacing">
    <w:name w:val="No Spacing"/>
    <w:uiPriority w:val="2"/>
    <w:rsid w:val="00090F57"/>
    <w:pPr>
      <w:suppressAutoHyphens/>
      <w:spacing w:before="0" w:after="0" w:line="240" w:lineRule="auto"/>
    </w:pPr>
    <w:rPr>
      <w:rFonts w:ascii="EC Square Sans Pro" w:hAnsi="EC Square Sans Pro"/>
      <w:lang w:eastAsia="en-GB"/>
    </w:rPr>
  </w:style>
  <w:style w:type="paragraph" w:customStyle="1" w:styleId="NormalIntro">
    <w:name w:val="Normal Intro"/>
    <w:basedOn w:val="Normal"/>
    <w:uiPriority w:val="2"/>
    <w:unhideWhenUsed/>
    <w:rsid w:val="00090F57"/>
    <w:pPr>
      <w:spacing w:before="120" w:after="120"/>
    </w:pPr>
    <w:rPr>
      <w:color w:val="003399" w:themeColor="text2"/>
      <w:sz w:val="22"/>
    </w:rPr>
  </w:style>
  <w:style w:type="paragraph" w:customStyle="1" w:styleId="NormalLeftAligned">
    <w:name w:val="Normal Left Aligned"/>
    <w:basedOn w:val="Normal"/>
    <w:uiPriority w:val="1"/>
    <w:unhideWhenUsed/>
    <w:rsid w:val="00090F57"/>
  </w:style>
  <w:style w:type="paragraph" w:customStyle="1" w:styleId="ObjectiveTableAdditonalText">
    <w:name w:val="Objective Table Additonal Text"/>
    <w:basedOn w:val="ObjectiveTableTitle"/>
    <w:uiPriority w:val="70"/>
    <w:semiHidden/>
    <w:rsid w:val="00090F57"/>
    <w:pPr>
      <w:jc w:val="right"/>
    </w:pPr>
    <w:rPr>
      <w:b w:val="0"/>
      <w:i/>
    </w:rPr>
  </w:style>
  <w:style w:type="paragraph" w:customStyle="1" w:styleId="ObjectiveTableGeneralObjectiveTitle">
    <w:name w:val="Objective Table General Objective Title"/>
    <w:basedOn w:val="ObjectiveTableTitle"/>
    <w:uiPriority w:val="70"/>
    <w:semiHidden/>
    <w:rsid w:val="00090F57"/>
    <w:pPr>
      <w:tabs>
        <w:tab w:val="left" w:pos="2494"/>
      </w:tabs>
    </w:pPr>
  </w:style>
  <w:style w:type="paragraph" w:customStyle="1" w:styleId="ObjectiveTableIndicatorTitle">
    <w:name w:val="Objective Table Indicator Title"/>
    <w:basedOn w:val="ObjectiveTableTitle"/>
    <w:uiPriority w:val="70"/>
    <w:semiHidden/>
    <w:rsid w:val="00090F57"/>
    <w:pPr>
      <w:shd w:val="clear" w:color="000000" w:fill="F3F7FF" w:themeFill="background2"/>
      <w:spacing w:after="0"/>
    </w:pPr>
    <w:rPr>
      <w:color w:val="000000" w:themeColor="dark1"/>
    </w:rPr>
  </w:style>
  <w:style w:type="paragraph" w:customStyle="1" w:styleId="ObjectiveTableMainOutputs">
    <w:name w:val="Objective Table Main Outputs"/>
    <w:basedOn w:val="ObjectiveTableTitle"/>
    <w:uiPriority w:val="70"/>
    <w:semiHidden/>
    <w:rsid w:val="00090F57"/>
    <w:pPr>
      <w:shd w:val="clear" w:color="auto" w:fill="DE6002" w:themeFill="accent2"/>
      <w:spacing w:after="0"/>
    </w:pPr>
  </w:style>
  <w:style w:type="paragraph" w:customStyle="1" w:styleId="ObjectiveTableObjectiveTitle">
    <w:name w:val="Objective Table Objective Title"/>
    <w:basedOn w:val="ObjectiveTableTitle"/>
    <w:uiPriority w:val="70"/>
    <w:semiHidden/>
    <w:rsid w:val="00090F57"/>
  </w:style>
  <w:style w:type="paragraph" w:customStyle="1" w:styleId="ObjectiveTableSpecificObjectiveTitle">
    <w:name w:val="Objective Table Specific Objective Title"/>
    <w:basedOn w:val="ObjectiveTableSubtitle"/>
    <w:uiPriority w:val="70"/>
    <w:semiHidden/>
    <w:rsid w:val="00090F57"/>
    <w:pPr>
      <w:tabs>
        <w:tab w:val="left" w:pos="2494"/>
      </w:tabs>
    </w:pPr>
  </w:style>
  <w:style w:type="paragraph" w:customStyle="1" w:styleId="ObjectiveTableSubtitle">
    <w:name w:val="Objective Table Subtitle"/>
    <w:basedOn w:val="ObjectiveTableTitle"/>
    <w:uiPriority w:val="70"/>
    <w:semiHidden/>
    <w:rsid w:val="00090F57"/>
    <w:pPr>
      <w:spacing w:after="0"/>
    </w:pPr>
    <w:rPr>
      <w:i/>
    </w:rPr>
  </w:style>
  <w:style w:type="paragraph" w:customStyle="1" w:styleId="ObjectiveTableTargetTitle">
    <w:name w:val="Objective Table Target Title"/>
    <w:basedOn w:val="ObjectiveTableTitle"/>
    <w:uiPriority w:val="70"/>
    <w:semiHidden/>
    <w:rsid w:val="00090F57"/>
    <w:pPr>
      <w:shd w:val="clear" w:color="auto" w:fill="FDAB07" w:themeFill="accent4"/>
      <w:spacing w:after="0"/>
    </w:pPr>
  </w:style>
  <w:style w:type="paragraph" w:customStyle="1" w:styleId="ObjectiveTableTitle">
    <w:name w:val="Objective Table Title"/>
    <w:basedOn w:val="Normal"/>
    <w:uiPriority w:val="70"/>
    <w:semiHidden/>
    <w:rsid w:val="00090F57"/>
    <w:pPr>
      <w:keepNext/>
      <w:keepLines/>
      <w:pBdr>
        <w:top w:val="single" w:sz="4" w:space="1" w:color="8C8C8C"/>
        <w:left w:val="single" w:sz="4" w:space="4" w:color="8C8C8C"/>
        <w:bottom w:val="single" w:sz="4" w:space="1" w:color="8C8C8C"/>
        <w:right w:val="single" w:sz="4" w:space="4" w:color="8C8C8C"/>
      </w:pBdr>
      <w:shd w:val="clear" w:color="auto" w:fill="008139" w:themeFill="accent1"/>
      <w:spacing w:before="0"/>
      <w:ind w:left="119" w:right="119"/>
    </w:pPr>
    <w:rPr>
      <w:b/>
      <w:color w:val="FFFFFF" w:themeColor="light1"/>
    </w:rPr>
  </w:style>
  <w:style w:type="paragraph" w:customStyle="1" w:styleId="PublicationAuthorServices">
    <w:name w:val="Publication Author Services"/>
    <w:uiPriority w:val="82"/>
    <w:unhideWhenUsed/>
    <w:rsid w:val="00F867C0"/>
    <w:pPr>
      <w:suppressAutoHyphens/>
      <w:spacing w:before="1680" w:after="720"/>
      <w:ind w:left="3827"/>
    </w:pPr>
    <w:rPr>
      <w:rFonts w:ascii="EC Square Sans Pro" w:hAnsi="EC Square Sans Pro"/>
      <w:color w:val="003399" w:themeColor="text2"/>
      <w:sz w:val="32"/>
      <w:szCs w:val="32"/>
      <w:lang w:eastAsia="en-GB"/>
    </w:rPr>
  </w:style>
  <w:style w:type="paragraph" w:customStyle="1" w:styleId="PublicationDate">
    <w:name w:val="Publication Date"/>
    <w:uiPriority w:val="83"/>
    <w:unhideWhenUsed/>
    <w:rsid w:val="00090F57"/>
    <w:pPr>
      <w:suppressAutoHyphens/>
      <w:spacing w:before="0"/>
      <w:ind w:left="3827"/>
    </w:pPr>
    <w:rPr>
      <w:rFonts w:ascii="EC Square Sans Pro" w:hAnsi="EC Square Sans Pro"/>
      <w:caps/>
      <w:color w:val="003399" w:themeColor="text2"/>
      <w:sz w:val="32"/>
      <w:szCs w:val="32"/>
      <w:lang w:eastAsia="en-GB"/>
    </w:rPr>
  </w:style>
  <w:style w:type="paragraph" w:customStyle="1" w:styleId="PublicationSubtitle">
    <w:name w:val="Publication Subtitle"/>
    <w:uiPriority w:val="81"/>
    <w:unhideWhenUsed/>
    <w:rsid w:val="00F867C0"/>
    <w:pPr>
      <w:suppressAutoHyphens/>
      <w:spacing w:before="480" w:after="0"/>
      <w:ind w:left="3827"/>
    </w:pPr>
    <w:rPr>
      <w:rFonts w:asciiTheme="majorHAnsi" w:hAnsiTheme="majorHAnsi"/>
      <w:color w:val="003399" w:themeColor="text2"/>
      <w:sz w:val="44"/>
      <w:szCs w:val="44"/>
      <w:lang w:eastAsia="en-GB"/>
    </w:rPr>
  </w:style>
  <w:style w:type="paragraph" w:customStyle="1" w:styleId="PublicationTitle">
    <w:name w:val="Publication Title"/>
    <w:link w:val="PublicationTitleChar"/>
    <w:uiPriority w:val="80"/>
    <w:unhideWhenUsed/>
    <w:rsid w:val="00090F57"/>
    <w:pPr>
      <w:suppressAutoHyphens/>
      <w:spacing w:before="3360"/>
      <w:ind w:left="3828" w:right="1"/>
    </w:pPr>
    <w:rPr>
      <w:rFonts w:asciiTheme="majorHAnsi" w:hAnsiTheme="majorHAnsi"/>
      <w:bCs/>
      <w:color w:val="003399" w:themeColor="text2"/>
      <w:sz w:val="72"/>
      <w:szCs w:val="72"/>
      <w:lang w:eastAsia="en-GB"/>
    </w:rPr>
  </w:style>
  <w:style w:type="paragraph" w:customStyle="1" w:styleId="References1">
    <w:name w:val="References 1"/>
    <w:basedOn w:val="Heading1"/>
    <w:next w:val="Normal"/>
    <w:uiPriority w:val="40"/>
    <w:rsid w:val="00090F57"/>
  </w:style>
  <w:style w:type="paragraph" w:customStyle="1" w:styleId="References2">
    <w:name w:val="References 2"/>
    <w:basedOn w:val="Heading2"/>
    <w:next w:val="Normal"/>
    <w:uiPriority w:val="40"/>
    <w:rsid w:val="00090F57"/>
  </w:style>
  <w:style w:type="paragraph" w:customStyle="1" w:styleId="TableAlternative">
    <w:name w:val="Table Alternative"/>
    <w:basedOn w:val="ImageAlternative"/>
    <w:next w:val="TableNote"/>
    <w:semiHidden/>
    <w:rsid w:val="00090F57"/>
  </w:style>
  <w:style w:type="paragraph" w:customStyle="1" w:styleId="TableBody">
    <w:name w:val="Table Body"/>
    <w:next w:val="TableNote"/>
    <w:uiPriority w:val="6"/>
    <w:semiHidden/>
    <w:rsid w:val="00090F57"/>
    <w:pPr>
      <w:keepNext/>
      <w:suppressAutoHyphens/>
      <w:spacing w:after="40" w:line="240" w:lineRule="auto"/>
    </w:pPr>
    <w:rPr>
      <w:rFonts w:ascii="EC Square Sans Pro" w:hAnsi="EC Square Sans Pro"/>
      <w:lang w:eastAsia="en-GB"/>
    </w:rPr>
  </w:style>
  <w:style w:type="paragraph" w:customStyle="1" w:styleId="TableCaption">
    <w:name w:val="Table Caption"/>
    <w:basedOn w:val="ImageCaption"/>
    <w:next w:val="TableSource"/>
    <w:rsid w:val="00090F57"/>
  </w:style>
  <w:style w:type="paragraph" w:customStyle="1" w:styleId="TableCopyrights">
    <w:name w:val="Table Copyrights"/>
    <w:basedOn w:val="TableSource"/>
    <w:uiPriority w:val="7"/>
    <w:unhideWhenUsed/>
    <w:rsid w:val="00090F57"/>
    <w:rPr>
      <w:rFonts w:eastAsia="Times New Roman"/>
    </w:rPr>
  </w:style>
  <w:style w:type="paragraph" w:customStyle="1" w:styleId="TableNotes">
    <w:name w:val="Table Notes"/>
    <w:basedOn w:val="TableSource"/>
    <w:uiPriority w:val="4"/>
    <w:unhideWhenUsed/>
    <w:qFormat/>
    <w:rsid w:val="00090F57"/>
    <w:pPr>
      <w:tabs>
        <w:tab w:val="left" w:pos="284"/>
      </w:tabs>
    </w:pPr>
    <w:rPr>
      <w:rFonts w:eastAsia="Times New Roman"/>
    </w:rPr>
  </w:style>
  <w:style w:type="paragraph" w:styleId="TableofFigures">
    <w:name w:val="table of figures"/>
    <w:next w:val="Normal"/>
    <w:uiPriority w:val="39"/>
    <w:unhideWhenUsed/>
    <w:rsid w:val="00090F57"/>
    <w:pPr>
      <w:tabs>
        <w:tab w:val="right" w:leader="dot" w:pos="8504"/>
      </w:tabs>
      <w:suppressAutoHyphens/>
      <w:spacing w:after="0" w:line="240" w:lineRule="auto"/>
    </w:pPr>
    <w:rPr>
      <w:rFonts w:ascii="EC Square Sans Pro" w:hAnsi="EC Square Sans Pro"/>
      <w:color w:val="003399" w:themeColor="text2"/>
      <w:lang w:eastAsia="en-GB"/>
    </w:rPr>
  </w:style>
  <w:style w:type="paragraph" w:customStyle="1" w:styleId="TableSource">
    <w:name w:val="Table Source"/>
    <w:basedOn w:val="ImageSource"/>
    <w:next w:val="Normal"/>
    <w:uiPriority w:val="4"/>
    <w:unhideWhenUsed/>
    <w:qFormat/>
    <w:rsid w:val="00090F57"/>
    <w:rPr>
      <w:rFonts w:asciiTheme="minorHAnsi" w:hAnsiTheme="minorHAnsi"/>
      <w:color w:val="000000" w:themeColor="dark1"/>
    </w:rPr>
  </w:style>
  <w:style w:type="paragraph" w:customStyle="1" w:styleId="TableSubtitle">
    <w:name w:val="Table Subtitle"/>
    <w:basedOn w:val="ImageSubtitle"/>
    <w:uiPriority w:val="2"/>
    <w:unhideWhenUsed/>
    <w:rsid w:val="00090F57"/>
    <w:pPr>
      <w:keepLines/>
      <w:spacing w:line="264" w:lineRule="auto"/>
      <w:jc w:val="both"/>
    </w:pPr>
    <w:rPr>
      <w:rFonts w:asciiTheme="minorHAnsi" w:eastAsia="Times New Roman" w:hAnsiTheme="minorHAnsi"/>
      <w:sz w:val="24"/>
    </w:rPr>
  </w:style>
  <w:style w:type="paragraph" w:customStyle="1" w:styleId="TableTitle">
    <w:name w:val="Table Title"/>
    <w:basedOn w:val="ImageTitle"/>
    <w:next w:val="TableBody"/>
    <w:uiPriority w:val="4"/>
    <w:unhideWhenUsed/>
    <w:qFormat/>
    <w:rsid w:val="008575D3"/>
    <w:pPr>
      <w:keepLines/>
      <w:spacing w:before="480"/>
    </w:pPr>
  </w:style>
  <w:style w:type="paragraph" w:customStyle="1" w:styleId="TitlePageAuthorServices">
    <w:name w:val="Title Page Author Services"/>
    <w:uiPriority w:val="86"/>
    <w:semiHidden/>
    <w:rsid w:val="00090F57"/>
    <w:pPr>
      <w:suppressAutoHyphens/>
      <w:ind w:left="850"/>
      <w:contextualSpacing/>
    </w:pPr>
    <w:rPr>
      <w:rFonts w:ascii="EC Square Sans Pro Medium" w:hAnsi="EC Square Sans Pro Medium"/>
      <w:color w:val="003399" w:themeColor="dark2"/>
      <w:sz w:val="36"/>
      <w:lang w:eastAsia="en-GB"/>
    </w:rPr>
  </w:style>
  <w:style w:type="paragraph" w:customStyle="1" w:styleId="TitlePageDate">
    <w:name w:val="Title Page Date"/>
    <w:uiPriority w:val="87"/>
    <w:semiHidden/>
    <w:rsid w:val="00F867C0"/>
    <w:pPr>
      <w:keepNext/>
      <w:keepLines/>
      <w:suppressAutoHyphens/>
      <w:ind w:left="850" w:right="850"/>
      <w:contextualSpacing/>
      <w:jc w:val="right"/>
    </w:pPr>
    <w:rPr>
      <w:rFonts w:ascii="EC Square Sans Pro Medium" w:hAnsi="EC Square Sans Pro Medium"/>
      <w:color w:val="003399" w:themeColor="text2"/>
      <w:sz w:val="40"/>
      <w:lang w:eastAsia="en-GB"/>
    </w:rPr>
  </w:style>
  <w:style w:type="paragraph" w:customStyle="1" w:styleId="TitlePageEditorSeat">
    <w:name w:val="Title Page Editor Seat"/>
    <w:uiPriority w:val="88"/>
    <w:semiHidden/>
    <w:rsid w:val="00090F57"/>
    <w:pPr>
      <w:keepNext/>
      <w:keepLines/>
      <w:suppressAutoHyphens/>
      <w:ind w:right="850"/>
      <w:contextualSpacing/>
      <w:jc w:val="right"/>
    </w:pPr>
    <w:rPr>
      <w:sz w:val="32"/>
      <w:lang w:eastAsia="en-GB"/>
    </w:rPr>
  </w:style>
  <w:style w:type="paragraph" w:customStyle="1" w:styleId="TitlePageSubtitle">
    <w:name w:val="Title Page Subtitle"/>
    <w:uiPriority w:val="85"/>
    <w:semiHidden/>
    <w:rsid w:val="00090F57"/>
    <w:pPr>
      <w:suppressAutoHyphens/>
      <w:spacing w:before="600" w:after="600"/>
      <w:ind w:left="850" w:right="850"/>
      <w:contextualSpacing/>
      <w:jc w:val="right"/>
    </w:pPr>
    <w:rPr>
      <w:rFonts w:ascii="EC Square Sans Pro Medium" w:hAnsi="EC Square Sans Pro Medium"/>
      <w:color w:val="003399" w:themeColor="text2"/>
      <w:sz w:val="48"/>
      <w:lang w:eastAsia="en-GB"/>
    </w:rPr>
  </w:style>
  <w:style w:type="paragraph" w:customStyle="1" w:styleId="TitlePageTitle">
    <w:name w:val="Title Page Title"/>
    <w:uiPriority w:val="84"/>
    <w:semiHidden/>
    <w:rsid w:val="00090F57"/>
    <w:pPr>
      <w:suppressAutoHyphens/>
      <w:spacing w:before="2600" w:after="360"/>
      <w:ind w:left="850" w:right="850"/>
      <w:contextualSpacing/>
      <w:jc w:val="right"/>
    </w:pPr>
    <w:rPr>
      <w:rFonts w:ascii="EC Square Sans Pro Medium" w:hAnsi="EC Square Sans Pro Medium"/>
      <w:color w:val="003399" w:themeColor="text2"/>
      <w:sz w:val="64"/>
      <w:lang w:eastAsia="en-GB"/>
    </w:rPr>
  </w:style>
  <w:style w:type="paragraph" w:styleId="TOC1">
    <w:name w:val="toc 1"/>
    <w:basedOn w:val="Normal"/>
    <w:next w:val="Normal"/>
    <w:uiPriority w:val="39"/>
    <w:rsid w:val="00090F57"/>
    <w:pPr>
      <w:tabs>
        <w:tab w:val="right" w:leader="dot" w:pos="9072"/>
      </w:tabs>
      <w:spacing w:before="120" w:after="120"/>
    </w:pPr>
    <w:rPr>
      <w:rFonts w:eastAsiaTheme="minorHAnsi" w:cstheme="minorBidi"/>
      <w:b/>
      <w:caps/>
      <w:lang w:eastAsia="en-US"/>
    </w:rPr>
  </w:style>
  <w:style w:type="paragraph" w:styleId="TOC2">
    <w:name w:val="toc 2"/>
    <w:basedOn w:val="Normal"/>
    <w:next w:val="Normal"/>
    <w:uiPriority w:val="39"/>
    <w:rsid w:val="00090F57"/>
    <w:pPr>
      <w:tabs>
        <w:tab w:val="right" w:leader="dot" w:pos="9072"/>
      </w:tabs>
      <w:spacing w:before="120" w:after="120"/>
      <w:ind w:left="357"/>
    </w:pPr>
    <w:rPr>
      <w:rFonts w:eastAsiaTheme="minorHAnsi" w:cstheme="minorBidi"/>
      <w:lang w:eastAsia="en-US"/>
    </w:rPr>
  </w:style>
  <w:style w:type="paragraph" w:styleId="TOC3">
    <w:name w:val="toc 3"/>
    <w:basedOn w:val="Normal"/>
    <w:next w:val="Normal"/>
    <w:uiPriority w:val="39"/>
    <w:rsid w:val="00090F57"/>
    <w:pPr>
      <w:spacing w:before="120" w:after="120"/>
      <w:ind w:left="720"/>
    </w:pPr>
    <w:rPr>
      <w:rFonts w:eastAsiaTheme="minorHAnsi" w:cstheme="minorBidi"/>
      <w:lang w:eastAsia="en-US"/>
    </w:rPr>
  </w:style>
  <w:style w:type="paragraph" w:styleId="TOC4">
    <w:name w:val="toc 4"/>
    <w:basedOn w:val="Normal"/>
    <w:next w:val="Normal"/>
    <w:uiPriority w:val="39"/>
    <w:semiHidden/>
    <w:unhideWhenUsed/>
    <w:rsid w:val="00090F57"/>
    <w:pPr>
      <w:spacing w:before="120" w:after="120"/>
      <w:ind w:left="601"/>
    </w:pPr>
    <w:rPr>
      <w:rFonts w:eastAsiaTheme="minorHAnsi" w:cstheme="minorBidi"/>
      <w:lang w:eastAsia="en-US"/>
    </w:rPr>
  </w:style>
  <w:style w:type="paragraph" w:styleId="TOC5">
    <w:name w:val="toc 5"/>
    <w:basedOn w:val="Normal"/>
    <w:next w:val="Normal"/>
    <w:uiPriority w:val="39"/>
    <w:semiHidden/>
    <w:unhideWhenUsed/>
    <w:rsid w:val="00090F57"/>
    <w:pPr>
      <w:spacing w:before="120" w:after="120"/>
      <w:ind w:left="799"/>
    </w:pPr>
    <w:rPr>
      <w:rFonts w:eastAsiaTheme="minorHAnsi" w:cstheme="minorBidi"/>
      <w:lang w:eastAsia="en-US"/>
    </w:rPr>
  </w:style>
  <w:style w:type="paragraph" w:styleId="TOC6">
    <w:name w:val="toc 6"/>
    <w:basedOn w:val="Normal"/>
    <w:next w:val="Normal"/>
    <w:uiPriority w:val="39"/>
    <w:semiHidden/>
    <w:unhideWhenUsed/>
    <w:rsid w:val="00090F57"/>
    <w:pPr>
      <w:spacing w:before="120" w:after="120"/>
      <w:ind w:left="998"/>
    </w:pPr>
    <w:rPr>
      <w:rFonts w:eastAsiaTheme="minorHAnsi" w:cstheme="minorBidi"/>
      <w:lang w:eastAsia="en-US"/>
    </w:rPr>
  </w:style>
  <w:style w:type="paragraph" w:styleId="TOC7">
    <w:name w:val="toc 7"/>
    <w:basedOn w:val="Normal"/>
    <w:next w:val="Normal"/>
    <w:uiPriority w:val="39"/>
    <w:semiHidden/>
    <w:unhideWhenUsed/>
    <w:rsid w:val="00090F57"/>
    <w:pPr>
      <w:spacing w:before="120" w:after="120"/>
      <w:ind w:left="1202"/>
    </w:pPr>
    <w:rPr>
      <w:rFonts w:eastAsiaTheme="minorHAnsi" w:cstheme="minorBidi"/>
      <w:lang w:eastAsia="en-US"/>
    </w:rPr>
  </w:style>
  <w:style w:type="paragraph" w:styleId="TOC8">
    <w:name w:val="toc 8"/>
    <w:basedOn w:val="Normal"/>
    <w:next w:val="Normal"/>
    <w:uiPriority w:val="39"/>
    <w:semiHidden/>
    <w:unhideWhenUsed/>
    <w:rsid w:val="00090F57"/>
    <w:pPr>
      <w:spacing w:after="100"/>
      <w:ind w:left="1400"/>
    </w:pPr>
    <w:rPr>
      <w:rFonts w:eastAsiaTheme="minorHAnsi" w:cstheme="minorBidi"/>
      <w:lang w:eastAsia="en-US"/>
    </w:rPr>
  </w:style>
  <w:style w:type="paragraph" w:styleId="TOC9">
    <w:name w:val="toc 9"/>
    <w:basedOn w:val="Normal"/>
    <w:next w:val="Normal"/>
    <w:uiPriority w:val="39"/>
    <w:semiHidden/>
    <w:unhideWhenUsed/>
    <w:rsid w:val="00090F57"/>
    <w:pPr>
      <w:spacing w:after="100"/>
      <w:ind w:left="1600"/>
    </w:pPr>
    <w:rPr>
      <w:rFonts w:eastAsiaTheme="minorHAnsi" w:cstheme="minorBidi"/>
      <w:lang w:eastAsia="en-US"/>
    </w:rPr>
  </w:style>
  <w:style w:type="paragraph" w:styleId="TOCHeading">
    <w:name w:val="TOC Heading"/>
    <w:basedOn w:val="H1-AboutEU"/>
    <w:next w:val="Normal"/>
    <w:uiPriority w:val="37"/>
    <w:semiHidden/>
    <w:rsid w:val="00F867C0"/>
    <w:pPr>
      <w:spacing w:before="0"/>
    </w:pPr>
  </w:style>
  <w:style w:type="paragraph" w:styleId="Date">
    <w:name w:val="Date"/>
    <w:next w:val="Normal"/>
    <w:link w:val="DateChar"/>
    <w:uiPriority w:val="19"/>
    <w:semiHidden/>
    <w:rsid w:val="00090F57"/>
    <w:pPr>
      <w:suppressAutoHyphens/>
      <w:spacing w:after="0"/>
      <w:ind w:left="5669"/>
    </w:pPr>
    <w:rPr>
      <w:rFonts w:ascii="EC Square Sans Pro" w:hAnsi="EC Square Sans Pro"/>
      <w:lang w:eastAsia="en-GB"/>
    </w:rPr>
  </w:style>
  <w:style w:type="character" w:customStyle="1" w:styleId="DateChar">
    <w:name w:val="Date Char"/>
    <w:link w:val="Date"/>
    <w:uiPriority w:val="19"/>
    <w:semiHidden/>
    <w:rsid w:val="00090F57"/>
    <w:rPr>
      <w:rFonts w:ascii="EC Square Sans Pro" w:hAnsi="EC Square Sans Pro"/>
      <w:lang w:eastAsia="en-GB"/>
    </w:rPr>
  </w:style>
  <w:style w:type="paragraph" w:styleId="EndnoteText">
    <w:name w:val="endnote text"/>
    <w:basedOn w:val="Normal"/>
    <w:link w:val="EndnoteTextChar"/>
    <w:uiPriority w:val="8"/>
    <w:semiHidden/>
    <w:unhideWhenUsed/>
    <w:rsid w:val="00090F57"/>
    <w:pPr>
      <w:spacing w:before="0" w:after="0" w:line="240" w:lineRule="auto"/>
      <w:ind w:left="357" w:hanging="357"/>
    </w:pPr>
    <w:rPr>
      <w:color w:val="000000" w:themeColor="dark1"/>
      <w:sz w:val="18"/>
    </w:rPr>
  </w:style>
  <w:style w:type="paragraph" w:styleId="Footer">
    <w:name w:val="footer"/>
    <w:link w:val="FooterChar"/>
    <w:uiPriority w:val="99"/>
    <w:rsid w:val="00090F57"/>
    <w:pPr>
      <w:tabs>
        <w:tab w:val="center" w:pos="4535"/>
        <w:tab w:val="right" w:pos="9071"/>
      </w:tabs>
      <w:suppressAutoHyphens/>
      <w:spacing w:before="0" w:after="0" w:line="240" w:lineRule="auto"/>
      <w:jc w:val="center"/>
    </w:pPr>
    <w:rPr>
      <w:sz w:val="22"/>
      <w:lang w:eastAsia="en-GB"/>
    </w:rPr>
  </w:style>
  <w:style w:type="character" w:customStyle="1" w:styleId="FooterChar">
    <w:name w:val="Footer Char"/>
    <w:link w:val="Footer"/>
    <w:uiPriority w:val="99"/>
    <w:rsid w:val="00090F57"/>
    <w:rPr>
      <w:sz w:val="22"/>
      <w:lang w:eastAsia="en-GB"/>
    </w:rPr>
  </w:style>
  <w:style w:type="paragraph" w:styleId="FootnoteText">
    <w:name w:val="footnote text"/>
    <w:basedOn w:val="Normal"/>
    <w:link w:val="FootnoteTextChar"/>
    <w:uiPriority w:val="1"/>
    <w:qFormat/>
    <w:rsid w:val="00090F57"/>
    <w:pPr>
      <w:spacing w:before="0" w:after="0" w:line="240" w:lineRule="auto"/>
      <w:ind w:left="357" w:hanging="357"/>
    </w:pPr>
    <w:rPr>
      <w:sz w:val="18"/>
    </w:rPr>
  </w:style>
  <w:style w:type="paragraph" w:styleId="Header">
    <w:name w:val="header"/>
    <w:link w:val="HeaderChar"/>
    <w:uiPriority w:val="99"/>
    <w:rsid w:val="00090F57"/>
    <w:pPr>
      <w:tabs>
        <w:tab w:val="center" w:pos="4535"/>
        <w:tab w:val="right" w:pos="9071"/>
      </w:tabs>
      <w:suppressAutoHyphens/>
      <w:spacing w:before="0" w:after="0" w:line="240" w:lineRule="auto"/>
      <w:jc w:val="center"/>
    </w:pPr>
    <w:rPr>
      <w:sz w:val="22"/>
      <w:lang w:eastAsia="en-GB"/>
    </w:rPr>
  </w:style>
  <w:style w:type="character" w:customStyle="1" w:styleId="HeaderChar">
    <w:name w:val="Header Char"/>
    <w:link w:val="Header"/>
    <w:uiPriority w:val="99"/>
    <w:rsid w:val="00090F57"/>
    <w:rPr>
      <w:sz w:val="22"/>
      <w:lang w:eastAsia="en-GB"/>
    </w:rPr>
  </w:style>
  <w:style w:type="character" w:customStyle="1" w:styleId="Heading1Char">
    <w:name w:val="Heading 1 Char"/>
    <w:link w:val="Heading1"/>
    <w:uiPriority w:val="9"/>
    <w:qFormat/>
    <w:rsid w:val="00090F57"/>
    <w:rPr>
      <w:rFonts w:asciiTheme="majorHAnsi" w:hAnsiTheme="majorHAnsi"/>
      <w:color w:val="003399" w:themeColor="text2"/>
      <w:sz w:val="48"/>
      <w:lang w:eastAsia="en-GB"/>
    </w:rPr>
  </w:style>
  <w:style w:type="paragraph" w:customStyle="1" w:styleId="Heading1NoBreakBefore">
    <w:name w:val="Heading 1 No Break Before"/>
    <w:basedOn w:val="Heading1"/>
    <w:next w:val="Normal"/>
    <w:link w:val="Heading1NoBreakBeforeChar"/>
    <w:uiPriority w:val="1"/>
    <w:semiHidden/>
    <w:rsid w:val="00090F57"/>
    <w:pPr>
      <w:pageBreakBefore w:val="0"/>
      <w:spacing w:before="720" w:after="480"/>
    </w:pPr>
  </w:style>
  <w:style w:type="character" w:customStyle="1" w:styleId="Heading1NoBreakBeforeChar">
    <w:name w:val="Heading 1 No Break Before Char"/>
    <w:link w:val="Heading1NoBreakBefore"/>
    <w:uiPriority w:val="1"/>
    <w:semiHidden/>
    <w:qFormat/>
    <w:rsid w:val="00AE642B"/>
    <w:rPr>
      <w:rFonts w:asciiTheme="majorHAnsi" w:hAnsiTheme="majorHAnsi"/>
      <w:color w:val="003399" w:themeColor="text2"/>
      <w:sz w:val="48"/>
      <w:lang w:eastAsia="en-GB"/>
    </w:rPr>
  </w:style>
  <w:style w:type="character" w:customStyle="1" w:styleId="Heading2Char">
    <w:name w:val="Heading 2 Char"/>
    <w:link w:val="Heading2"/>
    <w:uiPriority w:val="9"/>
    <w:qFormat/>
    <w:rsid w:val="002C5CFC"/>
    <w:rPr>
      <w:rFonts w:asciiTheme="majorHAnsi" w:hAnsiTheme="majorHAnsi"/>
      <w:b/>
      <w:color w:val="003399" w:themeColor="text2"/>
      <w:sz w:val="28"/>
      <w:lang w:eastAsia="en-GB"/>
    </w:rPr>
  </w:style>
  <w:style w:type="paragraph" w:customStyle="1" w:styleId="Heading2LabelledLetter">
    <w:name w:val="Heading 2 Labelled Letter"/>
    <w:basedOn w:val="Heading2"/>
    <w:next w:val="Normal"/>
    <w:link w:val="Heading2LabelledLetterChar"/>
    <w:uiPriority w:val="9"/>
    <w:rsid w:val="00090F57"/>
    <w:pPr>
      <w:numPr>
        <w:numId w:val="14"/>
      </w:numPr>
    </w:pPr>
  </w:style>
  <w:style w:type="character" w:customStyle="1" w:styleId="Heading2LabelledLetterChar">
    <w:name w:val="Heading 2 Labelled Letter Char"/>
    <w:link w:val="Heading2LabelledLetter"/>
    <w:uiPriority w:val="9"/>
    <w:qFormat/>
    <w:rsid w:val="00090F57"/>
    <w:rPr>
      <w:rFonts w:asciiTheme="majorHAnsi" w:hAnsiTheme="majorHAnsi"/>
      <w:b/>
      <w:color w:val="003399" w:themeColor="text2"/>
      <w:sz w:val="28"/>
      <w:lang w:eastAsia="en-GB"/>
    </w:rPr>
  </w:style>
  <w:style w:type="paragraph" w:customStyle="1" w:styleId="Heading2LabelledNumber">
    <w:name w:val="Heading 2 Labelled Number"/>
    <w:basedOn w:val="Heading2"/>
    <w:next w:val="Normal"/>
    <w:link w:val="Heading2LabelledNumberChar"/>
    <w:uiPriority w:val="9"/>
    <w:rsid w:val="00090F57"/>
    <w:pPr>
      <w:numPr>
        <w:numId w:val="15"/>
      </w:numPr>
    </w:pPr>
  </w:style>
  <w:style w:type="character" w:customStyle="1" w:styleId="Heading2LabelledNumberChar">
    <w:name w:val="Heading 2 Labelled Number Char"/>
    <w:link w:val="Heading2LabelledNumber"/>
    <w:uiPriority w:val="9"/>
    <w:qFormat/>
    <w:rsid w:val="00090F57"/>
    <w:rPr>
      <w:rFonts w:asciiTheme="majorHAnsi" w:hAnsiTheme="majorHAnsi"/>
      <w:b/>
      <w:color w:val="003399" w:themeColor="text2"/>
      <w:sz w:val="28"/>
      <w:lang w:eastAsia="en-GB"/>
    </w:rPr>
  </w:style>
  <w:style w:type="character" w:customStyle="1" w:styleId="Heading3Char">
    <w:name w:val="Heading 3 Char"/>
    <w:link w:val="Heading3"/>
    <w:uiPriority w:val="9"/>
    <w:qFormat/>
    <w:rsid w:val="00F867C0"/>
    <w:rPr>
      <w:rFonts w:asciiTheme="majorHAnsi" w:hAnsiTheme="majorHAnsi"/>
      <w:color w:val="003399" w:themeColor="text2"/>
      <w:sz w:val="28"/>
      <w:lang w:eastAsia="en-GB"/>
    </w:rPr>
  </w:style>
  <w:style w:type="character" w:customStyle="1" w:styleId="Heading4Char">
    <w:name w:val="Heading 4 Char"/>
    <w:link w:val="Heading4"/>
    <w:uiPriority w:val="9"/>
    <w:unhideWhenUsed/>
    <w:qFormat/>
    <w:rsid w:val="00090F57"/>
    <w:rPr>
      <w:rFonts w:asciiTheme="majorHAnsi" w:hAnsiTheme="majorHAnsi"/>
      <w:b/>
      <w:color w:val="003399" w:themeColor="text2"/>
      <w:sz w:val="22"/>
      <w:lang w:eastAsia="en-GB"/>
    </w:rPr>
  </w:style>
  <w:style w:type="character" w:customStyle="1" w:styleId="Heading5Char">
    <w:name w:val="Heading 5 Char"/>
    <w:link w:val="Heading5"/>
    <w:uiPriority w:val="9"/>
    <w:unhideWhenUsed/>
    <w:qFormat/>
    <w:rsid w:val="00F867C0"/>
    <w:rPr>
      <w:rFonts w:asciiTheme="majorHAnsi" w:hAnsiTheme="majorHAnsi"/>
      <w:b/>
      <w:color w:val="003399" w:themeColor="text2"/>
      <w:spacing w:val="12"/>
      <w:lang w:eastAsia="en-GB"/>
    </w:rPr>
  </w:style>
  <w:style w:type="character" w:customStyle="1" w:styleId="Heading6Char">
    <w:name w:val="Heading 6 Char"/>
    <w:link w:val="Heading6"/>
    <w:uiPriority w:val="9"/>
    <w:semiHidden/>
    <w:unhideWhenUsed/>
    <w:qFormat/>
    <w:rsid w:val="00090F57"/>
    <w:rPr>
      <w:rFonts w:asciiTheme="majorHAnsi" w:hAnsiTheme="majorHAnsi"/>
      <w:i/>
      <w:color w:val="008139" w:themeColor="accent1"/>
      <w:spacing w:val="12"/>
      <w:lang w:eastAsia="en-GB"/>
    </w:rPr>
  </w:style>
  <w:style w:type="character" w:customStyle="1" w:styleId="Heading7Char">
    <w:name w:val="Heading 7 Char"/>
    <w:link w:val="Heading7"/>
    <w:uiPriority w:val="9"/>
    <w:semiHidden/>
    <w:unhideWhenUsed/>
    <w:qFormat/>
    <w:rsid w:val="00090F57"/>
    <w:rPr>
      <w:rFonts w:asciiTheme="majorHAnsi" w:hAnsiTheme="majorHAnsi"/>
      <w:color w:val="008139" w:themeColor="accent1"/>
      <w:spacing w:val="12"/>
      <w:lang w:eastAsia="en-GB"/>
    </w:rPr>
  </w:style>
  <w:style w:type="character" w:customStyle="1" w:styleId="Heading8Char">
    <w:name w:val="Heading 8 Char"/>
    <w:link w:val="Heading8"/>
    <w:uiPriority w:val="9"/>
    <w:semiHidden/>
    <w:unhideWhenUsed/>
    <w:qFormat/>
    <w:rsid w:val="00090F57"/>
    <w:rPr>
      <w:rFonts w:asciiTheme="majorHAnsi" w:hAnsiTheme="majorHAnsi"/>
      <w:i/>
      <w:color w:val="008139" w:themeColor="accent1"/>
      <w:spacing w:val="12"/>
      <w:lang w:eastAsia="en-GB"/>
    </w:rPr>
  </w:style>
  <w:style w:type="character" w:customStyle="1" w:styleId="Heading9Char">
    <w:name w:val="Heading 9 Char"/>
    <w:link w:val="Heading9"/>
    <w:uiPriority w:val="9"/>
    <w:semiHidden/>
    <w:unhideWhenUsed/>
    <w:qFormat/>
    <w:rsid w:val="00090F57"/>
    <w:rPr>
      <w:rFonts w:asciiTheme="majorHAnsi" w:hAnsiTheme="majorHAnsi"/>
      <w:color w:val="008139" w:themeColor="accent1"/>
      <w:spacing w:val="12"/>
      <w:lang w:eastAsia="en-GB"/>
    </w:rPr>
  </w:style>
  <w:style w:type="paragraph" w:customStyle="1" w:styleId="HeadingNoTOC1">
    <w:name w:val="Heading NoTOC 1"/>
    <w:basedOn w:val="Heading1"/>
    <w:next w:val="Normal"/>
    <w:link w:val="HeadingNoTOC1Char"/>
    <w:uiPriority w:val="9"/>
    <w:rsid w:val="00090F57"/>
  </w:style>
  <w:style w:type="character" w:customStyle="1" w:styleId="HeadingNoTOC1Char">
    <w:name w:val="Heading NoTOC 1 Char"/>
    <w:link w:val="HeadingNoTOC1"/>
    <w:uiPriority w:val="9"/>
    <w:rsid w:val="00090F57"/>
    <w:rPr>
      <w:rFonts w:asciiTheme="majorHAnsi" w:hAnsiTheme="majorHAnsi"/>
      <w:color w:val="003399" w:themeColor="text2"/>
      <w:sz w:val="48"/>
      <w:lang w:eastAsia="en-GB"/>
    </w:rPr>
  </w:style>
  <w:style w:type="paragraph" w:customStyle="1" w:styleId="HeadingNoTOC1NoBreakBefore">
    <w:name w:val="Heading NoTOC 1 No Break Before"/>
    <w:basedOn w:val="HeadingNoTOC1"/>
    <w:next w:val="Normal"/>
    <w:link w:val="HeadingNoTOC1NoBreakBeforeChar"/>
    <w:uiPriority w:val="9"/>
    <w:rsid w:val="00090F57"/>
  </w:style>
  <w:style w:type="character" w:customStyle="1" w:styleId="HeadingNoTOC1NoBreakBeforeChar">
    <w:name w:val="Heading NoTOC 1 No Break Before Char"/>
    <w:link w:val="HeadingNoTOC1NoBreakBefore"/>
    <w:uiPriority w:val="9"/>
    <w:qFormat/>
    <w:rsid w:val="00090F57"/>
    <w:rPr>
      <w:rFonts w:asciiTheme="majorHAnsi" w:hAnsiTheme="majorHAnsi"/>
      <w:color w:val="003399" w:themeColor="text2"/>
      <w:sz w:val="48"/>
      <w:lang w:eastAsia="en-GB"/>
    </w:rPr>
  </w:style>
  <w:style w:type="paragraph" w:customStyle="1" w:styleId="HeadingNoTOC2">
    <w:name w:val="Heading NoTOC 2"/>
    <w:basedOn w:val="Heading2"/>
    <w:next w:val="Normal"/>
    <w:link w:val="HeadingNoTOC2Char"/>
    <w:uiPriority w:val="9"/>
    <w:rsid w:val="00090F57"/>
  </w:style>
  <w:style w:type="character" w:customStyle="1" w:styleId="HeadingNoTOC2Char">
    <w:name w:val="Heading NoTOC 2 Char"/>
    <w:link w:val="HeadingNoTOC2"/>
    <w:uiPriority w:val="9"/>
    <w:rsid w:val="00090F57"/>
    <w:rPr>
      <w:rFonts w:asciiTheme="majorHAnsi" w:hAnsiTheme="majorHAnsi"/>
      <w:b/>
      <w:color w:val="003399" w:themeColor="text2"/>
      <w:sz w:val="28"/>
      <w:lang w:eastAsia="en-GB"/>
    </w:rPr>
  </w:style>
  <w:style w:type="paragraph" w:customStyle="1" w:styleId="HeadingNoTOC3">
    <w:name w:val="Heading NoTOC 3"/>
    <w:basedOn w:val="Heading3"/>
    <w:next w:val="Normal"/>
    <w:link w:val="HeadingNoTOC3Char"/>
    <w:uiPriority w:val="9"/>
    <w:rsid w:val="00090F57"/>
  </w:style>
  <w:style w:type="character" w:customStyle="1" w:styleId="HeadingNoTOC3Char">
    <w:name w:val="Heading NoTOC 3 Char"/>
    <w:link w:val="HeadingNoTOC3"/>
    <w:uiPriority w:val="9"/>
    <w:rsid w:val="00090F57"/>
    <w:rPr>
      <w:rFonts w:asciiTheme="majorHAnsi" w:hAnsiTheme="majorHAnsi"/>
      <w:color w:val="003399" w:themeColor="text2"/>
      <w:sz w:val="28"/>
      <w:lang w:eastAsia="en-GB"/>
    </w:rPr>
  </w:style>
  <w:style w:type="paragraph" w:customStyle="1" w:styleId="HeadingNoTOC4">
    <w:name w:val="Heading NoTOC 4"/>
    <w:basedOn w:val="Heading4"/>
    <w:next w:val="Normal"/>
    <w:link w:val="HeadingNoTOC4Char"/>
    <w:uiPriority w:val="9"/>
    <w:rsid w:val="00090F57"/>
  </w:style>
  <w:style w:type="character" w:customStyle="1" w:styleId="HeadingNoTOC4Char">
    <w:name w:val="Heading NoTOC 4 Char"/>
    <w:link w:val="HeadingNoTOC4"/>
    <w:uiPriority w:val="9"/>
    <w:rsid w:val="00090F57"/>
    <w:rPr>
      <w:rFonts w:asciiTheme="majorHAnsi" w:hAnsiTheme="majorHAnsi"/>
      <w:b/>
      <w:color w:val="003399" w:themeColor="text2"/>
      <w:sz w:val="22"/>
      <w:lang w:eastAsia="en-GB"/>
    </w:rPr>
  </w:style>
  <w:style w:type="paragraph" w:customStyle="1" w:styleId="HeadingNoTOC5">
    <w:name w:val="Heading NoTOC 5"/>
    <w:basedOn w:val="Heading5"/>
    <w:next w:val="Normal"/>
    <w:link w:val="HeadingNoTOC5Char"/>
    <w:uiPriority w:val="9"/>
    <w:semiHidden/>
    <w:unhideWhenUsed/>
    <w:rsid w:val="00090F57"/>
  </w:style>
  <w:style w:type="character" w:customStyle="1" w:styleId="HeadingNoTOC5Char">
    <w:name w:val="Heading NoTOC 5 Char"/>
    <w:link w:val="HeadingNoTOC5"/>
    <w:uiPriority w:val="9"/>
    <w:semiHidden/>
    <w:unhideWhenUsed/>
    <w:rsid w:val="00090F57"/>
    <w:rPr>
      <w:rFonts w:asciiTheme="majorHAnsi" w:hAnsiTheme="majorHAnsi"/>
      <w:b/>
      <w:color w:val="003399" w:themeColor="text2"/>
      <w:spacing w:val="12"/>
      <w:lang w:eastAsia="en-GB"/>
    </w:rPr>
  </w:style>
  <w:style w:type="paragraph" w:customStyle="1" w:styleId="HeadingNoTOC6">
    <w:name w:val="Heading NoTOC 6"/>
    <w:basedOn w:val="Heading6"/>
    <w:next w:val="Normal"/>
    <w:link w:val="HeadingNoTOC6Char"/>
    <w:uiPriority w:val="9"/>
    <w:semiHidden/>
    <w:unhideWhenUsed/>
    <w:rsid w:val="00090F57"/>
  </w:style>
  <w:style w:type="character" w:customStyle="1" w:styleId="HeadingNoTOC6Char">
    <w:name w:val="Heading NoTOC 6 Char"/>
    <w:link w:val="HeadingNoTOC6"/>
    <w:uiPriority w:val="9"/>
    <w:semiHidden/>
    <w:unhideWhenUsed/>
    <w:rsid w:val="00090F57"/>
    <w:rPr>
      <w:rFonts w:asciiTheme="majorHAnsi" w:hAnsiTheme="majorHAnsi"/>
      <w:i/>
      <w:color w:val="008139" w:themeColor="accent1"/>
      <w:spacing w:val="12"/>
      <w:lang w:eastAsia="en-GB"/>
    </w:rPr>
  </w:style>
  <w:style w:type="paragraph" w:customStyle="1" w:styleId="HeadingNoTOC7">
    <w:name w:val="Heading NoTOC 7"/>
    <w:basedOn w:val="Heading7"/>
    <w:next w:val="Normal"/>
    <w:link w:val="HeadingNoTOC7Char"/>
    <w:uiPriority w:val="9"/>
    <w:semiHidden/>
    <w:unhideWhenUsed/>
    <w:rsid w:val="00090F57"/>
  </w:style>
  <w:style w:type="character" w:customStyle="1" w:styleId="HeadingNoTOC7Char">
    <w:name w:val="Heading NoTOC 7 Char"/>
    <w:link w:val="HeadingNoTOC7"/>
    <w:uiPriority w:val="9"/>
    <w:semiHidden/>
    <w:unhideWhenUsed/>
    <w:rsid w:val="00090F57"/>
    <w:rPr>
      <w:rFonts w:asciiTheme="majorHAnsi" w:hAnsiTheme="majorHAnsi"/>
      <w:color w:val="008139" w:themeColor="accent1"/>
      <w:spacing w:val="12"/>
      <w:lang w:eastAsia="en-GB"/>
    </w:rPr>
  </w:style>
  <w:style w:type="paragraph" w:customStyle="1" w:styleId="HeadingNoTOC8">
    <w:name w:val="Heading NoTOC 8"/>
    <w:basedOn w:val="Heading8"/>
    <w:next w:val="Normal"/>
    <w:link w:val="HeadingNoTOC8Char"/>
    <w:uiPriority w:val="9"/>
    <w:semiHidden/>
    <w:unhideWhenUsed/>
    <w:rsid w:val="00090F57"/>
  </w:style>
  <w:style w:type="character" w:customStyle="1" w:styleId="HeadingNoTOC8Char">
    <w:name w:val="Heading NoTOC 8 Char"/>
    <w:link w:val="HeadingNoTOC8"/>
    <w:uiPriority w:val="9"/>
    <w:semiHidden/>
    <w:unhideWhenUsed/>
    <w:rsid w:val="00090F57"/>
    <w:rPr>
      <w:rFonts w:asciiTheme="majorHAnsi" w:hAnsiTheme="majorHAnsi"/>
      <w:i/>
      <w:color w:val="008139" w:themeColor="accent1"/>
      <w:spacing w:val="12"/>
      <w:lang w:eastAsia="en-GB"/>
    </w:rPr>
  </w:style>
  <w:style w:type="paragraph" w:customStyle="1" w:styleId="HeadingNoTOC9">
    <w:name w:val="Heading NoTOC 9"/>
    <w:basedOn w:val="Heading9"/>
    <w:next w:val="Normal"/>
    <w:link w:val="HeadingNoTOC9Char"/>
    <w:uiPriority w:val="9"/>
    <w:semiHidden/>
    <w:unhideWhenUsed/>
    <w:rsid w:val="00090F57"/>
  </w:style>
  <w:style w:type="character" w:customStyle="1" w:styleId="HeadingNoTOC9Char">
    <w:name w:val="Heading NoTOC 9 Char"/>
    <w:link w:val="HeadingNoTOC9"/>
    <w:uiPriority w:val="9"/>
    <w:semiHidden/>
    <w:unhideWhenUsed/>
    <w:rsid w:val="00090F57"/>
    <w:rPr>
      <w:rFonts w:asciiTheme="majorHAnsi" w:hAnsiTheme="majorHAnsi"/>
      <w:color w:val="008139" w:themeColor="accent1"/>
      <w:spacing w:val="12"/>
      <w:lang w:eastAsia="en-GB"/>
    </w:rPr>
  </w:style>
  <w:style w:type="paragraph" w:customStyle="1" w:styleId="HeadingNumbered1">
    <w:name w:val="Heading Numbered 1"/>
    <w:basedOn w:val="Heading1"/>
    <w:next w:val="Normal"/>
    <w:link w:val="HeadingNumbered1Char"/>
    <w:uiPriority w:val="9"/>
    <w:rsid w:val="00090F57"/>
    <w:pPr>
      <w:numPr>
        <w:numId w:val="16"/>
      </w:numPr>
    </w:pPr>
  </w:style>
  <w:style w:type="character" w:customStyle="1" w:styleId="HeadingNumbered1Char">
    <w:name w:val="Heading Numbered 1 Char"/>
    <w:link w:val="HeadingNumbered1"/>
    <w:uiPriority w:val="9"/>
    <w:rsid w:val="00090F57"/>
    <w:rPr>
      <w:rFonts w:asciiTheme="majorHAnsi" w:hAnsiTheme="majorHAnsi"/>
      <w:color w:val="003399" w:themeColor="text2"/>
      <w:sz w:val="48"/>
      <w:lang w:eastAsia="en-GB"/>
    </w:rPr>
  </w:style>
  <w:style w:type="paragraph" w:customStyle="1" w:styleId="HeadingNumbered1NoBreakBefore">
    <w:name w:val="Heading Numbered 1 No Break Before"/>
    <w:basedOn w:val="HeadingNumbered1"/>
    <w:next w:val="Normal"/>
    <w:link w:val="HeadingNumbered1NoBreakBeforeChar"/>
    <w:uiPriority w:val="9"/>
    <w:rsid w:val="00090F57"/>
    <w:pPr>
      <w:ind w:left="851" w:hanging="851"/>
    </w:pPr>
  </w:style>
  <w:style w:type="character" w:customStyle="1" w:styleId="HeadingNumbered1NoBreakBeforeChar">
    <w:name w:val="Heading Numbered 1 No Break Before Char"/>
    <w:link w:val="HeadingNumbered1NoBreakBefore"/>
    <w:uiPriority w:val="9"/>
    <w:qFormat/>
    <w:rsid w:val="00090F57"/>
    <w:rPr>
      <w:rFonts w:asciiTheme="majorHAnsi" w:hAnsiTheme="majorHAnsi"/>
      <w:color w:val="003399" w:themeColor="text2"/>
      <w:sz w:val="48"/>
      <w:lang w:eastAsia="en-GB"/>
    </w:rPr>
  </w:style>
  <w:style w:type="paragraph" w:customStyle="1" w:styleId="HeadingNumbered2">
    <w:name w:val="Heading Numbered 2"/>
    <w:basedOn w:val="Heading2"/>
    <w:next w:val="Normal"/>
    <w:link w:val="HeadingNumbered2Char"/>
    <w:uiPriority w:val="9"/>
    <w:rsid w:val="00090F57"/>
    <w:pPr>
      <w:numPr>
        <w:ilvl w:val="1"/>
        <w:numId w:val="16"/>
      </w:numPr>
    </w:pPr>
  </w:style>
  <w:style w:type="character" w:customStyle="1" w:styleId="HeadingNumbered2Char">
    <w:name w:val="Heading Numbered 2 Char"/>
    <w:link w:val="HeadingNumbered2"/>
    <w:uiPriority w:val="9"/>
    <w:rsid w:val="00090F57"/>
    <w:rPr>
      <w:rFonts w:asciiTheme="majorHAnsi" w:hAnsiTheme="majorHAnsi"/>
      <w:b/>
      <w:color w:val="003399" w:themeColor="text2"/>
      <w:sz w:val="28"/>
      <w:lang w:eastAsia="en-GB"/>
    </w:rPr>
  </w:style>
  <w:style w:type="paragraph" w:customStyle="1" w:styleId="HeadingNumbered3">
    <w:name w:val="Heading Numbered 3"/>
    <w:basedOn w:val="Heading3"/>
    <w:next w:val="Normal"/>
    <w:link w:val="HeadingNumbered3Char"/>
    <w:uiPriority w:val="9"/>
    <w:rsid w:val="00090F57"/>
    <w:pPr>
      <w:numPr>
        <w:ilvl w:val="2"/>
        <w:numId w:val="16"/>
      </w:numPr>
    </w:pPr>
  </w:style>
  <w:style w:type="character" w:customStyle="1" w:styleId="HeadingNumbered3Char">
    <w:name w:val="Heading Numbered 3 Char"/>
    <w:link w:val="HeadingNumbered3"/>
    <w:uiPriority w:val="9"/>
    <w:rsid w:val="00090F57"/>
    <w:rPr>
      <w:rFonts w:asciiTheme="majorHAnsi" w:hAnsiTheme="majorHAnsi"/>
      <w:color w:val="003399" w:themeColor="text2"/>
      <w:sz w:val="28"/>
      <w:lang w:eastAsia="en-GB"/>
    </w:rPr>
  </w:style>
  <w:style w:type="paragraph" w:customStyle="1" w:styleId="HeadingNumbered4">
    <w:name w:val="Heading Numbered 4"/>
    <w:basedOn w:val="Heading4"/>
    <w:next w:val="Normal"/>
    <w:link w:val="HeadingNumbered4Char"/>
    <w:uiPriority w:val="9"/>
    <w:rsid w:val="00090F57"/>
    <w:pPr>
      <w:numPr>
        <w:ilvl w:val="3"/>
        <w:numId w:val="16"/>
      </w:numPr>
    </w:pPr>
  </w:style>
  <w:style w:type="character" w:customStyle="1" w:styleId="HeadingNumbered4Char">
    <w:name w:val="Heading Numbered 4 Char"/>
    <w:link w:val="HeadingNumbered4"/>
    <w:uiPriority w:val="9"/>
    <w:rsid w:val="00090F57"/>
    <w:rPr>
      <w:rFonts w:asciiTheme="majorHAnsi" w:hAnsiTheme="majorHAnsi"/>
      <w:b/>
      <w:color w:val="003399" w:themeColor="text2"/>
      <w:sz w:val="22"/>
      <w:lang w:eastAsia="en-GB"/>
    </w:rPr>
  </w:style>
  <w:style w:type="paragraph" w:customStyle="1" w:styleId="HeadingNumbered5">
    <w:name w:val="Heading Numbered 5"/>
    <w:basedOn w:val="Heading5"/>
    <w:next w:val="Normal"/>
    <w:link w:val="HeadingNumbered5Char"/>
    <w:uiPriority w:val="9"/>
    <w:semiHidden/>
    <w:unhideWhenUsed/>
    <w:rsid w:val="00090F57"/>
    <w:pPr>
      <w:numPr>
        <w:ilvl w:val="4"/>
        <w:numId w:val="16"/>
      </w:numPr>
    </w:pPr>
  </w:style>
  <w:style w:type="character" w:customStyle="1" w:styleId="HeadingNumbered5Char">
    <w:name w:val="Heading Numbered 5 Char"/>
    <w:link w:val="HeadingNumbered5"/>
    <w:uiPriority w:val="9"/>
    <w:semiHidden/>
    <w:unhideWhenUsed/>
    <w:rsid w:val="00090F57"/>
    <w:rPr>
      <w:rFonts w:asciiTheme="majorHAnsi" w:hAnsiTheme="majorHAnsi"/>
      <w:b/>
      <w:color w:val="003399" w:themeColor="text2"/>
      <w:spacing w:val="12"/>
      <w:lang w:eastAsia="en-GB"/>
    </w:rPr>
  </w:style>
  <w:style w:type="paragraph" w:customStyle="1" w:styleId="HeadingNumbered6">
    <w:name w:val="Heading Numbered 6"/>
    <w:basedOn w:val="Heading6"/>
    <w:next w:val="Normal"/>
    <w:link w:val="HeadingNumbered6Char"/>
    <w:uiPriority w:val="9"/>
    <w:semiHidden/>
    <w:unhideWhenUsed/>
    <w:rsid w:val="00090F57"/>
    <w:pPr>
      <w:numPr>
        <w:ilvl w:val="5"/>
        <w:numId w:val="16"/>
      </w:numPr>
    </w:pPr>
  </w:style>
  <w:style w:type="character" w:customStyle="1" w:styleId="HeadingNumbered6Char">
    <w:name w:val="Heading Numbered 6 Char"/>
    <w:link w:val="HeadingNumbered6"/>
    <w:uiPriority w:val="9"/>
    <w:semiHidden/>
    <w:unhideWhenUsed/>
    <w:rsid w:val="00090F57"/>
    <w:rPr>
      <w:rFonts w:asciiTheme="majorHAnsi" w:hAnsiTheme="majorHAnsi"/>
      <w:i/>
      <w:color w:val="008139" w:themeColor="accent1"/>
      <w:spacing w:val="12"/>
      <w:lang w:eastAsia="en-GB"/>
    </w:rPr>
  </w:style>
  <w:style w:type="paragraph" w:customStyle="1" w:styleId="HeadingNumbered7">
    <w:name w:val="Heading Numbered 7"/>
    <w:basedOn w:val="Heading7"/>
    <w:next w:val="Normal"/>
    <w:link w:val="HeadingNumbered7Char"/>
    <w:uiPriority w:val="9"/>
    <w:semiHidden/>
    <w:unhideWhenUsed/>
    <w:rsid w:val="00090F57"/>
    <w:pPr>
      <w:numPr>
        <w:ilvl w:val="6"/>
        <w:numId w:val="16"/>
      </w:numPr>
    </w:pPr>
  </w:style>
  <w:style w:type="character" w:customStyle="1" w:styleId="HeadingNumbered7Char">
    <w:name w:val="Heading Numbered 7 Char"/>
    <w:link w:val="HeadingNumbered7"/>
    <w:uiPriority w:val="9"/>
    <w:semiHidden/>
    <w:unhideWhenUsed/>
    <w:rsid w:val="00090F57"/>
    <w:rPr>
      <w:rFonts w:asciiTheme="majorHAnsi" w:hAnsiTheme="majorHAnsi"/>
      <w:color w:val="008139" w:themeColor="accent1"/>
      <w:spacing w:val="12"/>
      <w:lang w:eastAsia="en-GB"/>
    </w:rPr>
  </w:style>
  <w:style w:type="paragraph" w:customStyle="1" w:styleId="HeadingNumbered8">
    <w:name w:val="Heading Numbered 8"/>
    <w:basedOn w:val="Heading8"/>
    <w:next w:val="Normal"/>
    <w:link w:val="HeadingNumbered8Char"/>
    <w:uiPriority w:val="9"/>
    <w:semiHidden/>
    <w:unhideWhenUsed/>
    <w:rsid w:val="00090F57"/>
    <w:pPr>
      <w:numPr>
        <w:ilvl w:val="7"/>
        <w:numId w:val="16"/>
      </w:numPr>
    </w:pPr>
  </w:style>
  <w:style w:type="character" w:customStyle="1" w:styleId="HeadingNumbered8Char">
    <w:name w:val="Heading Numbered 8 Char"/>
    <w:link w:val="HeadingNumbered8"/>
    <w:uiPriority w:val="9"/>
    <w:semiHidden/>
    <w:unhideWhenUsed/>
    <w:rsid w:val="00090F57"/>
    <w:rPr>
      <w:rFonts w:asciiTheme="majorHAnsi" w:hAnsiTheme="majorHAnsi"/>
      <w:i/>
      <w:color w:val="008139" w:themeColor="accent1"/>
      <w:spacing w:val="12"/>
      <w:lang w:eastAsia="en-GB"/>
    </w:rPr>
  </w:style>
  <w:style w:type="paragraph" w:customStyle="1" w:styleId="HeadingNumbered9">
    <w:name w:val="Heading Numbered 9"/>
    <w:basedOn w:val="Heading9"/>
    <w:next w:val="Normal"/>
    <w:link w:val="HeadingNumbered9Char"/>
    <w:uiPriority w:val="9"/>
    <w:semiHidden/>
    <w:unhideWhenUsed/>
    <w:rsid w:val="00090F57"/>
    <w:pPr>
      <w:numPr>
        <w:ilvl w:val="8"/>
        <w:numId w:val="16"/>
      </w:numPr>
    </w:pPr>
  </w:style>
  <w:style w:type="character" w:customStyle="1" w:styleId="HeadingNumbered9Char">
    <w:name w:val="Heading Numbered 9 Char"/>
    <w:link w:val="HeadingNumbered9"/>
    <w:uiPriority w:val="9"/>
    <w:semiHidden/>
    <w:unhideWhenUsed/>
    <w:rsid w:val="00090F57"/>
    <w:rPr>
      <w:rFonts w:asciiTheme="majorHAnsi" w:hAnsiTheme="majorHAnsi"/>
      <w:color w:val="008139" w:themeColor="accent1"/>
      <w:spacing w:val="12"/>
      <w:lang w:eastAsia="en-GB"/>
    </w:rPr>
  </w:style>
  <w:style w:type="paragraph" w:styleId="Subtitle">
    <w:name w:val="Subtitle"/>
    <w:next w:val="Normal"/>
    <w:link w:val="SubtitleChar"/>
    <w:uiPriority w:val="15"/>
    <w:rsid w:val="00090F57"/>
    <w:pPr>
      <w:suppressAutoHyphens/>
      <w:spacing w:before="2760"/>
      <w:jc w:val="center"/>
    </w:pPr>
    <w:rPr>
      <w:rFonts w:ascii="EC Square Sans Pro" w:hAnsi="EC Square Sans Pro"/>
      <w:b/>
      <w:color w:val="003399" w:themeColor="text2"/>
      <w:sz w:val="52"/>
      <w:lang w:eastAsia="en-GB"/>
    </w:rPr>
  </w:style>
  <w:style w:type="character" w:customStyle="1" w:styleId="SubtitleChar">
    <w:name w:val="Subtitle Char"/>
    <w:link w:val="Subtitle"/>
    <w:uiPriority w:val="15"/>
    <w:qFormat/>
    <w:rsid w:val="00090F57"/>
    <w:rPr>
      <w:rFonts w:ascii="EC Square Sans Pro" w:hAnsi="EC Square Sans Pro"/>
      <w:b/>
      <w:color w:val="003399" w:themeColor="text2"/>
      <w:sz w:val="52"/>
      <w:lang w:eastAsia="en-GB"/>
    </w:rPr>
  </w:style>
  <w:style w:type="paragraph" w:styleId="Title">
    <w:name w:val="Title"/>
    <w:next w:val="Normal"/>
    <w:link w:val="TitleChar"/>
    <w:uiPriority w:val="14"/>
    <w:semiHidden/>
    <w:rsid w:val="00090F57"/>
    <w:pPr>
      <w:suppressAutoHyphens/>
      <w:spacing w:beforeAutospacing="1"/>
      <w:jc w:val="center"/>
    </w:pPr>
    <w:rPr>
      <w:rFonts w:ascii="EC Square Sans Pro" w:hAnsi="EC Square Sans Pro"/>
      <w:b/>
      <w:sz w:val="40"/>
      <w:lang w:eastAsia="en-GB"/>
    </w:rPr>
  </w:style>
  <w:style w:type="character" w:customStyle="1" w:styleId="TitleChar">
    <w:name w:val="Title Char"/>
    <w:link w:val="Title"/>
    <w:uiPriority w:val="14"/>
    <w:semiHidden/>
    <w:qFormat/>
    <w:rsid w:val="005B4728"/>
    <w:rPr>
      <w:rFonts w:ascii="EC Square Sans Pro" w:hAnsi="EC Square Sans Pro"/>
      <w:b/>
      <w:sz w:val="40"/>
      <w:lang w:eastAsia="en-GB"/>
    </w:rPr>
  </w:style>
  <w:style w:type="table" w:customStyle="1" w:styleId="BodyTable">
    <w:name w:val="Body Table"/>
    <w:basedOn w:val="TableNormal"/>
    <w:uiPriority w:val="99"/>
    <w:rsid w:val="00090F57"/>
    <w:pPr>
      <w:spacing w:before="60" w:after="60" w:line="240" w:lineRule="auto"/>
    </w:pPr>
    <w:rPr>
      <w:rFonts w:ascii="EC Square Sans Pro" w:eastAsia="EC Square Sans Pro" w:hAnsi="EC Square Sans Pro" w:cs="Tunga"/>
      <w:sz w:val="18"/>
      <w:lang w:val="fr-BE"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shd w:val="clear" w:color="auto" w:fill="auto"/>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table" w:customStyle="1" w:styleId="TableBoxBlueBackground">
    <w:name w:val="Table Box Blue Background"/>
    <w:uiPriority w:val="99"/>
    <w:unhideWhenUsed/>
    <w:rsid w:val="008D08DC"/>
    <w:pPr>
      <w:spacing w:before="120" w:after="120"/>
    </w:pPr>
    <w:rPr>
      <w:rFonts w:ascii="EC Square Sans Pro" w:eastAsia="SimSun" w:hAnsi="EC Square Sans Pro"/>
      <w:color w:val="003399" w:themeColor="text2"/>
      <w:lang w:eastAsia="en-GB"/>
    </w:rPr>
    <w:tblPr>
      <w:tblInd w:w="0" w:type="dxa"/>
      <w:tblCellMar>
        <w:top w:w="142" w:type="dxa"/>
        <w:left w:w="301" w:type="dxa"/>
        <w:bottom w:w="142" w:type="dxa"/>
        <w:right w:w="301" w:type="dxa"/>
      </w:tblCellMar>
    </w:tblPr>
    <w:tcPr>
      <w:shd w:val="clear" w:color="auto" w:fill="F3F7FF" w:themeFill="background2"/>
    </w:tcPr>
  </w:style>
  <w:style w:type="table" w:customStyle="1" w:styleId="TableBoxBlueDashedBorder">
    <w:name w:val="Table Box Blue Dashed Border"/>
    <w:uiPriority w:val="99"/>
    <w:unhideWhenUsed/>
    <w:rsid w:val="00090F57"/>
    <w:rPr>
      <w:rFonts w:ascii="EC Square Sans Pro" w:hAnsi="EC Square Sans Pro"/>
      <w:lang w:eastAsia="en-GB"/>
    </w:rPr>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unhideWhenUsed/>
    <w:rsid w:val="00090F57"/>
    <w:rPr>
      <w:rFonts w:ascii="EC Square Sans Pro" w:hAnsi="EC Square Sans Pro"/>
      <w:lang w:eastAsia="en-GB"/>
    </w:rPr>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3F7FF" w:themeFill="background2"/>
    </w:tcPr>
  </w:style>
  <w:style w:type="table" w:customStyle="1" w:styleId="TableBoxRedBorder">
    <w:name w:val="Table Box Red Border"/>
    <w:uiPriority w:val="99"/>
    <w:unhideWhenUsed/>
    <w:rsid w:val="00B17050"/>
    <w:rPr>
      <w:rFonts w:ascii="EC Square Sans Pro" w:hAnsi="EC Square Sans Pro"/>
      <w:lang w:eastAsia="en-GB"/>
    </w:rPr>
    <w:tblPr>
      <w:tblInd w:w="0" w:type="dxa"/>
      <w:tblBorders>
        <w:top w:val="single" w:sz="12" w:space="0" w:color="DC3903"/>
        <w:left w:val="single" w:sz="12" w:space="0" w:color="DC3903"/>
        <w:bottom w:val="single" w:sz="12" w:space="0" w:color="DC3903"/>
        <w:right w:val="single" w:sz="12" w:space="0" w:color="DC3903"/>
      </w:tblBorders>
      <w:tblCellMar>
        <w:top w:w="0" w:type="dxa"/>
        <w:left w:w="301" w:type="dxa"/>
        <w:bottom w:w="0" w:type="dxa"/>
        <w:right w:w="301" w:type="dxa"/>
      </w:tblCellMar>
    </w:tblPr>
    <w:tcPr>
      <w:shd w:val="clear" w:color="000000" w:fill="FFFFFF" w:themeFill="background1"/>
    </w:tcPr>
  </w:style>
  <w:style w:type="table" w:customStyle="1" w:styleId="TableBoxYellowBackground">
    <w:name w:val="Table Box Yellow Background"/>
    <w:uiPriority w:val="99"/>
    <w:unhideWhenUsed/>
    <w:rsid w:val="00090F57"/>
    <w:rPr>
      <w:rFonts w:ascii="EC Square Sans Pro" w:hAnsi="EC Square Sans Pro"/>
      <w:lang w:eastAsia="en-GB"/>
    </w:rPr>
    <w:tblPr>
      <w:tblInd w:w="0" w:type="dxa"/>
      <w:tblBorders>
        <w:top w:val="single" w:sz="4" w:space="0" w:color="2688FE" w:themeColor="accent3"/>
        <w:left w:val="single" w:sz="4" w:space="0" w:color="2688FE" w:themeColor="accent3"/>
        <w:bottom w:val="single" w:sz="4" w:space="0" w:color="2688FE" w:themeColor="accent3"/>
        <w:right w:val="single" w:sz="4" w:space="0" w:color="2688FE" w:themeColor="accent3"/>
      </w:tblBorders>
      <w:tblCellMar>
        <w:top w:w="0" w:type="dxa"/>
        <w:left w:w="108" w:type="dxa"/>
        <w:bottom w:w="0" w:type="dxa"/>
        <w:right w:w="108" w:type="dxa"/>
      </w:tblCellMar>
    </w:tblPr>
    <w:tcPr>
      <w:shd w:val="clear" w:color="000000" w:fill="2688FE" w:themeFill="accent3"/>
    </w:tcPr>
  </w:style>
  <w:style w:type="table" w:styleId="TableGrid">
    <w:name w:val="Table Grid"/>
    <w:basedOn w:val="TableNormal"/>
    <w:uiPriority w:val="10"/>
    <w:rsid w:val="00090F57"/>
    <w:pPr>
      <w:keepNext/>
      <w:spacing w:before="40" w:after="40"/>
    </w:pPr>
    <w:rPr>
      <w:rFonts w:ascii="EC Square Sans Cond Pro"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08139" w:themeFill="accent1"/>
        <w:vAlign w:val="top"/>
      </w:tcPr>
    </w:tblStylePr>
    <w:tblStylePr w:type="lastRow">
      <w:pPr>
        <w:jc w:val="both"/>
      </w:pPr>
      <w:rPr>
        <w:b/>
        <w:color w:val="FFFFFF" w:themeColor="light1"/>
      </w:rPr>
      <w:tblPr/>
      <w:tcPr>
        <w:shd w:val="clear" w:color="FFFFFF" w:fill="DE6002" w:themeFill="accent2"/>
      </w:tcPr>
    </w:tblStylePr>
    <w:tblStylePr w:type="firstCol">
      <w:pPr>
        <w:jc w:val="both"/>
      </w:pPr>
      <w:rPr>
        <w:b/>
      </w:rPr>
      <w:tblPr/>
      <w:tcPr>
        <w:shd w:val="clear" w:color="000000" w:fill="F3F7FF" w:themeFill="background2"/>
      </w:tcPr>
    </w:tblStylePr>
  </w:style>
  <w:style w:type="table" w:customStyle="1" w:styleId="TableObjective">
    <w:name w:val="Table Objective"/>
    <w:basedOn w:val="TableNormal"/>
    <w:uiPriority w:val="10"/>
    <w:rsid w:val="00090F57"/>
    <w:pPr>
      <w:keepLines/>
      <w:spacing w:before="40" w:after="40"/>
    </w:pPr>
    <w:rPr>
      <w:rFonts w:ascii="EC Square Sans Cond Pro"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pPr>
      <w:rPr>
        <w:b/>
        <w:color w:val="000000" w:themeColor="dark1"/>
        <w:sz w:val="20"/>
      </w:rPr>
      <w:tblPr/>
      <w:trPr>
        <w:cantSplit/>
        <w:tblHeader/>
      </w:trPr>
      <w:tcPr>
        <w:tcBorders>
          <w:bottom w:val="single" w:sz="4" w:space="0" w:color="8C8C8C"/>
          <w:insideH w:val="single" w:sz="4" w:space="0" w:color="8C8C8C"/>
          <w:insideV w:val="single" w:sz="4" w:space="0" w:color="8C8C8C"/>
        </w:tcBorders>
        <w:shd w:val="clear" w:color="auto" w:fill="F3F7FF" w:themeFill="background2"/>
        <w:vAlign w:val="top"/>
      </w:tcPr>
    </w:tblStylePr>
  </w:style>
  <w:style w:type="numbering" w:customStyle="1" w:styleId="AMPRAnnex4ListNo-Bullets">
    <w:name w:val="(AMPR Annex 4) List No-Bullets"/>
    <w:uiPriority w:val="99"/>
    <w:rsid w:val="00090F57"/>
    <w:pPr>
      <w:numPr>
        <w:numId w:val="1"/>
      </w:numPr>
    </w:pPr>
  </w:style>
  <w:style w:type="paragraph" w:customStyle="1" w:styleId="AMPRAnnex4ListNo-Bullets-L1">
    <w:name w:val="(AMPR Annex 4) List No-Bullets - L1"/>
    <w:basedOn w:val="Normal"/>
    <w:rsid w:val="00090F57"/>
    <w:pPr>
      <w:numPr>
        <w:numId w:val="13"/>
      </w:numPr>
      <w:suppressAutoHyphens w:val="0"/>
      <w:spacing w:before="60" w:after="60"/>
    </w:pPr>
    <w:rPr>
      <w:color w:val="000000" w:themeColor="text1"/>
      <w:szCs w:val="22"/>
      <w:lang w:eastAsia="en-US"/>
    </w:rPr>
  </w:style>
  <w:style w:type="numbering" w:customStyle="1" w:styleId="AMPRList-nobullets">
    <w:name w:val="(AMPR) List - no bullets"/>
    <w:uiPriority w:val="99"/>
    <w:rsid w:val="00090F57"/>
    <w:pPr>
      <w:numPr>
        <w:numId w:val="2"/>
      </w:numPr>
    </w:pPr>
  </w:style>
  <w:style w:type="paragraph" w:customStyle="1" w:styleId="amprboxBLUEtext">
    <w:name w:val="[ampr box BLUE] text"/>
    <w:basedOn w:val="Normal"/>
    <w:uiPriority w:val="2"/>
    <w:rsid w:val="00982F94"/>
    <w:pPr>
      <w:pBdr>
        <w:top w:val="single" w:sz="12" w:space="12" w:color="E1EBFF"/>
        <w:left w:val="single" w:sz="12" w:space="12" w:color="E1EBFF"/>
        <w:bottom w:val="single" w:sz="12" w:space="12" w:color="E1EBFF"/>
        <w:right w:val="single" w:sz="12" w:space="12" w:color="E1EBFF"/>
      </w:pBdr>
      <w:shd w:val="clear" w:color="auto" w:fill="E1EBFF"/>
      <w:spacing w:before="120" w:after="120"/>
      <w:ind w:left="301" w:right="301"/>
    </w:pPr>
    <w:rPr>
      <w:rFonts w:eastAsia="EC Square Sans Pro"/>
      <w:color w:val="003399" w:themeColor="text2"/>
      <w:szCs w:val="21"/>
      <w:lang w:eastAsia="fr-BE"/>
    </w:rPr>
  </w:style>
  <w:style w:type="paragraph" w:customStyle="1" w:styleId="amprboxtext">
    <w:name w:val="[ampr box] text"/>
    <w:basedOn w:val="Normal"/>
    <w:uiPriority w:val="4"/>
    <w:qFormat/>
    <w:rsid w:val="002769A9"/>
    <w:pPr>
      <w:keepLines/>
      <w:pBdr>
        <w:top w:val="single" w:sz="12" w:space="12" w:color="DC3903"/>
        <w:left w:val="single" w:sz="12" w:space="12" w:color="DC3903"/>
        <w:bottom w:val="single" w:sz="12" w:space="12" w:color="DC3903"/>
        <w:right w:val="single" w:sz="12" w:space="12" w:color="DC3903"/>
      </w:pBdr>
      <w:ind w:left="301" w:right="301"/>
    </w:pPr>
    <w:rPr>
      <w:rFonts w:eastAsia="EC Square Sans Pro"/>
      <w:color w:val="000000" w:themeColor="text1"/>
      <w:szCs w:val="21"/>
      <w:lang w:eastAsia="fr-BE"/>
    </w:rPr>
  </w:style>
  <w:style w:type="paragraph" w:customStyle="1" w:styleId="amprboxheading">
    <w:name w:val="[ampr box] heading"/>
    <w:basedOn w:val="amprboxtext"/>
    <w:next w:val="amprboxtext"/>
    <w:uiPriority w:val="4"/>
    <w:qFormat/>
    <w:rsid w:val="002769A9"/>
    <w:pPr>
      <w:keepNext/>
    </w:pPr>
    <w:rPr>
      <w:rFonts w:ascii="EC Square Sans Pro Medium" w:hAnsi="EC Square Sans Pro Medium"/>
      <w:color w:val="DC3903"/>
      <w:sz w:val="22"/>
    </w:rPr>
  </w:style>
  <w:style w:type="character" w:customStyle="1" w:styleId="amprcharItalic">
    <w:name w:val="[ampr char] Italic"/>
    <w:rsid w:val="00090F57"/>
    <w:rPr>
      <w:i/>
      <w:noProof w:val="0"/>
      <w:lang w:val="en-GB"/>
    </w:rPr>
  </w:style>
  <w:style w:type="numbering" w:customStyle="1" w:styleId="amprHLISTNumberedheadings">
    <w:name w:val="[ampr H LIST] Numbered headings"/>
    <w:uiPriority w:val="99"/>
    <w:rsid w:val="00090F57"/>
    <w:pPr>
      <w:numPr>
        <w:numId w:val="3"/>
      </w:numPr>
    </w:pPr>
  </w:style>
  <w:style w:type="numbering" w:customStyle="1" w:styleId="amprHLISTNumberedheadings1">
    <w:name w:val="[ampr H LIST] Numbered headings1"/>
    <w:uiPriority w:val="99"/>
    <w:rsid w:val="00090F57"/>
  </w:style>
  <w:style w:type="numbering" w:customStyle="1" w:styleId="amprLISTblackbullets">
    <w:name w:val="[ampr LIST black]  bullets"/>
    <w:uiPriority w:val="99"/>
    <w:rsid w:val="00090F57"/>
    <w:pPr>
      <w:numPr>
        <w:numId w:val="4"/>
      </w:numPr>
    </w:pPr>
  </w:style>
  <w:style w:type="numbering" w:customStyle="1" w:styleId="amprLISTblackbullets1">
    <w:name w:val="[ampr LIST black]  bullets1"/>
    <w:uiPriority w:val="99"/>
    <w:rsid w:val="00090F57"/>
  </w:style>
  <w:style w:type="numbering" w:customStyle="1" w:styleId="amprLISTgreenbullets">
    <w:name w:val="[ampr LIST green] bullets"/>
    <w:uiPriority w:val="99"/>
    <w:rsid w:val="00090F57"/>
    <w:pPr>
      <w:numPr>
        <w:numId w:val="5"/>
      </w:numPr>
    </w:pPr>
  </w:style>
  <w:style w:type="numbering" w:customStyle="1" w:styleId="amprLISTgreenbullets1">
    <w:name w:val="[ampr LIST green] bullets1"/>
    <w:uiPriority w:val="99"/>
    <w:rsid w:val="00090F57"/>
  </w:style>
  <w:style w:type="numbering" w:customStyle="1" w:styleId="amprLISTOrderedAlphaLC">
    <w:name w:val="[ampr LIST Ordered AlphaLC]"/>
    <w:uiPriority w:val="99"/>
    <w:rsid w:val="00090F57"/>
    <w:pPr>
      <w:numPr>
        <w:numId w:val="6"/>
      </w:numPr>
    </w:pPr>
  </w:style>
  <w:style w:type="numbering" w:customStyle="1" w:styleId="amprLISTOrderedAlphaLC1">
    <w:name w:val="[ampr LIST Ordered AlphaLC]1"/>
    <w:uiPriority w:val="99"/>
    <w:rsid w:val="00090F57"/>
  </w:style>
  <w:style w:type="paragraph" w:customStyle="1" w:styleId="amprFooter-Left">
    <w:name w:val="[ampr] Footer - Left"/>
    <w:basedOn w:val="Normal"/>
    <w:next w:val="Normal"/>
    <w:uiPriority w:val="15"/>
    <w:qFormat/>
    <w:rsid w:val="00C761A4"/>
    <w:pPr>
      <w:spacing w:before="0" w:after="0" w:line="240" w:lineRule="auto"/>
    </w:pPr>
    <w:rPr>
      <w:rFonts w:eastAsia="EC Square Sans Pro"/>
      <w:szCs w:val="21"/>
      <w:lang w:eastAsia="zh-CN"/>
    </w:rPr>
  </w:style>
  <w:style w:type="paragraph" w:customStyle="1" w:styleId="amprFooter-Right">
    <w:name w:val="[ampr] Footer - Right"/>
    <w:basedOn w:val="Footer"/>
    <w:uiPriority w:val="15"/>
    <w:qFormat/>
    <w:rsid w:val="00C761A4"/>
    <w:pPr>
      <w:tabs>
        <w:tab w:val="clear" w:pos="4535"/>
        <w:tab w:val="clear" w:pos="9071"/>
      </w:tabs>
      <w:jc w:val="right"/>
    </w:pPr>
    <w:rPr>
      <w:rFonts w:ascii="EC Square Sans Pro" w:eastAsia="EC Square Sans Pro" w:hAnsi="EC Square Sans Pro"/>
      <w:sz w:val="20"/>
      <w:szCs w:val="21"/>
      <w:lang w:eastAsia="zh-CN"/>
    </w:rPr>
  </w:style>
  <w:style w:type="paragraph" w:customStyle="1" w:styleId="amprHeader-Left">
    <w:name w:val="[ampr] Header - Left"/>
    <w:basedOn w:val="Normal"/>
    <w:next w:val="Normal"/>
    <w:uiPriority w:val="15"/>
    <w:qFormat/>
    <w:rsid w:val="00C761A4"/>
    <w:pPr>
      <w:spacing w:before="0" w:after="0" w:line="240" w:lineRule="auto"/>
    </w:pPr>
    <w:rPr>
      <w:rFonts w:eastAsia="EC Square Sans Pro"/>
      <w:color w:val="747474"/>
      <w:szCs w:val="21"/>
      <w:lang w:eastAsia="zh-CN"/>
    </w:rPr>
  </w:style>
  <w:style w:type="paragraph" w:customStyle="1" w:styleId="amprHeader-Right">
    <w:name w:val="[ampr] Header - Right"/>
    <w:basedOn w:val="Normal"/>
    <w:next w:val="Normal"/>
    <w:uiPriority w:val="15"/>
    <w:qFormat/>
    <w:rsid w:val="00C761A4"/>
    <w:pPr>
      <w:spacing w:before="0" w:after="0" w:line="240" w:lineRule="auto"/>
      <w:jc w:val="right"/>
    </w:pPr>
    <w:rPr>
      <w:rFonts w:eastAsia="EC Square Sans Pro"/>
      <w:color w:val="747474"/>
      <w:szCs w:val="21"/>
      <w:lang w:eastAsia="zh-CN"/>
    </w:rPr>
  </w:style>
  <w:style w:type="table" w:customStyle="1" w:styleId="amprtableboxBLUE">
    <w:name w:val="[ampr] table box BLUE"/>
    <w:basedOn w:val="TableNormal"/>
    <w:uiPriority w:val="99"/>
    <w:rsid w:val="00090F57"/>
    <w:rPr>
      <w:rFonts w:ascii="EC Square Sans Pro" w:hAnsi="EC Square Sans Pro"/>
      <w:color w:val="FFFFFF" w:themeColor="background1"/>
      <w:lang w:eastAsia="en-GB"/>
    </w:rPr>
    <w:tblPr>
      <w:jc w:val="center"/>
      <w:tblCellMar>
        <w:left w:w="301" w:type="dxa"/>
        <w:right w:w="301" w:type="dxa"/>
      </w:tblCellMar>
    </w:tblPr>
    <w:trPr>
      <w:jc w:val="center"/>
    </w:trPr>
    <w:tcPr>
      <w:shd w:val="clear" w:color="auto" w:fill="003399" w:themeFill="text2"/>
    </w:tcPr>
  </w:style>
  <w:style w:type="table" w:customStyle="1" w:styleId="amprtableboxBLUEdashed">
    <w:name w:val="[ampr] table box BLUE dashed"/>
    <w:basedOn w:val="TableNormal"/>
    <w:uiPriority w:val="99"/>
    <w:rsid w:val="00090F57"/>
    <w:rPr>
      <w:rFonts w:ascii="EC Square Sans Pro" w:hAnsi="EC Square Sans Pro"/>
      <w:lang w:eastAsia="en-GB"/>
    </w:rPr>
    <w:tblPr>
      <w:jc w:val="center"/>
      <w:tblBorders>
        <w:top w:val="dashSmallGap" w:sz="12" w:space="0" w:color="003399" w:themeColor="text2"/>
        <w:left w:val="dashSmallGap" w:sz="12" w:space="0" w:color="003399" w:themeColor="text2"/>
        <w:bottom w:val="dashSmallGap" w:sz="12" w:space="0" w:color="003399" w:themeColor="text2"/>
        <w:right w:val="dashSmallGap" w:sz="12" w:space="0" w:color="003399" w:themeColor="text2"/>
      </w:tblBorders>
      <w:tblCellMar>
        <w:left w:w="301" w:type="dxa"/>
        <w:right w:w="301" w:type="dxa"/>
      </w:tblCellMar>
    </w:tblPr>
    <w:trPr>
      <w:jc w:val="center"/>
    </w:trPr>
  </w:style>
  <w:style w:type="table" w:customStyle="1" w:styleId="amprtableboxGREY">
    <w:name w:val="[ampr] table box GREY"/>
    <w:basedOn w:val="TableNormal"/>
    <w:uiPriority w:val="99"/>
    <w:rsid w:val="00090F57"/>
    <w:rPr>
      <w:rFonts w:ascii="EC Square Sans Pro" w:hAnsi="EC Square Sans Pro"/>
      <w:lang w:eastAsia="en-GB"/>
    </w:rPr>
    <w:tblPr>
      <w:jc w:val="center"/>
      <w:tblCellMar>
        <w:left w:w="301" w:type="dxa"/>
        <w:right w:w="301" w:type="dxa"/>
      </w:tblCellMar>
    </w:tblPr>
    <w:trPr>
      <w:jc w:val="center"/>
    </w:trPr>
    <w:tcPr>
      <w:shd w:val="clear" w:color="auto" w:fill="F2F2F2" w:themeFill="background1" w:themeFillShade="F2"/>
    </w:tcPr>
  </w:style>
  <w:style w:type="table" w:customStyle="1" w:styleId="amprtableboxPURPLEdashed">
    <w:name w:val="[ampr] table box PURPLE dashed"/>
    <w:basedOn w:val="TableNormal"/>
    <w:uiPriority w:val="99"/>
    <w:rsid w:val="00090F57"/>
    <w:rPr>
      <w:rFonts w:ascii="EC Square Sans Pro" w:hAnsi="EC Square Sans Pro"/>
      <w:lang w:eastAsia="en-GB"/>
    </w:rPr>
    <w:tblPr>
      <w:jc w:val="center"/>
      <w:tblBorders>
        <w:top w:val="dashSmallGap" w:sz="12" w:space="0" w:color="008139" w:themeColor="accent1"/>
        <w:left w:val="dashSmallGap" w:sz="12" w:space="0" w:color="008139" w:themeColor="accent1"/>
        <w:bottom w:val="dashSmallGap" w:sz="12" w:space="0" w:color="008139" w:themeColor="accent1"/>
        <w:right w:val="dashSmallGap" w:sz="12" w:space="0" w:color="008139" w:themeColor="accent1"/>
      </w:tblBorders>
      <w:tblCellMar>
        <w:left w:w="301" w:type="dxa"/>
        <w:right w:w="301" w:type="dxa"/>
      </w:tblCellMar>
    </w:tblPr>
    <w:trPr>
      <w:jc w:val="center"/>
    </w:trPr>
  </w:style>
  <w:style w:type="table" w:customStyle="1" w:styleId="amprtableforinfographic">
    <w:name w:val="[ampr] table for infographic"/>
    <w:basedOn w:val="TableNormal"/>
    <w:uiPriority w:val="99"/>
    <w:rsid w:val="00090F57"/>
    <w:rPr>
      <w:rFonts w:ascii="EC Square Sans Pro" w:hAnsi="EC Square Sans Pro"/>
      <w:lang w:eastAsia="en-GB"/>
    </w:rPr>
    <w:tblPr>
      <w:tblStyleColBandSize w:val="1"/>
      <w:jc w:val="center"/>
      <w:tblCellMar>
        <w:left w:w="125" w:type="dxa"/>
        <w:right w:w="125" w:type="dxa"/>
      </w:tblCellMar>
    </w:tblPr>
    <w:trPr>
      <w:jc w:val="center"/>
    </w:trPr>
    <w:tcPr>
      <w:shd w:val="clear" w:color="auto" w:fill="auto"/>
      <w:vAlign w:val="center"/>
    </w:tcPr>
    <w:tblStylePr w:type="band1Vert">
      <w:tblPr/>
      <w:tcPr>
        <w:tcBorders>
          <w:top w:val="nil"/>
          <w:left w:val="nil"/>
          <w:bottom w:val="nil"/>
          <w:right w:val="nil"/>
          <w:insideH w:val="nil"/>
          <w:insideV w:val="nil"/>
          <w:tl2br w:val="nil"/>
          <w:tr2bl w:val="nil"/>
        </w:tcBorders>
        <w:shd w:val="clear" w:color="auto" w:fill="F2F2F2"/>
      </w:tcPr>
    </w:tblStylePr>
    <w:tblStylePr w:type="band2Vert">
      <w:tblPr/>
      <w:tcPr>
        <w:tcBorders>
          <w:top w:val="nil"/>
          <w:left w:val="nil"/>
          <w:bottom w:val="nil"/>
          <w:right w:val="nil"/>
          <w:insideH w:val="nil"/>
          <w:insideV w:val="nil"/>
          <w:tl2br w:val="nil"/>
          <w:tr2bl w:val="nil"/>
        </w:tcBorders>
        <w:shd w:val="clear" w:color="auto" w:fill="F2F2F2"/>
      </w:tcPr>
    </w:tblStylePr>
  </w:style>
  <w:style w:type="table" w:customStyle="1" w:styleId="amprtableforinfographic-Greybg">
    <w:name w:val="[ampr] table for infographic - Grey bg"/>
    <w:basedOn w:val="TableNormal"/>
    <w:uiPriority w:val="99"/>
    <w:rsid w:val="00090F57"/>
    <w:rPr>
      <w:rFonts w:ascii="EC Square Sans Pro" w:hAnsi="EC Square Sans Pro"/>
      <w:lang w:eastAsia="en-GB"/>
    </w:rPr>
    <w:tblPr>
      <w:tblStyleColBandSize w:val="1"/>
      <w:jc w:val="center"/>
      <w:tblBorders>
        <w:insideH w:val="single" w:sz="12" w:space="0" w:color="FFFFFF" w:themeColor="background1"/>
        <w:insideV w:val="single" w:sz="12" w:space="0" w:color="FFFFFF" w:themeColor="background1"/>
      </w:tblBorders>
      <w:tblCellMar>
        <w:left w:w="125" w:type="dxa"/>
        <w:right w:w="125" w:type="dxa"/>
      </w:tblCellMar>
    </w:tblPr>
    <w:trPr>
      <w:jc w:val="center"/>
    </w:trPr>
    <w:tcPr>
      <w:shd w:val="clear" w:color="auto" w:fill="F2F2F2"/>
      <w:vAlign w:val="center"/>
    </w:tcPr>
    <w:tblStylePr w:type="band1Vert">
      <w:tblPr/>
      <w:tcPr>
        <w:tcBorders>
          <w:top w:val="nil"/>
          <w:left w:val="single" w:sz="12" w:space="0" w:color="FFFFFF" w:themeColor="background1"/>
          <w:bottom w:val="nil"/>
          <w:right w:val="nil"/>
          <w:insideH w:val="single" w:sz="12" w:space="0" w:color="FFFFFF" w:themeColor="background1"/>
          <w:insideV w:val="nil"/>
          <w:tl2br w:val="nil"/>
          <w:tr2bl w:val="nil"/>
        </w:tcBorders>
        <w:shd w:val="clear" w:color="auto" w:fill="F2F2F2"/>
      </w:tcPr>
    </w:tblStylePr>
    <w:tblStylePr w:type="band2Vert">
      <w:tblPr/>
      <w:tcPr>
        <w:tcBorders>
          <w:top w:val="nil"/>
          <w:left w:val="nil"/>
          <w:bottom w:val="nil"/>
          <w:right w:val="nil"/>
          <w:insideH w:val="single" w:sz="12" w:space="0" w:color="FFFFFF" w:themeColor="background1"/>
          <w:insideV w:val="nil"/>
          <w:tl2br w:val="nil"/>
          <w:tr2bl w:val="nil"/>
        </w:tcBorders>
        <w:shd w:val="clear" w:color="auto" w:fill="F2F2F2"/>
      </w:tcPr>
    </w:tblStylePr>
  </w:style>
  <w:style w:type="numbering" w:styleId="111111">
    <w:name w:val="Outline List 2"/>
    <w:basedOn w:val="NoList"/>
    <w:semiHidden/>
    <w:unhideWhenUsed/>
    <w:rsid w:val="00090F57"/>
    <w:pPr>
      <w:numPr>
        <w:numId w:val="7"/>
      </w:numPr>
    </w:pPr>
  </w:style>
  <w:style w:type="numbering" w:customStyle="1" w:styleId="1111111">
    <w:name w:val="1 / 1.1 / 1.1.11"/>
    <w:basedOn w:val="NoList"/>
    <w:next w:val="111111"/>
    <w:semiHidden/>
    <w:unhideWhenUsed/>
    <w:rsid w:val="00090F57"/>
  </w:style>
  <w:style w:type="numbering" w:styleId="1ai">
    <w:name w:val="Outline List 1"/>
    <w:basedOn w:val="NoList"/>
    <w:semiHidden/>
    <w:unhideWhenUsed/>
    <w:rsid w:val="00090F57"/>
    <w:pPr>
      <w:numPr>
        <w:numId w:val="8"/>
      </w:numPr>
    </w:pPr>
  </w:style>
  <w:style w:type="numbering" w:customStyle="1" w:styleId="1ai1">
    <w:name w:val="1 / a / i1"/>
    <w:basedOn w:val="NoList"/>
    <w:next w:val="1ai"/>
    <w:semiHidden/>
    <w:unhideWhenUsed/>
    <w:rsid w:val="00090F57"/>
  </w:style>
  <w:style w:type="table" w:customStyle="1" w:styleId="AMPR2021">
    <w:name w:val="AMPR_2021"/>
    <w:basedOn w:val="TableNormal"/>
    <w:uiPriority w:val="99"/>
    <w:rsid w:val="00090F57"/>
    <w:pPr>
      <w:spacing w:before="100" w:after="100"/>
    </w:pPr>
    <w:rPr>
      <w:rFonts w:ascii="EC Square Sans Pro" w:eastAsiaTheme="minorHAnsi" w:hAnsi="EC Square Sans Pro" w:cstheme="minorBidi"/>
      <w:lang w:eastAsia="en-US"/>
    </w:rPr>
    <w:tblPr>
      <w:tblStyleRowBandSize w:val="1"/>
      <w:tblStyleColBandSize w:val="1"/>
      <w:tblBorders>
        <w:insideH w:val="single" w:sz="4" w:space="0" w:color="D9D9D9" w:themeColor="background1" w:themeShade="D9"/>
        <w:insideV w:val="single" w:sz="4" w:space="0" w:color="D9D9D9" w:themeColor="background1" w:themeShade="D9"/>
      </w:tblBorders>
    </w:tblPr>
    <w:trPr>
      <w:cantSplit/>
    </w:trPr>
    <w:tblStylePr w:type="firstRow">
      <w:pPr>
        <w:wordWrap/>
        <w:jc w:val="center"/>
      </w:pPr>
      <w:rPr>
        <w:b/>
        <w:color w:val="FFFFFF" w:themeColor="background1"/>
      </w:rPr>
      <w:tblPr/>
      <w:tcPr>
        <w:tcBorders>
          <w:top w:val="nil"/>
          <w:left w:val="nil"/>
          <w:bottom w:val="nil"/>
          <w:right w:val="nil"/>
          <w:insideH w:val="nil"/>
          <w:insideV w:val="nil"/>
          <w:tl2br w:val="nil"/>
          <w:tr2bl w:val="nil"/>
        </w:tcBorders>
        <w:shd w:val="clear" w:color="auto" w:fill="003399" w:themeFill="text2"/>
      </w:tcPr>
    </w:tblStylePr>
    <w:tblStylePr w:type="lastRow">
      <w:rPr>
        <w:b/>
        <w:color w:val="003399" w:themeColor="text2"/>
      </w:rPr>
      <w:tblPr/>
      <w:tcPr>
        <w:tcBorders>
          <w:bottom w:val="nil"/>
        </w:tcBorders>
        <w:shd w:val="clear" w:color="auto" w:fill="FFFFFF" w:themeFill="background1"/>
      </w:tcPr>
    </w:tblStylePr>
    <w:tblStylePr w:type="firstCol">
      <w:pPr>
        <w:wordWrap/>
        <w:spacing w:beforeLines="0" w:before="100" w:beforeAutospacing="0" w:afterLines="0" w:after="100" w:afterAutospacing="0" w:line="22" w:lineRule="atLeast"/>
        <w:contextualSpacing w:val="0"/>
        <w:jc w:val="left"/>
      </w:pPr>
      <w:rPr>
        <w:b/>
        <w:i w:val="0"/>
        <w:color w:val="008139" w:themeColor="accent1"/>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numbering" w:styleId="ArticleSection">
    <w:name w:val="Outline List 3"/>
    <w:basedOn w:val="NoList"/>
    <w:semiHidden/>
    <w:unhideWhenUsed/>
    <w:rsid w:val="00090F57"/>
    <w:pPr>
      <w:numPr>
        <w:numId w:val="9"/>
      </w:numPr>
    </w:pPr>
  </w:style>
  <w:style w:type="numbering" w:customStyle="1" w:styleId="ArticleSection1">
    <w:name w:val="Article / Section1"/>
    <w:basedOn w:val="NoList"/>
    <w:next w:val="ArticleSection"/>
    <w:semiHidden/>
    <w:unhideWhenUsed/>
    <w:rsid w:val="00090F57"/>
  </w:style>
  <w:style w:type="paragraph" w:styleId="BalloonText">
    <w:name w:val="Balloon Text"/>
    <w:basedOn w:val="Normal"/>
    <w:link w:val="BalloonTextChar"/>
    <w:semiHidden/>
    <w:rsid w:val="00090F5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F57"/>
    <w:rPr>
      <w:rFonts w:ascii="Segoe UI" w:hAnsi="Segoe UI" w:cs="Segoe UI"/>
      <w:sz w:val="18"/>
      <w:szCs w:val="18"/>
      <w:lang w:val="en-GB" w:eastAsia="en-GB"/>
    </w:rPr>
  </w:style>
  <w:style w:type="paragraph" w:styleId="Bibliography">
    <w:name w:val="Bibliography"/>
    <w:basedOn w:val="Normal"/>
    <w:next w:val="Normal"/>
    <w:semiHidden/>
    <w:rsid w:val="00090F57"/>
  </w:style>
  <w:style w:type="paragraph" w:styleId="BlockText">
    <w:name w:val="Block Text"/>
    <w:basedOn w:val="Normal"/>
    <w:semiHidden/>
    <w:rsid w:val="00090F57"/>
    <w:pPr>
      <w:pBdr>
        <w:top w:val="single" w:sz="2" w:space="10" w:color="008139" w:themeColor="accent1"/>
        <w:left w:val="single" w:sz="2" w:space="10" w:color="008139" w:themeColor="accent1"/>
        <w:bottom w:val="single" w:sz="2" w:space="10" w:color="008139" w:themeColor="accent1"/>
        <w:right w:val="single" w:sz="2" w:space="10" w:color="008139" w:themeColor="accent1"/>
      </w:pBdr>
      <w:ind w:left="1152" w:right="1152"/>
    </w:pPr>
    <w:rPr>
      <w:rFonts w:asciiTheme="minorHAnsi" w:eastAsiaTheme="minorEastAsia" w:hAnsiTheme="minorHAnsi" w:cstheme="minorBidi"/>
      <w:i/>
      <w:iCs/>
      <w:color w:val="008139" w:themeColor="accent1"/>
    </w:rPr>
  </w:style>
  <w:style w:type="table" w:customStyle="1" w:styleId="BodyTable2">
    <w:name w:val="Body Table 2"/>
    <w:basedOn w:val="TableNormal"/>
    <w:uiPriority w:val="10"/>
    <w:rsid w:val="00090F57"/>
    <w:pPr>
      <w:spacing w:before="60" w:after="60"/>
    </w:pPr>
    <w:rPr>
      <w:lang w:eastAsia="en-GB"/>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64" w:lineRule="auto"/>
        <w:jc w:val="center"/>
      </w:pPr>
      <w:rPr>
        <w:b/>
        <w:color w:val="FFFFFF" w:themeColor="light1"/>
      </w:rPr>
      <w:tblPr/>
      <w:tcPr>
        <w:tcBorders>
          <w:top w:val="nil"/>
          <w:left w:val="nil"/>
          <w:bottom w:val="nil"/>
          <w:right w:val="nil"/>
          <w:insideH w:val="single" w:sz="4" w:space="0" w:color="FFFFFF" w:themeColor="background1"/>
          <w:insideV w:val="single" w:sz="4" w:space="0" w:color="FFFFFF" w:themeColor="background1"/>
          <w:tl2br w:val="nil"/>
          <w:tr2bl w:val="nil"/>
        </w:tcBorders>
        <w:shd w:val="clear" w:color="FFFFFF" w:fill="003399" w:themeFill="text2"/>
      </w:tcPr>
    </w:tblStylePr>
    <w:tblStylePr w:type="lastRow">
      <w:pPr>
        <w:jc w:val="both"/>
      </w:pPr>
      <w:rPr>
        <w:b/>
        <w:color w:val="000000" w:themeColor="text1"/>
      </w:rPr>
      <w:tblPr/>
      <w:tcPr>
        <w:tcBorders>
          <w:top w:val="nil"/>
          <w:left w:val="nil"/>
          <w:bottom w:val="nil"/>
          <w:right w:val="nil"/>
          <w:insideH w:val="nil"/>
          <w:insideV w:val="nil"/>
          <w:tl2br w:val="nil"/>
          <w:tr2bl w:val="nil"/>
        </w:tcBorders>
        <w:shd w:val="clear" w:color="FFFFFF" w:fill="FEDEC6" w:themeFill="accent2" w:themeFillTint="33"/>
      </w:tcPr>
    </w:tblStylePr>
    <w:tblStylePr w:type="firstCol">
      <w:pPr>
        <w:wordWrap/>
        <w:jc w:val="left"/>
      </w:pPr>
      <w:rPr>
        <w:b/>
        <w:color w:val="003399" w:themeColor="text2"/>
      </w:rPr>
    </w:tblStylePr>
    <w:tblStylePr w:type="band2Vert">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auto"/>
      </w:tcPr>
    </w:tblStylePr>
    <w:tblStylePr w:type="band2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style>
  <w:style w:type="paragraph" w:styleId="BodyText">
    <w:name w:val="Body Text"/>
    <w:basedOn w:val="Normal"/>
    <w:link w:val="BodyTextChar"/>
    <w:semiHidden/>
    <w:rsid w:val="00090F57"/>
    <w:pPr>
      <w:spacing w:after="120"/>
    </w:pPr>
  </w:style>
  <w:style w:type="character" w:customStyle="1" w:styleId="BodyTextChar">
    <w:name w:val="Body Text Char"/>
    <w:basedOn w:val="DefaultParagraphFont"/>
    <w:link w:val="BodyText"/>
    <w:semiHidden/>
    <w:rsid w:val="00090F57"/>
    <w:rPr>
      <w:rFonts w:ascii="EC Square Sans Pro" w:hAnsi="EC Square Sans Pro"/>
      <w:lang w:val="en-GB" w:eastAsia="en-GB"/>
    </w:rPr>
  </w:style>
  <w:style w:type="paragraph" w:styleId="BodyText2">
    <w:name w:val="Body Text 2"/>
    <w:basedOn w:val="Normal"/>
    <w:link w:val="BodyText2Char"/>
    <w:semiHidden/>
    <w:rsid w:val="00090F57"/>
    <w:pPr>
      <w:spacing w:after="120" w:line="480" w:lineRule="auto"/>
    </w:pPr>
  </w:style>
  <w:style w:type="character" w:customStyle="1" w:styleId="BodyText2Char">
    <w:name w:val="Body Text 2 Char"/>
    <w:basedOn w:val="DefaultParagraphFont"/>
    <w:link w:val="BodyText2"/>
    <w:semiHidden/>
    <w:rsid w:val="00090F57"/>
    <w:rPr>
      <w:rFonts w:ascii="EC Square Sans Pro" w:hAnsi="EC Square Sans Pro"/>
      <w:lang w:val="en-GB" w:eastAsia="en-GB"/>
    </w:rPr>
  </w:style>
  <w:style w:type="paragraph" w:styleId="BodyText3">
    <w:name w:val="Body Text 3"/>
    <w:basedOn w:val="Normal"/>
    <w:link w:val="BodyText3Char"/>
    <w:semiHidden/>
    <w:rsid w:val="00090F57"/>
    <w:pPr>
      <w:spacing w:after="120"/>
    </w:pPr>
    <w:rPr>
      <w:sz w:val="16"/>
      <w:szCs w:val="16"/>
    </w:rPr>
  </w:style>
  <w:style w:type="character" w:customStyle="1" w:styleId="BodyText3Char">
    <w:name w:val="Body Text 3 Char"/>
    <w:basedOn w:val="DefaultParagraphFont"/>
    <w:link w:val="BodyText3"/>
    <w:semiHidden/>
    <w:rsid w:val="00090F57"/>
    <w:rPr>
      <w:rFonts w:ascii="EC Square Sans Pro" w:hAnsi="EC Square Sans Pro"/>
      <w:sz w:val="16"/>
      <w:szCs w:val="16"/>
      <w:lang w:val="en-GB" w:eastAsia="en-GB"/>
    </w:rPr>
  </w:style>
  <w:style w:type="paragraph" w:styleId="BodyTextFirstIndent">
    <w:name w:val="Body Text First Indent"/>
    <w:basedOn w:val="BodyText"/>
    <w:link w:val="BodyTextFirstIndentChar"/>
    <w:semiHidden/>
    <w:rsid w:val="00090F57"/>
    <w:pPr>
      <w:spacing w:after="240"/>
      <w:ind w:firstLine="360"/>
    </w:pPr>
  </w:style>
  <w:style w:type="character" w:customStyle="1" w:styleId="BodyTextFirstIndentChar">
    <w:name w:val="Body Text First Indent Char"/>
    <w:basedOn w:val="BodyTextChar"/>
    <w:link w:val="BodyTextFirstIndent"/>
    <w:semiHidden/>
    <w:rsid w:val="00090F57"/>
    <w:rPr>
      <w:rFonts w:ascii="EC Square Sans Pro" w:hAnsi="EC Square Sans Pro"/>
      <w:lang w:val="en-GB" w:eastAsia="en-GB"/>
    </w:rPr>
  </w:style>
  <w:style w:type="paragraph" w:styleId="BodyTextIndent">
    <w:name w:val="Body Text Indent"/>
    <w:basedOn w:val="Normal"/>
    <w:link w:val="BodyTextIndentChar"/>
    <w:semiHidden/>
    <w:rsid w:val="00090F57"/>
    <w:pPr>
      <w:spacing w:after="120"/>
      <w:ind w:left="283"/>
    </w:pPr>
  </w:style>
  <w:style w:type="character" w:customStyle="1" w:styleId="BodyTextIndentChar">
    <w:name w:val="Body Text Indent Char"/>
    <w:basedOn w:val="DefaultParagraphFont"/>
    <w:link w:val="BodyTextIndent"/>
    <w:semiHidden/>
    <w:rsid w:val="00090F57"/>
    <w:rPr>
      <w:rFonts w:ascii="EC Square Sans Pro" w:hAnsi="EC Square Sans Pro"/>
      <w:lang w:val="en-GB" w:eastAsia="en-GB"/>
    </w:rPr>
  </w:style>
  <w:style w:type="paragraph" w:styleId="BodyTextFirstIndent2">
    <w:name w:val="Body Text First Indent 2"/>
    <w:basedOn w:val="BodyTextIndent"/>
    <w:link w:val="BodyTextFirstIndent2Char"/>
    <w:semiHidden/>
    <w:rsid w:val="00090F57"/>
    <w:pPr>
      <w:spacing w:after="240"/>
      <w:ind w:left="360" w:firstLine="360"/>
    </w:pPr>
  </w:style>
  <w:style w:type="character" w:customStyle="1" w:styleId="BodyTextFirstIndent2Char">
    <w:name w:val="Body Text First Indent 2 Char"/>
    <w:basedOn w:val="BodyTextIndentChar"/>
    <w:link w:val="BodyTextFirstIndent2"/>
    <w:semiHidden/>
    <w:rsid w:val="00090F57"/>
    <w:rPr>
      <w:rFonts w:ascii="EC Square Sans Pro" w:hAnsi="EC Square Sans Pro"/>
      <w:lang w:val="en-GB" w:eastAsia="en-GB"/>
    </w:rPr>
  </w:style>
  <w:style w:type="paragraph" w:styleId="BodyTextIndent2">
    <w:name w:val="Body Text Indent 2"/>
    <w:basedOn w:val="Normal"/>
    <w:link w:val="BodyTextIndent2Char"/>
    <w:semiHidden/>
    <w:rsid w:val="00090F57"/>
    <w:pPr>
      <w:spacing w:after="120" w:line="480" w:lineRule="auto"/>
      <w:ind w:left="283"/>
    </w:pPr>
  </w:style>
  <w:style w:type="character" w:customStyle="1" w:styleId="BodyTextIndent2Char">
    <w:name w:val="Body Text Indent 2 Char"/>
    <w:basedOn w:val="DefaultParagraphFont"/>
    <w:link w:val="BodyTextIndent2"/>
    <w:semiHidden/>
    <w:rsid w:val="00090F57"/>
    <w:rPr>
      <w:rFonts w:ascii="EC Square Sans Pro" w:hAnsi="EC Square Sans Pro"/>
      <w:lang w:val="en-GB" w:eastAsia="en-GB"/>
    </w:rPr>
  </w:style>
  <w:style w:type="paragraph" w:styleId="BodyTextIndent3">
    <w:name w:val="Body Text Indent 3"/>
    <w:basedOn w:val="Normal"/>
    <w:link w:val="BodyTextIndent3Char"/>
    <w:semiHidden/>
    <w:rsid w:val="00090F57"/>
    <w:pPr>
      <w:spacing w:after="120"/>
      <w:ind w:left="283"/>
    </w:pPr>
    <w:rPr>
      <w:sz w:val="16"/>
      <w:szCs w:val="16"/>
    </w:rPr>
  </w:style>
  <w:style w:type="character" w:customStyle="1" w:styleId="BodyTextIndent3Char">
    <w:name w:val="Body Text Indent 3 Char"/>
    <w:basedOn w:val="DefaultParagraphFont"/>
    <w:link w:val="BodyTextIndent3"/>
    <w:semiHidden/>
    <w:rsid w:val="00090F57"/>
    <w:rPr>
      <w:rFonts w:ascii="EC Square Sans Pro" w:hAnsi="EC Square Sans Pro"/>
      <w:sz w:val="16"/>
      <w:szCs w:val="16"/>
      <w:lang w:val="en-GB" w:eastAsia="en-GB"/>
    </w:rPr>
  </w:style>
  <w:style w:type="character" w:customStyle="1" w:styleId="BoldItalic">
    <w:name w:val="Bold Italic"/>
    <w:basedOn w:val="Bold"/>
    <w:qFormat/>
    <w:rsid w:val="00090F57"/>
    <w:rPr>
      <w:rFonts w:eastAsia="EC Square Sans Pro"/>
      <w:b/>
      <w:i/>
      <w:noProof w:val="0"/>
      <w:spacing w:val="1"/>
      <w:lang w:val="en-GB"/>
    </w:rPr>
  </w:style>
  <w:style w:type="paragraph" w:styleId="Closing">
    <w:name w:val="Closing"/>
    <w:basedOn w:val="Normal"/>
    <w:link w:val="ClosingChar"/>
    <w:semiHidden/>
    <w:rsid w:val="00090F57"/>
    <w:pPr>
      <w:spacing w:before="0" w:after="0" w:line="240" w:lineRule="auto"/>
      <w:ind w:left="4252"/>
    </w:pPr>
  </w:style>
  <w:style w:type="character" w:customStyle="1" w:styleId="ClosingChar">
    <w:name w:val="Closing Char"/>
    <w:basedOn w:val="DefaultParagraphFont"/>
    <w:link w:val="Closing"/>
    <w:semiHidden/>
    <w:rsid w:val="00090F57"/>
    <w:rPr>
      <w:rFonts w:ascii="EC Square Sans Pro" w:hAnsi="EC Square Sans Pro"/>
      <w:lang w:val="en-GB" w:eastAsia="en-GB"/>
    </w:rPr>
  </w:style>
  <w:style w:type="table" w:styleId="ColorfulGrid">
    <w:name w:val="Colorful Grid"/>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qFormat/>
    <w:rsid w:val="00090F57"/>
    <w:rPr>
      <w:noProof w:val="0"/>
      <w:sz w:val="16"/>
      <w:szCs w:val="16"/>
      <w:lang w:val="en-GB"/>
    </w:rPr>
  </w:style>
  <w:style w:type="paragraph" w:styleId="CommentText">
    <w:name w:val="annotation text"/>
    <w:basedOn w:val="Normal"/>
    <w:link w:val="CommentTextChar"/>
    <w:uiPriority w:val="99"/>
    <w:qFormat/>
    <w:rsid w:val="00090F57"/>
    <w:pPr>
      <w:spacing w:line="240" w:lineRule="auto"/>
    </w:pPr>
  </w:style>
  <w:style w:type="character" w:customStyle="1" w:styleId="CommentTextChar">
    <w:name w:val="Comment Text Char"/>
    <w:basedOn w:val="DefaultParagraphFont"/>
    <w:link w:val="CommentText"/>
    <w:uiPriority w:val="99"/>
    <w:rsid w:val="00090F57"/>
    <w:rPr>
      <w:rFonts w:ascii="EC Square Sans Pro" w:hAnsi="EC Square Sans Pro"/>
      <w:lang w:val="en-GB" w:eastAsia="en-GB"/>
    </w:rPr>
  </w:style>
  <w:style w:type="paragraph" w:styleId="CommentSubject">
    <w:name w:val="annotation subject"/>
    <w:basedOn w:val="CommentText"/>
    <w:next w:val="CommentText"/>
    <w:link w:val="CommentSubjectChar"/>
    <w:semiHidden/>
    <w:rsid w:val="00090F57"/>
    <w:rPr>
      <w:b/>
      <w:bCs/>
    </w:rPr>
  </w:style>
  <w:style w:type="character" w:customStyle="1" w:styleId="CommentSubjectChar">
    <w:name w:val="Comment Subject Char"/>
    <w:basedOn w:val="CommentTextChar"/>
    <w:link w:val="CommentSubject"/>
    <w:semiHidden/>
    <w:rsid w:val="00090F57"/>
    <w:rPr>
      <w:rFonts w:ascii="EC Square Sans Pro" w:hAnsi="EC Square Sans Pro"/>
      <w:b/>
      <w:bCs/>
      <w:lang w:val="en-GB" w:eastAsia="en-GB"/>
    </w:rPr>
  </w:style>
  <w:style w:type="table" w:styleId="DarkList">
    <w:name w:val="Dark List"/>
    <w:basedOn w:val="TableNormal"/>
    <w:semiHidden/>
    <w:unhideWhenUsed/>
    <w:rsid w:val="00090F57"/>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semiHidden/>
    <w:unhideWhenUsed/>
    <w:rsid w:val="00090F57"/>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semiHidden/>
    <w:unhideWhenUsed/>
    <w:rsid w:val="00090F57"/>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semiHidden/>
    <w:unhideWhenUsed/>
    <w:rsid w:val="00090F57"/>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semiHidden/>
    <w:unhideWhenUsed/>
    <w:rsid w:val="00090F57"/>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semiHidden/>
    <w:unhideWhenUsed/>
    <w:rsid w:val="00090F57"/>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semiHidden/>
    <w:unhideWhenUsed/>
    <w:rsid w:val="00090F57"/>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ocumentMap">
    <w:name w:val="Document Map"/>
    <w:basedOn w:val="Normal"/>
    <w:link w:val="DocumentMapChar"/>
    <w:semiHidden/>
    <w:rsid w:val="00090F57"/>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090F57"/>
    <w:rPr>
      <w:rFonts w:ascii="Segoe UI" w:hAnsi="Segoe UI" w:cs="Segoe UI"/>
      <w:sz w:val="16"/>
      <w:szCs w:val="16"/>
      <w:lang w:val="en-GB" w:eastAsia="en-GB"/>
    </w:rPr>
  </w:style>
  <w:style w:type="paragraph" w:styleId="E-mailSignature">
    <w:name w:val="E-mail Signature"/>
    <w:basedOn w:val="Normal"/>
    <w:link w:val="E-mailSignatureChar"/>
    <w:semiHidden/>
    <w:rsid w:val="00090F57"/>
    <w:pPr>
      <w:spacing w:before="0" w:after="0" w:line="240" w:lineRule="auto"/>
    </w:pPr>
  </w:style>
  <w:style w:type="character" w:customStyle="1" w:styleId="E-mailSignatureChar">
    <w:name w:val="E-mail Signature Char"/>
    <w:basedOn w:val="DefaultParagraphFont"/>
    <w:link w:val="E-mailSignature"/>
    <w:semiHidden/>
    <w:rsid w:val="00090F57"/>
    <w:rPr>
      <w:rFonts w:ascii="EC Square Sans Pro" w:hAnsi="EC Square Sans Pro"/>
      <w:lang w:val="en-GB" w:eastAsia="en-GB"/>
    </w:rPr>
  </w:style>
  <w:style w:type="paragraph" w:styleId="EnvelopeAddress">
    <w:name w:val="envelope address"/>
    <w:basedOn w:val="Normal"/>
    <w:semiHidden/>
    <w:rsid w:val="00090F57"/>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rsid w:val="00090F57"/>
    <w:pPr>
      <w:spacing w:before="0"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rsid w:val="00090F57"/>
    <w:rPr>
      <w:noProof w:val="0"/>
      <w:color w:val="003399" w:themeColor="followedHyperlink"/>
      <w:u w:val="single"/>
      <w:lang w:val="en-GB"/>
    </w:rPr>
  </w:style>
  <w:style w:type="table" w:styleId="GridTable1Light">
    <w:name w:val="Grid Table 1 Light"/>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rsid w:val="00090F57"/>
    <w:pPr>
      <w:spacing w:after="0" w:line="240" w:lineRule="auto"/>
    </w:pPr>
    <w:rPr>
      <w:rFonts w:ascii="EC Square Sans Pro" w:hAnsi="EC Square Sans Pro"/>
      <w:lang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rsid w:val="00090F57"/>
    <w:pPr>
      <w:spacing w:after="0" w:line="240" w:lineRule="auto"/>
    </w:pPr>
    <w:rPr>
      <w:rFonts w:ascii="EC Square Sans Pro" w:hAnsi="EC Square Sans Pro"/>
      <w:lang w:eastAsia="en-GB"/>
    </w:r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2">
    <w:name w:val="Grid Table 2 Accent 2"/>
    <w:basedOn w:val="TableNormal"/>
    <w:rsid w:val="00090F57"/>
    <w:pPr>
      <w:spacing w:after="0" w:line="240" w:lineRule="auto"/>
    </w:pPr>
    <w:rPr>
      <w:rFonts w:ascii="EC Square Sans Pro" w:hAnsi="EC Square Sans Pro"/>
      <w:lang w:eastAsia="en-GB"/>
    </w:r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2-Accent3">
    <w:name w:val="Grid Table 2 Accent 3"/>
    <w:basedOn w:val="TableNormal"/>
    <w:rsid w:val="00090F57"/>
    <w:pPr>
      <w:spacing w:after="0" w:line="240" w:lineRule="auto"/>
    </w:pPr>
    <w:rPr>
      <w:rFonts w:ascii="EC Square Sans Pro" w:hAnsi="EC Square Sans Pro"/>
      <w:lang w:eastAsia="en-GB"/>
    </w:r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rsid w:val="00090F57"/>
    <w:pPr>
      <w:spacing w:after="0" w:line="240" w:lineRule="auto"/>
    </w:pPr>
    <w:rPr>
      <w:rFonts w:ascii="EC Square Sans Pro" w:hAnsi="EC Square Sans Pro"/>
      <w:lang w:eastAsia="en-GB"/>
    </w:r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rsid w:val="00090F57"/>
    <w:pPr>
      <w:spacing w:after="0" w:line="240" w:lineRule="auto"/>
    </w:pPr>
    <w:rPr>
      <w:rFonts w:ascii="EC Square Sans Pro" w:hAnsi="EC Square Sans Pro"/>
      <w:lang w:eastAsia="en-GB"/>
    </w:r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rsid w:val="00090F57"/>
    <w:pPr>
      <w:spacing w:after="0" w:line="240" w:lineRule="auto"/>
    </w:pPr>
    <w:rPr>
      <w:rFonts w:ascii="EC Square Sans Pro" w:hAnsi="EC Square Sans Pro"/>
      <w:lang w:eastAsia="en-GB"/>
    </w:r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2">
    <w:name w:val="Grid Table 4 Accent 2"/>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3">
    <w:name w:val="Grid Table 4 Accent 3"/>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rsid w:val="00090F57"/>
    <w:pPr>
      <w:spacing w:after="0" w:line="240" w:lineRule="auto"/>
    </w:pPr>
    <w:rPr>
      <w:rFonts w:ascii="EC Square Sans Pro"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rsid w:val="00090F57"/>
    <w:pPr>
      <w:spacing w:after="0" w:line="240" w:lineRule="auto"/>
    </w:pPr>
    <w:rPr>
      <w:rFonts w:ascii="EC Square Sans Pro"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rsid w:val="00090F57"/>
    <w:pPr>
      <w:spacing w:after="0" w:line="240" w:lineRule="auto"/>
    </w:pPr>
    <w:rPr>
      <w:rFonts w:ascii="EC Square Sans Pro"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rsid w:val="00090F57"/>
    <w:pPr>
      <w:spacing w:after="0" w:line="240" w:lineRule="auto"/>
    </w:pPr>
    <w:rPr>
      <w:rFonts w:ascii="EC Square Sans Pro"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rsid w:val="00090F57"/>
    <w:pPr>
      <w:spacing w:after="0" w:line="240" w:lineRule="auto"/>
    </w:pPr>
    <w:rPr>
      <w:rFonts w:ascii="EC Square Sans Pro"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rsid w:val="00090F57"/>
    <w:pPr>
      <w:spacing w:after="0" w:line="240" w:lineRule="auto"/>
    </w:pPr>
    <w:rPr>
      <w:rFonts w:ascii="EC Square Sans Pro"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rsid w:val="00090F57"/>
    <w:pPr>
      <w:spacing w:after="0" w:line="240" w:lineRule="auto"/>
    </w:pPr>
    <w:rPr>
      <w:rFonts w:ascii="EC Square Sans Pro"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rsid w:val="00090F57"/>
    <w:pPr>
      <w:spacing w:after="0" w:line="240" w:lineRule="auto"/>
    </w:pPr>
    <w:rPr>
      <w:rFonts w:ascii="EC Square Sans Pro"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rsid w:val="00090F57"/>
    <w:pPr>
      <w:spacing w:after="0" w:line="240" w:lineRule="auto"/>
    </w:pPr>
    <w:rPr>
      <w:rFonts w:ascii="EC Square Sans Pro"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rsid w:val="00090F57"/>
    <w:pPr>
      <w:spacing w:after="0" w:line="240" w:lineRule="auto"/>
    </w:pPr>
    <w:rPr>
      <w:rFonts w:ascii="EC Square Sans Pro"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rsid w:val="00090F57"/>
    <w:pPr>
      <w:spacing w:after="0" w:line="240" w:lineRule="auto"/>
    </w:pPr>
    <w:rPr>
      <w:rFonts w:ascii="EC Square Sans Pro"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rsid w:val="00090F57"/>
    <w:pPr>
      <w:spacing w:after="0" w:line="240" w:lineRule="auto"/>
    </w:pPr>
    <w:rPr>
      <w:rFonts w:ascii="EC Square Sans Pro"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rsid w:val="00090F57"/>
    <w:pPr>
      <w:spacing w:after="0" w:line="240" w:lineRule="auto"/>
    </w:pPr>
    <w:rPr>
      <w:rFonts w:ascii="EC Square Sans Pro"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rsid w:val="00090F57"/>
    <w:pPr>
      <w:spacing w:after="0" w:line="240" w:lineRule="auto"/>
    </w:pPr>
    <w:rPr>
      <w:rFonts w:ascii="EC Square Sans Pro"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paragraph" w:customStyle="1" w:styleId="HIIAboutEUIIHeading1">
    <w:name w:val="H II About EU II Heading 1"/>
    <w:next w:val="Normal"/>
    <w:uiPriority w:val="2"/>
    <w:semiHidden/>
    <w:rsid w:val="000B5C29"/>
    <w:pPr>
      <w:suppressAutoHyphens/>
      <w:spacing w:before="480"/>
      <w:outlineLvl w:val="0"/>
    </w:pPr>
    <w:rPr>
      <w:rFonts w:ascii="EC Square Sans Cond Pro" w:hAnsi="EC Square Sans Cond Pro"/>
      <w:b/>
      <w:color w:val="003399" w:themeColor="text2"/>
      <w:sz w:val="28"/>
      <w:lang w:eastAsia="en-GB"/>
    </w:rPr>
  </w:style>
  <w:style w:type="paragraph" w:customStyle="1" w:styleId="HeadingT-Annex4L2">
    <w:name w:val="Heading | T-Annex 4 | L2"/>
    <w:basedOn w:val="Normal"/>
    <w:next w:val="Normal"/>
    <w:uiPriority w:val="2"/>
    <w:rsid w:val="00090F57"/>
    <w:pPr>
      <w:keepNext/>
      <w:keepLines/>
      <w:spacing w:before="600"/>
      <w:outlineLvl w:val="1"/>
    </w:pPr>
    <w:rPr>
      <w:b/>
      <w:bCs/>
      <w:sz w:val="22"/>
      <w:szCs w:val="22"/>
    </w:rPr>
  </w:style>
  <w:style w:type="paragraph" w:customStyle="1" w:styleId="HeadingT-AnnexesL1">
    <w:name w:val="Heading | T-Annexes | L1"/>
    <w:basedOn w:val="Normal"/>
    <w:next w:val="Normal"/>
    <w:uiPriority w:val="9"/>
    <w:qFormat/>
    <w:rsid w:val="00090F57"/>
    <w:pPr>
      <w:keepNext/>
      <w:keepLines/>
      <w:pageBreakBefore/>
      <w:spacing w:before="0" w:after="720"/>
      <w:outlineLvl w:val="0"/>
    </w:pPr>
    <w:rPr>
      <w:color w:val="003399" w:themeColor="text2"/>
      <w:sz w:val="48"/>
    </w:rPr>
  </w:style>
  <w:style w:type="paragraph" w:customStyle="1" w:styleId="HeadingMan-NumT-AnnexesL2-11">
    <w:name w:val="Heading Man-Num | T-Annexes | L2 - 1.1."/>
    <w:basedOn w:val="Normal"/>
    <w:next w:val="Normal"/>
    <w:uiPriority w:val="9"/>
    <w:qFormat/>
    <w:rsid w:val="009514F9"/>
    <w:pPr>
      <w:keepNext/>
      <w:keepLines/>
      <w:pBdr>
        <w:bottom w:val="single" w:sz="6" w:space="1" w:color="DE6002"/>
      </w:pBdr>
      <w:spacing w:before="480"/>
      <w:ind w:left="578" w:hanging="578"/>
      <w:outlineLvl w:val="1"/>
    </w:pPr>
    <w:rPr>
      <w:rFonts w:asciiTheme="majorHAnsi" w:eastAsia="EC Square Sans Pro" w:hAnsiTheme="majorHAnsi"/>
      <w:b/>
      <w:color w:val="003399" w:themeColor="text2"/>
      <w:sz w:val="28"/>
      <w:szCs w:val="21"/>
      <w:lang w:eastAsia="zh-CN"/>
    </w:rPr>
  </w:style>
  <w:style w:type="paragraph" w:customStyle="1" w:styleId="HeadingT-AnnexesL2">
    <w:name w:val="Heading | T-Annexes | L2"/>
    <w:basedOn w:val="HeadingMan-NumT-AnnexesL2-11"/>
    <w:next w:val="Normal"/>
    <w:uiPriority w:val="9"/>
    <w:qFormat/>
    <w:rsid w:val="002C5CFC"/>
  </w:style>
  <w:style w:type="paragraph" w:customStyle="1" w:styleId="HeadingT-AnnexesL3">
    <w:name w:val="Heading | T-Annexes | L3"/>
    <w:basedOn w:val="Heading3"/>
    <w:next w:val="Normal"/>
    <w:uiPriority w:val="9"/>
    <w:qFormat/>
    <w:rsid w:val="00090F57"/>
  </w:style>
  <w:style w:type="paragraph" w:customStyle="1" w:styleId="HeadingMan-NumT-AnnexesL3-111">
    <w:name w:val="Heading Man-Num | T-Annexes | L3 - 1.1.1."/>
    <w:basedOn w:val="Heading3"/>
    <w:next w:val="Normal"/>
    <w:uiPriority w:val="9"/>
    <w:qFormat/>
    <w:rsid w:val="00090F57"/>
    <w:pPr>
      <w:tabs>
        <w:tab w:val="left" w:pos="1021"/>
      </w:tabs>
      <w:ind w:left="1021" w:hanging="1021"/>
    </w:pPr>
    <w:rPr>
      <w:rFonts w:eastAsia="EC Square Sans Pro"/>
    </w:rPr>
  </w:style>
  <w:style w:type="character" w:styleId="HTMLAcronym">
    <w:name w:val="HTML Acronym"/>
    <w:basedOn w:val="DefaultParagraphFont"/>
    <w:uiPriority w:val="39"/>
    <w:semiHidden/>
    <w:rsid w:val="00090F57"/>
    <w:rPr>
      <w:noProof w:val="0"/>
      <w:lang w:val="en-GB"/>
    </w:rPr>
  </w:style>
  <w:style w:type="paragraph" w:styleId="HTMLAddress">
    <w:name w:val="HTML Address"/>
    <w:basedOn w:val="Normal"/>
    <w:link w:val="HTMLAddressChar"/>
    <w:uiPriority w:val="39"/>
    <w:semiHidden/>
    <w:rsid w:val="00090F57"/>
    <w:pPr>
      <w:spacing w:before="0" w:after="0" w:line="240" w:lineRule="auto"/>
    </w:pPr>
    <w:rPr>
      <w:i/>
      <w:iCs/>
    </w:rPr>
  </w:style>
  <w:style w:type="character" w:customStyle="1" w:styleId="HTMLAddressChar">
    <w:name w:val="HTML Address Char"/>
    <w:basedOn w:val="DefaultParagraphFont"/>
    <w:link w:val="HTMLAddress"/>
    <w:uiPriority w:val="39"/>
    <w:semiHidden/>
    <w:rsid w:val="00090F57"/>
    <w:rPr>
      <w:rFonts w:ascii="EC Square Sans Pro" w:hAnsi="EC Square Sans Pro"/>
      <w:i/>
      <w:iCs/>
      <w:lang w:val="en-GB" w:eastAsia="en-GB"/>
    </w:rPr>
  </w:style>
  <w:style w:type="character" w:styleId="HTMLCite">
    <w:name w:val="HTML Cite"/>
    <w:basedOn w:val="DefaultParagraphFont"/>
    <w:uiPriority w:val="39"/>
    <w:semiHidden/>
    <w:rsid w:val="00090F57"/>
    <w:rPr>
      <w:i/>
      <w:iCs/>
      <w:noProof w:val="0"/>
      <w:lang w:val="en-GB"/>
    </w:rPr>
  </w:style>
  <w:style w:type="character" w:styleId="HTMLCode">
    <w:name w:val="HTML Code"/>
    <w:basedOn w:val="DefaultParagraphFont"/>
    <w:uiPriority w:val="39"/>
    <w:semiHidden/>
    <w:rsid w:val="00090F57"/>
    <w:rPr>
      <w:rFonts w:ascii="Consolas" w:hAnsi="Consolas"/>
      <w:noProof w:val="0"/>
      <w:sz w:val="20"/>
      <w:szCs w:val="20"/>
      <w:lang w:val="en-GB"/>
    </w:rPr>
  </w:style>
  <w:style w:type="character" w:styleId="HTMLDefinition">
    <w:name w:val="HTML Definition"/>
    <w:basedOn w:val="DefaultParagraphFont"/>
    <w:uiPriority w:val="39"/>
    <w:semiHidden/>
    <w:rsid w:val="00090F57"/>
    <w:rPr>
      <w:i/>
      <w:iCs/>
      <w:noProof w:val="0"/>
      <w:lang w:val="en-GB"/>
    </w:rPr>
  </w:style>
  <w:style w:type="character" w:styleId="HTMLKeyboard">
    <w:name w:val="HTML Keyboard"/>
    <w:basedOn w:val="DefaultParagraphFont"/>
    <w:uiPriority w:val="39"/>
    <w:semiHidden/>
    <w:rsid w:val="00090F57"/>
    <w:rPr>
      <w:rFonts w:ascii="Consolas" w:hAnsi="Consolas"/>
      <w:noProof w:val="0"/>
      <w:sz w:val="20"/>
      <w:szCs w:val="20"/>
      <w:lang w:val="en-GB"/>
    </w:rPr>
  </w:style>
  <w:style w:type="paragraph" w:styleId="HTMLPreformatted">
    <w:name w:val="HTML Preformatted"/>
    <w:basedOn w:val="Normal"/>
    <w:link w:val="HTMLPreformattedChar"/>
    <w:uiPriority w:val="39"/>
    <w:semiHidden/>
    <w:rsid w:val="00090F57"/>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39"/>
    <w:semiHidden/>
    <w:rsid w:val="00090F57"/>
    <w:rPr>
      <w:rFonts w:ascii="Consolas" w:hAnsi="Consolas"/>
      <w:lang w:val="en-GB" w:eastAsia="en-GB"/>
    </w:rPr>
  </w:style>
  <w:style w:type="character" w:styleId="HTMLSample">
    <w:name w:val="HTML Sample"/>
    <w:basedOn w:val="DefaultParagraphFont"/>
    <w:uiPriority w:val="39"/>
    <w:semiHidden/>
    <w:rsid w:val="00090F57"/>
    <w:rPr>
      <w:rFonts w:ascii="Consolas" w:hAnsi="Consolas"/>
      <w:noProof w:val="0"/>
      <w:sz w:val="24"/>
      <w:szCs w:val="24"/>
      <w:lang w:val="en-GB"/>
    </w:rPr>
  </w:style>
  <w:style w:type="character" w:styleId="HTMLTypewriter">
    <w:name w:val="HTML Typewriter"/>
    <w:basedOn w:val="DefaultParagraphFont"/>
    <w:uiPriority w:val="39"/>
    <w:semiHidden/>
    <w:rsid w:val="00090F57"/>
    <w:rPr>
      <w:rFonts w:ascii="Consolas" w:hAnsi="Consolas"/>
      <w:noProof w:val="0"/>
      <w:sz w:val="20"/>
      <w:szCs w:val="20"/>
      <w:lang w:val="en-GB"/>
    </w:rPr>
  </w:style>
  <w:style w:type="character" w:styleId="HTMLVariable">
    <w:name w:val="HTML Variable"/>
    <w:basedOn w:val="DefaultParagraphFont"/>
    <w:uiPriority w:val="39"/>
    <w:semiHidden/>
    <w:rsid w:val="00090F57"/>
    <w:rPr>
      <w:i/>
      <w:iCs/>
      <w:noProof w:val="0"/>
      <w:lang w:val="en-GB"/>
    </w:rPr>
  </w:style>
  <w:style w:type="character" w:styleId="IntenseEmphasis">
    <w:name w:val="Intense Emphasis"/>
    <w:basedOn w:val="DefaultParagraphFont"/>
    <w:uiPriority w:val="39"/>
    <w:semiHidden/>
    <w:rsid w:val="00F867C0"/>
    <w:rPr>
      <w:i/>
      <w:iCs/>
      <w:noProof w:val="0"/>
      <w:color w:val="003399" w:themeColor="text2"/>
      <w:lang w:val="en-GB"/>
    </w:rPr>
  </w:style>
  <w:style w:type="paragraph" w:styleId="IntenseQuote">
    <w:name w:val="Intense Quote"/>
    <w:basedOn w:val="Normal"/>
    <w:next w:val="Normal"/>
    <w:link w:val="IntenseQuoteChar"/>
    <w:uiPriority w:val="39"/>
    <w:semiHidden/>
    <w:rsid w:val="00F867C0"/>
    <w:pPr>
      <w:pBdr>
        <w:top w:val="single" w:sz="4" w:space="10" w:color="003399" w:themeColor="text2"/>
        <w:bottom w:val="single" w:sz="4" w:space="10" w:color="003399" w:themeColor="text2"/>
      </w:pBdr>
      <w:spacing w:before="360" w:after="360"/>
      <w:ind w:left="864" w:right="864"/>
      <w:jc w:val="center"/>
    </w:pPr>
    <w:rPr>
      <w:i/>
      <w:iCs/>
      <w:color w:val="003399" w:themeColor="text2"/>
    </w:rPr>
  </w:style>
  <w:style w:type="character" w:customStyle="1" w:styleId="IntenseQuoteChar">
    <w:name w:val="Intense Quote Char"/>
    <w:basedOn w:val="DefaultParagraphFont"/>
    <w:link w:val="IntenseQuote"/>
    <w:uiPriority w:val="39"/>
    <w:semiHidden/>
    <w:rsid w:val="00F867C0"/>
    <w:rPr>
      <w:rFonts w:ascii="EC Square Sans Pro" w:hAnsi="EC Square Sans Pro"/>
      <w:i/>
      <w:iCs/>
      <w:color w:val="003399" w:themeColor="text2"/>
      <w:lang w:val="en-GB" w:eastAsia="en-GB"/>
    </w:rPr>
  </w:style>
  <w:style w:type="character" w:styleId="IntenseReference">
    <w:name w:val="Intense Reference"/>
    <w:basedOn w:val="DefaultParagraphFont"/>
    <w:uiPriority w:val="39"/>
    <w:semiHidden/>
    <w:rsid w:val="00F867C0"/>
    <w:rPr>
      <w:b/>
      <w:bCs/>
      <w:smallCaps/>
      <w:noProof w:val="0"/>
      <w:color w:val="003399" w:themeColor="text2"/>
      <w:spacing w:val="5"/>
      <w:lang w:val="en-GB"/>
    </w:rPr>
  </w:style>
  <w:style w:type="table" w:styleId="LightGrid">
    <w:name w:val="Light Grid"/>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semiHidden/>
    <w:unhideWhenUsed/>
    <w:rsid w:val="00090F57"/>
    <w:pPr>
      <w:spacing w:before="0" w:after="0" w:line="240" w:lineRule="auto"/>
    </w:pPr>
    <w:rPr>
      <w:rFonts w:ascii="EC Square Sans Pro" w:hAnsi="EC Square Sans Pro"/>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semiHidden/>
    <w:unhideWhenUsed/>
    <w:rsid w:val="00090F57"/>
    <w:pPr>
      <w:spacing w:before="0" w:after="0" w:line="240" w:lineRule="auto"/>
    </w:pPr>
    <w:rPr>
      <w:rFonts w:ascii="EC Square Sans Pro" w:hAnsi="EC Square Sans Pro"/>
      <w:color w:val="00602A" w:themeColor="accent1" w:themeShade="BF"/>
      <w:lang w:eastAsia="en-GB"/>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semiHidden/>
    <w:unhideWhenUsed/>
    <w:rsid w:val="00090F57"/>
    <w:pPr>
      <w:spacing w:before="0" w:after="0" w:line="240" w:lineRule="auto"/>
    </w:pPr>
    <w:rPr>
      <w:rFonts w:ascii="EC Square Sans Pro" w:hAnsi="EC Square Sans Pro"/>
      <w:color w:val="A64701" w:themeColor="accent2" w:themeShade="BF"/>
      <w:lang w:eastAsia="en-GB"/>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semiHidden/>
    <w:unhideWhenUsed/>
    <w:rsid w:val="00090F57"/>
    <w:pPr>
      <w:spacing w:before="0" w:after="0" w:line="240" w:lineRule="auto"/>
    </w:pPr>
    <w:rPr>
      <w:rFonts w:ascii="EC Square Sans Pro" w:hAnsi="EC Square Sans Pro"/>
      <w:color w:val="0162D9" w:themeColor="accent3" w:themeShade="BF"/>
      <w:lang w:eastAsia="en-GB"/>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semiHidden/>
    <w:unhideWhenUsed/>
    <w:rsid w:val="00090F57"/>
    <w:pPr>
      <w:spacing w:before="0" w:after="0" w:line="240" w:lineRule="auto"/>
    </w:pPr>
    <w:rPr>
      <w:rFonts w:ascii="EC Square Sans Pro" w:hAnsi="EC Square Sans Pro"/>
      <w:color w:val="C18101" w:themeColor="accent4" w:themeShade="BF"/>
      <w:lang w:eastAsia="en-GB"/>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ghtShading-Accent5">
    <w:name w:val="Light Shading Accent 5"/>
    <w:basedOn w:val="TableNormal"/>
    <w:semiHidden/>
    <w:unhideWhenUsed/>
    <w:rsid w:val="00090F57"/>
    <w:pPr>
      <w:spacing w:before="0" w:after="0" w:line="240" w:lineRule="auto"/>
    </w:pPr>
    <w:rPr>
      <w:rFonts w:ascii="EC Square Sans Pro" w:hAnsi="EC Square Sans Pro"/>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table" w:styleId="LightShading-Accent6">
    <w:name w:val="Light Shading Accent 6"/>
    <w:basedOn w:val="TableNormal"/>
    <w:semiHidden/>
    <w:unhideWhenUsed/>
    <w:rsid w:val="00090F57"/>
    <w:pPr>
      <w:spacing w:before="0" w:after="0" w:line="240" w:lineRule="auto"/>
    </w:pPr>
    <w:rPr>
      <w:rFonts w:ascii="EC Square Sans Pro" w:hAnsi="EC Square Sans Pro"/>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semiHidden/>
    <w:rsid w:val="00090F57"/>
    <w:rPr>
      <w:noProof w:val="0"/>
      <w:lang w:val="en-GB"/>
    </w:rPr>
  </w:style>
  <w:style w:type="paragraph" w:styleId="List">
    <w:name w:val="List"/>
    <w:basedOn w:val="Normal"/>
    <w:uiPriority w:val="3"/>
    <w:semiHidden/>
    <w:rsid w:val="00090F57"/>
    <w:pPr>
      <w:ind w:left="283" w:hanging="283"/>
      <w:contextualSpacing/>
    </w:pPr>
  </w:style>
  <w:style w:type="numbering" w:customStyle="1" w:styleId="LISTAboutEUpage">
    <w:name w:val="LIST (About EU page)"/>
    <w:uiPriority w:val="99"/>
    <w:rsid w:val="00090F57"/>
    <w:pPr>
      <w:numPr>
        <w:numId w:val="10"/>
      </w:numPr>
    </w:pPr>
  </w:style>
  <w:style w:type="paragraph" w:styleId="List2">
    <w:name w:val="List 2"/>
    <w:basedOn w:val="Normal"/>
    <w:uiPriority w:val="3"/>
    <w:semiHidden/>
    <w:rsid w:val="00090F57"/>
    <w:pPr>
      <w:ind w:left="566" w:hanging="283"/>
      <w:contextualSpacing/>
    </w:pPr>
  </w:style>
  <w:style w:type="paragraph" w:styleId="List3">
    <w:name w:val="List 3"/>
    <w:basedOn w:val="Normal"/>
    <w:uiPriority w:val="3"/>
    <w:semiHidden/>
    <w:rsid w:val="00090F57"/>
    <w:pPr>
      <w:ind w:left="849" w:hanging="283"/>
      <w:contextualSpacing/>
    </w:pPr>
  </w:style>
  <w:style w:type="paragraph" w:styleId="List4">
    <w:name w:val="List 4"/>
    <w:basedOn w:val="Normal"/>
    <w:uiPriority w:val="3"/>
    <w:semiHidden/>
    <w:rsid w:val="00090F57"/>
    <w:pPr>
      <w:ind w:left="1132" w:hanging="283"/>
      <w:contextualSpacing/>
    </w:pPr>
  </w:style>
  <w:style w:type="paragraph" w:styleId="List5">
    <w:name w:val="List 5"/>
    <w:basedOn w:val="Normal"/>
    <w:uiPriority w:val="3"/>
    <w:semiHidden/>
    <w:rsid w:val="00090F57"/>
    <w:pPr>
      <w:ind w:left="1415" w:hanging="283"/>
      <w:contextualSpacing/>
    </w:pPr>
  </w:style>
  <w:style w:type="paragraph" w:styleId="ListBullet2">
    <w:name w:val="List Bullet 2"/>
    <w:basedOn w:val="Normal"/>
    <w:uiPriority w:val="3"/>
    <w:semiHidden/>
    <w:rsid w:val="00090F57"/>
    <w:pPr>
      <w:numPr>
        <w:numId w:val="17"/>
      </w:numPr>
      <w:contextualSpacing/>
    </w:pPr>
  </w:style>
  <w:style w:type="paragraph" w:styleId="ListBullet3">
    <w:name w:val="List Bullet 3"/>
    <w:basedOn w:val="Normal"/>
    <w:uiPriority w:val="3"/>
    <w:semiHidden/>
    <w:rsid w:val="00090F57"/>
    <w:pPr>
      <w:numPr>
        <w:numId w:val="18"/>
      </w:numPr>
      <w:contextualSpacing/>
    </w:pPr>
  </w:style>
  <w:style w:type="paragraph" w:styleId="ListBullet4">
    <w:name w:val="List Bullet 4"/>
    <w:basedOn w:val="Normal"/>
    <w:uiPriority w:val="3"/>
    <w:semiHidden/>
    <w:rsid w:val="00090F57"/>
    <w:pPr>
      <w:numPr>
        <w:numId w:val="19"/>
      </w:numPr>
      <w:contextualSpacing/>
    </w:pPr>
  </w:style>
  <w:style w:type="paragraph" w:styleId="ListBullet5">
    <w:name w:val="List Bullet 5"/>
    <w:basedOn w:val="Normal"/>
    <w:uiPriority w:val="3"/>
    <w:semiHidden/>
    <w:rsid w:val="00090F57"/>
    <w:pPr>
      <w:numPr>
        <w:numId w:val="20"/>
      </w:numPr>
      <w:contextualSpacing/>
    </w:pPr>
  </w:style>
  <w:style w:type="numbering" w:customStyle="1" w:styleId="ListBulletLIST">
    <w:name w:val="List Bullet LIST"/>
    <w:uiPriority w:val="99"/>
    <w:rsid w:val="00090F57"/>
    <w:pPr>
      <w:numPr>
        <w:numId w:val="11"/>
      </w:numPr>
    </w:pPr>
  </w:style>
  <w:style w:type="paragraph" w:styleId="ListContinue">
    <w:name w:val="List Continue"/>
    <w:basedOn w:val="Normal"/>
    <w:uiPriority w:val="3"/>
    <w:semiHidden/>
    <w:rsid w:val="00090F57"/>
    <w:pPr>
      <w:spacing w:after="120"/>
      <w:ind w:left="283"/>
      <w:contextualSpacing/>
    </w:pPr>
  </w:style>
  <w:style w:type="paragraph" w:styleId="ListContinue2">
    <w:name w:val="List Continue 2"/>
    <w:basedOn w:val="Normal"/>
    <w:uiPriority w:val="3"/>
    <w:semiHidden/>
    <w:rsid w:val="00090F57"/>
    <w:pPr>
      <w:spacing w:after="120"/>
      <w:ind w:left="566"/>
      <w:contextualSpacing/>
    </w:pPr>
  </w:style>
  <w:style w:type="paragraph" w:styleId="ListContinue3">
    <w:name w:val="List Continue 3"/>
    <w:basedOn w:val="Normal"/>
    <w:uiPriority w:val="3"/>
    <w:semiHidden/>
    <w:rsid w:val="00090F57"/>
    <w:pPr>
      <w:spacing w:after="120"/>
      <w:ind w:left="849"/>
      <w:contextualSpacing/>
    </w:pPr>
  </w:style>
  <w:style w:type="paragraph" w:styleId="ListContinue4">
    <w:name w:val="List Continue 4"/>
    <w:basedOn w:val="Normal"/>
    <w:uiPriority w:val="3"/>
    <w:semiHidden/>
    <w:rsid w:val="00090F57"/>
    <w:pPr>
      <w:spacing w:after="120"/>
      <w:ind w:left="1132"/>
      <w:contextualSpacing/>
    </w:pPr>
  </w:style>
  <w:style w:type="paragraph" w:styleId="ListContinue5">
    <w:name w:val="List Continue 5"/>
    <w:basedOn w:val="Normal"/>
    <w:uiPriority w:val="3"/>
    <w:semiHidden/>
    <w:rsid w:val="00090F57"/>
    <w:pPr>
      <w:spacing w:after="120"/>
      <w:ind w:left="1415"/>
      <w:contextualSpacing/>
    </w:pPr>
  </w:style>
  <w:style w:type="paragraph" w:styleId="ListNumber2">
    <w:name w:val="List Number 2"/>
    <w:basedOn w:val="Normal"/>
    <w:semiHidden/>
    <w:rsid w:val="00090F57"/>
    <w:pPr>
      <w:numPr>
        <w:numId w:val="21"/>
      </w:numPr>
      <w:contextualSpacing/>
    </w:pPr>
  </w:style>
  <w:style w:type="paragraph" w:styleId="ListNumber3">
    <w:name w:val="List Number 3"/>
    <w:basedOn w:val="Normal"/>
    <w:uiPriority w:val="3"/>
    <w:semiHidden/>
    <w:rsid w:val="00090F57"/>
    <w:pPr>
      <w:numPr>
        <w:numId w:val="22"/>
      </w:numPr>
      <w:contextualSpacing/>
    </w:pPr>
  </w:style>
  <w:style w:type="paragraph" w:styleId="ListNumber4">
    <w:name w:val="List Number 4"/>
    <w:basedOn w:val="Normal"/>
    <w:uiPriority w:val="3"/>
    <w:semiHidden/>
    <w:rsid w:val="00090F57"/>
    <w:pPr>
      <w:numPr>
        <w:numId w:val="23"/>
      </w:numPr>
      <w:contextualSpacing/>
    </w:pPr>
  </w:style>
  <w:style w:type="paragraph" w:styleId="ListNumber5">
    <w:name w:val="List Number 5"/>
    <w:basedOn w:val="Normal"/>
    <w:uiPriority w:val="3"/>
    <w:semiHidden/>
    <w:rsid w:val="00090F57"/>
    <w:pPr>
      <w:numPr>
        <w:numId w:val="24"/>
      </w:numPr>
      <w:tabs>
        <w:tab w:val="num" w:pos="1492"/>
      </w:tabs>
      <w:contextualSpacing/>
    </w:pPr>
  </w:style>
  <w:style w:type="paragraph" w:styleId="ListParagraph">
    <w:name w:val="List Paragraph"/>
    <w:basedOn w:val="ListBullet"/>
    <w:uiPriority w:val="34"/>
    <w:rsid w:val="00525505"/>
  </w:style>
  <w:style w:type="table" w:styleId="ListTable1Light">
    <w:name w:val="List Table 1 Light"/>
    <w:basedOn w:val="TableNormal"/>
    <w:rsid w:val="00090F57"/>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rsid w:val="00090F57"/>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rsid w:val="00090F57"/>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rsid w:val="00090F57"/>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rsid w:val="00090F57"/>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rsid w:val="00090F57"/>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rsid w:val="00090F57"/>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2">
    <w:name w:val="List Table 2 Accent 2"/>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2-Accent3">
    <w:name w:val="List Table 2 Accent 3"/>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rsid w:val="00090F57"/>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rsid w:val="00090F57"/>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rsid w:val="00090F57"/>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rsid w:val="00090F57"/>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rsid w:val="00090F57"/>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rsid w:val="00090F57"/>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rsid w:val="00090F57"/>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rsid w:val="00090F57"/>
    <w:pPr>
      <w:spacing w:after="0" w:line="240" w:lineRule="auto"/>
    </w:pPr>
    <w:rPr>
      <w:rFonts w:ascii="EC Square Sans Pro" w:hAnsi="EC Square Sans Pro"/>
      <w:color w:val="000000" w:themeColor="text1"/>
      <w:lang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rsid w:val="00090F57"/>
    <w:pPr>
      <w:spacing w:after="0" w:line="240" w:lineRule="auto"/>
    </w:pPr>
    <w:rPr>
      <w:rFonts w:ascii="EC Square Sans Pro" w:hAnsi="EC Square Sans Pro"/>
      <w:color w:val="00602A" w:themeColor="accent1" w:themeShade="BF"/>
      <w:lang w:eastAsia="en-GB"/>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rsid w:val="00090F57"/>
    <w:pPr>
      <w:spacing w:after="0" w:line="240" w:lineRule="auto"/>
    </w:pPr>
    <w:rPr>
      <w:rFonts w:ascii="EC Square Sans Pro" w:hAnsi="EC Square Sans Pro"/>
      <w:color w:val="A64701" w:themeColor="accent2" w:themeShade="BF"/>
      <w:lang w:eastAsia="en-GB"/>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rsid w:val="00090F57"/>
    <w:pPr>
      <w:spacing w:after="0" w:line="240" w:lineRule="auto"/>
    </w:pPr>
    <w:rPr>
      <w:rFonts w:ascii="EC Square Sans Pro" w:hAnsi="EC Square Sans Pro"/>
      <w:color w:val="0162D9" w:themeColor="accent3" w:themeShade="BF"/>
      <w:lang w:eastAsia="en-GB"/>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rsid w:val="00090F57"/>
    <w:pPr>
      <w:spacing w:after="0" w:line="240" w:lineRule="auto"/>
    </w:pPr>
    <w:rPr>
      <w:rFonts w:ascii="EC Square Sans Pro" w:hAnsi="EC Square Sans Pro"/>
      <w:color w:val="C18101" w:themeColor="accent4" w:themeShade="BF"/>
      <w:lang w:eastAsia="en-GB"/>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rsid w:val="00090F57"/>
    <w:pPr>
      <w:spacing w:after="0" w:line="240" w:lineRule="auto"/>
    </w:pPr>
    <w:rPr>
      <w:rFonts w:ascii="EC Square Sans Pro" w:hAnsi="EC Square Sans Pro"/>
      <w:color w:val="A41045" w:themeColor="accent5" w:themeShade="BF"/>
      <w:lang w:eastAsia="en-GB"/>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rsid w:val="00090F57"/>
    <w:pPr>
      <w:spacing w:after="0" w:line="240" w:lineRule="auto"/>
    </w:pPr>
    <w:rPr>
      <w:rFonts w:ascii="EC Square Sans Pro" w:hAnsi="EC Square Sans Pro"/>
      <w:color w:val="532477" w:themeColor="accent6" w:themeShade="BF"/>
      <w:lang w:eastAsia="en-GB"/>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rsid w:val="00090F57"/>
    <w:pPr>
      <w:spacing w:after="0" w:line="240" w:lineRule="auto"/>
    </w:pPr>
    <w:rPr>
      <w:rFonts w:ascii="EC Square Sans Pro" w:hAnsi="EC Square Sans Pro"/>
      <w:color w:val="000000" w:themeColor="text1"/>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rsid w:val="00090F57"/>
    <w:pPr>
      <w:spacing w:after="0" w:line="240" w:lineRule="auto"/>
    </w:pPr>
    <w:rPr>
      <w:rFonts w:ascii="EC Square Sans Pro" w:hAnsi="EC Square Sans Pro"/>
      <w:color w:val="00602A" w:themeColor="accent1"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rsid w:val="00090F57"/>
    <w:pPr>
      <w:spacing w:after="0" w:line="240" w:lineRule="auto"/>
    </w:pPr>
    <w:rPr>
      <w:rFonts w:ascii="EC Square Sans Pro" w:hAnsi="EC Square Sans Pro"/>
      <w:color w:val="A64701" w:themeColor="accent2"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rsid w:val="00090F57"/>
    <w:pPr>
      <w:spacing w:after="0" w:line="240" w:lineRule="auto"/>
    </w:pPr>
    <w:rPr>
      <w:rFonts w:ascii="EC Square Sans Pro" w:hAnsi="EC Square Sans Pro"/>
      <w:color w:val="0162D9" w:themeColor="accent3"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rsid w:val="00090F57"/>
    <w:pPr>
      <w:spacing w:after="0" w:line="240" w:lineRule="auto"/>
    </w:pPr>
    <w:rPr>
      <w:rFonts w:ascii="EC Square Sans Pro" w:hAnsi="EC Square Sans Pro"/>
      <w:color w:val="C18101" w:themeColor="accent4"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rsid w:val="00090F57"/>
    <w:pPr>
      <w:spacing w:after="0" w:line="240" w:lineRule="auto"/>
    </w:pPr>
    <w:rPr>
      <w:rFonts w:ascii="EC Square Sans Pro" w:hAnsi="EC Square Sans Pro"/>
      <w:color w:val="A41045" w:themeColor="accent5"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rsid w:val="00090F57"/>
    <w:pPr>
      <w:spacing w:after="0" w:line="240" w:lineRule="auto"/>
    </w:pPr>
    <w:rPr>
      <w:rFonts w:ascii="EC Square Sans Pro" w:hAnsi="EC Square Sans Pro"/>
      <w:color w:val="532477" w:themeColor="accent6"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LISTBullet0">
    <w:name w:val="LIST_Bullet"/>
    <w:uiPriority w:val="99"/>
    <w:rsid w:val="00090F57"/>
    <w:pPr>
      <w:numPr>
        <w:numId w:val="12"/>
      </w:numPr>
    </w:pPr>
  </w:style>
  <w:style w:type="character" w:customStyle="1" w:styleId="MacroTextChar">
    <w:name w:val="Macro Text Char"/>
    <w:basedOn w:val="DefaultParagraphFont"/>
    <w:link w:val="MacroText"/>
    <w:uiPriority w:val="39"/>
    <w:rsid w:val="00090F57"/>
    <w:rPr>
      <w:rFonts w:ascii="EC Square Sans Pro" w:hAnsi="EC Square Sans Pro"/>
      <w:lang w:val="en-GB" w:eastAsia="en-GB"/>
    </w:rPr>
  </w:style>
  <w:style w:type="table" w:styleId="MediumGrid1">
    <w:name w:val="Medium Grid 1"/>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semiHidden/>
    <w:unhideWhenUsed/>
    <w:rsid w:val="00090F57"/>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single" w:sz="8" w:space="0" w:color="0081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single" w:sz="8" w:space="0" w:color="DE600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single" w:sz="8" w:space="0" w:color="2688F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single" w:sz="8" w:space="0" w:color="FDAB0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single" w:sz="8" w:space="0" w:color="DC165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semiHidden/>
    <w:unhideWhenUsed/>
    <w:rsid w:val="00090F57"/>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single" w:sz="8" w:space="0" w:color="703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semiHidden/>
    <w:unhideWhenUsed/>
    <w:rsid w:val="00090F57"/>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090F57"/>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090F57"/>
    <w:rPr>
      <w:rFonts w:asciiTheme="majorHAnsi" w:eastAsiaTheme="majorEastAsia" w:hAnsiTheme="majorHAnsi" w:cstheme="majorBidi"/>
      <w:sz w:val="24"/>
      <w:szCs w:val="24"/>
      <w:shd w:val="pct20" w:color="auto" w:fill="auto"/>
      <w:lang w:val="en-GB" w:eastAsia="en-GB"/>
    </w:rPr>
  </w:style>
  <w:style w:type="paragraph" w:styleId="NormalWeb">
    <w:name w:val="Normal (Web)"/>
    <w:basedOn w:val="Normal"/>
    <w:semiHidden/>
    <w:rsid w:val="00090F57"/>
    <w:rPr>
      <w:rFonts w:ascii="Times New Roman" w:hAnsi="Times New Roman"/>
      <w:sz w:val="24"/>
      <w:szCs w:val="24"/>
    </w:rPr>
  </w:style>
  <w:style w:type="paragraph" w:styleId="NormalIndent">
    <w:name w:val="Normal Indent"/>
    <w:basedOn w:val="Normal"/>
    <w:semiHidden/>
    <w:rsid w:val="00090F57"/>
    <w:pPr>
      <w:ind w:left="720"/>
    </w:pPr>
  </w:style>
  <w:style w:type="paragraph" w:styleId="NoteHeading">
    <w:name w:val="Note Heading"/>
    <w:basedOn w:val="Normal"/>
    <w:next w:val="Normal"/>
    <w:link w:val="NoteHeadingChar"/>
    <w:semiHidden/>
    <w:rsid w:val="00090F57"/>
    <w:pPr>
      <w:spacing w:before="0" w:after="0" w:line="240" w:lineRule="auto"/>
    </w:pPr>
  </w:style>
  <w:style w:type="character" w:customStyle="1" w:styleId="NoteHeadingChar">
    <w:name w:val="Note Heading Char"/>
    <w:basedOn w:val="DefaultParagraphFont"/>
    <w:link w:val="NoteHeading"/>
    <w:semiHidden/>
    <w:rsid w:val="00090F57"/>
    <w:rPr>
      <w:rFonts w:ascii="EC Square Sans Pro" w:hAnsi="EC Square Sans Pro"/>
      <w:lang w:val="en-GB" w:eastAsia="en-GB"/>
    </w:rPr>
  </w:style>
  <w:style w:type="character" w:styleId="PageNumber">
    <w:name w:val="page number"/>
    <w:basedOn w:val="DefaultParagraphFont"/>
    <w:semiHidden/>
    <w:rsid w:val="00090F57"/>
    <w:rPr>
      <w:noProof w:val="0"/>
      <w:lang w:val="en-GB"/>
    </w:rPr>
  </w:style>
  <w:style w:type="table" w:styleId="PlainTable1">
    <w:name w:val="Plain Table 1"/>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090F57"/>
    <w:pPr>
      <w:spacing w:after="0" w:line="240" w:lineRule="auto"/>
    </w:pPr>
    <w:rPr>
      <w:rFonts w:ascii="EC Square Sans Pro" w:hAnsi="EC Square Sans Pro"/>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rsid w:val="00090F57"/>
    <w:pPr>
      <w:spacing w:after="0" w:line="240" w:lineRule="auto"/>
    </w:pPr>
    <w:rPr>
      <w:rFonts w:ascii="EC Square Sans Pro" w:hAnsi="EC Square Sans Pro"/>
      <w:lang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rsid w:val="00090F57"/>
    <w:pPr>
      <w:spacing w:after="0" w:line="240" w:lineRule="auto"/>
    </w:pPr>
    <w:rPr>
      <w:rFonts w:ascii="EC Square Sans Pro" w:hAnsi="EC Square Sans Pro"/>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rsid w:val="00090F57"/>
    <w:pPr>
      <w:spacing w:after="0" w:line="240" w:lineRule="auto"/>
    </w:pPr>
    <w:rPr>
      <w:rFonts w:ascii="EC Square Sans Pro" w:hAnsi="EC Square Sans Pro"/>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rsid w:val="00090F57"/>
    <w:pPr>
      <w:spacing w:before="0" w:after="0" w:line="240" w:lineRule="auto"/>
    </w:pPr>
    <w:rPr>
      <w:rFonts w:ascii="Consolas" w:hAnsi="Consolas"/>
      <w:sz w:val="21"/>
      <w:szCs w:val="21"/>
    </w:rPr>
  </w:style>
  <w:style w:type="character" w:customStyle="1" w:styleId="PlainTextChar">
    <w:name w:val="Plain Text Char"/>
    <w:basedOn w:val="DefaultParagraphFont"/>
    <w:link w:val="PlainText"/>
    <w:semiHidden/>
    <w:rsid w:val="00090F57"/>
    <w:rPr>
      <w:rFonts w:ascii="Consolas" w:hAnsi="Consolas"/>
      <w:sz w:val="21"/>
      <w:szCs w:val="21"/>
      <w:lang w:val="en-GB" w:eastAsia="en-GB"/>
    </w:rPr>
  </w:style>
  <w:style w:type="character" w:customStyle="1" w:styleId="PublicationTitleChar">
    <w:name w:val="Publication Title Char"/>
    <w:basedOn w:val="DefaultParagraphFont"/>
    <w:link w:val="PublicationTitle"/>
    <w:uiPriority w:val="80"/>
    <w:rsid w:val="00090F57"/>
    <w:rPr>
      <w:rFonts w:asciiTheme="majorHAnsi" w:hAnsiTheme="majorHAnsi"/>
      <w:bCs/>
      <w:color w:val="003399" w:themeColor="text2"/>
      <w:sz w:val="72"/>
      <w:szCs w:val="72"/>
      <w:lang w:val="en-GB" w:eastAsia="en-GB"/>
    </w:rPr>
  </w:style>
  <w:style w:type="paragraph" w:styleId="Quote">
    <w:name w:val="Quote"/>
    <w:basedOn w:val="Normal"/>
    <w:next w:val="Normal"/>
    <w:link w:val="QuoteChar"/>
    <w:semiHidden/>
    <w:rsid w:val="00090F57"/>
    <w:pPr>
      <w:spacing w:before="200" w:after="160"/>
      <w:ind w:left="864" w:right="864"/>
      <w:jc w:val="center"/>
    </w:pPr>
    <w:rPr>
      <w:i/>
      <w:iCs/>
      <w:color w:val="008139" w:themeColor="accent1"/>
    </w:rPr>
  </w:style>
  <w:style w:type="character" w:customStyle="1" w:styleId="QuoteChar">
    <w:name w:val="Quote Char"/>
    <w:basedOn w:val="DefaultParagraphFont"/>
    <w:link w:val="Quote"/>
    <w:semiHidden/>
    <w:rsid w:val="00F867C0"/>
    <w:rPr>
      <w:rFonts w:ascii="EC Square Sans Pro" w:hAnsi="EC Square Sans Pro"/>
      <w:i/>
      <w:iCs/>
      <w:color w:val="008139" w:themeColor="accent1"/>
      <w:lang w:val="en-GB" w:eastAsia="en-GB"/>
    </w:rPr>
  </w:style>
  <w:style w:type="paragraph" w:styleId="Salutation">
    <w:name w:val="Salutation"/>
    <w:basedOn w:val="Normal"/>
    <w:next w:val="Normal"/>
    <w:link w:val="SalutationChar"/>
    <w:semiHidden/>
    <w:rsid w:val="00090F57"/>
  </w:style>
  <w:style w:type="character" w:customStyle="1" w:styleId="SalutationChar">
    <w:name w:val="Salutation Char"/>
    <w:basedOn w:val="DefaultParagraphFont"/>
    <w:link w:val="Salutation"/>
    <w:semiHidden/>
    <w:rsid w:val="00090F57"/>
    <w:rPr>
      <w:rFonts w:ascii="EC Square Sans Pro" w:hAnsi="EC Square Sans Pro"/>
      <w:lang w:val="en-GB" w:eastAsia="en-GB"/>
    </w:rPr>
  </w:style>
  <w:style w:type="paragraph" w:styleId="Signature">
    <w:name w:val="Signature"/>
    <w:basedOn w:val="Normal"/>
    <w:link w:val="SignatureChar"/>
    <w:semiHidden/>
    <w:rsid w:val="00090F57"/>
    <w:pPr>
      <w:spacing w:before="0" w:after="0" w:line="240" w:lineRule="auto"/>
      <w:ind w:left="4252"/>
    </w:pPr>
  </w:style>
  <w:style w:type="character" w:customStyle="1" w:styleId="SignatureChar">
    <w:name w:val="Signature Char"/>
    <w:basedOn w:val="DefaultParagraphFont"/>
    <w:link w:val="Signature"/>
    <w:semiHidden/>
    <w:rsid w:val="00090F57"/>
    <w:rPr>
      <w:rFonts w:ascii="EC Square Sans Pro" w:hAnsi="EC Square Sans Pro"/>
      <w:lang w:val="en-GB" w:eastAsia="en-GB"/>
    </w:rPr>
  </w:style>
  <w:style w:type="table" w:customStyle="1" w:styleId="Simpletable1">
    <w:name w:val="Simple table1"/>
    <w:basedOn w:val="TableNormal"/>
    <w:next w:val="TableGrid"/>
    <w:uiPriority w:val="39"/>
    <w:rsid w:val="00090F57"/>
    <w:pPr>
      <w:spacing w:before="80" w:after="80"/>
    </w:pPr>
    <w:rPr>
      <w:rFonts w:ascii="EC Square Sans Pro" w:eastAsia="Calibri" w:hAnsi="EC Square Sans Pro"/>
      <w:lang w:val="fr-B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semiHidden/>
    <w:rsid w:val="00090F57"/>
    <w:rPr>
      <w:b/>
      <w:bCs/>
      <w:noProof w:val="0"/>
      <w:lang w:val="en-GB"/>
    </w:rPr>
  </w:style>
  <w:style w:type="character" w:styleId="SubtleEmphasis">
    <w:name w:val="Subtle Emphasis"/>
    <w:basedOn w:val="DefaultParagraphFont"/>
    <w:rsid w:val="00090F57"/>
    <w:rPr>
      <w:i/>
      <w:iCs/>
      <w:noProof w:val="0"/>
      <w:color w:val="404040" w:themeColor="text1" w:themeTint="BF"/>
      <w:lang w:val="en-GB"/>
    </w:rPr>
  </w:style>
  <w:style w:type="character" w:styleId="SubtleReference">
    <w:name w:val="Subtle Reference"/>
    <w:basedOn w:val="DefaultParagraphFont"/>
    <w:rsid w:val="00090F57"/>
    <w:rPr>
      <w:smallCaps/>
      <w:noProof w:val="0"/>
      <w:color w:val="5A5A5A" w:themeColor="text1" w:themeTint="A5"/>
      <w:lang w:val="en-GB"/>
    </w:rPr>
  </w:style>
  <w:style w:type="table" w:styleId="Table3Deffects1">
    <w:name w:val="Table 3D effects 1"/>
    <w:basedOn w:val="TableNormal"/>
    <w:semiHidden/>
    <w:unhideWhenUsed/>
    <w:rsid w:val="00090F57"/>
    <w:rPr>
      <w:rFonts w:ascii="EC Square Sans Pro" w:hAnsi="EC Square Sans Pro"/>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90F57"/>
    <w:rPr>
      <w:rFonts w:ascii="EC Square Sans Pro" w:hAnsi="EC Square Sans Pro"/>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90F57"/>
    <w:rPr>
      <w:rFonts w:ascii="EC Square Sans Pro" w:hAnsi="EC Square Sans Pro"/>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90F57"/>
    <w:rPr>
      <w:rFonts w:ascii="EC Square Sans Pro" w:hAnsi="EC Square Sans Pro"/>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90F57"/>
    <w:rPr>
      <w:rFonts w:ascii="EC Square Sans Pro" w:hAnsi="EC Square Sans Pro"/>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90F57"/>
    <w:rPr>
      <w:rFonts w:ascii="EC Square Sans Pro" w:hAnsi="EC Square Sans Pr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90F57"/>
    <w:rPr>
      <w:rFonts w:ascii="EC Square Sans Pro" w:hAnsi="EC Square Sans Pro"/>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90F57"/>
    <w:rPr>
      <w:rFonts w:ascii="EC Square Sans Pro" w:hAnsi="EC Square Sans Pr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90F57"/>
    <w:rPr>
      <w:rFonts w:ascii="EC Square Sans Pro" w:hAnsi="EC Square Sans Pro"/>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90F57"/>
    <w:rPr>
      <w:rFonts w:ascii="EC Square Sans Pro" w:hAnsi="EC Square Sans Pr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90F57"/>
    <w:rPr>
      <w:rFonts w:ascii="EC Square Sans Pro" w:hAnsi="EC Square Sans Pr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90F57"/>
    <w:rPr>
      <w:rFonts w:ascii="EC Square Sans Pro" w:hAnsi="EC Square Sans Pro"/>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90F57"/>
    <w:rPr>
      <w:rFonts w:ascii="EC Square Sans Pro" w:hAnsi="EC Square Sans Pr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90F57"/>
    <w:rPr>
      <w:rFonts w:ascii="EC Square Sans Pro" w:hAnsi="EC Square Sans Pro"/>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90F57"/>
    <w:rPr>
      <w:rFonts w:ascii="EC Square Sans Pro" w:hAnsi="EC Square Sans Pr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90F57"/>
    <w:rPr>
      <w:rFonts w:ascii="EC Square Sans Pro" w:hAnsi="EC Square Sans Pro"/>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90F57"/>
    <w:rPr>
      <w:rFonts w:ascii="EC Square Sans Pro" w:hAnsi="EC Square Sans Pr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090F57"/>
    <w:rPr>
      <w:rFonts w:ascii="EC Square Sans Pro"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90F57"/>
    <w:rPr>
      <w:rFonts w:ascii="EC Square Sans Pro" w:hAnsi="EC Square Sans Pro"/>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90F57"/>
    <w:rPr>
      <w:rFonts w:ascii="EC Square Sans Pro" w:hAnsi="EC Square Sans Pr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90F57"/>
    <w:rPr>
      <w:rFonts w:ascii="EC Square Sans Pro" w:hAnsi="EC Square Sans Pro"/>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90F57"/>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90F57"/>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90F57"/>
    <w:rPr>
      <w:rFonts w:ascii="EC Square Sans Pro" w:hAnsi="EC Square Sans Pr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90F57"/>
    <w:rPr>
      <w:rFonts w:ascii="EC Square Sans Pro" w:hAnsi="EC Square Sans Pr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rsid w:val="00090F57"/>
    <w:pPr>
      <w:spacing w:after="0" w:line="240" w:lineRule="auto"/>
    </w:pPr>
    <w:rPr>
      <w:rFonts w:ascii="EC Square Sans Pro" w:hAnsi="EC Square Sans Pro"/>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90F57"/>
    <w:rPr>
      <w:rFonts w:ascii="EC Square Sans Pro" w:hAnsi="EC Square Sans Pr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90F57"/>
    <w:rPr>
      <w:rFonts w:ascii="EC Square Sans Pro" w:hAnsi="EC Square Sans Pro"/>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90F57"/>
    <w:rPr>
      <w:rFonts w:ascii="EC Square Sans Pro" w:hAnsi="EC Square Sans Pro"/>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90F57"/>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90F57"/>
    <w:rPr>
      <w:rFonts w:ascii="EC Square Sans Pro"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90F57"/>
    <w:rPr>
      <w:rFonts w:ascii="EC Square Sans Pro" w:hAnsi="EC Square Sans Pr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90F57"/>
    <w:rPr>
      <w:rFonts w:ascii="EC Square Sans Pro" w:hAnsi="EC Square Sans Pr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90F57"/>
    <w:rPr>
      <w:rFonts w:ascii="EC Square Sans Pro" w:hAnsi="EC Square Sans Pr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Note">
    <w:name w:val="Table Note"/>
    <w:basedOn w:val="ImageCaption"/>
    <w:next w:val="TableSource"/>
    <w:uiPriority w:val="4"/>
    <w:unhideWhenUsed/>
    <w:qFormat/>
    <w:rsid w:val="00090F57"/>
    <w:pPr>
      <w:ind w:left="357" w:hanging="357"/>
    </w:pPr>
    <w:rPr>
      <w:rFonts w:ascii="EC Square Sans Pro" w:hAnsi="EC Square Sans Pro"/>
    </w:rPr>
  </w:style>
  <w:style w:type="paragraph" w:styleId="TableofAuthorities">
    <w:name w:val="table of authorities"/>
    <w:basedOn w:val="Normal"/>
    <w:next w:val="Normal"/>
    <w:semiHidden/>
    <w:rsid w:val="00090F57"/>
    <w:pPr>
      <w:spacing w:after="0"/>
      <w:ind w:left="200" w:hanging="200"/>
    </w:pPr>
    <w:rPr>
      <w:color w:val="003399" w:themeColor="text2"/>
    </w:rPr>
  </w:style>
  <w:style w:type="paragraph" w:customStyle="1" w:styleId="TableParagraph">
    <w:name w:val="Table Paragraph"/>
    <w:basedOn w:val="Normal"/>
    <w:uiPriority w:val="2"/>
    <w:qFormat/>
    <w:rsid w:val="00090F57"/>
    <w:pPr>
      <w:widowControl w:val="0"/>
      <w:autoSpaceDE w:val="0"/>
      <w:autoSpaceDN w:val="0"/>
      <w:spacing w:before="0" w:after="0" w:line="240" w:lineRule="auto"/>
    </w:pPr>
    <w:rPr>
      <w:rFonts w:eastAsia="EC Square Sans Pro" w:cs="EC Square Sans Pro"/>
      <w:sz w:val="22"/>
      <w:szCs w:val="22"/>
      <w:lang w:bidi="en-GB"/>
    </w:rPr>
  </w:style>
  <w:style w:type="table" w:styleId="TableProfessional">
    <w:name w:val="Table Professional"/>
    <w:basedOn w:val="TableNormal"/>
    <w:semiHidden/>
    <w:unhideWhenUsed/>
    <w:rsid w:val="00090F57"/>
    <w:rPr>
      <w:rFonts w:ascii="EC Square Sans Pro"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90F57"/>
    <w:rPr>
      <w:rFonts w:ascii="EC Square Sans Pro" w:hAnsi="EC Square Sans Pro"/>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90F57"/>
    <w:rPr>
      <w:rFonts w:ascii="EC Square Sans Pro" w:hAnsi="EC Square Sans Pro"/>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90F57"/>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90F57"/>
    <w:rPr>
      <w:rFonts w:ascii="EC Square Sans Pro" w:hAnsi="EC Square Sans Pro"/>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90F57"/>
    <w:rPr>
      <w:rFonts w:ascii="EC Square Sans Pro" w:hAnsi="EC Square Sans Pro"/>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90F57"/>
    <w:rPr>
      <w:rFonts w:ascii="EC Square Sans Pro" w:hAnsi="EC Square Sans Pr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90F57"/>
    <w:rPr>
      <w:rFonts w:ascii="EC Square Sans Pro" w:hAnsi="EC Square Sans Pr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90F57"/>
    <w:rPr>
      <w:rFonts w:ascii="EC Square Sans Pro" w:hAnsi="EC Square Sans Pr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90F57"/>
    <w:rPr>
      <w:rFonts w:ascii="EC Square Sans Pro" w:hAnsi="EC Square Sans Pr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xt3">
    <w:name w:val="Text 3"/>
    <w:basedOn w:val="Normal"/>
    <w:link w:val="Text3Char"/>
    <w:qFormat/>
    <w:rsid w:val="00090F57"/>
    <w:pPr>
      <w:spacing w:before="0" w:line="240" w:lineRule="auto"/>
      <w:ind w:left="1202"/>
      <w:jc w:val="both"/>
    </w:pPr>
    <w:rPr>
      <w:rFonts w:ascii="Times New Roman" w:hAnsi="Times New Roman"/>
      <w:sz w:val="24"/>
      <w:lang w:eastAsia="en-US"/>
    </w:rPr>
  </w:style>
  <w:style w:type="character" w:customStyle="1" w:styleId="Text3Char">
    <w:name w:val="Text 3 Char"/>
    <w:link w:val="Text3"/>
    <w:rsid w:val="005B4728"/>
    <w:rPr>
      <w:rFonts w:ascii="Times New Roman" w:hAnsi="Times New Roman"/>
      <w:sz w:val="24"/>
      <w:lang w:eastAsia="en-US"/>
    </w:rPr>
  </w:style>
  <w:style w:type="paragraph" w:customStyle="1" w:styleId="Titreobjet">
    <w:name w:val="Titre objet"/>
    <w:basedOn w:val="Normal"/>
    <w:next w:val="Normal"/>
    <w:uiPriority w:val="39"/>
    <w:semiHidden/>
    <w:rsid w:val="00090F57"/>
    <w:pPr>
      <w:spacing w:before="360" w:after="360" w:line="240" w:lineRule="auto"/>
      <w:jc w:val="center"/>
    </w:pPr>
    <w:rPr>
      <w:rFonts w:ascii="Times New Roman" w:eastAsiaTheme="minorHAnsi" w:hAnsi="Times New Roman"/>
      <w:b/>
      <w:szCs w:val="22"/>
      <w:lang w:eastAsia="en-US"/>
    </w:rPr>
  </w:style>
  <w:style w:type="paragraph" w:styleId="TOAHeading">
    <w:name w:val="toa heading"/>
    <w:basedOn w:val="Normal"/>
    <w:next w:val="Normal"/>
    <w:semiHidden/>
    <w:rsid w:val="00090F57"/>
    <w:pPr>
      <w:spacing w:before="120"/>
    </w:pPr>
    <w:rPr>
      <w:rFonts w:asciiTheme="majorHAnsi" w:eastAsiaTheme="majorEastAsia" w:hAnsiTheme="majorHAnsi" w:cstheme="majorBidi"/>
      <w:b/>
      <w:bCs/>
      <w:sz w:val="24"/>
      <w:szCs w:val="24"/>
    </w:rPr>
  </w:style>
  <w:style w:type="paragraph" w:customStyle="1" w:styleId="Typedudocument">
    <w:name w:val="Type du document"/>
    <w:basedOn w:val="Normal"/>
    <w:next w:val="Normal"/>
    <w:uiPriority w:val="39"/>
    <w:semiHidden/>
    <w:rsid w:val="00090F57"/>
    <w:pPr>
      <w:spacing w:before="360" w:after="0" w:line="240" w:lineRule="auto"/>
      <w:jc w:val="center"/>
    </w:pPr>
    <w:rPr>
      <w:rFonts w:ascii="Times New Roman" w:eastAsiaTheme="minorHAnsi" w:hAnsi="Times New Roman"/>
      <w:b/>
      <w:szCs w:val="22"/>
      <w:lang w:eastAsia="en-US"/>
    </w:rPr>
  </w:style>
  <w:style w:type="paragraph" w:customStyle="1" w:styleId="TypedudocumentPagedecouverture">
    <w:name w:val="Type du document (Page de couverture)"/>
    <w:basedOn w:val="Normal"/>
    <w:next w:val="Normal"/>
    <w:semiHidden/>
    <w:rsid w:val="00090F57"/>
    <w:pPr>
      <w:spacing w:before="360" w:after="0" w:line="240" w:lineRule="auto"/>
      <w:jc w:val="center"/>
    </w:pPr>
    <w:rPr>
      <w:rFonts w:ascii="Times New Roman" w:eastAsia="Calibri" w:hAnsi="Times New Roman"/>
      <w:b/>
      <w:sz w:val="24"/>
      <w:szCs w:val="22"/>
      <w:lang w:eastAsia="en-US"/>
    </w:rPr>
  </w:style>
  <w:style w:type="character" w:styleId="UnresolvedMention">
    <w:name w:val="Unresolved Mention"/>
    <w:basedOn w:val="DefaultParagraphFont"/>
    <w:uiPriority w:val="99"/>
    <w:semiHidden/>
    <w:unhideWhenUsed/>
    <w:rsid w:val="00090F57"/>
    <w:rPr>
      <w:color w:val="605E5C"/>
      <w:shd w:val="clear" w:color="auto" w:fill="E1DFDD"/>
      <w:lang w:val="en-GB"/>
    </w:rPr>
  </w:style>
  <w:style w:type="paragraph" w:customStyle="1" w:styleId="xl65">
    <w:name w:val="xl65"/>
    <w:basedOn w:val="Normal"/>
    <w:semiHidden/>
    <w:rsid w:val="00090F57"/>
    <w:pPr>
      <w:suppressAutoHyphens w:val="0"/>
      <w:spacing w:before="100" w:beforeAutospacing="1" w:after="100" w:afterAutospacing="1" w:line="240" w:lineRule="auto"/>
    </w:pPr>
    <w:rPr>
      <w:rFonts w:ascii="Times New Roman" w:hAnsi="Times New Roman"/>
      <w:sz w:val="24"/>
      <w:szCs w:val="24"/>
    </w:rPr>
  </w:style>
  <w:style w:type="paragraph" w:customStyle="1" w:styleId="xl66">
    <w:name w:val="xl66"/>
    <w:basedOn w:val="Normal"/>
    <w:semiHidden/>
    <w:rsid w:val="00090F57"/>
    <w:pPr>
      <w:suppressAutoHyphens w:val="0"/>
      <w:spacing w:before="100" w:beforeAutospacing="1" w:after="100" w:afterAutospacing="1" w:line="240" w:lineRule="auto"/>
      <w:ind w:firstLineChars="100" w:firstLine="100"/>
    </w:pPr>
    <w:rPr>
      <w:rFonts w:ascii="Times New Roman" w:hAnsi="Times New Roman"/>
      <w:sz w:val="24"/>
      <w:szCs w:val="24"/>
    </w:rPr>
  </w:style>
  <w:style w:type="paragraph" w:customStyle="1" w:styleId="xl67">
    <w:name w:val="xl67"/>
    <w:basedOn w:val="Normal"/>
    <w:semiHidden/>
    <w:rsid w:val="00090F57"/>
    <w:pPr>
      <w:suppressAutoHyphens w:val="0"/>
      <w:spacing w:before="100" w:beforeAutospacing="1" w:after="100" w:afterAutospacing="1" w:line="240" w:lineRule="auto"/>
      <w:ind w:firstLineChars="200" w:firstLine="200"/>
    </w:pPr>
    <w:rPr>
      <w:rFonts w:ascii="Times New Roman" w:hAnsi="Times New Roman"/>
      <w:sz w:val="24"/>
      <w:szCs w:val="24"/>
    </w:rPr>
  </w:style>
  <w:style w:type="paragraph" w:styleId="Revision">
    <w:name w:val="Revision"/>
    <w:hidden/>
    <w:semiHidden/>
    <w:rsid w:val="00EB70E0"/>
    <w:pPr>
      <w:spacing w:before="0" w:after="0" w:line="240" w:lineRule="auto"/>
    </w:pPr>
    <w:rPr>
      <w:rFonts w:ascii="EC Square Sans Pro" w:hAnsi="EC Square Sans Pro"/>
      <w:lang w:eastAsia="en-GB"/>
    </w:rPr>
  </w:style>
  <w:style w:type="paragraph" w:customStyle="1" w:styleId="amprquotetext">
    <w:name w:val="[ampr quote] text"/>
    <w:basedOn w:val="Normal"/>
    <w:rsid w:val="00B94AEB"/>
  </w:style>
  <w:style w:type="numbering" w:customStyle="1" w:styleId="ListBulletblueLIST">
    <w:name w:val="List Bullet_blue LIST"/>
    <w:uiPriority w:val="99"/>
    <w:rsid w:val="008D08DC"/>
    <w:pPr>
      <w:numPr>
        <w:numId w:val="34"/>
      </w:numPr>
    </w:pPr>
  </w:style>
  <w:style w:type="paragraph" w:customStyle="1" w:styleId="amprboxBLUEBoxTitle">
    <w:name w:val="[ampr box BLUE] Box Title"/>
    <w:basedOn w:val="amprboxBLUEtext"/>
    <w:next w:val="amprboxBLUEtext"/>
    <w:uiPriority w:val="4"/>
    <w:rsid w:val="00DE638E"/>
    <w:pPr>
      <w:keepNext/>
      <w:keepLines/>
    </w:pPr>
    <w:rPr>
      <w:rFonts w:ascii="EC Square Sans Pro Medium" w:hAnsi="EC Square Sans Pro Medium"/>
      <w:color w:val="DC3903"/>
      <w:sz w:val="22"/>
      <w:szCs w:val="22"/>
    </w:rPr>
  </w:style>
  <w:style w:type="paragraph" w:customStyle="1" w:styleId="amprboxBLUEbulletlist">
    <w:name w:val="[ampr box BLUE] bullet list"/>
    <w:basedOn w:val="amprboxBLUEtext"/>
    <w:uiPriority w:val="4"/>
    <w:rsid w:val="00982F94"/>
    <w:pPr>
      <w:numPr>
        <w:numId w:val="42"/>
      </w:numPr>
      <w:spacing w:before="60" w:after="60"/>
    </w:pPr>
  </w:style>
  <w:style w:type="paragraph" w:customStyle="1" w:styleId="amprboxbulletlist">
    <w:name w:val="[ampr box] bullet list"/>
    <w:basedOn w:val="amprboxtext"/>
    <w:uiPriority w:val="3"/>
    <w:qFormat/>
    <w:rsid w:val="002769A9"/>
    <w:pPr>
      <w:numPr>
        <w:numId w:val="36"/>
      </w:numPr>
      <w:spacing w:before="60" w:after="60"/>
    </w:pPr>
  </w:style>
  <w:style w:type="numbering" w:customStyle="1" w:styleId="amprboxbulletlistLIST">
    <w:name w:val="[ampr box] bullet list LIST"/>
    <w:uiPriority w:val="99"/>
    <w:rsid w:val="002769A9"/>
    <w:pPr>
      <w:numPr>
        <w:numId w:val="35"/>
      </w:numPr>
    </w:pPr>
  </w:style>
  <w:style w:type="paragraph" w:customStyle="1" w:styleId="H1-AboutEU">
    <w:name w:val="H1 - About EU"/>
    <w:uiPriority w:val="2"/>
    <w:rsid w:val="00F867C0"/>
    <w:pPr>
      <w:suppressAutoHyphens/>
      <w:spacing w:before="480"/>
      <w:outlineLvl w:val="0"/>
    </w:pPr>
    <w:rPr>
      <w:rFonts w:asciiTheme="majorHAnsi" w:hAnsiTheme="majorHAnsi"/>
      <w:b/>
      <w:color w:val="DC3903"/>
      <w:sz w:val="28"/>
      <w:lang w:eastAsia="en-GB"/>
    </w:rPr>
  </w:style>
  <w:style w:type="paragraph" w:customStyle="1" w:styleId="HparaT-AnnexesSectiontitle">
    <w:name w:val="H para | T-Annexes | Section title"/>
    <w:basedOn w:val="Normal"/>
    <w:uiPriority w:val="9"/>
    <w:rsid w:val="00EE19C3"/>
    <w:pPr>
      <w:spacing w:after="0"/>
    </w:pPr>
    <w:rPr>
      <w:color w:val="003399" w:themeColor="text2"/>
      <w:sz w:val="52"/>
      <w:szCs w:val="96"/>
      <w:lang w:eastAsia="zh-CN"/>
    </w:rPr>
  </w:style>
  <w:style w:type="character" w:styleId="Mention">
    <w:name w:val="Mention"/>
    <w:basedOn w:val="DefaultParagraphFont"/>
    <w:uiPriority w:val="99"/>
    <w:unhideWhenUsed/>
    <w:rsid w:val="008B5060"/>
    <w:rPr>
      <w:color w:val="2B579A"/>
      <w:shd w:val="clear" w:color="auto" w:fill="E1DFDD"/>
      <w:lang w:val="en-GB"/>
    </w:rPr>
  </w:style>
  <w:style w:type="character" w:styleId="BookTitle">
    <w:name w:val="Book Title"/>
    <w:basedOn w:val="DefaultParagraphFont"/>
    <w:semiHidden/>
    <w:rsid w:val="00A0125B"/>
    <w:rPr>
      <w:b/>
      <w:bCs/>
      <w:i/>
      <w:iCs/>
      <w:spacing w:val="5"/>
      <w:lang w:val="en-GB"/>
    </w:rPr>
  </w:style>
  <w:style w:type="character" w:styleId="Hashtag">
    <w:name w:val="Hashtag"/>
    <w:basedOn w:val="DefaultParagraphFont"/>
    <w:uiPriority w:val="99"/>
    <w:semiHidden/>
    <w:unhideWhenUsed/>
    <w:rsid w:val="00A0125B"/>
    <w:rPr>
      <w:color w:val="2B579A"/>
      <w:shd w:val="clear" w:color="auto" w:fill="E1DFDD"/>
      <w:lang w:val="en-GB"/>
    </w:rPr>
  </w:style>
  <w:style w:type="character" w:styleId="SmartHyperlink">
    <w:name w:val="Smart Hyperlink"/>
    <w:basedOn w:val="DefaultParagraphFont"/>
    <w:uiPriority w:val="99"/>
    <w:semiHidden/>
    <w:unhideWhenUsed/>
    <w:rsid w:val="00A0125B"/>
    <w:rPr>
      <w:u w:val="dotted"/>
      <w:lang w:val="en-GB"/>
    </w:rPr>
  </w:style>
  <w:style w:type="character" w:styleId="SmartLink">
    <w:name w:val="Smart Link"/>
    <w:basedOn w:val="DefaultParagraphFont"/>
    <w:uiPriority w:val="99"/>
    <w:semiHidden/>
    <w:unhideWhenUsed/>
    <w:rsid w:val="00A0125B"/>
    <w:rPr>
      <w:color w:val="0000FF"/>
      <w:u w:val="single"/>
      <w:shd w:val="clear" w:color="auto" w:fill="F3F2F1"/>
      <w:lang w:val="en-GB"/>
    </w:rPr>
  </w:style>
  <w:style w:type="paragraph" w:customStyle="1" w:styleId="Char1">
    <w:name w:val="Char1"/>
    <w:aliases w:val="(NECG) Footnote Reference,fr,o,Style 6,Signature Ch, Char1,Fußnotenzeichen3,Footnote Reference_LVL6,Footnote Reference_LVL61,Footnote Reference_LVL62,Ch,de nota al pi..."/>
    <w:basedOn w:val="Normal"/>
    <w:uiPriority w:val="1"/>
    <w:rsid w:val="00286EF1"/>
    <w:pPr>
      <w:suppressAutoHyphens w:val="0"/>
      <w:spacing w:before="0" w:after="160" w:line="240" w:lineRule="exact"/>
    </w:pPr>
    <w:rPr>
      <w:rFonts w:asciiTheme="minorHAnsi" w:hAnsiTheme="minorHAnsi"/>
      <w:vertAlign w:val="superscript"/>
      <w:lang w:eastAsia="fr-FR"/>
    </w:rPr>
  </w:style>
  <w:style w:type="character" w:customStyle="1" w:styleId="Marker">
    <w:name w:val="Marker"/>
    <w:basedOn w:val="DefaultParagraphFont"/>
    <w:rsid w:val="003F3137"/>
    <w:rPr>
      <w:color w:val="0000FF"/>
      <w:shd w:val="clear" w:color="auto" w:fill="auto"/>
      <w:lang w:val="en-GB"/>
    </w:rPr>
  </w:style>
  <w:style w:type="paragraph" w:customStyle="1" w:styleId="Pagedecouverture">
    <w:name w:val="Page de couverture"/>
    <w:basedOn w:val="Normal"/>
    <w:next w:val="Normal"/>
    <w:rsid w:val="003F3137"/>
    <w:pPr>
      <w:suppressAutoHyphens w:val="0"/>
      <w:spacing w:before="0" w:after="0" w:line="240" w:lineRule="auto"/>
      <w:jc w:val="both"/>
    </w:pPr>
    <w:rPr>
      <w:rFonts w:ascii="Times New Roman" w:eastAsiaTheme="minorHAnsi" w:hAnsi="Times New Roman"/>
      <w:sz w:val="24"/>
      <w:szCs w:val="22"/>
      <w:lang w:eastAsia="en-US"/>
    </w:rPr>
  </w:style>
  <w:style w:type="paragraph" w:customStyle="1" w:styleId="FooterSensitivity">
    <w:name w:val="Footer Sensitivity"/>
    <w:basedOn w:val="Normal"/>
    <w:link w:val="FooterSensitivityChar"/>
    <w:rsid w:val="003F313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rsid w:val="003F3137"/>
    <w:rPr>
      <w:rFonts w:ascii="Times New Roman" w:hAnsi="Times New Roman"/>
      <w:b/>
      <w:sz w:val="32"/>
      <w:lang w:eastAsia="en-GB"/>
    </w:rPr>
  </w:style>
  <w:style w:type="paragraph" w:customStyle="1" w:styleId="HeaderSensitivity">
    <w:name w:val="Header Sensitivity"/>
    <w:basedOn w:val="Normal"/>
    <w:link w:val="HeaderSensitivityChar"/>
    <w:rsid w:val="003F3137"/>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rsid w:val="003F3137"/>
    <w:rPr>
      <w:rFonts w:ascii="Times New Roman" w:hAnsi="Times New Roman"/>
      <w:b/>
      <w:sz w:val="32"/>
      <w:lang w:eastAsia="en-GB"/>
    </w:rPr>
  </w:style>
  <w:style w:type="paragraph" w:customStyle="1" w:styleId="HeaderSensitivityRight">
    <w:name w:val="Header Sensitivity Right"/>
    <w:basedOn w:val="Normal"/>
    <w:link w:val="HeaderSensitivityRightChar"/>
    <w:rsid w:val="003F3137"/>
    <w:pPr>
      <w:spacing w:before="0" w:after="120"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rsid w:val="003F3137"/>
    <w:rPr>
      <w:rFonts w:ascii="Times New Roman" w:hAnsi="Times New Roman"/>
      <w:sz w:val="28"/>
      <w:lang w:eastAsia="en-GB"/>
    </w:rPr>
  </w:style>
  <w:style w:type="character" w:customStyle="1" w:styleId="Italic">
    <w:name w:val="Italic"/>
    <w:uiPriority w:val="1"/>
    <w:qFormat/>
    <w:rsid w:val="003F3137"/>
    <w:rPr>
      <w:i/>
      <w:iCs/>
      <w:lang w:val="en-GB"/>
    </w:rPr>
  </w:style>
  <w:style w:type="character" w:customStyle="1" w:styleId="Underline">
    <w:name w:val="Underline"/>
    <w:basedOn w:val="DefaultParagraphFont"/>
    <w:rsid w:val="003F3137"/>
    <w:rPr>
      <w:bCs/>
      <w:noProof w:val="0"/>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1485">
      <w:bodyDiv w:val="1"/>
      <w:marLeft w:val="0"/>
      <w:marRight w:val="0"/>
      <w:marTop w:val="0"/>
      <w:marBottom w:val="0"/>
      <w:divBdr>
        <w:top w:val="none" w:sz="0" w:space="0" w:color="auto"/>
        <w:left w:val="none" w:sz="0" w:space="0" w:color="auto"/>
        <w:bottom w:val="none" w:sz="0" w:space="0" w:color="auto"/>
        <w:right w:val="none" w:sz="0" w:space="0" w:color="auto"/>
      </w:divBdr>
    </w:div>
    <w:div w:id="229049085">
      <w:bodyDiv w:val="1"/>
      <w:marLeft w:val="0"/>
      <w:marRight w:val="0"/>
      <w:marTop w:val="0"/>
      <w:marBottom w:val="0"/>
      <w:divBdr>
        <w:top w:val="none" w:sz="0" w:space="0" w:color="auto"/>
        <w:left w:val="none" w:sz="0" w:space="0" w:color="auto"/>
        <w:bottom w:val="none" w:sz="0" w:space="0" w:color="auto"/>
        <w:right w:val="none" w:sz="0" w:space="0" w:color="auto"/>
      </w:divBdr>
    </w:div>
    <w:div w:id="279118074">
      <w:bodyDiv w:val="1"/>
      <w:marLeft w:val="0"/>
      <w:marRight w:val="0"/>
      <w:marTop w:val="0"/>
      <w:marBottom w:val="0"/>
      <w:divBdr>
        <w:top w:val="none" w:sz="0" w:space="0" w:color="auto"/>
        <w:left w:val="none" w:sz="0" w:space="0" w:color="auto"/>
        <w:bottom w:val="none" w:sz="0" w:space="0" w:color="auto"/>
        <w:right w:val="none" w:sz="0" w:space="0" w:color="auto"/>
      </w:divBdr>
    </w:div>
    <w:div w:id="499546468">
      <w:bodyDiv w:val="1"/>
      <w:marLeft w:val="0"/>
      <w:marRight w:val="0"/>
      <w:marTop w:val="0"/>
      <w:marBottom w:val="0"/>
      <w:divBdr>
        <w:top w:val="none" w:sz="0" w:space="0" w:color="auto"/>
        <w:left w:val="none" w:sz="0" w:space="0" w:color="auto"/>
        <w:bottom w:val="none" w:sz="0" w:space="0" w:color="auto"/>
        <w:right w:val="none" w:sz="0" w:space="0" w:color="auto"/>
      </w:divBdr>
    </w:div>
    <w:div w:id="787166249">
      <w:bodyDiv w:val="1"/>
      <w:marLeft w:val="0"/>
      <w:marRight w:val="0"/>
      <w:marTop w:val="0"/>
      <w:marBottom w:val="0"/>
      <w:divBdr>
        <w:top w:val="none" w:sz="0" w:space="0" w:color="auto"/>
        <w:left w:val="none" w:sz="0" w:space="0" w:color="auto"/>
        <w:bottom w:val="none" w:sz="0" w:space="0" w:color="auto"/>
        <w:right w:val="none" w:sz="0" w:space="0" w:color="auto"/>
      </w:divBdr>
    </w:div>
    <w:div w:id="888953827">
      <w:bodyDiv w:val="1"/>
      <w:marLeft w:val="0"/>
      <w:marRight w:val="0"/>
      <w:marTop w:val="0"/>
      <w:marBottom w:val="0"/>
      <w:divBdr>
        <w:top w:val="none" w:sz="0" w:space="0" w:color="auto"/>
        <w:left w:val="none" w:sz="0" w:space="0" w:color="auto"/>
        <w:bottom w:val="none" w:sz="0" w:space="0" w:color="auto"/>
        <w:right w:val="none" w:sz="0" w:space="0" w:color="auto"/>
      </w:divBdr>
    </w:div>
    <w:div w:id="901015058">
      <w:bodyDiv w:val="1"/>
      <w:marLeft w:val="0"/>
      <w:marRight w:val="0"/>
      <w:marTop w:val="0"/>
      <w:marBottom w:val="0"/>
      <w:divBdr>
        <w:top w:val="none" w:sz="0" w:space="0" w:color="auto"/>
        <w:left w:val="none" w:sz="0" w:space="0" w:color="auto"/>
        <w:bottom w:val="none" w:sz="0" w:space="0" w:color="auto"/>
        <w:right w:val="none" w:sz="0" w:space="0" w:color="auto"/>
      </w:divBdr>
    </w:div>
    <w:div w:id="939794558">
      <w:bodyDiv w:val="1"/>
      <w:marLeft w:val="0"/>
      <w:marRight w:val="0"/>
      <w:marTop w:val="0"/>
      <w:marBottom w:val="0"/>
      <w:divBdr>
        <w:top w:val="none" w:sz="0" w:space="0" w:color="auto"/>
        <w:left w:val="none" w:sz="0" w:space="0" w:color="auto"/>
        <w:bottom w:val="none" w:sz="0" w:space="0" w:color="auto"/>
        <w:right w:val="none" w:sz="0" w:space="0" w:color="auto"/>
      </w:divBdr>
    </w:div>
    <w:div w:id="995763549">
      <w:bodyDiv w:val="1"/>
      <w:marLeft w:val="0"/>
      <w:marRight w:val="0"/>
      <w:marTop w:val="0"/>
      <w:marBottom w:val="0"/>
      <w:divBdr>
        <w:top w:val="none" w:sz="0" w:space="0" w:color="auto"/>
        <w:left w:val="none" w:sz="0" w:space="0" w:color="auto"/>
        <w:bottom w:val="none" w:sz="0" w:space="0" w:color="auto"/>
        <w:right w:val="none" w:sz="0" w:space="0" w:color="auto"/>
      </w:divBdr>
    </w:div>
    <w:div w:id="1116221492">
      <w:bodyDiv w:val="1"/>
      <w:marLeft w:val="0"/>
      <w:marRight w:val="0"/>
      <w:marTop w:val="0"/>
      <w:marBottom w:val="0"/>
      <w:divBdr>
        <w:top w:val="none" w:sz="0" w:space="0" w:color="auto"/>
        <w:left w:val="none" w:sz="0" w:space="0" w:color="auto"/>
        <w:bottom w:val="none" w:sz="0" w:space="0" w:color="auto"/>
        <w:right w:val="none" w:sz="0" w:space="0" w:color="auto"/>
      </w:divBdr>
    </w:div>
    <w:div w:id="1306198265">
      <w:bodyDiv w:val="1"/>
      <w:marLeft w:val="0"/>
      <w:marRight w:val="0"/>
      <w:marTop w:val="0"/>
      <w:marBottom w:val="0"/>
      <w:divBdr>
        <w:top w:val="none" w:sz="0" w:space="0" w:color="auto"/>
        <w:left w:val="none" w:sz="0" w:space="0" w:color="auto"/>
        <w:bottom w:val="none" w:sz="0" w:space="0" w:color="auto"/>
        <w:right w:val="none" w:sz="0" w:space="0" w:color="auto"/>
      </w:divBdr>
    </w:div>
    <w:div w:id="1565919060">
      <w:bodyDiv w:val="1"/>
      <w:marLeft w:val="0"/>
      <w:marRight w:val="0"/>
      <w:marTop w:val="0"/>
      <w:marBottom w:val="0"/>
      <w:divBdr>
        <w:top w:val="none" w:sz="0" w:space="0" w:color="auto"/>
        <w:left w:val="none" w:sz="0" w:space="0" w:color="auto"/>
        <w:bottom w:val="none" w:sz="0" w:space="0" w:color="auto"/>
        <w:right w:val="none" w:sz="0" w:space="0" w:color="auto"/>
      </w:divBdr>
    </w:div>
    <w:div w:id="1571964081">
      <w:bodyDiv w:val="1"/>
      <w:marLeft w:val="0"/>
      <w:marRight w:val="0"/>
      <w:marTop w:val="0"/>
      <w:marBottom w:val="0"/>
      <w:divBdr>
        <w:top w:val="none" w:sz="0" w:space="0" w:color="auto"/>
        <w:left w:val="none" w:sz="0" w:space="0" w:color="auto"/>
        <w:bottom w:val="none" w:sz="0" w:space="0" w:color="auto"/>
        <w:right w:val="none" w:sz="0" w:space="0" w:color="auto"/>
      </w:divBdr>
    </w:div>
    <w:div w:id="1767916398">
      <w:bodyDiv w:val="1"/>
      <w:marLeft w:val="0"/>
      <w:marRight w:val="0"/>
      <w:marTop w:val="0"/>
      <w:marBottom w:val="0"/>
      <w:divBdr>
        <w:top w:val="none" w:sz="0" w:space="0" w:color="auto"/>
        <w:left w:val="none" w:sz="0" w:space="0" w:color="auto"/>
        <w:bottom w:val="none" w:sz="0" w:space="0" w:color="auto"/>
        <w:right w:val="none" w:sz="0" w:space="0" w:color="auto"/>
      </w:divBdr>
    </w:div>
    <w:div w:id="1828856347">
      <w:bodyDiv w:val="1"/>
      <w:marLeft w:val="0"/>
      <w:marRight w:val="0"/>
      <w:marTop w:val="0"/>
      <w:marBottom w:val="0"/>
      <w:divBdr>
        <w:top w:val="none" w:sz="0" w:space="0" w:color="auto"/>
        <w:left w:val="none" w:sz="0" w:space="0" w:color="auto"/>
        <w:bottom w:val="none" w:sz="0" w:space="0" w:color="auto"/>
        <w:right w:val="none" w:sz="0" w:space="0" w:color="auto"/>
      </w:divBdr>
    </w:div>
    <w:div w:id="1873612751">
      <w:bodyDiv w:val="1"/>
      <w:marLeft w:val="0"/>
      <w:marRight w:val="0"/>
      <w:marTop w:val="0"/>
      <w:marBottom w:val="0"/>
      <w:divBdr>
        <w:top w:val="none" w:sz="0" w:space="0" w:color="auto"/>
        <w:left w:val="none" w:sz="0" w:space="0" w:color="auto"/>
        <w:bottom w:val="none" w:sz="0" w:space="0" w:color="auto"/>
        <w:right w:val="none" w:sz="0" w:space="0" w:color="auto"/>
      </w:divBdr>
    </w:div>
    <w:div w:id="1941444841">
      <w:bodyDiv w:val="1"/>
      <w:marLeft w:val="0"/>
      <w:marRight w:val="0"/>
      <w:marTop w:val="0"/>
      <w:marBottom w:val="0"/>
      <w:divBdr>
        <w:top w:val="none" w:sz="0" w:space="0" w:color="auto"/>
        <w:left w:val="none" w:sz="0" w:space="0" w:color="auto"/>
        <w:bottom w:val="none" w:sz="0" w:space="0" w:color="auto"/>
        <w:right w:val="none" w:sz="0" w:space="0" w:color="auto"/>
      </w:divBdr>
    </w:div>
    <w:div w:id="2049404800">
      <w:bodyDiv w:val="1"/>
      <w:marLeft w:val="0"/>
      <w:marRight w:val="0"/>
      <w:marTop w:val="0"/>
      <w:marBottom w:val="0"/>
      <w:divBdr>
        <w:top w:val="none" w:sz="0" w:space="0" w:color="auto"/>
        <w:left w:val="none" w:sz="0" w:space="0" w:color="auto"/>
        <w:bottom w:val="none" w:sz="0" w:space="0" w:color="auto"/>
        <w:right w:val="none" w:sz="0" w:space="0" w:color="auto"/>
      </w:divBdr>
    </w:div>
    <w:div w:id="2070151354">
      <w:bodyDiv w:val="1"/>
      <w:marLeft w:val="0"/>
      <w:marRight w:val="0"/>
      <w:marTop w:val="0"/>
      <w:marBottom w:val="0"/>
      <w:divBdr>
        <w:top w:val="none" w:sz="0" w:space="0" w:color="auto"/>
        <w:left w:val="none" w:sz="0" w:space="0" w:color="auto"/>
        <w:bottom w:val="none" w:sz="0" w:space="0" w:color="auto"/>
        <w:right w:val="none" w:sz="0" w:space="0" w:color="auto"/>
      </w:divBdr>
    </w:div>
    <w:div w:id="2143190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eader" Target="header48.xml"/><Relationship Id="rId21" Type="http://schemas.openxmlformats.org/officeDocument/2006/relationships/header" Target="header4.xml"/><Relationship Id="rId42" Type="http://schemas.openxmlformats.org/officeDocument/2006/relationships/footer" Target="footer14.xml"/><Relationship Id="rId63" Type="http://schemas.openxmlformats.org/officeDocument/2006/relationships/header" Target="header23.xml"/><Relationship Id="rId84" Type="http://schemas.openxmlformats.org/officeDocument/2006/relationships/header" Target="header33.xml"/><Relationship Id="rId138" Type="http://schemas.openxmlformats.org/officeDocument/2006/relationships/header" Target="header59.xml"/><Relationship Id="rId159" Type="http://schemas.openxmlformats.org/officeDocument/2006/relationships/header" Target="header69.xml"/><Relationship Id="rId170" Type="http://schemas.openxmlformats.org/officeDocument/2006/relationships/header" Target="header74.xml"/><Relationship Id="rId107" Type="http://schemas.openxmlformats.org/officeDocument/2006/relationships/footer" Target="footer43.xml"/><Relationship Id="rId11" Type="http://schemas.openxmlformats.org/officeDocument/2006/relationships/webSettings" Target="webSettings.xml"/><Relationship Id="rId32" Type="http://schemas.openxmlformats.org/officeDocument/2006/relationships/footer" Target="footer9.xml"/><Relationship Id="rId53" Type="http://schemas.openxmlformats.org/officeDocument/2006/relationships/header" Target="header18.xml"/><Relationship Id="rId74" Type="http://schemas.openxmlformats.org/officeDocument/2006/relationships/header" Target="header28.xml"/><Relationship Id="rId128" Type="http://schemas.openxmlformats.org/officeDocument/2006/relationships/footer" Target="footer53.xml"/><Relationship Id="rId149" Type="http://schemas.openxmlformats.org/officeDocument/2006/relationships/header" Target="header64.xml"/><Relationship Id="rId5" Type="http://schemas.openxmlformats.org/officeDocument/2006/relationships/customXml" Target="../customXml/item5.xml"/><Relationship Id="rId95" Type="http://schemas.openxmlformats.org/officeDocument/2006/relationships/footer" Target="footer37.xml"/><Relationship Id="rId160" Type="http://schemas.openxmlformats.org/officeDocument/2006/relationships/footer" Target="footer69.xml"/><Relationship Id="rId22" Type="http://schemas.openxmlformats.org/officeDocument/2006/relationships/header" Target="header5.xml"/><Relationship Id="rId43" Type="http://schemas.openxmlformats.org/officeDocument/2006/relationships/header" Target="header15.xml"/><Relationship Id="rId64" Type="http://schemas.openxmlformats.org/officeDocument/2006/relationships/footer" Target="footer22.xml"/><Relationship Id="rId118" Type="http://schemas.openxmlformats.org/officeDocument/2006/relationships/footer" Target="footer48.xml"/><Relationship Id="rId139" Type="http://schemas.openxmlformats.org/officeDocument/2006/relationships/footer" Target="footer58.xml"/><Relationship Id="rId85" Type="http://schemas.openxmlformats.org/officeDocument/2006/relationships/footer" Target="footer33.xml"/><Relationship Id="rId150" Type="http://schemas.openxmlformats.org/officeDocument/2006/relationships/header" Target="header65.xml"/><Relationship Id="rId171" Type="http://schemas.openxmlformats.org/officeDocument/2006/relationships/footer" Target="footer73.xml"/><Relationship Id="rId12" Type="http://schemas.openxmlformats.org/officeDocument/2006/relationships/footnotes" Target="footnotes.xml"/><Relationship Id="rId33" Type="http://schemas.openxmlformats.org/officeDocument/2006/relationships/header" Target="header10.xml"/><Relationship Id="rId108" Type="http://schemas.openxmlformats.org/officeDocument/2006/relationships/footer" Target="footer44.xml"/><Relationship Id="rId129" Type="http://schemas.openxmlformats.org/officeDocument/2006/relationships/header" Target="header54.xml"/><Relationship Id="rId54" Type="http://schemas.openxmlformats.org/officeDocument/2006/relationships/footer" Target="footer18.xml"/><Relationship Id="rId75" Type="http://schemas.openxmlformats.org/officeDocument/2006/relationships/header" Target="header29.xml"/><Relationship Id="rId96" Type="http://schemas.openxmlformats.org/officeDocument/2006/relationships/footer" Target="footer38.xml"/><Relationship Id="rId140" Type="http://schemas.openxmlformats.org/officeDocument/2006/relationships/footer" Target="footer59.xml"/><Relationship Id="rId161" Type="http://schemas.openxmlformats.org/officeDocument/2006/relationships/header" Target="header70.xm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footer" Target="footer4.xml"/><Relationship Id="rId28" Type="http://schemas.openxmlformats.org/officeDocument/2006/relationships/header" Target="header8.xml"/><Relationship Id="rId49" Type="http://schemas.openxmlformats.org/officeDocument/2006/relationships/header" Target="header16.xml"/><Relationship Id="rId114" Type="http://schemas.openxmlformats.org/officeDocument/2006/relationships/header" Target="header47.xml"/><Relationship Id="rId119" Type="http://schemas.openxmlformats.org/officeDocument/2006/relationships/header" Target="header49.xml"/><Relationship Id="rId44" Type="http://schemas.openxmlformats.org/officeDocument/2006/relationships/footer" Target="footer15.xml"/><Relationship Id="rId60" Type="http://schemas.openxmlformats.org/officeDocument/2006/relationships/header" Target="header21.xml"/><Relationship Id="rId65" Type="http://schemas.openxmlformats.org/officeDocument/2006/relationships/footer" Target="footer23.xml"/><Relationship Id="rId81" Type="http://schemas.openxmlformats.org/officeDocument/2006/relationships/header" Target="header32.xml"/><Relationship Id="rId86" Type="http://schemas.openxmlformats.org/officeDocument/2006/relationships/header" Target="header34.xml"/><Relationship Id="rId130" Type="http://schemas.openxmlformats.org/officeDocument/2006/relationships/footer" Target="footer54.xml"/><Relationship Id="rId135" Type="http://schemas.openxmlformats.org/officeDocument/2006/relationships/header" Target="header57.xml"/><Relationship Id="rId151" Type="http://schemas.openxmlformats.org/officeDocument/2006/relationships/footer" Target="footer64.xml"/><Relationship Id="rId156" Type="http://schemas.openxmlformats.org/officeDocument/2006/relationships/header" Target="header68.xml"/><Relationship Id="rId172" Type="http://schemas.openxmlformats.org/officeDocument/2006/relationships/footer" Target="footer74.xml"/><Relationship Id="rId13" Type="http://schemas.openxmlformats.org/officeDocument/2006/relationships/endnotes" Target="endnotes.xml"/><Relationship Id="rId18" Type="http://schemas.openxmlformats.org/officeDocument/2006/relationships/footer" Target="footer2.xml"/><Relationship Id="rId39" Type="http://schemas.openxmlformats.org/officeDocument/2006/relationships/header" Target="header13.xml"/><Relationship Id="rId109" Type="http://schemas.openxmlformats.org/officeDocument/2006/relationships/header" Target="header45.xml"/><Relationship Id="rId34" Type="http://schemas.openxmlformats.org/officeDocument/2006/relationships/header" Target="header11.xml"/><Relationship Id="rId50" Type="http://schemas.openxmlformats.org/officeDocument/2006/relationships/header" Target="header17.xml"/><Relationship Id="rId55" Type="http://schemas.openxmlformats.org/officeDocument/2006/relationships/image" Target="media/image7.emf"/><Relationship Id="rId76" Type="http://schemas.openxmlformats.org/officeDocument/2006/relationships/footer" Target="footer28.xml"/><Relationship Id="rId97" Type="http://schemas.openxmlformats.org/officeDocument/2006/relationships/header" Target="header39.xml"/><Relationship Id="rId104" Type="http://schemas.openxmlformats.org/officeDocument/2006/relationships/footer" Target="footer42.xml"/><Relationship Id="rId120" Type="http://schemas.openxmlformats.org/officeDocument/2006/relationships/header" Target="header50.xml"/><Relationship Id="rId125" Type="http://schemas.openxmlformats.org/officeDocument/2006/relationships/header" Target="header52.xml"/><Relationship Id="rId141" Type="http://schemas.openxmlformats.org/officeDocument/2006/relationships/header" Target="header60.xml"/><Relationship Id="rId146" Type="http://schemas.openxmlformats.org/officeDocument/2006/relationships/footer" Target="footer62.xml"/><Relationship Id="rId167" Type="http://schemas.openxmlformats.org/officeDocument/2006/relationships/image" Target="media/image12.emf"/><Relationship Id="rId7" Type="http://schemas.openxmlformats.org/officeDocument/2006/relationships/customXml" Target="../customXml/item7.xml"/><Relationship Id="rId71" Type="http://schemas.openxmlformats.org/officeDocument/2006/relationships/footer" Target="footer26.xml"/><Relationship Id="rId92" Type="http://schemas.openxmlformats.org/officeDocument/2006/relationships/image" Target="media/image8.emf"/><Relationship Id="rId162" Type="http://schemas.openxmlformats.org/officeDocument/2006/relationships/header" Target="header71.xm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header" Target="header14.xml"/><Relationship Id="rId45" Type="http://schemas.openxmlformats.org/officeDocument/2006/relationships/image" Target="media/image3.emf"/><Relationship Id="rId66" Type="http://schemas.openxmlformats.org/officeDocument/2006/relationships/header" Target="header24.xml"/><Relationship Id="rId87" Type="http://schemas.openxmlformats.org/officeDocument/2006/relationships/header" Target="header35.xml"/><Relationship Id="rId110" Type="http://schemas.openxmlformats.org/officeDocument/2006/relationships/footer" Target="footer45.xml"/><Relationship Id="rId115" Type="http://schemas.openxmlformats.org/officeDocument/2006/relationships/footer" Target="footer46.xml"/><Relationship Id="rId131" Type="http://schemas.openxmlformats.org/officeDocument/2006/relationships/header" Target="header55.xml"/><Relationship Id="rId136" Type="http://schemas.openxmlformats.org/officeDocument/2006/relationships/footer" Target="footer57.xml"/><Relationship Id="rId157" Type="http://schemas.openxmlformats.org/officeDocument/2006/relationships/footer" Target="footer67.xml"/><Relationship Id="rId61" Type="http://schemas.openxmlformats.org/officeDocument/2006/relationships/footer" Target="footer21.xml"/><Relationship Id="rId82" Type="http://schemas.openxmlformats.org/officeDocument/2006/relationships/footer" Target="footer31.xml"/><Relationship Id="rId152" Type="http://schemas.openxmlformats.org/officeDocument/2006/relationships/footer" Target="footer65.xml"/><Relationship Id="rId173" Type="http://schemas.openxmlformats.org/officeDocument/2006/relationships/header" Target="header75.xml"/><Relationship Id="rId19" Type="http://schemas.openxmlformats.org/officeDocument/2006/relationships/header" Target="header3.xml"/><Relationship Id="rId14" Type="http://schemas.openxmlformats.org/officeDocument/2006/relationships/image" Target="media/image1.emf"/><Relationship Id="rId30" Type="http://schemas.openxmlformats.org/officeDocument/2006/relationships/footer" Target="footer8.xml"/><Relationship Id="rId35" Type="http://schemas.openxmlformats.org/officeDocument/2006/relationships/footer" Target="footer10.xml"/><Relationship Id="rId56" Type="http://schemas.openxmlformats.org/officeDocument/2006/relationships/header" Target="header19.xml"/><Relationship Id="rId77" Type="http://schemas.openxmlformats.org/officeDocument/2006/relationships/footer" Target="footer29.xml"/><Relationship Id="rId100" Type="http://schemas.openxmlformats.org/officeDocument/2006/relationships/header" Target="header41.xml"/><Relationship Id="rId105" Type="http://schemas.openxmlformats.org/officeDocument/2006/relationships/header" Target="header43.xml"/><Relationship Id="rId126" Type="http://schemas.openxmlformats.org/officeDocument/2006/relationships/header" Target="header53.xml"/><Relationship Id="rId147" Type="http://schemas.openxmlformats.org/officeDocument/2006/relationships/header" Target="header63.xml"/><Relationship Id="rId168" Type="http://schemas.openxmlformats.org/officeDocument/2006/relationships/image" Target="media/image13.emf"/><Relationship Id="rId8" Type="http://schemas.openxmlformats.org/officeDocument/2006/relationships/numbering" Target="numbering.xml"/><Relationship Id="rId51" Type="http://schemas.openxmlformats.org/officeDocument/2006/relationships/footer" Target="footer16.xml"/><Relationship Id="rId72" Type="http://schemas.openxmlformats.org/officeDocument/2006/relationships/header" Target="header27.xml"/><Relationship Id="rId93" Type="http://schemas.openxmlformats.org/officeDocument/2006/relationships/header" Target="header37.xml"/><Relationship Id="rId98" Type="http://schemas.openxmlformats.org/officeDocument/2006/relationships/footer" Target="footer39.xml"/><Relationship Id="rId121" Type="http://schemas.openxmlformats.org/officeDocument/2006/relationships/footer" Target="footer49.xml"/><Relationship Id="rId142" Type="http://schemas.openxmlformats.org/officeDocument/2006/relationships/footer" Target="footer60.xml"/><Relationship Id="rId163" Type="http://schemas.openxmlformats.org/officeDocument/2006/relationships/footer" Target="footer70.xml"/><Relationship Id="rId3" Type="http://schemas.openxmlformats.org/officeDocument/2006/relationships/customXml" Target="../customXml/item3.xml"/><Relationship Id="rId25" Type="http://schemas.openxmlformats.org/officeDocument/2006/relationships/header" Target="header6.xml"/><Relationship Id="rId46" Type="http://schemas.openxmlformats.org/officeDocument/2006/relationships/image" Target="media/image4.emf"/><Relationship Id="rId67" Type="http://schemas.openxmlformats.org/officeDocument/2006/relationships/footer" Target="footer24.xml"/><Relationship Id="rId116" Type="http://schemas.openxmlformats.org/officeDocument/2006/relationships/footer" Target="footer47.xml"/><Relationship Id="rId137" Type="http://schemas.openxmlformats.org/officeDocument/2006/relationships/header" Target="header58.xml"/><Relationship Id="rId158" Type="http://schemas.openxmlformats.org/officeDocument/2006/relationships/footer" Target="footer68.xml"/><Relationship Id="rId20" Type="http://schemas.openxmlformats.org/officeDocument/2006/relationships/footer" Target="footer3.xml"/><Relationship Id="rId41" Type="http://schemas.openxmlformats.org/officeDocument/2006/relationships/footer" Target="footer13.xml"/><Relationship Id="rId62" Type="http://schemas.openxmlformats.org/officeDocument/2006/relationships/header" Target="header22.xml"/><Relationship Id="rId83" Type="http://schemas.openxmlformats.org/officeDocument/2006/relationships/footer" Target="footer32.xml"/><Relationship Id="rId88" Type="http://schemas.openxmlformats.org/officeDocument/2006/relationships/footer" Target="footer34.xml"/><Relationship Id="rId111" Type="http://schemas.openxmlformats.org/officeDocument/2006/relationships/image" Target="media/image9.emf"/><Relationship Id="rId132" Type="http://schemas.openxmlformats.org/officeDocument/2006/relationships/header" Target="header56.xml"/><Relationship Id="rId153" Type="http://schemas.openxmlformats.org/officeDocument/2006/relationships/header" Target="header66.xml"/><Relationship Id="rId174" Type="http://schemas.openxmlformats.org/officeDocument/2006/relationships/footer" Target="footer75.xml"/><Relationship Id="rId15" Type="http://schemas.openxmlformats.org/officeDocument/2006/relationships/header" Target="header1.xml"/><Relationship Id="rId36" Type="http://schemas.openxmlformats.org/officeDocument/2006/relationships/footer" Target="footer11.xml"/><Relationship Id="rId57" Type="http://schemas.openxmlformats.org/officeDocument/2006/relationships/header" Target="header20.xml"/><Relationship Id="rId106" Type="http://schemas.openxmlformats.org/officeDocument/2006/relationships/header" Target="header44.xml"/><Relationship Id="rId127" Type="http://schemas.openxmlformats.org/officeDocument/2006/relationships/footer" Target="footer52.xml"/><Relationship Id="rId10" Type="http://schemas.openxmlformats.org/officeDocument/2006/relationships/settings" Target="settings.xml"/><Relationship Id="rId31" Type="http://schemas.openxmlformats.org/officeDocument/2006/relationships/header" Target="header9.xml"/><Relationship Id="rId52" Type="http://schemas.openxmlformats.org/officeDocument/2006/relationships/footer" Target="footer17.xml"/><Relationship Id="rId73" Type="http://schemas.openxmlformats.org/officeDocument/2006/relationships/footer" Target="footer27.xml"/><Relationship Id="rId78" Type="http://schemas.openxmlformats.org/officeDocument/2006/relationships/header" Target="header30.xml"/><Relationship Id="rId94" Type="http://schemas.openxmlformats.org/officeDocument/2006/relationships/header" Target="header38.xml"/><Relationship Id="rId99" Type="http://schemas.openxmlformats.org/officeDocument/2006/relationships/header" Target="header40.xml"/><Relationship Id="rId101" Type="http://schemas.openxmlformats.org/officeDocument/2006/relationships/footer" Target="footer40.xml"/><Relationship Id="rId122" Type="http://schemas.openxmlformats.org/officeDocument/2006/relationships/footer" Target="footer50.xml"/><Relationship Id="rId143" Type="http://schemas.openxmlformats.org/officeDocument/2006/relationships/header" Target="header61.xml"/><Relationship Id="rId148" Type="http://schemas.openxmlformats.org/officeDocument/2006/relationships/footer" Target="footer63.xml"/><Relationship Id="rId164" Type="http://schemas.openxmlformats.org/officeDocument/2006/relationships/footer" Target="footer71.xml"/><Relationship Id="rId169" Type="http://schemas.openxmlformats.org/officeDocument/2006/relationships/header" Target="header73.xml"/><Relationship Id="rId4" Type="http://schemas.openxmlformats.org/officeDocument/2006/relationships/customXml" Target="../customXml/item4.xml"/><Relationship Id="rId9" Type="http://schemas.openxmlformats.org/officeDocument/2006/relationships/styles" Target="styles.xml"/><Relationship Id="rId26" Type="http://schemas.openxmlformats.org/officeDocument/2006/relationships/footer" Target="footer6.xml"/><Relationship Id="rId47" Type="http://schemas.openxmlformats.org/officeDocument/2006/relationships/image" Target="media/image5.emf"/><Relationship Id="rId68" Type="http://schemas.openxmlformats.org/officeDocument/2006/relationships/header" Target="header25.xml"/><Relationship Id="rId89" Type="http://schemas.openxmlformats.org/officeDocument/2006/relationships/footer" Target="footer35.xml"/><Relationship Id="rId112" Type="http://schemas.openxmlformats.org/officeDocument/2006/relationships/image" Target="media/image10.emf"/><Relationship Id="rId133" Type="http://schemas.openxmlformats.org/officeDocument/2006/relationships/footer" Target="footer55.xml"/><Relationship Id="rId154" Type="http://schemas.openxmlformats.org/officeDocument/2006/relationships/footer" Target="footer66.xml"/><Relationship Id="rId175" Type="http://schemas.openxmlformats.org/officeDocument/2006/relationships/fontTable" Target="fontTable.xml"/><Relationship Id="rId16" Type="http://schemas.openxmlformats.org/officeDocument/2006/relationships/header" Target="header2.xml"/><Relationship Id="rId37" Type="http://schemas.openxmlformats.org/officeDocument/2006/relationships/header" Target="header12.xml"/><Relationship Id="rId58" Type="http://schemas.openxmlformats.org/officeDocument/2006/relationships/footer" Target="footer19.xml"/><Relationship Id="rId79" Type="http://schemas.openxmlformats.org/officeDocument/2006/relationships/footer" Target="footer30.xml"/><Relationship Id="rId102" Type="http://schemas.openxmlformats.org/officeDocument/2006/relationships/footer" Target="footer41.xml"/><Relationship Id="rId123" Type="http://schemas.openxmlformats.org/officeDocument/2006/relationships/header" Target="header51.xml"/><Relationship Id="rId144" Type="http://schemas.openxmlformats.org/officeDocument/2006/relationships/header" Target="header62.xml"/><Relationship Id="rId90" Type="http://schemas.openxmlformats.org/officeDocument/2006/relationships/header" Target="header36.xml"/><Relationship Id="rId165" Type="http://schemas.openxmlformats.org/officeDocument/2006/relationships/header" Target="header72.xml"/><Relationship Id="rId27" Type="http://schemas.openxmlformats.org/officeDocument/2006/relationships/header" Target="header7.xml"/><Relationship Id="rId48" Type="http://schemas.openxmlformats.org/officeDocument/2006/relationships/image" Target="media/image6.emf"/><Relationship Id="rId69" Type="http://schemas.openxmlformats.org/officeDocument/2006/relationships/header" Target="header26.xml"/><Relationship Id="rId113" Type="http://schemas.openxmlformats.org/officeDocument/2006/relationships/header" Target="header46.xml"/><Relationship Id="rId134" Type="http://schemas.openxmlformats.org/officeDocument/2006/relationships/footer" Target="footer56.xml"/><Relationship Id="rId80" Type="http://schemas.openxmlformats.org/officeDocument/2006/relationships/header" Target="header31.xml"/><Relationship Id="rId155" Type="http://schemas.openxmlformats.org/officeDocument/2006/relationships/header" Target="header67.xml"/><Relationship Id="rId176" Type="http://schemas.openxmlformats.org/officeDocument/2006/relationships/theme" Target="theme/theme1.xml"/><Relationship Id="rId17" Type="http://schemas.openxmlformats.org/officeDocument/2006/relationships/footer" Target="footer1.xml"/><Relationship Id="rId38" Type="http://schemas.openxmlformats.org/officeDocument/2006/relationships/footer" Target="footer12.xml"/><Relationship Id="rId59" Type="http://schemas.openxmlformats.org/officeDocument/2006/relationships/footer" Target="footer20.xml"/><Relationship Id="rId103" Type="http://schemas.openxmlformats.org/officeDocument/2006/relationships/header" Target="header42.xml"/><Relationship Id="rId124" Type="http://schemas.openxmlformats.org/officeDocument/2006/relationships/footer" Target="footer51.xml"/><Relationship Id="rId70" Type="http://schemas.openxmlformats.org/officeDocument/2006/relationships/footer" Target="footer25.xml"/><Relationship Id="rId91" Type="http://schemas.openxmlformats.org/officeDocument/2006/relationships/footer" Target="footer36.xml"/><Relationship Id="rId145" Type="http://schemas.openxmlformats.org/officeDocument/2006/relationships/footer" Target="footer61.xml"/><Relationship Id="rId166" Type="http://schemas.openxmlformats.org/officeDocument/2006/relationships/footer" Target="footer7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2509/oj" TargetMode="External"/><Relationship Id="rId3" Type="http://schemas.openxmlformats.org/officeDocument/2006/relationships/hyperlink" Target="https://www.eca.europa.eu/ECAPublications/AR-2024/AR-2024_EN.pdf" TargetMode="External"/><Relationship Id="rId7" Type="http://schemas.openxmlformats.org/officeDocument/2006/relationships/hyperlink" Target="http://data.europa.eu/eli/reg/2024/795/oj" TargetMode="External"/><Relationship Id="rId12" Type="http://schemas.openxmlformats.org/officeDocument/2006/relationships/hyperlink" Target="http://data.europa.eu/eli/reg/2024/2509/oj" TargetMode="External"/><Relationship Id="rId2" Type="http://schemas.openxmlformats.org/officeDocument/2006/relationships/hyperlink" Target="https://www.eca.europa.eu/ECAPublications/AR-2023/AR-2023_EN.pdf" TargetMode="External"/><Relationship Id="rId1" Type="http://schemas.openxmlformats.org/officeDocument/2006/relationships/hyperlink" Target="http://data.europa.eu/eli/reg/2024/2509/oj" TargetMode="External"/><Relationship Id="rId6" Type="http://schemas.openxmlformats.org/officeDocument/2006/relationships/hyperlink" Target="https://commission.europa.eu/strategy-and-policy/strategy-documents/annual-activity-reports_en" TargetMode="External"/><Relationship Id="rId11" Type="http://schemas.openxmlformats.org/officeDocument/2006/relationships/hyperlink" Target="https://eur-lex.europa.eu/eli/reg/2024/2509/oj" TargetMode="External"/><Relationship Id="rId5" Type="http://schemas.openxmlformats.org/officeDocument/2006/relationships/hyperlink" Target="https://www.eca.europa.eu/ECAPublications/AR-2024/AR-2024_EN.pdf" TargetMode="External"/><Relationship Id="rId10" Type="http://schemas.openxmlformats.org/officeDocument/2006/relationships/hyperlink" Target="http://data.europa.eu/eli/reg/2024/2509/oj" TargetMode="External"/><Relationship Id="rId4" Type="http://schemas.openxmlformats.org/officeDocument/2006/relationships/hyperlink" Target="https://www.eca.europa.eu/ECAPublications/AR-2024/AR-2024_EN.pdf" TargetMode="External"/><Relationship Id="rId9" Type="http://schemas.openxmlformats.org/officeDocument/2006/relationships/hyperlink" Target="http://data.europa.eu/eli/reg/2021/1060/oj" TargetMode="External"/></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_rels/header23.xml.rels><?xml version="1.0" encoding="UTF-8" standalone="yes"?>
<Relationships xmlns="http://schemas.openxmlformats.org/package/2006/relationships"><Relationship Id="rId1" Type="http://schemas.openxmlformats.org/officeDocument/2006/relationships/image" Target="media/image2.jpg"/></Relationships>
</file>

<file path=word/_rels/header32.xml.rels><?xml version="1.0" encoding="UTF-8" standalone="yes"?>
<Relationships xmlns="http://schemas.openxmlformats.org/package/2006/relationships"><Relationship Id="rId1" Type="http://schemas.openxmlformats.org/officeDocument/2006/relationships/image" Target="media/image2.jpg"/></Relationships>
</file>

<file path=word/_rels/header41.xml.rels><?xml version="1.0" encoding="UTF-8" standalone="yes"?>
<Relationships xmlns="http://schemas.openxmlformats.org/package/2006/relationships"><Relationship Id="rId1" Type="http://schemas.openxmlformats.org/officeDocument/2006/relationships/image" Target="media/image2.jpg"/></Relationships>
</file>

<file path=word/_rels/header50.xml.rels><?xml version="1.0" encoding="UTF-8" standalone="yes"?>
<Relationships xmlns="http://schemas.openxmlformats.org/package/2006/relationships"><Relationship Id="rId1" Type="http://schemas.openxmlformats.org/officeDocument/2006/relationships/image" Target="media/image2.jpg"/></Relationships>
</file>

<file path=word/_rels/header58.xml.rels><?xml version="1.0" encoding="UTF-8" standalone="yes"?>
<Relationships xmlns="http://schemas.openxmlformats.org/package/2006/relationships"><Relationship Id="rId1" Type="http://schemas.openxmlformats.org/officeDocument/2006/relationships/image" Target="media/image11.jpg"/></Relationships>
</file>

<file path=word/_rels/header59.xml.rels><?xml version="1.0" encoding="UTF-8" standalone="yes"?>
<Relationships xmlns="http://schemas.openxmlformats.org/package/2006/relationships"><Relationship Id="rId1" Type="http://schemas.openxmlformats.org/officeDocument/2006/relationships/image" Target="media/image2.jpg"/></Relationships>
</file>

<file path=word/_rels/header68.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Management Plan 2022">
  <a:themeElements>
    <a:clrScheme name="Custom 4">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Management Plan 2022">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xts>
  <ReferencesTablePictures>Table of Pictures</ReferencesTablePictures>
  <ReferencesIndex>Index</ReferencesIndex>
  <LabelAlternativeText>Alternative text: </LabelAlternativeText>
  <LabelTableSeqOP>Table { SEQ Table \* ARABIC } – </LabelTableSeqOP>
  <LabelSource>Source</LabelSource>
  <LabelFigureSeqEC>Figure {SEQ Figure \* ARABIC }: </LabelFigureSeqEC>
  <LabelFigureSeqWChapter>Table {field: STYLEREF "Chapter Number" \s }.{field: SEQ Table \* ARABIC } –</LabelFigureSeqWChapter>
  <OP_ManagementPlan_CopyrightPage_Copyright>© European Union, {freetext:&lt;Year&gt;}</OP_ManagementPlan_CopyrightPage_Copyright>
  <OP_ManagementPlan_CopyrightPage_Reuse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useIsAuthorised2>
  <OP_ManagementPlan_CopyrightPage_PubIDs-EPUB>EPUB{tab}ISBN {freetext:&lt;xxx-xx-xx-xxxxx-x&gt;}{tab}ISSN {freetext:&lt;xxxx-xxxx&gt;}{tab}doi:10.{freetext:&lt;xxxx/xx...x&gt;}{tab}{freetext:&lt;xx-xx-xx-xxx-xx-x&gt;}</OP_ManagementPlan_CopyrightPage_PubIDs-EPUB>
  <OP_ManagementPlan_CopyrightPage_ManuscriptCompleted>Manuscript completed in {freetext:&lt;Month&gt;} {freetext:&lt;Year&gt;}</OP_ManagementPlan_CopyrightPage_ManuscriptCompleted>
  <OP_ManagementPlan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under Commission Decision 2011/833/EU of 12 December 2011 on the reuse of Commission documents (OJ L 330, 14.12.2011, p. 39, ELI: {field:HYPERLINK "http://data.europa.eu/eli/dec/2011/833/oj"|http://data.europa.eu/eli/dec/2011/833/oj}).</OP_ManagementPlan_CopyrightPage_ReuseIsAuthorised>
  <OP_ManagementPlan_CopyrightPage_Edition>{freetext:&lt;Revised/Corrected/nth&gt;} edition</OP_ManagementPlan_CopyrightPage_Edition>
  <OP_ManagementPlan_CopyrightPage_PubIDs-Print>Print{tab}ISBN {freetext:&lt;xxx-xx-xx-xxxxx-x&gt;}{tab}ISSN {freetext:&lt;xxxx-xxxx&gt;}{tab}doi:10.{freetext:&lt;xxxx/xx...x&gt;}{tab}{freetext:&lt;xx-xx-xx-xxx-xx-x&gt;}</OP_ManagementPlan_CopyrightPage_PubIDs-Print>
  <OP_ManagementPlan_CopyrightPage_PubIDs-PDF>PDF{tab}ISBN {freetext:&lt;xxx-xx-xx-xxxxx-x&gt;}{tab}ISSN {freetext:&lt;xxxx-xxxx&gt;}{tab}doi:10.{freetext:&lt;xxxx/xx...x&gt;}{tab}{freetext:&lt;xx-xx-xx-xxx-xx-x&gt;}</OP_ManagementPlan_CopyrightPage_PubIDs-PDF>
  <OP_ManagementPlan_CopyrightPage_ReuseStatement>This document has been prepared for the European Commission however it reflects the views only of the authors, and the European Commission is not liable for any consequence stemming from the reuse of this publication.</OP_ManagementPlan_CopyrightPage_ReuseStatement>
  <OP_ManagementPlan_CopyrightPage_PubIDs-HTML>HTML{tab}ISBN {freetext:&lt;xxx-xx-xx-xxxxx-x&gt;}{tab}ISSN {freetext:&lt;xxxx-xxxx&gt;}{tab}doi:10.{freetext:&lt;xxxx/xx...x&gt;}{tab}{freetext:&lt;xx-xx-xx-xxx-xx-x&gt;}</OP_ManagementPlan_CopyrightPage_PubIDs-HTML>
  <OP_ManagementPlan_CopyrightPage_ReuseIsAuthorised3>For any use or reproduction of elements that are not owned by the European Union, permission may need to be sought directly from the respective rightholders.</OP_ManagementPlan_CopyrightPage_ReuseIsAuthorised3>
  <OP_ManagementPlan_CopyrightPage_LuxembourgPublicationsOffice>Luxembourg: Publications Office of the European Union, {freetext:&lt;Year&gt;}</OP_ManagementPlan_CopyrightPage_LuxembourgPublicationsOffice>
  <OP_ManagementPlan_AboutEU_Online>Online</OP_ManagementPlan_AboutEU_Online>
  <OP_ManagementPlan_AboutEU_ByForm>via the following form: {field:HYPERLINK "https://european-union.europa.eu/contact-eu/write-us_en"|european-union.europa.eu/contact-eu/write-us_en}.</OP_ManagementPlan_AboutEU_ByForm>
  <OP_ManagementPlan_AboutEU_EULawAndRelated>EU law and related documents</OP_ManagementPlan_AboutEU_EULawAndRelated>
  <OP_ManagementPlan_AboutEU_InPerson>In person</OP_ManagementPlan_AboutEU_InPerson>
  <OP_ManagementPlan_AboutEU_YouCanView>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ManagementPlan_AboutEU_YouCanView>
  <OP_ManagementPlan_AboutEU_EUPublications>EU publications</OP_ManagementPlan_AboutEU_EUPublications>
  <OP_ManagementPlan_AboutEU_The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ManagementPlan_AboutEU_ThePortal>
  <OP_ManagementPlan_AboutEU_ByFreephone>by freephone: 00 800 6 7 8 9 10 11 (certain operators may charge for these calls),</OP_ManagementPlan_AboutEU_ByFreephone>
  <OP_ManagementPlan_AboutEU_ForAccessTo>For access to legal information from the EU, including all EU law since 1951 in all the official language versions, go to EUR-Lex ({field:HYPERLINK "https://eur-lex.europa.eu"|eur-lex.europa.eu}).</OP_ManagementPlan_AboutEU_ForAccessTo>
  <OP_ManagementPlan_AboutEU_FindingInformation>Finding information about the EU</OP_ManagementPlan_AboutEU_FindingInformation>
  <OP_ManagementPlan_AboutEU_EUOpenData>EU open data</OP_ManagementPlan_AboutEU_EUOpenData>
  <OP_ManagementPlan_AboutEU_InformationAbout>Information about the European Union in all the official languages of the EU is available on the Europa website ({field:HYPERLINK "https://european-union.europa.eu"|european-union.europa.eu}).</OP_ManagementPlan_AboutEU_InformationAbout>
  <OP_ManagementPlan_AboutEU_ByStandardNumber>at the following standard number: +32 22999696,</OP_ManagementPlan_AboutEU_ByStandardNumber>
  <OP_ManagementPlan_AboutEU_GettingInTouch>Getting in touch with the EU</OP_ManagementPlan_AboutEU_GettingInTouch>
  <OP_ManagementPlan_AboutEU_AllOverEU>All over the European Union there are hundreds of Europe Direct centres. You can find the address of the centre nearest you online ({field:HYPERLINK "https://european-union.europa.eu/contact-eu/meet-us_en"|european-union.europa.eu/contact-eu/meet-us_en}).</OP_ManagementPlan_AboutEU_AllOverEU>
  <OP_ManagementPlan_AboutEU_OnPhoneOrWriting>On the phone or in writing</OP_ManagementPlan_AboutEU_OnPhoneOrWriting>
  <OP_ManagementPlan_AboutEU_EuropeDirect>Europe Direct is a service that answers your questions about the European Union. You can contact this service:</OP_ManagementPlan_AboutEU_EuropeDirect>
  <ReferencesSectionTitle>References</ReferencesSectionTitle>
  <OP_ManagementPlan_OT_Objective>Objective:</OP_ManagementPlan_OT_Objective>
  <OP_ManagementPlan_CopyrightPage_CC_Statement>This document has been prepared for the European Commission however it reflects the views only of the authors, and the European Commission is not liable for any consequence stemming from the reuse of this publication.</OP_ManagementPlan_CopyrightPage_CC_Statement>
  <OP_ManagementPlan_CopyrightPage_TheReusePolicy>The Commission’s reuse policy is implemented under Commission Decision 2011/833/EU of 12 December 2011 on the reuse of Commission documents (OJ L 330, 14.12.2011, p. 39, ELI: {field:HYPERLINK "http://data.europa.eu/eli/dec/2011/833/oj"|http://data.europa.eu/eli/dec/2011/833/oj}).{br}Unless otherwise noted, the reuse of this document is authorised under the Creative Commons Attribution 4.0 International (CC BY 4.0) licence ({field:HYPERLINK "https://creativecommons.org/licenses/by/4.0/"|https://creativecommons.org/licenses/by/4.0/}). This means that reuse is allowed, provided appropriate credit is given and any changes are indicated.</OP_ManagementPlan_CopyrightPage_TheReusePolicy>
  <OP_ManagementPlan_CopyrightPage_Reproduction>For any use or reproduction of elements that are not owned by the European Union, permission may need to be sought directly from the respective rightholders.</OP_ManagementPlan_CopyrightPage_Reproduction>
  <OP_ManagementPlan_CopyrightPage_Permissions>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Permissions>
  <LabelPictureSeq>Figure {SEQ Figure \* ARABIC }: </LabelPictureSeq>
  <LabelFigureSeqOP>Figure {SEQ Figure \* ARABIC } – </LabelFigureSeqOP>
  <OP_ManagementPlan_CopyrightPage_ReproductionIsAuthorised>Reproduction is authorised provided the source is acknowledged.</OP_ManagementPlan_CopyrightPage_ReproductionIsAuthorised>
  <OP_ManagementPlan_CopyrightPage_ReproductionIsAuthorised3>For any use or reproduction of elements that are not owned by the European Union, permission may need to be sought directly from the respective rightholders.</OP_ManagementPlan_CopyrightPage_ReproductionIsAuthorised3>
  <OP_ManagementPlan_CopyrightPage_Reproduction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productionIsAuthorised2>
  <OP_ManagementPlan_CopyrightPage_ThisDocumentShouldNot>Neither the {freetext:[institution/body/service]} nor any person acting on behalf of the {freetext:[institution/body/service]} is responsible for the use that might be made of the following information.</OP_ManagementPlan_CopyrightPage_ThisDocumentShouldNot>
  <LabelTableSeqWChapter>Table { STYLEREF "Chapter Number" \s }.{ SEQ Table \* ARABIC } – </LabelTableSeqWChapter>
  <LabelTableSeqEC>Table {SEQ Table \* ARABIC }: </LabelTableSeqEC>
  <ReferencesTableTables>Table of Tables</ReferencesTableTables>
  <OP_ManagementPlan_LayoutPage_AfterBody2>The total page count in printed publications must be dividable by four.</OP_ManagementPlan_LayoutPage_AfterBody2>
  <OP_ManagementPlan_LayoutPage_AfterBody1>Please keep this page empty until ready for publishing.</OP_ManagementPlan_LayoutPage_AfterBody1>
  <OP_ManagementPlan_LayoutPage_AfterBody3>Before publishing, remove this comment and depending on the total page count remove this page or add more empty pages.</OP_ManagementPlan_LayoutPage_AfterBody3>
  <OP_ManagementPlan_OT_Target>Target</OP_ManagementPlan_OT_Target>
  <OP_ManagementPlan_OT_Indicator>Indicator</OP_ManagementPlan_OT_Indicator>
  <OP_ManagementPlan_OT_Output>Output</OP_ManagementPlan_OT_Output>
  <OP_ManagementPlan_LayoutPage_AfterCoverPage>Please keep this page empty after deleting this comment.</OP_ManagementPlan_LayoutPage_AfterCoverPage>
  <OP_ManagementPlan_OT_SpecificObjective>Specific Objective:</OP_ManagementPlan_OT_SpecificObjective>
  <OP_TOCHeading>Contents</OP_TOCHeading>
  <OP_ManagementPlan_OT_GeneralObjective>General Objective:</OP_ManagementPlan_OT_GeneralObjective>
  <ReferencesTableBoxes>Table of Boxes</ReferencesTableBoxes>
  <DateFormatShort>dd/MM/yyyy</DateFormatShort>
  <DateFormatLong>d MMMM yyyy</DateFormatLong>
</Texts>
</file>

<file path=customXml/item3.xml><?xml version="1.0" encoding="utf-8"?>
<Author Role="Creator" AuthorRoleName="Writer" AuthorRoleDisplayName="Writer" AuthorRoleId="a4fbaff4-b07c-48b4-a21e-e7b9eedf3796">
  <Id>3a1d888b-7080-451f-a773-95a004840198</Id>
  <Names>
    <Latin>
      <FirstName>Raimonds</FirstName>
      <LastName>ERTS</LastName>
    </Latin>
    <Greek>
      <FirstName/>
      <LastName/>
    </Greek>
    <Cyrillic>
      <FirstName/>
      <LastName/>
    </Cyrillic>
    <DocumentScript>
      <FirstName>Raimonds</FirstName>
      <LastName>ERTS</LastName>
      <FullName>Raimonds ERTS</FullName>
    </DocumentScript>
  </Names>
  <Initials>RE</Initials>
  <Gender>m</Gender>
  <Email>Raimonds.ERTS@publications.europa.eu</Email>
  <Service>OP.B.2.001</Service>
  <Function ADCode="" ShowInSignature="true" ShowInHeader="false" HeaderText=""/>
  <WebAddress/>
  <FunctionalMailbox/>
  <InheritedWebAddress>http://europa.eu</InheritedWebAddress>
  <OrgaEntity1>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1>
  <OrgaEntity2>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2>
  <OrgaEntity3>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3>
  <Hierarchy>
    <OrgaEntity>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
    <OrgaEntity>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
    <OrgaEntity>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4301-44063</Phone>
    <Office>MERP 02/A001</Office>
  </MainWorkplace>
  <Workplaces>
    <Workplace IsMain="true">
      <AddressId>1264fb81-f6bb-475e-9f9d-a937d3be6ee2</AddressId>
      <Fax/>
      <Phone>+352 4301-44063</Phone>
      <Office>MERP 02/A001</Office>
    </Workplace>
  </Workplaces>
</Author>
</file>

<file path=customXml/item4.xml><?xml version="1.0" encoding="utf-8"?>
<ct:contentTypeSchema xmlns:ct="http://schemas.microsoft.com/office/2006/metadata/contentType" xmlns:ma="http://schemas.microsoft.com/office/2006/metadata/properties/metaAttributes" ct:_="" ma:_="" ma:contentTypeName="EC Document" ma:contentTypeID="0x0101002A9ECA2606335F4BA5305B32386134E00063A1563B14B2C349B8DD161C5ADC9DBB" ma:contentTypeVersion="23" ma:contentTypeDescription="Create a new document in this library." ma:contentTypeScope="" ma:versionID="e136fab5c578c5dbbaf04396e60b34f1">
  <xsd:schema xmlns:xsd="http://www.w3.org/2001/XMLSchema" xmlns:xs="http://www.w3.org/2001/XMLSchema" xmlns:p="http://schemas.microsoft.com/office/2006/metadata/properties" xmlns:ns3="5a2aaeef-7754-4071-a86d-fc61c328f6f7" xmlns:ns4="e226d4ca-1ed8-42f0-8f23-f43336c44f4f" targetNamespace="http://schemas.microsoft.com/office/2006/metadata/properties" ma:root="true" ma:fieldsID="a5ec91dbdf37fbba4745ee3c84746937" ns3:_="" ns4:_="">
    <xsd:import namespace="5a2aaeef-7754-4071-a86d-fc61c328f6f7"/>
    <xsd:import namespace="e226d4ca-1ed8-42f0-8f23-f43336c44f4f"/>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aaeef-7754-4071-a86d-fc61c328f6f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6d4ca-1ed8-42f0-8f23-f43336c44f4f"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C_Collab_DocumentLanguage xmlns="5a2aaeef-7754-4071-a86d-fc61c328f6f7">EN</EC_Collab_DocumentLanguage>
    <EC_Collab_Reference xmlns="5a2aaeef-7754-4071-a86d-fc61c328f6f7" xsi:nil="true"/>
    <EC_ARES_DATE_TRANSFERRED xmlns="5a2aaeef-7754-4071-a86d-fc61c328f6f7" xsi:nil="true"/>
    <EC_ARES_TRANSFERRED_BY xmlns="5a2aaeef-7754-4071-a86d-fc61c328f6f7" xsi:nil="true"/>
    <EC_ARES_NUMBER xmlns="5a2aaeef-7754-4071-a86d-fc61c328f6f7">
      <Url xsi:nil="true"/>
      <Description xsi:nil="true"/>
    </EC_ARES_NUMBER>
    <EC_Collab_Status xmlns="5a2aaeef-7754-4071-a86d-fc61c328f6f7">Not Started</EC_Collab_Status>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EurolookProperties>
  <ProductCustomizationId>EC</ProductCustomizationId>
  <Created>
    <Version>10.0.47989.0</Version>
    <Date>2026-03-16T09:54:58</Date>
    <Language>EN</Language>
    <Note>Created using 'Convert To Eurolook'</Note>
  </Created>
  <DocumentModel>
    <Id>7136d7b7-c4fa-4d30-b9ff-62b00d5a473e</Id>
    <Name>Management Report (Publication)</Name>
  </DocumentModel>
  <CustomTemplate>
    <Id/>
    <Name/>
  </CustomTemplate>
  <DocumentDate>2026-03-16T09:54:58</DocumentDate>
  <DocumentVersion>0.1</DocumentVersion>
  <CompatibilityMode>Eurolook10</CompatibilityMode>
  <DocumentMetadata>
    <PublishingFormat MetadataSerializationType="SimpleValue"/>
  </DocumentMetadata>
</EurolookProperties>
</file>

<file path=customXml/itemProps1.xml><?xml version="1.0" encoding="utf-8"?>
<ds:datastoreItem xmlns:ds="http://schemas.openxmlformats.org/officeDocument/2006/customXml" ds:itemID="{0E140B09-BA63-4A90-ACBA-A233595BA245}">
  <ds:schemaRefs>
    <ds:schemaRef ds:uri="http://schemas.microsoft.com/sharepoint/v3/contenttype/forms"/>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7BF9ABEA-0557-403A-B288-D2CEA623DBB2}">
  <ds:schemaRefs/>
</ds:datastoreItem>
</file>

<file path=customXml/itemProps4.xml><?xml version="1.0" encoding="utf-8"?>
<ds:datastoreItem xmlns:ds="http://schemas.openxmlformats.org/officeDocument/2006/customXml" ds:itemID="{C6983999-C809-41BF-B420-9876786F0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aaeef-7754-4071-a86d-fc61c328f6f7"/>
    <ds:schemaRef ds:uri="e226d4ca-1ed8-42f0-8f23-f43336c44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1CC2CA7-FE69-44D1-B435-83D4B7C985BE}">
  <ds:schemaRefs>
    <ds:schemaRef ds:uri="http://schemas.microsoft.com/office/2006/metadata/properties"/>
    <ds:schemaRef ds:uri="http://schemas.microsoft.com/office/infopath/2007/PartnerControls"/>
    <ds:schemaRef ds:uri="5a2aaeef-7754-4071-a86d-fc61c328f6f7"/>
  </ds:schemaRefs>
</ds:datastoreItem>
</file>

<file path=customXml/itemProps6.xml><?xml version="1.0" encoding="utf-8"?>
<ds:datastoreItem xmlns:ds="http://schemas.openxmlformats.org/officeDocument/2006/customXml" ds:itemID="{B6FE09A7-A50E-4441-846A-6E9285688DF8}">
  <ds:schemaRefs>
    <ds:schemaRef ds:uri="http://schemas.openxmlformats.org/officeDocument/2006/bibliography"/>
  </ds:schemaRefs>
</ds:datastoreItem>
</file>

<file path=customXml/itemProps7.xml><?xml version="1.0" encoding="utf-8"?>
<ds:datastoreItem xmlns:ds="http://schemas.openxmlformats.org/officeDocument/2006/customXml" ds:itemID="{D3EA5527-7367-4268-9D83-5125C98D0ED2}">
  <ds:schemaRefs/>
</ds:datastoreItem>
</file>

<file path=docProps/app.xml><?xml version="1.0" encoding="utf-8"?>
<Properties xmlns="http://schemas.openxmlformats.org/officeDocument/2006/extended-properties" xmlns:vt="http://schemas.openxmlformats.org/officeDocument/2006/docPropsVTypes">
  <Template>Eurolook.dotm</Template>
  <TotalTime>5</TotalTime>
  <Pages>69</Pages>
  <Words>16663</Words>
  <Characters>92980</Characters>
  <Application>Microsoft Office Word</Application>
  <DocSecurity>0</DocSecurity>
  <PresentationFormat>Microsoft Word 14.0</PresentationFormat>
  <Lines>2817</Lines>
  <Paragraphs>1589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VANGOMPEL Sien (SG)</cp:lastModifiedBy>
  <cp:revision>8</cp:revision>
  <cp:lastPrinted>2026-03-25T10:57:00Z</cp:lastPrinted>
  <dcterms:created xsi:type="dcterms:W3CDTF">2026-06-14T12:48:00Z</dcterms:created>
  <dcterms:modified xsi:type="dcterms:W3CDTF">2026-06-15T14:25:00Z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2026-03-16T08:55:07Z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8a77190c-4e72-423f-a1f1-ed1fa19b03d1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First annex">
    <vt:lpwstr>5</vt:lpwstr>
  </property>
  <property fmtid="{D5CDD505-2E9C-101B-9397-08002B2CF9AE}" pid="13" name="Last annex">
    <vt:lpwstr>11</vt:lpwstr>
  </property>
  <property fmtid="{D5CDD505-2E9C-101B-9397-08002B2CF9AE}" pid="14" name="Unique annex">
    <vt:lpwstr>0</vt:lpwstr>
  </property>
  <property fmtid="{D5CDD505-2E9C-101B-9397-08002B2CF9AE}" pid="15" name="Part">
    <vt:lpwstr>&lt;UNUSED&gt;</vt:lpwstr>
  </property>
  <property fmtid="{D5CDD505-2E9C-101B-9397-08002B2CF9AE}" pid="16" name="Total parts">
    <vt:lpwstr>&lt;UNUSED&gt;</vt:lpwstr>
  </property>
  <property fmtid="{D5CDD505-2E9C-101B-9397-08002B2CF9AE}" pid="17" name="CPTemplateID">
    <vt:lpwstr>CP-039</vt:lpwstr>
  </property>
  <property fmtid="{D5CDD505-2E9C-101B-9397-08002B2CF9AE}" pid="18" name="Last edited using">
    <vt:lpwstr>LW 9.2, Build 20250828</vt:lpwstr>
  </property>
  <property fmtid="{D5CDD505-2E9C-101B-9397-08002B2CF9AE}" pid="19" name="Created using">
    <vt:lpwstr>LW 9.2, Build 20250828</vt:lpwstr>
  </property>
  <property fmtid="{D5CDD505-2E9C-101B-9397-08002B2CF9AE}" pid="20" name="ContentTypeId">
    <vt:lpwstr>0x0101002A9ECA2606335F4BA5305B32386134E00063A1563B14B2C349B8DD161C5ADC9DBB</vt:lpwstr>
  </property>
  <property fmtid="{D5CDD505-2E9C-101B-9397-08002B2CF9AE}" pid="21" name="DocStatus">
    <vt:lpwstr>Green</vt:lpwstr>
  </property>
</Properties>
</file>