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0D1" w:rsidRDefault="00D70F9F" w:rsidP="00D70F9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3B7EEAA-5F72-404A-AC4D-36382260A15A" style="width:455.25pt;height:357.75pt">
            <v:imagedata r:id="rId10" o:title=""/>
          </v:shape>
        </w:pict>
      </w:r>
    </w:p>
    <w:p w:rsidR="0052102A" w:rsidRDefault="0052102A" w:rsidP="0052102A">
      <w:pPr>
        <w:rPr>
          <w:noProof/>
        </w:rPr>
        <w:sectPr w:rsidR="0052102A" w:rsidSect="00D70F9F">
          <w:footerReference w:type="even" r:id="rId11"/>
          <w:footerReference w:type="default" r:id="rId12"/>
          <w:pgSz w:w="11907" w:h="16839"/>
          <w:pgMar w:top="1134" w:right="1417" w:bottom="1134" w:left="1417" w:header="709" w:footer="709" w:gutter="0"/>
          <w:pgNumType w:start="0"/>
          <w:cols w:space="720"/>
          <w:docGrid w:linePitch="360"/>
        </w:sectPr>
      </w:pPr>
    </w:p>
    <w:p w:rsidR="004230D1" w:rsidRDefault="004230D1">
      <w:pPr>
        <w:pStyle w:val="Exposdesmotifstitre"/>
        <w:rPr>
          <w:noProof/>
        </w:rPr>
      </w:pPr>
      <w:bookmarkStart w:id="0" w:name="_GoBack"/>
      <w:bookmarkEnd w:id="0"/>
      <w:r w:rsidRPr="006F770D">
        <w:rPr>
          <w:noProof/>
        </w:rPr>
        <w:lastRenderedPageBreak/>
        <w:t>EXPLANATORY MEMORANDUM</w:t>
      </w:r>
    </w:p>
    <w:p w:rsidR="004230D1" w:rsidRPr="00A702DB" w:rsidRDefault="004230D1" w:rsidP="00BF7751">
      <w:pPr>
        <w:pStyle w:val="ManualHeading1"/>
        <w:rPr>
          <w:rFonts w:eastAsia="Arial Unicode MS"/>
          <w:noProof/>
          <w:color w:val="000000" w:themeColor="text1"/>
          <w:szCs w:val="24"/>
        </w:rPr>
      </w:pPr>
      <w:r>
        <w:rPr>
          <w:noProof/>
        </w:rPr>
        <w:t>1.</w:t>
      </w:r>
      <w:r>
        <w:rPr>
          <w:noProof/>
        </w:rPr>
        <w:tab/>
      </w:r>
      <w:r w:rsidRPr="00A702DB">
        <w:rPr>
          <w:rFonts w:eastAsia="Arial Unicode MS"/>
          <w:noProof/>
          <w:szCs w:val="24"/>
        </w:rPr>
        <w:t xml:space="preserve">Subject </w:t>
      </w:r>
      <w:r w:rsidRPr="00A702DB">
        <w:rPr>
          <w:rFonts w:eastAsia="Arial Unicode MS"/>
          <w:noProof/>
          <w:color w:val="000000" w:themeColor="text1"/>
          <w:szCs w:val="24"/>
        </w:rPr>
        <w:t>matter of the proposal</w:t>
      </w:r>
    </w:p>
    <w:p w:rsidR="004230D1" w:rsidRPr="00A702DB" w:rsidRDefault="004230D1">
      <w:pPr>
        <w:rPr>
          <w:rFonts w:eastAsia="Arial Unicode MS"/>
          <w:noProof/>
          <w:color w:val="000000" w:themeColor="text1"/>
          <w:szCs w:val="24"/>
        </w:rPr>
      </w:pPr>
      <w:r w:rsidRPr="00A702DB">
        <w:rPr>
          <w:rFonts w:eastAsia="Arial Unicode MS"/>
          <w:noProof/>
          <w:color w:val="000000" w:themeColor="text1"/>
          <w:szCs w:val="24"/>
        </w:rPr>
        <w:t xml:space="preserve">This proposal concerns the </w:t>
      </w:r>
      <w:r w:rsidR="005547A1">
        <w:rPr>
          <w:rFonts w:eastAsia="Arial Unicode MS"/>
          <w:noProof/>
          <w:color w:val="000000" w:themeColor="text1"/>
          <w:szCs w:val="24"/>
        </w:rPr>
        <w:t xml:space="preserve">Council </w:t>
      </w:r>
      <w:r w:rsidRPr="00A702DB">
        <w:rPr>
          <w:rFonts w:eastAsia="Arial Unicode MS"/>
          <w:noProof/>
          <w:color w:val="000000" w:themeColor="text1"/>
          <w:szCs w:val="24"/>
        </w:rPr>
        <w:t xml:space="preserve">decision establishing the position to be taken on the Union's behalf in the </w:t>
      </w:r>
      <w:r w:rsidR="00FD4239" w:rsidRPr="003C2405">
        <w:rPr>
          <w:noProof/>
        </w:rPr>
        <w:t>14th Ministerial Conference of the World Trade Organization (‘WTO’)</w:t>
      </w:r>
      <w:r w:rsidRPr="003C2405">
        <w:rPr>
          <w:noProof/>
        </w:rPr>
        <w:t xml:space="preserve"> </w:t>
      </w:r>
      <w:r w:rsidRPr="00A702DB">
        <w:rPr>
          <w:rFonts w:eastAsia="Arial Unicode MS"/>
          <w:noProof/>
          <w:color w:val="000000" w:themeColor="text1"/>
          <w:szCs w:val="24"/>
        </w:rPr>
        <w:t xml:space="preserve">in connection with the envisaged adoption of </w:t>
      </w:r>
      <w:r w:rsidR="00FD4239" w:rsidRPr="003C2405">
        <w:rPr>
          <w:noProof/>
        </w:rPr>
        <w:t>a decision on the accession of the Republic of Uzbekistan to the WTO.</w:t>
      </w:r>
    </w:p>
    <w:p w:rsidR="004230D1" w:rsidRPr="00A702DB" w:rsidRDefault="004230D1">
      <w:pPr>
        <w:pStyle w:val="ManualHeading1"/>
        <w:rPr>
          <w:noProof/>
          <w:color w:val="000000" w:themeColor="text1"/>
          <w:szCs w:val="24"/>
        </w:rPr>
      </w:pPr>
      <w:r>
        <w:rPr>
          <w:noProof/>
        </w:rPr>
        <w:t>2.</w:t>
      </w:r>
      <w:r>
        <w:rPr>
          <w:noProof/>
        </w:rPr>
        <w:tab/>
      </w:r>
      <w:r w:rsidRPr="00A702DB">
        <w:rPr>
          <w:noProof/>
          <w:color w:val="000000" w:themeColor="text1"/>
          <w:szCs w:val="24"/>
        </w:rPr>
        <w:t>Context of the proposal</w:t>
      </w:r>
    </w:p>
    <w:p w:rsidR="004230D1" w:rsidRPr="00A702DB" w:rsidRDefault="004230D1">
      <w:pPr>
        <w:pStyle w:val="ManualHeading2"/>
        <w:rPr>
          <w:noProof/>
          <w:color w:val="000000" w:themeColor="text1"/>
          <w:szCs w:val="24"/>
        </w:rPr>
      </w:pPr>
      <w:r>
        <w:rPr>
          <w:noProof/>
        </w:rPr>
        <w:t>2.1.</w:t>
      </w:r>
      <w:r>
        <w:rPr>
          <w:noProof/>
        </w:rPr>
        <w:tab/>
      </w:r>
      <w:r w:rsidRPr="00A702DB">
        <w:rPr>
          <w:noProof/>
          <w:color w:val="000000" w:themeColor="text1"/>
          <w:szCs w:val="24"/>
        </w:rPr>
        <w:t xml:space="preserve">The </w:t>
      </w:r>
      <w:r w:rsidR="00FD4239" w:rsidRPr="003C2405">
        <w:rPr>
          <w:noProof/>
        </w:rPr>
        <w:t>Agreement Establishing the World Trade Organization (‘WTO Agreement’)</w:t>
      </w:r>
    </w:p>
    <w:p w:rsidR="004230D1" w:rsidRPr="00A702DB" w:rsidRDefault="004230D1">
      <w:pPr>
        <w:rPr>
          <w:rFonts w:eastAsia="Arial Unicode MS"/>
          <w:noProof/>
          <w:color w:val="000000" w:themeColor="text1"/>
          <w:szCs w:val="24"/>
        </w:rPr>
      </w:pPr>
      <w:r w:rsidRPr="00A702DB">
        <w:rPr>
          <w:rFonts w:eastAsia="Arial Unicode MS"/>
          <w:noProof/>
          <w:color w:val="000000" w:themeColor="text1"/>
          <w:szCs w:val="24"/>
        </w:rPr>
        <w:t xml:space="preserve">The </w:t>
      </w:r>
      <w:r w:rsidR="00FD4239" w:rsidRPr="003C2405">
        <w:rPr>
          <w:noProof/>
        </w:rPr>
        <w:t>Agreement Establishing the World Trade Organization</w:t>
      </w:r>
      <w:r w:rsidRPr="00A702DB">
        <w:rPr>
          <w:rFonts w:eastAsia="Arial Unicode MS"/>
          <w:noProof/>
          <w:color w:val="000000" w:themeColor="text1"/>
          <w:szCs w:val="24"/>
        </w:rPr>
        <w:t xml:space="preserve"> (‘the </w:t>
      </w:r>
      <w:r w:rsidR="00FD4239" w:rsidRPr="00A702DB">
        <w:rPr>
          <w:rFonts w:eastAsia="Arial Unicode MS"/>
          <w:noProof/>
          <w:color w:val="000000" w:themeColor="text1"/>
          <w:szCs w:val="24"/>
        </w:rPr>
        <w:t xml:space="preserve">WTO </w:t>
      </w:r>
      <w:r w:rsidRPr="00A702DB">
        <w:rPr>
          <w:rFonts w:eastAsia="Arial Unicode MS"/>
          <w:noProof/>
          <w:color w:val="000000" w:themeColor="text1"/>
          <w:szCs w:val="24"/>
        </w:rPr>
        <w:t xml:space="preserve">Agreement’) aims to </w:t>
      </w:r>
      <w:r w:rsidR="00FD4239" w:rsidRPr="00A702DB">
        <w:rPr>
          <w:rFonts w:eastAsia="Arial Unicode MS"/>
          <w:noProof/>
          <w:color w:val="000000" w:themeColor="text1"/>
          <w:szCs w:val="24"/>
        </w:rPr>
        <w:t xml:space="preserve">achieve the objectives mentioned in the preamble to the Agreement. </w:t>
      </w:r>
      <w:r w:rsidRPr="00A702DB">
        <w:rPr>
          <w:rFonts w:eastAsia="Arial Unicode MS"/>
          <w:noProof/>
          <w:color w:val="000000" w:themeColor="text1"/>
          <w:szCs w:val="24"/>
        </w:rPr>
        <w:t xml:space="preserve">The Agreement entered into force on </w:t>
      </w:r>
      <w:r w:rsidR="00FD4239" w:rsidRPr="00A702DB">
        <w:rPr>
          <w:noProof/>
          <w:color w:val="000000" w:themeColor="text1"/>
          <w:szCs w:val="24"/>
        </w:rPr>
        <w:t>1 January 1995.</w:t>
      </w:r>
    </w:p>
    <w:p w:rsidR="00FD4239" w:rsidRPr="00A702DB" w:rsidRDefault="00FD4239" w:rsidP="00FD4239">
      <w:pPr>
        <w:rPr>
          <w:rFonts w:eastAsia="Arial Unicode MS"/>
          <w:noProof/>
          <w:color w:val="000000" w:themeColor="text1"/>
          <w:szCs w:val="24"/>
        </w:rPr>
      </w:pPr>
      <w:r w:rsidRPr="00A702DB">
        <w:rPr>
          <w:rFonts w:eastAsia="Arial Unicode MS"/>
          <w:noProof/>
          <w:color w:val="000000" w:themeColor="text1"/>
          <w:szCs w:val="24"/>
        </w:rPr>
        <w:t>The European Union (‘EU’) is a party to the Agreement.</w:t>
      </w:r>
      <w:r w:rsidRPr="00A702DB">
        <w:rPr>
          <w:rStyle w:val="FootnoteReference"/>
          <w:rFonts w:eastAsia="Arial Unicode MS"/>
          <w:noProof/>
          <w:color w:val="000000" w:themeColor="text1"/>
          <w:szCs w:val="24"/>
        </w:rPr>
        <w:footnoteReference w:id="2"/>
      </w:r>
      <w:r w:rsidRPr="00A702DB">
        <w:rPr>
          <w:rFonts w:eastAsia="Arial Unicode MS"/>
          <w:noProof/>
          <w:color w:val="000000" w:themeColor="text1"/>
          <w:szCs w:val="24"/>
        </w:rPr>
        <w:t xml:space="preserve"> </w:t>
      </w:r>
      <w:r w:rsidRPr="00A702DB">
        <w:rPr>
          <w:noProof/>
          <w:color w:val="000000" w:themeColor="text1"/>
          <w:szCs w:val="24"/>
        </w:rPr>
        <w:t xml:space="preserve">All 27 EU </w:t>
      </w:r>
      <w:r w:rsidRPr="00A702DB">
        <w:rPr>
          <w:rFonts w:eastAsia="Arial Unicode MS"/>
          <w:noProof/>
          <w:color w:val="000000" w:themeColor="text1"/>
          <w:szCs w:val="24"/>
        </w:rPr>
        <w:t>Member States are also parties to the Agreement.</w:t>
      </w:r>
      <w:r w:rsidRPr="00A702DB">
        <w:rPr>
          <w:noProof/>
          <w:color w:val="000000" w:themeColor="text1"/>
          <w:szCs w:val="24"/>
        </w:rPr>
        <w:t xml:space="preserve"> </w:t>
      </w:r>
      <w:r w:rsidRPr="00A702DB">
        <w:rPr>
          <w:rFonts w:eastAsia="Arial Unicode MS"/>
          <w:noProof/>
          <w:color w:val="000000" w:themeColor="text1"/>
          <w:szCs w:val="24"/>
        </w:rPr>
        <w:t>The WTO may take decisions in accordance with the procedures set out in the WTO Agreement.</w:t>
      </w:r>
    </w:p>
    <w:p w:rsidR="004230D1" w:rsidRPr="00A702DB" w:rsidRDefault="004230D1">
      <w:pPr>
        <w:pStyle w:val="ManualHeading2"/>
        <w:rPr>
          <w:noProof/>
          <w:color w:val="000000" w:themeColor="text1"/>
          <w:szCs w:val="24"/>
        </w:rPr>
      </w:pPr>
      <w:r>
        <w:rPr>
          <w:noProof/>
        </w:rPr>
        <w:t>2.2.</w:t>
      </w:r>
      <w:r>
        <w:rPr>
          <w:noProof/>
        </w:rPr>
        <w:tab/>
      </w:r>
      <w:r w:rsidRPr="00A702DB">
        <w:rPr>
          <w:noProof/>
          <w:color w:val="000000" w:themeColor="text1"/>
          <w:szCs w:val="24"/>
        </w:rPr>
        <w:t xml:space="preserve">The </w:t>
      </w:r>
      <w:r w:rsidR="00FD4239" w:rsidRPr="003C2405">
        <w:rPr>
          <w:noProof/>
        </w:rPr>
        <w:t>Ministerial Conference of the World Trade Organization</w:t>
      </w:r>
    </w:p>
    <w:p w:rsidR="00FD4239" w:rsidRPr="00A702DB" w:rsidRDefault="00FD4239" w:rsidP="00FD4239">
      <w:pPr>
        <w:rPr>
          <w:rFonts w:eastAsia="Arial Unicode MS"/>
          <w:noProof/>
          <w:color w:val="000000"/>
          <w:szCs w:val="24"/>
          <w:lang w:val="en"/>
        </w:rPr>
      </w:pPr>
      <w:r w:rsidRPr="00A702DB">
        <w:rPr>
          <w:rFonts w:eastAsia="Arial Unicode MS"/>
          <w:noProof/>
          <w:color w:val="000000" w:themeColor="text1"/>
          <w:szCs w:val="24"/>
        </w:rPr>
        <w:t xml:space="preserve">The </w:t>
      </w:r>
      <w:r w:rsidRPr="00A702DB">
        <w:rPr>
          <w:noProof/>
          <w:color w:val="000000" w:themeColor="text1"/>
          <w:szCs w:val="24"/>
        </w:rPr>
        <w:t xml:space="preserve">Ministerial Conference is the highest decision-making body of the WTO and </w:t>
      </w:r>
      <w:r w:rsidRPr="00A702DB">
        <w:rPr>
          <w:rFonts w:eastAsia="Arial Unicode MS"/>
          <w:noProof/>
          <w:color w:val="000000" w:themeColor="text1"/>
          <w:szCs w:val="24"/>
          <w:lang w:val="en"/>
        </w:rPr>
        <w:t xml:space="preserve">meets at least once </w:t>
      </w:r>
      <w:r w:rsidRPr="00A702DB">
        <w:rPr>
          <w:noProof/>
          <w:color w:val="000000" w:themeColor="text1"/>
          <w:szCs w:val="24"/>
        </w:rPr>
        <w:t xml:space="preserve">every two years. As a matter of law </w:t>
      </w:r>
      <w:r w:rsidRPr="00A702DB">
        <w:rPr>
          <w:noProof/>
          <w:color w:val="000000"/>
          <w:szCs w:val="24"/>
        </w:rPr>
        <w:t xml:space="preserve">and practice, </w:t>
      </w:r>
      <w:r w:rsidRPr="00A702DB">
        <w:rPr>
          <w:rFonts w:eastAsia="Arial Unicode MS"/>
          <w:noProof/>
          <w:color w:val="000000"/>
          <w:szCs w:val="24"/>
          <w:lang w:val="en"/>
        </w:rPr>
        <w:t xml:space="preserve">decisions are taken by consensus. </w:t>
      </w:r>
    </w:p>
    <w:p w:rsidR="00FD4239" w:rsidRPr="00A702DB" w:rsidRDefault="00FD4239" w:rsidP="00FD4239">
      <w:pPr>
        <w:rPr>
          <w:rFonts w:eastAsia="Arial Unicode MS"/>
          <w:noProof/>
          <w:color w:val="000000"/>
          <w:szCs w:val="24"/>
        </w:rPr>
      </w:pPr>
      <w:r w:rsidRPr="00A702DB">
        <w:rPr>
          <w:rFonts w:eastAsia="Arial Unicode MS"/>
          <w:noProof/>
          <w:color w:val="000000"/>
          <w:szCs w:val="24"/>
        </w:rPr>
        <w:t>The next meeting of the Ministerial Conference</w:t>
      </w:r>
      <w:r w:rsidRPr="00A702DB">
        <w:rPr>
          <w:noProof/>
          <w:szCs w:val="24"/>
        </w:rPr>
        <w:t xml:space="preserve"> will take place in Yaounde, Cameroon on 26-29 March 2026. </w:t>
      </w:r>
    </w:p>
    <w:p w:rsidR="004230D1" w:rsidRPr="00A702DB" w:rsidRDefault="004230D1">
      <w:pPr>
        <w:pStyle w:val="ManualHeading2"/>
        <w:rPr>
          <w:noProof/>
          <w:szCs w:val="24"/>
        </w:rPr>
      </w:pPr>
      <w:r>
        <w:rPr>
          <w:noProof/>
        </w:rPr>
        <w:t>2.3.</w:t>
      </w:r>
      <w:r>
        <w:rPr>
          <w:noProof/>
        </w:rPr>
        <w:tab/>
      </w:r>
      <w:r w:rsidRPr="00A702DB">
        <w:rPr>
          <w:noProof/>
          <w:szCs w:val="24"/>
        </w:rPr>
        <w:t xml:space="preserve">The envisaged act </w:t>
      </w:r>
      <w:r w:rsidR="00421DC9" w:rsidRPr="00A702DB">
        <w:rPr>
          <w:noProof/>
          <w:szCs w:val="24"/>
        </w:rPr>
        <w:t>during the WTO Ministerial Conference and reason for and objective of the proposal</w:t>
      </w:r>
    </w:p>
    <w:p w:rsidR="00421DC9" w:rsidRPr="00A702DB" w:rsidRDefault="00421DC9" w:rsidP="00421DC9">
      <w:pPr>
        <w:rPr>
          <w:rFonts w:eastAsia="Arial Unicode MS"/>
          <w:noProof/>
          <w:szCs w:val="24"/>
        </w:rPr>
      </w:pPr>
      <w:r w:rsidRPr="00A702DB">
        <w:rPr>
          <w:rFonts w:eastAsia="Arial Unicode MS"/>
          <w:noProof/>
          <w:szCs w:val="24"/>
        </w:rPr>
        <w:t>During the WTO’s 14</w:t>
      </w:r>
      <w:r w:rsidRPr="00A702DB">
        <w:rPr>
          <w:rFonts w:eastAsia="Arial Unicode MS"/>
          <w:noProof/>
          <w:szCs w:val="24"/>
          <w:vertAlign w:val="superscript"/>
        </w:rPr>
        <w:t>th</w:t>
      </w:r>
      <w:r w:rsidRPr="00A702DB">
        <w:rPr>
          <w:rFonts w:eastAsia="Arial Unicode MS"/>
          <w:noProof/>
          <w:szCs w:val="24"/>
        </w:rPr>
        <w:t xml:space="preserve"> Ministerial Conference</w:t>
      </w:r>
      <w:r w:rsidRPr="00A702DB">
        <w:rPr>
          <w:noProof/>
          <w:szCs w:val="24"/>
        </w:rPr>
        <w:t xml:space="preserve"> (‘MC14’) a decision </w:t>
      </w:r>
      <w:r w:rsidRPr="00A702DB">
        <w:rPr>
          <w:rFonts w:eastAsia="Arial Unicode MS"/>
          <w:noProof/>
          <w:szCs w:val="24"/>
        </w:rPr>
        <w:t xml:space="preserve">may be adopted regarding the WTO Accession of the </w:t>
      </w:r>
      <w:r w:rsidRPr="00A702DB">
        <w:rPr>
          <w:rFonts w:eastAsia="Arial Unicode MS"/>
          <w:noProof/>
          <w:szCs w:val="24"/>
          <w:lang w:val="en-US"/>
        </w:rPr>
        <w:t>Republic of Uzbekistan (‘Uzbekistan’)</w:t>
      </w:r>
      <w:r w:rsidRPr="00A702DB">
        <w:rPr>
          <w:rFonts w:eastAsia="Arial Unicode MS"/>
          <w:noProof/>
          <w:szCs w:val="24"/>
        </w:rPr>
        <w:t>.</w:t>
      </w:r>
    </w:p>
    <w:p w:rsidR="00421DC9" w:rsidRPr="00A702DB" w:rsidRDefault="47A7DE7F" w:rsidP="00421DC9">
      <w:pPr>
        <w:rPr>
          <w:rFonts w:eastAsia="Arial Unicode MS"/>
          <w:noProof/>
          <w:szCs w:val="24"/>
        </w:rPr>
      </w:pPr>
      <w:r w:rsidRPr="00A702DB">
        <w:rPr>
          <w:rFonts w:eastAsia="Arial Unicode MS"/>
          <w:noProof/>
          <w:szCs w:val="24"/>
        </w:rPr>
        <w:t xml:space="preserve">Members of the WTO and </w:t>
      </w:r>
      <w:r w:rsidRPr="00A702DB">
        <w:rPr>
          <w:rFonts w:eastAsia="Arial Unicode MS"/>
          <w:noProof/>
          <w:szCs w:val="24"/>
          <w:lang w:val="en-US"/>
        </w:rPr>
        <w:t>Uzbekistan</w:t>
      </w:r>
      <w:r w:rsidRPr="00A702DB">
        <w:rPr>
          <w:rFonts w:eastAsia="Arial Unicode MS"/>
          <w:noProof/>
          <w:szCs w:val="24"/>
        </w:rPr>
        <w:t xml:space="preserve"> </w:t>
      </w:r>
      <w:r w:rsidR="00F9754F" w:rsidRPr="00C15077">
        <w:rPr>
          <w:rFonts w:eastAsia="Arial Unicode MS"/>
          <w:noProof/>
          <w:szCs w:val="24"/>
        </w:rPr>
        <w:t xml:space="preserve">may </w:t>
      </w:r>
      <w:r w:rsidR="7B3D4882" w:rsidRPr="00C15077">
        <w:rPr>
          <w:rFonts w:eastAsia="Arial Unicode MS"/>
          <w:noProof/>
          <w:szCs w:val="24"/>
        </w:rPr>
        <w:t>soon reach</w:t>
      </w:r>
      <w:r w:rsidRPr="00A702DB">
        <w:rPr>
          <w:rFonts w:eastAsia="Arial Unicode MS"/>
          <w:noProof/>
          <w:szCs w:val="24"/>
        </w:rPr>
        <w:t xml:space="preserve"> the concluding stage of an agreement on the terms for the accession of </w:t>
      </w:r>
      <w:r w:rsidRPr="00A702DB">
        <w:rPr>
          <w:rFonts w:eastAsia="Arial Unicode MS"/>
          <w:noProof/>
          <w:szCs w:val="24"/>
          <w:lang w:val="en-US"/>
        </w:rPr>
        <w:t>Uzbekistan</w:t>
      </w:r>
      <w:r w:rsidRPr="00A702DB">
        <w:rPr>
          <w:rFonts w:eastAsia="Arial Unicode MS"/>
          <w:noProof/>
          <w:szCs w:val="24"/>
        </w:rPr>
        <w:t xml:space="preserve"> to the organization. This comes after several years of negotiations, which began when </w:t>
      </w:r>
      <w:r w:rsidRPr="00A702DB">
        <w:rPr>
          <w:rFonts w:eastAsia="Arial Unicode MS"/>
          <w:noProof/>
          <w:szCs w:val="24"/>
          <w:lang w:val="en-US"/>
        </w:rPr>
        <w:t>Uzbekistan</w:t>
      </w:r>
      <w:r w:rsidRPr="00A702DB">
        <w:rPr>
          <w:rFonts w:eastAsia="Arial Unicode MS"/>
          <w:noProof/>
          <w:szCs w:val="24"/>
        </w:rPr>
        <w:t xml:space="preserve"> submitted its application to join the WTO in 1994. </w:t>
      </w:r>
    </w:p>
    <w:p w:rsidR="008B1426" w:rsidRPr="00A702DB" w:rsidRDefault="59B1B76A" w:rsidP="1E5B806C">
      <w:pPr>
        <w:rPr>
          <w:noProof/>
          <w:szCs w:val="24"/>
        </w:rPr>
      </w:pPr>
      <w:r w:rsidRPr="00A702DB">
        <w:rPr>
          <w:noProof/>
          <w:szCs w:val="24"/>
        </w:rPr>
        <w:t>Accession to the WTO is expected to make a positive and lasting contribution to the process of economic reform and sustainable development in Uzbekistan</w:t>
      </w:r>
      <w:r w:rsidR="746C7212" w:rsidRPr="00A702DB">
        <w:rPr>
          <w:noProof/>
          <w:szCs w:val="24"/>
        </w:rPr>
        <w:t>,</w:t>
      </w:r>
      <w:r w:rsidR="7C9C7059" w:rsidRPr="00A702DB">
        <w:rPr>
          <w:noProof/>
          <w:szCs w:val="24"/>
        </w:rPr>
        <w:t xml:space="preserve"> and</w:t>
      </w:r>
      <w:r w:rsidRPr="00A702DB">
        <w:rPr>
          <w:noProof/>
          <w:szCs w:val="24"/>
        </w:rPr>
        <w:t xml:space="preserve"> underscores the support for a rules-based multilateral trading system with the WTO at its core. </w:t>
      </w:r>
    </w:p>
    <w:p w:rsidR="004230D1" w:rsidRPr="00A702DB" w:rsidRDefault="004230D1" w:rsidP="004230D1">
      <w:pPr>
        <w:pStyle w:val="ManualHeading1"/>
        <w:rPr>
          <w:rFonts w:eastAsia="Arial Unicode MS"/>
          <w:noProof/>
          <w:szCs w:val="24"/>
        </w:rPr>
      </w:pPr>
      <w:r>
        <w:rPr>
          <w:noProof/>
        </w:rPr>
        <w:t>3.</w:t>
      </w:r>
      <w:r>
        <w:rPr>
          <w:noProof/>
        </w:rPr>
        <w:tab/>
      </w:r>
      <w:r w:rsidRPr="00A702DB">
        <w:rPr>
          <w:rFonts w:eastAsia="Arial Unicode MS"/>
          <w:noProof/>
          <w:szCs w:val="24"/>
        </w:rPr>
        <w:t>Position to be taken on the Union's behalf</w:t>
      </w:r>
    </w:p>
    <w:p w:rsidR="00B9019F" w:rsidRPr="00A702DB" w:rsidRDefault="00B9019F" w:rsidP="00A3756F">
      <w:pPr>
        <w:pStyle w:val="ManualHeading2"/>
        <w:rPr>
          <w:noProof/>
        </w:rPr>
      </w:pPr>
      <w:r>
        <w:rPr>
          <w:noProof/>
        </w:rPr>
        <w:t>3.1.</w:t>
      </w:r>
      <w:r>
        <w:rPr>
          <w:noProof/>
        </w:rPr>
        <w:tab/>
      </w:r>
      <w:bookmarkStart w:id="1" w:name="_Hlk151031782"/>
      <w:r w:rsidRPr="00A702DB">
        <w:rPr>
          <w:noProof/>
        </w:rPr>
        <w:t>General Notes</w:t>
      </w:r>
    </w:p>
    <w:bookmarkEnd w:id="1"/>
    <w:p w:rsidR="00B9019F" w:rsidRPr="00A702DB" w:rsidRDefault="00B9019F" w:rsidP="00B9019F">
      <w:pPr>
        <w:rPr>
          <w:noProof/>
          <w:color w:val="000000" w:themeColor="text1"/>
          <w:szCs w:val="24"/>
        </w:rPr>
      </w:pPr>
      <w:r w:rsidRPr="00A702DB">
        <w:rPr>
          <w:noProof/>
          <w:color w:val="000000" w:themeColor="text1"/>
          <w:szCs w:val="24"/>
        </w:rPr>
        <w:t xml:space="preserve">The objective of this proposal is to enable the EU to join a possible consensus in the WTO on the adoption by the Ministerial Conference of the envisaged act, consisting of a decision regarding the accession of </w:t>
      </w:r>
      <w:r w:rsidR="0099001C" w:rsidRPr="00A702DB">
        <w:rPr>
          <w:noProof/>
          <w:color w:val="000000" w:themeColor="text1"/>
          <w:szCs w:val="24"/>
        </w:rPr>
        <w:t>Uzbekistan</w:t>
      </w:r>
      <w:r w:rsidRPr="00A702DB">
        <w:rPr>
          <w:noProof/>
          <w:color w:val="000000" w:themeColor="text1"/>
          <w:szCs w:val="24"/>
        </w:rPr>
        <w:t xml:space="preserve"> to the WTO. </w:t>
      </w:r>
    </w:p>
    <w:p w:rsidR="00B9019F" w:rsidRPr="00A702DB" w:rsidRDefault="00B9019F" w:rsidP="00B9019F">
      <w:pPr>
        <w:rPr>
          <w:noProof/>
          <w:color w:val="000000" w:themeColor="text1"/>
          <w:szCs w:val="24"/>
        </w:rPr>
      </w:pPr>
      <w:r w:rsidRPr="00A702DB">
        <w:rPr>
          <w:noProof/>
          <w:color w:val="000000" w:themeColor="text1"/>
          <w:szCs w:val="24"/>
        </w:rPr>
        <w:lastRenderedPageBreak/>
        <w:t>While it is not yet clear if, and to what extent, WTO Members will be able to reach consensus on the envisaged act, the EU position at MC1</w:t>
      </w:r>
      <w:r w:rsidR="0099001C" w:rsidRPr="00A702DB">
        <w:rPr>
          <w:noProof/>
          <w:color w:val="000000" w:themeColor="text1"/>
          <w:szCs w:val="24"/>
        </w:rPr>
        <w:t>4</w:t>
      </w:r>
      <w:r w:rsidRPr="00A702DB">
        <w:rPr>
          <w:noProof/>
          <w:color w:val="000000" w:themeColor="text1"/>
          <w:szCs w:val="24"/>
        </w:rPr>
        <w:t xml:space="preserve"> has to be established in advance by the Council pursuant to Article 218(9) TFEU.</w:t>
      </w:r>
      <w:r w:rsidRPr="00A702DB">
        <w:rPr>
          <w:rStyle w:val="FootnoteReference"/>
          <w:noProof/>
          <w:color w:val="000000" w:themeColor="text1"/>
          <w:szCs w:val="24"/>
        </w:rPr>
        <w:footnoteReference w:id="3"/>
      </w:r>
      <w:r w:rsidRPr="00A702DB">
        <w:rPr>
          <w:noProof/>
          <w:color w:val="000000" w:themeColor="text1"/>
          <w:szCs w:val="24"/>
        </w:rPr>
        <w:t xml:space="preserve"> </w:t>
      </w:r>
    </w:p>
    <w:p w:rsidR="00B9019F" w:rsidRPr="00A702DB" w:rsidRDefault="6F087E6F" w:rsidP="1E5B806C">
      <w:pPr>
        <w:rPr>
          <w:noProof/>
          <w:szCs w:val="24"/>
        </w:rPr>
      </w:pPr>
      <w:r w:rsidRPr="00A702DB">
        <w:rPr>
          <w:noProof/>
          <w:szCs w:val="24"/>
        </w:rPr>
        <w:t xml:space="preserve">In </w:t>
      </w:r>
      <w:r w:rsidR="7497BDC8" w:rsidRPr="00A702DB">
        <w:rPr>
          <w:noProof/>
          <w:szCs w:val="24"/>
        </w:rPr>
        <w:t>1994</w:t>
      </w:r>
      <w:r w:rsidRPr="00A702DB">
        <w:rPr>
          <w:noProof/>
          <w:szCs w:val="24"/>
        </w:rPr>
        <w:t xml:space="preserve">, the Government of </w:t>
      </w:r>
      <w:r w:rsidR="7497BDC8" w:rsidRPr="00A702DB">
        <w:rPr>
          <w:noProof/>
          <w:szCs w:val="24"/>
        </w:rPr>
        <w:t>Uzbekistan</w:t>
      </w:r>
      <w:r w:rsidRPr="00A702DB">
        <w:rPr>
          <w:noProof/>
          <w:szCs w:val="24"/>
        </w:rPr>
        <w:t xml:space="preserve"> applied for accession to the WTO. A Working Party on the accession of </w:t>
      </w:r>
      <w:r w:rsidR="7497BDC8" w:rsidRPr="00A702DB">
        <w:rPr>
          <w:noProof/>
          <w:szCs w:val="24"/>
        </w:rPr>
        <w:t>Uzbekistan</w:t>
      </w:r>
      <w:r w:rsidRPr="00A702DB">
        <w:rPr>
          <w:noProof/>
          <w:szCs w:val="24"/>
        </w:rPr>
        <w:t xml:space="preserve"> was established on </w:t>
      </w:r>
      <w:r w:rsidR="7497BDC8" w:rsidRPr="00A702DB">
        <w:rPr>
          <w:noProof/>
          <w:szCs w:val="24"/>
        </w:rPr>
        <w:t>21 December 1994</w:t>
      </w:r>
      <w:r w:rsidRPr="00A702DB">
        <w:rPr>
          <w:noProof/>
          <w:szCs w:val="24"/>
        </w:rPr>
        <w:t xml:space="preserve">. The </w:t>
      </w:r>
      <w:r w:rsidR="7497BDC8" w:rsidRPr="00A702DB">
        <w:rPr>
          <w:noProof/>
          <w:szCs w:val="24"/>
        </w:rPr>
        <w:t>11th</w:t>
      </w:r>
      <w:r w:rsidR="0032148C">
        <w:rPr>
          <w:noProof/>
          <w:szCs w:val="24"/>
        </w:rPr>
        <w:t xml:space="preserve"> </w:t>
      </w:r>
      <w:r w:rsidRPr="00A702DB">
        <w:rPr>
          <w:noProof/>
          <w:szCs w:val="24"/>
        </w:rPr>
        <w:t xml:space="preserve">Working Party meeting took place on </w:t>
      </w:r>
      <w:r w:rsidR="7497BDC8" w:rsidRPr="00A702DB">
        <w:rPr>
          <w:noProof/>
          <w:szCs w:val="24"/>
        </w:rPr>
        <w:t>5-6 November 2025</w:t>
      </w:r>
      <w:r w:rsidRPr="00A702DB">
        <w:rPr>
          <w:noProof/>
          <w:szCs w:val="24"/>
        </w:rPr>
        <w:t xml:space="preserve">. </w:t>
      </w:r>
      <w:r w:rsidRPr="00C15077">
        <w:rPr>
          <w:noProof/>
          <w:szCs w:val="24"/>
        </w:rPr>
        <w:t xml:space="preserve">In </w:t>
      </w:r>
      <w:r w:rsidR="7497BDC8" w:rsidRPr="00C15077">
        <w:rPr>
          <w:noProof/>
          <w:szCs w:val="24"/>
        </w:rPr>
        <w:t>October</w:t>
      </w:r>
      <w:r w:rsidRPr="00C15077">
        <w:rPr>
          <w:noProof/>
          <w:szCs w:val="24"/>
        </w:rPr>
        <w:t xml:space="preserve"> 202</w:t>
      </w:r>
      <w:r w:rsidR="7497BDC8" w:rsidRPr="00C15077">
        <w:rPr>
          <w:noProof/>
          <w:szCs w:val="24"/>
        </w:rPr>
        <w:t>5</w:t>
      </w:r>
      <w:r w:rsidRPr="00C15077">
        <w:rPr>
          <w:noProof/>
          <w:szCs w:val="24"/>
        </w:rPr>
        <w:t xml:space="preserve">, the Commission, on behalf of the EU, finalised bilateral negotiations on a comprehensive series of market opening commitments on the part of </w:t>
      </w:r>
      <w:r w:rsidR="7497BDC8" w:rsidRPr="00C15077">
        <w:rPr>
          <w:noProof/>
          <w:szCs w:val="24"/>
        </w:rPr>
        <w:t>Uzbekistan</w:t>
      </w:r>
      <w:r w:rsidR="7497BDC8" w:rsidRPr="00A702DB">
        <w:rPr>
          <w:noProof/>
          <w:szCs w:val="24"/>
        </w:rPr>
        <w:t>.</w:t>
      </w:r>
      <w:r w:rsidRPr="00A702DB">
        <w:rPr>
          <w:noProof/>
          <w:szCs w:val="24"/>
        </w:rPr>
        <w:t xml:space="preserve"> </w:t>
      </w:r>
      <w:r w:rsidR="48B5FC8D" w:rsidRPr="00A702DB">
        <w:rPr>
          <w:noProof/>
          <w:szCs w:val="24"/>
        </w:rPr>
        <w:t>The EU should support the accession of Uzbekistan to the WTO.</w:t>
      </w:r>
    </w:p>
    <w:p w:rsidR="00B9019F" w:rsidRPr="00A702DB" w:rsidRDefault="49D4E2AD" w:rsidP="0900A4B1">
      <w:pPr>
        <w:rPr>
          <w:noProof/>
          <w:szCs w:val="24"/>
        </w:rPr>
      </w:pPr>
      <w:r w:rsidRPr="00A702DB">
        <w:rPr>
          <w:rFonts w:eastAsiaTheme="minorEastAsia"/>
          <w:noProof/>
          <w:szCs w:val="24"/>
        </w:rPr>
        <w:t xml:space="preserve">Once released by the WTO Secretariat, the draft Accession Package of the Republic of Uzbekistan (Draft Consolidated Schedule of Concessions and Commitments on Goods, Draft Consolidated Schedule of Specific Commitments on Trade in Services and Draft Working Party Report) will be reviewed by WTO Members at the final Meeting of the Working Party on the Accession of Uzbekistan (not yet scheduled) and may be, with possibly some minor modifications, adopted at MC14 in Cameroon, taking place on 26-29 March 2026. </w:t>
      </w:r>
    </w:p>
    <w:p w:rsidR="00B9019F" w:rsidRPr="00A702DB" w:rsidRDefault="54AA060E" w:rsidP="1E5B806C">
      <w:pPr>
        <w:rPr>
          <w:noProof/>
          <w:szCs w:val="24"/>
        </w:rPr>
      </w:pPr>
      <w:r w:rsidRPr="00A702DB">
        <w:rPr>
          <w:noProof/>
          <w:szCs w:val="24"/>
        </w:rPr>
        <w:t xml:space="preserve">Since negotiations are currently ongoing, the Commission expects that the Council will take its decision on the EU position on the outcome of the negotiations once the situation regarding the relevant texts becomes clear, either at the beginning or during the Ministerial Conference itself. </w:t>
      </w:r>
    </w:p>
    <w:p w:rsidR="00B9019F" w:rsidRPr="00A702DB" w:rsidRDefault="54AA060E" w:rsidP="1E5B806C">
      <w:pPr>
        <w:rPr>
          <w:noProof/>
          <w:szCs w:val="24"/>
        </w:rPr>
      </w:pPr>
      <w:r w:rsidRPr="00A702DB">
        <w:rPr>
          <w:noProof/>
          <w:szCs w:val="24"/>
        </w:rPr>
        <w:t>The initiative is fully consistent with existing polic</w:t>
      </w:r>
      <w:r w:rsidR="00CF07C5">
        <w:rPr>
          <w:noProof/>
          <w:szCs w:val="24"/>
        </w:rPr>
        <w:t>ies</w:t>
      </w:r>
      <w:r w:rsidRPr="00A702DB">
        <w:rPr>
          <w:noProof/>
          <w:szCs w:val="24"/>
        </w:rPr>
        <w:t>. Similar decisions were prepared for previous WTO Ministerial Conferences, including for the 1</w:t>
      </w:r>
      <w:r w:rsidR="002825D7">
        <w:rPr>
          <w:noProof/>
          <w:szCs w:val="24"/>
        </w:rPr>
        <w:t>3</w:t>
      </w:r>
      <w:r w:rsidRPr="00A702DB">
        <w:rPr>
          <w:noProof/>
          <w:szCs w:val="24"/>
        </w:rPr>
        <w:t>th WTO Ministerial Conference in 20</w:t>
      </w:r>
      <w:r w:rsidR="002825D7">
        <w:rPr>
          <w:noProof/>
          <w:szCs w:val="24"/>
        </w:rPr>
        <w:t>24</w:t>
      </w:r>
      <w:r w:rsidRPr="00A702DB">
        <w:rPr>
          <w:noProof/>
          <w:szCs w:val="24"/>
        </w:rPr>
        <w:t>.</w:t>
      </w:r>
      <w:r w:rsidR="00B9019F" w:rsidRPr="00A702DB">
        <w:rPr>
          <w:rStyle w:val="FootnoteReference"/>
          <w:noProof/>
          <w:szCs w:val="24"/>
        </w:rPr>
        <w:footnoteReference w:id="4"/>
      </w:r>
      <w:r w:rsidRPr="00A702DB">
        <w:rPr>
          <w:noProof/>
          <w:szCs w:val="24"/>
        </w:rPr>
        <w:t xml:space="preserve"> </w:t>
      </w:r>
    </w:p>
    <w:p w:rsidR="00B9019F" w:rsidRPr="00A702DB" w:rsidRDefault="6F087E6F" w:rsidP="00A3756F">
      <w:pPr>
        <w:pStyle w:val="ManualHeading2"/>
        <w:rPr>
          <w:noProof/>
        </w:rPr>
      </w:pPr>
      <w:r>
        <w:rPr>
          <w:noProof/>
        </w:rPr>
        <w:t>3.2.</w:t>
      </w:r>
      <w:r>
        <w:rPr>
          <w:noProof/>
        </w:rPr>
        <w:tab/>
      </w:r>
      <w:r w:rsidRPr="00A702DB">
        <w:rPr>
          <w:noProof/>
        </w:rPr>
        <w:t>Summary of terms of WTO accession</w:t>
      </w:r>
    </w:p>
    <w:p w:rsidR="00B9019F" w:rsidRPr="00A702DB" w:rsidRDefault="6F087E6F" w:rsidP="00A3756F">
      <w:pPr>
        <w:pStyle w:val="ManualHeading3"/>
        <w:rPr>
          <w:noProof/>
        </w:rPr>
      </w:pPr>
      <w:r>
        <w:rPr>
          <w:noProof/>
        </w:rPr>
        <w:t>3.2.1.</w:t>
      </w:r>
      <w:r>
        <w:rPr>
          <w:noProof/>
        </w:rPr>
        <w:tab/>
      </w:r>
      <w:r w:rsidRPr="00A702DB">
        <w:rPr>
          <w:noProof/>
        </w:rPr>
        <w:t>Schedule of commitments: goods and services</w:t>
      </w:r>
    </w:p>
    <w:p w:rsidR="00B9019F" w:rsidRPr="00A702DB" w:rsidRDefault="2987E519" w:rsidP="00921AFC">
      <w:pPr>
        <w:shd w:val="clear" w:color="auto" w:fill="FFFFFF" w:themeFill="background1"/>
        <w:spacing w:line="288" w:lineRule="exact"/>
        <w:rPr>
          <w:rFonts w:eastAsiaTheme="minorEastAsia"/>
          <w:noProof/>
          <w:szCs w:val="24"/>
        </w:rPr>
      </w:pPr>
      <w:r w:rsidRPr="00A702DB">
        <w:rPr>
          <w:rFonts w:eastAsia="Times New Roman"/>
          <w:noProof/>
          <w:szCs w:val="24"/>
        </w:rPr>
        <w:t xml:space="preserve">The final consolidated schedules of commitments and concessions elaborated by the WTO Secretariat are </w:t>
      </w:r>
      <w:r w:rsidR="17C39CF2" w:rsidRPr="00A702DB">
        <w:rPr>
          <w:rFonts w:eastAsia="Times New Roman"/>
          <w:noProof/>
          <w:szCs w:val="24"/>
        </w:rPr>
        <w:t xml:space="preserve">in the process of </w:t>
      </w:r>
      <w:r w:rsidR="17C39CF2" w:rsidRPr="00A702DB">
        <w:rPr>
          <w:rFonts w:eastAsiaTheme="minorEastAsia"/>
          <w:noProof/>
          <w:szCs w:val="24"/>
        </w:rPr>
        <w:t>being finalized</w:t>
      </w:r>
      <w:r w:rsidRPr="00A702DB">
        <w:rPr>
          <w:rFonts w:eastAsiaTheme="minorEastAsia"/>
          <w:noProof/>
          <w:szCs w:val="24"/>
        </w:rPr>
        <w:t xml:space="preserve">. </w:t>
      </w:r>
      <w:r w:rsidR="00A45ACF">
        <w:rPr>
          <w:rFonts w:eastAsiaTheme="minorEastAsia"/>
          <w:noProof/>
          <w:szCs w:val="24"/>
        </w:rPr>
        <w:t>T</w:t>
      </w:r>
      <w:r w:rsidRPr="00A702DB">
        <w:rPr>
          <w:rFonts w:eastAsiaTheme="minorEastAsia"/>
          <w:noProof/>
          <w:szCs w:val="24"/>
        </w:rPr>
        <w:t xml:space="preserve">he EU </w:t>
      </w:r>
      <w:r w:rsidR="00A45ACF">
        <w:rPr>
          <w:rFonts w:eastAsiaTheme="minorEastAsia"/>
          <w:noProof/>
          <w:szCs w:val="24"/>
        </w:rPr>
        <w:t>concluded</w:t>
      </w:r>
      <w:r w:rsidRPr="00A702DB">
        <w:rPr>
          <w:rFonts w:eastAsiaTheme="minorEastAsia"/>
          <w:noProof/>
          <w:szCs w:val="24"/>
        </w:rPr>
        <w:t xml:space="preserve"> the bilateral negotiations with Uzb</w:t>
      </w:r>
      <w:r w:rsidR="00C15077">
        <w:rPr>
          <w:rFonts w:eastAsiaTheme="minorEastAsia"/>
          <w:noProof/>
          <w:szCs w:val="24"/>
        </w:rPr>
        <w:t>e</w:t>
      </w:r>
      <w:r w:rsidRPr="00A702DB">
        <w:rPr>
          <w:rFonts w:eastAsiaTheme="minorEastAsia"/>
          <w:noProof/>
          <w:szCs w:val="24"/>
        </w:rPr>
        <w:t>kistan</w:t>
      </w:r>
      <w:r w:rsidR="00A45ACF">
        <w:rPr>
          <w:rFonts w:eastAsiaTheme="minorEastAsia"/>
          <w:noProof/>
          <w:szCs w:val="24"/>
        </w:rPr>
        <w:t xml:space="preserve"> </w:t>
      </w:r>
      <w:r w:rsidR="6664FA30" w:rsidRPr="00A702DB">
        <w:rPr>
          <w:rFonts w:eastAsiaTheme="minorEastAsia"/>
          <w:noProof/>
          <w:szCs w:val="24"/>
        </w:rPr>
        <w:t>on 24 October 2025</w:t>
      </w:r>
      <w:r w:rsidR="1C0677B7" w:rsidRPr="00A702DB">
        <w:rPr>
          <w:rFonts w:eastAsiaTheme="minorEastAsia"/>
          <w:noProof/>
          <w:szCs w:val="24"/>
        </w:rPr>
        <w:t>.</w:t>
      </w:r>
    </w:p>
    <w:p w:rsidR="00B9019F" w:rsidRPr="00A702DB" w:rsidRDefault="6F087E6F" w:rsidP="00A3756F">
      <w:pPr>
        <w:pStyle w:val="ManualHeading3"/>
        <w:rPr>
          <w:noProof/>
        </w:rPr>
      </w:pPr>
      <w:r>
        <w:rPr>
          <w:noProof/>
        </w:rPr>
        <w:t>3.2.2.</w:t>
      </w:r>
      <w:r>
        <w:rPr>
          <w:noProof/>
        </w:rPr>
        <w:tab/>
      </w:r>
      <w:r w:rsidRPr="00A702DB">
        <w:rPr>
          <w:noProof/>
        </w:rPr>
        <w:t xml:space="preserve">Goods </w:t>
      </w:r>
    </w:p>
    <w:p w:rsidR="7CE225FB" w:rsidRPr="00A702DB" w:rsidRDefault="7CE225FB" w:rsidP="0900A4B1">
      <w:pPr>
        <w:rPr>
          <w:rFonts w:eastAsia="Times New Roman"/>
          <w:noProof/>
          <w:szCs w:val="24"/>
        </w:rPr>
      </w:pPr>
      <w:r w:rsidRPr="00A702DB">
        <w:rPr>
          <w:noProof/>
          <w:szCs w:val="24"/>
        </w:rPr>
        <w:t xml:space="preserve">Uzbekistan is binding 100% of </w:t>
      </w:r>
      <w:r w:rsidR="7107FE28" w:rsidRPr="00A702DB">
        <w:rPr>
          <w:noProof/>
          <w:szCs w:val="24"/>
        </w:rPr>
        <w:t>the</w:t>
      </w:r>
      <w:r w:rsidRPr="00A702DB">
        <w:rPr>
          <w:noProof/>
          <w:szCs w:val="24"/>
        </w:rPr>
        <w:t xml:space="preserve"> t</w:t>
      </w:r>
      <w:r w:rsidRPr="00A702DB">
        <w:rPr>
          <w:rFonts w:eastAsia="Times New Roman"/>
          <w:noProof/>
          <w:szCs w:val="24"/>
        </w:rPr>
        <w:t>ariffs in its Schedule of Concessions and Commitments on Goods</w:t>
      </w:r>
      <w:r w:rsidR="3FD5A604" w:rsidRPr="00A702DB">
        <w:rPr>
          <w:rFonts w:eastAsia="Times New Roman"/>
          <w:noProof/>
          <w:szCs w:val="24"/>
        </w:rPr>
        <w:t xml:space="preserve">. </w:t>
      </w:r>
      <w:r w:rsidR="59784E60" w:rsidRPr="00A702DB">
        <w:rPr>
          <w:rFonts w:eastAsia="Times New Roman"/>
          <w:noProof/>
          <w:szCs w:val="24"/>
        </w:rPr>
        <w:t>Regarding its committments for</w:t>
      </w:r>
      <w:r w:rsidRPr="00A702DB">
        <w:rPr>
          <w:rFonts w:eastAsia="Times New Roman"/>
          <w:noProof/>
          <w:szCs w:val="24"/>
        </w:rPr>
        <w:t xml:space="preserve"> the EU, </w:t>
      </w:r>
      <w:r w:rsidR="2504FFE0" w:rsidRPr="00A702DB">
        <w:rPr>
          <w:rFonts w:eastAsia="Times New Roman"/>
          <w:noProof/>
          <w:szCs w:val="24"/>
        </w:rPr>
        <w:t xml:space="preserve">Uzbekistan </w:t>
      </w:r>
      <w:r w:rsidRPr="00A702DB">
        <w:rPr>
          <w:rFonts w:eastAsia="Times New Roman"/>
          <w:noProof/>
          <w:szCs w:val="24"/>
        </w:rPr>
        <w:t xml:space="preserve">will implement </w:t>
      </w:r>
      <w:r w:rsidR="3EC841DC" w:rsidRPr="00A702DB">
        <w:rPr>
          <w:rFonts w:eastAsia="Times New Roman"/>
          <w:noProof/>
          <w:szCs w:val="24"/>
        </w:rPr>
        <w:t xml:space="preserve">the final bound rates as from the date of accession, with </w:t>
      </w:r>
      <w:r w:rsidR="5C5ECBFA" w:rsidRPr="00A702DB">
        <w:rPr>
          <w:rFonts w:eastAsia="Times New Roman"/>
          <w:noProof/>
          <w:szCs w:val="24"/>
        </w:rPr>
        <w:t xml:space="preserve">a minority of bindings being implemented within 3 or 5 years. </w:t>
      </w:r>
      <w:r w:rsidR="6F4E0E80" w:rsidRPr="00A702DB">
        <w:rPr>
          <w:rFonts w:eastAsia="Times New Roman"/>
          <w:noProof/>
          <w:szCs w:val="24"/>
        </w:rPr>
        <w:t>Uzbekistan</w:t>
      </w:r>
      <w:r w:rsidR="1335A790" w:rsidRPr="00A702DB">
        <w:rPr>
          <w:rFonts w:eastAsia="Times New Roman"/>
          <w:noProof/>
          <w:szCs w:val="24"/>
        </w:rPr>
        <w:t xml:space="preserve"> has also met EU request</w:t>
      </w:r>
      <w:r w:rsidR="6743AD43" w:rsidRPr="00A702DB">
        <w:rPr>
          <w:rFonts w:eastAsia="Times New Roman"/>
          <w:noProof/>
          <w:szCs w:val="24"/>
        </w:rPr>
        <w:t>s</w:t>
      </w:r>
      <w:r w:rsidR="1335A790" w:rsidRPr="00A702DB">
        <w:rPr>
          <w:rFonts w:eastAsia="Times New Roman"/>
          <w:noProof/>
          <w:szCs w:val="24"/>
        </w:rPr>
        <w:t xml:space="preserve"> </w:t>
      </w:r>
      <w:r w:rsidR="68F4F95A" w:rsidRPr="00A702DB">
        <w:rPr>
          <w:rFonts w:eastAsia="Times New Roman"/>
          <w:noProof/>
          <w:szCs w:val="24"/>
        </w:rPr>
        <w:t>by</w:t>
      </w:r>
      <w:r w:rsidR="6F4E0E80" w:rsidRPr="00A702DB">
        <w:rPr>
          <w:rFonts w:eastAsia="Times New Roman"/>
          <w:noProof/>
          <w:szCs w:val="24"/>
        </w:rPr>
        <w:t xml:space="preserve"> </w:t>
      </w:r>
      <w:r w:rsidR="1FB2F3A6" w:rsidRPr="00A702DB">
        <w:rPr>
          <w:rFonts w:eastAsia="Times New Roman"/>
          <w:noProof/>
          <w:szCs w:val="24"/>
        </w:rPr>
        <w:t>r</w:t>
      </w:r>
      <w:r w:rsidR="6F4E0E80" w:rsidRPr="00A702DB">
        <w:rPr>
          <w:rFonts w:eastAsia="Times New Roman"/>
          <w:noProof/>
          <w:szCs w:val="24"/>
        </w:rPr>
        <w:t>educ</w:t>
      </w:r>
      <w:r w:rsidR="05EED033" w:rsidRPr="00A702DB">
        <w:rPr>
          <w:rFonts w:eastAsia="Times New Roman"/>
          <w:noProof/>
          <w:szCs w:val="24"/>
        </w:rPr>
        <w:t>ing</w:t>
      </w:r>
      <w:r w:rsidR="6F4E0E80" w:rsidRPr="00A702DB">
        <w:rPr>
          <w:rFonts w:eastAsia="Times New Roman"/>
          <w:noProof/>
          <w:szCs w:val="24"/>
        </w:rPr>
        <w:t xml:space="preserve"> bound rates, in particular for tariff lines with larger EU exports and of agricultural interest</w:t>
      </w:r>
      <w:r w:rsidR="3E636202" w:rsidRPr="00A702DB">
        <w:rPr>
          <w:rFonts w:eastAsia="Times New Roman"/>
          <w:noProof/>
          <w:szCs w:val="24"/>
        </w:rPr>
        <w:t xml:space="preserve"> </w:t>
      </w:r>
      <w:r w:rsidR="6157B5AD" w:rsidRPr="00A702DB">
        <w:rPr>
          <w:rFonts w:eastAsia="Times New Roman"/>
          <w:noProof/>
          <w:szCs w:val="24"/>
        </w:rPr>
        <w:t>(the total trade-weighted average final bound rate of Uzebkistan’s offer to the EU is approximately 4.5%)</w:t>
      </w:r>
      <w:r w:rsidR="147B7C44" w:rsidRPr="00A702DB">
        <w:rPr>
          <w:rFonts w:eastAsia="Times New Roman"/>
          <w:noProof/>
          <w:szCs w:val="24"/>
        </w:rPr>
        <w:t>,</w:t>
      </w:r>
      <w:r w:rsidR="6F4E0E80" w:rsidRPr="00A702DB">
        <w:rPr>
          <w:rFonts w:eastAsia="Times New Roman"/>
          <w:noProof/>
          <w:szCs w:val="24"/>
        </w:rPr>
        <w:t xml:space="preserve"> and </w:t>
      </w:r>
      <w:r w:rsidR="5F0C2D51" w:rsidRPr="00A702DB">
        <w:rPr>
          <w:rFonts w:eastAsia="Times New Roman"/>
          <w:noProof/>
          <w:szCs w:val="24"/>
        </w:rPr>
        <w:t>through the granting of</w:t>
      </w:r>
      <w:r w:rsidR="6F4E0E80" w:rsidRPr="00A702DB">
        <w:rPr>
          <w:rFonts w:eastAsia="Times New Roman"/>
          <w:noProof/>
          <w:szCs w:val="24"/>
        </w:rPr>
        <w:t xml:space="preserve"> Initial Negotiating Rights.</w:t>
      </w:r>
    </w:p>
    <w:p w:rsidR="69562DDF" w:rsidRPr="00A702DB" w:rsidRDefault="69562DDF" w:rsidP="0900A4B1">
      <w:pPr>
        <w:spacing w:before="0" w:after="0"/>
        <w:rPr>
          <w:rFonts w:eastAsia="Times New Roman"/>
          <w:noProof/>
          <w:szCs w:val="24"/>
        </w:rPr>
      </w:pPr>
      <w:r w:rsidRPr="00A702DB">
        <w:rPr>
          <w:rFonts w:eastAsiaTheme="minorEastAsia"/>
          <w:noProof/>
          <w:szCs w:val="24"/>
        </w:rPr>
        <w:t xml:space="preserve">When it comes to export duties, Uzbekistan </w:t>
      </w:r>
      <w:r w:rsidR="002825D7">
        <w:rPr>
          <w:rFonts w:eastAsiaTheme="minorEastAsia"/>
          <w:noProof/>
          <w:szCs w:val="24"/>
        </w:rPr>
        <w:t xml:space="preserve">has agreed on </w:t>
      </w:r>
      <w:r w:rsidRPr="00A702DB">
        <w:rPr>
          <w:rFonts w:eastAsiaTheme="minorEastAsia"/>
          <w:noProof/>
          <w:szCs w:val="24"/>
        </w:rPr>
        <w:t>a positive list, as per EU request with rates most of which similar to those set out in the Uzbek Presidential Decree 47 of March 2025.</w:t>
      </w:r>
      <w:r w:rsidR="0032148C">
        <w:rPr>
          <w:rFonts w:eastAsiaTheme="minorEastAsia"/>
          <w:noProof/>
          <w:szCs w:val="24"/>
        </w:rPr>
        <w:t xml:space="preserve"> </w:t>
      </w:r>
      <w:r w:rsidRPr="00A702DB">
        <w:rPr>
          <w:rFonts w:eastAsiaTheme="minorEastAsia"/>
          <w:noProof/>
          <w:szCs w:val="24"/>
        </w:rPr>
        <w:t>For metals and metal scrap the rates include a percentage ad valorem in the range of 5% to 80% coupled with specific limit values.</w:t>
      </w:r>
      <w:r w:rsidR="002825D7">
        <w:rPr>
          <w:rFonts w:eastAsiaTheme="minorEastAsia"/>
          <w:noProof/>
          <w:szCs w:val="24"/>
        </w:rPr>
        <w:t xml:space="preserve"> </w:t>
      </w:r>
      <w:r w:rsidR="002825D7" w:rsidRPr="002825D7">
        <w:rPr>
          <w:rFonts w:eastAsiaTheme="minorEastAsia"/>
          <w:noProof/>
          <w:szCs w:val="24"/>
        </w:rPr>
        <w:t>For agricultural products</w:t>
      </w:r>
      <w:r w:rsidR="002825D7">
        <w:rPr>
          <w:rFonts w:eastAsiaTheme="minorEastAsia"/>
          <w:noProof/>
          <w:szCs w:val="24"/>
        </w:rPr>
        <w:t>,</w:t>
      </w:r>
      <w:r w:rsidR="002825D7" w:rsidRPr="002825D7">
        <w:rPr>
          <w:rFonts w:eastAsiaTheme="minorEastAsia"/>
          <w:noProof/>
          <w:szCs w:val="24"/>
        </w:rPr>
        <w:t xml:space="preserve"> the rates are ad valorem </w:t>
      </w:r>
      <w:r w:rsidR="002825D7" w:rsidRPr="002825D7">
        <w:rPr>
          <w:rFonts w:eastAsiaTheme="minorEastAsia"/>
          <w:noProof/>
          <w:szCs w:val="24"/>
        </w:rPr>
        <w:lastRenderedPageBreak/>
        <w:t>in the range of 20% and 30% for live animals, meat products and cereals, whereas for rice, cotton and cotton products the export duty rates are ad valorem with specific limit values and with an implementation period of 10 years.</w:t>
      </w:r>
    </w:p>
    <w:p w:rsidR="00B9019F" w:rsidRPr="00460882" w:rsidRDefault="54AA060E" w:rsidP="00A3756F">
      <w:pPr>
        <w:pStyle w:val="ManualHeading3"/>
        <w:rPr>
          <w:noProof/>
        </w:rPr>
      </w:pPr>
      <w:r>
        <w:rPr>
          <w:noProof/>
        </w:rPr>
        <w:t>3.2.3.</w:t>
      </w:r>
      <w:r>
        <w:rPr>
          <w:noProof/>
        </w:rPr>
        <w:tab/>
      </w:r>
      <w:r w:rsidRPr="00460882">
        <w:rPr>
          <w:noProof/>
        </w:rPr>
        <w:t>Services</w:t>
      </w:r>
    </w:p>
    <w:p w:rsidR="00B9019F" w:rsidRPr="00A702DB" w:rsidRDefault="00460882" w:rsidP="0900A4B1">
      <w:pPr>
        <w:rPr>
          <w:rFonts w:eastAsia="Times New Roman"/>
          <w:noProof/>
          <w:szCs w:val="24"/>
          <w:lang w:eastAsia="en-GB"/>
        </w:rPr>
      </w:pPr>
      <w:r>
        <w:rPr>
          <w:rFonts w:eastAsia="Times New Roman"/>
          <w:noProof/>
          <w:szCs w:val="24"/>
          <w:lang w:eastAsia="en-GB"/>
        </w:rPr>
        <w:t>Uzbekistan will undertake market access commitments in a broad range of services, including in</w:t>
      </w:r>
      <w:r w:rsidR="00373765" w:rsidRPr="00A702DB">
        <w:rPr>
          <w:rFonts w:eastAsia="Times New Roman"/>
          <w:noProof/>
          <w:szCs w:val="24"/>
          <w:lang w:eastAsia="en-GB"/>
        </w:rPr>
        <w:t xml:space="preserve"> professional services (legal, accounting and auditing, bookkeeping, taxation, architectural, engineering, integrated engineering, veterinary), business services (computer services, real estate services, other business services), communication services (courier, telecommunication</w:t>
      </w:r>
      <w:r w:rsidR="00464401" w:rsidRPr="00A702DB">
        <w:rPr>
          <w:rFonts w:eastAsia="Times New Roman"/>
          <w:noProof/>
          <w:szCs w:val="24"/>
          <w:lang w:eastAsia="en-GB"/>
        </w:rPr>
        <w:t>, including telecommunications Reference Paper</w:t>
      </w:r>
      <w:r w:rsidR="00373765" w:rsidRPr="00A702DB">
        <w:rPr>
          <w:rFonts w:eastAsia="Times New Roman"/>
          <w:noProof/>
          <w:szCs w:val="24"/>
          <w:lang w:eastAsia="en-GB"/>
        </w:rPr>
        <w:t>), construction and relating engineering, distribution services (both wholesale and retail), educational services (higher education), environmental services, financial services (insurance and banking), tourism and travel-related services, recreational</w:t>
      </w:r>
      <w:r w:rsidR="00277F13">
        <w:rPr>
          <w:rFonts w:eastAsia="Times New Roman"/>
          <w:noProof/>
          <w:szCs w:val="24"/>
          <w:lang w:eastAsia="en-GB"/>
        </w:rPr>
        <w:t>,</w:t>
      </w:r>
      <w:r w:rsidR="00373765" w:rsidRPr="00A702DB">
        <w:rPr>
          <w:rFonts w:eastAsia="Times New Roman"/>
          <w:noProof/>
          <w:szCs w:val="24"/>
          <w:lang w:eastAsia="en-GB"/>
        </w:rPr>
        <w:t xml:space="preserve"> cultural and sporting services and transport services (air, rail, road and auxiliary). </w:t>
      </w:r>
      <w:r w:rsidR="00293189" w:rsidRPr="00A702DB">
        <w:rPr>
          <w:rFonts w:eastAsia="Times New Roman"/>
          <w:noProof/>
          <w:szCs w:val="24"/>
          <w:lang w:eastAsia="en-GB"/>
        </w:rPr>
        <w:t xml:space="preserve">Such commitments are in line with the EU-Uzbekistan Enhanced Partnership and Cooperation Agreement (EPCA). </w:t>
      </w:r>
      <w:r w:rsidR="00373765" w:rsidRPr="00A702DB">
        <w:rPr>
          <w:rFonts w:eastAsia="Times New Roman"/>
          <w:noProof/>
          <w:szCs w:val="24"/>
          <w:lang w:eastAsia="en-GB"/>
        </w:rPr>
        <w:t>Uzbekistan has removed all audiovisual commitments and has taken over the proposed list of M</w:t>
      </w:r>
      <w:r w:rsidR="002825D7">
        <w:rPr>
          <w:rFonts w:eastAsia="Times New Roman"/>
          <w:noProof/>
          <w:szCs w:val="24"/>
          <w:lang w:eastAsia="en-GB"/>
        </w:rPr>
        <w:t xml:space="preserve">ost </w:t>
      </w:r>
      <w:r w:rsidR="00373765" w:rsidRPr="00A702DB">
        <w:rPr>
          <w:rFonts w:eastAsia="Times New Roman"/>
          <w:noProof/>
          <w:szCs w:val="24"/>
          <w:lang w:eastAsia="en-GB"/>
        </w:rPr>
        <w:t>F</w:t>
      </w:r>
      <w:r w:rsidR="002825D7">
        <w:rPr>
          <w:rFonts w:eastAsia="Times New Roman"/>
          <w:noProof/>
          <w:szCs w:val="24"/>
          <w:lang w:eastAsia="en-GB"/>
        </w:rPr>
        <w:t xml:space="preserve">avoured </w:t>
      </w:r>
      <w:r w:rsidR="00373765" w:rsidRPr="00A702DB">
        <w:rPr>
          <w:rFonts w:eastAsia="Times New Roman"/>
          <w:noProof/>
          <w:szCs w:val="24"/>
          <w:lang w:eastAsia="en-GB"/>
        </w:rPr>
        <w:t>N</w:t>
      </w:r>
      <w:r w:rsidR="002825D7">
        <w:rPr>
          <w:rFonts w:eastAsia="Times New Roman"/>
          <w:noProof/>
          <w:szCs w:val="24"/>
          <w:lang w:eastAsia="en-GB"/>
        </w:rPr>
        <w:t xml:space="preserve">ation </w:t>
      </w:r>
      <w:r w:rsidR="00373765" w:rsidRPr="00A702DB">
        <w:rPr>
          <w:rFonts w:eastAsia="Times New Roman"/>
          <w:noProof/>
          <w:szCs w:val="24"/>
          <w:lang w:eastAsia="en-GB"/>
        </w:rPr>
        <w:t>exceptions for audiovisual services in full.</w:t>
      </w:r>
    </w:p>
    <w:p w:rsidR="004230D1" w:rsidRPr="00A702DB" w:rsidRDefault="004230D1">
      <w:pPr>
        <w:pStyle w:val="ManualHeading1"/>
        <w:rPr>
          <w:noProof/>
          <w:szCs w:val="24"/>
        </w:rPr>
      </w:pPr>
      <w:r>
        <w:rPr>
          <w:noProof/>
        </w:rPr>
        <w:t>4.</w:t>
      </w:r>
      <w:r>
        <w:rPr>
          <w:noProof/>
        </w:rPr>
        <w:tab/>
      </w:r>
      <w:r w:rsidRPr="00A702DB">
        <w:rPr>
          <w:noProof/>
          <w:szCs w:val="24"/>
        </w:rPr>
        <w:t>Legal basis</w:t>
      </w:r>
    </w:p>
    <w:p w:rsidR="004230D1" w:rsidRPr="00A702DB" w:rsidRDefault="004230D1">
      <w:pPr>
        <w:pStyle w:val="ManualHeading2"/>
        <w:rPr>
          <w:noProof/>
          <w:szCs w:val="24"/>
        </w:rPr>
      </w:pPr>
      <w:r>
        <w:rPr>
          <w:noProof/>
        </w:rPr>
        <w:t>4.1.</w:t>
      </w:r>
      <w:r>
        <w:rPr>
          <w:noProof/>
        </w:rPr>
        <w:tab/>
      </w:r>
      <w:r w:rsidRPr="00A702DB">
        <w:rPr>
          <w:noProof/>
          <w:szCs w:val="24"/>
        </w:rPr>
        <w:t>Procedural legal basis</w:t>
      </w:r>
    </w:p>
    <w:p w:rsidR="004230D1" w:rsidRPr="00A702DB" w:rsidRDefault="004230D1" w:rsidP="0052102A">
      <w:pPr>
        <w:pStyle w:val="ManualHeading3"/>
        <w:rPr>
          <w:noProof/>
        </w:rPr>
      </w:pPr>
      <w:r>
        <w:rPr>
          <w:noProof/>
        </w:rPr>
        <w:t>4.1.1.</w:t>
      </w:r>
      <w:r>
        <w:rPr>
          <w:noProof/>
        </w:rPr>
        <w:tab/>
      </w:r>
      <w:r w:rsidRPr="00A702DB">
        <w:rPr>
          <w:noProof/>
        </w:rPr>
        <w:t>Principles</w:t>
      </w:r>
    </w:p>
    <w:p w:rsidR="004230D1" w:rsidRPr="00A702DB" w:rsidRDefault="004230D1">
      <w:pPr>
        <w:rPr>
          <w:noProof/>
          <w:szCs w:val="24"/>
        </w:rPr>
      </w:pPr>
      <w:r w:rsidRPr="00A702DB">
        <w:rPr>
          <w:noProof/>
          <w:szCs w:val="24"/>
        </w:rPr>
        <w:t>Article 218(9) of the Treaty on the Functioning of the European Union (TFEU) provides for decisions establishing ‘</w:t>
      </w:r>
      <w:r w:rsidRPr="00A702DB">
        <w:rPr>
          <w:i/>
          <w:noProof/>
          <w:szCs w:val="24"/>
        </w:rPr>
        <w:t>the positions to be adopted on the Union’s behalf in a body set up by an agreement, when that body is called upon to adopt acts having legal effects, with the exception of acts supplementing or amending the institutional framework of the agreement</w:t>
      </w:r>
      <w:r w:rsidRPr="00A702DB">
        <w:rPr>
          <w:noProof/>
          <w:szCs w:val="24"/>
        </w:rPr>
        <w:t>.’</w:t>
      </w:r>
    </w:p>
    <w:p w:rsidR="004230D1" w:rsidRPr="00A702DB" w:rsidRDefault="004230D1">
      <w:pPr>
        <w:rPr>
          <w:noProof/>
          <w:color w:val="000000" w:themeColor="text1"/>
          <w:szCs w:val="24"/>
        </w:rPr>
      </w:pPr>
      <w:r w:rsidRPr="00A702DB">
        <w:rPr>
          <w:noProof/>
          <w:szCs w:val="24"/>
        </w:rPr>
        <w:t>The concept of ‘</w:t>
      </w:r>
      <w:r w:rsidRPr="00A702DB">
        <w:rPr>
          <w:i/>
          <w:noProof/>
          <w:szCs w:val="24"/>
        </w:rPr>
        <w:t>acts having legal effects</w:t>
      </w:r>
      <w:r w:rsidRPr="00A702DB">
        <w:rPr>
          <w:noProof/>
          <w:szCs w:val="24"/>
        </w:rPr>
        <w:t xml:space="preserve">’ includes acts that have legal effects by virtue of the rules of international law governing the body in question. It also includes instruments that do not have a </w:t>
      </w:r>
      <w:r w:rsidRPr="00A702DB">
        <w:rPr>
          <w:noProof/>
          <w:color w:val="000000" w:themeColor="text1"/>
          <w:szCs w:val="24"/>
        </w:rPr>
        <w:t>binding effect under international law, but that are ‘</w:t>
      </w:r>
      <w:r w:rsidRPr="00A702DB">
        <w:rPr>
          <w:i/>
          <w:noProof/>
          <w:color w:val="000000" w:themeColor="text1"/>
          <w:szCs w:val="24"/>
        </w:rPr>
        <w:t>capable of decisively influencing the content of the legislation adopted by the EU legislature</w:t>
      </w:r>
      <w:r w:rsidRPr="00A702DB">
        <w:rPr>
          <w:noProof/>
          <w:color w:val="000000" w:themeColor="text1"/>
          <w:szCs w:val="24"/>
        </w:rPr>
        <w:t>’</w:t>
      </w:r>
      <w:r w:rsidRPr="00A702DB">
        <w:rPr>
          <w:rStyle w:val="FootnoteReference"/>
          <w:noProof/>
          <w:color w:val="000000" w:themeColor="text1"/>
          <w:szCs w:val="24"/>
        </w:rPr>
        <w:footnoteReference w:id="5"/>
      </w:r>
      <w:r w:rsidRPr="00A702DB">
        <w:rPr>
          <w:noProof/>
          <w:color w:val="000000" w:themeColor="text1"/>
          <w:szCs w:val="24"/>
        </w:rPr>
        <w:t>.</w:t>
      </w:r>
    </w:p>
    <w:p w:rsidR="004230D1" w:rsidRPr="00A702DB" w:rsidRDefault="004230D1" w:rsidP="0052102A">
      <w:pPr>
        <w:pStyle w:val="ManualHeading3"/>
        <w:rPr>
          <w:noProof/>
        </w:rPr>
      </w:pPr>
      <w:r>
        <w:rPr>
          <w:noProof/>
        </w:rPr>
        <w:t>4.1.2.</w:t>
      </w:r>
      <w:r>
        <w:rPr>
          <w:noProof/>
        </w:rPr>
        <w:tab/>
      </w:r>
      <w:r w:rsidRPr="00A702DB">
        <w:rPr>
          <w:noProof/>
        </w:rPr>
        <w:t>Application to the present case</w:t>
      </w:r>
    </w:p>
    <w:p w:rsidR="00B9019F" w:rsidRPr="00A702DB" w:rsidRDefault="004230D1" w:rsidP="00B9019F">
      <w:pPr>
        <w:rPr>
          <w:noProof/>
          <w:szCs w:val="24"/>
        </w:rPr>
      </w:pPr>
      <w:r w:rsidRPr="00A702DB">
        <w:rPr>
          <w:noProof/>
          <w:color w:val="000000" w:themeColor="text1"/>
          <w:szCs w:val="24"/>
        </w:rPr>
        <w:t xml:space="preserve">The </w:t>
      </w:r>
      <w:r w:rsidR="00B9019F" w:rsidRPr="003C2405">
        <w:rPr>
          <w:noProof/>
        </w:rPr>
        <w:t>WTO Ministerial Conference</w:t>
      </w:r>
      <w:r w:rsidRPr="00A702DB">
        <w:rPr>
          <w:noProof/>
          <w:color w:val="000000" w:themeColor="text1"/>
          <w:szCs w:val="24"/>
        </w:rPr>
        <w:t xml:space="preserve"> is a body set up by an agreement, namely the </w:t>
      </w:r>
      <w:r w:rsidR="00B9019F" w:rsidRPr="003C2405">
        <w:rPr>
          <w:noProof/>
        </w:rPr>
        <w:t xml:space="preserve">WTO Agreement, which according to Article IV:1 of the WTO Agreement </w:t>
      </w:r>
      <w:r w:rsidR="00B9019F" w:rsidRPr="00A702DB">
        <w:rPr>
          <w:noProof/>
          <w:color w:val="000000" w:themeColor="text1"/>
          <w:szCs w:val="24"/>
        </w:rPr>
        <w:t xml:space="preserve">has the authority to take decisions on all matters covered under any of the multilateral trade agreements, including decisions having </w:t>
      </w:r>
      <w:r w:rsidR="00B9019F" w:rsidRPr="00A702DB">
        <w:rPr>
          <w:noProof/>
          <w:szCs w:val="24"/>
        </w:rPr>
        <w:t>legal effects.</w:t>
      </w:r>
    </w:p>
    <w:p w:rsidR="00B9019F" w:rsidRPr="00A702DB" w:rsidRDefault="00B9019F" w:rsidP="00B9019F">
      <w:pPr>
        <w:rPr>
          <w:noProof/>
          <w:szCs w:val="24"/>
        </w:rPr>
      </w:pPr>
      <w:r w:rsidRPr="00A702DB">
        <w:rPr>
          <w:noProof/>
          <w:color w:val="000000" w:themeColor="text1"/>
          <w:szCs w:val="24"/>
        </w:rPr>
        <w:t>The envisaged act mentioned above constitute</w:t>
      </w:r>
      <w:r w:rsidR="00277F13">
        <w:rPr>
          <w:noProof/>
          <w:color w:val="000000" w:themeColor="text1"/>
          <w:szCs w:val="24"/>
        </w:rPr>
        <w:t>s</w:t>
      </w:r>
      <w:r w:rsidRPr="00A702DB">
        <w:rPr>
          <w:noProof/>
          <w:color w:val="000000" w:themeColor="text1"/>
          <w:szCs w:val="24"/>
        </w:rPr>
        <w:t xml:space="preserve"> </w:t>
      </w:r>
      <w:r w:rsidR="00277F13">
        <w:rPr>
          <w:noProof/>
          <w:color w:val="000000" w:themeColor="text1"/>
          <w:szCs w:val="24"/>
        </w:rPr>
        <w:t xml:space="preserve">an </w:t>
      </w:r>
      <w:r w:rsidRPr="00A702DB">
        <w:rPr>
          <w:noProof/>
          <w:color w:val="000000" w:themeColor="text1"/>
          <w:szCs w:val="24"/>
        </w:rPr>
        <w:t xml:space="preserve">act having legal effects, as </w:t>
      </w:r>
      <w:r w:rsidR="00277F13">
        <w:rPr>
          <w:noProof/>
          <w:color w:val="000000" w:themeColor="text1"/>
          <w:szCs w:val="24"/>
        </w:rPr>
        <w:t>it</w:t>
      </w:r>
      <w:r w:rsidRPr="00A702DB">
        <w:rPr>
          <w:noProof/>
          <w:color w:val="000000" w:themeColor="text1"/>
          <w:szCs w:val="24"/>
        </w:rPr>
        <w:t xml:space="preserve"> may affect the rights and obligations of the Union by virtue of international law</w:t>
      </w:r>
      <w:r w:rsidRPr="00A702DB">
        <w:rPr>
          <w:noProof/>
          <w:szCs w:val="24"/>
        </w:rPr>
        <w:t>.</w:t>
      </w:r>
    </w:p>
    <w:p w:rsidR="00B9019F" w:rsidRPr="00A702DB" w:rsidRDefault="00B9019F" w:rsidP="00B9019F">
      <w:pPr>
        <w:rPr>
          <w:noProof/>
          <w:color w:val="000000" w:themeColor="text1"/>
          <w:szCs w:val="24"/>
        </w:rPr>
      </w:pPr>
      <w:r w:rsidRPr="00A702DB">
        <w:rPr>
          <w:noProof/>
          <w:color w:val="000000" w:themeColor="text1"/>
          <w:szCs w:val="24"/>
        </w:rPr>
        <w:t>The envisaged act do</w:t>
      </w:r>
      <w:r w:rsidR="00277F13">
        <w:rPr>
          <w:noProof/>
          <w:color w:val="000000" w:themeColor="text1"/>
          <w:szCs w:val="24"/>
        </w:rPr>
        <w:t>es</w:t>
      </w:r>
      <w:r w:rsidRPr="00A702DB">
        <w:rPr>
          <w:noProof/>
          <w:color w:val="000000" w:themeColor="text1"/>
          <w:szCs w:val="24"/>
        </w:rPr>
        <w:t xml:space="preserve"> not supplement or amend the institutional framework of the Agreement.</w:t>
      </w:r>
    </w:p>
    <w:p w:rsidR="00B9019F" w:rsidRPr="00A702DB" w:rsidRDefault="00B9019F" w:rsidP="00B9019F">
      <w:pPr>
        <w:rPr>
          <w:noProof/>
          <w:color w:val="000000" w:themeColor="text1"/>
          <w:szCs w:val="24"/>
        </w:rPr>
      </w:pPr>
      <w:r w:rsidRPr="00A702DB">
        <w:rPr>
          <w:noProof/>
          <w:color w:val="000000" w:themeColor="text1"/>
          <w:szCs w:val="24"/>
        </w:rPr>
        <w:t>Therefore, the procedural legal basis for the proposed decision is Article 218(9) TFEU.</w:t>
      </w:r>
    </w:p>
    <w:p w:rsidR="004230D1" w:rsidRPr="00A702DB" w:rsidRDefault="004230D1" w:rsidP="005D372B">
      <w:pPr>
        <w:pStyle w:val="ManualHeading2"/>
        <w:rPr>
          <w:noProof/>
          <w:szCs w:val="24"/>
        </w:rPr>
      </w:pPr>
      <w:r>
        <w:rPr>
          <w:noProof/>
        </w:rPr>
        <w:lastRenderedPageBreak/>
        <w:t>4.2.</w:t>
      </w:r>
      <w:r>
        <w:rPr>
          <w:noProof/>
        </w:rPr>
        <w:tab/>
      </w:r>
      <w:r w:rsidRPr="00A702DB">
        <w:rPr>
          <w:noProof/>
          <w:szCs w:val="24"/>
        </w:rPr>
        <w:t>Substantive legal basis</w:t>
      </w:r>
    </w:p>
    <w:p w:rsidR="004230D1" w:rsidRPr="00A702DB" w:rsidRDefault="004230D1" w:rsidP="0052102A">
      <w:pPr>
        <w:pStyle w:val="ManualHeading3"/>
        <w:rPr>
          <w:noProof/>
        </w:rPr>
      </w:pPr>
      <w:r>
        <w:rPr>
          <w:noProof/>
        </w:rPr>
        <w:t>4.2.1.</w:t>
      </w:r>
      <w:r>
        <w:rPr>
          <w:noProof/>
        </w:rPr>
        <w:tab/>
      </w:r>
      <w:r w:rsidRPr="00A702DB">
        <w:rPr>
          <w:noProof/>
        </w:rPr>
        <w:t>Principles</w:t>
      </w:r>
    </w:p>
    <w:p w:rsidR="004230D1" w:rsidRPr="00A702DB" w:rsidRDefault="004230D1">
      <w:pPr>
        <w:rPr>
          <w:noProof/>
          <w:szCs w:val="24"/>
        </w:rPr>
      </w:pPr>
      <w:r w:rsidRPr="00A702DB">
        <w:rPr>
          <w:noProof/>
          <w:szCs w:val="24"/>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4230D1" w:rsidRPr="00A702DB" w:rsidRDefault="004230D1" w:rsidP="0052102A">
      <w:pPr>
        <w:pStyle w:val="ManualHeading3"/>
        <w:rPr>
          <w:noProof/>
        </w:rPr>
      </w:pPr>
      <w:r>
        <w:rPr>
          <w:noProof/>
        </w:rPr>
        <w:t>4.2.2.</w:t>
      </w:r>
      <w:r>
        <w:rPr>
          <w:noProof/>
        </w:rPr>
        <w:tab/>
      </w:r>
      <w:r w:rsidRPr="00A702DB">
        <w:rPr>
          <w:noProof/>
        </w:rPr>
        <w:t>Application to the present case</w:t>
      </w:r>
    </w:p>
    <w:p w:rsidR="005D372B" w:rsidRPr="00A702DB" w:rsidRDefault="005D372B" w:rsidP="005D372B">
      <w:pPr>
        <w:rPr>
          <w:noProof/>
          <w:szCs w:val="24"/>
        </w:rPr>
      </w:pPr>
      <w:r w:rsidRPr="00A702DB">
        <w:rPr>
          <w:noProof/>
          <w:color w:val="000000" w:themeColor="text1"/>
          <w:szCs w:val="24"/>
        </w:rPr>
        <w:t xml:space="preserve">The main objective and content of the envisaged act relate to </w:t>
      </w:r>
      <w:r w:rsidRPr="00A702DB">
        <w:rPr>
          <w:noProof/>
          <w:szCs w:val="24"/>
        </w:rPr>
        <w:t>the common commercial policy</w:t>
      </w:r>
      <w:r w:rsidRPr="00A702DB">
        <w:rPr>
          <w:noProof/>
          <w:color w:val="000000" w:themeColor="text1"/>
          <w:szCs w:val="24"/>
        </w:rPr>
        <w:t>.</w:t>
      </w:r>
    </w:p>
    <w:p w:rsidR="005D372B" w:rsidRPr="00A702DB" w:rsidRDefault="005D372B" w:rsidP="005D372B">
      <w:pPr>
        <w:rPr>
          <w:noProof/>
          <w:szCs w:val="24"/>
        </w:rPr>
      </w:pPr>
      <w:r w:rsidRPr="00A702DB">
        <w:rPr>
          <w:noProof/>
          <w:color w:val="000000" w:themeColor="text1"/>
          <w:szCs w:val="24"/>
        </w:rPr>
        <w:t xml:space="preserve">The substantive legal basis of the proposed decision, therefore, is </w:t>
      </w:r>
      <w:r w:rsidRPr="00A702DB">
        <w:rPr>
          <w:noProof/>
          <w:szCs w:val="24"/>
        </w:rPr>
        <w:t>Article 207 TFEU.</w:t>
      </w:r>
    </w:p>
    <w:p w:rsidR="004230D1" w:rsidRPr="00A702DB" w:rsidRDefault="004230D1">
      <w:pPr>
        <w:pStyle w:val="ManualHeading2"/>
        <w:rPr>
          <w:noProof/>
          <w:szCs w:val="24"/>
        </w:rPr>
      </w:pPr>
      <w:r>
        <w:rPr>
          <w:noProof/>
        </w:rPr>
        <w:t>4.3.</w:t>
      </w:r>
      <w:r>
        <w:rPr>
          <w:noProof/>
        </w:rPr>
        <w:tab/>
      </w:r>
      <w:r w:rsidRPr="00A702DB">
        <w:rPr>
          <w:noProof/>
          <w:szCs w:val="24"/>
        </w:rPr>
        <w:t>Conclusion</w:t>
      </w:r>
    </w:p>
    <w:p w:rsidR="005D372B" w:rsidRPr="00A702DB" w:rsidRDefault="005D372B" w:rsidP="005D372B">
      <w:pPr>
        <w:rPr>
          <w:noProof/>
          <w:color w:val="000000" w:themeColor="text1"/>
          <w:szCs w:val="24"/>
        </w:rPr>
      </w:pPr>
      <w:r w:rsidRPr="00A702DB">
        <w:rPr>
          <w:noProof/>
          <w:color w:val="000000" w:themeColor="text1"/>
          <w:szCs w:val="24"/>
        </w:rPr>
        <w:t xml:space="preserve">The legal basis of the proposed decision should be </w:t>
      </w:r>
      <w:r w:rsidRPr="00A702DB">
        <w:rPr>
          <w:noProof/>
          <w:szCs w:val="24"/>
        </w:rPr>
        <w:t>Article 207 TFEU</w:t>
      </w:r>
      <w:r w:rsidRPr="00A702DB">
        <w:rPr>
          <w:noProof/>
          <w:color w:val="000000" w:themeColor="text1"/>
          <w:szCs w:val="24"/>
        </w:rPr>
        <w:t xml:space="preserve"> in conjunction with Article 218(9) TFEU.</w:t>
      </w:r>
    </w:p>
    <w:p w:rsidR="004230D1" w:rsidRPr="00FD40BA" w:rsidRDefault="004230D1">
      <w:pPr>
        <w:rPr>
          <w:noProof/>
        </w:rPr>
        <w:sectPr w:rsidR="004230D1" w:rsidRPr="00FD40BA" w:rsidSect="00D70F9F">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rsidR="001E7F68" w:rsidRDefault="005D6BD8">
      <w:pPr>
        <w:pStyle w:val="Rfrenceinterinstitutionnelle"/>
        <w:rPr>
          <w:noProof/>
        </w:rPr>
      </w:pPr>
      <w:r>
        <w:rPr>
          <w:noProof/>
        </w:rPr>
        <w:lastRenderedPageBreak/>
        <w:t>2026/0051 (NLE)</w:t>
      </w:r>
    </w:p>
    <w:p w:rsidR="004230D1" w:rsidRPr="00E34F04" w:rsidRDefault="005214FC" w:rsidP="005214FC">
      <w:pPr>
        <w:pStyle w:val="Statut"/>
        <w:rPr>
          <w:noProof/>
        </w:rPr>
      </w:pPr>
      <w:r w:rsidRPr="005214FC">
        <w:rPr>
          <w:noProof/>
        </w:rPr>
        <w:t>Proposal for a</w:t>
      </w:r>
    </w:p>
    <w:p w:rsidR="004230D1" w:rsidRPr="00E34F04" w:rsidRDefault="005214FC" w:rsidP="005214FC">
      <w:pPr>
        <w:pStyle w:val="Typedudocument"/>
        <w:rPr>
          <w:noProof/>
        </w:rPr>
      </w:pPr>
      <w:r w:rsidRPr="005214FC">
        <w:rPr>
          <w:noProof/>
        </w:rPr>
        <w:t>COUNCIL DECISION</w:t>
      </w:r>
    </w:p>
    <w:p w:rsidR="004230D1" w:rsidRPr="00E34F04" w:rsidRDefault="005214FC" w:rsidP="005214FC">
      <w:pPr>
        <w:pStyle w:val="Titreobjet"/>
        <w:rPr>
          <w:noProof/>
        </w:rPr>
      </w:pPr>
      <w:r w:rsidRPr="005214FC">
        <w:rPr>
          <w:noProof/>
        </w:rPr>
        <w:t>establishing the position to be taken on behalf of the European Union in the World Trade Organization’s 14</w:t>
      </w:r>
      <w:r w:rsidRPr="005214FC">
        <w:rPr>
          <w:noProof/>
          <w:vertAlign w:val="superscript"/>
        </w:rPr>
        <w:t>th</w:t>
      </w:r>
      <w:r w:rsidRPr="005214FC">
        <w:rPr>
          <w:noProof/>
        </w:rPr>
        <w:t xml:space="preserve"> Ministerial Conference on the accession of the Republic of Uzbekistan to the WTO</w:t>
      </w:r>
    </w:p>
    <w:p w:rsidR="004230D1" w:rsidRPr="00AD2A67" w:rsidRDefault="004230D1">
      <w:pPr>
        <w:pStyle w:val="Institutionquiagit"/>
        <w:rPr>
          <w:noProof/>
        </w:rPr>
      </w:pPr>
      <w:r w:rsidRPr="00AD2A67">
        <w:rPr>
          <w:noProof/>
        </w:rPr>
        <w:t>THE COUNCIL OF THE EUROPEAN UNION,</w:t>
      </w:r>
    </w:p>
    <w:p w:rsidR="004230D1" w:rsidRPr="00E34F04" w:rsidRDefault="004230D1">
      <w:pPr>
        <w:rPr>
          <w:noProof/>
        </w:rPr>
      </w:pPr>
      <w:r w:rsidRPr="00E34F04">
        <w:rPr>
          <w:noProof/>
        </w:rPr>
        <w:t>Having regard to the Treaty on the Functioning of the European Union, and in particular Article</w:t>
      </w:r>
      <w:r w:rsidR="005D372B">
        <w:rPr>
          <w:noProof/>
        </w:rPr>
        <w:t xml:space="preserve"> </w:t>
      </w:r>
      <w:r w:rsidR="005D372B" w:rsidRPr="00DC3801">
        <w:rPr>
          <w:noProof/>
        </w:rPr>
        <w:t>207(4)</w:t>
      </w:r>
      <w:r w:rsidR="005D372B">
        <w:rPr>
          <w:noProof/>
        </w:rPr>
        <w:t>, first subparagraph,</w:t>
      </w:r>
      <w:r w:rsidR="005D372B" w:rsidRPr="00DC3801">
        <w:rPr>
          <w:noProof/>
        </w:rPr>
        <w:t xml:space="preserve"> </w:t>
      </w:r>
      <w:r w:rsidRPr="00E34F04">
        <w:rPr>
          <w:noProof/>
        </w:rPr>
        <w:t>in conjunction with Article 218(9) thereof,</w:t>
      </w:r>
    </w:p>
    <w:p w:rsidR="004230D1" w:rsidRPr="00E34F04" w:rsidRDefault="004230D1">
      <w:pPr>
        <w:rPr>
          <w:noProof/>
        </w:rPr>
      </w:pPr>
      <w:r w:rsidRPr="00E34F04">
        <w:rPr>
          <w:noProof/>
        </w:rPr>
        <w:t>Having regard to the proposal from the European Commission,</w:t>
      </w:r>
    </w:p>
    <w:p w:rsidR="005D372B" w:rsidRPr="00E34F04" w:rsidRDefault="005D372B" w:rsidP="005D372B">
      <w:pPr>
        <w:rPr>
          <w:noProof/>
        </w:rPr>
      </w:pPr>
      <w:r w:rsidRPr="00E34F04">
        <w:rPr>
          <w:noProof/>
        </w:rPr>
        <w:t>Whereas:</w:t>
      </w:r>
    </w:p>
    <w:p w:rsidR="005D372B" w:rsidRDefault="005D372B" w:rsidP="00BF7751">
      <w:pPr>
        <w:pStyle w:val="ManualConsidrant"/>
        <w:rPr>
          <w:noProof/>
        </w:rPr>
      </w:pPr>
      <w:r>
        <w:rPr>
          <w:noProof/>
        </w:rPr>
        <w:t>(1)</w:t>
      </w:r>
      <w:r>
        <w:rPr>
          <w:noProof/>
        </w:rPr>
        <w:tab/>
        <w:t xml:space="preserve">The Marrakesh Agreement Establishing the World Trade Organization (‘the WTO Agreement’) was concluded by the Union by Council Decision </w:t>
      </w:r>
      <w:r>
        <w:rPr>
          <w:noProof/>
          <w:lang w:val="en"/>
        </w:rPr>
        <w:t>94/800/EC of 22 December 1994</w:t>
      </w:r>
      <w:r>
        <w:rPr>
          <w:rStyle w:val="FootnoteReference"/>
          <w:noProof/>
        </w:rPr>
        <w:footnoteReference w:id="6"/>
      </w:r>
      <w:r>
        <w:rPr>
          <w:noProof/>
        </w:rPr>
        <w:t xml:space="preserve"> and entered into force on 1 January 1995. </w:t>
      </w:r>
    </w:p>
    <w:p w:rsidR="005D372B" w:rsidRDefault="005D372B" w:rsidP="0052102A">
      <w:pPr>
        <w:pStyle w:val="ManualConsidrant"/>
        <w:rPr>
          <w:noProof/>
        </w:rPr>
      </w:pPr>
      <w:r>
        <w:rPr>
          <w:noProof/>
        </w:rPr>
        <w:t>(2)</w:t>
      </w:r>
      <w:r>
        <w:rPr>
          <w:noProof/>
        </w:rPr>
        <w:tab/>
        <w:t>Pursuant to Articles IV:1 and IX:1 of the WTO Agreement, the Ministerial Conference of the World Trade Organization (‘WTO’) may adopt decisions by consensus.</w:t>
      </w:r>
    </w:p>
    <w:p w:rsidR="005D372B" w:rsidRPr="00035A44" w:rsidRDefault="005D372B" w:rsidP="0052102A">
      <w:pPr>
        <w:pStyle w:val="ManualConsidrant"/>
        <w:rPr>
          <w:noProof/>
        </w:rPr>
      </w:pPr>
      <w:r>
        <w:rPr>
          <w:noProof/>
        </w:rPr>
        <w:t>(3)</w:t>
      </w:r>
      <w:r>
        <w:rPr>
          <w:noProof/>
        </w:rPr>
        <w:tab/>
        <w:t xml:space="preserve">The </w:t>
      </w:r>
      <w:r w:rsidRPr="006D41B7">
        <w:rPr>
          <w:noProof/>
        </w:rPr>
        <w:t>WTO Ministerial Conference, during its 1</w:t>
      </w:r>
      <w:r>
        <w:rPr>
          <w:noProof/>
        </w:rPr>
        <w:t>4</w:t>
      </w:r>
      <w:r w:rsidRPr="006D41B7">
        <w:rPr>
          <w:noProof/>
        </w:rPr>
        <w:t xml:space="preserve">th meeting on 26-29 </w:t>
      </w:r>
      <w:r>
        <w:rPr>
          <w:noProof/>
        </w:rPr>
        <w:t>March</w:t>
      </w:r>
      <w:r w:rsidRPr="006D41B7">
        <w:rPr>
          <w:noProof/>
        </w:rPr>
        <w:t xml:space="preserve"> 202</w:t>
      </w:r>
      <w:r>
        <w:rPr>
          <w:noProof/>
        </w:rPr>
        <w:t>6</w:t>
      </w:r>
      <w:r w:rsidRPr="006D41B7">
        <w:rPr>
          <w:noProof/>
        </w:rPr>
        <w:t xml:space="preserve">, may adopt </w:t>
      </w:r>
      <w:r>
        <w:rPr>
          <w:noProof/>
        </w:rPr>
        <w:t xml:space="preserve">a </w:t>
      </w:r>
      <w:r w:rsidRPr="006D41B7">
        <w:rPr>
          <w:noProof/>
        </w:rPr>
        <w:t xml:space="preserve">decision on </w:t>
      </w:r>
      <w:bookmarkStart w:id="2" w:name="_Hlk150275218"/>
      <w:r>
        <w:rPr>
          <w:noProof/>
        </w:rPr>
        <w:t xml:space="preserve">the </w:t>
      </w:r>
      <w:bookmarkEnd w:id="2"/>
      <w:r>
        <w:rPr>
          <w:noProof/>
        </w:rPr>
        <w:t>a</w:t>
      </w:r>
      <w:r w:rsidRPr="006D41B7">
        <w:rPr>
          <w:noProof/>
        </w:rPr>
        <w:t xml:space="preserve">ccession of </w:t>
      </w:r>
      <w:r>
        <w:rPr>
          <w:noProof/>
        </w:rPr>
        <w:t>Uzbekistan to the WTO</w:t>
      </w:r>
      <w:r w:rsidRPr="006D41B7">
        <w:rPr>
          <w:noProof/>
        </w:rPr>
        <w:t>.</w:t>
      </w:r>
    </w:p>
    <w:p w:rsidR="005D372B" w:rsidRPr="00F82EED" w:rsidRDefault="005D372B" w:rsidP="0052102A">
      <w:pPr>
        <w:pStyle w:val="ManualConsidrant"/>
        <w:rPr>
          <w:noProof/>
        </w:rPr>
      </w:pPr>
      <w:r>
        <w:rPr>
          <w:noProof/>
        </w:rPr>
        <w:t>(4)</w:t>
      </w:r>
      <w:r>
        <w:rPr>
          <w:noProof/>
        </w:rPr>
        <w:tab/>
      </w:r>
      <w:r w:rsidRPr="00F82EED">
        <w:rPr>
          <w:noProof/>
        </w:rPr>
        <w:t xml:space="preserve">It is appropriate to establish the position to be taken on the Union's behalf in the </w:t>
      </w:r>
      <w:r w:rsidRPr="00DC3801">
        <w:rPr>
          <w:noProof/>
        </w:rPr>
        <w:t>WTO Ministerial Conference,</w:t>
      </w:r>
      <w:r w:rsidRPr="00F82EED">
        <w:rPr>
          <w:noProof/>
        </w:rPr>
        <w:t xml:space="preserve"> as the </w:t>
      </w:r>
      <w:r w:rsidRPr="00DC3801">
        <w:rPr>
          <w:noProof/>
        </w:rPr>
        <w:t>decision</w:t>
      </w:r>
      <w:r>
        <w:rPr>
          <w:noProof/>
        </w:rPr>
        <w:t>s</w:t>
      </w:r>
      <w:r w:rsidRPr="00DC3801">
        <w:rPr>
          <w:noProof/>
        </w:rPr>
        <w:t xml:space="preserve"> </w:t>
      </w:r>
      <w:r>
        <w:rPr>
          <w:noProof/>
        </w:rPr>
        <w:t>are</w:t>
      </w:r>
      <w:r w:rsidRPr="00F82EED">
        <w:rPr>
          <w:noProof/>
        </w:rPr>
        <w:t xml:space="preserve"> binding on the Union.</w:t>
      </w:r>
    </w:p>
    <w:p w:rsidR="005D372B" w:rsidRDefault="025A5C2D" w:rsidP="0052102A">
      <w:pPr>
        <w:pStyle w:val="ManualConsidrant"/>
        <w:rPr>
          <w:noProof/>
        </w:rPr>
      </w:pPr>
      <w:r>
        <w:rPr>
          <w:noProof/>
        </w:rPr>
        <w:t>(5)</w:t>
      </w:r>
      <w:r>
        <w:rPr>
          <w:noProof/>
        </w:rPr>
        <w:tab/>
      </w:r>
      <w:r w:rsidRPr="1E5B806C">
        <w:rPr>
          <w:noProof/>
        </w:rPr>
        <w:t xml:space="preserve">Negotiations for the WTO accession of Uzbekistan started in 1995. The Working Party on the accession of </w:t>
      </w:r>
      <w:r w:rsidR="742573A5" w:rsidRPr="1E5B806C">
        <w:rPr>
          <w:noProof/>
        </w:rPr>
        <w:t>Uzbekistan</w:t>
      </w:r>
      <w:r w:rsidRPr="1E5B806C">
        <w:rPr>
          <w:noProof/>
        </w:rPr>
        <w:t xml:space="preserve"> was established on 21 December 1994. The 11</w:t>
      </w:r>
      <w:r w:rsidRPr="1E5B806C">
        <w:rPr>
          <w:noProof/>
          <w:vertAlign w:val="superscript"/>
        </w:rPr>
        <w:t>th</w:t>
      </w:r>
      <w:r w:rsidRPr="1E5B806C">
        <w:rPr>
          <w:noProof/>
        </w:rPr>
        <w:t xml:space="preserve"> Working Party meeting took place on 5-6 November 2025. In October 2025, the Commission, on behalf of the EU, finalised bilateral negotiations on a comprehensive series of market opening commitments on the part of Uzbekistan. Accession to the WTO is expected to make a positive and lasting contribution to the process of economic reform and sustainable development in Uzbekistan. A possible accession also underscores the support for a rules-based multilateral trading system with the WTO at its core. The EU should support the accession of Uzbekistan</w:t>
      </w:r>
      <w:r w:rsidR="0052102A">
        <w:rPr>
          <w:noProof/>
        </w:rPr>
        <w:t>,</w:t>
      </w:r>
    </w:p>
    <w:p w:rsidR="004230D1" w:rsidRPr="00E34F04" w:rsidRDefault="004230D1">
      <w:pPr>
        <w:pStyle w:val="Formuledadoption"/>
        <w:rPr>
          <w:noProof/>
        </w:rPr>
      </w:pPr>
      <w:r w:rsidRPr="00E34F04">
        <w:rPr>
          <w:noProof/>
        </w:rPr>
        <w:t>HAS ADOPTED THIS DECISION:</w:t>
      </w:r>
    </w:p>
    <w:p w:rsidR="004230D1" w:rsidRPr="00E34F04" w:rsidRDefault="004230D1">
      <w:pPr>
        <w:pStyle w:val="Titrearticle"/>
        <w:rPr>
          <w:noProof/>
        </w:rPr>
      </w:pPr>
      <w:r w:rsidRPr="00E34F04">
        <w:rPr>
          <w:noProof/>
        </w:rPr>
        <w:t>Article 1</w:t>
      </w:r>
    </w:p>
    <w:p w:rsidR="005D372B" w:rsidRDefault="005D372B" w:rsidP="005D372B">
      <w:pPr>
        <w:rPr>
          <w:noProof/>
          <w:lang w:val="cs-CZ"/>
        </w:rPr>
      </w:pPr>
      <w:r>
        <w:rPr>
          <w:noProof/>
        </w:rPr>
        <w:t>The position to be taken on the Union's behalf in the 14</w:t>
      </w:r>
      <w:r>
        <w:rPr>
          <w:noProof/>
          <w:vertAlign w:val="superscript"/>
        </w:rPr>
        <w:t>th</w:t>
      </w:r>
      <w:r>
        <w:rPr>
          <w:noProof/>
        </w:rPr>
        <w:t xml:space="preserve"> WTO Ministerial Conference </w:t>
      </w:r>
      <w:r w:rsidR="00460882" w:rsidRPr="00460882">
        <w:rPr>
          <w:noProof/>
        </w:rPr>
        <w:t xml:space="preserve">or in any posterior meeting of the General Council </w:t>
      </w:r>
      <w:r>
        <w:rPr>
          <w:noProof/>
        </w:rPr>
        <w:t>shall be:</w:t>
      </w:r>
    </w:p>
    <w:p w:rsidR="005D372B" w:rsidRPr="00E34F04" w:rsidRDefault="005D372B" w:rsidP="005D372B">
      <w:pPr>
        <w:rPr>
          <w:noProof/>
          <w:lang w:val="cs-CZ"/>
        </w:rPr>
      </w:pPr>
      <w:r>
        <w:rPr>
          <w:noProof/>
        </w:rPr>
        <w:t xml:space="preserve">To join </w:t>
      </w:r>
      <w:r w:rsidRPr="006D41B7">
        <w:rPr>
          <w:noProof/>
        </w:rPr>
        <w:t xml:space="preserve">the consensus reached among WTO Members with a view to adopting </w:t>
      </w:r>
      <w:r>
        <w:rPr>
          <w:noProof/>
        </w:rPr>
        <w:t xml:space="preserve">a </w:t>
      </w:r>
      <w:r w:rsidRPr="006D41B7">
        <w:rPr>
          <w:noProof/>
        </w:rPr>
        <w:t xml:space="preserve">decision regarding </w:t>
      </w:r>
      <w:r>
        <w:rPr>
          <w:noProof/>
        </w:rPr>
        <w:t>the a</w:t>
      </w:r>
      <w:r w:rsidRPr="006D41B7">
        <w:rPr>
          <w:noProof/>
        </w:rPr>
        <w:t xml:space="preserve">ccession of </w:t>
      </w:r>
      <w:r w:rsidR="00B82DF7">
        <w:rPr>
          <w:noProof/>
        </w:rPr>
        <w:t>Uzbekistan</w:t>
      </w:r>
      <w:r>
        <w:rPr>
          <w:noProof/>
        </w:rPr>
        <w:t xml:space="preserve"> to </w:t>
      </w:r>
      <w:r w:rsidRPr="009C6021">
        <w:rPr>
          <w:noProof/>
        </w:rPr>
        <w:t>the WTO</w:t>
      </w:r>
      <w:r w:rsidRPr="006D41B7">
        <w:rPr>
          <w:noProof/>
        </w:rPr>
        <w:t>.</w:t>
      </w:r>
    </w:p>
    <w:p w:rsidR="004230D1" w:rsidRPr="0099001C" w:rsidRDefault="004230D1" w:rsidP="002A25F6">
      <w:pPr>
        <w:pStyle w:val="Titrearticle"/>
        <w:rPr>
          <w:noProof/>
          <w:color w:val="000000" w:themeColor="text1"/>
        </w:rPr>
      </w:pPr>
      <w:r w:rsidRPr="0099001C">
        <w:rPr>
          <w:noProof/>
          <w:color w:val="000000" w:themeColor="text1"/>
        </w:rPr>
        <w:lastRenderedPageBreak/>
        <w:t>Article</w:t>
      </w:r>
      <w:r w:rsidR="005D372B" w:rsidRPr="003C2405">
        <w:rPr>
          <w:noProof/>
        </w:rPr>
        <w:t xml:space="preserve"> 2</w:t>
      </w:r>
    </w:p>
    <w:p w:rsidR="004230D1" w:rsidRDefault="004230D1">
      <w:pPr>
        <w:rPr>
          <w:noProof/>
        </w:rPr>
      </w:pPr>
      <w:r w:rsidRPr="00E34F04">
        <w:rPr>
          <w:noProof/>
        </w:rPr>
        <w:t xml:space="preserve">This Decision is addressed to the </w:t>
      </w:r>
      <w:r w:rsidR="00B82DF7">
        <w:rPr>
          <w:noProof/>
        </w:rPr>
        <w:t>Commission</w:t>
      </w:r>
      <w:r w:rsidRPr="00E34F04">
        <w:rPr>
          <w:i/>
          <w:noProof/>
        </w:rPr>
        <w:t>.</w:t>
      </w:r>
    </w:p>
    <w:p w:rsidR="004230D1" w:rsidRDefault="005214FC" w:rsidP="002A25F6">
      <w:pPr>
        <w:pStyle w:val="Fait"/>
        <w:rPr>
          <w:noProof/>
        </w:rPr>
      </w:pPr>
      <w:r>
        <w:rPr>
          <w:noProof/>
        </w:rPr>
        <w:t>Done at Brussels,</w:t>
      </w:r>
    </w:p>
    <w:p w:rsidR="004230D1" w:rsidRDefault="004230D1" w:rsidP="002A25F6">
      <w:pPr>
        <w:pStyle w:val="Institutionquisigne"/>
        <w:rPr>
          <w:noProof/>
        </w:rPr>
      </w:pPr>
      <w:r w:rsidRPr="004230D1">
        <w:rPr>
          <w:noProof/>
        </w:rPr>
        <w:tab/>
        <w:t>For the Council</w:t>
      </w:r>
    </w:p>
    <w:p w:rsidR="004230D1" w:rsidRPr="004230D1" w:rsidRDefault="004230D1" w:rsidP="004230D1">
      <w:pPr>
        <w:pStyle w:val="Personnequisigne"/>
        <w:rPr>
          <w:noProof/>
        </w:rPr>
      </w:pPr>
      <w:r w:rsidRPr="004230D1">
        <w:rPr>
          <w:noProof/>
        </w:rPr>
        <w:tab/>
        <w:t>The President</w:t>
      </w:r>
    </w:p>
    <w:sectPr w:rsidR="004230D1" w:rsidRPr="004230D1" w:rsidSect="00D70F9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BC6" w:rsidRDefault="00684BC6" w:rsidP="004230D1">
      <w:pPr>
        <w:spacing w:before="0" w:after="0"/>
      </w:pPr>
      <w:r>
        <w:separator/>
      </w:r>
    </w:p>
  </w:endnote>
  <w:endnote w:type="continuationSeparator" w:id="0">
    <w:p w:rsidR="00684BC6" w:rsidRDefault="00684BC6" w:rsidP="004230D1">
      <w:pPr>
        <w:spacing w:before="0" w:after="0"/>
      </w:pPr>
      <w:r>
        <w:continuationSeparator/>
      </w:r>
    </w:p>
  </w:endnote>
  <w:endnote w:type="continuationNotice" w:id="1">
    <w:p w:rsidR="00684BC6" w:rsidRDefault="00684BC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9F" w:rsidRPr="00D70F9F" w:rsidRDefault="00D70F9F" w:rsidP="00D70F9F">
    <w:pPr>
      <w:pStyle w:val="Footer"/>
      <w:rPr>
        <w:rFonts w:ascii="Arial" w:hAnsi="Arial" w:cs="Arial"/>
        <w:b/>
        <w:sz w:val="48"/>
      </w:rPr>
    </w:pPr>
    <w:r w:rsidRPr="00D70F9F">
      <w:rPr>
        <w:rFonts w:ascii="Arial" w:hAnsi="Arial" w:cs="Arial"/>
        <w:b/>
        <w:sz w:val="48"/>
      </w:rPr>
      <w:t>EN</w:t>
    </w:r>
    <w:r w:rsidRPr="00D70F9F">
      <w:rPr>
        <w:rFonts w:ascii="Arial" w:hAnsi="Arial" w:cs="Arial"/>
        <w:b/>
        <w:sz w:val="48"/>
      </w:rPr>
      <w:tab/>
    </w:r>
    <w:r w:rsidRPr="00D70F9F">
      <w:rPr>
        <w:rFonts w:ascii="Arial" w:hAnsi="Arial" w:cs="Arial"/>
        <w:b/>
        <w:sz w:val="48"/>
      </w:rPr>
      <w:tab/>
    </w:r>
    <w:r w:rsidRPr="00D70F9F">
      <w:tab/>
    </w:r>
    <w:r w:rsidRPr="00D70F9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9F" w:rsidRPr="00D70F9F" w:rsidRDefault="00D70F9F" w:rsidP="00D70F9F">
    <w:pPr>
      <w:pStyle w:val="Footer"/>
      <w:rPr>
        <w:rFonts w:ascii="Arial" w:hAnsi="Arial" w:cs="Arial"/>
        <w:b/>
        <w:sz w:val="48"/>
      </w:rPr>
    </w:pPr>
    <w:r w:rsidRPr="00D70F9F">
      <w:rPr>
        <w:rFonts w:ascii="Arial" w:hAnsi="Arial" w:cs="Arial"/>
        <w:b/>
        <w:sz w:val="48"/>
      </w:rPr>
      <w:t>EN</w:t>
    </w:r>
    <w:r w:rsidRPr="00D70F9F">
      <w:rPr>
        <w:rFonts w:ascii="Arial" w:hAnsi="Arial" w:cs="Arial"/>
        <w:b/>
        <w:sz w:val="48"/>
      </w:rPr>
      <w:tab/>
    </w:r>
    <w:r w:rsidRPr="00D70F9F">
      <w:rPr>
        <w:rFonts w:ascii="Arial" w:hAnsi="Arial" w:cs="Arial"/>
        <w:b/>
        <w:sz w:val="48"/>
      </w:rPr>
      <w:tab/>
    </w:r>
    <w:r w:rsidRPr="00D70F9F">
      <w:tab/>
    </w:r>
    <w:r w:rsidRPr="00D70F9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9F" w:rsidRDefault="00D70F9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9F" w:rsidRPr="00D70F9F" w:rsidRDefault="00D70F9F" w:rsidP="00D70F9F">
    <w:pPr>
      <w:pStyle w:val="Footer"/>
      <w:rPr>
        <w:rFonts w:ascii="Arial" w:hAnsi="Arial" w:cs="Arial"/>
        <w:b/>
        <w:sz w:val="48"/>
      </w:rPr>
    </w:pPr>
    <w:r w:rsidRPr="00D70F9F">
      <w:rPr>
        <w:rFonts w:ascii="Arial" w:hAnsi="Arial" w:cs="Arial"/>
        <w:b/>
        <w:sz w:val="48"/>
      </w:rPr>
      <w:t>EN</w:t>
    </w:r>
    <w:r w:rsidRPr="00D70F9F">
      <w:rPr>
        <w:rFonts w:ascii="Arial" w:hAnsi="Arial" w:cs="Arial"/>
        <w:b/>
        <w:sz w:val="48"/>
      </w:rPr>
      <w:tab/>
    </w:r>
    <w:r>
      <w:fldChar w:fldCharType="begin"/>
    </w:r>
    <w:r>
      <w:instrText xml:space="preserve"> PAGE  \* MERGEFORMAT </w:instrText>
    </w:r>
    <w:r>
      <w:fldChar w:fldCharType="separate"/>
    </w:r>
    <w:r w:rsidR="005D6BD8">
      <w:rPr>
        <w:noProof/>
      </w:rPr>
      <w:t>1</w:t>
    </w:r>
    <w:r>
      <w:fldChar w:fldCharType="end"/>
    </w:r>
    <w:r>
      <w:tab/>
    </w:r>
    <w:r w:rsidRPr="00D70F9F">
      <w:tab/>
    </w:r>
    <w:r w:rsidRPr="00D70F9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9F" w:rsidRDefault="00D70F9F" w:rsidP="00D70F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BC6" w:rsidRDefault="00684BC6" w:rsidP="004230D1">
      <w:pPr>
        <w:spacing w:before="0" w:after="0"/>
      </w:pPr>
      <w:r>
        <w:separator/>
      </w:r>
    </w:p>
  </w:footnote>
  <w:footnote w:type="continuationSeparator" w:id="0">
    <w:p w:rsidR="00684BC6" w:rsidRDefault="00684BC6" w:rsidP="004230D1">
      <w:pPr>
        <w:spacing w:before="0" w:after="0"/>
      </w:pPr>
      <w:r>
        <w:continuationSeparator/>
      </w:r>
    </w:p>
  </w:footnote>
  <w:footnote w:type="continuationNotice" w:id="1">
    <w:p w:rsidR="00684BC6" w:rsidRDefault="00684BC6">
      <w:pPr>
        <w:spacing w:before="0" w:after="0"/>
      </w:pPr>
    </w:p>
  </w:footnote>
  <w:footnote w:id="2">
    <w:p w:rsidR="00FD4239" w:rsidRPr="00DB2C7D" w:rsidRDefault="00FD4239" w:rsidP="00FD4239">
      <w:pPr>
        <w:pStyle w:val="FootnoteText"/>
        <w:rPr>
          <w:color w:val="000000"/>
        </w:rPr>
      </w:pPr>
      <w:r w:rsidRPr="00DC3801">
        <w:rPr>
          <w:rStyle w:val="FootnoteReference"/>
        </w:rPr>
        <w:footnoteRef/>
      </w:r>
      <w:r w:rsidRPr="00DB2C7D">
        <w:rPr>
          <w:color w:val="000000"/>
        </w:rPr>
        <w:tab/>
      </w:r>
      <w:r w:rsidRPr="00DB2C7D">
        <w:rPr>
          <w:color w:val="000000"/>
          <w:lang w:val="en"/>
        </w:rPr>
        <w:t xml:space="preserve">Council Decision </w:t>
      </w:r>
      <w:hyperlink r:id="rId1" w:history="1">
        <w:r w:rsidRPr="00DC3801">
          <w:rPr>
            <w:rStyle w:val="Hyperlink"/>
            <w:color w:val="000000"/>
            <w:lang w:val="en"/>
          </w:rPr>
          <w:t>94/800/EC</w:t>
        </w:r>
      </w:hyperlink>
      <w:r w:rsidRPr="00DC3801">
        <w:rPr>
          <w:color w:val="000000"/>
          <w:lang w:val="en"/>
        </w:rPr>
        <w:t xml:space="preserve"> </w:t>
      </w:r>
      <w:r w:rsidRPr="00DB2C7D">
        <w:rPr>
          <w:color w:val="000000"/>
          <w:lang w:val="en"/>
        </w:rPr>
        <w:t>of 22 December 1994 concerning the conclusion on behalf of the European Community, as regard matters within its competence, of the agreements reached in the Uruguay Round of multilateral negotiations (1986-1994)</w:t>
      </w:r>
      <w:r w:rsidRPr="00DB2C7D" w:rsidDel="00A54337">
        <w:rPr>
          <w:color w:val="000000"/>
        </w:rPr>
        <w:t xml:space="preserve"> </w:t>
      </w:r>
      <w:r w:rsidRPr="00DB2C7D">
        <w:rPr>
          <w:color w:val="000000"/>
        </w:rPr>
        <w:t xml:space="preserve">OJ L </w:t>
      </w:r>
      <w:r w:rsidRPr="00DB2C7D">
        <w:rPr>
          <w:color w:val="000000"/>
          <w:lang w:val="en"/>
        </w:rPr>
        <w:t>336</w:t>
      </w:r>
      <w:r w:rsidRPr="00DB2C7D">
        <w:rPr>
          <w:color w:val="000000"/>
        </w:rPr>
        <w:t xml:space="preserve"> </w:t>
      </w:r>
      <w:r w:rsidRPr="00DB2C7D">
        <w:rPr>
          <w:color w:val="000000"/>
          <w:lang w:val="en"/>
        </w:rPr>
        <w:t>23.12.1994</w:t>
      </w:r>
      <w:r w:rsidRPr="00DB2C7D">
        <w:rPr>
          <w:color w:val="000000"/>
        </w:rPr>
        <w:t xml:space="preserve">, p. </w:t>
      </w:r>
      <w:r w:rsidRPr="00DB2C7D">
        <w:rPr>
          <w:color w:val="000000"/>
          <w:lang w:val="en"/>
        </w:rPr>
        <w:t>1</w:t>
      </w:r>
      <w:r>
        <w:rPr>
          <w:color w:val="000000"/>
          <w:lang w:val="en"/>
        </w:rPr>
        <w:t>.</w:t>
      </w:r>
    </w:p>
  </w:footnote>
  <w:footnote w:id="3">
    <w:p w:rsidR="00B9019F" w:rsidRPr="002A7E43" w:rsidRDefault="00B9019F" w:rsidP="00B9019F">
      <w:pPr>
        <w:pStyle w:val="FootnoteText"/>
      </w:pPr>
      <w:r>
        <w:rPr>
          <w:rStyle w:val="FootnoteReference"/>
        </w:rPr>
        <w:footnoteRef/>
      </w:r>
      <w:r>
        <w:tab/>
      </w:r>
      <w:r>
        <w:rPr>
          <w:noProof/>
        </w:rPr>
        <w:t>To the extent that, contrary to the current expectations, the consensus was formalised in an international agreement amending the WTO Agreement or in a plurilateral international agreement among some WTO Members, the Commission would make the necessary proposals in accordance with Article 218(6) TFEU following the adoption of the texts and their opening for acceptance by the MC1</w:t>
      </w:r>
      <w:r w:rsidR="00277F13">
        <w:rPr>
          <w:noProof/>
        </w:rPr>
        <w:t>4</w:t>
      </w:r>
      <w:r>
        <w:rPr>
          <w:noProof/>
        </w:rPr>
        <w:t xml:space="preserve"> or by the </w:t>
      </w:r>
      <w:r w:rsidRPr="002A7E43">
        <w:rPr>
          <w:noProof/>
        </w:rPr>
        <w:t>WTO Members concerned during MC1</w:t>
      </w:r>
      <w:r w:rsidR="00277F13">
        <w:rPr>
          <w:noProof/>
        </w:rPr>
        <w:t>4</w:t>
      </w:r>
      <w:r w:rsidRPr="002A7E43">
        <w:rPr>
          <w:noProof/>
        </w:rPr>
        <w:t>.</w:t>
      </w:r>
      <w:r w:rsidRPr="002A7E43">
        <w:t xml:space="preserve"> </w:t>
      </w:r>
    </w:p>
  </w:footnote>
  <w:footnote w:id="4">
    <w:p w:rsidR="00B9019F" w:rsidRPr="002A7E43" w:rsidRDefault="00B9019F" w:rsidP="00B9019F">
      <w:pPr>
        <w:pStyle w:val="FootnoteText"/>
      </w:pPr>
      <w:r w:rsidRPr="00E07D02">
        <w:rPr>
          <w:rStyle w:val="FootnoteReference"/>
        </w:rPr>
        <w:footnoteRef/>
      </w:r>
      <w:r>
        <w:tab/>
      </w:r>
      <w:hyperlink r:id="rId2" w:history="1">
        <w:r w:rsidR="002825D7" w:rsidRPr="002825D7">
          <w:rPr>
            <w:rStyle w:val="Hyperlink"/>
          </w:rPr>
          <w:t>Proposal for a Council Decision on</w:t>
        </w:r>
        <w:r w:rsidR="00460882">
          <w:rPr>
            <w:rStyle w:val="Hyperlink"/>
          </w:rPr>
          <w:t xml:space="preserve"> the</w:t>
        </w:r>
        <w:r w:rsidR="002825D7" w:rsidRPr="002825D7">
          <w:rPr>
            <w:rStyle w:val="Hyperlink"/>
          </w:rPr>
          <w:t xml:space="preserve"> accession of Timor-Leste to the WTO</w:t>
        </w:r>
      </w:hyperlink>
      <w:r w:rsidR="00B05E4D">
        <w:t>.</w:t>
      </w:r>
    </w:p>
  </w:footnote>
  <w:footnote w:id="5">
    <w:p w:rsidR="004230D1" w:rsidRPr="00B035F8" w:rsidRDefault="004230D1">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6">
    <w:p w:rsidR="005D372B" w:rsidRDefault="005D372B" w:rsidP="005D372B">
      <w:pPr>
        <w:pStyle w:val="FootnoteText"/>
      </w:pPr>
      <w:r>
        <w:rPr>
          <w:rStyle w:val="FootnoteReference"/>
        </w:rPr>
        <w:footnoteRef/>
      </w:r>
      <w:r>
        <w:tab/>
        <w:t xml:space="preserve">OJ L 336, </w:t>
      </w:r>
      <w:r>
        <w:rPr>
          <w:lang w:val="en"/>
        </w:rPr>
        <w:t>23.12.1994</w:t>
      </w:r>
      <w:r>
        <w:t>,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9F" w:rsidRDefault="00D70F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F9F" w:rsidRDefault="00D70F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C1CF31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FE8B61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1BC8A1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35E0CF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6 07:28: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3B7EEAA-5F72-404A-AC4D-36382260A15A"/>
    <w:docVar w:name="LW_COVERPAGE_TYPE" w:val="1"/>
    <w:docVar w:name="LW_CreatedUtc" w:val="2025-10-23T08:47:58.7172290Z"/>
    <w:docVar w:name="LW_CROSSREFERENCE" w:val="&lt;UNUSED&gt;"/>
    <w:docVar w:name="LW_DocType" w:val="COM"/>
    <w:docVar w:name="LW_EMISSION" w:val="20.2.2026"/>
    <w:docVar w:name="LW_EMISSION_ISODATE" w:val="2026-02-20"/>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51"/>
    <w:docVar w:name="LW_REF.II.NEW.CP_YEAR" w:val="2026"/>
    <w:docVar w:name="LW_REF.INST.NEW" w:val="COM"/>
    <w:docVar w:name="LW_REF.INST.NEW_ADOPTED" w:val="final"/>
    <w:docVar w:name="LW_REF.INST.NEW_TEXT" w:val="(2026) 8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establishing the position to be taken on behalf of the European Union in the World Trade Organization\u8217?s 14&lt;FMT:Superscript&gt;th&lt;/FMT&gt; Ministerial Conference on the accession of the Republic of Uzbekistan to the WTO"/>
    <w:docVar w:name="LW_TYPE.DOC.CP" w:val="COUNCIL DECISION"/>
    <w:docVar w:name="LwApiVersions" w:val="LW4CoDe 1.24.5.0; LW 9.2, Build 20251112"/>
  </w:docVars>
  <w:rsids>
    <w:rsidRoot w:val="004230D1"/>
    <w:rsid w:val="00017AF2"/>
    <w:rsid w:val="00017CBF"/>
    <w:rsid w:val="000653D6"/>
    <w:rsid w:val="000837A6"/>
    <w:rsid w:val="000F38EE"/>
    <w:rsid w:val="001065F5"/>
    <w:rsid w:val="001238EF"/>
    <w:rsid w:val="00144C21"/>
    <w:rsid w:val="00157042"/>
    <w:rsid w:val="00161482"/>
    <w:rsid w:val="00181FE0"/>
    <w:rsid w:val="00196A57"/>
    <w:rsid w:val="00197613"/>
    <w:rsid w:val="001A18D5"/>
    <w:rsid w:val="001A57E9"/>
    <w:rsid w:val="001A5E26"/>
    <w:rsid w:val="001E7F68"/>
    <w:rsid w:val="0021166E"/>
    <w:rsid w:val="00233DC7"/>
    <w:rsid w:val="0023550F"/>
    <w:rsid w:val="00247779"/>
    <w:rsid w:val="0027757E"/>
    <w:rsid w:val="00277F13"/>
    <w:rsid w:val="002825D7"/>
    <w:rsid w:val="00285BEE"/>
    <w:rsid w:val="00293189"/>
    <w:rsid w:val="0029533F"/>
    <w:rsid w:val="002A25F6"/>
    <w:rsid w:val="002B30AF"/>
    <w:rsid w:val="002BFE12"/>
    <w:rsid w:val="002E6EAD"/>
    <w:rsid w:val="002F678F"/>
    <w:rsid w:val="00317A0D"/>
    <w:rsid w:val="0032148C"/>
    <w:rsid w:val="0033344A"/>
    <w:rsid w:val="00373765"/>
    <w:rsid w:val="003933EC"/>
    <w:rsid w:val="003B59D6"/>
    <w:rsid w:val="003C2405"/>
    <w:rsid w:val="003D12D2"/>
    <w:rsid w:val="00421DC9"/>
    <w:rsid w:val="004230D1"/>
    <w:rsid w:val="0042648E"/>
    <w:rsid w:val="00443BF4"/>
    <w:rsid w:val="004521D7"/>
    <w:rsid w:val="00460882"/>
    <w:rsid w:val="004610C4"/>
    <w:rsid w:val="00464401"/>
    <w:rsid w:val="00465AC0"/>
    <w:rsid w:val="00476049"/>
    <w:rsid w:val="00483CAF"/>
    <w:rsid w:val="004936D2"/>
    <w:rsid w:val="005059CC"/>
    <w:rsid w:val="0051555F"/>
    <w:rsid w:val="0052102A"/>
    <w:rsid w:val="005214FC"/>
    <w:rsid w:val="00553321"/>
    <w:rsid w:val="005547A1"/>
    <w:rsid w:val="005774B9"/>
    <w:rsid w:val="00586243"/>
    <w:rsid w:val="00586980"/>
    <w:rsid w:val="005B1EB6"/>
    <w:rsid w:val="005D372B"/>
    <w:rsid w:val="005D6BD8"/>
    <w:rsid w:val="005F11A9"/>
    <w:rsid w:val="0061203E"/>
    <w:rsid w:val="00684BC6"/>
    <w:rsid w:val="00695A70"/>
    <w:rsid w:val="006A2F77"/>
    <w:rsid w:val="006D0876"/>
    <w:rsid w:val="006F2841"/>
    <w:rsid w:val="00754C88"/>
    <w:rsid w:val="00773331"/>
    <w:rsid w:val="007932EF"/>
    <w:rsid w:val="007A1BE4"/>
    <w:rsid w:val="007D56BE"/>
    <w:rsid w:val="007E05B0"/>
    <w:rsid w:val="00812D97"/>
    <w:rsid w:val="0085724F"/>
    <w:rsid w:val="00874D22"/>
    <w:rsid w:val="0089501B"/>
    <w:rsid w:val="008A2914"/>
    <w:rsid w:val="008B02D4"/>
    <w:rsid w:val="008B1426"/>
    <w:rsid w:val="008B35A2"/>
    <w:rsid w:val="008B77CB"/>
    <w:rsid w:val="008E4D8E"/>
    <w:rsid w:val="008E67D4"/>
    <w:rsid w:val="00904A5E"/>
    <w:rsid w:val="009117D6"/>
    <w:rsid w:val="009165BC"/>
    <w:rsid w:val="0092195C"/>
    <w:rsid w:val="00921AFC"/>
    <w:rsid w:val="00986814"/>
    <w:rsid w:val="0099001C"/>
    <w:rsid w:val="009D0B02"/>
    <w:rsid w:val="009D4E39"/>
    <w:rsid w:val="009E66B4"/>
    <w:rsid w:val="009F67D5"/>
    <w:rsid w:val="00A076AE"/>
    <w:rsid w:val="00A158DE"/>
    <w:rsid w:val="00A3756F"/>
    <w:rsid w:val="00A45ACF"/>
    <w:rsid w:val="00A702DB"/>
    <w:rsid w:val="00A722E2"/>
    <w:rsid w:val="00A75F22"/>
    <w:rsid w:val="00AD73C8"/>
    <w:rsid w:val="00B05E4D"/>
    <w:rsid w:val="00B40DD5"/>
    <w:rsid w:val="00B546CA"/>
    <w:rsid w:val="00B56ECA"/>
    <w:rsid w:val="00B622EF"/>
    <w:rsid w:val="00B82DF7"/>
    <w:rsid w:val="00B9019F"/>
    <w:rsid w:val="00B947C3"/>
    <w:rsid w:val="00BC59A3"/>
    <w:rsid w:val="00BD7AF5"/>
    <w:rsid w:val="00BE3CC5"/>
    <w:rsid w:val="00BF7751"/>
    <w:rsid w:val="00C05DDA"/>
    <w:rsid w:val="00C12301"/>
    <w:rsid w:val="00C15077"/>
    <w:rsid w:val="00C362C9"/>
    <w:rsid w:val="00C44154"/>
    <w:rsid w:val="00C748E9"/>
    <w:rsid w:val="00C859E8"/>
    <w:rsid w:val="00CA75FC"/>
    <w:rsid w:val="00CC33FA"/>
    <w:rsid w:val="00CF07C5"/>
    <w:rsid w:val="00CF7B8D"/>
    <w:rsid w:val="00D02299"/>
    <w:rsid w:val="00D20381"/>
    <w:rsid w:val="00D407A0"/>
    <w:rsid w:val="00D54DD5"/>
    <w:rsid w:val="00D56A1C"/>
    <w:rsid w:val="00D66E62"/>
    <w:rsid w:val="00D70F9F"/>
    <w:rsid w:val="00D814F6"/>
    <w:rsid w:val="00DB5D19"/>
    <w:rsid w:val="00DF6DC8"/>
    <w:rsid w:val="00E3155E"/>
    <w:rsid w:val="00E442B4"/>
    <w:rsid w:val="00E70DB3"/>
    <w:rsid w:val="00E8772E"/>
    <w:rsid w:val="00E95A9F"/>
    <w:rsid w:val="00EA6F03"/>
    <w:rsid w:val="00F11292"/>
    <w:rsid w:val="00F37C84"/>
    <w:rsid w:val="00F40148"/>
    <w:rsid w:val="00F523C7"/>
    <w:rsid w:val="00F9460D"/>
    <w:rsid w:val="00F9754F"/>
    <w:rsid w:val="00FC38F8"/>
    <w:rsid w:val="00FD4239"/>
    <w:rsid w:val="00FD7A50"/>
    <w:rsid w:val="015F0741"/>
    <w:rsid w:val="0168FEF0"/>
    <w:rsid w:val="025A5C2D"/>
    <w:rsid w:val="04046541"/>
    <w:rsid w:val="055FFF61"/>
    <w:rsid w:val="05EED033"/>
    <w:rsid w:val="089ABCA7"/>
    <w:rsid w:val="0900A4B1"/>
    <w:rsid w:val="091380AC"/>
    <w:rsid w:val="09D19820"/>
    <w:rsid w:val="09EEC287"/>
    <w:rsid w:val="0BFA340A"/>
    <w:rsid w:val="0CB8AAF6"/>
    <w:rsid w:val="0D27B5FB"/>
    <w:rsid w:val="0D82AB52"/>
    <w:rsid w:val="0DBF4B40"/>
    <w:rsid w:val="0DE41CE2"/>
    <w:rsid w:val="0EB8B8AC"/>
    <w:rsid w:val="0F241053"/>
    <w:rsid w:val="0F7A7BB9"/>
    <w:rsid w:val="0FA463C7"/>
    <w:rsid w:val="0FE9B6E5"/>
    <w:rsid w:val="10C7A5FF"/>
    <w:rsid w:val="10D885E3"/>
    <w:rsid w:val="118C0C69"/>
    <w:rsid w:val="11AD10DE"/>
    <w:rsid w:val="11E587A5"/>
    <w:rsid w:val="12790BA4"/>
    <w:rsid w:val="1335A790"/>
    <w:rsid w:val="1357AD6C"/>
    <w:rsid w:val="138A70E7"/>
    <w:rsid w:val="14068DA6"/>
    <w:rsid w:val="1412801F"/>
    <w:rsid w:val="147B7C44"/>
    <w:rsid w:val="1692025A"/>
    <w:rsid w:val="17058BB8"/>
    <w:rsid w:val="171A4D0B"/>
    <w:rsid w:val="17C39CF2"/>
    <w:rsid w:val="17D8D055"/>
    <w:rsid w:val="1842A88D"/>
    <w:rsid w:val="18700233"/>
    <w:rsid w:val="1A48BBC9"/>
    <w:rsid w:val="1AD15AD8"/>
    <w:rsid w:val="1BB50F64"/>
    <w:rsid w:val="1C0677B7"/>
    <w:rsid w:val="1C70A406"/>
    <w:rsid w:val="1DDD8C77"/>
    <w:rsid w:val="1DE11B2D"/>
    <w:rsid w:val="1E5B806C"/>
    <w:rsid w:val="1FB2F3A6"/>
    <w:rsid w:val="20230490"/>
    <w:rsid w:val="241271AC"/>
    <w:rsid w:val="24A22489"/>
    <w:rsid w:val="2504FFE0"/>
    <w:rsid w:val="25F36C7C"/>
    <w:rsid w:val="28B6CCC3"/>
    <w:rsid w:val="2987E519"/>
    <w:rsid w:val="2B8E6E21"/>
    <w:rsid w:val="2D2795CA"/>
    <w:rsid w:val="31801ECD"/>
    <w:rsid w:val="31A23CE8"/>
    <w:rsid w:val="331C5778"/>
    <w:rsid w:val="336AD813"/>
    <w:rsid w:val="34749219"/>
    <w:rsid w:val="36021A8E"/>
    <w:rsid w:val="3897882D"/>
    <w:rsid w:val="3E636202"/>
    <w:rsid w:val="3EC841DC"/>
    <w:rsid w:val="3F776870"/>
    <w:rsid w:val="3FD5A604"/>
    <w:rsid w:val="431796BB"/>
    <w:rsid w:val="438E676D"/>
    <w:rsid w:val="4573BB3A"/>
    <w:rsid w:val="45C4ECF9"/>
    <w:rsid w:val="47A7DE7F"/>
    <w:rsid w:val="48B5FC8D"/>
    <w:rsid w:val="4911DCD7"/>
    <w:rsid w:val="49816BCA"/>
    <w:rsid w:val="49D4E2AD"/>
    <w:rsid w:val="4A76760A"/>
    <w:rsid w:val="4AFD5706"/>
    <w:rsid w:val="4B9605A2"/>
    <w:rsid w:val="4D35759A"/>
    <w:rsid w:val="4D52C015"/>
    <w:rsid w:val="4D67D7E2"/>
    <w:rsid w:val="4DB3A3C3"/>
    <w:rsid w:val="4E7F1985"/>
    <w:rsid w:val="4EB5C6BF"/>
    <w:rsid w:val="4F0AD2B2"/>
    <w:rsid w:val="513226B6"/>
    <w:rsid w:val="520A88A3"/>
    <w:rsid w:val="527D584B"/>
    <w:rsid w:val="53EFA6B8"/>
    <w:rsid w:val="54131A1F"/>
    <w:rsid w:val="54AA060E"/>
    <w:rsid w:val="54FFF0BE"/>
    <w:rsid w:val="55E1B2B4"/>
    <w:rsid w:val="565DABED"/>
    <w:rsid w:val="5711C825"/>
    <w:rsid w:val="572FAD19"/>
    <w:rsid w:val="575A6EE9"/>
    <w:rsid w:val="595B6EED"/>
    <w:rsid w:val="59784E60"/>
    <w:rsid w:val="59B1B76A"/>
    <w:rsid w:val="5AB4EACB"/>
    <w:rsid w:val="5C5ECBFA"/>
    <w:rsid w:val="5E806D6B"/>
    <w:rsid w:val="5F0C2D51"/>
    <w:rsid w:val="5F76048D"/>
    <w:rsid w:val="60A1030A"/>
    <w:rsid w:val="6157B5AD"/>
    <w:rsid w:val="617C44C1"/>
    <w:rsid w:val="61CE0B7C"/>
    <w:rsid w:val="623B9E38"/>
    <w:rsid w:val="6301C1F0"/>
    <w:rsid w:val="649D5665"/>
    <w:rsid w:val="654BB4AD"/>
    <w:rsid w:val="6664FA30"/>
    <w:rsid w:val="6672D6D3"/>
    <w:rsid w:val="668BFD2A"/>
    <w:rsid w:val="6743AD43"/>
    <w:rsid w:val="682D3EA6"/>
    <w:rsid w:val="68F4F95A"/>
    <w:rsid w:val="69562DDF"/>
    <w:rsid w:val="6981F337"/>
    <w:rsid w:val="6A199C9A"/>
    <w:rsid w:val="6A628A76"/>
    <w:rsid w:val="6AA4559C"/>
    <w:rsid w:val="6AF1A2BE"/>
    <w:rsid w:val="6C666A16"/>
    <w:rsid w:val="6F087E6F"/>
    <w:rsid w:val="6F433590"/>
    <w:rsid w:val="6F4E0E80"/>
    <w:rsid w:val="6F75729D"/>
    <w:rsid w:val="6F89B34F"/>
    <w:rsid w:val="6F8DCDFB"/>
    <w:rsid w:val="7107FE28"/>
    <w:rsid w:val="71176BF6"/>
    <w:rsid w:val="7122CEAE"/>
    <w:rsid w:val="71481508"/>
    <w:rsid w:val="71A6DEEE"/>
    <w:rsid w:val="742573A5"/>
    <w:rsid w:val="744A96B7"/>
    <w:rsid w:val="746C7212"/>
    <w:rsid w:val="7497BDC8"/>
    <w:rsid w:val="74C837C1"/>
    <w:rsid w:val="769430D9"/>
    <w:rsid w:val="7ABA2118"/>
    <w:rsid w:val="7B3D4882"/>
    <w:rsid w:val="7C9C7059"/>
    <w:rsid w:val="7C9F9D90"/>
    <w:rsid w:val="7CE22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ACF1AF3D-E233-458F-9455-489841398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D4239"/>
    <w:rPr>
      <w:color w:val="0000FF"/>
      <w:u w:val="single"/>
      <w:shd w:val="clear" w:color="auto" w:fill="auto"/>
    </w:rPr>
  </w:style>
  <w:style w:type="paragraph" w:styleId="ListParagraph">
    <w:name w:val="List Paragraph"/>
    <w:basedOn w:val="Normal"/>
    <w:uiPriority w:val="34"/>
    <w:qFormat/>
    <w:rsid w:val="0900A4B1"/>
    <w:pPr>
      <w:ind w:left="720"/>
      <w:contextualSpacing/>
    </w:pPr>
  </w:style>
  <w:style w:type="paragraph" w:styleId="Revision">
    <w:name w:val="Revision"/>
    <w:hidden/>
    <w:uiPriority w:val="99"/>
    <w:semiHidden/>
    <w:rsid w:val="005547A1"/>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E95A9F"/>
    <w:rPr>
      <w:sz w:val="16"/>
      <w:szCs w:val="16"/>
    </w:rPr>
  </w:style>
  <w:style w:type="paragraph" w:styleId="CommentText">
    <w:name w:val="annotation text"/>
    <w:basedOn w:val="Normal"/>
    <w:link w:val="CommentTextChar"/>
    <w:uiPriority w:val="99"/>
    <w:unhideWhenUsed/>
    <w:rsid w:val="00E95A9F"/>
    <w:rPr>
      <w:sz w:val="20"/>
      <w:szCs w:val="20"/>
    </w:rPr>
  </w:style>
  <w:style w:type="character" w:customStyle="1" w:styleId="CommentTextChar">
    <w:name w:val="Comment Text Char"/>
    <w:basedOn w:val="DefaultParagraphFont"/>
    <w:link w:val="CommentText"/>
    <w:uiPriority w:val="99"/>
    <w:rsid w:val="00E95A9F"/>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E95A9F"/>
    <w:rPr>
      <w:b/>
      <w:bCs/>
    </w:rPr>
  </w:style>
  <w:style w:type="character" w:customStyle="1" w:styleId="CommentSubjectChar">
    <w:name w:val="Comment Subject Char"/>
    <w:basedOn w:val="CommentTextChar"/>
    <w:link w:val="CommentSubject"/>
    <w:uiPriority w:val="99"/>
    <w:semiHidden/>
    <w:rsid w:val="00E95A9F"/>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2825D7"/>
    <w:rPr>
      <w:color w:val="800080" w:themeColor="followedHyperlink"/>
      <w:u w:val="single"/>
    </w:rPr>
  </w:style>
  <w:style w:type="character" w:customStyle="1" w:styleId="UnresolvedMention">
    <w:name w:val="Unresolved Mention"/>
    <w:basedOn w:val="DefaultParagraphFont"/>
    <w:uiPriority w:val="99"/>
    <w:semiHidden/>
    <w:unhideWhenUsed/>
    <w:rsid w:val="002825D7"/>
    <w:rPr>
      <w:color w:val="605E5C"/>
      <w:shd w:val="clear" w:color="auto" w:fill="E1DFDD"/>
    </w:rPr>
  </w:style>
  <w:style w:type="paragraph" w:styleId="ListBullet">
    <w:name w:val="List Bullet"/>
    <w:basedOn w:val="Normal"/>
    <w:uiPriority w:val="99"/>
    <w:semiHidden/>
    <w:unhideWhenUsed/>
    <w:rsid w:val="0052102A"/>
    <w:pPr>
      <w:numPr>
        <w:numId w:val="1"/>
      </w:numPr>
      <w:contextualSpacing/>
    </w:pPr>
  </w:style>
  <w:style w:type="paragraph" w:styleId="ListBullet2">
    <w:name w:val="List Bullet 2"/>
    <w:basedOn w:val="Normal"/>
    <w:uiPriority w:val="99"/>
    <w:semiHidden/>
    <w:unhideWhenUsed/>
    <w:rsid w:val="0052102A"/>
    <w:pPr>
      <w:numPr>
        <w:numId w:val="2"/>
      </w:numPr>
      <w:contextualSpacing/>
    </w:pPr>
  </w:style>
  <w:style w:type="paragraph" w:styleId="ListBullet3">
    <w:name w:val="List Bullet 3"/>
    <w:basedOn w:val="Normal"/>
    <w:uiPriority w:val="99"/>
    <w:semiHidden/>
    <w:unhideWhenUsed/>
    <w:rsid w:val="0052102A"/>
    <w:pPr>
      <w:numPr>
        <w:numId w:val="3"/>
      </w:numPr>
      <w:contextualSpacing/>
    </w:pPr>
  </w:style>
  <w:style w:type="paragraph" w:styleId="ListBullet4">
    <w:name w:val="List Bullet 4"/>
    <w:basedOn w:val="Normal"/>
    <w:uiPriority w:val="99"/>
    <w:semiHidden/>
    <w:unhideWhenUsed/>
    <w:rsid w:val="0052102A"/>
    <w:pPr>
      <w:numPr>
        <w:numId w:val="4"/>
      </w:numPr>
      <w:contextualSpacing/>
    </w:pPr>
  </w:style>
  <w:style w:type="character" w:customStyle="1" w:styleId="HeaderChar">
    <w:name w:val="Header Char"/>
    <w:basedOn w:val="DefaultParagraphFont"/>
    <w:link w:val="Header"/>
    <w:uiPriority w:val="99"/>
    <w:rsid w:val="00D70F9F"/>
    <w:rPr>
      <w:rFonts w:ascii="Times New Roman" w:hAnsi="Times New Roman" w:cs="Times New Roman"/>
      <w:sz w:val="24"/>
      <w:lang w:val="en-GB"/>
    </w:rPr>
  </w:style>
  <w:style w:type="character" w:customStyle="1" w:styleId="FooterChar">
    <w:name w:val="Footer Char"/>
    <w:basedOn w:val="DefaultParagraphFont"/>
    <w:link w:val="Footer"/>
    <w:uiPriority w:val="99"/>
    <w:rsid w:val="00D70F9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70F9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70F9F"/>
    <w:pPr>
      <w:spacing w:before="0"/>
      <w:jc w:val="right"/>
    </w:pPr>
    <w:rPr>
      <w:sz w:val="28"/>
    </w:rPr>
  </w:style>
  <w:style w:type="paragraph" w:customStyle="1" w:styleId="FooterSensitivity">
    <w:name w:val="Footer Sensitivity"/>
    <w:basedOn w:val="Normal"/>
    <w:rsid w:val="00D70F9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70F9F"/>
    <w:pPr>
      <w:tabs>
        <w:tab w:val="center" w:pos="4535"/>
        <w:tab w:val="right" w:pos="9071"/>
      </w:tabs>
      <w:spacing w:before="0"/>
    </w:pPr>
  </w:style>
  <w:style w:type="paragraph" w:customStyle="1" w:styleId="HeaderLandscape">
    <w:name w:val="HeaderLandscape"/>
    <w:basedOn w:val="Normal"/>
    <w:rsid w:val="00D70F9F"/>
    <w:pPr>
      <w:tabs>
        <w:tab w:val="center" w:pos="7285"/>
        <w:tab w:val="right" w:pos="14003"/>
      </w:tabs>
      <w:spacing w:before="0"/>
    </w:pPr>
  </w:style>
  <w:style w:type="paragraph" w:styleId="Footer">
    <w:name w:val="footer"/>
    <w:basedOn w:val="Normal"/>
    <w:link w:val="FooterChar"/>
    <w:uiPriority w:val="99"/>
    <w:unhideWhenUsed/>
    <w:rsid w:val="00D70F9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70F9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op.europa.eu/en/publication-detail/-/publication/70c3efbf-9862-11ee-b164-01aa75ed71a1/language-en" TargetMode="External"/><Relationship Id="rId1" Type="http://schemas.openxmlformats.org/officeDocument/2006/relationships/hyperlink" Target="http://eur-lex.europa.eu/legal-content/EN/AUTO/?uri=celex:31994D08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5" ma:contentTypeDescription="Create a new document." ma:contentTypeScope="" ma:versionID="78865f7ec81081d3e720f04fbcc46476">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7b85d1c3943d1e7b8bb4a3918a1ccfde"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2d391a7-a199-4123-a7da-de48cf76b19c}"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0E2C86-313C-4F98-AEE9-6BB7487F1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195087-1C29-4CB5-8A78-58F834C30FC7}">
  <ds:schemaRefs>
    <ds:schemaRef ds:uri="http://schemas.microsoft.com/sharepoint/v3/contenttype/forms"/>
  </ds:schemaRefs>
</ds:datastoreItem>
</file>

<file path=customXml/itemProps3.xml><?xml version="1.0" encoding="utf-8"?>
<ds:datastoreItem xmlns:ds="http://schemas.openxmlformats.org/officeDocument/2006/customXml" ds:itemID="{AAB469B4-EB96-44EC-8885-F3A28DCD7C85}">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7</Pages>
  <Words>1680</Words>
  <Characters>9578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dcterms:created xsi:type="dcterms:W3CDTF">2026-02-09T09:22:00Z</dcterms:created>
  <dcterms:modified xsi:type="dcterms:W3CDTF">2026-02-16T06:28:00Z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2025-10-23T08:49:58Z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4d8b280d-c399-432d-9898-a6f1af255b1f</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0x010100159C0AD6FB6ACE4A830182AC83E20278</vt:lpwstr>
  </property>
  <property fmtid="{D5CDD505-2E9C-101B-9397-08002B2CF9AE}" pid="19" name="MediaServiceImageTags">
    <vt:lpwstr/>
  </property>
  <property fmtid="{D5CDD505-2E9C-101B-9397-08002B2CF9AE}" pid="20" name="DQCStatus">
    <vt:lpwstr>Green (DQC version 03)</vt:lpwstr>
  </property>
</Properties>
</file>