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0D1" w:rsidRPr="0008369D" w:rsidRDefault="00877DDF" w:rsidP="00877DD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E3E880-3FBE-4243-83CF-38C7BCA01CE9" style="width:455.25pt;height:357.75pt">
            <v:imagedata r:id="rId10" o:title=""/>
          </v:shape>
        </w:pict>
      </w:r>
    </w:p>
    <w:p w:rsidR="0052102A" w:rsidRPr="0008369D" w:rsidRDefault="0052102A" w:rsidP="0052102A">
      <w:pPr>
        <w:rPr>
          <w:noProof/>
        </w:rPr>
        <w:sectPr w:rsidR="0052102A" w:rsidRPr="0008369D" w:rsidSect="00877DDF">
          <w:footerReference w:type="even" r:id="rId11"/>
          <w:footerReference w:type="default" r:id="rId12"/>
          <w:pgSz w:w="11907" w:h="16839"/>
          <w:pgMar w:top="1134" w:right="1417" w:bottom="1134" w:left="1417" w:header="709" w:footer="709" w:gutter="0"/>
          <w:pgNumType w:start="0"/>
          <w:cols w:space="720"/>
          <w:docGrid w:linePitch="360"/>
        </w:sectPr>
      </w:pPr>
    </w:p>
    <w:p w:rsidR="004230D1" w:rsidRPr="0008369D" w:rsidRDefault="004230D1">
      <w:pPr>
        <w:pStyle w:val="Exposdesmotifstitre"/>
        <w:rPr>
          <w:noProof/>
        </w:rPr>
      </w:pPr>
      <w:bookmarkStart w:id="0" w:name="_GoBack"/>
      <w:bookmarkEnd w:id="0"/>
      <w:r w:rsidRPr="0008369D">
        <w:rPr>
          <w:noProof/>
        </w:rPr>
        <w:lastRenderedPageBreak/>
        <w:t>EXPUNERE DE MOTIVE</w:t>
      </w:r>
    </w:p>
    <w:p w:rsidR="004230D1" w:rsidRPr="0008369D" w:rsidRDefault="004230D1" w:rsidP="00BF7751">
      <w:pPr>
        <w:pStyle w:val="ManualHeading1"/>
        <w:rPr>
          <w:rFonts w:eastAsia="Arial Unicode MS"/>
          <w:noProof/>
          <w:color w:val="000000" w:themeColor="text1"/>
          <w:szCs w:val="24"/>
        </w:rPr>
      </w:pPr>
      <w:r>
        <w:rPr>
          <w:noProof/>
        </w:rPr>
        <w:t>1.</w:t>
      </w:r>
      <w:r>
        <w:rPr>
          <w:noProof/>
        </w:rPr>
        <w:tab/>
      </w:r>
      <w:r w:rsidRPr="0008369D">
        <w:rPr>
          <w:noProof/>
        </w:rPr>
        <w:t>Obiectul propunerii</w:t>
      </w:r>
    </w:p>
    <w:p w:rsidR="004230D1" w:rsidRPr="0008369D" w:rsidRDefault="004230D1">
      <w:pPr>
        <w:rPr>
          <w:rFonts w:eastAsia="Arial Unicode MS"/>
          <w:noProof/>
          <w:color w:val="000000" w:themeColor="text1"/>
          <w:szCs w:val="24"/>
        </w:rPr>
      </w:pPr>
      <w:r w:rsidRPr="0008369D">
        <w:rPr>
          <w:noProof/>
        </w:rPr>
        <w:t>Prezenta propunere se referă la decizia Consiliului de stabilire a poziției care urmează să fie adoptată în numele Uniunii în cadrul celei de a 14-a Conferințe ministeriale a Organizației Mondiale a Comerțului (denumită în continuare „OMC”) în legătură cu adoptarea preconizată a unei decizii privind aderarea Republicii Uzbekistan la OMC.</w:t>
      </w:r>
    </w:p>
    <w:p w:rsidR="004230D1" w:rsidRPr="0008369D" w:rsidRDefault="004230D1">
      <w:pPr>
        <w:pStyle w:val="ManualHeading1"/>
        <w:rPr>
          <w:noProof/>
          <w:color w:val="000000" w:themeColor="text1"/>
          <w:szCs w:val="24"/>
        </w:rPr>
      </w:pPr>
      <w:r>
        <w:rPr>
          <w:noProof/>
        </w:rPr>
        <w:t>2.</w:t>
      </w:r>
      <w:r>
        <w:rPr>
          <w:noProof/>
        </w:rPr>
        <w:tab/>
      </w:r>
      <w:r w:rsidRPr="0008369D">
        <w:rPr>
          <w:noProof/>
          <w:color w:val="000000" w:themeColor="text1"/>
        </w:rPr>
        <w:t>Contextul propunerii</w:t>
      </w:r>
    </w:p>
    <w:p w:rsidR="004230D1" w:rsidRPr="0008369D" w:rsidRDefault="004230D1">
      <w:pPr>
        <w:pStyle w:val="ManualHeading2"/>
        <w:rPr>
          <w:noProof/>
          <w:color w:val="000000" w:themeColor="text1"/>
          <w:szCs w:val="24"/>
        </w:rPr>
      </w:pPr>
      <w:r>
        <w:rPr>
          <w:noProof/>
        </w:rPr>
        <w:t>2.1.</w:t>
      </w:r>
      <w:r>
        <w:rPr>
          <w:noProof/>
        </w:rPr>
        <w:tab/>
      </w:r>
      <w:r w:rsidRPr="0008369D">
        <w:rPr>
          <w:noProof/>
        </w:rPr>
        <w:t>Acordul privind constituirea Organizației Mondiale a Comerțului („Acordul OMC”)</w:t>
      </w:r>
    </w:p>
    <w:p w:rsidR="004230D1" w:rsidRPr="0008369D" w:rsidRDefault="004230D1">
      <w:pPr>
        <w:rPr>
          <w:rFonts w:eastAsia="Arial Unicode MS"/>
          <w:noProof/>
          <w:color w:val="000000" w:themeColor="text1"/>
          <w:szCs w:val="24"/>
        </w:rPr>
      </w:pPr>
      <w:r w:rsidRPr="0008369D">
        <w:rPr>
          <w:noProof/>
          <w:color w:val="000000" w:themeColor="text1"/>
        </w:rPr>
        <w:t>Acordul</w:t>
      </w:r>
      <w:r w:rsidRPr="0008369D">
        <w:rPr>
          <w:noProof/>
        </w:rPr>
        <w:t xml:space="preserve"> de instituire a Organizației Mondiale a Comerțului</w:t>
      </w:r>
      <w:r w:rsidRPr="0008369D">
        <w:rPr>
          <w:noProof/>
          <w:color w:val="000000" w:themeColor="text1"/>
        </w:rPr>
        <w:t xml:space="preserve"> (denumit în continuare „Acordul OMC”) urmărește atingerea obiectivelor menționate în preambulul acordului. Acordul a intrat în vigoare la 1 ianuarie 1995.</w:t>
      </w:r>
    </w:p>
    <w:p w:rsidR="00FD4239" w:rsidRPr="0008369D" w:rsidRDefault="00FD4239" w:rsidP="00FD4239">
      <w:pPr>
        <w:rPr>
          <w:rFonts w:eastAsia="Arial Unicode MS"/>
          <w:noProof/>
          <w:color w:val="000000" w:themeColor="text1"/>
          <w:szCs w:val="24"/>
        </w:rPr>
      </w:pPr>
      <w:r w:rsidRPr="0008369D">
        <w:rPr>
          <w:noProof/>
        </w:rPr>
        <w:t>Uniunea Europeană (UE) este parte la acord</w:t>
      </w:r>
      <w:r w:rsidRPr="0008369D">
        <w:rPr>
          <w:rStyle w:val="FootnoteReference"/>
          <w:rFonts w:eastAsia="Arial Unicode MS"/>
          <w:noProof/>
          <w:szCs w:val="24"/>
        </w:rPr>
        <w:footnoteReference w:id="2"/>
      </w:r>
      <w:r w:rsidRPr="0008369D">
        <w:rPr>
          <w:noProof/>
        </w:rPr>
        <w:t>.</w:t>
      </w:r>
      <w:r w:rsidRPr="0008369D">
        <w:rPr>
          <w:noProof/>
          <w:color w:val="000000" w:themeColor="text1"/>
        </w:rPr>
        <w:t xml:space="preserve"> Toate cele 27 de state membre ale UE sunt și ele părți la acord. OMC poate lua decizii în conformitate cu procedurile prevăzute în Acordul OMC.</w:t>
      </w:r>
    </w:p>
    <w:p w:rsidR="004230D1" w:rsidRPr="0008369D" w:rsidRDefault="004230D1">
      <w:pPr>
        <w:pStyle w:val="ManualHeading2"/>
        <w:rPr>
          <w:noProof/>
          <w:color w:val="000000" w:themeColor="text1"/>
          <w:szCs w:val="24"/>
        </w:rPr>
      </w:pPr>
      <w:r>
        <w:rPr>
          <w:noProof/>
        </w:rPr>
        <w:t>2.2.</w:t>
      </w:r>
      <w:r>
        <w:rPr>
          <w:noProof/>
        </w:rPr>
        <w:tab/>
      </w:r>
      <w:r w:rsidRPr="0008369D">
        <w:rPr>
          <w:noProof/>
        </w:rPr>
        <w:t>Conferința ministerială a Organizației Mondiale a Comerțului</w:t>
      </w:r>
    </w:p>
    <w:p w:rsidR="00FD4239" w:rsidRPr="0008369D" w:rsidRDefault="00FD4239" w:rsidP="00FD4239">
      <w:pPr>
        <w:rPr>
          <w:rFonts w:eastAsia="Arial Unicode MS"/>
          <w:noProof/>
          <w:color w:val="000000"/>
          <w:szCs w:val="24"/>
        </w:rPr>
      </w:pPr>
      <w:r w:rsidRPr="0008369D">
        <w:rPr>
          <w:noProof/>
          <w:color w:val="000000" w:themeColor="text1"/>
        </w:rPr>
        <w:t xml:space="preserve">Conferința ministerială este cel mai înalt organism decizional al OMC, întrunindu-se cel puțin o dată la doi ani. </w:t>
      </w:r>
      <w:r w:rsidRPr="0008369D">
        <w:rPr>
          <w:noProof/>
        </w:rPr>
        <w:t>Din punct de vedere juridic și în practică, deciziile sunt luate prin consens.</w:t>
      </w:r>
      <w:r w:rsidRPr="0008369D">
        <w:rPr>
          <w:noProof/>
          <w:color w:val="000000"/>
        </w:rPr>
        <w:t xml:space="preserve"> </w:t>
      </w:r>
    </w:p>
    <w:p w:rsidR="00FD4239" w:rsidRPr="0008369D" w:rsidRDefault="00FD4239" w:rsidP="00FD4239">
      <w:pPr>
        <w:rPr>
          <w:rFonts w:eastAsia="Arial Unicode MS"/>
          <w:noProof/>
          <w:color w:val="000000"/>
          <w:szCs w:val="24"/>
        </w:rPr>
      </w:pPr>
      <w:r w:rsidRPr="0008369D">
        <w:rPr>
          <w:noProof/>
        </w:rPr>
        <w:t xml:space="preserve">Următoarea reuniune a Conferinței ministeriale va avea loc la Yaoundé, Camerun, în perioada 26-29 martie 2026. </w:t>
      </w:r>
    </w:p>
    <w:p w:rsidR="004230D1" w:rsidRPr="0008369D" w:rsidRDefault="004230D1">
      <w:pPr>
        <w:pStyle w:val="ManualHeading2"/>
        <w:rPr>
          <w:noProof/>
          <w:szCs w:val="24"/>
        </w:rPr>
      </w:pPr>
      <w:r>
        <w:rPr>
          <w:noProof/>
        </w:rPr>
        <w:t>2.3.</w:t>
      </w:r>
      <w:r>
        <w:rPr>
          <w:noProof/>
        </w:rPr>
        <w:tab/>
      </w:r>
      <w:r w:rsidRPr="0008369D">
        <w:rPr>
          <w:noProof/>
        </w:rPr>
        <w:t>Actul avut în vedere în cadrul Conferinței ministeriale a OMC și motivul și obiectivul propunerii</w:t>
      </w:r>
    </w:p>
    <w:p w:rsidR="00421DC9" w:rsidRPr="0008369D" w:rsidRDefault="00421DC9" w:rsidP="00421DC9">
      <w:pPr>
        <w:rPr>
          <w:rFonts w:eastAsia="Arial Unicode MS"/>
          <w:noProof/>
          <w:szCs w:val="24"/>
        </w:rPr>
      </w:pPr>
      <w:r w:rsidRPr="0008369D">
        <w:rPr>
          <w:noProof/>
        </w:rPr>
        <w:t>În cadrul celei de a 14-a Conferințe ministeriale a OMC („CM14”), este posibil să se adopte o decizie privind aderarea la OMC a Republicii Uzbekistan („Uzbekistan”).</w:t>
      </w:r>
    </w:p>
    <w:p w:rsidR="00421DC9" w:rsidRPr="0008369D" w:rsidRDefault="47A7DE7F" w:rsidP="00421DC9">
      <w:pPr>
        <w:rPr>
          <w:rFonts w:eastAsia="Arial Unicode MS"/>
          <w:noProof/>
          <w:szCs w:val="24"/>
        </w:rPr>
      </w:pPr>
      <w:r w:rsidRPr="0008369D">
        <w:rPr>
          <w:noProof/>
        </w:rPr>
        <w:t xml:space="preserve">Membrii OMC și Uzbekistan ar putea ajunge în curând în etapa finală a unui acord privind condițiile de aderare a Uzbekistanului la această organizație. Acest lucru survine după mai mulți ani de negocieri, care au demarat atunci când Uzbekistanul și-a depus cererea de aderare la OMC în 1994. </w:t>
      </w:r>
    </w:p>
    <w:p w:rsidR="008B1426" w:rsidRPr="0008369D" w:rsidRDefault="59B1B76A" w:rsidP="1E5B806C">
      <w:pPr>
        <w:rPr>
          <w:noProof/>
          <w:szCs w:val="24"/>
        </w:rPr>
      </w:pPr>
      <w:r w:rsidRPr="0008369D">
        <w:rPr>
          <w:noProof/>
        </w:rPr>
        <w:t xml:space="preserve">Se preconizează că aderarea la OMC va avea o contribuție pozitivă și de durată la procesul de reformă economică și de dezvoltare durabilă din Uzbekistan și subliniază sprijinul pentru un sistem comercial multilateral bazat pe norme, în centrul căruia să se afle OMC. </w:t>
      </w:r>
    </w:p>
    <w:p w:rsidR="004230D1" w:rsidRPr="0008369D" w:rsidRDefault="004230D1" w:rsidP="004230D1">
      <w:pPr>
        <w:pStyle w:val="ManualHeading1"/>
        <w:rPr>
          <w:rFonts w:eastAsia="Arial Unicode MS"/>
          <w:noProof/>
          <w:szCs w:val="24"/>
        </w:rPr>
      </w:pPr>
      <w:r>
        <w:rPr>
          <w:noProof/>
        </w:rPr>
        <w:t>3.</w:t>
      </w:r>
      <w:r>
        <w:rPr>
          <w:noProof/>
        </w:rPr>
        <w:tab/>
      </w:r>
      <w:r w:rsidRPr="0008369D">
        <w:rPr>
          <w:noProof/>
        </w:rPr>
        <w:t>Poziția care urmează să fie adoptată în numele Uniunii</w:t>
      </w:r>
    </w:p>
    <w:p w:rsidR="00B9019F" w:rsidRPr="0008369D" w:rsidRDefault="00B9019F" w:rsidP="00A3756F">
      <w:pPr>
        <w:pStyle w:val="ManualHeading2"/>
        <w:rPr>
          <w:noProof/>
        </w:rPr>
      </w:pPr>
      <w:r>
        <w:rPr>
          <w:noProof/>
        </w:rPr>
        <w:t>3.1.</w:t>
      </w:r>
      <w:r>
        <w:rPr>
          <w:noProof/>
        </w:rPr>
        <w:tab/>
      </w:r>
      <w:bookmarkStart w:id="1" w:name="_Hlk151031782"/>
      <w:r w:rsidRPr="0008369D">
        <w:rPr>
          <w:noProof/>
        </w:rPr>
        <w:t>Note generale</w:t>
      </w:r>
    </w:p>
    <w:bookmarkEnd w:id="1"/>
    <w:p w:rsidR="00B9019F" w:rsidRPr="0008369D" w:rsidRDefault="00B9019F" w:rsidP="00B9019F">
      <w:pPr>
        <w:rPr>
          <w:noProof/>
          <w:color w:val="000000" w:themeColor="text1"/>
          <w:szCs w:val="24"/>
        </w:rPr>
      </w:pPr>
      <w:r w:rsidRPr="0008369D">
        <w:rPr>
          <w:noProof/>
          <w:color w:val="000000" w:themeColor="text1"/>
        </w:rPr>
        <w:t xml:space="preserve">Obiectivul prezentei propuneri este de a permite UE să se alăture unui posibil consens în cadrul OMC privind adoptarea de către Conferința ministerială a actului avut în vedere, care constă într-o decizie privind aderarea Uzbekistanului la OMC. </w:t>
      </w:r>
    </w:p>
    <w:p w:rsidR="00B9019F" w:rsidRPr="0008369D" w:rsidRDefault="00B9019F" w:rsidP="00B9019F">
      <w:pPr>
        <w:rPr>
          <w:noProof/>
          <w:color w:val="000000" w:themeColor="text1"/>
          <w:szCs w:val="24"/>
        </w:rPr>
      </w:pPr>
      <w:r w:rsidRPr="0008369D">
        <w:rPr>
          <w:noProof/>
        </w:rPr>
        <w:lastRenderedPageBreak/>
        <w:t>Deși nu este deocamdată clar dacă, și în ce măsură, membrii OMC vor putea ajunge la un consens privind actul avut în vedere, poziția UE în cadrul CM14 trebuie să fie stabilită anticipat de către Consiliu în temeiul articolului 218 alineatul (9) din TFUE</w:t>
      </w:r>
      <w:r w:rsidRPr="0008369D">
        <w:rPr>
          <w:rStyle w:val="FootnoteReference"/>
          <w:noProof/>
          <w:szCs w:val="24"/>
        </w:rPr>
        <w:footnoteReference w:id="3"/>
      </w:r>
      <w:r w:rsidRPr="0008369D">
        <w:rPr>
          <w:noProof/>
        </w:rPr>
        <w:t>.</w:t>
      </w:r>
      <w:r w:rsidRPr="0008369D">
        <w:rPr>
          <w:noProof/>
          <w:color w:val="000000" w:themeColor="text1"/>
        </w:rPr>
        <w:t xml:space="preserve"> </w:t>
      </w:r>
    </w:p>
    <w:p w:rsidR="00B9019F" w:rsidRPr="0008369D" w:rsidRDefault="6F087E6F" w:rsidP="1E5B806C">
      <w:pPr>
        <w:rPr>
          <w:noProof/>
          <w:szCs w:val="24"/>
        </w:rPr>
      </w:pPr>
      <w:r w:rsidRPr="0008369D">
        <w:rPr>
          <w:noProof/>
        </w:rPr>
        <w:t>În 1994, Guvernul Uzbekistanului a depus o cerere de aderare la OMC. La 21 decembrie 1994, a fost instituit un grup de lucru pentru aderarea Uzbekistanului. Cea de a 11-a reuniune a grupului de lucru a avut loc la 5-6 noiembrie 2025. În octombrie 2025, Comisia a finalizat, în numele UE, negocierile bilaterale privind o serie cuprinzătoare de angajamente de deschidere a pieței din partea Uzbekistanului. UE ar trebui să sprijine aderarea Uzbekistanului la OMC.</w:t>
      </w:r>
    </w:p>
    <w:p w:rsidR="00B9019F" w:rsidRPr="0008369D" w:rsidRDefault="49D4E2AD" w:rsidP="0900A4B1">
      <w:pPr>
        <w:rPr>
          <w:noProof/>
          <w:szCs w:val="24"/>
        </w:rPr>
      </w:pPr>
      <w:r w:rsidRPr="0008369D">
        <w:rPr>
          <w:noProof/>
        </w:rPr>
        <w:t xml:space="preserve">Odată publicat de Secretariatul OMC, proiectul de pachet de aderare a Republicii Uzbekistan (proiectul de listă consolidată de concesii și angajamente privind mărfurile, proiectul de listă consolidată de angajamente specifice privind comerțul cu servicii și proiectul de raport al grupului de lucru) va fi revizuit de membrii OMC în cadrul reuniunii finale a grupului de lucru pentru aderarea Uzbekistanului (care nu a fost încă programată) și ar putea fi adoptat, eventual cu unele modificări minore, în cadrul CM14, care va avea loc în perioada 26-29 martie 2026 în Camerun. </w:t>
      </w:r>
    </w:p>
    <w:p w:rsidR="00B9019F" w:rsidRPr="0008369D" w:rsidRDefault="54AA060E" w:rsidP="1E5B806C">
      <w:pPr>
        <w:rPr>
          <w:noProof/>
          <w:szCs w:val="24"/>
        </w:rPr>
      </w:pPr>
      <w:r w:rsidRPr="0008369D">
        <w:rPr>
          <w:noProof/>
        </w:rPr>
        <w:t xml:space="preserve">Întrucât în prezent sunt în curs negocieri, Comisia se așteaptă ca Consiliul să ia decizia privind poziția UE față de rezultatul negocierilor după ce situația textelor relevante va deveni clară, la începutul sau chiar în timpul Conferinței ministeriale. </w:t>
      </w:r>
    </w:p>
    <w:p w:rsidR="00B9019F" w:rsidRPr="0008369D" w:rsidRDefault="54AA060E" w:rsidP="1E5B806C">
      <w:pPr>
        <w:rPr>
          <w:noProof/>
          <w:szCs w:val="24"/>
        </w:rPr>
      </w:pPr>
      <w:r w:rsidRPr="0008369D">
        <w:rPr>
          <w:noProof/>
        </w:rPr>
        <w:t>Inițiativa este pe deplin compatibilă cu politicile în vigoare. Au fost elaborate decizii similare pentru Conferințele ministeriale precedente ale OMC, inclusiv pentru cea de a 13-a Conferință ministerială a OMC din 2024</w:t>
      </w:r>
      <w:r w:rsidRPr="0008369D">
        <w:rPr>
          <w:rStyle w:val="FootnoteReference"/>
          <w:noProof/>
          <w:szCs w:val="24"/>
        </w:rPr>
        <w:footnoteReference w:id="4"/>
      </w:r>
      <w:r w:rsidRPr="0008369D">
        <w:rPr>
          <w:noProof/>
        </w:rPr>
        <w:t xml:space="preserve">. </w:t>
      </w:r>
    </w:p>
    <w:p w:rsidR="00B9019F" w:rsidRPr="0008369D" w:rsidRDefault="6F087E6F" w:rsidP="00A3756F">
      <w:pPr>
        <w:pStyle w:val="ManualHeading2"/>
        <w:rPr>
          <w:noProof/>
        </w:rPr>
      </w:pPr>
      <w:r>
        <w:rPr>
          <w:noProof/>
        </w:rPr>
        <w:t>3.2.</w:t>
      </w:r>
      <w:r>
        <w:rPr>
          <w:noProof/>
        </w:rPr>
        <w:tab/>
      </w:r>
      <w:r w:rsidRPr="0008369D">
        <w:rPr>
          <w:noProof/>
        </w:rPr>
        <w:t>Rezumatul condițiilor de aderare la OMC</w:t>
      </w:r>
    </w:p>
    <w:p w:rsidR="00B9019F" w:rsidRPr="0008369D" w:rsidRDefault="6F087E6F" w:rsidP="00A3756F">
      <w:pPr>
        <w:pStyle w:val="ManualHeading3"/>
        <w:rPr>
          <w:noProof/>
        </w:rPr>
      </w:pPr>
      <w:r>
        <w:rPr>
          <w:noProof/>
        </w:rPr>
        <w:t>3.2.1.</w:t>
      </w:r>
      <w:r>
        <w:rPr>
          <w:noProof/>
        </w:rPr>
        <w:tab/>
      </w:r>
      <w:r w:rsidRPr="0008369D">
        <w:rPr>
          <w:noProof/>
        </w:rPr>
        <w:t>Lista angajamentelor: bunuri și servicii</w:t>
      </w:r>
    </w:p>
    <w:p w:rsidR="00B9019F" w:rsidRPr="0008369D" w:rsidRDefault="2987E519" w:rsidP="00921AFC">
      <w:pPr>
        <w:shd w:val="clear" w:color="auto" w:fill="FFFFFF" w:themeFill="background1"/>
        <w:spacing w:line="288" w:lineRule="exact"/>
        <w:rPr>
          <w:rFonts w:eastAsiaTheme="minorEastAsia"/>
          <w:noProof/>
          <w:szCs w:val="24"/>
        </w:rPr>
      </w:pPr>
      <w:r w:rsidRPr="0008369D">
        <w:rPr>
          <w:noProof/>
        </w:rPr>
        <w:t>Listele consolidate finale de concesii și angajamente elaborate de Secretariatul OMC sunt în curs de finalizare. UE a încheiat negocierile bilaterale cu Uzbekistanul la 24 octombrie 2025.</w:t>
      </w:r>
    </w:p>
    <w:p w:rsidR="00B9019F" w:rsidRPr="0008369D" w:rsidRDefault="6F087E6F" w:rsidP="00A3756F">
      <w:pPr>
        <w:pStyle w:val="ManualHeading3"/>
        <w:rPr>
          <w:noProof/>
        </w:rPr>
      </w:pPr>
      <w:r>
        <w:rPr>
          <w:noProof/>
        </w:rPr>
        <w:t>3.2.2.</w:t>
      </w:r>
      <w:r>
        <w:rPr>
          <w:noProof/>
        </w:rPr>
        <w:tab/>
      </w:r>
      <w:r w:rsidRPr="0008369D">
        <w:rPr>
          <w:noProof/>
        </w:rPr>
        <w:t xml:space="preserve">Mărfuri </w:t>
      </w:r>
    </w:p>
    <w:p w:rsidR="7CE225FB" w:rsidRPr="0008369D" w:rsidRDefault="7CE225FB" w:rsidP="0900A4B1">
      <w:pPr>
        <w:rPr>
          <w:rFonts w:eastAsia="Times New Roman"/>
          <w:noProof/>
          <w:szCs w:val="24"/>
        </w:rPr>
      </w:pPr>
      <w:r w:rsidRPr="0008369D">
        <w:rPr>
          <w:noProof/>
        </w:rPr>
        <w:t>Uzbekistanul și-a asumat angajamente pentru 100 % din taxele vamale în lista sa de concesii și angajamente privind mărfurile. În ceea ce privește angajamentele sale față de UE, Uzbekistanul va pune în aplicare taxele vamale consolidate finale începând cu data aderării, doar o mică parte dintre acestea fiind puse în aplicare în termen de 3 sau 5 ani. Uzbekistanul a răspuns, de asemenea, solicitărilor UE prin reducerea taxelor vamale consolidate, în special pentru liniile tarifare cu exporturi mai mari ale UE și de interes agricol (taxa vamală consolidată finală medie ponderată aferentă volumului total al schimburilor comerciale din oferta Uz</w:t>
      </w:r>
      <w:r w:rsidR="0008369D">
        <w:rPr>
          <w:noProof/>
        </w:rPr>
        <w:t>b</w:t>
      </w:r>
      <w:r w:rsidRPr="0008369D">
        <w:rPr>
          <w:noProof/>
        </w:rPr>
        <w:t>ekistanului către UE este de aproximativ 4,5 %), precum și prin acordarea drepturilor de negociator inițial.</w:t>
      </w:r>
    </w:p>
    <w:p w:rsidR="69562DDF" w:rsidRPr="0008369D" w:rsidRDefault="69562DDF" w:rsidP="0900A4B1">
      <w:pPr>
        <w:spacing w:before="0" w:after="0"/>
        <w:rPr>
          <w:rFonts w:eastAsia="Times New Roman"/>
          <w:noProof/>
          <w:szCs w:val="24"/>
        </w:rPr>
      </w:pPr>
      <w:r w:rsidRPr="0008369D">
        <w:rPr>
          <w:noProof/>
        </w:rPr>
        <w:t xml:space="preserve">În ceea ce privește taxele la export, Uzbekistanul a convenit asupra unei liste pozitive, conform solicitării UE, cu niveluri ale taxei similare, în cea mai mare parte, celor prevăzute în Decretul prezidențial uzbec nr. 47 din martie 2025. Pentru metale și deșeuri metalice, taxele </w:t>
      </w:r>
      <w:r w:rsidRPr="0008369D">
        <w:rPr>
          <w:noProof/>
        </w:rPr>
        <w:lastRenderedPageBreak/>
        <w:t xml:space="preserve">includ un procent </w:t>
      </w:r>
      <w:r w:rsidRPr="0008369D">
        <w:rPr>
          <w:i/>
          <w:noProof/>
        </w:rPr>
        <w:t>ad valorem</w:t>
      </w:r>
      <w:r w:rsidRPr="0008369D">
        <w:rPr>
          <w:noProof/>
        </w:rPr>
        <w:t xml:space="preserve"> cuprins între 5 % și 80 %, la care se adaugă valori-limită specifice. Pentru produsele agricole, taxele sunt </w:t>
      </w:r>
      <w:r w:rsidRPr="0008369D">
        <w:rPr>
          <w:i/>
          <w:noProof/>
        </w:rPr>
        <w:t>ad valorem</w:t>
      </w:r>
      <w:r w:rsidRPr="0008369D">
        <w:rPr>
          <w:noProof/>
        </w:rPr>
        <w:t xml:space="preserve"> cuprinse între 20 % și 30 % pentru animale vii, produse din carne și cereale, în timp ce pentru orez, bumbac și produse din bumbac nivelurile taxelor la export sunt </w:t>
      </w:r>
      <w:r w:rsidRPr="0008369D">
        <w:rPr>
          <w:i/>
          <w:noProof/>
        </w:rPr>
        <w:t>ad valorem</w:t>
      </w:r>
      <w:r w:rsidRPr="0008369D">
        <w:rPr>
          <w:noProof/>
        </w:rPr>
        <w:t xml:space="preserve"> cu valori-limită specifice și cu o perioadă de punere în aplicare de 10 ani.</w:t>
      </w:r>
    </w:p>
    <w:p w:rsidR="00B9019F" w:rsidRPr="0008369D" w:rsidRDefault="54AA060E" w:rsidP="00A3756F">
      <w:pPr>
        <w:pStyle w:val="ManualHeading3"/>
        <w:rPr>
          <w:noProof/>
        </w:rPr>
      </w:pPr>
      <w:r>
        <w:rPr>
          <w:noProof/>
        </w:rPr>
        <w:t>3.2.3.</w:t>
      </w:r>
      <w:r>
        <w:rPr>
          <w:noProof/>
        </w:rPr>
        <w:tab/>
      </w:r>
      <w:r w:rsidRPr="0008369D">
        <w:rPr>
          <w:noProof/>
        </w:rPr>
        <w:t>Servicii</w:t>
      </w:r>
    </w:p>
    <w:p w:rsidR="00B9019F" w:rsidRPr="0008369D" w:rsidRDefault="00460882" w:rsidP="0900A4B1">
      <w:pPr>
        <w:rPr>
          <w:rFonts w:eastAsia="Times New Roman"/>
          <w:noProof/>
          <w:szCs w:val="24"/>
        </w:rPr>
      </w:pPr>
      <w:r w:rsidRPr="0008369D">
        <w:rPr>
          <w:noProof/>
        </w:rPr>
        <w:t>Uzbekistanul își va asuma angajamente privind accesul pe piață pentru o gamă largă de servicii, inclusiv pentru servicii profesionale (juridice, de contabilitate și audit, de evidență contabilă, fiscale, de arhitectură, de inginerie, de inginerie integrată, veterinare), servicii pentru întreprinderi (servicii informatice, servicii imobiliare, alte servicii pentru întreprinderi), servicii de comunicații (curierat, telecomunicații, inclusiv documentul de referință privind serviciile de telecomunicații), servicii de construcții și servicii conexe de inginerie, servicii de distribuție (atât cu ridicata, cât și cu amănuntul), servicii educaționale (învățământ superior), servicii de mediu, servicii financiare (asigurări și servicii bancare), servicii legate de turism și călătorii, servicii recreative, culturale și sportive și servicii de transport (aerian, feroviar, rutier și servicii auxiliare). Aceste angajamente sunt în conformitate cu Acordul de parteneriat și cooperare consolidat (APCC) UE-Uzbekistan. Uzbekistanul a eliminat toate angajamentele din domeniul audiovizualului și a preluat integral lista propusă de excepții privind clauza națiunii celei mai favorizate pentru serviciile audiovizuale.</w:t>
      </w:r>
    </w:p>
    <w:p w:rsidR="004230D1" w:rsidRPr="0008369D" w:rsidRDefault="004230D1">
      <w:pPr>
        <w:pStyle w:val="ManualHeading1"/>
        <w:rPr>
          <w:noProof/>
          <w:szCs w:val="24"/>
        </w:rPr>
      </w:pPr>
      <w:r>
        <w:rPr>
          <w:noProof/>
        </w:rPr>
        <w:t>4.</w:t>
      </w:r>
      <w:r>
        <w:rPr>
          <w:noProof/>
        </w:rPr>
        <w:tab/>
      </w:r>
      <w:r w:rsidRPr="0008369D">
        <w:rPr>
          <w:noProof/>
        </w:rPr>
        <w:t>Temeiul juridic</w:t>
      </w:r>
    </w:p>
    <w:p w:rsidR="004230D1" w:rsidRPr="0008369D" w:rsidRDefault="004230D1">
      <w:pPr>
        <w:pStyle w:val="ManualHeading2"/>
        <w:rPr>
          <w:noProof/>
          <w:szCs w:val="24"/>
        </w:rPr>
      </w:pPr>
      <w:r>
        <w:rPr>
          <w:noProof/>
        </w:rPr>
        <w:t>4.1.</w:t>
      </w:r>
      <w:r>
        <w:rPr>
          <w:noProof/>
        </w:rPr>
        <w:tab/>
      </w:r>
      <w:r w:rsidRPr="0008369D">
        <w:rPr>
          <w:noProof/>
        </w:rPr>
        <w:t>Temeiul juridic procedural</w:t>
      </w:r>
    </w:p>
    <w:p w:rsidR="004230D1" w:rsidRPr="0008369D" w:rsidRDefault="004230D1" w:rsidP="0052102A">
      <w:pPr>
        <w:pStyle w:val="ManualHeading3"/>
        <w:rPr>
          <w:noProof/>
        </w:rPr>
      </w:pPr>
      <w:r>
        <w:rPr>
          <w:noProof/>
        </w:rPr>
        <w:t>4.1.1.</w:t>
      </w:r>
      <w:r>
        <w:rPr>
          <w:noProof/>
        </w:rPr>
        <w:tab/>
      </w:r>
      <w:r w:rsidRPr="0008369D">
        <w:rPr>
          <w:noProof/>
        </w:rPr>
        <w:t>Principii</w:t>
      </w:r>
    </w:p>
    <w:p w:rsidR="004230D1" w:rsidRPr="0008369D" w:rsidRDefault="004230D1">
      <w:pPr>
        <w:rPr>
          <w:noProof/>
          <w:szCs w:val="24"/>
        </w:rPr>
      </w:pPr>
      <w:r w:rsidRPr="0008369D">
        <w:rPr>
          <w:noProof/>
        </w:rPr>
        <w:t>Articolul 218 alineatul (9) din Tratatul privind funcționarea Uniunii Europene (TFUE) prevede posibilitatea adoptării unor decizii de stabilire a „</w:t>
      </w:r>
      <w:r w:rsidRPr="0008369D">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08369D">
        <w:rPr>
          <w:noProof/>
        </w:rPr>
        <w:t>”</w:t>
      </w:r>
      <w:r w:rsidR="0008369D" w:rsidRPr="0008369D">
        <w:rPr>
          <w:noProof/>
        </w:rPr>
        <w:t>.</w:t>
      </w:r>
    </w:p>
    <w:p w:rsidR="004230D1" w:rsidRPr="0008369D" w:rsidRDefault="004230D1">
      <w:pPr>
        <w:rPr>
          <w:noProof/>
          <w:color w:val="000000" w:themeColor="text1"/>
          <w:szCs w:val="24"/>
        </w:rPr>
      </w:pPr>
      <w:r w:rsidRPr="0008369D">
        <w:rPr>
          <w:noProof/>
        </w:rPr>
        <w:t>Conceptul de „</w:t>
      </w:r>
      <w:r w:rsidRPr="0008369D">
        <w:rPr>
          <w:i/>
          <w:noProof/>
        </w:rPr>
        <w:t>acte cu efecte juridice</w:t>
      </w:r>
      <w:r w:rsidRPr="0008369D">
        <w:rPr>
          <w:noProof/>
        </w:rPr>
        <w:t>” include actele care au efecte juridice în temeiul normelor de drept internațional aplicabile organismului în cauză. Sunt incluse, de asemenea, instrumente care nu au un caracter obligatoriu în temeiul dreptului internațional, dar care „</w:t>
      </w:r>
      <w:r w:rsidRPr="0008369D">
        <w:rPr>
          <w:i/>
          <w:noProof/>
        </w:rPr>
        <w:t>au vocația de a influența în mod decisiv conținutul reglementării adoptate de legiuitorul Uniunii</w:t>
      </w:r>
      <w:r w:rsidRPr="0008369D">
        <w:rPr>
          <w:noProof/>
        </w:rPr>
        <w:t>”</w:t>
      </w:r>
      <w:r w:rsidRPr="0008369D">
        <w:rPr>
          <w:rStyle w:val="FootnoteReference"/>
          <w:noProof/>
          <w:szCs w:val="24"/>
        </w:rPr>
        <w:footnoteReference w:id="5"/>
      </w:r>
      <w:r w:rsidRPr="0008369D">
        <w:rPr>
          <w:noProof/>
        </w:rPr>
        <w:t>.</w:t>
      </w:r>
    </w:p>
    <w:p w:rsidR="004230D1" w:rsidRPr="0008369D" w:rsidRDefault="004230D1" w:rsidP="0052102A">
      <w:pPr>
        <w:pStyle w:val="ManualHeading3"/>
        <w:rPr>
          <w:noProof/>
        </w:rPr>
      </w:pPr>
      <w:r>
        <w:rPr>
          <w:noProof/>
        </w:rPr>
        <w:t>4.1.2.</w:t>
      </w:r>
      <w:r>
        <w:rPr>
          <w:noProof/>
        </w:rPr>
        <w:tab/>
      </w:r>
      <w:r w:rsidRPr="0008369D">
        <w:rPr>
          <w:noProof/>
        </w:rPr>
        <w:t>Aplicarea la cazul în discuție</w:t>
      </w:r>
    </w:p>
    <w:p w:rsidR="00B9019F" w:rsidRPr="0008369D" w:rsidRDefault="004230D1" w:rsidP="00B9019F">
      <w:pPr>
        <w:rPr>
          <w:noProof/>
          <w:szCs w:val="24"/>
        </w:rPr>
      </w:pPr>
      <w:r w:rsidRPr="0008369D">
        <w:rPr>
          <w:noProof/>
        </w:rPr>
        <w:t>Conferința ministerială a OMC este un organism instituit printr-un acord (și anume prin Acordul OMC) care, în conformitate cu articolul IV alineatul (1) din Acordul OMC, are autoritatea de a lua decizii cu privire la totalitatea aspectelor acoperite de oricare dintre acordurile comerciale multilaterale, inclusiv autoritatea de a lua decizii cu efecte juridice.</w:t>
      </w:r>
    </w:p>
    <w:p w:rsidR="00B9019F" w:rsidRPr="0008369D" w:rsidRDefault="00B9019F" w:rsidP="00B9019F">
      <w:pPr>
        <w:rPr>
          <w:noProof/>
          <w:szCs w:val="24"/>
        </w:rPr>
      </w:pPr>
      <w:r w:rsidRPr="0008369D">
        <w:rPr>
          <w:noProof/>
        </w:rPr>
        <w:t>Actul avut în vedere menționat anterior constituie un act cu efecte juridice, întrucât poate avea efecte asupra drepturilor și obligațiilor Uniunii în virtutea dreptului internațional.</w:t>
      </w:r>
    </w:p>
    <w:p w:rsidR="00B9019F" w:rsidRPr="0008369D" w:rsidRDefault="00B9019F" w:rsidP="00B9019F">
      <w:pPr>
        <w:rPr>
          <w:noProof/>
          <w:color w:val="000000" w:themeColor="text1"/>
          <w:szCs w:val="24"/>
        </w:rPr>
      </w:pPr>
      <w:r w:rsidRPr="0008369D">
        <w:rPr>
          <w:noProof/>
          <w:color w:val="000000" w:themeColor="text1"/>
        </w:rPr>
        <w:t>Actul avut în vedere nu completează și nu modifică cadrul instituțional al acordului.</w:t>
      </w:r>
    </w:p>
    <w:p w:rsidR="00B9019F" w:rsidRPr="0008369D" w:rsidRDefault="00B9019F" w:rsidP="00B9019F">
      <w:pPr>
        <w:rPr>
          <w:noProof/>
          <w:color w:val="000000" w:themeColor="text1"/>
          <w:szCs w:val="24"/>
        </w:rPr>
      </w:pPr>
      <w:r w:rsidRPr="0008369D">
        <w:rPr>
          <w:noProof/>
          <w:color w:val="000000" w:themeColor="text1"/>
        </w:rPr>
        <w:lastRenderedPageBreak/>
        <w:t>Prin urmare, temeiul juridic procedural al propunerii de decizie este articolul 218 alineatul (9) din TFUE.</w:t>
      </w:r>
    </w:p>
    <w:p w:rsidR="004230D1" w:rsidRPr="0008369D" w:rsidRDefault="004230D1" w:rsidP="005D372B">
      <w:pPr>
        <w:pStyle w:val="ManualHeading2"/>
        <w:rPr>
          <w:noProof/>
          <w:szCs w:val="24"/>
        </w:rPr>
      </w:pPr>
      <w:r>
        <w:rPr>
          <w:noProof/>
        </w:rPr>
        <w:t>4.2.</w:t>
      </w:r>
      <w:r>
        <w:rPr>
          <w:noProof/>
        </w:rPr>
        <w:tab/>
      </w:r>
      <w:r w:rsidRPr="0008369D">
        <w:rPr>
          <w:noProof/>
        </w:rPr>
        <w:t>Temeiul juridic material</w:t>
      </w:r>
    </w:p>
    <w:p w:rsidR="004230D1" w:rsidRPr="0008369D" w:rsidRDefault="004230D1" w:rsidP="0052102A">
      <w:pPr>
        <w:pStyle w:val="ManualHeading3"/>
        <w:rPr>
          <w:noProof/>
        </w:rPr>
      </w:pPr>
      <w:r>
        <w:rPr>
          <w:noProof/>
        </w:rPr>
        <w:t>4.2.1.</w:t>
      </w:r>
      <w:r>
        <w:rPr>
          <w:noProof/>
        </w:rPr>
        <w:tab/>
      </w:r>
      <w:r w:rsidRPr="0008369D">
        <w:rPr>
          <w:noProof/>
        </w:rPr>
        <w:t>Principii</w:t>
      </w:r>
    </w:p>
    <w:p w:rsidR="004230D1" w:rsidRPr="0008369D" w:rsidRDefault="004230D1">
      <w:pPr>
        <w:rPr>
          <w:noProof/>
          <w:szCs w:val="24"/>
        </w:rPr>
      </w:pPr>
      <w:r w:rsidRPr="0008369D">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4230D1" w:rsidRPr="0008369D" w:rsidRDefault="004230D1" w:rsidP="0052102A">
      <w:pPr>
        <w:pStyle w:val="ManualHeading3"/>
        <w:rPr>
          <w:noProof/>
        </w:rPr>
      </w:pPr>
      <w:r>
        <w:rPr>
          <w:noProof/>
        </w:rPr>
        <w:t>4.2.2.</w:t>
      </w:r>
      <w:r>
        <w:rPr>
          <w:noProof/>
        </w:rPr>
        <w:tab/>
      </w:r>
      <w:r w:rsidRPr="0008369D">
        <w:rPr>
          <w:noProof/>
        </w:rPr>
        <w:t>Aplicarea la cazul în discuție</w:t>
      </w:r>
    </w:p>
    <w:p w:rsidR="005D372B" w:rsidRPr="0008369D" w:rsidRDefault="005D372B" w:rsidP="005D372B">
      <w:pPr>
        <w:rPr>
          <w:noProof/>
          <w:szCs w:val="24"/>
        </w:rPr>
      </w:pPr>
      <w:r w:rsidRPr="0008369D">
        <w:rPr>
          <w:noProof/>
          <w:color w:val="000000" w:themeColor="text1"/>
        </w:rPr>
        <w:t>Obiectivul principal și conținutul actului avut în vedere se referă la</w:t>
      </w:r>
      <w:r w:rsidRPr="0008369D">
        <w:rPr>
          <w:noProof/>
        </w:rPr>
        <w:t xml:space="preserve"> politica comercială comună</w:t>
      </w:r>
      <w:r w:rsidRPr="0008369D">
        <w:rPr>
          <w:noProof/>
          <w:color w:val="000000" w:themeColor="text1"/>
        </w:rPr>
        <w:t>.</w:t>
      </w:r>
    </w:p>
    <w:p w:rsidR="005D372B" w:rsidRPr="0008369D" w:rsidRDefault="005D372B" w:rsidP="005D372B">
      <w:pPr>
        <w:rPr>
          <w:noProof/>
          <w:szCs w:val="24"/>
        </w:rPr>
      </w:pPr>
      <w:r w:rsidRPr="0008369D">
        <w:rPr>
          <w:noProof/>
        </w:rPr>
        <w:t>Temeiul juridic material al propunerii de decizie este, prin urmare, articolul 207 din TFUE.</w:t>
      </w:r>
    </w:p>
    <w:p w:rsidR="004230D1" w:rsidRPr="0008369D" w:rsidRDefault="004230D1">
      <w:pPr>
        <w:pStyle w:val="ManualHeading2"/>
        <w:rPr>
          <w:noProof/>
          <w:szCs w:val="24"/>
        </w:rPr>
      </w:pPr>
      <w:r>
        <w:rPr>
          <w:noProof/>
        </w:rPr>
        <w:t>4.3.</w:t>
      </w:r>
      <w:r>
        <w:rPr>
          <w:noProof/>
        </w:rPr>
        <w:tab/>
      </w:r>
      <w:r w:rsidRPr="0008369D">
        <w:rPr>
          <w:noProof/>
        </w:rPr>
        <w:t>Concluzie</w:t>
      </w:r>
    </w:p>
    <w:p w:rsidR="005D372B" w:rsidRPr="0008369D" w:rsidRDefault="005D372B" w:rsidP="005D372B">
      <w:pPr>
        <w:rPr>
          <w:noProof/>
          <w:color w:val="000000" w:themeColor="text1"/>
          <w:szCs w:val="24"/>
        </w:rPr>
      </w:pPr>
      <w:r w:rsidRPr="0008369D">
        <w:rPr>
          <w:noProof/>
        </w:rPr>
        <w:t>Temeiul juridic al propunerii de decizie ar trebui să fie articolul 207 din TFUE coroborat cu articolul 218 alineatul (9) din TFUE.</w:t>
      </w:r>
    </w:p>
    <w:p w:rsidR="004230D1" w:rsidRPr="0008369D" w:rsidRDefault="004230D1">
      <w:pPr>
        <w:rPr>
          <w:noProof/>
        </w:rPr>
        <w:sectPr w:rsidR="004230D1" w:rsidRPr="0008369D" w:rsidSect="00877DDF">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rsidR="00170CD2" w:rsidRDefault="001F1270">
      <w:pPr>
        <w:pStyle w:val="Rfrenceinterinstitutionnelle"/>
        <w:rPr>
          <w:noProof/>
        </w:rPr>
      </w:pPr>
      <w:r>
        <w:rPr>
          <w:noProof/>
        </w:rPr>
        <w:lastRenderedPageBreak/>
        <w:t>2026/0051 (NLE)</w:t>
      </w:r>
    </w:p>
    <w:p w:rsidR="004230D1" w:rsidRPr="0008369D" w:rsidRDefault="00EA053D" w:rsidP="00EA053D">
      <w:pPr>
        <w:pStyle w:val="Statut"/>
        <w:rPr>
          <w:noProof/>
        </w:rPr>
      </w:pPr>
      <w:r w:rsidRPr="0008369D">
        <w:rPr>
          <w:noProof/>
        </w:rPr>
        <w:t>Propunere de</w:t>
      </w:r>
    </w:p>
    <w:p w:rsidR="004230D1" w:rsidRPr="0008369D" w:rsidRDefault="00EA053D" w:rsidP="00EA053D">
      <w:pPr>
        <w:pStyle w:val="Typedudocument"/>
        <w:rPr>
          <w:noProof/>
        </w:rPr>
      </w:pPr>
      <w:r w:rsidRPr="0008369D">
        <w:rPr>
          <w:noProof/>
        </w:rPr>
        <w:t>DECIZIE A CONSILIULUI</w:t>
      </w:r>
    </w:p>
    <w:p w:rsidR="004230D1" w:rsidRPr="0008369D" w:rsidRDefault="00EA053D" w:rsidP="00EA053D">
      <w:pPr>
        <w:pStyle w:val="Titreobjet"/>
        <w:rPr>
          <w:noProof/>
        </w:rPr>
      </w:pPr>
      <w:r w:rsidRPr="0008369D">
        <w:rPr>
          <w:noProof/>
        </w:rPr>
        <w:t>de stabilire a poziției care urmează să fie adoptată în numele Uniunii Europene în cadrul celei de a 14-a Conferințe ministeriale a Organizației Mondiale a Comerțului privind aderarea Republicii Uzbekistan la OMC</w:t>
      </w:r>
    </w:p>
    <w:p w:rsidR="004230D1" w:rsidRPr="0008369D" w:rsidRDefault="004230D1">
      <w:pPr>
        <w:pStyle w:val="Institutionquiagit"/>
        <w:rPr>
          <w:noProof/>
        </w:rPr>
      </w:pPr>
      <w:r w:rsidRPr="0008369D">
        <w:rPr>
          <w:noProof/>
        </w:rPr>
        <w:t>CONSILIUL UNIUNII EUROPENE,</w:t>
      </w:r>
    </w:p>
    <w:p w:rsidR="004230D1" w:rsidRPr="0008369D" w:rsidRDefault="004230D1">
      <w:pPr>
        <w:rPr>
          <w:noProof/>
        </w:rPr>
      </w:pPr>
      <w:r w:rsidRPr="0008369D">
        <w:rPr>
          <w:noProof/>
        </w:rPr>
        <w:t>având în vedere Tratatul privind funcționarea Uniunii Europene, în special articolul 207 alineatul (4) primul paragraf, coroborat cu articolul 218 alineatul (9),</w:t>
      </w:r>
    </w:p>
    <w:p w:rsidR="004230D1" w:rsidRPr="0008369D" w:rsidRDefault="004230D1">
      <w:pPr>
        <w:rPr>
          <w:noProof/>
        </w:rPr>
      </w:pPr>
      <w:r w:rsidRPr="0008369D">
        <w:rPr>
          <w:noProof/>
        </w:rPr>
        <w:t>având în vedere propunerea Comisiei Europene,</w:t>
      </w:r>
    </w:p>
    <w:p w:rsidR="005D372B" w:rsidRPr="0008369D" w:rsidRDefault="005D372B" w:rsidP="005D372B">
      <w:pPr>
        <w:rPr>
          <w:noProof/>
        </w:rPr>
      </w:pPr>
      <w:r w:rsidRPr="0008369D">
        <w:rPr>
          <w:noProof/>
        </w:rPr>
        <w:t>întrucât:</w:t>
      </w:r>
    </w:p>
    <w:p w:rsidR="005D372B" w:rsidRPr="0008369D" w:rsidRDefault="005D372B" w:rsidP="00BF7751">
      <w:pPr>
        <w:pStyle w:val="ManualConsidrant"/>
        <w:rPr>
          <w:noProof/>
        </w:rPr>
      </w:pPr>
      <w:r>
        <w:rPr>
          <w:noProof/>
        </w:rPr>
        <w:t>(1)</w:t>
      </w:r>
      <w:r>
        <w:rPr>
          <w:noProof/>
        </w:rPr>
        <w:tab/>
      </w:r>
      <w:r w:rsidRPr="0008369D">
        <w:rPr>
          <w:noProof/>
        </w:rPr>
        <w:t>Acordul de la Marrakesh de instituire a Organizației Mondiale a Comerțului (denumit în continuare „Acordul OMC”) a fost încheiat de către Uniune prin Decizia 94/800/CE a Consiliului din 22 decembrie 1994</w:t>
      </w:r>
      <w:r w:rsidRPr="0008369D">
        <w:rPr>
          <w:rStyle w:val="FootnoteReference"/>
          <w:noProof/>
        </w:rPr>
        <w:footnoteReference w:id="6"/>
      </w:r>
      <w:r w:rsidRPr="0008369D">
        <w:rPr>
          <w:noProof/>
        </w:rPr>
        <w:t xml:space="preserve"> și a intrat în vigoare la 1 ianuarie 1995. </w:t>
      </w:r>
    </w:p>
    <w:p w:rsidR="005D372B" w:rsidRPr="0008369D" w:rsidRDefault="005D372B" w:rsidP="0052102A">
      <w:pPr>
        <w:pStyle w:val="ManualConsidrant"/>
        <w:rPr>
          <w:noProof/>
        </w:rPr>
      </w:pPr>
      <w:r>
        <w:rPr>
          <w:noProof/>
        </w:rPr>
        <w:t>(2)</w:t>
      </w:r>
      <w:r>
        <w:rPr>
          <w:noProof/>
        </w:rPr>
        <w:tab/>
      </w:r>
      <w:r w:rsidRPr="0008369D">
        <w:rPr>
          <w:noProof/>
        </w:rPr>
        <w:t>În temeiul articolelor IV:1 și IX:1 din Acordul OMC, Conferința ministerială a Organizației Mondiale a Comerțului („OMC”) poate adopta decizii prin consens.</w:t>
      </w:r>
    </w:p>
    <w:p w:rsidR="005D372B" w:rsidRPr="0008369D" w:rsidRDefault="005D372B" w:rsidP="0052102A">
      <w:pPr>
        <w:pStyle w:val="ManualConsidrant"/>
        <w:rPr>
          <w:noProof/>
        </w:rPr>
      </w:pPr>
      <w:r>
        <w:rPr>
          <w:noProof/>
        </w:rPr>
        <w:t>(3)</w:t>
      </w:r>
      <w:r>
        <w:rPr>
          <w:noProof/>
        </w:rPr>
        <w:tab/>
      </w:r>
      <w:r w:rsidRPr="0008369D">
        <w:rPr>
          <w:noProof/>
        </w:rPr>
        <w:t xml:space="preserve">Conferința ministerială a OMC, în cadrul celei de a 14-a reuniuni din 26-29 februarie 2026, poate adopta o decizie </w:t>
      </w:r>
      <w:bookmarkStart w:id="2" w:name="_Hlk150275218"/>
      <w:r w:rsidRPr="0008369D">
        <w:rPr>
          <w:noProof/>
        </w:rPr>
        <w:t>privind aderarea Uzbekistanului la OMC.</w:t>
      </w:r>
      <w:bookmarkEnd w:id="2"/>
    </w:p>
    <w:p w:rsidR="005D372B" w:rsidRPr="0008369D" w:rsidRDefault="005D372B" w:rsidP="0052102A">
      <w:pPr>
        <w:pStyle w:val="ManualConsidrant"/>
        <w:rPr>
          <w:noProof/>
        </w:rPr>
      </w:pPr>
      <w:r>
        <w:rPr>
          <w:noProof/>
        </w:rPr>
        <w:t>(4)</w:t>
      </w:r>
      <w:r>
        <w:rPr>
          <w:noProof/>
        </w:rPr>
        <w:tab/>
      </w:r>
      <w:r w:rsidRPr="0008369D">
        <w:rPr>
          <w:noProof/>
        </w:rPr>
        <w:t>Este oportun să se stabilească poziția care urmează să fie luată, în numele Uniunii, în cadrul Conferinței ministeriale a OMC, întrucât deciziile vor avea caracter obligatoriu pentru Uniune.</w:t>
      </w:r>
    </w:p>
    <w:p w:rsidR="005D372B" w:rsidRPr="0008369D" w:rsidRDefault="025A5C2D" w:rsidP="0052102A">
      <w:pPr>
        <w:pStyle w:val="ManualConsidrant"/>
        <w:rPr>
          <w:noProof/>
        </w:rPr>
      </w:pPr>
      <w:r>
        <w:rPr>
          <w:noProof/>
        </w:rPr>
        <w:t>(5)</w:t>
      </w:r>
      <w:r>
        <w:rPr>
          <w:noProof/>
        </w:rPr>
        <w:tab/>
      </w:r>
      <w:r w:rsidRPr="0008369D">
        <w:rPr>
          <w:noProof/>
        </w:rPr>
        <w:t>Negocierile pentru aderarea Uzbekistanului la OMC au demarat în 1995. La 21 decembrie 1994, a fost instituit grupul de lucru pentru aderarea Uzbekistanului. Cea de a 11-a reuniune a grupului de lucru a avut loc la 5-6 noiembrie 2025. În octombrie 2025, Comisia a finalizat, în numele UE, negocierile bilaterale privind o serie cuprinzătoare de angajamente de deschidere a pieței din partea Uzbekistanului. Se preconizează că aderarea Uzbekistanului la OMC va avea o contribuție pozitivă și de durată la procesul de reformă economică și de dezvoltare durabilă din această țară. O posibilă aderare subliniază, de asemenea, sprijinul pentru un sistem comercial multilateral bazat pe norme, în centrul căruia să se afle OMC. UE ar trebui să sprijine aderarea Uzbekistanului,</w:t>
      </w:r>
    </w:p>
    <w:p w:rsidR="004230D1" w:rsidRPr="0008369D" w:rsidRDefault="004230D1">
      <w:pPr>
        <w:pStyle w:val="Formuledadoption"/>
        <w:rPr>
          <w:noProof/>
        </w:rPr>
      </w:pPr>
      <w:r w:rsidRPr="0008369D">
        <w:rPr>
          <w:noProof/>
        </w:rPr>
        <w:t>ADOPTĂ PREZENTA DECIZIE:</w:t>
      </w:r>
    </w:p>
    <w:p w:rsidR="004230D1" w:rsidRPr="0008369D" w:rsidRDefault="004230D1">
      <w:pPr>
        <w:pStyle w:val="Titrearticle"/>
        <w:rPr>
          <w:noProof/>
        </w:rPr>
      </w:pPr>
      <w:r w:rsidRPr="0008369D">
        <w:rPr>
          <w:noProof/>
        </w:rPr>
        <w:t>Articolul 1</w:t>
      </w:r>
    </w:p>
    <w:p w:rsidR="005D372B" w:rsidRPr="0008369D" w:rsidRDefault="005D372B" w:rsidP="005D372B">
      <w:pPr>
        <w:rPr>
          <w:noProof/>
        </w:rPr>
      </w:pPr>
      <w:r w:rsidRPr="0008369D">
        <w:rPr>
          <w:noProof/>
        </w:rPr>
        <w:t>Poziția care urmează să fie adoptată în numele Uniunii în cadrul celei de a 14-a Conferințe Ministeriale a OMC sau în orice reuniune ulterioară a Consiliului general este:</w:t>
      </w:r>
    </w:p>
    <w:p w:rsidR="005D372B" w:rsidRPr="0008369D" w:rsidRDefault="005D372B" w:rsidP="005D372B">
      <w:pPr>
        <w:rPr>
          <w:noProof/>
        </w:rPr>
      </w:pPr>
      <w:r w:rsidRPr="0008369D">
        <w:rPr>
          <w:noProof/>
        </w:rPr>
        <w:lastRenderedPageBreak/>
        <w:t>de a se alătura consensului la care au ajuns membrii OMC în vederea adoptării unei decizii privind aderarea Uzbekistanului la OMC.</w:t>
      </w:r>
    </w:p>
    <w:p w:rsidR="004230D1" w:rsidRPr="0008369D" w:rsidRDefault="004230D1" w:rsidP="005047FA">
      <w:pPr>
        <w:pStyle w:val="Titrearticle"/>
        <w:rPr>
          <w:noProof/>
          <w:color w:val="000000" w:themeColor="text1"/>
        </w:rPr>
      </w:pPr>
      <w:r w:rsidRPr="0008369D">
        <w:rPr>
          <w:noProof/>
        </w:rPr>
        <w:t>Articolul 2</w:t>
      </w:r>
    </w:p>
    <w:p w:rsidR="004230D1" w:rsidRPr="0008369D" w:rsidRDefault="004230D1">
      <w:pPr>
        <w:rPr>
          <w:noProof/>
        </w:rPr>
      </w:pPr>
      <w:r w:rsidRPr="0008369D">
        <w:rPr>
          <w:noProof/>
        </w:rPr>
        <w:t>Prezenta decizie se adresează Comisiei.</w:t>
      </w:r>
    </w:p>
    <w:p w:rsidR="004230D1" w:rsidRPr="0008369D" w:rsidRDefault="00EA053D" w:rsidP="005047FA">
      <w:pPr>
        <w:pStyle w:val="Fait"/>
        <w:rPr>
          <w:noProof/>
        </w:rPr>
      </w:pPr>
      <w:r>
        <w:rPr>
          <w:noProof/>
        </w:rPr>
        <w:t>Adoptată la Bruxelles,</w:t>
      </w:r>
    </w:p>
    <w:p w:rsidR="004230D1" w:rsidRPr="0008369D" w:rsidRDefault="004230D1" w:rsidP="005047FA">
      <w:pPr>
        <w:pStyle w:val="Institutionquisigne"/>
        <w:rPr>
          <w:noProof/>
        </w:rPr>
      </w:pPr>
      <w:r w:rsidRPr="0008369D">
        <w:rPr>
          <w:noProof/>
        </w:rPr>
        <w:tab/>
        <w:t>Pentru Consiliu</w:t>
      </w:r>
    </w:p>
    <w:p w:rsidR="004230D1" w:rsidRPr="0008369D" w:rsidRDefault="004230D1" w:rsidP="004230D1">
      <w:pPr>
        <w:pStyle w:val="Personnequisigne"/>
        <w:rPr>
          <w:noProof/>
        </w:rPr>
      </w:pPr>
      <w:r w:rsidRPr="0008369D">
        <w:rPr>
          <w:noProof/>
        </w:rPr>
        <w:tab/>
        <w:t>Președintele</w:t>
      </w:r>
    </w:p>
    <w:sectPr w:rsidR="004230D1" w:rsidRPr="0008369D" w:rsidSect="00877DD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BC6" w:rsidRPr="0008369D" w:rsidRDefault="00684BC6" w:rsidP="004230D1">
      <w:pPr>
        <w:spacing w:before="0" w:after="0"/>
      </w:pPr>
      <w:r w:rsidRPr="0008369D">
        <w:separator/>
      </w:r>
    </w:p>
  </w:endnote>
  <w:endnote w:type="continuationSeparator" w:id="0">
    <w:p w:rsidR="00684BC6" w:rsidRPr="0008369D" w:rsidRDefault="00684BC6" w:rsidP="004230D1">
      <w:pPr>
        <w:spacing w:before="0" w:after="0"/>
      </w:pPr>
      <w:r w:rsidRPr="0008369D">
        <w:continuationSeparator/>
      </w:r>
    </w:p>
  </w:endnote>
  <w:endnote w:type="continuationNotice" w:id="1">
    <w:p w:rsidR="00684BC6" w:rsidRPr="0008369D" w:rsidRDefault="00684BC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DDF" w:rsidRPr="00877DDF" w:rsidRDefault="00877DDF" w:rsidP="00877DDF">
    <w:pPr>
      <w:pStyle w:val="Footer"/>
      <w:rPr>
        <w:rFonts w:ascii="Arial" w:hAnsi="Arial" w:cs="Arial"/>
        <w:b/>
        <w:sz w:val="48"/>
      </w:rPr>
    </w:pPr>
    <w:r w:rsidRPr="00877DDF">
      <w:rPr>
        <w:rFonts w:ascii="Arial" w:hAnsi="Arial" w:cs="Arial"/>
        <w:b/>
        <w:sz w:val="48"/>
      </w:rPr>
      <w:t>RO</w:t>
    </w:r>
    <w:r w:rsidRPr="00877DDF">
      <w:rPr>
        <w:rFonts w:ascii="Arial" w:hAnsi="Arial" w:cs="Arial"/>
        <w:b/>
        <w:sz w:val="48"/>
      </w:rPr>
      <w:tab/>
    </w:r>
    <w:r w:rsidRPr="00877DDF">
      <w:rPr>
        <w:rFonts w:ascii="Arial" w:hAnsi="Arial" w:cs="Arial"/>
        <w:b/>
        <w:sz w:val="48"/>
      </w:rPr>
      <w:tab/>
    </w:r>
    <w:r w:rsidRPr="00877DDF">
      <w:tab/>
    </w:r>
    <w:r w:rsidRPr="00877DD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DDF" w:rsidRPr="00877DDF" w:rsidRDefault="00877DDF" w:rsidP="00877DDF">
    <w:pPr>
      <w:pStyle w:val="Footer"/>
      <w:rPr>
        <w:rFonts w:ascii="Arial" w:hAnsi="Arial" w:cs="Arial"/>
        <w:b/>
        <w:sz w:val="48"/>
      </w:rPr>
    </w:pPr>
    <w:r w:rsidRPr="00877DDF">
      <w:rPr>
        <w:rFonts w:ascii="Arial" w:hAnsi="Arial" w:cs="Arial"/>
        <w:b/>
        <w:sz w:val="48"/>
      </w:rPr>
      <w:t>RO</w:t>
    </w:r>
    <w:r w:rsidRPr="00877DDF">
      <w:rPr>
        <w:rFonts w:ascii="Arial" w:hAnsi="Arial" w:cs="Arial"/>
        <w:b/>
        <w:sz w:val="48"/>
      </w:rPr>
      <w:tab/>
    </w:r>
    <w:r w:rsidRPr="00877DDF">
      <w:rPr>
        <w:rFonts w:ascii="Arial" w:hAnsi="Arial" w:cs="Arial"/>
        <w:b/>
        <w:sz w:val="48"/>
      </w:rPr>
      <w:tab/>
    </w:r>
    <w:r w:rsidRPr="00877DDF">
      <w:tab/>
    </w:r>
    <w:r w:rsidRPr="00877DD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DDF" w:rsidRDefault="00877D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DDF" w:rsidRPr="00877DDF" w:rsidRDefault="00877DDF" w:rsidP="00877DDF">
    <w:pPr>
      <w:pStyle w:val="Footer"/>
      <w:rPr>
        <w:rFonts w:ascii="Arial" w:hAnsi="Arial" w:cs="Arial"/>
        <w:b/>
        <w:sz w:val="48"/>
      </w:rPr>
    </w:pPr>
    <w:r w:rsidRPr="00877DDF">
      <w:rPr>
        <w:rFonts w:ascii="Arial" w:hAnsi="Arial" w:cs="Arial"/>
        <w:b/>
        <w:sz w:val="48"/>
      </w:rPr>
      <w:t>RO</w:t>
    </w:r>
    <w:r w:rsidRPr="00877DDF">
      <w:rPr>
        <w:rFonts w:ascii="Arial" w:hAnsi="Arial" w:cs="Arial"/>
        <w:b/>
        <w:sz w:val="48"/>
      </w:rPr>
      <w:tab/>
    </w:r>
    <w:r>
      <w:fldChar w:fldCharType="begin"/>
    </w:r>
    <w:r>
      <w:instrText xml:space="preserve"> PAGE  \* MERGEFORMAT </w:instrText>
    </w:r>
    <w:r>
      <w:fldChar w:fldCharType="separate"/>
    </w:r>
    <w:r w:rsidR="005047FA">
      <w:rPr>
        <w:noProof/>
      </w:rPr>
      <w:t>6</w:t>
    </w:r>
    <w:r>
      <w:fldChar w:fldCharType="end"/>
    </w:r>
    <w:r>
      <w:tab/>
    </w:r>
    <w:r w:rsidRPr="00877DDF">
      <w:tab/>
    </w:r>
    <w:r w:rsidRPr="00877DD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DDF" w:rsidRDefault="00877DDF" w:rsidP="00877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BC6" w:rsidRPr="0008369D" w:rsidRDefault="00684BC6" w:rsidP="004230D1">
      <w:pPr>
        <w:spacing w:before="0" w:after="0"/>
      </w:pPr>
      <w:r w:rsidRPr="0008369D">
        <w:separator/>
      </w:r>
    </w:p>
  </w:footnote>
  <w:footnote w:type="continuationSeparator" w:id="0">
    <w:p w:rsidR="00684BC6" w:rsidRPr="0008369D" w:rsidRDefault="00684BC6" w:rsidP="004230D1">
      <w:pPr>
        <w:spacing w:before="0" w:after="0"/>
      </w:pPr>
      <w:r w:rsidRPr="0008369D">
        <w:continuationSeparator/>
      </w:r>
    </w:p>
  </w:footnote>
  <w:footnote w:type="continuationNotice" w:id="1">
    <w:p w:rsidR="00684BC6" w:rsidRPr="0008369D" w:rsidRDefault="00684BC6">
      <w:pPr>
        <w:spacing w:before="0" w:after="0"/>
      </w:pPr>
    </w:p>
  </w:footnote>
  <w:footnote w:id="2">
    <w:p w:rsidR="00FD4239" w:rsidRPr="0008369D" w:rsidRDefault="00FD4239" w:rsidP="00FD4239">
      <w:pPr>
        <w:pStyle w:val="FootnoteText"/>
        <w:rPr>
          <w:color w:val="000000"/>
        </w:rPr>
      </w:pPr>
      <w:r w:rsidRPr="0008369D">
        <w:rPr>
          <w:rStyle w:val="FootnoteReference"/>
        </w:rPr>
        <w:footnoteRef/>
      </w:r>
      <w:r w:rsidRPr="0008369D">
        <w:tab/>
      </w:r>
      <w:r w:rsidRPr="0008369D">
        <w:rPr>
          <w:color w:val="000000"/>
        </w:rPr>
        <w:t xml:space="preserve">Decizia </w:t>
      </w:r>
      <w:hyperlink r:id="rId1" w:history="1">
        <w:r w:rsidRPr="0008369D">
          <w:rPr>
            <w:rStyle w:val="Hyperlink"/>
            <w:color w:val="000000"/>
          </w:rPr>
          <w:t>94/800/CE</w:t>
        </w:r>
      </w:hyperlink>
      <w:r w:rsidRPr="0008369D">
        <w:rPr>
          <w:color w:val="000000"/>
        </w:rPr>
        <w:t xml:space="preserve"> a Consiliului din 22 decembrie 1994 privind încheierea, în numele Comunității Europene, referitor la domeniile de competența sa, a acordurilor obținute în cadrul negocierilor comerciale multilaterale din Runda Uruguay (1986-1994) (JO L 336, 23.12.1994, p. 1).</w:t>
      </w:r>
    </w:p>
  </w:footnote>
  <w:footnote w:id="3">
    <w:p w:rsidR="00B9019F" w:rsidRPr="0008369D" w:rsidRDefault="00B9019F" w:rsidP="00B9019F">
      <w:pPr>
        <w:pStyle w:val="FootnoteText"/>
      </w:pPr>
      <w:r w:rsidRPr="0008369D">
        <w:rPr>
          <w:rStyle w:val="FootnoteReference"/>
        </w:rPr>
        <w:footnoteRef/>
      </w:r>
      <w:r w:rsidRPr="0008369D">
        <w:tab/>
        <w:t xml:space="preserve">În măsura în care, contrar așteptărilor actuale, consensul va fi formalizat printr-un acord internațional de modificare a Acordului OMC sau printr-un acord internațional plurilateral între anumiți membri ai OMC, Comisia va face propunerile necesare în conformitate cu articolul 218 alineatul (6) din TFUE, după adoptarea textelor și deschiderea lor pentru acceptare de către CM14 sau de către membrii OMC în cauză în cursul CM14. </w:t>
      </w:r>
    </w:p>
  </w:footnote>
  <w:footnote w:id="4">
    <w:p w:rsidR="00B9019F" w:rsidRPr="0008369D" w:rsidRDefault="00B9019F" w:rsidP="00B9019F">
      <w:pPr>
        <w:pStyle w:val="FootnoteText"/>
      </w:pPr>
      <w:r w:rsidRPr="0008369D">
        <w:rPr>
          <w:rStyle w:val="FootnoteReference"/>
        </w:rPr>
        <w:footnoteRef/>
      </w:r>
      <w:r w:rsidRPr="0008369D">
        <w:tab/>
      </w:r>
      <w:hyperlink r:id="rId2" w:history="1">
        <w:r w:rsidRPr="0008369D">
          <w:rPr>
            <w:rStyle w:val="Hyperlink"/>
          </w:rPr>
          <w:t>Propunere de decizie a Consiliului privind aderarea Timorului de Est la OMC</w:t>
        </w:r>
      </w:hyperlink>
      <w:r w:rsidRPr="0008369D">
        <w:t>.</w:t>
      </w:r>
    </w:p>
  </w:footnote>
  <w:footnote w:id="5">
    <w:p w:rsidR="004230D1" w:rsidRPr="0008369D" w:rsidRDefault="004230D1">
      <w:pPr>
        <w:pStyle w:val="FootnoteText"/>
      </w:pPr>
      <w:r w:rsidRPr="0008369D">
        <w:rPr>
          <w:rStyle w:val="FootnoteReference"/>
        </w:rPr>
        <w:footnoteRef/>
      </w:r>
      <w:r w:rsidRPr="0008369D">
        <w:tab/>
        <w:t xml:space="preserve">Hotărârea Curții de Justiție din 7 octombrie 2014, Germania/Consiliu, C-399/12, ECLI:EU:C:2014:2258, punctele 61-64. </w:t>
      </w:r>
    </w:p>
  </w:footnote>
  <w:footnote w:id="6">
    <w:p w:rsidR="005D372B" w:rsidRDefault="005D372B" w:rsidP="005D372B">
      <w:pPr>
        <w:pStyle w:val="FootnoteText"/>
      </w:pPr>
      <w:r w:rsidRPr="0008369D">
        <w:rPr>
          <w:rStyle w:val="FootnoteReference"/>
        </w:rPr>
        <w:footnoteRef/>
      </w:r>
      <w:r w:rsidRPr="0008369D">
        <w:tab/>
        <w:t>JO L 336, 23.12.1994,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DDF" w:rsidRDefault="00877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DDF" w:rsidRDefault="00877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C1CF31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E8B61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1BC8A1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35E0CF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7:28: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7E3E880-3FBE-4243-83CF-38C7BCA01CE9"/>
    <w:docVar w:name="LW_COVERPAGE_TYPE" w:val="1"/>
    <w:docVar w:name="LW_CreatedUtc" w:val="2025-10-23T08:47:58.7172290Z"/>
    <w:docVar w:name="LW_CROSSREFERENCE" w:val="&lt;UNUSED&gt;"/>
    <w:docVar w:name="LW_DocType" w:val="COM"/>
    <w:docVar w:name="LW_EMISSION" w:val="20.2.2026"/>
    <w:docVar w:name="LW_EMISSION_ISODATE" w:val="2026-02-20"/>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1"/>
    <w:docVar w:name="LW_REF.II.NEW.CP_YEAR" w:val="2026"/>
    <w:docVar w:name="LW_REF.INST.NEW" w:val="COM"/>
    <w:docVar w:name="LW_REF.INST.NEW_ADOPTED" w:val="final"/>
    <w:docVar w:name="LW_REF.INST.NEW_TEXT" w:val="(2026) 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pozi\u539?iei care urmeaz\u259? s\u259? fie adoptat\u259? în numele Uniunii Europene în cadrul celei de a 14-a Conferin\u539?e ministeriale a Organiza\u539?iei Mondiale a Comer\u539?ului privind aderarea Republicii Uzbekistan la OMC"/>
    <w:docVar w:name="LW_TYPE.DOC.CP" w:val="DECIZIE A CONSILIULUI"/>
    <w:docVar w:name="LwApiVersions" w:val="LW4CoDe 1.24.5.0; LW 9.2, Build 20251112"/>
  </w:docVars>
  <w:rsids>
    <w:rsidRoot w:val="004230D1"/>
    <w:rsid w:val="00017AF2"/>
    <w:rsid w:val="00017CBF"/>
    <w:rsid w:val="000653D6"/>
    <w:rsid w:val="0008369D"/>
    <w:rsid w:val="000837A6"/>
    <w:rsid w:val="000F38EE"/>
    <w:rsid w:val="001065F5"/>
    <w:rsid w:val="001238EF"/>
    <w:rsid w:val="00144C21"/>
    <w:rsid w:val="00157042"/>
    <w:rsid w:val="00161482"/>
    <w:rsid w:val="00170CD2"/>
    <w:rsid w:val="00181FE0"/>
    <w:rsid w:val="001964BF"/>
    <w:rsid w:val="00196A57"/>
    <w:rsid w:val="00197613"/>
    <w:rsid w:val="001A18D5"/>
    <w:rsid w:val="001A57E9"/>
    <w:rsid w:val="001A5E26"/>
    <w:rsid w:val="0021166E"/>
    <w:rsid w:val="00233DC7"/>
    <w:rsid w:val="0023550F"/>
    <w:rsid w:val="00247779"/>
    <w:rsid w:val="00247862"/>
    <w:rsid w:val="0027757E"/>
    <w:rsid w:val="00277F13"/>
    <w:rsid w:val="002825D7"/>
    <w:rsid w:val="00285BEE"/>
    <w:rsid w:val="00293189"/>
    <w:rsid w:val="0029533F"/>
    <w:rsid w:val="002B30AF"/>
    <w:rsid w:val="002BFE12"/>
    <w:rsid w:val="002E6EAD"/>
    <w:rsid w:val="002E7086"/>
    <w:rsid w:val="002E71A0"/>
    <w:rsid w:val="002F678F"/>
    <w:rsid w:val="00317A0D"/>
    <w:rsid w:val="0032148C"/>
    <w:rsid w:val="0033344A"/>
    <w:rsid w:val="00373765"/>
    <w:rsid w:val="003933EC"/>
    <w:rsid w:val="003B59D6"/>
    <w:rsid w:val="003C2405"/>
    <w:rsid w:val="003D12D2"/>
    <w:rsid w:val="00421DC9"/>
    <w:rsid w:val="004230D1"/>
    <w:rsid w:val="0042648E"/>
    <w:rsid w:val="00443BF4"/>
    <w:rsid w:val="004521D7"/>
    <w:rsid w:val="00460882"/>
    <w:rsid w:val="004610C4"/>
    <w:rsid w:val="00464401"/>
    <w:rsid w:val="00465AC0"/>
    <w:rsid w:val="00476049"/>
    <w:rsid w:val="00483CAF"/>
    <w:rsid w:val="004936D2"/>
    <w:rsid w:val="004A1C74"/>
    <w:rsid w:val="005047FA"/>
    <w:rsid w:val="005059CC"/>
    <w:rsid w:val="0051555F"/>
    <w:rsid w:val="0052102A"/>
    <w:rsid w:val="005214FC"/>
    <w:rsid w:val="00537AFE"/>
    <w:rsid w:val="00553321"/>
    <w:rsid w:val="005547A1"/>
    <w:rsid w:val="005774B9"/>
    <w:rsid w:val="00586243"/>
    <w:rsid w:val="00586980"/>
    <w:rsid w:val="005B003F"/>
    <w:rsid w:val="005B1EB6"/>
    <w:rsid w:val="005D372B"/>
    <w:rsid w:val="005F11A9"/>
    <w:rsid w:val="0061203E"/>
    <w:rsid w:val="00637DA7"/>
    <w:rsid w:val="0066516D"/>
    <w:rsid w:val="00684BC6"/>
    <w:rsid w:val="00695A70"/>
    <w:rsid w:val="006A17B4"/>
    <w:rsid w:val="006A2F77"/>
    <w:rsid w:val="006D0876"/>
    <w:rsid w:val="006F2841"/>
    <w:rsid w:val="00773331"/>
    <w:rsid w:val="007932EF"/>
    <w:rsid w:val="00794EF2"/>
    <w:rsid w:val="007A1BE4"/>
    <w:rsid w:val="007C7B1E"/>
    <w:rsid w:val="007D56BE"/>
    <w:rsid w:val="007E05B0"/>
    <w:rsid w:val="0085724F"/>
    <w:rsid w:val="008649FF"/>
    <w:rsid w:val="00874D22"/>
    <w:rsid w:val="00877DDF"/>
    <w:rsid w:val="0089501B"/>
    <w:rsid w:val="008A1F7B"/>
    <w:rsid w:val="008A2914"/>
    <w:rsid w:val="008B0119"/>
    <w:rsid w:val="008B02D4"/>
    <w:rsid w:val="008B1426"/>
    <w:rsid w:val="008B35A2"/>
    <w:rsid w:val="008B77CB"/>
    <w:rsid w:val="008E4D8E"/>
    <w:rsid w:val="008E67D4"/>
    <w:rsid w:val="00904A5E"/>
    <w:rsid w:val="009117D6"/>
    <w:rsid w:val="009165BC"/>
    <w:rsid w:val="0092195C"/>
    <w:rsid w:val="00921AFC"/>
    <w:rsid w:val="00945E26"/>
    <w:rsid w:val="00986814"/>
    <w:rsid w:val="0099001C"/>
    <w:rsid w:val="009D0B02"/>
    <w:rsid w:val="009D4E39"/>
    <w:rsid w:val="009E66B4"/>
    <w:rsid w:val="009F67D5"/>
    <w:rsid w:val="00A076AE"/>
    <w:rsid w:val="00A158DE"/>
    <w:rsid w:val="00A3756F"/>
    <w:rsid w:val="00A45ACF"/>
    <w:rsid w:val="00A702DB"/>
    <w:rsid w:val="00A722E2"/>
    <w:rsid w:val="00A747FF"/>
    <w:rsid w:val="00A75F22"/>
    <w:rsid w:val="00A76E9A"/>
    <w:rsid w:val="00AD73C8"/>
    <w:rsid w:val="00B05E4D"/>
    <w:rsid w:val="00B40DD5"/>
    <w:rsid w:val="00B546CA"/>
    <w:rsid w:val="00B56ECA"/>
    <w:rsid w:val="00B622EF"/>
    <w:rsid w:val="00B82DDB"/>
    <w:rsid w:val="00B82DF7"/>
    <w:rsid w:val="00B9019F"/>
    <w:rsid w:val="00B947C3"/>
    <w:rsid w:val="00BD2332"/>
    <w:rsid w:val="00BD7AF5"/>
    <w:rsid w:val="00BE3CC5"/>
    <w:rsid w:val="00BF7751"/>
    <w:rsid w:val="00C05DDA"/>
    <w:rsid w:val="00C12301"/>
    <w:rsid w:val="00C15077"/>
    <w:rsid w:val="00C362C9"/>
    <w:rsid w:val="00C44154"/>
    <w:rsid w:val="00C748E9"/>
    <w:rsid w:val="00C859E8"/>
    <w:rsid w:val="00C92F10"/>
    <w:rsid w:val="00CA75FC"/>
    <w:rsid w:val="00CC33FA"/>
    <w:rsid w:val="00CF07C5"/>
    <w:rsid w:val="00CF7B8D"/>
    <w:rsid w:val="00D02299"/>
    <w:rsid w:val="00D20381"/>
    <w:rsid w:val="00D407A0"/>
    <w:rsid w:val="00D54DD5"/>
    <w:rsid w:val="00D56A1C"/>
    <w:rsid w:val="00D66E62"/>
    <w:rsid w:val="00D814F6"/>
    <w:rsid w:val="00DB5D19"/>
    <w:rsid w:val="00DF6DC8"/>
    <w:rsid w:val="00E03D07"/>
    <w:rsid w:val="00E1454A"/>
    <w:rsid w:val="00E3155E"/>
    <w:rsid w:val="00E442B4"/>
    <w:rsid w:val="00E70DB3"/>
    <w:rsid w:val="00E8772E"/>
    <w:rsid w:val="00E95A9F"/>
    <w:rsid w:val="00EA053D"/>
    <w:rsid w:val="00EA6F03"/>
    <w:rsid w:val="00EA6F6A"/>
    <w:rsid w:val="00F06485"/>
    <w:rsid w:val="00F11292"/>
    <w:rsid w:val="00F37C84"/>
    <w:rsid w:val="00F40148"/>
    <w:rsid w:val="00F443EB"/>
    <w:rsid w:val="00F523C7"/>
    <w:rsid w:val="00F7499E"/>
    <w:rsid w:val="00F9460D"/>
    <w:rsid w:val="00F9754F"/>
    <w:rsid w:val="00FC38F8"/>
    <w:rsid w:val="00FD4239"/>
    <w:rsid w:val="00FD7A50"/>
    <w:rsid w:val="015F0741"/>
    <w:rsid w:val="0168FEF0"/>
    <w:rsid w:val="025A5C2D"/>
    <w:rsid w:val="04046541"/>
    <w:rsid w:val="055FFF61"/>
    <w:rsid w:val="05EED033"/>
    <w:rsid w:val="089ABCA7"/>
    <w:rsid w:val="0900A4B1"/>
    <w:rsid w:val="091380AC"/>
    <w:rsid w:val="09D19820"/>
    <w:rsid w:val="09EEC287"/>
    <w:rsid w:val="0BFA340A"/>
    <w:rsid w:val="0CB8AAF6"/>
    <w:rsid w:val="0D27B5FB"/>
    <w:rsid w:val="0D82AB52"/>
    <w:rsid w:val="0DBF4B40"/>
    <w:rsid w:val="0DE41CE2"/>
    <w:rsid w:val="0EB8B8AC"/>
    <w:rsid w:val="0F241053"/>
    <w:rsid w:val="0F7A7BB9"/>
    <w:rsid w:val="0FA463C7"/>
    <w:rsid w:val="0FE9B6E5"/>
    <w:rsid w:val="10C7A5FF"/>
    <w:rsid w:val="10D885E3"/>
    <w:rsid w:val="118C0C69"/>
    <w:rsid w:val="11AD10DE"/>
    <w:rsid w:val="11E587A5"/>
    <w:rsid w:val="12790BA4"/>
    <w:rsid w:val="1335A790"/>
    <w:rsid w:val="1357AD6C"/>
    <w:rsid w:val="138A70E7"/>
    <w:rsid w:val="14068DA6"/>
    <w:rsid w:val="1412801F"/>
    <w:rsid w:val="147B7C44"/>
    <w:rsid w:val="1692025A"/>
    <w:rsid w:val="17058BB8"/>
    <w:rsid w:val="171A4D0B"/>
    <w:rsid w:val="17C39CF2"/>
    <w:rsid w:val="17D8D055"/>
    <w:rsid w:val="1842A88D"/>
    <w:rsid w:val="18700233"/>
    <w:rsid w:val="1A48BBC9"/>
    <w:rsid w:val="1AD15AD8"/>
    <w:rsid w:val="1BB50F64"/>
    <w:rsid w:val="1C0677B7"/>
    <w:rsid w:val="1C70A406"/>
    <w:rsid w:val="1DDD8C77"/>
    <w:rsid w:val="1DE11B2D"/>
    <w:rsid w:val="1E5B806C"/>
    <w:rsid w:val="1FB2F3A6"/>
    <w:rsid w:val="20230490"/>
    <w:rsid w:val="241271AC"/>
    <w:rsid w:val="24A22489"/>
    <w:rsid w:val="2504FFE0"/>
    <w:rsid w:val="25F36C7C"/>
    <w:rsid w:val="28B6CCC3"/>
    <w:rsid w:val="2987E519"/>
    <w:rsid w:val="2B8E6E21"/>
    <w:rsid w:val="2D2795CA"/>
    <w:rsid w:val="31801ECD"/>
    <w:rsid w:val="31A23CE8"/>
    <w:rsid w:val="331C5778"/>
    <w:rsid w:val="336AD813"/>
    <w:rsid w:val="34749219"/>
    <w:rsid w:val="36021A8E"/>
    <w:rsid w:val="3897882D"/>
    <w:rsid w:val="3E636202"/>
    <w:rsid w:val="3EC841DC"/>
    <w:rsid w:val="3F776870"/>
    <w:rsid w:val="3FD5A604"/>
    <w:rsid w:val="431796BB"/>
    <w:rsid w:val="438E676D"/>
    <w:rsid w:val="4573BB3A"/>
    <w:rsid w:val="45C4ECF9"/>
    <w:rsid w:val="47A7DE7F"/>
    <w:rsid w:val="48B5FC8D"/>
    <w:rsid w:val="4911DCD7"/>
    <w:rsid w:val="49816BCA"/>
    <w:rsid w:val="49D4E2AD"/>
    <w:rsid w:val="4A76760A"/>
    <w:rsid w:val="4AFD5706"/>
    <w:rsid w:val="4B9605A2"/>
    <w:rsid w:val="4D35759A"/>
    <w:rsid w:val="4D52C015"/>
    <w:rsid w:val="4D67D7E2"/>
    <w:rsid w:val="4DB3A3C3"/>
    <w:rsid w:val="4E7F1985"/>
    <w:rsid w:val="4EB5C6BF"/>
    <w:rsid w:val="4F0AD2B2"/>
    <w:rsid w:val="513226B6"/>
    <w:rsid w:val="520A88A3"/>
    <w:rsid w:val="527D584B"/>
    <w:rsid w:val="53EFA6B8"/>
    <w:rsid w:val="54131A1F"/>
    <w:rsid w:val="54AA060E"/>
    <w:rsid w:val="54FFF0BE"/>
    <w:rsid w:val="55E1B2B4"/>
    <w:rsid w:val="565DABED"/>
    <w:rsid w:val="5711C825"/>
    <w:rsid w:val="572FAD19"/>
    <w:rsid w:val="575A6EE9"/>
    <w:rsid w:val="595B6EED"/>
    <w:rsid w:val="59784E60"/>
    <w:rsid w:val="59B1B76A"/>
    <w:rsid w:val="5AB4EACB"/>
    <w:rsid w:val="5C5ECBFA"/>
    <w:rsid w:val="5E806D6B"/>
    <w:rsid w:val="5F0C2D51"/>
    <w:rsid w:val="5F76048D"/>
    <w:rsid w:val="60A1030A"/>
    <w:rsid w:val="6157B5AD"/>
    <w:rsid w:val="617C44C1"/>
    <w:rsid w:val="61CE0B7C"/>
    <w:rsid w:val="623B9E38"/>
    <w:rsid w:val="6301C1F0"/>
    <w:rsid w:val="649D5665"/>
    <w:rsid w:val="654BB4AD"/>
    <w:rsid w:val="6664FA30"/>
    <w:rsid w:val="6672D6D3"/>
    <w:rsid w:val="668BFD2A"/>
    <w:rsid w:val="6743AD43"/>
    <w:rsid w:val="682D3EA6"/>
    <w:rsid w:val="68F4F95A"/>
    <w:rsid w:val="69562DDF"/>
    <w:rsid w:val="6981F337"/>
    <w:rsid w:val="6A199C9A"/>
    <w:rsid w:val="6A628A76"/>
    <w:rsid w:val="6AA4559C"/>
    <w:rsid w:val="6AF1A2BE"/>
    <w:rsid w:val="6C666A16"/>
    <w:rsid w:val="6F087E6F"/>
    <w:rsid w:val="6F433590"/>
    <w:rsid w:val="6F4E0E80"/>
    <w:rsid w:val="6F75729D"/>
    <w:rsid w:val="6F89B34F"/>
    <w:rsid w:val="6F8DCDFB"/>
    <w:rsid w:val="7107FE28"/>
    <w:rsid w:val="71176BF6"/>
    <w:rsid w:val="7122CEAE"/>
    <w:rsid w:val="71481508"/>
    <w:rsid w:val="71A6DEEE"/>
    <w:rsid w:val="742573A5"/>
    <w:rsid w:val="744A96B7"/>
    <w:rsid w:val="746C7212"/>
    <w:rsid w:val="7497BDC8"/>
    <w:rsid w:val="74C837C1"/>
    <w:rsid w:val="769430D9"/>
    <w:rsid w:val="7ABA2118"/>
    <w:rsid w:val="7B3D4882"/>
    <w:rsid w:val="7C9C7059"/>
    <w:rsid w:val="7C9F9D90"/>
    <w:rsid w:val="7CE22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CF1AF3D-E233-458F-9455-48984139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D4239"/>
    <w:rPr>
      <w:color w:val="0000FF"/>
      <w:u w:val="single"/>
      <w:shd w:val="clear" w:color="auto" w:fill="auto"/>
    </w:rPr>
  </w:style>
  <w:style w:type="paragraph" w:styleId="ListParagraph">
    <w:name w:val="List Paragraph"/>
    <w:basedOn w:val="Normal"/>
    <w:uiPriority w:val="34"/>
    <w:qFormat/>
    <w:rsid w:val="0900A4B1"/>
    <w:pPr>
      <w:ind w:left="720"/>
      <w:contextualSpacing/>
    </w:pPr>
  </w:style>
  <w:style w:type="paragraph" w:styleId="Revision">
    <w:name w:val="Revision"/>
    <w:hidden/>
    <w:uiPriority w:val="99"/>
    <w:semiHidden/>
    <w:rsid w:val="005547A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E95A9F"/>
    <w:rPr>
      <w:sz w:val="16"/>
      <w:szCs w:val="16"/>
    </w:rPr>
  </w:style>
  <w:style w:type="paragraph" w:styleId="CommentText">
    <w:name w:val="annotation text"/>
    <w:basedOn w:val="Normal"/>
    <w:link w:val="CommentTextChar"/>
    <w:uiPriority w:val="99"/>
    <w:unhideWhenUsed/>
    <w:rsid w:val="00E95A9F"/>
    <w:rPr>
      <w:sz w:val="20"/>
      <w:szCs w:val="20"/>
    </w:rPr>
  </w:style>
  <w:style w:type="character" w:customStyle="1" w:styleId="CommentTextChar">
    <w:name w:val="Comment Text Char"/>
    <w:basedOn w:val="DefaultParagraphFont"/>
    <w:link w:val="CommentText"/>
    <w:uiPriority w:val="99"/>
    <w:rsid w:val="00E95A9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95A9F"/>
    <w:rPr>
      <w:b/>
      <w:bCs/>
    </w:rPr>
  </w:style>
  <w:style w:type="character" w:customStyle="1" w:styleId="CommentSubjectChar">
    <w:name w:val="Comment Subject Char"/>
    <w:basedOn w:val="CommentTextChar"/>
    <w:link w:val="CommentSubject"/>
    <w:uiPriority w:val="99"/>
    <w:semiHidden/>
    <w:rsid w:val="00E95A9F"/>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2825D7"/>
    <w:rPr>
      <w:color w:val="800080" w:themeColor="followedHyperlink"/>
      <w:u w:val="single"/>
    </w:rPr>
  </w:style>
  <w:style w:type="character" w:customStyle="1" w:styleId="UnresolvedMention">
    <w:name w:val="Unresolved Mention"/>
    <w:basedOn w:val="DefaultParagraphFont"/>
    <w:uiPriority w:val="99"/>
    <w:semiHidden/>
    <w:unhideWhenUsed/>
    <w:rsid w:val="002825D7"/>
    <w:rPr>
      <w:color w:val="605E5C"/>
      <w:shd w:val="clear" w:color="auto" w:fill="E1DFDD"/>
    </w:rPr>
  </w:style>
  <w:style w:type="paragraph" w:styleId="ListBullet">
    <w:name w:val="List Bullet"/>
    <w:basedOn w:val="Normal"/>
    <w:uiPriority w:val="99"/>
    <w:semiHidden/>
    <w:unhideWhenUsed/>
    <w:rsid w:val="0052102A"/>
    <w:pPr>
      <w:numPr>
        <w:numId w:val="1"/>
      </w:numPr>
      <w:contextualSpacing/>
    </w:pPr>
  </w:style>
  <w:style w:type="paragraph" w:styleId="ListBullet2">
    <w:name w:val="List Bullet 2"/>
    <w:basedOn w:val="Normal"/>
    <w:uiPriority w:val="99"/>
    <w:semiHidden/>
    <w:unhideWhenUsed/>
    <w:rsid w:val="0052102A"/>
    <w:pPr>
      <w:numPr>
        <w:numId w:val="2"/>
      </w:numPr>
      <w:contextualSpacing/>
    </w:pPr>
  </w:style>
  <w:style w:type="paragraph" w:styleId="ListBullet3">
    <w:name w:val="List Bullet 3"/>
    <w:basedOn w:val="Normal"/>
    <w:uiPriority w:val="99"/>
    <w:semiHidden/>
    <w:unhideWhenUsed/>
    <w:rsid w:val="0052102A"/>
    <w:pPr>
      <w:numPr>
        <w:numId w:val="3"/>
      </w:numPr>
      <w:contextualSpacing/>
    </w:pPr>
  </w:style>
  <w:style w:type="paragraph" w:styleId="ListBullet4">
    <w:name w:val="List Bullet 4"/>
    <w:basedOn w:val="Normal"/>
    <w:uiPriority w:val="99"/>
    <w:semiHidden/>
    <w:unhideWhenUsed/>
    <w:rsid w:val="0052102A"/>
    <w:pPr>
      <w:numPr>
        <w:numId w:val="4"/>
      </w:numPr>
      <w:contextualSpacing/>
    </w:pPr>
  </w:style>
  <w:style w:type="character" w:customStyle="1" w:styleId="HeaderChar">
    <w:name w:val="Header Char"/>
    <w:basedOn w:val="DefaultParagraphFont"/>
    <w:link w:val="Header"/>
    <w:uiPriority w:val="99"/>
    <w:rsid w:val="00877DDF"/>
    <w:rPr>
      <w:rFonts w:ascii="Times New Roman" w:hAnsi="Times New Roman" w:cs="Times New Roman"/>
      <w:sz w:val="24"/>
      <w:lang w:val="ro-RO"/>
    </w:rPr>
  </w:style>
  <w:style w:type="character" w:customStyle="1" w:styleId="FooterChar">
    <w:name w:val="Footer Char"/>
    <w:basedOn w:val="DefaultParagraphFont"/>
    <w:link w:val="Footer"/>
    <w:uiPriority w:val="99"/>
    <w:rsid w:val="00877DD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77DD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77DDF"/>
    <w:pPr>
      <w:spacing w:before="0"/>
      <w:jc w:val="right"/>
    </w:pPr>
    <w:rPr>
      <w:sz w:val="28"/>
    </w:rPr>
  </w:style>
  <w:style w:type="paragraph" w:customStyle="1" w:styleId="FooterSensitivity">
    <w:name w:val="Footer Sensitivity"/>
    <w:basedOn w:val="Normal"/>
    <w:rsid w:val="00877DD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77DDF"/>
    <w:pPr>
      <w:tabs>
        <w:tab w:val="center" w:pos="4535"/>
        <w:tab w:val="right" w:pos="9071"/>
      </w:tabs>
      <w:spacing w:before="0"/>
    </w:pPr>
  </w:style>
  <w:style w:type="paragraph" w:customStyle="1" w:styleId="HeaderLandscape">
    <w:name w:val="HeaderLandscape"/>
    <w:basedOn w:val="Normal"/>
    <w:rsid w:val="00877DDF"/>
    <w:pPr>
      <w:tabs>
        <w:tab w:val="center" w:pos="7285"/>
        <w:tab w:val="right" w:pos="14003"/>
      </w:tabs>
      <w:spacing w:before="0"/>
    </w:pPr>
  </w:style>
  <w:style w:type="paragraph" w:styleId="Footer">
    <w:name w:val="footer"/>
    <w:basedOn w:val="Normal"/>
    <w:link w:val="FooterChar"/>
    <w:uiPriority w:val="99"/>
    <w:unhideWhenUsed/>
    <w:rsid w:val="00877DD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77DD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op.europa.eu/en/publication-detail/-/publication/70c3efbf-9862-11ee-b164-01aa75ed71a1/language-ro" TargetMode="External"/><Relationship Id="rId1" Type="http://schemas.openxmlformats.org/officeDocument/2006/relationships/hyperlink" Target="http://eur-lex.europa.eu/legal-content/RO/AUTO/?uri=celex:31994D08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78865f7ec81081d3e720f04fbcc46476">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7b85d1c3943d1e7b8bb4a3918a1ccfde"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d391a7-a199-4123-a7da-de48cf76b19c}"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B469B4-EB96-44EC-8885-F3A28DCD7C85}">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2.xml><?xml version="1.0" encoding="utf-8"?>
<ds:datastoreItem xmlns:ds="http://schemas.openxmlformats.org/officeDocument/2006/customXml" ds:itemID="{CB195087-1C29-4CB5-8A78-58F834C30FC7}">
  <ds:schemaRefs>
    <ds:schemaRef ds:uri="http://schemas.microsoft.com/sharepoint/v3/contenttype/forms"/>
  </ds:schemaRefs>
</ds:datastoreItem>
</file>

<file path=customXml/itemProps3.xml><?xml version="1.0" encoding="utf-8"?>
<ds:datastoreItem xmlns:ds="http://schemas.openxmlformats.org/officeDocument/2006/customXml" ds:itemID="{6F0E2C86-313C-4F98-AEE9-6BB7487F1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7</Pages>
  <Words>1856</Words>
  <Characters>10583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2026-02-09T09:22:00Z</dcterms:created>
  <dcterms:modified xsi:type="dcterms:W3CDTF">2026-02-16T06:28:00Z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2025-10-23T08:49:58Z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4d8b280d-c399-432d-9898-a6f1af255b1f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0x010100159C0AD6FB6ACE4A830182AC83E20278</vt:lpwstr>
  </property>
  <property fmtid="{D5CDD505-2E9C-101B-9397-08002B2CF9AE}" pid="19" name="MediaServiceImageTags">
    <vt:lpwstr/>
  </property>
  <property fmtid="{D5CDD505-2E9C-101B-9397-08002B2CF9AE}" pid="20" name="DQCStatus">
    <vt:lpwstr>Green (DQC version 03)</vt:lpwstr>
  </property>
</Properties>
</file>