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2CC883" w14:textId="606D9E3E" w:rsidR="00F244EC" w:rsidRDefault="00A55EA7" w:rsidP="00A55EA7">
      <w:pPr>
        <w:pStyle w:val="Pagedecouverture"/>
        <w:rPr>
          <w:noProof/>
        </w:rPr>
      </w:pPr>
      <w:bookmarkStart w:id="0" w:name="LW_BM_COVERPAGE"/>
      <w:r>
        <w:rPr>
          <w:noProof/>
        </w:rPr>
        <w:pict w14:anchorId="58F8AE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DC23E0D-97AE-40DC-BCBE-07EA0E33BE06" style="width:455.25pt;height:300pt">
            <v:imagedata r:id="rId11" o:title=""/>
          </v:shape>
        </w:pict>
      </w:r>
    </w:p>
    <w:bookmarkEnd w:id="0"/>
    <w:p w14:paraId="30153484" w14:textId="77777777" w:rsidR="00F244EC" w:rsidRDefault="00F244EC">
      <w:pPr>
        <w:rPr>
          <w:noProof/>
        </w:rPr>
        <w:sectPr w:rsidR="00F244EC" w:rsidSect="00A55EA7">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7D3E64C4" w14:textId="5DACA338" w:rsidR="000D794D" w:rsidRPr="000D794D" w:rsidRDefault="000D794D" w:rsidP="000D794D">
      <w:pPr>
        <w:pStyle w:val="typedudocument"/>
        <w:rPr>
          <w:noProof/>
        </w:rPr>
      </w:pPr>
      <w:bookmarkStart w:id="1" w:name="_GoBack"/>
      <w:bookmarkEnd w:id="1"/>
      <w:r w:rsidRPr="000D794D">
        <w:rPr>
          <w:noProof/>
        </w:rPr>
        <w:lastRenderedPageBreak/>
        <w:t>RAPORT AL COMISIEI CĂTRE PARLAMENTUL EUROPEAN ȘI CONSILIU</w:t>
      </w:r>
    </w:p>
    <w:p w14:paraId="6318371A" w14:textId="3306CFDD" w:rsidR="000D794D" w:rsidRPr="000D794D" w:rsidRDefault="000D794D" w:rsidP="000D794D">
      <w:pPr>
        <w:pStyle w:val="Titreobjet"/>
        <w:rPr>
          <w:noProof/>
        </w:rPr>
      </w:pPr>
      <w:r w:rsidRPr="000D794D">
        <w:rPr>
          <w:noProof/>
        </w:rPr>
        <w:t>privind delegarea competenței de a adopta acte delegate conferită Comisiei în temeiul Regulamentului (UE) 2016/2031 privind măsurile de protecție împotriva organismelor dăunătoare plantelor („Legea privind sănătatea plantelor”)</w:t>
      </w:r>
    </w:p>
    <w:p w14:paraId="042CB4E0" w14:textId="7B50BAB9" w:rsidR="00F244EC" w:rsidRDefault="00634B0D">
      <w:pPr>
        <w:pStyle w:val="ListParagraph"/>
        <w:numPr>
          <w:ilvl w:val="0"/>
          <w:numId w:val="1"/>
        </w:numPr>
        <w:spacing w:before="360" w:after="240" w:line="240" w:lineRule="auto"/>
        <w:contextualSpacing w:val="0"/>
        <w:rPr>
          <w:rFonts w:ascii="Times New Roman" w:hAnsi="Times New Roman" w:cs="Times New Roman"/>
          <w:b/>
          <w:noProof/>
          <w:sz w:val="24"/>
          <w:szCs w:val="24"/>
        </w:rPr>
      </w:pPr>
      <w:r>
        <w:rPr>
          <w:rFonts w:ascii="Times New Roman" w:hAnsi="Times New Roman"/>
          <w:b/>
          <w:noProof/>
          <w:sz w:val="24"/>
        </w:rPr>
        <w:t>INTRODUCERE</w:t>
      </w:r>
    </w:p>
    <w:p w14:paraId="42239DE9" w14:textId="77777777" w:rsidR="00F244EC" w:rsidRPr="004C53FC" w:rsidRDefault="00634B0D">
      <w:pPr>
        <w:pStyle w:val="Normal1"/>
        <w:spacing w:before="0" w:beforeAutospacing="0" w:after="240" w:afterAutospacing="0"/>
        <w:jc w:val="both"/>
        <w:rPr>
          <w:noProof/>
        </w:rPr>
      </w:pPr>
      <w:r>
        <w:rPr>
          <w:noProof/>
        </w:rPr>
        <w:t>Regulamentul (UE) 2016/2031 privind măsurile de protecție împotriva organismelor dăunătoare plantelor</w:t>
      </w:r>
      <w:r w:rsidRPr="000220F8">
        <w:rPr>
          <w:rStyle w:val="FootnoteReference"/>
          <w:noProof/>
        </w:rPr>
        <w:footnoteReference w:id="2"/>
      </w:r>
      <w:r>
        <w:rPr>
          <w:noProof/>
        </w:rPr>
        <w:t xml:space="preserve"> („Legea privind sănătatea plantelor”) a fost adoptat în 2016. Regulamentul respectiv a intrat în vigoare la 15 noiembrie 2016 și se aplică de la 14 decembrie 2019. </w:t>
      </w:r>
    </w:p>
    <w:p w14:paraId="6B6DD7BF" w14:textId="77777777" w:rsidR="00F244EC" w:rsidRPr="004C53FC" w:rsidRDefault="003C59D1">
      <w:pPr>
        <w:pStyle w:val="Normal1"/>
        <w:spacing w:before="0" w:beforeAutospacing="0" w:after="240" w:afterAutospacing="0"/>
        <w:jc w:val="both"/>
        <w:rPr>
          <w:noProof/>
        </w:rPr>
      </w:pPr>
      <w:r>
        <w:rPr>
          <w:noProof/>
        </w:rPr>
        <w:t>Acest regulament înlocuiește cinci directive în materie de sănătate a plantelor și prevede o abordare bazată pe riscuri și mai proactivă a protecției fitosanitare a teritoriului Uniunii. El prevede anchete privind prezența organismelor dăunătoare, detectarea și notificarea în timp util a focarelor și a interceptărilor, norme detaliate privind eradicarea și izolarea, prioritizarea organismelor dăunătoare, planificarea de urgență, exercițiile de simulare, norme de import mai stricte, o certificare armonizată și o abordare mai flexibilă pentru ca operatorii profesioniști să poată efectua certificarea sub supravegherea oficială a autorităților competente. Acest nou regim este completat și sprijinit de normele privind controalele oficiale introduse prin Regulamentul (UE) 2017/625</w:t>
      </w:r>
      <w:r w:rsidR="00D82511" w:rsidRPr="004C53FC">
        <w:rPr>
          <w:rStyle w:val="FootnoteReference"/>
          <w:noProof/>
        </w:rPr>
        <w:footnoteReference w:id="3"/>
      </w:r>
      <w:r>
        <w:rPr>
          <w:noProof/>
        </w:rPr>
        <w:t>.</w:t>
      </w:r>
    </w:p>
    <w:p w14:paraId="6FFAAE00" w14:textId="60807E2E" w:rsidR="00F244EC" w:rsidRPr="004C53FC" w:rsidRDefault="00634B0D">
      <w:pPr>
        <w:pStyle w:val="Normal1"/>
        <w:spacing w:before="0" w:beforeAutospacing="0" w:after="240" w:afterAutospacing="0"/>
        <w:jc w:val="both"/>
        <w:rPr>
          <w:noProof/>
        </w:rPr>
      </w:pPr>
      <w:r>
        <w:rPr>
          <w:noProof/>
        </w:rPr>
        <w:t xml:space="preserve">În conformitate cu dispozițiile Regulamentului (UE) 2016/2031, Comisia este împuternicită să adopte un număr mare de acte de punere în aplicare și de acte delegate. De asemenea, regulamentul respectiv impune Comisiei obligația de a raporta colegiuitorilor cu privire la delegarea competențelor care i se conferă. </w:t>
      </w:r>
    </w:p>
    <w:p w14:paraId="7EF21A53" w14:textId="77777777" w:rsidR="00F244EC" w:rsidRPr="004C53FC" w:rsidRDefault="00634B0D">
      <w:pPr>
        <w:pStyle w:val="ListParagraph"/>
        <w:numPr>
          <w:ilvl w:val="0"/>
          <w:numId w:val="1"/>
        </w:numPr>
        <w:spacing w:after="240" w:line="240" w:lineRule="auto"/>
        <w:contextualSpacing w:val="0"/>
        <w:rPr>
          <w:rFonts w:ascii="Times New Roman" w:hAnsi="Times New Roman" w:cs="Times New Roman"/>
          <w:b/>
          <w:noProof/>
          <w:sz w:val="24"/>
          <w:szCs w:val="24"/>
        </w:rPr>
      </w:pPr>
      <w:r>
        <w:rPr>
          <w:rFonts w:ascii="Times New Roman" w:hAnsi="Times New Roman"/>
          <w:b/>
          <w:noProof/>
          <w:sz w:val="24"/>
        </w:rPr>
        <w:t>TEMEI JURIDIC</w:t>
      </w:r>
    </w:p>
    <w:p w14:paraId="28E8EAC0" w14:textId="1B71C9B7" w:rsidR="00F244EC" w:rsidRDefault="00634B0D">
      <w:pPr>
        <w:pStyle w:val="Normal1"/>
        <w:spacing w:before="0" w:beforeAutospacing="0" w:after="240" w:afterAutospacing="0"/>
        <w:jc w:val="both"/>
        <w:rPr>
          <w:noProof/>
        </w:rPr>
      </w:pPr>
      <w:r>
        <w:rPr>
          <w:noProof/>
        </w:rPr>
        <w:t xml:space="preserve">Obligația prezentării prezentului raport este prevăzută la articolul 105 alineatul (2) din Regulamentul (UE) 2016/2031. În temeiul dispoziției respective, competența de a adopta acte delegate în ceea ce privește aspectele enumerate în aceasta este conferită Comisiei pe o perioadă de cinci ani de la 13 decembrie 2016, iar Comisia are obligația de a pregăti un raport privind delegarea de competențe cel târziu cu nouă luni înainte de încheierea perioadei de cinci ani. </w:t>
      </w:r>
    </w:p>
    <w:p w14:paraId="7FB023E2" w14:textId="37AC18AA" w:rsidR="000B12A2" w:rsidRPr="004C53FC" w:rsidRDefault="000B12A2">
      <w:pPr>
        <w:pStyle w:val="Normal1"/>
        <w:spacing w:before="0" w:beforeAutospacing="0" w:after="240" w:afterAutospacing="0"/>
        <w:jc w:val="both"/>
        <w:rPr>
          <w:iCs/>
          <w:noProof/>
        </w:rPr>
      </w:pPr>
      <w:r>
        <w:rPr>
          <w:noProof/>
        </w:rPr>
        <w:t>Comisia a prezentat primul raport relevant la 27 iulie 2021</w:t>
      </w:r>
      <w:r w:rsidR="0093479A">
        <w:rPr>
          <w:rStyle w:val="FootnoteReference"/>
          <w:noProof/>
        </w:rPr>
        <w:footnoteReference w:id="4"/>
      </w:r>
      <w:r>
        <w:rPr>
          <w:noProof/>
        </w:rPr>
        <w:t>. Prezentul raport se referă la a doua perioadă de raportare, și anume perioada cuprinsă între 13 martie 2021 și 13 martie 2026.</w:t>
      </w:r>
    </w:p>
    <w:p w14:paraId="0A828053" w14:textId="6BF6B5E9" w:rsidR="00F244EC" w:rsidRPr="004C53FC" w:rsidRDefault="00634B0D">
      <w:pPr>
        <w:pStyle w:val="Normal1"/>
        <w:spacing w:before="0" w:beforeAutospacing="0" w:after="240" w:afterAutospacing="0"/>
        <w:jc w:val="both"/>
        <w:rPr>
          <w:iCs/>
          <w:noProof/>
        </w:rPr>
      </w:pPr>
      <w:r>
        <w:rPr>
          <w:noProof/>
        </w:rPr>
        <w:t>Conform articolului respectiv, Comisia are competența de a adopta acte delegate menționată la articolul 6 alineatul (2), articolul 7, articolul 8 alineatul (5), articolul 19 alineatul (7), articolul 21, articolul 32 alineatul (5), articolul 34 alineatul (1), articolul 38, articolul 43 alineatul (2), articolul 46 alineatul (2), articolul 48 alineatul (5), articolul 51, articolul 65 alineatul (4), articolul 71 alineatul (4), articolul 76 alineatul (4), articolul 81 alineatul (2), articolul 83 alineatul (6), articolul 87 alineatul (4), articolul 89 alineatul (2), articolul 96 alineatul (2), articolul 98 alineatul (1), articolul 99 alineatul (1), articolul 100 alineatul (4), articolul 101 alineatul (5) și articolul 102 alineatul (6) din regulamentul respectiv.</w:t>
      </w:r>
    </w:p>
    <w:p w14:paraId="4B81A8F3" w14:textId="77777777" w:rsidR="00F244EC" w:rsidRPr="004C53FC" w:rsidRDefault="00634B0D">
      <w:pPr>
        <w:pStyle w:val="Normal1"/>
        <w:spacing w:before="0" w:beforeAutospacing="0" w:after="240" w:afterAutospacing="0"/>
        <w:jc w:val="both"/>
        <w:rPr>
          <w:noProof/>
        </w:rPr>
      </w:pPr>
      <w:r>
        <w:rPr>
          <w:noProof/>
        </w:rPr>
        <w:t>Articolul 105 alineatul (2) din regulamentul respectiv prevede că delegarea de competențe se prelungește tacit cu perioade de timp identice, cu excepția cazului în care Parlamentul European sau Consiliul se opun prelungirii respective cel târziu cu trei luni înainte de încheierea fiecărei perioade, iar articolul 105 alineatul (3) prevede că delegarea de competențe poate fi revocată în orice moment de Parlamentul European sau de Consiliu.</w:t>
      </w:r>
    </w:p>
    <w:p w14:paraId="24124186" w14:textId="77777777" w:rsidR="00F244EC" w:rsidRPr="004C53FC" w:rsidRDefault="00634B0D">
      <w:pPr>
        <w:pStyle w:val="ListParagraph"/>
        <w:numPr>
          <w:ilvl w:val="0"/>
          <w:numId w:val="1"/>
        </w:numPr>
        <w:spacing w:after="240" w:line="240" w:lineRule="auto"/>
        <w:contextualSpacing w:val="0"/>
        <w:rPr>
          <w:rFonts w:ascii="Times New Roman" w:hAnsi="Times New Roman" w:cs="Times New Roman"/>
          <w:b/>
          <w:noProof/>
          <w:sz w:val="24"/>
          <w:szCs w:val="24"/>
        </w:rPr>
      </w:pPr>
      <w:r>
        <w:rPr>
          <w:rFonts w:ascii="Times New Roman" w:hAnsi="Times New Roman"/>
          <w:b/>
          <w:noProof/>
          <w:sz w:val="24"/>
        </w:rPr>
        <w:t>EXERCITAREA DELEGĂRII</w:t>
      </w:r>
    </w:p>
    <w:p w14:paraId="6B687424" w14:textId="3813E81D" w:rsidR="00F244EC" w:rsidRPr="004C53FC" w:rsidRDefault="00634B0D">
      <w:pPr>
        <w:pStyle w:val="Normal1"/>
        <w:spacing w:before="0" w:beforeAutospacing="0" w:after="240" w:afterAutospacing="0"/>
        <w:jc w:val="both"/>
        <w:rPr>
          <w:noProof/>
        </w:rPr>
      </w:pPr>
      <w:r>
        <w:rPr>
          <w:noProof/>
        </w:rPr>
        <w:t>În cursul perioadei de raportare, adică în perioada 13 martie 2021 - 13 martie 2026, Comisia și-a exercitat competențele delegate adoptând următoarele acte delegate:</w:t>
      </w:r>
    </w:p>
    <w:p w14:paraId="6A71E7D7" w14:textId="5030093B" w:rsidR="000B12A2" w:rsidRPr="004C53FC" w:rsidRDefault="000B12A2">
      <w:pPr>
        <w:numPr>
          <w:ilvl w:val="0"/>
          <w:numId w:val="2"/>
        </w:numPr>
        <w:spacing w:before="100" w:beforeAutospacing="1" w:line="240" w:lineRule="auto"/>
        <w:jc w:val="both"/>
        <w:rPr>
          <w:rFonts w:ascii="Times New Roman" w:hAnsi="Times New Roman" w:cs="Times New Roman"/>
          <w:noProof/>
          <w:sz w:val="24"/>
          <w:szCs w:val="24"/>
        </w:rPr>
      </w:pPr>
      <w:r>
        <w:rPr>
          <w:rFonts w:ascii="Times New Roman" w:hAnsi="Times New Roman"/>
          <w:noProof/>
          <w:sz w:val="24"/>
        </w:rPr>
        <w:t>Regulamentul delegat (UE) 2022/1456 al Comisiei din 10 iunie 2022 de stabilire a unei derogări de la articolul 43 alineatul (1) din Regulamentul (UE) 2016/2031 al Parlamentului European și al Consiliului în ceea ce privește condițiile de import pentru introducerea în Uniune a materialelor de ambalaj din lemn sub formă de cutii de muniție, originare din Statele Unite ale Americii, aflate sub controlul Departamentului Apărării al Statelor Unite și fabricate înainte de 1 septembrie 2007</w:t>
      </w:r>
      <w:r w:rsidRPr="004C53FC">
        <w:rPr>
          <w:rStyle w:val="FootnoteReference"/>
          <w:rFonts w:ascii="Times New Roman" w:hAnsi="Times New Roman"/>
          <w:noProof/>
          <w:sz w:val="24"/>
          <w:szCs w:val="24"/>
        </w:rPr>
        <w:footnoteReference w:id="5"/>
      </w:r>
      <w:r>
        <w:rPr>
          <w:rFonts w:ascii="Times New Roman" w:hAnsi="Times New Roman"/>
          <w:noProof/>
          <w:sz w:val="24"/>
        </w:rPr>
        <w:t>.</w:t>
      </w:r>
    </w:p>
    <w:p w14:paraId="585A5832" w14:textId="224CD344" w:rsidR="000B12A2" w:rsidRPr="004C53FC" w:rsidRDefault="000B12A2">
      <w:pPr>
        <w:numPr>
          <w:ilvl w:val="0"/>
          <w:numId w:val="2"/>
        </w:numPr>
        <w:spacing w:before="100" w:beforeAutospacing="1" w:line="240" w:lineRule="auto"/>
        <w:jc w:val="both"/>
        <w:rPr>
          <w:rFonts w:ascii="Times New Roman" w:hAnsi="Times New Roman" w:cs="Times New Roman"/>
          <w:noProof/>
          <w:sz w:val="24"/>
          <w:szCs w:val="24"/>
        </w:rPr>
      </w:pPr>
      <w:r>
        <w:rPr>
          <w:rFonts w:ascii="Times New Roman" w:hAnsi="Times New Roman"/>
          <w:noProof/>
          <w:sz w:val="24"/>
        </w:rPr>
        <w:t>Regulamentul delegat (UE) 2022/2404 al Comisiei din 14 septembrie 2022 de completare a Regulamentului (UE) 2016/2031 al Parlamentului European și al Consiliului prin stabilirea unor norme detaliate pentru anchetele privind organismele dăunătoare de carantină pentru zone protejate și de abrogare a Directivei 92/70/CEE a Comisiei</w:t>
      </w:r>
      <w:r w:rsidRPr="004C53FC">
        <w:rPr>
          <w:rStyle w:val="FootnoteReference"/>
          <w:rFonts w:ascii="Times New Roman" w:hAnsi="Times New Roman"/>
          <w:noProof/>
          <w:sz w:val="24"/>
          <w:szCs w:val="24"/>
        </w:rPr>
        <w:footnoteReference w:id="6"/>
      </w:r>
      <w:r>
        <w:rPr>
          <w:rFonts w:ascii="Times New Roman" w:hAnsi="Times New Roman"/>
          <w:noProof/>
          <w:sz w:val="24"/>
        </w:rPr>
        <w:t>.</w:t>
      </w:r>
    </w:p>
    <w:p w14:paraId="547711EF" w14:textId="44908F77" w:rsidR="00F244EC" w:rsidRDefault="00634B0D">
      <w:pPr>
        <w:pStyle w:val="Normal10"/>
        <w:rPr>
          <w:noProof/>
        </w:rPr>
      </w:pPr>
      <w:r>
        <w:rPr>
          <w:noProof/>
        </w:rPr>
        <w:t>Până în prezent, Comisia a utilizat 7 dintre cele 27 de împuterniciri pentru a adopta acte delegate, astfel cum se prevede în Regulamentul (UE) 2016/2031. Unele dintre aceste competențe delegate au fost grupate într-un singur act delegat, în care normele sunt legate între ele din punctul de vedere al conținutului. În anumite cazuri, gruparea într-un singur act, și nu în mai multe acte separate cu numeroase referințe încrucișate, a fost considerată necesară în interesul simplității și al transparenței, pentru a facilita aplicarea efectivă a normelor și pentru a evita suprapunerile.</w:t>
      </w:r>
    </w:p>
    <w:p w14:paraId="2C27D7BF" w14:textId="3B3C8635" w:rsidR="0093479A" w:rsidRDefault="0093479A">
      <w:pPr>
        <w:pStyle w:val="Normal10"/>
        <w:rPr>
          <w:noProof/>
        </w:rPr>
      </w:pPr>
      <w:r>
        <w:rPr>
          <w:noProof/>
        </w:rPr>
        <w:t>În plus, Comisia a efectuat o revizuire a tuturor împuternicirilor pentru adoptarea de acte delegate și de punere în aplicare în temeiul Regulamentului (UE) 2016/2031, ca parte a obiectivului său general de simplificare a politicilor și a legislației UE.</w:t>
      </w:r>
    </w:p>
    <w:p w14:paraId="76F7E0BA" w14:textId="77777777" w:rsidR="00F244EC" w:rsidRPr="000220F8" w:rsidRDefault="00634B0D">
      <w:pPr>
        <w:pStyle w:val="Normal10"/>
        <w:rPr>
          <w:noProof/>
        </w:rPr>
      </w:pPr>
      <w:r>
        <w:rPr>
          <w:noProof/>
        </w:rPr>
        <w:t>Tabelul de mai jos prezintă actele care conțin măsurile specifice adoptate în temeiul împuternicirilor relevante prevăzute în Regulamentul (UE) 2016/2031.</w:t>
      </w:r>
    </w:p>
    <w:tbl>
      <w:tblPr>
        <w:tblStyle w:val="TableGrid"/>
        <w:tblW w:w="0" w:type="auto"/>
        <w:tblLook w:val="04A0" w:firstRow="1" w:lastRow="0" w:firstColumn="1" w:lastColumn="0" w:noHBand="0" w:noVBand="1"/>
      </w:tblPr>
      <w:tblGrid>
        <w:gridCol w:w="4928"/>
        <w:gridCol w:w="4252"/>
      </w:tblGrid>
      <w:tr w:rsidR="00F244EC" w:rsidRPr="000220F8" w14:paraId="11B40A54" w14:textId="77777777" w:rsidTr="124AC8B9">
        <w:tc>
          <w:tcPr>
            <w:tcW w:w="4928" w:type="dxa"/>
            <w:shd w:val="clear" w:color="auto" w:fill="D9D9D9" w:themeFill="background1" w:themeFillShade="D9"/>
          </w:tcPr>
          <w:p w14:paraId="1E7536C9" w14:textId="77777777" w:rsidR="00F244EC" w:rsidRPr="000220F8" w:rsidRDefault="00634B0D">
            <w:pPr>
              <w:rPr>
                <w:rFonts w:ascii="Times New Roman" w:hAnsi="Times New Roman" w:cs="Times New Roman"/>
                <w:noProof/>
                <w:sz w:val="24"/>
                <w:szCs w:val="24"/>
              </w:rPr>
            </w:pPr>
            <w:r>
              <w:rPr>
                <w:rFonts w:ascii="Times New Roman" w:hAnsi="Times New Roman"/>
                <w:noProof/>
                <w:sz w:val="24"/>
              </w:rPr>
              <w:t>Actul delegat</w:t>
            </w:r>
          </w:p>
        </w:tc>
        <w:tc>
          <w:tcPr>
            <w:tcW w:w="4252" w:type="dxa"/>
            <w:shd w:val="clear" w:color="auto" w:fill="D9D9D9" w:themeFill="background1" w:themeFillShade="D9"/>
          </w:tcPr>
          <w:p w14:paraId="11C37033" w14:textId="77777777" w:rsidR="00F244EC" w:rsidRPr="000220F8" w:rsidRDefault="00634B0D" w:rsidP="0062675E">
            <w:pPr>
              <w:rPr>
                <w:rFonts w:ascii="Times New Roman" w:hAnsi="Times New Roman" w:cs="Times New Roman"/>
                <w:noProof/>
                <w:sz w:val="24"/>
                <w:szCs w:val="24"/>
              </w:rPr>
            </w:pPr>
            <w:r>
              <w:rPr>
                <w:rFonts w:ascii="Times New Roman" w:hAnsi="Times New Roman"/>
                <w:noProof/>
                <w:sz w:val="24"/>
              </w:rPr>
              <w:t>Împuternicirile prevăzute în Regulamentul (UE) 2016/2031</w:t>
            </w:r>
          </w:p>
        </w:tc>
      </w:tr>
      <w:tr w:rsidR="00F244EC" w:rsidRPr="000220F8" w14:paraId="6002E1E7" w14:textId="77777777" w:rsidTr="124AC8B9">
        <w:tc>
          <w:tcPr>
            <w:tcW w:w="4928" w:type="dxa"/>
          </w:tcPr>
          <w:p w14:paraId="42FCFC07" w14:textId="77777777" w:rsidR="00F244EC" w:rsidRPr="000220F8" w:rsidRDefault="0062675E">
            <w:pPr>
              <w:jc w:val="both"/>
              <w:rPr>
                <w:rFonts w:ascii="Times New Roman" w:hAnsi="Times New Roman" w:cs="Times New Roman"/>
                <w:noProof/>
                <w:sz w:val="24"/>
                <w:szCs w:val="24"/>
              </w:rPr>
            </w:pPr>
            <w:r>
              <w:rPr>
                <w:rFonts w:ascii="Times New Roman" w:hAnsi="Times New Roman"/>
                <w:noProof/>
                <w:sz w:val="24"/>
              </w:rPr>
              <w:t>Regulamentul delegat (UE) 2019/827 al Comisiei din 13 martie 2019 privind criteriile care trebuie îndeplinite de operatorii profesioniști pentru a respecta condițiile prevăzute la articolul 89 alineatul (1) litera (a) din Regulamentul (UE) 2016/2031 al Parlamentului European și al Consiliului și privind procedurile pentru asigurarea îndeplinirii criteriilor respective.</w:t>
            </w:r>
          </w:p>
        </w:tc>
        <w:tc>
          <w:tcPr>
            <w:tcW w:w="4252" w:type="dxa"/>
          </w:tcPr>
          <w:p w14:paraId="7E5D6544" w14:textId="77777777" w:rsidR="00F244EC" w:rsidRPr="000220F8" w:rsidRDefault="0062675E">
            <w:pPr>
              <w:rPr>
                <w:rFonts w:ascii="Times New Roman" w:hAnsi="Times New Roman" w:cs="Times New Roman"/>
                <w:noProof/>
                <w:sz w:val="24"/>
                <w:szCs w:val="24"/>
              </w:rPr>
            </w:pPr>
            <w:r>
              <w:rPr>
                <w:rFonts w:ascii="Times New Roman" w:hAnsi="Times New Roman"/>
                <w:noProof/>
                <w:sz w:val="24"/>
              </w:rPr>
              <w:t>Articolul 89 alineatul (2)</w:t>
            </w:r>
          </w:p>
        </w:tc>
      </w:tr>
      <w:tr w:rsidR="00F244EC" w:rsidRPr="0062675E" w14:paraId="77374F05" w14:textId="77777777" w:rsidTr="124AC8B9">
        <w:tc>
          <w:tcPr>
            <w:tcW w:w="4928" w:type="dxa"/>
          </w:tcPr>
          <w:p w14:paraId="69A15307" w14:textId="77777777" w:rsidR="00F244EC" w:rsidRPr="000220F8" w:rsidRDefault="0062675E">
            <w:pPr>
              <w:spacing w:before="100" w:beforeAutospacing="1"/>
              <w:jc w:val="both"/>
              <w:rPr>
                <w:rFonts w:ascii="Times New Roman" w:eastAsia="Times New Roman" w:hAnsi="Times New Roman" w:cs="Times New Roman"/>
                <w:iCs/>
                <w:noProof/>
                <w:sz w:val="24"/>
                <w:szCs w:val="24"/>
              </w:rPr>
            </w:pPr>
            <w:r>
              <w:rPr>
                <w:rFonts w:ascii="Times New Roman" w:hAnsi="Times New Roman"/>
                <w:noProof/>
                <w:sz w:val="24"/>
              </w:rPr>
              <w:t>Regulamentul delegat (UE) 2019/829 al Comisiei din 14 martie 2019 de completare a Regulamentului (UE) 2016/2031 al Parlamentului European și al Consiliului privind măsurile de protecție împotriva organismelor dăunătoare plantelor, de autorizare a statelor membre să prevadă derogări temporare în scopuri de testare oficială, științifice sau educaționale, pentru teste, selecții de soiuri sau reproducere.</w:t>
            </w:r>
          </w:p>
        </w:tc>
        <w:tc>
          <w:tcPr>
            <w:tcW w:w="4252" w:type="dxa"/>
          </w:tcPr>
          <w:p w14:paraId="6CFB13E6" w14:textId="77777777" w:rsidR="00F244EC" w:rsidRPr="000220F8" w:rsidRDefault="000B4D96" w:rsidP="000B4D96">
            <w:pPr>
              <w:rPr>
                <w:rFonts w:ascii="Times New Roman" w:hAnsi="Times New Roman" w:cs="Times New Roman"/>
                <w:noProof/>
                <w:sz w:val="24"/>
                <w:szCs w:val="24"/>
              </w:rPr>
            </w:pPr>
            <w:r>
              <w:rPr>
                <w:rFonts w:ascii="Times New Roman" w:hAnsi="Times New Roman"/>
                <w:noProof/>
                <w:sz w:val="24"/>
              </w:rPr>
              <w:t>Articolul 8 alineatul (5) și articolul 48 alineatul (5)</w:t>
            </w:r>
          </w:p>
        </w:tc>
      </w:tr>
      <w:tr w:rsidR="00F244EC" w:rsidRPr="000220F8" w14:paraId="57DF2492" w14:textId="77777777" w:rsidTr="124AC8B9">
        <w:tc>
          <w:tcPr>
            <w:tcW w:w="4928" w:type="dxa"/>
          </w:tcPr>
          <w:p w14:paraId="1FDF6562" w14:textId="77777777" w:rsidR="00F244EC" w:rsidRPr="000220F8" w:rsidRDefault="0062675E">
            <w:pPr>
              <w:spacing w:before="100" w:beforeAutospacing="1"/>
              <w:jc w:val="both"/>
              <w:rPr>
                <w:rFonts w:ascii="Times New Roman" w:eastAsia="Times New Roman" w:hAnsi="Times New Roman" w:cs="Times New Roman"/>
                <w:iCs/>
                <w:noProof/>
                <w:sz w:val="24"/>
                <w:szCs w:val="24"/>
              </w:rPr>
            </w:pPr>
            <w:r>
              <w:rPr>
                <w:rFonts w:ascii="Times New Roman" w:hAnsi="Times New Roman"/>
                <w:noProof/>
                <w:sz w:val="24"/>
              </w:rPr>
              <w:t>Regulamentul delegat (UE) 2019/1702 al Comisiei din 1 august 2019 de completare a Regulamentului (UE) 2016/2031 al Parlamentului European și al Consiliului prin stabilirea listei organismelor dăunătoare prioritare.</w:t>
            </w:r>
          </w:p>
        </w:tc>
        <w:tc>
          <w:tcPr>
            <w:tcW w:w="4252" w:type="dxa"/>
          </w:tcPr>
          <w:p w14:paraId="58413019" w14:textId="77777777" w:rsidR="00F244EC" w:rsidRPr="000220F8" w:rsidRDefault="0062675E">
            <w:pPr>
              <w:rPr>
                <w:rFonts w:ascii="Times New Roman" w:hAnsi="Times New Roman" w:cs="Times New Roman"/>
                <w:noProof/>
                <w:sz w:val="24"/>
                <w:szCs w:val="24"/>
              </w:rPr>
            </w:pPr>
            <w:r>
              <w:rPr>
                <w:rFonts w:ascii="Times New Roman" w:hAnsi="Times New Roman"/>
                <w:noProof/>
                <w:sz w:val="24"/>
              </w:rPr>
              <w:t>Articolul 6 alineatul (2)</w:t>
            </w:r>
          </w:p>
        </w:tc>
      </w:tr>
      <w:tr w:rsidR="00E42CF7" w:rsidRPr="000220F8" w14:paraId="0247C06C" w14:textId="77777777" w:rsidTr="124AC8B9">
        <w:trPr>
          <w:trHeight w:val="300"/>
        </w:trPr>
        <w:tc>
          <w:tcPr>
            <w:tcW w:w="4928" w:type="dxa"/>
          </w:tcPr>
          <w:p w14:paraId="13E9E1F5" w14:textId="4A1BCB1E" w:rsidR="00E42CF7" w:rsidRPr="000220F8" w:rsidRDefault="00E42CF7">
            <w:pPr>
              <w:spacing w:before="100" w:beforeAutospacing="1"/>
              <w:jc w:val="both"/>
              <w:rPr>
                <w:rFonts w:ascii="Times New Roman" w:eastAsia="Times New Roman" w:hAnsi="Times New Roman" w:cs="Times New Roman"/>
                <w:iCs/>
                <w:noProof/>
                <w:sz w:val="24"/>
                <w:szCs w:val="24"/>
              </w:rPr>
            </w:pPr>
            <w:r>
              <w:rPr>
                <w:rFonts w:ascii="Times New Roman" w:hAnsi="Times New Roman"/>
                <w:noProof/>
                <w:sz w:val="24"/>
              </w:rPr>
              <w:t xml:space="preserve">Regulamentul delegat (UE) 2022/1456 al Comisiei din 10 iunie 2022 de stabilire a unei derogări de la articolul 43 alineatul (1) din Regulamentul (UE) 2016/2031 al Parlamentului European și al Consiliului în ceea ce privește condițiile de import pentru introducerea în Uniune a materialelor de ambalaj din lemn sub formă de cutii de muniție, originare din Statele Unite ale Americii, aflate sub controlul Departamentului Apărării al Statelor Unite și fabricate înainte de 1 septembrie 2007. </w:t>
            </w:r>
            <w:r>
              <w:rPr>
                <w:rFonts w:ascii="Times New Roman" w:hAnsi="Times New Roman"/>
                <w:noProof/>
                <w:sz w:val="24"/>
              </w:rPr>
              <w:br/>
              <w:t>(care nu mai este în vigoare).</w:t>
            </w:r>
          </w:p>
        </w:tc>
        <w:tc>
          <w:tcPr>
            <w:tcW w:w="4252" w:type="dxa"/>
          </w:tcPr>
          <w:p w14:paraId="0E8E405C" w14:textId="3249FFC0" w:rsidR="00E42CF7" w:rsidRPr="000220F8" w:rsidRDefault="00E42CF7">
            <w:pPr>
              <w:rPr>
                <w:rFonts w:ascii="Times New Roman" w:hAnsi="Times New Roman" w:cs="Times New Roman"/>
                <w:noProof/>
                <w:sz w:val="24"/>
                <w:szCs w:val="24"/>
              </w:rPr>
            </w:pPr>
            <w:r>
              <w:rPr>
                <w:rFonts w:ascii="Times New Roman" w:hAnsi="Times New Roman"/>
                <w:noProof/>
                <w:sz w:val="24"/>
              </w:rPr>
              <w:t>Articolul 43 alineatul (2)</w:t>
            </w:r>
          </w:p>
        </w:tc>
      </w:tr>
      <w:tr w:rsidR="00E42CF7" w:rsidRPr="000220F8" w14:paraId="67E591EE" w14:textId="77777777" w:rsidTr="124AC8B9">
        <w:tc>
          <w:tcPr>
            <w:tcW w:w="4928" w:type="dxa"/>
          </w:tcPr>
          <w:p w14:paraId="43E56C24" w14:textId="135EB133" w:rsidR="00E42CF7" w:rsidRPr="00E42CF7" w:rsidRDefault="00E42CF7">
            <w:pPr>
              <w:spacing w:before="100" w:beforeAutospacing="1"/>
              <w:jc w:val="both"/>
              <w:rPr>
                <w:rFonts w:ascii="Times New Roman" w:eastAsia="Times New Roman" w:hAnsi="Times New Roman" w:cs="Times New Roman"/>
                <w:iCs/>
                <w:noProof/>
                <w:sz w:val="24"/>
                <w:szCs w:val="24"/>
              </w:rPr>
            </w:pPr>
            <w:r>
              <w:rPr>
                <w:rFonts w:ascii="Times New Roman" w:hAnsi="Times New Roman"/>
                <w:noProof/>
                <w:sz w:val="24"/>
              </w:rPr>
              <w:t>Regulamentul delegat (UE) 2022/2404 al Comisiei din 14 septembrie 2022 de completare a Regulamentului (UE) 2016/2031 al Parlamentului European și al Consiliului prin stabilirea unor norme detaliate pentru anchetele privind organismele dăunătoare de carantină pentru zone protejate și de abrogare a Directivei 92/70/CEE a Comisiei.</w:t>
            </w:r>
          </w:p>
        </w:tc>
        <w:tc>
          <w:tcPr>
            <w:tcW w:w="4252" w:type="dxa"/>
          </w:tcPr>
          <w:p w14:paraId="53726DA7" w14:textId="551E5D95" w:rsidR="00E42CF7" w:rsidRDefault="00E42CF7">
            <w:pPr>
              <w:rPr>
                <w:rFonts w:ascii="Times New Roman" w:hAnsi="Times New Roman" w:cs="Times New Roman"/>
                <w:noProof/>
                <w:sz w:val="24"/>
                <w:szCs w:val="24"/>
              </w:rPr>
            </w:pPr>
            <w:r>
              <w:rPr>
                <w:rFonts w:ascii="Times New Roman" w:hAnsi="Times New Roman"/>
                <w:noProof/>
                <w:sz w:val="24"/>
              </w:rPr>
              <w:t>Articolul 32 alineatul (5) și articolul 34 alineatul (1)</w:t>
            </w:r>
          </w:p>
        </w:tc>
      </w:tr>
    </w:tbl>
    <w:p w14:paraId="268AC7B0" w14:textId="77777777" w:rsidR="00F244EC" w:rsidRPr="000220F8" w:rsidRDefault="00F244EC">
      <w:pPr>
        <w:pStyle w:val="Normal10"/>
        <w:rPr>
          <w:noProof/>
        </w:rPr>
      </w:pPr>
    </w:p>
    <w:p w14:paraId="351B6BD4" w14:textId="77777777" w:rsidR="00F244EC" w:rsidRPr="000220F8" w:rsidRDefault="00634B0D">
      <w:pPr>
        <w:pStyle w:val="Normal10"/>
        <w:rPr>
          <w:noProof/>
        </w:rPr>
      </w:pPr>
      <w:r>
        <w:rPr>
          <w:noProof/>
        </w:rPr>
        <w:t>Anumite împuterniciri din Regulamentul (UE) 2016/2031 nu au fost utilizate în cursul perioadei de raportare din motivele explicate mai jos:</w:t>
      </w:r>
    </w:p>
    <w:p w14:paraId="78046307" w14:textId="2CE0F190" w:rsidR="009B0DC9" w:rsidRPr="000220F8" w:rsidRDefault="009B0DC9">
      <w:pPr>
        <w:numPr>
          <w:ilvl w:val="0"/>
          <w:numId w:val="2"/>
        </w:numPr>
        <w:spacing w:before="100" w:beforeAutospacing="1" w:after="240" w:line="240" w:lineRule="auto"/>
        <w:jc w:val="both"/>
        <w:rPr>
          <w:rFonts w:ascii="Times New Roman" w:hAnsi="Times New Roman" w:cs="Times New Roman"/>
          <w:iCs/>
          <w:noProof/>
          <w:sz w:val="24"/>
          <w:szCs w:val="24"/>
        </w:rPr>
      </w:pPr>
      <w:r>
        <w:rPr>
          <w:rFonts w:ascii="Times New Roman" w:hAnsi="Times New Roman"/>
          <w:noProof/>
          <w:sz w:val="24"/>
        </w:rPr>
        <w:t>Împuternicirile prevăzute la articolele 7, 21, 38, 51, 71 alineatul (4), articolul 83 alineatul (6), articolul 100 alineatul (4), articolul 101 alineatul (5) și articolul 102 alineatul (6) în ceea ce privește modificarea secțiunilor 1 și 4 din anexa I, a anexei II, a anexei III, a anexei IV, a părților A și B din anexa V, a anexei VII și a părților A, B și C din anexa VIII, în vederea adaptării acestora la evoluția cunoștințelor științifice și tehnice și a standardelor internaționale relevante, nu au fost utilizate până în prezent. Cu toate acestea, Comisia va evalua necesitatea utilizării acestora, odată ce vor avea loc actualizări ale cunoștințelor științifice și tehnice sau ale standardelor internaționale respective.</w:t>
      </w:r>
    </w:p>
    <w:p w14:paraId="5B57FA87" w14:textId="71FDF40D" w:rsidR="009B0DC9" w:rsidRPr="000220F8" w:rsidRDefault="003B61D1" w:rsidP="124AC8B9">
      <w:pPr>
        <w:numPr>
          <w:ilvl w:val="0"/>
          <w:numId w:val="2"/>
        </w:numPr>
        <w:spacing w:before="100" w:beforeAutospacing="1" w:after="240" w:line="240" w:lineRule="auto"/>
        <w:jc w:val="both"/>
        <w:rPr>
          <w:rFonts w:ascii="Times New Roman" w:hAnsi="Times New Roman" w:cs="Times New Roman"/>
          <w:noProof/>
          <w:sz w:val="24"/>
          <w:szCs w:val="24"/>
        </w:rPr>
      </w:pPr>
      <w:r>
        <w:rPr>
          <w:rFonts w:ascii="Times New Roman" w:hAnsi="Times New Roman"/>
          <w:noProof/>
          <w:sz w:val="24"/>
        </w:rPr>
        <w:t>Până în prezent, nu a fost utilizată împuternicirea prevăzută la articolul 19 alineatul (7) în ceea ce privește precizarea organismelor dăunătoare menționate la alineatul (6) litera (a) din articolul respectiv și la articolul 16 litera (b) și condițiile de aplicare a derogărilor respective. Cu toate acestea, Comisia va evalua necesitatea de a acționa în acest sens având în vedere experiența acumulată privind aplicarea practică a normelor din Legea privind sănătatea plantelor, în vederea reducerii sarcinii administrative pentru operatorii economici.</w:t>
      </w:r>
    </w:p>
    <w:p w14:paraId="5694FD64" w14:textId="18001621" w:rsidR="009B0DC9" w:rsidRPr="000220F8" w:rsidRDefault="009B0DC9">
      <w:pPr>
        <w:numPr>
          <w:ilvl w:val="0"/>
          <w:numId w:val="2"/>
        </w:numPr>
        <w:spacing w:before="100" w:beforeAutospacing="1" w:after="240" w:line="240" w:lineRule="auto"/>
        <w:jc w:val="both"/>
        <w:rPr>
          <w:rFonts w:ascii="Times New Roman" w:hAnsi="Times New Roman" w:cs="Times New Roman"/>
          <w:iCs/>
          <w:noProof/>
          <w:sz w:val="24"/>
          <w:szCs w:val="24"/>
        </w:rPr>
      </w:pPr>
      <w:r>
        <w:rPr>
          <w:rFonts w:ascii="Times New Roman" w:hAnsi="Times New Roman"/>
          <w:noProof/>
          <w:sz w:val="24"/>
        </w:rPr>
        <w:t>Nu au fost utilizate împuternicirile prevăzute la articolul 46 alineatul (2) în ceea ce privește lățimea maximă a zonelor de frontieră ale țării terțe și a zonelor de frontieră ale statului membru, în funcție de anumite plante, produse vegetale și alte obiecte, distanța maximă pe care circulă plantele, produsele vegetale și alte obiecte vizate în interiorul zonelor de frontieră ale țării terțe și al zonelor de frontieră ale statului membru și procedurile pentru autorizarea introducerii și a circulației în zonele de frontieră ale statului membru ale plantelor, produselor vegetale și altor obiecte. Comisia va evalua necesitatea de a acționa în acest sens având în vedere experiența acumulată privind aplicarea practică a normelor din Legea privind sănătatea plantelor.</w:t>
      </w:r>
    </w:p>
    <w:p w14:paraId="2CC9BC3F" w14:textId="4107ECCD" w:rsidR="0090046E" w:rsidRPr="000220F8" w:rsidRDefault="009B0DC9" w:rsidP="003D6ACA">
      <w:pPr>
        <w:numPr>
          <w:ilvl w:val="0"/>
          <w:numId w:val="2"/>
        </w:numPr>
        <w:spacing w:before="100" w:beforeAutospacing="1" w:after="240" w:line="240" w:lineRule="auto"/>
        <w:jc w:val="both"/>
        <w:rPr>
          <w:rFonts w:ascii="Times New Roman" w:hAnsi="Times New Roman" w:cs="Times New Roman"/>
          <w:iCs/>
          <w:noProof/>
          <w:sz w:val="24"/>
          <w:szCs w:val="24"/>
        </w:rPr>
      </w:pPr>
      <w:r>
        <w:rPr>
          <w:rFonts w:ascii="Times New Roman" w:hAnsi="Times New Roman"/>
          <w:noProof/>
          <w:sz w:val="24"/>
        </w:rPr>
        <w:t xml:space="preserve">Nu au fost utilizate împuternicirile prevăzute la articolul 65 alineatul (4) în ceea ce privește i) adăugarea altor categorii de operatori profesioniști care să fie exceptate de la aplicarea alineatului (1) de la articolul respectiv, dacă o înregistrare ar constitui o sarcină administrativă disproporționată pentru aceștia comparativ cu riscul redus legat de organisme dăunătoare asociat activităților lor profesionale; ii) cerințele speciale pentru înregistrarea anumitor categorii de operatori profesioniști, ținând seama de natura activității sau a plantei, a produsului vegetal sau a altui obiect vizat și iii) stabilirea valorilor maxime pentru cantitățile mici de anumite plante, produse vegetale sau alte obiecte, astfel cum se prevede la alineatul (3) primul paragraf litera (a). Comisia va evalua necesitatea de a acționa în acest sens având în vedere experiența acumulată privind aplicarea practică a normelor </w:t>
      </w:r>
      <w:bookmarkStart w:id="2" w:name="_Hlk219218846"/>
      <w:r>
        <w:rPr>
          <w:rFonts w:ascii="Times New Roman" w:hAnsi="Times New Roman"/>
          <w:noProof/>
          <w:sz w:val="24"/>
        </w:rPr>
        <w:t>din Legea privind sănătatea plantelor</w:t>
      </w:r>
      <w:bookmarkEnd w:id="2"/>
      <w:r>
        <w:rPr>
          <w:rFonts w:ascii="Times New Roman" w:hAnsi="Times New Roman"/>
          <w:noProof/>
          <w:sz w:val="24"/>
        </w:rPr>
        <w:t>, în vederea reducerii sarcinii administrative pentru operatorii economici.</w:t>
      </w:r>
    </w:p>
    <w:p w14:paraId="52478B56" w14:textId="35329F81" w:rsidR="00E12F4F" w:rsidRPr="000220F8" w:rsidRDefault="009B0DC9" w:rsidP="00B90CD8">
      <w:pPr>
        <w:numPr>
          <w:ilvl w:val="0"/>
          <w:numId w:val="2"/>
        </w:numPr>
        <w:spacing w:before="100" w:beforeAutospacing="1" w:after="240" w:line="240" w:lineRule="auto"/>
        <w:jc w:val="both"/>
        <w:rPr>
          <w:rFonts w:ascii="Times New Roman" w:hAnsi="Times New Roman" w:cs="Times New Roman"/>
          <w:iCs/>
          <w:noProof/>
          <w:sz w:val="24"/>
          <w:szCs w:val="24"/>
        </w:rPr>
      </w:pPr>
      <w:r>
        <w:rPr>
          <w:rFonts w:ascii="Times New Roman" w:hAnsi="Times New Roman"/>
          <w:noProof/>
          <w:sz w:val="24"/>
        </w:rPr>
        <w:t>Nu a fost utilizată împuternicirea prevăzută la articolul 76 alineatul (4) privind condițiile de acceptare menționate la primul paragraf al alineatului respectiv pentru a asigura fiabilitatea certificatelor fitosanitare. Comisia va evalua necesitatea de a acționa în acest sens având în vedere experiența acumulată privind aplicarea practică a normelor din Legea privind sănătatea plantelor.</w:t>
      </w:r>
    </w:p>
    <w:p w14:paraId="1DB942E7" w14:textId="1BF58456" w:rsidR="009B0DC9" w:rsidRPr="000220F8" w:rsidRDefault="009B0DC9" w:rsidP="00B90CD8">
      <w:pPr>
        <w:numPr>
          <w:ilvl w:val="0"/>
          <w:numId w:val="2"/>
        </w:numPr>
        <w:spacing w:before="100" w:beforeAutospacing="1" w:after="240" w:line="240" w:lineRule="auto"/>
        <w:jc w:val="both"/>
        <w:rPr>
          <w:rFonts w:ascii="Times New Roman" w:hAnsi="Times New Roman" w:cs="Times New Roman"/>
          <w:iCs/>
          <w:noProof/>
          <w:sz w:val="24"/>
          <w:szCs w:val="24"/>
        </w:rPr>
      </w:pPr>
      <w:r>
        <w:rPr>
          <w:rFonts w:ascii="Times New Roman" w:hAnsi="Times New Roman"/>
          <w:noProof/>
          <w:sz w:val="24"/>
        </w:rPr>
        <w:t>Nu a fost utilizată împuternicirea prevăzută la articolul 81 alineatul (2) în ceea ce privește stabilirea cazurilor în care, pentru anumite plante, produse vegetale sau alte obiecte, excepția de la alineatul (1) din articolul respectiv se aplică exclusiv cantităților mici. Comisia va evalua necesitatea de a acționa în acest sens având în vedere experiența acumulată privind aplicarea practică a normelor din Legea privind sănătatea plantelor.</w:t>
      </w:r>
    </w:p>
    <w:p w14:paraId="67485788" w14:textId="654C66F4" w:rsidR="009B0DC9" w:rsidRPr="00452338" w:rsidRDefault="009B0DC9" w:rsidP="009B5379">
      <w:pPr>
        <w:numPr>
          <w:ilvl w:val="0"/>
          <w:numId w:val="2"/>
        </w:numPr>
        <w:spacing w:before="100" w:beforeAutospacing="1" w:after="240" w:line="240" w:lineRule="auto"/>
        <w:jc w:val="both"/>
        <w:rPr>
          <w:rFonts w:ascii="Times New Roman" w:hAnsi="Times New Roman" w:cs="Times New Roman"/>
          <w:iCs/>
          <w:noProof/>
          <w:sz w:val="24"/>
          <w:szCs w:val="24"/>
        </w:rPr>
      </w:pPr>
      <w:r>
        <w:rPr>
          <w:rFonts w:ascii="Times New Roman" w:hAnsi="Times New Roman"/>
          <w:noProof/>
          <w:sz w:val="24"/>
        </w:rPr>
        <w:t>Nu a fost utilizată împuternicirea prevăzută la articolul 87 alineatul (4) în ceea ce privește măsurile detaliate referitoare la examinarea vizuală, la prelevarea de probe și la testare, precum și la frecvența și calendarul examinărilor, menționate la alineatele (1), (2) și (3) din articolul respectiv, în ceea ce privește anumite plante, produse vegetale și alte obiecte, pe baza riscurilor specifice legate de organisme dăunătoare pe care le pot prezenta. Comisia va evalua necesitatea de a acționa în acest sens având în vedere experiența acumulată privind aplicarea practică a normelor din Legea privind sănătatea plantelor.</w:t>
      </w:r>
    </w:p>
    <w:p w14:paraId="5D52DE69" w14:textId="5BA15245" w:rsidR="009B0DC9" w:rsidRPr="000220F8" w:rsidRDefault="009B0DC9" w:rsidP="00F326E7">
      <w:pPr>
        <w:numPr>
          <w:ilvl w:val="0"/>
          <w:numId w:val="2"/>
        </w:numPr>
        <w:spacing w:before="100" w:beforeAutospacing="1" w:after="240" w:line="240" w:lineRule="auto"/>
        <w:jc w:val="both"/>
        <w:rPr>
          <w:rFonts w:ascii="Times New Roman" w:hAnsi="Times New Roman" w:cs="Times New Roman"/>
          <w:iCs/>
          <w:noProof/>
          <w:sz w:val="24"/>
          <w:szCs w:val="24"/>
        </w:rPr>
      </w:pPr>
      <w:r>
        <w:rPr>
          <w:rFonts w:ascii="Times New Roman" w:hAnsi="Times New Roman"/>
          <w:noProof/>
          <w:sz w:val="24"/>
        </w:rPr>
        <w:t>Nu a fost utilizată împuternicirea prevăzută la articolul 96 alineatul (2) în ceea ce privește cerințele prevăzute la alineatul (1) din articolul respectiv pentru a le adapta la evoluția standardelor internaționale și, în special, la ISPM 15. Cu toate acestea, Comisia va evalua necesitatea de a acționa în acest sens, odată ce vor avea loc actualizări ale cunoștințelor științifice și tehnice sau ale standardelor internaționale respective.</w:t>
      </w:r>
    </w:p>
    <w:p w14:paraId="4F2B5276" w14:textId="56DE0180" w:rsidR="009B0DC9" w:rsidRPr="000220F8" w:rsidRDefault="00593170" w:rsidP="00503A03">
      <w:pPr>
        <w:numPr>
          <w:ilvl w:val="0"/>
          <w:numId w:val="2"/>
        </w:numPr>
        <w:spacing w:before="100" w:beforeAutospacing="1" w:after="240" w:line="240" w:lineRule="auto"/>
        <w:jc w:val="both"/>
        <w:rPr>
          <w:rFonts w:ascii="Times New Roman" w:hAnsi="Times New Roman" w:cs="Times New Roman"/>
          <w:iCs/>
          <w:noProof/>
          <w:sz w:val="24"/>
          <w:szCs w:val="24"/>
        </w:rPr>
      </w:pPr>
      <w:r>
        <w:rPr>
          <w:rFonts w:ascii="Times New Roman" w:hAnsi="Times New Roman"/>
          <w:noProof/>
          <w:sz w:val="24"/>
        </w:rPr>
        <w:t>Nu a fost utilizată împuternicirea prevăzută la articolul 98 alineatul (1) în ceea ce privește precizarea cerințelor de autorizare a operatorilor înregistrați care aplică marcajul materialelor de ambalaj din lemn, după caz, având în vedere evoluția cunoștințelor științifice și tehnice și a standardelor internaționale. Cu toate acestea, Comisia ar trebui să continue să poată face uz de aceasta, odată ce vor avea loc actualizări ale cunoștințelor științifice și tehnice sau ale standardelor internaționale respective.</w:t>
      </w:r>
    </w:p>
    <w:p w14:paraId="4C075D6C" w14:textId="54D43D8A" w:rsidR="00593170" w:rsidRDefault="00593170" w:rsidP="00E12F4F">
      <w:pPr>
        <w:numPr>
          <w:ilvl w:val="0"/>
          <w:numId w:val="2"/>
        </w:numPr>
        <w:spacing w:before="100" w:beforeAutospacing="1" w:after="240" w:line="240" w:lineRule="auto"/>
        <w:jc w:val="both"/>
        <w:rPr>
          <w:rFonts w:ascii="Times New Roman" w:hAnsi="Times New Roman" w:cs="Times New Roman"/>
          <w:iCs/>
          <w:noProof/>
          <w:sz w:val="24"/>
          <w:szCs w:val="24"/>
        </w:rPr>
      </w:pPr>
      <w:r>
        <w:rPr>
          <w:rFonts w:ascii="Times New Roman" w:hAnsi="Times New Roman"/>
          <w:noProof/>
          <w:sz w:val="24"/>
        </w:rPr>
        <w:t>Nu au fost utilizate împuternicirile prevăzute la articolul 99 alineatul (1) în ceea ce privește cerințele pentru i) autorizarea operatorilor profesioniști în ceea ce privește emiterea atestărilor oficiale menționate la articolul 99 alineatul (1); ii) supravegherea de către autoritatea competentă a operatorilor profesioniști menționați la articolul 99 alineatul (2) litera (a) și (iii) retragerea autorizației respective menționate la articolul 99 alineatul (2) litera (a). Comisia va evalua necesitatea de a acționa în acest sens având în vedere experiența acumulată privind aplicarea practică a normelor din Legea privind sănătatea plantelor.</w:t>
      </w:r>
    </w:p>
    <w:p w14:paraId="5197C8EE" w14:textId="77777777" w:rsidR="00F244EC" w:rsidRDefault="00634B0D">
      <w:pPr>
        <w:pStyle w:val="ListParagraph"/>
        <w:numPr>
          <w:ilvl w:val="0"/>
          <w:numId w:val="1"/>
        </w:numPr>
        <w:spacing w:after="240" w:line="240" w:lineRule="auto"/>
        <w:contextualSpacing w:val="0"/>
        <w:rPr>
          <w:rFonts w:ascii="Times New Roman" w:hAnsi="Times New Roman" w:cs="Times New Roman"/>
          <w:b/>
          <w:noProof/>
          <w:sz w:val="24"/>
          <w:szCs w:val="24"/>
        </w:rPr>
      </w:pPr>
      <w:r>
        <w:rPr>
          <w:rFonts w:ascii="Times New Roman" w:hAnsi="Times New Roman"/>
          <w:b/>
          <w:noProof/>
          <w:sz w:val="24"/>
        </w:rPr>
        <w:t>CONCLUZIE</w:t>
      </w:r>
    </w:p>
    <w:p w14:paraId="4704445A" w14:textId="46C4044E" w:rsidR="00F244EC" w:rsidRDefault="00E10C6F">
      <w:pPr>
        <w:pStyle w:val="Normal10"/>
        <w:rPr>
          <w:noProof/>
        </w:rPr>
      </w:pPr>
      <w:r>
        <w:rPr>
          <w:noProof/>
        </w:rPr>
        <w:t xml:space="preserve">Comisia consideră că este necesară extinderea tuturor împuternicirilor prevăzute în Regulamentul (UE) 2016/2031 de a adopta acte delegate, astfel cum se prevede în regulamentul respectiv, dincolo de perioada actuală de cinci ani. Nevoia de a se elabora norme pe baza împuternicirilor va persista în viitor. Acest lucru va fi adecvat pentru a adapta periodic respectivele norme la cele mai recente standarde științifice și pentru a oferi Comisiei posibilitatea de a acționa în domeniile în care nu a acționat până în prezent, dar în care ar putea fi nevoită să acționeze în viitor. </w:t>
      </w:r>
    </w:p>
    <w:sectPr w:rsidR="00F244EC">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C8B64E" w14:textId="77777777" w:rsidR="001B4F5A" w:rsidRDefault="001B4F5A">
      <w:pPr>
        <w:spacing w:after="0" w:line="240" w:lineRule="auto"/>
      </w:pPr>
      <w:r>
        <w:separator/>
      </w:r>
    </w:p>
  </w:endnote>
  <w:endnote w:type="continuationSeparator" w:id="0">
    <w:p w14:paraId="6D038EC3" w14:textId="77777777" w:rsidR="001B4F5A" w:rsidRDefault="001B4F5A">
      <w:pPr>
        <w:spacing w:after="0" w:line="240" w:lineRule="auto"/>
      </w:pPr>
      <w:r>
        <w:continuationSeparator/>
      </w:r>
    </w:p>
  </w:endnote>
  <w:endnote w:type="continuationNotice" w:id="1">
    <w:p w14:paraId="65E09D29" w14:textId="77777777" w:rsidR="001B4F5A" w:rsidRDefault="001B4F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50E4F2" w14:textId="75C15E37" w:rsidR="00A55EA7" w:rsidRPr="00A55EA7" w:rsidRDefault="00A55EA7" w:rsidP="00A55EA7">
    <w:pPr>
      <w:pStyle w:val="FooterCoverPage"/>
      <w:rPr>
        <w:rFonts w:ascii="Arial" w:hAnsi="Arial" w:cs="Arial"/>
        <w:b/>
        <w:sz w:val="48"/>
      </w:rPr>
    </w:pPr>
    <w:r w:rsidRPr="00A55EA7">
      <w:rPr>
        <w:rFonts w:ascii="Arial" w:hAnsi="Arial" w:cs="Arial"/>
        <w:b/>
        <w:sz w:val="48"/>
      </w:rPr>
      <w:t>RO</w:t>
    </w:r>
    <w:r w:rsidRPr="00A55EA7">
      <w:rPr>
        <w:rFonts w:ascii="Arial" w:hAnsi="Arial" w:cs="Arial"/>
        <w:b/>
        <w:sz w:val="48"/>
      </w:rPr>
      <w:tab/>
    </w:r>
    <w:r w:rsidRPr="00A55EA7">
      <w:rPr>
        <w:rFonts w:ascii="Arial" w:hAnsi="Arial" w:cs="Arial"/>
        <w:b/>
        <w:sz w:val="48"/>
      </w:rPr>
      <w:tab/>
    </w:r>
    <w:r w:rsidRPr="00A55EA7">
      <w:tab/>
    </w:r>
    <w:r w:rsidRPr="00A55EA7">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45BDDA" w14:textId="0E3FE9E6" w:rsidR="00A55EA7" w:rsidRPr="00A55EA7" w:rsidRDefault="00A55EA7" w:rsidP="00A55EA7">
    <w:pPr>
      <w:pStyle w:val="FooterCoverPage"/>
      <w:rPr>
        <w:rFonts w:ascii="Arial" w:hAnsi="Arial" w:cs="Arial"/>
        <w:b/>
        <w:sz w:val="48"/>
      </w:rPr>
    </w:pPr>
    <w:r w:rsidRPr="00A55EA7">
      <w:rPr>
        <w:rFonts w:ascii="Arial" w:hAnsi="Arial" w:cs="Arial"/>
        <w:b/>
        <w:sz w:val="48"/>
      </w:rPr>
      <w:t>RO</w:t>
    </w:r>
    <w:r w:rsidRPr="00A55EA7">
      <w:rPr>
        <w:rFonts w:ascii="Arial" w:hAnsi="Arial" w:cs="Arial"/>
        <w:b/>
        <w:sz w:val="48"/>
      </w:rPr>
      <w:tab/>
    </w:r>
    <w:r w:rsidRPr="00A55EA7">
      <w:rPr>
        <w:rFonts w:ascii="Arial" w:hAnsi="Arial" w:cs="Arial"/>
        <w:b/>
        <w:sz w:val="48"/>
      </w:rPr>
      <w:tab/>
    </w:r>
    <w:r w:rsidRPr="00A55EA7">
      <w:tab/>
    </w:r>
    <w:r w:rsidRPr="00A55EA7">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F4A353" w14:textId="77777777" w:rsidR="00A55EA7" w:rsidRPr="00A55EA7" w:rsidRDefault="00A55EA7" w:rsidP="00A55EA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7E373" w14:textId="77777777" w:rsidR="00F244EC" w:rsidRDefault="00F244E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0980310"/>
      <w:docPartObj>
        <w:docPartGallery w:val="Page Numbers (Bottom of Page)"/>
        <w:docPartUnique/>
      </w:docPartObj>
    </w:sdtPr>
    <w:sdtEndPr>
      <w:rPr>
        <w:noProof/>
      </w:rPr>
    </w:sdtEndPr>
    <w:sdtContent>
      <w:p w14:paraId="705EF89C" w14:textId="685A20B9" w:rsidR="00F244EC" w:rsidRDefault="00634B0D">
        <w:pPr>
          <w:pStyle w:val="Footer"/>
          <w:jc w:val="right"/>
        </w:pPr>
        <w:r>
          <w:fldChar w:fldCharType="begin"/>
        </w:r>
        <w:r>
          <w:instrText xml:space="preserve"> PAGE   \* MERGEFORMAT </w:instrText>
        </w:r>
        <w:r>
          <w:fldChar w:fldCharType="separate"/>
        </w:r>
        <w:r w:rsidR="00A55EA7">
          <w:rPr>
            <w:noProof/>
          </w:rPr>
          <w:t>1</w:t>
        </w:r>
        <w:r>
          <w:fldChar w:fldCharType="end"/>
        </w:r>
      </w:p>
    </w:sdtContent>
  </w:sdt>
  <w:p w14:paraId="067476DB" w14:textId="77777777" w:rsidR="00F244EC" w:rsidRDefault="00F244E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6669D" w14:textId="77777777" w:rsidR="00F244EC" w:rsidRDefault="00F244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7A5629" w14:textId="77777777" w:rsidR="001B4F5A" w:rsidRDefault="001B4F5A">
      <w:pPr>
        <w:spacing w:after="0" w:line="240" w:lineRule="auto"/>
      </w:pPr>
      <w:r>
        <w:separator/>
      </w:r>
    </w:p>
  </w:footnote>
  <w:footnote w:type="continuationSeparator" w:id="0">
    <w:p w14:paraId="5A03E1D2" w14:textId="77777777" w:rsidR="001B4F5A" w:rsidRDefault="001B4F5A">
      <w:pPr>
        <w:spacing w:after="0" w:line="240" w:lineRule="auto"/>
      </w:pPr>
      <w:r>
        <w:continuationSeparator/>
      </w:r>
    </w:p>
  </w:footnote>
  <w:footnote w:type="continuationNotice" w:id="1">
    <w:p w14:paraId="78C5080B" w14:textId="77777777" w:rsidR="001B4F5A" w:rsidRDefault="001B4F5A">
      <w:pPr>
        <w:spacing w:after="0" w:line="240" w:lineRule="auto"/>
      </w:pPr>
    </w:p>
  </w:footnote>
  <w:footnote w:id="2">
    <w:p w14:paraId="575B8CC2" w14:textId="61946541" w:rsidR="00F244EC" w:rsidRPr="00FC13E6" w:rsidRDefault="00634B0D" w:rsidP="00C26FFA">
      <w:pPr>
        <w:pStyle w:val="FootnoteText"/>
        <w:ind w:left="720" w:hanging="720"/>
        <w:jc w:val="both"/>
        <w:rPr>
          <w:rFonts w:ascii="Times New Roman" w:hAnsi="Times New Roman" w:cs="Times New Roman"/>
        </w:rPr>
      </w:pPr>
      <w:r>
        <w:rPr>
          <w:rStyle w:val="FootnoteReference"/>
        </w:rPr>
        <w:footnoteRef/>
      </w:r>
      <w:r>
        <w:tab/>
      </w:r>
      <w:r>
        <w:rPr>
          <w:rFonts w:ascii="Times New Roman" w:hAnsi="Times New Roman"/>
        </w:rPr>
        <w:t xml:space="preserve">Regulamentul (UE) 2016/2031 al Parlamentului European și al Consiliului din 26 octombrie 2016 privind măsurile de protecție împotriva organismelor dăunătoare plantelor, de modificare a Regulamentelor (UE) nr. 228/2013, (UE) nr. 652/2014 și (UE) nr. 1143/2014 ale Parlamentului European și ale Consiliului și de abrogare a Directivelor 69/464/CEE, 74/647/CEE, 93/85/CEE, 98/57/CE, 2000/29/CE, 2006/91/CE și 2007/33/CE ale Consiliului (JO L 317, 23.11.2016, p. 4, ELI: </w:t>
      </w:r>
      <w:hyperlink r:id="rId1" w:tooltip="Oferă acces la acest document prin identificatorul său uniform de resurse ELI." w:history="1">
        <w:r>
          <w:rPr>
            <w:rStyle w:val="Hyperlink"/>
            <w:rFonts w:ascii="Times New Roman" w:hAnsi="Times New Roman"/>
          </w:rPr>
          <w:t>http://data.europa.eu/eli/reg/2016/2031/oj</w:t>
        </w:r>
      </w:hyperlink>
      <w:r>
        <w:rPr>
          <w:rFonts w:ascii="Times New Roman" w:hAnsi="Times New Roman"/>
        </w:rPr>
        <w:t>).</w:t>
      </w:r>
    </w:p>
  </w:footnote>
  <w:footnote w:id="3">
    <w:p w14:paraId="6E33C936" w14:textId="11A427B7" w:rsidR="00D82511" w:rsidRPr="00C26FFA" w:rsidRDefault="00D82511" w:rsidP="00C26FFA">
      <w:pPr>
        <w:pStyle w:val="FootnoteText"/>
        <w:ind w:left="720" w:hanging="720"/>
        <w:jc w:val="both"/>
        <w:rPr>
          <w:rFonts w:ascii="Times New Roman" w:hAnsi="Times New Roman" w:cs="Times New Roman"/>
        </w:rPr>
      </w:pPr>
      <w:r>
        <w:rPr>
          <w:rStyle w:val="FootnoteReference"/>
          <w:rFonts w:ascii="Times New Roman" w:hAnsi="Times New Roman"/>
        </w:rPr>
        <w:footnoteRef/>
      </w:r>
      <w:r>
        <w:rPr>
          <w:rFonts w:ascii="Times New Roman" w:hAnsi="Times New Roman"/>
        </w:rPr>
        <w:tab/>
        <w:t xml:space="preserve">Regulamentul (UE) 2017/625 al Parlamentului European și al Consiliului din 15 martie 2017 privind controalele oficiale și alte activități oficiale efectuate pentru a asigura aplicarea legislației privind alimentele și furajele, a normelor privind sănătatea și bunăstarea animalelor, sănătatea plantelor și produsele de protecție a plantelor, de modificare a Regulamentelor (CE) nr. 999/2001, (CE) nr. 396/2005, (CE) nr. 1069/2009, (CE) nr. 1107/2009, (UE) nr. 1151/2012, (UE) nr. 652/2014, (UE) 2016/429 și (UE) 2016/2031 ale Parlamentului European și ale Consiliului, a Regulamentelor (CE) nr. 1/2005 și (CE) nr. 1099/2009 ale Consiliului și a Directivelor 98/58/CE, 1999/74/CE, 2007/43/CE, 2008/119/CE și 2008/120/CE ale Consiliului și de abrogare a Regulamentelor (CE) nr. 854/2004 și (CE) nr. 882/2004 ale Parlamentului European și ale Consiliului, precum și a Directivelor 89/608/CEE, 89/662/CEE, 90/425/CEE, 91/496/CEE, 96/23/CE, 96/93/CE și 97/78/CE ale Consiliului și a Deciziei 92/438/CEE a Consiliului (Regulamentul privind controalele oficiale) (JO L 95, 7.4.2017, p. 1, ELI: </w:t>
      </w:r>
      <w:hyperlink r:id="rId2" w:tooltip="Oferă acces la acest document prin identificatorul său uniform de resurse ELI." w:history="1">
        <w:r>
          <w:rPr>
            <w:rStyle w:val="Hyperlink"/>
            <w:rFonts w:ascii="Times New Roman" w:hAnsi="Times New Roman"/>
          </w:rPr>
          <w:t>http://data.europa.eu/eli/reg/2017/625/oj</w:t>
        </w:r>
      </w:hyperlink>
      <w:r>
        <w:rPr>
          <w:rFonts w:ascii="Times New Roman" w:hAnsi="Times New Roman"/>
        </w:rPr>
        <w:t xml:space="preserve">). </w:t>
      </w:r>
    </w:p>
  </w:footnote>
  <w:footnote w:id="4">
    <w:p w14:paraId="2418B2C2" w14:textId="34E42A6F" w:rsidR="0093479A" w:rsidRPr="00957022" w:rsidRDefault="0093479A" w:rsidP="00957022">
      <w:pPr>
        <w:pStyle w:val="FootnoteText"/>
        <w:ind w:left="720" w:hanging="720"/>
        <w:jc w:val="both"/>
        <w:rPr>
          <w:rFonts w:ascii="Times New Roman" w:hAnsi="Times New Roman" w:cs="Times New Roman"/>
        </w:rPr>
      </w:pPr>
      <w:r>
        <w:rPr>
          <w:rStyle w:val="FootnoteReference"/>
          <w:rFonts w:ascii="Times New Roman" w:hAnsi="Times New Roman"/>
        </w:rPr>
        <w:footnoteRef/>
      </w:r>
      <w:r>
        <w:rPr>
          <w:rFonts w:ascii="Times New Roman" w:hAnsi="Times New Roman"/>
        </w:rPr>
        <w:tab/>
        <w:t xml:space="preserve">Raport al Comisiei către Parlamentul European și Consiliu privind delegarea competenței de a adopta acte delegate conferită Comisiei în temeiul Regulamentului (UE) 2016/2031 privind măsurile de protecție împotriva organismelor dăunătoare plantelor, („Legea privind sănătatea plantelor”), </w:t>
      </w:r>
      <w:hyperlink r:id="rId3" w:history="1">
        <w:r>
          <w:rPr>
            <w:rStyle w:val="Hyperlink"/>
            <w:rFonts w:ascii="Times New Roman" w:hAnsi="Times New Roman"/>
          </w:rPr>
          <w:t>https://eur-lex.europa.eu/legal-content/RO/TXT/PDF/?uri=CELEX:52021DC0425</w:t>
        </w:r>
      </w:hyperlink>
      <w:r>
        <w:rPr>
          <w:rFonts w:ascii="Times New Roman" w:hAnsi="Times New Roman"/>
        </w:rPr>
        <w:t>.</w:t>
      </w:r>
    </w:p>
  </w:footnote>
  <w:footnote w:id="5">
    <w:p w14:paraId="5DDEF36D" w14:textId="36E9DF5B" w:rsidR="000B12A2" w:rsidRPr="00AA3D23" w:rsidRDefault="000B12A2">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ab/>
        <w:t xml:space="preserve">JO L 229, 5.9.2022, ELI: </w:t>
      </w:r>
      <w:hyperlink r:id="rId4" w:tooltip="Oferă acces la acest document prin identificatorul său uniform de resurse ELI." w:history="1">
        <w:r>
          <w:rPr>
            <w:rStyle w:val="Hyperlink"/>
            <w:rFonts w:ascii="Times New Roman" w:hAnsi="Times New Roman"/>
          </w:rPr>
          <w:t>http://data.europa.eu/eli/reg_del/2022/1456/oj</w:t>
        </w:r>
      </w:hyperlink>
      <w:r>
        <w:rPr>
          <w:rFonts w:ascii="Times New Roman" w:hAnsi="Times New Roman"/>
        </w:rPr>
        <w:t>.</w:t>
      </w:r>
    </w:p>
  </w:footnote>
  <w:footnote w:id="6">
    <w:p w14:paraId="78518FD2" w14:textId="5F8C6188" w:rsidR="000B12A2" w:rsidRPr="00AA3D23" w:rsidRDefault="000B12A2">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ab/>
        <w:t xml:space="preserve">JO L 317, 9.12.2022, ELI: </w:t>
      </w:r>
      <w:hyperlink r:id="rId5" w:tooltip="Oferă acces la acest document prin identificatorul său uniform de resurse ELI." w:history="1">
        <w:r>
          <w:rPr>
            <w:rStyle w:val="Hyperlink"/>
            <w:rFonts w:ascii="Times New Roman" w:hAnsi="Times New Roman"/>
          </w:rPr>
          <w:t>http://data.europa.eu/eli/reg_del/2022/2404/oj</w:t>
        </w:r>
      </w:hyperlink>
      <w:r>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009C1" w14:textId="77777777" w:rsidR="00A55EA7" w:rsidRPr="00A55EA7" w:rsidRDefault="00A55EA7" w:rsidP="00A55EA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42148" w14:textId="77777777" w:rsidR="00A55EA7" w:rsidRPr="00A55EA7" w:rsidRDefault="00A55EA7" w:rsidP="00A55EA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A10A6" w14:textId="77777777" w:rsidR="00A55EA7" w:rsidRPr="00A55EA7" w:rsidRDefault="00A55EA7" w:rsidP="00A55EA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24F4B" w14:textId="77777777" w:rsidR="00F244EC" w:rsidRDefault="00F244E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B1A4E8" w14:textId="77777777" w:rsidR="00F244EC" w:rsidRDefault="00F244E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7A9B3" w14:textId="77777777" w:rsidR="00F244EC" w:rsidRDefault="00F244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454852"/>
    <w:multiLevelType w:val="hybridMultilevel"/>
    <w:tmpl w:val="90104B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0151C93"/>
    <w:multiLevelType w:val="hybridMultilevel"/>
    <w:tmpl w:val="B4FCB3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78216557"/>
    <w:multiLevelType w:val="hybridMultilevel"/>
    <w:tmpl w:val="12E08B00"/>
    <w:lvl w:ilvl="0" w:tplc="0809000F">
      <w:start w:val="1"/>
      <w:numFmt w:val="decimal"/>
      <w:lvlText w:val="%1."/>
      <w:lvlJc w:val="left"/>
      <w:pPr>
        <w:ind w:left="360" w:hanging="360"/>
      </w:pPr>
      <w:rPr>
        <w:rFonts w:hint="default"/>
      </w:rPr>
    </w:lvl>
    <w:lvl w:ilvl="1" w:tplc="0809000F">
      <w:start w:val="1"/>
      <w:numFmt w:val="decimal"/>
      <w:lvlText w:val="%2."/>
      <w:lvlJc w:val="left"/>
      <w:pPr>
        <w:ind w:left="1080" w:hanging="360"/>
      </w:pPr>
      <w:rPr>
        <w:rFont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2DC23E0D-97AE-40DC-BCBE-07EA0E33BE06"/>
    <w:docVar w:name="LW_COVERPAGE_TYPE" w:val="1"/>
    <w:docVar w:name="LW_CROSSREFERENCE" w:val="&lt;UNUSED&gt;"/>
    <w:docVar w:name="LW_DocType" w:val="NORMAL"/>
    <w:docVar w:name="LW_EMISSION" w:val="18.2.2026"/>
    <w:docVar w:name="LW_EMISSION_ISODATE" w:val="2026-02-18"/>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8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delegarea competen\u539?ei de a adopta acte delegate conferit\u259? Comisiei în temeiul Regulamentului (UE) 2016/2031 privind m\u259?surile de protec\u539?ie împotriva organismelor d\u259?un\u259?toare plantelor (\u8222?Legea privind s\u259?n\u259?tatea plantelor\u8221?)"/>
    <w:docVar w:name="LW_TYPE.DOC.CP" w:val="RAPORT AL COMISIEI C\u258?TRE PARLAMENTUL EUROPEAN \u536?I CONSILIU"/>
    <w:docVar w:name="LwApiVersions" w:val="LW4CoDe 1.24.5.0; LW 9.2, Build 20251112"/>
  </w:docVars>
  <w:rsids>
    <w:rsidRoot w:val="00F244EC"/>
    <w:rsid w:val="00013A8B"/>
    <w:rsid w:val="000220F8"/>
    <w:rsid w:val="000361A5"/>
    <w:rsid w:val="00041892"/>
    <w:rsid w:val="00047E26"/>
    <w:rsid w:val="00062563"/>
    <w:rsid w:val="000633C7"/>
    <w:rsid w:val="00064FB5"/>
    <w:rsid w:val="00086601"/>
    <w:rsid w:val="0008684F"/>
    <w:rsid w:val="00091B38"/>
    <w:rsid w:val="000A37C8"/>
    <w:rsid w:val="000A7436"/>
    <w:rsid w:val="000B12A2"/>
    <w:rsid w:val="000B4D96"/>
    <w:rsid w:val="000C71DE"/>
    <w:rsid w:val="000D794D"/>
    <w:rsid w:val="00136ED7"/>
    <w:rsid w:val="0014640D"/>
    <w:rsid w:val="00171B9B"/>
    <w:rsid w:val="00186E5A"/>
    <w:rsid w:val="00190BA9"/>
    <w:rsid w:val="0019249B"/>
    <w:rsid w:val="001A2CD5"/>
    <w:rsid w:val="001B4F5A"/>
    <w:rsid w:val="001C2ADF"/>
    <w:rsid w:val="001C525E"/>
    <w:rsid w:val="001D7A53"/>
    <w:rsid w:val="001F11B3"/>
    <w:rsid w:val="001F2EA8"/>
    <w:rsid w:val="00216B68"/>
    <w:rsid w:val="0023391F"/>
    <w:rsid w:val="00267C04"/>
    <w:rsid w:val="002A69DA"/>
    <w:rsid w:val="002B70EF"/>
    <w:rsid w:val="003069B6"/>
    <w:rsid w:val="00353953"/>
    <w:rsid w:val="00353FE4"/>
    <w:rsid w:val="0036080D"/>
    <w:rsid w:val="00367A76"/>
    <w:rsid w:val="003755AD"/>
    <w:rsid w:val="0039169D"/>
    <w:rsid w:val="003B61D1"/>
    <w:rsid w:val="003C196A"/>
    <w:rsid w:val="003C59D1"/>
    <w:rsid w:val="003E02D0"/>
    <w:rsid w:val="003F7234"/>
    <w:rsid w:val="00415FB9"/>
    <w:rsid w:val="00417B29"/>
    <w:rsid w:val="004209D9"/>
    <w:rsid w:val="004361B8"/>
    <w:rsid w:val="004465AB"/>
    <w:rsid w:val="00452338"/>
    <w:rsid w:val="00453B08"/>
    <w:rsid w:val="00461F33"/>
    <w:rsid w:val="004666D1"/>
    <w:rsid w:val="004770EA"/>
    <w:rsid w:val="00497EBF"/>
    <w:rsid w:val="004C53FC"/>
    <w:rsid w:val="004F4E7E"/>
    <w:rsid w:val="00503A03"/>
    <w:rsid w:val="0050734B"/>
    <w:rsid w:val="00520B02"/>
    <w:rsid w:val="00532B7E"/>
    <w:rsid w:val="00534F14"/>
    <w:rsid w:val="005563DE"/>
    <w:rsid w:val="005608FB"/>
    <w:rsid w:val="005855EE"/>
    <w:rsid w:val="00593170"/>
    <w:rsid w:val="005B5C22"/>
    <w:rsid w:val="005D4E27"/>
    <w:rsid w:val="006152BA"/>
    <w:rsid w:val="00615B55"/>
    <w:rsid w:val="0062675E"/>
    <w:rsid w:val="00634B0D"/>
    <w:rsid w:val="0066232F"/>
    <w:rsid w:val="0069159A"/>
    <w:rsid w:val="006938F1"/>
    <w:rsid w:val="006B221B"/>
    <w:rsid w:val="006C2B0D"/>
    <w:rsid w:val="006C73BD"/>
    <w:rsid w:val="006D7E26"/>
    <w:rsid w:val="006E2642"/>
    <w:rsid w:val="006F15A3"/>
    <w:rsid w:val="00723E26"/>
    <w:rsid w:val="007778DE"/>
    <w:rsid w:val="0078242B"/>
    <w:rsid w:val="007E64A5"/>
    <w:rsid w:val="00831136"/>
    <w:rsid w:val="0083740D"/>
    <w:rsid w:val="00871A3F"/>
    <w:rsid w:val="00874FFE"/>
    <w:rsid w:val="008822B9"/>
    <w:rsid w:val="008C6AE6"/>
    <w:rsid w:val="008D17C5"/>
    <w:rsid w:val="008D7A1C"/>
    <w:rsid w:val="008E3F12"/>
    <w:rsid w:val="008F2F69"/>
    <w:rsid w:val="0090046E"/>
    <w:rsid w:val="00902A88"/>
    <w:rsid w:val="00910696"/>
    <w:rsid w:val="0091255E"/>
    <w:rsid w:val="009203C8"/>
    <w:rsid w:val="00920E9D"/>
    <w:rsid w:val="00920F90"/>
    <w:rsid w:val="009241DF"/>
    <w:rsid w:val="0093479A"/>
    <w:rsid w:val="00936424"/>
    <w:rsid w:val="0094743F"/>
    <w:rsid w:val="00957022"/>
    <w:rsid w:val="009849EB"/>
    <w:rsid w:val="009912DD"/>
    <w:rsid w:val="00995651"/>
    <w:rsid w:val="009B0DC9"/>
    <w:rsid w:val="009B5379"/>
    <w:rsid w:val="00A2219B"/>
    <w:rsid w:val="00A2475C"/>
    <w:rsid w:val="00A35C9F"/>
    <w:rsid w:val="00A504CB"/>
    <w:rsid w:val="00A55EA7"/>
    <w:rsid w:val="00A56910"/>
    <w:rsid w:val="00A71B08"/>
    <w:rsid w:val="00A7228A"/>
    <w:rsid w:val="00A73289"/>
    <w:rsid w:val="00A76CE7"/>
    <w:rsid w:val="00A857FC"/>
    <w:rsid w:val="00A87479"/>
    <w:rsid w:val="00AA3D23"/>
    <w:rsid w:val="00AB3DC6"/>
    <w:rsid w:val="00AC2A6D"/>
    <w:rsid w:val="00AE3DF0"/>
    <w:rsid w:val="00B215A4"/>
    <w:rsid w:val="00B2489D"/>
    <w:rsid w:val="00B26D78"/>
    <w:rsid w:val="00B334FF"/>
    <w:rsid w:val="00B642EB"/>
    <w:rsid w:val="00B66ECA"/>
    <w:rsid w:val="00B976C0"/>
    <w:rsid w:val="00BB7698"/>
    <w:rsid w:val="00BC03AB"/>
    <w:rsid w:val="00BC2B74"/>
    <w:rsid w:val="00C10023"/>
    <w:rsid w:val="00C140B6"/>
    <w:rsid w:val="00C24767"/>
    <w:rsid w:val="00C26FFA"/>
    <w:rsid w:val="00C52409"/>
    <w:rsid w:val="00C60B4C"/>
    <w:rsid w:val="00C66C45"/>
    <w:rsid w:val="00C80926"/>
    <w:rsid w:val="00CA0EBC"/>
    <w:rsid w:val="00CA4AD6"/>
    <w:rsid w:val="00CA6861"/>
    <w:rsid w:val="00CB4044"/>
    <w:rsid w:val="00CD62E7"/>
    <w:rsid w:val="00CE7F3B"/>
    <w:rsid w:val="00D07FA5"/>
    <w:rsid w:val="00D2660C"/>
    <w:rsid w:val="00D41ADC"/>
    <w:rsid w:val="00D52DA5"/>
    <w:rsid w:val="00D82511"/>
    <w:rsid w:val="00D836CA"/>
    <w:rsid w:val="00D8479C"/>
    <w:rsid w:val="00D8559F"/>
    <w:rsid w:val="00DA16AA"/>
    <w:rsid w:val="00E10C6F"/>
    <w:rsid w:val="00E12658"/>
    <w:rsid w:val="00E12F4F"/>
    <w:rsid w:val="00E418E3"/>
    <w:rsid w:val="00E42CF7"/>
    <w:rsid w:val="00E45544"/>
    <w:rsid w:val="00E500C2"/>
    <w:rsid w:val="00E8549C"/>
    <w:rsid w:val="00E91FAC"/>
    <w:rsid w:val="00E95BA9"/>
    <w:rsid w:val="00E962AB"/>
    <w:rsid w:val="00EA1DAC"/>
    <w:rsid w:val="00EA7A97"/>
    <w:rsid w:val="00EA7D40"/>
    <w:rsid w:val="00EC0BAA"/>
    <w:rsid w:val="00ED15D4"/>
    <w:rsid w:val="00ED5254"/>
    <w:rsid w:val="00ED7EF4"/>
    <w:rsid w:val="00F026C9"/>
    <w:rsid w:val="00F244EC"/>
    <w:rsid w:val="00F2669E"/>
    <w:rsid w:val="00F326E7"/>
    <w:rsid w:val="00F3335F"/>
    <w:rsid w:val="00F6671F"/>
    <w:rsid w:val="00F70D3D"/>
    <w:rsid w:val="00FA7AF5"/>
    <w:rsid w:val="00FC13E6"/>
    <w:rsid w:val="00FC29BA"/>
    <w:rsid w:val="00FE22A4"/>
    <w:rsid w:val="0E16BB06"/>
    <w:rsid w:val="124AC8B9"/>
    <w:rsid w:val="1826944B"/>
    <w:rsid w:val="30226C42"/>
    <w:rsid w:val="5FA4487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BC6913F"/>
  <w15:docId w15:val="{EF4992C0-890B-4A74-8234-0C9DF7C59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ListParagraph">
    <w:name w:val="List Paragraph"/>
    <w:basedOn w:val="Normal"/>
    <w:link w:val="ListParagraphChar"/>
    <w:uiPriority w:val="34"/>
    <w:qFormat/>
    <w:pPr>
      <w:ind w:left="720"/>
      <w:contextualSpacing/>
    </w:pPr>
  </w:style>
  <w:style w:type="character" w:styleId="FootnoteReference">
    <w:name w:val="footnote reference"/>
    <w:aliases w:val="number,Footnote symbol,Voetnootverwijzing,Times 10 Point,Exposant 3 Point,Footnote reference number,note TESI,SUPERS,EN Footnote Reference,Ref,de nota al pie,Footnote Reference Superscript,Footnote sign,BVI fnr,stylish"/>
    <w:basedOn w:val="DefaultParagraphFont"/>
    <w:uiPriority w:val="99"/>
    <w:semiHidden/>
    <w:rPr>
      <w:rFonts w:cs="Times New Roman"/>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Pr>
      <w:color w:val="0000FF" w:themeColor="hyperlink"/>
      <w:u w:val="single"/>
    </w:rPr>
  </w:style>
  <w:style w:type="paragraph" w:customStyle="1" w:styleId="ti-art">
    <w:name w:val="ti-art"/>
    <w:basedOn w:val="Normal"/>
    <w:pPr>
      <w:spacing w:before="100" w:beforeAutospacing="1" w:after="100" w:afterAutospacing="1" w:line="240" w:lineRule="auto"/>
    </w:pPr>
    <w:rPr>
      <w:rFonts w:ascii="Times New Roman" w:hAnsi="Times New Roman" w:cs="Times New Roman"/>
      <w:sz w:val="24"/>
      <w:szCs w:val="24"/>
      <w:lang w:eastAsia="en-GB"/>
    </w:rPr>
  </w:style>
  <w:style w:type="paragraph" w:customStyle="1" w:styleId="Normal1">
    <w:name w:val="Normal1"/>
    <w:basedOn w:val="Normal"/>
    <w:pPr>
      <w:spacing w:before="100" w:beforeAutospacing="1" w:after="100" w:afterAutospacing="1" w:line="240" w:lineRule="auto"/>
    </w:pPr>
    <w:rPr>
      <w:rFonts w:ascii="Times New Roman" w:hAnsi="Times New Roman" w:cs="Times New Roman"/>
      <w:sz w:val="24"/>
      <w:szCs w:val="24"/>
      <w:lang w:eastAsia="en-GB"/>
    </w:r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ListParagraphChar">
    <w:name w:val="List Paragraph Char"/>
    <w:basedOn w:val="DefaultParagraphFont"/>
    <w:link w:val="ListParagraph"/>
    <w:uiPriority w:val="34"/>
  </w:style>
  <w:style w:type="character" w:styleId="Emphasis">
    <w:name w:val="Emphasis"/>
    <w:uiPriority w:val="20"/>
    <w:qFormat/>
    <w:rPr>
      <w:i/>
      <w:iC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0">
    <w:name w:val="Normal 1"/>
    <w:basedOn w:val="Default"/>
    <w:pPr>
      <w:spacing w:after="240"/>
      <w:jc w:val="both"/>
    </w:pPr>
  </w:style>
  <w:style w:type="paragraph" w:customStyle="1" w:styleId="typedudocument">
    <w:name w:val="type du document"/>
    <w:basedOn w:val="ListParagraph"/>
    <w:pPr>
      <w:ind w:left="0"/>
      <w:jc w:val="center"/>
    </w:pPr>
    <w:rPr>
      <w:rFonts w:ascii="Times New Roman" w:hAnsi="Times New Roman" w:cs="Times New Roman"/>
      <w:b/>
      <w:sz w:val="24"/>
      <w:szCs w:val="24"/>
    </w:rPr>
  </w:style>
  <w:style w:type="paragraph" w:customStyle="1" w:styleId="Titreobject">
    <w:name w:val="Titre object"/>
    <w:basedOn w:val="ListParagraph"/>
    <w:pPr>
      <w:ind w:left="0"/>
      <w:jc w:val="center"/>
    </w:pPr>
    <w:rPr>
      <w:rFonts w:ascii="Times New Roman" w:hAnsi="Times New Roman" w:cs="Times New Roman"/>
      <w:b/>
      <w:bCs/>
      <w:sz w:val="24"/>
      <w:szCs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character" w:customStyle="1" w:styleId="acopre">
    <w:name w:val="acopre"/>
    <w:basedOn w:val="DefaultParagraphFont"/>
  </w:style>
  <w:style w:type="paragraph" w:styleId="Revision">
    <w:name w:val="Revision"/>
    <w:hidden/>
    <w:uiPriority w:val="99"/>
    <w:semiHidden/>
    <w:rsid w:val="0091255E"/>
    <w:pPr>
      <w:spacing w:after="0" w:line="240" w:lineRule="auto"/>
    </w:pPr>
  </w:style>
  <w:style w:type="character" w:customStyle="1" w:styleId="UnresolvedMention">
    <w:name w:val="Unresolved Mention"/>
    <w:basedOn w:val="DefaultParagraphFont"/>
    <w:uiPriority w:val="99"/>
    <w:semiHidden/>
    <w:unhideWhenUsed/>
    <w:rsid w:val="00FC13E6"/>
    <w:rPr>
      <w:color w:val="605E5C"/>
      <w:shd w:val="clear" w:color="auto" w:fill="E1DFDD"/>
    </w:rPr>
  </w:style>
  <w:style w:type="paragraph" w:customStyle="1" w:styleId="Languesfaisantfoi">
    <w:name w:val="Langues faisant foi"/>
    <w:basedOn w:val="Normal"/>
    <w:next w:val="Normal"/>
    <w:rsid w:val="00171B9B"/>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171B9B"/>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171B9B"/>
    <w:pPr>
      <w:spacing w:after="0"/>
    </w:pPr>
  </w:style>
  <w:style w:type="paragraph" w:customStyle="1" w:styleId="IntrtEEEPagedecouverture">
    <w:name w:val="Intérêt EEE (Page de couverture)"/>
    <w:basedOn w:val="IntrtEEE"/>
    <w:next w:val="Normal"/>
    <w:rsid w:val="00171B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607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RO/TXT/PDF/?uri=CELEX:52021DC0425" TargetMode="External"/><Relationship Id="rId2" Type="http://schemas.openxmlformats.org/officeDocument/2006/relationships/hyperlink" Target="http://data.europa.eu/eli/reg/2017/625/oj" TargetMode="External"/><Relationship Id="rId1" Type="http://schemas.openxmlformats.org/officeDocument/2006/relationships/hyperlink" Target="http://data.europa.eu/eli/reg/2016/2031/oj" TargetMode="External"/><Relationship Id="rId5" Type="http://schemas.openxmlformats.org/officeDocument/2006/relationships/hyperlink" Target="http://data.europa.eu/eli/reg_del/2022/2404/oj" TargetMode="External"/><Relationship Id="rId4" Type="http://schemas.openxmlformats.org/officeDocument/2006/relationships/hyperlink" Target="http://data.europa.eu/eli/reg_del/2022/145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FF78C904FD5D479F9D99C5899B7D55" ma:contentTypeVersion="22" ma:contentTypeDescription="Create a new document." ma:contentTypeScope="" ma:versionID="d5149b8f12898777c69ae6039d35bc4a">
  <xsd:schema xmlns:xsd="http://www.w3.org/2001/XMLSchema" xmlns:xs="http://www.w3.org/2001/XMLSchema" xmlns:p="http://schemas.microsoft.com/office/2006/metadata/properties" xmlns:ns2="e79f5ee3-6126-495d-84fb-deab44380441" xmlns:ns3="109fe164-c690-497e-a27a-2f9db3c5ef70" targetNamespace="http://schemas.microsoft.com/office/2006/metadata/properties" ma:root="true" ma:fieldsID="5da7f43de85c6b75e266045e5a994a60" ns2:_="" ns3:_="">
    <xsd:import namespace="e79f5ee3-6126-495d-84fb-deab44380441"/>
    <xsd:import namespace="109fe164-c690-497e-a27a-2f9db3c5ef7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element ref="ns3:TaxKeywordTaxHTField" minOccurs="0"/>
                <xsd:element ref="ns3:TaxCatchAllLabel" minOccurs="0"/>
                <xsd:element ref="ns3:p49369e953dc44ec8e8ce1075ee4c024" minOccurs="0"/>
                <xsd:element ref="ns3:Document_x0020_Date"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9f5ee3-6126-495d-84fb-deab443804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MediaServiceLocation" ma:index="3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9fe164-c690-497e-a27a-2f9db3c5ef7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935b108-c289-40ea-80bc-43df1ec85579}" ma:internalName="TaxCatchAll" ma:showField="CatchAllData" ma:web="109fe164-c690-497e-a27a-2f9db3c5ef70">
      <xsd:complexType>
        <xsd:complexContent>
          <xsd:extension base="dms:MultiChoiceLookup">
            <xsd:sequence>
              <xsd:element name="Value" type="dms:Lookup" maxOccurs="unbounded" minOccurs="0" nillable="true"/>
            </xsd:sequence>
          </xsd:extension>
        </xsd:complexContent>
      </xsd:complexType>
    </xsd:element>
    <xsd:element name="TaxKeywordTaxHTField" ma:index="24" nillable="true" ma:taxonomy="true" ma:internalName="TaxKeywordTaxHTField" ma:taxonomyFieldName="TaxKeyword" ma:displayName="DG Keywords" ma:fieldId="{23f27201-bee3-471e-b2e7-b64fd8b7ca38}" ma:taxonomyMulti="true" ma:sspId="22b2fad6-9d2c-441c-a321-3f5f1e9bd928" ma:termSetId="00000000-0000-0000-0000-000000000000" ma:anchorId="00000000-0000-0000-0000-000000000000" ma:open="true" ma:isKeyword="true">
      <xsd:complexType>
        <xsd:sequence>
          <xsd:element ref="pc:Terms" minOccurs="0" maxOccurs="1"/>
        </xsd:sequence>
      </xsd:complexType>
    </xsd:element>
    <xsd:element name="TaxCatchAllLabel" ma:index="25" nillable="true" ma:displayName="Taxonomy Catch All Column1" ma:hidden="true" ma:list="{f935b108-c289-40ea-80bc-43df1ec85579}" ma:internalName="TaxCatchAllLabel" ma:readOnly="true" ma:showField="CatchAllDataLabel" ma:web="109fe164-c690-497e-a27a-2f9db3c5ef70">
      <xsd:complexType>
        <xsd:complexContent>
          <xsd:extension base="dms:MultiChoiceLookup">
            <xsd:sequence>
              <xsd:element name="Value" type="dms:Lookup" maxOccurs="unbounded" minOccurs="0" nillable="true"/>
            </xsd:sequence>
          </xsd:extension>
        </xsd:complexContent>
      </xsd:complexType>
    </xsd:element>
    <xsd:element name="p49369e953dc44ec8e8ce1075ee4c024" ma:index="27" nillable="true" ma:taxonomy="true" ma:internalName="p49369e953dc44ec8e8ce1075ee4c024" ma:taxonomyFieldName="Workarea0" ma:displayName="Workarea" ma:default="" ma:fieldId="{949369e9-53dc-44ec-8e8c-e1075ee4c024}" ma:taxonomyMulti="true" ma:sspId="22b2fad6-9d2c-441c-a321-3f5f1e9bd928" ma:termSetId="435e1170-dc66-4797-88b2-8b7161067795" ma:anchorId="00000000-0000-0000-0000-000000000000" ma:open="false" ma:isKeyword="false">
      <xsd:complexType>
        <xsd:sequence>
          <xsd:element ref="pc:Terms" minOccurs="0" maxOccurs="1"/>
        </xsd:sequence>
      </xsd:complexType>
    </xsd:element>
    <xsd:element name="Document_x0020_Date" ma:index="28" nillable="true" ma:displayName="Document Date" ma:default="[today]" ma:format="DateOnly" ma:internalName="Document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KeywordTaxHTField xmlns="109fe164-c690-497e-a27a-2f9db3c5ef70">
      <Terms xmlns="http://schemas.microsoft.com/office/infopath/2007/PartnerControls"/>
    </TaxKeywordTaxHTField>
    <lcf76f155ced4ddcb4097134ff3c332f xmlns="e79f5ee3-6126-495d-84fb-deab44380441">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109fe164-c690-497e-a27a-2f9db3c5ef70" xsi:nil="true"/>
    <p49369e953dc44ec8e8ce1075ee4c024 xmlns="109fe164-c690-497e-a27a-2f9db3c5ef70">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p49369e953dc44ec8e8ce1075ee4c024>
    <Document_x0020_Date xmlns="109fe164-c690-497e-a27a-2f9db3c5ef70">2025-10-20T15:08:02+00:00</Document_x0020_Date>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464548BA-3907-4C5B-B861-DA90952F37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9f5ee3-6126-495d-84fb-deab44380441"/>
    <ds:schemaRef ds:uri="109fe164-c690-497e-a27a-2f9db3c5ef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2737E2-900C-48A1-A898-3360B0FAF457}">
  <ds:schemaRefs>
    <ds:schemaRef ds:uri="http://schemas.microsoft.com/sharepoint/v3/contenttype/forms"/>
  </ds:schemaRefs>
</ds:datastoreItem>
</file>

<file path=customXml/itemProps3.xml><?xml version="1.0" encoding="utf-8"?>
<ds:datastoreItem xmlns:ds="http://schemas.openxmlformats.org/officeDocument/2006/customXml" ds:itemID="{B1A61105-A1A0-4BE5-8697-CD0127041B9E}">
  <ds:schemaRefs>
    <ds:schemaRef ds:uri="http://schemas.microsoft.com/office/2006/metadata/properties"/>
    <ds:schemaRef ds:uri="http://schemas.microsoft.com/office/infopath/2007/PartnerControls"/>
    <ds:schemaRef ds:uri="109fe164-c690-497e-a27a-2f9db3c5ef70"/>
    <ds:schemaRef ds:uri="e79f5ee3-6126-495d-84fb-deab44380441"/>
  </ds:schemaRefs>
</ds:datastoreItem>
</file>

<file path=customXml/itemProps4.xml><?xml version="1.0" encoding="utf-8"?>
<ds:datastoreItem xmlns:ds="http://schemas.openxmlformats.org/officeDocument/2006/customXml" ds:itemID="{1A9091AE-C96B-4046-A0BF-59C5622A6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7</Pages>
  <Words>2176</Words>
  <Characters>12405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cp:lastPrinted>2026-01-27T15:44:00Z</cp:lastPrinted>
  <dcterms:created xsi:type="dcterms:W3CDTF">2026-01-27T15:38:00Z</dcterms:created>
  <dcterms:modified xsi:type="dcterms:W3CDTF">2026-02-11T08:17:00Z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7.0, Build 20190717</vt:lpwstr>
  </property>
  <property fmtid="{D5CDD505-2E9C-101B-9397-08002B2CF9AE}" pid="9" name="MSIP_Label_6bd9ddd1-4d20-43f6-abfa-fc3c07406f94_Enabled">
    <vt:lpwstr>true</vt:lpwstr>
  </property>
  <property fmtid="{D5CDD505-2E9C-101B-9397-08002B2CF9AE}" pid="10" name="MSIP_Label_6bd9ddd1-4d20-43f6-abfa-fc3c07406f94_SetDate">
    <vt:lpwstr>2025-10-09T08:34:02Z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06e29f74-e27d-4b20-9e23-0cea2cbf0c73</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ContentTypeId">
    <vt:lpwstr>0x01010017FF78C904FD5D479F9D99C5899B7D55</vt:lpwstr>
  </property>
  <property fmtid="{D5CDD505-2E9C-101B-9397-08002B2CF9AE}" pid="18" name="TaxKeyword">
    <vt:lpwstr/>
  </property>
  <property fmtid="{D5CDD505-2E9C-101B-9397-08002B2CF9AE}" pid="19" name="Workarea0">
    <vt:lpwstr/>
  </property>
  <property fmtid="{D5CDD505-2E9C-101B-9397-08002B2CF9AE}" pid="20" name="MediaServiceImageTags">
    <vt:lpwstr/>
  </property>
</Properties>
</file>