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2.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54B03" w:rsidRDefault="000C29EE" w:rsidP="000C29EE">
      <w:pPr>
        <w:pStyle w:val="Pagedecouverture"/>
        <w:rPr>
          <w:noProof/>
        </w:rP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1812BA9B-04B3-4F24-B3CD-DDB026C33287" style="width:455.25pt;height:426.75pt">
            <v:imagedata r:id="rId8" o:title=""/>
          </v:shape>
        </w:pict>
      </w:r>
    </w:p>
    <w:p w:rsidR="004453FB" w:rsidRPr="004453FB" w:rsidRDefault="004453FB" w:rsidP="004453FB">
      <w:pPr>
        <w:rPr>
          <w:noProof/>
        </w:rPr>
        <w:sectPr w:rsidR="004453FB" w:rsidRPr="004453FB" w:rsidSect="000C29EE">
          <w:footerReference w:type="even" r:id="rId9"/>
          <w:footerReference w:type="default" r:id="rId10"/>
          <w:pgSz w:w="11907" w:h="16839"/>
          <w:pgMar w:top="1134" w:right="1417" w:bottom="1134" w:left="1417" w:header="709" w:footer="709" w:gutter="0"/>
          <w:pgNumType w:start="0"/>
          <w:cols w:space="720"/>
          <w:docGrid w:linePitch="360"/>
        </w:sectPr>
      </w:pPr>
    </w:p>
    <w:p w:rsidR="00654B03" w:rsidRPr="00FC3569" w:rsidRDefault="00654B03" w:rsidP="00654B03">
      <w:pPr>
        <w:pStyle w:val="Exposdesmotifstitre"/>
        <w:rPr>
          <w:noProof/>
        </w:rPr>
      </w:pPr>
      <w:bookmarkStart w:id="0" w:name="_GoBack"/>
      <w:bookmarkEnd w:id="0"/>
      <w:r w:rsidRPr="00FC3569">
        <w:rPr>
          <w:noProof/>
        </w:rPr>
        <w:lastRenderedPageBreak/>
        <w:t>EXPLANATORY MEMORANDUM</w:t>
      </w:r>
    </w:p>
    <w:p w:rsidR="00471639" w:rsidRPr="00E34F04" w:rsidRDefault="00471639" w:rsidP="000A0B15">
      <w:pPr>
        <w:pStyle w:val="ManualHeading1"/>
        <w:rPr>
          <w:rFonts w:eastAsia="Arial Unicode MS"/>
          <w:noProof/>
        </w:rPr>
      </w:pPr>
      <w:r>
        <w:rPr>
          <w:noProof/>
        </w:rPr>
        <w:t>1.</w:t>
      </w:r>
      <w:r>
        <w:rPr>
          <w:noProof/>
        </w:rPr>
        <w:tab/>
      </w:r>
      <w:r w:rsidRPr="00E34F04">
        <w:rPr>
          <w:rFonts w:eastAsia="Arial Unicode MS"/>
          <w:noProof/>
        </w:rPr>
        <w:t>Subject matter of the proposal</w:t>
      </w:r>
    </w:p>
    <w:p w:rsidR="00822013" w:rsidRPr="00D34834" w:rsidRDefault="00822013" w:rsidP="00602EF3">
      <w:pPr>
        <w:rPr>
          <w:noProof/>
        </w:rPr>
      </w:pPr>
      <w:r w:rsidRPr="00E34F04">
        <w:rPr>
          <w:noProof/>
        </w:rPr>
        <w:t>Th</w:t>
      </w:r>
      <w:r>
        <w:rPr>
          <w:noProof/>
        </w:rPr>
        <w:t xml:space="preserve">e Commission proposes that the Council </w:t>
      </w:r>
      <w:r w:rsidRPr="00D34834">
        <w:rPr>
          <w:noProof/>
        </w:rPr>
        <w:t>establish</w:t>
      </w:r>
      <w:r>
        <w:rPr>
          <w:noProof/>
        </w:rPr>
        <w:t>es</w:t>
      </w:r>
      <w:r w:rsidRPr="00D34834">
        <w:rPr>
          <w:noProof/>
        </w:rPr>
        <w:t xml:space="preserve"> the position to be </w:t>
      </w:r>
      <w:r>
        <w:rPr>
          <w:noProof/>
        </w:rPr>
        <w:t>adopted</w:t>
      </w:r>
      <w:r w:rsidRPr="00D34834">
        <w:rPr>
          <w:noProof/>
        </w:rPr>
        <w:t xml:space="preserve"> on the Union's behalf in the </w:t>
      </w:r>
      <w:r w:rsidR="00D444E4">
        <w:rPr>
          <w:noProof/>
        </w:rPr>
        <w:t>Trade Specialised Committee on Level Playing Field for Open and Fair Competition and Sustainable Development</w:t>
      </w:r>
      <w:r w:rsidRPr="003271E6">
        <w:rPr>
          <w:noProof/>
        </w:rPr>
        <w:t xml:space="preserve"> established by </w:t>
      </w:r>
      <w:r w:rsidR="00602EF3">
        <w:rPr>
          <w:noProof/>
        </w:rPr>
        <w:t>the Trade and Cooperation Agreement between the European Union and the European Atomic Energy Community, of the one part, and the United Kingdom of Great Britain and Northern Ireland, of the other part</w:t>
      </w:r>
      <w:r w:rsidR="00602EF3" w:rsidRPr="003271E6">
        <w:rPr>
          <w:noProof/>
        </w:rPr>
        <w:t xml:space="preserve"> </w:t>
      </w:r>
      <w:r w:rsidRPr="00D34834">
        <w:rPr>
          <w:noProof/>
        </w:rPr>
        <w:t xml:space="preserve">(‘the </w:t>
      </w:r>
      <w:r w:rsidR="00EE75FA">
        <w:rPr>
          <w:noProof/>
        </w:rPr>
        <w:t>Trade and Cooperation Agreement’</w:t>
      </w:r>
      <w:r w:rsidRPr="00D34834">
        <w:rPr>
          <w:noProof/>
        </w:rPr>
        <w:t xml:space="preserve">) </w:t>
      </w:r>
      <w:r w:rsidRPr="003271E6">
        <w:rPr>
          <w:noProof/>
        </w:rPr>
        <w:t xml:space="preserve">on a </w:t>
      </w:r>
      <w:r>
        <w:rPr>
          <w:noProof/>
        </w:rPr>
        <w:t>d</w:t>
      </w:r>
      <w:r w:rsidRPr="00D34834">
        <w:rPr>
          <w:noProof/>
        </w:rPr>
        <w:t>ecision</w:t>
      </w:r>
      <w:r>
        <w:rPr>
          <w:noProof/>
        </w:rPr>
        <w:t xml:space="preserve"> to </w:t>
      </w:r>
      <w:r w:rsidR="00284FDF" w:rsidRPr="00FA2DA0">
        <w:rPr>
          <w:noProof/>
        </w:rPr>
        <w:t xml:space="preserve">establish a list of </w:t>
      </w:r>
      <w:r w:rsidR="007A7764">
        <w:rPr>
          <w:noProof/>
        </w:rPr>
        <w:t>individuals</w:t>
      </w:r>
      <w:r w:rsidR="00284FDF" w:rsidRPr="00FA2DA0">
        <w:rPr>
          <w:noProof/>
        </w:rPr>
        <w:t xml:space="preserve"> </w:t>
      </w:r>
      <w:r w:rsidR="00284FDF">
        <w:rPr>
          <w:noProof/>
        </w:rPr>
        <w:t xml:space="preserve">who are </w:t>
      </w:r>
      <w:r w:rsidR="00284FDF" w:rsidRPr="00FA2DA0">
        <w:rPr>
          <w:noProof/>
        </w:rPr>
        <w:t>willing and able to serve as members of</w:t>
      </w:r>
      <w:r w:rsidR="00284FDF">
        <w:rPr>
          <w:noProof/>
        </w:rPr>
        <w:t xml:space="preserve"> </w:t>
      </w:r>
      <w:r w:rsidR="008C2104">
        <w:rPr>
          <w:noProof/>
        </w:rPr>
        <w:t xml:space="preserve">the panel of experts established under Article 409 of the Trade and Cooperation Agreement.  </w:t>
      </w:r>
    </w:p>
    <w:p w:rsidR="00471639" w:rsidRPr="00E34F04" w:rsidRDefault="00471639" w:rsidP="00736AA9">
      <w:pPr>
        <w:pStyle w:val="ManualHeading1"/>
        <w:rPr>
          <w:noProof/>
        </w:rPr>
      </w:pPr>
      <w:r>
        <w:rPr>
          <w:noProof/>
        </w:rPr>
        <w:t>2.</w:t>
      </w:r>
      <w:r>
        <w:rPr>
          <w:noProof/>
        </w:rPr>
        <w:tab/>
      </w:r>
      <w:r w:rsidRPr="00E34F04">
        <w:rPr>
          <w:noProof/>
        </w:rPr>
        <w:t>Context of the proposal</w:t>
      </w:r>
    </w:p>
    <w:p w:rsidR="00602EF3" w:rsidRDefault="00602EF3" w:rsidP="00822013">
      <w:pPr>
        <w:pStyle w:val="ManualHeading2"/>
        <w:rPr>
          <w:noProof/>
        </w:rPr>
      </w:pPr>
      <w:r>
        <w:rPr>
          <w:noProof/>
        </w:rPr>
        <w:t>2.1.</w:t>
      </w:r>
      <w:r>
        <w:rPr>
          <w:noProof/>
        </w:rPr>
        <w:tab/>
        <w:t xml:space="preserve">The Trade and Cooperation Agreement </w:t>
      </w:r>
    </w:p>
    <w:p w:rsidR="00CF6286" w:rsidRPr="00CF6286" w:rsidRDefault="00B7526E" w:rsidP="00184A8E">
      <w:pPr>
        <w:spacing w:after="240"/>
        <w:rPr>
          <w:noProof/>
        </w:rPr>
      </w:pPr>
      <w:r w:rsidRPr="00B7526E">
        <w:rPr>
          <w:noProof/>
        </w:rPr>
        <w:t xml:space="preserve">The Trade and Cooperation Agreement </w:t>
      </w:r>
      <w:r w:rsidR="00402EFA">
        <w:rPr>
          <w:noProof/>
        </w:rPr>
        <w:t>concluded</w:t>
      </w:r>
      <w:r w:rsidR="00402EFA" w:rsidRPr="00B7526E">
        <w:rPr>
          <w:noProof/>
        </w:rPr>
        <w:t xml:space="preserve"> </w:t>
      </w:r>
      <w:r w:rsidRPr="00B7526E">
        <w:rPr>
          <w:noProof/>
        </w:rPr>
        <w:t xml:space="preserve">between the EU and the </w:t>
      </w:r>
      <w:r>
        <w:rPr>
          <w:noProof/>
        </w:rPr>
        <w:t xml:space="preserve">United Kingdom </w:t>
      </w:r>
      <w:r w:rsidRPr="00B7526E">
        <w:rPr>
          <w:noProof/>
        </w:rPr>
        <w:t xml:space="preserve">sets out preferential arrangements in areas such as trade in goods and in services, digital trade, intellectual property, public procurement, aviation and road transport, energy, fisheries, social security coordination, law enforcement and judicial cooperation in criminal matters, thematic cooperation and participation in Union programmes. </w:t>
      </w:r>
      <w:r w:rsidR="0004365C">
        <w:rPr>
          <w:noProof/>
        </w:rPr>
        <w:t xml:space="preserve">In particular, </w:t>
      </w:r>
      <w:r w:rsidR="00402EFA">
        <w:rPr>
          <w:noProof/>
        </w:rPr>
        <w:t>Chapter</w:t>
      </w:r>
      <w:r w:rsidR="00795AAF">
        <w:rPr>
          <w:noProof/>
        </w:rPr>
        <w:t>s</w:t>
      </w:r>
      <w:r w:rsidR="00402EFA">
        <w:rPr>
          <w:noProof/>
        </w:rPr>
        <w:t xml:space="preserve"> 6, 7 and 8 of the </w:t>
      </w:r>
      <w:r w:rsidR="00485618">
        <w:rPr>
          <w:noProof/>
        </w:rPr>
        <w:t xml:space="preserve">of Title XI of the </w:t>
      </w:r>
      <w:r w:rsidR="00402EFA">
        <w:rPr>
          <w:noProof/>
        </w:rPr>
        <w:t>T</w:t>
      </w:r>
      <w:r w:rsidR="000F1483">
        <w:rPr>
          <w:noProof/>
        </w:rPr>
        <w:t xml:space="preserve">rade and </w:t>
      </w:r>
      <w:r w:rsidR="00402EFA">
        <w:rPr>
          <w:noProof/>
        </w:rPr>
        <w:t>C</w:t>
      </w:r>
      <w:r w:rsidR="000F1483">
        <w:rPr>
          <w:noProof/>
        </w:rPr>
        <w:t xml:space="preserve">ooperation </w:t>
      </w:r>
      <w:r w:rsidR="00402EFA">
        <w:rPr>
          <w:noProof/>
        </w:rPr>
        <w:t>A</w:t>
      </w:r>
      <w:r w:rsidR="000F1483">
        <w:rPr>
          <w:noProof/>
        </w:rPr>
        <w:t>greement</w:t>
      </w:r>
      <w:r w:rsidR="00402EFA">
        <w:rPr>
          <w:noProof/>
        </w:rPr>
        <w:t xml:space="preserve"> </w:t>
      </w:r>
      <w:r w:rsidR="0004365C">
        <w:rPr>
          <w:noProof/>
        </w:rPr>
        <w:t>include provisions on</w:t>
      </w:r>
      <w:r w:rsidR="00402EFA">
        <w:rPr>
          <w:noProof/>
        </w:rPr>
        <w:t xml:space="preserve"> Labour and Social Standards, Environmental and Climate, and other instruments for Trade and Sustainable Development</w:t>
      </w:r>
      <w:r w:rsidR="0004365C">
        <w:rPr>
          <w:noProof/>
        </w:rPr>
        <w:t>.</w:t>
      </w:r>
    </w:p>
    <w:p w:rsidR="00471639" w:rsidRPr="00E34F04" w:rsidRDefault="00471639" w:rsidP="00B7526E">
      <w:pPr>
        <w:pStyle w:val="ManualHeading2"/>
        <w:rPr>
          <w:noProof/>
        </w:rPr>
      </w:pPr>
      <w:r>
        <w:rPr>
          <w:noProof/>
        </w:rPr>
        <w:t>2.2.</w:t>
      </w:r>
      <w:r>
        <w:rPr>
          <w:noProof/>
        </w:rPr>
        <w:tab/>
      </w:r>
      <w:r w:rsidRPr="00E34F04">
        <w:rPr>
          <w:noProof/>
        </w:rPr>
        <w:t xml:space="preserve">The </w:t>
      </w:r>
      <w:r w:rsidR="008C2104">
        <w:rPr>
          <w:noProof/>
        </w:rPr>
        <w:t xml:space="preserve">Trade Specialised Committee on Level Playing Field for Open and Fair Competition and Sustainable Development </w:t>
      </w:r>
    </w:p>
    <w:p w:rsidR="0099144E" w:rsidRPr="003271E6" w:rsidRDefault="0099144E" w:rsidP="007A2337">
      <w:pPr>
        <w:rPr>
          <w:noProof/>
        </w:rPr>
      </w:pPr>
      <w:r w:rsidRPr="00D34834">
        <w:rPr>
          <w:noProof/>
        </w:rPr>
        <w:t xml:space="preserve">The </w:t>
      </w:r>
      <w:r w:rsidR="008C2104">
        <w:rPr>
          <w:noProof/>
        </w:rPr>
        <w:t>Trade Specialised Committee on Level Playing Field for Open and Fair Competition and Sustainable Development</w:t>
      </w:r>
      <w:r w:rsidR="00B7526E">
        <w:rPr>
          <w:noProof/>
        </w:rPr>
        <w:t xml:space="preserve"> </w:t>
      </w:r>
      <w:r w:rsidRPr="001939B2">
        <w:rPr>
          <w:noProof/>
        </w:rPr>
        <w:t xml:space="preserve">established under Article </w:t>
      </w:r>
      <w:r w:rsidR="008C2104">
        <w:rPr>
          <w:noProof/>
        </w:rPr>
        <w:t>8</w:t>
      </w:r>
      <w:r w:rsidRPr="001939B2">
        <w:rPr>
          <w:noProof/>
        </w:rPr>
        <w:t>(1)</w:t>
      </w:r>
      <w:r w:rsidR="008C2104">
        <w:rPr>
          <w:noProof/>
        </w:rPr>
        <w:t xml:space="preserve"> j)</w:t>
      </w:r>
      <w:r w:rsidRPr="001939B2">
        <w:rPr>
          <w:noProof/>
        </w:rPr>
        <w:t xml:space="preserve"> of the </w:t>
      </w:r>
      <w:r w:rsidR="00EE75FA">
        <w:rPr>
          <w:noProof/>
        </w:rPr>
        <w:t>Trade and Cooperation Agreement</w:t>
      </w:r>
      <w:r w:rsidR="00B7526E">
        <w:rPr>
          <w:noProof/>
        </w:rPr>
        <w:t xml:space="preserve"> </w:t>
      </w:r>
      <w:r w:rsidRPr="001939B2">
        <w:rPr>
          <w:noProof/>
        </w:rPr>
        <w:t xml:space="preserve">comprises representatives of the Union and of the United Kingdom. It is co-chaired by the Union and the United Kingdom. Annex </w:t>
      </w:r>
      <w:r w:rsidR="00402EFA">
        <w:rPr>
          <w:noProof/>
        </w:rPr>
        <w:t>1</w:t>
      </w:r>
      <w:r w:rsidRPr="001939B2">
        <w:rPr>
          <w:noProof/>
        </w:rPr>
        <w:t xml:space="preserve"> to the </w:t>
      </w:r>
      <w:r w:rsidR="00EE75FA">
        <w:rPr>
          <w:noProof/>
        </w:rPr>
        <w:t>Trade and Cooperation Agreement</w:t>
      </w:r>
      <w:r w:rsidRPr="001939B2">
        <w:rPr>
          <w:noProof/>
        </w:rPr>
        <w:t xml:space="preserve"> lays down the rules of procedure of the </w:t>
      </w:r>
      <w:r w:rsidR="008C2104">
        <w:rPr>
          <w:noProof/>
        </w:rPr>
        <w:t>Trade Specialised Committee on Level Playing Field for Open and Fair Competition and Sustainable Development</w:t>
      </w:r>
      <w:r w:rsidRPr="001939B2">
        <w:rPr>
          <w:noProof/>
        </w:rPr>
        <w:t xml:space="preserve">. The tasks of the </w:t>
      </w:r>
      <w:r w:rsidR="008C2104">
        <w:rPr>
          <w:noProof/>
        </w:rPr>
        <w:t xml:space="preserve">Trade Specialised Committee on Level Playing Field for Open and Fair Competition and Sustainable Development </w:t>
      </w:r>
      <w:r w:rsidRPr="001939B2">
        <w:rPr>
          <w:noProof/>
        </w:rPr>
        <w:t xml:space="preserve">are laid down in Article </w:t>
      </w:r>
      <w:r w:rsidR="008C2104">
        <w:rPr>
          <w:noProof/>
        </w:rPr>
        <w:t xml:space="preserve">8 </w:t>
      </w:r>
      <w:r w:rsidRPr="001939B2">
        <w:rPr>
          <w:noProof/>
        </w:rPr>
        <w:t xml:space="preserve">of the </w:t>
      </w:r>
      <w:r w:rsidR="00EE75FA">
        <w:rPr>
          <w:noProof/>
        </w:rPr>
        <w:t>Trade and Cooperation Agreement</w:t>
      </w:r>
      <w:r w:rsidR="00EE75FA" w:rsidRPr="001939B2">
        <w:rPr>
          <w:noProof/>
        </w:rPr>
        <w:t xml:space="preserve"> </w:t>
      </w:r>
      <w:r w:rsidRPr="001939B2">
        <w:rPr>
          <w:noProof/>
        </w:rPr>
        <w:t>and consist principally of:</w:t>
      </w:r>
    </w:p>
    <w:p w:rsidR="0099144E" w:rsidRPr="003271E6" w:rsidRDefault="008C2104" w:rsidP="000A0B15">
      <w:pPr>
        <w:pStyle w:val="Bullet1"/>
        <w:numPr>
          <w:ilvl w:val="0"/>
          <w:numId w:val="1"/>
        </w:numPr>
        <w:rPr>
          <w:noProof/>
        </w:rPr>
      </w:pPr>
      <w:r>
        <w:rPr>
          <w:noProof/>
        </w:rPr>
        <w:t>monitoring and reviewing the implementation and ensure the proper functioning of this Agreement or any supplementing agreement</w:t>
      </w:r>
      <w:r w:rsidR="0099144E" w:rsidRPr="003271E6">
        <w:rPr>
          <w:noProof/>
        </w:rPr>
        <w:t>;</w:t>
      </w:r>
    </w:p>
    <w:p w:rsidR="00B7526E" w:rsidRPr="003271E6" w:rsidRDefault="0099144E" w:rsidP="00184A8E">
      <w:pPr>
        <w:pStyle w:val="Bullet1"/>
        <w:spacing w:after="240"/>
        <w:ind w:left="1418"/>
        <w:rPr>
          <w:noProof/>
        </w:rPr>
      </w:pPr>
      <w:r w:rsidRPr="003271E6">
        <w:rPr>
          <w:noProof/>
        </w:rPr>
        <w:t xml:space="preserve">adopting decisions </w:t>
      </w:r>
      <w:r w:rsidR="008C2104">
        <w:rPr>
          <w:noProof/>
        </w:rPr>
        <w:t>in respect of all matters where this Agreement or any supplementing agreement so provides.</w:t>
      </w:r>
    </w:p>
    <w:p w:rsidR="00471639" w:rsidRPr="007F1344" w:rsidRDefault="00471639" w:rsidP="00736AA9">
      <w:pPr>
        <w:pStyle w:val="ManualHeading2"/>
        <w:rPr>
          <w:noProof/>
        </w:rPr>
      </w:pPr>
      <w:r>
        <w:rPr>
          <w:noProof/>
        </w:rPr>
        <w:t>2.3.</w:t>
      </w:r>
      <w:r>
        <w:rPr>
          <w:noProof/>
        </w:rPr>
        <w:tab/>
      </w:r>
      <w:r w:rsidRPr="00E34F04">
        <w:rPr>
          <w:noProof/>
        </w:rPr>
        <w:t xml:space="preserve">The envisaged act of </w:t>
      </w:r>
      <w:r w:rsidRPr="007F1344">
        <w:rPr>
          <w:noProof/>
        </w:rPr>
        <w:t>the</w:t>
      </w:r>
      <w:r w:rsidR="007F1344" w:rsidRPr="00FA2DA0">
        <w:rPr>
          <w:noProof/>
        </w:rPr>
        <w:t xml:space="preserve"> </w:t>
      </w:r>
      <w:r w:rsidR="008C2104">
        <w:rPr>
          <w:noProof/>
        </w:rPr>
        <w:t xml:space="preserve">Trade Specialised Committee on Level Playing Field for Open and Fair Competition and Sustainable Development </w:t>
      </w:r>
    </w:p>
    <w:p w:rsidR="00795AAF" w:rsidRDefault="00A3442D" w:rsidP="00971E21">
      <w:pPr>
        <w:rPr>
          <w:noProof/>
        </w:rPr>
      </w:pPr>
      <w:bookmarkStart w:id="1" w:name="_Hlk115171159"/>
      <w:r>
        <w:rPr>
          <w:noProof/>
        </w:rPr>
        <w:t>In accordance with Article 40</w:t>
      </w:r>
      <w:r w:rsidR="0004365C">
        <w:rPr>
          <w:noProof/>
        </w:rPr>
        <w:t>8</w:t>
      </w:r>
      <w:r>
        <w:rPr>
          <w:noProof/>
        </w:rPr>
        <w:t xml:space="preserve"> of the </w:t>
      </w:r>
      <w:r w:rsidR="0004365C">
        <w:rPr>
          <w:noProof/>
        </w:rPr>
        <w:t>T</w:t>
      </w:r>
      <w:r w:rsidR="000F1483">
        <w:rPr>
          <w:noProof/>
        </w:rPr>
        <w:t xml:space="preserve">rade and </w:t>
      </w:r>
      <w:r w:rsidR="0004365C">
        <w:rPr>
          <w:noProof/>
        </w:rPr>
        <w:t>C</w:t>
      </w:r>
      <w:r w:rsidR="000F1483">
        <w:rPr>
          <w:noProof/>
        </w:rPr>
        <w:t xml:space="preserve">ooperation </w:t>
      </w:r>
      <w:r w:rsidR="0004365C">
        <w:rPr>
          <w:noProof/>
        </w:rPr>
        <w:t>A</w:t>
      </w:r>
      <w:r w:rsidR="000F1483">
        <w:rPr>
          <w:noProof/>
        </w:rPr>
        <w:t>greement</w:t>
      </w:r>
      <w:r>
        <w:rPr>
          <w:noProof/>
        </w:rPr>
        <w:t>, for any matter arising under Article 355 (3) and Chapters 6,</w:t>
      </w:r>
      <w:r w:rsidR="006C4FA5">
        <w:rPr>
          <w:noProof/>
        </w:rPr>
        <w:t xml:space="preserve"> </w:t>
      </w:r>
      <w:r>
        <w:rPr>
          <w:noProof/>
        </w:rPr>
        <w:t>7,</w:t>
      </w:r>
      <w:r w:rsidR="006C4FA5">
        <w:rPr>
          <w:noProof/>
        </w:rPr>
        <w:t xml:space="preserve"> </w:t>
      </w:r>
      <w:r>
        <w:rPr>
          <w:noProof/>
        </w:rPr>
        <w:t xml:space="preserve">8 of the Title XI of the </w:t>
      </w:r>
      <w:r w:rsidR="0004365C">
        <w:rPr>
          <w:noProof/>
        </w:rPr>
        <w:t>T</w:t>
      </w:r>
      <w:r w:rsidR="000F1483">
        <w:rPr>
          <w:noProof/>
        </w:rPr>
        <w:t xml:space="preserve">rade and </w:t>
      </w:r>
      <w:r w:rsidR="0004365C">
        <w:rPr>
          <w:noProof/>
        </w:rPr>
        <w:t>C</w:t>
      </w:r>
      <w:r w:rsidR="000F1483">
        <w:rPr>
          <w:noProof/>
        </w:rPr>
        <w:t xml:space="preserve">ooperation </w:t>
      </w:r>
      <w:r w:rsidR="0004365C">
        <w:rPr>
          <w:noProof/>
        </w:rPr>
        <w:t>A</w:t>
      </w:r>
      <w:r w:rsidR="000F1483">
        <w:rPr>
          <w:noProof/>
        </w:rPr>
        <w:t>greement,</w:t>
      </w:r>
      <w:r>
        <w:rPr>
          <w:noProof/>
        </w:rPr>
        <w:t xml:space="preserve"> </w:t>
      </w:r>
      <w:r w:rsidR="00795AAF">
        <w:rPr>
          <w:noProof/>
        </w:rPr>
        <w:t xml:space="preserve">a Party may request consultation </w:t>
      </w:r>
      <w:r w:rsidR="00795AAF" w:rsidRPr="00795AAF">
        <w:rPr>
          <w:noProof/>
        </w:rPr>
        <w:t>with the aim of reaching a mutually satisfactory resolution</w:t>
      </w:r>
      <w:r w:rsidR="00795AAF">
        <w:rPr>
          <w:noProof/>
        </w:rPr>
        <w:t>.</w:t>
      </w:r>
    </w:p>
    <w:p w:rsidR="00A3442D" w:rsidRDefault="00795AAF" w:rsidP="00971E21">
      <w:pPr>
        <w:rPr>
          <w:noProof/>
        </w:rPr>
      </w:pPr>
      <w:r>
        <w:rPr>
          <w:noProof/>
        </w:rPr>
        <w:t xml:space="preserve">Article 409 </w:t>
      </w:r>
      <w:r w:rsidRPr="007709D7">
        <w:rPr>
          <w:noProof/>
          <w:lang w:val="en-IE"/>
        </w:rPr>
        <w:t>(1)</w:t>
      </w:r>
      <w:r w:rsidR="000F1483">
        <w:rPr>
          <w:noProof/>
          <w:lang w:val="en-IE"/>
        </w:rPr>
        <w:t xml:space="preserve"> of the Trade and Cooperation Agreement</w:t>
      </w:r>
      <w:r>
        <w:rPr>
          <w:noProof/>
          <w:lang w:val="en-IE"/>
        </w:rPr>
        <w:t xml:space="preserve"> provides that, if</w:t>
      </w:r>
      <w:r>
        <w:rPr>
          <w:noProof/>
        </w:rPr>
        <w:t xml:space="preserve"> such a matter </w:t>
      </w:r>
      <w:r w:rsidR="00A3442D">
        <w:rPr>
          <w:noProof/>
        </w:rPr>
        <w:t xml:space="preserve"> has not been satisfactorily addressed through consultations under Article</w:t>
      </w:r>
      <w:r>
        <w:rPr>
          <w:noProof/>
        </w:rPr>
        <w:t xml:space="preserve">  </w:t>
      </w:r>
      <w:r w:rsidR="00A3442D">
        <w:rPr>
          <w:noProof/>
        </w:rPr>
        <w:t>408</w:t>
      </w:r>
      <w:r>
        <w:rPr>
          <w:noProof/>
        </w:rPr>
        <w:t xml:space="preserve"> of the T</w:t>
      </w:r>
      <w:r w:rsidR="000F1483">
        <w:rPr>
          <w:noProof/>
        </w:rPr>
        <w:t xml:space="preserve">rade and </w:t>
      </w:r>
      <w:r>
        <w:rPr>
          <w:noProof/>
        </w:rPr>
        <w:lastRenderedPageBreak/>
        <w:t>C</w:t>
      </w:r>
      <w:r w:rsidR="000F1483">
        <w:rPr>
          <w:noProof/>
        </w:rPr>
        <w:t xml:space="preserve">ooperation </w:t>
      </w:r>
      <w:r>
        <w:rPr>
          <w:noProof/>
        </w:rPr>
        <w:t>A</w:t>
      </w:r>
      <w:r w:rsidR="000F1483">
        <w:rPr>
          <w:noProof/>
        </w:rPr>
        <w:t>greement</w:t>
      </w:r>
      <w:r w:rsidR="00A3442D">
        <w:rPr>
          <w:noProof/>
        </w:rPr>
        <w:t xml:space="preserve">, a Party may request that a panel of experts be convened to examine the matter. </w:t>
      </w:r>
    </w:p>
    <w:p w:rsidR="00971E21" w:rsidRDefault="00FC2C71" w:rsidP="00971E21">
      <w:pPr>
        <w:rPr>
          <w:noProof/>
        </w:rPr>
      </w:pPr>
      <w:r>
        <w:rPr>
          <w:noProof/>
        </w:rPr>
        <w:t xml:space="preserve">In accordance with Article </w:t>
      </w:r>
      <w:r w:rsidR="00594EBF">
        <w:rPr>
          <w:noProof/>
        </w:rPr>
        <w:t xml:space="preserve">409 </w:t>
      </w:r>
      <w:r w:rsidR="00413B3A">
        <w:rPr>
          <w:noProof/>
        </w:rPr>
        <w:t>(</w:t>
      </w:r>
      <w:r w:rsidR="00594EBF">
        <w:rPr>
          <w:noProof/>
        </w:rPr>
        <w:t>3</w:t>
      </w:r>
      <w:r w:rsidR="00413B3A">
        <w:rPr>
          <w:noProof/>
        </w:rPr>
        <w:t>)</w:t>
      </w:r>
      <w:r>
        <w:rPr>
          <w:noProof/>
        </w:rPr>
        <w:t xml:space="preserve"> of the </w:t>
      </w:r>
      <w:r w:rsidR="00320984">
        <w:rPr>
          <w:noProof/>
        </w:rPr>
        <w:t>T</w:t>
      </w:r>
      <w:r w:rsidR="000F1483">
        <w:rPr>
          <w:noProof/>
        </w:rPr>
        <w:t>rade and Cooperation Agreement</w:t>
      </w:r>
      <w:r>
        <w:rPr>
          <w:noProof/>
        </w:rPr>
        <w:t xml:space="preserve">, the </w:t>
      </w:r>
      <w:r w:rsidR="00971E21">
        <w:rPr>
          <w:noProof/>
        </w:rPr>
        <w:t>Trade Specialised Committee on Level Playing Field for Open and Fair Competition and Sustainable Development shall establish a list of at least 15 individuals who are willing and able to serve as panellists.</w:t>
      </w:r>
    </w:p>
    <w:p w:rsidR="00971E21" w:rsidRDefault="00971E21" w:rsidP="00971E21">
      <w:pPr>
        <w:rPr>
          <w:noProof/>
        </w:rPr>
      </w:pPr>
      <w:r>
        <w:rPr>
          <w:noProof/>
        </w:rPr>
        <w:t xml:space="preserve">Each Party shall name at least five individuals to the list to serve as panellists. The Parties shall also name at least five individuals who are not nationals of either Party and who are willing and able to serve as chairperson of a panel of experts. </w:t>
      </w:r>
    </w:p>
    <w:p w:rsidR="00971E21" w:rsidRDefault="00971E21" w:rsidP="00971E21">
      <w:pPr>
        <w:rPr>
          <w:noProof/>
        </w:rPr>
      </w:pPr>
      <w:r>
        <w:rPr>
          <w:noProof/>
        </w:rPr>
        <w:t xml:space="preserve">The Trade Specialised Committee on Level Playing Field for Open and Fair Competition and Sustainable Development shall ensure that the list is kept up to date and that the number of experts is maintained at a minimum of 15 individuals. </w:t>
      </w:r>
    </w:p>
    <w:p w:rsidR="00971E21" w:rsidRDefault="00971E21" w:rsidP="00971E21">
      <w:pPr>
        <w:rPr>
          <w:noProof/>
        </w:rPr>
      </w:pPr>
      <w:r>
        <w:rPr>
          <w:noProof/>
        </w:rPr>
        <w:t xml:space="preserve">According to paragraph 4 of Article 409 of the </w:t>
      </w:r>
      <w:r w:rsidR="00320984">
        <w:rPr>
          <w:noProof/>
        </w:rPr>
        <w:t>T</w:t>
      </w:r>
      <w:r w:rsidR="000F1483">
        <w:rPr>
          <w:noProof/>
        </w:rPr>
        <w:t xml:space="preserve">rade and </w:t>
      </w:r>
      <w:r w:rsidR="00320984">
        <w:rPr>
          <w:noProof/>
        </w:rPr>
        <w:t>C</w:t>
      </w:r>
      <w:r w:rsidR="000F1483">
        <w:rPr>
          <w:noProof/>
        </w:rPr>
        <w:t xml:space="preserve">ooperation </w:t>
      </w:r>
      <w:r w:rsidR="00320984">
        <w:rPr>
          <w:noProof/>
        </w:rPr>
        <w:t>A</w:t>
      </w:r>
      <w:r w:rsidR="000F1483">
        <w:rPr>
          <w:noProof/>
        </w:rPr>
        <w:t>greement</w:t>
      </w:r>
      <w:r>
        <w:rPr>
          <w:noProof/>
        </w:rPr>
        <w:t>, the experts proposed as panellists must have specialised knowledge or expertise in labour or environmental law, other issues addressed in the relevant Chapter or Chapters, or in the resolution of disputes arising under international agreements.</w:t>
      </w:r>
    </w:p>
    <w:p w:rsidR="00B7526E" w:rsidRDefault="00971E21" w:rsidP="007A2337">
      <w:pPr>
        <w:rPr>
          <w:noProof/>
        </w:rPr>
      </w:pPr>
      <w:r>
        <w:rPr>
          <w:noProof/>
        </w:rPr>
        <w:t xml:space="preserve">The experts proposed as panellists must serve in their individual capacities and not take instructions from any organisation or government with regard to matters related to the dispute. They must not be affiliated with or take instructions from either Party and shall not be persons who are members, officials or other servants of the Union institutions, of the Government of a Member State, or of the Government of the United Kingdom. </w:t>
      </w:r>
      <w:bookmarkEnd w:id="1"/>
    </w:p>
    <w:p w:rsidR="00471639" w:rsidRPr="00E34F04" w:rsidRDefault="00471639" w:rsidP="00471639">
      <w:pPr>
        <w:pStyle w:val="ManualHeading1"/>
        <w:rPr>
          <w:rFonts w:eastAsia="Arial Unicode MS"/>
          <w:noProof/>
        </w:rPr>
      </w:pPr>
      <w:r>
        <w:rPr>
          <w:noProof/>
        </w:rPr>
        <w:t>3.</w:t>
      </w:r>
      <w:r>
        <w:rPr>
          <w:noProof/>
        </w:rPr>
        <w:tab/>
      </w:r>
      <w:r w:rsidRPr="00E34F04">
        <w:rPr>
          <w:rFonts w:eastAsia="Arial Unicode MS"/>
          <w:noProof/>
        </w:rPr>
        <w:t>Position to be taken on the Union's behalf</w:t>
      </w:r>
    </w:p>
    <w:p w:rsidR="0069617B" w:rsidRDefault="00DF07BB" w:rsidP="00736AA9">
      <w:pPr>
        <w:rPr>
          <w:noProof/>
        </w:rPr>
      </w:pPr>
      <w:r>
        <w:rPr>
          <w:noProof/>
        </w:rPr>
        <w:t xml:space="preserve">In accordance with Article 783 of the </w:t>
      </w:r>
      <w:r w:rsidR="00320984">
        <w:rPr>
          <w:noProof/>
        </w:rPr>
        <w:t>T</w:t>
      </w:r>
      <w:r w:rsidR="000F1483">
        <w:rPr>
          <w:noProof/>
        </w:rPr>
        <w:t xml:space="preserve">rade and </w:t>
      </w:r>
      <w:r w:rsidR="00320984">
        <w:rPr>
          <w:noProof/>
        </w:rPr>
        <w:t>C</w:t>
      </w:r>
      <w:r w:rsidR="000F1483">
        <w:rPr>
          <w:noProof/>
        </w:rPr>
        <w:t xml:space="preserve">ooperation </w:t>
      </w:r>
      <w:r w:rsidR="00320984">
        <w:rPr>
          <w:noProof/>
        </w:rPr>
        <w:t>A</w:t>
      </w:r>
      <w:r w:rsidR="000F1483">
        <w:rPr>
          <w:noProof/>
        </w:rPr>
        <w:t>greement</w:t>
      </w:r>
      <w:r>
        <w:rPr>
          <w:noProof/>
        </w:rPr>
        <w:t>, t</w:t>
      </w:r>
      <w:r w:rsidR="007F1344">
        <w:rPr>
          <w:noProof/>
        </w:rPr>
        <w:t xml:space="preserve">he </w:t>
      </w:r>
      <w:r>
        <w:rPr>
          <w:noProof/>
        </w:rPr>
        <w:t xml:space="preserve">Agreement entered into force on 1 </w:t>
      </w:r>
      <w:r w:rsidR="005149F1">
        <w:rPr>
          <w:noProof/>
        </w:rPr>
        <w:t xml:space="preserve">May </w:t>
      </w:r>
      <w:r>
        <w:rPr>
          <w:noProof/>
        </w:rPr>
        <w:t>2021</w:t>
      </w:r>
      <w:r w:rsidR="007F1344">
        <w:rPr>
          <w:noProof/>
        </w:rPr>
        <w:t xml:space="preserve">. </w:t>
      </w:r>
    </w:p>
    <w:p w:rsidR="009B0ECE" w:rsidRDefault="004722C8" w:rsidP="00736AA9">
      <w:pPr>
        <w:rPr>
          <w:noProof/>
        </w:rPr>
      </w:pPr>
      <w:r>
        <w:rPr>
          <w:noProof/>
        </w:rPr>
        <w:t>Based on</w:t>
      </w:r>
      <w:r w:rsidR="009B0ECE">
        <w:rPr>
          <w:noProof/>
        </w:rPr>
        <w:t xml:space="preserve"> their respective proposals, t</w:t>
      </w:r>
      <w:r w:rsidR="001E7962">
        <w:rPr>
          <w:noProof/>
        </w:rPr>
        <w:t xml:space="preserve">he Union and the United Kingdom </w:t>
      </w:r>
      <w:r w:rsidR="009B0ECE">
        <w:rPr>
          <w:noProof/>
        </w:rPr>
        <w:t xml:space="preserve">should </w:t>
      </w:r>
      <w:r w:rsidR="00D527A6">
        <w:rPr>
          <w:noProof/>
        </w:rPr>
        <w:t xml:space="preserve">jointly </w:t>
      </w:r>
      <w:r w:rsidR="001E7962">
        <w:rPr>
          <w:noProof/>
        </w:rPr>
        <w:t xml:space="preserve">agree on </w:t>
      </w:r>
    </w:p>
    <w:p w:rsidR="001E7962" w:rsidRDefault="009B0ECE" w:rsidP="00A63FDF">
      <w:pPr>
        <w:pStyle w:val="Tiret1"/>
        <w:numPr>
          <w:ilvl w:val="0"/>
          <w:numId w:val="11"/>
        </w:numPr>
        <w:rPr>
          <w:noProof/>
        </w:rPr>
      </w:pPr>
      <w:r>
        <w:rPr>
          <w:noProof/>
        </w:rPr>
        <w:t xml:space="preserve">the </w:t>
      </w:r>
      <w:r w:rsidRPr="009B0ECE">
        <w:rPr>
          <w:noProof/>
        </w:rPr>
        <w:t>sub-list of individuals established on the basis of proposals by the Union;</w:t>
      </w:r>
    </w:p>
    <w:p w:rsidR="004722C8" w:rsidRDefault="009B0ECE" w:rsidP="00180A19">
      <w:pPr>
        <w:pStyle w:val="Tiret1"/>
        <w:rPr>
          <w:noProof/>
        </w:rPr>
      </w:pPr>
      <w:r>
        <w:rPr>
          <w:noProof/>
        </w:rPr>
        <w:t xml:space="preserve">the </w:t>
      </w:r>
      <w:r w:rsidRPr="009B0ECE">
        <w:rPr>
          <w:noProof/>
        </w:rPr>
        <w:t>sub-list of individuals established on the basis of proposals by the United Kingdom;</w:t>
      </w:r>
    </w:p>
    <w:p w:rsidR="009B0ECE" w:rsidRDefault="004722C8" w:rsidP="00180A19">
      <w:pPr>
        <w:pStyle w:val="Tiret1"/>
        <w:rPr>
          <w:noProof/>
        </w:rPr>
      </w:pPr>
      <w:r>
        <w:rPr>
          <w:noProof/>
        </w:rPr>
        <w:t xml:space="preserve">the </w:t>
      </w:r>
      <w:r w:rsidRPr="009B0ECE">
        <w:rPr>
          <w:noProof/>
        </w:rPr>
        <w:t xml:space="preserve">sub-list of individuals who are not nationals of either Party </w:t>
      </w:r>
      <w:r>
        <w:rPr>
          <w:noProof/>
        </w:rPr>
        <w:t xml:space="preserve">and </w:t>
      </w:r>
      <w:r w:rsidRPr="009B0ECE">
        <w:rPr>
          <w:noProof/>
        </w:rPr>
        <w:t xml:space="preserve">who </w:t>
      </w:r>
      <w:r>
        <w:rPr>
          <w:noProof/>
        </w:rPr>
        <w:t xml:space="preserve">should </w:t>
      </w:r>
      <w:r w:rsidRPr="009B0ECE">
        <w:rPr>
          <w:noProof/>
        </w:rPr>
        <w:t xml:space="preserve">serve as chairperson to the </w:t>
      </w:r>
      <w:r w:rsidR="00971E21">
        <w:rPr>
          <w:noProof/>
        </w:rPr>
        <w:t>panel of experts</w:t>
      </w:r>
      <w:r>
        <w:rPr>
          <w:noProof/>
        </w:rPr>
        <w:t xml:space="preserve"> </w:t>
      </w:r>
    </w:p>
    <w:p w:rsidR="007F1344" w:rsidRDefault="007F374B" w:rsidP="00736AA9">
      <w:pPr>
        <w:rPr>
          <w:noProof/>
        </w:rPr>
      </w:pPr>
      <w:r>
        <w:rPr>
          <w:noProof/>
        </w:rPr>
        <w:t>T</w:t>
      </w:r>
      <w:r w:rsidR="007F1344">
        <w:rPr>
          <w:noProof/>
        </w:rPr>
        <w:t xml:space="preserve">he position of the Union should therefore be to support the adoption of a decision by the </w:t>
      </w:r>
      <w:r w:rsidR="00971E21">
        <w:rPr>
          <w:noProof/>
        </w:rPr>
        <w:t>Trade Specialised Committee on Level Playing Field for Open and Fair Competition and Sustainable Development</w:t>
      </w:r>
      <w:r w:rsidR="007F1344">
        <w:rPr>
          <w:noProof/>
        </w:rPr>
        <w:t xml:space="preserve"> pursuant to Article </w:t>
      </w:r>
      <w:r w:rsidR="00971E21">
        <w:rPr>
          <w:noProof/>
        </w:rPr>
        <w:t>409</w:t>
      </w:r>
      <w:r w:rsidR="007F1344">
        <w:rPr>
          <w:noProof/>
        </w:rPr>
        <w:t xml:space="preserve"> of the </w:t>
      </w:r>
      <w:r w:rsidR="00985509">
        <w:rPr>
          <w:noProof/>
        </w:rPr>
        <w:t>T</w:t>
      </w:r>
      <w:r w:rsidR="000F1483">
        <w:rPr>
          <w:noProof/>
        </w:rPr>
        <w:t xml:space="preserve">rade and </w:t>
      </w:r>
      <w:r w:rsidR="00985509">
        <w:rPr>
          <w:noProof/>
        </w:rPr>
        <w:t>C</w:t>
      </w:r>
      <w:r w:rsidR="000F1483">
        <w:rPr>
          <w:noProof/>
        </w:rPr>
        <w:t xml:space="preserve">ooperation </w:t>
      </w:r>
      <w:r w:rsidR="00985509">
        <w:rPr>
          <w:noProof/>
        </w:rPr>
        <w:t>A</w:t>
      </w:r>
      <w:r w:rsidR="000F1483">
        <w:rPr>
          <w:noProof/>
        </w:rPr>
        <w:t>greement</w:t>
      </w:r>
      <w:r w:rsidR="00EE75FA">
        <w:rPr>
          <w:noProof/>
        </w:rPr>
        <w:t xml:space="preserve"> </w:t>
      </w:r>
      <w:r w:rsidR="007F1344">
        <w:rPr>
          <w:noProof/>
        </w:rPr>
        <w:t xml:space="preserve">establishing </w:t>
      </w:r>
      <w:r w:rsidR="001E7962">
        <w:rPr>
          <w:noProof/>
        </w:rPr>
        <w:t>a</w:t>
      </w:r>
      <w:r w:rsidR="007F1344">
        <w:rPr>
          <w:noProof/>
        </w:rPr>
        <w:t xml:space="preserve"> </w:t>
      </w:r>
      <w:r>
        <w:rPr>
          <w:noProof/>
        </w:rPr>
        <w:t xml:space="preserve">list of </w:t>
      </w:r>
      <w:r w:rsidR="007A7764">
        <w:rPr>
          <w:noProof/>
        </w:rPr>
        <w:t>individuals</w:t>
      </w:r>
      <w:r w:rsidR="001E7962">
        <w:rPr>
          <w:noProof/>
        </w:rPr>
        <w:t xml:space="preserve"> willing and able to serve as </w:t>
      </w:r>
      <w:r w:rsidR="00971E21">
        <w:rPr>
          <w:noProof/>
        </w:rPr>
        <w:t xml:space="preserve">panellists </w:t>
      </w:r>
      <w:r w:rsidR="001E7962">
        <w:rPr>
          <w:noProof/>
        </w:rPr>
        <w:t>under the</w:t>
      </w:r>
      <w:r w:rsidR="00A3442D">
        <w:rPr>
          <w:noProof/>
        </w:rPr>
        <w:t xml:space="preserve"> </w:t>
      </w:r>
      <w:r w:rsidR="001E7962">
        <w:rPr>
          <w:noProof/>
        </w:rPr>
        <w:t>Agreement</w:t>
      </w:r>
      <w:r w:rsidR="00A3442D">
        <w:rPr>
          <w:noProof/>
        </w:rPr>
        <w:t xml:space="preserve"> and for matters arising under Article 355 (3) and Chapters 6,7,8 of the Title XI of the Trade and Cooperation Agreement</w:t>
      </w:r>
      <w:r w:rsidR="007F1344">
        <w:rPr>
          <w:noProof/>
        </w:rPr>
        <w:t>, in line with the draft decision attached to this proposal.</w:t>
      </w:r>
    </w:p>
    <w:p w:rsidR="00471639" w:rsidRPr="00E34F04" w:rsidRDefault="00471639" w:rsidP="00736AA9">
      <w:pPr>
        <w:pStyle w:val="ManualHeading1"/>
        <w:rPr>
          <w:noProof/>
        </w:rPr>
      </w:pPr>
      <w:r>
        <w:rPr>
          <w:noProof/>
        </w:rPr>
        <w:t>4.</w:t>
      </w:r>
      <w:r>
        <w:rPr>
          <w:noProof/>
        </w:rPr>
        <w:tab/>
      </w:r>
      <w:r w:rsidRPr="00E34F04">
        <w:rPr>
          <w:noProof/>
        </w:rPr>
        <w:t>Legal basis</w:t>
      </w:r>
    </w:p>
    <w:p w:rsidR="000B3D79" w:rsidRDefault="005149F1" w:rsidP="003E416F">
      <w:pPr>
        <w:rPr>
          <w:noProof/>
        </w:rPr>
      </w:pPr>
      <w:r w:rsidRPr="005149F1">
        <w:rPr>
          <w:noProof/>
        </w:rPr>
        <w:t xml:space="preserve">The legal bases </w:t>
      </w:r>
      <w:r>
        <w:rPr>
          <w:noProof/>
        </w:rPr>
        <w:t xml:space="preserve">in the Treaty on the Functioning of the European Union </w:t>
      </w:r>
      <w:r w:rsidRPr="005149F1">
        <w:rPr>
          <w:noProof/>
        </w:rPr>
        <w:t xml:space="preserve">are those that govern the areas in which </w:t>
      </w:r>
      <w:r>
        <w:rPr>
          <w:noProof/>
        </w:rPr>
        <w:t>dispute settlement procedure may arise, namely</w:t>
      </w:r>
      <w:r w:rsidRPr="005149F1">
        <w:rPr>
          <w:noProof/>
        </w:rPr>
        <w:t xml:space="preserve"> </w:t>
      </w:r>
    </w:p>
    <w:p w:rsidR="000B3D79" w:rsidRPr="000F1483" w:rsidRDefault="000F03DC" w:rsidP="00180A19">
      <w:pPr>
        <w:pStyle w:val="Bullet1"/>
        <w:rPr>
          <w:noProof/>
          <w:lang w:val="fr-FR"/>
        </w:rPr>
      </w:pPr>
      <w:r w:rsidRPr="008F105D">
        <w:rPr>
          <w:noProof/>
        </w:rPr>
        <w:t>Article 207(</w:t>
      </w:r>
      <w:r>
        <w:rPr>
          <w:noProof/>
        </w:rPr>
        <w:t>4</w:t>
      </w:r>
      <w:r w:rsidRPr="008F105D">
        <w:rPr>
          <w:noProof/>
        </w:rPr>
        <w:t>)</w:t>
      </w:r>
      <w:r>
        <w:rPr>
          <w:noProof/>
        </w:rPr>
        <w:t>, first subparagraph,</w:t>
      </w:r>
      <w:r w:rsidRPr="008F105D">
        <w:rPr>
          <w:noProof/>
        </w:rPr>
        <w:t xml:space="preserve"> </w:t>
      </w:r>
      <w:r w:rsidR="000F1483" w:rsidRPr="000F1483">
        <w:rPr>
          <w:noProof/>
          <w:lang w:val="fr-FR"/>
        </w:rPr>
        <w:t xml:space="preserve">TFEU </w:t>
      </w:r>
      <w:r w:rsidR="000B3D79" w:rsidRPr="000F1483">
        <w:rPr>
          <w:noProof/>
          <w:lang w:val="fr-FR"/>
        </w:rPr>
        <w:t>(common commercial policy),</w:t>
      </w:r>
      <w:r w:rsidR="005149F1" w:rsidRPr="000F1483">
        <w:rPr>
          <w:noProof/>
          <w:lang w:val="fr-FR"/>
        </w:rPr>
        <w:t xml:space="preserve"> </w:t>
      </w:r>
    </w:p>
    <w:p w:rsidR="003E416F" w:rsidRPr="00E34F04" w:rsidRDefault="005149F1" w:rsidP="003E416F">
      <w:pPr>
        <w:rPr>
          <w:noProof/>
        </w:rPr>
      </w:pPr>
      <w:r>
        <w:rPr>
          <w:noProof/>
        </w:rPr>
        <w:lastRenderedPageBreak/>
        <w:t xml:space="preserve">in conjunction with </w:t>
      </w:r>
      <w:r w:rsidR="003E416F" w:rsidRPr="00E34F04">
        <w:rPr>
          <w:noProof/>
        </w:rPr>
        <w:t xml:space="preserve">Article 218(9) </w:t>
      </w:r>
      <w:r w:rsidR="000B3D79">
        <w:rPr>
          <w:noProof/>
        </w:rPr>
        <w:t>TFEU</w:t>
      </w:r>
      <w:r w:rsidR="00771B81">
        <w:rPr>
          <w:noProof/>
        </w:rPr>
        <w:t xml:space="preserve"> that</w:t>
      </w:r>
      <w:r w:rsidR="003E416F" w:rsidRPr="00E34F04">
        <w:rPr>
          <w:noProof/>
        </w:rPr>
        <w:t xml:space="preserve"> provides for decisions establishing ‘</w:t>
      </w:r>
      <w:r w:rsidR="003E416F" w:rsidRPr="00C1022F">
        <w:rPr>
          <w:i/>
          <w:noProof/>
        </w:rPr>
        <w:t>the positions to be adopted on the Union’s behalf in a body set up by an agreement, when that body is called upon to adopt acts having legal effects, with the exception of acts supplementing or amending the institutional framework of the agreement</w:t>
      </w:r>
      <w:r w:rsidR="003E416F" w:rsidRPr="004E025D">
        <w:rPr>
          <w:noProof/>
        </w:rPr>
        <w:t>.’</w:t>
      </w:r>
    </w:p>
    <w:p w:rsidR="003E416F" w:rsidRPr="001E214F" w:rsidRDefault="003E416F" w:rsidP="003E416F">
      <w:pPr>
        <w:rPr>
          <w:noProof/>
        </w:rPr>
      </w:pPr>
      <w:r w:rsidRPr="00E62915">
        <w:rPr>
          <w:noProof/>
        </w:rPr>
        <w:t xml:space="preserve">The </w:t>
      </w:r>
      <w:r>
        <w:rPr>
          <w:noProof/>
        </w:rPr>
        <w:t>decision</w:t>
      </w:r>
      <w:r w:rsidRPr="00E62915">
        <w:rPr>
          <w:noProof/>
        </w:rPr>
        <w:t xml:space="preserve"> which the </w:t>
      </w:r>
      <w:r w:rsidR="00A3442D">
        <w:rPr>
          <w:noProof/>
        </w:rPr>
        <w:t>Trade Specialised Committee on Level Playing Field for Open and Fair Competition and Sustainable Development</w:t>
      </w:r>
      <w:r w:rsidRPr="00E62915">
        <w:rPr>
          <w:noProof/>
        </w:rPr>
        <w:t xml:space="preserve"> is called </w:t>
      </w:r>
      <w:r w:rsidRPr="00E34F04">
        <w:rPr>
          <w:noProof/>
        </w:rPr>
        <w:t>upon to adopt</w:t>
      </w:r>
      <w:r w:rsidR="00C1022F">
        <w:rPr>
          <w:noProof/>
        </w:rPr>
        <w:t>,</w:t>
      </w:r>
      <w:r w:rsidRPr="00E34F04">
        <w:rPr>
          <w:noProof/>
        </w:rPr>
        <w:t xml:space="preserve"> constitutes an act having legal effects. The envisaged act will be binding </w:t>
      </w:r>
      <w:r>
        <w:rPr>
          <w:noProof/>
        </w:rPr>
        <w:t>on Parties</w:t>
      </w:r>
      <w:r w:rsidR="00485618">
        <w:rPr>
          <w:noProof/>
        </w:rPr>
        <w:t>’</w:t>
      </w:r>
      <w:r>
        <w:rPr>
          <w:noProof/>
        </w:rPr>
        <w:t xml:space="preserve"> </w:t>
      </w:r>
      <w:r w:rsidRPr="00E34F04">
        <w:rPr>
          <w:noProof/>
        </w:rPr>
        <w:t xml:space="preserve">law in accordance with Article </w:t>
      </w:r>
      <w:r w:rsidR="00AB21AE">
        <w:rPr>
          <w:noProof/>
        </w:rPr>
        <w:t>10</w:t>
      </w:r>
      <w:r w:rsidR="007A2337">
        <w:rPr>
          <w:noProof/>
        </w:rPr>
        <w:t>(</w:t>
      </w:r>
      <w:r w:rsidR="00AB21AE">
        <w:rPr>
          <w:noProof/>
        </w:rPr>
        <w:t>1</w:t>
      </w:r>
      <w:r w:rsidR="007A2337">
        <w:rPr>
          <w:noProof/>
        </w:rPr>
        <w:t xml:space="preserve">) of the </w:t>
      </w:r>
      <w:r w:rsidR="000F1483">
        <w:rPr>
          <w:noProof/>
        </w:rPr>
        <w:t xml:space="preserve">Trade and Cooperation </w:t>
      </w:r>
      <w:r w:rsidR="007A2337">
        <w:rPr>
          <w:noProof/>
        </w:rPr>
        <w:t>Agreement.</w:t>
      </w:r>
    </w:p>
    <w:p w:rsidR="000B3D79" w:rsidRDefault="003E416F" w:rsidP="000B3D79">
      <w:pPr>
        <w:rPr>
          <w:noProof/>
        </w:rPr>
      </w:pPr>
      <w:r w:rsidRPr="00E34F04">
        <w:rPr>
          <w:noProof/>
        </w:rPr>
        <w:t>The envisaged act does not supplement or amend the institutional framework of the Agreement.</w:t>
      </w:r>
    </w:p>
    <w:p w:rsidR="000B3D79" w:rsidRPr="00FC3569" w:rsidRDefault="000B3D79" w:rsidP="000B3D79">
      <w:pPr>
        <w:rPr>
          <w:noProof/>
        </w:rPr>
      </w:pPr>
      <w:r w:rsidRPr="00FC3569">
        <w:rPr>
          <w:noProof/>
        </w:rPr>
        <w:t>The objective and content of the envisaged act relate to establishing the Union’s position on</w:t>
      </w:r>
      <w:r>
        <w:rPr>
          <w:noProof/>
        </w:rPr>
        <w:t xml:space="preserve"> the list of persons who are willing and able to serve as </w:t>
      </w:r>
      <w:r w:rsidR="00A3442D">
        <w:rPr>
          <w:noProof/>
        </w:rPr>
        <w:t>panellists</w:t>
      </w:r>
      <w:r>
        <w:rPr>
          <w:noProof/>
        </w:rPr>
        <w:t xml:space="preserve"> under the </w:t>
      </w:r>
      <w:r w:rsidR="00A3442D">
        <w:rPr>
          <w:noProof/>
        </w:rPr>
        <w:t xml:space="preserve">Level Playing Field Title of the </w:t>
      </w:r>
      <w:r>
        <w:rPr>
          <w:noProof/>
        </w:rPr>
        <w:t>Trade and Cooperation Agreement.</w:t>
      </w:r>
      <w:r w:rsidRPr="00FC3569">
        <w:rPr>
          <w:noProof/>
        </w:rPr>
        <w:t xml:space="preserve"> </w:t>
      </w:r>
    </w:p>
    <w:p w:rsidR="003E416F" w:rsidRDefault="003E416F" w:rsidP="003E416F">
      <w:pPr>
        <w:rPr>
          <w:noProof/>
        </w:rPr>
      </w:pPr>
      <w:r w:rsidRPr="00E34F04">
        <w:rPr>
          <w:noProof/>
        </w:rPr>
        <w:t>Therefore, the procedural legal basis for the proposed decision is Article 218(9) TFEU.</w:t>
      </w:r>
    </w:p>
    <w:p w:rsidR="00471639" w:rsidRPr="00E34F04" w:rsidRDefault="00471639" w:rsidP="00736AA9">
      <w:pPr>
        <w:pStyle w:val="ManualHeading1"/>
        <w:rPr>
          <w:noProof/>
        </w:rPr>
      </w:pPr>
      <w:r>
        <w:rPr>
          <w:noProof/>
        </w:rPr>
        <w:t>5.</w:t>
      </w:r>
      <w:r>
        <w:rPr>
          <w:noProof/>
        </w:rPr>
        <w:tab/>
      </w:r>
      <w:r w:rsidRPr="00E34F04">
        <w:rPr>
          <w:noProof/>
        </w:rPr>
        <w:t>Publication of the envisaged act</w:t>
      </w:r>
    </w:p>
    <w:p w:rsidR="00471639" w:rsidRDefault="00765A5C" w:rsidP="00736AA9">
      <w:pPr>
        <w:rPr>
          <w:noProof/>
        </w:rPr>
      </w:pPr>
      <w:r w:rsidRPr="00FC3569">
        <w:rPr>
          <w:noProof/>
        </w:rPr>
        <w:t xml:space="preserve">As the purpose of the decision of the </w:t>
      </w:r>
      <w:r w:rsidR="00A3442D">
        <w:rPr>
          <w:noProof/>
        </w:rPr>
        <w:t>Trade Specialised Committee on Level Playing Field for Open and Fair Competition and Sustainable Development</w:t>
      </w:r>
      <w:r w:rsidR="00A3442D" w:rsidRPr="00E62915">
        <w:rPr>
          <w:noProof/>
        </w:rPr>
        <w:t xml:space="preserve"> </w:t>
      </w:r>
      <w:r w:rsidRPr="00FC3569">
        <w:rPr>
          <w:noProof/>
        </w:rPr>
        <w:t xml:space="preserve">is </w:t>
      </w:r>
      <w:r>
        <w:rPr>
          <w:noProof/>
        </w:rPr>
        <w:t xml:space="preserve">to </w:t>
      </w:r>
      <w:r w:rsidR="004B7BD6">
        <w:rPr>
          <w:noProof/>
        </w:rPr>
        <w:t xml:space="preserve">establish a list of </w:t>
      </w:r>
      <w:r w:rsidR="0069617B">
        <w:rPr>
          <w:noProof/>
        </w:rPr>
        <w:t>individuals</w:t>
      </w:r>
      <w:r w:rsidR="004B7BD6">
        <w:rPr>
          <w:noProof/>
        </w:rPr>
        <w:t xml:space="preserve"> who are willing and able to serve as members of </w:t>
      </w:r>
      <w:r w:rsidR="00485618">
        <w:rPr>
          <w:noProof/>
        </w:rPr>
        <w:t>panel of experts</w:t>
      </w:r>
      <w:r w:rsidR="004B7BD6">
        <w:rPr>
          <w:noProof/>
        </w:rPr>
        <w:t xml:space="preserve"> under the </w:t>
      </w:r>
      <w:r w:rsidR="00EE75FA">
        <w:rPr>
          <w:noProof/>
        </w:rPr>
        <w:t>Trade and Cooperation Agreement</w:t>
      </w:r>
      <w:r w:rsidRPr="00FC3569">
        <w:rPr>
          <w:noProof/>
        </w:rPr>
        <w:t xml:space="preserve">, it is appropriate to publish the decision of the </w:t>
      </w:r>
      <w:r w:rsidR="00A3442D">
        <w:rPr>
          <w:noProof/>
        </w:rPr>
        <w:t>Trade Specialised Committee on Level Playing Field for Open and Fair Competition and Sustainable Development</w:t>
      </w:r>
      <w:r w:rsidR="00A3442D" w:rsidRPr="00E62915">
        <w:rPr>
          <w:noProof/>
        </w:rPr>
        <w:t xml:space="preserve"> </w:t>
      </w:r>
      <w:r w:rsidRPr="00FC3569">
        <w:rPr>
          <w:noProof/>
        </w:rPr>
        <w:t>in the Official Journal of the European Union after its adoption.</w:t>
      </w:r>
    </w:p>
    <w:p w:rsidR="00471639" w:rsidRPr="00FD40BA" w:rsidRDefault="00471639" w:rsidP="00FD40BA">
      <w:pPr>
        <w:rPr>
          <w:noProof/>
        </w:rPr>
        <w:sectPr w:rsidR="00471639" w:rsidRPr="00FD40BA" w:rsidSect="000C29EE">
          <w:headerReference w:type="even" r:id="rId11"/>
          <w:footerReference w:type="even" r:id="rId12"/>
          <w:footerReference w:type="default" r:id="rId13"/>
          <w:headerReference w:type="first" r:id="rId14"/>
          <w:footerReference w:type="first" r:id="rId15"/>
          <w:pgSz w:w="11907" w:h="16839"/>
          <w:pgMar w:top="1134" w:right="1417" w:bottom="1134" w:left="1417" w:header="709" w:footer="709" w:gutter="0"/>
          <w:cols w:space="708"/>
          <w:docGrid w:linePitch="360"/>
        </w:sectPr>
      </w:pPr>
    </w:p>
    <w:p w:rsidR="001B168E" w:rsidRDefault="008E468C">
      <w:pPr>
        <w:pStyle w:val="Rfrenceinterinstitutionnelle"/>
        <w:rPr>
          <w:noProof/>
        </w:rPr>
      </w:pPr>
      <w:r>
        <w:rPr>
          <w:noProof/>
        </w:rPr>
        <w:lastRenderedPageBreak/>
        <w:t>2026/0055 (NLE)</w:t>
      </w:r>
    </w:p>
    <w:p w:rsidR="00284FDF" w:rsidRDefault="006868EC" w:rsidP="006868EC">
      <w:pPr>
        <w:pStyle w:val="Statut"/>
        <w:rPr>
          <w:noProof/>
        </w:rPr>
      </w:pPr>
      <w:r w:rsidRPr="006868EC">
        <w:rPr>
          <w:noProof/>
        </w:rPr>
        <w:t>Proposal for a</w:t>
      </w:r>
    </w:p>
    <w:p w:rsidR="00471639" w:rsidRDefault="006868EC" w:rsidP="006868EC">
      <w:pPr>
        <w:pStyle w:val="Typedudocument"/>
        <w:rPr>
          <w:noProof/>
        </w:rPr>
      </w:pPr>
      <w:r w:rsidRPr="006868EC">
        <w:rPr>
          <w:noProof/>
        </w:rPr>
        <w:t>COUNCIL DECISION</w:t>
      </w:r>
    </w:p>
    <w:p w:rsidR="002914F5" w:rsidRPr="002914F5" w:rsidRDefault="006868EC" w:rsidP="006868EC">
      <w:pPr>
        <w:pStyle w:val="Titreobjet"/>
        <w:rPr>
          <w:noProof/>
        </w:rPr>
      </w:pPr>
      <w:r w:rsidRPr="006868EC">
        <w:rPr>
          <w:noProof/>
        </w:rPr>
        <w:t>on the position to be taken on behalf of the European Union within the Trade Specialised Committee on Level Playing Field for Open and Fair Competition and Sustainable Development established by the Trade and Cooperation Agreement between the European Union and the European Atomic Energy Community, of the one part, and the United Kingdom of Great Britain and Northern Ireland, of the other part as regards the adoption of a decision to establish a list of individuals who are willing and able to serve as members of the panel of experts established under Article 409 of the Trade and Cooperation Agreement</w:t>
      </w:r>
    </w:p>
    <w:p w:rsidR="00471639" w:rsidRPr="00E34F04" w:rsidRDefault="00471639" w:rsidP="00BE7CB9">
      <w:pPr>
        <w:pStyle w:val="Institutionquiagit"/>
        <w:rPr>
          <w:b/>
          <w:noProof/>
        </w:rPr>
      </w:pPr>
      <w:r w:rsidRPr="00E34F04">
        <w:rPr>
          <w:b/>
          <w:noProof/>
        </w:rPr>
        <w:t>THE COUNCIL OF THE EUROPEAN UNION,</w:t>
      </w:r>
    </w:p>
    <w:p w:rsidR="00A67D39" w:rsidRPr="00FC3569" w:rsidRDefault="00A67D39" w:rsidP="00A67D39">
      <w:pPr>
        <w:rPr>
          <w:noProof/>
        </w:rPr>
      </w:pPr>
      <w:r w:rsidRPr="00FC3569">
        <w:rPr>
          <w:noProof/>
        </w:rPr>
        <w:t xml:space="preserve">Having regard to the Treaty on the Functioning of the European Union, and in particular </w:t>
      </w:r>
      <w:r w:rsidR="008F105D" w:rsidRPr="008F105D">
        <w:rPr>
          <w:noProof/>
        </w:rPr>
        <w:t>Article 207(</w:t>
      </w:r>
      <w:r w:rsidR="000F03DC">
        <w:rPr>
          <w:noProof/>
        </w:rPr>
        <w:t>4</w:t>
      </w:r>
      <w:r w:rsidR="008F105D" w:rsidRPr="008F105D">
        <w:rPr>
          <w:noProof/>
        </w:rPr>
        <w:t>)</w:t>
      </w:r>
      <w:r w:rsidR="008F105D">
        <w:rPr>
          <w:noProof/>
        </w:rPr>
        <w:t>,</w:t>
      </w:r>
      <w:r w:rsidR="000F03DC">
        <w:rPr>
          <w:noProof/>
        </w:rPr>
        <w:t xml:space="preserve"> first subparagraph,</w:t>
      </w:r>
      <w:r w:rsidR="008F105D" w:rsidRPr="008F105D">
        <w:rPr>
          <w:noProof/>
        </w:rPr>
        <w:t xml:space="preserve"> </w:t>
      </w:r>
      <w:r w:rsidR="008F105D">
        <w:rPr>
          <w:noProof/>
        </w:rPr>
        <w:t xml:space="preserve">in conjunction with </w:t>
      </w:r>
      <w:r w:rsidRPr="00FC3569">
        <w:rPr>
          <w:noProof/>
        </w:rPr>
        <w:t>Article 218(9) thereof,</w:t>
      </w:r>
    </w:p>
    <w:p w:rsidR="00A67D39" w:rsidRPr="00FC3569" w:rsidRDefault="00A67D39" w:rsidP="00A67D39">
      <w:pPr>
        <w:rPr>
          <w:noProof/>
        </w:rPr>
      </w:pPr>
      <w:r w:rsidRPr="00FC3569">
        <w:rPr>
          <w:noProof/>
        </w:rPr>
        <w:t>Having regard to the proposal from the European Commission,</w:t>
      </w:r>
    </w:p>
    <w:p w:rsidR="00A67D39" w:rsidRDefault="00A67D39" w:rsidP="00A67D39">
      <w:pPr>
        <w:rPr>
          <w:noProof/>
        </w:rPr>
      </w:pPr>
      <w:r w:rsidRPr="00FC3569">
        <w:rPr>
          <w:noProof/>
        </w:rPr>
        <w:t>Whereas:</w:t>
      </w:r>
    </w:p>
    <w:p w:rsidR="006C4FA5" w:rsidRPr="003267C5" w:rsidRDefault="006C4FA5" w:rsidP="0040396F">
      <w:pPr>
        <w:pStyle w:val="ManualConsidrant"/>
        <w:rPr>
          <w:noProof/>
        </w:rPr>
      </w:pPr>
      <w:r>
        <w:rPr>
          <w:noProof/>
        </w:rPr>
        <w:t>(1)</w:t>
      </w:r>
      <w:r>
        <w:rPr>
          <w:noProof/>
        </w:rPr>
        <w:tab/>
      </w:r>
      <w:r w:rsidRPr="003267C5">
        <w:rPr>
          <w:noProof/>
        </w:rPr>
        <w:t xml:space="preserve">Pursuant </w:t>
      </w:r>
      <w:r>
        <w:rPr>
          <w:noProof/>
        </w:rPr>
        <w:t>to 409(3)</w:t>
      </w:r>
      <w:r w:rsidRPr="003267C5">
        <w:rPr>
          <w:noProof/>
        </w:rPr>
        <w:t xml:space="preserve"> of the </w:t>
      </w:r>
      <w:r>
        <w:rPr>
          <w:noProof/>
        </w:rPr>
        <w:t>Trade and Cooperation Agreement</w:t>
      </w:r>
      <w:r w:rsidRPr="003267C5">
        <w:rPr>
          <w:noProof/>
        </w:rPr>
        <w:t xml:space="preserve">, the </w:t>
      </w:r>
      <w:r>
        <w:rPr>
          <w:noProof/>
        </w:rPr>
        <w:t xml:space="preserve">Trade Specialised Committee on Level Playing Field for Open and Fair Competition and Sustainable Development </w:t>
      </w:r>
      <w:r w:rsidR="00A43140">
        <w:rPr>
          <w:noProof/>
        </w:rPr>
        <w:t xml:space="preserve">is to </w:t>
      </w:r>
      <w:r>
        <w:rPr>
          <w:noProof/>
        </w:rPr>
        <w:t>establish a list of at least 15 individuals who are willing and able to serve as panellists</w:t>
      </w:r>
      <w:r w:rsidR="008D0EC4">
        <w:rPr>
          <w:noProof/>
        </w:rPr>
        <w:t xml:space="preserve"> on matters arising under Article 355(3) and Chapters 6, 7, and 8 of the Trade and Cooperation Agreement</w:t>
      </w:r>
      <w:r>
        <w:rPr>
          <w:noProof/>
        </w:rPr>
        <w:t>.</w:t>
      </w:r>
    </w:p>
    <w:p w:rsidR="006C4FA5" w:rsidRDefault="006C4FA5" w:rsidP="006868EC">
      <w:pPr>
        <w:pStyle w:val="ManualConsidrant"/>
        <w:rPr>
          <w:noProof/>
        </w:rPr>
      </w:pPr>
      <w:r>
        <w:rPr>
          <w:noProof/>
        </w:rPr>
        <w:t>(2)</w:t>
      </w:r>
      <w:r>
        <w:rPr>
          <w:noProof/>
        </w:rPr>
        <w:tab/>
      </w:r>
      <w:r w:rsidRPr="003267C5">
        <w:rPr>
          <w:noProof/>
        </w:rPr>
        <w:t xml:space="preserve">Each </w:t>
      </w:r>
      <w:r>
        <w:rPr>
          <w:noProof/>
        </w:rPr>
        <w:t>Party</w:t>
      </w:r>
      <w:r w:rsidRPr="003267C5">
        <w:rPr>
          <w:noProof/>
        </w:rPr>
        <w:t xml:space="preserve"> </w:t>
      </w:r>
      <w:r>
        <w:rPr>
          <w:noProof/>
        </w:rPr>
        <w:t>sh</w:t>
      </w:r>
      <w:r w:rsidR="00A43140">
        <w:rPr>
          <w:noProof/>
        </w:rPr>
        <w:t>ould</w:t>
      </w:r>
      <w:r w:rsidRPr="003267C5">
        <w:rPr>
          <w:noProof/>
        </w:rPr>
        <w:t xml:space="preserve"> </w:t>
      </w:r>
      <w:r>
        <w:rPr>
          <w:noProof/>
        </w:rPr>
        <w:t>name</w:t>
      </w:r>
      <w:r w:rsidRPr="003267C5">
        <w:rPr>
          <w:noProof/>
        </w:rPr>
        <w:t xml:space="preserve"> at least five individuals</w:t>
      </w:r>
      <w:r>
        <w:rPr>
          <w:noProof/>
        </w:rPr>
        <w:t xml:space="preserve"> to serve as panellists. The Parties sh</w:t>
      </w:r>
      <w:r w:rsidR="00A43140">
        <w:rPr>
          <w:noProof/>
        </w:rPr>
        <w:t>ould</w:t>
      </w:r>
      <w:r>
        <w:rPr>
          <w:noProof/>
        </w:rPr>
        <w:t xml:space="preserve"> also name at least five individuals who are not nationals of either Party and who are willing and able to serve as chairperson of a panel of experts. </w:t>
      </w:r>
    </w:p>
    <w:p w:rsidR="006C4FA5" w:rsidRDefault="006C4FA5" w:rsidP="006868EC">
      <w:pPr>
        <w:pStyle w:val="ManualConsidrant"/>
        <w:rPr>
          <w:noProof/>
        </w:rPr>
      </w:pPr>
      <w:r>
        <w:rPr>
          <w:noProof/>
        </w:rPr>
        <w:t>(3)</w:t>
      </w:r>
      <w:r>
        <w:rPr>
          <w:noProof/>
        </w:rPr>
        <w:tab/>
      </w:r>
      <w:r w:rsidRPr="00615AF2">
        <w:rPr>
          <w:noProof/>
        </w:rPr>
        <w:t>The Trade Specialised Committee on Level Playing Field for Open and Fair Competition and Sustainable Development sh</w:t>
      </w:r>
      <w:r w:rsidR="00A43140">
        <w:rPr>
          <w:noProof/>
        </w:rPr>
        <w:t>ould</w:t>
      </w:r>
      <w:r w:rsidRPr="00615AF2">
        <w:rPr>
          <w:noProof/>
        </w:rPr>
        <w:t xml:space="preserve"> ensure that the list is kept up to date and that the number of experts is maintained at a minimum of 15 individuals. </w:t>
      </w:r>
    </w:p>
    <w:p w:rsidR="006C4FA5" w:rsidRDefault="009D0192" w:rsidP="006868EC">
      <w:pPr>
        <w:pStyle w:val="ManualConsidrant"/>
        <w:rPr>
          <w:noProof/>
        </w:rPr>
      </w:pPr>
      <w:r>
        <w:rPr>
          <w:noProof/>
        </w:rPr>
        <w:t>(4)</w:t>
      </w:r>
      <w:r>
        <w:rPr>
          <w:noProof/>
        </w:rPr>
        <w:tab/>
        <w:t xml:space="preserve">In </w:t>
      </w:r>
      <w:r w:rsidR="000F1483">
        <w:rPr>
          <w:noProof/>
        </w:rPr>
        <w:t>accordance</w:t>
      </w:r>
      <w:r w:rsidR="006C4FA5">
        <w:rPr>
          <w:noProof/>
        </w:rPr>
        <w:t xml:space="preserve"> </w:t>
      </w:r>
      <w:r w:rsidR="00384A33">
        <w:rPr>
          <w:noProof/>
        </w:rPr>
        <w:t>with</w:t>
      </w:r>
      <w:r w:rsidR="006C4FA5">
        <w:rPr>
          <w:noProof/>
        </w:rPr>
        <w:t xml:space="preserve"> Article 409(4) of the Trade and Cooperation Agreement, the experts proposed as panellists </w:t>
      </w:r>
      <w:r w:rsidR="00A43140">
        <w:rPr>
          <w:noProof/>
        </w:rPr>
        <w:t>should</w:t>
      </w:r>
      <w:r w:rsidR="006C4FA5">
        <w:rPr>
          <w:noProof/>
        </w:rPr>
        <w:t xml:space="preserve"> have specialised knowledge or expertise in labour or environmental law, other issues addressed in the relevant Chapter or Chapters, or in the resolution of disputes arising under international agreements.</w:t>
      </w:r>
    </w:p>
    <w:p w:rsidR="006C4FA5" w:rsidRDefault="009D0192" w:rsidP="006868EC">
      <w:pPr>
        <w:pStyle w:val="ManualConsidrant"/>
        <w:rPr>
          <w:noProof/>
        </w:rPr>
      </w:pPr>
      <w:r>
        <w:rPr>
          <w:noProof/>
        </w:rPr>
        <w:t>(5)</w:t>
      </w:r>
      <w:r>
        <w:rPr>
          <w:noProof/>
        </w:rPr>
        <w:tab/>
        <w:t>In addition,</w:t>
      </w:r>
      <w:r w:rsidR="006C4FA5" w:rsidRPr="003267C5">
        <w:rPr>
          <w:noProof/>
        </w:rPr>
        <w:t xml:space="preserve"> </w:t>
      </w:r>
      <w:r w:rsidR="006C4FA5">
        <w:rPr>
          <w:noProof/>
        </w:rPr>
        <w:t>t</w:t>
      </w:r>
      <w:r w:rsidR="006C4FA5" w:rsidRPr="00615AF2">
        <w:rPr>
          <w:noProof/>
        </w:rPr>
        <w:t xml:space="preserve">he experts proposed as panellists </w:t>
      </w:r>
      <w:r w:rsidR="00A43140">
        <w:rPr>
          <w:noProof/>
        </w:rPr>
        <w:t>should</w:t>
      </w:r>
      <w:r w:rsidR="006C4FA5" w:rsidRPr="00615AF2">
        <w:rPr>
          <w:noProof/>
        </w:rPr>
        <w:t xml:space="preserve"> serve in their individual capacities and not take instructions from any organisation or government with regard to matters related to the dispute. They </w:t>
      </w:r>
      <w:r w:rsidR="00A43140">
        <w:rPr>
          <w:noProof/>
        </w:rPr>
        <w:t xml:space="preserve">should </w:t>
      </w:r>
      <w:r w:rsidR="006C4FA5" w:rsidRPr="00615AF2">
        <w:rPr>
          <w:noProof/>
        </w:rPr>
        <w:t>not be affiliated with or take instructions from either Party and sh</w:t>
      </w:r>
      <w:r w:rsidR="00A43140">
        <w:rPr>
          <w:noProof/>
        </w:rPr>
        <w:t>ould</w:t>
      </w:r>
      <w:r w:rsidR="006C4FA5" w:rsidRPr="00615AF2">
        <w:rPr>
          <w:noProof/>
        </w:rPr>
        <w:t xml:space="preserve"> not be persons who are members, officials or other servants of the Union institutions, of the Government of a Member State, or of the Government of the United Kingdom. </w:t>
      </w:r>
    </w:p>
    <w:p w:rsidR="006C4FA5" w:rsidRPr="003267C5" w:rsidRDefault="006C4FA5" w:rsidP="006868EC">
      <w:pPr>
        <w:pStyle w:val="ManualConsidrant"/>
        <w:rPr>
          <w:noProof/>
        </w:rPr>
      </w:pPr>
      <w:r>
        <w:rPr>
          <w:noProof/>
        </w:rPr>
        <w:t>(6)</w:t>
      </w:r>
      <w:r>
        <w:rPr>
          <w:noProof/>
        </w:rPr>
        <w:tab/>
        <w:t xml:space="preserve">On the basis of the proposals of the Union and the United Kingdom, </w:t>
      </w:r>
      <w:r w:rsidRPr="005E587F">
        <w:rPr>
          <w:noProof/>
        </w:rPr>
        <w:t xml:space="preserve">it is appropriate for </w:t>
      </w:r>
      <w:r>
        <w:rPr>
          <w:noProof/>
        </w:rPr>
        <w:t xml:space="preserve">the Trade Specialised Committee </w:t>
      </w:r>
      <w:r w:rsidRPr="00615AF2">
        <w:rPr>
          <w:noProof/>
        </w:rPr>
        <w:t>on Level Playing Field for Open and Fair Competition and Sustainable Development</w:t>
      </w:r>
      <w:r>
        <w:rPr>
          <w:noProof/>
        </w:rPr>
        <w:t xml:space="preserve"> to agree on the two sub-lists</w:t>
      </w:r>
      <w:r w:rsidR="009D0192">
        <w:rPr>
          <w:noProof/>
        </w:rPr>
        <w:t xml:space="preserve">, </w:t>
      </w:r>
      <w:r>
        <w:rPr>
          <w:noProof/>
        </w:rPr>
        <w:t xml:space="preserve">for the </w:t>
      </w:r>
      <w:r>
        <w:rPr>
          <w:noProof/>
        </w:rPr>
        <w:lastRenderedPageBreak/>
        <w:t xml:space="preserve">position of </w:t>
      </w:r>
      <w:r w:rsidR="009D0192">
        <w:rPr>
          <w:noProof/>
        </w:rPr>
        <w:t>panellist</w:t>
      </w:r>
      <w:r>
        <w:rPr>
          <w:noProof/>
        </w:rPr>
        <w:t xml:space="preserve">, and on the sub-list of for the position of chairperson of </w:t>
      </w:r>
      <w:r w:rsidR="009D0192">
        <w:rPr>
          <w:noProof/>
        </w:rPr>
        <w:t>the panel of experts</w:t>
      </w:r>
      <w:r>
        <w:rPr>
          <w:noProof/>
        </w:rPr>
        <w:t xml:space="preserve">, </w:t>
      </w:r>
    </w:p>
    <w:p w:rsidR="00471639" w:rsidRPr="00E34F04" w:rsidRDefault="00471639" w:rsidP="00BE7CB9">
      <w:pPr>
        <w:pStyle w:val="Formuledadoption"/>
        <w:rPr>
          <w:noProof/>
        </w:rPr>
      </w:pPr>
      <w:r w:rsidRPr="00E34F04">
        <w:rPr>
          <w:noProof/>
        </w:rPr>
        <w:t>HAS ADOPTED THIS DECISION:</w:t>
      </w:r>
    </w:p>
    <w:p w:rsidR="00471639" w:rsidRPr="00E34F04" w:rsidRDefault="00471639" w:rsidP="00BE7CB9">
      <w:pPr>
        <w:pStyle w:val="Titrearticle"/>
        <w:rPr>
          <w:noProof/>
        </w:rPr>
      </w:pPr>
      <w:r w:rsidRPr="00E34F04">
        <w:rPr>
          <w:noProof/>
        </w:rPr>
        <w:t>Article 1</w:t>
      </w:r>
    </w:p>
    <w:p w:rsidR="00B55712" w:rsidRPr="00877CC6" w:rsidRDefault="00B55712" w:rsidP="0034155C">
      <w:pPr>
        <w:rPr>
          <w:noProof/>
        </w:rPr>
      </w:pPr>
      <w:r w:rsidRPr="00FC3569">
        <w:rPr>
          <w:noProof/>
        </w:rPr>
        <w:t xml:space="preserve">The position to be </w:t>
      </w:r>
      <w:r w:rsidR="0034155C">
        <w:rPr>
          <w:noProof/>
        </w:rPr>
        <w:t>taken</w:t>
      </w:r>
      <w:r w:rsidR="0034155C" w:rsidRPr="00FC3569">
        <w:rPr>
          <w:noProof/>
        </w:rPr>
        <w:t xml:space="preserve"> </w:t>
      </w:r>
      <w:r w:rsidRPr="00FC3569">
        <w:rPr>
          <w:noProof/>
        </w:rPr>
        <w:t xml:space="preserve">on the Union's behalf </w:t>
      </w:r>
      <w:r w:rsidR="00AB62A0">
        <w:rPr>
          <w:noProof/>
        </w:rPr>
        <w:t>with</w:t>
      </w:r>
      <w:r w:rsidRPr="00FC3569">
        <w:rPr>
          <w:noProof/>
        </w:rPr>
        <w:t xml:space="preserve">in the </w:t>
      </w:r>
      <w:r w:rsidR="006C4FA5">
        <w:rPr>
          <w:noProof/>
        </w:rPr>
        <w:t>Trade Specialised Committee on Level Playing Field for Open and Fair Competition and Sustainable Development</w:t>
      </w:r>
      <w:r w:rsidR="006C4FA5" w:rsidDel="006C4FA5">
        <w:rPr>
          <w:noProof/>
        </w:rPr>
        <w:t xml:space="preserve"> </w:t>
      </w:r>
      <w:r w:rsidRPr="00FC3569">
        <w:rPr>
          <w:noProof/>
        </w:rPr>
        <w:t xml:space="preserve">established by Article </w:t>
      </w:r>
      <w:r w:rsidR="006C4FA5">
        <w:rPr>
          <w:noProof/>
        </w:rPr>
        <w:t>8</w:t>
      </w:r>
      <w:r w:rsidRPr="00FC3569">
        <w:rPr>
          <w:noProof/>
        </w:rPr>
        <w:t>(1)</w:t>
      </w:r>
      <w:r w:rsidR="006C4FA5">
        <w:rPr>
          <w:noProof/>
        </w:rPr>
        <w:t xml:space="preserve"> j)</w:t>
      </w:r>
      <w:r w:rsidRPr="00FC3569">
        <w:rPr>
          <w:noProof/>
        </w:rPr>
        <w:t xml:space="preserve"> of the </w:t>
      </w:r>
      <w:r w:rsidR="00EE75FA">
        <w:rPr>
          <w:noProof/>
        </w:rPr>
        <w:t>Trade and Cooperation Agreement</w:t>
      </w:r>
      <w:r w:rsidR="00EE75FA" w:rsidRPr="00FC3569">
        <w:rPr>
          <w:noProof/>
        </w:rPr>
        <w:t xml:space="preserve"> </w:t>
      </w:r>
      <w:r w:rsidRPr="00FC3569">
        <w:rPr>
          <w:noProof/>
        </w:rPr>
        <w:t xml:space="preserve">shall be based on the draft </w:t>
      </w:r>
      <w:r w:rsidR="00AB62A0">
        <w:rPr>
          <w:noProof/>
        </w:rPr>
        <w:t>D</w:t>
      </w:r>
      <w:r w:rsidRPr="00FC3569">
        <w:rPr>
          <w:noProof/>
        </w:rPr>
        <w:t xml:space="preserve">ecision of the </w:t>
      </w:r>
      <w:r w:rsidR="006C4FA5">
        <w:rPr>
          <w:noProof/>
        </w:rPr>
        <w:t>Trade Specialised Committee on Level Playing Field for Open and Fair Competition and Sustainable Development</w:t>
      </w:r>
      <w:r w:rsidR="006C4FA5" w:rsidDel="006C4FA5">
        <w:rPr>
          <w:noProof/>
        </w:rPr>
        <w:t xml:space="preserve"> </w:t>
      </w:r>
      <w:r w:rsidRPr="00877CC6">
        <w:rPr>
          <w:noProof/>
        </w:rPr>
        <w:t>attached to this Decision.</w:t>
      </w:r>
    </w:p>
    <w:p w:rsidR="00AF2113" w:rsidRPr="00224DE2" w:rsidRDefault="00AF2113" w:rsidP="007A63E1">
      <w:pPr>
        <w:pStyle w:val="Titrearticle"/>
        <w:rPr>
          <w:noProof/>
        </w:rPr>
      </w:pPr>
      <w:r w:rsidRPr="00224DE2">
        <w:rPr>
          <w:noProof/>
        </w:rPr>
        <w:t>Article 2</w:t>
      </w:r>
    </w:p>
    <w:p w:rsidR="00471639" w:rsidRDefault="00471639" w:rsidP="006868EC">
      <w:pPr>
        <w:rPr>
          <w:noProof/>
        </w:rPr>
      </w:pPr>
      <w:r w:rsidRPr="00E34F04">
        <w:rPr>
          <w:noProof/>
        </w:rPr>
        <w:t xml:space="preserve">This Decision is addressed to </w:t>
      </w:r>
      <w:r w:rsidR="004462B6">
        <w:rPr>
          <w:noProof/>
        </w:rPr>
        <w:t>the Commission</w:t>
      </w:r>
      <w:r w:rsidRPr="00224DE2">
        <w:rPr>
          <w:noProof/>
        </w:rPr>
        <w:t>.</w:t>
      </w:r>
    </w:p>
    <w:p w:rsidR="00224DE2" w:rsidRDefault="006868EC" w:rsidP="007A63E1">
      <w:pPr>
        <w:pStyle w:val="Fait"/>
        <w:rPr>
          <w:noProof/>
        </w:rPr>
      </w:pPr>
      <w:r>
        <w:rPr>
          <w:noProof/>
        </w:rPr>
        <w:t>Done at Brussels,</w:t>
      </w:r>
    </w:p>
    <w:p w:rsidR="00471639" w:rsidRDefault="00471639" w:rsidP="007A63E1">
      <w:pPr>
        <w:pStyle w:val="Institutionquisigne"/>
        <w:rPr>
          <w:noProof/>
        </w:rPr>
      </w:pPr>
      <w:r w:rsidRPr="00471639">
        <w:rPr>
          <w:noProof/>
        </w:rPr>
        <w:tab/>
        <w:t>For the Council</w:t>
      </w:r>
    </w:p>
    <w:p w:rsidR="00471639" w:rsidRPr="00471639" w:rsidRDefault="00471639" w:rsidP="00471639">
      <w:pPr>
        <w:pStyle w:val="Personnequisigne"/>
        <w:rPr>
          <w:noProof/>
        </w:rPr>
      </w:pPr>
      <w:r w:rsidRPr="00471639">
        <w:rPr>
          <w:noProof/>
        </w:rPr>
        <w:tab/>
        <w:t>The President</w:t>
      </w:r>
    </w:p>
    <w:sectPr w:rsidR="00471639" w:rsidRPr="00471639" w:rsidSect="000C29EE">
      <w:pgSz w:w="11907" w:h="16839"/>
      <w:pgMar w:top="1134" w:right="1417" w:bottom="1134" w:left="141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B3D0A" w:rsidRDefault="008B3D0A" w:rsidP="00471639">
      <w:pPr>
        <w:spacing w:before="0" w:after="0"/>
      </w:pPr>
      <w:r>
        <w:separator/>
      </w:r>
    </w:p>
  </w:endnote>
  <w:endnote w:type="continuationSeparator" w:id="0">
    <w:p w:rsidR="008B3D0A" w:rsidRDefault="008B3D0A" w:rsidP="00471639">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C29EE" w:rsidRPr="000C29EE" w:rsidRDefault="000C29EE" w:rsidP="000C29EE">
    <w:pPr>
      <w:pStyle w:val="Footer"/>
      <w:rPr>
        <w:rFonts w:ascii="Arial" w:hAnsi="Arial" w:cs="Arial"/>
        <w:b/>
        <w:sz w:val="48"/>
      </w:rPr>
    </w:pPr>
    <w:r w:rsidRPr="000C29EE">
      <w:rPr>
        <w:rFonts w:ascii="Arial" w:hAnsi="Arial" w:cs="Arial"/>
        <w:b/>
        <w:sz w:val="48"/>
      </w:rPr>
      <w:t>EN</w:t>
    </w:r>
    <w:r w:rsidRPr="000C29EE">
      <w:rPr>
        <w:rFonts w:ascii="Arial" w:hAnsi="Arial" w:cs="Arial"/>
        <w:b/>
        <w:sz w:val="48"/>
      </w:rPr>
      <w:tab/>
    </w:r>
    <w:r w:rsidRPr="000C29EE">
      <w:rPr>
        <w:rFonts w:ascii="Arial" w:hAnsi="Arial" w:cs="Arial"/>
        <w:b/>
        <w:sz w:val="48"/>
      </w:rPr>
      <w:tab/>
    </w:r>
    <w:r w:rsidRPr="000C29EE">
      <w:tab/>
    </w:r>
    <w:r w:rsidRPr="000C29EE">
      <w:rPr>
        <w:rFonts w:ascii="Arial" w:hAnsi="Arial" w:cs="Arial"/>
        <w:b/>
        <w:sz w:val="48"/>
      </w:rPr>
      <w:t>EN</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C29EE" w:rsidRPr="000C29EE" w:rsidRDefault="000C29EE" w:rsidP="000C29EE">
    <w:pPr>
      <w:pStyle w:val="Footer"/>
      <w:rPr>
        <w:rFonts w:ascii="Arial" w:hAnsi="Arial" w:cs="Arial"/>
        <w:b/>
        <w:sz w:val="48"/>
      </w:rPr>
    </w:pPr>
    <w:r w:rsidRPr="000C29EE">
      <w:rPr>
        <w:rFonts w:ascii="Arial" w:hAnsi="Arial" w:cs="Arial"/>
        <w:b/>
        <w:sz w:val="48"/>
      </w:rPr>
      <w:t>EN</w:t>
    </w:r>
    <w:r w:rsidRPr="000C29EE">
      <w:rPr>
        <w:rFonts w:ascii="Arial" w:hAnsi="Arial" w:cs="Arial"/>
        <w:b/>
        <w:sz w:val="48"/>
      </w:rPr>
      <w:tab/>
    </w:r>
    <w:r w:rsidRPr="000C29EE">
      <w:rPr>
        <w:rFonts w:ascii="Arial" w:hAnsi="Arial" w:cs="Arial"/>
        <w:b/>
        <w:sz w:val="48"/>
      </w:rPr>
      <w:tab/>
    </w:r>
    <w:r w:rsidRPr="000C29EE">
      <w:tab/>
    </w:r>
    <w:r w:rsidRPr="000C29EE">
      <w:rPr>
        <w:rFonts w:ascii="Arial" w:hAnsi="Arial" w:cs="Arial"/>
        <w:b/>
        <w:sz w:val="48"/>
      </w:rPr>
      <w:t>EN</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C29EE" w:rsidRDefault="000C29EE">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C29EE" w:rsidRPr="000C29EE" w:rsidRDefault="000C29EE" w:rsidP="000C29EE">
    <w:pPr>
      <w:pStyle w:val="Footer"/>
      <w:rPr>
        <w:rFonts w:ascii="Arial" w:hAnsi="Arial" w:cs="Arial"/>
        <w:b/>
        <w:sz w:val="48"/>
      </w:rPr>
    </w:pPr>
    <w:r w:rsidRPr="000C29EE">
      <w:rPr>
        <w:rFonts w:ascii="Arial" w:hAnsi="Arial" w:cs="Arial"/>
        <w:b/>
        <w:sz w:val="48"/>
      </w:rPr>
      <w:t>EN</w:t>
    </w:r>
    <w:r w:rsidRPr="000C29EE">
      <w:rPr>
        <w:rFonts w:ascii="Arial" w:hAnsi="Arial" w:cs="Arial"/>
        <w:b/>
        <w:sz w:val="48"/>
      </w:rPr>
      <w:tab/>
    </w:r>
    <w:r>
      <w:fldChar w:fldCharType="begin"/>
    </w:r>
    <w:r>
      <w:instrText xml:space="preserve"> PAGE  \* MERGEFORMAT </w:instrText>
    </w:r>
    <w:r>
      <w:fldChar w:fldCharType="separate"/>
    </w:r>
    <w:r w:rsidR="007A63E1">
      <w:rPr>
        <w:noProof/>
      </w:rPr>
      <w:t>5</w:t>
    </w:r>
    <w:r>
      <w:fldChar w:fldCharType="end"/>
    </w:r>
    <w:r>
      <w:tab/>
    </w:r>
    <w:r w:rsidRPr="000C29EE">
      <w:tab/>
    </w:r>
    <w:r w:rsidRPr="000C29EE">
      <w:rPr>
        <w:rFonts w:ascii="Arial" w:hAnsi="Arial" w:cs="Arial"/>
        <w:b/>
        <w:sz w:val="48"/>
      </w:rPr>
      <w:t>EN</w:t>
    </w: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C29EE" w:rsidRDefault="000C29EE" w:rsidP="000C29E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B3D0A" w:rsidRDefault="008B3D0A" w:rsidP="00471639">
      <w:pPr>
        <w:spacing w:before="0" w:after="0"/>
      </w:pPr>
      <w:r>
        <w:separator/>
      </w:r>
    </w:p>
  </w:footnote>
  <w:footnote w:type="continuationSeparator" w:id="0">
    <w:p w:rsidR="008B3D0A" w:rsidRDefault="008B3D0A" w:rsidP="00471639">
      <w:pPr>
        <w:spacing w:before="0"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C29EE" w:rsidRDefault="000C29E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C29EE" w:rsidRDefault="000C29E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D"/>
    <w:multiLevelType w:val="singleLevel"/>
    <w:tmpl w:val="3970005C"/>
    <w:lvl w:ilvl="0">
      <w:start w:val="1"/>
      <w:numFmt w:val="decimal"/>
      <w:pStyle w:val="ListNumber4"/>
      <w:lvlText w:val="%1."/>
      <w:lvlJc w:val="left"/>
      <w:pPr>
        <w:tabs>
          <w:tab w:val="num" w:pos="1209"/>
        </w:tabs>
        <w:ind w:left="1209" w:hanging="360"/>
      </w:pPr>
    </w:lvl>
  </w:abstractNum>
  <w:abstractNum w:abstractNumId="1" w15:restartNumberingAfterBreak="0">
    <w:nsid w:val="FFFFFF7F"/>
    <w:multiLevelType w:val="singleLevel"/>
    <w:tmpl w:val="07301D2E"/>
    <w:lvl w:ilvl="0">
      <w:start w:val="1"/>
      <w:numFmt w:val="decimal"/>
      <w:pStyle w:val="ListNumber2"/>
      <w:lvlText w:val="%1."/>
      <w:lvlJc w:val="left"/>
      <w:pPr>
        <w:tabs>
          <w:tab w:val="num" w:pos="643"/>
        </w:tabs>
        <w:ind w:left="643" w:hanging="360"/>
      </w:pPr>
    </w:lvl>
  </w:abstractNum>
  <w:abstractNum w:abstractNumId="2" w15:restartNumberingAfterBreak="0">
    <w:nsid w:val="FFFFFF81"/>
    <w:multiLevelType w:val="singleLevel"/>
    <w:tmpl w:val="C30C275C"/>
    <w:lvl w:ilvl="0">
      <w:start w:val="1"/>
      <w:numFmt w:val="bullet"/>
      <w:pStyle w:val="ListBullet4"/>
      <w:lvlText w:val=""/>
      <w:lvlJc w:val="left"/>
      <w:pPr>
        <w:tabs>
          <w:tab w:val="num" w:pos="1209"/>
        </w:tabs>
        <w:ind w:left="1209" w:hanging="360"/>
      </w:pPr>
      <w:rPr>
        <w:rFonts w:ascii="Symbol" w:hAnsi="Symbol" w:hint="default"/>
      </w:rPr>
    </w:lvl>
  </w:abstractNum>
  <w:abstractNum w:abstractNumId="3" w15:restartNumberingAfterBreak="0">
    <w:nsid w:val="FFFFFF82"/>
    <w:multiLevelType w:val="singleLevel"/>
    <w:tmpl w:val="5E52E8E2"/>
    <w:lvl w:ilvl="0">
      <w:start w:val="1"/>
      <w:numFmt w:val="bullet"/>
      <w:pStyle w:val="ListBullet3"/>
      <w:lvlText w:val=""/>
      <w:lvlJc w:val="left"/>
      <w:pPr>
        <w:tabs>
          <w:tab w:val="num" w:pos="926"/>
        </w:tabs>
        <w:ind w:left="926" w:hanging="360"/>
      </w:pPr>
      <w:rPr>
        <w:rFonts w:ascii="Symbol" w:hAnsi="Symbol" w:hint="default"/>
      </w:rPr>
    </w:lvl>
  </w:abstractNum>
  <w:abstractNum w:abstractNumId="4" w15:restartNumberingAfterBreak="0">
    <w:nsid w:val="FFFFFF83"/>
    <w:multiLevelType w:val="singleLevel"/>
    <w:tmpl w:val="861A29CE"/>
    <w:lvl w:ilvl="0">
      <w:start w:val="1"/>
      <w:numFmt w:val="bullet"/>
      <w:pStyle w:val="ListBullet2"/>
      <w:lvlText w:val=""/>
      <w:lvlJc w:val="left"/>
      <w:pPr>
        <w:tabs>
          <w:tab w:val="num" w:pos="643"/>
        </w:tabs>
        <w:ind w:left="643" w:hanging="360"/>
      </w:pPr>
      <w:rPr>
        <w:rFonts w:ascii="Symbol" w:hAnsi="Symbol" w:hint="default"/>
      </w:rPr>
    </w:lvl>
  </w:abstractNum>
  <w:abstractNum w:abstractNumId="5" w15:restartNumberingAfterBreak="0">
    <w:nsid w:val="FFFFFF88"/>
    <w:multiLevelType w:val="singleLevel"/>
    <w:tmpl w:val="B4829354"/>
    <w:lvl w:ilvl="0">
      <w:start w:val="1"/>
      <w:numFmt w:val="decimal"/>
      <w:pStyle w:val="ListNumber"/>
      <w:lvlText w:val="%1."/>
      <w:lvlJc w:val="left"/>
      <w:pPr>
        <w:tabs>
          <w:tab w:val="num" w:pos="360"/>
        </w:tabs>
        <w:ind w:left="360" w:hanging="360"/>
      </w:pPr>
    </w:lvl>
  </w:abstractNum>
  <w:abstractNum w:abstractNumId="6" w15:restartNumberingAfterBreak="0">
    <w:nsid w:val="FFFFFF89"/>
    <w:multiLevelType w:val="singleLevel"/>
    <w:tmpl w:val="C8F63552"/>
    <w:lvl w:ilvl="0">
      <w:start w:val="1"/>
      <w:numFmt w:val="bullet"/>
      <w:pStyle w:val="ListBullet"/>
      <w:lvlText w:val=""/>
      <w:lvlJc w:val="left"/>
      <w:pPr>
        <w:tabs>
          <w:tab w:val="num" w:pos="360"/>
        </w:tabs>
        <w:ind w:left="360" w:hanging="360"/>
      </w:pPr>
      <w:rPr>
        <w:rFonts w:ascii="Symbol" w:hAnsi="Symbol" w:hint="default"/>
      </w:rPr>
    </w:lvl>
  </w:abstractNum>
  <w:abstractNum w:abstractNumId="7"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8"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9"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10"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11" w15:restartNumberingAfterBreak="0">
    <w:nsid w:val="2F191641"/>
    <w:multiLevelType w:val="multilevel"/>
    <w:tmpl w:val="B67C4E92"/>
    <w:lvl w:ilvl="0">
      <w:start w:val="1"/>
      <w:numFmt w:val="decimal"/>
      <w:pStyle w:val="ListNumber3"/>
      <w:lvlText w:val="(%1)"/>
      <w:lvlJc w:val="left"/>
      <w:pPr>
        <w:tabs>
          <w:tab w:val="num" w:pos="1560"/>
        </w:tabs>
        <w:ind w:left="1560" w:hanging="709"/>
      </w:pPr>
      <w:rPr>
        <w:rFonts w:cs="Times New Roman"/>
      </w:rPr>
    </w:lvl>
    <w:lvl w:ilvl="1">
      <w:start w:val="1"/>
      <w:numFmt w:val="lowerLetter"/>
      <w:pStyle w:val="ListNumber3Level2"/>
      <w:lvlText w:val="(%2)"/>
      <w:lvlJc w:val="left"/>
      <w:pPr>
        <w:tabs>
          <w:tab w:val="num" w:pos="2268"/>
        </w:tabs>
        <w:ind w:left="2268" w:hanging="708"/>
      </w:pPr>
      <w:rPr>
        <w:rFonts w:cs="Times New Roman"/>
      </w:rPr>
    </w:lvl>
    <w:lvl w:ilvl="2">
      <w:start w:val="1"/>
      <w:numFmt w:val="bullet"/>
      <w:pStyle w:val="ListNumber3Level3"/>
      <w:lvlText w:val="–"/>
      <w:lvlJc w:val="left"/>
      <w:pPr>
        <w:tabs>
          <w:tab w:val="num" w:pos="2977"/>
        </w:tabs>
        <w:ind w:left="2977" w:hanging="709"/>
      </w:pPr>
      <w:rPr>
        <w:rFonts w:ascii="Times New Roman" w:hAnsi="Times New Roman"/>
      </w:rPr>
    </w:lvl>
    <w:lvl w:ilvl="3">
      <w:start w:val="1"/>
      <w:numFmt w:val="bullet"/>
      <w:pStyle w:val="ListNumber3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2"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3"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4"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5"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6"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7"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8"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19"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20"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1"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22"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17"/>
    <w:lvlOverride w:ilvl="0">
      <w:startOverride w:val="1"/>
    </w:lvlOverride>
  </w:num>
  <w:num w:numId="2">
    <w:abstractNumId w:val="6"/>
  </w:num>
  <w:num w:numId="3">
    <w:abstractNumId w:val="4"/>
  </w:num>
  <w:num w:numId="4">
    <w:abstractNumId w:val="3"/>
  </w:num>
  <w:num w:numId="5">
    <w:abstractNumId w:val="2"/>
  </w:num>
  <w:num w:numId="6">
    <w:abstractNumId w:val="11"/>
  </w:num>
  <w:num w:numId="7">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5"/>
  </w:num>
  <w:num w:numId="9">
    <w:abstractNumId w:val="1"/>
  </w:num>
  <w:num w:numId="10">
    <w:abstractNumId w:val="0"/>
  </w:num>
  <w:num w:numId="11">
    <w:abstractNumId w:val="12"/>
    <w:lvlOverride w:ilvl="0">
      <w:startOverride w:val="1"/>
    </w:lvlOverride>
  </w:num>
  <w:num w:numId="12">
    <w:abstractNumId w:val="22"/>
    <w:lvlOverride w:ilvl="0">
      <w:startOverride w:val="1"/>
    </w:lvlOverride>
  </w:num>
  <w:num w:numId="13">
    <w:abstractNumId w:val="19"/>
  </w:num>
  <w:num w:numId="14">
    <w:abstractNumId w:val="12"/>
  </w:num>
  <w:num w:numId="15">
    <w:abstractNumId w:val="21"/>
  </w:num>
  <w:num w:numId="16">
    <w:abstractNumId w:val="10"/>
  </w:num>
  <w:num w:numId="17">
    <w:abstractNumId w:val="13"/>
  </w:num>
  <w:num w:numId="18">
    <w:abstractNumId w:val="14"/>
  </w:num>
  <w:num w:numId="19">
    <w:abstractNumId w:val="8"/>
  </w:num>
  <w:num w:numId="20">
    <w:abstractNumId w:val="20"/>
  </w:num>
  <w:num w:numId="21">
    <w:abstractNumId w:val="7"/>
  </w:num>
  <w:num w:numId="22">
    <w:abstractNumId w:val="15"/>
  </w:num>
  <w:num w:numId="23">
    <w:abstractNumId w:val="17"/>
  </w:num>
  <w:num w:numId="24">
    <w:abstractNumId w:val="18"/>
  </w:num>
  <w:num w:numId="25">
    <w:abstractNumId w:val="9"/>
  </w:num>
  <w:num w:numId="26">
    <w:abstractNumId w:val="16"/>
  </w:num>
  <w:num w:numId="27">
    <w:abstractNumId w:val="22"/>
  </w:num>
  <w:num w:numId="28">
    <w:abstractNumId w:val="19"/>
  </w:num>
  <w:num w:numId="29">
    <w:abstractNumId w:val="12"/>
  </w:num>
  <w:num w:numId="30">
    <w:abstractNumId w:val="21"/>
  </w:num>
  <w:num w:numId="31">
    <w:abstractNumId w:val="10"/>
  </w:num>
  <w:num w:numId="32">
    <w:abstractNumId w:val="13"/>
  </w:num>
  <w:num w:numId="33">
    <w:abstractNumId w:val="14"/>
  </w:num>
  <w:num w:numId="34">
    <w:abstractNumId w:val="8"/>
  </w:num>
  <w:num w:numId="35">
    <w:abstractNumId w:val="20"/>
  </w:num>
  <w:num w:numId="36">
    <w:abstractNumId w:val="7"/>
  </w:num>
  <w:num w:numId="37">
    <w:abstractNumId w:val="15"/>
  </w:num>
  <w:num w:numId="38">
    <w:abstractNumId w:val="17"/>
  </w:num>
  <w:num w:numId="39">
    <w:abstractNumId w:val="18"/>
  </w:num>
  <w:num w:numId="40">
    <w:abstractNumId w:val="9"/>
  </w:num>
  <w:num w:numId="41">
    <w:abstractNumId w:val="16"/>
  </w:num>
  <w:num w:numId="42">
    <w:abstractNumId w:val="22"/>
  </w:num>
  <w:numIdMacAtCleanup w:val="2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attachedTemplate r:id="rId1"/>
  <w:revisionView w:markup="0"/>
  <w:defaultTabStop w:val="720"/>
  <w:hyphenationZone w:val="425"/>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R_RefLast" w:val="0"/>
    <w:docVar w:name="DQCDateTime" w:val="2026-02-16 08:49:56"/>
    <w:docVar w:name="DQCResult_Distribution" w:val="0;0"/>
    <w:docVar w:name="DQCResult_DocumentContent" w:val="0;0"/>
    <w:docVar w:name="DQCResult_DocumentSize" w:val="0;0"/>
    <w:docVar w:name="DQCResult_InvalidFootnotes" w:val="0;0"/>
    <w:docVar w:name="DQCResult_ModifiedMarkers" w:val="0;0"/>
    <w:docVar w:name="DQCResult_ModifiedNumbering" w:val="0;0"/>
    <w:docVar w:name="DQCResult_Objects" w:val="0;0"/>
    <w:docVar w:name="DQCResult_StructureCheck" w:val="0;0"/>
    <w:docVar w:name="DQCStatus" w:val="Green"/>
    <w:docVar w:name="DQCVersion" w:val="3"/>
    <w:docVar w:name="DQCWithWarnings" w:val="0"/>
    <w:docVar w:name="LW_CORRIGENDUM" w:val="&lt;UNUSED&gt;"/>
    <w:docVar w:name="LW_COVERPAGE_EXISTS" w:val="True"/>
    <w:docVar w:name="LW_COVERPAGE_GUID" w:val="1812BA9B-04B3-4F24-B3CD-DDB026C33287"/>
    <w:docVar w:name="LW_COVERPAGE_TYPE" w:val="1"/>
    <w:docVar w:name="LW_CROSSREFERENCE" w:val="&lt;UNUSED&gt;"/>
    <w:docVar w:name="LW_DocType" w:val="COM"/>
    <w:docVar w:name="LW_EMISSION" w:val="23.2.2026"/>
    <w:docVar w:name="LW_EMISSION_ISODATE" w:val="2026-02-23"/>
    <w:docVar w:name="LW_EMISSION_LOCATION" w:val="BRX"/>
    <w:docVar w:name="LW_EMISSION_PREFIX" w:val="Brussels, "/>
    <w:docVar w:name="LW_EMISSION_SUFFIX" w:val=" "/>
    <w:docVar w:name="LW_ID_DOCMODEL" w:val="SJ-043"/>
    <w:docVar w:name="LW_ID_DOCSIGNATURE" w:val="SJ-019"/>
    <w:docVar w:name="LW_ID_DOCSTRUCTURE" w:val="COM/PL/ORG"/>
    <w:docVar w:name="LW_ID_DOCTYPE" w:val="SJ-043"/>
    <w:docVar w:name="LW_ID_EXP.MOTIFS.NEW" w:val="EM_PL2_"/>
    <w:docVar w:name="LW_ID_STATUT" w:val="SJ-019"/>
    <w:docVar w:name="LW_INTERETEEE.CP" w:val="&lt;UNUSED&gt;"/>
    <w:docVar w:name="LW_LANGUE" w:val="EN"/>
    <w:docVar w:name="LW_LEVEL_OF_SENSITIVITY" w:val="Standard treatment"/>
    <w:docVar w:name="LW_NOM.INST" w:val="EUROPEAN COMMISSION"/>
    <w:docVar w:name="LW_NOM.INST_JOINTDOC" w:val="&lt;EMPTY&gt;"/>
    <w:docVar w:name="LW_PART_NBR" w:val="1"/>
    <w:docVar w:name="LW_PART_NBR_TOTAL" w:val="1"/>
    <w:docVar w:name="LW_REF.II.NEW.CP" w:val="NLE"/>
    <w:docVar w:name="LW_REF.II.NEW.CP_NUMBER" w:val="0055"/>
    <w:docVar w:name="LW_REF.II.NEW.CP_YEAR" w:val="2026"/>
    <w:docVar w:name="LW_REF.INST.NEW" w:val="COM"/>
    <w:docVar w:name="LW_REF.INST.NEW_ADOPTED" w:val="final"/>
    <w:docVar w:name="LW_REF.INST.NEW_TEXT" w:val="(2026) 89"/>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TATUT.CP" w:val="Proposal for a"/>
    <w:docVar w:name="LW_SUPERTITRE" w:val="&lt;UNUSED&gt;"/>
    <w:docVar w:name="LW_TITRE.OBJ.CP" w:val="on the position to be taken on behalf of the European Union within the Trade Specialised Committee on Level Playing Field for Open and Fair Competition and Sustainable Development established by the Trade and Cooperation Agreement between the European Union and the European Atomic Energy Community, of the one part, and the United Kingdom of Great Britain and Northern Ireland, of the other part as regards the adoption of a decision to establish a list of individuals who are willing and able to serve as members of the panel of experts established under Article 409 of the Trade and Cooperation Agreement"/>
    <w:docVar w:name="LW_TYPE.DOC.CP" w:val="COUNCIL DECISION"/>
    <w:docVar w:name="LwApiVersions" w:val="LW4CoDe 1.24.5.0; LW 9.2, Build 20251112"/>
  </w:docVars>
  <w:rsids>
    <w:rsidRoot w:val="00471639"/>
    <w:rsid w:val="00012A51"/>
    <w:rsid w:val="0004365C"/>
    <w:rsid w:val="000755F7"/>
    <w:rsid w:val="00085C79"/>
    <w:rsid w:val="00094897"/>
    <w:rsid w:val="000A0B15"/>
    <w:rsid w:val="000A7517"/>
    <w:rsid w:val="000B01FD"/>
    <w:rsid w:val="000B3D79"/>
    <w:rsid w:val="000C29EE"/>
    <w:rsid w:val="000D0E9D"/>
    <w:rsid w:val="000D4719"/>
    <w:rsid w:val="000E198E"/>
    <w:rsid w:val="000F03DC"/>
    <w:rsid w:val="000F1483"/>
    <w:rsid w:val="001329A3"/>
    <w:rsid w:val="00174CA6"/>
    <w:rsid w:val="00180471"/>
    <w:rsid w:val="00180A19"/>
    <w:rsid w:val="00184A8E"/>
    <w:rsid w:val="001B0AFB"/>
    <w:rsid w:val="001B168E"/>
    <w:rsid w:val="001C2816"/>
    <w:rsid w:val="001D2CA3"/>
    <w:rsid w:val="001E7962"/>
    <w:rsid w:val="00224654"/>
    <w:rsid w:val="00224DE2"/>
    <w:rsid w:val="002279AC"/>
    <w:rsid w:val="00232E98"/>
    <w:rsid w:val="002331BF"/>
    <w:rsid w:val="00236CA8"/>
    <w:rsid w:val="0026512F"/>
    <w:rsid w:val="00284FDF"/>
    <w:rsid w:val="00290146"/>
    <w:rsid w:val="002914F5"/>
    <w:rsid w:val="002A4DE7"/>
    <w:rsid w:val="002C201F"/>
    <w:rsid w:val="002C35D7"/>
    <w:rsid w:val="002C62D0"/>
    <w:rsid w:val="002D4B91"/>
    <w:rsid w:val="002E764F"/>
    <w:rsid w:val="00304F54"/>
    <w:rsid w:val="00311A50"/>
    <w:rsid w:val="00320984"/>
    <w:rsid w:val="00321963"/>
    <w:rsid w:val="003231FB"/>
    <w:rsid w:val="003373A4"/>
    <w:rsid w:val="0034155C"/>
    <w:rsid w:val="003637AD"/>
    <w:rsid w:val="00363D80"/>
    <w:rsid w:val="00384A33"/>
    <w:rsid w:val="00385F7B"/>
    <w:rsid w:val="003B17AA"/>
    <w:rsid w:val="003C791A"/>
    <w:rsid w:val="003E416F"/>
    <w:rsid w:val="00402EFA"/>
    <w:rsid w:val="0040396F"/>
    <w:rsid w:val="00405A53"/>
    <w:rsid w:val="00406AD0"/>
    <w:rsid w:val="00406C5D"/>
    <w:rsid w:val="00407DC6"/>
    <w:rsid w:val="00413B3A"/>
    <w:rsid w:val="00437B91"/>
    <w:rsid w:val="004453FB"/>
    <w:rsid w:val="004462B6"/>
    <w:rsid w:val="00471639"/>
    <w:rsid w:val="004722C8"/>
    <w:rsid w:val="00485618"/>
    <w:rsid w:val="004947E5"/>
    <w:rsid w:val="004B64D9"/>
    <w:rsid w:val="004B7BD6"/>
    <w:rsid w:val="004D00DA"/>
    <w:rsid w:val="004E448C"/>
    <w:rsid w:val="004F5616"/>
    <w:rsid w:val="00512ACD"/>
    <w:rsid w:val="0051332B"/>
    <w:rsid w:val="005149F1"/>
    <w:rsid w:val="0052327F"/>
    <w:rsid w:val="005351FB"/>
    <w:rsid w:val="00554C55"/>
    <w:rsid w:val="0056607E"/>
    <w:rsid w:val="00566DBD"/>
    <w:rsid w:val="005726A9"/>
    <w:rsid w:val="005815C9"/>
    <w:rsid w:val="00594EBF"/>
    <w:rsid w:val="005F6CE1"/>
    <w:rsid w:val="00602EF3"/>
    <w:rsid w:val="00633DC1"/>
    <w:rsid w:val="00642821"/>
    <w:rsid w:val="00653A87"/>
    <w:rsid w:val="00654B03"/>
    <w:rsid w:val="0066753E"/>
    <w:rsid w:val="00676685"/>
    <w:rsid w:val="006868EC"/>
    <w:rsid w:val="0069617B"/>
    <w:rsid w:val="006A022C"/>
    <w:rsid w:val="006A3366"/>
    <w:rsid w:val="006A73D5"/>
    <w:rsid w:val="006B2281"/>
    <w:rsid w:val="006C4FA5"/>
    <w:rsid w:val="006D13A9"/>
    <w:rsid w:val="006F1430"/>
    <w:rsid w:val="0070128F"/>
    <w:rsid w:val="007153EA"/>
    <w:rsid w:val="0071597D"/>
    <w:rsid w:val="00765A5C"/>
    <w:rsid w:val="00766212"/>
    <w:rsid w:val="007709D7"/>
    <w:rsid w:val="00771B81"/>
    <w:rsid w:val="007745C8"/>
    <w:rsid w:val="00781D6F"/>
    <w:rsid w:val="00795AAF"/>
    <w:rsid w:val="007A2337"/>
    <w:rsid w:val="007A63E1"/>
    <w:rsid w:val="007A7764"/>
    <w:rsid w:val="007B7B55"/>
    <w:rsid w:val="007C06F6"/>
    <w:rsid w:val="007D54FD"/>
    <w:rsid w:val="007F00B4"/>
    <w:rsid w:val="007F1344"/>
    <w:rsid w:val="007F374B"/>
    <w:rsid w:val="00822013"/>
    <w:rsid w:val="00831E8E"/>
    <w:rsid w:val="00847E03"/>
    <w:rsid w:val="00863C27"/>
    <w:rsid w:val="00877CC6"/>
    <w:rsid w:val="00884F7F"/>
    <w:rsid w:val="008B3D0A"/>
    <w:rsid w:val="008B6AC6"/>
    <w:rsid w:val="008C2104"/>
    <w:rsid w:val="008D0EC4"/>
    <w:rsid w:val="008E71B0"/>
    <w:rsid w:val="008F105D"/>
    <w:rsid w:val="008F10A5"/>
    <w:rsid w:val="00946066"/>
    <w:rsid w:val="00946E49"/>
    <w:rsid w:val="00955D9F"/>
    <w:rsid w:val="00961CD0"/>
    <w:rsid w:val="00971E21"/>
    <w:rsid w:val="00975759"/>
    <w:rsid w:val="0098306C"/>
    <w:rsid w:val="00985509"/>
    <w:rsid w:val="00986B33"/>
    <w:rsid w:val="0098790E"/>
    <w:rsid w:val="00987AD5"/>
    <w:rsid w:val="00990F06"/>
    <w:rsid w:val="0099144E"/>
    <w:rsid w:val="009A76B0"/>
    <w:rsid w:val="009B0ECE"/>
    <w:rsid w:val="009B6F22"/>
    <w:rsid w:val="009B7138"/>
    <w:rsid w:val="009C2487"/>
    <w:rsid w:val="009C44DE"/>
    <w:rsid w:val="009D0192"/>
    <w:rsid w:val="009D3F85"/>
    <w:rsid w:val="009F2E95"/>
    <w:rsid w:val="00A05AE2"/>
    <w:rsid w:val="00A27AD6"/>
    <w:rsid w:val="00A30867"/>
    <w:rsid w:val="00A3442D"/>
    <w:rsid w:val="00A43140"/>
    <w:rsid w:val="00A46562"/>
    <w:rsid w:val="00A63FDF"/>
    <w:rsid w:val="00A67D39"/>
    <w:rsid w:val="00A70C89"/>
    <w:rsid w:val="00AB21AE"/>
    <w:rsid w:val="00AB62A0"/>
    <w:rsid w:val="00AC0EAF"/>
    <w:rsid w:val="00AE30D2"/>
    <w:rsid w:val="00AF15E5"/>
    <w:rsid w:val="00AF2113"/>
    <w:rsid w:val="00B0074E"/>
    <w:rsid w:val="00B24F9D"/>
    <w:rsid w:val="00B25615"/>
    <w:rsid w:val="00B27E3C"/>
    <w:rsid w:val="00B32828"/>
    <w:rsid w:val="00B41C7E"/>
    <w:rsid w:val="00B4476E"/>
    <w:rsid w:val="00B55712"/>
    <w:rsid w:val="00B64522"/>
    <w:rsid w:val="00B661DB"/>
    <w:rsid w:val="00B7526E"/>
    <w:rsid w:val="00B81FD3"/>
    <w:rsid w:val="00B86192"/>
    <w:rsid w:val="00B9038C"/>
    <w:rsid w:val="00BA092A"/>
    <w:rsid w:val="00BA67EF"/>
    <w:rsid w:val="00BC77E9"/>
    <w:rsid w:val="00BD1E4E"/>
    <w:rsid w:val="00BE246D"/>
    <w:rsid w:val="00BE2685"/>
    <w:rsid w:val="00BF17AA"/>
    <w:rsid w:val="00C1022F"/>
    <w:rsid w:val="00C24556"/>
    <w:rsid w:val="00C41035"/>
    <w:rsid w:val="00C41834"/>
    <w:rsid w:val="00C922E0"/>
    <w:rsid w:val="00C95B05"/>
    <w:rsid w:val="00CA24E8"/>
    <w:rsid w:val="00CC3274"/>
    <w:rsid w:val="00CC7B46"/>
    <w:rsid w:val="00CF6286"/>
    <w:rsid w:val="00D01E73"/>
    <w:rsid w:val="00D444E4"/>
    <w:rsid w:val="00D527A6"/>
    <w:rsid w:val="00D65EE5"/>
    <w:rsid w:val="00D6606B"/>
    <w:rsid w:val="00D81DA6"/>
    <w:rsid w:val="00DA64C5"/>
    <w:rsid w:val="00DD511E"/>
    <w:rsid w:val="00DF07BB"/>
    <w:rsid w:val="00DF1FFF"/>
    <w:rsid w:val="00E0008E"/>
    <w:rsid w:val="00E13F0E"/>
    <w:rsid w:val="00E1648F"/>
    <w:rsid w:val="00E73296"/>
    <w:rsid w:val="00E95E9B"/>
    <w:rsid w:val="00E97BAE"/>
    <w:rsid w:val="00EB4855"/>
    <w:rsid w:val="00ED08D9"/>
    <w:rsid w:val="00EE6BF8"/>
    <w:rsid w:val="00EE75FA"/>
    <w:rsid w:val="00EF0A6B"/>
    <w:rsid w:val="00F15C4C"/>
    <w:rsid w:val="00F20062"/>
    <w:rsid w:val="00F235A5"/>
    <w:rsid w:val="00F42A9D"/>
    <w:rsid w:val="00F65033"/>
    <w:rsid w:val="00F72CA3"/>
    <w:rsid w:val="00FA2DA0"/>
    <w:rsid w:val="00FA688C"/>
    <w:rsid w:val="00FA7F2D"/>
    <w:rsid w:val="00FB0711"/>
    <w:rsid w:val="00FC2C71"/>
    <w:rsid w:val="00FC7764"/>
    <w:rsid w:val="00FF3193"/>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5:docId w15:val="{B279FEE5-BA3E-4601-8DA3-3282DFDC89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iPriority="0"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before="120" w:after="120" w:line="240" w:lineRule="auto"/>
      <w:jc w:val="both"/>
    </w:pPr>
    <w:rPr>
      <w:rFonts w:ascii="Times New Roman" w:hAnsi="Times New Roman" w:cs="Times New Roman"/>
      <w:sz w:val="24"/>
      <w:lang w:val="en-GB"/>
    </w:rPr>
  </w:style>
  <w:style w:type="paragraph" w:styleId="Heading1">
    <w:name w:val="heading 1"/>
    <w:basedOn w:val="Normal"/>
    <w:next w:val="Text1"/>
    <w:link w:val="Heading1Char"/>
    <w:uiPriority w:val="9"/>
    <w:qFormat/>
    <w:pPr>
      <w:keepNext/>
      <w:numPr>
        <w:numId w:val="35"/>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35"/>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35"/>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35"/>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35"/>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35"/>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35"/>
      </w:numPr>
      <w:outlineLvl w:val="6"/>
    </w:pPr>
    <w:rPr>
      <w:rFonts w:eastAsiaTheme="majorEastAsia"/>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Bullet">
    <w:name w:val="List Bullet"/>
    <w:basedOn w:val="Normal"/>
    <w:uiPriority w:val="99"/>
    <w:semiHidden/>
    <w:unhideWhenUsed/>
    <w:rsid w:val="007F1344"/>
    <w:pPr>
      <w:numPr>
        <w:numId w:val="2"/>
      </w:numPr>
      <w:contextualSpacing/>
    </w:pPr>
  </w:style>
  <w:style w:type="paragraph" w:styleId="ListBullet2">
    <w:name w:val="List Bullet 2"/>
    <w:basedOn w:val="Normal"/>
    <w:unhideWhenUsed/>
    <w:rsid w:val="007F1344"/>
    <w:pPr>
      <w:numPr>
        <w:numId w:val="3"/>
      </w:numPr>
      <w:contextualSpacing/>
    </w:pPr>
  </w:style>
  <w:style w:type="paragraph" w:styleId="ListBullet3">
    <w:name w:val="List Bullet 3"/>
    <w:basedOn w:val="Normal"/>
    <w:uiPriority w:val="99"/>
    <w:semiHidden/>
    <w:unhideWhenUsed/>
    <w:rsid w:val="007F1344"/>
    <w:pPr>
      <w:numPr>
        <w:numId w:val="4"/>
      </w:numPr>
      <w:contextualSpacing/>
    </w:pPr>
  </w:style>
  <w:style w:type="paragraph" w:styleId="ListBullet4">
    <w:name w:val="List Bullet 4"/>
    <w:basedOn w:val="Normal"/>
    <w:uiPriority w:val="99"/>
    <w:semiHidden/>
    <w:unhideWhenUsed/>
    <w:rsid w:val="007F1344"/>
    <w:pPr>
      <w:numPr>
        <w:numId w:val="5"/>
      </w:numPr>
      <w:contextualSpacing/>
    </w:pPr>
  </w:style>
  <w:style w:type="paragraph" w:styleId="NormalWeb">
    <w:name w:val="Normal (Web)"/>
    <w:basedOn w:val="Normal"/>
    <w:uiPriority w:val="99"/>
    <w:semiHidden/>
    <w:unhideWhenUsed/>
    <w:rsid w:val="007F1344"/>
    <w:pPr>
      <w:spacing w:before="100" w:beforeAutospacing="1" w:after="100" w:afterAutospacing="1"/>
      <w:jc w:val="left"/>
    </w:pPr>
    <w:rPr>
      <w:rFonts w:eastAsia="Times New Roman"/>
      <w:szCs w:val="24"/>
      <w:lang w:val="fr-BE" w:eastAsia="fr-BE"/>
    </w:rPr>
  </w:style>
  <w:style w:type="character" w:styleId="Strong">
    <w:name w:val="Strong"/>
    <w:basedOn w:val="DefaultParagraphFont"/>
    <w:uiPriority w:val="22"/>
    <w:qFormat/>
    <w:rsid w:val="007F1344"/>
    <w:rPr>
      <w:b/>
      <w:bCs/>
    </w:rPr>
  </w:style>
  <w:style w:type="paragraph" w:styleId="ListNumber3">
    <w:name w:val="List Number 3"/>
    <w:basedOn w:val="Normal"/>
    <w:rsid w:val="00A67D39"/>
    <w:pPr>
      <w:numPr>
        <w:numId w:val="6"/>
      </w:numPr>
    </w:pPr>
    <w:rPr>
      <w:rFonts w:eastAsia="Times New Roman"/>
      <w:lang w:val="fr-FR" w:eastAsia="en-GB"/>
    </w:rPr>
  </w:style>
  <w:style w:type="paragraph" w:customStyle="1" w:styleId="ListNumber3Level2">
    <w:name w:val="List Number 3 (Level 2)"/>
    <w:basedOn w:val="Text3"/>
    <w:rsid w:val="00A67D39"/>
    <w:pPr>
      <w:numPr>
        <w:ilvl w:val="1"/>
        <w:numId w:val="6"/>
      </w:numPr>
    </w:pPr>
    <w:rPr>
      <w:rFonts w:eastAsia="Times New Roman"/>
      <w:lang w:val="fr-FR" w:eastAsia="en-GB"/>
    </w:rPr>
  </w:style>
  <w:style w:type="paragraph" w:customStyle="1" w:styleId="ListNumber3Level3">
    <w:name w:val="List Number 3 (Level 3)"/>
    <w:basedOn w:val="Text3"/>
    <w:rsid w:val="00A67D39"/>
    <w:pPr>
      <w:numPr>
        <w:ilvl w:val="2"/>
        <w:numId w:val="6"/>
      </w:numPr>
    </w:pPr>
    <w:rPr>
      <w:rFonts w:eastAsia="Times New Roman"/>
      <w:lang w:val="fr-FR" w:eastAsia="en-GB"/>
    </w:rPr>
  </w:style>
  <w:style w:type="paragraph" w:customStyle="1" w:styleId="ListNumber3Level4">
    <w:name w:val="List Number 3 (Level 4)"/>
    <w:basedOn w:val="Text3"/>
    <w:rsid w:val="00A67D39"/>
    <w:pPr>
      <w:numPr>
        <w:ilvl w:val="3"/>
        <w:numId w:val="6"/>
      </w:numPr>
    </w:pPr>
    <w:rPr>
      <w:rFonts w:eastAsia="Times New Roman"/>
      <w:lang w:val="fr-FR" w:eastAsia="en-GB"/>
    </w:rPr>
  </w:style>
  <w:style w:type="paragraph" w:customStyle="1" w:styleId="Normal1">
    <w:name w:val="Normal1"/>
    <w:basedOn w:val="Normal"/>
    <w:rsid w:val="00A67D39"/>
    <w:pPr>
      <w:spacing w:before="100" w:beforeAutospacing="1" w:after="100" w:afterAutospacing="1"/>
      <w:jc w:val="left"/>
    </w:pPr>
    <w:rPr>
      <w:rFonts w:eastAsia="Times New Roman"/>
      <w:szCs w:val="24"/>
      <w:lang w:eastAsia="en-GB"/>
    </w:rPr>
  </w:style>
  <w:style w:type="paragraph" w:customStyle="1" w:styleId="Normal2">
    <w:name w:val="Normal2"/>
    <w:basedOn w:val="Normal"/>
    <w:rsid w:val="00C1022F"/>
    <w:pPr>
      <w:spacing w:before="100" w:beforeAutospacing="1" w:after="100" w:afterAutospacing="1"/>
      <w:jc w:val="left"/>
    </w:pPr>
    <w:rPr>
      <w:rFonts w:eastAsia="Times New Roman"/>
      <w:szCs w:val="24"/>
      <w:lang w:val="en-US"/>
    </w:rPr>
  </w:style>
  <w:style w:type="paragraph" w:styleId="Caption">
    <w:name w:val="caption"/>
    <w:basedOn w:val="Normal"/>
    <w:next w:val="Normal"/>
    <w:uiPriority w:val="35"/>
    <w:semiHidden/>
    <w:unhideWhenUsed/>
    <w:qFormat/>
    <w:rsid w:val="00F72CA3"/>
    <w:pPr>
      <w:spacing w:before="0" w:after="200"/>
    </w:pPr>
    <w:rPr>
      <w:i/>
      <w:iCs/>
      <w:color w:val="1F497D" w:themeColor="text2"/>
      <w:sz w:val="18"/>
      <w:szCs w:val="18"/>
    </w:rPr>
  </w:style>
  <w:style w:type="paragraph" w:styleId="TableofFigures">
    <w:name w:val="table of figures"/>
    <w:basedOn w:val="Normal"/>
    <w:next w:val="Normal"/>
    <w:uiPriority w:val="99"/>
    <w:semiHidden/>
    <w:unhideWhenUsed/>
    <w:rsid w:val="00F72CA3"/>
    <w:pPr>
      <w:spacing w:after="0"/>
    </w:pPr>
  </w:style>
  <w:style w:type="paragraph" w:styleId="ListNumber">
    <w:name w:val="List Number"/>
    <w:basedOn w:val="Normal"/>
    <w:uiPriority w:val="99"/>
    <w:semiHidden/>
    <w:unhideWhenUsed/>
    <w:rsid w:val="00F72CA3"/>
    <w:pPr>
      <w:numPr>
        <w:numId w:val="8"/>
      </w:numPr>
      <w:contextualSpacing/>
    </w:pPr>
  </w:style>
  <w:style w:type="paragraph" w:styleId="ListNumber2">
    <w:name w:val="List Number 2"/>
    <w:basedOn w:val="Normal"/>
    <w:uiPriority w:val="99"/>
    <w:semiHidden/>
    <w:unhideWhenUsed/>
    <w:rsid w:val="00F72CA3"/>
    <w:pPr>
      <w:numPr>
        <w:numId w:val="9"/>
      </w:numPr>
      <w:contextualSpacing/>
    </w:pPr>
  </w:style>
  <w:style w:type="paragraph" w:styleId="ListNumber4">
    <w:name w:val="List Number 4"/>
    <w:basedOn w:val="Normal"/>
    <w:uiPriority w:val="99"/>
    <w:semiHidden/>
    <w:unhideWhenUsed/>
    <w:rsid w:val="00F72CA3"/>
    <w:pPr>
      <w:numPr>
        <w:numId w:val="10"/>
      </w:numPr>
      <w:contextualSpacing/>
    </w:pPr>
  </w:style>
  <w:style w:type="character" w:styleId="CommentReference">
    <w:name w:val="annotation reference"/>
    <w:basedOn w:val="DefaultParagraphFont"/>
    <w:uiPriority w:val="99"/>
    <w:semiHidden/>
    <w:unhideWhenUsed/>
    <w:rsid w:val="00FA2DA0"/>
    <w:rPr>
      <w:sz w:val="16"/>
      <w:szCs w:val="16"/>
    </w:rPr>
  </w:style>
  <w:style w:type="paragraph" w:styleId="CommentText">
    <w:name w:val="annotation text"/>
    <w:basedOn w:val="Normal"/>
    <w:link w:val="CommentTextChar"/>
    <w:uiPriority w:val="99"/>
    <w:semiHidden/>
    <w:unhideWhenUsed/>
    <w:rsid w:val="00FA2DA0"/>
    <w:rPr>
      <w:sz w:val="20"/>
      <w:szCs w:val="20"/>
    </w:rPr>
  </w:style>
  <w:style w:type="character" w:customStyle="1" w:styleId="CommentTextChar">
    <w:name w:val="Comment Text Char"/>
    <w:basedOn w:val="DefaultParagraphFont"/>
    <w:link w:val="CommentText"/>
    <w:uiPriority w:val="99"/>
    <w:semiHidden/>
    <w:rsid w:val="00FA2DA0"/>
    <w:rPr>
      <w:rFonts w:ascii="Times New Roman" w:hAnsi="Times New Roman" w:cs="Times New Roman"/>
      <w:sz w:val="20"/>
      <w:szCs w:val="20"/>
      <w:lang w:val="en-GB"/>
    </w:rPr>
  </w:style>
  <w:style w:type="paragraph" w:styleId="CommentSubject">
    <w:name w:val="annotation subject"/>
    <w:basedOn w:val="CommentText"/>
    <w:next w:val="CommentText"/>
    <w:link w:val="CommentSubjectChar"/>
    <w:uiPriority w:val="99"/>
    <w:semiHidden/>
    <w:unhideWhenUsed/>
    <w:rsid w:val="00FA2DA0"/>
    <w:rPr>
      <w:b/>
      <w:bCs/>
    </w:rPr>
  </w:style>
  <w:style w:type="character" w:customStyle="1" w:styleId="CommentSubjectChar">
    <w:name w:val="Comment Subject Char"/>
    <w:basedOn w:val="CommentTextChar"/>
    <w:link w:val="CommentSubject"/>
    <w:uiPriority w:val="99"/>
    <w:semiHidden/>
    <w:rsid w:val="00FA2DA0"/>
    <w:rPr>
      <w:rFonts w:ascii="Times New Roman" w:hAnsi="Times New Roman" w:cs="Times New Roman"/>
      <w:b/>
      <w:bCs/>
      <w:sz w:val="20"/>
      <w:szCs w:val="20"/>
      <w:lang w:val="en-GB"/>
    </w:rPr>
  </w:style>
  <w:style w:type="paragraph" w:styleId="BalloonText">
    <w:name w:val="Balloon Text"/>
    <w:basedOn w:val="Normal"/>
    <w:link w:val="BalloonTextChar"/>
    <w:uiPriority w:val="99"/>
    <w:semiHidden/>
    <w:unhideWhenUsed/>
    <w:rsid w:val="00FA2DA0"/>
    <w:pPr>
      <w:spacing w:before="0"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A2DA0"/>
    <w:rPr>
      <w:rFonts w:ascii="Segoe UI" w:hAnsi="Segoe UI" w:cs="Segoe UI"/>
      <w:sz w:val="18"/>
      <w:szCs w:val="18"/>
      <w:lang w:val="en-GB"/>
    </w:rPr>
  </w:style>
  <w:style w:type="character" w:styleId="Hyperlink">
    <w:name w:val="Hyperlink"/>
    <w:basedOn w:val="DefaultParagraphFont"/>
    <w:uiPriority w:val="99"/>
    <w:unhideWhenUsed/>
    <w:rsid w:val="00FA2DA0"/>
    <w:rPr>
      <w:color w:val="0000FF" w:themeColor="hyperlink"/>
      <w:u w:val="single"/>
    </w:rPr>
  </w:style>
  <w:style w:type="paragraph" w:styleId="Revision">
    <w:name w:val="Revision"/>
    <w:hidden/>
    <w:uiPriority w:val="99"/>
    <w:semiHidden/>
    <w:rsid w:val="00321963"/>
    <w:pPr>
      <w:spacing w:after="0" w:line="240" w:lineRule="auto"/>
    </w:pPr>
    <w:rPr>
      <w:rFonts w:ascii="Times New Roman" w:hAnsi="Times New Roman" w:cs="Times New Roman"/>
      <w:sz w:val="24"/>
      <w:lang w:val="en-GB"/>
    </w:rPr>
  </w:style>
  <w:style w:type="paragraph" w:styleId="ListParagraph">
    <w:name w:val="List Paragraph"/>
    <w:basedOn w:val="Normal"/>
    <w:uiPriority w:val="34"/>
    <w:qFormat/>
    <w:rsid w:val="009B0ECE"/>
    <w:pPr>
      <w:ind w:left="720"/>
      <w:contextualSpacing/>
    </w:pPr>
  </w:style>
  <w:style w:type="character" w:customStyle="1" w:styleId="UnresolvedMention">
    <w:name w:val="Unresolved Mention"/>
    <w:basedOn w:val="DefaultParagraphFont"/>
    <w:uiPriority w:val="99"/>
    <w:semiHidden/>
    <w:unhideWhenUsed/>
    <w:rsid w:val="00094897"/>
    <w:rPr>
      <w:color w:val="605E5C"/>
      <w:shd w:val="clear" w:color="auto" w:fill="E1DFDD"/>
    </w:rPr>
  </w:style>
  <w:style w:type="character" w:customStyle="1" w:styleId="HeaderChar">
    <w:name w:val="Header Char"/>
    <w:basedOn w:val="DefaultParagraphFont"/>
    <w:link w:val="Header"/>
    <w:uiPriority w:val="99"/>
    <w:rsid w:val="000C29EE"/>
    <w:rPr>
      <w:rFonts w:ascii="Times New Roman" w:hAnsi="Times New Roman" w:cs="Times New Roman"/>
      <w:sz w:val="24"/>
      <w:lang w:val="en-GB"/>
    </w:rPr>
  </w:style>
  <w:style w:type="character" w:customStyle="1" w:styleId="FooterChar">
    <w:name w:val="Footer Char"/>
    <w:basedOn w:val="DefaultParagraphFont"/>
    <w:link w:val="Footer"/>
    <w:uiPriority w:val="99"/>
    <w:rsid w:val="000C29EE"/>
    <w:rPr>
      <w:rFonts w:ascii="Times New Roman" w:hAnsi="Times New Roman" w:cs="Times New Roman"/>
      <w:sz w:val="24"/>
      <w:lang w:val="en-GB"/>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shd w:val="clear" w:color="auto" w:fill="auto"/>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shd w:val="clear" w:color="auto" w:fill="auto"/>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shd w:val="clear" w:color="auto" w:fill="auto"/>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shd w:val="clear" w:color="auto" w:fill="auto"/>
      <w:lang w:val="en-GB"/>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shd w:val="clear" w:color="auto" w:fill="auto"/>
      <w:lang w:val="en-GB"/>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shd w:val="clear" w:color="auto" w:fill="auto"/>
      <w:lang w:val="en-GB"/>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shd w:val="clear" w:color="auto" w:fill="auto"/>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ind w:left="1417" w:hanging="141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rsid w:val="000C29EE"/>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rsid w:val="000C29EE"/>
    <w:pPr>
      <w:spacing w:before="0"/>
      <w:jc w:val="right"/>
    </w:pPr>
    <w:rPr>
      <w:sz w:val="28"/>
    </w:rPr>
  </w:style>
  <w:style w:type="paragraph" w:customStyle="1" w:styleId="FooterSensitivity">
    <w:name w:val="Footer Sensitivity"/>
    <w:basedOn w:val="Normal"/>
    <w:rsid w:val="000C29EE"/>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28"/>
      </w:numPr>
    </w:pPr>
  </w:style>
  <w:style w:type="paragraph" w:customStyle="1" w:styleId="Tiret1">
    <w:name w:val="Tiret 1"/>
    <w:basedOn w:val="Point1"/>
    <w:pPr>
      <w:numPr>
        <w:numId w:val="29"/>
      </w:numPr>
    </w:pPr>
  </w:style>
  <w:style w:type="paragraph" w:customStyle="1" w:styleId="Tiret2">
    <w:name w:val="Tiret 2"/>
    <w:basedOn w:val="Point2"/>
    <w:pPr>
      <w:numPr>
        <w:numId w:val="30"/>
      </w:numPr>
    </w:pPr>
  </w:style>
  <w:style w:type="paragraph" w:customStyle="1" w:styleId="Tiret3">
    <w:name w:val="Tiret 3"/>
    <w:basedOn w:val="Point3"/>
    <w:pPr>
      <w:numPr>
        <w:numId w:val="31"/>
      </w:numPr>
    </w:pPr>
  </w:style>
  <w:style w:type="paragraph" w:customStyle="1" w:styleId="Tiret4">
    <w:name w:val="Tiret 4"/>
    <w:basedOn w:val="Point4"/>
    <w:pPr>
      <w:numPr>
        <w:numId w:val="32"/>
      </w:numPr>
    </w:pPr>
  </w:style>
  <w:style w:type="paragraph" w:customStyle="1" w:styleId="Tiret5">
    <w:name w:val="Tiret 5"/>
    <w:basedOn w:val="Point5"/>
    <w:pPr>
      <w:numPr>
        <w:numId w:val="33"/>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34"/>
      </w:numPr>
    </w:pPr>
  </w:style>
  <w:style w:type="paragraph" w:customStyle="1" w:styleId="NumPar2">
    <w:name w:val="NumPar 2"/>
    <w:basedOn w:val="Normal"/>
    <w:next w:val="Text1"/>
    <w:pPr>
      <w:numPr>
        <w:ilvl w:val="1"/>
        <w:numId w:val="34"/>
      </w:numPr>
    </w:pPr>
  </w:style>
  <w:style w:type="paragraph" w:customStyle="1" w:styleId="NumPar3">
    <w:name w:val="NumPar 3"/>
    <w:basedOn w:val="Normal"/>
    <w:next w:val="Text1"/>
    <w:pPr>
      <w:numPr>
        <w:ilvl w:val="2"/>
        <w:numId w:val="34"/>
      </w:numPr>
    </w:pPr>
  </w:style>
  <w:style w:type="paragraph" w:customStyle="1" w:styleId="NumPar4">
    <w:name w:val="NumPar 4"/>
    <w:basedOn w:val="Normal"/>
    <w:next w:val="Text1"/>
    <w:pPr>
      <w:numPr>
        <w:ilvl w:val="3"/>
        <w:numId w:val="34"/>
      </w:numPr>
    </w:pPr>
  </w:style>
  <w:style w:type="paragraph" w:customStyle="1" w:styleId="NumPar5">
    <w:name w:val="NumPar 5"/>
    <w:basedOn w:val="Normal"/>
    <w:next w:val="Text2"/>
    <w:pPr>
      <w:numPr>
        <w:ilvl w:val="4"/>
        <w:numId w:val="34"/>
      </w:numPr>
    </w:pPr>
  </w:style>
  <w:style w:type="paragraph" w:customStyle="1" w:styleId="NumPar6">
    <w:name w:val="NumPar 6"/>
    <w:basedOn w:val="Normal"/>
    <w:next w:val="Text2"/>
    <w:pPr>
      <w:numPr>
        <w:ilvl w:val="5"/>
        <w:numId w:val="34"/>
      </w:numPr>
    </w:pPr>
  </w:style>
  <w:style w:type="paragraph" w:customStyle="1" w:styleId="NumPar7">
    <w:name w:val="NumPar 7"/>
    <w:basedOn w:val="Normal"/>
    <w:next w:val="Text2"/>
    <w:pPr>
      <w:numPr>
        <w:ilvl w:val="6"/>
        <w:numId w:val="34"/>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36"/>
      </w:numPr>
    </w:pPr>
  </w:style>
  <w:style w:type="paragraph" w:customStyle="1" w:styleId="Point1number">
    <w:name w:val="Point 1 (number)"/>
    <w:basedOn w:val="Normal"/>
    <w:pPr>
      <w:numPr>
        <w:ilvl w:val="2"/>
        <w:numId w:val="36"/>
      </w:numPr>
    </w:pPr>
  </w:style>
  <w:style w:type="paragraph" w:customStyle="1" w:styleId="Point2number">
    <w:name w:val="Point 2 (number)"/>
    <w:basedOn w:val="Normal"/>
    <w:pPr>
      <w:numPr>
        <w:ilvl w:val="4"/>
        <w:numId w:val="36"/>
      </w:numPr>
    </w:pPr>
  </w:style>
  <w:style w:type="paragraph" w:customStyle="1" w:styleId="Point3number">
    <w:name w:val="Point 3 (number)"/>
    <w:basedOn w:val="Normal"/>
    <w:pPr>
      <w:numPr>
        <w:ilvl w:val="6"/>
        <w:numId w:val="36"/>
      </w:numPr>
    </w:pPr>
  </w:style>
  <w:style w:type="paragraph" w:customStyle="1" w:styleId="Point0letter">
    <w:name w:val="Point 0 (letter)"/>
    <w:basedOn w:val="Normal"/>
    <w:pPr>
      <w:numPr>
        <w:ilvl w:val="1"/>
        <w:numId w:val="36"/>
      </w:numPr>
    </w:pPr>
  </w:style>
  <w:style w:type="paragraph" w:customStyle="1" w:styleId="Point1letter">
    <w:name w:val="Point 1 (letter)"/>
    <w:basedOn w:val="Normal"/>
    <w:pPr>
      <w:numPr>
        <w:ilvl w:val="3"/>
        <w:numId w:val="36"/>
      </w:numPr>
    </w:pPr>
  </w:style>
  <w:style w:type="paragraph" w:customStyle="1" w:styleId="Point2letter">
    <w:name w:val="Point 2 (letter)"/>
    <w:basedOn w:val="Normal"/>
    <w:pPr>
      <w:numPr>
        <w:ilvl w:val="5"/>
        <w:numId w:val="36"/>
      </w:numPr>
    </w:pPr>
  </w:style>
  <w:style w:type="paragraph" w:customStyle="1" w:styleId="Point3letter">
    <w:name w:val="Point 3 (letter)"/>
    <w:basedOn w:val="Normal"/>
    <w:pPr>
      <w:numPr>
        <w:ilvl w:val="7"/>
        <w:numId w:val="36"/>
      </w:numPr>
    </w:pPr>
  </w:style>
  <w:style w:type="paragraph" w:customStyle="1" w:styleId="Point4letter">
    <w:name w:val="Point 4 (letter)"/>
    <w:basedOn w:val="Normal"/>
    <w:pPr>
      <w:numPr>
        <w:ilvl w:val="8"/>
        <w:numId w:val="36"/>
      </w:numPr>
    </w:pPr>
  </w:style>
  <w:style w:type="paragraph" w:customStyle="1" w:styleId="Bullet0">
    <w:name w:val="Bullet 0"/>
    <w:basedOn w:val="Normal"/>
    <w:pPr>
      <w:numPr>
        <w:numId w:val="37"/>
      </w:numPr>
    </w:pPr>
  </w:style>
  <w:style w:type="paragraph" w:customStyle="1" w:styleId="Bullet1">
    <w:name w:val="Bullet 1"/>
    <w:basedOn w:val="Normal"/>
    <w:pPr>
      <w:numPr>
        <w:numId w:val="38"/>
      </w:numPr>
    </w:pPr>
  </w:style>
  <w:style w:type="paragraph" w:customStyle="1" w:styleId="Bullet2">
    <w:name w:val="Bullet 2"/>
    <w:basedOn w:val="Normal"/>
    <w:pPr>
      <w:numPr>
        <w:numId w:val="39"/>
      </w:numPr>
    </w:pPr>
  </w:style>
  <w:style w:type="paragraph" w:customStyle="1" w:styleId="Bullet3">
    <w:name w:val="Bullet 3"/>
    <w:basedOn w:val="Normal"/>
    <w:pPr>
      <w:numPr>
        <w:numId w:val="40"/>
      </w:numPr>
    </w:pPr>
  </w:style>
  <w:style w:type="paragraph" w:customStyle="1" w:styleId="Bullet4">
    <w:name w:val="Bullet 4"/>
    <w:basedOn w:val="Normal"/>
    <w:pPr>
      <w:numPr>
        <w:numId w:val="41"/>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42"/>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IntrtEEE"/>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rsid w:val="00E664ED"/>
    <w:pPr>
      <w:spacing w:before="360" w:after="24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IntrtEEE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rsid w:val="00E664ED"/>
    <w:pPr>
      <w:spacing w:after="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Normal"/>
    <w:rsid w:val="00E664ED"/>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Rfrencecroise"/>
    <w:rsid w:val="00E664ED"/>
    <w:pPr>
      <w:spacing w:before="360" w:after="240"/>
      <w:jc w:val="center"/>
    </w:pPr>
  </w:style>
  <w:style w:type="paragraph" w:styleId="Header">
    <w:name w:val="header"/>
    <w:basedOn w:val="Normal"/>
    <w:link w:val="HeaderChar"/>
    <w:uiPriority w:val="99"/>
    <w:unhideWhenUsed/>
    <w:rsid w:val="000C29EE"/>
    <w:pPr>
      <w:tabs>
        <w:tab w:val="center" w:pos="4535"/>
        <w:tab w:val="right" w:pos="9071"/>
      </w:tabs>
      <w:spacing w:before="0"/>
    </w:pPr>
  </w:style>
  <w:style w:type="paragraph" w:customStyle="1" w:styleId="HeaderLandscape">
    <w:name w:val="HeaderLandscape"/>
    <w:basedOn w:val="Normal"/>
    <w:rsid w:val="000C29EE"/>
    <w:pPr>
      <w:tabs>
        <w:tab w:val="center" w:pos="7285"/>
        <w:tab w:val="right" w:pos="14003"/>
      </w:tabs>
      <w:spacing w:before="0"/>
    </w:pPr>
  </w:style>
  <w:style w:type="paragraph" w:styleId="Footer">
    <w:name w:val="footer"/>
    <w:basedOn w:val="Normal"/>
    <w:link w:val="FooterChar"/>
    <w:uiPriority w:val="99"/>
    <w:unhideWhenUsed/>
    <w:rsid w:val="000C29EE"/>
    <w:pPr>
      <w:tabs>
        <w:tab w:val="center" w:pos="4535"/>
        <w:tab w:val="right" w:pos="9071"/>
        <w:tab w:val="right" w:pos="9921"/>
      </w:tabs>
      <w:spacing w:before="360" w:after="0"/>
      <w:ind w:left="-850" w:right="-850"/>
      <w:jc w:val="left"/>
    </w:pPr>
  </w:style>
  <w:style w:type="paragraph" w:customStyle="1" w:styleId="FooterLandscape">
    <w:name w:val="FooterLandscape"/>
    <w:basedOn w:val="Normal"/>
    <w:rsid w:val="000C29EE"/>
    <w:pPr>
      <w:tabs>
        <w:tab w:val="center" w:pos="7285"/>
        <w:tab w:val="center" w:pos="10913"/>
        <w:tab w:val="right" w:pos="15137"/>
      </w:tabs>
      <w:spacing w:before="360" w:after="0"/>
      <w:ind w:left="-567" w:right="-567"/>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50044299">
      <w:bodyDiv w:val="1"/>
      <w:marLeft w:val="0"/>
      <w:marRight w:val="0"/>
      <w:marTop w:val="0"/>
      <w:marBottom w:val="0"/>
      <w:divBdr>
        <w:top w:val="none" w:sz="0" w:space="0" w:color="auto"/>
        <w:left w:val="none" w:sz="0" w:space="0" w:color="auto"/>
        <w:bottom w:val="none" w:sz="0" w:space="0" w:color="auto"/>
        <w:right w:val="none" w:sz="0" w:space="0" w:color="auto"/>
      </w:divBdr>
    </w:div>
    <w:div w:id="720715121">
      <w:bodyDiv w:val="1"/>
      <w:marLeft w:val="0"/>
      <w:marRight w:val="0"/>
      <w:marTop w:val="0"/>
      <w:marBottom w:val="0"/>
      <w:divBdr>
        <w:top w:val="none" w:sz="0" w:space="0" w:color="auto"/>
        <w:left w:val="none" w:sz="0" w:space="0" w:color="auto"/>
        <w:bottom w:val="none" w:sz="0" w:space="0" w:color="auto"/>
        <w:right w:val="none" w:sz="0" w:space="0" w:color="auto"/>
      </w:divBdr>
    </w:div>
    <w:div w:id="892159364">
      <w:bodyDiv w:val="1"/>
      <w:marLeft w:val="0"/>
      <w:marRight w:val="0"/>
      <w:marTop w:val="0"/>
      <w:marBottom w:val="0"/>
      <w:divBdr>
        <w:top w:val="none" w:sz="0" w:space="0" w:color="auto"/>
        <w:left w:val="none" w:sz="0" w:space="0" w:color="auto"/>
        <w:bottom w:val="none" w:sz="0" w:space="0" w:color="auto"/>
        <w:right w:val="none" w:sz="0" w:space="0" w:color="auto"/>
      </w:divBdr>
    </w:div>
    <w:div w:id="1190680235">
      <w:bodyDiv w:val="1"/>
      <w:marLeft w:val="0"/>
      <w:marRight w:val="0"/>
      <w:marTop w:val="0"/>
      <w:marBottom w:val="0"/>
      <w:divBdr>
        <w:top w:val="none" w:sz="0" w:space="0" w:color="auto"/>
        <w:left w:val="none" w:sz="0" w:space="0" w:color="auto"/>
        <w:bottom w:val="none" w:sz="0" w:space="0" w:color="auto"/>
        <w:right w:val="none" w:sz="0" w:space="0" w:color="auto"/>
      </w:divBdr>
    </w:div>
    <w:div w:id="1550921949">
      <w:bodyDiv w:val="1"/>
      <w:marLeft w:val="0"/>
      <w:marRight w:val="0"/>
      <w:marTop w:val="0"/>
      <w:marBottom w:val="0"/>
      <w:divBdr>
        <w:top w:val="none" w:sz="0" w:space="0" w:color="auto"/>
        <w:left w:val="none" w:sz="0" w:space="0" w:color="auto"/>
        <w:bottom w:val="none" w:sz="0" w:space="0" w:color="auto"/>
        <w:right w:val="none" w:sz="0" w:space="0" w:color="auto"/>
      </w:divBdr>
    </w:div>
    <w:div w:id="19362873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footer" Target="footer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oter" Target="footer5.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eader" Target="head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9929AB9-3A31-47DF-BF1E-40E2A9274A2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COM.dotm</Template>
  <TotalTime>9</TotalTime>
  <Pages>6</Pages>
  <Words>1677</Words>
  <Characters>9564</Characters>
  <Application>Microsoft Office Word</Application>
  <DocSecurity>0</DocSecurity>
  <Lines>79</Lines>
  <Paragraphs>22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11219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30</cp:revision>
  <cp:lastPrinted>2022-10-25T12:44:00Z</cp:lastPrinted>
  <dcterms:created xsi:type="dcterms:W3CDTF">2025-09-29T08:19:00Z</dcterms:created>
  <dcterms:modified xsi:type="dcterms:W3CDTF">2026-02-16T07:49:00Z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tegory">
    <vt:lpwstr>COM/PL/ORG</vt:lpwstr>
  </property>
  <property fmtid="{D5CDD505-2E9C-101B-9397-08002B2CF9AE}" pid="3" name="Version">
    <vt:lpwstr>7.0.9.0</vt:lpwstr>
  </property>
  <property fmtid="{D5CDD505-2E9C-101B-9397-08002B2CF9AE}" pid="4" name="Last edited using">
    <vt:lpwstr>LW 9.2, Build 20250828</vt:lpwstr>
  </property>
  <property fmtid="{D5CDD505-2E9C-101B-9397-08002B2CF9AE}" pid="5" name="Created using">
    <vt:lpwstr>LW 7.0.1, Build 20190916</vt:lpwstr>
  </property>
  <property fmtid="{D5CDD505-2E9C-101B-9397-08002B2CF9AE}" pid="6" name="Part">
    <vt:lpwstr>1</vt:lpwstr>
  </property>
  <property fmtid="{D5CDD505-2E9C-101B-9397-08002B2CF9AE}" pid="7" name="Total parts">
    <vt:lpwstr>1</vt:lpwstr>
  </property>
  <property fmtid="{D5CDD505-2E9C-101B-9397-08002B2CF9AE}" pid="8" name="Level of sensitivity">
    <vt:lpwstr>Standard treatment</vt:lpwstr>
  </property>
  <property fmtid="{D5CDD505-2E9C-101B-9397-08002B2CF9AE}" pid="9" name="LWTemplateID">
    <vt:lpwstr>SJ-043</vt:lpwstr>
  </property>
  <property fmtid="{D5CDD505-2E9C-101B-9397-08002B2CF9AE}" pid="10" name="MSIP_Label_6bd9ddd1-4d20-43f6-abfa-fc3c07406f94_Enabled">
    <vt:lpwstr>true</vt:lpwstr>
  </property>
  <property fmtid="{D5CDD505-2E9C-101B-9397-08002B2CF9AE}" pid="11" name="MSIP_Label_6bd9ddd1-4d20-43f6-abfa-fc3c07406f94_SetDate">
    <vt:lpwstr>2022-09-26T13:55:54Z</vt:lpwstr>
  </property>
  <property fmtid="{D5CDD505-2E9C-101B-9397-08002B2CF9AE}" pid="12" name="MSIP_Label_6bd9ddd1-4d20-43f6-abfa-fc3c07406f94_Method">
    <vt:lpwstr>Standard</vt:lpwstr>
  </property>
  <property fmtid="{D5CDD505-2E9C-101B-9397-08002B2CF9AE}" pid="13" name="MSIP_Label_6bd9ddd1-4d20-43f6-abfa-fc3c07406f94_Name">
    <vt:lpwstr>Commission Use</vt:lpwstr>
  </property>
  <property fmtid="{D5CDD505-2E9C-101B-9397-08002B2CF9AE}" pid="14" name="MSIP_Label_6bd9ddd1-4d20-43f6-abfa-fc3c07406f94_SiteId">
    <vt:lpwstr>b24c8b06-522c-46fe-9080-70926f8dddb1</vt:lpwstr>
  </property>
  <property fmtid="{D5CDD505-2E9C-101B-9397-08002B2CF9AE}" pid="15" name="MSIP_Label_6bd9ddd1-4d20-43f6-abfa-fc3c07406f94_ActionId">
    <vt:lpwstr>d019a6c2-55bc-46b1-a363-5e2021e519af</vt:lpwstr>
  </property>
  <property fmtid="{D5CDD505-2E9C-101B-9397-08002B2CF9AE}" pid="16" name="MSIP_Label_6bd9ddd1-4d20-43f6-abfa-fc3c07406f94_ContentBits">
    <vt:lpwstr>0</vt:lpwstr>
  </property>
  <property fmtid="{D5CDD505-2E9C-101B-9397-08002B2CF9AE}" pid="17" name="DQCStatus">
    <vt:lpwstr>Green (DQC version 03)</vt:lpwstr>
  </property>
</Properties>
</file>