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B03" w:rsidRPr="00AF5AF4" w:rsidRDefault="00EE7E4A" w:rsidP="00EE7E4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15D3B91-99C4-4689-AE77-348436D725B6" style="width:455.25pt;height:426.75pt">
            <v:imagedata r:id="rId8" o:title=""/>
          </v:shape>
        </w:pict>
      </w:r>
    </w:p>
    <w:p w:rsidR="004453FB" w:rsidRPr="00AF5AF4" w:rsidRDefault="004453FB" w:rsidP="004453FB">
      <w:pPr>
        <w:rPr>
          <w:noProof/>
        </w:rPr>
        <w:sectPr w:rsidR="004453FB" w:rsidRPr="00AF5AF4" w:rsidSect="00EE7E4A">
          <w:footerReference w:type="even" r:id="rId9"/>
          <w:footerReference w:type="default" r:id="rId10"/>
          <w:pgSz w:w="11907" w:h="16839"/>
          <w:pgMar w:top="1134" w:right="1417" w:bottom="1134" w:left="1417" w:header="709" w:footer="709" w:gutter="0"/>
          <w:pgNumType w:start="0"/>
          <w:cols w:space="720"/>
          <w:docGrid w:linePitch="360"/>
        </w:sectPr>
      </w:pPr>
    </w:p>
    <w:p w:rsidR="00654B03" w:rsidRPr="00AF5AF4" w:rsidRDefault="00654B03" w:rsidP="00654B03">
      <w:pPr>
        <w:pStyle w:val="Exposdesmotifstitre"/>
        <w:rPr>
          <w:noProof/>
        </w:rPr>
      </w:pPr>
      <w:bookmarkStart w:id="0" w:name="_GoBack"/>
      <w:bookmarkEnd w:id="0"/>
      <w:r w:rsidRPr="00AF5AF4">
        <w:rPr>
          <w:noProof/>
        </w:rPr>
        <w:lastRenderedPageBreak/>
        <w:t>EXPUNERE DE MOTIVE</w:t>
      </w:r>
    </w:p>
    <w:p w:rsidR="00471639" w:rsidRPr="00AF5AF4" w:rsidRDefault="00471639" w:rsidP="000A0B15">
      <w:pPr>
        <w:pStyle w:val="ManualHeading1"/>
        <w:rPr>
          <w:rFonts w:eastAsia="Arial Unicode MS"/>
          <w:noProof/>
        </w:rPr>
      </w:pPr>
      <w:r>
        <w:rPr>
          <w:noProof/>
        </w:rPr>
        <w:t>1.</w:t>
      </w:r>
      <w:r>
        <w:rPr>
          <w:noProof/>
        </w:rPr>
        <w:tab/>
      </w:r>
      <w:r w:rsidRPr="00AF5AF4">
        <w:rPr>
          <w:noProof/>
        </w:rPr>
        <w:t>Obiectul propunerii</w:t>
      </w:r>
    </w:p>
    <w:p w:rsidR="00822013" w:rsidRPr="00AF5AF4" w:rsidRDefault="00822013" w:rsidP="00602EF3">
      <w:pPr>
        <w:rPr>
          <w:noProof/>
        </w:rPr>
      </w:pPr>
      <w:r w:rsidRPr="00AF5AF4">
        <w:rPr>
          <w:noProof/>
        </w:rPr>
        <w:t>Comisia propune Consiliului să stabilească poziția care trebuie adoptată, în numele Uniunii, în cadrul Comitetului specializat în comerț privind condiții de concurență echitabile pentru o concurență deschisă și loială și dezvoltarea durabilă instituit prin Acordul comercial și de cooperare dintre Uniunea Europeană și Comunitatea Europeană a Energiei Atomice, pe de o parte, și Regatul Unit al Marii Britanii și Irlandei de Nord, pe de altă parte (denumit în continuare „Acordul comercial și de cooperare”), cu privire la o decizie de stabilire a unei liste de persoane care doresc și sunt în măsură să îndeplinească funcția de membri ai grupului de experți instituit în temeiul articolului 409 din Acordul comercial și de cooperare.</w:t>
      </w:r>
    </w:p>
    <w:p w:rsidR="00471639" w:rsidRPr="00AF5AF4" w:rsidRDefault="00471639" w:rsidP="00736AA9">
      <w:pPr>
        <w:pStyle w:val="ManualHeading1"/>
        <w:rPr>
          <w:noProof/>
        </w:rPr>
      </w:pPr>
      <w:r>
        <w:rPr>
          <w:noProof/>
        </w:rPr>
        <w:t>2.</w:t>
      </w:r>
      <w:r>
        <w:rPr>
          <w:noProof/>
        </w:rPr>
        <w:tab/>
      </w:r>
      <w:r w:rsidRPr="00AF5AF4">
        <w:rPr>
          <w:noProof/>
        </w:rPr>
        <w:t>Contextul propunerii</w:t>
      </w:r>
    </w:p>
    <w:p w:rsidR="00602EF3" w:rsidRPr="00AF5AF4" w:rsidRDefault="00602EF3" w:rsidP="00822013">
      <w:pPr>
        <w:pStyle w:val="ManualHeading2"/>
        <w:rPr>
          <w:noProof/>
        </w:rPr>
      </w:pPr>
      <w:r>
        <w:rPr>
          <w:noProof/>
        </w:rPr>
        <w:t>2.1.</w:t>
      </w:r>
      <w:r>
        <w:rPr>
          <w:noProof/>
        </w:rPr>
        <w:tab/>
      </w:r>
      <w:r w:rsidRPr="00AF5AF4">
        <w:rPr>
          <w:noProof/>
        </w:rPr>
        <w:t xml:space="preserve">Acordul comercial și de cooperare </w:t>
      </w:r>
    </w:p>
    <w:p w:rsidR="00CF6286" w:rsidRPr="00AF5AF4" w:rsidRDefault="00B7526E" w:rsidP="00184A8E">
      <w:pPr>
        <w:spacing w:after="240"/>
        <w:rPr>
          <w:noProof/>
        </w:rPr>
      </w:pPr>
      <w:r w:rsidRPr="00AF5AF4">
        <w:rPr>
          <w:noProof/>
        </w:rPr>
        <w:t>Acordul comercial și de cooperare încheiat între UE și Regatul Unit stabilește regimuri preferențiale în domenii precum comerțul cu mărfuri și servicii, comerțul digital, proprietatea intelectuală, achizițiile publice, aviația și transportul rutier, energia, pescuitul, coordonarea securității sociale, asigurarea respectării legii și cooperarea judiciară în materie penală, cooperarea tematică și participarea la programele Uniunii. În special, capitolele 6, 7 și 8 din titlul XI din Acordul comercial și de cooperare includ dispoziții privind standardele sociale și de muncă, mediul și clima, precum și alte instrumente pentru comerț și dezvoltare durabilă.</w:t>
      </w:r>
    </w:p>
    <w:p w:rsidR="00471639" w:rsidRPr="00AF5AF4" w:rsidRDefault="00471639" w:rsidP="00B7526E">
      <w:pPr>
        <w:pStyle w:val="ManualHeading2"/>
        <w:rPr>
          <w:noProof/>
        </w:rPr>
      </w:pPr>
      <w:r>
        <w:rPr>
          <w:noProof/>
        </w:rPr>
        <w:t>2.2.</w:t>
      </w:r>
      <w:r>
        <w:rPr>
          <w:noProof/>
        </w:rPr>
        <w:tab/>
      </w:r>
      <w:r w:rsidRPr="00AF5AF4">
        <w:rPr>
          <w:noProof/>
        </w:rPr>
        <w:t xml:space="preserve">Comitetul specializat în comerț privind condiții de concurență echitabile pentru o concurență deschisă și loială și dezvoltarea durabilă </w:t>
      </w:r>
    </w:p>
    <w:p w:rsidR="0099144E" w:rsidRPr="00AF5AF4" w:rsidRDefault="0099144E" w:rsidP="007A2337">
      <w:pPr>
        <w:rPr>
          <w:noProof/>
        </w:rPr>
      </w:pPr>
      <w:r w:rsidRPr="00AF5AF4">
        <w:rPr>
          <w:noProof/>
        </w:rPr>
        <w:t>Comitetul specializat în comerț privind condiții de concurență echitabile pentru o concurență deschisă și loială și dezvoltarea durabilă, instituit în temeiul articolului 8 alineatul (1) litera (j) din Acordul comercial și de cooperare, este alcătuit din reprezentanți ai Uniunii și ai Regatului Unit. El este coprezidat de Uniune și de Regatul Unit. Anexa 1 la Acordul comercial și de cooperare stabilește regulamentul de procedură al Comitetului specializat în comerț privind condiții de concurență echitabile pentru o concurență deschisă și loială și dezvoltarea durabilă. Sarcinile Comitetului specializat în comerț privind condiții de concurență echitabile pentru o concurență deschisă și loială și dezvoltarea durabilă sunt prevăzute la articolul 8 din Acordul comercial și de cooperare și sunt în principal următoarele:</w:t>
      </w:r>
    </w:p>
    <w:p w:rsidR="0099144E" w:rsidRPr="00AF5AF4" w:rsidRDefault="008C2104" w:rsidP="000A0B15">
      <w:pPr>
        <w:pStyle w:val="Bullet1"/>
        <w:numPr>
          <w:ilvl w:val="0"/>
          <w:numId w:val="1"/>
        </w:numPr>
        <w:rPr>
          <w:noProof/>
        </w:rPr>
      </w:pPr>
      <w:r w:rsidRPr="00AF5AF4">
        <w:rPr>
          <w:noProof/>
        </w:rPr>
        <w:t>de a monitoriza și revizui punerea în aplicare și de a asigura buna funcționare a respectivului acord sau a oricărui acord de completare;</w:t>
      </w:r>
    </w:p>
    <w:p w:rsidR="00B7526E" w:rsidRPr="00AF5AF4" w:rsidRDefault="0099144E" w:rsidP="00184A8E">
      <w:pPr>
        <w:pStyle w:val="Bullet1"/>
        <w:spacing w:after="240"/>
        <w:ind w:left="1418"/>
        <w:rPr>
          <w:noProof/>
        </w:rPr>
      </w:pPr>
      <w:r w:rsidRPr="00AF5AF4">
        <w:rPr>
          <w:noProof/>
        </w:rPr>
        <w:t>de a adopta decizii cu privire la toate aspectele pentru care respectivul acord sau orice acord de completare prevede acest lucru.</w:t>
      </w:r>
    </w:p>
    <w:p w:rsidR="00471639" w:rsidRPr="00AF5AF4" w:rsidRDefault="00471639" w:rsidP="00736AA9">
      <w:pPr>
        <w:pStyle w:val="ManualHeading2"/>
        <w:rPr>
          <w:noProof/>
        </w:rPr>
      </w:pPr>
      <w:r>
        <w:rPr>
          <w:noProof/>
        </w:rPr>
        <w:t>2.3.</w:t>
      </w:r>
      <w:r>
        <w:rPr>
          <w:noProof/>
        </w:rPr>
        <w:tab/>
      </w:r>
      <w:r w:rsidRPr="00AF5AF4">
        <w:rPr>
          <w:noProof/>
        </w:rPr>
        <w:t xml:space="preserve">Actul avut în vedere de Comitetul specializat în comerț privind condiții de concurență echitabile pentru o concurență deschisă și loială și dezvoltarea durabilă </w:t>
      </w:r>
    </w:p>
    <w:p w:rsidR="00795AAF" w:rsidRPr="00AF5AF4" w:rsidRDefault="00A3442D" w:rsidP="00971E21">
      <w:pPr>
        <w:rPr>
          <w:noProof/>
        </w:rPr>
      </w:pPr>
      <w:bookmarkStart w:id="1" w:name="_Hlk115171159"/>
      <w:r w:rsidRPr="00AF5AF4">
        <w:rPr>
          <w:noProof/>
        </w:rPr>
        <w:t>În conformitate cu articolul 408 din Acordul comercial și de cooperare, pentru orice aspect care decurge din articolul 355 alineatul (3) și din titlul XI capitolele 6, 7 și 8 din Acordul comercial și de cooperare, o parte poate solicita consultări cu scopul de a se ajunge la o soluție reciproc satisfăcătoare.</w:t>
      </w:r>
    </w:p>
    <w:p w:rsidR="00A3442D" w:rsidRPr="00AF5AF4" w:rsidRDefault="00795AAF" w:rsidP="00971E21">
      <w:pPr>
        <w:rPr>
          <w:noProof/>
        </w:rPr>
      </w:pPr>
      <w:r w:rsidRPr="00AF5AF4">
        <w:rPr>
          <w:noProof/>
        </w:rPr>
        <w:t xml:space="preserve">Articolul 409 alineatul (1) din Acordul comercial și de cooperare prevede că, în cazul în care un astfel de aspect nu a fost abordat în mod satisfăcător prin consultări în temeiul </w:t>
      </w:r>
      <w:r w:rsidRPr="00AF5AF4">
        <w:rPr>
          <w:noProof/>
        </w:rPr>
        <w:lastRenderedPageBreak/>
        <w:t xml:space="preserve">articolului 408 din Acordul comercial și de cooperare, o parte poate solicita convocarea unui grup de experți pentru a examina aspectul în cauză. </w:t>
      </w:r>
    </w:p>
    <w:p w:rsidR="00971E21" w:rsidRPr="00AF5AF4" w:rsidRDefault="00FC2C71" w:rsidP="00971E21">
      <w:pPr>
        <w:rPr>
          <w:noProof/>
        </w:rPr>
      </w:pPr>
      <w:r w:rsidRPr="00AF5AF4">
        <w:rPr>
          <w:noProof/>
        </w:rPr>
        <w:t>În conformitate cu articolul 409 alineatul (3) din Acordul comercial și de cooperare, Comitetul specializat în comerț privind condiții de concurență echitabile pentru o concurență deschisă și loială și dezvoltarea durabilă stabilește o listă cu cel puțin 15 persoane care doresc și sunt în măsură să îndeplinească funcția de membri ai grupului de experți.</w:t>
      </w:r>
    </w:p>
    <w:p w:rsidR="00971E21" w:rsidRPr="00AF5AF4" w:rsidRDefault="00971E21" w:rsidP="00971E21">
      <w:pPr>
        <w:rPr>
          <w:noProof/>
        </w:rPr>
      </w:pPr>
      <w:r w:rsidRPr="00AF5AF4">
        <w:rPr>
          <w:noProof/>
        </w:rPr>
        <w:t xml:space="preserve">Fiecare parte numește cel puțin cinci persoane pe lista de membri. De asemenea, părțile numesc cel puțin cinci persoane care nu sunt resortisanți ai niciuneia dintre părți și care sunt dispuse și capabile să exercite funcția de președinte al unui grup de experți. </w:t>
      </w:r>
    </w:p>
    <w:p w:rsidR="00971E21" w:rsidRPr="00AF5AF4" w:rsidRDefault="00971E21" w:rsidP="00971E21">
      <w:pPr>
        <w:rPr>
          <w:noProof/>
        </w:rPr>
      </w:pPr>
      <w:r w:rsidRPr="00AF5AF4">
        <w:rPr>
          <w:noProof/>
        </w:rPr>
        <w:t xml:space="preserve">Comitetul specializat în comerț privind condiții de concurență echitabile pentru o concurență deschisă și loială și dezvoltarea durabilă asigură menținerea la zi a listei și menținerea numărului de experți la cel puțin 15. </w:t>
      </w:r>
    </w:p>
    <w:p w:rsidR="00971E21" w:rsidRPr="00AF5AF4" w:rsidRDefault="00971E21" w:rsidP="00971E21">
      <w:pPr>
        <w:rPr>
          <w:noProof/>
        </w:rPr>
      </w:pPr>
      <w:r w:rsidRPr="00AF5AF4">
        <w:rPr>
          <w:noProof/>
        </w:rPr>
        <w:t>În conformitate cu articolul 409 alineatul (4) din Acordul comercial și de cooperare, experții propuși ca membri ai grupului de experți trebuie să aibă cunoștințe de specialitate sau expertiză în dreptul muncii sau al mediului, în alte aspecte abordate în capitolul sau capitolele relevante sau în soluționarea litigiilor care decurg din acorduri internaționale.</w:t>
      </w:r>
    </w:p>
    <w:p w:rsidR="00B7526E" w:rsidRPr="00AF5AF4" w:rsidRDefault="00971E21" w:rsidP="007A2337">
      <w:pPr>
        <w:rPr>
          <w:noProof/>
        </w:rPr>
      </w:pPr>
      <w:r w:rsidRPr="00AF5AF4">
        <w:rPr>
          <w:noProof/>
        </w:rPr>
        <w:t xml:space="preserve">Experții propuși ca membri ai grupului de experți trebuie să își exercite funcția în nume propriu și să nu accepte instrucțiuni din partea niciunei organizații și a niciunui guvern în ceea ce privește aspectele legate de litigiu. Aceștia nu trebuie să fie afiliați niciuneia dintre părți și nu trebuie să primească instrucțiuni din partea niciuneia dintre ele și nu pot fi persoane care au statut de membri, funcționari sau alți agenți ai instituțiilor Uniunii, ai autorităților publice ale unui stat membru sau ai guvernului Regatului Unit. </w:t>
      </w:r>
      <w:bookmarkEnd w:id="1"/>
    </w:p>
    <w:p w:rsidR="00471639" w:rsidRPr="00AF5AF4" w:rsidRDefault="00471639" w:rsidP="00471639">
      <w:pPr>
        <w:pStyle w:val="ManualHeading1"/>
        <w:rPr>
          <w:rFonts w:eastAsia="Arial Unicode MS"/>
          <w:noProof/>
        </w:rPr>
      </w:pPr>
      <w:r>
        <w:rPr>
          <w:noProof/>
        </w:rPr>
        <w:t>3.</w:t>
      </w:r>
      <w:r>
        <w:rPr>
          <w:noProof/>
        </w:rPr>
        <w:tab/>
      </w:r>
      <w:r w:rsidRPr="00AF5AF4">
        <w:rPr>
          <w:noProof/>
        </w:rPr>
        <w:t>Poziția care trebuie adoptată în numele Uniunii</w:t>
      </w:r>
    </w:p>
    <w:p w:rsidR="0069617B" w:rsidRPr="00AF5AF4" w:rsidRDefault="00DF07BB" w:rsidP="00736AA9">
      <w:pPr>
        <w:rPr>
          <w:noProof/>
        </w:rPr>
      </w:pPr>
      <w:r w:rsidRPr="00AF5AF4">
        <w:rPr>
          <w:noProof/>
        </w:rPr>
        <w:t xml:space="preserve">În conformitate cu articolul 783 din Acordul comercial și de cooperare, acordul a intrat în vigoare la 1 mai 2021. </w:t>
      </w:r>
    </w:p>
    <w:p w:rsidR="009B0ECE" w:rsidRPr="00AF5AF4" w:rsidRDefault="004722C8" w:rsidP="00736AA9">
      <w:pPr>
        <w:rPr>
          <w:noProof/>
        </w:rPr>
      </w:pPr>
      <w:r w:rsidRPr="00AF5AF4">
        <w:rPr>
          <w:noProof/>
        </w:rPr>
        <w:t xml:space="preserve">Pe baza propunerilor lor respective, Uniunea și Regatul Unit trebuie să convină de comun acord asupra: </w:t>
      </w:r>
    </w:p>
    <w:p w:rsidR="001E7962" w:rsidRPr="00AF5AF4" w:rsidRDefault="009B0ECE" w:rsidP="00A63FDF">
      <w:pPr>
        <w:pStyle w:val="Tiret1"/>
        <w:numPr>
          <w:ilvl w:val="0"/>
          <w:numId w:val="11"/>
        </w:numPr>
        <w:rPr>
          <w:noProof/>
        </w:rPr>
      </w:pPr>
      <w:r w:rsidRPr="00AF5AF4">
        <w:rPr>
          <w:noProof/>
        </w:rPr>
        <w:t>sublistei de persoane stabilite pe baza propunerilor Uniunii;</w:t>
      </w:r>
    </w:p>
    <w:p w:rsidR="004722C8" w:rsidRPr="00AF5AF4" w:rsidRDefault="009B0ECE" w:rsidP="00180A19">
      <w:pPr>
        <w:pStyle w:val="Tiret1"/>
        <w:rPr>
          <w:noProof/>
        </w:rPr>
      </w:pPr>
      <w:r w:rsidRPr="00AF5AF4">
        <w:rPr>
          <w:noProof/>
        </w:rPr>
        <w:t>sublistei de persoane stabilite pe baza propunerilor Regatului Unit;</w:t>
      </w:r>
    </w:p>
    <w:p w:rsidR="009B0ECE" w:rsidRPr="00AF5AF4" w:rsidRDefault="004722C8" w:rsidP="00180A19">
      <w:pPr>
        <w:pStyle w:val="Tiret1"/>
        <w:rPr>
          <w:noProof/>
        </w:rPr>
      </w:pPr>
      <w:r w:rsidRPr="00AF5AF4">
        <w:rPr>
          <w:noProof/>
        </w:rPr>
        <w:t xml:space="preserve">sublistei de persoane care nu sunt resortisanți ai niciunei părți și care vor exercita funcția de președinte al grupului de experți. </w:t>
      </w:r>
    </w:p>
    <w:p w:rsidR="007F1344" w:rsidRPr="00AF5AF4" w:rsidRDefault="007F374B" w:rsidP="00736AA9">
      <w:pPr>
        <w:rPr>
          <w:noProof/>
        </w:rPr>
      </w:pPr>
      <w:r w:rsidRPr="00AF5AF4">
        <w:rPr>
          <w:noProof/>
        </w:rPr>
        <w:t>Prin urmare, poziția Uniunii trebuie să fie aceea de a sprijini adoptarea de către Comitetul specializat în comerț privind condiții de concurență echitabile pentru o concurență deschisă și loială și dezvoltarea durabilă, în temeiul articolului 409 din Acordul comercial și de cooperare, a unei decizii de stabilire unei liste de persoane care doresc și sunt în măsură să îndeplinească funcția de membri ai grupului de experți în temeiul acordului și în ceea ce privește aspectele care decurg din articolul 355 alineatul (3) și din titlul XI capitolele 6, 7 și 8 din Acordul comercial și de cooperare, în conformitate cu proiectul de decizie anexat la prezenta propunere.</w:t>
      </w:r>
    </w:p>
    <w:p w:rsidR="00471639" w:rsidRPr="00AF5AF4" w:rsidRDefault="00471639" w:rsidP="00736AA9">
      <w:pPr>
        <w:pStyle w:val="ManualHeading1"/>
        <w:rPr>
          <w:noProof/>
        </w:rPr>
      </w:pPr>
      <w:r>
        <w:rPr>
          <w:noProof/>
        </w:rPr>
        <w:t>4.</w:t>
      </w:r>
      <w:r>
        <w:rPr>
          <w:noProof/>
        </w:rPr>
        <w:tab/>
      </w:r>
      <w:r w:rsidRPr="00AF5AF4">
        <w:rPr>
          <w:noProof/>
        </w:rPr>
        <w:t>Temei juridic</w:t>
      </w:r>
    </w:p>
    <w:p w:rsidR="000B3D79" w:rsidRPr="00AF5AF4" w:rsidRDefault="005149F1" w:rsidP="003E416F">
      <w:pPr>
        <w:rPr>
          <w:noProof/>
        </w:rPr>
      </w:pPr>
      <w:r w:rsidRPr="00AF5AF4">
        <w:rPr>
          <w:noProof/>
        </w:rPr>
        <w:t xml:space="preserve">Temeiurile juridice din Tratatul privind funcționarea Uniunii Europene sunt cele care reglementează domeniile în care poate apărea procedura de soluționare a litigiilor, și anume: </w:t>
      </w:r>
    </w:p>
    <w:p w:rsidR="000B3D79" w:rsidRPr="00AF5AF4" w:rsidRDefault="000F03DC" w:rsidP="00180A19">
      <w:pPr>
        <w:pStyle w:val="Bullet1"/>
        <w:rPr>
          <w:noProof/>
        </w:rPr>
      </w:pPr>
      <w:r w:rsidRPr="00AF5AF4">
        <w:rPr>
          <w:noProof/>
        </w:rPr>
        <w:lastRenderedPageBreak/>
        <w:t xml:space="preserve">articolul 207 alineatul (4) primul paragraf din TFUE (politica comercială comună), </w:t>
      </w:r>
    </w:p>
    <w:p w:rsidR="003E416F" w:rsidRPr="00AF5AF4" w:rsidRDefault="005149F1" w:rsidP="003E416F">
      <w:pPr>
        <w:rPr>
          <w:noProof/>
        </w:rPr>
      </w:pPr>
      <w:r w:rsidRPr="00AF5AF4">
        <w:rPr>
          <w:noProof/>
        </w:rPr>
        <w:t>în coroborare cu articolul 218 alineatul (9) din TFUE care prevede posibilitatea adoptării unor decizii de stabilire „</w:t>
      </w:r>
      <w:r w:rsidRPr="00AF5AF4">
        <w:rPr>
          <w:i/>
          <w:iCs/>
          <w:noProof/>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AF5AF4">
        <w:rPr>
          <w:noProof/>
        </w:rPr>
        <w:t>”</w:t>
      </w:r>
      <w:r w:rsidR="00AF5AF4" w:rsidRPr="00AF5AF4">
        <w:rPr>
          <w:noProof/>
        </w:rPr>
        <w:t>.</w:t>
      </w:r>
    </w:p>
    <w:p w:rsidR="003E416F" w:rsidRPr="00AF5AF4" w:rsidRDefault="003E416F" w:rsidP="003E416F">
      <w:pPr>
        <w:rPr>
          <w:noProof/>
        </w:rPr>
      </w:pPr>
      <w:r w:rsidRPr="00AF5AF4">
        <w:rPr>
          <w:noProof/>
        </w:rPr>
        <w:t>Decizia pe care Comitetul specializat în comerț privind condiții de concurență echitabile pentru o concurență deschisă și loială și dezvoltarea durabilă este invitat să o adopte constituie un act cu efecte juridice. Actul avut în vedere va deveni obligatoriu pentru părți în conformitate cu articolul 10 alineatul (1) din Acordul comercial și de cooperare.</w:t>
      </w:r>
    </w:p>
    <w:p w:rsidR="000B3D79" w:rsidRPr="00AF5AF4" w:rsidRDefault="003E416F" w:rsidP="000B3D79">
      <w:pPr>
        <w:rPr>
          <w:noProof/>
        </w:rPr>
      </w:pPr>
      <w:r w:rsidRPr="00AF5AF4">
        <w:rPr>
          <w:noProof/>
        </w:rPr>
        <w:t>Actul avut în vedere nu modifică și nu completează cadrul instituțional al acordului.</w:t>
      </w:r>
    </w:p>
    <w:p w:rsidR="000B3D79" w:rsidRPr="00AF5AF4" w:rsidRDefault="000B3D79" w:rsidP="000B3D79">
      <w:pPr>
        <w:rPr>
          <w:noProof/>
        </w:rPr>
      </w:pPr>
      <w:r w:rsidRPr="00AF5AF4">
        <w:rPr>
          <w:noProof/>
        </w:rPr>
        <w:t xml:space="preserve">Obiectivul și conținutul actului avut în vedere se referă la stabilirea poziției Uniunii cu privire la lista persoanelor care doresc și sunt în măsură să îndeplinească funcția de membri ai grupului de experți în temeiul titlului privind condițiile de concurență echitabile din Acordul comercial și de cooperare. </w:t>
      </w:r>
    </w:p>
    <w:p w:rsidR="003E416F" w:rsidRPr="00AF5AF4" w:rsidRDefault="003E416F" w:rsidP="003E416F">
      <w:pPr>
        <w:rPr>
          <w:noProof/>
        </w:rPr>
      </w:pPr>
      <w:r w:rsidRPr="00AF5AF4">
        <w:rPr>
          <w:noProof/>
        </w:rPr>
        <w:t>Prin urmare, temeiul juridic procedural al deciziei propuse este articolul 218 alineatul (9) din TFUE.</w:t>
      </w:r>
    </w:p>
    <w:p w:rsidR="00471639" w:rsidRPr="00AF5AF4" w:rsidRDefault="00471639" w:rsidP="00736AA9">
      <w:pPr>
        <w:pStyle w:val="ManualHeading1"/>
        <w:rPr>
          <w:noProof/>
        </w:rPr>
      </w:pPr>
      <w:r>
        <w:rPr>
          <w:noProof/>
        </w:rPr>
        <w:t>5.</w:t>
      </w:r>
      <w:r>
        <w:rPr>
          <w:noProof/>
        </w:rPr>
        <w:tab/>
      </w:r>
      <w:r w:rsidRPr="00AF5AF4">
        <w:rPr>
          <w:noProof/>
        </w:rPr>
        <w:t>Publicarea actului avut în vedere</w:t>
      </w:r>
    </w:p>
    <w:p w:rsidR="00471639" w:rsidRPr="00AF5AF4" w:rsidRDefault="00765A5C" w:rsidP="00736AA9">
      <w:pPr>
        <w:rPr>
          <w:noProof/>
        </w:rPr>
      </w:pPr>
      <w:r w:rsidRPr="00AF5AF4">
        <w:rPr>
          <w:noProof/>
        </w:rPr>
        <w:t xml:space="preserve">Întrucât scopul deciziei Comitetului specializat în comerț privind condiții de concurență echitabile pentru o concurență deschisă și loială și dezvoltarea durabilă este de a stabili o listă de persoane care doresc și sunt în măsură să îndeplinească funcția de membri ai grupului de experți în temeiul Acordului comercial și de cooperare, este oportun ca decizia Comitetului specializat în comerț privind condiții de concurență echitabile pentru o concurență deschisă și loială și dezvoltarea durabilă să fie publicată în </w:t>
      </w:r>
      <w:r w:rsidRPr="00AF5AF4">
        <w:rPr>
          <w:i/>
          <w:iCs/>
          <w:noProof/>
        </w:rPr>
        <w:t>Jurnalul Oficial al Uniunii Europene</w:t>
      </w:r>
      <w:r w:rsidRPr="00AF5AF4">
        <w:rPr>
          <w:noProof/>
        </w:rPr>
        <w:t xml:space="preserve"> după adoptarea sa.</w:t>
      </w:r>
    </w:p>
    <w:p w:rsidR="00471639" w:rsidRPr="00AF5AF4" w:rsidRDefault="00471639" w:rsidP="00FD40BA">
      <w:pPr>
        <w:rPr>
          <w:noProof/>
        </w:rPr>
        <w:sectPr w:rsidR="00471639" w:rsidRPr="00AF5AF4" w:rsidSect="00EE7E4A">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04777B" w:rsidRDefault="004713C2">
      <w:pPr>
        <w:pStyle w:val="Rfrenceinterinstitutionnelle"/>
        <w:rPr>
          <w:noProof/>
        </w:rPr>
      </w:pPr>
      <w:r>
        <w:rPr>
          <w:noProof/>
        </w:rPr>
        <w:lastRenderedPageBreak/>
        <w:t>2026/0055 (NLE)</w:t>
      </w:r>
    </w:p>
    <w:p w:rsidR="00284FDF" w:rsidRPr="00AF5AF4" w:rsidRDefault="002E1AF5" w:rsidP="002E1AF5">
      <w:pPr>
        <w:pStyle w:val="Statut"/>
        <w:rPr>
          <w:noProof/>
        </w:rPr>
      </w:pPr>
      <w:r w:rsidRPr="00AF5AF4">
        <w:rPr>
          <w:noProof/>
        </w:rPr>
        <w:t>Propunere de</w:t>
      </w:r>
    </w:p>
    <w:p w:rsidR="00471639" w:rsidRPr="00AF5AF4" w:rsidRDefault="002E1AF5" w:rsidP="002E1AF5">
      <w:pPr>
        <w:pStyle w:val="Typedudocument"/>
        <w:rPr>
          <w:noProof/>
        </w:rPr>
      </w:pPr>
      <w:r w:rsidRPr="00AF5AF4">
        <w:rPr>
          <w:noProof/>
        </w:rPr>
        <w:t>DECIZIE A CONSILIULUI</w:t>
      </w:r>
    </w:p>
    <w:p w:rsidR="002914F5" w:rsidRPr="00AF5AF4" w:rsidRDefault="002E1AF5" w:rsidP="002E1AF5">
      <w:pPr>
        <w:pStyle w:val="Titreobjet"/>
        <w:rPr>
          <w:noProof/>
        </w:rPr>
      </w:pPr>
      <w:r w:rsidRPr="00AF5AF4">
        <w:rPr>
          <w:noProof/>
        </w:rPr>
        <w:t>privind poziția care trebuie adoptată, în numele Uniunii Europene, în cadrul Comitetului specializat în comerț privind condiții de concurență echitabile pentru o concurență deschisă și loială și dezvoltarea durabilă instituit prin Acordul comercial și de cooperare dintre Uniunea Europeană și Comunitatea Europeană a Energiei Atomice, pe de o parte, și Regatul Unit al Marii Britanii și Irlandei de Nord, pe de altă parte, cu privire la adoptarea unei decizii de stabilire a unei liste de persoane care doresc și sunt în măsură să îndeplinească funcția de membri ai grupului de experți instituit în temeiul articolului 409 din Acordul comercial și de cooperare</w:t>
      </w:r>
    </w:p>
    <w:p w:rsidR="00471639" w:rsidRPr="00AF5AF4" w:rsidRDefault="00471639" w:rsidP="00BE7CB9">
      <w:pPr>
        <w:pStyle w:val="Institutionquiagit"/>
        <w:rPr>
          <w:b/>
          <w:noProof/>
        </w:rPr>
      </w:pPr>
      <w:r w:rsidRPr="00AF5AF4">
        <w:rPr>
          <w:b/>
          <w:noProof/>
        </w:rPr>
        <w:t>CONSILIUL UNIUNII EUROPENE,</w:t>
      </w:r>
    </w:p>
    <w:p w:rsidR="00A67D39" w:rsidRPr="00AF5AF4" w:rsidRDefault="00A67D39" w:rsidP="00A67D39">
      <w:pPr>
        <w:rPr>
          <w:noProof/>
        </w:rPr>
      </w:pPr>
      <w:r w:rsidRPr="00AF5AF4">
        <w:rPr>
          <w:noProof/>
        </w:rPr>
        <w:t>având în vedere Tratatul privind funcționarea Uniunii Europene, în special articolul 207 alineatul (4) primul paragraf coroborat cu articolul 218 alineatul (9),</w:t>
      </w:r>
    </w:p>
    <w:p w:rsidR="00A67D39" w:rsidRPr="00AF5AF4" w:rsidRDefault="00A67D39" w:rsidP="00A67D39">
      <w:pPr>
        <w:rPr>
          <w:noProof/>
        </w:rPr>
      </w:pPr>
      <w:r w:rsidRPr="00AF5AF4">
        <w:rPr>
          <w:noProof/>
        </w:rPr>
        <w:t>având în vedere propunerea Comisiei Europene,</w:t>
      </w:r>
    </w:p>
    <w:p w:rsidR="00A67D39" w:rsidRPr="00AF5AF4" w:rsidRDefault="00A67D39" w:rsidP="00A67D39">
      <w:pPr>
        <w:rPr>
          <w:noProof/>
        </w:rPr>
      </w:pPr>
      <w:r w:rsidRPr="00AF5AF4">
        <w:rPr>
          <w:noProof/>
        </w:rPr>
        <w:t>întrucât:</w:t>
      </w:r>
    </w:p>
    <w:p w:rsidR="006C4FA5" w:rsidRPr="00AF5AF4" w:rsidRDefault="006C4FA5" w:rsidP="0040396F">
      <w:pPr>
        <w:pStyle w:val="ManualConsidrant"/>
        <w:rPr>
          <w:noProof/>
        </w:rPr>
      </w:pPr>
      <w:r>
        <w:rPr>
          <w:noProof/>
        </w:rPr>
        <w:t>(1)</w:t>
      </w:r>
      <w:r>
        <w:rPr>
          <w:noProof/>
        </w:rPr>
        <w:tab/>
      </w:r>
      <w:r w:rsidRPr="00AF5AF4">
        <w:rPr>
          <w:noProof/>
        </w:rPr>
        <w:t>În temeiul articolului 409 alineatul (3) din Acordul comercial și de cooperare, Comitetul specializat în comerț privind condiții de concurență echitabile pentru o concurență deschisă și loială și dezvoltarea durabilă trebuie să stabilească o listă cu cel puțin 15 persoane care doresc și sunt în măsură să îndeplinească funcția de membri ai grupului de experți cu privire la aspectele care decurg din articolul 355 alineatul (3) și din capitolele 6, 7 și 8 din Acordul comercial și de cooperare.</w:t>
      </w:r>
    </w:p>
    <w:p w:rsidR="006C4FA5" w:rsidRPr="00AF5AF4" w:rsidRDefault="006C4FA5" w:rsidP="006868EC">
      <w:pPr>
        <w:pStyle w:val="ManualConsidrant"/>
        <w:rPr>
          <w:noProof/>
        </w:rPr>
      </w:pPr>
      <w:r>
        <w:rPr>
          <w:noProof/>
        </w:rPr>
        <w:t>(2)</w:t>
      </w:r>
      <w:r>
        <w:rPr>
          <w:noProof/>
        </w:rPr>
        <w:tab/>
      </w:r>
      <w:r w:rsidRPr="00AF5AF4">
        <w:rPr>
          <w:noProof/>
        </w:rPr>
        <w:t xml:space="preserve">Fiecare parte trebuie să numească cel puțin cinci persoane pe lista de membri. De asemenea, părțile trebuie să numească cel puțin cinci persoane care nu sunt resortisanți ai niciuneia dintre părți și care sunt dispuse și capabile să exercite funcția de președinte al unui grup de experți. </w:t>
      </w:r>
    </w:p>
    <w:p w:rsidR="006C4FA5" w:rsidRPr="00AF5AF4" w:rsidRDefault="006C4FA5" w:rsidP="006868EC">
      <w:pPr>
        <w:pStyle w:val="ManualConsidrant"/>
        <w:rPr>
          <w:noProof/>
        </w:rPr>
      </w:pPr>
      <w:r>
        <w:rPr>
          <w:noProof/>
        </w:rPr>
        <w:t>(3)</w:t>
      </w:r>
      <w:r>
        <w:rPr>
          <w:noProof/>
        </w:rPr>
        <w:tab/>
      </w:r>
      <w:r w:rsidRPr="00AF5AF4">
        <w:rPr>
          <w:noProof/>
        </w:rPr>
        <w:t xml:space="preserve">Comitetul specializat în comerț privind condiții de concurență echitabile pentru o concurență deschisă și loială și dezvoltarea durabilă trebuie să asigure menținerea la zi a listei și menținerea numărului de experți la cel puțin 15. </w:t>
      </w:r>
    </w:p>
    <w:p w:rsidR="006C4FA5" w:rsidRPr="00AF5AF4" w:rsidRDefault="009D0192" w:rsidP="006868EC">
      <w:pPr>
        <w:pStyle w:val="ManualConsidrant"/>
        <w:rPr>
          <w:noProof/>
        </w:rPr>
      </w:pPr>
      <w:r>
        <w:rPr>
          <w:noProof/>
        </w:rPr>
        <w:t>(4)</w:t>
      </w:r>
      <w:r>
        <w:rPr>
          <w:noProof/>
        </w:rPr>
        <w:tab/>
      </w:r>
      <w:r w:rsidRPr="00AF5AF4">
        <w:rPr>
          <w:noProof/>
        </w:rPr>
        <w:t>În conformitate cu articolul 409 alineatul (4) din Acordul comercial și de cooperare, experții propuși ca membri ai grupului de experți trebuie să aibă cunoștințe de specialitate sau expertiză în dreptul muncii sau al mediului, în alte aspecte abordate în capitolul sau capitolele relevante sau în soluționarea litigiilor care decurg din acorduri internaționale.</w:t>
      </w:r>
    </w:p>
    <w:p w:rsidR="006C4FA5" w:rsidRPr="00AF5AF4" w:rsidRDefault="009D0192" w:rsidP="006868EC">
      <w:pPr>
        <w:pStyle w:val="ManualConsidrant"/>
        <w:rPr>
          <w:noProof/>
        </w:rPr>
      </w:pPr>
      <w:r>
        <w:rPr>
          <w:noProof/>
        </w:rPr>
        <w:t>(5)</w:t>
      </w:r>
      <w:r>
        <w:rPr>
          <w:noProof/>
        </w:rPr>
        <w:tab/>
      </w:r>
      <w:r w:rsidRPr="00AF5AF4">
        <w:rPr>
          <w:noProof/>
        </w:rPr>
        <w:t xml:space="preserve">În plus, experții propuși ca membri ai grupului de experți trebuie să își exercite funcția în nume propriu și să nu accepte instrucțiuni din partea niciunei organizații și a niciunui guvern în ceea ce privește aspectele legate de litigiu. Aceștia nu trebuie să fie afiliați niciuneia dintre părți și nu trebuie să primească instrucțiuni din partea niciuneia dintre ele și nu pot fi persoane care au statut de membri, funcționari sau alți agenți ai instituțiilor Uniunii, ai autorităților publice ale unui stat membru sau ai guvernului Regatului Unit. </w:t>
      </w:r>
    </w:p>
    <w:p w:rsidR="006C4FA5" w:rsidRPr="00AF5AF4" w:rsidRDefault="006C4FA5" w:rsidP="006868EC">
      <w:pPr>
        <w:pStyle w:val="ManualConsidrant"/>
        <w:rPr>
          <w:noProof/>
        </w:rPr>
      </w:pPr>
      <w:r>
        <w:rPr>
          <w:noProof/>
        </w:rPr>
        <w:lastRenderedPageBreak/>
        <w:t>(6)</w:t>
      </w:r>
      <w:r>
        <w:rPr>
          <w:noProof/>
        </w:rPr>
        <w:tab/>
      </w:r>
      <w:r w:rsidRPr="00AF5AF4">
        <w:rPr>
          <w:noProof/>
        </w:rPr>
        <w:t xml:space="preserve">Pe baza propunerilor Uniunii și ale Regatului Unit, este oportun ca Comitetul specializat în comerț privind condiții de concurență echitabile pentru o concurență deschisă și loială și dezvoltarea durabilă să convină asupra celor două subliste pentru funcția de membru al grupului de experți și asupra sublistei pentru funcția de președinte al grupului de experți, </w:t>
      </w:r>
    </w:p>
    <w:p w:rsidR="00471639" w:rsidRPr="00AF5AF4" w:rsidRDefault="00471639" w:rsidP="00BE7CB9">
      <w:pPr>
        <w:pStyle w:val="Formuledadoption"/>
        <w:rPr>
          <w:noProof/>
        </w:rPr>
      </w:pPr>
      <w:r w:rsidRPr="00AF5AF4">
        <w:rPr>
          <w:noProof/>
        </w:rPr>
        <w:t>ADOPTĂ PREZENTA DECIZIE:</w:t>
      </w:r>
    </w:p>
    <w:p w:rsidR="00471639" w:rsidRPr="00AF5AF4" w:rsidRDefault="00471639" w:rsidP="00BE7CB9">
      <w:pPr>
        <w:pStyle w:val="Titrearticle"/>
        <w:rPr>
          <w:noProof/>
        </w:rPr>
      </w:pPr>
      <w:r w:rsidRPr="00AF5AF4">
        <w:rPr>
          <w:noProof/>
        </w:rPr>
        <w:t>Articolul 1</w:t>
      </w:r>
    </w:p>
    <w:p w:rsidR="00B55712" w:rsidRPr="00AF5AF4" w:rsidRDefault="00B55712" w:rsidP="0034155C">
      <w:pPr>
        <w:rPr>
          <w:noProof/>
        </w:rPr>
      </w:pPr>
      <w:r w:rsidRPr="00AF5AF4">
        <w:rPr>
          <w:noProof/>
        </w:rPr>
        <w:t>Poziția care trebuie adoptată, în numele Uniunii, în cadrul Comitetului specializat în comerț privind condiții de concurență echitabile pentru o concurență deschisă și loială și dezvoltarea durabilă instituit prin articolul 8 alineatul (1) litera (j) din Acordul comercial și de cooperare, se bazează pe proiectul de decizie a Comitetului specializat în comerț privind condiții de concurență echitabile pentru o concurență deschisă și loială și dezvoltarea durabilă anexat la prezenta decizie.</w:t>
      </w:r>
    </w:p>
    <w:p w:rsidR="00AF2113" w:rsidRPr="00AF5AF4" w:rsidRDefault="00AF2113" w:rsidP="001568C4">
      <w:pPr>
        <w:pStyle w:val="Titrearticle"/>
        <w:rPr>
          <w:noProof/>
        </w:rPr>
      </w:pPr>
      <w:r w:rsidRPr="00AF5AF4">
        <w:rPr>
          <w:noProof/>
        </w:rPr>
        <w:t>Articolul 2</w:t>
      </w:r>
    </w:p>
    <w:p w:rsidR="00471639" w:rsidRPr="00AF5AF4" w:rsidRDefault="00471639" w:rsidP="006868EC">
      <w:pPr>
        <w:rPr>
          <w:noProof/>
        </w:rPr>
      </w:pPr>
      <w:r w:rsidRPr="00AF5AF4">
        <w:rPr>
          <w:noProof/>
        </w:rPr>
        <w:t>Prezenta decizie se adresează Comisiei.</w:t>
      </w:r>
    </w:p>
    <w:p w:rsidR="00224DE2" w:rsidRPr="00AF5AF4" w:rsidRDefault="002E1AF5" w:rsidP="001568C4">
      <w:pPr>
        <w:pStyle w:val="Fait"/>
        <w:rPr>
          <w:noProof/>
        </w:rPr>
      </w:pPr>
      <w:r>
        <w:rPr>
          <w:noProof/>
        </w:rPr>
        <w:t>Adoptată la Bruxelles,</w:t>
      </w:r>
    </w:p>
    <w:p w:rsidR="00471639" w:rsidRPr="00AF5AF4" w:rsidRDefault="00471639" w:rsidP="001568C4">
      <w:pPr>
        <w:pStyle w:val="Institutionquisigne"/>
        <w:rPr>
          <w:noProof/>
        </w:rPr>
      </w:pPr>
      <w:r w:rsidRPr="00AF5AF4">
        <w:rPr>
          <w:noProof/>
        </w:rPr>
        <w:tab/>
        <w:t>Pentru Consiliu</w:t>
      </w:r>
    </w:p>
    <w:p w:rsidR="00471639" w:rsidRPr="00AF5AF4" w:rsidRDefault="00471639" w:rsidP="00471639">
      <w:pPr>
        <w:pStyle w:val="Personnequisigne"/>
        <w:rPr>
          <w:noProof/>
        </w:rPr>
      </w:pPr>
      <w:r w:rsidRPr="00AF5AF4">
        <w:rPr>
          <w:noProof/>
        </w:rPr>
        <w:tab/>
        <w:t>Președintele</w:t>
      </w:r>
    </w:p>
    <w:sectPr w:rsidR="00471639" w:rsidRPr="00AF5AF4" w:rsidSect="00EE7E4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D0A" w:rsidRPr="00AF5AF4" w:rsidRDefault="008B3D0A" w:rsidP="00471639">
      <w:pPr>
        <w:spacing w:before="0" w:after="0"/>
      </w:pPr>
      <w:r w:rsidRPr="00AF5AF4">
        <w:separator/>
      </w:r>
    </w:p>
  </w:endnote>
  <w:endnote w:type="continuationSeparator" w:id="0">
    <w:p w:rsidR="008B3D0A" w:rsidRPr="00AF5AF4" w:rsidRDefault="008B3D0A" w:rsidP="00471639">
      <w:pPr>
        <w:spacing w:before="0" w:after="0"/>
      </w:pPr>
      <w:r w:rsidRPr="00AF5A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E4A" w:rsidRPr="00EE7E4A" w:rsidRDefault="00EE7E4A" w:rsidP="00EE7E4A">
    <w:pPr>
      <w:pStyle w:val="Footer"/>
      <w:rPr>
        <w:rFonts w:ascii="Arial" w:hAnsi="Arial" w:cs="Arial"/>
        <w:b/>
        <w:sz w:val="48"/>
      </w:rPr>
    </w:pPr>
    <w:r w:rsidRPr="00EE7E4A">
      <w:rPr>
        <w:rFonts w:ascii="Arial" w:hAnsi="Arial" w:cs="Arial"/>
        <w:b/>
        <w:sz w:val="48"/>
      </w:rPr>
      <w:t>RO</w:t>
    </w:r>
    <w:r w:rsidRPr="00EE7E4A">
      <w:rPr>
        <w:rFonts w:ascii="Arial" w:hAnsi="Arial" w:cs="Arial"/>
        <w:b/>
        <w:sz w:val="48"/>
      </w:rPr>
      <w:tab/>
    </w:r>
    <w:r w:rsidRPr="00EE7E4A">
      <w:rPr>
        <w:rFonts w:ascii="Arial" w:hAnsi="Arial" w:cs="Arial"/>
        <w:b/>
        <w:sz w:val="48"/>
      </w:rPr>
      <w:tab/>
    </w:r>
    <w:r w:rsidRPr="00EE7E4A">
      <w:tab/>
    </w:r>
    <w:r w:rsidRPr="00EE7E4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E4A" w:rsidRPr="00EE7E4A" w:rsidRDefault="00EE7E4A" w:rsidP="00EE7E4A">
    <w:pPr>
      <w:pStyle w:val="Footer"/>
      <w:rPr>
        <w:rFonts w:ascii="Arial" w:hAnsi="Arial" w:cs="Arial"/>
        <w:b/>
        <w:sz w:val="48"/>
      </w:rPr>
    </w:pPr>
    <w:r w:rsidRPr="00EE7E4A">
      <w:rPr>
        <w:rFonts w:ascii="Arial" w:hAnsi="Arial" w:cs="Arial"/>
        <w:b/>
        <w:sz w:val="48"/>
      </w:rPr>
      <w:t>RO</w:t>
    </w:r>
    <w:r w:rsidRPr="00EE7E4A">
      <w:rPr>
        <w:rFonts w:ascii="Arial" w:hAnsi="Arial" w:cs="Arial"/>
        <w:b/>
        <w:sz w:val="48"/>
      </w:rPr>
      <w:tab/>
    </w:r>
    <w:r w:rsidRPr="00EE7E4A">
      <w:rPr>
        <w:rFonts w:ascii="Arial" w:hAnsi="Arial" w:cs="Arial"/>
        <w:b/>
        <w:sz w:val="48"/>
      </w:rPr>
      <w:tab/>
    </w:r>
    <w:r w:rsidRPr="00EE7E4A">
      <w:tab/>
    </w:r>
    <w:r w:rsidRPr="00EE7E4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E4A" w:rsidRDefault="00EE7E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E4A" w:rsidRPr="00EE7E4A" w:rsidRDefault="00EE7E4A" w:rsidP="00EE7E4A">
    <w:pPr>
      <w:pStyle w:val="Footer"/>
      <w:rPr>
        <w:rFonts w:ascii="Arial" w:hAnsi="Arial" w:cs="Arial"/>
        <w:b/>
        <w:sz w:val="48"/>
      </w:rPr>
    </w:pPr>
    <w:r w:rsidRPr="00EE7E4A">
      <w:rPr>
        <w:rFonts w:ascii="Arial" w:hAnsi="Arial" w:cs="Arial"/>
        <w:b/>
        <w:sz w:val="48"/>
      </w:rPr>
      <w:t>RO</w:t>
    </w:r>
    <w:r w:rsidRPr="00EE7E4A">
      <w:rPr>
        <w:rFonts w:ascii="Arial" w:hAnsi="Arial" w:cs="Arial"/>
        <w:b/>
        <w:sz w:val="48"/>
      </w:rPr>
      <w:tab/>
    </w:r>
    <w:r>
      <w:fldChar w:fldCharType="begin"/>
    </w:r>
    <w:r>
      <w:instrText xml:space="preserve"> PAGE  \* MERGEFORMAT </w:instrText>
    </w:r>
    <w:r>
      <w:fldChar w:fldCharType="separate"/>
    </w:r>
    <w:r w:rsidR="001568C4">
      <w:rPr>
        <w:noProof/>
      </w:rPr>
      <w:t>5</w:t>
    </w:r>
    <w:r>
      <w:fldChar w:fldCharType="end"/>
    </w:r>
    <w:r>
      <w:tab/>
    </w:r>
    <w:r w:rsidRPr="00EE7E4A">
      <w:tab/>
    </w:r>
    <w:r w:rsidRPr="00EE7E4A">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E4A" w:rsidRDefault="00EE7E4A" w:rsidP="00EE7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D0A" w:rsidRPr="00AF5AF4" w:rsidRDefault="008B3D0A" w:rsidP="00471639">
      <w:pPr>
        <w:spacing w:before="0" w:after="0"/>
      </w:pPr>
      <w:r w:rsidRPr="00AF5AF4">
        <w:separator/>
      </w:r>
    </w:p>
  </w:footnote>
  <w:footnote w:type="continuationSeparator" w:id="0">
    <w:p w:rsidR="008B3D0A" w:rsidRPr="00AF5AF4" w:rsidRDefault="008B3D0A" w:rsidP="00471639">
      <w:pPr>
        <w:spacing w:before="0" w:after="0"/>
      </w:pPr>
      <w:r w:rsidRPr="00AF5A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E4A" w:rsidRDefault="00EE7E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E4A" w:rsidRDefault="00EE7E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970005C"/>
    <w:lvl w:ilvl="0">
      <w:start w:val="1"/>
      <w:numFmt w:val="decimal"/>
      <w:pStyle w:val="ListNumber4"/>
      <w:lvlText w:val="%1."/>
      <w:lvlJc w:val="left"/>
      <w:pPr>
        <w:tabs>
          <w:tab w:val="num" w:pos="1209"/>
        </w:tabs>
        <w:ind w:left="1209" w:hanging="360"/>
      </w:pPr>
    </w:lvl>
  </w:abstractNum>
  <w:abstractNum w:abstractNumId="1" w15:restartNumberingAfterBreak="0">
    <w:nsid w:val="FFFFFF7F"/>
    <w:multiLevelType w:val="singleLevel"/>
    <w:tmpl w:val="07301D2E"/>
    <w:lvl w:ilvl="0">
      <w:start w:val="1"/>
      <w:numFmt w:val="decimal"/>
      <w:pStyle w:val="ListNumber2"/>
      <w:lvlText w:val="%1."/>
      <w:lvlJc w:val="left"/>
      <w:pPr>
        <w:tabs>
          <w:tab w:val="num" w:pos="643"/>
        </w:tabs>
        <w:ind w:left="643" w:hanging="360"/>
      </w:pPr>
    </w:lvl>
  </w:abstractNum>
  <w:abstractNum w:abstractNumId="2" w15:restartNumberingAfterBreak="0">
    <w:nsid w:val="FFFFFF81"/>
    <w:multiLevelType w:val="singleLevel"/>
    <w:tmpl w:val="C30C275C"/>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5E52E8E2"/>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861A29CE"/>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B4829354"/>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C8F63552"/>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7"/>
    <w:lvlOverride w:ilvl="0">
      <w:startOverride w:val="1"/>
    </w:lvlOverride>
  </w:num>
  <w:num w:numId="2">
    <w:abstractNumId w:val="6"/>
  </w:num>
  <w:num w:numId="3">
    <w:abstractNumId w:val="4"/>
  </w:num>
  <w:num w:numId="4">
    <w:abstractNumId w:val="3"/>
  </w:num>
  <w:num w:numId="5">
    <w:abstractNumId w:val="2"/>
  </w:num>
  <w:num w:numId="6">
    <w:abstractNumId w:val="11"/>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
  </w:num>
  <w:num w:numId="10">
    <w:abstractNumId w:val="0"/>
  </w:num>
  <w:num w:numId="11">
    <w:abstractNumId w:val="12"/>
    <w:lvlOverride w:ilvl="0">
      <w:startOverride w:val="1"/>
    </w:lvlOverride>
  </w:num>
  <w:num w:numId="12">
    <w:abstractNumId w:val="22"/>
    <w:lvlOverride w:ilvl="0">
      <w:startOverride w:val="1"/>
    </w:lvlOverride>
  </w:num>
  <w:num w:numId="13">
    <w:abstractNumId w:val="19"/>
  </w:num>
  <w:num w:numId="14">
    <w:abstractNumId w:val="12"/>
  </w:num>
  <w:num w:numId="15">
    <w:abstractNumId w:val="21"/>
  </w:num>
  <w:num w:numId="16">
    <w:abstractNumId w:val="10"/>
  </w:num>
  <w:num w:numId="17">
    <w:abstractNumId w:val="13"/>
  </w:num>
  <w:num w:numId="18">
    <w:abstractNumId w:val="14"/>
  </w:num>
  <w:num w:numId="19">
    <w:abstractNumId w:val="8"/>
  </w:num>
  <w:num w:numId="20">
    <w:abstractNumId w:val="20"/>
  </w:num>
  <w:num w:numId="21">
    <w:abstractNumId w:val="7"/>
  </w:num>
  <w:num w:numId="22">
    <w:abstractNumId w:val="15"/>
  </w:num>
  <w:num w:numId="23">
    <w:abstractNumId w:val="17"/>
  </w:num>
  <w:num w:numId="24">
    <w:abstractNumId w:val="18"/>
  </w:num>
  <w:num w:numId="25">
    <w:abstractNumId w:val="9"/>
  </w:num>
  <w:num w:numId="26">
    <w:abstractNumId w:val="16"/>
  </w:num>
  <w:num w:numId="27">
    <w:abstractNumId w:val="22"/>
  </w:num>
  <w:num w:numId="28">
    <w:abstractNumId w:val="19"/>
  </w:num>
  <w:num w:numId="29">
    <w:abstractNumId w:val="12"/>
  </w:num>
  <w:num w:numId="30">
    <w:abstractNumId w:val="21"/>
  </w:num>
  <w:num w:numId="31">
    <w:abstractNumId w:val="10"/>
  </w:num>
  <w:num w:numId="32">
    <w:abstractNumId w:val="13"/>
  </w:num>
  <w:num w:numId="33">
    <w:abstractNumId w:val="14"/>
  </w:num>
  <w:num w:numId="34">
    <w:abstractNumId w:val="8"/>
  </w:num>
  <w:num w:numId="35">
    <w:abstractNumId w:val="20"/>
  </w:num>
  <w:num w:numId="36">
    <w:abstractNumId w:val="7"/>
  </w:num>
  <w:num w:numId="37">
    <w:abstractNumId w:val="15"/>
  </w:num>
  <w:num w:numId="38">
    <w:abstractNumId w:val="17"/>
  </w:num>
  <w:num w:numId="39">
    <w:abstractNumId w:val="18"/>
  </w:num>
  <w:num w:numId="40">
    <w:abstractNumId w:val="9"/>
  </w:num>
  <w:num w:numId="41">
    <w:abstractNumId w:val="16"/>
  </w:num>
  <w:num w:numId="42">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6 08:52: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15D3B91-99C4-4689-AE77-348436D725B6"/>
    <w:docVar w:name="LW_COVERPAGE_TYPE" w:val="1"/>
    <w:docVar w:name="LW_CROSSREFERENCE" w:val="&lt;UNUSED&gt;"/>
    <w:docVar w:name="LW_DocType" w:val="COM"/>
    <w:docVar w:name="LW_EMISSION" w:val="23.2.2026"/>
    <w:docVar w:name="LW_EMISSION_ISODATE" w:val="2026-02-23"/>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55"/>
    <w:docVar w:name="LW_REF.II.NEW.CP_YEAR" w:val="2026"/>
    <w:docVar w:name="LW_REF.INST.NEW" w:val="COM"/>
    <w:docVar w:name="LW_REF.INST.NEW_ADOPTED" w:val="final"/>
    <w:docVar w:name="LW_REF.INST.NEW_TEXT" w:val="(2026) 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adoptat\u259?, în numele Uniunii Europene, în cadrul Comitetului specializat în comer\u539? privind condi\u539?ii de concuren\u539?\u259? echitabile pentru o concuren\u539?\u259? deschis\u259? \u537?i loial\u259? \u537?i dezvoltarea durabil\u259? instituit prin Acordul comercial \u537?i de cooperare dintre Uniunea European\u259? \u537?i Comunitatea European\u259? a Energiei Atomice, pe de o parte, \u537?i Regatul Unit al Marii Britanii \u537?i Irlandei de Nord, pe de alt\u259? parte, cu privire la adoptarea unei decizii de stabilire a unei liste de persoane care doresc \u537?i sunt în m\u259?sur\u259? s\u259? îndeplineasc\u259? func\u539?ia de membri ai grupului de exper\u539?i instituit în temeiul articolului 409 din Acordul comercial \u537?i de cooperare"/>
    <w:docVar w:name="LW_TYPE.DOC.CP" w:val="DECIZIE A CONSILIULUI"/>
    <w:docVar w:name="LwApiVersions" w:val="LW4CoDe 1.24.5.0; LW 9.2, Build 20251112"/>
  </w:docVars>
  <w:rsids>
    <w:rsidRoot w:val="00471639"/>
    <w:rsid w:val="00012A51"/>
    <w:rsid w:val="0004365C"/>
    <w:rsid w:val="0004777B"/>
    <w:rsid w:val="00073E15"/>
    <w:rsid w:val="000755F7"/>
    <w:rsid w:val="00085C79"/>
    <w:rsid w:val="00094897"/>
    <w:rsid w:val="000A0B15"/>
    <w:rsid w:val="000A7517"/>
    <w:rsid w:val="000B01FD"/>
    <w:rsid w:val="000B3D79"/>
    <w:rsid w:val="000D0E9D"/>
    <w:rsid w:val="000D4719"/>
    <w:rsid w:val="000E198E"/>
    <w:rsid w:val="000F03DC"/>
    <w:rsid w:val="000F1483"/>
    <w:rsid w:val="001329A3"/>
    <w:rsid w:val="001568C4"/>
    <w:rsid w:val="00174CA6"/>
    <w:rsid w:val="00180471"/>
    <w:rsid w:val="00180A19"/>
    <w:rsid w:val="00184A8E"/>
    <w:rsid w:val="001B0AFB"/>
    <w:rsid w:val="001C2816"/>
    <w:rsid w:val="001D2CA3"/>
    <w:rsid w:val="001E7962"/>
    <w:rsid w:val="00224654"/>
    <w:rsid w:val="00224DE2"/>
    <w:rsid w:val="002279AC"/>
    <w:rsid w:val="00232E98"/>
    <w:rsid w:val="002331BF"/>
    <w:rsid w:val="00236CA8"/>
    <w:rsid w:val="0026512F"/>
    <w:rsid w:val="00284D34"/>
    <w:rsid w:val="00284FDF"/>
    <w:rsid w:val="00290146"/>
    <w:rsid w:val="002914F5"/>
    <w:rsid w:val="002A4DE7"/>
    <w:rsid w:val="002C201F"/>
    <w:rsid w:val="002C35D7"/>
    <w:rsid w:val="002C62D0"/>
    <w:rsid w:val="002D4B91"/>
    <w:rsid w:val="002E1AF5"/>
    <w:rsid w:val="002E764F"/>
    <w:rsid w:val="00304F54"/>
    <w:rsid w:val="00306576"/>
    <w:rsid w:val="00311A50"/>
    <w:rsid w:val="00320984"/>
    <w:rsid w:val="00321963"/>
    <w:rsid w:val="003231FB"/>
    <w:rsid w:val="003373A4"/>
    <w:rsid w:val="0034155C"/>
    <w:rsid w:val="003637AD"/>
    <w:rsid w:val="00363D80"/>
    <w:rsid w:val="0038273F"/>
    <w:rsid w:val="00384A33"/>
    <w:rsid w:val="00385F7B"/>
    <w:rsid w:val="003B17AA"/>
    <w:rsid w:val="003C791A"/>
    <w:rsid w:val="003E416F"/>
    <w:rsid w:val="003F5E41"/>
    <w:rsid w:val="00402EFA"/>
    <w:rsid w:val="0040396F"/>
    <w:rsid w:val="00405A53"/>
    <w:rsid w:val="00406AD0"/>
    <w:rsid w:val="00406C5D"/>
    <w:rsid w:val="00407DC6"/>
    <w:rsid w:val="00413B3A"/>
    <w:rsid w:val="00437B91"/>
    <w:rsid w:val="004453FB"/>
    <w:rsid w:val="004462B6"/>
    <w:rsid w:val="00471639"/>
    <w:rsid w:val="004722C8"/>
    <w:rsid w:val="0047271B"/>
    <w:rsid w:val="00485618"/>
    <w:rsid w:val="004947E5"/>
    <w:rsid w:val="004B34DD"/>
    <w:rsid w:val="004B64D9"/>
    <w:rsid w:val="004B7BD6"/>
    <w:rsid w:val="004D00DA"/>
    <w:rsid w:val="004E448C"/>
    <w:rsid w:val="004F5616"/>
    <w:rsid w:val="00512ACD"/>
    <w:rsid w:val="0051332B"/>
    <w:rsid w:val="005149F1"/>
    <w:rsid w:val="0052327F"/>
    <w:rsid w:val="005351FB"/>
    <w:rsid w:val="00554C55"/>
    <w:rsid w:val="0056607E"/>
    <w:rsid w:val="00566DBD"/>
    <w:rsid w:val="005726A9"/>
    <w:rsid w:val="005815C9"/>
    <w:rsid w:val="00594EBF"/>
    <w:rsid w:val="005B6471"/>
    <w:rsid w:val="005C63FC"/>
    <w:rsid w:val="005D6E8D"/>
    <w:rsid w:val="005F6CE1"/>
    <w:rsid w:val="00602EF3"/>
    <w:rsid w:val="00633DC1"/>
    <w:rsid w:val="00642821"/>
    <w:rsid w:val="00653A87"/>
    <w:rsid w:val="00654B03"/>
    <w:rsid w:val="0066753E"/>
    <w:rsid w:val="00676685"/>
    <w:rsid w:val="006868EC"/>
    <w:rsid w:val="0069617B"/>
    <w:rsid w:val="006A022C"/>
    <w:rsid w:val="006A3366"/>
    <w:rsid w:val="006A73D5"/>
    <w:rsid w:val="006B2281"/>
    <w:rsid w:val="006C4FA5"/>
    <w:rsid w:val="006D13A9"/>
    <w:rsid w:val="006D54F3"/>
    <w:rsid w:val="006F1430"/>
    <w:rsid w:val="0070128F"/>
    <w:rsid w:val="007153EA"/>
    <w:rsid w:val="0071597D"/>
    <w:rsid w:val="00717998"/>
    <w:rsid w:val="00765A5C"/>
    <w:rsid w:val="00766212"/>
    <w:rsid w:val="007709D7"/>
    <w:rsid w:val="00771B81"/>
    <w:rsid w:val="007745C8"/>
    <w:rsid w:val="00781D6F"/>
    <w:rsid w:val="00795AAF"/>
    <w:rsid w:val="007A2337"/>
    <w:rsid w:val="007A7764"/>
    <w:rsid w:val="007B7B55"/>
    <w:rsid w:val="007C06F6"/>
    <w:rsid w:val="007C208F"/>
    <w:rsid w:val="007D1610"/>
    <w:rsid w:val="007D54FD"/>
    <w:rsid w:val="007F00B4"/>
    <w:rsid w:val="007F1344"/>
    <w:rsid w:val="007F374B"/>
    <w:rsid w:val="00822013"/>
    <w:rsid w:val="00831E8E"/>
    <w:rsid w:val="00847E03"/>
    <w:rsid w:val="00863C27"/>
    <w:rsid w:val="00877CC6"/>
    <w:rsid w:val="00884F7F"/>
    <w:rsid w:val="008B3D0A"/>
    <w:rsid w:val="008B6AC6"/>
    <w:rsid w:val="008B711E"/>
    <w:rsid w:val="008C2104"/>
    <w:rsid w:val="008D0EC4"/>
    <w:rsid w:val="008E71B0"/>
    <w:rsid w:val="008F105D"/>
    <w:rsid w:val="008F10A5"/>
    <w:rsid w:val="00946066"/>
    <w:rsid w:val="00946E49"/>
    <w:rsid w:val="00955D9F"/>
    <w:rsid w:val="00961CD0"/>
    <w:rsid w:val="00971E21"/>
    <w:rsid w:val="00975759"/>
    <w:rsid w:val="0098306C"/>
    <w:rsid w:val="00985509"/>
    <w:rsid w:val="00986B33"/>
    <w:rsid w:val="0098790E"/>
    <w:rsid w:val="00987AD5"/>
    <w:rsid w:val="00990F06"/>
    <w:rsid w:val="0099144E"/>
    <w:rsid w:val="009A76B0"/>
    <w:rsid w:val="009B0ECE"/>
    <w:rsid w:val="009B7138"/>
    <w:rsid w:val="009C2487"/>
    <w:rsid w:val="009C44DE"/>
    <w:rsid w:val="009D0192"/>
    <w:rsid w:val="009D3F85"/>
    <w:rsid w:val="009F2E95"/>
    <w:rsid w:val="00A05AE2"/>
    <w:rsid w:val="00A27AD6"/>
    <w:rsid w:val="00A30867"/>
    <w:rsid w:val="00A3442D"/>
    <w:rsid w:val="00A43140"/>
    <w:rsid w:val="00A46562"/>
    <w:rsid w:val="00A63FDF"/>
    <w:rsid w:val="00A67D39"/>
    <w:rsid w:val="00A70C89"/>
    <w:rsid w:val="00AB21AE"/>
    <w:rsid w:val="00AB62A0"/>
    <w:rsid w:val="00AC0EAF"/>
    <w:rsid w:val="00AE30D2"/>
    <w:rsid w:val="00AF15E5"/>
    <w:rsid w:val="00AF2113"/>
    <w:rsid w:val="00AF5AF4"/>
    <w:rsid w:val="00B0074E"/>
    <w:rsid w:val="00B24F9D"/>
    <w:rsid w:val="00B25615"/>
    <w:rsid w:val="00B27E3C"/>
    <w:rsid w:val="00B32828"/>
    <w:rsid w:val="00B41C7E"/>
    <w:rsid w:val="00B4476E"/>
    <w:rsid w:val="00B55712"/>
    <w:rsid w:val="00B64522"/>
    <w:rsid w:val="00B661DB"/>
    <w:rsid w:val="00B7526E"/>
    <w:rsid w:val="00B81FD3"/>
    <w:rsid w:val="00B9038C"/>
    <w:rsid w:val="00B90839"/>
    <w:rsid w:val="00BA092A"/>
    <w:rsid w:val="00BA67EF"/>
    <w:rsid w:val="00BC77E9"/>
    <w:rsid w:val="00BD1E4E"/>
    <w:rsid w:val="00BE246D"/>
    <w:rsid w:val="00BE2685"/>
    <w:rsid w:val="00BF17AA"/>
    <w:rsid w:val="00C1022F"/>
    <w:rsid w:val="00C24556"/>
    <w:rsid w:val="00C41035"/>
    <w:rsid w:val="00C41834"/>
    <w:rsid w:val="00C922E0"/>
    <w:rsid w:val="00C95B05"/>
    <w:rsid w:val="00CA24E8"/>
    <w:rsid w:val="00CC3274"/>
    <w:rsid w:val="00CC6980"/>
    <w:rsid w:val="00CC7B46"/>
    <w:rsid w:val="00CF6286"/>
    <w:rsid w:val="00D01E73"/>
    <w:rsid w:val="00D444E4"/>
    <w:rsid w:val="00D527A6"/>
    <w:rsid w:val="00D65EE5"/>
    <w:rsid w:val="00D6606B"/>
    <w:rsid w:val="00D81DA6"/>
    <w:rsid w:val="00DA64C5"/>
    <w:rsid w:val="00DD511E"/>
    <w:rsid w:val="00DF07BB"/>
    <w:rsid w:val="00DF1FFF"/>
    <w:rsid w:val="00E0008E"/>
    <w:rsid w:val="00E13F0E"/>
    <w:rsid w:val="00E1648F"/>
    <w:rsid w:val="00E73296"/>
    <w:rsid w:val="00E97BAE"/>
    <w:rsid w:val="00EA18EF"/>
    <w:rsid w:val="00EB4855"/>
    <w:rsid w:val="00ED08D9"/>
    <w:rsid w:val="00EE6BF8"/>
    <w:rsid w:val="00EE75FA"/>
    <w:rsid w:val="00EE7E4A"/>
    <w:rsid w:val="00EF0A6B"/>
    <w:rsid w:val="00F15C4C"/>
    <w:rsid w:val="00F20062"/>
    <w:rsid w:val="00F235A5"/>
    <w:rsid w:val="00F42A9D"/>
    <w:rsid w:val="00F65033"/>
    <w:rsid w:val="00F72CA3"/>
    <w:rsid w:val="00FA2DA0"/>
    <w:rsid w:val="00FA688C"/>
    <w:rsid w:val="00FA7F2D"/>
    <w:rsid w:val="00FB0711"/>
    <w:rsid w:val="00FC2C71"/>
    <w:rsid w:val="00FC7764"/>
    <w:rsid w:val="00FF31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279FEE5-BA3E-4601-8DA3-3282DFDC8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F1344"/>
    <w:pPr>
      <w:numPr>
        <w:numId w:val="2"/>
      </w:numPr>
      <w:contextualSpacing/>
    </w:pPr>
  </w:style>
  <w:style w:type="paragraph" w:styleId="ListBullet2">
    <w:name w:val="List Bullet 2"/>
    <w:basedOn w:val="Normal"/>
    <w:unhideWhenUsed/>
    <w:rsid w:val="007F1344"/>
    <w:pPr>
      <w:numPr>
        <w:numId w:val="3"/>
      </w:numPr>
      <w:contextualSpacing/>
    </w:pPr>
  </w:style>
  <w:style w:type="paragraph" w:styleId="ListBullet3">
    <w:name w:val="List Bullet 3"/>
    <w:basedOn w:val="Normal"/>
    <w:uiPriority w:val="99"/>
    <w:semiHidden/>
    <w:unhideWhenUsed/>
    <w:rsid w:val="007F1344"/>
    <w:pPr>
      <w:numPr>
        <w:numId w:val="4"/>
      </w:numPr>
      <w:contextualSpacing/>
    </w:pPr>
  </w:style>
  <w:style w:type="paragraph" w:styleId="ListBullet4">
    <w:name w:val="List Bullet 4"/>
    <w:basedOn w:val="Normal"/>
    <w:uiPriority w:val="99"/>
    <w:semiHidden/>
    <w:unhideWhenUsed/>
    <w:rsid w:val="007F1344"/>
    <w:pPr>
      <w:numPr>
        <w:numId w:val="5"/>
      </w:numPr>
      <w:contextualSpacing/>
    </w:pPr>
  </w:style>
  <w:style w:type="paragraph" w:styleId="NormalWeb">
    <w:name w:val="Normal (Web)"/>
    <w:basedOn w:val="Normal"/>
    <w:uiPriority w:val="99"/>
    <w:semiHidden/>
    <w:unhideWhenUsed/>
    <w:rsid w:val="007F1344"/>
    <w:pPr>
      <w:spacing w:before="100" w:beforeAutospacing="1" w:after="100" w:afterAutospacing="1"/>
      <w:jc w:val="left"/>
    </w:pPr>
    <w:rPr>
      <w:rFonts w:eastAsia="Times New Roman"/>
      <w:szCs w:val="24"/>
      <w:lang w:eastAsia="fr-BE"/>
    </w:rPr>
  </w:style>
  <w:style w:type="character" w:styleId="Strong">
    <w:name w:val="Strong"/>
    <w:basedOn w:val="DefaultParagraphFont"/>
    <w:uiPriority w:val="22"/>
    <w:qFormat/>
    <w:rsid w:val="007F1344"/>
    <w:rPr>
      <w:b/>
      <w:bCs/>
    </w:rPr>
  </w:style>
  <w:style w:type="paragraph" w:styleId="ListNumber3">
    <w:name w:val="List Number 3"/>
    <w:basedOn w:val="Normal"/>
    <w:rsid w:val="00A67D39"/>
    <w:pPr>
      <w:numPr>
        <w:numId w:val="6"/>
      </w:numPr>
    </w:pPr>
    <w:rPr>
      <w:rFonts w:eastAsia="Times New Roman"/>
      <w:lang w:eastAsia="en-GB"/>
    </w:rPr>
  </w:style>
  <w:style w:type="paragraph" w:customStyle="1" w:styleId="ListNumber3Level2">
    <w:name w:val="List Number 3 (Level 2)"/>
    <w:basedOn w:val="Text3"/>
    <w:rsid w:val="00A67D39"/>
    <w:pPr>
      <w:numPr>
        <w:ilvl w:val="1"/>
        <w:numId w:val="6"/>
      </w:numPr>
    </w:pPr>
    <w:rPr>
      <w:rFonts w:eastAsia="Times New Roman"/>
      <w:lang w:eastAsia="en-GB"/>
    </w:rPr>
  </w:style>
  <w:style w:type="paragraph" w:customStyle="1" w:styleId="ListNumber3Level3">
    <w:name w:val="List Number 3 (Level 3)"/>
    <w:basedOn w:val="Text3"/>
    <w:rsid w:val="00A67D39"/>
    <w:pPr>
      <w:numPr>
        <w:ilvl w:val="2"/>
        <w:numId w:val="6"/>
      </w:numPr>
    </w:pPr>
    <w:rPr>
      <w:rFonts w:eastAsia="Times New Roman"/>
      <w:lang w:eastAsia="en-GB"/>
    </w:rPr>
  </w:style>
  <w:style w:type="paragraph" w:customStyle="1" w:styleId="ListNumber3Level4">
    <w:name w:val="List Number 3 (Level 4)"/>
    <w:basedOn w:val="Text3"/>
    <w:rsid w:val="00A67D39"/>
    <w:pPr>
      <w:numPr>
        <w:ilvl w:val="3"/>
        <w:numId w:val="6"/>
      </w:numPr>
    </w:pPr>
    <w:rPr>
      <w:rFonts w:eastAsia="Times New Roman"/>
      <w:lang w:eastAsia="en-GB"/>
    </w:rPr>
  </w:style>
  <w:style w:type="paragraph" w:customStyle="1" w:styleId="Normal1">
    <w:name w:val="Normal1"/>
    <w:basedOn w:val="Normal"/>
    <w:rsid w:val="00A67D39"/>
    <w:pPr>
      <w:spacing w:before="100" w:beforeAutospacing="1" w:after="100" w:afterAutospacing="1"/>
      <w:jc w:val="left"/>
    </w:pPr>
    <w:rPr>
      <w:rFonts w:eastAsia="Times New Roman"/>
      <w:szCs w:val="24"/>
      <w:lang w:eastAsia="en-GB"/>
    </w:rPr>
  </w:style>
  <w:style w:type="paragraph" w:customStyle="1" w:styleId="Normal2">
    <w:name w:val="Normal2"/>
    <w:basedOn w:val="Normal"/>
    <w:rsid w:val="00C1022F"/>
    <w:pPr>
      <w:spacing w:before="100" w:beforeAutospacing="1" w:after="100" w:afterAutospacing="1"/>
      <w:jc w:val="left"/>
    </w:pPr>
    <w:rPr>
      <w:rFonts w:eastAsia="Times New Roman"/>
      <w:szCs w:val="24"/>
    </w:rPr>
  </w:style>
  <w:style w:type="paragraph" w:styleId="Caption">
    <w:name w:val="caption"/>
    <w:basedOn w:val="Normal"/>
    <w:next w:val="Normal"/>
    <w:uiPriority w:val="35"/>
    <w:semiHidden/>
    <w:unhideWhenUsed/>
    <w:qFormat/>
    <w:rsid w:val="00F72CA3"/>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72CA3"/>
    <w:pPr>
      <w:spacing w:after="0"/>
    </w:pPr>
  </w:style>
  <w:style w:type="paragraph" w:styleId="ListNumber">
    <w:name w:val="List Number"/>
    <w:basedOn w:val="Normal"/>
    <w:uiPriority w:val="99"/>
    <w:semiHidden/>
    <w:unhideWhenUsed/>
    <w:rsid w:val="00F72CA3"/>
    <w:pPr>
      <w:numPr>
        <w:numId w:val="8"/>
      </w:numPr>
      <w:contextualSpacing/>
    </w:pPr>
  </w:style>
  <w:style w:type="paragraph" w:styleId="ListNumber2">
    <w:name w:val="List Number 2"/>
    <w:basedOn w:val="Normal"/>
    <w:uiPriority w:val="99"/>
    <w:semiHidden/>
    <w:unhideWhenUsed/>
    <w:rsid w:val="00F72CA3"/>
    <w:pPr>
      <w:numPr>
        <w:numId w:val="9"/>
      </w:numPr>
      <w:contextualSpacing/>
    </w:pPr>
  </w:style>
  <w:style w:type="paragraph" w:styleId="ListNumber4">
    <w:name w:val="List Number 4"/>
    <w:basedOn w:val="Normal"/>
    <w:uiPriority w:val="99"/>
    <w:semiHidden/>
    <w:unhideWhenUsed/>
    <w:rsid w:val="00F72CA3"/>
    <w:pPr>
      <w:numPr>
        <w:numId w:val="10"/>
      </w:numPr>
      <w:contextualSpacing/>
    </w:pPr>
  </w:style>
  <w:style w:type="character" w:styleId="CommentReference">
    <w:name w:val="annotation reference"/>
    <w:basedOn w:val="DefaultParagraphFont"/>
    <w:uiPriority w:val="99"/>
    <w:semiHidden/>
    <w:unhideWhenUsed/>
    <w:rsid w:val="00FA2DA0"/>
    <w:rPr>
      <w:sz w:val="16"/>
      <w:szCs w:val="16"/>
    </w:rPr>
  </w:style>
  <w:style w:type="paragraph" w:styleId="CommentText">
    <w:name w:val="annotation text"/>
    <w:basedOn w:val="Normal"/>
    <w:link w:val="CommentTextChar"/>
    <w:uiPriority w:val="99"/>
    <w:semiHidden/>
    <w:unhideWhenUsed/>
    <w:rsid w:val="00FA2DA0"/>
    <w:rPr>
      <w:sz w:val="20"/>
      <w:szCs w:val="20"/>
    </w:rPr>
  </w:style>
  <w:style w:type="character" w:customStyle="1" w:styleId="CommentTextChar">
    <w:name w:val="Comment Text Char"/>
    <w:basedOn w:val="DefaultParagraphFont"/>
    <w:link w:val="CommentText"/>
    <w:uiPriority w:val="99"/>
    <w:semiHidden/>
    <w:rsid w:val="00FA2DA0"/>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FA2DA0"/>
    <w:rPr>
      <w:b/>
      <w:bCs/>
    </w:rPr>
  </w:style>
  <w:style w:type="character" w:customStyle="1" w:styleId="CommentSubjectChar">
    <w:name w:val="Comment Subject Char"/>
    <w:basedOn w:val="CommentTextChar"/>
    <w:link w:val="CommentSubject"/>
    <w:uiPriority w:val="99"/>
    <w:semiHidden/>
    <w:rsid w:val="00FA2DA0"/>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FA2DA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DA0"/>
    <w:rPr>
      <w:rFonts w:ascii="Segoe UI" w:hAnsi="Segoe UI" w:cs="Segoe UI"/>
      <w:sz w:val="18"/>
      <w:szCs w:val="18"/>
      <w:lang w:val="ro-RO"/>
    </w:rPr>
  </w:style>
  <w:style w:type="character" w:styleId="Hyperlink">
    <w:name w:val="Hyperlink"/>
    <w:basedOn w:val="DefaultParagraphFont"/>
    <w:uiPriority w:val="99"/>
    <w:unhideWhenUsed/>
    <w:rsid w:val="00FA2DA0"/>
    <w:rPr>
      <w:color w:val="0000FF" w:themeColor="hyperlink"/>
      <w:u w:val="single"/>
    </w:rPr>
  </w:style>
  <w:style w:type="paragraph" w:styleId="Revision">
    <w:name w:val="Revision"/>
    <w:hidden/>
    <w:uiPriority w:val="99"/>
    <w:semiHidden/>
    <w:rsid w:val="00321963"/>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0ECE"/>
    <w:pPr>
      <w:ind w:left="720"/>
      <w:contextualSpacing/>
    </w:pPr>
  </w:style>
  <w:style w:type="character" w:customStyle="1" w:styleId="UnresolvedMention">
    <w:name w:val="Unresolved Mention"/>
    <w:basedOn w:val="DefaultParagraphFont"/>
    <w:uiPriority w:val="99"/>
    <w:semiHidden/>
    <w:unhideWhenUsed/>
    <w:rsid w:val="00094897"/>
    <w:rPr>
      <w:color w:val="605E5C"/>
      <w:shd w:val="clear" w:color="auto" w:fill="E1DFDD"/>
    </w:rPr>
  </w:style>
  <w:style w:type="character" w:customStyle="1" w:styleId="HeaderChar">
    <w:name w:val="Header Char"/>
    <w:basedOn w:val="DefaultParagraphFont"/>
    <w:link w:val="Header"/>
    <w:uiPriority w:val="99"/>
    <w:rsid w:val="00EE7E4A"/>
    <w:rPr>
      <w:rFonts w:ascii="Times New Roman" w:hAnsi="Times New Roman" w:cs="Times New Roman"/>
      <w:sz w:val="24"/>
      <w:lang w:val="ro-RO"/>
    </w:rPr>
  </w:style>
  <w:style w:type="character" w:customStyle="1" w:styleId="FooterChar">
    <w:name w:val="Footer Char"/>
    <w:basedOn w:val="DefaultParagraphFont"/>
    <w:link w:val="Footer"/>
    <w:uiPriority w:val="99"/>
    <w:rsid w:val="00EE7E4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E7E4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E7E4A"/>
    <w:pPr>
      <w:spacing w:before="0"/>
      <w:jc w:val="right"/>
    </w:pPr>
    <w:rPr>
      <w:sz w:val="28"/>
    </w:rPr>
  </w:style>
  <w:style w:type="paragraph" w:customStyle="1" w:styleId="FooterSensitivity">
    <w:name w:val="Footer Sensitivity"/>
    <w:basedOn w:val="Normal"/>
    <w:rsid w:val="00EE7E4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E7E4A"/>
    <w:pPr>
      <w:tabs>
        <w:tab w:val="center" w:pos="4535"/>
        <w:tab w:val="right" w:pos="9071"/>
      </w:tabs>
      <w:spacing w:before="0"/>
    </w:pPr>
  </w:style>
  <w:style w:type="paragraph" w:customStyle="1" w:styleId="HeaderLandscape">
    <w:name w:val="HeaderLandscape"/>
    <w:basedOn w:val="Normal"/>
    <w:rsid w:val="00EE7E4A"/>
    <w:pPr>
      <w:tabs>
        <w:tab w:val="center" w:pos="7285"/>
        <w:tab w:val="right" w:pos="14003"/>
      </w:tabs>
      <w:spacing w:before="0"/>
    </w:pPr>
  </w:style>
  <w:style w:type="paragraph" w:styleId="Footer">
    <w:name w:val="footer"/>
    <w:basedOn w:val="Normal"/>
    <w:link w:val="FooterChar"/>
    <w:uiPriority w:val="99"/>
    <w:unhideWhenUsed/>
    <w:rsid w:val="00EE7E4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E7E4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044299">
      <w:bodyDiv w:val="1"/>
      <w:marLeft w:val="0"/>
      <w:marRight w:val="0"/>
      <w:marTop w:val="0"/>
      <w:marBottom w:val="0"/>
      <w:divBdr>
        <w:top w:val="none" w:sz="0" w:space="0" w:color="auto"/>
        <w:left w:val="none" w:sz="0" w:space="0" w:color="auto"/>
        <w:bottom w:val="none" w:sz="0" w:space="0" w:color="auto"/>
        <w:right w:val="none" w:sz="0" w:space="0" w:color="auto"/>
      </w:divBdr>
    </w:div>
    <w:div w:id="720715121">
      <w:bodyDiv w:val="1"/>
      <w:marLeft w:val="0"/>
      <w:marRight w:val="0"/>
      <w:marTop w:val="0"/>
      <w:marBottom w:val="0"/>
      <w:divBdr>
        <w:top w:val="none" w:sz="0" w:space="0" w:color="auto"/>
        <w:left w:val="none" w:sz="0" w:space="0" w:color="auto"/>
        <w:bottom w:val="none" w:sz="0" w:space="0" w:color="auto"/>
        <w:right w:val="none" w:sz="0" w:space="0" w:color="auto"/>
      </w:divBdr>
    </w:div>
    <w:div w:id="892159364">
      <w:bodyDiv w:val="1"/>
      <w:marLeft w:val="0"/>
      <w:marRight w:val="0"/>
      <w:marTop w:val="0"/>
      <w:marBottom w:val="0"/>
      <w:divBdr>
        <w:top w:val="none" w:sz="0" w:space="0" w:color="auto"/>
        <w:left w:val="none" w:sz="0" w:space="0" w:color="auto"/>
        <w:bottom w:val="none" w:sz="0" w:space="0" w:color="auto"/>
        <w:right w:val="none" w:sz="0" w:space="0" w:color="auto"/>
      </w:divBdr>
    </w:div>
    <w:div w:id="1190680235">
      <w:bodyDiv w:val="1"/>
      <w:marLeft w:val="0"/>
      <w:marRight w:val="0"/>
      <w:marTop w:val="0"/>
      <w:marBottom w:val="0"/>
      <w:divBdr>
        <w:top w:val="none" w:sz="0" w:space="0" w:color="auto"/>
        <w:left w:val="none" w:sz="0" w:space="0" w:color="auto"/>
        <w:bottom w:val="none" w:sz="0" w:space="0" w:color="auto"/>
        <w:right w:val="none" w:sz="0" w:space="0" w:color="auto"/>
      </w:divBdr>
    </w:div>
    <w:div w:id="1550921949">
      <w:bodyDiv w:val="1"/>
      <w:marLeft w:val="0"/>
      <w:marRight w:val="0"/>
      <w:marTop w:val="0"/>
      <w:marBottom w:val="0"/>
      <w:divBdr>
        <w:top w:val="none" w:sz="0" w:space="0" w:color="auto"/>
        <w:left w:val="none" w:sz="0" w:space="0" w:color="auto"/>
        <w:bottom w:val="none" w:sz="0" w:space="0" w:color="auto"/>
        <w:right w:val="none" w:sz="0" w:space="0" w:color="auto"/>
      </w:divBdr>
    </w:div>
    <w:div w:id="193628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D0010-3B76-4A8A-B963-92E5617C6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6</Pages>
  <Words>1874</Words>
  <Characters>10686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cp:revision>
  <cp:lastPrinted>2022-10-25T12:44:00Z</cp:lastPrinted>
  <dcterms:created xsi:type="dcterms:W3CDTF">2025-09-29T08:19:00Z</dcterms:created>
  <dcterms:modified xsi:type="dcterms:W3CDTF">2026-02-16T07:52:00Z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2022-09-26T13:55:54Z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d019a6c2-55bc-46b1-a363-5e2021e519af</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