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0AD" w:rsidRPr="009B2149" w:rsidRDefault="007D1620" w:rsidP="007D162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7B2DA3E-FB89-40F9-BC1B-E3B9C1A9EDF9" style="width:455.25pt;height:342.75pt">
            <v:imagedata r:id="rId11" o:title=""/>
          </v:shape>
        </w:pict>
      </w:r>
    </w:p>
    <w:p w:rsidR="00AF6CA5" w:rsidRPr="009B2149" w:rsidRDefault="00AF6CA5" w:rsidP="00AF6CA5">
      <w:pPr>
        <w:pStyle w:val="Pagedecouverture"/>
        <w:rPr>
          <w:noProof/>
        </w:rPr>
        <w:sectPr w:rsidR="00AF6CA5" w:rsidRPr="009B2149" w:rsidSect="007D1620">
          <w:footerReference w:type="even" r:id="rId12"/>
          <w:footerReference w:type="default" r:id="rId13"/>
          <w:pgSz w:w="11907" w:h="16839"/>
          <w:pgMar w:top="1134" w:right="1417" w:bottom="1134" w:left="1417" w:header="709" w:footer="709" w:gutter="0"/>
          <w:pgNumType w:start="0"/>
          <w:cols w:space="720"/>
          <w:docGrid w:linePitch="360"/>
        </w:sectPr>
      </w:pPr>
    </w:p>
    <w:p w:rsidR="00FE70AD" w:rsidRPr="009B2149" w:rsidRDefault="00FE70AD">
      <w:pPr>
        <w:pStyle w:val="Exposdesmotifstitre"/>
        <w:rPr>
          <w:noProof/>
        </w:rPr>
      </w:pPr>
      <w:bookmarkStart w:id="0" w:name="_GoBack"/>
      <w:bookmarkEnd w:id="0"/>
      <w:r w:rsidRPr="009B2149">
        <w:rPr>
          <w:noProof/>
        </w:rPr>
        <w:lastRenderedPageBreak/>
        <w:t>EXPUNERE DE MOTIVE</w:t>
      </w:r>
    </w:p>
    <w:p w:rsidR="00FE70AD" w:rsidRPr="009B2149" w:rsidRDefault="00D067A3" w:rsidP="00D067A3">
      <w:pPr>
        <w:pStyle w:val="ManualHeading1"/>
        <w:rPr>
          <w:rFonts w:eastAsia="Arial Unicode MS"/>
          <w:noProof/>
        </w:rPr>
      </w:pPr>
      <w:r w:rsidRPr="00D067A3">
        <w:rPr>
          <w:noProof/>
        </w:rPr>
        <w:t>1.</w:t>
      </w:r>
      <w:r w:rsidRPr="00D067A3">
        <w:rPr>
          <w:noProof/>
        </w:rPr>
        <w:tab/>
      </w:r>
      <w:r w:rsidR="00FE70AD" w:rsidRPr="009B2149">
        <w:rPr>
          <w:noProof/>
        </w:rPr>
        <w:t>Obiectul propunerii</w:t>
      </w:r>
    </w:p>
    <w:p w:rsidR="00FE70AD" w:rsidRPr="009B2149" w:rsidRDefault="00FE70AD">
      <w:pPr>
        <w:rPr>
          <w:rFonts w:eastAsia="Arial Unicode MS"/>
          <w:noProof/>
        </w:rPr>
      </w:pPr>
      <w:r w:rsidRPr="009B2149">
        <w:rPr>
          <w:noProof/>
        </w:rPr>
        <w:t>Prezenta propunere se referă la decizia de stabilire a poziției care urmează să fie adoptată în numele Uniunii în cadrul celei de a 14-a Conferințe ministeriale a Organizației Mondiale a Comerțului în legătură cu adoptarea preconizată a mai multor decizii.</w:t>
      </w:r>
    </w:p>
    <w:p w:rsidR="00FE70AD" w:rsidRPr="009B2149" w:rsidRDefault="00D067A3" w:rsidP="00D067A3">
      <w:pPr>
        <w:pStyle w:val="ManualHeading1"/>
        <w:rPr>
          <w:noProof/>
        </w:rPr>
      </w:pPr>
      <w:r w:rsidRPr="00D067A3">
        <w:rPr>
          <w:noProof/>
        </w:rPr>
        <w:t>2.</w:t>
      </w:r>
      <w:r w:rsidRPr="00D067A3">
        <w:rPr>
          <w:noProof/>
        </w:rPr>
        <w:tab/>
      </w:r>
      <w:r w:rsidR="00FE70AD" w:rsidRPr="009B2149">
        <w:rPr>
          <w:noProof/>
        </w:rPr>
        <w:t>Contextul propunerii</w:t>
      </w:r>
    </w:p>
    <w:p w:rsidR="00FE70AD" w:rsidRPr="009B2149" w:rsidRDefault="00D067A3" w:rsidP="00D067A3">
      <w:pPr>
        <w:pStyle w:val="ManualHeading2"/>
        <w:rPr>
          <w:noProof/>
        </w:rPr>
      </w:pPr>
      <w:r w:rsidRPr="00D067A3">
        <w:rPr>
          <w:noProof/>
        </w:rPr>
        <w:t>2.1.</w:t>
      </w:r>
      <w:r w:rsidRPr="00D067A3">
        <w:rPr>
          <w:noProof/>
        </w:rPr>
        <w:tab/>
      </w:r>
      <w:r w:rsidR="00FE70AD" w:rsidRPr="009B2149">
        <w:rPr>
          <w:noProof/>
        </w:rPr>
        <w:t xml:space="preserve">Acordul de instituire a Organizației Mondiale a Comerțului („Acordul OMC”) </w:t>
      </w:r>
    </w:p>
    <w:p w:rsidR="0036778B" w:rsidRPr="009B2149" w:rsidRDefault="0036778B" w:rsidP="0036778B">
      <w:pPr>
        <w:rPr>
          <w:rFonts w:eastAsia="Arial Unicode MS"/>
          <w:noProof/>
          <w:color w:val="000000"/>
        </w:rPr>
      </w:pPr>
      <w:r w:rsidRPr="009B2149">
        <w:rPr>
          <w:noProof/>
        </w:rPr>
        <w:t>Acordul de instituire a Organizației Mondiale a Comerțului (denumit în continuare „Acordul OMC”) urmărește atingerea obiectivelor menționate în preambulul acordului.</w:t>
      </w:r>
      <w:r w:rsidRPr="009B2149">
        <w:rPr>
          <w:noProof/>
          <w:color w:val="000000"/>
        </w:rPr>
        <w:t xml:space="preserve"> </w:t>
      </w:r>
      <w:r w:rsidRPr="009B2149">
        <w:rPr>
          <w:noProof/>
        </w:rPr>
        <w:t>Acordul a intrat în vigoare la 1 ianuarie 1995.</w:t>
      </w:r>
    </w:p>
    <w:p w:rsidR="0036778B" w:rsidRPr="009B2149" w:rsidRDefault="0036778B" w:rsidP="0036778B">
      <w:pPr>
        <w:rPr>
          <w:rFonts w:eastAsia="Arial Unicode MS"/>
          <w:noProof/>
          <w:color w:val="000000"/>
        </w:rPr>
      </w:pPr>
      <w:r w:rsidRPr="009B2149">
        <w:rPr>
          <w:noProof/>
        </w:rPr>
        <w:t>Uniunea Europeană (UE) este parte la acord</w:t>
      </w:r>
      <w:r w:rsidRPr="008B0C00">
        <w:rPr>
          <w:rStyle w:val="FootnoteReference"/>
          <w:rFonts w:eastAsia="Arial Unicode MS"/>
          <w:noProof/>
        </w:rPr>
        <w:footnoteReference w:id="2"/>
      </w:r>
      <w:r w:rsidRPr="009B2149">
        <w:rPr>
          <w:noProof/>
        </w:rPr>
        <w:t>.</w:t>
      </w:r>
      <w:r w:rsidRPr="009B2149">
        <w:rPr>
          <w:noProof/>
          <w:color w:val="000000"/>
        </w:rPr>
        <w:t xml:space="preserve"> </w:t>
      </w:r>
      <w:r w:rsidRPr="009B2149">
        <w:rPr>
          <w:noProof/>
        </w:rPr>
        <w:t>Toate cele 27 de state membre ale UE sunt și ele părți la acord.</w:t>
      </w:r>
      <w:r w:rsidRPr="009B2149">
        <w:rPr>
          <w:noProof/>
          <w:color w:val="000000"/>
        </w:rPr>
        <w:t xml:space="preserve"> OMC poate lua decizii în conformitate cu procedurile prevăzute în Acordul OMC.</w:t>
      </w:r>
    </w:p>
    <w:p w:rsidR="00FE70AD" w:rsidRPr="009B2149" w:rsidRDefault="00D067A3" w:rsidP="00D067A3">
      <w:pPr>
        <w:pStyle w:val="ManualHeading2"/>
        <w:rPr>
          <w:noProof/>
        </w:rPr>
      </w:pPr>
      <w:r w:rsidRPr="00D067A3">
        <w:rPr>
          <w:noProof/>
        </w:rPr>
        <w:t>2.2.</w:t>
      </w:r>
      <w:r w:rsidRPr="00D067A3">
        <w:rPr>
          <w:noProof/>
        </w:rPr>
        <w:tab/>
      </w:r>
      <w:r w:rsidR="00FE70AD" w:rsidRPr="009B2149">
        <w:rPr>
          <w:noProof/>
        </w:rPr>
        <w:t>Conferința ministerială a Organizației Mondiale a Comerțului</w:t>
      </w:r>
    </w:p>
    <w:p w:rsidR="00905731" w:rsidRPr="009B2149" w:rsidRDefault="00905731" w:rsidP="00905731">
      <w:pPr>
        <w:rPr>
          <w:rFonts w:eastAsia="Arial Unicode MS"/>
          <w:noProof/>
          <w:color w:val="000000"/>
        </w:rPr>
      </w:pPr>
      <w:r w:rsidRPr="009B2149">
        <w:rPr>
          <w:noProof/>
        </w:rPr>
        <w:t>Conferința ministerială este cel mai înalt organism decizional al OMC, întrunindu-se cel puțin o dată la doi ani.</w:t>
      </w:r>
      <w:r w:rsidRPr="009B2149">
        <w:rPr>
          <w:noProof/>
          <w:color w:val="000000"/>
        </w:rPr>
        <w:t xml:space="preserve"> Din punct de vedere juridic și în practică, deciziile sunt luate prin consens. </w:t>
      </w:r>
    </w:p>
    <w:p w:rsidR="00905731" w:rsidRPr="009B2149" w:rsidRDefault="00905731" w:rsidP="00905731">
      <w:pPr>
        <w:rPr>
          <w:rFonts w:eastAsia="Arial Unicode MS"/>
          <w:noProof/>
          <w:color w:val="000000"/>
        </w:rPr>
      </w:pPr>
      <w:r w:rsidRPr="009B2149">
        <w:rPr>
          <w:noProof/>
        </w:rPr>
        <w:t>Următoarea reuniune a Conferinței ministeriale va avea loc la Yaoundé, Camerun, în perioada 26-29 martie 2026. Aceasta va fi cea de a 14-a Conferință ministerială a OMC („CM14”).</w:t>
      </w:r>
    </w:p>
    <w:p w:rsidR="00FE70AD" w:rsidRPr="009B2149" w:rsidRDefault="00D067A3" w:rsidP="00D067A3">
      <w:pPr>
        <w:pStyle w:val="ManualHeading2"/>
        <w:rPr>
          <w:noProof/>
        </w:rPr>
      </w:pPr>
      <w:r w:rsidRPr="00D067A3">
        <w:rPr>
          <w:noProof/>
        </w:rPr>
        <w:t>2.3.</w:t>
      </w:r>
      <w:r w:rsidRPr="00D067A3">
        <w:rPr>
          <w:noProof/>
        </w:rPr>
        <w:tab/>
      </w:r>
      <w:r w:rsidR="00FE70AD" w:rsidRPr="009B2149">
        <w:rPr>
          <w:noProof/>
        </w:rPr>
        <w:t xml:space="preserve">Actele avute în vedere de Conferința ministerială a OMC </w:t>
      </w:r>
    </w:p>
    <w:p w:rsidR="00AE144E" w:rsidRPr="009B2149" w:rsidRDefault="00C10718" w:rsidP="00AE144E">
      <w:pPr>
        <w:rPr>
          <w:rFonts w:eastAsia="Arial Unicode MS"/>
          <w:noProof/>
        </w:rPr>
      </w:pPr>
      <w:r w:rsidRPr="009B2149">
        <w:rPr>
          <w:noProof/>
        </w:rPr>
        <w:t>CM14 poate adopta decizii privind:</w:t>
      </w:r>
    </w:p>
    <w:p w:rsidR="00AE144E" w:rsidRPr="009B2149" w:rsidRDefault="00AE144E" w:rsidP="00AE144E">
      <w:pPr>
        <w:pStyle w:val="ManualNumPar1"/>
        <w:rPr>
          <w:noProof/>
        </w:rPr>
      </w:pPr>
      <w:r w:rsidRPr="009B2149">
        <w:rPr>
          <w:noProof/>
        </w:rPr>
        <w:t>1.</w:t>
      </w:r>
      <w:r w:rsidRPr="009B2149">
        <w:rPr>
          <w:noProof/>
        </w:rPr>
        <w:tab/>
        <w:t>Reforma soluționării litigiilor</w:t>
      </w:r>
    </w:p>
    <w:p w:rsidR="006C5E17" w:rsidRPr="009B2149" w:rsidRDefault="00AE144E" w:rsidP="006C5E17">
      <w:pPr>
        <w:pStyle w:val="ManualNumPar1"/>
        <w:rPr>
          <w:noProof/>
        </w:rPr>
      </w:pPr>
      <w:r w:rsidRPr="009B2149">
        <w:rPr>
          <w:noProof/>
        </w:rPr>
        <w:t>2.</w:t>
      </w:r>
      <w:r w:rsidRPr="009B2149">
        <w:rPr>
          <w:noProof/>
        </w:rPr>
        <w:tab/>
        <w:t>Subvențiile în domeniul pescuitului</w:t>
      </w:r>
    </w:p>
    <w:p w:rsidR="00AE144E" w:rsidRPr="009B2149" w:rsidRDefault="006C5E17" w:rsidP="006C5E17">
      <w:pPr>
        <w:pStyle w:val="ManualNumPar1"/>
        <w:rPr>
          <w:noProof/>
        </w:rPr>
      </w:pPr>
      <w:r w:rsidRPr="009B2149">
        <w:rPr>
          <w:noProof/>
        </w:rPr>
        <w:t>3.</w:t>
      </w:r>
      <w:r w:rsidRPr="009B2149">
        <w:rPr>
          <w:noProof/>
        </w:rPr>
        <w:tab/>
        <w:t>Securitatea alimentară</w:t>
      </w:r>
    </w:p>
    <w:p w:rsidR="00AE144E" w:rsidRPr="009B2149" w:rsidRDefault="0053229D" w:rsidP="7B9E3FE4">
      <w:pPr>
        <w:pStyle w:val="ManualNumPar1"/>
        <w:rPr>
          <w:noProof/>
        </w:rPr>
      </w:pPr>
      <w:r w:rsidRPr="009B2149">
        <w:rPr>
          <w:noProof/>
        </w:rPr>
        <w:t>4.</w:t>
      </w:r>
      <w:r w:rsidRPr="009B2149">
        <w:rPr>
          <w:noProof/>
        </w:rPr>
        <w:tab/>
        <w:t xml:space="preserve">Sprijinul intern acordat agriculturii </w:t>
      </w:r>
    </w:p>
    <w:p w:rsidR="00AE144E" w:rsidRPr="009B2149" w:rsidRDefault="0053229D" w:rsidP="00AF6CA5">
      <w:pPr>
        <w:pStyle w:val="ManualNumPar1"/>
        <w:rPr>
          <w:noProof/>
        </w:rPr>
      </w:pPr>
      <w:r w:rsidRPr="009B2149">
        <w:rPr>
          <w:noProof/>
        </w:rPr>
        <w:t>5.</w:t>
      </w:r>
      <w:r w:rsidRPr="009B2149">
        <w:rPr>
          <w:noProof/>
        </w:rPr>
        <w:tab/>
        <w:t>Deținerea de stocuri publice în scopul securității alimentare</w:t>
      </w:r>
    </w:p>
    <w:p w:rsidR="00AE144E" w:rsidRPr="009B2149" w:rsidRDefault="0053229D" w:rsidP="00AE144E">
      <w:pPr>
        <w:pStyle w:val="ManualNumPar1"/>
        <w:rPr>
          <w:noProof/>
        </w:rPr>
      </w:pPr>
      <w:r w:rsidRPr="009B2149">
        <w:rPr>
          <w:noProof/>
        </w:rPr>
        <w:t>6.</w:t>
      </w:r>
      <w:r w:rsidRPr="009B2149">
        <w:rPr>
          <w:noProof/>
        </w:rPr>
        <w:tab/>
        <w:t>Restricțiile la export în domeniul agriculturii</w:t>
      </w:r>
    </w:p>
    <w:p w:rsidR="00AE144E" w:rsidRPr="009B2149" w:rsidRDefault="0053229D" w:rsidP="00AE144E">
      <w:pPr>
        <w:pStyle w:val="ManualNumPar1"/>
        <w:rPr>
          <w:noProof/>
        </w:rPr>
      </w:pPr>
      <w:r w:rsidRPr="009B2149">
        <w:rPr>
          <w:noProof/>
        </w:rPr>
        <w:t>7.</w:t>
      </w:r>
      <w:r w:rsidRPr="009B2149">
        <w:rPr>
          <w:noProof/>
        </w:rPr>
        <w:tab/>
        <w:t>Concurența la export în domeniul agriculturii</w:t>
      </w:r>
    </w:p>
    <w:p w:rsidR="00AE144E" w:rsidRPr="009B2149" w:rsidRDefault="0053229D" w:rsidP="00AE144E">
      <w:pPr>
        <w:pStyle w:val="ManualNumPar1"/>
        <w:rPr>
          <w:noProof/>
        </w:rPr>
      </w:pPr>
      <w:r w:rsidRPr="009B2149">
        <w:rPr>
          <w:noProof/>
        </w:rPr>
        <w:t>8.</w:t>
      </w:r>
      <w:r w:rsidRPr="009B2149">
        <w:rPr>
          <w:noProof/>
        </w:rPr>
        <w:tab/>
        <w:t>Accesul pe piață în sectorul agricol</w:t>
      </w:r>
    </w:p>
    <w:p w:rsidR="00AE144E" w:rsidRPr="009B2149" w:rsidRDefault="0053229D" w:rsidP="00AE144E">
      <w:pPr>
        <w:pStyle w:val="ManualNumPar1"/>
        <w:rPr>
          <w:noProof/>
        </w:rPr>
      </w:pPr>
      <w:r w:rsidRPr="009B2149">
        <w:rPr>
          <w:noProof/>
        </w:rPr>
        <w:t>9.</w:t>
      </w:r>
      <w:r w:rsidRPr="009B2149">
        <w:rPr>
          <w:noProof/>
        </w:rPr>
        <w:tab/>
        <w:t>Mecanismul special de salvgardare (MSS) în domeniul agriculturii</w:t>
      </w:r>
    </w:p>
    <w:p w:rsidR="00AE144E" w:rsidRPr="009B2149" w:rsidRDefault="00AE144E" w:rsidP="00BE3076">
      <w:pPr>
        <w:pStyle w:val="ManualNumPar1"/>
        <w:rPr>
          <w:noProof/>
        </w:rPr>
      </w:pPr>
      <w:r w:rsidRPr="009B2149">
        <w:rPr>
          <w:noProof/>
        </w:rPr>
        <w:t>10.</w:t>
      </w:r>
      <w:r w:rsidRPr="009B2149">
        <w:rPr>
          <w:noProof/>
        </w:rPr>
        <w:tab/>
        <w:t>Bumbacul</w:t>
      </w:r>
    </w:p>
    <w:p w:rsidR="00AE144E" w:rsidRPr="009B2149" w:rsidRDefault="00AE144E" w:rsidP="00AE144E">
      <w:pPr>
        <w:pStyle w:val="ManualNumPar1"/>
        <w:rPr>
          <w:noProof/>
        </w:rPr>
      </w:pPr>
      <w:r w:rsidRPr="009B2149">
        <w:rPr>
          <w:noProof/>
        </w:rPr>
        <w:t>11.</w:t>
      </w:r>
      <w:r w:rsidRPr="009B2149">
        <w:rPr>
          <w:noProof/>
        </w:rPr>
        <w:tab/>
        <w:t xml:space="preserve">Tratamentul special și diferențiat </w:t>
      </w:r>
    </w:p>
    <w:p w:rsidR="00AE144E" w:rsidRPr="009B2149" w:rsidRDefault="00AE144E" w:rsidP="00AE144E">
      <w:pPr>
        <w:pStyle w:val="ManualNumPar1"/>
        <w:rPr>
          <w:noProof/>
        </w:rPr>
      </w:pPr>
      <w:r w:rsidRPr="009B2149">
        <w:rPr>
          <w:noProof/>
        </w:rPr>
        <w:t>12.</w:t>
      </w:r>
      <w:r w:rsidRPr="009B2149">
        <w:rPr>
          <w:noProof/>
        </w:rPr>
        <w:tab/>
        <w:t xml:space="preserve">Propunerea de depășire a statutului de țară cel mai puțin dezvoltată – măsuri de sprijin într-o serie de acorduri și decizii specifice ale OMC </w:t>
      </w:r>
    </w:p>
    <w:p w:rsidR="009F519F" w:rsidRPr="009B2149" w:rsidRDefault="009F519F" w:rsidP="00AF6CA5">
      <w:pPr>
        <w:pStyle w:val="ManualNumPar1"/>
        <w:rPr>
          <w:noProof/>
        </w:rPr>
      </w:pPr>
      <w:r w:rsidRPr="009B2149">
        <w:rPr>
          <w:noProof/>
        </w:rPr>
        <w:t>13.</w:t>
      </w:r>
      <w:r w:rsidRPr="009B2149">
        <w:rPr>
          <w:noProof/>
        </w:rPr>
        <w:tab/>
        <w:t>Acordul privind comerțul electronic</w:t>
      </w:r>
    </w:p>
    <w:p w:rsidR="00B97354" w:rsidRPr="009B2149" w:rsidRDefault="00B97354" w:rsidP="00AF6CA5">
      <w:pPr>
        <w:pStyle w:val="ManualNumPar1"/>
        <w:rPr>
          <w:noProof/>
        </w:rPr>
      </w:pPr>
      <w:r w:rsidRPr="009B2149">
        <w:rPr>
          <w:noProof/>
        </w:rPr>
        <w:t>14.</w:t>
      </w:r>
      <w:r w:rsidRPr="009B2149">
        <w:rPr>
          <w:noProof/>
        </w:rPr>
        <w:tab/>
        <w:t xml:space="preserve">Acordul privind facilitarea investițiilor pentru dezvoltare </w:t>
      </w:r>
    </w:p>
    <w:p w:rsidR="00FD4FEF" w:rsidRPr="009B2149" w:rsidRDefault="00FD4FEF" w:rsidP="00AF6CA5">
      <w:pPr>
        <w:pStyle w:val="ManualNumPar1"/>
        <w:rPr>
          <w:noProof/>
        </w:rPr>
      </w:pPr>
      <w:r w:rsidRPr="009B2149">
        <w:rPr>
          <w:noProof/>
        </w:rPr>
        <w:t>15.</w:t>
      </w:r>
      <w:r w:rsidRPr="009B2149">
        <w:rPr>
          <w:noProof/>
        </w:rPr>
        <w:tab/>
        <w:t>Cererea de acordare a unei derogări de la normele OMC</w:t>
      </w:r>
    </w:p>
    <w:p w:rsidR="00C90317" w:rsidRPr="009B2149" w:rsidRDefault="00C90317" w:rsidP="00AF6CA5">
      <w:pPr>
        <w:pStyle w:val="ManualNumPar1"/>
        <w:rPr>
          <w:i/>
          <w:iCs/>
          <w:noProof/>
        </w:rPr>
      </w:pPr>
      <w:r w:rsidRPr="009B2149">
        <w:rPr>
          <w:noProof/>
        </w:rPr>
        <w:t>16.</w:t>
      </w:r>
      <w:r w:rsidRPr="009B2149">
        <w:rPr>
          <w:noProof/>
        </w:rPr>
        <w:tab/>
        <w:t>Instituirea unui comitet suplimentar privind tehnologiile emergente</w:t>
      </w:r>
    </w:p>
    <w:p w:rsidR="00FE70AD" w:rsidRPr="009B2149" w:rsidRDefault="00D067A3" w:rsidP="00D067A3">
      <w:pPr>
        <w:pStyle w:val="ManualHeading1"/>
        <w:rPr>
          <w:rFonts w:eastAsia="Arial Unicode MS"/>
          <w:noProof/>
        </w:rPr>
      </w:pPr>
      <w:r w:rsidRPr="00D067A3">
        <w:rPr>
          <w:noProof/>
        </w:rPr>
        <w:t>3.</w:t>
      </w:r>
      <w:r w:rsidRPr="00D067A3">
        <w:rPr>
          <w:noProof/>
        </w:rPr>
        <w:tab/>
      </w:r>
      <w:r w:rsidR="00FE70AD" w:rsidRPr="009B2149">
        <w:rPr>
          <w:noProof/>
        </w:rPr>
        <w:t>Poziția care urmează să fie adoptată în numele Uniunii</w:t>
      </w:r>
    </w:p>
    <w:p w:rsidR="00AE144E" w:rsidRPr="009B2149" w:rsidRDefault="00AE144E" w:rsidP="00AE144E">
      <w:pPr>
        <w:rPr>
          <w:noProof/>
        </w:rPr>
      </w:pPr>
      <w:r w:rsidRPr="009B2149">
        <w:rPr>
          <w:noProof/>
        </w:rPr>
        <w:t xml:space="preserve">Obiectivul prezentei propuneri este de a permite UE să se alăture unui posibil consens în cadrul OMC privind adoptarea de către Conferința ministerială a actelor avute în vedere. </w:t>
      </w:r>
    </w:p>
    <w:p w:rsidR="00AE144E" w:rsidRPr="009B2149" w:rsidRDefault="00AE144E" w:rsidP="00AE144E">
      <w:pPr>
        <w:rPr>
          <w:noProof/>
        </w:rPr>
      </w:pPr>
      <w:r w:rsidRPr="009B2149">
        <w:rPr>
          <w:noProof/>
        </w:rPr>
        <w:t>Deși nu este deocamdată clar dacă, și în ce măsură, membrii OMC vor putea ajunge la un consens privind actele avute în vedere, poziția UE în cadrul CM14 trebuie să fie stabilită anticipat de către Consiliu în temeiul articolului 218 alineatul (9) din TFUE</w:t>
      </w:r>
      <w:r w:rsidRPr="009B2149">
        <w:rPr>
          <w:rStyle w:val="FootnoteReference"/>
          <w:noProof/>
        </w:rPr>
        <w:footnoteReference w:id="3"/>
      </w:r>
      <w:r w:rsidRPr="009B2149">
        <w:rPr>
          <w:noProof/>
        </w:rPr>
        <w:t xml:space="preserve">. </w:t>
      </w:r>
    </w:p>
    <w:p w:rsidR="00AE144E" w:rsidRPr="009B2149" w:rsidRDefault="00AE144E" w:rsidP="00AE144E">
      <w:pPr>
        <w:rPr>
          <w:noProof/>
        </w:rPr>
      </w:pPr>
      <w:r w:rsidRPr="009B2149">
        <w:rPr>
          <w:noProof/>
        </w:rPr>
        <w:t>Ar trebui remarcat faptul că poziția UE de a sprijini prelungirea moratoriului privind taxele vamale pentru tranzacțiile electronice și de a sprijini o prelungire a moratoriului privind tipurile de plângeri prevăzute la articolul XXIII alineatul (1) literele (b) și (c) din Acordul General pentru Tarife și Comerț din 1994 („plângerile în situația în care nu există o încălcare și plângerile motivate de alte situații”) nu va fi inclusă în prezenta propunere, deoarece Decizia (UE) 2015/2236 a Consiliului din 27 noiembrie 2015 prevede că acest lucru se poate realiza pe durată nelimitată. Propunerea actuală acoperă următoarele aspecte în legătură cu care pot fi adoptate decizii:</w:t>
      </w:r>
    </w:p>
    <w:p w:rsidR="009831B9" w:rsidRPr="009B2149" w:rsidRDefault="00AE144E" w:rsidP="00A37F6C">
      <w:pPr>
        <w:pStyle w:val="Bullet0"/>
        <w:numPr>
          <w:ilvl w:val="0"/>
          <w:numId w:val="7"/>
        </w:numPr>
        <w:rPr>
          <w:b/>
          <w:bCs/>
          <w:noProof/>
          <w:u w:val="single"/>
        </w:rPr>
      </w:pPr>
      <w:r w:rsidRPr="009B2149">
        <w:rPr>
          <w:b/>
          <w:noProof/>
          <w:u w:val="single"/>
        </w:rPr>
        <w:t>Reforma soluționării litigiilor:</w:t>
      </w:r>
      <w:r w:rsidRPr="009B2149">
        <w:rPr>
          <w:b/>
          <w:noProof/>
        </w:rPr>
        <w:t xml:space="preserve"> </w:t>
      </w:r>
      <w:r w:rsidRPr="009B2149">
        <w:rPr>
          <w:noProof/>
        </w:rPr>
        <w:t>În cadrul CM13 de la Abu Dhabi, prin decizia ministerială [WT/MIN (24)/37], OMC a recunoscut progresele înregistrate în procesul informal privind reforma soluționării litigiilor și a însărcinat funcționarii să accelereze discuțiile pentru a atinge obiectivul de a asigura un sistem complet funcțional de soluționare a litigiilor, care să fie accesibil tuturor membrilor până în 2024, astfel cum s-a stabilit deja în cadrul CM12. Acest lucru nu s-a întâmplat „până în 2024”, iar perspectivele unui rezultat la CM14 sunt pesimiste. Cu toate acestea, un sistem complet funcțional de soluționare a litigiilor în cadrul OMC rămâne o prioritate pentru Uniune. Prin urmare, Uniunea ar trebui să sprijine o reformă semnificativă a sistemului de soluționare a litigiilor pentru a aborda interesele membrilor, menținând în același timp caracteristicile sale esențiale care sprijină sistemul comercial multilateral bazat pe norme. În cazul în care se va ajunge la un rezultat convenit de comun acord, Uniunea ar trebui să îl susțină.</w:t>
      </w:r>
    </w:p>
    <w:p w:rsidR="009831B9" w:rsidRPr="009B2149" w:rsidRDefault="00AE144E" w:rsidP="00AF6CA5">
      <w:pPr>
        <w:pStyle w:val="Bullet0"/>
        <w:rPr>
          <w:rFonts w:eastAsia="Arial Unicode MS"/>
          <w:b/>
          <w:bCs/>
          <w:noProof/>
          <w:u w:val="single"/>
        </w:rPr>
      </w:pPr>
      <w:r w:rsidRPr="009B2149">
        <w:rPr>
          <w:b/>
          <w:noProof/>
          <w:u w:val="single"/>
        </w:rPr>
        <w:t>Subvențiile în domeniul pescuitului:</w:t>
      </w:r>
      <w:r w:rsidRPr="009B2149">
        <w:rPr>
          <w:b/>
          <w:noProof/>
        </w:rPr>
        <w:t xml:space="preserve"> </w:t>
      </w:r>
      <w:r w:rsidRPr="009B2149">
        <w:rPr>
          <w:noProof/>
        </w:rPr>
        <w:t>Prin Decizia ministerială din 17 iunie 2022 [WT/MIN (22)/33], OMC a adoptat Acordul privind subvențiile pentru pescuit și, în același timp, a solicitat încheierea unui acord cuprinzător privind subvențiile pentru pescuit. Acordul privind subvențiile pentru pescuit a intrat în vigoare la 15 septembrie 2025 și, în cazul în care nu se adoptă discipline cuprinzătoare în termen de patru ani de la intrarea în vigoare a acestui acord și cu excepția cazului în care Consiliul General decide altfel, acest acord încetează imediat. OMC depune eforturi pentru a ajunge la un acord multilateral cu privire la dispoziții suplimentare prin care să realizeze discipline cuprinzătoare. În cazul în care negocierile privind dispozițiile suplimentare vor fi încununate de succes, UE ar trebui să susțină rezultatul convenit de comun acord.</w:t>
      </w:r>
    </w:p>
    <w:p w:rsidR="009831B9" w:rsidRPr="009B2149" w:rsidRDefault="00AE144E" w:rsidP="00AF6CA5">
      <w:pPr>
        <w:pStyle w:val="Bullet0"/>
        <w:rPr>
          <w:rFonts w:eastAsia="Times New Roman"/>
          <w:noProof/>
          <w:szCs w:val="24"/>
        </w:rPr>
      </w:pPr>
      <w:r w:rsidRPr="009B2149">
        <w:rPr>
          <w:b/>
          <w:noProof/>
          <w:u w:val="single"/>
        </w:rPr>
        <w:t>Securitatea alimentară:</w:t>
      </w:r>
      <w:r w:rsidRPr="009B2149">
        <w:rPr>
          <w:b/>
          <w:noProof/>
        </w:rPr>
        <w:t xml:space="preserve"> </w:t>
      </w:r>
      <w:bookmarkStart w:id="1" w:name="_Hlk147323686"/>
      <w:r w:rsidRPr="009B2149">
        <w:rPr>
          <w:noProof/>
        </w:rPr>
        <w:t xml:space="preserve">Este necesară o acțiune a OMC ca </w:t>
      </w:r>
      <w:r w:rsidRPr="009B2149">
        <w:rPr>
          <w:noProof/>
          <w:shd w:val="clear" w:color="auto" w:fill="FFFFFF"/>
        </w:rPr>
        <w:t xml:space="preserve">răspuns la provocările actuale în materie de securitate alimentară, agravate de consecințele războiului de agresiune neprovocat și nejustificat al Rusiei în Ucraina, într-un context de </w:t>
      </w:r>
      <w:r w:rsidRPr="009B2149">
        <w:rPr>
          <w:noProof/>
        </w:rPr>
        <w:t>provocări globale în materie de climă și de mediu.</w:t>
      </w:r>
      <w:r w:rsidRPr="009B2149">
        <w:rPr>
          <w:noProof/>
          <w:shd w:val="clear" w:color="auto" w:fill="FFFFFF"/>
        </w:rPr>
        <w:t xml:space="preserve"> Se preconizează că securitatea alimentară va fi un element de discuție în cadrul CM14. În plus, în cadrul CM12, miniștrii au aprobat o declarație privind răspunsul de urgență la insecuritatea alimentară [WT/MIN(22)/28, WT/L/1139], care a însărcinat Comitetul pentru agricultură să întreprindă un program de lucru specific pentru a examina modalitățile prin care Decizia privind măsurile referitoare la posibilele efecte negative ale programului de reformă pentru țările cel mai puțin dezvoltate (denumite în continuare „TPD”) și cele în curs de dezvoltare, importatoare nete de produse alimentare (denumite în continuare „TCDINPA”) (Decizia de la Marrakesh) să devină mai eficace și mai operațională. În același timp, membrilor li s-a încredințat sarcina de a lua în considerare nevoile TPD și ale TCDINPA de a-și spori reziliența în ceea ce privește răspunsul la instabilitatea alimentară acută, inclusiv prin luarea în considerare a celei mai bune utilizări posibile a mecanismelor de flexibilitate pentru a-și consolida producția agricolă și securitatea alimentară internă, după cum este necesar într-o situație de urgență. Membrii au stabilit împreună un calendar pentru sfârșitul lunii noiembrie 2023 pentru a încheia un program de lucru și pentru a ajunge la o serie de recomandări comune. </w:t>
      </w:r>
      <w:r w:rsidRPr="009B2149">
        <w:rPr>
          <w:noProof/>
        </w:rPr>
        <w:t>În aprilie 2024, membrii au adoptat un raport privind programul de lucru (G/AG/38), care conține un set de recomandări și de concluzii. În cazul în care se va ajunge la un rezultat ca urmare a acestor lucrări, UE ar trebui să susțină un astfel de rezultat convenit de comun acord.</w:t>
      </w:r>
      <w:bookmarkEnd w:id="1"/>
    </w:p>
    <w:p w:rsidR="009831B9" w:rsidRPr="009B2149" w:rsidRDefault="0B8EEE98" w:rsidP="00AF6CA5">
      <w:pPr>
        <w:pStyle w:val="Bullet0"/>
        <w:rPr>
          <w:rFonts w:eastAsia="Arial Unicode MS"/>
          <w:b/>
          <w:bCs/>
          <w:noProof/>
          <w:u w:val="single"/>
        </w:rPr>
      </w:pPr>
      <w:r w:rsidRPr="009B2149">
        <w:rPr>
          <w:b/>
          <w:noProof/>
          <w:u w:val="single"/>
        </w:rPr>
        <w:t>Sprijinul intern acordat agriculturii:</w:t>
      </w:r>
      <w:r w:rsidRPr="009B2149">
        <w:rPr>
          <w:b/>
          <w:i/>
          <w:noProof/>
          <w:u w:val="single"/>
        </w:rPr>
        <w:t xml:space="preserve"> </w:t>
      </w:r>
      <w:r w:rsidRPr="009B2149">
        <w:rPr>
          <w:noProof/>
        </w:rPr>
        <w:t>Negocierile privind sprijinul intern care denaturează schimburile comerciale sunt încorporate în articolul 20 din Acordul OMC privind agricultura și au făcut parte din mandatul Agendei de dezvoltare de la Doha (ADD) stipulat în Declarația ministerială de la Doha din 14 noiembrie 2001 [WT/MIN(01)/DEC/1]. În cazul în care negocierile vor fi încununate de succes, UE ar trebui să susțină un rezultat convenit de comun acord.</w:t>
      </w:r>
    </w:p>
    <w:p w:rsidR="009831B9" w:rsidRPr="009B2149" w:rsidRDefault="00AE144E" w:rsidP="00AF6CA5">
      <w:pPr>
        <w:pStyle w:val="Bullet0"/>
        <w:rPr>
          <w:rFonts w:eastAsia="Arial Unicode MS"/>
          <w:b/>
          <w:bCs/>
          <w:noProof/>
          <w:u w:val="single"/>
        </w:rPr>
      </w:pPr>
      <w:r w:rsidRPr="009B2149">
        <w:rPr>
          <w:b/>
          <w:noProof/>
          <w:u w:val="single"/>
        </w:rPr>
        <w:t>Deținerea de stocuri publice în scopul securității alimentare:</w:t>
      </w:r>
      <w:r w:rsidRPr="009B2149">
        <w:rPr>
          <w:b/>
          <w:i/>
          <w:noProof/>
        </w:rPr>
        <w:t xml:space="preserve"> </w:t>
      </w:r>
      <w:r w:rsidRPr="009B2149">
        <w:rPr>
          <w:noProof/>
        </w:rPr>
        <w:t>Negocierile urmăresc ajungerea la un acord cu privire la o „soluție definitivă”, îndeplinind astfel obiectivul stabilit în Decizia ministerială de la Bali din 7 decembrie 2013 privind deținerea de stocuri publice în scopul securității alimentare [WT/MIN(13)/38-WT/L/913], astfel cum a fost interpretată prin ulterioara Hotărâre a Consiliului General din 27 noiembrie 2014 (WT/L/939). Acest obiectiv a fost reiterat în Decizia ministerială de la Nairobi din 19 decembrie 2015 [WT/MIN (15)/44-WT/L/979]. În cazul în care negocierile vor fi încununate de succes, UE ar trebui să susțină un rezultat convenit de comun acord.</w:t>
      </w:r>
    </w:p>
    <w:p w:rsidR="009831B9" w:rsidRPr="009B2149" w:rsidRDefault="00AE144E" w:rsidP="00AF6CA5">
      <w:pPr>
        <w:pStyle w:val="Bullet0"/>
        <w:rPr>
          <w:b/>
          <w:bCs/>
          <w:noProof/>
          <w:u w:val="single"/>
        </w:rPr>
      </w:pPr>
      <w:r w:rsidRPr="009B2149">
        <w:rPr>
          <w:b/>
          <w:noProof/>
          <w:u w:val="single"/>
        </w:rPr>
        <w:t>Restricțiile la export în domeniul agriculturii:</w:t>
      </w:r>
      <w:r w:rsidRPr="009B2149">
        <w:rPr>
          <w:b/>
          <w:i/>
          <w:noProof/>
        </w:rPr>
        <w:t xml:space="preserve"> </w:t>
      </w:r>
      <w:r w:rsidRPr="009B2149">
        <w:rPr>
          <w:noProof/>
        </w:rPr>
        <w:t>În cadrul celei de a 12-a Conferințe ministeriale, care a avut loc la Geneva, membrii OMC au aprobat Decizia ministerială de referință privind scutirea achizițiilor de produse alimentare de la interdicțiile sau restricțiile la export din cadrul Programului Alimentar Mondial [WT/MIN (22)/29, WT/L/1140]. Mulți membri sprijină o transparență și previzibilitate sporite în ceea ce privește interdicțiile și restricțiile la export, precum și îmbunătățirea disciplinelor relevante. În cazul în care negocierile vor fi încununate de succes, UE ar trebui să susțină un rezultat convenit de comun acord.</w:t>
      </w:r>
    </w:p>
    <w:p w:rsidR="00AE144E" w:rsidRPr="009B2149" w:rsidRDefault="00AE144E" w:rsidP="00AF6CA5">
      <w:pPr>
        <w:pStyle w:val="Bullet0"/>
        <w:rPr>
          <w:noProof/>
        </w:rPr>
      </w:pPr>
      <w:r w:rsidRPr="009B2149">
        <w:rPr>
          <w:b/>
          <w:noProof/>
          <w:u w:val="single"/>
        </w:rPr>
        <w:t>Concurența la export în domeniul agriculturii:</w:t>
      </w:r>
      <w:r w:rsidRPr="009B2149">
        <w:rPr>
          <w:b/>
          <w:i/>
          <w:noProof/>
        </w:rPr>
        <w:t xml:space="preserve"> </w:t>
      </w:r>
      <w:r w:rsidRPr="009B2149">
        <w:rPr>
          <w:noProof/>
        </w:rPr>
        <w:t>Decizia ministerială de la Nairobi din 19 decembrie 2015 [WT/MIN (15)/45] a eliminat subvențiile la export și a stabilit discipline privind alte măsuri cu efect echivalent. Negocierile în acest domeniu se axează în prezent pe îmbunătățirea transparenței și pe discipline suplimentare în ceea ce privește concurența la export. Adoptarea raportului de reexaminare trienală și a deciziei privind cerințele și formatele de notificare a concurenței la export, adoptată în decembrie 2024 (G/AG/39), este considerată un pas înainte pozitiv care contribuie la monitorizarea posibilei eludări a disciplinelor. În cazul în care negocierile vor fi încununate de succes, UE ar trebui să susțină un rezultat convenit de comun acord.</w:t>
      </w:r>
    </w:p>
    <w:p w:rsidR="00AE144E" w:rsidRPr="009B2149" w:rsidRDefault="00AE144E" w:rsidP="00AF6CA5">
      <w:pPr>
        <w:pStyle w:val="Bullet0"/>
        <w:rPr>
          <w:noProof/>
        </w:rPr>
      </w:pPr>
      <w:r w:rsidRPr="009B2149">
        <w:rPr>
          <w:b/>
          <w:noProof/>
          <w:u w:val="single"/>
        </w:rPr>
        <w:t>Accesul pe piață în sectorul agricol:</w:t>
      </w:r>
      <w:r w:rsidRPr="009B2149">
        <w:rPr>
          <w:b/>
          <w:i/>
          <w:noProof/>
        </w:rPr>
        <w:t xml:space="preserve"> </w:t>
      </w:r>
      <w:r w:rsidRPr="009B2149">
        <w:rPr>
          <w:noProof/>
        </w:rPr>
        <w:t>Negocierile privind accesul pe piață în vederea unor reduceri progresive substanțiale ale protecției sunt încorporate în articolul 20 din Acordul OMC privind agricultura și au făcut parte din mandatul Agendei de dezvoltare de la Doha (ADD) stipulat în Declarația ministerială de la Doha din 14 noiembrie 2001 [WT/MIN(01)/DEC/1]. În cazul în care negocierile vor fi încununate de succes, UE ar trebui să susțină un rezultat convenit de comun acord.</w:t>
      </w:r>
    </w:p>
    <w:p w:rsidR="009831B9" w:rsidRPr="009B2149" w:rsidRDefault="00AE144E" w:rsidP="00AF6CA5">
      <w:pPr>
        <w:pStyle w:val="Bullet0"/>
        <w:rPr>
          <w:rFonts w:eastAsia="Arial Unicode MS"/>
          <w:b/>
          <w:bCs/>
          <w:noProof/>
          <w:u w:val="single"/>
        </w:rPr>
      </w:pPr>
      <w:r w:rsidRPr="009B2149">
        <w:rPr>
          <w:b/>
          <w:noProof/>
          <w:u w:val="single"/>
        </w:rPr>
        <w:t>Mecanismul special de salvgardare (MSS) în domeniul agriculturii:</w:t>
      </w:r>
      <w:r w:rsidRPr="009B2149">
        <w:rPr>
          <w:b/>
          <w:i/>
          <w:noProof/>
        </w:rPr>
        <w:t xml:space="preserve"> </w:t>
      </w:r>
      <w:r w:rsidRPr="009B2149">
        <w:rPr>
          <w:noProof/>
        </w:rPr>
        <w:t>Negocierile privind mecanismul special de salvgardare (MSS) în domeniul agriculturii au continuat în conformitate cu propunerile aflate în discuție și cu Decizia ministerială de la Nairobi [WT/MIN (15)/43 - WT/L/978]. În cazul în care negocierile vor fi încununate de succes, UE ar trebui să susțină un rezultat convenit de comun acord.</w:t>
      </w:r>
    </w:p>
    <w:p w:rsidR="009F519F" w:rsidRPr="009B2149" w:rsidRDefault="00AE144E" w:rsidP="00AF6CA5">
      <w:pPr>
        <w:pStyle w:val="Bullet0"/>
        <w:rPr>
          <w:noProof/>
        </w:rPr>
      </w:pPr>
      <w:r w:rsidRPr="009B2149">
        <w:rPr>
          <w:b/>
          <w:noProof/>
          <w:u w:val="single"/>
        </w:rPr>
        <w:t>Bumbacul:</w:t>
      </w:r>
      <w:r w:rsidRPr="009B2149">
        <w:rPr>
          <w:b/>
          <w:i/>
          <w:noProof/>
        </w:rPr>
        <w:t xml:space="preserve"> </w:t>
      </w:r>
      <w:r w:rsidRPr="009B2149">
        <w:rPr>
          <w:noProof/>
        </w:rPr>
        <w:t>Negocierile privind bumbacul au continuat în cadrul stabilit la punctele 5, 6 și 7 din Decizia ministerială de la Bali privind bumbacul [WT/MIN(13)/41 - WT/L/916] și la punctul 14 din Decizia ministerială de la Nairobi privind bumbacul [WT/MIN(15)/46 - WT/L/981]. În cazul în care negocierile vor fi încununate de succes, UE ar trebui să susțină un rezultat convenit de comun acord.</w:t>
      </w:r>
      <w:r w:rsidRPr="009B2149">
        <w:rPr>
          <w:noProof/>
          <w:shd w:val="clear" w:color="auto" w:fill="FFFFFF"/>
        </w:rPr>
        <w:t xml:space="preserve"> </w:t>
      </w:r>
      <w:bookmarkStart w:id="2" w:name="_Hlk146532332"/>
    </w:p>
    <w:p w:rsidR="009831B9" w:rsidRPr="009B2149" w:rsidRDefault="00AE144E" w:rsidP="00AF6CA5">
      <w:pPr>
        <w:pStyle w:val="Bullet0"/>
        <w:rPr>
          <w:noProof/>
        </w:rPr>
      </w:pPr>
      <w:r w:rsidRPr="009B2149">
        <w:rPr>
          <w:b/>
          <w:noProof/>
          <w:u w:val="single"/>
        </w:rPr>
        <w:t>Tratamentul special și diferențiat (TSD):</w:t>
      </w:r>
      <w:r w:rsidRPr="009B2149">
        <w:rPr>
          <w:noProof/>
        </w:rPr>
        <w:t xml:space="preserve"> </w:t>
      </w:r>
      <w:bookmarkStart w:id="3" w:name="_Hlk147315356"/>
      <w:r w:rsidRPr="009B2149">
        <w:rPr>
          <w:noProof/>
        </w:rPr>
        <w:t>Negocierile privind dispozițiile TS, inclusiv în contextul discuțiilor cu privire la unele propuneri ale G-90 (Grupul african, grupul statelor din Africa, zona Caraibilor și Pacific, grupul țărilor cel mai puțin dezvoltate) în domenii precum subvențiile, măsurile investiționale legate de comerț (TRIMS) și transferul de tehnologie în cadrul aspectelor legate de comerț ale drepturilor de proprietate intelectuală (TRIPS) pot duce la un rezultat al reuniunii ministeriale în cadrul CM14, de exemplu prin clarificarea dispozițiilor existente sau prin acordarea de TSD suplimentare țărilor cel mai puțin dezvoltate (TPD) și anumitor țări în curs de dezvoltare</w:t>
      </w:r>
      <w:bookmarkEnd w:id="3"/>
      <w:r w:rsidRPr="009B2149">
        <w:rPr>
          <w:noProof/>
        </w:rPr>
        <w:t xml:space="preserve">, iar UE ar trebui să susțină un astfel de rezultat. </w:t>
      </w:r>
      <w:bookmarkStart w:id="4" w:name="_Hlk147318351"/>
      <w:r w:rsidRPr="009B2149">
        <w:rPr>
          <w:noProof/>
        </w:rPr>
        <w:t>Cu toate acestea, având în vedere divergența pozițiilor în cadrul negocierilor, UE are în vedere ca posibil rezultat și varianta în care aceste subiecte să facă parte dintr-un program de lucru post-CM14 sau alte rezultate care nu ar implica modificarea acordurilor OMC.</w:t>
      </w:r>
      <w:bookmarkEnd w:id="4"/>
      <w:r w:rsidRPr="009B2149">
        <w:rPr>
          <w:noProof/>
        </w:rPr>
        <w:t xml:space="preserve"> </w:t>
      </w:r>
    </w:p>
    <w:p w:rsidR="00373F05" w:rsidRPr="009B2149" w:rsidRDefault="00AE144E" w:rsidP="00AF6CA5">
      <w:pPr>
        <w:pStyle w:val="Bullet0"/>
        <w:rPr>
          <w:b/>
          <w:bCs/>
          <w:noProof/>
        </w:rPr>
      </w:pPr>
      <w:r w:rsidRPr="009B2149">
        <w:rPr>
          <w:b/>
          <w:noProof/>
          <w:u w:val="single"/>
        </w:rPr>
        <w:t xml:space="preserve">Propunerea de depășire a statutului de țară cel mai puțin dezvoltată – </w:t>
      </w:r>
      <w:bookmarkStart w:id="5" w:name="_Hlk147317345"/>
      <w:r w:rsidRPr="009B2149">
        <w:rPr>
          <w:b/>
          <w:noProof/>
          <w:u w:val="single"/>
        </w:rPr>
        <w:t>măsuri de sprijin într-o serie de acorduri și decizii specifice ale OMC:</w:t>
      </w:r>
      <w:r w:rsidRPr="009B2149">
        <w:rPr>
          <w:b/>
          <w:noProof/>
        </w:rPr>
        <w:t xml:space="preserve"> </w:t>
      </w:r>
      <w:r w:rsidRPr="009B2149">
        <w:rPr>
          <w:noProof/>
        </w:rPr>
        <w:t>Sunt în curs negocieri referitoare la propunerile prezentate de grupul țărilor cel mai puțin dezvoltate cu privire la măsurile de sprijin pentru o tranziție mai ușoară pentru membrii OMC care depășesc statutul de țară cel mai puțin dezvoltată: prelungirea pentru o perioadă de timp adecvată a dispozițiilor privind TSD dintr-o serie de acorduri și decizii specifice ale OMC, în special în ceea ce privește Acordul privind subvențiile și măsurile compensatorii (ASMC), Acordul privind aspectele comerciale ale drepturilor de proprietate intelectuală (TRIPS) și Acordul privind agricultura. În cazul în care este necesar un rezultat al reuniunii ministeriale, UE ar trebui să susțină un rezultat convenit de comun acord. Un astfel de rezultat ar putea extinde, pentru o perioadă strict limitată, anumite dispoziții privind țările cel mai puțin dezvoltate la țările care au depășit recent acest statut.</w:t>
      </w:r>
    </w:p>
    <w:p w:rsidR="00ED1FFA" w:rsidRPr="009B2149" w:rsidRDefault="00ED1FFA" w:rsidP="00AF6CA5">
      <w:pPr>
        <w:pStyle w:val="Bullet0"/>
        <w:rPr>
          <w:b/>
          <w:noProof/>
        </w:rPr>
      </w:pPr>
      <w:bookmarkStart w:id="6" w:name="_Hlk213956029"/>
      <w:r w:rsidRPr="009B2149">
        <w:rPr>
          <w:b/>
          <w:noProof/>
          <w:u w:val="single"/>
        </w:rPr>
        <w:t>Acordul privind comerțul electronic:</w:t>
      </w:r>
      <w:r w:rsidRPr="009B2149">
        <w:rPr>
          <w:b/>
          <w:noProof/>
        </w:rPr>
        <w:t xml:space="preserve"> </w:t>
      </w:r>
      <w:r w:rsidRPr="009B2149">
        <w:rPr>
          <w:noProof/>
        </w:rPr>
        <w:t>Negocierile privind Acordul privind comerțul electronic au început în ianuarie 2019, odată cu lansarea Inițiativei comune a OMC privind comerțul electronic (denumită în continuare „IC privind comerțul electronic”). Negocierile au vizat stabilirea unui set de norme comerciale internaționale de bază pentru comerțul digital, în vederea promovării și a facilitării tranzacțiilor digitale. La 26 iulie 2024, după cinci ani de negocieri, participanții la IC privind comerțul electronic au ajuns la un text stabilizat al acordului. Acordul cuprinde discipline comerciale care vizează: (1) facilitarea comerțului digital transfrontalier (de exemplu comerț fără hârtie, contracte electronice, autentificare electronică și semnături electronice); (2) îmbunătățirea încrederii în mediul comercial digital (de exemplu privind mesajele comerciale electronice nesolicitate, protecția consumatorilor online, securitatea cibernetică sau accesul la internetul deschis) și (3) promovarea unui mediu comercial digital internațional fiabil (de exemplu plăți electronice sau servicii de telecomunicații). Acordul include, de asemenea, o interdicție permanentă a taxelor vamale pentru tranzacțiile electronice, o prioritate comercială esențială pentru industria UE. Acordul privind comerțul electronic urmează să devină parte a cadrului juridic al OMC ca acord plurilateral, încorporat în anexa 4 la Acordul OMC, iar Uniunea ar trebui să susțină această încorporare. Decizia (UE) 2025/915 a Consiliului din 12 mai 2025 a stabilit poziția care urmează să fie adoptată în numele Uniunii cu privire la această chestiune în cadrul Consiliului General</w:t>
      </w:r>
      <w:r w:rsidRPr="009B2149">
        <w:rPr>
          <w:rStyle w:val="FootnoteReference"/>
          <w:noProof/>
        </w:rPr>
        <w:footnoteReference w:id="4"/>
      </w:r>
      <w:r w:rsidRPr="009B2149">
        <w:rPr>
          <w:noProof/>
        </w:rPr>
        <w:t xml:space="preserve">. Cu toate acestea, propunerea prezentată Consiliului General în februarie 2025 a fost respinsă de un număr mic de membri. Propunerea va fi reexaminată în cadrul reuniunii Consiliului General din decembrie 2025. Dacă va fi necesar, Uniunea ar trebui să se poată alătura de asemenea consensului cu privire la această chestiune în cadrul CM14. </w:t>
      </w:r>
    </w:p>
    <w:p w:rsidR="004C2415" w:rsidRPr="009B2149" w:rsidRDefault="0017244F" w:rsidP="00AF6CA5">
      <w:pPr>
        <w:pStyle w:val="Bullet0"/>
        <w:rPr>
          <w:noProof/>
        </w:rPr>
      </w:pPr>
      <w:r w:rsidRPr="009B2149">
        <w:rPr>
          <w:b/>
          <w:noProof/>
          <w:u w:val="single"/>
        </w:rPr>
        <w:t>Acordul privind facilitarea investițiilor pentru dezvoltare:</w:t>
      </w:r>
      <w:r w:rsidRPr="009B2149">
        <w:rPr>
          <w:noProof/>
        </w:rPr>
        <w:t xml:space="preserve"> Negocierile pentru Acordul privind facilitarea investițiilor pentru dezvoltare au fost lansate oficial în septembrie 2020 și au fost finalizate în iulie 2023. La inițiativă participă 128 de părți membre, dintre care majoritatea sunt țări în curs de dezvoltare și țări cel mai puțin dezvoltate. Inițiativa vizează discipline privind transparența, raționalizarea procedurilor administrative și coerența internă în materie de reglementare, care se vor aplica tuturor sectoarelor economiei pentru toate măsurile legate de activitățile de investiții. În cadrul CM13, Uniunea a fost pregătită să se alăture consensului în ceea ce privește încorporarea Acordului privind facilitarea investițiilor pentru dezvoltare în anexa 4 la Acordul OMC</w:t>
      </w:r>
      <w:r w:rsidRPr="009B2149">
        <w:rPr>
          <w:rStyle w:val="FootnoteReference"/>
          <w:noProof/>
        </w:rPr>
        <w:footnoteReference w:id="5"/>
      </w:r>
      <w:r w:rsidRPr="009B2149">
        <w:rPr>
          <w:noProof/>
        </w:rPr>
        <w:t xml:space="preserve">. Cu toate acestea, India, Africa de Sud și Turcia s-au opus deciziei de încorporare în cadrul CM13. Decizia de încorporare a fost contestată și în cadrul reuniunilor Consiliului General ulterioare CM13. UE ar trebui să susțină o nouă cerere de încorporare în anexa 4 la Acordul OMC și ar trebui să se poată alătura consensului cu privire la o astfel de decizie în cadrul CM14 sau, dacă va fi necesar, în cadrul reuniunilor ulterioare ale Consiliului General și anterioare următoarei Conferințe ministeriale a OMC care va aborda aceeași chestiune. </w:t>
      </w:r>
    </w:p>
    <w:bookmarkEnd w:id="2"/>
    <w:bookmarkEnd w:id="5"/>
    <w:bookmarkEnd w:id="6"/>
    <w:p w:rsidR="00B858E9" w:rsidRPr="009B2149" w:rsidRDefault="00B858E9" w:rsidP="00AF6CA5">
      <w:pPr>
        <w:pStyle w:val="Bullet0"/>
        <w:rPr>
          <w:b/>
          <w:bCs/>
          <w:noProof/>
        </w:rPr>
      </w:pPr>
      <w:r w:rsidRPr="009B2149">
        <w:rPr>
          <w:b/>
          <w:noProof/>
          <w:u w:val="single"/>
        </w:rPr>
        <w:t>Cererea de acordare a unei derogări de la normele OMC:</w:t>
      </w:r>
      <w:r w:rsidRPr="009B2149">
        <w:rPr>
          <w:noProof/>
        </w:rPr>
        <w:t xml:space="preserve"> Derogarea adoptată în temeiul Deciziei WT/L/970, acordată de OMC la 30 noiembrie 2015, a permis Statelor Unite să aplice un regim de scutire de taxe vamale produselor eligibile originare din țările beneficiare din Africa subsahariană desemnate în temeiul Legii privind creșterea și oportunitățile în Africa. Derogarea respectivă a expirat la 30 septembrie 2025 și nicio cerere oficială de prelungire a acesteia nu a fost notificată OMC. În cazul în care va fi prezentată o nouă cerere de derogare, Uniunea ar trebui să o susțină, în conformitate cu sprijinul său anterior pentru astfel de cereri, astfel cum se reflectă în Decizia (UE) 2015/1942 a Consiliului.</w:t>
      </w:r>
    </w:p>
    <w:p w:rsidR="00E03F24" w:rsidRPr="009B2149" w:rsidRDefault="00E03F24" w:rsidP="00AF6CA5">
      <w:pPr>
        <w:pStyle w:val="Bullet0"/>
        <w:rPr>
          <w:noProof/>
        </w:rPr>
      </w:pPr>
      <w:r w:rsidRPr="009B2149">
        <w:rPr>
          <w:b/>
          <w:noProof/>
          <w:u w:val="single"/>
        </w:rPr>
        <w:t>Instituirea unui comitet suplimentar privind tehnologiile emergente:</w:t>
      </w:r>
      <w:r w:rsidRPr="009B2149">
        <w:rPr>
          <w:noProof/>
        </w:rPr>
        <w:t xml:space="preserve"> Ritmul accelerat al transformării digitale și apariția rapidă a unor noi tehnologii, cum ar fi inteligența artificială, tehnologia </w:t>
      </w:r>
      <w:r w:rsidRPr="00360498">
        <w:rPr>
          <w:noProof/>
        </w:rPr>
        <w:t>blockchain</w:t>
      </w:r>
      <w:r w:rsidRPr="009B2149">
        <w:rPr>
          <w:noProof/>
        </w:rPr>
        <w:t>, internetul obiectelor și informatica cuantică au introdus noi întrebări privind politicile, care afectează comerțul internațional și care merită o analiză specifică. În cazul în care, în cadrul CM14, se va ajunge la un consens cu privire la instituirea unui comitet suplimentar însărcinat cu examinarea impactului tehnologiilor emergente asupra comerțului mondial, Uniunea ar trebui să se alăture acestui consens.</w:t>
      </w:r>
    </w:p>
    <w:p w:rsidR="00AE144E" w:rsidRPr="009B2149" w:rsidRDefault="00AE144E" w:rsidP="00AE144E">
      <w:pPr>
        <w:rPr>
          <w:noProof/>
        </w:rPr>
      </w:pPr>
      <w:r w:rsidRPr="009B2149">
        <w:rPr>
          <w:noProof/>
        </w:rPr>
        <w:t xml:space="preserve">Întrucât în prezent sunt în curs negocieri referitoare la toate elementele menționate mai sus, Comisia se așteaptă ca Consiliul să ia decizia privind poziția UE față de rezultatul negocierilor după ce situația textelor relevante va deveni clară, chiar în timpul Conferinței ministeriale. </w:t>
      </w:r>
    </w:p>
    <w:p w:rsidR="00AE144E" w:rsidRPr="009B2149" w:rsidRDefault="00AE144E" w:rsidP="009E29DF">
      <w:pPr>
        <w:rPr>
          <w:noProof/>
        </w:rPr>
      </w:pPr>
      <w:r w:rsidRPr="009B2149">
        <w:rPr>
          <w:noProof/>
        </w:rPr>
        <w:t xml:space="preserve">Inițiativa este pe deplin compatibilă cu dispozițiile existente în domeniul de politică. Au fost elaborate decizii similare pentru conferințele ministeriale precedente ale OMC, inclusiv, cel mai recent, pentru cea de a 13-a Conferință ministerială a OMC din 2024. </w:t>
      </w:r>
    </w:p>
    <w:p w:rsidR="00FE70AD" w:rsidRPr="009B2149" w:rsidRDefault="00D067A3" w:rsidP="00D067A3">
      <w:pPr>
        <w:pStyle w:val="ManualHeading1"/>
        <w:rPr>
          <w:noProof/>
        </w:rPr>
      </w:pPr>
      <w:r w:rsidRPr="00D067A3">
        <w:rPr>
          <w:noProof/>
        </w:rPr>
        <w:t>4.</w:t>
      </w:r>
      <w:r w:rsidRPr="00D067A3">
        <w:rPr>
          <w:noProof/>
        </w:rPr>
        <w:tab/>
      </w:r>
      <w:r w:rsidR="00FE70AD" w:rsidRPr="009B2149">
        <w:rPr>
          <w:noProof/>
        </w:rPr>
        <w:t>Temeiul juridic</w:t>
      </w:r>
    </w:p>
    <w:p w:rsidR="00FE70AD" w:rsidRPr="009B2149" w:rsidRDefault="00D067A3" w:rsidP="00D067A3">
      <w:pPr>
        <w:pStyle w:val="ManualHeading2"/>
        <w:rPr>
          <w:noProof/>
        </w:rPr>
      </w:pPr>
      <w:r w:rsidRPr="00D067A3">
        <w:rPr>
          <w:noProof/>
        </w:rPr>
        <w:t>4.1.</w:t>
      </w:r>
      <w:r w:rsidRPr="00D067A3">
        <w:rPr>
          <w:noProof/>
        </w:rPr>
        <w:tab/>
      </w:r>
      <w:r w:rsidR="00FE70AD" w:rsidRPr="009B2149">
        <w:rPr>
          <w:noProof/>
        </w:rPr>
        <w:t>Temeiul juridic procedural</w:t>
      </w:r>
    </w:p>
    <w:p w:rsidR="00FE70AD" w:rsidRPr="009B2149" w:rsidRDefault="00D067A3" w:rsidP="00D067A3">
      <w:pPr>
        <w:pStyle w:val="ManualHeading3"/>
        <w:rPr>
          <w:noProof/>
        </w:rPr>
      </w:pPr>
      <w:r w:rsidRPr="00D067A3">
        <w:rPr>
          <w:noProof/>
        </w:rPr>
        <w:t>4.1.1.</w:t>
      </w:r>
      <w:r w:rsidRPr="00D067A3">
        <w:rPr>
          <w:noProof/>
        </w:rPr>
        <w:tab/>
      </w:r>
      <w:r w:rsidR="00FE70AD" w:rsidRPr="009B2149">
        <w:rPr>
          <w:noProof/>
        </w:rPr>
        <w:t>Principii</w:t>
      </w:r>
    </w:p>
    <w:p w:rsidR="00FE70AD" w:rsidRPr="009B2149" w:rsidRDefault="00FE70AD">
      <w:pPr>
        <w:rPr>
          <w:noProof/>
        </w:rPr>
      </w:pPr>
      <w:r w:rsidRPr="009B2149">
        <w:rPr>
          <w:noProof/>
        </w:rPr>
        <w:t>Articolul 218 alineatul (9) din Tratatul privind funcționarea Uniunii Europene (TFUE) prevede posibilitatea adoptării unor decizii de stabilire a „</w:t>
      </w:r>
      <w:r w:rsidRPr="009B2149">
        <w:rPr>
          <w:i/>
          <w:noProof/>
        </w:rPr>
        <w:t>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9B2149">
        <w:rPr>
          <w:noProof/>
        </w:rPr>
        <w:t>”.</w:t>
      </w:r>
    </w:p>
    <w:p w:rsidR="00FE70AD" w:rsidRPr="009B2149" w:rsidRDefault="00FE70AD">
      <w:pPr>
        <w:rPr>
          <w:noProof/>
        </w:rPr>
      </w:pPr>
      <w:r w:rsidRPr="009B2149">
        <w:rPr>
          <w:noProof/>
        </w:rPr>
        <w:t>Conceptul de „</w:t>
      </w:r>
      <w:r w:rsidRPr="009B2149">
        <w:rPr>
          <w:i/>
          <w:noProof/>
        </w:rPr>
        <w:t>acte cu efecte juridice</w:t>
      </w:r>
      <w:r w:rsidRPr="009B2149">
        <w:rPr>
          <w:noProof/>
        </w:rPr>
        <w:t>” include actele care au efecte juridice în temeiul normelor de drept internațional aplicabile organismului în cauză. Sunt incluse, de asemenea, instrumente care nu au un caracter obligatoriu în temeiul dreptului internațional, dar care „</w:t>
      </w:r>
      <w:r w:rsidRPr="009B2149">
        <w:rPr>
          <w:i/>
          <w:noProof/>
        </w:rPr>
        <w:t>au vocația de a influența în mod decisiv conținutul reglementării adoptate de legiuitorul Uniunii</w:t>
      </w:r>
      <w:r w:rsidRPr="009B2149">
        <w:rPr>
          <w:noProof/>
        </w:rPr>
        <w:t>”</w:t>
      </w:r>
      <w:r w:rsidRPr="009B2149">
        <w:rPr>
          <w:rStyle w:val="FootnoteReference"/>
          <w:noProof/>
        </w:rPr>
        <w:footnoteReference w:id="6"/>
      </w:r>
      <w:r w:rsidRPr="009B2149">
        <w:rPr>
          <w:noProof/>
        </w:rPr>
        <w:t>.</w:t>
      </w:r>
    </w:p>
    <w:p w:rsidR="00FE70AD" w:rsidRPr="009B2149" w:rsidRDefault="00D067A3" w:rsidP="00D067A3">
      <w:pPr>
        <w:pStyle w:val="ManualHeading3"/>
        <w:rPr>
          <w:noProof/>
        </w:rPr>
      </w:pPr>
      <w:r w:rsidRPr="00D067A3">
        <w:rPr>
          <w:noProof/>
        </w:rPr>
        <w:t>4.1.2.</w:t>
      </w:r>
      <w:r w:rsidRPr="00D067A3">
        <w:rPr>
          <w:noProof/>
        </w:rPr>
        <w:tab/>
      </w:r>
      <w:r w:rsidR="00FE70AD" w:rsidRPr="009B2149">
        <w:rPr>
          <w:noProof/>
        </w:rPr>
        <w:t>Aplicarea la cazul în discuție</w:t>
      </w:r>
    </w:p>
    <w:p w:rsidR="009E29DF" w:rsidRPr="009B2149" w:rsidRDefault="009E29DF" w:rsidP="009E29DF">
      <w:pPr>
        <w:rPr>
          <w:noProof/>
        </w:rPr>
      </w:pPr>
      <w:r w:rsidRPr="009B2149">
        <w:rPr>
          <w:noProof/>
        </w:rPr>
        <w:t>Conferința ministerială a OMC este un organism instituit printr-un acord, și anume Acordul OMC, care în conformitate cu articolul IV alineatul (1) din Acordul OMC are autoritatea de a lua decizii cu privire la totalitatea aspectelor acoperite de oricare dintre acordurile comerciale multilaterale, inclusiv autoritatea de a lua decizii cu efecte juridice.</w:t>
      </w:r>
    </w:p>
    <w:p w:rsidR="00CF4589" w:rsidRPr="009B2149" w:rsidRDefault="00CF4589" w:rsidP="009E29DF">
      <w:pPr>
        <w:rPr>
          <w:noProof/>
        </w:rPr>
      </w:pPr>
      <w:r w:rsidRPr="009B2149">
        <w:rPr>
          <w:noProof/>
        </w:rPr>
        <w:t>În temeiul articolului IV alineatul (2) din Acordul OMC, în intervalele dintre reuniunile Conferinței ministeriale, funcțiile sale sunt exercitate de Consiliul General.</w:t>
      </w:r>
    </w:p>
    <w:p w:rsidR="009E29DF" w:rsidRPr="009B2149" w:rsidRDefault="009E29DF">
      <w:pPr>
        <w:rPr>
          <w:noProof/>
        </w:rPr>
      </w:pPr>
      <w:r w:rsidRPr="009B2149">
        <w:rPr>
          <w:noProof/>
        </w:rPr>
        <w:t>Actele avute în vedere menționate anterior constituie acte cu efecte juridice, întrucât pot avea efecte asupra drepturilor și obligațiilor Uniunii în virtutea dreptului internațional.</w:t>
      </w:r>
    </w:p>
    <w:p w:rsidR="00FE70AD" w:rsidRPr="009B2149" w:rsidRDefault="00FE70AD">
      <w:pPr>
        <w:rPr>
          <w:noProof/>
        </w:rPr>
      </w:pPr>
      <w:r w:rsidRPr="009B2149">
        <w:rPr>
          <w:noProof/>
        </w:rPr>
        <w:t>Actele avute în vedere nu aduc modificări sau completări cadrului instituțional al acordului.</w:t>
      </w:r>
    </w:p>
    <w:p w:rsidR="00FE70AD" w:rsidRPr="009B2149" w:rsidRDefault="00FE70AD">
      <w:pPr>
        <w:rPr>
          <w:noProof/>
        </w:rPr>
      </w:pPr>
      <w:r w:rsidRPr="009B2149">
        <w:rPr>
          <w:noProof/>
        </w:rPr>
        <w:t>Prin urmare, temeiul juridic procedural al propunerii de decizie este articolul 218 alineatul (9) din TFUE.</w:t>
      </w:r>
    </w:p>
    <w:p w:rsidR="00FE70AD" w:rsidRPr="009B2149" w:rsidRDefault="00D067A3" w:rsidP="00D067A3">
      <w:pPr>
        <w:pStyle w:val="ManualHeading2"/>
        <w:rPr>
          <w:noProof/>
        </w:rPr>
      </w:pPr>
      <w:r w:rsidRPr="00D067A3">
        <w:rPr>
          <w:noProof/>
        </w:rPr>
        <w:t>4.2.</w:t>
      </w:r>
      <w:r w:rsidRPr="00D067A3">
        <w:rPr>
          <w:noProof/>
        </w:rPr>
        <w:tab/>
      </w:r>
      <w:r w:rsidR="00FE70AD" w:rsidRPr="009B2149">
        <w:rPr>
          <w:noProof/>
        </w:rPr>
        <w:t>Temeiul juridic material</w:t>
      </w:r>
    </w:p>
    <w:p w:rsidR="00FE70AD" w:rsidRPr="009B2149" w:rsidRDefault="00D067A3" w:rsidP="00D067A3">
      <w:pPr>
        <w:pStyle w:val="ManualHeading3"/>
        <w:rPr>
          <w:noProof/>
        </w:rPr>
      </w:pPr>
      <w:r w:rsidRPr="00D067A3">
        <w:rPr>
          <w:noProof/>
        </w:rPr>
        <w:t>4.2.1.</w:t>
      </w:r>
      <w:r w:rsidRPr="00D067A3">
        <w:rPr>
          <w:noProof/>
        </w:rPr>
        <w:tab/>
      </w:r>
      <w:r w:rsidR="00FE70AD" w:rsidRPr="009B2149">
        <w:rPr>
          <w:noProof/>
        </w:rPr>
        <w:t>Principii</w:t>
      </w:r>
    </w:p>
    <w:p w:rsidR="00FE70AD" w:rsidRPr="009B2149" w:rsidRDefault="00FE70AD">
      <w:pPr>
        <w:rPr>
          <w:noProof/>
        </w:rPr>
      </w:pPr>
      <w:r w:rsidRPr="009B2149">
        <w:rPr>
          <w:noProof/>
        </w:rPr>
        <w:t>Temeiul juridic material al unei decizii adoptate în temeiul articolului 218 alineatul (9)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FE70AD" w:rsidRPr="009B2149" w:rsidRDefault="00D067A3" w:rsidP="00D067A3">
      <w:pPr>
        <w:pStyle w:val="ManualHeading3"/>
        <w:rPr>
          <w:noProof/>
        </w:rPr>
      </w:pPr>
      <w:r w:rsidRPr="00D067A3">
        <w:rPr>
          <w:noProof/>
        </w:rPr>
        <w:t>4.2.2.</w:t>
      </w:r>
      <w:r w:rsidRPr="00D067A3">
        <w:rPr>
          <w:noProof/>
        </w:rPr>
        <w:tab/>
      </w:r>
      <w:r w:rsidR="00FE70AD" w:rsidRPr="009B2149">
        <w:rPr>
          <w:noProof/>
        </w:rPr>
        <w:t>Aplicarea la cazul în discuție</w:t>
      </w:r>
    </w:p>
    <w:p w:rsidR="009E29DF" w:rsidRPr="009B2149" w:rsidRDefault="009E29DF" w:rsidP="009E29DF">
      <w:pPr>
        <w:rPr>
          <w:noProof/>
        </w:rPr>
      </w:pPr>
      <w:r w:rsidRPr="009B2149">
        <w:rPr>
          <w:noProof/>
        </w:rPr>
        <w:t>Obiectivul principal și conținutul actelor avute în vedere se referă la politica comercială comună.</w:t>
      </w:r>
    </w:p>
    <w:p w:rsidR="009E29DF" w:rsidRPr="009B2149" w:rsidRDefault="009E29DF" w:rsidP="009E29DF">
      <w:pPr>
        <w:rPr>
          <w:noProof/>
        </w:rPr>
      </w:pPr>
      <w:r w:rsidRPr="009B2149">
        <w:rPr>
          <w:noProof/>
        </w:rPr>
        <w:t>Temeiul juridic material al propunerii de decizie este, prin urmare, articolul 207 din TFUE.</w:t>
      </w:r>
    </w:p>
    <w:p w:rsidR="009E29DF" w:rsidRPr="009B2149" w:rsidRDefault="009E29DF" w:rsidP="009E29DF">
      <w:pPr>
        <w:pStyle w:val="ManualHeading2"/>
        <w:rPr>
          <w:noProof/>
        </w:rPr>
      </w:pPr>
      <w:r w:rsidRPr="009B2149">
        <w:rPr>
          <w:noProof/>
        </w:rPr>
        <w:t>4.3.</w:t>
      </w:r>
      <w:r w:rsidRPr="009B2149">
        <w:rPr>
          <w:noProof/>
        </w:rPr>
        <w:tab/>
        <w:t>Concluzie</w:t>
      </w:r>
    </w:p>
    <w:p w:rsidR="009E29DF" w:rsidRPr="009B2149" w:rsidRDefault="009E29DF" w:rsidP="009E29DF">
      <w:pPr>
        <w:rPr>
          <w:noProof/>
          <w:color w:val="000000" w:themeColor="text1"/>
        </w:rPr>
      </w:pPr>
      <w:r w:rsidRPr="009B2149">
        <w:rPr>
          <w:noProof/>
          <w:color w:val="000000" w:themeColor="text1"/>
        </w:rPr>
        <w:t xml:space="preserve">Temeiul juridic al propunerii de decizie ar trebui să fie </w:t>
      </w:r>
      <w:r w:rsidRPr="009B2149">
        <w:rPr>
          <w:noProof/>
        </w:rPr>
        <w:t xml:space="preserve">articolul 207 din TFUE </w:t>
      </w:r>
      <w:r w:rsidRPr="009B2149">
        <w:rPr>
          <w:noProof/>
          <w:color w:val="000000" w:themeColor="text1"/>
        </w:rPr>
        <w:t>coroborat cu articolul 218 alineatul (9) din TFUE.</w:t>
      </w:r>
    </w:p>
    <w:p w:rsidR="00FE70AD" w:rsidRPr="009B2149" w:rsidRDefault="00FE70AD">
      <w:pPr>
        <w:rPr>
          <w:noProof/>
        </w:rPr>
        <w:sectPr w:rsidR="00FE70AD" w:rsidRPr="009B2149" w:rsidSect="007D162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046E4B" w:rsidRDefault="008A7DE4">
      <w:pPr>
        <w:pStyle w:val="Rfrenceinterinstitutionnelle"/>
        <w:rPr>
          <w:noProof/>
        </w:rPr>
      </w:pPr>
      <w:r>
        <w:rPr>
          <w:noProof/>
        </w:rPr>
        <w:t>2026/0005 (NLE)</w:t>
      </w:r>
    </w:p>
    <w:p w:rsidR="00FE70AD" w:rsidRPr="009B2149" w:rsidRDefault="00883840" w:rsidP="00883840">
      <w:pPr>
        <w:pStyle w:val="Statut"/>
        <w:rPr>
          <w:noProof/>
        </w:rPr>
      </w:pPr>
      <w:r w:rsidRPr="00883840">
        <w:rPr>
          <w:noProof/>
        </w:rPr>
        <w:t>Propunere de</w:t>
      </w:r>
    </w:p>
    <w:p w:rsidR="00FE70AD" w:rsidRPr="009B2149" w:rsidRDefault="00883840" w:rsidP="00883840">
      <w:pPr>
        <w:pStyle w:val="Typedudocument"/>
        <w:rPr>
          <w:noProof/>
        </w:rPr>
      </w:pPr>
      <w:r w:rsidRPr="00883840">
        <w:rPr>
          <w:noProof/>
        </w:rPr>
        <w:t>DECIZIE A CONSILIULUI</w:t>
      </w:r>
    </w:p>
    <w:p w:rsidR="00FE70AD" w:rsidRPr="009B2149" w:rsidRDefault="00883840" w:rsidP="00883840">
      <w:pPr>
        <w:pStyle w:val="Titreobjet"/>
        <w:rPr>
          <w:noProof/>
        </w:rPr>
      </w:pPr>
      <w:r w:rsidRPr="00883840">
        <w:rPr>
          <w:noProof/>
        </w:rPr>
        <w:t>privind poziția care urmează să fie adoptată în numele Uniunii Europene în cadrul celei de a 14-a Conferințe ministeriale a Organizației Mondiale a Comerțului</w:t>
      </w:r>
    </w:p>
    <w:p w:rsidR="00FE70AD" w:rsidRPr="009B2149" w:rsidRDefault="00FE70AD">
      <w:pPr>
        <w:pStyle w:val="Institutionquiagit"/>
        <w:rPr>
          <w:noProof/>
        </w:rPr>
      </w:pPr>
      <w:r w:rsidRPr="009B2149">
        <w:rPr>
          <w:noProof/>
        </w:rPr>
        <w:t>CONSILIUL UNIUNII EUROPENE,</w:t>
      </w:r>
    </w:p>
    <w:p w:rsidR="00F03940" w:rsidRPr="009B2149" w:rsidRDefault="00F03940" w:rsidP="00F03940">
      <w:pPr>
        <w:rPr>
          <w:noProof/>
        </w:rPr>
      </w:pPr>
      <w:r w:rsidRPr="009B2149">
        <w:rPr>
          <w:noProof/>
        </w:rPr>
        <w:t>având în vedere Tratatul privind funcționarea Uniunii Europene, în special articolul 207 alineatul (4) primul paragraf coroborat cu articolul 218 alineatul (9),</w:t>
      </w:r>
    </w:p>
    <w:p w:rsidR="00FE70AD" w:rsidRPr="009B2149" w:rsidRDefault="00FE70AD">
      <w:pPr>
        <w:rPr>
          <w:noProof/>
        </w:rPr>
      </w:pPr>
      <w:r w:rsidRPr="009B2149">
        <w:rPr>
          <w:noProof/>
        </w:rPr>
        <w:t>având în vedere propunerea Comisiei Europene,</w:t>
      </w:r>
    </w:p>
    <w:p w:rsidR="00F03940" w:rsidRPr="009B2149" w:rsidRDefault="00F03940" w:rsidP="00F03940">
      <w:pPr>
        <w:rPr>
          <w:noProof/>
        </w:rPr>
      </w:pPr>
      <w:r w:rsidRPr="009B2149">
        <w:rPr>
          <w:noProof/>
        </w:rPr>
        <w:t>întrucât:</w:t>
      </w:r>
    </w:p>
    <w:p w:rsidR="00F03940" w:rsidRPr="009B2149" w:rsidRDefault="00D067A3" w:rsidP="00D067A3">
      <w:pPr>
        <w:pStyle w:val="ManualConsidrant"/>
        <w:rPr>
          <w:noProof/>
        </w:rPr>
      </w:pPr>
      <w:r w:rsidRPr="00D067A3">
        <w:rPr>
          <w:noProof/>
        </w:rPr>
        <w:t>(1)</w:t>
      </w:r>
      <w:r w:rsidRPr="00D067A3">
        <w:rPr>
          <w:noProof/>
        </w:rPr>
        <w:tab/>
      </w:r>
      <w:r w:rsidR="00F03940" w:rsidRPr="009B2149">
        <w:rPr>
          <w:noProof/>
        </w:rPr>
        <w:t>Acordul de la Marrakesh de instituire a Organizației Mondiale a Comerțului (denumit în continuare „Acordul OMC”) a fost încheiat de către Uniune prin Decizia 94/800/CE a Consiliului din 22 decembrie 1994</w:t>
      </w:r>
      <w:r w:rsidR="00F03940" w:rsidRPr="009B2149">
        <w:rPr>
          <w:rStyle w:val="FootnoteReference"/>
          <w:noProof/>
        </w:rPr>
        <w:footnoteReference w:id="7"/>
      </w:r>
      <w:r w:rsidR="00F03940" w:rsidRPr="009B2149">
        <w:rPr>
          <w:noProof/>
        </w:rPr>
        <w:t xml:space="preserve"> și a intrat în vigoare la 1 ianuarie 1995. </w:t>
      </w:r>
    </w:p>
    <w:p w:rsidR="00F03940" w:rsidRPr="009B2149" w:rsidRDefault="00D067A3" w:rsidP="00D067A3">
      <w:pPr>
        <w:pStyle w:val="ManualConsidrant"/>
        <w:rPr>
          <w:noProof/>
        </w:rPr>
      </w:pPr>
      <w:r w:rsidRPr="00D067A3">
        <w:rPr>
          <w:noProof/>
        </w:rPr>
        <w:t>(2)</w:t>
      </w:r>
      <w:r w:rsidRPr="00D067A3">
        <w:rPr>
          <w:noProof/>
        </w:rPr>
        <w:tab/>
      </w:r>
      <w:r w:rsidR="00F03940" w:rsidRPr="009B2149">
        <w:rPr>
          <w:noProof/>
        </w:rPr>
        <w:t>În temeiul articolului IV alineatul (1) și al articolului IX alineatul (1) din Acordul OMC, Conferința ministerială a Organizației Mondiale a Comerțului („OMC”) poate adopta decizii prin consens.</w:t>
      </w:r>
    </w:p>
    <w:p w:rsidR="00F03940" w:rsidRPr="009B2149" w:rsidRDefault="00D067A3" w:rsidP="00D067A3">
      <w:pPr>
        <w:pStyle w:val="ManualConsidrant"/>
        <w:rPr>
          <w:noProof/>
        </w:rPr>
      </w:pPr>
      <w:r w:rsidRPr="00D067A3">
        <w:rPr>
          <w:noProof/>
        </w:rPr>
        <w:t>(3)</w:t>
      </w:r>
      <w:r w:rsidRPr="00D067A3">
        <w:rPr>
          <w:noProof/>
        </w:rPr>
        <w:tab/>
      </w:r>
      <w:r w:rsidR="00F03940" w:rsidRPr="009B2149">
        <w:rPr>
          <w:noProof/>
        </w:rPr>
        <w:t>În cursul celei de a 14-a reuniuni, programată pentru perioada 26-29 martie 2026, Conferința ministerială a OMC poate adopta decizii privind reforma soluționării litigiilor, subvențiile pentru pescuit, securitatea alimentară, sprijinul intern acordat agriculturii, deținerea de stocuri publice în scopul securității alimentare, restricțiile la export în domeniul agriculturii, concurența la export în domeniul agriculturii, accesul pe piață în sectorul agricol, mecanismul special de salvgardare (MSS) în domeniul agriculturii, bumbacul, tratamentul special și diferențiat, propunerea de depășire a statutului de țară cel mai puțin dezvoltată – anexa 2</w:t>
      </w:r>
      <w:bookmarkStart w:id="7" w:name="_Hlk213946026"/>
      <w:r w:rsidR="00F03940" w:rsidRPr="009B2149">
        <w:rPr>
          <w:noProof/>
        </w:rPr>
        <w:t xml:space="preserve">, </w:t>
      </w:r>
      <w:bookmarkEnd w:id="7"/>
      <w:r w:rsidR="00F03940" w:rsidRPr="009B2149">
        <w:rPr>
          <w:noProof/>
        </w:rPr>
        <w:t xml:space="preserve">Acordul privind comerțul electronic, Acordul privind facilitarea investițiilor pentru dezvoltare, cererea de acordare a unei derogări și instituirea unui comitet suplimentar. </w:t>
      </w:r>
    </w:p>
    <w:p w:rsidR="00ED1FFA" w:rsidRPr="009B2149" w:rsidRDefault="00D067A3" w:rsidP="00D067A3">
      <w:pPr>
        <w:pStyle w:val="ManualConsidrant"/>
        <w:rPr>
          <w:noProof/>
        </w:rPr>
      </w:pPr>
      <w:r w:rsidRPr="00D067A3">
        <w:rPr>
          <w:noProof/>
        </w:rPr>
        <w:t>(4)</w:t>
      </w:r>
      <w:r w:rsidRPr="00D067A3">
        <w:rPr>
          <w:noProof/>
        </w:rPr>
        <w:tab/>
      </w:r>
      <w:r w:rsidR="00F03940" w:rsidRPr="009B2149">
        <w:rPr>
          <w:noProof/>
        </w:rPr>
        <w:t>Este oportun să se stabilească poziția care urmează să fie luată, în numele Uniunii, în cadrul Conferinței ministeriale a OMC, întrucât deciziile vor avea caracter obligatoriu pentru Uniune.</w:t>
      </w:r>
      <w:bookmarkStart w:id="8" w:name="_Hlk213950739"/>
    </w:p>
    <w:p w:rsidR="00262C76" w:rsidRPr="009B2149" w:rsidRDefault="00D067A3" w:rsidP="00D067A3">
      <w:pPr>
        <w:pStyle w:val="ManualConsidrant"/>
        <w:rPr>
          <w:noProof/>
        </w:rPr>
      </w:pPr>
      <w:r w:rsidRPr="00D067A3">
        <w:rPr>
          <w:noProof/>
        </w:rPr>
        <w:t>(5)</w:t>
      </w:r>
      <w:r w:rsidRPr="00D067A3">
        <w:rPr>
          <w:noProof/>
        </w:rPr>
        <w:tab/>
      </w:r>
      <w:r w:rsidR="00262C76" w:rsidRPr="009B2149">
        <w:rPr>
          <w:noProof/>
        </w:rPr>
        <w:t>În cadrul CM13 de la Abu Dhabi, prin decizia ministerială [WT/MIN (24)/37], OMC a recunoscut progresele înregistrate în procesul informal privind reforma soluționării litigiilor și a însărcinat funcționarii să accelereze discuțiile pentru a atinge obiectivul de a asigura un sistem complet funcțional de soluționare a litigiilor, care să fie accesibil tuturor membrilor până în 2024, astfel cum s-a stabilit deja în cadrul CM12. Acest lucru nu s-a întâmplat „până în 2024”, iar perspectivele unui rezultat la CM14 sunt pesimiste. Cu toate acestea, un sistem complet funcțional de soluționare a litigiilor în cadrul OMC rămâne o prioritate pentru Uniune. Prin urmare, Uniunea ar trebui să sprijine o reformă semnificativă a sistemului de soluționare a litigiilor pentru a aborda interesele membrilor, menținând în același timp caracteristicile sale esențiale care sprijină sistemul comercial multilateral bazat pe norme. În cazul în care se va ajunge la un rezultat convenit de comun acord, Uniunea ar trebui să îl susțină.</w:t>
      </w:r>
    </w:p>
    <w:bookmarkEnd w:id="8"/>
    <w:p w:rsidR="00F03940" w:rsidRPr="009B2149" w:rsidRDefault="00D067A3" w:rsidP="00D067A3">
      <w:pPr>
        <w:pStyle w:val="ManualConsidrant"/>
        <w:rPr>
          <w:noProof/>
        </w:rPr>
      </w:pPr>
      <w:r w:rsidRPr="00D067A3">
        <w:rPr>
          <w:noProof/>
        </w:rPr>
        <w:t>(6)</w:t>
      </w:r>
      <w:r w:rsidRPr="00D067A3">
        <w:rPr>
          <w:noProof/>
        </w:rPr>
        <w:tab/>
      </w:r>
      <w:r w:rsidR="00C83271" w:rsidRPr="009B2149">
        <w:rPr>
          <w:noProof/>
        </w:rPr>
        <w:t>Prin Decizia ministerială din 17 iunie 2022 [WT/MIN (22)/33], OMC a adoptat Acordul privind subvențiile pentru pescuit și, în același timp, a solicitat încheierea unui acord cuprinzător privind subvențiile pentru pescuit. Acordul privind subvențiile pentru pescuit a intrat în vigoare la 15 septembrie 2025</w:t>
      </w:r>
      <w:r w:rsidR="00C83271" w:rsidRPr="009B2149">
        <w:rPr>
          <w:rStyle w:val="FootnoteReference"/>
          <w:noProof/>
        </w:rPr>
        <w:footnoteReference w:id="8"/>
      </w:r>
      <w:r w:rsidR="00C83271" w:rsidRPr="009B2149">
        <w:rPr>
          <w:noProof/>
        </w:rPr>
        <w:t xml:space="preserve"> și, în cazul în care nu se adoptă discipline cuprinzătoare în termen de patru ani de la intrarea în vigoare a acestui acord și cu excepția cazului în care Consiliul General decide altfel, acest acord încetează imediat. OMC depune eforturi pentru a ajunge la un acord multilateral cu privire la dispoziții suplimentare prin care să realizeze discipline cuprinzătoare. În cazul în care negocierile privind dispozițiile suplimentare vor fi încununate de succes, UE ar trebui să susțină rezultatul convenit de comun acord.</w:t>
      </w:r>
    </w:p>
    <w:p w:rsidR="00F03940" w:rsidRPr="009B2149" w:rsidRDefault="00D067A3" w:rsidP="00D067A3">
      <w:pPr>
        <w:pStyle w:val="ManualConsidrant"/>
        <w:rPr>
          <w:noProof/>
        </w:rPr>
      </w:pPr>
      <w:r w:rsidRPr="00D067A3">
        <w:rPr>
          <w:noProof/>
        </w:rPr>
        <w:t>(7)</w:t>
      </w:r>
      <w:r w:rsidRPr="00D067A3">
        <w:rPr>
          <w:noProof/>
        </w:rPr>
        <w:tab/>
      </w:r>
      <w:r w:rsidR="00F03940" w:rsidRPr="009B2149">
        <w:rPr>
          <w:noProof/>
        </w:rPr>
        <w:t>Este necesară o acțiune a OMC ca răspuns la provocările actuale în materie de securitate alimentară, agravate de consecințele războiului de agresiune neprovocat și nejustificat al Rusiei în Ucraina, într-un context de provocări globale în materie de mediu, schimbări climatice și dezastre naturale cauzate de acestea, pierdere a biodiversității și poluare. Se preconizează că securitatea alimentară va fi un element al discuțiilor din cadrul CM14. În plus, în cadrul CM12, miniștrii au aprobat o declarație privind răspunsul de urgență la insecuritatea alimentară [WT/MIN(22)/28, WT/L/1139], care a însărcinat Comitetul pentru agricultură să întreprindă un program de lucru specific pentru a examina modalitățile prin care Decizia privind măsurile referitoare la posibilele efecte negative ale programului de reformă pentru țările cel mai puțin dezvoltate (denumite în continuare „TPD”) și cele în curs de dezvoltare, importatoare nete de produse alimentare (denumite în continuare „TCDINPA”) (Decizia de la Marrakesh) să devină mai eficace și mai operațională. În același timp, membrilor li s-a încredințat sarcina de a lua în considerare nevoile TPD și ale TCDINPA de a-și spori reziliența în ceea ce privește răspunsul la instabilitatea alimentară acută, inclusiv prin luarea în considerare a celei mai bune utilizări posibile a mecanismelor de flexibilitate pentru a-și consolida producția agricolă și securitatea alimentară internă, după cum este necesar într-o situație de urgență. În aprilie 2024, membrii au adoptat un raport privind programul de lucru (G/AG/38), care conține un set de recomandări și de concluzii. În cazul în care se va ajunge la un rezultat ca urmare a acestor lucrări, UE ar trebui să susțină un astfel de rezultat convenit de comun acord.</w:t>
      </w:r>
    </w:p>
    <w:p w:rsidR="00F03940" w:rsidRPr="009B2149" w:rsidRDefault="00D067A3" w:rsidP="00D067A3">
      <w:pPr>
        <w:pStyle w:val="ManualConsidrant"/>
        <w:rPr>
          <w:rFonts w:eastAsia="Times New Roman"/>
          <w:noProof/>
          <w:szCs w:val="24"/>
        </w:rPr>
      </w:pPr>
      <w:r w:rsidRPr="00D067A3">
        <w:rPr>
          <w:noProof/>
        </w:rPr>
        <w:t>(8)</w:t>
      </w:r>
      <w:r w:rsidRPr="00D067A3">
        <w:rPr>
          <w:noProof/>
        </w:rPr>
        <w:tab/>
      </w:r>
      <w:r w:rsidR="154181D6" w:rsidRPr="009B2149">
        <w:rPr>
          <w:noProof/>
        </w:rPr>
        <w:t>Negocierile privind sprijinul intern care denaturează schimburile comerciale sunt încorporate în articolul 20 din Acordul OMC privind agricultura și au făcut parte din mandatul Agendei de dezvoltare de la Doha (ADD) stipulat în Declarația ministerială de la Doha din 14 noiembrie 2001 [WT/MIN(01)/DEC/1]. În cazul în care negocierile vor fi încununate de succes, Uniunea ar trebui să susțină un rezultat convenit de comun acord.</w:t>
      </w:r>
    </w:p>
    <w:p w:rsidR="00F03940" w:rsidRPr="009B2149" w:rsidRDefault="00D067A3" w:rsidP="00D067A3">
      <w:pPr>
        <w:pStyle w:val="ManualConsidrant"/>
        <w:rPr>
          <w:noProof/>
        </w:rPr>
      </w:pPr>
      <w:r w:rsidRPr="00D067A3">
        <w:rPr>
          <w:noProof/>
        </w:rPr>
        <w:t>(9)</w:t>
      </w:r>
      <w:r w:rsidRPr="00D067A3">
        <w:rPr>
          <w:noProof/>
        </w:rPr>
        <w:tab/>
      </w:r>
      <w:r w:rsidR="00F03940" w:rsidRPr="009B2149">
        <w:rPr>
          <w:noProof/>
        </w:rPr>
        <w:t xml:space="preserve">Negocierile privind deținerea de stocuri publice în scopul securității alimentare urmăresc ajungerea la un acord cu privire la o „soluție definitivă”, îndeplinind astfel obiectivul stabilit în Decizia ministerială de la Bali din 7 decembrie 2013 privind deținerea de stocuri publice în scopul securității alimentare [WT/MIN(13)/38-WT/L/913], astfel cum a fost interpretată prin ulterioara Hotărâre a Consiliului General din 27 noiembrie 2014 (WT/L/939). Acest obiectiv a fost reiterat în Decizia ministerială de la Nairobi din 19 decembrie 2015 [WT/MIN (15)/44-WT/L/979]. În cazul în care negocierile vor fi încununate de succes, Uniunea ar trebui să susțină un rezultat convenit de comun acord. </w:t>
      </w:r>
    </w:p>
    <w:p w:rsidR="00F03940" w:rsidRPr="009B2149" w:rsidRDefault="00D067A3" w:rsidP="00D067A3">
      <w:pPr>
        <w:pStyle w:val="ManualConsidrant"/>
        <w:rPr>
          <w:noProof/>
        </w:rPr>
      </w:pPr>
      <w:r w:rsidRPr="00D067A3">
        <w:rPr>
          <w:noProof/>
        </w:rPr>
        <w:t>(10)</w:t>
      </w:r>
      <w:r w:rsidRPr="00D067A3">
        <w:rPr>
          <w:noProof/>
        </w:rPr>
        <w:tab/>
      </w:r>
      <w:r w:rsidR="002E4009" w:rsidRPr="009B2149">
        <w:rPr>
          <w:noProof/>
        </w:rPr>
        <w:t>În cadrul celei de a 12-a Conferințe ministeriale, care a avut loc la Geneva, membrii OMC au aprobat Decizia ministerială de referință privind scutirea achizițiilor de produse alimentare de la interdicțiile sau restricțiile la export din cadrul Programului Alimentar Mondial [WT/MIN (22)/29, WT/L/1140]. Negocierile privind restricțiile la export în domeniul agriculturii au arătat că o mare parte a membrilor OMC sprijină sporirea în continuare a transparenței și a previzibilității în ceea ce privește interdicțiile și restricțiile la export, precum și îmbunătățirea disciplinelor relevante. În cazul în care negocierile vor fi încununate de succes, Uniunea ar trebui să susțină un rezultat convenit de comun acord.</w:t>
      </w:r>
    </w:p>
    <w:p w:rsidR="00F03940" w:rsidRPr="009B2149" w:rsidRDefault="00D067A3" w:rsidP="00D067A3">
      <w:pPr>
        <w:pStyle w:val="ManualConsidrant"/>
        <w:rPr>
          <w:noProof/>
        </w:rPr>
      </w:pPr>
      <w:r w:rsidRPr="00D067A3">
        <w:rPr>
          <w:noProof/>
        </w:rPr>
        <w:t>(11)</w:t>
      </w:r>
      <w:r w:rsidRPr="00D067A3">
        <w:rPr>
          <w:noProof/>
        </w:rPr>
        <w:tab/>
      </w:r>
      <w:r w:rsidR="34586451" w:rsidRPr="009B2149">
        <w:rPr>
          <w:noProof/>
        </w:rPr>
        <w:t>Decizia ministerială de la Nairobi din 19 decembrie 2015 [WT/MIN (15)/45] a eliminat subvențiile la export și a stabilit discipline privind măsuri cu efect echivalent. Negocierile în acest domeniu se axează pe îmbunătățirea transparenței și pe discipline suplimentare în ceea ce privește concurența</w:t>
      </w:r>
      <w:r w:rsidR="34586451" w:rsidRPr="009B2149">
        <w:rPr>
          <w:noProof/>
        </w:rPr>
        <w:tab/>
        <w:t xml:space="preserve">la export. Adoptarea raportului de reexaminare trienală și a deciziei privind cerințele și formatele de notificare a concurenței la export în decembrie 2024 (G/AG/39) este considerată un pas pozitiv care contribuie la monitorizarea posibilei eludări a disciplinelor. În cazul în care negocierile vor fi încununate de succes, Uniunea ar trebui să susțină un rezultat convenit de comun acord. </w:t>
      </w:r>
    </w:p>
    <w:p w:rsidR="00F03940" w:rsidRPr="009B2149" w:rsidRDefault="00D067A3" w:rsidP="00D067A3">
      <w:pPr>
        <w:pStyle w:val="ManualConsidrant"/>
        <w:rPr>
          <w:noProof/>
        </w:rPr>
      </w:pPr>
      <w:r w:rsidRPr="00D067A3">
        <w:rPr>
          <w:noProof/>
        </w:rPr>
        <w:t>(12)</w:t>
      </w:r>
      <w:r w:rsidRPr="00D067A3">
        <w:rPr>
          <w:noProof/>
        </w:rPr>
        <w:tab/>
      </w:r>
      <w:r w:rsidR="1423B1FE" w:rsidRPr="009B2149">
        <w:rPr>
          <w:noProof/>
        </w:rPr>
        <w:t>Negocierile privind accesul pe piață în vederea unor reduceri progresive substanțiale ale protecției sunt încorporate în articolul 20 din Acordul OMC privind agricultura și au făcut parte din mandatul Agendei de dezvoltare de la Doha (ADD) stipulat în Declarația ministerială de la Doha din 14 noiembrie 2001 [WT/MIN(01)/DEC/1]. În cazul în care negocierile vor fi încununate de succes, Uniunea ar trebui să susțină un rezultat convenit de comun acord.</w:t>
      </w:r>
    </w:p>
    <w:p w:rsidR="00F03940" w:rsidRPr="009B2149" w:rsidRDefault="00D067A3" w:rsidP="00D067A3">
      <w:pPr>
        <w:pStyle w:val="ManualConsidrant"/>
        <w:rPr>
          <w:noProof/>
        </w:rPr>
      </w:pPr>
      <w:r w:rsidRPr="00D067A3">
        <w:rPr>
          <w:noProof/>
        </w:rPr>
        <w:t>(13)</w:t>
      </w:r>
      <w:r w:rsidRPr="00D067A3">
        <w:rPr>
          <w:noProof/>
        </w:rPr>
        <w:tab/>
      </w:r>
      <w:r w:rsidR="7BD556A7" w:rsidRPr="009B2149">
        <w:rPr>
          <w:noProof/>
        </w:rPr>
        <w:t>Negocierile privind mecanismul special de salvgardare (MSS) în domeniul agriculturii au continuat în conformitate cu Decizia ministerială de la Nairobi [WT/MIN (15)/43 - WT/L/978]. În cazul în care negocierile vor fi încununate de succes, Uniunea ar trebui să susțină un rezultat convenit de comun acord.</w:t>
      </w:r>
    </w:p>
    <w:p w:rsidR="0017244F" w:rsidRPr="009B2149" w:rsidRDefault="00D067A3" w:rsidP="00D067A3">
      <w:pPr>
        <w:pStyle w:val="ManualConsidrant"/>
        <w:rPr>
          <w:noProof/>
        </w:rPr>
      </w:pPr>
      <w:r w:rsidRPr="00D067A3">
        <w:rPr>
          <w:noProof/>
        </w:rPr>
        <w:t>(14)</w:t>
      </w:r>
      <w:r w:rsidRPr="00D067A3">
        <w:rPr>
          <w:noProof/>
        </w:rPr>
        <w:tab/>
      </w:r>
      <w:r w:rsidR="10B39CFD" w:rsidRPr="009B2149">
        <w:rPr>
          <w:noProof/>
        </w:rPr>
        <w:t xml:space="preserve">Negocierile privind bumbacul au continuat în cadrul stabilit la punctele 5, 6 și 7 din Decizia ministerială de la Bali privind bumbacul [WT/MIN(13)/41 - WT/L/916] și la punctul 14 din Decizia ministerială de la Nairobi privind bumbacul [WT/MIN(15)/46 - WT/L/981]. În cazul în care negocierile vor fi încununate de succes, Uniunea ar trebui să susțină un rezultat convenit de comun acord în acest domeniu. </w:t>
      </w:r>
    </w:p>
    <w:p w:rsidR="0017244F" w:rsidRPr="009B2149" w:rsidRDefault="00D067A3" w:rsidP="00D067A3">
      <w:pPr>
        <w:pStyle w:val="ManualConsidrant"/>
        <w:rPr>
          <w:rFonts w:eastAsia="Arial Unicode MS"/>
          <w:noProof/>
        </w:rPr>
      </w:pPr>
      <w:r w:rsidRPr="00D067A3">
        <w:rPr>
          <w:noProof/>
        </w:rPr>
        <w:t>(15)</w:t>
      </w:r>
      <w:r w:rsidRPr="00D067A3">
        <w:rPr>
          <w:noProof/>
        </w:rPr>
        <w:tab/>
      </w:r>
      <w:r w:rsidR="0017244F" w:rsidRPr="009B2149">
        <w:rPr>
          <w:noProof/>
        </w:rPr>
        <w:t xml:space="preserve">Negocierile privind dispozițiile TS, inclusiv în contextul discuțiilor cu privire la unele propuneri ale G-90 (Grupul african, grupul statelor din Africa, zona Caraibilor și Pacific, grupul țărilor cel mai puțin dezvoltate) în domenii precum subvențiile, măsurile investiționale legate de comerț (TRIMS) și transferul de tehnologie în cadrul aspectelor legate de comerț ale drepturilor de proprietate intelectuală (TRIPS) pot duce la un rezultat al reuniunii ministeriale în cadrul CM14, de exemplu prin clarificarea dispozițiilor existente sau prin acordarea de TSD suplimentare țărilor cel mai puțin dezvoltate (TPD) și anumitor țări în curs de dezvoltare, iar UE ar trebui să susțină un astfel de rezultat. </w:t>
      </w:r>
    </w:p>
    <w:p w:rsidR="0017244F" w:rsidRPr="009B2149" w:rsidRDefault="00D067A3" w:rsidP="00D067A3">
      <w:pPr>
        <w:pStyle w:val="ManualConsidrant"/>
        <w:rPr>
          <w:noProof/>
        </w:rPr>
      </w:pPr>
      <w:r w:rsidRPr="00D067A3">
        <w:rPr>
          <w:noProof/>
        </w:rPr>
        <w:t>(16)</w:t>
      </w:r>
      <w:r w:rsidRPr="00D067A3">
        <w:rPr>
          <w:noProof/>
        </w:rPr>
        <w:tab/>
      </w:r>
      <w:r w:rsidR="0017244F" w:rsidRPr="009B2149">
        <w:rPr>
          <w:noProof/>
        </w:rPr>
        <w:t>Sunt în curs negocieri referitoare la propunerile prezentate de grupul țărilor cel mai puțin dezvoltate cu privire la măsurile de sprijin pentru o tranziție mai ușoară pentru membrii OMC care depășesc statutul de țară cel mai puțin dezvoltată: prelungirea pentru o perioadă de timp adecvată a dispozițiilor privind TSD dintr-o serie de acorduri și decizii specifice ale OMC, în special în ceea ce privește Acordul privind subvențiile și măsurile compensatorii (ASMC), Acordul privind aspectele comerciale ale drepturilor de proprietate intelectuală (TRIPS) și Acordul privind agricultura. În cazul în care este necesar un rezultat al reuniunii ministeriale, UE ar trebui să susțină un rezultat convenit de comun acord. Un astfel de rezultat ar putea extinde, pentru o perioadă strict limitată, anumite dispoziții privind țările cel mai puțin dezvoltate la țările care au depășit recent acest statut.</w:t>
      </w:r>
    </w:p>
    <w:p w:rsidR="00ED1FFA" w:rsidRPr="009B2149" w:rsidRDefault="00D067A3" w:rsidP="00D067A3">
      <w:pPr>
        <w:pStyle w:val="ManualConsidrant"/>
        <w:rPr>
          <w:rFonts w:eastAsia="Arial Unicode MS"/>
          <w:noProof/>
        </w:rPr>
      </w:pPr>
      <w:r w:rsidRPr="00D067A3">
        <w:rPr>
          <w:noProof/>
        </w:rPr>
        <w:t>(17)</w:t>
      </w:r>
      <w:r w:rsidRPr="00D067A3">
        <w:rPr>
          <w:noProof/>
        </w:rPr>
        <w:tab/>
      </w:r>
      <w:r w:rsidR="00ED1FFA" w:rsidRPr="009B2149">
        <w:rPr>
          <w:noProof/>
        </w:rPr>
        <w:t xml:space="preserve">Negocierile în vederea încheierii unui acord privind comerțul electronic au fost lansate oficial în ianuarie 2019. Comisia a desfășurat negocierile în numele UE. Membrii OMC participanți au ajuns la un text stabilizat al Acordului privind comerțul electronic la 26 iulie 2024. Uniunea a susținut încorporarea acordului în anexa 4 la Acordul OMC în cadrul reuniunilor relevante ale Consiliului General. Poziția care urmează să fie adoptată în numele Uniunii în cadrul celei de a 14-a Conferințe ministeriale a OMC ar trebui să fie, de asemenea, aceea de a susține încorporarea acordului în anexa 4 la Acordul OMC. </w:t>
      </w:r>
    </w:p>
    <w:p w:rsidR="00ED1FFA" w:rsidRPr="009B2149" w:rsidRDefault="00D067A3" w:rsidP="00D067A3">
      <w:pPr>
        <w:pStyle w:val="ManualConsidrant"/>
        <w:rPr>
          <w:rFonts w:eastAsia="Arial Unicode MS"/>
          <w:noProof/>
        </w:rPr>
      </w:pPr>
      <w:r w:rsidRPr="00D067A3">
        <w:rPr>
          <w:noProof/>
        </w:rPr>
        <w:t>(18)</w:t>
      </w:r>
      <w:r w:rsidRPr="00D067A3">
        <w:rPr>
          <w:noProof/>
        </w:rPr>
        <w:tab/>
      </w:r>
      <w:r w:rsidR="0017244F" w:rsidRPr="009B2149">
        <w:rPr>
          <w:noProof/>
        </w:rPr>
        <w:t>Negocierile pentru Acordul privind facilitarea investițiilor pentru dezvoltare au fost lansate oficial în septembrie 2020 și au fost finalizate în iulie 2023. La inițiativă participă 128 de părți membre, dintre care majoritatea sunt țări în curs de dezvoltare și țări cel mai puțin dezvoltate. Inițiativa vizează discipline privind transparența, raționalizarea procedurilor administrative și coerența internă în materie de reglementare, care se vor aplica tuturor sectoarelor economiei pentru toate măsurile legate de activitățile de investiții. Acordul a fost prezentat ca acord plurilateral care urmează să fie încorporat în anexa 4 la Acordul OMC. Această încorporare a fost sprijinită de Uniune în cadrul CM13 și al reuniunilor ulterioare ale Consiliului General, dar India, Africa de Sud și Turcia s-au opus în cadrul CM13. Poziția care urmează să fie adoptată în numele Uniunii în cadrul celei de a 14-a Conferințe ministeriale a OMC ar trebui să fie aceea de a susține încorporarea acordului în anexa 4 la Acordul OMC.</w:t>
      </w:r>
    </w:p>
    <w:p w:rsidR="00CB723B" w:rsidRPr="009B2149" w:rsidRDefault="00D067A3" w:rsidP="00D067A3">
      <w:pPr>
        <w:pStyle w:val="ManualConsidrant"/>
        <w:rPr>
          <w:rFonts w:eastAsia="Arial Unicode MS"/>
          <w:noProof/>
        </w:rPr>
      </w:pPr>
      <w:r w:rsidRPr="00D067A3">
        <w:rPr>
          <w:noProof/>
        </w:rPr>
        <w:t>(19)</w:t>
      </w:r>
      <w:r w:rsidRPr="00D067A3">
        <w:rPr>
          <w:noProof/>
        </w:rPr>
        <w:tab/>
      </w:r>
      <w:r w:rsidR="00CB723B" w:rsidRPr="009B2149">
        <w:rPr>
          <w:noProof/>
        </w:rPr>
        <w:t>În temeiul articolului IV alineatul (2) din Acordul OMC, în intervalele dintre reuniunile Conferinței ministeriale, funcțiile sale sunt exercitate de Consiliul General. În cazul în care, în cadrul CM14, nu se va lua decizia de a încorpora Acordul privind comerțul electronic sau Acordul privind facilitarea investițiilor pentru dezvoltare în anexa 4 la Acordul OMC, Uniunea ar trebui să susțină această încorporare în cadrul reuniunilor relevante ale Consiliului General. În ceea ce privește Acordul privind comerțul electronic, poziția Uniunii cu privire la reuniunile Consiliului General a fost stabilită prin Decizia (UE) 2025/915 a Consiliului din 12 mai 2025</w:t>
      </w:r>
      <w:r w:rsidR="00CB723B" w:rsidRPr="009B2149">
        <w:rPr>
          <w:rStyle w:val="FootnoteReference"/>
          <w:noProof/>
        </w:rPr>
        <w:footnoteReference w:id="9"/>
      </w:r>
      <w:r w:rsidR="00CB723B" w:rsidRPr="009B2149">
        <w:rPr>
          <w:noProof/>
        </w:rPr>
        <w:t xml:space="preserve">. Prin urmare, este oportun ca prezenta decizie să vizeze de asemenea, în ceea ce privește Acordul privind facilitarea investițiilor pentru dezvoltare, inclusiv reuniunile Consiliului General ulterioare CM14 și anterioare următoarei Conferințe ministeriale a OMC care va aborda aceeași chestiune. </w:t>
      </w:r>
    </w:p>
    <w:p w:rsidR="00B858E9" w:rsidRPr="009B2149" w:rsidRDefault="00D067A3" w:rsidP="00D067A3">
      <w:pPr>
        <w:pStyle w:val="ManualConsidrant"/>
        <w:rPr>
          <w:rFonts w:eastAsia="Arial Unicode MS"/>
          <w:noProof/>
        </w:rPr>
      </w:pPr>
      <w:r w:rsidRPr="00D067A3">
        <w:rPr>
          <w:noProof/>
        </w:rPr>
        <w:t>(20)</w:t>
      </w:r>
      <w:r w:rsidRPr="00D067A3">
        <w:rPr>
          <w:noProof/>
        </w:rPr>
        <w:tab/>
      </w:r>
      <w:r w:rsidR="00B858E9" w:rsidRPr="009B2149">
        <w:rPr>
          <w:noProof/>
        </w:rPr>
        <w:t>Derogarea adoptată în temeiul Deciziei WT/L/970, acordată de OMC la 30 noiembrie 2015, a permis Statelor Unite să aplice un regim de scutire de taxe vamale produselor eligibile originare din țările beneficiare din Africa subsahariană desemnate în temeiul Legii privind creșterea și oportunitățile în Africa. Derogarea respectivă a expirat la 30 septembrie 2025 și nicio cerere oficială de prelungire a acesteia nu a fost notificată OMC. În cazul în care va fi prezentată o nouă cerere de derogare, Uniunea ar trebui să o susțină, în conformitate cu sprijinul său anterior pentru astfel de cereri, astfel cum se reflectă în Decizia (UE) 2015/1942 a Consiliului.</w:t>
      </w:r>
    </w:p>
    <w:p w:rsidR="00E03F24" w:rsidRPr="009B2149" w:rsidRDefault="00D067A3" w:rsidP="00D067A3">
      <w:pPr>
        <w:pStyle w:val="ManualConsidrant"/>
        <w:rPr>
          <w:rFonts w:eastAsia="Arial Unicode MS"/>
          <w:noProof/>
        </w:rPr>
      </w:pPr>
      <w:r w:rsidRPr="00D067A3">
        <w:rPr>
          <w:noProof/>
        </w:rPr>
        <w:t>(21)</w:t>
      </w:r>
      <w:r w:rsidRPr="00D067A3">
        <w:rPr>
          <w:noProof/>
        </w:rPr>
        <w:tab/>
      </w:r>
      <w:r w:rsidR="00C90317" w:rsidRPr="009B2149">
        <w:rPr>
          <w:noProof/>
        </w:rPr>
        <w:t>Ritmul accelerat al transformării digitale și apariția rapidă a unor noi tehnologii, cum ar fi inteligența artificială, tehnologia blockchain, internetul obiectelor și informatica cuantică au introdus noi întrebări privind politicile, care afectează comerțul internațional și care merită o analiză specifică. În cazul în care, în cadrul CM14, se va ajunge la un consens cu privire la instituirea unui comitet suplimentar însărcinat cu examinarea impactului tehnologiilor emergente asupra comerțului mondial, Uniunea ar trebui să se alăture acestui consens,</w:t>
      </w:r>
    </w:p>
    <w:p w:rsidR="00FE70AD" w:rsidRPr="009B2149" w:rsidRDefault="00FE70AD">
      <w:pPr>
        <w:pStyle w:val="Formuledadoption"/>
        <w:rPr>
          <w:noProof/>
        </w:rPr>
      </w:pPr>
      <w:r w:rsidRPr="009B2149">
        <w:rPr>
          <w:noProof/>
        </w:rPr>
        <w:t>ADOPTĂ PREZENTA DECIZIE:</w:t>
      </w:r>
    </w:p>
    <w:p w:rsidR="00FE70AD" w:rsidRPr="009B2149" w:rsidRDefault="00FE70AD">
      <w:pPr>
        <w:pStyle w:val="Titrearticle"/>
        <w:rPr>
          <w:noProof/>
        </w:rPr>
      </w:pPr>
      <w:r w:rsidRPr="009B2149">
        <w:rPr>
          <w:noProof/>
        </w:rPr>
        <w:t>Articolul 1</w:t>
      </w:r>
    </w:p>
    <w:p w:rsidR="00F03940" w:rsidRPr="009B2149" w:rsidRDefault="00F03940" w:rsidP="00F03940">
      <w:pPr>
        <w:rPr>
          <w:noProof/>
        </w:rPr>
      </w:pPr>
      <w:r w:rsidRPr="009B2149">
        <w:rPr>
          <w:noProof/>
        </w:rPr>
        <w:t>Poziția care urmează să fie adoptată în numele Uniunii în cadrul celei de a 14-a sesiuni a Conferinței Ministeriale a OMC este:</w:t>
      </w:r>
    </w:p>
    <w:p w:rsidR="00F03940" w:rsidRPr="009B2149" w:rsidRDefault="00F03940" w:rsidP="7B9E3FE4">
      <w:pPr>
        <w:rPr>
          <w:noProof/>
        </w:rPr>
      </w:pPr>
      <w:r w:rsidRPr="009B2149">
        <w:rPr>
          <w:noProof/>
        </w:rPr>
        <w:t xml:space="preserve">Să se alăture consensului la care au ajuns membrii OMC în vederea adoptării de decizii privind reforma soluționării litigiilor, subvențiile pentru pescuit, securitatea alimentară, sprijinul intern acordat agriculturii, deținerea de stocuri publice în scopul securității alimentare, restricțiile la export în domeniul agriculturii, concurența la export în domeniul agriculturii, accesul pe piață în sectorul agricol, mecanismul special de salvgardare (MSS) în domeniul agriculturii, bumbacul, tratamentul special și diferențiat, propunerea de depășire a statutului de țară cel mai puțin dezvoltată – „măsuri de sprijin” într-o serie de acorduri și decizii specifice ale OMC („anexa 2”), Acordul privind facilitarea investițiilor pentru dezvoltare, Acordul privind comerțul electronic, cererea de acordare a unei derogări de la normele OMC și instituirea unui comitet suplimentar. </w:t>
      </w:r>
    </w:p>
    <w:p w:rsidR="006D4C0F" w:rsidRPr="009B2149" w:rsidRDefault="006D4C0F" w:rsidP="7B9E3FE4">
      <w:pPr>
        <w:rPr>
          <w:i/>
          <w:iCs/>
          <w:noProof/>
        </w:rPr>
      </w:pPr>
      <w:r w:rsidRPr="009B2149">
        <w:rPr>
          <w:noProof/>
        </w:rPr>
        <w:t xml:space="preserve">În ceea ce privește Acordul privind facilitarea investițiilor pentru dezvoltare, prezenta decizie vizează de asemenea, în cazul în care va fi necesar, poziția care urmează să fie adoptată în numele Uniunii în cadrul oricăror reuniuni ulterioare ale Consiliului General desfășurate înainte de următoarea Conferință ministerială a OMC care va aborda aceeași chestiune. </w:t>
      </w:r>
    </w:p>
    <w:p w:rsidR="00F03940" w:rsidRPr="009B2149" w:rsidRDefault="00F03940" w:rsidP="0066204B">
      <w:pPr>
        <w:pStyle w:val="Titrearticle"/>
        <w:rPr>
          <w:noProof/>
        </w:rPr>
      </w:pPr>
      <w:r w:rsidRPr="009B2149">
        <w:rPr>
          <w:noProof/>
        </w:rPr>
        <w:t>Articolul 2</w:t>
      </w:r>
    </w:p>
    <w:p w:rsidR="00FE70AD" w:rsidRPr="009B2149" w:rsidRDefault="00FE70AD">
      <w:pPr>
        <w:rPr>
          <w:noProof/>
        </w:rPr>
      </w:pPr>
      <w:r w:rsidRPr="009B2149">
        <w:rPr>
          <w:noProof/>
        </w:rPr>
        <w:t>Prezenta decizie se adresează Comisiei.</w:t>
      </w:r>
    </w:p>
    <w:p w:rsidR="00FE70AD" w:rsidRPr="009B2149" w:rsidRDefault="00883840" w:rsidP="0066204B">
      <w:pPr>
        <w:pStyle w:val="Fait"/>
        <w:rPr>
          <w:noProof/>
        </w:rPr>
      </w:pPr>
      <w:r>
        <w:rPr>
          <w:noProof/>
        </w:rPr>
        <w:t>Adoptată la Bruxelles,</w:t>
      </w:r>
    </w:p>
    <w:p w:rsidR="00FE70AD" w:rsidRPr="009B2149" w:rsidRDefault="00FE70AD" w:rsidP="0066204B">
      <w:pPr>
        <w:pStyle w:val="Institutionquisigne"/>
        <w:rPr>
          <w:noProof/>
        </w:rPr>
      </w:pPr>
      <w:r w:rsidRPr="009B2149">
        <w:rPr>
          <w:noProof/>
        </w:rPr>
        <w:tab/>
        <w:t>Pentru Consiliu,</w:t>
      </w:r>
    </w:p>
    <w:p w:rsidR="00FE70AD" w:rsidRPr="009B2149" w:rsidRDefault="00FE70AD" w:rsidP="00FE70AD">
      <w:pPr>
        <w:pStyle w:val="Personnequisigne"/>
        <w:rPr>
          <w:noProof/>
        </w:rPr>
      </w:pPr>
      <w:r w:rsidRPr="009B2149">
        <w:rPr>
          <w:noProof/>
        </w:rPr>
        <w:tab/>
        <w:t>Președintele</w:t>
      </w:r>
    </w:p>
    <w:sectPr w:rsidR="00FE70AD" w:rsidRPr="009B2149" w:rsidSect="007D162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25D" w:rsidRPr="009B2149" w:rsidRDefault="0048525D" w:rsidP="00FE70AD">
      <w:pPr>
        <w:spacing w:before="0" w:after="0"/>
      </w:pPr>
      <w:r w:rsidRPr="009B2149">
        <w:separator/>
      </w:r>
    </w:p>
  </w:endnote>
  <w:endnote w:type="continuationSeparator" w:id="0">
    <w:p w:rsidR="0048525D" w:rsidRPr="009B2149" w:rsidRDefault="0048525D" w:rsidP="00FE70AD">
      <w:pPr>
        <w:spacing w:before="0" w:after="0"/>
      </w:pPr>
      <w:r w:rsidRPr="009B2149">
        <w:continuationSeparator/>
      </w:r>
    </w:p>
  </w:endnote>
  <w:endnote w:type="continuationNotice" w:id="1">
    <w:p w:rsidR="0048525D" w:rsidRPr="009B2149" w:rsidRDefault="0048525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20" w:rsidRPr="007D1620" w:rsidRDefault="007D1620" w:rsidP="007D1620">
    <w:pPr>
      <w:pStyle w:val="Footer"/>
      <w:rPr>
        <w:rFonts w:ascii="Arial" w:hAnsi="Arial" w:cs="Arial"/>
        <w:b/>
        <w:sz w:val="48"/>
      </w:rPr>
    </w:pPr>
    <w:r w:rsidRPr="007D1620">
      <w:rPr>
        <w:rFonts w:ascii="Arial" w:hAnsi="Arial" w:cs="Arial"/>
        <w:b/>
        <w:sz w:val="48"/>
      </w:rPr>
      <w:t>RO</w:t>
    </w:r>
    <w:r w:rsidRPr="007D1620">
      <w:rPr>
        <w:rFonts w:ascii="Arial" w:hAnsi="Arial" w:cs="Arial"/>
        <w:b/>
        <w:sz w:val="48"/>
      </w:rPr>
      <w:tab/>
    </w:r>
    <w:r w:rsidRPr="007D1620">
      <w:rPr>
        <w:rFonts w:ascii="Arial" w:hAnsi="Arial" w:cs="Arial"/>
        <w:b/>
        <w:sz w:val="48"/>
      </w:rPr>
      <w:tab/>
    </w:r>
    <w:r w:rsidRPr="007D1620">
      <w:tab/>
    </w:r>
    <w:r w:rsidRPr="007D162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20" w:rsidRPr="007D1620" w:rsidRDefault="007D1620" w:rsidP="007D1620">
    <w:pPr>
      <w:pStyle w:val="Footer"/>
      <w:rPr>
        <w:rFonts w:ascii="Arial" w:hAnsi="Arial" w:cs="Arial"/>
        <w:b/>
        <w:sz w:val="48"/>
      </w:rPr>
    </w:pPr>
    <w:r w:rsidRPr="007D1620">
      <w:rPr>
        <w:rFonts w:ascii="Arial" w:hAnsi="Arial" w:cs="Arial"/>
        <w:b/>
        <w:sz w:val="48"/>
      </w:rPr>
      <w:t>RO</w:t>
    </w:r>
    <w:r w:rsidRPr="007D1620">
      <w:rPr>
        <w:rFonts w:ascii="Arial" w:hAnsi="Arial" w:cs="Arial"/>
        <w:b/>
        <w:sz w:val="48"/>
      </w:rPr>
      <w:tab/>
    </w:r>
    <w:r w:rsidRPr="007D1620">
      <w:rPr>
        <w:rFonts w:ascii="Arial" w:hAnsi="Arial" w:cs="Arial"/>
        <w:b/>
        <w:sz w:val="48"/>
      </w:rPr>
      <w:tab/>
    </w:r>
    <w:r w:rsidRPr="007D1620">
      <w:tab/>
    </w:r>
    <w:r w:rsidRPr="007D162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20" w:rsidRDefault="007D16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20" w:rsidRPr="007D1620" w:rsidRDefault="007D1620" w:rsidP="007D1620">
    <w:pPr>
      <w:pStyle w:val="Footer"/>
      <w:rPr>
        <w:rFonts w:ascii="Arial" w:hAnsi="Arial" w:cs="Arial"/>
        <w:b/>
        <w:sz w:val="48"/>
      </w:rPr>
    </w:pPr>
    <w:r w:rsidRPr="007D1620">
      <w:rPr>
        <w:rFonts w:ascii="Arial" w:hAnsi="Arial" w:cs="Arial"/>
        <w:b/>
        <w:sz w:val="48"/>
      </w:rPr>
      <w:t>RO</w:t>
    </w:r>
    <w:r w:rsidRPr="007D1620">
      <w:rPr>
        <w:rFonts w:ascii="Arial" w:hAnsi="Arial" w:cs="Arial"/>
        <w:b/>
        <w:sz w:val="48"/>
      </w:rPr>
      <w:tab/>
    </w:r>
    <w:r>
      <w:fldChar w:fldCharType="begin"/>
    </w:r>
    <w:r>
      <w:instrText xml:space="preserve"> PAGE  \* MERGEFORMAT </w:instrText>
    </w:r>
    <w:r>
      <w:fldChar w:fldCharType="separate"/>
    </w:r>
    <w:r w:rsidR="0066204B">
      <w:rPr>
        <w:noProof/>
      </w:rPr>
      <w:t>12</w:t>
    </w:r>
    <w:r>
      <w:fldChar w:fldCharType="end"/>
    </w:r>
    <w:r>
      <w:tab/>
    </w:r>
    <w:r w:rsidRPr="007D1620">
      <w:tab/>
    </w:r>
    <w:r w:rsidRPr="007D162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20" w:rsidRDefault="007D1620" w:rsidP="007D1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25D" w:rsidRPr="009B2149" w:rsidRDefault="0048525D" w:rsidP="00FE70AD">
      <w:pPr>
        <w:spacing w:before="0" w:after="0"/>
      </w:pPr>
      <w:r w:rsidRPr="009B2149">
        <w:separator/>
      </w:r>
    </w:p>
  </w:footnote>
  <w:footnote w:type="continuationSeparator" w:id="0">
    <w:p w:rsidR="0048525D" w:rsidRPr="009B2149" w:rsidRDefault="0048525D" w:rsidP="00FE70AD">
      <w:pPr>
        <w:spacing w:before="0" w:after="0"/>
      </w:pPr>
      <w:r w:rsidRPr="009B2149">
        <w:continuationSeparator/>
      </w:r>
    </w:p>
  </w:footnote>
  <w:footnote w:type="continuationNotice" w:id="1">
    <w:p w:rsidR="0048525D" w:rsidRPr="009B2149" w:rsidRDefault="0048525D">
      <w:pPr>
        <w:spacing w:before="0" w:after="0"/>
      </w:pPr>
    </w:p>
  </w:footnote>
  <w:footnote w:id="2">
    <w:p w:rsidR="0036778B" w:rsidRPr="009B2149" w:rsidRDefault="0036778B" w:rsidP="0036778B">
      <w:pPr>
        <w:pStyle w:val="FootnoteText"/>
        <w:rPr>
          <w:color w:val="000000"/>
        </w:rPr>
      </w:pPr>
      <w:r w:rsidRPr="009B2149">
        <w:rPr>
          <w:rStyle w:val="FootnoteReference"/>
        </w:rPr>
        <w:footnoteRef/>
      </w:r>
      <w:r w:rsidRPr="009B2149">
        <w:tab/>
      </w:r>
      <w:r w:rsidRPr="009B2149">
        <w:rPr>
          <w:color w:val="000000"/>
        </w:rPr>
        <w:t xml:space="preserve">Decizia </w:t>
      </w:r>
      <w:hyperlink r:id="rId1" w:history="1">
        <w:r w:rsidRPr="009B2149">
          <w:rPr>
            <w:rStyle w:val="Hyperlink"/>
            <w:color w:val="000000"/>
          </w:rPr>
          <w:t>94/800/CE</w:t>
        </w:r>
      </w:hyperlink>
      <w:r w:rsidRPr="009B2149">
        <w:rPr>
          <w:color w:val="000000"/>
        </w:rPr>
        <w:t xml:space="preserve"> a Consiliului din 22 decembrie 1994 privind încheierea, în numele Comunității Europene, referitor la domeniile de competența sa, a acordurilor obținute în cadrul negocierilor comerciale multilaterale din Runda Uruguay (1986-1994) (JO L 336, 23.12.1994, p. 1).</w:t>
      </w:r>
    </w:p>
  </w:footnote>
  <w:footnote w:id="3">
    <w:p w:rsidR="00AE144E" w:rsidRPr="009B2149" w:rsidRDefault="00AE144E" w:rsidP="00AE144E">
      <w:pPr>
        <w:pStyle w:val="FootnoteText"/>
      </w:pPr>
      <w:r w:rsidRPr="009B2149">
        <w:rPr>
          <w:rStyle w:val="FootnoteReference"/>
        </w:rPr>
        <w:footnoteRef/>
      </w:r>
      <w:r w:rsidRPr="009B2149">
        <w:tab/>
        <w:t xml:space="preserve">În măsura în care, contrar așteptărilor actuale, consensul va fi formalizat printr-un acord internațional de modificare a Acordului OMC sau printr-un acord internațional plurilateral între anumiți membri ai OMC, Comisia va face propunerile necesare în conformitate cu articolul 218 alineatul (6) din TFUE, după adoptarea textelor și deschiderea lor pentru acceptare de către CM14 sau de către membrii OMC în cauză în cursul CM14. </w:t>
      </w:r>
    </w:p>
  </w:footnote>
  <w:footnote w:id="4">
    <w:p w:rsidR="00ED1FFA" w:rsidRPr="009B2149" w:rsidRDefault="00ED1FFA" w:rsidP="00ED1FFA">
      <w:pPr>
        <w:pStyle w:val="FootnoteText"/>
      </w:pPr>
      <w:r w:rsidRPr="009B2149">
        <w:rPr>
          <w:rStyle w:val="FootnoteReference"/>
        </w:rPr>
        <w:footnoteRef/>
      </w:r>
      <w:r w:rsidRPr="009B2149">
        <w:tab/>
        <w:t>Decizia (UE) 2025/915 a Consiliului din 12 mai 2025 de stabilire a poziției care urmează să fie adoptată în numele Uniunii Europene în cadrul Organizației Mondiale a Comerțului în ceea ce privește încorporarea Acordului privind comerțul electronic în Acordul privind constituirea Organizației Mondiale a Comerțului (JO L, 15.5.2025).</w:t>
      </w:r>
    </w:p>
  </w:footnote>
  <w:footnote w:id="5">
    <w:p w:rsidR="009C64F5" w:rsidRPr="009B2149" w:rsidRDefault="009C64F5">
      <w:pPr>
        <w:pStyle w:val="FootnoteText"/>
      </w:pPr>
      <w:r w:rsidRPr="009B2149">
        <w:rPr>
          <w:rStyle w:val="FootnoteReference"/>
        </w:rPr>
        <w:footnoteRef/>
      </w:r>
      <w:r w:rsidRPr="009B2149">
        <w:tab/>
        <w:t>Decizia (UE) 2024/444 a Consiliului din 29 ianuarie 2024 de stabilire a poziției care urmează să fie adoptată, în numele Uniunii Europene, la cea de a 13-a Conferință ministerială a Organizației Mondiale a Comerțului, în ceea ce privește încorporarea Acordului privind facilitarea investițiilor pentru dezvoltare în Acordul privind constituirea Organizației Mondiale a Comerțului (JO L, 1.2.2024).</w:t>
      </w:r>
    </w:p>
  </w:footnote>
  <w:footnote w:id="6">
    <w:p w:rsidR="00FE70AD" w:rsidRPr="009B2149" w:rsidRDefault="00FE70AD">
      <w:pPr>
        <w:pStyle w:val="FootnoteText"/>
      </w:pPr>
      <w:r w:rsidRPr="009B2149">
        <w:rPr>
          <w:rStyle w:val="FootnoteReference"/>
        </w:rPr>
        <w:footnoteRef/>
      </w:r>
      <w:r w:rsidRPr="009B2149">
        <w:tab/>
        <w:t xml:space="preserve">Hotărârea Curții de Justiție din 7 octombrie 2014, Germania/Consiliul, C-399/12, ECLI:EU:C:2014:2258, punctele 61-64. </w:t>
      </w:r>
    </w:p>
  </w:footnote>
  <w:footnote w:id="7">
    <w:p w:rsidR="00F03940" w:rsidRPr="009B2149" w:rsidRDefault="00F03940" w:rsidP="00F03940">
      <w:pPr>
        <w:pStyle w:val="FootnoteText"/>
      </w:pPr>
      <w:r w:rsidRPr="009B2149">
        <w:rPr>
          <w:rStyle w:val="FootnoteReference"/>
        </w:rPr>
        <w:footnoteRef/>
      </w:r>
      <w:r w:rsidRPr="009B2149">
        <w:tab/>
        <w:t>JO L 336, 23.12.1994, p. 1.</w:t>
      </w:r>
    </w:p>
  </w:footnote>
  <w:footnote w:id="8">
    <w:p w:rsidR="00C83271" w:rsidRPr="009B2149" w:rsidRDefault="00C83271" w:rsidP="00C83271">
      <w:pPr>
        <w:pStyle w:val="FootnoteText"/>
      </w:pPr>
      <w:r w:rsidRPr="009B2149">
        <w:rPr>
          <w:rStyle w:val="FootnoteReference"/>
        </w:rPr>
        <w:footnoteRef/>
      </w:r>
      <w:r w:rsidRPr="009B2149">
        <w:tab/>
        <w:t xml:space="preserve">JO L, 2025/1962, 25.9.2025, </w:t>
      </w:r>
      <w:hyperlink r:id="rId2" w:history="1">
        <w:r w:rsidRPr="009B2149">
          <w:rPr>
            <w:rStyle w:val="Hyperlink"/>
          </w:rPr>
          <w:t>http://data.europa.eu/eli/notice/2025/1962/oj</w:t>
        </w:r>
      </w:hyperlink>
      <w:r w:rsidRPr="009B2149">
        <w:t xml:space="preserve">. </w:t>
      </w:r>
    </w:p>
  </w:footnote>
  <w:footnote w:id="9">
    <w:p w:rsidR="006D4C0F" w:rsidRPr="00B704A9" w:rsidRDefault="006D4C0F" w:rsidP="006D4C0F">
      <w:pPr>
        <w:pStyle w:val="FootnoteText"/>
      </w:pPr>
      <w:r w:rsidRPr="009B2149">
        <w:rPr>
          <w:rStyle w:val="FootnoteReference"/>
        </w:rPr>
        <w:footnoteRef/>
      </w:r>
      <w:r w:rsidRPr="009B2149">
        <w:tab/>
        <w:t>Decizia (UE) 2025/915 a Consiliului din 12 mai 2025 de stabilire a poziției care urmează să fie adoptată în numele Uniunii Europene în cadrul Organizației Mondiale a Comerțului în ceea ce privește încorporarea Acordului privind comerțul electronic în Acordul privind constituirea Organizației Mondiale a Comerțului (JO L, 15.5.2025).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20" w:rsidRDefault="007D16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20" w:rsidRDefault="007D16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F1A719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864FDA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AA8B6F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190A0A1E"/>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AA44811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4"/>
  </w:num>
  <w:num w:numId="3">
    <w:abstractNumId w:val="2"/>
  </w:num>
  <w:num w:numId="4">
    <w:abstractNumId w:val="1"/>
  </w:num>
  <w:num w:numId="5">
    <w:abstractNumId w:val="0"/>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num>
  <w:num w:numId="8">
    <w:abstractNumId w:val="19"/>
    <w:lvlOverride w:ilvl="0">
      <w:startOverride w:val="1"/>
    </w:lvlOverride>
  </w:num>
  <w:num w:numId="9">
    <w:abstractNumId w:val="16"/>
  </w:num>
  <w:num w:numId="10">
    <w:abstractNumId w:val="9"/>
  </w:num>
  <w:num w:numId="11">
    <w:abstractNumId w:val="18"/>
  </w:num>
  <w:num w:numId="12">
    <w:abstractNumId w:val="8"/>
  </w:num>
  <w:num w:numId="13">
    <w:abstractNumId w:val="10"/>
  </w:num>
  <w:num w:numId="14">
    <w:abstractNumId w:val="11"/>
  </w:num>
  <w:num w:numId="15">
    <w:abstractNumId w:val="6"/>
  </w:num>
  <w:num w:numId="16">
    <w:abstractNumId w:val="17"/>
  </w:num>
  <w:num w:numId="17">
    <w:abstractNumId w:val="5"/>
  </w:num>
  <w:num w:numId="18">
    <w:abstractNumId w:val="12"/>
  </w:num>
  <w:num w:numId="19">
    <w:abstractNumId w:val="14"/>
  </w:num>
  <w:num w:numId="20">
    <w:abstractNumId w:val="15"/>
  </w:num>
  <w:num w:numId="21">
    <w:abstractNumId w:val="7"/>
  </w:num>
  <w:num w:numId="22">
    <w:abstractNumId w:val="13"/>
  </w:num>
  <w:num w:numId="23">
    <w:abstractNumId w:val="19"/>
  </w:num>
  <w:num w:numId="24">
    <w:abstractNumId w:val="16"/>
  </w:num>
  <w:num w:numId="25">
    <w:abstractNumId w:val="9"/>
  </w:num>
  <w:num w:numId="26">
    <w:abstractNumId w:val="18"/>
  </w:num>
  <w:num w:numId="27">
    <w:abstractNumId w:val="8"/>
  </w:num>
  <w:num w:numId="28">
    <w:abstractNumId w:val="10"/>
  </w:num>
  <w:num w:numId="29">
    <w:abstractNumId w:val="11"/>
  </w:num>
  <w:num w:numId="30">
    <w:abstractNumId w:val="6"/>
  </w:num>
  <w:num w:numId="31">
    <w:abstractNumId w:val="17"/>
  </w:num>
  <w:num w:numId="32">
    <w:abstractNumId w:val="5"/>
  </w:num>
  <w:num w:numId="33">
    <w:abstractNumId w:val="12"/>
  </w:num>
  <w:num w:numId="34">
    <w:abstractNumId w:val="14"/>
  </w:num>
  <w:num w:numId="35">
    <w:abstractNumId w:val="15"/>
  </w:num>
  <w:num w:numId="36">
    <w:abstractNumId w:val="7"/>
  </w:num>
  <w:num w:numId="37">
    <w:abstractNumId w:val="13"/>
  </w:num>
  <w:num w:numId="38">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1-13 09:23: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7B2DA3E-FB89-40F9-BC1B-E3B9C1A9EDF9"/>
    <w:docVar w:name="LW_COVERPAGE_TYPE" w:val="1"/>
    <w:docVar w:name="LW_CreatedUtc" w:val="2025-09-22T10:18:04.9314172Z"/>
    <w:docVar w:name="LW_CROSSREFERENCE" w:val="&lt;UNUSED&gt;"/>
    <w:docVar w:name="LW_DocType" w:val="COM"/>
    <w:docVar w:name="LW_EMISSION" w:val="20.1.2026"/>
    <w:docVar w:name="LW_EMISSION_ISODATE" w:val="2026-01-20"/>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05"/>
    <w:docVar w:name="LW_REF.II.NEW.CP_YEAR" w:val="2026"/>
    <w:docVar w:name="LW_REF.INST.NEW" w:val="COM"/>
    <w:docVar w:name="LW_REF.INST.NEW_ADOPTED" w:val="final"/>
    <w:docVar w:name="LW_REF.INST.NEW_TEXT" w:val="(2026) 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elei de a 14-a Conferin\u539?e ministeriale a Organiza\u539?iei Mondiale a Comer\u539?ului"/>
    <w:docVar w:name="LW_TYPE.DOC.CP" w:val="DECIZIE A CONSILIULUI"/>
    <w:docVar w:name="LwApiVersions" w:val="LW4CoDe 1.24.5.0; LW 9.2, Build 20251112"/>
  </w:docVars>
  <w:rsids>
    <w:rsidRoot w:val="00FE70AD"/>
    <w:rsid w:val="00000BE3"/>
    <w:rsid w:val="00013246"/>
    <w:rsid w:val="000318D7"/>
    <w:rsid w:val="000321BB"/>
    <w:rsid w:val="000338ED"/>
    <w:rsid w:val="00033EE4"/>
    <w:rsid w:val="00042C3F"/>
    <w:rsid w:val="00046E4B"/>
    <w:rsid w:val="000517D4"/>
    <w:rsid w:val="00054387"/>
    <w:rsid w:val="00064994"/>
    <w:rsid w:val="00066AC3"/>
    <w:rsid w:val="00066F42"/>
    <w:rsid w:val="00083257"/>
    <w:rsid w:val="000871E8"/>
    <w:rsid w:val="00092282"/>
    <w:rsid w:val="000B72F5"/>
    <w:rsid w:val="000B7AAB"/>
    <w:rsid w:val="000C0021"/>
    <w:rsid w:val="000C391D"/>
    <w:rsid w:val="000C7739"/>
    <w:rsid w:val="000D2435"/>
    <w:rsid w:val="000D6E97"/>
    <w:rsid w:val="000E057A"/>
    <w:rsid w:val="000E7CAE"/>
    <w:rsid w:val="000F1CF4"/>
    <w:rsid w:val="000F214E"/>
    <w:rsid w:val="000F642C"/>
    <w:rsid w:val="00102715"/>
    <w:rsid w:val="00103F68"/>
    <w:rsid w:val="001065F5"/>
    <w:rsid w:val="00110E87"/>
    <w:rsid w:val="00116BD9"/>
    <w:rsid w:val="001238EF"/>
    <w:rsid w:val="00124EBB"/>
    <w:rsid w:val="00134498"/>
    <w:rsid w:val="00136E51"/>
    <w:rsid w:val="00137625"/>
    <w:rsid w:val="00141704"/>
    <w:rsid w:val="001433C4"/>
    <w:rsid w:val="001437FE"/>
    <w:rsid w:val="001440F5"/>
    <w:rsid w:val="00161139"/>
    <w:rsid w:val="00164781"/>
    <w:rsid w:val="0016538E"/>
    <w:rsid w:val="0017244F"/>
    <w:rsid w:val="001752DB"/>
    <w:rsid w:val="00182114"/>
    <w:rsid w:val="00185D58"/>
    <w:rsid w:val="001900E8"/>
    <w:rsid w:val="00190EA7"/>
    <w:rsid w:val="00192A19"/>
    <w:rsid w:val="00192BED"/>
    <w:rsid w:val="00197613"/>
    <w:rsid w:val="001976C9"/>
    <w:rsid w:val="001A3A31"/>
    <w:rsid w:val="001B70CD"/>
    <w:rsid w:val="001C57F6"/>
    <w:rsid w:val="001E05D6"/>
    <w:rsid w:val="001E324A"/>
    <w:rsid w:val="001E3C6E"/>
    <w:rsid w:val="001F1694"/>
    <w:rsid w:val="001F1840"/>
    <w:rsid w:val="001F3D74"/>
    <w:rsid w:val="002004B2"/>
    <w:rsid w:val="002114FE"/>
    <w:rsid w:val="00211771"/>
    <w:rsid w:val="0021313D"/>
    <w:rsid w:val="002156DD"/>
    <w:rsid w:val="0021704B"/>
    <w:rsid w:val="0022323F"/>
    <w:rsid w:val="002243A1"/>
    <w:rsid w:val="00224DBC"/>
    <w:rsid w:val="00233DC7"/>
    <w:rsid w:val="00244905"/>
    <w:rsid w:val="00247779"/>
    <w:rsid w:val="0025062E"/>
    <w:rsid w:val="00260C19"/>
    <w:rsid w:val="00262C76"/>
    <w:rsid w:val="0027387F"/>
    <w:rsid w:val="00273A44"/>
    <w:rsid w:val="002754D8"/>
    <w:rsid w:val="00280496"/>
    <w:rsid w:val="00285BEE"/>
    <w:rsid w:val="002861C0"/>
    <w:rsid w:val="00290AEF"/>
    <w:rsid w:val="00291F3B"/>
    <w:rsid w:val="00294CE6"/>
    <w:rsid w:val="0029533F"/>
    <w:rsid w:val="002A2A5B"/>
    <w:rsid w:val="002A5D37"/>
    <w:rsid w:val="002B10C1"/>
    <w:rsid w:val="002B164D"/>
    <w:rsid w:val="002B30AF"/>
    <w:rsid w:val="002B4BAA"/>
    <w:rsid w:val="002C20B1"/>
    <w:rsid w:val="002C2390"/>
    <w:rsid w:val="002C5EAF"/>
    <w:rsid w:val="002C7EF6"/>
    <w:rsid w:val="002D1E3B"/>
    <w:rsid w:val="002D360C"/>
    <w:rsid w:val="002E4009"/>
    <w:rsid w:val="002F27D0"/>
    <w:rsid w:val="002F29C1"/>
    <w:rsid w:val="002F40AC"/>
    <w:rsid w:val="002F5072"/>
    <w:rsid w:val="003007F2"/>
    <w:rsid w:val="00301682"/>
    <w:rsid w:val="003035FB"/>
    <w:rsid w:val="00306106"/>
    <w:rsid w:val="0030701B"/>
    <w:rsid w:val="00322564"/>
    <w:rsid w:val="003240E3"/>
    <w:rsid w:val="003246EF"/>
    <w:rsid w:val="003317EE"/>
    <w:rsid w:val="0033344A"/>
    <w:rsid w:val="0033355C"/>
    <w:rsid w:val="00335D92"/>
    <w:rsid w:val="003372D7"/>
    <w:rsid w:val="0033777A"/>
    <w:rsid w:val="0034572D"/>
    <w:rsid w:val="00350E03"/>
    <w:rsid w:val="003540B7"/>
    <w:rsid w:val="00360498"/>
    <w:rsid w:val="00362B56"/>
    <w:rsid w:val="0036778B"/>
    <w:rsid w:val="003727EC"/>
    <w:rsid w:val="00372B40"/>
    <w:rsid w:val="00373DFF"/>
    <w:rsid w:val="00373F05"/>
    <w:rsid w:val="0038261B"/>
    <w:rsid w:val="00382C97"/>
    <w:rsid w:val="00383C48"/>
    <w:rsid w:val="00387437"/>
    <w:rsid w:val="003926A5"/>
    <w:rsid w:val="0039695D"/>
    <w:rsid w:val="00396F8C"/>
    <w:rsid w:val="003A3650"/>
    <w:rsid w:val="003A39C7"/>
    <w:rsid w:val="003A479E"/>
    <w:rsid w:val="003B4A20"/>
    <w:rsid w:val="003B622F"/>
    <w:rsid w:val="003C6F8A"/>
    <w:rsid w:val="003D03C9"/>
    <w:rsid w:val="003E022D"/>
    <w:rsid w:val="003E1F90"/>
    <w:rsid w:val="003E3C48"/>
    <w:rsid w:val="003E5E24"/>
    <w:rsid w:val="003F3BEB"/>
    <w:rsid w:val="003F59B8"/>
    <w:rsid w:val="0040417C"/>
    <w:rsid w:val="00404485"/>
    <w:rsid w:val="00414807"/>
    <w:rsid w:val="00424250"/>
    <w:rsid w:val="0042648E"/>
    <w:rsid w:val="00430B89"/>
    <w:rsid w:val="00440DCB"/>
    <w:rsid w:val="0045529A"/>
    <w:rsid w:val="0046017E"/>
    <w:rsid w:val="00466185"/>
    <w:rsid w:val="00466656"/>
    <w:rsid w:val="00470E63"/>
    <w:rsid w:val="00471E68"/>
    <w:rsid w:val="0047274E"/>
    <w:rsid w:val="00472C58"/>
    <w:rsid w:val="004824D7"/>
    <w:rsid w:val="00484E01"/>
    <w:rsid w:val="00484F99"/>
    <w:rsid w:val="0048525D"/>
    <w:rsid w:val="00487F7E"/>
    <w:rsid w:val="004905CF"/>
    <w:rsid w:val="004907BD"/>
    <w:rsid w:val="00492270"/>
    <w:rsid w:val="004936D2"/>
    <w:rsid w:val="004948D8"/>
    <w:rsid w:val="004958E8"/>
    <w:rsid w:val="0049744A"/>
    <w:rsid w:val="004A2079"/>
    <w:rsid w:val="004A5216"/>
    <w:rsid w:val="004C2415"/>
    <w:rsid w:val="004C6DE3"/>
    <w:rsid w:val="004D6F7F"/>
    <w:rsid w:val="004E5171"/>
    <w:rsid w:val="004E5ADA"/>
    <w:rsid w:val="004E7714"/>
    <w:rsid w:val="004F0878"/>
    <w:rsid w:val="004F2E89"/>
    <w:rsid w:val="004F7898"/>
    <w:rsid w:val="0050146B"/>
    <w:rsid w:val="00502A5F"/>
    <w:rsid w:val="005055FA"/>
    <w:rsid w:val="0050611E"/>
    <w:rsid w:val="00511275"/>
    <w:rsid w:val="00517E36"/>
    <w:rsid w:val="0052472E"/>
    <w:rsid w:val="00531A4E"/>
    <w:rsid w:val="0053229D"/>
    <w:rsid w:val="0053569F"/>
    <w:rsid w:val="00536976"/>
    <w:rsid w:val="00541CB3"/>
    <w:rsid w:val="0054686F"/>
    <w:rsid w:val="005478F9"/>
    <w:rsid w:val="00555723"/>
    <w:rsid w:val="00564C7B"/>
    <w:rsid w:val="00570213"/>
    <w:rsid w:val="00575DC3"/>
    <w:rsid w:val="00576B27"/>
    <w:rsid w:val="005804E4"/>
    <w:rsid w:val="00580B0A"/>
    <w:rsid w:val="005862F4"/>
    <w:rsid w:val="00590D45"/>
    <w:rsid w:val="005913C2"/>
    <w:rsid w:val="005A5A2C"/>
    <w:rsid w:val="005B1D70"/>
    <w:rsid w:val="005B1EB6"/>
    <w:rsid w:val="005C1D99"/>
    <w:rsid w:val="005C1E4E"/>
    <w:rsid w:val="005C5EDD"/>
    <w:rsid w:val="005F0CA9"/>
    <w:rsid w:val="005F0E16"/>
    <w:rsid w:val="005F6F05"/>
    <w:rsid w:val="00600F64"/>
    <w:rsid w:val="0060554C"/>
    <w:rsid w:val="00611A5D"/>
    <w:rsid w:val="00614B2A"/>
    <w:rsid w:val="00615ACB"/>
    <w:rsid w:val="00616F7A"/>
    <w:rsid w:val="006329E3"/>
    <w:rsid w:val="00640150"/>
    <w:rsid w:val="00642AE8"/>
    <w:rsid w:val="006449C0"/>
    <w:rsid w:val="00647D39"/>
    <w:rsid w:val="0065347F"/>
    <w:rsid w:val="00661B68"/>
    <w:rsid w:val="0066204B"/>
    <w:rsid w:val="00664EE8"/>
    <w:rsid w:val="006748D6"/>
    <w:rsid w:val="00674A45"/>
    <w:rsid w:val="00675C64"/>
    <w:rsid w:val="00681B2B"/>
    <w:rsid w:val="00697E30"/>
    <w:rsid w:val="006A2FD7"/>
    <w:rsid w:val="006A4668"/>
    <w:rsid w:val="006A6B44"/>
    <w:rsid w:val="006B6370"/>
    <w:rsid w:val="006C1D44"/>
    <w:rsid w:val="006C5E17"/>
    <w:rsid w:val="006C6D7D"/>
    <w:rsid w:val="006D4C0F"/>
    <w:rsid w:val="006D69EF"/>
    <w:rsid w:val="006E6B1E"/>
    <w:rsid w:val="006F36DB"/>
    <w:rsid w:val="00700E1F"/>
    <w:rsid w:val="00703AEF"/>
    <w:rsid w:val="007070A4"/>
    <w:rsid w:val="007077F4"/>
    <w:rsid w:val="00710CFD"/>
    <w:rsid w:val="00713B04"/>
    <w:rsid w:val="007159B0"/>
    <w:rsid w:val="00715B7D"/>
    <w:rsid w:val="00717B87"/>
    <w:rsid w:val="00734B61"/>
    <w:rsid w:val="007366ED"/>
    <w:rsid w:val="0075359A"/>
    <w:rsid w:val="00756169"/>
    <w:rsid w:val="00756BAF"/>
    <w:rsid w:val="007578A2"/>
    <w:rsid w:val="00762E2B"/>
    <w:rsid w:val="0077075C"/>
    <w:rsid w:val="00772D48"/>
    <w:rsid w:val="00773331"/>
    <w:rsid w:val="00775557"/>
    <w:rsid w:val="00775F25"/>
    <w:rsid w:val="00780ECD"/>
    <w:rsid w:val="00784947"/>
    <w:rsid w:val="00786873"/>
    <w:rsid w:val="007932EF"/>
    <w:rsid w:val="007B56BA"/>
    <w:rsid w:val="007C63CE"/>
    <w:rsid w:val="007D0014"/>
    <w:rsid w:val="007D1620"/>
    <w:rsid w:val="007D3B25"/>
    <w:rsid w:val="007D483B"/>
    <w:rsid w:val="007D5C31"/>
    <w:rsid w:val="007D6DD0"/>
    <w:rsid w:val="007D7552"/>
    <w:rsid w:val="007E05B0"/>
    <w:rsid w:val="007E1870"/>
    <w:rsid w:val="007E2F4A"/>
    <w:rsid w:val="007E318F"/>
    <w:rsid w:val="007E3A14"/>
    <w:rsid w:val="007F09A0"/>
    <w:rsid w:val="007F27C2"/>
    <w:rsid w:val="007F3DF8"/>
    <w:rsid w:val="0080068F"/>
    <w:rsid w:val="0080695D"/>
    <w:rsid w:val="00807434"/>
    <w:rsid w:val="00810105"/>
    <w:rsid w:val="00815855"/>
    <w:rsid w:val="00823A28"/>
    <w:rsid w:val="0082483D"/>
    <w:rsid w:val="00825067"/>
    <w:rsid w:val="00827557"/>
    <w:rsid w:val="0083129A"/>
    <w:rsid w:val="00832036"/>
    <w:rsid w:val="00832970"/>
    <w:rsid w:val="00840FF3"/>
    <w:rsid w:val="00842D2F"/>
    <w:rsid w:val="00843C0E"/>
    <w:rsid w:val="00845747"/>
    <w:rsid w:val="008516AE"/>
    <w:rsid w:val="008627BA"/>
    <w:rsid w:val="00863D87"/>
    <w:rsid w:val="00872B09"/>
    <w:rsid w:val="00874D22"/>
    <w:rsid w:val="0088199B"/>
    <w:rsid w:val="00883840"/>
    <w:rsid w:val="008A0C28"/>
    <w:rsid w:val="008A2914"/>
    <w:rsid w:val="008A462A"/>
    <w:rsid w:val="008B0C00"/>
    <w:rsid w:val="008B2FC1"/>
    <w:rsid w:val="008B5B6C"/>
    <w:rsid w:val="008B69BF"/>
    <w:rsid w:val="008C2599"/>
    <w:rsid w:val="008C3C2C"/>
    <w:rsid w:val="008C4D1F"/>
    <w:rsid w:val="008C5FB8"/>
    <w:rsid w:val="008C6AE3"/>
    <w:rsid w:val="008D0F69"/>
    <w:rsid w:val="008D7C0E"/>
    <w:rsid w:val="008E088F"/>
    <w:rsid w:val="008E4D8E"/>
    <w:rsid w:val="008E6B8F"/>
    <w:rsid w:val="008F1232"/>
    <w:rsid w:val="008F1C66"/>
    <w:rsid w:val="008F1E8E"/>
    <w:rsid w:val="008F23B1"/>
    <w:rsid w:val="008F37F6"/>
    <w:rsid w:val="00905731"/>
    <w:rsid w:val="009076CD"/>
    <w:rsid w:val="0090777D"/>
    <w:rsid w:val="00916AB3"/>
    <w:rsid w:val="00923E47"/>
    <w:rsid w:val="009351B0"/>
    <w:rsid w:val="00937E9C"/>
    <w:rsid w:val="009428CB"/>
    <w:rsid w:val="009451CB"/>
    <w:rsid w:val="0095167A"/>
    <w:rsid w:val="00967839"/>
    <w:rsid w:val="00973090"/>
    <w:rsid w:val="00975A66"/>
    <w:rsid w:val="009829CA"/>
    <w:rsid w:val="00982CA3"/>
    <w:rsid w:val="009831B9"/>
    <w:rsid w:val="00996324"/>
    <w:rsid w:val="009B04A1"/>
    <w:rsid w:val="009B0905"/>
    <w:rsid w:val="009B2149"/>
    <w:rsid w:val="009B7CCD"/>
    <w:rsid w:val="009C47BC"/>
    <w:rsid w:val="009C64F5"/>
    <w:rsid w:val="009D0544"/>
    <w:rsid w:val="009D5719"/>
    <w:rsid w:val="009D7B74"/>
    <w:rsid w:val="009E0396"/>
    <w:rsid w:val="009E1256"/>
    <w:rsid w:val="009E29DF"/>
    <w:rsid w:val="009F1EE8"/>
    <w:rsid w:val="009F5032"/>
    <w:rsid w:val="009F519F"/>
    <w:rsid w:val="009F7629"/>
    <w:rsid w:val="00A1118A"/>
    <w:rsid w:val="00A11E06"/>
    <w:rsid w:val="00A24D81"/>
    <w:rsid w:val="00A352F4"/>
    <w:rsid w:val="00A37902"/>
    <w:rsid w:val="00A37F6C"/>
    <w:rsid w:val="00A43BBD"/>
    <w:rsid w:val="00A519CB"/>
    <w:rsid w:val="00A52FB6"/>
    <w:rsid w:val="00A55A66"/>
    <w:rsid w:val="00A56E13"/>
    <w:rsid w:val="00A6789A"/>
    <w:rsid w:val="00A7567B"/>
    <w:rsid w:val="00A838F6"/>
    <w:rsid w:val="00A84B58"/>
    <w:rsid w:val="00A91500"/>
    <w:rsid w:val="00AA1246"/>
    <w:rsid w:val="00AA3610"/>
    <w:rsid w:val="00AA4157"/>
    <w:rsid w:val="00AA566D"/>
    <w:rsid w:val="00AB03AF"/>
    <w:rsid w:val="00AB478B"/>
    <w:rsid w:val="00AC1B2E"/>
    <w:rsid w:val="00AC21A3"/>
    <w:rsid w:val="00AC3F4E"/>
    <w:rsid w:val="00AC4CA0"/>
    <w:rsid w:val="00AC6C39"/>
    <w:rsid w:val="00AD53D3"/>
    <w:rsid w:val="00AE144E"/>
    <w:rsid w:val="00AE4C82"/>
    <w:rsid w:val="00AE55CA"/>
    <w:rsid w:val="00AE6543"/>
    <w:rsid w:val="00AE6C98"/>
    <w:rsid w:val="00AF6CA5"/>
    <w:rsid w:val="00AF7B89"/>
    <w:rsid w:val="00AF7D77"/>
    <w:rsid w:val="00B155ED"/>
    <w:rsid w:val="00B1565C"/>
    <w:rsid w:val="00B2265B"/>
    <w:rsid w:val="00B25DF8"/>
    <w:rsid w:val="00B412D4"/>
    <w:rsid w:val="00B41903"/>
    <w:rsid w:val="00B42B25"/>
    <w:rsid w:val="00B43C17"/>
    <w:rsid w:val="00B459E1"/>
    <w:rsid w:val="00B5125E"/>
    <w:rsid w:val="00B52F0B"/>
    <w:rsid w:val="00B565BF"/>
    <w:rsid w:val="00B579F5"/>
    <w:rsid w:val="00B642AE"/>
    <w:rsid w:val="00B704A9"/>
    <w:rsid w:val="00B70CC3"/>
    <w:rsid w:val="00B74BF8"/>
    <w:rsid w:val="00B80016"/>
    <w:rsid w:val="00B858E9"/>
    <w:rsid w:val="00B863A0"/>
    <w:rsid w:val="00B90BC5"/>
    <w:rsid w:val="00B9686E"/>
    <w:rsid w:val="00B97354"/>
    <w:rsid w:val="00BA04B8"/>
    <w:rsid w:val="00BA6BF4"/>
    <w:rsid w:val="00BB68A6"/>
    <w:rsid w:val="00BB7979"/>
    <w:rsid w:val="00BC7C63"/>
    <w:rsid w:val="00BD2865"/>
    <w:rsid w:val="00BD37F0"/>
    <w:rsid w:val="00BD45D9"/>
    <w:rsid w:val="00BD4B0A"/>
    <w:rsid w:val="00BD4CE5"/>
    <w:rsid w:val="00BD504F"/>
    <w:rsid w:val="00BD6909"/>
    <w:rsid w:val="00BE03FE"/>
    <w:rsid w:val="00BE0D6E"/>
    <w:rsid w:val="00BE3076"/>
    <w:rsid w:val="00BE5CBD"/>
    <w:rsid w:val="00BF29BD"/>
    <w:rsid w:val="00BF6799"/>
    <w:rsid w:val="00C02E59"/>
    <w:rsid w:val="00C0484D"/>
    <w:rsid w:val="00C0612C"/>
    <w:rsid w:val="00C1019E"/>
    <w:rsid w:val="00C10718"/>
    <w:rsid w:val="00C12301"/>
    <w:rsid w:val="00C13391"/>
    <w:rsid w:val="00C17F51"/>
    <w:rsid w:val="00C22855"/>
    <w:rsid w:val="00C37942"/>
    <w:rsid w:val="00C37F99"/>
    <w:rsid w:val="00C406FE"/>
    <w:rsid w:val="00C470E1"/>
    <w:rsid w:val="00C534F3"/>
    <w:rsid w:val="00C54455"/>
    <w:rsid w:val="00C64BAA"/>
    <w:rsid w:val="00C65F32"/>
    <w:rsid w:val="00C702D9"/>
    <w:rsid w:val="00C71E5E"/>
    <w:rsid w:val="00C83271"/>
    <w:rsid w:val="00C90317"/>
    <w:rsid w:val="00C9165B"/>
    <w:rsid w:val="00CA0D3E"/>
    <w:rsid w:val="00CA7AAE"/>
    <w:rsid w:val="00CB0CB5"/>
    <w:rsid w:val="00CB2A0F"/>
    <w:rsid w:val="00CB2EC2"/>
    <w:rsid w:val="00CB3663"/>
    <w:rsid w:val="00CB723B"/>
    <w:rsid w:val="00CC1013"/>
    <w:rsid w:val="00CC6019"/>
    <w:rsid w:val="00CD2BCE"/>
    <w:rsid w:val="00CE122B"/>
    <w:rsid w:val="00CE3F37"/>
    <w:rsid w:val="00CE50B8"/>
    <w:rsid w:val="00CF4589"/>
    <w:rsid w:val="00D03F60"/>
    <w:rsid w:val="00D04027"/>
    <w:rsid w:val="00D067A3"/>
    <w:rsid w:val="00D106B0"/>
    <w:rsid w:val="00D15CEA"/>
    <w:rsid w:val="00D16FA8"/>
    <w:rsid w:val="00D20381"/>
    <w:rsid w:val="00D22CBB"/>
    <w:rsid w:val="00D23115"/>
    <w:rsid w:val="00D273CD"/>
    <w:rsid w:val="00D33025"/>
    <w:rsid w:val="00D33928"/>
    <w:rsid w:val="00D37B9B"/>
    <w:rsid w:val="00D4227C"/>
    <w:rsid w:val="00D430C2"/>
    <w:rsid w:val="00D468F5"/>
    <w:rsid w:val="00D506BC"/>
    <w:rsid w:val="00D52D90"/>
    <w:rsid w:val="00D5415C"/>
    <w:rsid w:val="00D61A3D"/>
    <w:rsid w:val="00D705F9"/>
    <w:rsid w:val="00D75584"/>
    <w:rsid w:val="00D76AE5"/>
    <w:rsid w:val="00D83700"/>
    <w:rsid w:val="00DA5FE6"/>
    <w:rsid w:val="00DB1C9C"/>
    <w:rsid w:val="00DB6576"/>
    <w:rsid w:val="00DC04CF"/>
    <w:rsid w:val="00DD0644"/>
    <w:rsid w:val="00DD346E"/>
    <w:rsid w:val="00DD5498"/>
    <w:rsid w:val="00DE0CB6"/>
    <w:rsid w:val="00DE1E2A"/>
    <w:rsid w:val="00DE1FE2"/>
    <w:rsid w:val="00DF003E"/>
    <w:rsid w:val="00E02616"/>
    <w:rsid w:val="00E03F24"/>
    <w:rsid w:val="00E04397"/>
    <w:rsid w:val="00E106C0"/>
    <w:rsid w:val="00E142C0"/>
    <w:rsid w:val="00E2149B"/>
    <w:rsid w:val="00E214CB"/>
    <w:rsid w:val="00E25670"/>
    <w:rsid w:val="00E321B2"/>
    <w:rsid w:val="00E36F23"/>
    <w:rsid w:val="00E42248"/>
    <w:rsid w:val="00E44A0C"/>
    <w:rsid w:val="00E45414"/>
    <w:rsid w:val="00E514FE"/>
    <w:rsid w:val="00E54F39"/>
    <w:rsid w:val="00E55B04"/>
    <w:rsid w:val="00E61CE4"/>
    <w:rsid w:val="00E6791A"/>
    <w:rsid w:val="00E71D45"/>
    <w:rsid w:val="00E7265E"/>
    <w:rsid w:val="00E72CD6"/>
    <w:rsid w:val="00E74911"/>
    <w:rsid w:val="00E80F6C"/>
    <w:rsid w:val="00E96462"/>
    <w:rsid w:val="00E97417"/>
    <w:rsid w:val="00E97515"/>
    <w:rsid w:val="00E97AE6"/>
    <w:rsid w:val="00EA6804"/>
    <w:rsid w:val="00EB09E5"/>
    <w:rsid w:val="00EB24E0"/>
    <w:rsid w:val="00EB5A00"/>
    <w:rsid w:val="00EB69F2"/>
    <w:rsid w:val="00EC6707"/>
    <w:rsid w:val="00EC7D40"/>
    <w:rsid w:val="00ED1FFA"/>
    <w:rsid w:val="00ED343C"/>
    <w:rsid w:val="00EE1CAE"/>
    <w:rsid w:val="00EE34A6"/>
    <w:rsid w:val="00EE4F4B"/>
    <w:rsid w:val="00EF72D6"/>
    <w:rsid w:val="00F03940"/>
    <w:rsid w:val="00F10207"/>
    <w:rsid w:val="00F22DE9"/>
    <w:rsid w:val="00F25185"/>
    <w:rsid w:val="00F3004E"/>
    <w:rsid w:val="00F316F2"/>
    <w:rsid w:val="00F340A2"/>
    <w:rsid w:val="00F34138"/>
    <w:rsid w:val="00F464C2"/>
    <w:rsid w:val="00F546E4"/>
    <w:rsid w:val="00F63EE5"/>
    <w:rsid w:val="00F6751F"/>
    <w:rsid w:val="00F73281"/>
    <w:rsid w:val="00F74BE4"/>
    <w:rsid w:val="00F90E04"/>
    <w:rsid w:val="00F94A67"/>
    <w:rsid w:val="00F94AF7"/>
    <w:rsid w:val="00FA4CF5"/>
    <w:rsid w:val="00FA4D57"/>
    <w:rsid w:val="00FB00BE"/>
    <w:rsid w:val="00FC3168"/>
    <w:rsid w:val="00FC36EF"/>
    <w:rsid w:val="00FC38F8"/>
    <w:rsid w:val="00FC42B6"/>
    <w:rsid w:val="00FD39CF"/>
    <w:rsid w:val="00FD4FEF"/>
    <w:rsid w:val="00FE70AD"/>
    <w:rsid w:val="00FE793D"/>
    <w:rsid w:val="00FF5CCE"/>
    <w:rsid w:val="00FF7C38"/>
    <w:rsid w:val="024CC597"/>
    <w:rsid w:val="025D358A"/>
    <w:rsid w:val="0290D233"/>
    <w:rsid w:val="0448A894"/>
    <w:rsid w:val="0641A138"/>
    <w:rsid w:val="07E99F9A"/>
    <w:rsid w:val="083D86FF"/>
    <w:rsid w:val="09A4FF41"/>
    <w:rsid w:val="09E1BE7E"/>
    <w:rsid w:val="0AC6BB7B"/>
    <w:rsid w:val="0B45F9CE"/>
    <w:rsid w:val="0B8EEE98"/>
    <w:rsid w:val="0BD5B478"/>
    <w:rsid w:val="0CA2C9E1"/>
    <w:rsid w:val="0CA91EB1"/>
    <w:rsid w:val="0CB82EAF"/>
    <w:rsid w:val="0D0F2245"/>
    <w:rsid w:val="10B39CFD"/>
    <w:rsid w:val="11ACCC02"/>
    <w:rsid w:val="12BBA2A4"/>
    <w:rsid w:val="133E9092"/>
    <w:rsid w:val="137DA109"/>
    <w:rsid w:val="1423B1FE"/>
    <w:rsid w:val="154181D6"/>
    <w:rsid w:val="1620E6F4"/>
    <w:rsid w:val="17B778F2"/>
    <w:rsid w:val="184A622E"/>
    <w:rsid w:val="1A5D090B"/>
    <w:rsid w:val="1BDF8D24"/>
    <w:rsid w:val="1D64B753"/>
    <w:rsid w:val="1D6CEEAD"/>
    <w:rsid w:val="1DDB8C4C"/>
    <w:rsid w:val="1F1CA2D5"/>
    <w:rsid w:val="2025287C"/>
    <w:rsid w:val="20BD3CC7"/>
    <w:rsid w:val="23322E68"/>
    <w:rsid w:val="236252EA"/>
    <w:rsid w:val="23E5567A"/>
    <w:rsid w:val="24A19994"/>
    <w:rsid w:val="26353D4B"/>
    <w:rsid w:val="266DE135"/>
    <w:rsid w:val="28494CBE"/>
    <w:rsid w:val="289859E9"/>
    <w:rsid w:val="299C80C4"/>
    <w:rsid w:val="29ED00C4"/>
    <w:rsid w:val="2AF3A9D3"/>
    <w:rsid w:val="2AFB87E0"/>
    <w:rsid w:val="2D684C43"/>
    <w:rsid w:val="2D83D7CA"/>
    <w:rsid w:val="2DA64598"/>
    <w:rsid w:val="2FAE6B26"/>
    <w:rsid w:val="2FAED331"/>
    <w:rsid w:val="2FE8AC5D"/>
    <w:rsid w:val="3200AD13"/>
    <w:rsid w:val="343AFBC1"/>
    <w:rsid w:val="34477BA2"/>
    <w:rsid w:val="34586451"/>
    <w:rsid w:val="36923683"/>
    <w:rsid w:val="378789A8"/>
    <w:rsid w:val="37C4E4D9"/>
    <w:rsid w:val="37D4907A"/>
    <w:rsid w:val="39117B93"/>
    <w:rsid w:val="3925C000"/>
    <w:rsid w:val="3A0F420B"/>
    <w:rsid w:val="3A635998"/>
    <w:rsid w:val="3D29DD49"/>
    <w:rsid w:val="3FEB3B9F"/>
    <w:rsid w:val="40AF7C17"/>
    <w:rsid w:val="40CFA163"/>
    <w:rsid w:val="41627B4F"/>
    <w:rsid w:val="431DF054"/>
    <w:rsid w:val="44263852"/>
    <w:rsid w:val="445DFB54"/>
    <w:rsid w:val="44C85DCD"/>
    <w:rsid w:val="476B098B"/>
    <w:rsid w:val="4852C804"/>
    <w:rsid w:val="48BD9C97"/>
    <w:rsid w:val="49BF7519"/>
    <w:rsid w:val="4A9BFFDD"/>
    <w:rsid w:val="4AC412CA"/>
    <w:rsid w:val="4C707E17"/>
    <w:rsid w:val="4C87942C"/>
    <w:rsid w:val="4DDB5310"/>
    <w:rsid w:val="4E1EDCD3"/>
    <w:rsid w:val="4E6C9591"/>
    <w:rsid w:val="4F8D62EA"/>
    <w:rsid w:val="505CF35F"/>
    <w:rsid w:val="50B5FC03"/>
    <w:rsid w:val="513C3BCE"/>
    <w:rsid w:val="524D729B"/>
    <w:rsid w:val="532103B9"/>
    <w:rsid w:val="5374DAC0"/>
    <w:rsid w:val="54406CCD"/>
    <w:rsid w:val="54E8D997"/>
    <w:rsid w:val="557DB5AA"/>
    <w:rsid w:val="55893E99"/>
    <w:rsid w:val="561F691F"/>
    <w:rsid w:val="56E5550B"/>
    <w:rsid w:val="585DF276"/>
    <w:rsid w:val="586E0BBA"/>
    <w:rsid w:val="5D275C23"/>
    <w:rsid w:val="5E7FA41F"/>
    <w:rsid w:val="5EAF7B4C"/>
    <w:rsid w:val="600BC77C"/>
    <w:rsid w:val="6047BB64"/>
    <w:rsid w:val="612ECA17"/>
    <w:rsid w:val="61922D3F"/>
    <w:rsid w:val="64D11E69"/>
    <w:rsid w:val="651990D3"/>
    <w:rsid w:val="68870587"/>
    <w:rsid w:val="688C69C9"/>
    <w:rsid w:val="695AB779"/>
    <w:rsid w:val="6BADD0E1"/>
    <w:rsid w:val="6C566757"/>
    <w:rsid w:val="6D51B076"/>
    <w:rsid w:val="6D914D52"/>
    <w:rsid w:val="6D981DE7"/>
    <w:rsid w:val="6DD26E9E"/>
    <w:rsid w:val="6F3C5C41"/>
    <w:rsid w:val="700455E9"/>
    <w:rsid w:val="70557A2D"/>
    <w:rsid w:val="70ADB572"/>
    <w:rsid w:val="71B3A483"/>
    <w:rsid w:val="71D6AC57"/>
    <w:rsid w:val="72EA04B7"/>
    <w:rsid w:val="730DDB21"/>
    <w:rsid w:val="734C0F42"/>
    <w:rsid w:val="743A6A81"/>
    <w:rsid w:val="749E3457"/>
    <w:rsid w:val="7520B592"/>
    <w:rsid w:val="75922E0F"/>
    <w:rsid w:val="7934E8FA"/>
    <w:rsid w:val="79F787DC"/>
    <w:rsid w:val="7A5D0289"/>
    <w:rsid w:val="7B349EF8"/>
    <w:rsid w:val="7B994036"/>
    <w:rsid w:val="7B9E3FE4"/>
    <w:rsid w:val="7BC62821"/>
    <w:rsid w:val="7BD556A7"/>
    <w:rsid w:val="7CC1095B"/>
    <w:rsid w:val="7D38D099"/>
    <w:rsid w:val="7D8FD968"/>
    <w:rsid w:val="7E89103F"/>
    <w:rsid w:val="7E8A4EF7"/>
    <w:rsid w:val="7F76CC70"/>
    <w:rsid w:val="7F7AEE28"/>
    <w:rsid w:val="7F98EA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9B4B169-BB2C-4034-8395-849B1CE9F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6778B"/>
    <w:rPr>
      <w:color w:val="0000FF"/>
      <w:u w:val="single"/>
      <w:shd w:val="clear" w:color="auto" w:fill="auto"/>
    </w:rPr>
  </w:style>
  <w:style w:type="paragraph" w:styleId="ListNumber">
    <w:name w:val="List Number"/>
    <w:basedOn w:val="Normal"/>
    <w:uiPriority w:val="99"/>
    <w:semiHidden/>
    <w:unhideWhenUsed/>
    <w:rsid w:val="00AE144E"/>
    <w:pPr>
      <w:numPr>
        <w:numId w:val="1"/>
      </w:numPr>
      <w:contextualSpacing/>
    </w:pPr>
  </w:style>
  <w:style w:type="paragraph" w:styleId="ListParagraph">
    <w:name w:val="List Paragraph"/>
    <w:basedOn w:val="Normal"/>
    <w:uiPriority w:val="34"/>
    <w:qFormat/>
    <w:rsid w:val="009F519F"/>
    <w:pPr>
      <w:ind w:left="720"/>
      <w:contextualSpacing/>
    </w:pPr>
  </w:style>
  <w:style w:type="character" w:customStyle="1" w:styleId="normaltextrun">
    <w:name w:val="normaltextrun"/>
    <w:basedOn w:val="DefaultParagraphFont"/>
    <w:rsid w:val="00FF5CCE"/>
  </w:style>
  <w:style w:type="character" w:customStyle="1" w:styleId="gstkn">
    <w:name w:val="gs_tkn"/>
    <w:basedOn w:val="DefaultParagraphFont"/>
    <w:rsid w:val="009076CD"/>
  </w:style>
  <w:style w:type="paragraph" w:styleId="Revision">
    <w:name w:val="Revision"/>
    <w:hidden/>
    <w:uiPriority w:val="99"/>
    <w:semiHidden/>
    <w:rsid w:val="009D0544"/>
    <w:pPr>
      <w:spacing w:after="0" w:line="240" w:lineRule="auto"/>
    </w:pPr>
    <w:rPr>
      <w:rFonts w:ascii="Times New Roman" w:hAnsi="Times New Roman" w:cs="Times New Roman"/>
      <w:sz w:val="24"/>
    </w:rPr>
  </w:style>
  <w:style w:type="paragraph" w:styleId="NormalWeb">
    <w:name w:val="Normal (Web)"/>
    <w:basedOn w:val="Normal"/>
    <w:uiPriority w:val="99"/>
    <w:semiHidden/>
    <w:unhideWhenUsed/>
    <w:rsid w:val="004A5216"/>
    <w:pPr>
      <w:spacing w:before="100" w:beforeAutospacing="1" w:after="100" w:afterAutospacing="1"/>
      <w:jc w:val="left"/>
    </w:pPr>
    <w:rPr>
      <w:rFonts w:eastAsia="Times New Roman"/>
      <w:szCs w:val="24"/>
      <w:lang w:eastAsia="en-IE"/>
    </w:rPr>
  </w:style>
  <w:style w:type="character" w:styleId="Emphasis">
    <w:name w:val="Emphasis"/>
    <w:basedOn w:val="DefaultParagraphFont"/>
    <w:uiPriority w:val="20"/>
    <w:qFormat/>
    <w:rsid w:val="004A5216"/>
    <w:rPr>
      <w:i/>
      <w:iCs/>
    </w:rPr>
  </w:style>
  <w:style w:type="character" w:styleId="CommentReference">
    <w:name w:val="annotation reference"/>
    <w:basedOn w:val="DefaultParagraphFont"/>
    <w:uiPriority w:val="99"/>
    <w:semiHidden/>
    <w:unhideWhenUsed/>
    <w:rsid w:val="00661B68"/>
    <w:rPr>
      <w:sz w:val="16"/>
      <w:szCs w:val="16"/>
    </w:rPr>
  </w:style>
  <w:style w:type="paragraph" w:styleId="CommentText">
    <w:name w:val="annotation text"/>
    <w:basedOn w:val="Normal"/>
    <w:link w:val="CommentTextChar"/>
    <w:uiPriority w:val="99"/>
    <w:unhideWhenUsed/>
    <w:rsid w:val="00661B68"/>
    <w:rPr>
      <w:sz w:val="20"/>
      <w:szCs w:val="20"/>
    </w:rPr>
  </w:style>
  <w:style w:type="character" w:customStyle="1" w:styleId="CommentTextChar">
    <w:name w:val="Comment Text Char"/>
    <w:basedOn w:val="DefaultParagraphFont"/>
    <w:link w:val="CommentText"/>
    <w:uiPriority w:val="99"/>
    <w:rsid w:val="00661B6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61B68"/>
    <w:rPr>
      <w:b/>
      <w:bCs/>
    </w:rPr>
  </w:style>
  <w:style w:type="character" w:customStyle="1" w:styleId="CommentSubjectChar">
    <w:name w:val="Comment Subject Char"/>
    <w:basedOn w:val="CommentTextChar"/>
    <w:link w:val="CommentSubject"/>
    <w:uiPriority w:val="99"/>
    <w:semiHidden/>
    <w:rsid w:val="00661B6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244905"/>
    <w:rPr>
      <w:color w:val="605E5C"/>
      <w:shd w:val="clear" w:color="auto" w:fill="E1DFDD"/>
    </w:rPr>
  </w:style>
  <w:style w:type="paragraph" w:styleId="ListBullet">
    <w:name w:val="List Bullet"/>
    <w:basedOn w:val="Normal"/>
    <w:uiPriority w:val="99"/>
    <w:semiHidden/>
    <w:unhideWhenUsed/>
    <w:rsid w:val="00AF6CA5"/>
    <w:pPr>
      <w:numPr>
        <w:numId w:val="2"/>
      </w:numPr>
      <w:contextualSpacing/>
    </w:pPr>
  </w:style>
  <w:style w:type="paragraph" w:styleId="ListBullet2">
    <w:name w:val="List Bullet 2"/>
    <w:basedOn w:val="Normal"/>
    <w:uiPriority w:val="99"/>
    <w:semiHidden/>
    <w:unhideWhenUsed/>
    <w:rsid w:val="00AF6CA5"/>
    <w:pPr>
      <w:numPr>
        <w:numId w:val="3"/>
      </w:numPr>
      <w:contextualSpacing/>
    </w:pPr>
  </w:style>
  <w:style w:type="paragraph" w:styleId="ListBullet3">
    <w:name w:val="List Bullet 3"/>
    <w:basedOn w:val="Normal"/>
    <w:uiPriority w:val="99"/>
    <w:semiHidden/>
    <w:unhideWhenUsed/>
    <w:rsid w:val="00AF6CA5"/>
    <w:pPr>
      <w:numPr>
        <w:numId w:val="4"/>
      </w:numPr>
      <w:contextualSpacing/>
    </w:pPr>
  </w:style>
  <w:style w:type="paragraph" w:styleId="ListBullet4">
    <w:name w:val="List Bullet 4"/>
    <w:basedOn w:val="Normal"/>
    <w:uiPriority w:val="99"/>
    <w:semiHidden/>
    <w:unhideWhenUsed/>
    <w:rsid w:val="00AF6CA5"/>
    <w:pPr>
      <w:numPr>
        <w:numId w:val="5"/>
      </w:numPr>
      <w:contextualSpacing/>
    </w:pPr>
  </w:style>
  <w:style w:type="character" w:styleId="FollowedHyperlink">
    <w:name w:val="FollowedHyperlink"/>
    <w:basedOn w:val="DefaultParagraphFont"/>
    <w:uiPriority w:val="99"/>
    <w:semiHidden/>
    <w:unhideWhenUsed/>
    <w:rsid w:val="009B2149"/>
    <w:rPr>
      <w:color w:val="800080" w:themeColor="followedHyperlink"/>
      <w:u w:val="single"/>
    </w:rPr>
  </w:style>
  <w:style w:type="character" w:customStyle="1" w:styleId="HeaderChar">
    <w:name w:val="Header Char"/>
    <w:basedOn w:val="DefaultParagraphFont"/>
    <w:link w:val="Header"/>
    <w:uiPriority w:val="99"/>
    <w:rsid w:val="007D1620"/>
    <w:rPr>
      <w:rFonts w:ascii="Times New Roman" w:hAnsi="Times New Roman" w:cs="Times New Roman"/>
      <w:sz w:val="24"/>
      <w:lang w:val="ro-RO"/>
    </w:rPr>
  </w:style>
  <w:style w:type="character" w:customStyle="1" w:styleId="FooterChar">
    <w:name w:val="Footer Char"/>
    <w:basedOn w:val="DefaultParagraphFont"/>
    <w:link w:val="Footer"/>
    <w:uiPriority w:val="99"/>
    <w:rsid w:val="007D162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D162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D1620"/>
    <w:pPr>
      <w:spacing w:before="0"/>
      <w:jc w:val="right"/>
    </w:pPr>
    <w:rPr>
      <w:sz w:val="28"/>
    </w:rPr>
  </w:style>
  <w:style w:type="paragraph" w:customStyle="1" w:styleId="FooterSensitivity">
    <w:name w:val="Footer Sensitivity"/>
    <w:basedOn w:val="Normal"/>
    <w:rsid w:val="007D162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D1620"/>
    <w:pPr>
      <w:tabs>
        <w:tab w:val="center" w:pos="4535"/>
        <w:tab w:val="right" w:pos="9071"/>
      </w:tabs>
      <w:spacing w:before="0"/>
    </w:pPr>
  </w:style>
  <w:style w:type="paragraph" w:customStyle="1" w:styleId="HeaderLandscape">
    <w:name w:val="HeaderLandscape"/>
    <w:basedOn w:val="Normal"/>
    <w:rsid w:val="007D1620"/>
    <w:pPr>
      <w:tabs>
        <w:tab w:val="center" w:pos="7285"/>
        <w:tab w:val="right" w:pos="14003"/>
      </w:tabs>
      <w:spacing w:before="0"/>
    </w:pPr>
  </w:style>
  <w:style w:type="paragraph" w:styleId="Footer">
    <w:name w:val="footer"/>
    <w:basedOn w:val="Normal"/>
    <w:link w:val="FooterChar"/>
    <w:uiPriority w:val="99"/>
    <w:unhideWhenUsed/>
    <w:rsid w:val="007D162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D162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3738">
      <w:bodyDiv w:val="1"/>
      <w:marLeft w:val="0"/>
      <w:marRight w:val="0"/>
      <w:marTop w:val="0"/>
      <w:marBottom w:val="0"/>
      <w:divBdr>
        <w:top w:val="none" w:sz="0" w:space="0" w:color="auto"/>
        <w:left w:val="none" w:sz="0" w:space="0" w:color="auto"/>
        <w:bottom w:val="none" w:sz="0" w:space="0" w:color="auto"/>
        <w:right w:val="none" w:sz="0" w:space="0" w:color="auto"/>
      </w:divBdr>
    </w:div>
    <w:div w:id="867835790">
      <w:bodyDiv w:val="1"/>
      <w:marLeft w:val="0"/>
      <w:marRight w:val="0"/>
      <w:marTop w:val="0"/>
      <w:marBottom w:val="0"/>
      <w:divBdr>
        <w:top w:val="none" w:sz="0" w:space="0" w:color="auto"/>
        <w:left w:val="none" w:sz="0" w:space="0" w:color="auto"/>
        <w:bottom w:val="none" w:sz="0" w:space="0" w:color="auto"/>
        <w:right w:val="none" w:sz="0" w:space="0" w:color="auto"/>
      </w:divBdr>
    </w:div>
    <w:div w:id="1386175746">
      <w:bodyDiv w:val="1"/>
      <w:marLeft w:val="0"/>
      <w:marRight w:val="0"/>
      <w:marTop w:val="0"/>
      <w:marBottom w:val="0"/>
      <w:divBdr>
        <w:top w:val="none" w:sz="0" w:space="0" w:color="auto"/>
        <w:left w:val="none" w:sz="0" w:space="0" w:color="auto"/>
        <w:bottom w:val="none" w:sz="0" w:space="0" w:color="auto"/>
        <w:right w:val="none" w:sz="0" w:space="0" w:color="auto"/>
      </w:divBdr>
    </w:div>
    <w:div w:id="2057923254">
      <w:bodyDiv w:val="1"/>
      <w:marLeft w:val="0"/>
      <w:marRight w:val="0"/>
      <w:marTop w:val="0"/>
      <w:marBottom w:val="0"/>
      <w:divBdr>
        <w:top w:val="none" w:sz="0" w:space="0" w:color="auto"/>
        <w:left w:val="none" w:sz="0" w:space="0" w:color="auto"/>
        <w:bottom w:val="none" w:sz="0" w:space="0" w:color="auto"/>
        <w:right w:val="none" w:sz="0" w:space="0" w:color="auto"/>
      </w:divBdr>
    </w:div>
    <w:div w:id="209030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notice/2025/1962/oj" TargetMode="External"/><Relationship Id="rId1" Type="http://schemas.openxmlformats.org/officeDocument/2006/relationships/hyperlink" Target="http://eur-lex.europa.eu/legal-content/RO/AUTO/?uri=celex:31994D08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5" ma:contentTypeDescription="Create a new document." ma:contentTypeScope="" ma:versionID="fe0d4a45ceb65fa1e8958e924e519f32">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9555c819a23e6db1989b9ee9c68893d6"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2d391a7-a199-4123-a7da-de48cf76b19c}"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DE467-3A6B-4BE5-B01B-F84A9A2AB837}">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customXml/itemProps2.xml><?xml version="1.0" encoding="utf-8"?>
<ds:datastoreItem xmlns:ds="http://schemas.openxmlformats.org/officeDocument/2006/customXml" ds:itemID="{138EA7BF-2F13-4574-B633-89BF02353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ED5A0-EE24-4991-841C-59CCDCEC090D}">
  <ds:schemaRefs>
    <ds:schemaRef ds:uri="http://schemas.microsoft.com/sharepoint/v3/contenttype/forms"/>
  </ds:schemaRefs>
</ds:datastoreItem>
</file>

<file path=customXml/itemProps4.xml><?xml version="1.0" encoding="utf-8"?>
<ds:datastoreItem xmlns:ds="http://schemas.openxmlformats.org/officeDocument/2006/customXml" ds:itemID="{F11BDE10-19AE-496E-9807-1741E13AF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25</TotalTime>
  <Pages>10</Pages>
  <Words>5604</Words>
  <Characters>31946</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cp:lastPrinted>2025-09-26T09:34:00Z</cp:lastPrinted>
  <dcterms:created xsi:type="dcterms:W3CDTF">2025-12-11T09:22:00Z</dcterms:created>
  <dcterms:modified xsi:type="dcterms:W3CDTF">2026-01-13T08:23:00Z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2025-09-22T10:19:40Z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0e9c8a04-662d-4b26-a5cf-2d40e1f4078a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0x010100159C0AD6FB6ACE4A830182AC83E20278</vt:lpwstr>
  </property>
  <property fmtid="{D5CDD505-2E9C-101B-9397-08002B2CF9AE}" pid="19" name="MediaServiceImageTags">
    <vt:lpwstr/>
  </property>
  <property fmtid="{D5CDD505-2E9C-101B-9397-08002B2CF9AE}" pid="20" name="DQCStatus">
    <vt:lpwstr>Green (DQC version 03)</vt:lpwstr>
  </property>
</Properties>
</file>