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2C8E9" w14:textId="53A77135" w:rsidR="00C7400A" w:rsidRPr="00D16464" w:rsidRDefault="00A746BA" w:rsidP="00A746BA">
      <w:pPr>
        <w:pStyle w:val="Pagedecouverture"/>
        <w:rPr>
          <w:noProof/>
        </w:rPr>
      </w:pPr>
      <w:bookmarkStart w:id="0" w:name="LW_BM_COVERPAGE"/>
      <w:r>
        <w:rPr>
          <w:noProof/>
        </w:rPr>
        <w:pict w14:anchorId="5A298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1594D63-4B59-419B-BFA5-AD9C2CE51182" style="width:455.25pt;height:551.25pt">
            <v:imagedata r:id="rId8" o:title=""/>
          </v:shape>
        </w:pict>
      </w:r>
    </w:p>
    <w:bookmarkEnd w:id="0"/>
    <w:p w14:paraId="3D740BC9" w14:textId="77777777" w:rsidR="00C7400A" w:rsidRPr="00D16464" w:rsidRDefault="00C7400A" w:rsidP="009C392D">
      <w:pPr>
        <w:spacing w:line="240" w:lineRule="auto"/>
        <w:rPr>
          <w:noProof/>
          <w:lang w:val="en-IE"/>
        </w:rPr>
        <w:sectPr w:rsidR="00C7400A" w:rsidRPr="00D16464" w:rsidSect="00A746B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0C4F4C3"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bCs/>
          <w:smallCaps/>
          <w:noProof/>
          <w:kern w:val="0"/>
          <w:sz w:val="24"/>
          <w:u w:val="single"/>
        </w:rPr>
      </w:pPr>
      <w:bookmarkStart w:id="1" w:name="_GoBack"/>
      <w:bookmarkEnd w:id="1"/>
      <w:r>
        <w:rPr>
          <w:rFonts w:ascii="Times New Roman" w:hAnsi="Times New Roman"/>
          <w:b/>
          <w:smallCaps/>
          <w:noProof/>
          <w:sz w:val="24"/>
          <w:u w:val="single"/>
        </w:rPr>
        <w:lastRenderedPageBreak/>
        <w:t xml:space="preserve">Recomandări pentru Belgia </w:t>
      </w:r>
    </w:p>
    <w:p w14:paraId="1DBC5238" w14:textId="4E48044F"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și reamintind totodată angajamentele relevante asumate în cadrul planului de redresare și reziliență, Comisia formulează următoarele concluzii: </w:t>
      </w:r>
    </w:p>
    <w:p w14:paraId="232D20E2" w14:textId="777777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en-IE" w:eastAsia="en-GB"/>
        </w:rPr>
      </w:pPr>
    </w:p>
    <w:p w14:paraId="26190FDE" w14:textId="1EED49D2" w:rsidR="00D61C34" w:rsidRPr="00D16464" w:rsidRDefault="009C0F6D"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i/>
          <w:noProof/>
          <w:kern w:val="0"/>
          <w:sz w:val="24"/>
          <w:szCs w:val="24"/>
        </w:rPr>
      </w:pPr>
      <w:bookmarkStart w:id="2" w:name="_Hlk200452383"/>
      <w:r>
        <w:rPr>
          <w:rFonts w:ascii="Times New Roman" w:hAnsi="Times New Roman"/>
          <w:noProof/>
          <w:sz w:val="24"/>
        </w:rPr>
        <w:t xml:space="preserve">s-au înregistrat unele progrese suplimentare în ceea ce privește recomandarea de a aborda deficiențele structurale în materie de resurse din sistemul de justiție, inclusiv un plan de resurse financiare suplimentare. În același timp, s-au înregistrat progrese limitate în ceea ce privește îmbunătățirea eficienței justiției, în special în vederea reducerii duratei procedurilor. Întrucât mai sunt încă multe de făcut, se recomandă Belgiei </w:t>
      </w:r>
      <w:r>
        <w:rPr>
          <w:rFonts w:ascii="Times New Roman" w:hAnsi="Times New Roman"/>
          <w:i/>
          <w:noProof/>
          <w:sz w:val="24"/>
        </w:rPr>
        <w:t>să își continue eforturile actuale în ceea ce privește eforturile de abordare a deficiențelor structurale în materie de resurse din sistemul judiciar și să își intensifice eforturile actuale de îmbunătățire a eficienței și a digitalizării justiției, în special în vederea reducerii duratei procedurilor, pe baza unor date statistice cuprinzătoare;</w:t>
      </w:r>
    </w:p>
    <w:bookmarkEnd w:id="2"/>
    <w:p w14:paraId="17404FDC" w14:textId="65D6E13E" w:rsidR="00E01486" w:rsidRPr="00D16464" w:rsidRDefault="00E01486"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nu s-au înregistrat progrese în ceea ce privește finalizarea reformei legislative privind activitățile de lobby, stabilindu-se un cadru care să includă un registru de transparență și o amprentă legislativă și care să vizeze atât membrii parlamentului, cât și membrii guvernului. Întrucât nu au fost luate măsuri pentru a înregistra progrese în această direcție, se recomandă Belgiei </w:t>
      </w:r>
      <w:r>
        <w:rPr>
          <w:rFonts w:ascii="Times New Roman" w:hAnsi="Times New Roman"/>
          <w:i/>
          <w:noProof/>
          <w:sz w:val="24"/>
        </w:rPr>
        <w:t>să reia lucrările privind o reformă legislativă pentru a spori transparența activităților de lobby atât pentru membrii parlamentului, cât și pentru cei ai guvernului;</w:t>
      </w:r>
    </w:p>
    <w:p w14:paraId="3187A176" w14:textId="5C3F1182" w:rsidR="007B34E6" w:rsidRPr="00D16464" w:rsidRDefault="0085310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rPr>
      </w:pPr>
      <w:r>
        <w:rPr>
          <w:rFonts w:ascii="Times New Roman" w:hAnsi="Times New Roman"/>
          <w:noProof/>
          <w:sz w:val="24"/>
        </w:rPr>
        <w:t>s-au înregistrat progrese limitate în ceea ce privește consolidarea cadrului de integritate prin adoptarea de norme privind donațiile și beneficiile pentru membrii parlamentului, deoarece există în continuare o lipsă de orientări concrete pentru membrii parlamentului cu privire la tipul de cadouri care ar fi acceptabile</w:t>
      </w:r>
      <w:r>
        <w:rPr>
          <w:noProof/>
        </w:rPr>
        <w:t xml:space="preserve"> </w:t>
      </w:r>
      <w:r>
        <w:rPr>
          <w:rFonts w:ascii="Times New Roman" w:hAnsi="Times New Roman"/>
          <w:noProof/>
          <w:sz w:val="24"/>
        </w:rPr>
        <w:t xml:space="preserve">și nu s-au înregistrat progrese în ceea ce privește adoptarea de norme privind practica „ușilor turnante” pentru membrii guvernului și cabinetele private ale acestora. Întrucât aceste lacune ale normelor de integritate rămân nesoluționate, se recomandă Belgiei </w:t>
      </w:r>
      <w:r>
        <w:rPr>
          <w:rFonts w:ascii="Times New Roman" w:hAnsi="Times New Roman"/>
          <w:b/>
          <w:noProof/>
          <w:sz w:val="24"/>
        </w:rPr>
        <w:t>să consolideze cadrul de integritate, inclusiv prin adoptarea unor norme privind donațiile și beneficiile pentru membrii parlamentului și a unor norme privind practica „ușilor turnante” pentru membrii guvernului și cabinetele private ale acestora;</w:t>
      </w:r>
    </w:p>
    <w:p w14:paraId="7A58605D" w14:textId="36A827B9" w:rsidR="00DC104E" w:rsidRPr="00D16464" w:rsidRDefault="009F5C26"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nu s-au înregistrat progrese suplimentare în ceea ce privește consolidarea cadrului privind accesul la documentele oficiale, în special prin îmbunătățirea procedurilor de solicitare și de atacare a deciziilor, proiectele legislative relevante fiind încă în curs de adoptare, iar o parte din cadrul legislativ existent fiind încă în curs de punere în aplicare. Prin urmare, se recomandă Belgiei </w:t>
      </w:r>
      <w:r>
        <w:rPr>
          <w:rFonts w:ascii="Times New Roman" w:hAnsi="Times New Roman"/>
          <w:i/>
          <w:noProof/>
          <w:sz w:val="24"/>
        </w:rPr>
        <w:t>să își continue eforturile de consolidare a cadrului privind accesul la documentele oficiale, în special prin îmbunătățirea procedurilor de solicitare și de atacare a deciziilor, prin finalizarea reformei legislative în această privință, ținând seama de standardele europene privind accesul la documentele oficiale</w:t>
      </w:r>
      <w:r>
        <w:rPr>
          <w:rFonts w:ascii="Times New Roman" w:hAnsi="Times New Roman"/>
          <w:noProof/>
          <w:sz w:val="24"/>
        </w:rPr>
        <w:t xml:space="preserve">; </w:t>
      </w:r>
    </w:p>
    <w:p w14:paraId="2CCF20D9" w14:textId="0B93F4C8" w:rsidR="007B34E6" w:rsidRPr="00D16464" w:rsidRDefault="007917F1"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s-au înregistrat progrese limitate în ceea ce privește asigurarea respectării de către autoritățile publice a hotărârilor definitive ale instanțelor naționale și ale Curții Europene a Drepturilor Omului. Deși Belgia continuă să se implice în procesul de executare, există hotărâri rămase neexecutate și, prin urmare, se recomandă Belgiei </w:t>
      </w:r>
      <w:r>
        <w:rPr>
          <w:rFonts w:ascii="Times New Roman" w:hAnsi="Times New Roman"/>
          <w:i/>
          <w:noProof/>
          <w:sz w:val="24"/>
        </w:rPr>
        <w:t>să își intensifice eforturile pentru a asigura respectarea de către autoritățile publice a hotărârilor definitive ale instanțelor naționale și ale Curții Europene a Drepturilor Omului.</w:t>
      </w:r>
      <w:r>
        <w:rPr>
          <w:rFonts w:ascii="Times New Roman" w:hAnsi="Times New Roman"/>
          <w:noProof/>
          <w:sz w:val="24"/>
        </w:rPr>
        <w:br w:type="page"/>
      </w:r>
    </w:p>
    <w:p w14:paraId="212BEFEA"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Bulgaria </w:t>
      </w:r>
    </w:p>
    <w:p w14:paraId="7212F36F" w14:textId="00B707DF"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reamintind totodată angajamentele relevante asumate în cadrul planului de redresare și reziliență, cât și recomandarea specifică fiecărei țări din cadrul semestrului european privind eficacitatea măsurilor anticorupție, inclusiv independența și funcționarea eficace a Consiliului Judiciar Suprem, precum și independența și funcționarea autorităților de reglementare, Comisia formulează următoarele concluzii: </w:t>
      </w:r>
    </w:p>
    <w:p w14:paraId="5C11EBC6"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368EEDE9" w14:textId="119B99CE" w:rsidR="00DC104E" w:rsidRPr="00D16464" w:rsidRDefault="003311D0"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nu s-au înregistrat progrese în ceea ce privește adaptarea cadrului legislativ pentru a evita detașarea pe termen lung a judecătorilor în vederea ocupării posturilor vacante, deoarece utilizarea pe scară largă a detașărilor continuă să prezinte motive de îngrijorare. Prin urmare, se recomandă Bulgariei să </w:t>
      </w:r>
      <w:r>
        <w:rPr>
          <w:rFonts w:ascii="Times New Roman" w:hAnsi="Times New Roman"/>
          <w:i/>
          <w:noProof/>
          <w:sz w:val="24"/>
        </w:rPr>
        <w:t>ia măsuri în scopul adaptării cadrului legislativ relevant pentru a evita detașarea pe termen lung a judecătorilor în vederea ocupării posturilor vacante, ținând seama de standardele europene privind detașarea judecătorilor;</w:t>
      </w:r>
    </w:p>
    <w:p w14:paraId="21FBFDA7" w14:textId="4AD41181" w:rsidR="009E5888" w:rsidRPr="00D16464" w:rsidRDefault="009E5888"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nu s-au înregistrat progrese în ceea ce privește reinițierea procesului de reformare a Consiliului Judiciar Suprem. Întrucât componența rămâne aceeași și nu a fost prezentat niciun proiect de lege, se recomandă Bulgariei </w:t>
      </w:r>
      <w:r>
        <w:rPr>
          <w:rFonts w:ascii="Times New Roman" w:hAnsi="Times New Roman"/>
          <w:i/>
          <w:noProof/>
          <w:sz w:val="24"/>
        </w:rPr>
        <w:t>să reinițieze procesul de reformare a Consiliului Judiciar Suprem, în special a structurii sale, pentru a asigura independența și eficacitatea acestuia, ținând seama de standardele europene privind consiliile judiciare;</w:t>
      </w:r>
    </w:p>
    <w:p w14:paraId="2449DB76" w14:textId="7D944435" w:rsidR="00DC104E" w:rsidRPr="00D16464" w:rsidRDefault="002A288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nu s-au înregistrat progrese în ceea ce privește realizarea unui bilanț solid al anchetelor, al urmăririlor penale și al hotărârilor definitive în cazurile de corupție la nivel înalt. Prin urmare, se recomandă Bulgariei </w:t>
      </w:r>
      <w:r>
        <w:rPr>
          <w:rFonts w:ascii="Times New Roman" w:hAnsi="Times New Roman"/>
          <w:i/>
          <w:noProof/>
          <w:sz w:val="24"/>
        </w:rPr>
        <w:t>să ia măsuri pentru a asigura un bilanț solid al anchetelor, al urmăririlor penale și al hotărârilor definitive în cazurile de corupție la nivel înalt</w:t>
      </w:r>
      <w:r>
        <w:rPr>
          <w:rFonts w:ascii="Times New Roman" w:hAnsi="Times New Roman"/>
          <w:noProof/>
          <w:sz w:val="24"/>
        </w:rPr>
        <w:t xml:space="preserve">; </w:t>
      </w:r>
    </w:p>
    <w:p w14:paraId="35EC09CB" w14:textId="1BAB0611" w:rsidR="00D42EA1" w:rsidRPr="00D16464" w:rsidRDefault="006A66D3"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s-au înregistrat unele progrese suplimentare în ceea ce privește asigurarea funcționării eficace a Comisiei anticorupție prin adoptarea unei noi legi de reinstituire a Comisiei și de introducere a unei noi proceduri de numire a conducerii acesteia. Prin urmare, se recomandă Bulgariei </w:t>
      </w:r>
      <w:r>
        <w:rPr>
          <w:rFonts w:ascii="Times New Roman" w:hAnsi="Times New Roman"/>
          <w:i/>
          <w:noProof/>
          <w:sz w:val="24"/>
        </w:rPr>
        <w:t>să asigure operaționalizarea deplină a Comisiei anticorupție pentru a-i permite să își îndeplinească funcțiile de prevenire și investigare</w:t>
      </w:r>
      <w:r>
        <w:rPr>
          <w:rFonts w:ascii="Times New Roman" w:hAnsi="Times New Roman"/>
          <w:noProof/>
          <w:sz w:val="24"/>
        </w:rPr>
        <w:t xml:space="preserve">; </w:t>
      </w:r>
    </w:p>
    <w:p w14:paraId="2661A353" w14:textId="47D8FA2C" w:rsidR="00911198" w:rsidRPr="00D16464" w:rsidRDefault="00035F2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s-au înregistrat progrese limitate în ceea ce privește îmbunătățirea integrității funcțiilor executive de conducere, întrucât este în curs de elaborare un proiect de cod de conduită. Întrucât modificările legislative aferente nu au fost încă adoptate, se recomandă Bulgariei </w:t>
      </w:r>
      <w:r>
        <w:rPr>
          <w:rFonts w:ascii="Times New Roman" w:hAnsi="Times New Roman"/>
          <w:i/>
          <w:noProof/>
          <w:sz w:val="24"/>
        </w:rPr>
        <w:t>să își continue eforturile de consolidare a integrității pentru funcțiile executive de conducere, ținând seama de standardele europene, în special prin asigurarea instituirii unor standarde clare de integritate pentru membrii guvernului, precum și a unui mecanism de sancționare adecvat</w:t>
      </w:r>
      <w:r>
        <w:rPr>
          <w:rFonts w:ascii="Times New Roman" w:hAnsi="Times New Roman"/>
          <w:noProof/>
          <w:sz w:val="24"/>
        </w:rPr>
        <w:t>;</w:t>
      </w:r>
    </w:p>
    <w:p w14:paraId="4CFDDB39" w14:textId="4FF77EC2" w:rsidR="009C0893" w:rsidRPr="00D16464" w:rsidRDefault="00CF2936"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nu s-au înregistrat progrese în ceea ce privește îmbunătățirea calității procesului legislativ, deoarece punerea în aplicare practică a normelor parlamentare pentru procesul legislativ continuă să prezinte unele motive de îngrijorare. Prin urmare, se recomandă Bulgariei </w:t>
      </w:r>
      <w:r>
        <w:rPr>
          <w:rFonts w:ascii="Times New Roman" w:hAnsi="Times New Roman"/>
          <w:i/>
          <w:noProof/>
          <w:sz w:val="24"/>
        </w:rPr>
        <w:t>să consolideze calitatea procesului legislativ prin asigurarea utilizării de către Parlament a consultărilor publice și a evaluărilor de impact pentru inițiativele legislative</w:t>
      </w:r>
      <w:r>
        <w:rPr>
          <w:rFonts w:ascii="Times New Roman" w:hAnsi="Times New Roman"/>
          <w:noProof/>
          <w:sz w:val="24"/>
        </w:rPr>
        <w:t>;</w:t>
      </w:r>
    </w:p>
    <w:p w14:paraId="27036903" w14:textId="77777777" w:rsidR="009C0893" w:rsidRPr="00D16464" w:rsidRDefault="009C0893" w:rsidP="00D1579C">
      <w:pPr>
        <w:pageBreakBefore/>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În ceea ce privește celelalte recomandări din 2025, Comisia concluzionează că:</w:t>
      </w:r>
    </w:p>
    <w:p w14:paraId="3355370F" w14:textId="77777777" w:rsidR="009C0893" w:rsidRPr="004237E6" w:rsidRDefault="009C0893"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234C8844" w14:textId="2E154144" w:rsidR="00BD40F7" w:rsidRPr="00D16464" w:rsidRDefault="00BD40F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Parlamentul a adoptat reforma legislativă care vizează îmbunătățirea funcționării Inspectoratului Consiliului Judiciar Suprem și evitarea riscului de influență politică. Garanția preexistentă de adoptare a hotărârilor cu o majoritate de două treimi și rolul nou adăugat al judecătorilor, procurorilor și judecătorilor de instrucție în numirea membrilor Inspectoratului Consiliului Judiciar Suprem răspund preocupărilor legate de riscul de influență politică în cadrul inspectoratului. Prin urmare, recomandarea este pusă în aplicare pe deplin; </w:t>
      </w:r>
    </w:p>
    <w:p w14:paraId="04053C99" w14:textId="446B9BE1" w:rsidR="009C0893" w:rsidRPr="00D16464" w:rsidRDefault="009C0893"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s-au înregistrat unele progrese în ceea ce privește finalizarea demersurilor de sporire a transparenței în alocarea publicității de stat, în special publicitatea de stat contractată prin intermediari, cum ar fi agențiile mass-media, cum ar fi agențiile mass-media, pe măsura avansării procesului legislativ</w:t>
      </w:r>
      <w:r>
        <w:rPr>
          <w:noProof/>
        </w:rPr>
        <w:t>.</w:t>
      </w:r>
      <w:r>
        <w:rPr>
          <w:rFonts w:ascii="Times New Roman" w:hAnsi="Times New Roman"/>
          <w:noProof/>
          <w:sz w:val="24"/>
        </w:rPr>
        <w:t xml:space="preserve"> Având în vedere că subiectele prezentei recomandări sunt reglementate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w:t>
      </w:r>
    </w:p>
    <w:p w14:paraId="45545E47" w14:textId="77777777" w:rsidR="007B34E6" w:rsidRPr="00D16464" w:rsidRDefault="007B34E6"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rPr>
      </w:pPr>
      <w:r>
        <w:rPr>
          <w:noProof/>
        </w:rPr>
        <w:br w:type="page"/>
      </w:r>
    </w:p>
    <w:p w14:paraId="50B1AA60"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Recomandări pentru Cehia</w:t>
      </w:r>
    </w:p>
    <w:p w14:paraId="12914704" w14:textId="51B70110"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și reamintind totodată angajamentele relevante asumate în cadrul planului de redresare și reziliență, Comisia formulează următoarele concluzii: </w:t>
      </w:r>
    </w:p>
    <w:p w14:paraId="6A5E3094"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3A7A8C96" w14:textId="6137DC6C" w:rsidR="00DC104E" w:rsidRPr="00D16464" w:rsidRDefault="00AA1DC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întrucât eforturile de digitalizare în continuare a sistemului de justiție au continuat să se confrunte cu întârzieri, se recomandă Cehiei </w:t>
      </w:r>
      <w:r>
        <w:rPr>
          <w:rFonts w:ascii="Times New Roman" w:hAnsi="Times New Roman"/>
          <w:i/>
          <w:noProof/>
          <w:sz w:val="24"/>
        </w:rPr>
        <w:t>să promoveze digitalizarea sistemului de justiție, în special prin punerea în funcțiune a sistemului electronic de dosare</w:t>
      </w:r>
      <w:r>
        <w:rPr>
          <w:rFonts w:ascii="Times New Roman" w:hAnsi="Times New Roman"/>
          <w:noProof/>
          <w:sz w:val="24"/>
        </w:rPr>
        <w:t>;</w:t>
      </w:r>
    </w:p>
    <w:p w14:paraId="4C185B6C" w14:textId="5D08B582" w:rsidR="00BA2F4F" w:rsidRPr="00D16464" w:rsidDel="002C1B19" w:rsidRDefault="00AE2C11"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Aptos" w:hAnsi="Times New Roman" w:cs="Arial"/>
          <w:noProof/>
          <w:kern w:val="0"/>
          <w:sz w:val="24"/>
          <w:szCs w:val="24"/>
        </w:rPr>
      </w:pPr>
      <w:r>
        <w:rPr>
          <w:rFonts w:ascii="Times New Roman" w:hAnsi="Times New Roman"/>
          <w:noProof/>
          <w:sz w:val="24"/>
        </w:rPr>
        <w:t xml:space="preserve">s-au înregistrat unele progrese ulterioare în ceea ce privește luarea de măsuri suplimentare pentru a reduce durata procedurilor și pentru a asigura independența investigării și a urmăririlor penale în cazurile de corupție la nivel înalt, pe măsura întreprinderii unor demersuri de îmbunătățire a aspectelor procedurale, iar anchetele și urmăririle penale continuă, inclusiv în cazurile de corupție la nivel înalt. Cu toate acestea, întrucât durata medie a unor astfel de proceduri continuă să fie o problemă, se recomandă Cehiei </w:t>
      </w:r>
      <w:r>
        <w:rPr>
          <w:rFonts w:ascii="Times New Roman" w:hAnsi="Times New Roman"/>
          <w:i/>
          <w:noProof/>
          <w:sz w:val="24"/>
        </w:rPr>
        <w:t>să ia măsuri suplimentare pentru a scurta durata procedurilor și pentru a asigura independența investigării și a urmăririlor penale în cazurile de corupție la nivel înalt, inclusiv prin reformarea procedurii penale</w:t>
      </w:r>
      <w:r>
        <w:rPr>
          <w:rFonts w:ascii="Times New Roman" w:hAnsi="Times New Roman"/>
          <w:noProof/>
          <w:sz w:val="24"/>
        </w:rPr>
        <w:t>;</w:t>
      </w:r>
    </w:p>
    <w:p w14:paraId="0A7022C6" w14:textId="05C40A5E" w:rsidR="00DC104E" w:rsidRPr="00D16464" w:rsidRDefault="00875A10"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nu s-au înregistrat progrese în ceea ce privește luarea de măsuri suplimentare în vederea consolidării cadrului de integritate pentru toți membrii parlamentului, întrucât măsurile în acest sens nu au continuat. Întrucât există în continuare lacune în normele privind practica „ușilor turnante” pentru majoritatea funcționarilor publici, se recomandă Cehiei </w:t>
      </w:r>
      <w:r>
        <w:rPr>
          <w:rFonts w:ascii="Times New Roman" w:hAnsi="Times New Roman"/>
          <w:i/>
          <w:noProof/>
          <w:sz w:val="24"/>
        </w:rPr>
        <w:t>să ia măsuri suplimentare pentru consolidarea cadrului de integritate, în special prin completarea normelor existente cu privire la practica „ușilor turnante”</w:t>
      </w:r>
      <w:r>
        <w:rPr>
          <w:rFonts w:ascii="Times New Roman" w:hAnsi="Times New Roman"/>
          <w:noProof/>
          <w:sz w:val="24"/>
        </w:rPr>
        <w:t>;</w:t>
      </w:r>
    </w:p>
    <w:p w14:paraId="27B57CCD" w14:textId="482DECFA" w:rsidR="00A702CA" w:rsidRPr="00D16464" w:rsidRDefault="00A702C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nu s-au înregistrat progrese în ceea ce privește reinițierea revizuirii legislației privind conflictele de interese, inclusiv în ceea ce privește beneficiarii reali, deoarece nu au fost luate măsuri în acest sens. Prin urmare, se recomandă Cehiei </w:t>
      </w:r>
      <w:r>
        <w:rPr>
          <w:rFonts w:ascii="Times New Roman" w:hAnsi="Times New Roman"/>
          <w:i/>
          <w:noProof/>
          <w:sz w:val="24"/>
        </w:rPr>
        <w:t>să reinițieze revizuirea legislației privind conflictele de interese, inclusiv în ceea ce privește beneficiarii reali</w:t>
      </w:r>
      <w:r>
        <w:rPr>
          <w:rFonts w:ascii="Times New Roman" w:hAnsi="Times New Roman"/>
          <w:noProof/>
          <w:sz w:val="24"/>
        </w:rPr>
        <w:t>;</w:t>
      </w:r>
    </w:p>
    <w:p w14:paraId="49445E0F" w14:textId="5291090A" w:rsidR="00BC1620" w:rsidRPr="00D16464" w:rsidRDefault="00BE01D4"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Aptos" w:hAnsi="Times New Roman" w:cs="Arial"/>
          <w:noProof/>
          <w:kern w:val="0"/>
          <w:sz w:val="24"/>
        </w:rPr>
      </w:pPr>
      <w:r>
        <w:rPr>
          <w:rFonts w:ascii="Times New Roman" w:hAnsi="Times New Roman"/>
          <w:noProof/>
          <w:sz w:val="24"/>
        </w:rPr>
        <w:t xml:space="preserve">întrucât utilizarea procedurilor legislative care eludează implicarea publicului și a părților interesate, reexaminarea interservicii și evaluarea impactului a devenit mai frecventă, se recomandă Cehiei </w:t>
      </w:r>
      <w:r>
        <w:rPr>
          <w:rFonts w:ascii="Times New Roman" w:hAnsi="Times New Roman"/>
          <w:i/>
          <w:noProof/>
          <w:sz w:val="24"/>
        </w:rPr>
        <w:t>să ia măsuri pentru a îmbunătăți transparența procesului legislativ și consultarea substanțială a părților interesate, inclusiv prin evitarea recurgerii frecvente la procedura accelerată și a practicii inserării unor dispoziții fără legătură cu obiectul actului normativ</w:t>
      </w:r>
      <w:r>
        <w:rPr>
          <w:rFonts w:ascii="Times New Roman" w:hAnsi="Times New Roman"/>
          <w:noProof/>
          <w:sz w:val="24"/>
        </w:rPr>
        <w:t>.</w:t>
      </w:r>
    </w:p>
    <w:p w14:paraId="3C18C978" w14:textId="77777777" w:rsidR="00A106B6" w:rsidRPr="004237E6" w:rsidRDefault="00A106B6"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6C681580" w14:textId="2B818C77" w:rsidR="00536E62" w:rsidRPr="00D16464" w:rsidRDefault="00A106B6"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În ceea ce privește celelalte recomandări din 2025, Comisia concluzionează că:</w:t>
      </w:r>
    </w:p>
    <w:p w14:paraId="2527ED56" w14:textId="77777777" w:rsidR="00A106B6" w:rsidRPr="004237E6" w:rsidRDefault="00A106B6"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63307E95" w14:textId="7C42D3E6" w:rsidR="007B34E6" w:rsidRPr="00D16464" w:rsidRDefault="008B34A7"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Aptos" w:hAnsi="Times New Roman" w:cs="Arial"/>
          <w:noProof/>
          <w:kern w:val="0"/>
          <w:sz w:val="24"/>
          <w:szCs w:val="24"/>
        </w:rPr>
      </w:pPr>
      <w:r>
        <w:rPr>
          <w:rFonts w:ascii="Times New Roman" w:hAnsi="Times New Roman"/>
          <w:noProof/>
          <w:sz w:val="24"/>
        </w:rPr>
        <w:t>nu s-au înregistrat progrese în ceea ce privește reformele suplimentare referitoare la transparența informațiilor privind proprietatea asupra mass-mediei, având în vedere că proiectele legislative sunt încă pendinte în Parlament și că nu a fost instituit în mod oficial un registru de transparență pe deplin funcțional.</w:t>
      </w:r>
      <w:r>
        <w:rPr>
          <w:noProof/>
        </w:rPr>
        <w:t xml:space="preserve"> </w:t>
      </w:r>
      <w:r>
        <w:rPr>
          <w:rFonts w:ascii="Times New Roman" w:hAnsi="Times New Roman"/>
          <w:noProof/>
          <w:sz w:val="24"/>
        </w:rPr>
        <w:t xml:space="preserve">Având în vedere că subiectele prezentei recomandări sunt reglementate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 </w:t>
      </w:r>
      <w:r>
        <w:rPr>
          <w:rFonts w:ascii="Times New Roman" w:hAnsi="Times New Roman"/>
          <w:noProof/>
          <w:sz w:val="24"/>
        </w:rPr>
        <w:br w:type="page"/>
      </w:r>
    </w:p>
    <w:p w14:paraId="56750487"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Danemarca </w:t>
      </w:r>
    </w:p>
    <w:p w14:paraId="53848FCB" w14:textId="2FAB83B1"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Comisia formulează următoarele concluzii: </w:t>
      </w:r>
    </w:p>
    <w:p w14:paraId="1F8D372A"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012F24AA" w14:textId="4AE250DC" w:rsidR="005B5354" w:rsidRPr="00D16464" w:rsidRDefault="3FDDED9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s-au înregistrat progrese limitate în ceea ce privește recomandarea de finalizare a revizuirii sistemului de asistență judiciară, pe măsură ce Consiliul Judiciar își continuă activitatea. Prin urmare, se recomandă Danemarcei </w:t>
      </w:r>
      <w:r>
        <w:rPr>
          <w:rFonts w:ascii="Times New Roman" w:hAnsi="Times New Roman"/>
          <w:i/>
          <w:noProof/>
          <w:sz w:val="24"/>
        </w:rPr>
        <w:t>să își intensifice eforturile de finalizare a revizuirii, ținând seama de standardele europene privind asistența judiciară</w:t>
      </w:r>
      <w:r>
        <w:rPr>
          <w:rFonts w:ascii="Times New Roman" w:hAnsi="Times New Roman"/>
          <w:noProof/>
          <w:sz w:val="24"/>
        </w:rPr>
        <w:t>;</w:t>
      </w:r>
    </w:p>
    <w:p w14:paraId="078A06A0" w14:textId="29DB1425" w:rsidR="00DC104E" w:rsidRPr="00D16464" w:rsidRDefault="009D025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nu s-au înregistrat progrese în ceea ce privește introducerea unor norme privind practica „ușilor turnante” pentru miniștri și privind activitățile de lobby și asigurarea unui control adecvat al declarațiilor de avere depuse de persoanele cărora li s-au încredințat funcții executive de conducere, neexistând planuri de a introduce astfel de norme și nici de a îmbunătăți controlul declarațiilor de avere. Prin urmare, se recomandă Danemarcei </w:t>
      </w:r>
      <w:r>
        <w:rPr>
          <w:rFonts w:ascii="Times New Roman" w:hAnsi="Times New Roman"/>
          <w:i/>
          <w:noProof/>
          <w:sz w:val="24"/>
        </w:rPr>
        <w:t>să introducă norme privind practica „ușilor turnante” pentru miniștri și privind activitățile de lobby și să asigure un control adecvat al declarațiilor de avere depuse de persoanele cărora li s-au încredințat funcții executive de conducere</w:t>
      </w:r>
      <w:r>
        <w:rPr>
          <w:rFonts w:ascii="Times New Roman" w:hAnsi="Times New Roman"/>
          <w:noProof/>
          <w:sz w:val="24"/>
        </w:rPr>
        <w:t>;</w:t>
      </w:r>
    </w:p>
    <w:p w14:paraId="351C92AE" w14:textId="3DC84548" w:rsidR="00DC104E" w:rsidRPr="00D16464" w:rsidRDefault="00E471E8"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i/>
          <w:noProof/>
          <w:kern w:val="0"/>
          <w:sz w:val="24"/>
          <w:szCs w:val="24"/>
        </w:rPr>
      </w:pPr>
      <w:r>
        <w:rPr>
          <w:rFonts w:ascii="Times New Roman" w:hAnsi="Times New Roman"/>
          <w:noProof/>
          <w:color w:val="000000" w:themeColor="text1"/>
          <w:sz w:val="24"/>
        </w:rPr>
        <w:t xml:space="preserve">s-au înregistrat unele progrese suplimentare în ceea ce privește recomandarea de avansare a procesului de reformare a Legii privind accesul la documentele administrative publice, întrucât </w:t>
      </w:r>
      <w:r>
        <w:rPr>
          <w:rFonts w:ascii="Times New Roman" w:hAnsi="Times New Roman"/>
          <w:noProof/>
          <w:sz w:val="24"/>
        </w:rPr>
        <w:t xml:space="preserve">comitetul de experți și-a continuat activitatea în vederea reformării, dar nu a fost încă prezentată nicio propunere legislativă. Prin urmare, se recomandă Danemarcei </w:t>
      </w:r>
      <w:r>
        <w:rPr>
          <w:rFonts w:ascii="Times New Roman" w:hAnsi="Times New Roman"/>
          <w:i/>
          <w:noProof/>
          <w:sz w:val="24"/>
        </w:rPr>
        <w:t>să își intensifice eforturile de avansare a procesului de reformare a Legii privind accesul la documentele administrative publice, ținând seama de standardele europene privind accesul la documentele oficiale</w:t>
      </w:r>
      <w:r>
        <w:rPr>
          <w:rFonts w:ascii="Times New Roman" w:hAnsi="Times New Roman"/>
          <w:noProof/>
          <w:sz w:val="24"/>
        </w:rPr>
        <w:t>.</w:t>
      </w:r>
      <w:r w:rsidR="00382FDF">
        <w:rPr>
          <w:rFonts w:ascii="Times New Roman" w:hAnsi="Times New Roman"/>
          <w:i/>
          <w:noProof/>
          <w:sz w:val="24"/>
        </w:rPr>
        <w:t xml:space="preserve"> </w:t>
      </w:r>
    </w:p>
    <w:p w14:paraId="50C399E9"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7AF47175"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Germania </w:t>
      </w:r>
    </w:p>
    <w:p w14:paraId="3F052442" w14:textId="1650D077"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Per ansamblu, pe baza recomandărilor din ediția din 2025 a Raportului privind statul de drept și având în vedere alte evoluții care au avut loc în perioada de referință, Comisia formulează următoarele concluzii: </w:t>
      </w:r>
    </w:p>
    <w:p w14:paraId="434CBFE9"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5B9497A2" w14:textId="6BBFE330" w:rsidR="00AB4F0B" w:rsidRPr="00D16464" w:rsidRDefault="00E557B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0"/>
        </w:rPr>
      </w:pPr>
      <w:r>
        <w:rPr>
          <w:rFonts w:ascii="Times New Roman" w:hAnsi="Times New Roman"/>
          <w:noProof/>
          <w:sz w:val="24"/>
        </w:rPr>
        <w:t xml:space="preserve">s-au înregistrat progrese suplimentare semnificative în ceea ce privește mărirea efectivului de resurse din sistemul judiciar și abordarea provocărilor în materie de recrutare, prin intermediul noului Pact privind statul de drept și al unei campanii comune de atragere a personalului calificat. Pentru a soluționa problemele rămase, se recomandă Germaniei </w:t>
      </w:r>
      <w:r>
        <w:rPr>
          <w:rFonts w:ascii="Times New Roman" w:hAnsi="Times New Roman"/>
          <w:i/>
          <w:noProof/>
          <w:sz w:val="24"/>
        </w:rPr>
        <w:t>să continue punerea în aplicare a Pactului privind statul de drept atât în ceea ce privește resursele umane, cât și digitalizarea și să continue măsurile de abordare a provocărilor în materie de recrutare, ținând seama de standardele europene privind resursele pentru sistemul judiciar</w:t>
      </w:r>
      <w:r>
        <w:rPr>
          <w:rFonts w:ascii="Times New Roman" w:hAnsi="Times New Roman"/>
          <w:noProof/>
          <w:sz w:val="24"/>
        </w:rPr>
        <w:t xml:space="preserve">; </w:t>
      </w:r>
    </w:p>
    <w:p w14:paraId="27A6DE3A" w14:textId="5729F5A5" w:rsidR="00AF3724" w:rsidRPr="00D16464" w:rsidRDefault="00D954E4"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nu s-au înregistrat progrese în ceea ce privește intensificarea eforturilor de consolidare a „amprentei legislative” pentru a realiza un registru public cuprinzător pentru înregistrarea contribuțiilor la activitățile de lobby și să extindă domeniul de aplicare la etapa parlamentară a procedurii legislative. Întrucât există în continuare lacune, se recomandă Germaniei </w:t>
      </w:r>
      <w:r>
        <w:rPr>
          <w:rFonts w:ascii="Times New Roman" w:hAnsi="Times New Roman"/>
          <w:i/>
          <w:noProof/>
          <w:sz w:val="24"/>
        </w:rPr>
        <w:t>să își intensifice eforturile pentru a realiza un registru public cuprinzător al contribuțiilor la activitățile de lobby în cadrul procesului legislativ</w:t>
      </w:r>
      <w:r>
        <w:rPr>
          <w:rFonts w:ascii="Times New Roman" w:hAnsi="Times New Roman"/>
          <w:noProof/>
          <w:sz w:val="24"/>
        </w:rPr>
        <w:t>;</w:t>
      </w:r>
    </w:p>
    <w:p w14:paraId="100DB8BC" w14:textId="4EEDB801" w:rsidR="00DC104E" w:rsidRPr="00D16464" w:rsidRDefault="007743A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nu s-au înregistrat progrese suplimentare în ceea ce privește crearea unui temei juridic pentru dreptul la informare al presei cu privire la autoritățile federale, deoarece pregătirile interne nu au fost continuate. Prin urmare, se recomandă Germaniei</w:t>
      </w:r>
      <w:r>
        <w:rPr>
          <w:rFonts w:ascii="Times New Roman" w:hAnsi="Times New Roman"/>
          <w:i/>
          <w:noProof/>
          <w:sz w:val="24"/>
        </w:rPr>
        <w:t xml:space="preserve"> să progreseze în demersul de creare a unui temei juridic pentru dreptul la informare al presei cu privire la autoritățile federale, ținând seama de standardele europene privind accesul la documentele oficiale</w:t>
      </w:r>
      <w:r>
        <w:rPr>
          <w:rFonts w:ascii="Times New Roman" w:hAnsi="Times New Roman"/>
          <w:noProof/>
          <w:sz w:val="24"/>
        </w:rPr>
        <w:t>;</w:t>
      </w:r>
      <w:r w:rsidR="00382FDF">
        <w:rPr>
          <w:rFonts w:ascii="Times New Roman" w:hAnsi="Times New Roman"/>
          <w:noProof/>
          <w:sz w:val="24"/>
        </w:rPr>
        <w:t xml:space="preserve"> </w:t>
      </w:r>
    </w:p>
    <w:p w14:paraId="7974AE41" w14:textId="2D9CE71B" w:rsidR="00DC104E" w:rsidRPr="00D16464" w:rsidRDefault="00601BAD"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nu s-au înregistrat progrese în ceea ce privește adaptarea statutului de scutire de impozite pentru organizațiile fără scop lucrativ, ceea ce afectează în continuare societatea civilă în practică. Prin urmare, se recomandă Germaniei </w:t>
      </w:r>
      <w:r>
        <w:rPr>
          <w:rFonts w:ascii="Times New Roman" w:hAnsi="Times New Roman"/>
          <w:i/>
          <w:noProof/>
          <w:sz w:val="24"/>
        </w:rPr>
        <w:t>să ia măsuri de adaptare a statutului de scutire de impozite pentru organizațiile fără scop lucrativ, în vederea abordării provocărilor pe care le prezintă normele aplicabile actualmente pentru funcționarea în practică a acestor organizații, ținând seama de standardele europene privind finanțarea organizațiilor societății civile</w:t>
      </w:r>
      <w:r>
        <w:rPr>
          <w:rFonts w:ascii="Times New Roman" w:hAnsi="Times New Roman"/>
          <w:noProof/>
          <w:sz w:val="24"/>
        </w:rPr>
        <w:t>.</w:t>
      </w:r>
    </w:p>
    <w:p w14:paraId="7D3A39AA"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3DC32BF7"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Estonia </w:t>
      </w:r>
    </w:p>
    <w:p w14:paraId="78C07255" w14:textId="78B058E9"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Per ansamblu, pe baza recomandărilor din ediția din 2025 a Raportului privind statul de drept și având în vedere alte evoluții care au avut loc în perioada de referință, Comisia formulează următoarele concluzii: </w:t>
      </w:r>
    </w:p>
    <w:p w14:paraId="09EF1F24"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16C1D39D" w14:textId="40748FB6" w:rsidR="00DC104E" w:rsidRPr="00D16464" w:rsidRDefault="00833ECB"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s-au înregistrat progrese limitate în ceea ce privește continuarea eforturilor de reformare a Consiliului pentru Administrarea Instanțelor. Prin urmare, se recomandă Estoniei </w:t>
      </w:r>
      <w:r>
        <w:rPr>
          <w:rFonts w:ascii="Times New Roman" w:hAnsi="Times New Roman"/>
          <w:i/>
          <w:noProof/>
          <w:sz w:val="24"/>
        </w:rPr>
        <w:t>să ia măsuri pentru adaptarea componenței Consiliului pentru Administrarea Instanțelor, ținând seama de standardele europene privind consiliile judiciare</w:t>
      </w:r>
      <w:r>
        <w:rPr>
          <w:rFonts w:ascii="Times New Roman" w:hAnsi="Times New Roman"/>
          <w:noProof/>
          <w:sz w:val="24"/>
        </w:rPr>
        <w:t xml:space="preserve">; </w:t>
      </w:r>
    </w:p>
    <w:p w14:paraId="0C140267" w14:textId="77777777" w:rsidR="00791345" w:rsidRPr="004237E6" w:rsidRDefault="00791345"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eastAsia="en-GB"/>
        </w:rPr>
      </w:pPr>
    </w:p>
    <w:p w14:paraId="6325B4B5" w14:textId="5A01A4AD" w:rsidR="002C3569" w:rsidRPr="00D16464" w:rsidRDefault="002C356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În ceea ce privește celelalte recomandări din 2025, Comisia concluzionează că:</w:t>
      </w:r>
    </w:p>
    <w:p w14:paraId="2D86C857" w14:textId="77777777" w:rsidR="002C3569" w:rsidRPr="004237E6" w:rsidRDefault="002C356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fr-BE" w:eastAsia="en-GB"/>
        </w:rPr>
      </w:pPr>
    </w:p>
    <w:p w14:paraId="1AFAC4D3" w14:textId="11C493FD" w:rsidR="00DC104E" w:rsidRPr="00D16464" w:rsidRDefault="0022224B"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recomandarea de depune eforturi suplimentare pentru a asigura punerea în aplicare coerentă și eficace a dreptului de acces la informații, ținând seama de standardele europene privind accesul la documentele oficiale, a fost pusă în aplicare pe deplin, întrucât reforma Legii privind informațiile publice va îmbunătăți accesul la datele deschise și reutilizarea acestora. </w:t>
      </w:r>
    </w:p>
    <w:p w14:paraId="2CF7FFAB"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41181B9D"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Irlanda </w:t>
      </w:r>
    </w:p>
    <w:p w14:paraId="3F343863" w14:textId="7AA361CA"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Per ansamblu, pe baza recomandărilor din ediția din 2025 a Raportului privind statul de drept și având în vedere alte evoluții care au avut loc în perioada de referință, Comisia formulează următoarele concluzii: </w:t>
      </w:r>
    </w:p>
    <w:p w14:paraId="5163F346" w14:textId="3CD61C24"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3632C4E3" w14:textId="4A72B6DA" w:rsidR="00C46238" w:rsidRPr="00D16464" w:rsidRDefault="004B72E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s-au înregistrat unele progrese suplimentare în ceea ce privește reducerea cheltuielilor de judecată, întrucât a fost prezentat sistemul general al proiectului de lege privind reforma civilă, care introduce mai multe reforme esențiale menite să reducă cheltuielile de judecată. Întrucât reforma nu a fost încă adoptată, se recomandă Irlandei </w:t>
      </w:r>
      <w:r>
        <w:rPr>
          <w:rFonts w:ascii="Times New Roman" w:hAnsi="Times New Roman"/>
          <w:i/>
          <w:noProof/>
          <w:sz w:val="24"/>
        </w:rPr>
        <w:t>să finalizeze activitățile legislative vizând reducerea cheltuielilor de judecată pentru a asigura accesul efectiv la justiție, ținând seama de standardele europene privind cheltuielile de judecată disproporționate și impactul acestora asupra accesului la instanțe</w:t>
      </w:r>
      <w:r>
        <w:rPr>
          <w:rFonts w:ascii="Times New Roman" w:hAnsi="Times New Roman"/>
          <w:noProof/>
          <w:sz w:val="24"/>
        </w:rPr>
        <w:t xml:space="preserve">; </w:t>
      </w:r>
    </w:p>
    <w:p w14:paraId="623CF7ED" w14:textId="48CA101B" w:rsidR="00356503" w:rsidRPr="00D16464" w:rsidRDefault="0024062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s-au înregistrat progrese suplimentare limitate în ceea ce privește consolidarea cadrului etic existent și consolidarea și digitalizarea sistemului declarațiilor de avere, eforturile de inițiere a digitalizării declarațiilor de avere fiind luate în considerare în cadrul actual. Întrucât „Proiectul de lege privind reforma etică” este încă în curs de pregătire, iar digitalizarea declarațiilor de avere în temeiul cadrului actual nu a fost încă pusă în aplicare, se recomandă Irlandei </w:t>
      </w:r>
      <w:r>
        <w:rPr>
          <w:rFonts w:ascii="Times New Roman" w:hAnsi="Times New Roman"/>
          <w:i/>
          <w:noProof/>
          <w:sz w:val="24"/>
        </w:rPr>
        <w:t>să depună în continuare eforturi pentru consolidarea cadrului de etică existent, inclusiv a capacității de monitorizare și de asigurare a respectării normelor a Comisiei pentru standardele funcției publice, precum și să consolideze și să digitalizeze sistemul declarațiilor de avere</w:t>
      </w:r>
      <w:r>
        <w:rPr>
          <w:rFonts w:ascii="Times New Roman" w:hAnsi="Times New Roman"/>
          <w:noProof/>
          <w:sz w:val="24"/>
        </w:rPr>
        <w:t>;</w:t>
      </w:r>
    </w:p>
    <w:p w14:paraId="3F70516B" w14:textId="3633BBB9" w:rsidR="005E5F6A" w:rsidRPr="00D16464" w:rsidRDefault="00632A42"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s-au înregistrat progrese limitate în ceea ce privește eliminarea obstacolelor juridice legate de accesul la finanțare pentru organizațiile societății civile, întrucât Comisia Electorală continuă să efectueze o revizuire cuprinzătoare a Legii electorale din 1997. Se recomandă Irlandei </w:t>
      </w:r>
      <w:r>
        <w:rPr>
          <w:rFonts w:ascii="Times New Roman" w:hAnsi="Times New Roman"/>
          <w:i/>
          <w:noProof/>
          <w:sz w:val="24"/>
        </w:rPr>
        <w:t>să își continue eforturile actuale de eliminare a obstacolelor juridice legate de accesul la finanțare pentru organizațiile societății civile, ca parte a reformei mai ample a Legii electorale.</w:t>
      </w:r>
    </w:p>
    <w:p w14:paraId="0FE74E44" w14:textId="77777777" w:rsidR="002A50CA" w:rsidRPr="004237E6" w:rsidRDefault="002A50CA"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i/>
          <w:iCs/>
          <w:noProof/>
          <w:kern w:val="0"/>
          <w:sz w:val="24"/>
          <w:lang w:val="fr-BE" w:eastAsia="en-GB"/>
        </w:rPr>
      </w:pPr>
    </w:p>
    <w:p w14:paraId="5C5C2BEB" w14:textId="6E7206FC" w:rsidR="002A50CA" w:rsidRPr="00D16464" w:rsidRDefault="002A50C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În ceea ce privește celelalte recomandări din 2025, Comisia concluzionează că:</w:t>
      </w:r>
    </w:p>
    <w:p w14:paraId="2A60006F" w14:textId="77777777" w:rsidR="002A50CA" w:rsidRPr="004237E6" w:rsidRDefault="002A50CA"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i/>
          <w:iCs/>
          <w:noProof/>
          <w:kern w:val="0"/>
          <w:sz w:val="24"/>
          <w:lang w:val="fr-BE" w:eastAsia="en-GB"/>
        </w:rPr>
      </w:pPr>
    </w:p>
    <w:p w14:paraId="4E658406" w14:textId="1D5DA99A" w:rsidR="002A50CA" w:rsidRPr="00D16464" w:rsidRDefault="002A50C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s-au înregistrat progrese importante în ceea ce privește finalizarea reformei prin care se acordă o finanțare adecvată serviciilor publice de mass-media pentru îndeplinirea misiunii lor de serviciu public, garantându-le în același timp independența, având în vedere adoptarea proiectului de lege (de modificare) privind radiodifuziunea. Având în vedere că subiectele prezentei recomandări sunt reglementate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w:t>
      </w:r>
    </w:p>
    <w:p w14:paraId="2AA40948" w14:textId="20BDF24F" w:rsidR="002A50CA" w:rsidRPr="00D16464" w:rsidRDefault="002A50C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Recomandarea privind finalizarea reformei Legii privind defăimarea pentru a îmbunătăți mediul profesional al jurnaliștilor, ținând seama de standardele europene privind protecția jurnaliștilor, a fost pusă în aplicare pe deplin, având în vedere adoptarea legislației necesare.</w:t>
      </w:r>
    </w:p>
    <w:p w14:paraId="73C7E316"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565FBB2D"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Grecia </w:t>
      </w:r>
    </w:p>
    <w:p w14:paraId="2C3A065B" w14:textId="072FDC84"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reamintind totodată angajamentele relevante asumate în cadrul planului de redresare și reziliență, cât și recomandarea specifică fiecărei țări din cadrul semestrului european privind eficiența sistemului judiciar, Comisia formulează următoarele concluzii: </w:t>
      </w:r>
    </w:p>
    <w:p w14:paraId="49129BC3"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6268F922" w14:textId="541AFAD9" w:rsidR="00DC104E" w:rsidRPr="00D16464" w:rsidRDefault="00A37CF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i/>
          <w:noProof/>
          <w:kern w:val="0"/>
          <w:sz w:val="24"/>
          <w:szCs w:val="20"/>
        </w:rPr>
      </w:pPr>
      <w:r>
        <w:rPr>
          <w:rFonts w:ascii="Times New Roman" w:hAnsi="Times New Roman"/>
          <w:noProof/>
          <w:sz w:val="24"/>
        </w:rPr>
        <w:t xml:space="preserve">s-au înregistrat progrese limitate în ceea ce privește realizarea unui bilanț solid al urmăririlor penale și al hotărârilor definitive în cazurile de corupție, întrucât a fost instituit cadrul juridic pentru un registru digital al cazurilor de corupție și se preconizează că registrul va fi operațional la 1 ianuarie 2027; cu toate acestea, întrucât numărul urmăririlor penale și al hotărârilor definitive în cazurile de corupție, inclusiv în cazurile de corupție la nivel înalt, rămâne scăzut, se recomandă Greciei </w:t>
      </w:r>
      <w:r>
        <w:rPr>
          <w:rFonts w:ascii="Times New Roman" w:hAnsi="Times New Roman"/>
          <w:i/>
          <w:noProof/>
          <w:sz w:val="24"/>
        </w:rPr>
        <w:t>să își continue eforturile de realizare a unui bilanț solid al urmăririlor penale și al hotărârilor definitive în cazurile de corupție, inclusiv în cazurile de corupție la nivel înalt</w:t>
      </w:r>
      <w:r>
        <w:rPr>
          <w:rFonts w:ascii="Times New Roman" w:hAnsi="Times New Roman"/>
          <w:noProof/>
          <w:sz w:val="24"/>
        </w:rPr>
        <w:t>;</w:t>
      </w:r>
      <w:r>
        <w:rPr>
          <w:rFonts w:ascii="Times New Roman" w:hAnsi="Times New Roman"/>
          <w:i/>
          <w:noProof/>
          <w:sz w:val="24"/>
        </w:rPr>
        <w:t xml:space="preserve"> </w:t>
      </w:r>
    </w:p>
    <w:p w14:paraId="416ECEAC" w14:textId="3338C6EC" w:rsidR="00E97224" w:rsidRPr="00D16464" w:rsidRDefault="009B65F9"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i/>
          <w:noProof/>
          <w:kern w:val="0"/>
          <w:sz w:val="24"/>
          <w:szCs w:val="20"/>
        </w:rPr>
      </w:pPr>
      <w:r>
        <w:rPr>
          <w:rFonts w:ascii="Times New Roman" w:hAnsi="Times New Roman"/>
          <w:noProof/>
          <w:sz w:val="24"/>
        </w:rPr>
        <w:t xml:space="preserve">s-au înregistrat doar progrese limitate în ceea ce privește îmbunătățirea cadrului privind activitățile de lobby, deoarece nu a fost adoptată nicio dispoziție normativă care să extindă definiția activității de lobby, în timp ce sunt în curs de derulare măsuri de punere în aplicare și activități de sensibilizare. Prin urmare, se recomandă Greciei </w:t>
      </w:r>
      <w:r>
        <w:rPr>
          <w:rFonts w:ascii="Times New Roman" w:hAnsi="Times New Roman"/>
          <w:i/>
          <w:noProof/>
          <w:sz w:val="24"/>
        </w:rPr>
        <w:t>să realizeze un cadru de lobby îmbunătățit, inclusiv prin revizuirea definiției termenului de „lobbist” și prin asigurarea unei puneri în aplicare eficace</w:t>
      </w:r>
      <w:r>
        <w:rPr>
          <w:rFonts w:ascii="Times New Roman" w:hAnsi="Times New Roman"/>
          <w:noProof/>
          <w:sz w:val="24"/>
        </w:rPr>
        <w:t>;</w:t>
      </w:r>
    </w:p>
    <w:p w14:paraId="5324243A" w14:textId="5929C8FF" w:rsidR="00E24EF9" w:rsidRPr="00D16464" w:rsidRDefault="00907F1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s-au înregistrat unele progrese suplimentare în ceea ce privește consolidarea garanțiilor legislative și fără caracter legislativ pentru a îmbunătăți siguranța și protecția jurnaliștilor, în special în ceea ce privește procesele abuzive împotriva acestora, întrucât au fost luate măsuri suplimentare și proiectul de act normativ privind protecția împotriva SLAPP este în curs de finalizare. Prin urmare, se recomandă Greciei </w:t>
      </w:r>
      <w:r>
        <w:rPr>
          <w:rFonts w:ascii="Times New Roman" w:hAnsi="Times New Roman"/>
          <w:i/>
          <w:noProof/>
          <w:sz w:val="24"/>
        </w:rPr>
        <w:t>să finalizeze lucrările privind consolidarea garanțiilor legislative și fără caracter legislativ pentru a îmbunătăți siguranța și protecția jurnaliștilor, în special în ceea ce privește procesele abuzive împotriva acestora, în concordanță cu memorandumul de înțelegere adoptat și ținând seama de standardele europene privind protecția jurnaliștilor</w:t>
      </w:r>
      <w:r>
        <w:rPr>
          <w:rFonts w:ascii="Times New Roman" w:hAnsi="Times New Roman"/>
          <w:noProof/>
          <w:sz w:val="24"/>
        </w:rPr>
        <w:t xml:space="preserve">; </w:t>
      </w:r>
    </w:p>
    <w:p w14:paraId="702A6E15" w14:textId="24340DD3" w:rsidR="00DC104E" w:rsidRPr="00D16464" w:rsidRDefault="00D32673"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szCs w:val="24"/>
        </w:rPr>
      </w:pPr>
      <w:r>
        <w:rPr>
          <w:rFonts w:ascii="Times New Roman" w:hAnsi="Times New Roman"/>
          <w:noProof/>
          <w:sz w:val="24"/>
        </w:rPr>
        <w:t xml:space="preserve">s-au înregistrat unele progrese suplimentare în ceea ce privește dezvoltarea unui dialog structurat cu organizațiile societății civile și simplificarea cerințelor de înregistrare în vederea menținerii unui cadru deschis pentru funcționarea acestora, având în vedere că a fost stabilit cadrul pentru un dialog structurat cu organizațiile societății civile și au fost adoptate unele măsuri pentru a reduce cerințele privind documentația și pentru a simplifica procedurile. Întrucât dialogul structurat nu a devenit încă regulat și susținut, iar cadrul de înregistrare rămâne fragmentat, se recomandă Greciei </w:t>
      </w:r>
      <w:r>
        <w:rPr>
          <w:rFonts w:ascii="Times New Roman" w:hAnsi="Times New Roman"/>
          <w:i/>
          <w:noProof/>
          <w:sz w:val="24"/>
        </w:rPr>
        <w:t>să își intensifice eforturile de consolidare a unui dialog structurat regulat și susținut cu organizațiile societății civile și să simplifice cerințele de înregistrare în vederea menținerii unui cadru deschis pentru funcționarea acestora</w:t>
      </w:r>
      <w:r>
        <w:rPr>
          <w:rFonts w:ascii="Times New Roman" w:hAnsi="Times New Roman"/>
          <w:noProof/>
          <w:sz w:val="24"/>
        </w:rPr>
        <w:t>.</w:t>
      </w:r>
    </w:p>
    <w:p w14:paraId="6BDA1A78" w14:textId="77777777"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noProof/>
        </w:rPr>
        <w:br w:type="page"/>
      </w:r>
    </w:p>
    <w:p w14:paraId="293661A9" w14:textId="45201ACA"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Spania </w:t>
      </w:r>
    </w:p>
    <w:p w14:paraId="2B058BA0" w14:textId="66AE317D"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reamintind totodată angajamentele relevante asumate în cadrul planului de redresare și reziliență, cât și recomandarea specifică fiecărei țări din cadrul semestrului european privind eficiența sistemului judiciar, Comisia formulează următoarele concluzii: </w:t>
      </w:r>
    </w:p>
    <w:p w14:paraId="0ECA3525"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7E6592DF" w14:textId="7A91DB9C" w:rsidR="00DC104E" w:rsidRPr="00D16464" w:rsidRDefault="00DB701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4"/>
        </w:rPr>
      </w:pPr>
      <w:r>
        <w:rPr>
          <w:rFonts w:ascii="Times New Roman" w:hAnsi="Times New Roman"/>
          <w:noProof/>
          <w:sz w:val="24"/>
        </w:rPr>
        <w:t xml:space="preserve">s-au înregistrat unele progrese suplimentare în ceea ce privește adaptarea procedurii de numire a judecătorilor-membri ai Consiliului Judiciar, întrucât Consiliul a obținut orientări din partea Comisiei de la Veneția, dar nu s-a ajuns la un consens cu privire la finalizarea procesului. Întrucât nu a fost încă adoptată o reformă, se recomandă Spaniei </w:t>
      </w:r>
      <w:r>
        <w:rPr>
          <w:rFonts w:ascii="Times New Roman" w:hAnsi="Times New Roman"/>
          <w:i/>
          <w:noProof/>
          <w:sz w:val="24"/>
        </w:rPr>
        <w:t>să continue procesul în vederea adaptării procedurii de numire a judecătorilor-membri ai Consiliului Judiciar, ținând seama de standardele europene privind consiliile judiciare,</w:t>
      </w:r>
      <w:r>
        <w:rPr>
          <w:rFonts w:ascii="Times New Roman" w:hAnsi="Times New Roman"/>
          <w:noProof/>
          <w:sz w:val="18"/>
        </w:rPr>
        <w:t xml:space="preserve"> </w:t>
      </w:r>
      <w:r>
        <w:rPr>
          <w:rFonts w:ascii="Times New Roman" w:hAnsi="Times New Roman"/>
          <w:i/>
          <w:noProof/>
          <w:sz w:val="24"/>
        </w:rPr>
        <w:t>inclusiv de orientările Comisiei de la Veneția cu privire la modalitățile de îmbunătățire a sistemului actual</w:t>
      </w:r>
      <w:r>
        <w:rPr>
          <w:i/>
          <w:noProof/>
        </w:rPr>
        <w:t>;</w:t>
      </w:r>
    </w:p>
    <w:p w14:paraId="19C06B53" w14:textId="4ED9126F" w:rsidR="00DC104E" w:rsidRPr="00D16464" w:rsidRDefault="00A41620"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s-au înregistrat progrese semnificative în ceea ce privește consolidarea statutului procurorului general, întrucât o reformă a Codului de procedură penală este în curs de dezbatere în Parlament. Întrucât reforma nu a fost încă adoptată, se recomandă Spaniei </w:t>
      </w:r>
      <w:r>
        <w:rPr>
          <w:rFonts w:ascii="Times New Roman" w:hAnsi="Times New Roman"/>
          <w:i/>
          <w:noProof/>
          <w:sz w:val="24"/>
        </w:rPr>
        <w:t>să își continue eforturile actuale de consolidare a statutului procurorului general, în special în ceea ce privește separarea mandatului procurorului general de cel al guvernului, ținând seama de standardele europene privind independența și autonomia organelor de urmărire penală</w:t>
      </w:r>
      <w:r>
        <w:rPr>
          <w:rFonts w:ascii="Times New Roman" w:hAnsi="Times New Roman"/>
          <w:noProof/>
          <w:sz w:val="24"/>
        </w:rPr>
        <w:t>;</w:t>
      </w:r>
    </w:p>
    <w:p w14:paraId="617E7B19" w14:textId="11111025" w:rsidR="00E367C7" w:rsidRPr="00D16464" w:rsidRDefault="005F0D08"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s-au înregistrat unele progrese în ceea ce privește durata anchetelor și a urmăririlor penale în cazurile de corupție la nivel înalt, ca urmare a eforturilor de mărire a efectivelor de personal și a reformei propuse a Codului de procedură penală. Întrucât există în continuare provocări, iar proiectul legislativ de creștere a eficienței este încă în curs de dezbatere în Parlament, se recomandă Spaniei </w:t>
      </w:r>
      <w:r>
        <w:rPr>
          <w:rFonts w:ascii="Times New Roman" w:hAnsi="Times New Roman"/>
          <w:i/>
          <w:noProof/>
          <w:sz w:val="24"/>
        </w:rPr>
        <w:t>să continue procesul legislativ de revizuire a Codului de procedură penală pentru a consolida cadrul privind anchetele și urmăririle penale în cazurile de corupție la nivel înalt, în vederea reducerii întârzierilor</w:t>
      </w:r>
      <w:r>
        <w:rPr>
          <w:rFonts w:ascii="Times New Roman" w:hAnsi="Times New Roman"/>
          <w:noProof/>
          <w:sz w:val="24"/>
        </w:rPr>
        <w:t>;</w:t>
      </w:r>
    </w:p>
    <w:p w14:paraId="25BA9CAB" w14:textId="51986F67" w:rsidR="00200855" w:rsidRPr="00382FDF" w:rsidRDefault="0020085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spacing w:val="-2"/>
          <w:kern w:val="0"/>
          <w:sz w:val="24"/>
        </w:rPr>
      </w:pPr>
      <w:r w:rsidRPr="00382FDF">
        <w:rPr>
          <w:rFonts w:ascii="Times New Roman" w:hAnsi="Times New Roman"/>
          <w:noProof/>
          <w:spacing w:val="-2"/>
          <w:sz w:val="24"/>
        </w:rPr>
        <w:t xml:space="preserve">s-au înregistrat progrese limitate în ceea ce privește consolidarea normelor privind conflictele de interese și declarațiile de avere ale persoanelor cu funcții executive de conducere. Având în vedere că proiectul de lege organică privind integritatea publică a fost prezentat și că planul de stat anticorupție a fost adoptat, dar punerea în aplicare practică a normelor existente nu s-a îmbunătățit, se recomandă Spaniei </w:t>
      </w:r>
      <w:r w:rsidRPr="00382FDF">
        <w:rPr>
          <w:rFonts w:ascii="Times New Roman" w:hAnsi="Times New Roman"/>
          <w:i/>
          <w:noProof/>
          <w:spacing w:val="-2"/>
          <w:sz w:val="24"/>
        </w:rPr>
        <w:t>să continue procesul legislativ de consolidare a normelor privind conflictele de interese și declarațiile de avere ale persoanelor cu funcții executive de conducere și să asigure independența și competențele de detectare și sancționare eficace ale organismului de supraveghere competent</w:t>
      </w:r>
      <w:r w:rsidRPr="00382FDF">
        <w:rPr>
          <w:rFonts w:ascii="Times New Roman" w:hAnsi="Times New Roman"/>
          <w:noProof/>
          <w:spacing w:val="-2"/>
          <w:sz w:val="24"/>
        </w:rPr>
        <w:t>;</w:t>
      </w:r>
    </w:p>
    <w:p w14:paraId="4F37765C" w14:textId="79483204" w:rsidR="00DC104E" w:rsidRPr="00D16464" w:rsidRDefault="004D6FE0"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s-au înregistrat progrese limitate în ceea ce privește activitățile de lobby, întrucât proiectul de lege privind transparența și integritatea activităților grupurilor de interese nu a fost încă adoptat de Parlament. Se recomandă Spaniei </w:t>
      </w:r>
      <w:r>
        <w:rPr>
          <w:rFonts w:ascii="Times New Roman" w:hAnsi="Times New Roman"/>
          <w:i/>
          <w:noProof/>
          <w:sz w:val="24"/>
        </w:rPr>
        <w:t>să continue procedura în curs de adoptare a legislației privind activitățile de lobby, inclusiv instituirea unui registru public obligatoriu al lobbiștilor</w:t>
      </w:r>
      <w:r>
        <w:rPr>
          <w:rFonts w:ascii="Times New Roman" w:hAnsi="Times New Roman"/>
          <w:noProof/>
          <w:sz w:val="24"/>
        </w:rPr>
        <w:t>;</w:t>
      </w:r>
    </w:p>
    <w:p w14:paraId="78098FCE" w14:textId="7DB8692E" w:rsidR="007B34E6" w:rsidRPr="00D16464" w:rsidRDefault="00EA54A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s-au înregistrat progrese semnificative în ceea ce privește consolidarea accesului la informații, în special prin revizuirea Legii privind secretul de serviciu. Prin urmare, se recomandă Spaniei </w:t>
      </w:r>
      <w:r>
        <w:rPr>
          <w:rFonts w:ascii="Times New Roman" w:hAnsi="Times New Roman"/>
          <w:i/>
          <w:noProof/>
          <w:sz w:val="24"/>
        </w:rPr>
        <w:t>să finalizeze lucrările privind consolidarea accesului la informații, în special prin adoptarea Legii privind secretul de serviciu și a Legii privind administrația deschisă, ținând seama de standardele europene privind accesul la documentele oficiale</w:t>
      </w:r>
      <w:r>
        <w:rPr>
          <w:rFonts w:ascii="Times New Roman" w:hAnsi="Times New Roman"/>
          <w:noProof/>
          <w:sz w:val="24"/>
        </w:rPr>
        <w:t>.</w:t>
      </w:r>
      <w:r>
        <w:rPr>
          <w:noProof/>
        </w:rPr>
        <w:br w:type="page"/>
      </w:r>
    </w:p>
    <w:p w14:paraId="3C794426" w14:textId="77777777" w:rsidR="00DC104E" w:rsidRPr="00D16464" w:rsidRDefault="007B34E6" w:rsidP="00DC104E">
      <w:pPr>
        <w:pageBreakBefore/>
        <w:pBdr>
          <w:top w:val="single" w:sz="4" w:space="1" w:color="auto"/>
          <w:left w:val="single" w:sz="4" w:space="4" w:color="auto"/>
          <w:bottom w:val="single" w:sz="4" w:space="31"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Franța </w:t>
      </w:r>
    </w:p>
    <w:p w14:paraId="701D36ED" w14:textId="16C3FCF3" w:rsidR="00DC104E" w:rsidRPr="00D16464" w:rsidRDefault="00DC104E" w:rsidP="00DC104E">
      <w:pPr>
        <w:pBdr>
          <w:top w:val="single" w:sz="4" w:space="1" w:color="auto"/>
          <w:left w:val="single" w:sz="4" w:space="4" w:color="auto"/>
          <w:bottom w:val="single" w:sz="4" w:space="31" w:color="auto"/>
          <w:right w:val="single" w:sz="4" w:space="4" w:color="auto"/>
        </w:pBdr>
        <w:spacing w:after="240" w:line="240" w:lineRule="auto"/>
        <w:jc w:val="both"/>
        <w:rPr>
          <w:rFonts w:ascii="Times New Roman" w:eastAsia="Times New Roman" w:hAnsi="Times New Roman" w:cs="Times New Roman"/>
          <w:noProof/>
          <w:kern w:val="0"/>
          <w:sz w:val="24"/>
        </w:rPr>
      </w:pPr>
      <w:r>
        <w:rPr>
          <w:rFonts w:ascii="Times New Roman" w:hAnsi="Times New Roman"/>
          <w:noProof/>
          <w:sz w:val="24"/>
        </w:rPr>
        <w:t xml:space="preserve">Per ansamblu, pe baza recomandărilor din ediția din 2025 a Raportului privind statul de drept și având în vedere alte evoluții care au avut loc în perioada de referință, Comisia formulează următoarele concluzii: </w:t>
      </w:r>
    </w:p>
    <w:p w14:paraId="70D6358F" w14:textId="7B4D6F18" w:rsidR="00DC104E" w:rsidRPr="00D16464" w:rsidRDefault="008F2458" w:rsidP="00582D5F">
      <w:pPr>
        <w:pStyle w:val="ListParagraph"/>
        <w:numPr>
          <w:ilvl w:val="0"/>
          <w:numId w:val="24"/>
        </w:numPr>
        <w:pBdr>
          <w:top w:val="single" w:sz="4" w:space="1" w:color="auto"/>
          <w:left w:val="single" w:sz="4" w:space="4" w:color="auto"/>
          <w:bottom w:val="single" w:sz="4" w:space="31" w:color="auto"/>
          <w:right w:val="single" w:sz="4" w:space="4" w:color="auto"/>
        </w:pBdr>
        <w:jc w:val="both"/>
        <w:rPr>
          <w:rFonts w:ascii="Times New Roman" w:eastAsia="Times New Roman" w:hAnsi="Times New Roman"/>
          <w:noProof/>
          <w:kern w:val="0"/>
          <w:sz w:val="24"/>
        </w:rPr>
      </w:pPr>
      <w:r>
        <w:rPr>
          <w:rFonts w:ascii="Times New Roman" w:hAnsi="Times New Roman"/>
          <w:noProof/>
          <w:sz w:val="24"/>
        </w:rPr>
        <w:t xml:space="preserve">s-au înregistrat unele progrese suplimentare în ceea ce privește digitalizarea procedurilor judiciare. Întrucât acest proces s-a confruntat cu unele întârzieri, se recomandă Franței </w:t>
      </w:r>
      <w:r>
        <w:rPr>
          <w:rFonts w:ascii="Times New Roman" w:hAnsi="Times New Roman"/>
          <w:i/>
          <w:noProof/>
          <w:sz w:val="24"/>
        </w:rPr>
        <w:t>să își intensifice eforturile de finalizare a proiectelor în curs care vizează digitalizarea procedurilor judiciare civile și penale</w:t>
      </w:r>
      <w:r>
        <w:rPr>
          <w:rFonts w:ascii="Times New Roman" w:hAnsi="Times New Roman"/>
          <w:noProof/>
          <w:sz w:val="24"/>
        </w:rPr>
        <w:t>;</w:t>
      </w:r>
    </w:p>
    <w:p w14:paraId="023A6E54" w14:textId="264EC260" w:rsidR="00096103" w:rsidRPr="00D16464" w:rsidRDefault="003A4B85" w:rsidP="00582D5F">
      <w:pPr>
        <w:pStyle w:val="ListParagraph"/>
        <w:numPr>
          <w:ilvl w:val="0"/>
          <w:numId w:val="24"/>
        </w:numPr>
        <w:pBdr>
          <w:top w:val="single" w:sz="4" w:space="1" w:color="auto"/>
          <w:left w:val="single" w:sz="4" w:space="4" w:color="auto"/>
          <w:bottom w:val="single" w:sz="4" w:space="31" w:color="auto"/>
          <w:right w:val="single" w:sz="4" w:space="4" w:color="auto"/>
        </w:pBdr>
        <w:jc w:val="both"/>
        <w:rPr>
          <w:rFonts w:ascii="Times New Roman" w:eastAsia="Times New Roman" w:hAnsi="Times New Roman"/>
          <w:i/>
          <w:noProof/>
          <w:kern w:val="0"/>
          <w:sz w:val="24"/>
        </w:rPr>
      </w:pPr>
      <w:r>
        <w:rPr>
          <w:rFonts w:ascii="Times New Roman" w:hAnsi="Times New Roman"/>
          <w:noProof/>
          <w:sz w:val="24"/>
        </w:rPr>
        <w:t xml:space="preserve">s-au înregistrat unele progrese suplimentare în ceea ce privește recomandarea privind activitățile de lobby, în special prin consolidarea cadrului de transparență privind activitățile de influență străină. Întrucât obligația de a divulga activitățile de lobby se aplică numai reprezentanților grupurilor de interese, se recomandă Franței </w:t>
      </w:r>
      <w:r>
        <w:rPr>
          <w:rFonts w:ascii="Times New Roman" w:hAnsi="Times New Roman"/>
          <w:i/>
          <w:noProof/>
          <w:sz w:val="24"/>
        </w:rPr>
        <w:t>să își continue eforturile de asigurare a transparenței activităților de lobby prin extinderea domeniului de aplicare al obligației de divulgare, în special la persoanele cu funcții executive de conducere.</w:t>
      </w:r>
    </w:p>
    <w:p w14:paraId="090F2AB7" w14:textId="77777777" w:rsidR="00822564" w:rsidRPr="004237E6" w:rsidRDefault="00822564" w:rsidP="009C392D">
      <w:pPr>
        <w:pBdr>
          <w:top w:val="single" w:sz="4" w:space="1" w:color="auto"/>
          <w:left w:val="single" w:sz="4" w:space="4" w:color="auto"/>
          <w:bottom w:val="single" w:sz="4" w:space="31" w:color="auto"/>
          <w:right w:val="single" w:sz="4" w:space="4" w:color="auto"/>
        </w:pBdr>
        <w:spacing w:after="0" w:line="240" w:lineRule="auto"/>
        <w:jc w:val="both"/>
        <w:rPr>
          <w:rFonts w:ascii="Times New Roman" w:eastAsia="Times New Roman" w:hAnsi="Times New Roman"/>
          <w:bCs/>
          <w:i/>
          <w:iCs/>
          <w:noProof/>
          <w:kern w:val="0"/>
          <w:sz w:val="24"/>
          <w:lang w:val="fr-BE" w:eastAsia="en-GB"/>
        </w:rPr>
      </w:pPr>
    </w:p>
    <w:p w14:paraId="7940D6B7" w14:textId="764AF6ED" w:rsidR="008F2F0F" w:rsidRPr="00D16464" w:rsidRDefault="00822564" w:rsidP="009C392D">
      <w:pPr>
        <w:pBdr>
          <w:top w:val="single" w:sz="4" w:space="1" w:color="auto"/>
          <w:left w:val="single" w:sz="4" w:space="4" w:color="auto"/>
          <w:bottom w:val="single" w:sz="4" w:space="31" w:color="auto"/>
          <w:right w:val="single" w:sz="4" w:space="4" w:color="auto"/>
        </w:pBdr>
        <w:spacing w:after="0" w:line="240" w:lineRule="auto"/>
        <w:jc w:val="both"/>
        <w:rPr>
          <w:noProof/>
        </w:rPr>
      </w:pPr>
      <w:r>
        <w:rPr>
          <w:rFonts w:ascii="Times New Roman" w:hAnsi="Times New Roman"/>
          <w:noProof/>
          <w:sz w:val="24"/>
        </w:rPr>
        <w:t>În ceea ce privește celelalte recomandări din 2025, Comisia concluzionează că:</w:t>
      </w:r>
      <w:r>
        <w:rPr>
          <w:noProof/>
        </w:rPr>
        <w:t xml:space="preserve"> </w:t>
      </w:r>
    </w:p>
    <w:p w14:paraId="1F53623A" w14:textId="77777777" w:rsidR="00A63C23" w:rsidRPr="004237E6" w:rsidRDefault="00A63C23" w:rsidP="009C392D">
      <w:pPr>
        <w:pBdr>
          <w:top w:val="single" w:sz="4" w:space="1" w:color="auto"/>
          <w:left w:val="single" w:sz="4" w:space="4" w:color="auto"/>
          <w:bottom w:val="single" w:sz="4" w:space="31" w:color="auto"/>
          <w:right w:val="single" w:sz="4" w:space="4" w:color="auto"/>
        </w:pBdr>
        <w:spacing w:after="0" w:line="240" w:lineRule="auto"/>
        <w:jc w:val="both"/>
        <w:rPr>
          <w:rFonts w:ascii="Times New Roman" w:eastAsia="Times New Roman" w:hAnsi="Times New Roman"/>
          <w:noProof/>
          <w:kern w:val="0"/>
          <w:sz w:val="24"/>
          <w:lang w:val="fr-BE" w:eastAsia="en-GB"/>
        </w:rPr>
      </w:pPr>
    </w:p>
    <w:p w14:paraId="636CA968" w14:textId="1840D788" w:rsidR="007B34E6" w:rsidRPr="00D16464" w:rsidRDefault="00512518" w:rsidP="00D84AD2">
      <w:pPr>
        <w:pStyle w:val="ListParagraph"/>
        <w:numPr>
          <w:ilvl w:val="0"/>
          <w:numId w:val="24"/>
        </w:numPr>
        <w:pBdr>
          <w:top w:val="single" w:sz="4" w:space="1" w:color="auto"/>
          <w:left w:val="single" w:sz="4" w:space="4" w:color="auto"/>
          <w:bottom w:val="single" w:sz="4" w:space="31" w:color="auto"/>
          <w:right w:val="single" w:sz="4" w:space="4" w:color="auto"/>
        </w:pBdr>
        <w:spacing w:after="240"/>
        <w:jc w:val="both"/>
        <w:rPr>
          <w:rFonts w:ascii="Times New Roman" w:eastAsia="Times New Roman" w:hAnsi="Times New Roman"/>
          <w:noProof/>
          <w:kern w:val="0"/>
          <w:sz w:val="24"/>
          <w:szCs w:val="20"/>
        </w:rPr>
      </w:pPr>
      <w:r>
        <w:rPr>
          <w:rFonts w:ascii="Times New Roman" w:hAnsi="Times New Roman"/>
          <w:noProof/>
          <w:sz w:val="24"/>
        </w:rPr>
        <w:t>s-au înregistrat unele progrese suplimentare în ceea ce privește îmbunătățirea transparenței proprietății asupra mass-mediei, inclusiv prin dezvoltarea unei baze de date preliminare privind transparența de către autoritatea de reglementare în domeniul mass-mediei. Implementarea deplină a acestei baze de date depinde în continuare de adoptarea măsurilor legislative necesare. Având în vedere că subiectele prezentei recomandări sunt reglementate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w:t>
      </w:r>
      <w:r>
        <w:rPr>
          <w:rFonts w:ascii="Times New Roman" w:hAnsi="Times New Roman"/>
          <w:noProof/>
          <w:sz w:val="24"/>
        </w:rPr>
        <w:br w:type="page"/>
      </w:r>
    </w:p>
    <w:p w14:paraId="5AABE2B5" w14:textId="1F002C6B"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Recomandări pentru Croația</w:t>
      </w:r>
      <w:r w:rsidR="00382FDF">
        <w:rPr>
          <w:rFonts w:ascii="Times New Roman" w:hAnsi="Times New Roman"/>
          <w:b/>
          <w:smallCaps/>
          <w:noProof/>
          <w:sz w:val="24"/>
          <w:u w:val="single"/>
        </w:rPr>
        <w:t xml:space="preserve"> </w:t>
      </w:r>
      <w:r>
        <w:rPr>
          <w:rFonts w:ascii="Times New Roman" w:hAnsi="Times New Roman"/>
          <w:b/>
          <w:smallCaps/>
          <w:noProof/>
          <w:sz w:val="24"/>
          <w:u w:val="single"/>
        </w:rPr>
        <w:t xml:space="preserve"> </w:t>
      </w:r>
    </w:p>
    <w:p w14:paraId="1E6D2FF1" w14:textId="6C7C9A1C"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reamintind totodată angajamentele relevante asumate în cadrul planului de redresare și reziliență, cât și recomandarea specifică fiecărei țări din cadrul semestrului european privind eficiența sistemului judiciar, Comisia formulează următoarele concluzii: </w:t>
      </w:r>
    </w:p>
    <w:p w14:paraId="5DD4FE53"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3D73C888" w14:textId="7C031311" w:rsidR="00152D6F" w:rsidRPr="00D16464" w:rsidRDefault="0044234D"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s-au înregistrat unele progrese în ceea ce privește recomandarea de îmbunătățire a eficienței justiției, în special în ceea ce privește durata procedurilor în cauzele litigioase în materie comercială și civilă, întrucât numărul total de cauze nesoluționate a continuat să scadă, însă durata procedurilor continuă să prezinte motive serioase de îngrijorare. Prin urmare, se recomandă Croației </w:t>
      </w:r>
      <w:r>
        <w:rPr>
          <w:rFonts w:ascii="Times New Roman" w:hAnsi="Times New Roman"/>
          <w:i/>
          <w:noProof/>
          <w:sz w:val="24"/>
        </w:rPr>
        <w:t>să își continue eforturile de îmbunătățire a eficienței justiției, inclusiv prin introducerea unor reforme privind gestionarea cauzelor litigioase în materie comercială și civilă</w:t>
      </w:r>
      <w:r>
        <w:rPr>
          <w:rFonts w:ascii="Times New Roman" w:hAnsi="Times New Roman"/>
          <w:noProof/>
          <w:sz w:val="24"/>
        </w:rPr>
        <w:t>;</w:t>
      </w:r>
    </w:p>
    <w:p w14:paraId="2518F0FF" w14:textId="38BA70BD" w:rsidR="00DC104E" w:rsidRPr="00D16464" w:rsidRDefault="006668C7"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rPr>
      </w:pPr>
      <w:r>
        <w:rPr>
          <w:rFonts w:ascii="Times New Roman" w:hAnsi="Times New Roman"/>
          <w:noProof/>
          <w:sz w:val="24"/>
        </w:rPr>
        <w:t xml:space="preserve">s-au înregistrat progrese semnificative în vederea creșterii în continuare a eficienței anchetelor și a urmăririi penale a infracțiunilor de corupție, întrucât Codul de procedură penală, Legea privind Parchetul de Stat și Legea privind Biroul pentru combaterea corupției și a criminalității organizate au intrat în vigoare. Întrucât efectele în practică nu s-au făcut încă simțite, se recomandă Croației </w:t>
      </w:r>
      <w:r>
        <w:rPr>
          <w:rFonts w:ascii="Times New Roman" w:hAnsi="Times New Roman"/>
          <w:i/>
          <w:noProof/>
          <w:sz w:val="24"/>
        </w:rPr>
        <w:t>să ia măsuri pentru a realiza în continuare un bilanț eficace al anchetelor, al urmăririlor penale și al hotărârilor definitive în cazurile de corupție, inclusiv în cazurile de corupție la nivel înalt, inclusiv prin îmbunătățirea în continuare a capacităților tehnice specializate</w:t>
      </w:r>
      <w:r>
        <w:rPr>
          <w:rFonts w:ascii="Times New Roman" w:hAnsi="Times New Roman"/>
          <w:noProof/>
          <w:sz w:val="24"/>
        </w:rPr>
        <w:t>;</w:t>
      </w:r>
    </w:p>
    <w:p w14:paraId="1A314D52" w14:textId="3786C8A6" w:rsidR="002B6C9D" w:rsidRPr="00D16464" w:rsidRDefault="00513C2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întrucât ratele de control al declarațiilor de avere rămân scăzute din cauza structurilor de date inconsecvente și necomparabile care împiedică analiza automată, se recomandă Croației </w:t>
      </w:r>
      <w:r>
        <w:rPr>
          <w:rFonts w:ascii="Times New Roman" w:hAnsi="Times New Roman"/>
          <w:i/>
          <w:noProof/>
          <w:sz w:val="24"/>
        </w:rPr>
        <w:t>să își intensifice eforturile de digitalizare pentru a asigura verificarea eficace și sistematică a declarațiilor de avere</w:t>
      </w:r>
      <w:r>
        <w:rPr>
          <w:rFonts w:ascii="Times New Roman" w:hAnsi="Times New Roman"/>
          <w:noProof/>
          <w:sz w:val="24"/>
        </w:rPr>
        <w:t>;</w:t>
      </w:r>
    </w:p>
    <w:p w14:paraId="48E21EE8" w14:textId="5B50A14D" w:rsidR="00DC104E" w:rsidRPr="00D16464" w:rsidRDefault="005A5418"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s-au înregistrat unele progrese suplimentare în ceea ce privește soluționarea problemei acțiunilor strategice în justiție împotriva mobilizării publice care vizează jurnaliștii, având în vedere intrarea în vigoare a Legii privind protecția persoanelor implicate în activități publice, dar există în continuare provocări. Prin urmare, se recomandă Croației </w:t>
      </w:r>
      <w:r>
        <w:rPr>
          <w:rFonts w:ascii="Times New Roman" w:hAnsi="Times New Roman"/>
          <w:i/>
          <w:noProof/>
          <w:sz w:val="24"/>
        </w:rPr>
        <w:t>să își extindă gama de garanții disponibile pentru a îmbunătăți protecția jurnaliștilor, inclusiv prin revizuirea dispozițiilor legale privind defăimarea și prin încurajarea unei utilizări pe scară mai mare a normelor procedurale care permit respingerea proceselor nefondate, ținând seama de standardele europene privind protecția jurnaliștilor.</w:t>
      </w:r>
    </w:p>
    <w:p w14:paraId="3B8D7A15" w14:textId="77777777" w:rsidR="00133639" w:rsidRPr="004237E6" w:rsidRDefault="0013363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iCs/>
          <w:noProof/>
          <w:kern w:val="0"/>
          <w:sz w:val="24"/>
          <w:szCs w:val="24"/>
          <w:lang w:eastAsia="en-GB"/>
        </w:rPr>
      </w:pPr>
    </w:p>
    <w:p w14:paraId="4E1607E9" w14:textId="0E322890" w:rsidR="00133639" w:rsidRPr="00D16464" w:rsidRDefault="0013363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4"/>
        </w:rPr>
      </w:pPr>
      <w:r>
        <w:rPr>
          <w:rFonts w:ascii="Times New Roman" w:hAnsi="Times New Roman"/>
          <w:noProof/>
          <w:sz w:val="24"/>
        </w:rPr>
        <w:t xml:space="preserve">În ceea ce privește celelalte recomandări din 2025, Comisia concluzionează că: </w:t>
      </w:r>
    </w:p>
    <w:p w14:paraId="368E66C0" w14:textId="77777777" w:rsidR="00133639" w:rsidRPr="004237E6" w:rsidRDefault="00133639"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iCs/>
          <w:noProof/>
          <w:kern w:val="0"/>
          <w:sz w:val="24"/>
          <w:szCs w:val="24"/>
          <w:lang w:val="fr-BE" w:eastAsia="en-GB"/>
        </w:rPr>
      </w:pPr>
    </w:p>
    <w:p w14:paraId="32F48E95" w14:textId="49A901FA" w:rsidR="00133639" w:rsidRPr="00D16464" w:rsidRDefault="00133639" w:rsidP="009C392D">
      <w:pPr>
        <w:numPr>
          <w:ilvl w:val="0"/>
          <w:numId w:val="23"/>
        </w:numPr>
        <w:pBdr>
          <w:top w:val="single" w:sz="4" w:space="1" w:color="auto"/>
          <w:left w:val="single" w:sz="4" w:space="4" w:color="auto"/>
          <w:bottom w:val="single" w:sz="4" w:space="17" w:color="auto"/>
          <w:right w:val="single" w:sz="4" w:space="4" w:color="auto"/>
        </w:pBdr>
        <w:spacing w:before="120"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s-au înregistrat unele progrese în ceea ce privește consolidarea cadrului juridic și a mecanismelor de supraveghere pentru a asigura o alocare echitabilă și transparentă a publicității de stat la nivel național, regional și local, inclusiv cu privire la procedura de achiziții publice, întrucât legislația a fost modificată, în timp ce chestiunea orientărilor operaționale care urmează să fie adoptate de autoritatea de reglementare în domeniul mass-mediei rămâne nesoluționată. Având în vedere că subiectele prezentei recomandări sunt reglementate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w:t>
      </w:r>
    </w:p>
    <w:p w14:paraId="2F606833"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bCs/>
          <w:smallCaps/>
          <w:noProof/>
          <w:kern w:val="0"/>
          <w:sz w:val="24"/>
          <w:u w:val="single"/>
        </w:rPr>
      </w:pPr>
      <w:r>
        <w:rPr>
          <w:rFonts w:ascii="Times New Roman" w:hAnsi="Times New Roman"/>
          <w:b/>
          <w:smallCaps/>
          <w:noProof/>
          <w:sz w:val="24"/>
          <w:u w:val="single"/>
        </w:rPr>
        <w:t>Recomandări pentru Italia</w:t>
      </w:r>
    </w:p>
    <w:p w14:paraId="4F805BF2" w14:textId="533FB389"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Per ansamblu, pe baza recomandărilor din ediția din 2025 a Raportului privind statul de drept, având în vedere alte evoluții care au avut loc în perioada de referință, reamintind totodată</w:t>
      </w:r>
      <w:r>
        <w:rPr>
          <w:rFonts w:ascii="Segoe UI" w:hAnsi="Segoe UI"/>
          <w:i/>
          <w:noProof/>
          <w:color w:val="242424"/>
          <w:sz w:val="21"/>
          <w:shd w:val="clear" w:color="auto" w:fill="FFFFFF"/>
        </w:rPr>
        <w:t xml:space="preserve"> </w:t>
      </w:r>
      <w:r>
        <w:rPr>
          <w:rFonts w:ascii="Times New Roman" w:hAnsi="Times New Roman"/>
          <w:noProof/>
          <w:sz w:val="24"/>
        </w:rPr>
        <w:t xml:space="preserve">angajamentele relevante asumate în cadrul planului de redresare și reziliență, cât și recomandarea specifică fiecărei țări din cadrul semestrului european privind eficiența sistemului judiciar, Comisia formulează următoarele concluzii: </w:t>
      </w:r>
    </w:p>
    <w:p w14:paraId="0A543141"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1D2FE647" w14:textId="6D6BFEDC" w:rsidR="00505F95" w:rsidRPr="00D16464" w:rsidRDefault="00505F9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s-au înregistrat progrese suplimentare semnificative în ceea ce privește finalizarea sistemului digital de gestionare a cazurilor pentru instanțele penale și parchete, întrucât fluxul de lucru al proceselor penale în primă instanță este în prezent complet digitalizat. Întrucât unele proceduri nu au fost încă digitalizate, se recomandă Italiei </w:t>
      </w:r>
      <w:r>
        <w:rPr>
          <w:rFonts w:ascii="Times New Roman" w:hAnsi="Times New Roman"/>
          <w:i/>
          <w:noProof/>
          <w:sz w:val="24"/>
        </w:rPr>
        <w:t>să finalizeze pe deplin sistemul digital de gestionare a cazurilor</w:t>
      </w:r>
      <w:r>
        <w:rPr>
          <w:rFonts w:ascii="Times New Roman" w:hAnsi="Times New Roman"/>
          <w:noProof/>
          <w:sz w:val="24"/>
        </w:rPr>
        <w:t xml:space="preserve">; </w:t>
      </w:r>
    </w:p>
    <w:p w14:paraId="51A1ED23" w14:textId="2289091A" w:rsidR="00505F95" w:rsidRPr="00D16464" w:rsidRDefault="00D17A87"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nu s-au înregistrat progrese suplimentare în ceea ce privește propunerea legislativă în curs privind conflictele de interese, deși s-au înregistrat progrese limitate în ceea ce privește adoptarea de norme cuprinzătoare privind activitățile de lobby pentru a institui un registru operațional al activităților de lobby, întrucât un proiect de lege privind activitățile de lobby a fost adoptat în Camera Deputaților și este în curs de evaluare de către Senat. Prin urmare, se recomandă Italiei </w:t>
      </w:r>
      <w:r>
        <w:rPr>
          <w:rFonts w:ascii="Times New Roman" w:hAnsi="Times New Roman"/>
          <w:i/>
          <w:noProof/>
          <w:sz w:val="24"/>
        </w:rPr>
        <w:t>să își continue eforturile legislative de reglementare sistematică a conflictelor de interese, să adopte norme cuprinzătoare privind activitățile de lobby și să instituie un registru operațional al activităților de lobby</w:t>
      </w:r>
      <w:r>
        <w:rPr>
          <w:rFonts w:ascii="Times New Roman" w:hAnsi="Times New Roman"/>
          <w:noProof/>
          <w:sz w:val="24"/>
        </w:rPr>
        <w:t>;</w:t>
      </w:r>
    </w:p>
    <w:p w14:paraId="4C132C29" w14:textId="2918BD1F" w:rsidR="00505F95" w:rsidRPr="00D16464" w:rsidRDefault="00DA47B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nu s-au înregistrat progrese în ceea ce privește practica de a canaliza donațiile prin fundații și asociații politice și să introducă un registru electronic unic pentru informațiile privind finanțarea partidelor și a campaniilor, deoarece proiectele de lege prezentate în Parlament nu au fost încă discutate. Prin urmare, se recomandă Italiei </w:t>
      </w:r>
      <w:r>
        <w:rPr>
          <w:rFonts w:ascii="Times New Roman" w:hAnsi="Times New Roman"/>
          <w:i/>
          <w:noProof/>
          <w:sz w:val="24"/>
        </w:rPr>
        <w:t>să își accelereze eforturile de eliminare a practicii de a canaliza donațiile prin fundații și asociații politice și la introducerea unui registru electronic unic pentru informațiile privind finanțarea partidelor și a campaniilor</w:t>
      </w:r>
      <w:r>
        <w:rPr>
          <w:rFonts w:ascii="Times New Roman" w:hAnsi="Times New Roman"/>
          <w:noProof/>
          <w:sz w:val="24"/>
        </w:rPr>
        <w:t>;</w:t>
      </w:r>
    </w:p>
    <w:p w14:paraId="70F013A9" w14:textId="709DAF7E" w:rsidR="00B238F3" w:rsidRPr="00D16464" w:rsidRDefault="00C37019"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nu s-au înregistrat progrese în ceea ce privește procesul legislativ vizând proiectul de reformă privind defăimarea, protecția secretului profesional și a surselor jurnalistice. Prin urmare, se recomandă Italiei </w:t>
      </w:r>
      <w:r>
        <w:rPr>
          <w:rFonts w:ascii="Times New Roman" w:hAnsi="Times New Roman"/>
          <w:i/>
          <w:noProof/>
          <w:sz w:val="24"/>
        </w:rPr>
        <w:t>să își continue reforma privind defăimarea și să garanteze în același timp libertatea presei, ținând seama de standardele europene privind protecția jurnaliștilor</w:t>
      </w:r>
      <w:r>
        <w:rPr>
          <w:rFonts w:ascii="Times New Roman" w:hAnsi="Times New Roman"/>
          <w:noProof/>
          <w:sz w:val="24"/>
        </w:rPr>
        <w:t>;</w:t>
      </w:r>
    </w:p>
    <w:p w14:paraId="3D66A37A" w14:textId="5CC50D01" w:rsidR="00505F95" w:rsidRPr="00D16464" w:rsidRDefault="00505F9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s-au înregistrat progrese limitate în ceea ce privește înființarea unei instituții naționale pentru drepturile omului, întrucât au fost luate primele măsuri pentru relansarea inițiativei, în timp ce mai multe proiecte de lege sunt încă pendinte în Parlament. Prin urmare, se recomandă Italiei </w:t>
      </w:r>
      <w:r>
        <w:rPr>
          <w:rFonts w:ascii="Times New Roman" w:hAnsi="Times New Roman"/>
          <w:i/>
          <w:noProof/>
          <w:sz w:val="24"/>
        </w:rPr>
        <w:t>să înființeze o instituție națională pentru drepturile omului, ținând seama de Principiile de la Paris ale ONU</w:t>
      </w:r>
      <w:r>
        <w:rPr>
          <w:rFonts w:ascii="Times New Roman" w:hAnsi="Times New Roman"/>
          <w:noProof/>
          <w:sz w:val="24"/>
        </w:rPr>
        <w:t>.</w:t>
      </w:r>
    </w:p>
    <w:p w14:paraId="121DE766" w14:textId="77777777" w:rsidR="009D2744" w:rsidRPr="004237E6" w:rsidRDefault="009D2744"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val="fr-BE" w:eastAsia="en-GB"/>
        </w:rPr>
      </w:pPr>
    </w:p>
    <w:p w14:paraId="3EAA9374" w14:textId="00D8D8A7" w:rsidR="009D2744" w:rsidRPr="00D16464" w:rsidRDefault="009D2744"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În ceea ce privește celelalte recomandări din 2025, Comisia concluzionează că:</w:t>
      </w:r>
    </w:p>
    <w:p w14:paraId="3DB262AA" w14:textId="77777777" w:rsidR="00616B7E" w:rsidRPr="004237E6" w:rsidRDefault="00616B7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fr-BE" w:eastAsia="en-GB"/>
        </w:rPr>
      </w:pPr>
    </w:p>
    <w:p w14:paraId="2C4C5D1C" w14:textId="524C1975" w:rsidR="007B34E6" w:rsidRPr="00D16464" w:rsidRDefault="00711331"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s-au înregistrat unele progrese suplimentare în ceea ce privește asigurarea existenței unor norme sau mecanisme care furnizează o finanțare adecvată serviciilor publice de mass-media pentru îndeplinirea misiunii lor de serviciu public și asigurarea independenței acestora, pe măsura avansării lucrărilor parlamentare cu privire la un proiect de lege privind reforma. Având în vedere că subiectele prezentei recomandări sunt reglementate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w:t>
      </w:r>
      <w:r>
        <w:rPr>
          <w:rFonts w:ascii="Times New Roman" w:hAnsi="Times New Roman"/>
          <w:noProof/>
          <w:sz w:val="24"/>
        </w:rPr>
        <w:br w:type="page"/>
      </w:r>
    </w:p>
    <w:p w14:paraId="089CC0EF" w14:textId="13908382"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Cipru </w:t>
      </w:r>
    </w:p>
    <w:p w14:paraId="5480AB13" w14:textId="36D06C49"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reamintind totodată angajamentele relevante asumate în cadrul planului de redresare și reziliență, cât și recomandarea specifică fiecărei țări din cadrul semestrului european privind eficiența sistemului judiciar, Comisia formulează următoarele concluzii: </w:t>
      </w:r>
    </w:p>
    <w:p w14:paraId="672FD1E4"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3093F770" w14:textId="399EDA92" w:rsidR="00DC104E" w:rsidRPr="00D16464" w:rsidRDefault="004B36F0"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s-au înregistrat progrese suplimentare limitate în ceea ce privește reforma Biroului Juridic și introducerea unei reexaminări eficace a deciziilor de neîncepere a urmăririi penale sau de încetare a procedurii penale. Întrucât proiectele legislative relevante sunt încă pendinte în fața Parlamentului, se recomandă Ciprului </w:t>
      </w:r>
      <w:r>
        <w:rPr>
          <w:rFonts w:ascii="Times New Roman" w:hAnsi="Times New Roman"/>
          <w:i/>
          <w:noProof/>
          <w:sz w:val="24"/>
        </w:rPr>
        <w:t>să finalizeze reforma în curs a Biroului Juridic și instituirea Parchetului General și să introducă o reexaminare eficace a deciziilor de neîncepere a urmăririi penale sau de încetare a procedurii penale, inclusiv pentru infracțiunile fără victime, ținând seama de standardele europene privind independența și autonomia parchetelor</w:t>
      </w:r>
      <w:r>
        <w:rPr>
          <w:rFonts w:ascii="Times New Roman" w:hAnsi="Times New Roman"/>
          <w:noProof/>
          <w:sz w:val="24"/>
        </w:rPr>
        <w:t>;</w:t>
      </w:r>
    </w:p>
    <w:p w14:paraId="255F5199" w14:textId="132A35A9" w:rsidR="00D16CE5" w:rsidRPr="00D16464" w:rsidRDefault="00480C9E"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durata procedurilor judiciare prezintă în continuare motive serioase de îngrijorare, iar înființarea unui serviciu independent de administrare a instanțelor care să simplifice administrarea acestora se confruntă cu întârzieri. Se recomandă Ciprului </w:t>
      </w:r>
      <w:r>
        <w:rPr>
          <w:rFonts w:ascii="Times New Roman" w:hAnsi="Times New Roman"/>
          <w:i/>
          <w:noProof/>
          <w:sz w:val="24"/>
        </w:rPr>
        <w:t>să continue planurile de înființare a unui serviciu independent de administrare a instanțelor în vederea îmbunătățirii eficienței justiției</w:t>
      </w:r>
      <w:r>
        <w:rPr>
          <w:rFonts w:ascii="Times New Roman" w:hAnsi="Times New Roman"/>
          <w:noProof/>
          <w:sz w:val="24"/>
        </w:rPr>
        <w:t>;</w:t>
      </w:r>
    </w:p>
    <w:p w14:paraId="76B7BE23" w14:textId="1DE522C1" w:rsidR="70E17108" w:rsidRPr="00D16464" w:rsidRDefault="003D5BA8"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s-au înregistrat progrese semnificative în ceea ce privește reforma legislativă menită să consolideze Autoritatea Independentă pentru Combaterea Corupției și să se asigure că aceasta dispune de resursele umane și tehnice necesare pentru a-și îndeplini sarcinile în mod eficace, întrucât a fost adoptată o nouă legislație privind recrutările. Pentru a asigura eficacitatea deplină a Autorității Independente pentru Combaterea Corupției, sunt necesare în continuare măsuri suplimentare. Pentru a aborda acest aspect, se recomandă Ciprului </w:t>
      </w:r>
      <w:r>
        <w:rPr>
          <w:rFonts w:ascii="Times New Roman" w:hAnsi="Times New Roman"/>
          <w:i/>
          <w:noProof/>
          <w:sz w:val="24"/>
        </w:rPr>
        <w:t>să sporească eficacitatea operațională a Autorității Independente pentru Combaterea Corupției</w:t>
      </w:r>
      <w:r>
        <w:rPr>
          <w:rFonts w:ascii="Times New Roman" w:hAnsi="Times New Roman"/>
          <w:noProof/>
          <w:sz w:val="24"/>
        </w:rPr>
        <w:t xml:space="preserve">. </w:t>
      </w:r>
    </w:p>
    <w:p w14:paraId="28BF60FE" w14:textId="77777777" w:rsidR="000D4456" w:rsidRPr="004237E6" w:rsidRDefault="000D4456" w:rsidP="009C392D">
      <w:pPr>
        <w:pBdr>
          <w:top w:val="single" w:sz="4" w:space="1" w:color="auto"/>
          <w:left w:val="single" w:sz="4" w:space="4" w:color="auto"/>
          <w:bottom w:val="single" w:sz="4" w:space="17" w:color="auto"/>
          <w:right w:val="single" w:sz="4" w:space="4" w:color="auto"/>
        </w:pBdr>
        <w:spacing w:line="240" w:lineRule="auto"/>
        <w:contextualSpacing/>
        <w:jc w:val="both"/>
        <w:rPr>
          <w:rFonts w:ascii="Times New Roman" w:eastAsia="Times New Roman" w:hAnsi="Times New Roman"/>
          <w:bCs/>
          <w:noProof/>
          <w:kern w:val="0"/>
          <w:sz w:val="24"/>
          <w:lang w:eastAsia="en-GB"/>
        </w:rPr>
      </w:pPr>
    </w:p>
    <w:p w14:paraId="6BB48F7D" w14:textId="21FFF7E2" w:rsidR="000D4456" w:rsidRPr="00D16464" w:rsidRDefault="000D4456" w:rsidP="009C392D">
      <w:pPr>
        <w:pBdr>
          <w:top w:val="single" w:sz="4" w:space="1" w:color="auto"/>
          <w:left w:val="single" w:sz="4" w:space="4" w:color="auto"/>
          <w:bottom w:val="single" w:sz="4" w:space="17" w:color="auto"/>
          <w:right w:val="single" w:sz="4" w:space="4" w:color="auto"/>
        </w:pBdr>
        <w:spacing w:line="240" w:lineRule="auto"/>
        <w:contextualSpacing/>
        <w:jc w:val="both"/>
        <w:rPr>
          <w:rFonts w:ascii="Times New Roman" w:eastAsia="Times New Roman" w:hAnsi="Times New Roman"/>
          <w:noProof/>
          <w:kern w:val="0"/>
          <w:sz w:val="24"/>
        </w:rPr>
      </w:pPr>
      <w:r>
        <w:rPr>
          <w:rFonts w:ascii="Times New Roman" w:hAnsi="Times New Roman"/>
          <w:noProof/>
          <w:sz w:val="24"/>
        </w:rPr>
        <w:t>În ceea ce privește celelalte recomandări din 2025, Comisia concluzionează că:</w:t>
      </w:r>
    </w:p>
    <w:p w14:paraId="362B6CE7" w14:textId="77777777" w:rsidR="000D4456" w:rsidRPr="004237E6" w:rsidRDefault="000D4456"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noProof/>
          <w:kern w:val="0"/>
          <w:sz w:val="24"/>
          <w:lang w:val="fr-BE" w:eastAsia="en-GB"/>
        </w:rPr>
      </w:pPr>
    </w:p>
    <w:p w14:paraId="042B64B8" w14:textId="6EEE4832" w:rsidR="00DC104E" w:rsidRPr="00D16464" w:rsidRDefault="00AF0B00" w:rsidP="009529FA">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s-au înregistrat unele progrese în ceea ce privește (i) asigurarea distribuirii echitabile și transparente a cheltuielilor de publicitate de către stat și de către întreprinderile de stat și (ii) consolidarea normelor și a mecanismelor de îmbunătățire a guvernanței independente a serviciilor publice de mass-media, întrucât au fost depuse proiecte legislative. </w:t>
      </w:r>
      <w:bookmarkStart w:id="3" w:name="_Hlk232176263"/>
      <w:r>
        <w:rPr>
          <w:rFonts w:ascii="Times New Roman" w:hAnsi="Times New Roman"/>
          <w:noProof/>
          <w:sz w:val="24"/>
        </w:rPr>
        <w:t>Având în vedere că subiectele acestor două recomandări sunt reglementate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w:t>
      </w:r>
    </w:p>
    <w:bookmarkEnd w:id="3"/>
    <w:p w14:paraId="6A24B340" w14:textId="4AB81CC5" w:rsidR="00570DFC" w:rsidRPr="00D16464" w:rsidRDefault="000A143A"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noProof/>
          <w:kern w:val="0"/>
          <w:sz w:val="24"/>
          <w:szCs w:val="24"/>
        </w:rPr>
      </w:pPr>
      <w:r>
        <w:rPr>
          <w:rFonts w:ascii="Times New Roman" w:hAnsi="Times New Roman"/>
          <w:noProof/>
          <w:sz w:val="24"/>
        </w:rPr>
        <w:t xml:space="preserve">s-au înregistrat progrese semnificative în ceea ce privește introducerea unor garanții în procedura de numire a auditorului general și a auditorului general adjunct pentru a le consolida independența, prin stabilirea unui mandat fix de opt ani, care nu poate fi reînnoit, și a unor criterii de calificare mai stricte pentru numirea acestora. Evoluțiile ulterioare în acest domeniu vor fi monitorizate în continuare în Raportul privind statul de drept. </w:t>
      </w:r>
    </w:p>
    <w:p w14:paraId="11E419B9" w14:textId="1CFD81E8"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rPr>
      </w:pPr>
      <w:r>
        <w:rPr>
          <w:noProof/>
        </w:rPr>
        <w:br w:type="page"/>
      </w:r>
    </w:p>
    <w:p w14:paraId="76BB8307"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Letonia </w:t>
      </w:r>
    </w:p>
    <w:p w14:paraId="1299DA62" w14:textId="736CA3D1"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și reamintind totodată angajamentele relevante asumate în cadrul planului de redresare și reziliență, Comisia formulează următoarele concluzii: </w:t>
      </w:r>
    </w:p>
    <w:p w14:paraId="335B8DE3"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5A5EFE5A" w14:textId="1D78255A" w:rsidR="00DC104E" w:rsidRPr="00D16464" w:rsidRDefault="1D3C212D"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s-au înregistrat unele progrese în ceea ce privește asigurarea unor garanții adecvate împotriva influenței politice nejustificate în procedura de numire a judecătorilor Curții Supreme, întrucât un proiect de lege care permite contestarea deciziilor parlamentare de respingere a unui candidat a fost publicat și prezentat Parlamentului spre deliberare. </w:t>
      </w:r>
      <w:r>
        <w:rPr>
          <w:rFonts w:ascii="Times New Roman" w:hAnsi="Times New Roman"/>
          <w:noProof/>
          <w:color w:val="000000" w:themeColor="text1"/>
          <w:sz w:val="24"/>
        </w:rPr>
        <w:t xml:space="preserve">Întrucât reforma nu a fost încă adoptată, se recomandă Letoniei </w:t>
      </w:r>
      <w:r>
        <w:rPr>
          <w:rFonts w:ascii="Times New Roman" w:hAnsi="Times New Roman"/>
          <w:i/>
          <w:noProof/>
          <w:color w:val="000000" w:themeColor="text1"/>
          <w:sz w:val="24"/>
        </w:rPr>
        <w:t xml:space="preserve">să continue </w:t>
      </w:r>
      <w:r>
        <w:rPr>
          <w:rFonts w:ascii="Times New Roman" w:hAnsi="Times New Roman"/>
          <w:i/>
          <w:noProof/>
          <w:sz w:val="24"/>
        </w:rPr>
        <w:t>procesul legislativ pentru a asigura garanții adecvate împotriva influențelor politice nejustificate în procedura de numire a judecătorilor Curții Supreme, ținând seama de standardele europene privind numirile judiciare</w:t>
      </w:r>
      <w:r>
        <w:rPr>
          <w:rFonts w:ascii="Times New Roman" w:hAnsi="Times New Roman"/>
          <w:noProof/>
          <w:sz w:val="24"/>
        </w:rPr>
        <w:t>;</w:t>
      </w:r>
    </w:p>
    <w:p w14:paraId="77434C99" w14:textId="248E3740" w:rsidR="00DC104E" w:rsidRPr="00D16464" w:rsidRDefault="00AD1F33"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s-au înregistrat progrese limitate în ceea ce privește asigurarea punerii în aplicare eficace a legislației privind activitățile de lobby, întrucât a fost creată o listă voluntară temporară a reprezentanților grupurilor de interese. Întrucât instituirea registrului special pentru reprezentarea grupurilor de interese a fost amânată, iar informațiile disponibile public rămân limitate, se recomandă Letoniei </w:t>
      </w:r>
      <w:r>
        <w:rPr>
          <w:rFonts w:ascii="Times New Roman" w:hAnsi="Times New Roman"/>
          <w:i/>
          <w:noProof/>
          <w:sz w:val="24"/>
        </w:rPr>
        <w:t>să asigure punerea în aplicare efectivă a legislației privind activitățile de lobby, inclusiv în ceea ce privește registrul special provizoriu al activităților de lobby.</w:t>
      </w:r>
    </w:p>
    <w:p w14:paraId="4B968CD3" w14:textId="77777777"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noProof/>
        </w:rPr>
        <w:br w:type="page"/>
      </w:r>
    </w:p>
    <w:p w14:paraId="69A55CCE" w14:textId="357BA4F9"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Lituania </w:t>
      </w:r>
    </w:p>
    <w:p w14:paraId="1B1F0812" w14:textId="2FB4DF2F" w:rsidR="00C50E86" w:rsidRPr="00D16464" w:rsidRDefault="00C50E86" w:rsidP="009C392D">
      <w:pPr>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noProof/>
          <w:kern w:val="0"/>
          <w:sz w:val="24"/>
          <w:szCs w:val="24"/>
        </w:rPr>
      </w:pPr>
      <w:r>
        <w:rPr>
          <w:rFonts w:ascii="Times New Roman" w:hAnsi="Times New Roman"/>
          <w:noProof/>
          <w:sz w:val="24"/>
        </w:rPr>
        <w:t xml:space="preserve">Per ansamblu, pe baza recomandărilor din ediția din 2025 a Raportului privind statul de drept și având în vedere alte evoluții care au avut loc în perioada de referință, Comisia formulează următoarele concluzii: </w:t>
      </w:r>
    </w:p>
    <w:p w14:paraId="7D60DF6A" w14:textId="36DC7A35" w:rsidR="002D76A4" w:rsidRPr="00D16464" w:rsidRDefault="001876BD"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noProof/>
          <w:kern w:val="0"/>
          <w:sz w:val="24"/>
          <w:szCs w:val="24"/>
        </w:rPr>
      </w:pPr>
      <w:r>
        <w:rPr>
          <w:rFonts w:ascii="Times New Roman" w:hAnsi="Times New Roman"/>
          <w:noProof/>
          <w:sz w:val="24"/>
        </w:rPr>
        <w:t xml:space="preserve">s-au înregistrat progrese limitate în ceea ce privește reforma sistemelor de asistență judiciară, deoarece discuțiile privind nivelul de remunerare a furnizorilor de asistență judiciară au fost suspendate, iar lansarea modificărilor avute în vedere în scopul reducerii sarcinii administrative pentru furnizorii de asistență judiciară sunt planificate pentru 2026. Prin urmare, se recomandă Lituaniei </w:t>
      </w:r>
      <w:r>
        <w:rPr>
          <w:rFonts w:ascii="Times New Roman" w:hAnsi="Times New Roman"/>
          <w:i/>
          <w:noProof/>
          <w:sz w:val="24"/>
        </w:rPr>
        <w:t>să finalizeze reforma sistemului de asistență juridică, în special prin asigurarea unor condiții adecvate pentru participarea furnizorilor de asistență juridică, ținând seama de standardele europene privind asistența juridică</w:t>
      </w:r>
      <w:r>
        <w:rPr>
          <w:rFonts w:ascii="Times New Roman" w:hAnsi="Times New Roman"/>
          <w:noProof/>
          <w:sz w:val="24"/>
        </w:rPr>
        <w:t>;</w:t>
      </w:r>
      <w:r>
        <w:rPr>
          <w:rFonts w:ascii="Times New Roman" w:hAnsi="Times New Roman"/>
          <w:i/>
          <w:noProof/>
          <w:sz w:val="24"/>
        </w:rPr>
        <w:t xml:space="preserve"> </w:t>
      </w:r>
    </w:p>
    <w:p w14:paraId="0A5B1892" w14:textId="61E3525E"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noProof/>
          <w:kern w:val="0"/>
          <w:sz w:val="24"/>
          <w:szCs w:val="24"/>
        </w:rPr>
      </w:pPr>
      <w:r>
        <w:rPr>
          <w:rFonts w:ascii="Times New Roman" w:hAnsi="Times New Roman"/>
          <w:noProof/>
          <w:sz w:val="24"/>
        </w:rPr>
        <w:t xml:space="preserve">s-au înregistrat unele progrese suplimentare în ceea ce privește intensificarea eforturilor de îmbunătățire a transparenței sistemului de numire în funcții judiciare, în special la Curtea Supremă, întrucât grupul de lucru însărcinat cu propunerea unor posibile modificări ale sistemului și-a prezentat concluziile, iar modificările propuse sunt în curs de pregătire. Prin urmare, se recomandă Lituaniei </w:t>
      </w:r>
      <w:r>
        <w:rPr>
          <w:rFonts w:ascii="Times New Roman" w:hAnsi="Times New Roman"/>
          <w:i/>
          <w:noProof/>
          <w:sz w:val="24"/>
        </w:rPr>
        <w:t>să își intensifice eforturile de îmbunătățire a transparenței sistemului de numire în funcții judiciare, ținând seama de standardele europene privind numirile judiciare, în special prin monitorizarea propunerilor prezentate de grupul de lucru creat în acest scop</w:t>
      </w:r>
      <w:r>
        <w:rPr>
          <w:rFonts w:ascii="Times New Roman" w:hAnsi="Times New Roman"/>
          <w:noProof/>
          <w:sz w:val="24"/>
        </w:rPr>
        <w:t>.</w:t>
      </w:r>
    </w:p>
    <w:p w14:paraId="083DEED9"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4B00A517"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Recomandări pentru Luxemburg</w:t>
      </w:r>
    </w:p>
    <w:p w14:paraId="3DF0A3B6" w14:textId="40E0B152"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Per ansamblu, pe baza recomandărilor din ediția din 2025 a Raportului privind statul de drept și având în vedere alte evoluții care au avut loc în perioada de referință, Comisia formulează următoarele concluzii: </w:t>
      </w:r>
    </w:p>
    <w:p w14:paraId="53C56591"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56D64D75" w14:textId="530E819F" w:rsidR="00DC104E" w:rsidRPr="00D16464" w:rsidRDefault="00767C64"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s-au înregistrat unele progrese suplimentare în ceea ce privește digitalizarea procedurilor civile, penale și administrative, întrucât a fost înființat un comitet de gestionare pentru coordonarea inițiativelor de digitalizare și au fost instituite și sunt în curs de punere în aplicare jaloane pentru procedurile judiciare civile, penale și administrative. Întrucât sunt necesare măsuri suplimentare pentru a promova digitalizarea sistemului de justiție, se recomandă Luxemburgului </w:t>
      </w:r>
      <w:r>
        <w:rPr>
          <w:rFonts w:ascii="Times New Roman" w:hAnsi="Times New Roman"/>
          <w:i/>
          <w:noProof/>
          <w:sz w:val="24"/>
        </w:rPr>
        <w:t>să își intensifice eforturile pentru a dezvolta în continuare digitalizarea procedurilor civile, penale și administrative</w:t>
      </w:r>
      <w:r>
        <w:rPr>
          <w:rFonts w:ascii="Times New Roman" w:hAnsi="Times New Roman"/>
          <w:noProof/>
          <w:sz w:val="24"/>
        </w:rPr>
        <w:t>;</w:t>
      </w:r>
    </w:p>
    <w:p w14:paraId="76665CEA" w14:textId="724611AE" w:rsidR="00DC104E" w:rsidRPr="00D16464" w:rsidRDefault="0075643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s-au înregistrat unele progrese suplimentare în ceea ce privește finalizarea reformei cadrului juridic pentru divulgarea documentelor oficiale, având în vedere activitatea legislativă suplimentară cu privire la reforma relevantă. Prin urmare, se recomandă Luxemburgului </w:t>
      </w:r>
      <w:r>
        <w:rPr>
          <w:rFonts w:ascii="Times New Roman" w:hAnsi="Times New Roman"/>
          <w:i/>
          <w:noProof/>
          <w:sz w:val="24"/>
        </w:rPr>
        <w:t>să își intensifice eforturile de finalizare a reformei cadrului juridic privind accesul la documentele oficiale, ținând seama de standardele europene</w:t>
      </w:r>
      <w:r>
        <w:rPr>
          <w:rFonts w:ascii="Times New Roman" w:hAnsi="Times New Roman"/>
          <w:noProof/>
          <w:sz w:val="24"/>
        </w:rPr>
        <w:t>.</w:t>
      </w:r>
    </w:p>
    <w:p w14:paraId="6C01DD39"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191A15B0" w14:textId="1DA4F3B1" w:rsidR="00D164CD" w:rsidRPr="00D16464" w:rsidRDefault="00D164CD" w:rsidP="00D164CD">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sz w:val="24"/>
          <w:szCs w:val="24"/>
          <w:u w:val="single"/>
        </w:rPr>
      </w:pPr>
      <w:r>
        <w:rPr>
          <w:rFonts w:ascii="Times New Roman" w:hAnsi="Times New Roman"/>
          <w:b/>
          <w:smallCaps/>
          <w:noProof/>
          <w:sz w:val="24"/>
          <w:u w:val="single"/>
        </w:rPr>
        <w:t>Recomandări pentru Ungaria</w:t>
      </w:r>
    </w:p>
    <w:p w14:paraId="007A3C72" w14:textId="4D22AB65"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și reamintind totodată obligația de a respecta hotărârile CJUE referitoare la statul de drept și procedurile de constatare a neîndeplinirii obligațiilor legate de statul de drept menționate în capitolul consacrat acestei țări, evaluarea Comisiei în temeiul regimului general de condiționalitate, preocupările relevante exprimate în cadrul procedurii prevăzute la articolul 7 alineatul (1) din TUE și inițiate de Parlamentul European, angajamentele relevante asumate în cadrul planului de redresare și reziliență și recomandările specifice fiecărei țări din cadrul semestrului european privind consolidarea cadrului anticorupție și calitatea și transparența procesului decizional, Comisia formulează următoarele concluzii: </w:t>
      </w:r>
    </w:p>
    <w:p w14:paraId="6C6D7FFC"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6EFE2A87" w14:textId="40435C80" w:rsidR="00701884" w:rsidRPr="00D16464" w:rsidRDefault="00FE403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nu s-au înregistrat progrese în ceea ce privește transparența sistemelor de repartizare a cauzelor către instanțele inferioare, întrucât guvernul anterior s-a limitat la abordarea deficiențelor normelor privind repartizarea cauzelor la nivelul </w:t>
      </w:r>
      <w:r>
        <w:rPr>
          <w:rFonts w:ascii="Times New Roman" w:hAnsi="Times New Roman"/>
          <w:i/>
          <w:noProof/>
          <w:sz w:val="24"/>
        </w:rPr>
        <w:t xml:space="preserve">Kúria </w:t>
      </w:r>
      <w:r>
        <w:rPr>
          <w:rFonts w:ascii="Times New Roman" w:hAnsi="Times New Roman"/>
          <w:noProof/>
          <w:sz w:val="24"/>
        </w:rPr>
        <w:t xml:space="preserve">(Curtea Supremă). Prin urmare, se recomandă Ungariei </w:t>
      </w:r>
      <w:r>
        <w:rPr>
          <w:rFonts w:ascii="Times New Roman" w:hAnsi="Times New Roman"/>
          <w:i/>
          <w:noProof/>
          <w:sz w:val="24"/>
        </w:rPr>
        <w:t>să îmbunătățească transparența sistemelor de repartizare a cauzelor în cadrul instanțelor inferioare, ținând seama de standardele europene privind repartizarea cauzelor</w:t>
      </w:r>
      <w:r>
        <w:rPr>
          <w:rFonts w:ascii="Times New Roman" w:hAnsi="Times New Roman"/>
          <w:noProof/>
          <w:sz w:val="24"/>
        </w:rPr>
        <w:t>;</w:t>
      </w:r>
      <w:r>
        <w:rPr>
          <w:rFonts w:ascii="Times New Roman" w:hAnsi="Times New Roman"/>
          <w:i/>
          <w:noProof/>
          <w:sz w:val="24"/>
        </w:rPr>
        <w:t xml:space="preserve"> </w:t>
      </w:r>
    </w:p>
    <w:p w14:paraId="3A296C02" w14:textId="1F70319C" w:rsidR="00DC104E" w:rsidRPr="00D16464" w:rsidRDefault="00FF6A92"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nu s-au înregistrat încă progrese suplimentare pentru a se asigura că creșterea actuală a nivelului de remunerare a judecătorilor, a procurorilor și a personalului din justiție și din parchete este efectuată într-o manieră structurată, ținând seama de standardele europene privind remunerarea pentru sistemul judiciar. Prin urmare, se recomandă Ungariei </w:t>
      </w:r>
      <w:r>
        <w:rPr>
          <w:rFonts w:ascii="Times New Roman" w:hAnsi="Times New Roman"/>
          <w:i/>
          <w:noProof/>
          <w:sz w:val="24"/>
        </w:rPr>
        <w:t>să ia măsuri pentru a se asigura că creșterea actuală a nivelului de remunerare a judecătorilor, a procurorilor și a personalului din justiție și din parchete este efectuată într-o manieră structurată, ținând seama de standardele europene privind remunerarea pentru sistemul judiciar</w:t>
      </w:r>
      <w:r>
        <w:rPr>
          <w:rFonts w:ascii="Times New Roman" w:hAnsi="Times New Roman"/>
          <w:noProof/>
          <w:sz w:val="24"/>
        </w:rPr>
        <w:t>;</w:t>
      </w:r>
    </w:p>
    <w:p w14:paraId="7D044E02" w14:textId="13470CD4" w:rsidR="00B34FBD" w:rsidRPr="00D16464" w:rsidRDefault="009D1AC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întrucât a fost adoptată o nouă legislație care dezvoltă în continuare sistemul declarațiilor de avere, recomandarea de a îmbunătăți în continuare sistemul declarațiilor de avere și de a asigura o supraveghere și o aplicare eficace a legii a fost pusă în aplicare pe deplin. nu s-au înregistrat încă progrese în ceea ce privește prezentarea unor reforme legislative cuprinzătoare privind activitățile de lobby și practica „ușilor turnante”. Întrucât aceste lacune în ceea ce privește normele de integritate rămân nesoluționate, se recomandă Ungariei </w:t>
      </w:r>
      <w:r>
        <w:rPr>
          <w:rFonts w:ascii="Times New Roman" w:hAnsi="Times New Roman"/>
          <w:i/>
          <w:noProof/>
          <w:sz w:val="24"/>
        </w:rPr>
        <w:t>să consolideze cadrul de integritate prin adoptarea unor reforme legislative cuprinzătoare privind activitățile de lobby și practica „ușilor turnante”</w:t>
      </w:r>
      <w:r>
        <w:rPr>
          <w:rFonts w:ascii="Times New Roman" w:hAnsi="Times New Roman"/>
          <w:noProof/>
          <w:sz w:val="24"/>
        </w:rPr>
        <w:t xml:space="preserve">; </w:t>
      </w:r>
    </w:p>
    <w:p w14:paraId="585CCA38" w14:textId="19F36495" w:rsidR="00B34FBD" w:rsidRPr="00D16464" w:rsidRDefault="3DE58C1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nu s-au înregistrat progrese în ceea ce privește realizarea unui bilanț solid al anchetelor, al urmăririlor penale și al hotărârilor definitive în cazurile de corupție la nivel înalt, având în vedere că schimbările pozitive inițiate recent în temeiul cadrului anticorupție nu au intrat încă în vigoare. </w:t>
      </w:r>
      <w:r>
        <w:rPr>
          <w:rFonts w:ascii="Times New Roman" w:hAnsi="Times New Roman"/>
          <w:noProof/>
          <w:color w:val="000000" w:themeColor="text1"/>
          <w:sz w:val="24"/>
        </w:rPr>
        <w:t xml:space="preserve">Prin urmare, se recomandă Ungariei </w:t>
      </w:r>
      <w:r>
        <w:rPr>
          <w:rFonts w:ascii="Times New Roman" w:hAnsi="Times New Roman"/>
          <w:i/>
          <w:noProof/>
          <w:color w:val="000000" w:themeColor="text1"/>
          <w:sz w:val="24"/>
        </w:rPr>
        <w:t>să ia măsuri suplimentare pentru a asigura un bilanț al anchetelor, al urmăririlor penale și al hotărârilor definitive în cazurile de corupție la nivel înalt</w:t>
      </w:r>
      <w:r>
        <w:rPr>
          <w:rFonts w:ascii="Times New Roman" w:hAnsi="Times New Roman"/>
          <w:noProof/>
          <w:color w:val="000000" w:themeColor="text1"/>
          <w:sz w:val="24"/>
        </w:rPr>
        <w:t>;</w:t>
      </w:r>
    </w:p>
    <w:p w14:paraId="530504B9" w14:textId="7BE00149" w:rsidR="00EB78FE" w:rsidRPr="00D16464" w:rsidRDefault="009543B6" w:rsidP="007C6F34">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 xml:space="preserve">s-au înregistrat unele progrese pentru a se asigura că nu există obstacole care să îngreunează activitatea organizațiilor societății civile și pentru a promova un spațiu civic sigur și favorabil, având în vedere că au fost luate măsuri precum desființarea Biroului pentru protecția suveranității, însă legislația care afectează capacitatea de muncă a acestora nu a fost abrogată. Prin urmare, se recomandă Ungariei </w:t>
      </w:r>
      <w:r>
        <w:rPr>
          <w:rFonts w:ascii="Times New Roman" w:hAnsi="Times New Roman"/>
          <w:i/>
          <w:noProof/>
          <w:sz w:val="24"/>
        </w:rPr>
        <w:t>să se asigure în continuare că nu există obstacole care îngreunează activitatea organizațiilor societății civile, inclusiv prin abrogarea legislației care afectează capacitatea de muncă a acestora, și să promoveze în continuare un spațiu civic sigur și favorabil</w:t>
      </w:r>
      <w:r>
        <w:rPr>
          <w:rFonts w:ascii="Times New Roman" w:hAnsi="Times New Roman"/>
          <w:noProof/>
          <w:sz w:val="24"/>
        </w:rPr>
        <w:t>.</w:t>
      </w:r>
    </w:p>
    <w:p w14:paraId="18639E8D" w14:textId="4574C9DD" w:rsidR="00CE5604" w:rsidRPr="00D16464" w:rsidRDefault="00CE5604" w:rsidP="009C392D">
      <w:pPr>
        <w:spacing w:line="240" w:lineRule="auto"/>
        <w:rPr>
          <w:rFonts w:ascii="Times New Roman" w:eastAsia="Times New Roman" w:hAnsi="Times New Roman" w:cs="Times New Roman"/>
          <w:bCs/>
          <w:noProof/>
          <w:kern w:val="0"/>
          <w:sz w:val="24"/>
        </w:rPr>
      </w:pPr>
    </w:p>
    <w:p w14:paraId="70960DB2" w14:textId="50AD311F" w:rsidR="00EB78FE" w:rsidRPr="00D16464" w:rsidRDefault="004237E6"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Î</w:t>
      </w:r>
      <w:r w:rsidR="00EB78FE">
        <w:rPr>
          <w:rFonts w:ascii="Times New Roman" w:hAnsi="Times New Roman"/>
          <w:noProof/>
          <w:sz w:val="24"/>
        </w:rPr>
        <w:t>n ceea ce privește celelalte recomandări din 2025, Comisia concluzionează că:</w:t>
      </w:r>
    </w:p>
    <w:p w14:paraId="644D2CA3" w14:textId="77777777" w:rsidR="00EB78FE" w:rsidRPr="004237E6" w:rsidRDefault="00EB78FE"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fr-BE" w:eastAsia="en-GB"/>
        </w:rPr>
      </w:pPr>
    </w:p>
    <w:p w14:paraId="6221676F" w14:textId="51DB0FBC" w:rsidR="00EB78FE" w:rsidRPr="00D16464" w:rsidRDefault="00EB78FE"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 xml:space="preserve">s-au înregistrat unele progrese în ceea ce privește introducerea unor mecanisme de consolidare a independenței funcționale a autorității de reglementare din domeniul mass-mediei, având în vedere legislația recentă care a introdus reforme în acest domeniu; </w:t>
      </w:r>
    </w:p>
    <w:p w14:paraId="5B2BA662" w14:textId="74B8C0E4" w:rsidR="00EB78FE" w:rsidRPr="00D16464" w:rsidRDefault="00EB78FE"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4"/>
        </w:rPr>
      </w:pPr>
      <w:r>
        <w:rPr>
          <w:rFonts w:ascii="Times New Roman" w:hAnsi="Times New Roman"/>
          <w:noProof/>
          <w:sz w:val="24"/>
        </w:rPr>
        <w:t>nu s-au înregistrat încă progrese în ceea ce privește asigurarea distribuirii echitabile și transparente a cheltuielilor de publicitate de către stat și de către întreprinderile de stat, deoarece nu au fost propuse măsuri legislative sau de altă natură;</w:t>
      </w:r>
      <w:r w:rsidR="00382FDF">
        <w:rPr>
          <w:rFonts w:ascii="Times New Roman" w:hAnsi="Times New Roman"/>
          <w:noProof/>
          <w:sz w:val="24"/>
        </w:rPr>
        <w:t xml:space="preserve"> </w:t>
      </w:r>
    </w:p>
    <w:p w14:paraId="3165592C" w14:textId="23C0397A" w:rsidR="00DF3061" w:rsidRPr="00D16464" w:rsidRDefault="00EB78FE"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 xml:space="preserve">s-au înregistrat unele progrese în ceea ce privește consolidarea normelor și a mecanismelor de îmbunătățire a guvernanței independente și a independenței editoriale a serviciilor publice de mass-media, ținând seama de standardele europene privind serviciile publice de mass-media, având în vedere legislația recentă care a introdus reforme în acest domeniu. </w:t>
      </w:r>
    </w:p>
    <w:p w14:paraId="4FA3DAF1" w14:textId="77777777" w:rsidR="008D4533" w:rsidRPr="004237E6" w:rsidRDefault="008D4533" w:rsidP="007C6F34">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eastAsia="en-GB"/>
        </w:rPr>
      </w:pPr>
    </w:p>
    <w:p w14:paraId="63C55C87" w14:textId="725AE40C" w:rsidR="00EB78FE" w:rsidRPr="00D16464" w:rsidRDefault="00EB78FE" w:rsidP="007C6F34">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Având în vedere că subiectele celor trei recomandări de mai sus sunt reglementate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w:t>
      </w:r>
    </w:p>
    <w:p w14:paraId="4840088B" w14:textId="77777777" w:rsidR="00EB78FE" w:rsidRPr="004237E6" w:rsidRDefault="00EB78FE"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eastAsia="en-GB"/>
        </w:rPr>
      </w:pPr>
    </w:p>
    <w:p w14:paraId="78DA4035"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67DE24F1"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Malta </w:t>
      </w:r>
    </w:p>
    <w:p w14:paraId="2F048697" w14:textId="56754988"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reamintind totodată angajamentele relevante asumate în cadrul planului de redresare și reziliență, cât și recomandarea specifică fiecărei țări din cadrul semestrului european privind eficiența sistemului judiciar, Comisia formulează următoarele concluzii: </w:t>
      </w:r>
    </w:p>
    <w:p w14:paraId="5BAC1A88"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32F11CE0" w14:textId="58246AAF" w:rsidR="00E326F8" w:rsidRPr="00D16464" w:rsidRDefault="00E004B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nu s-au înregistrat progrese suplimentare în ceea ce privește reforma propusă pentru a implica sistemul judiciar în procedura de numire a președintelui Curții Supreme, întrucât dezbaterea politică a continuat. Întrucât reforma este încă pendinte, se recomandă Maltei </w:t>
      </w:r>
      <w:r>
        <w:rPr>
          <w:rFonts w:ascii="Times New Roman" w:hAnsi="Times New Roman"/>
          <w:i/>
          <w:noProof/>
          <w:sz w:val="24"/>
        </w:rPr>
        <w:t>să continue reformele în vederea implicării sistemului judiciar în procedura de numire a președintelui Curții Supreme, ținând seama de standardele europene privind numirile judiciare</w:t>
      </w:r>
      <w:r>
        <w:rPr>
          <w:rFonts w:ascii="Times New Roman" w:hAnsi="Times New Roman"/>
          <w:noProof/>
          <w:sz w:val="24"/>
        </w:rPr>
        <w:t xml:space="preserve">; </w:t>
      </w:r>
    </w:p>
    <w:p w14:paraId="56DDBD4C" w14:textId="78EC8052" w:rsidR="00DC104E" w:rsidRPr="00D16464" w:rsidRDefault="003305A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nu s-au înregistrat progrese suplimentare în ceea ce privește intensificarea eforturilor de îmbunătățire a eficienței justiției, în special prin scurtarea duratei procedurilor, ceea ce rămâne un motiv de îngrijorare.</w:t>
      </w:r>
      <w:r w:rsidR="00382FDF">
        <w:rPr>
          <w:rFonts w:ascii="Times New Roman" w:hAnsi="Times New Roman"/>
          <w:noProof/>
          <w:sz w:val="24"/>
        </w:rPr>
        <w:t xml:space="preserve"> </w:t>
      </w:r>
      <w:r>
        <w:rPr>
          <w:rFonts w:ascii="Times New Roman" w:hAnsi="Times New Roman"/>
          <w:noProof/>
          <w:sz w:val="24"/>
        </w:rPr>
        <w:t xml:space="preserve">Prin urmare, se recomandă Maltei </w:t>
      </w:r>
      <w:r>
        <w:rPr>
          <w:rFonts w:ascii="Times New Roman" w:hAnsi="Times New Roman"/>
          <w:i/>
          <w:noProof/>
          <w:sz w:val="24"/>
        </w:rPr>
        <w:t>să continue inițiativele de alocare a unor resurse sporite, de reformare a procedurilor judiciare și de promovare a digitalizării în vederea îmbunătățirii eficienței justiției</w:t>
      </w:r>
      <w:r>
        <w:rPr>
          <w:rFonts w:ascii="Times New Roman" w:hAnsi="Times New Roman"/>
          <w:noProof/>
          <w:sz w:val="24"/>
        </w:rPr>
        <w:t>;</w:t>
      </w:r>
      <w:r w:rsidR="00382FDF">
        <w:rPr>
          <w:rFonts w:ascii="Times New Roman" w:hAnsi="Times New Roman"/>
          <w:noProof/>
          <w:sz w:val="24"/>
        </w:rPr>
        <w:t xml:space="preserve"> </w:t>
      </w:r>
    </w:p>
    <w:p w14:paraId="13B3E0C2" w14:textId="1BB12965" w:rsidR="00DC104E" w:rsidRPr="00D16464" w:rsidRDefault="00EB3AD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s-au înregistrat progrese limitate în ceea ce privește abordarea provocărilor legate de durata anchetelor în cazurile de corupție la nivel înalt, întrucât poliția și procurorul general au continuat să aloce resurse sporite și au lansat noi anchete și urmăriri penale. nu s-au înregistrat progrese în ceea ce privește realizarea unui bilanț solid al hotărârilor definitive, având în vedere numărul mare de cauze pendinte în instanță, volumul de muncă al judecătorilor și echipa limitată de patru magistrați care se ocupă de cercetările preliminare. Prin urmare, se recomandă Maltei </w:t>
      </w:r>
      <w:r>
        <w:rPr>
          <w:rFonts w:ascii="Times New Roman" w:hAnsi="Times New Roman"/>
          <w:i/>
          <w:noProof/>
          <w:sz w:val="24"/>
        </w:rPr>
        <w:t>să își intensifice eforturile de abordare a provocărilor legate de durata anchetelor în cazurile de corupție la nivel înalt și să realizeze unui bilanț solid al hotărârilor definitive</w:t>
      </w:r>
      <w:r>
        <w:rPr>
          <w:rFonts w:ascii="Times New Roman" w:hAnsi="Times New Roman"/>
          <w:noProof/>
          <w:sz w:val="24"/>
        </w:rPr>
        <w:t xml:space="preserve">; </w:t>
      </w:r>
    </w:p>
    <w:p w14:paraId="78C8F7D6" w14:textId="4494D498" w:rsidR="00437BD4" w:rsidRPr="00D16464" w:rsidRDefault="00437BD4"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s-au înregistrat progrese limitate în ceea ce privește adoptarea mai multor garanții legislative și de altă natură care să îmbunătățească mediul de lucru al jurnaliștilor, inclusiv în privința accesului la documentele oficiale, având în vedere că a fost efectuată o consultare publică și că a devenit operațional un sistem de gestionare electronică. Întrucât provocările persistă, se recomandă Maltei </w:t>
      </w:r>
      <w:r>
        <w:rPr>
          <w:rFonts w:ascii="Times New Roman" w:hAnsi="Times New Roman"/>
          <w:i/>
          <w:noProof/>
          <w:sz w:val="24"/>
        </w:rPr>
        <w:t>să adopte garanții legislative care să îmbunătățească mediul de lucru al jurnaliștilor și accesului la documente, ținând seama de standardele europene privind protecția jurnaliștilor și accesul la documentele oficiale</w:t>
      </w:r>
      <w:r>
        <w:rPr>
          <w:rFonts w:ascii="Times New Roman" w:hAnsi="Times New Roman"/>
          <w:noProof/>
          <w:sz w:val="24"/>
        </w:rPr>
        <w:t>;</w:t>
      </w:r>
    </w:p>
    <w:p w14:paraId="5CF7DA5E" w14:textId="3B0A5464" w:rsidR="00E7145C" w:rsidRPr="00D16464" w:rsidRDefault="00E7145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s-au înregistrat progrese limitate în ceea ce privește introducerea unui cadru formal pentru participarea publicului la procesul legislativ, întrucât guvernul a înființat un departament de consultare publică. Întrucât reformele legislative nu au fost încă finalizate, se recomandă Maltei </w:t>
      </w:r>
      <w:r>
        <w:rPr>
          <w:rFonts w:ascii="Times New Roman" w:hAnsi="Times New Roman"/>
          <w:i/>
          <w:noProof/>
          <w:sz w:val="24"/>
        </w:rPr>
        <w:t>să introducă un cadru formal pentru participarea publicului la procesul legislativ</w:t>
      </w:r>
      <w:r>
        <w:rPr>
          <w:rFonts w:ascii="Times New Roman" w:hAnsi="Times New Roman"/>
          <w:noProof/>
          <w:sz w:val="24"/>
        </w:rPr>
        <w:t>;</w:t>
      </w:r>
    </w:p>
    <w:p w14:paraId="2ADCBF6D" w14:textId="337F9191" w:rsidR="0052594A" w:rsidRPr="00D16464" w:rsidRDefault="0052594A"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nu s-au înregistrat progrese în ceea ce privește continuarea măsurilor de înființare a unei instituții naționale pentru drepturile omului, ținând seama de Principiile de la Paris ale ONU, întrucât un proiect de lege este încă în curs de pregătire. Prin urmare, se recomandă Maltei </w:t>
      </w:r>
      <w:r>
        <w:rPr>
          <w:rFonts w:ascii="Times New Roman" w:hAnsi="Times New Roman"/>
          <w:i/>
          <w:noProof/>
          <w:sz w:val="24"/>
        </w:rPr>
        <w:t>să înființeze o instituție națională pentru drepturile omului, ținând seama de Principiile de la Paris ale ONU</w:t>
      </w:r>
      <w:r>
        <w:rPr>
          <w:rFonts w:ascii="Times New Roman" w:hAnsi="Times New Roman"/>
          <w:noProof/>
          <w:sz w:val="24"/>
        </w:rPr>
        <w:t>.</w:t>
      </w:r>
    </w:p>
    <w:p w14:paraId="001290DE" w14:textId="77777777" w:rsidR="001767B5" w:rsidRPr="004237E6" w:rsidRDefault="001767B5"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
          <w:bCs/>
          <w:noProof/>
          <w:kern w:val="0"/>
          <w:sz w:val="24"/>
          <w:szCs w:val="20"/>
          <w:lang w:val="fr-BE" w:eastAsia="en-GB"/>
        </w:rPr>
      </w:pPr>
    </w:p>
    <w:p w14:paraId="1C2BE522" w14:textId="38F07454" w:rsidR="001767B5" w:rsidRPr="00D16464" w:rsidRDefault="001767B5" w:rsidP="006E5D1C">
      <w:pPr>
        <w:pageBreakBefore/>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În ceea ce privește celelalte recomandări din 2025, Comisia concluzionează că:</w:t>
      </w:r>
    </w:p>
    <w:p w14:paraId="5B01FA94" w14:textId="77777777" w:rsidR="001767B5" w:rsidRPr="004237E6" w:rsidRDefault="001767B5"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lang w:val="fr-BE" w:eastAsia="en-GB"/>
        </w:rPr>
      </w:pPr>
    </w:p>
    <w:p w14:paraId="206F266D" w14:textId="3B4D77ED" w:rsidR="001767B5" w:rsidRPr="00D16464" w:rsidRDefault="001767B5"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s-au înregistrat unele progrese în ceea ce privește consolidarea normelor și a mecanismelor de îmbunătățire a guvernanței independente și a independenței editoriale a serviciilor publice de mass-media, ținând seama de standardele europene privind serviciile publice de mass-media, având în vedere adoptarea unei legislații care abordează anumite aspecte ale acestei probleme. Având în vedere că subiectele prezentei recomandări sunt reglementate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w:t>
      </w:r>
    </w:p>
    <w:p w14:paraId="2985D804"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0EBCE394"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Țările de Jos </w:t>
      </w:r>
    </w:p>
    <w:p w14:paraId="0FFE27F6" w14:textId="5E8977EC"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Per ansamblu, pe baza recomandărilor din ediția din 2025 a Raportului privind statul de drept și având în vedere alte evoluții care au avut loc în perioada de referință, Comisia formulează următoarele concluzii: </w:t>
      </w:r>
    </w:p>
    <w:p w14:paraId="244FB314"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47A3FF18" w14:textId="0D4083B8" w:rsidR="00DC104E" w:rsidRPr="00D16464" w:rsidRDefault="00C32A0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s-au înregistrat progrese limitate în ceea ce privește stabilirea unor norme de transparență mai stricte privind activitățile de lobby pentru membrii guvernului și ai Parlamentului, întrucât guvernul și-a anunțat intenția de a introduce un registru de transparență. Se recomandă Țărilor de Jos </w:t>
      </w:r>
      <w:r>
        <w:rPr>
          <w:rFonts w:ascii="Times New Roman" w:hAnsi="Times New Roman"/>
          <w:i/>
          <w:noProof/>
          <w:sz w:val="24"/>
        </w:rPr>
        <w:t>să instituie dispoziții legislative pentru a stabili norme de transparență mai stricte privind activitățile de lobby pentru membrii guvernului și ai Parlamentului;</w:t>
      </w:r>
    </w:p>
    <w:p w14:paraId="160874DF" w14:textId="137019C2" w:rsidR="00AF24A0" w:rsidRPr="00D16464" w:rsidRDefault="003B552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0"/>
        </w:rPr>
      </w:pPr>
      <w:r>
        <w:rPr>
          <w:rFonts w:ascii="Times New Roman" w:hAnsi="Times New Roman"/>
          <w:noProof/>
          <w:sz w:val="24"/>
        </w:rPr>
        <w:t>s-au înregistrat unele progrese în ceea ce privește continuarea reformei planificate a serviciilor publice de mass-media pentru a consolida guvernanța acestora și capacitatea lor de a respecta standardele jurnalistice, fiind în prezent în curs de examinare în Parlament lucrările pregătitoare pentru reforma serviciilor publice de mass-media și un proiect de lege privind serviciile publice locale de radiodifuziune. Având în vedere că unele părți din prezenta recomandare sunt reglementate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w:t>
      </w:r>
      <w:r>
        <w:rPr>
          <w:rFonts w:ascii="Times New Roman" w:hAnsi="Times New Roman"/>
          <w:i/>
          <w:noProof/>
          <w:sz w:val="24"/>
        </w:rPr>
        <w:t xml:space="preserve"> </w:t>
      </w:r>
      <w:r>
        <w:rPr>
          <w:rFonts w:ascii="Times New Roman" w:hAnsi="Times New Roman"/>
          <w:noProof/>
          <w:sz w:val="24"/>
        </w:rPr>
        <w:t xml:space="preserve">Având în vedere cele de mai sus, se recomandă Țărilor de Jos </w:t>
      </w:r>
      <w:r>
        <w:rPr>
          <w:rFonts w:ascii="Times New Roman" w:hAnsi="Times New Roman"/>
          <w:i/>
          <w:noProof/>
          <w:sz w:val="24"/>
        </w:rPr>
        <w:t>să își continue activitatea în ceea ce privește respectarea standardelor jurnalistice de către serviciile publice de mass-media</w:t>
      </w:r>
      <w:r>
        <w:rPr>
          <w:rFonts w:ascii="Times New Roman" w:hAnsi="Times New Roman"/>
          <w:noProof/>
          <w:sz w:val="24"/>
        </w:rPr>
        <w:t xml:space="preserve">. </w:t>
      </w:r>
    </w:p>
    <w:p w14:paraId="140F7328" w14:textId="77777777" w:rsidR="003954AD" w:rsidRPr="004237E6" w:rsidRDefault="003954AD"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0"/>
          <w:lang w:val="fr-BE" w:eastAsia="en-GB"/>
        </w:rPr>
      </w:pPr>
    </w:p>
    <w:p w14:paraId="1F710CD3" w14:textId="2F21BD6C" w:rsidR="003954AD" w:rsidRPr="00D16464" w:rsidRDefault="003954AD"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În ceea ce privește celelalte recomandări din 2025, Comisia concluzionează că:</w:t>
      </w:r>
    </w:p>
    <w:p w14:paraId="0A00E37C" w14:textId="77777777" w:rsidR="003954AD" w:rsidRPr="004237E6" w:rsidRDefault="003954AD" w:rsidP="00194612">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fr-BE" w:eastAsia="en-GB"/>
        </w:rPr>
      </w:pPr>
    </w:p>
    <w:p w14:paraId="2FD43C7A" w14:textId="4E98DEEC" w:rsidR="003954AD" w:rsidRPr="00D16464" w:rsidRDefault="003954AD" w:rsidP="00194612">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s-au înregistrat progrese semnificative în ceea ce privește îmbunătățirea condițiilor de muncă în sistemul de justiție și abordarea problemei deficitului de personal, întrucât au fost puse la dispoziție fonduri suplimentare, iar măsurile de reducere a volumului de muncă au început să dea rezultate. Evoluțiile ulterioare în acest domeniu vor fi monitorizate în continuare în Raportul privind statul de drept;</w:t>
      </w:r>
    </w:p>
    <w:p w14:paraId="0BF5B0AE" w14:textId="59ACED75" w:rsidR="00BA338D" w:rsidRPr="00D16464" w:rsidRDefault="00BA338D" w:rsidP="00194612">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s-au înregistrat unele progrese suplimentare în ceea ce privește continuarea propunerilor Comisiei Naționale privind Statul de Drept de consolidare a unei culturi a statului de drept datorită disponibilității unor fonduri suplimentare și a disponibilității de a continua dialogul între puterile statului. Evoluțiile ulterioare în acest domeniu vor fi monitorizate în continuare în Raportul privind statul de drept.</w:t>
      </w:r>
    </w:p>
    <w:p w14:paraId="5331B494"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34E978CB"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Austria </w:t>
      </w:r>
    </w:p>
    <w:p w14:paraId="0DD9878F" w14:textId="482FA8DA"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Per ansamblu, pe baza recomandărilor din ediția din 2025 a Raportului privind statul de drept și având în vedere alte evoluții care au avut loc în perioada de referință, Comisia formulează următoarele concluzii: </w:t>
      </w:r>
    </w:p>
    <w:p w14:paraId="6D32206F"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371337F6" w14:textId="285EBED4" w:rsidR="00DC104E" w:rsidRPr="00D16464" w:rsidRDefault="000E66F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bCs/>
          <w:noProof/>
          <w:kern w:val="0"/>
          <w:sz w:val="24"/>
          <w:szCs w:val="20"/>
        </w:rPr>
      </w:pPr>
      <w:r>
        <w:rPr>
          <w:rFonts w:ascii="Times New Roman" w:hAnsi="Times New Roman"/>
          <w:noProof/>
          <w:sz w:val="24"/>
        </w:rPr>
        <w:t xml:space="preserve">nu s-au înregistrat progrese în ceea ce privește necesitatea implicării sistemului judiciar în numirea (vice)președinților instanțelor administrative. Prin urmare, având în vedere preocupările persistente, se recomandă Austriei </w:t>
      </w:r>
      <w:r>
        <w:rPr>
          <w:rFonts w:ascii="Times New Roman" w:hAnsi="Times New Roman"/>
          <w:i/>
          <w:noProof/>
          <w:sz w:val="24"/>
        </w:rPr>
        <w:t>să își intensifice eforturile pentru a aborda necesitatea implicării sistemului judiciar în procedurile de numire a președinților de instanță ai instanțelor administrative, ținând seama de standardele europene privind numirile judiciare și selectarea președinților de instanță</w:t>
      </w:r>
      <w:r>
        <w:rPr>
          <w:rFonts w:ascii="Times New Roman" w:hAnsi="Times New Roman"/>
          <w:noProof/>
          <w:sz w:val="24"/>
        </w:rPr>
        <w:t>;</w:t>
      </w:r>
      <w:r>
        <w:rPr>
          <w:rFonts w:ascii="Times New Roman" w:hAnsi="Times New Roman"/>
          <w:i/>
          <w:noProof/>
          <w:sz w:val="24"/>
        </w:rPr>
        <w:t xml:space="preserve"> </w:t>
      </w:r>
    </w:p>
    <w:p w14:paraId="7756B919" w14:textId="3DFA2884" w:rsidR="00DC104E" w:rsidRPr="00D16464" w:rsidRDefault="000361D8"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s-au înregistrat unele progrese în ceea ce privește instituirea unui parchet federal independent, întrucât</w:t>
      </w:r>
      <w:r>
        <w:rPr>
          <w:noProof/>
        </w:rPr>
        <w:t xml:space="preserve"> </w:t>
      </w:r>
      <w:r>
        <w:rPr>
          <w:rFonts w:ascii="Times New Roman" w:hAnsi="Times New Roman"/>
          <w:noProof/>
          <w:sz w:val="24"/>
        </w:rPr>
        <w:t xml:space="preserve">un proiect de reformă a fost prezentat și supus consultării publice. Prin urmare, se recomandă Austriei </w:t>
      </w:r>
      <w:r>
        <w:rPr>
          <w:rFonts w:ascii="Times New Roman" w:hAnsi="Times New Roman"/>
          <w:i/>
          <w:noProof/>
          <w:sz w:val="24"/>
        </w:rPr>
        <w:t>să continue reforma de creare a unui parchet federal independent, ținând seama de standardele europene privind independența și autonomia organelor de urmărire penală, inclusiv pentru asigurarea funcționării independente a parchetelor specializate în combaterea corupției</w:t>
      </w:r>
      <w:r>
        <w:rPr>
          <w:rFonts w:ascii="Times New Roman" w:hAnsi="Times New Roman"/>
          <w:noProof/>
          <w:sz w:val="24"/>
        </w:rPr>
        <w:t>;</w:t>
      </w:r>
    </w:p>
    <w:p w14:paraId="49B7B460" w14:textId="734EB3B0" w:rsidR="001942CE" w:rsidRPr="00D16464" w:rsidRDefault="00E32B26"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nu s-au înregistrat progrese suplimentare în ceea ce privește introducerea unor norme privind divulgarea activelor și a intereselor membrilor parlamentului, deoarece în noua perioadă legislativă nu au fost luate măsuri pentru ca această chestiune să progreseze din stadiul în care se afla la ultima discuție a grupurilor parlamentare cu privire la introducerea unor astfel de norme în mai 2025. Prin urmare, se recomandă Austriei </w:t>
      </w:r>
      <w:r>
        <w:rPr>
          <w:rFonts w:ascii="Times New Roman" w:hAnsi="Times New Roman"/>
          <w:i/>
          <w:noProof/>
          <w:sz w:val="24"/>
        </w:rPr>
        <w:t>să introducă norme eficace privind declarațiile de avere și de interese ale membrilor parlamentului, inclusiv mecanisme eficace de monitorizare și sancționare</w:t>
      </w:r>
      <w:r>
        <w:rPr>
          <w:rFonts w:ascii="Times New Roman" w:hAnsi="Times New Roman"/>
          <w:noProof/>
          <w:sz w:val="24"/>
        </w:rPr>
        <w:t>;</w:t>
      </w:r>
    </w:p>
    <w:p w14:paraId="4AA6C3C3" w14:textId="07B82F61" w:rsidR="002E0FE3" w:rsidRPr="00D16464" w:rsidRDefault="00884932"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nu s-au înregistrat progrese în ceea ce privește consolidarea cadrului privind activitățile de lobby, deoarece nu au fost luate măsuri pentru a extinde domeniul de aplicare al legislației privind activitățile de lobby și obligațiile de a publica aceste informații în registrul de transparență. Prin urmare, se recomandă Austriei </w:t>
      </w:r>
      <w:r>
        <w:rPr>
          <w:rFonts w:ascii="Times New Roman" w:hAnsi="Times New Roman"/>
          <w:i/>
          <w:noProof/>
          <w:sz w:val="24"/>
        </w:rPr>
        <w:t>să adopte o propunere legislativă de consolidare a cadrului privind activitățile de lobby, inclusiv prin intermediul unui registru de transparență.</w:t>
      </w:r>
    </w:p>
    <w:p w14:paraId="6DD4119C" w14:textId="77777777" w:rsidR="000361D8" w:rsidRPr="004237E6" w:rsidRDefault="000361D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lang w:val="fr-BE" w:eastAsia="en-GB"/>
        </w:rPr>
      </w:pPr>
    </w:p>
    <w:p w14:paraId="19362799" w14:textId="0C772A2C" w:rsidR="000361D8" w:rsidRPr="00D16464" w:rsidRDefault="000361D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În ceea ce privește celelalte recomandări din 2025, Comisia concluzionează că:</w:t>
      </w:r>
    </w:p>
    <w:p w14:paraId="0422C33C" w14:textId="77777777" w:rsidR="000361D8" w:rsidRPr="004237E6" w:rsidRDefault="000361D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bCs/>
          <w:noProof/>
          <w:kern w:val="0"/>
          <w:sz w:val="24"/>
          <w:lang w:val="fr-BE" w:eastAsia="en-GB"/>
        </w:rPr>
      </w:pPr>
    </w:p>
    <w:p w14:paraId="56CC9077" w14:textId="794509ED" w:rsidR="007B34E6" w:rsidRPr="00D16464" w:rsidRDefault="00307AE8"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s-au înregistrat progrese semnificative în ceea ce privește luarea de măsuri pentru a asigura punerea în aplicare și asigurarea respectării corespunzătoare în ceea ce privește distribuirea echitabilă a publicității de stat, având în vedere adoptarea legislației și a orientărilor guvernamentale care reglementează această chestiune. Având în vedere că subiectele prezentei recomandări sunt reglementate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w:t>
      </w:r>
      <w:r>
        <w:rPr>
          <w:rFonts w:ascii="Times New Roman" w:hAnsi="Times New Roman"/>
          <w:noProof/>
          <w:sz w:val="24"/>
        </w:rPr>
        <w:br w:type="page"/>
      </w:r>
    </w:p>
    <w:p w14:paraId="00CEF931"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Polonia </w:t>
      </w:r>
    </w:p>
    <w:p w14:paraId="535D70CC" w14:textId="16A06CFA"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și reamintind totodată </w:t>
      </w:r>
      <w:r>
        <w:rPr>
          <w:noProof/>
        </w:rPr>
        <w:t>obligația</w:t>
      </w:r>
      <w:r>
        <w:rPr>
          <w:rFonts w:ascii="Times New Roman" w:hAnsi="Times New Roman"/>
          <w:noProof/>
          <w:sz w:val="24"/>
        </w:rPr>
        <w:t xml:space="preserve"> de a respecta hotărârile Curții de Justiție a UE legate de statul de drept și procedura de constatare a neîndeplinirii obligațiilor legate de statul de drept menționate în capitolul consacrat acestei țări, precum și angajamentele relevante asumate în cadrul planului de redresare și reziliență, Comisia formulează următoarele concluzii: </w:t>
      </w:r>
    </w:p>
    <w:p w14:paraId="42BD3340"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6560AFBA" w14:textId="5A2886F2" w:rsidR="00654AA5" w:rsidRPr="00D16464" w:rsidRDefault="00227E00"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0"/>
        </w:rPr>
      </w:pPr>
      <w:r>
        <w:rPr>
          <w:rFonts w:ascii="Times New Roman" w:hAnsi="Times New Roman"/>
          <w:noProof/>
          <w:sz w:val="24"/>
        </w:rPr>
        <w:t xml:space="preserve">s-au înregistrat unele progrese suplimentare în ceea ce privește punerea în aplicare a Planului de acțiune privind statul de drept, inclusiv în ceea ce privește Consiliul Judiciar Național și Curtea Constituțională, întrucât guvernul și-a continuat activitatea cu privire la proiectele de lege menite să consolideze independența sistemului judiciar și au fost numiți judecători-membri ai Consiliului Judiciar Național, inclusiv în majoritate, din rândul judecătorilor preselectați de colegii lor. Prin urmare, se recomandă Poloniei </w:t>
      </w:r>
      <w:r>
        <w:rPr>
          <w:rFonts w:ascii="Times New Roman" w:hAnsi="Times New Roman"/>
          <w:i/>
          <w:noProof/>
          <w:sz w:val="24"/>
        </w:rPr>
        <w:t>să continue procesul de punere în aplicare a planului de acțiune</w:t>
      </w:r>
      <w:r>
        <w:rPr>
          <w:rFonts w:ascii="Times New Roman" w:hAnsi="Times New Roman"/>
          <w:noProof/>
          <w:sz w:val="24"/>
        </w:rPr>
        <w:t>;</w:t>
      </w:r>
    </w:p>
    <w:p w14:paraId="471B95D9" w14:textId="0D206247" w:rsidR="00B41445" w:rsidRPr="00D16464" w:rsidRDefault="00B41445"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s-au înregistrat progrese suplimentare limitate în ceea ce privește recomandarea de a continua reforma care vizează separarea funcției ministrului justiției de cea a procurorului general și asigurarea independenței funcționale a parchetului față de guvern, întrucât progresele suplimentare depind în prezent de activitatea legislativă în curs în ceea ce privește normele juridice de rang inferior care ar adapta funcționarea parchetelor în cadrul noului sistem avut în vedere. Prin urmare, se recomandă Poloniei </w:t>
      </w:r>
      <w:r>
        <w:rPr>
          <w:rFonts w:ascii="Times New Roman" w:hAnsi="Times New Roman"/>
          <w:i/>
          <w:noProof/>
          <w:sz w:val="24"/>
        </w:rPr>
        <w:t>să continue reforma care vizează separarea funcției ministrului justiției de cea a procurorului general și asigurarea independenței funcționale a parchetului față de guvern;</w:t>
      </w:r>
    </w:p>
    <w:p w14:paraId="6AC989A9" w14:textId="237FCA37" w:rsidR="00DC104E" w:rsidRPr="00D16464" w:rsidRDefault="000A29AE"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nu s-au înregistrat progrese în ceea ce privește stabilirea unor norme privind activitățile de lobby și s-au înregistrat progrese limitate în ceea ce privește un sistem online standardizat pentru declarațiile de avere ale funcționarilor publici și ale membrilor parlamentului, întrucât guvernul și-a anunțat intenția de a reforma sistemul. Prin urmare, se recomandă Poloniei </w:t>
      </w:r>
      <w:r>
        <w:rPr>
          <w:rFonts w:ascii="Times New Roman" w:hAnsi="Times New Roman"/>
          <w:i/>
          <w:noProof/>
          <w:sz w:val="24"/>
        </w:rPr>
        <w:t>să introducă norme privind activitățile de lobby și un sistem online standardizat pentru declarațiile de avere ale funcționarilor publici și ale membrilor parlamentului, asigurând în același timp o verificare eficace</w:t>
      </w:r>
      <w:r>
        <w:rPr>
          <w:rFonts w:ascii="Times New Roman" w:hAnsi="Times New Roman"/>
          <w:noProof/>
          <w:sz w:val="24"/>
        </w:rPr>
        <w:t>;</w:t>
      </w:r>
    </w:p>
    <w:p w14:paraId="18C66622" w14:textId="4DA720D5" w:rsidR="005A7B39" w:rsidRPr="00D16464" w:rsidRDefault="005A7B39"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b/>
          <w:bCs/>
          <w:noProof/>
          <w:kern w:val="0"/>
          <w:sz w:val="24"/>
        </w:rPr>
      </w:pPr>
      <w:r>
        <w:rPr>
          <w:rFonts w:ascii="Times New Roman" w:hAnsi="Times New Roman"/>
          <w:noProof/>
          <w:sz w:val="24"/>
        </w:rPr>
        <w:t xml:space="preserve">s-au înregistrat unele progrese suplimentare în ceea ce privește asigurarea unor anchete și urmăriri penale independente și eficace în cazurile de corupție, dar nu s-au înregistrat progrese în ceea ce privește abordarea domeniului larg de aplicare al imunităților pentru cadrele superioare de conducere și eliminarea clauzelor de impunitate. Prin urmare, se recomandă Poloniei </w:t>
      </w:r>
      <w:r>
        <w:rPr>
          <w:rFonts w:ascii="Times New Roman" w:hAnsi="Times New Roman"/>
          <w:i/>
          <w:noProof/>
          <w:sz w:val="24"/>
        </w:rPr>
        <w:t>să își continue eforturile de asigurare a efectuării de investigări și urmăriri penale independente și eficace în cazurile de corupție, de abordare a domeniului larg de aplicare al imunităților pentru cadrele superioare de conducere și de eliminare a clauzelor de impunitate, astfel încât să poată realiza un bilanț solid al cazurilor de corupție la nivel înalt</w:t>
      </w:r>
      <w:r>
        <w:rPr>
          <w:rFonts w:ascii="Times New Roman" w:hAnsi="Times New Roman"/>
          <w:noProof/>
          <w:sz w:val="24"/>
        </w:rPr>
        <w:t>;</w:t>
      </w:r>
    </w:p>
    <w:p w14:paraId="33AB656F" w14:textId="541F32A3" w:rsidR="00AC50D1" w:rsidRPr="00D16464" w:rsidRDefault="00826B27"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s-au înregistrat unele progrese suplimentare pentru a se asigura respectarea unor proceduri echitabile, transparente și nediscriminatorii de acordare a licențelor de funcționare instituțiilor mass-media, întrucât a fost prezentat și supus consultării publice un proiect de lege. Prin urmare, se recomandă Poloniei </w:t>
      </w:r>
      <w:r>
        <w:rPr>
          <w:rFonts w:ascii="Times New Roman" w:hAnsi="Times New Roman"/>
          <w:i/>
          <w:noProof/>
          <w:sz w:val="24"/>
        </w:rPr>
        <w:t>să continue progresele referitoare la aceste eforturi legislative de finalizare a reformelor menite să asigure respectarea unor proceduri echitabile, transparente și nediscriminatorii de acordare a licențelor de funcționare instituțiilor mass-media</w:t>
      </w:r>
      <w:r>
        <w:rPr>
          <w:rFonts w:ascii="Times New Roman" w:hAnsi="Times New Roman"/>
          <w:noProof/>
          <w:sz w:val="24"/>
        </w:rPr>
        <w:t xml:space="preserve">; </w:t>
      </w:r>
    </w:p>
    <w:p w14:paraId="2B934972" w14:textId="0A1C9DA1" w:rsidR="00393302" w:rsidRPr="00D16464" w:rsidRDefault="0002519A">
      <w:pPr>
        <w:rPr>
          <w:rFonts w:ascii="Times New Roman" w:eastAsia="Times New Roman" w:hAnsi="Times New Roman" w:cs="Times New Roman"/>
          <w:bCs/>
          <w:noProof/>
          <w:kern w:val="0"/>
          <w:sz w:val="24"/>
          <w:szCs w:val="24"/>
        </w:rPr>
      </w:pPr>
      <w:r>
        <w:rPr>
          <w:noProof/>
        </w:rPr>
        <w:br w:type="page"/>
      </w:r>
    </w:p>
    <w:p w14:paraId="3A140FF9" w14:textId="1ABA8840" w:rsidR="00AC3CCA" w:rsidRPr="00D16464" w:rsidRDefault="00AC3CC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4"/>
        </w:rPr>
      </w:pPr>
      <w:r>
        <w:rPr>
          <w:rFonts w:ascii="Times New Roman" w:hAnsi="Times New Roman"/>
          <w:noProof/>
          <w:sz w:val="24"/>
        </w:rPr>
        <w:t>În ceea ce privește celelalte recomandări din 2025, Comisia concluzionează că:</w:t>
      </w:r>
    </w:p>
    <w:p w14:paraId="08E7E439" w14:textId="77777777" w:rsidR="00393302" w:rsidRPr="004237E6" w:rsidRDefault="00393302"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noProof/>
          <w:kern w:val="0"/>
          <w:sz w:val="24"/>
          <w:szCs w:val="24"/>
          <w:lang w:val="fr-BE" w:eastAsia="en-GB"/>
        </w:rPr>
      </w:pPr>
    </w:p>
    <w:p w14:paraId="727DA8B4" w14:textId="52B6B62E" w:rsidR="00E556D6" w:rsidRPr="00D16464" w:rsidRDefault="001C0351"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s-au înregistrat unele progrese suplimentare în ceea ce privește continuarea reformelor menite să asigure un cadru legislativ eficace pentru guvernanța independentă și independența editorială a serviciilor publice de mass-media, întrucât a fost prezentat și supus consultării publice un proiect de lege. Având în vedere că subiectele prezentei recomandări sunt reglementate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w:t>
      </w:r>
    </w:p>
    <w:p w14:paraId="669AE9A6" w14:textId="3D4D8681" w:rsidR="00FF4B78" w:rsidRPr="00D16464" w:rsidRDefault="00BE0BE9"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S-au înregistrat unele progrese suplimentare în ceea ce privește îmbunătățirea cadrului în care funcționează societatea civilă, ținând seama de standardele europene privind organizațiile societății civile, întrucât sunt în curs activități legislative de modificare a legii care reglementează activitățile de interes public și voluntariatul. Evoluțiile ulterioare în acest domeniu vor fi monitorizate în continuare în Raportul privind statul de drept. </w:t>
      </w:r>
    </w:p>
    <w:p w14:paraId="41777B64" w14:textId="515F260B" w:rsidR="007B34E6" w:rsidRPr="00D16464" w:rsidRDefault="007B34E6"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noProof/>
        </w:rPr>
        <w:br w:type="page"/>
      </w:r>
    </w:p>
    <w:p w14:paraId="1FC57FC6" w14:textId="58C2902A"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Portugalia </w:t>
      </w:r>
    </w:p>
    <w:p w14:paraId="7F3DD8FB" w14:textId="0222AB52"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reamintind totodată angajamentele relevante asumate în cadrul planului de redresare și reziliență, cât și recomandarea specifică fiecărei țări din cadrul semestrului european privind eficiența instanțelor administrative și fiscale, Comisia formulează următoarele concluzii: </w:t>
      </w:r>
    </w:p>
    <w:p w14:paraId="02BA1D08" w14:textId="769D844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eastAsia="en-GB"/>
        </w:rPr>
      </w:pPr>
    </w:p>
    <w:p w14:paraId="5BF856E7" w14:textId="77777777" w:rsidR="005610F8" w:rsidRPr="00D16464" w:rsidRDefault="00AF3026" w:rsidP="005610F8">
      <w:pPr>
        <w:numPr>
          <w:ilvl w:val="0"/>
          <w:numId w:val="25"/>
        </w:numPr>
        <w:pBdr>
          <w:top w:val="single" w:sz="4" w:space="1" w:color="auto"/>
          <w:left w:val="single" w:sz="4" w:space="4" w:color="auto"/>
          <w:bottom w:val="single" w:sz="4" w:space="17" w:color="auto"/>
          <w:right w:val="single" w:sz="4" w:space="4" w:color="auto"/>
        </w:pBdr>
        <w:spacing w:after="120" w:line="240" w:lineRule="auto"/>
        <w:ind w:left="357" w:hanging="357"/>
        <w:contextualSpacing/>
        <w:jc w:val="both"/>
        <w:rPr>
          <w:rFonts w:ascii="Times New Roman" w:hAnsi="Times New Roman" w:cs="Times New Roman"/>
          <w:i/>
          <w:noProof/>
          <w:sz w:val="24"/>
          <w:szCs w:val="24"/>
        </w:rPr>
      </w:pPr>
      <w:r>
        <w:rPr>
          <w:rFonts w:ascii="Times New Roman" w:hAnsi="Times New Roman"/>
          <w:noProof/>
          <w:sz w:val="24"/>
        </w:rPr>
        <w:t xml:space="preserve">nu s-au înregistrat progrese suplimentare în ceea ce privește îmbunătățirea eficienței sistemului judiciar, în special a instanțelor administrative și fiscale, întrucât eficiența acestor instanțe s-a deteriorat și mai mult. Prin urmare, având în vedere, de asemenea, preocupările legate de faptul că deteriorarea condițiilor și a securității la sediile instanțelor și ale parchetelor afectează funcționarea instanțelor, se recomandă Portugaliei </w:t>
      </w:r>
      <w:r>
        <w:rPr>
          <w:rFonts w:ascii="Times New Roman" w:hAnsi="Times New Roman"/>
          <w:i/>
          <w:noProof/>
          <w:sz w:val="24"/>
        </w:rPr>
        <w:t>să își intensifice eforturile de îmbunătățire a eficienței sistemului judiciar, inclusiv prin asigurarea unei infrastructuri și a unor echipamente adecvate în clădirile instanțelor și ale parchetelor</w:t>
      </w:r>
      <w:r>
        <w:rPr>
          <w:rFonts w:ascii="Times New Roman" w:hAnsi="Times New Roman"/>
          <w:noProof/>
          <w:sz w:val="24"/>
        </w:rPr>
        <w:t>;</w:t>
      </w:r>
    </w:p>
    <w:p w14:paraId="6EB10BDC" w14:textId="77777777" w:rsidR="005610F8" w:rsidRPr="00D16464" w:rsidRDefault="00D260B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jc w:val="both"/>
        <w:rPr>
          <w:rFonts w:ascii="Times New Roman" w:eastAsia="Times New Roman" w:hAnsi="Times New Roman" w:cs="Times New Roman"/>
          <w:i/>
          <w:noProof/>
          <w:sz w:val="24"/>
          <w:szCs w:val="24"/>
        </w:rPr>
      </w:pPr>
      <w:r>
        <w:rPr>
          <w:rFonts w:ascii="Times New Roman" w:hAnsi="Times New Roman"/>
          <w:noProof/>
          <w:sz w:val="24"/>
        </w:rPr>
        <w:t xml:space="preserve">întrucât persistă provocări în ceea ce privește asigurarea unui nivel cuprinzător de digitalizare, se recomandă Portugaliei </w:t>
      </w:r>
      <w:r>
        <w:rPr>
          <w:rFonts w:ascii="Times New Roman" w:hAnsi="Times New Roman"/>
          <w:i/>
          <w:noProof/>
          <w:sz w:val="24"/>
        </w:rPr>
        <w:t>să ia măsuri suplimentare pentru a îmbunătăți digitalizarea justiției, inclusiv prin îmbunătățirea publicării online și a accesibilității digitale a hotărârilor judecătorești și prin abordarea problemelor care afectează sistemul de gestionare a cazurilor</w:t>
      </w:r>
      <w:r>
        <w:rPr>
          <w:rFonts w:ascii="Times New Roman" w:hAnsi="Times New Roman"/>
          <w:noProof/>
          <w:sz w:val="24"/>
        </w:rPr>
        <w:t>;</w:t>
      </w:r>
    </w:p>
    <w:p w14:paraId="2FA77F54" w14:textId="58D71E4F" w:rsidR="00DC104E" w:rsidRPr="00D16464" w:rsidRDefault="00C76017"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jc w:val="both"/>
        <w:rPr>
          <w:rFonts w:ascii="Times New Roman" w:eastAsia="Times New Roman" w:hAnsi="Times New Roman" w:cs="Times New Roman"/>
          <w:i/>
          <w:noProof/>
          <w:sz w:val="24"/>
          <w:szCs w:val="24"/>
        </w:rPr>
      </w:pPr>
      <w:r>
        <w:rPr>
          <w:rFonts w:ascii="Times New Roman" w:hAnsi="Times New Roman"/>
          <w:noProof/>
          <w:sz w:val="24"/>
        </w:rPr>
        <w:t xml:space="preserve">s-au înregistrat unele progrese în ceea ce privește reglementarea activităților de lobby, întrucât a fost adoptată o lege privind activitățile de lobby. Întrucât sunt necesare măsuri suplimentare de punere în aplicare și nu a fost încă instituit un registru al activităților de lobby, se recomandă Portugaliei </w:t>
      </w:r>
      <w:r>
        <w:rPr>
          <w:rFonts w:ascii="Times New Roman" w:hAnsi="Times New Roman"/>
          <w:i/>
          <w:noProof/>
          <w:sz w:val="24"/>
        </w:rPr>
        <w:t>să asigure crearea și operaționalizarea rapidă a registrului public al activităților de lobby, inclusiv prin furnizarea resurselor necesare pentru funcționarea eficace a acestuia</w:t>
      </w:r>
      <w:r>
        <w:rPr>
          <w:rFonts w:ascii="Times New Roman" w:hAnsi="Times New Roman"/>
          <w:noProof/>
          <w:sz w:val="24"/>
        </w:rPr>
        <w:t>;</w:t>
      </w:r>
    </w:p>
    <w:p w14:paraId="6826C0FF" w14:textId="29F62168" w:rsidR="008069F1" w:rsidRPr="00D16464" w:rsidRDefault="00372B82"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i/>
          <w:iCs/>
          <w:noProof/>
          <w:kern w:val="0"/>
          <w:sz w:val="24"/>
          <w:szCs w:val="20"/>
        </w:rPr>
      </w:pPr>
      <w:r>
        <w:rPr>
          <w:rFonts w:ascii="Times New Roman" w:hAnsi="Times New Roman"/>
          <w:noProof/>
          <w:sz w:val="24"/>
        </w:rPr>
        <w:t xml:space="preserve">s-au înregistrat unele progrese în direcția finalizării reformelor de îmbunătățire a transparenței procesului legislativ, în special în ceea ce privește punerea în aplicare a instrumentelor de evaluare a impactului, întrucât Parlamentul pune în aplicare noi măsuri, în timp ce demersurile pentru implementarea sistemului „amprentei legislative” sunt încă în curs, iar implicarea părților interesate în inițiativele legislative guvernamentale și în evaluările </w:t>
      </w:r>
      <w:r>
        <w:rPr>
          <w:rFonts w:ascii="Times New Roman" w:hAnsi="Times New Roman"/>
          <w:i/>
          <w:noProof/>
          <w:sz w:val="24"/>
        </w:rPr>
        <w:t>ex post</w:t>
      </w:r>
      <w:r>
        <w:rPr>
          <w:rFonts w:ascii="Times New Roman" w:hAnsi="Times New Roman"/>
          <w:noProof/>
          <w:sz w:val="24"/>
        </w:rPr>
        <w:t xml:space="preserve"> ale impactului rămâne limitată. Prin urmare, se recomandă Portugaliei </w:t>
      </w:r>
      <w:r>
        <w:rPr>
          <w:rFonts w:ascii="Times New Roman" w:hAnsi="Times New Roman"/>
          <w:i/>
          <w:noProof/>
          <w:sz w:val="24"/>
        </w:rPr>
        <w:t>să îmbunătățească transparența procesului legislativ la nivel guvernamental, în special în ceea ce privește punerea în aplicare a instrumentelor de evaluare a impactului.</w:t>
      </w:r>
    </w:p>
    <w:p w14:paraId="73400825" w14:textId="77777777" w:rsidR="008069F1" w:rsidRPr="004237E6" w:rsidRDefault="008069F1"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bCs/>
          <w:i/>
          <w:iCs/>
          <w:noProof/>
          <w:kern w:val="0"/>
          <w:sz w:val="24"/>
          <w:szCs w:val="20"/>
          <w:lang w:val="fr-BE" w:eastAsia="en-GB"/>
        </w:rPr>
      </w:pPr>
    </w:p>
    <w:p w14:paraId="7CC23D31" w14:textId="38D52CA1" w:rsidR="008069F1" w:rsidRPr="00D16464" w:rsidRDefault="008069F1"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În ceea ce privește celelalte recomandări din 2025, Comisia concluzionează că:</w:t>
      </w:r>
    </w:p>
    <w:p w14:paraId="7791BE8E" w14:textId="77777777" w:rsidR="00AD6288" w:rsidRPr="004237E6" w:rsidRDefault="00AD628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fr-BE" w:eastAsia="en-GB"/>
        </w:rPr>
      </w:pPr>
    </w:p>
    <w:p w14:paraId="57DF396F" w14:textId="477BF8D2" w:rsidR="005610F8" w:rsidRPr="00D16464" w:rsidRDefault="008069F1" w:rsidP="009C392D">
      <w:pPr>
        <w:numPr>
          <w:ilvl w:val="0"/>
          <w:numId w:val="25"/>
        </w:num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hAnsi="Times New Roman"/>
          <w:bCs/>
          <w:noProof/>
          <w:sz w:val="24"/>
          <w:szCs w:val="24"/>
        </w:rPr>
      </w:pPr>
      <w:r>
        <w:rPr>
          <w:rFonts w:ascii="Times New Roman" w:hAnsi="Times New Roman"/>
          <w:noProof/>
          <w:sz w:val="24"/>
        </w:rPr>
        <w:t>s-au înregistrat progrese semnificative în ceea ce privește adoptarea mai multor măsuri de asigurare a adecvării legislației generale în materie penală pentru a soluționa în mod eficient procedurile penale complexe, întrucât noi măsuri de îmbunătățire a eficienței procedurilor penale complexe sunt în curs de dezbatere în Parlament. Evoluțiile ulterioare în acest domeniu vor fi monitorizate în continuare în Raportul privind statul de drept.</w:t>
      </w:r>
    </w:p>
    <w:p w14:paraId="5DB17F54"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7D6EA675" w14:textId="4E3BA1AA"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România </w:t>
      </w:r>
    </w:p>
    <w:p w14:paraId="2D30F503" w14:textId="1EFBFBBB"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reamintind totodată angajamentele relevante asumate în cadrul planului de redresare și reziliență, cât și recomandarea specifică fiecărei țări din cadrul semestrului european privind previzibilitatea și calitatea procesului decizional, Comisia formulează următoarele concluzii: </w:t>
      </w:r>
    </w:p>
    <w:p w14:paraId="4A343A86"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250BDC57" w14:textId="6FD91E5B" w:rsidR="008E48F4" w:rsidRPr="00D16464" w:rsidRDefault="004237E6"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în România, </w:t>
      </w:r>
      <w:r w:rsidR="008E48F4">
        <w:rPr>
          <w:rFonts w:ascii="Times New Roman" w:hAnsi="Times New Roman"/>
          <w:noProof/>
          <w:sz w:val="24"/>
        </w:rPr>
        <w:t>legile justiției continuă să fie puse în aplicare</w:t>
      </w:r>
      <w:r w:rsidR="008E48F4">
        <w:rPr>
          <w:noProof/>
        </w:rPr>
        <w:t xml:space="preserve"> </w:t>
      </w:r>
      <w:r w:rsidR="008E48F4">
        <w:rPr>
          <w:rFonts w:ascii="Times New Roman" w:hAnsi="Times New Roman"/>
          <w:noProof/>
          <w:sz w:val="24"/>
        </w:rPr>
        <w:t xml:space="preserve">și au contribuit la îmbunătățirea cadrului legislativ pentru independența și funcționarea sistemului judiciar, în timp ce un proces de reflecție cu privire la diverse aspecte legate de sistemul judiciar </w:t>
      </w:r>
      <w:r>
        <w:rPr>
          <w:rFonts w:ascii="Times New Roman" w:hAnsi="Times New Roman"/>
          <w:noProof/>
          <w:sz w:val="24"/>
        </w:rPr>
        <w:t xml:space="preserve">apărute în dezbateri publice </w:t>
      </w:r>
      <w:r w:rsidR="008E48F4">
        <w:rPr>
          <w:rFonts w:ascii="Times New Roman" w:hAnsi="Times New Roman"/>
          <w:noProof/>
          <w:sz w:val="24"/>
        </w:rPr>
        <w:t xml:space="preserve">a fost suspendat în urma unei decizii a Înaltei Curți de Casație și Justiție. Prin urmare, se recomandă României </w:t>
      </w:r>
      <w:r w:rsidR="008E48F4">
        <w:rPr>
          <w:rFonts w:ascii="Times New Roman" w:hAnsi="Times New Roman"/>
          <w:i/>
          <w:noProof/>
          <w:sz w:val="24"/>
        </w:rPr>
        <w:t>să continue evaluarea punerii în aplicare a legilor justiției în strânsă consultare cu părțile interesate relevante, inclusiv în ceea ce privește măsurile suplimentare de îmbunătățire a eficacității și a guvernanței sistemului judiciar;</w:t>
      </w:r>
    </w:p>
    <w:p w14:paraId="16360F07" w14:textId="70BCC553" w:rsidR="005D474D" w:rsidRPr="00D16464" w:rsidRDefault="00E1071E"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nu s-au înregistrat încă progrese în ceea ce privește consolidarea garanțiilor menite să asigure independența procurorilor de rang înalt și nici în ceea ce privește organizarea și funcționarea poliției judiciare, întrucât procesul de reflecție cu privire la diverse aspecte legate de sistemul judiciar a fost suspendat temporar. Prin urmare, se recomandă României </w:t>
      </w:r>
      <w:r>
        <w:rPr>
          <w:rFonts w:ascii="Times New Roman" w:hAnsi="Times New Roman"/>
          <w:i/>
          <w:noProof/>
          <w:sz w:val="24"/>
        </w:rPr>
        <w:t>să intensifice activitatea legislativă de consolidare a garanțiilor menite să asigure independența procurorilor de rang înalt, precum și organizarea și funcționarea poliției judiciare;</w:t>
      </w:r>
      <w:r>
        <w:rPr>
          <w:rFonts w:ascii="Times New Roman" w:hAnsi="Times New Roman"/>
          <w:noProof/>
          <w:sz w:val="24"/>
        </w:rPr>
        <w:t xml:space="preserve"> </w:t>
      </w:r>
    </w:p>
    <w:p w14:paraId="76EE4973" w14:textId="1BFB0AAB" w:rsidR="007B7C57" w:rsidRPr="00D16464" w:rsidRDefault="00C40AC2"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i/>
          <w:noProof/>
          <w:kern w:val="0"/>
          <w:sz w:val="24"/>
        </w:rPr>
      </w:pPr>
      <w:r>
        <w:rPr>
          <w:rFonts w:ascii="Times New Roman" w:hAnsi="Times New Roman"/>
          <w:noProof/>
          <w:sz w:val="24"/>
        </w:rPr>
        <w:t xml:space="preserve">nu s-au înregistrat progrese suplimentare în ceea ce privește asigurarea cercetării și urmăririi penale eficace a infracțiunilor de corupție în sistemul judiciar, deoarece nu au fost luate măsuri pentru a remedia deficiențele rămase. Se recomandă României </w:t>
      </w:r>
      <w:r>
        <w:rPr>
          <w:rFonts w:ascii="Times New Roman" w:hAnsi="Times New Roman"/>
          <w:i/>
          <w:noProof/>
          <w:sz w:val="24"/>
        </w:rPr>
        <w:t>să</w:t>
      </w:r>
      <w:r>
        <w:rPr>
          <w:rFonts w:ascii="Times New Roman" w:hAnsi="Times New Roman"/>
          <w:noProof/>
          <w:sz w:val="24"/>
        </w:rPr>
        <w:t xml:space="preserve"> </w:t>
      </w:r>
      <w:r>
        <w:rPr>
          <w:rFonts w:ascii="Times New Roman" w:hAnsi="Times New Roman"/>
          <w:i/>
          <w:noProof/>
          <w:sz w:val="24"/>
        </w:rPr>
        <w:t>ia măsuri de asigurare a cercetării și urmăririi penale eficace a infracțiunilor în sistemul judiciar, inclusiv în ceea ce privește infracțiunile de corupție;</w:t>
      </w:r>
    </w:p>
    <w:p w14:paraId="33098CBC" w14:textId="16302ED8" w:rsidR="00DC104E" w:rsidRPr="00D16464" w:rsidRDefault="00931EA9"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recomandării de a introduce norme privind activitățile de lobby pentru membrii Parlamentului i s-a dat curs integral, întrucât în noiembrie 2025 a fost adoptată o nouă lege care obligă deputații și senatorii să înregistreze reuniunile cu părțile terțe referitoare la inițiative legislative. S-au înregistrat unele progrese în ceea ce privește asigurarea eficacității sistemului declarațiilor de avere, printr-un proiect de lege care vizează actualizarea cadrului juridic existent în materie de integritate. Prin urmare, se recomandă României </w:t>
      </w:r>
      <w:r>
        <w:rPr>
          <w:rFonts w:ascii="Times New Roman" w:hAnsi="Times New Roman"/>
          <w:i/>
          <w:noProof/>
          <w:sz w:val="24"/>
        </w:rPr>
        <w:t>să finalizeze procesul legislativ pentru a asigura eficacitatea sistemului declarațiilor de avere;</w:t>
      </w:r>
    </w:p>
    <w:p w14:paraId="50D7716F" w14:textId="0C129CDE" w:rsidR="009055CC" w:rsidRPr="00D16464" w:rsidRDefault="00832279"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i/>
          <w:noProof/>
          <w:kern w:val="0"/>
          <w:sz w:val="24"/>
          <w:szCs w:val="24"/>
        </w:rPr>
      </w:pPr>
      <w:r>
        <w:rPr>
          <w:rFonts w:ascii="Times New Roman" w:hAnsi="Times New Roman"/>
          <w:noProof/>
          <w:sz w:val="24"/>
        </w:rPr>
        <w:t xml:space="preserve">s-au înregistrat unele progrese suplimentare în ceea ce privește utilizarea frecventă a ordonanțelor de urgență ale Guvernului și consultările publice eficace, însă în practică persistă anumite deficiențe. Prin urmare, se recomandă României </w:t>
      </w:r>
      <w:r>
        <w:rPr>
          <w:rFonts w:ascii="Times New Roman" w:hAnsi="Times New Roman"/>
          <w:i/>
          <w:noProof/>
          <w:sz w:val="24"/>
        </w:rPr>
        <w:t xml:space="preserve">să își intensifice eforturile de abordare a utilizării frecvente a ordonanțelor de urgență ale Guvernului și să asigure consultări publice efective înainte de adoptarea actelor legislative; </w:t>
      </w:r>
    </w:p>
    <w:p w14:paraId="3CD576F7" w14:textId="1D1A8E64" w:rsidR="0026361E" w:rsidRPr="00D16464" w:rsidRDefault="009055CC"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i/>
          <w:noProof/>
          <w:kern w:val="0"/>
          <w:sz w:val="24"/>
        </w:rPr>
      </w:pPr>
      <w:r>
        <w:rPr>
          <w:rFonts w:ascii="Times New Roman" w:hAnsi="Times New Roman"/>
          <w:noProof/>
          <w:sz w:val="24"/>
        </w:rPr>
        <w:t xml:space="preserve">nu s-au înregistrat progrese în ceea ce privește acreditarea instituțiilor naționale pentru drepturile omului, decizia în acest sens nefiind încă adoptată, iar Guvernul nu a soluționat problemele legate de respectarea Principiilor de la Paris de către două organizații pe care le-a propus ca instituții naționale pentru drepturile omului. Prin urmare, se recomandă României </w:t>
      </w:r>
      <w:r>
        <w:rPr>
          <w:rFonts w:ascii="Times New Roman" w:hAnsi="Times New Roman"/>
          <w:i/>
          <w:noProof/>
          <w:sz w:val="24"/>
        </w:rPr>
        <w:t>să continue procesul de obținere a acreditării instituțiilor naționale pentru drepturile omului, ținând seama de Principiile de la Paris ale ONU</w:t>
      </w:r>
      <w:r>
        <w:rPr>
          <w:rFonts w:ascii="Times New Roman" w:hAnsi="Times New Roman"/>
          <w:noProof/>
          <w:sz w:val="24"/>
        </w:rPr>
        <w:t>.</w:t>
      </w:r>
    </w:p>
    <w:p w14:paraId="20702CC8" w14:textId="77777777" w:rsidR="003E6638" w:rsidRPr="004237E6" w:rsidRDefault="003E6638"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
          <w:noProof/>
          <w:kern w:val="0"/>
          <w:sz w:val="24"/>
          <w:lang w:val="fr-BE" w:eastAsia="en-GB"/>
        </w:rPr>
      </w:pPr>
    </w:p>
    <w:p w14:paraId="0142A330" w14:textId="41647A8A" w:rsidR="00FC4F42" w:rsidRPr="00D16464" w:rsidRDefault="0060448D" w:rsidP="00D16464">
      <w:pPr>
        <w:pageBreakBefore/>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În ceea ce privește celelalte recomandări din 2025, Comisia concluzionează că:</w:t>
      </w:r>
    </w:p>
    <w:p w14:paraId="339DF238" w14:textId="77777777" w:rsidR="006E790C" w:rsidRPr="004237E6" w:rsidRDefault="006E790C"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noProof/>
          <w:kern w:val="0"/>
          <w:sz w:val="24"/>
          <w:szCs w:val="20"/>
          <w:lang w:val="fr-BE" w:eastAsia="en-GB"/>
        </w:rPr>
      </w:pPr>
    </w:p>
    <w:p w14:paraId="76BA6347" w14:textId="0F3A81ED" w:rsidR="002766AF" w:rsidRPr="00D16464" w:rsidRDefault="002766AF"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s-au înregistrat progrese limitate în ceea ce privește consolidarea normelor și a mecanismelor de îmbunătățire a independenței serviciilor publice de mass-media în materie de decizii editoriale și de guvernanță, având în vedere instituirea unui grup de lucru interministerial pe această temă. Având în vedere că subiectele prezentei recomandări sunt reglementate de dispozițiile Regulamentului european privind libertatea mass-mediei,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menționat.</w:t>
      </w:r>
    </w:p>
    <w:p w14:paraId="478C989C" w14:textId="3A8B704D"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77C777D4"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Slovenia </w:t>
      </w:r>
    </w:p>
    <w:p w14:paraId="147E99ED" w14:textId="0ADD964D"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și reamintind totodată angajamentele relevante asumate în cadrul planului de redresare și reziliență, Comisia formulează următoarele concluzii: </w:t>
      </w:r>
    </w:p>
    <w:p w14:paraId="57E3E1C7" w14:textId="07C33152"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lang w:eastAsia="en-GB"/>
        </w:rPr>
      </w:pPr>
    </w:p>
    <w:p w14:paraId="6E3CC259" w14:textId="085620B0" w:rsidR="00DC104E" w:rsidRPr="00D16464" w:rsidRDefault="00096103"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rPr>
      </w:pPr>
      <w:r>
        <w:rPr>
          <w:rFonts w:ascii="Times New Roman" w:hAnsi="Times New Roman"/>
          <w:noProof/>
          <w:sz w:val="24"/>
        </w:rPr>
        <w:t xml:space="preserve">s-au înregistrat progrese suplimentare limitate în ceea ce privește realizarea unui bilanț al anchetelor, al urmăririlor penale și al hotărârilor definitive în materie de infracțiuni de corupție, întrucât rezultatele rămân modeste în ceea ce privește anchetarea și moderate în ceea ce privește urmărirea penală și pronunțarea hotărârilor definitive, inclusiv în cazurile de corupție la nivel înalt, deși sunt în curs unele eforturi de consolidare a capacităților parchetelor. Prin urmare, se recomandă Sloveniei </w:t>
      </w:r>
      <w:r>
        <w:rPr>
          <w:rFonts w:ascii="Times New Roman" w:hAnsi="Times New Roman"/>
          <w:i/>
          <w:noProof/>
          <w:sz w:val="24"/>
        </w:rPr>
        <w:t>să ia măsuri suplimentare pentru a asigura un bilanț al anchetelor, al urmăririlor penale și al hotărârilor definitive în materie de infracțiuni de corupție, inclusiv în cazuri de corupție la nivel înalt</w:t>
      </w:r>
      <w:r>
        <w:rPr>
          <w:rFonts w:ascii="Times New Roman" w:hAnsi="Times New Roman"/>
          <w:noProof/>
          <w:sz w:val="24"/>
        </w:rPr>
        <w:t>;</w:t>
      </w:r>
    </w:p>
    <w:p w14:paraId="2BF8BBDB" w14:textId="06CD8FD8" w:rsidR="00DC104E" w:rsidRPr="00D16464" w:rsidRDefault="001D11BF"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i/>
          <w:noProof/>
          <w:kern w:val="0"/>
          <w:sz w:val="24"/>
          <w:szCs w:val="24"/>
        </w:rPr>
      </w:pPr>
      <w:r>
        <w:rPr>
          <w:rFonts w:ascii="Times New Roman" w:hAnsi="Times New Roman"/>
          <w:noProof/>
          <w:sz w:val="24"/>
        </w:rPr>
        <w:t xml:space="preserve">s-au înregistrat unele progrese suplimentare în ceea ce privește procesul de adoptare a unor garanții legislative și a unora fără caracter legislativ pentru a îmbunătăți protecția jurnaliștilor, întrucât au fost adoptate Legea privind măsurile de protecție împotriva acțiunilor strategice în justiție împotriva mobilizării publice și Legea privind mass-media, dar există în continuare provocări. Prin urmare, se recomandă Sloveniei </w:t>
      </w:r>
      <w:r>
        <w:rPr>
          <w:rFonts w:ascii="Times New Roman" w:hAnsi="Times New Roman"/>
          <w:i/>
          <w:noProof/>
          <w:sz w:val="24"/>
        </w:rPr>
        <w:t>să extindă gama de garanții disponibile menite să îmbunătățească protecția jurnaliștilor, ținând seama de standardele europene privind protecția jurnaliștilor</w:t>
      </w:r>
      <w:r>
        <w:rPr>
          <w:rFonts w:ascii="Times New Roman" w:hAnsi="Times New Roman"/>
          <w:noProof/>
          <w:sz w:val="24"/>
        </w:rPr>
        <w:t>.</w:t>
      </w:r>
      <w:r>
        <w:rPr>
          <w:rFonts w:ascii="Times New Roman" w:hAnsi="Times New Roman"/>
          <w:i/>
          <w:noProof/>
          <w:sz w:val="24"/>
        </w:rPr>
        <w:t xml:space="preserve"> </w:t>
      </w:r>
    </w:p>
    <w:p w14:paraId="348202D7" w14:textId="77777777" w:rsidR="00DE66EA" w:rsidRPr="004237E6" w:rsidRDefault="00DE66E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noProof/>
          <w:sz w:val="24"/>
          <w:szCs w:val="24"/>
          <w:lang w:eastAsia="en-GB"/>
        </w:rPr>
      </w:pPr>
    </w:p>
    <w:p w14:paraId="57534D60" w14:textId="541B0D76" w:rsidR="00DE66EA" w:rsidRPr="00D16464" w:rsidRDefault="00DE66E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Cs/>
          <w:noProof/>
          <w:kern w:val="0"/>
          <w:sz w:val="24"/>
          <w:szCs w:val="24"/>
        </w:rPr>
      </w:pPr>
      <w:r>
        <w:rPr>
          <w:rFonts w:ascii="Times New Roman" w:hAnsi="Times New Roman"/>
          <w:noProof/>
          <w:sz w:val="24"/>
        </w:rPr>
        <w:t>În ceea ce privește celelalte recomandări din 2025, Comisia concluzionează că:</w:t>
      </w:r>
    </w:p>
    <w:p w14:paraId="34EEFEB4" w14:textId="77777777" w:rsidR="0087065A" w:rsidRPr="004237E6" w:rsidRDefault="0087065A"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Cs/>
          <w:noProof/>
          <w:kern w:val="0"/>
          <w:sz w:val="24"/>
          <w:szCs w:val="24"/>
          <w:lang w:val="fr-BE" w:eastAsia="en-GB"/>
        </w:rPr>
      </w:pPr>
    </w:p>
    <w:p w14:paraId="09221E8B" w14:textId="4131BC11" w:rsidR="007B34E6" w:rsidRPr="00D16464" w:rsidRDefault="00DE66EA" w:rsidP="00582D5F">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s-au înregistrat progrese suplimentare limitate în ceea ce privește finalizarea reformelor de asigurare a unor norme sau mecanisme care furnizează o finanțare adecvată serviciilor publice de mass-media pentru îndeplinirea misiunii lor de serviciu public, garantându-le în același timp independența, întrucât au fost abordate provocările financiare ale agenției naționale de presă (STA), iar cele ale serviciului public de radio și televiziune (RTV) s-au îmbunătățit într-o măsură limitată. Având în vedere că subiectul prezentei recomandări este reglementat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 </w:t>
      </w:r>
      <w:r>
        <w:rPr>
          <w:rFonts w:ascii="Times New Roman" w:hAnsi="Times New Roman"/>
          <w:noProof/>
          <w:sz w:val="24"/>
        </w:rPr>
        <w:br w:type="page"/>
      </w:r>
    </w:p>
    <w:p w14:paraId="7CFA80DA" w14:textId="77777777" w:rsidR="007B34E6" w:rsidRPr="00D16464" w:rsidRDefault="007B34E6" w:rsidP="00D16464">
      <w:pPr>
        <w:pageBreakBefore/>
        <w:pBdr>
          <w:top w:val="single" w:sz="4" w:space="1" w:color="auto"/>
          <w:left w:val="single" w:sz="4" w:space="4" w:color="auto"/>
          <w:bottom w:val="single" w:sz="4" w:space="4" w:color="auto"/>
          <w:right w:val="single" w:sz="4" w:space="4" w:color="auto"/>
        </w:pBdr>
        <w:spacing w:after="6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Slovacia </w:t>
      </w:r>
    </w:p>
    <w:p w14:paraId="110677DE" w14:textId="3D3864DB" w:rsidR="00DC104E" w:rsidRPr="00D16464" w:rsidRDefault="00DC104E" w:rsidP="00D16464">
      <w:pPr>
        <w:pBdr>
          <w:top w:val="single" w:sz="4" w:space="1" w:color="auto"/>
          <w:left w:val="single" w:sz="4" w:space="4" w:color="auto"/>
          <w:bottom w:val="single" w:sz="4" w:space="4" w:color="auto"/>
          <w:right w:val="single" w:sz="4" w:space="4" w:color="auto"/>
        </w:pBdr>
        <w:spacing w:after="60" w:line="240" w:lineRule="auto"/>
        <w:jc w:val="both"/>
        <w:rPr>
          <w:rFonts w:ascii="Times New Roman" w:eastAsia="Times New Roman" w:hAnsi="Times New Roman" w:cs="Times New Roman"/>
          <w:noProof/>
          <w:kern w:val="0"/>
          <w:sz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și reamintind totodată procedura de constatare a neîndeplinirii obligațiilor legată de statul de drept menționată în capitolul consacrat fiecărei țări, angajamentele relevante asumate în cadrul planului de redresare și reziliență și recomandarea specifică fiecărei țări din cadrul semestrului european privind sistemul judiciar, inclusiv independența acestuia, precum și eficacitatea cadrului anticorupție, Comisia formulează următoarele concluzii: </w:t>
      </w:r>
    </w:p>
    <w:p w14:paraId="40313DD7" w14:textId="721CC9C5" w:rsidR="00DC104E" w:rsidRPr="00D16464" w:rsidRDefault="00AF5A09"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s-au înregistrat unele progrese în direcția măsurilor de asigurare a unor garanții suficiente de independență în ceea ce privește revocarea din funcție a membrilor Consiliului Judiciar, întrucât au fost elaborate proiecte de modificări pentru a aborda problema demiterii premature din funcție a acestora. Întrucât procesul legislativ este în curs, se recomandă Slovaciei </w:t>
      </w:r>
      <w:r>
        <w:rPr>
          <w:rFonts w:ascii="Times New Roman" w:hAnsi="Times New Roman"/>
          <w:i/>
          <w:noProof/>
          <w:sz w:val="24"/>
        </w:rPr>
        <w:t>să progreseze în procesul de reformare menit să asigure garanții suficiente de independență pentru Consiliul Judiciar, inclusiv în ceea ce privește revocarea din funcție a membrilor săi, ținând seama de standardele europene privind independența consiliilor judiciare</w:t>
      </w:r>
      <w:r>
        <w:rPr>
          <w:rFonts w:ascii="Times New Roman" w:hAnsi="Times New Roman"/>
          <w:noProof/>
          <w:sz w:val="24"/>
        </w:rPr>
        <w:t>;</w:t>
      </w:r>
    </w:p>
    <w:p w14:paraId="3C1E31CE" w14:textId="323226F7" w:rsidR="00DC104E" w:rsidRPr="00D16464" w:rsidRDefault="002B1F86" w:rsidP="00C46242">
      <w:pPr>
        <w:numPr>
          <w:ilvl w:val="0"/>
          <w:numId w:val="23"/>
        </w:numPr>
        <w:pBdr>
          <w:top w:val="single" w:sz="4" w:space="1" w:color="auto"/>
          <w:left w:val="single" w:sz="4" w:space="4" w:color="auto"/>
          <w:bottom w:val="single" w:sz="4" w:space="4" w:color="auto"/>
          <w:right w:val="single" w:sz="4" w:space="4" w:color="auto"/>
        </w:pBdr>
        <w:spacing w:after="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 xml:space="preserve">s-au înregistrat progrese semnificative în ceea ce privește asigurarea faptului că există garanții suficiente și că acestea sunt respectate atunci când judecătorii sunt supuși răspunderii penale pentru „abuz de drept” în deciziile lor judiciare, întrucât guvernul a solicitat un aviz al Comisiei de la Veneția cu privire la această chestiune. În urma acestui aviz și a aprobării modificărilor aduse planului slovac de redresare și reziliență, Ministerul Justiției a propus un proiect de lege care elimină această infracțiune. Având în vedere ajustările aduse planului de redresare și reziliență al Slovaciei, se recomandă Slovaciei </w:t>
      </w:r>
      <w:r>
        <w:rPr>
          <w:rFonts w:ascii="Times New Roman" w:hAnsi="Times New Roman"/>
          <w:i/>
          <w:noProof/>
          <w:sz w:val="24"/>
        </w:rPr>
        <w:t>să ia măsurile necesare pentru a abroga infracțiunea de „abuz de drept”</w:t>
      </w:r>
      <w:r>
        <w:rPr>
          <w:rFonts w:ascii="Times New Roman" w:hAnsi="Times New Roman"/>
          <w:noProof/>
          <w:sz w:val="24"/>
        </w:rPr>
        <w:t>;</w:t>
      </w:r>
      <w:r>
        <w:rPr>
          <w:rFonts w:ascii="Times New Roman" w:hAnsi="Times New Roman"/>
          <w:i/>
          <w:noProof/>
          <w:sz w:val="24"/>
        </w:rPr>
        <w:t xml:space="preserve"> </w:t>
      </w:r>
    </w:p>
    <w:p w14:paraId="2D0044DA" w14:textId="77ED3C2D" w:rsidR="00147DF6" w:rsidRPr="00D16464" w:rsidRDefault="00147DF6"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nu s-au înregistrat progrese în ceea ce privește anchetarea și urmărirea penală eficace în cazurile de corupție la nivel înalt în vederea realizării unui bilanț solid, deoarece persistă preocupări cu privire la cadrul anticorupție, iar capacitatea de detectare, anchetare și urmărire penală a cazurilor de corupție la nivel înalt s-a deteriorat și mai mult. Având în vedere scăderea semnificativă a numărului de anchetări, puneri sub acuzare și condamnări în cazurile de corupție și practica continuă a procurorului general de a anula hotărârile finale ale poliției și ale procurorilor, se recomandă Slovaciei </w:t>
      </w:r>
      <w:r>
        <w:rPr>
          <w:rFonts w:ascii="Times New Roman" w:hAnsi="Times New Roman"/>
          <w:i/>
          <w:noProof/>
          <w:sz w:val="24"/>
        </w:rPr>
        <w:t>să realizeze un bilanț solid în ceea ce privește infracțiunile de corupție, în special în cazurile la nivel înalt, inclusiv prin prevenirea oricărei interferențe nejustificate și prin restricționarea utilizării competențelor procurorului general de a anula deciziile definitive în materie de investigare și de urmărire penală</w:t>
      </w:r>
      <w:r>
        <w:rPr>
          <w:rFonts w:ascii="Times New Roman" w:hAnsi="Times New Roman"/>
          <w:noProof/>
          <w:sz w:val="24"/>
        </w:rPr>
        <w:t>;</w:t>
      </w:r>
    </w:p>
    <w:p w14:paraId="6F8BC144" w14:textId="4F3CABFB" w:rsidR="003675AD" w:rsidRPr="00D16464" w:rsidRDefault="2E34ADED"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s-au înregistrat progrese limitate în ceea ce privește reglementarea activităților de lobby, întrucât s-au luat măsuri inițiale în cadrul pregătirii unui proiect de lege și s-au înregistrat unele progrese suplimentare în ceea ce privește reformarea normelor privind conflictele de interese sub forma unui cod de conduită fără caracter obligatoriu pentru persoanele cărora li s-au încredințat funcții executive de conducere și a unui cod de conduită pentru membrii parlamentului. Cu toate acestea, nu s-au înregistrat progrese în ceea ce privește consolidarea sistemului declarațiilor de avere. Prin urmare, se recomandă Slovaciei </w:t>
      </w:r>
      <w:r>
        <w:rPr>
          <w:rFonts w:ascii="Times New Roman" w:hAnsi="Times New Roman"/>
          <w:i/>
          <w:noProof/>
          <w:sz w:val="24"/>
        </w:rPr>
        <w:t>să introducă propuneri de reglementare a activităților de lobby, să consolideze sistemul de declarații de avere și de verificare și să continue eforturile actuale de reformare a normelor privind conflictele de interese</w:t>
      </w:r>
      <w:r>
        <w:rPr>
          <w:rFonts w:ascii="Times New Roman" w:hAnsi="Times New Roman"/>
          <w:noProof/>
          <w:sz w:val="24"/>
        </w:rPr>
        <w:t>;</w:t>
      </w:r>
    </w:p>
    <w:p w14:paraId="3E325230" w14:textId="0052C293" w:rsidR="00E41038" w:rsidRPr="00D16464" w:rsidRDefault="006609DE"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s-au înregistrat progrese limitate în ceea ce privește instituirea unor garanții legislative și de altă natură pentru a îmbunătăți siguranța fizică și mediul de lucru al jurnaliștilor, inclusiv în ceea ce privește reforma legislației privind defăimarea. Prin urmare, se recomandă Slovaciei </w:t>
      </w:r>
      <w:r>
        <w:rPr>
          <w:rFonts w:ascii="Times New Roman" w:hAnsi="Times New Roman"/>
          <w:i/>
          <w:noProof/>
          <w:sz w:val="24"/>
        </w:rPr>
        <w:t>să avanseze în ceea ce privește procesul de instituire a unor garanții legislative și de altă natură pentru a îmbunătăți siguranța fizică și mediul de lucru al jurnaliștilor, inclusiv în ceea ce privește reforma legislației privind defăimarea, ținând seama de standardele europene privind protecția jurnaliștilor</w:t>
      </w:r>
      <w:r>
        <w:rPr>
          <w:rFonts w:ascii="Times New Roman" w:hAnsi="Times New Roman"/>
          <w:noProof/>
          <w:sz w:val="24"/>
        </w:rPr>
        <w:t>;</w:t>
      </w:r>
    </w:p>
    <w:p w14:paraId="74E650F2" w14:textId="1C2170DC" w:rsidR="00987D2E" w:rsidRPr="00D16464" w:rsidRDefault="007C0AA2" w:rsidP="00C46242">
      <w:pPr>
        <w:numPr>
          <w:ilvl w:val="0"/>
          <w:numId w:val="23"/>
        </w:numPr>
        <w:pBdr>
          <w:top w:val="single" w:sz="4" w:space="1" w:color="auto"/>
          <w:left w:val="single" w:sz="4" w:space="4" w:color="auto"/>
          <w:bottom w:val="single" w:sz="4" w:space="4" w:color="auto"/>
          <w:right w:val="single" w:sz="4" w:space="4" w:color="auto"/>
        </w:pBdr>
        <w:spacing w:after="200" w:line="240" w:lineRule="auto"/>
        <w:ind w:left="357" w:hanging="357"/>
        <w:contextualSpacing/>
        <w:jc w:val="both"/>
        <w:rPr>
          <w:rFonts w:ascii="Times New Roman" w:eastAsia="Times New Roman" w:hAnsi="Times New Roman" w:cs="Times New Roman"/>
          <w:i/>
          <w:noProof/>
          <w:sz w:val="24"/>
          <w:szCs w:val="24"/>
        </w:rPr>
      </w:pPr>
      <w:r>
        <w:rPr>
          <w:rFonts w:ascii="Times New Roman" w:hAnsi="Times New Roman"/>
          <w:noProof/>
          <w:sz w:val="24"/>
        </w:rPr>
        <w:t xml:space="preserve">nu s-au înregistrat progrese în ceea ce privește asigurarea unei consultări publice eficace și implicarea părților interesate în procesul legislativ, ceea ce continuă să prezinte motive de îngrijorare. Prin urmare, se recomandă Slovaciei </w:t>
      </w:r>
      <w:r>
        <w:rPr>
          <w:rFonts w:ascii="Times New Roman" w:hAnsi="Times New Roman"/>
          <w:i/>
          <w:noProof/>
          <w:sz w:val="24"/>
        </w:rPr>
        <w:t>să asigure un proces legislativ incluziv și transparent, inclusiv prin asigurarea unei consultări publice eficace și a implicării părților interesate în procesul legislativ și prin evitarea utilizării excesive a procedurii accelerate</w:t>
      </w:r>
      <w:r>
        <w:rPr>
          <w:rFonts w:ascii="Times New Roman" w:hAnsi="Times New Roman"/>
          <w:noProof/>
          <w:sz w:val="24"/>
        </w:rPr>
        <w:t>.</w:t>
      </w:r>
      <w:r>
        <w:rPr>
          <w:rFonts w:ascii="Times New Roman" w:hAnsi="Times New Roman"/>
          <w:i/>
          <w:noProof/>
          <w:sz w:val="24"/>
        </w:rPr>
        <w:br w:type="page"/>
      </w:r>
    </w:p>
    <w:p w14:paraId="5B9A2714" w14:textId="0A72DB15" w:rsidR="004931CB" w:rsidRPr="00D16464" w:rsidRDefault="004931CB"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În ceea ce privește celelalte recomandări din 2025, Comisia concluzionează că:</w:t>
      </w:r>
    </w:p>
    <w:p w14:paraId="10CB3B49" w14:textId="77777777" w:rsidR="004931CB" w:rsidRPr="004237E6" w:rsidRDefault="004931CB"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fr-BE" w:eastAsia="en-GB"/>
        </w:rPr>
      </w:pPr>
    </w:p>
    <w:p w14:paraId="48733979" w14:textId="48402D7C" w:rsidR="004931CB" w:rsidRPr="00D16464" w:rsidRDefault="004931CB"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
          <w:noProof/>
          <w:kern w:val="0"/>
          <w:sz w:val="24"/>
          <w:szCs w:val="24"/>
        </w:rPr>
      </w:pPr>
      <w:r>
        <w:rPr>
          <w:rFonts w:ascii="Times New Roman" w:hAnsi="Times New Roman"/>
          <w:noProof/>
          <w:sz w:val="24"/>
        </w:rPr>
        <w:t>nu s-au înregistrat progrese în ceea ce privește consolidarea normelor și a mecanismelor de restabilire și de protejare în continuare a independenței serviciilor publice de mass-media în materie de decizii editoriale și de guvernanță, ținând seama de standardele europene privind serviciile publice de mass-media; Având în vedere că subiectele prezentei recomandări sunt reglementate de dispozițiile Regulamentului european privind libertatea mass-mediei (EMFA),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w:t>
      </w:r>
    </w:p>
    <w:p w14:paraId="1DFA5C35"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28B01454"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Finlanda </w:t>
      </w:r>
    </w:p>
    <w:p w14:paraId="72FF0A43" w14:textId="49BDBD08"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Per ansamblu, pe baza recomandărilor din ediția din 2025 a Raportului privind statul de drept, având în vedere alte evoluții care au avut loc în perioada de referință, Comisia formulează următoarele concluzii: </w:t>
      </w:r>
    </w:p>
    <w:p w14:paraId="3D39B35C"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69A2B68C" w14:textId="0EA2BE20" w:rsidR="00DC104E" w:rsidRPr="00D16464" w:rsidRDefault="093F9734"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s-au înregistrat progrese limitate în ceea ce privește recomandarea referitoare la numirea judecătorilor consultanți, întrucât Grupul de lucru privind garanțiile statului de drept și dezvoltarea sistemului judiciar continuă să examineze această chestiune și se preconizează că va publica un memorandum privind activitatea sa până la sfârșitul anului 2026. Prin urmare, se recomandă Finlandei </w:t>
      </w:r>
      <w:r>
        <w:rPr>
          <w:rFonts w:ascii="Times New Roman" w:hAnsi="Times New Roman"/>
          <w:i/>
          <w:noProof/>
          <w:sz w:val="24"/>
        </w:rPr>
        <w:t>să ducă mai departe reforma sistemului de numire a judecătorilor consultanți, ținând seama de standardele europene privind independența sistemului judiciar</w:t>
      </w:r>
      <w:r>
        <w:rPr>
          <w:rFonts w:ascii="Times New Roman" w:hAnsi="Times New Roman"/>
          <w:noProof/>
          <w:sz w:val="24"/>
        </w:rPr>
        <w:t xml:space="preserve">; </w:t>
      </w:r>
    </w:p>
    <w:p w14:paraId="0600B5A9" w14:textId="10ADF082" w:rsidR="00FE47BC" w:rsidRPr="00D16464" w:rsidRDefault="00FE47B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întrucât există în continuare lacune în ceea ce privește digitalizarea procedurilor judiciare, se recomandă Finlandei </w:t>
      </w:r>
      <w:r>
        <w:rPr>
          <w:rFonts w:ascii="Times New Roman" w:hAnsi="Times New Roman"/>
          <w:i/>
          <w:noProof/>
          <w:sz w:val="24"/>
        </w:rPr>
        <w:t>să ia măsuri suplimentare pentru a îmbunătăți digitalizarea justiției, inclusiv prin îmbunătățirea disponibilității instrumentelor digitale pentru inițierea și urmărirea procedurilor online</w:t>
      </w:r>
      <w:r>
        <w:rPr>
          <w:rFonts w:ascii="Times New Roman" w:hAnsi="Times New Roman"/>
          <w:noProof/>
          <w:sz w:val="24"/>
        </w:rPr>
        <w:t>;</w:t>
      </w:r>
    </w:p>
    <w:p w14:paraId="4D1396E2" w14:textId="590DE4CA" w:rsidR="002E0355" w:rsidRPr="00D16464" w:rsidRDefault="006D7B1A"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s-au înregistrat unele progrese în ceea ce privește consolidarea cadrului de integritate și responsabilitate aplicabil miniștrilor și altor persoane cărora li s-au încredințat funcții executive de conducere, întrucât au fost adoptate norme postangajare pentru membrii guvernului, iar strategia și planul de acțiune anticorupție prevăd compilarea principalelor orientări de combatere a corupției și de promovare a integrității pentru miniștri într-un document unic specific în 2026. Întrucât adoptarea codului de conduită este încă în curs, se recomandă Finlandei </w:t>
      </w:r>
      <w:r>
        <w:rPr>
          <w:rFonts w:ascii="Times New Roman" w:hAnsi="Times New Roman"/>
          <w:i/>
          <w:noProof/>
          <w:sz w:val="24"/>
        </w:rPr>
        <w:t>să consolideze cadrul de integritate și responsabilitate aplicabil miniștrilor și altor persoane cărora li s-au încredințat funcții executive de conducere, prin adoptarea unui cod de conduită pentru aceștia</w:t>
      </w:r>
      <w:r>
        <w:rPr>
          <w:rFonts w:ascii="Times New Roman" w:hAnsi="Times New Roman"/>
          <w:noProof/>
          <w:sz w:val="24"/>
        </w:rPr>
        <w:t>;</w:t>
      </w:r>
    </w:p>
    <w:p w14:paraId="1F0B86A7" w14:textId="701114CD" w:rsidR="000E2D4A" w:rsidRPr="00D16464" w:rsidRDefault="00096FF3"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s-au înregistrat progrese limitate în ceea ce privește reforma Legii privind deschiderea activităților guvernamentale, întrucât sunt comandate două studii și se preconizează înființarea unui grup de lucru pentru pregătirea unei propuneri legislative. Întrucât reforma este încă în proces de evaluare, se recomandă Finlandei </w:t>
      </w:r>
      <w:r>
        <w:rPr>
          <w:rFonts w:ascii="Times New Roman" w:hAnsi="Times New Roman"/>
          <w:i/>
          <w:noProof/>
          <w:sz w:val="24"/>
        </w:rPr>
        <w:t>să ducă mai departe reforma Legii privind deschiderea activităților guvernamentale pentru a asigura accesul efectiv la documente, ținând seama de standardele europene privind accesul la documentele oficiale. </w:t>
      </w:r>
    </w:p>
    <w:p w14:paraId="59315C92" w14:textId="77777777" w:rsidR="003D1DCD" w:rsidRPr="004237E6" w:rsidRDefault="003D1DCD" w:rsidP="009C392D">
      <w:pPr>
        <w:pBdr>
          <w:top w:val="single" w:sz="4" w:space="1" w:color="auto"/>
          <w:left w:val="single" w:sz="4" w:space="4" w:color="auto"/>
          <w:bottom w:val="single" w:sz="4" w:space="17" w:color="auto"/>
          <w:right w:val="single" w:sz="4" w:space="4" w:color="auto"/>
        </w:pBdr>
        <w:spacing w:after="200" w:line="240" w:lineRule="auto"/>
        <w:contextualSpacing/>
        <w:jc w:val="both"/>
        <w:rPr>
          <w:rFonts w:ascii="Times New Roman" w:eastAsia="Times New Roman" w:hAnsi="Times New Roman" w:cs="Times New Roman"/>
          <w:i/>
          <w:iCs/>
          <w:noProof/>
          <w:sz w:val="24"/>
          <w:szCs w:val="24"/>
          <w:lang w:val="fr-BE" w:eastAsia="en-GB"/>
        </w:rPr>
      </w:pPr>
    </w:p>
    <w:p w14:paraId="3305391B" w14:textId="69742268" w:rsidR="003D1DCD" w:rsidRPr="00D16464" w:rsidRDefault="003D1DCD"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rPr>
      </w:pPr>
      <w:r>
        <w:rPr>
          <w:rFonts w:ascii="Times New Roman" w:hAnsi="Times New Roman"/>
          <w:noProof/>
          <w:sz w:val="24"/>
        </w:rPr>
        <w:t>În ceea ce privește celelalte recomandări din 2025, Comisia concluzionează că:</w:t>
      </w:r>
    </w:p>
    <w:p w14:paraId="6F94E195" w14:textId="77777777" w:rsidR="003D1DCD" w:rsidRPr="004237E6" w:rsidRDefault="003D1DCD"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bCs/>
          <w:noProof/>
          <w:kern w:val="0"/>
          <w:sz w:val="24"/>
          <w:lang w:val="fr-BE" w:eastAsia="en-GB"/>
        </w:rPr>
      </w:pPr>
    </w:p>
    <w:p w14:paraId="338F60AF" w14:textId="3CF25FF3" w:rsidR="003D1DCD" w:rsidRPr="00D16464" w:rsidRDefault="003D1DCD"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bCs/>
          <w:noProof/>
          <w:kern w:val="0"/>
          <w:sz w:val="24"/>
          <w:szCs w:val="24"/>
        </w:rPr>
      </w:pPr>
      <w:r>
        <w:rPr>
          <w:rFonts w:ascii="Times New Roman" w:hAnsi="Times New Roman"/>
          <w:noProof/>
          <w:sz w:val="24"/>
        </w:rPr>
        <w:t>s-au înregistrat progrese limitate în ceea ce privește recomandarea de a continua revizuirea infracțiunii de dare sau luare de mită la nivel internațional, întrucât a fost înființat un grup de lucru care să elaboreze legislația relevantă în contextul transpunerii Directivei anticorupție a UE. Evoluțiile ulterioare în acest domeniu vor fi monitorizate în continuare în Raportul privind statul de drept.</w:t>
      </w:r>
    </w:p>
    <w:p w14:paraId="0F70CD3E" w14:textId="77777777" w:rsidR="007B34E6" w:rsidRPr="00D16464" w:rsidRDefault="007B34E6" w:rsidP="007B34E6">
      <w:pPr>
        <w:spacing w:after="240" w:line="240" w:lineRule="auto"/>
        <w:jc w:val="both"/>
        <w:rPr>
          <w:rFonts w:ascii="Times New Roman" w:eastAsia="Times New Roman" w:hAnsi="Times New Roman" w:cs="Times New Roman"/>
          <w:noProof/>
          <w:kern w:val="0"/>
          <w:sz w:val="24"/>
          <w:szCs w:val="20"/>
        </w:rPr>
      </w:pPr>
      <w:r>
        <w:rPr>
          <w:noProof/>
        </w:rPr>
        <w:br w:type="page"/>
      </w:r>
    </w:p>
    <w:p w14:paraId="757E7606" w14:textId="77777777" w:rsidR="007B34E6" w:rsidRPr="00D16464" w:rsidRDefault="007B34E6" w:rsidP="007B34E6">
      <w:pPr>
        <w:pageBreakBefore/>
        <w:pBdr>
          <w:top w:val="single" w:sz="4" w:space="1" w:color="auto"/>
          <w:left w:val="single" w:sz="4" w:space="4" w:color="auto"/>
          <w:bottom w:val="single" w:sz="4" w:space="17" w:color="auto"/>
          <w:right w:val="single" w:sz="4" w:space="4" w:color="auto"/>
        </w:pBdr>
        <w:spacing w:after="240" w:line="240" w:lineRule="auto"/>
        <w:jc w:val="both"/>
        <w:rPr>
          <w:rFonts w:ascii="Times New Roman" w:eastAsia="Times New Roman" w:hAnsi="Times New Roman" w:cs="Times New Roman"/>
          <w:b/>
          <w:smallCaps/>
          <w:noProof/>
          <w:kern w:val="0"/>
          <w:sz w:val="24"/>
          <w:szCs w:val="24"/>
          <w:u w:val="single"/>
        </w:rPr>
      </w:pPr>
      <w:r>
        <w:rPr>
          <w:rFonts w:ascii="Times New Roman" w:hAnsi="Times New Roman"/>
          <w:b/>
          <w:smallCaps/>
          <w:noProof/>
          <w:sz w:val="24"/>
          <w:u w:val="single"/>
        </w:rPr>
        <w:t xml:space="preserve">Recomandări pentru Suedia </w:t>
      </w:r>
    </w:p>
    <w:p w14:paraId="56A9A1EA" w14:textId="24EBBFFF" w:rsidR="00DC104E" w:rsidRPr="00D16464"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szCs w:val="24"/>
        </w:rPr>
      </w:pPr>
      <w:r>
        <w:rPr>
          <w:rFonts w:ascii="Times New Roman" w:hAnsi="Times New Roman"/>
          <w:noProof/>
          <w:sz w:val="24"/>
        </w:rPr>
        <w:t xml:space="preserve">Per ansamblu, pe baza recomandărilor din ediția din 2025 a Raportului privind statul de drept și având în vedere alte evoluții care au avut loc în perioada de referință, Comisia formulează următoarele concluzii: </w:t>
      </w:r>
    </w:p>
    <w:p w14:paraId="44B57303" w14:textId="77777777" w:rsidR="00DC104E" w:rsidRPr="004237E6" w:rsidRDefault="00DC104E" w:rsidP="009C392D">
      <w:pPr>
        <w:pBdr>
          <w:top w:val="single" w:sz="4" w:space="1" w:color="auto"/>
          <w:left w:val="single" w:sz="4" w:space="4" w:color="auto"/>
          <w:bottom w:val="single" w:sz="4" w:space="17" w:color="auto"/>
          <w:right w:val="single" w:sz="4" w:space="4" w:color="auto"/>
        </w:pBdr>
        <w:spacing w:after="0" w:line="240" w:lineRule="auto"/>
        <w:contextualSpacing/>
        <w:jc w:val="both"/>
        <w:rPr>
          <w:rFonts w:ascii="Times New Roman" w:eastAsia="Times New Roman" w:hAnsi="Times New Roman" w:cs="Times New Roman"/>
          <w:noProof/>
          <w:kern w:val="0"/>
          <w:sz w:val="24"/>
          <w:lang w:eastAsia="en-GB"/>
        </w:rPr>
      </w:pPr>
    </w:p>
    <w:p w14:paraId="000A0E3D" w14:textId="27489BF9" w:rsidR="00DC104E" w:rsidRPr="00D16464" w:rsidRDefault="51A391A7"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i/>
          <w:noProof/>
          <w:kern w:val="0"/>
          <w:sz w:val="24"/>
          <w:szCs w:val="24"/>
        </w:rPr>
      </w:pPr>
      <w:r>
        <w:rPr>
          <w:rFonts w:ascii="Times New Roman" w:hAnsi="Times New Roman"/>
          <w:noProof/>
          <w:sz w:val="24"/>
        </w:rPr>
        <w:t xml:space="preserve">nu s-au înregistrat progrese în ceea ce privește asigurarea faptului că sistemul de numire a judecătorilor consultanți garantează independența acestora, deoarece nu au fost introduse măsuri în acest sens. Întrucât continuă o dezbatere națională cu privire la rolul partidelor politice în procesul de numire a judecătorilor consultanți și la impactul acestuia asupra independenței lor, se recomandă Suediei </w:t>
      </w:r>
      <w:r>
        <w:rPr>
          <w:rFonts w:ascii="Times New Roman" w:hAnsi="Times New Roman"/>
          <w:i/>
          <w:noProof/>
          <w:sz w:val="24"/>
        </w:rPr>
        <w:t>să ia măsuri pentru a proteja independența judecătorilor consultanți în ceea ce privește numirea lor și desfășurarea activității, ținând seama de standardele europene privind independența sistemului judiciar</w:t>
      </w:r>
      <w:r>
        <w:rPr>
          <w:rFonts w:ascii="Times New Roman" w:hAnsi="Times New Roman"/>
          <w:noProof/>
          <w:sz w:val="24"/>
        </w:rPr>
        <w:t>;</w:t>
      </w:r>
      <w:r>
        <w:rPr>
          <w:rFonts w:ascii="Times New Roman" w:hAnsi="Times New Roman"/>
          <w:i/>
          <w:noProof/>
          <w:sz w:val="24"/>
        </w:rPr>
        <w:t xml:space="preserve"> </w:t>
      </w:r>
    </w:p>
    <w:p w14:paraId="1CD0ECF7" w14:textId="3AF2D2B8" w:rsidR="00DC104E" w:rsidRPr="00D16464" w:rsidRDefault="007F74A5" w:rsidP="009C392D">
      <w:pPr>
        <w:numPr>
          <w:ilvl w:val="0"/>
          <w:numId w:val="23"/>
        </w:numPr>
        <w:pBdr>
          <w:top w:val="single" w:sz="4" w:space="1" w:color="auto"/>
          <w:left w:val="single" w:sz="4" w:space="4" w:color="auto"/>
          <w:bottom w:val="single" w:sz="4" w:space="17" w:color="auto"/>
          <w:right w:val="single" w:sz="4" w:space="4" w:color="auto"/>
        </w:pBdr>
        <w:spacing w:after="0" w:line="240" w:lineRule="auto"/>
        <w:ind w:left="357" w:hanging="357"/>
        <w:contextualSpacing/>
        <w:jc w:val="both"/>
        <w:rPr>
          <w:rFonts w:ascii="Times New Roman" w:eastAsia="Times New Roman" w:hAnsi="Times New Roman" w:cs="Times New Roman"/>
          <w:i/>
          <w:noProof/>
          <w:kern w:val="0"/>
          <w:sz w:val="24"/>
          <w:szCs w:val="24"/>
        </w:rPr>
      </w:pPr>
      <w:r>
        <w:rPr>
          <w:rFonts w:ascii="Times New Roman" w:hAnsi="Times New Roman"/>
          <w:noProof/>
          <w:sz w:val="24"/>
        </w:rPr>
        <w:t xml:space="preserve">s-au înregistrat unele progrese în ceea ce privește combaterea dării și luării de mită la nivel internațional, întrucât proiectele legislative introduc unele dispoziții relevante. Întrucât adoptarea sa este în curs, iar urmărirea penală a acestor infracțiuni nu s-a îmbunătățit, se recomandă Suediei </w:t>
      </w:r>
      <w:r>
        <w:rPr>
          <w:rFonts w:ascii="Times New Roman" w:hAnsi="Times New Roman"/>
          <w:i/>
          <w:noProof/>
          <w:sz w:val="24"/>
        </w:rPr>
        <w:t>să consolideze lupta împotriva dării și luării de mită la nivel internațional, inclusiv prin îmbunătățirea asigurării respectării legii</w:t>
      </w:r>
      <w:r>
        <w:rPr>
          <w:rFonts w:ascii="Times New Roman" w:hAnsi="Times New Roman"/>
          <w:noProof/>
          <w:sz w:val="24"/>
        </w:rPr>
        <w:t>;</w:t>
      </w:r>
    </w:p>
    <w:p w14:paraId="161F790E" w14:textId="2E54835E" w:rsidR="00DC104E" w:rsidRPr="00D16464" w:rsidRDefault="00967CFC" w:rsidP="009C392D">
      <w:pPr>
        <w:numPr>
          <w:ilvl w:val="0"/>
          <w:numId w:val="23"/>
        </w:numPr>
        <w:pBdr>
          <w:top w:val="single" w:sz="4" w:space="1" w:color="auto"/>
          <w:left w:val="single" w:sz="4" w:space="4" w:color="auto"/>
          <w:bottom w:val="single" w:sz="4" w:space="17" w:color="auto"/>
          <w:right w:val="single" w:sz="4" w:space="4" w:color="auto"/>
        </w:pBdr>
        <w:spacing w:after="200" w:line="240" w:lineRule="auto"/>
        <w:ind w:left="357" w:hanging="357"/>
        <w:contextualSpacing/>
        <w:jc w:val="both"/>
        <w:rPr>
          <w:rFonts w:ascii="Times New Roman" w:eastAsia="Times New Roman" w:hAnsi="Times New Roman" w:cs="Times New Roman"/>
          <w:noProof/>
          <w:kern w:val="0"/>
          <w:sz w:val="24"/>
          <w:szCs w:val="20"/>
        </w:rPr>
      </w:pPr>
      <w:r>
        <w:rPr>
          <w:rFonts w:ascii="Times New Roman" w:hAnsi="Times New Roman"/>
          <w:noProof/>
          <w:sz w:val="24"/>
        </w:rPr>
        <w:t xml:space="preserve">nu s-au înregistrat progrese în ceea ce privește urmărirea anchetei referitoare la normele privind practica „ușilor turnante”. Întrucât nu sunt planificate măsuri în acest sens, se recomandă Suediei </w:t>
      </w:r>
      <w:r>
        <w:rPr>
          <w:rFonts w:ascii="Times New Roman" w:hAnsi="Times New Roman"/>
          <w:i/>
          <w:noProof/>
          <w:sz w:val="24"/>
        </w:rPr>
        <w:t>să asigure luarea de măsuri subsecvente adecvate în urma evaluării normelor privind practica „ușilor turnante”.</w:t>
      </w:r>
    </w:p>
    <w:p w14:paraId="0F08DBBF" w14:textId="77777777" w:rsidR="007B34E6" w:rsidRPr="004237E6" w:rsidRDefault="007B34E6" w:rsidP="007B34E6">
      <w:pPr>
        <w:spacing w:after="240" w:line="240" w:lineRule="auto"/>
        <w:jc w:val="both"/>
        <w:rPr>
          <w:rFonts w:ascii="Times New Roman" w:eastAsia="Times New Roman" w:hAnsi="Times New Roman" w:cs="Times New Roman"/>
          <w:noProof/>
          <w:kern w:val="0"/>
          <w:sz w:val="24"/>
          <w:szCs w:val="20"/>
          <w:lang w:eastAsia="en-GB"/>
        </w:rPr>
      </w:pPr>
    </w:p>
    <w:p w14:paraId="61E2E130" w14:textId="77777777" w:rsidR="007B34E6" w:rsidRPr="004237E6" w:rsidRDefault="007B34E6" w:rsidP="009C392D">
      <w:pPr>
        <w:spacing w:line="240" w:lineRule="auto"/>
        <w:rPr>
          <w:rFonts w:ascii="Times New Roman" w:hAnsi="Times New Roman" w:cs="Times New Roman"/>
          <w:noProof/>
          <w:sz w:val="24"/>
          <w:szCs w:val="24"/>
        </w:rPr>
      </w:pPr>
    </w:p>
    <w:p w14:paraId="12FA9199" w14:textId="6F03EF5E" w:rsidR="00C5064B" w:rsidRPr="004237E6" w:rsidRDefault="00C5064B" w:rsidP="009C392D">
      <w:pPr>
        <w:spacing w:line="240" w:lineRule="auto"/>
        <w:rPr>
          <w:rFonts w:ascii="Times New Roman" w:hAnsi="Times New Roman" w:cs="Times New Roman"/>
          <w:noProof/>
          <w:sz w:val="24"/>
          <w:szCs w:val="24"/>
        </w:rPr>
      </w:pPr>
    </w:p>
    <w:sectPr w:rsidR="00C5064B" w:rsidRPr="004237E6" w:rsidSect="007B34E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6AFB7D" w14:textId="77777777" w:rsidR="00754871" w:rsidRDefault="00754871" w:rsidP="00C7400A">
      <w:pPr>
        <w:spacing w:after="0" w:line="240" w:lineRule="auto"/>
      </w:pPr>
      <w:r>
        <w:separator/>
      </w:r>
    </w:p>
  </w:endnote>
  <w:endnote w:type="continuationSeparator" w:id="0">
    <w:p w14:paraId="1E64F33B" w14:textId="77777777" w:rsidR="00754871" w:rsidRDefault="00754871" w:rsidP="00C74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DAF16" w14:textId="7BAA007D" w:rsidR="00A746BA" w:rsidRPr="00A746BA" w:rsidRDefault="00A746BA" w:rsidP="00A746BA">
    <w:pPr>
      <w:pStyle w:val="FooterCoverPage"/>
      <w:rPr>
        <w:rFonts w:ascii="Arial" w:hAnsi="Arial" w:cs="Arial"/>
        <w:b/>
        <w:sz w:val="48"/>
      </w:rPr>
    </w:pPr>
    <w:r w:rsidRPr="00A746BA">
      <w:rPr>
        <w:rFonts w:ascii="Arial" w:hAnsi="Arial" w:cs="Arial"/>
        <w:b/>
        <w:sz w:val="48"/>
      </w:rPr>
      <w:t>RO</w:t>
    </w:r>
    <w:r w:rsidRPr="00A746BA">
      <w:rPr>
        <w:rFonts w:ascii="Arial" w:hAnsi="Arial" w:cs="Arial"/>
        <w:b/>
        <w:sz w:val="48"/>
      </w:rPr>
      <w:tab/>
    </w:r>
    <w:r w:rsidRPr="00A746BA">
      <w:rPr>
        <w:rFonts w:ascii="Arial" w:hAnsi="Arial" w:cs="Arial"/>
        <w:b/>
        <w:sz w:val="48"/>
      </w:rPr>
      <w:tab/>
    </w:r>
    <w:r w:rsidRPr="00A746BA">
      <w:tab/>
    </w:r>
    <w:r w:rsidRPr="00A746B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291D5" w14:textId="512A03AC" w:rsidR="00A746BA" w:rsidRPr="00A746BA" w:rsidRDefault="00A746BA" w:rsidP="00A746BA">
    <w:pPr>
      <w:pStyle w:val="FooterCoverPage"/>
      <w:rPr>
        <w:rFonts w:ascii="Arial" w:hAnsi="Arial" w:cs="Arial"/>
        <w:b/>
        <w:sz w:val="48"/>
      </w:rPr>
    </w:pPr>
    <w:r w:rsidRPr="00A746BA">
      <w:rPr>
        <w:rFonts w:ascii="Arial" w:hAnsi="Arial" w:cs="Arial"/>
        <w:b/>
        <w:sz w:val="48"/>
      </w:rPr>
      <w:t>RO</w:t>
    </w:r>
    <w:r w:rsidRPr="00A746BA">
      <w:rPr>
        <w:rFonts w:ascii="Arial" w:hAnsi="Arial" w:cs="Arial"/>
        <w:b/>
        <w:sz w:val="48"/>
      </w:rPr>
      <w:tab/>
    </w:r>
    <w:r w:rsidRPr="00A746BA">
      <w:rPr>
        <w:rFonts w:ascii="Arial" w:hAnsi="Arial" w:cs="Arial"/>
        <w:b/>
        <w:sz w:val="48"/>
      </w:rPr>
      <w:tab/>
    </w:r>
    <w:r w:rsidRPr="00A746BA">
      <w:tab/>
    </w:r>
    <w:r w:rsidRPr="00A746B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B9083" w14:textId="77777777" w:rsidR="00A746BA" w:rsidRPr="00A746BA" w:rsidRDefault="00A746BA" w:rsidP="00A746B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30072" w14:textId="77777777" w:rsidR="007B34E6" w:rsidRDefault="007B34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041501"/>
      <w:docPartObj>
        <w:docPartGallery w:val="Page Numbers (Bottom of Page)"/>
        <w:docPartUnique/>
      </w:docPartObj>
    </w:sdtPr>
    <w:sdtEndPr>
      <w:rPr>
        <w:noProof/>
      </w:rPr>
    </w:sdtEndPr>
    <w:sdtContent>
      <w:p w14:paraId="1535B31A" w14:textId="5934EE92" w:rsidR="007B34E6" w:rsidRDefault="007B34E6">
        <w:pPr>
          <w:pStyle w:val="Footer"/>
          <w:jc w:val="center"/>
        </w:pPr>
        <w:r>
          <w:fldChar w:fldCharType="begin"/>
        </w:r>
        <w:r>
          <w:instrText xml:space="preserve"> PAGE   \* MERGEFORMAT </w:instrText>
        </w:r>
        <w:r>
          <w:fldChar w:fldCharType="separate"/>
        </w:r>
        <w:r w:rsidR="00A746BA">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EA184" w14:textId="77777777" w:rsidR="007B34E6" w:rsidRDefault="007B3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605229" w14:textId="77777777" w:rsidR="00754871" w:rsidRDefault="00754871" w:rsidP="00C7400A">
      <w:pPr>
        <w:spacing w:after="0" w:line="240" w:lineRule="auto"/>
      </w:pPr>
      <w:r>
        <w:separator/>
      </w:r>
    </w:p>
  </w:footnote>
  <w:footnote w:type="continuationSeparator" w:id="0">
    <w:p w14:paraId="6FE251FE" w14:textId="77777777" w:rsidR="00754871" w:rsidRDefault="00754871" w:rsidP="00C74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36D42" w14:textId="77777777" w:rsidR="00A746BA" w:rsidRPr="00A746BA" w:rsidRDefault="00A746BA" w:rsidP="00A746B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7E309" w14:textId="77777777" w:rsidR="00A746BA" w:rsidRPr="00A746BA" w:rsidRDefault="00A746BA" w:rsidP="00A746B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A58B4" w14:textId="77777777" w:rsidR="00A746BA" w:rsidRPr="00A746BA" w:rsidRDefault="00A746BA" w:rsidP="00A746B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5CE1F" w14:textId="77777777" w:rsidR="007B34E6" w:rsidRDefault="007B34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87B17" w14:textId="1F084514" w:rsidR="007B34E6" w:rsidRPr="00563F98" w:rsidRDefault="007B34E6" w:rsidP="00563F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16BCC" w14:textId="77777777" w:rsidR="007B34E6" w:rsidRDefault="007B34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E6694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6829AE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1F8B97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2D4373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A10353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D08E9F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DFEEA2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D0EEB2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805B47"/>
    <w:multiLevelType w:val="hybridMultilevel"/>
    <w:tmpl w:val="0B7044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1867D0E"/>
    <w:multiLevelType w:val="hybridMultilevel"/>
    <w:tmpl w:val="8C7A9F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B3C78B8"/>
    <w:multiLevelType w:val="multilevel"/>
    <w:tmpl w:val="2ED4F4D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33F4507D"/>
    <w:multiLevelType w:val="hybridMultilevel"/>
    <w:tmpl w:val="46E2CD26"/>
    <w:lvl w:ilvl="0" w:tplc="B09CDAE8">
      <w:start w:val="1"/>
      <w:numFmt w:val="bullet"/>
      <w:lvlText w:val=""/>
      <w:lvlJc w:val="left"/>
      <w:pPr>
        <w:ind w:left="720" w:hanging="360"/>
      </w:pPr>
      <w:rPr>
        <w:rFonts w:ascii="Symbol" w:hAnsi="Symbol"/>
      </w:rPr>
    </w:lvl>
    <w:lvl w:ilvl="1" w:tplc="9EC21206">
      <w:start w:val="1"/>
      <w:numFmt w:val="bullet"/>
      <w:lvlText w:val=""/>
      <w:lvlJc w:val="left"/>
      <w:pPr>
        <w:ind w:left="720" w:hanging="360"/>
      </w:pPr>
      <w:rPr>
        <w:rFonts w:ascii="Symbol" w:hAnsi="Symbol"/>
      </w:rPr>
    </w:lvl>
    <w:lvl w:ilvl="2" w:tplc="ED9C3AEC">
      <w:start w:val="1"/>
      <w:numFmt w:val="bullet"/>
      <w:lvlText w:val=""/>
      <w:lvlJc w:val="left"/>
      <w:pPr>
        <w:ind w:left="720" w:hanging="360"/>
      </w:pPr>
      <w:rPr>
        <w:rFonts w:ascii="Symbol" w:hAnsi="Symbol"/>
      </w:rPr>
    </w:lvl>
    <w:lvl w:ilvl="3" w:tplc="E0EEA6AE">
      <w:start w:val="1"/>
      <w:numFmt w:val="bullet"/>
      <w:lvlText w:val=""/>
      <w:lvlJc w:val="left"/>
      <w:pPr>
        <w:ind w:left="720" w:hanging="360"/>
      </w:pPr>
      <w:rPr>
        <w:rFonts w:ascii="Symbol" w:hAnsi="Symbol"/>
      </w:rPr>
    </w:lvl>
    <w:lvl w:ilvl="4" w:tplc="EE8AAA14">
      <w:start w:val="1"/>
      <w:numFmt w:val="bullet"/>
      <w:lvlText w:val=""/>
      <w:lvlJc w:val="left"/>
      <w:pPr>
        <w:ind w:left="720" w:hanging="360"/>
      </w:pPr>
      <w:rPr>
        <w:rFonts w:ascii="Symbol" w:hAnsi="Symbol"/>
      </w:rPr>
    </w:lvl>
    <w:lvl w:ilvl="5" w:tplc="4A24B334">
      <w:start w:val="1"/>
      <w:numFmt w:val="bullet"/>
      <w:lvlText w:val=""/>
      <w:lvlJc w:val="left"/>
      <w:pPr>
        <w:ind w:left="720" w:hanging="360"/>
      </w:pPr>
      <w:rPr>
        <w:rFonts w:ascii="Symbol" w:hAnsi="Symbol"/>
      </w:rPr>
    </w:lvl>
    <w:lvl w:ilvl="6" w:tplc="52F4CDA4">
      <w:start w:val="1"/>
      <w:numFmt w:val="bullet"/>
      <w:lvlText w:val=""/>
      <w:lvlJc w:val="left"/>
      <w:pPr>
        <w:ind w:left="720" w:hanging="360"/>
      </w:pPr>
      <w:rPr>
        <w:rFonts w:ascii="Symbol" w:hAnsi="Symbol"/>
      </w:rPr>
    </w:lvl>
    <w:lvl w:ilvl="7" w:tplc="BAF28A82">
      <w:start w:val="1"/>
      <w:numFmt w:val="bullet"/>
      <w:lvlText w:val=""/>
      <w:lvlJc w:val="left"/>
      <w:pPr>
        <w:ind w:left="720" w:hanging="360"/>
      </w:pPr>
      <w:rPr>
        <w:rFonts w:ascii="Symbol" w:hAnsi="Symbol"/>
      </w:rPr>
    </w:lvl>
    <w:lvl w:ilvl="8" w:tplc="105A97E2">
      <w:start w:val="1"/>
      <w:numFmt w:val="bullet"/>
      <w:lvlText w:val=""/>
      <w:lvlJc w:val="left"/>
      <w:pPr>
        <w:ind w:left="720" w:hanging="360"/>
      </w:pPr>
      <w:rPr>
        <w:rFonts w:ascii="Symbol" w:hAnsi="Symbol"/>
      </w:rPr>
    </w:lvl>
  </w:abstractNum>
  <w:abstractNum w:abstractNumId="15" w15:restartNumberingAfterBreak="0">
    <w:nsid w:val="420615AD"/>
    <w:multiLevelType w:val="hybridMultilevel"/>
    <w:tmpl w:val="64022A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24174CE"/>
    <w:multiLevelType w:val="hybridMultilevel"/>
    <w:tmpl w:val="AB6A7CD4"/>
    <w:lvl w:ilvl="0" w:tplc="63CE425A">
      <w:start w:val="1"/>
      <w:numFmt w:val="decimal"/>
      <w:lvlText w:val="%1)"/>
      <w:lvlJc w:val="left"/>
      <w:pPr>
        <w:ind w:left="1020" w:hanging="360"/>
      </w:pPr>
    </w:lvl>
    <w:lvl w:ilvl="1" w:tplc="C4380A2C">
      <w:start w:val="1"/>
      <w:numFmt w:val="decimal"/>
      <w:lvlText w:val="%2)"/>
      <w:lvlJc w:val="left"/>
      <w:pPr>
        <w:ind w:left="1020" w:hanging="360"/>
      </w:pPr>
    </w:lvl>
    <w:lvl w:ilvl="2" w:tplc="9EE67958">
      <w:start w:val="1"/>
      <w:numFmt w:val="decimal"/>
      <w:lvlText w:val="%3)"/>
      <w:lvlJc w:val="left"/>
      <w:pPr>
        <w:ind w:left="1020" w:hanging="360"/>
      </w:pPr>
    </w:lvl>
    <w:lvl w:ilvl="3" w:tplc="97647CBA">
      <w:start w:val="1"/>
      <w:numFmt w:val="decimal"/>
      <w:lvlText w:val="%4)"/>
      <w:lvlJc w:val="left"/>
      <w:pPr>
        <w:ind w:left="1020" w:hanging="360"/>
      </w:pPr>
    </w:lvl>
    <w:lvl w:ilvl="4" w:tplc="7416DE10">
      <w:start w:val="1"/>
      <w:numFmt w:val="decimal"/>
      <w:lvlText w:val="%5)"/>
      <w:lvlJc w:val="left"/>
      <w:pPr>
        <w:ind w:left="1020" w:hanging="360"/>
      </w:pPr>
    </w:lvl>
    <w:lvl w:ilvl="5" w:tplc="8B1C423E">
      <w:start w:val="1"/>
      <w:numFmt w:val="decimal"/>
      <w:lvlText w:val="%6)"/>
      <w:lvlJc w:val="left"/>
      <w:pPr>
        <w:ind w:left="1020" w:hanging="360"/>
      </w:pPr>
    </w:lvl>
    <w:lvl w:ilvl="6" w:tplc="A7FCF942">
      <w:start w:val="1"/>
      <w:numFmt w:val="decimal"/>
      <w:lvlText w:val="%7)"/>
      <w:lvlJc w:val="left"/>
      <w:pPr>
        <w:ind w:left="1020" w:hanging="360"/>
      </w:pPr>
    </w:lvl>
    <w:lvl w:ilvl="7" w:tplc="EB90AFE4">
      <w:start w:val="1"/>
      <w:numFmt w:val="decimal"/>
      <w:lvlText w:val="%8)"/>
      <w:lvlJc w:val="left"/>
      <w:pPr>
        <w:ind w:left="1020" w:hanging="360"/>
      </w:pPr>
    </w:lvl>
    <w:lvl w:ilvl="8" w:tplc="70FCE29C">
      <w:start w:val="1"/>
      <w:numFmt w:val="decimal"/>
      <w:lvlText w:val="%9)"/>
      <w:lvlJc w:val="left"/>
      <w:pPr>
        <w:ind w:left="1020" w:hanging="360"/>
      </w:p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6D64DA1"/>
    <w:multiLevelType w:val="hybridMultilevel"/>
    <w:tmpl w:val="A4E69A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6" w15:restartNumberingAfterBreak="0">
    <w:nsid w:val="61FB20E5"/>
    <w:multiLevelType w:val="hybridMultilevel"/>
    <w:tmpl w:val="44D88532"/>
    <w:lvl w:ilvl="0" w:tplc="4274D656">
      <w:start w:val="1"/>
      <w:numFmt w:val="bullet"/>
      <w:lvlText w:val=""/>
      <w:lvlJc w:val="left"/>
      <w:pPr>
        <w:ind w:left="720" w:hanging="360"/>
      </w:pPr>
      <w:rPr>
        <w:rFonts w:ascii="Symbol" w:hAnsi="Symbol"/>
      </w:rPr>
    </w:lvl>
    <w:lvl w:ilvl="1" w:tplc="50FC67B8">
      <w:start w:val="1"/>
      <w:numFmt w:val="bullet"/>
      <w:lvlText w:val=""/>
      <w:lvlJc w:val="left"/>
      <w:pPr>
        <w:ind w:left="720" w:hanging="360"/>
      </w:pPr>
      <w:rPr>
        <w:rFonts w:ascii="Symbol" w:hAnsi="Symbol"/>
      </w:rPr>
    </w:lvl>
    <w:lvl w:ilvl="2" w:tplc="80A6DD92">
      <w:start w:val="1"/>
      <w:numFmt w:val="bullet"/>
      <w:lvlText w:val=""/>
      <w:lvlJc w:val="left"/>
      <w:pPr>
        <w:ind w:left="720" w:hanging="360"/>
      </w:pPr>
      <w:rPr>
        <w:rFonts w:ascii="Symbol" w:hAnsi="Symbol"/>
      </w:rPr>
    </w:lvl>
    <w:lvl w:ilvl="3" w:tplc="D83044E0">
      <w:start w:val="1"/>
      <w:numFmt w:val="bullet"/>
      <w:lvlText w:val=""/>
      <w:lvlJc w:val="left"/>
      <w:pPr>
        <w:ind w:left="720" w:hanging="360"/>
      </w:pPr>
      <w:rPr>
        <w:rFonts w:ascii="Symbol" w:hAnsi="Symbol"/>
      </w:rPr>
    </w:lvl>
    <w:lvl w:ilvl="4" w:tplc="B9FA4754">
      <w:start w:val="1"/>
      <w:numFmt w:val="bullet"/>
      <w:lvlText w:val=""/>
      <w:lvlJc w:val="left"/>
      <w:pPr>
        <w:ind w:left="720" w:hanging="360"/>
      </w:pPr>
      <w:rPr>
        <w:rFonts w:ascii="Symbol" w:hAnsi="Symbol"/>
      </w:rPr>
    </w:lvl>
    <w:lvl w:ilvl="5" w:tplc="DA48BDCC">
      <w:start w:val="1"/>
      <w:numFmt w:val="bullet"/>
      <w:lvlText w:val=""/>
      <w:lvlJc w:val="left"/>
      <w:pPr>
        <w:ind w:left="720" w:hanging="360"/>
      </w:pPr>
      <w:rPr>
        <w:rFonts w:ascii="Symbol" w:hAnsi="Symbol"/>
      </w:rPr>
    </w:lvl>
    <w:lvl w:ilvl="6" w:tplc="AF060348">
      <w:start w:val="1"/>
      <w:numFmt w:val="bullet"/>
      <w:lvlText w:val=""/>
      <w:lvlJc w:val="left"/>
      <w:pPr>
        <w:ind w:left="720" w:hanging="360"/>
      </w:pPr>
      <w:rPr>
        <w:rFonts w:ascii="Symbol" w:hAnsi="Symbol"/>
      </w:rPr>
    </w:lvl>
    <w:lvl w:ilvl="7" w:tplc="48FC7F0C">
      <w:start w:val="1"/>
      <w:numFmt w:val="bullet"/>
      <w:lvlText w:val=""/>
      <w:lvlJc w:val="left"/>
      <w:pPr>
        <w:ind w:left="720" w:hanging="360"/>
      </w:pPr>
      <w:rPr>
        <w:rFonts w:ascii="Symbol" w:hAnsi="Symbol"/>
      </w:rPr>
    </w:lvl>
    <w:lvl w:ilvl="8" w:tplc="894E1F7C">
      <w:start w:val="1"/>
      <w:numFmt w:val="bullet"/>
      <w:lvlText w:val=""/>
      <w:lvlJc w:val="left"/>
      <w:pPr>
        <w:ind w:left="720" w:hanging="360"/>
      </w:pPr>
      <w:rPr>
        <w:rFonts w:ascii="Symbol" w:hAnsi="Symbol"/>
      </w:rPr>
    </w:lvl>
  </w:abstractNum>
  <w:abstractNum w:abstractNumId="27"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2D19E7"/>
    <w:multiLevelType w:val="hybridMultilevel"/>
    <w:tmpl w:val="C99018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14659F6"/>
    <w:multiLevelType w:val="hybridMultilevel"/>
    <w:tmpl w:val="D668D896"/>
    <w:lvl w:ilvl="0" w:tplc="7F22A09E">
      <w:start w:val="1"/>
      <w:numFmt w:val="bullet"/>
      <w:lvlText w:val=""/>
      <w:lvlJc w:val="left"/>
      <w:pPr>
        <w:ind w:left="720" w:hanging="360"/>
      </w:pPr>
      <w:rPr>
        <w:rFonts w:ascii="Symbol" w:hAnsi="Symbol"/>
      </w:rPr>
    </w:lvl>
    <w:lvl w:ilvl="1" w:tplc="5FB63548">
      <w:start w:val="1"/>
      <w:numFmt w:val="bullet"/>
      <w:lvlText w:val=""/>
      <w:lvlJc w:val="left"/>
      <w:pPr>
        <w:ind w:left="720" w:hanging="360"/>
      </w:pPr>
      <w:rPr>
        <w:rFonts w:ascii="Symbol" w:hAnsi="Symbol"/>
      </w:rPr>
    </w:lvl>
    <w:lvl w:ilvl="2" w:tplc="958E17D0">
      <w:start w:val="1"/>
      <w:numFmt w:val="bullet"/>
      <w:lvlText w:val=""/>
      <w:lvlJc w:val="left"/>
      <w:pPr>
        <w:ind w:left="720" w:hanging="360"/>
      </w:pPr>
      <w:rPr>
        <w:rFonts w:ascii="Symbol" w:hAnsi="Symbol"/>
      </w:rPr>
    </w:lvl>
    <w:lvl w:ilvl="3" w:tplc="F800E36E">
      <w:start w:val="1"/>
      <w:numFmt w:val="bullet"/>
      <w:lvlText w:val=""/>
      <w:lvlJc w:val="left"/>
      <w:pPr>
        <w:ind w:left="720" w:hanging="360"/>
      </w:pPr>
      <w:rPr>
        <w:rFonts w:ascii="Symbol" w:hAnsi="Symbol"/>
      </w:rPr>
    </w:lvl>
    <w:lvl w:ilvl="4" w:tplc="97DAF1B6">
      <w:start w:val="1"/>
      <w:numFmt w:val="bullet"/>
      <w:lvlText w:val=""/>
      <w:lvlJc w:val="left"/>
      <w:pPr>
        <w:ind w:left="720" w:hanging="360"/>
      </w:pPr>
      <w:rPr>
        <w:rFonts w:ascii="Symbol" w:hAnsi="Symbol"/>
      </w:rPr>
    </w:lvl>
    <w:lvl w:ilvl="5" w:tplc="94FC112C">
      <w:start w:val="1"/>
      <w:numFmt w:val="bullet"/>
      <w:lvlText w:val=""/>
      <w:lvlJc w:val="left"/>
      <w:pPr>
        <w:ind w:left="720" w:hanging="360"/>
      </w:pPr>
      <w:rPr>
        <w:rFonts w:ascii="Symbol" w:hAnsi="Symbol"/>
      </w:rPr>
    </w:lvl>
    <w:lvl w:ilvl="6" w:tplc="257C8C2A">
      <w:start w:val="1"/>
      <w:numFmt w:val="bullet"/>
      <w:lvlText w:val=""/>
      <w:lvlJc w:val="left"/>
      <w:pPr>
        <w:ind w:left="720" w:hanging="360"/>
      </w:pPr>
      <w:rPr>
        <w:rFonts w:ascii="Symbol" w:hAnsi="Symbol"/>
      </w:rPr>
    </w:lvl>
    <w:lvl w:ilvl="7" w:tplc="CD746D14">
      <w:start w:val="1"/>
      <w:numFmt w:val="bullet"/>
      <w:lvlText w:val=""/>
      <w:lvlJc w:val="left"/>
      <w:pPr>
        <w:ind w:left="720" w:hanging="360"/>
      </w:pPr>
      <w:rPr>
        <w:rFonts w:ascii="Symbol" w:hAnsi="Symbol"/>
      </w:rPr>
    </w:lvl>
    <w:lvl w:ilvl="8" w:tplc="354045DA">
      <w:start w:val="1"/>
      <w:numFmt w:val="bullet"/>
      <w:lvlText w:val=""/>
      <w:lvlJc w:val="left"/>
      <w:pPr>
        <w:ind w:left="720" w:hanging="360"/>
      </w:pPr>
      <w:rPr>
        <w:rFonts w:ascii="Symbol" w:hAnsi="Symbol"/>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2" w15:restartNumberingAfterBreak="0">
    <w:nsid w:val="7F006ECC"/>
    <w:multiLevelType w:val="hybridMultilevel"/>
    <w:tmpl w:val="9EA842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7F2221D2"/>
    <w:multiLevelType w:val="hybridMultilevel"/>
    <w:tmpl w:val="3C6C8D32"/>
    <w:lvl w:ilvl="0" w:tplc="3CD2AFBA">
      <w:start w:val="1"/>
      <w:numFmt w:val="decimal"/>
      <w:lvlText w:val="%1)"/>
      <w:lvlJc w:val="left"/>
      <w:pPr>
        <w:ind w:left="1020" w:hanging="360"/>
      </w:pPr>
    </w:lvl>
    <w:lvl w:ilvl="1" w:tplc="EA14B5AC">
      <w:start w:val="1"/>
      <w:numFmt w:val="decimal"/>
      <w:lvlText w:val="%2)"/>
      <w:lvlJc w:val="left"/>
      <w:pPr>
        <w:ind w:left="1020" w:hanging="360"/>
      </w:pPr>
    </w:lvl>
    <w:lvl w:ilvl="2" w:tplc="F640B53C">
      <w:start w:val="1"/>
      <w:numFmt w:val="decimal"/>
      <w:lvlText w:val="%3)"/>
      <w:lvlJc w:val="left"/>
      <w:pPr>
        <w:ind w:left="1020" w:hanging="360"/>
      </w:pPr>
    </w:lvl>
    <w:lvl w:ilvl="3" w:tplc="5DC4C11C">
      <w:start w:val="1"/>
      <w:numFmt w:val="decimal"/>
      <w:lvlText w:val="%4)"/>
      <w:lvlJc w:val="left"/>
      <w:pPr>
        <w:ind w:left="1020" w:hanging="360"/>
      </w:pPr>
    </w:lvl>
    <w:lvl w:ilvl="4" w:tplc="ED381252">
      <w:start w:val="1"/>
      <w:numFmt w:val="decimal"/>
      <w:lvlText w:val="%5)"/>
      <w:lvlJc w:val="left"/>
      <w:pPr>
        <w:ind w:left="1020" w:hanging="360"/>
      </w:pPr>
    </w:lvl>
    <w:lvl w:ilvl="5" w:tplc="4BEE6D70">
      <w:start w:val="1"/>
      <w:numFmt w:val="decimal"/>
      <w:lvlText w:val="%6)"/>
      <w:lvlJc w:val="left"/>
      <w:pPr>
        <w:ind w:left="1020" w:hanging="360"/>
      </w:pPr>
    </w:lvl>
    <w:lvl w:ilvl="6" w:tplc="BFE07FFE">
      <w:start w:val="1"/>
      <w:numFmt w:val="decimal"/>
      <w:lvlText w:val="%7)"/>
      <w:lvlJc w:val="left"/>
      <w:pPr>
        <w:ind w:left="1020" w:hanging="360"/>
      </w:pPr>
    </w:lvl>
    <w:lvl w:ilvl="7" w:tplc="AB2081B0">
      <w:start w:val="1"/>
      <w:numFmt w:val="decimal"/>
      <w:lvlText w:val="%8)"/>
      <w:lvlJc w:val="left"/>
      <w:pPr>
        <w:ind w:left="1020" w:hanging="360"/>
      </w:pPr>
    </w:lvl>
    <w:lvl w:ilvl="8" w:tplc="E2A8E874">
      <w:start w:val="1"/>
      <w:numFmt w:val="decimal"/>
      <w:lvlText w:val="%9)"/>
      <w:lvlJc w:val="left"/>
      <w:pPr>
        <w:ind w:left="1020" w:hanging="360"/>
      </w:pPr>
    </w:lvl>
  </w:abstractNum>
  <w:num w:numId="1">
    <w:abstractNumId w:val="19"/>
  </w:num>
  <w:num w:numId="2">
    <w:abstractNumId w:val="22"/>
  </w:num>
  <w:num w:numId="3">
    <w:abstractNumId w:val="23"/>
  </w:num>
  <w:num w:numId="4">
    <w:abstractNumId w:val="12"/>
  </w:num>
  <w:num w:numId="5">
    <w:abstractNumId w:val="21"/>
  </w:num>
  <w:num w:numId="6">
    <w:abstractNumId w:val="31"/>
  </w:num>
  <w:num w:numId="7">
    <w:abstractNumId w:val="27"/>
  </w:num>
  <w:num w:numId="8">
    <w:abstractNumId w:val="7"/>
  </w:num>
  <w:num w:numId="9">
    <w:abstractNumId w:val="5"/>
  </w:num>
  <w:num w:numId="10">
    <w:abstractNumId w:val="4"/>
  </w:num>
  <w:num w:numId="11">
    <w:abstractNumId w:val="3"/>
  </w:num>
  <w:num w:numId="12">
    <w:abstractNumId w:val="6"/>
  </w:num>
  <w:num w:numId="13">
    <w:abstractNumId w:val="2"/>
  </w:num>
  <w:num w:numId="14">
    <w:abstractNumId w:val="1"/>
  </w:num>
  <w:num w:numId="15">
    <w:abstractNumId w:val="0"/>
  </w:num>
  <w:num w:numId="16">
    <w:abstractNumId w:val="11"/>
  </w:num>
  <w:num w:numId="17">
    <w:abstractNumId w:val="10"/>
  </w:num>
  <w:num w:numId="18">
    <w:abstractNumId w:val="24"/>
  </w:num>
  <w:num w:numId="19">
    <w:abstractNumId w:val="17"/>
  </w:num>
  <w:num w:numId="20">
    <w:abstractNumId w:val="28"/>
  </w:num>
  <w:num w:numId="21">
    <w:abstractNumId w:val="13"/>
  </w:num>
  <w:num w:numId="22">
    <w:abstractNumId w:val="18"/>
  </w:num>
  <w:num w:numId="23">
    <w:abstractNumId w:val="29"/>
  </w:num>
  <w:num w:numId="24">
    <w:abstractNumId w:val="15"/>
  </w:num>
  <w:num w:numId="25">
    <w:abstractNumId w:val="20"/>
  </w:num>
  <w:num w:numId="26">
    <w:abstractNumId w:val="16"/>
  </w:num>
  <w:num w:numId="27">
    <w:abstractNumId w:val="25"/>
  </w:num>
  <w:num w:numId="28">
    <w:abstractNumId w:val="32"/>
  </w:num>
  <w:num w:numId="29">
    <w:abstractNumId w:val="8"/>
  </w:num>
  <w:num w:numId="30">
    <w:abstractNumId w:val="29"/>
  </w:num>
  <w:num w:numId="31">
    <w:abstractNumId w:val="29"/>
  </w:num>
  <w:num w:numId="32">
    <w:abstractNumId w:val="14"/>
  </w:num>
  <w:num w:numId="33">
    <w:abstractNumId w:val="26"/>
  </w:num>
  <w:num w:numId="34">
    <w:abstractNumId w:val="30"/>
  </w:num>
  <w:num w:numId="35">
    <w:abstractNumId w:val="9"/>
  </w:num>
  <w:num w:numId="36">
    <w:abstractNumId w:val="3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91594D63-4B59-419B-BFA5-AD9C2CE51182"/>
    <w:docVar w:name="LW_COVERPAGE_TYPE" w:val="1"/>
    <w:docVar w:name="LW_CROSSREFERENCE" w:val="{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NORMAL"/>
    <w:docVar w:name="LW_EMISSION" w:val="17.7.2026"/>
    <w:docVar w:name="LW_EMISSION_ISODATE" w:val="2026-07-17"/>
    <w:docVar w:name="LW_EMISSION_LOCATION" w:val="BRX"/>
    <w:docVar w:name="LW_EMISSION_PREFIX" w:val="Bruxelles,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lt;FMT:Bold&gt;Raportul din 2026 privind statul de drept&lt;/FMT&gt;_x000d__x000d__x000d__x000d__x000d__x000d__x000d__x000d__x000b__x000d__x000d__x000d__x000d__x000d__x000d__x000d__x000d__x000b_&lt;FMT:Bold&gt;Situa\u539?ia statului de drept în Uniunea European\u259?&lt;/FMT&gt;"/>
    <w:docVar w:name="LW_PART_NBR" w:val="1"/>
    <w:docVar w:name="LW_PART_NBR_TOTAL" w:val="1"/>
    <w:docVar w:name="LW_REF.INST.NEW" w:val="COM"/>
    <w:docVar w:name="LW_REF.INST.NEW_ADOPTED" w:val="final"/>
    <w:docVar w:name="LW_REF.INST.NEW_TEXT" w:val="(2026) 9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COMUNICAREA COMISIEI C\u258?TRE PARLAMENTUL EUROPEAN, CONSILIU, COMITETUL ECONOMIC \u536?I SOCIAL EUROPEAN \u536?I COMITETUL REGIUNILOR"/>
    <w:docVar w:name="LwApiVersions" w:val="LW4CoDe 1.24.5.0; LW 9.2, Build 20251112"/>
  </w:docVars>
  <w:rsids>
    <w:rsidRoot w:val="00C7400A"/>
    <w:rsid w:val="000000C2"/>
    <w:rsid w:val="000001DF"/>
    <w:rsid w:val="00000FBE"/>
    <w:rsid w:val="000010D3"/>
    <w:rsid w:val="00001158"/>
    <w:rsid w:val="00001214"/>
    <w:rsid w:val="00001352"/>
    <w:rsid w:val="00001681"/>
    <w:rsid w:val="000018AB"/>
    <w:rsid w:val="00001A52"/>
    <w:rsid w:val="00001AD3"/>
    <w:rsid w:val="00001AFA"/>
    <w:rsid w:val="00001E1A"/>
    <w:rsid w:val="00001FD4"/>
    <w:rsid w:val="0000212A"/>
    <w:rsid w:val="000025A4"/>
    <w:rsid w:val="000027F6"/>
    <w:rsid w:val="000028E7"/>
    <w:rsid w:val="00002F1F"/>
    <w:rsid w:val="00003010"/>
    <w:rsid w:val="000030AC"/>
    <w:rsid w:val="0000328B"/>
    <w:rsid w:val="0000351F"/>
    <w:rsid w:val="0000369A"/>
    <w:rsid w:val="000036C2"/>
    <w:rsid w:val="000037B4"/>
    <w:rsid w:val="0000383D"/>
    <w:rsid w:val="00003B2D"/>
    <w:rsid w:val="00003B50"/>
    <w:rsid w:val="00003F0F"/>
    <w:rsid w:val="00004135"/>
    <w:rsid w:val="00004672"/>
    <w:rsid w:val="00004766"/>
    <w:rsid w:val="000047B3"/>
    <w:rsid w:val="0000486C"/>
    <w:rsid w:val="000048E2"/>
    <w:rsid w:val="00004CE0"/>
    <w:rsid w:val="00005356"/>
    <w:rsid w:val="0000541D"/>
    <w:rsid w:val="000054F3"/>
    <w:rsid w:val="000054FC"/>
    <w:rsid w:val="000055FE"/>
    <w:rsid w:val="0000568A"/>
    <w:rsid w:val="0000575A"/>
    <w:rsid w:val="00005C06"/>
    <w:rsid w:val="00005E97"/>
    <w:rsid w:val="00005F74"/>
    <w:rsid w:val="0000611D"/>
    <w:rsid w:val="00006533"/>
    <w:rsid w:val="000065EA"/>
    <w:rsid w:val="0000690B"/>
    <w:rsid w:val="00006995"/>
    <w:rsid w:val="00006B1A"/>
    <w:rsid w:val="00007058"/>
    <w:rsid w:val="00007454"/>
    <w:rsid w:val="00007510"/>
    <w:rsid w:val="000079E2"/>
    <w:rsid w:val="00007ACA"/>
    <w:rsid w:val="00007EA6"/>
    <w:rsid w:val="0001023D"/>
    <w:rsid w:val="000102A8"/>
    <w:rsid w:val="000104D5"/>
    <w:rsid w:val="00010B74"/>
    <w:rsid w:val="00010BD0"/>
    <w:rsid w:val="000110A5"/>
    <w:rsid w:val="000111A2"/>
    <w:rsid w:val="000112FB"/>
    <w:rsid w:val="000115AD"/>
    <w:rsid w:val="000116A1"/>
    <w:rsid w:val="00011AAC"/>
    <w:rsid w:val="00011E83"/>
    <w:rsid w:val="00011ECF"/>
    <w:rsid w:val="00011FB7"/>
    <w:rsid w:val="00012064"/>
    <w:rsid w:val="000122E3"/>
    <w:rsid w:val="000126E1"/>
    <w:rsid w:val="00012927"/>
    <w:rsid w:val="00012A91"/>
    <w:rsid w:val="00012ED1"/>
    <w:rsid w:val="000137A3"/>
    <w:rsid w:val="00013A6F"/>
    <w:rsid w:val="00013B8B"/>
    <w:rsid w:val="00013E8E"/>
    <w:rsid w:val="0001409F"/>
    <w:rsid w:val="000144D7"/>
    <w:rsid w:val="0001489D"/>
    <w:rsid w:val="00014A85"/>
    <w:rsid w:val="00014B23"/>
    <w:rsid w:val="00014B92"/>
    <w:rsid w:val="000150AD"/>
    <w:rsid w:val="00015172"/>
    <w:rsid w:val="000153E1"/>
    <w:rsid w:val="00015B39"/>
    <w:rsid w:val="00015F6F"/>
    <w:rsid w:val="00015FD3"/>
    <w:rsid w:val="0001612D"/>
    <w:rsid w:val="000162C6"/>
    <w:rsid w:val="00016397"/>
    <w:rsid w:val="00016979"/>
    <w:rsid w:val="00016D75"/>
    <w:rsid w:val="00016DB6"/>
    <w:rsid w:val="000174E1"/>
    <w:rsid w:val="00017907"/>
    <w:rsid w:val="00017F04"/>
    <w:rsid w:val="0002004A"/>
    <w:rsid w:val="000201A2"/>
    <w:rsid w:val="000202E2"/>
    <w:rsid w:val="000202F2"/>
    <w:rsid w:val="000203B3"/>
    <w:rsid w:val="000206EF"/>
    <w:rsid w:val="00020F49"/>
    <w:rsid w:val="0002126F"/>
    <w:rsid w:val="000218AF"/>
    <w:rsid w:val="00021A84"/>
    <w:rsid w:val="00021DF4"/>
    <w:rsid w:val="00021F79"/>
    <w:rsid w:val="000220F8"/>
    <w:rsid w:val="00022161"/>
    <w:rsid w:val="00022473"/>
    <w:rsid w:val="00022685"/>
    <w:rsid w:val="000226C6"/>
    <w:rsid w:val="00022925"/>
    <w:rsid w:val="0002314B"/>
    <w:rsid w:val="0002334A"/>
    <w:rsid w:val="00023723"/>
    <w:rsid w:val="000238F4"/>
    <w:rsid w:val="00023D18"/>
    <w:rsid w:val="000240C4"/>
    <w:rsid w:val="00024106"/>
    <w:rsid w:val="000242FB"/>
    <w:rsid w:val="000245AE"/>
    <w:rsid w:val="00024643"/>
    <w:rsid w:val="0002479C"/>
    <w:rsid w:val="00024B26"/>
    <w:rsid w:val="00024B31"/>
    <w:rsid w:val="0002519A"/>
    <w:rsid w:val="00025685"/>
    <w:rsid w:val="000256CA"/>
    <w:rsid w:val="0002590F"/>
    <w:rsid w:val="0002612F"/>
    <w:rsid w:val="0002694A"/>
    <w:rsid w:val="00026C58"/>
    <w:rsid w:val="00026F34"/>
    <w:rsid w:val="00027028"/>
    <w:rsid w:val="000271E5"/>
    <w:rsid w:val="00027775"/>
    <w:rsid w:val="000277B4"/>
    <w:rsid w:val="00027B61"/>
    <w:rsid w:val="00027D0B"/>
    <w:rsid w:val="00030292"/>
    <w:rsid w:val="0003055F"/>
    <w:rsid w:val="0003085B"/>
    <w:rsid w:val="000308D0"/>
    <w:rsid w:val="00030B14"/>
    <w:rsid w:val="00030BFD"/>
    <w:rsid w:val="00030DED"/>
    <w:rsid w:val="0003138D"/>
    <w:rsid w:val="00031411"/>
    <w:rsid w:val="0003143F"/>
    <w:rsid w:val="00031594"/>
    <w:rsid w:val="000322E6"/>
    <w:rsid w:val="00032449"/>
    <w:rsid w:val="000327E4"/>
    <w:rsid w:val="000329D7"/>
    <w:rsid w:val="000335C8"/>
    <w:rsid w:val="00033A4A"/>
    <w:rsid w:val="00033D62"/>
    <w:rsid w:val="00033E7E"/>
    <w:rsid w:val="0003425E"/>
    <w:rsid w:val="000343C4"/>
    <w:rsid w:val="000348E8"/>
    <w:rsid w:val="000349B7"/>
    <w:rsid w:val="00034BA9"/>
    <w:rsid w:val="00034D5C"/>
    <w:rsid w:val="00034D64"/>
    <w:rsid w:val="0003528B"/>
    <w:rsid w:val="0003548D"/>
    <w:rsid w:val="000354F6"/>
    <w:rsid w:val="0003555A"/>
    <w:rsid w:val="00035654"/>
    <w:rsid w:val="00035892"/>
    <w:rsid w:val="00035A8B"/>
    <w:rsid w:val="00035C66"/>
    <w:rsid w:val="00035C7F"/>
    <w:rsid w:val="00035EED"/>
    <w:rsid w:val="00035F25"/>
    <w:rsid w:val="00035F5A"/>
    <w:rsid w:val="000361D8"/>
    <w:rsid w:val="0003652E"/>
    <w:rsid w:val="0003653D"/>
    <w:rsid w:val="00036608"/>
    <w:rsid w:val="00036A62"/>
    <w:rsid w:val="00036A85"/>
    <w:rsid w:val="00036AD6"/>
    <w:rsid w:val="00036BA3"/>
    <w:rsid w:val="00036BBB"/>
    <w:rsid w:val="00036DEB"/>
    <w:rsid w:val="0003704A"/>
    <w:rsid w:val="0003717B"/>
    <w:rsid w:val="000379AE"/>
    <w:rsid w:val="00037E47"/>
    <w:rsid w:val="000404F5"/>
    <w:rsid w:val="00040595"/>
    <w:rsid w:val="0004080F"/>
    <w:rsid w:val="0004082E"/>
    <w:rsid w:val="000410FC"/>
    <w:rsid w:val="00041C0F"/>
    <w:rsid w:val="00041E3A"/>
    <w:rsid w:val="0004207B"/>
    <w:rsid w:val="00042123"/>
    <w:rsid w:val="000421A9"/>
    <w:rsid w:val="00042416"/>
    <w:rsid w:val="00042661"/>
    <w:rsid w:val="00042782"/>
    <w:rsid w:val="000428A6"/>
    <w:rsid w:val="0004299C"/>
    <w:rsid w:val="00042A1C"/>
    <w:rsid w:val="00042CF7"/>
    <w:rsid w:val="0004305F"/>
    <w:rsid w:val="00043572"/>
    <w:rsid w:val="000436E5"/>
    <w:rsid w:val="000438EF"/>
    <w:rsid w:val="00043DA5"/>
    <w:rsid w:val="00044194"/>
    <w:rsid w:val="0004483A"/>
    <w:rsid w:val="00044869"/>
    <w:rsid w:val="000449E4"/>
    <w:rsid w:val="00044B53"/>
    <w:rsid w:val="00044BA0"/>
    <w:rsid w:val="00044D98"/>
    <w:rsid w:val="00044E7E"/>
    <w:rsid w:val="000452C1"/>
    <w:rsid w:val="00045613"/>
    <w:rsid w:val="0004570F"/>
    <w:rsid w:val="00045908"/>
    <w:rsid w:val="00045969"/>
    <w:rsid w:val="00045F75"/>
    <w:rsid w:val="00046283"/>
    <w:rsid w:val="00046387"/>
    <w:rsid w:val="00046F21"/>
    <w:rsid w:val="00047373"/>
    <w:rsid w:val="00047627"/>
    <w:rsid w:val="000476A6"/>
    <w:rsid w:val="00047B92"/>
    <w:rsid w:val="00047BE5"/>
    <w:rsid w:val="0005025E"/>
    <w:rsid w:val="00050601"/>
    <w:rsid w:val="0005071A"/>
    <w:rsid w:val="00050937"/>
    <w:rsid w:val="00050BBD"/>
    <w:rsid w:val="00051124"/>
    <w:rsid w:val="00051183"/>
    <w:rsid w:val="00051364"/>
    <w:rsid w:val="000515E2"/>
    <w:rsid w:val="0005199D"/>
    <w:rsid w:val="00051C1E"/>
    <w:rsid w:val="00051E54"/>
    <w:rsid w:val="0005207C"/>
    <w:rsid w:val="000522AD"/>
    <w:rsid w:val="000526BC"/>
    <w:rsid w:val="00052A57"/>
    <w:rsid w:val="00052EE5"/>
    <w:rsid w:val="000530CE"/>
    <w:rsid w:val="000530FB"/>
    <w:rsid w:val="0005322F"/>
    <w:rsid w:val="0005371B"/>
    <w:rsid w:val="000538D9"/>
    <w:rsid w:val="00053B99"/>
    <w:rsid w:val="00053E4D"/>
    <w:rsid w:val="00053F6C"/>
    <w:rsid w:val="000544A6"/>
    <w:rsid w:val="000544E9"/>
    <w:rsid w:val="00055043"/>
    <w:rsid w:val="000550DA"/>
    <w:rsid w:val="0005551D"/>
    <w:rsid w:val="00055668"/>
    <w:rsid w:val="00055A48"/>
    <w:rsid w:val="00055B0A"/>
    <w:rsid w:val="00055DD3"/>
    <w:rsid w:val="00055FA5"/>
    <w:rsid w:val="000565FA"/>
    <w:rsid w:val="00056792"/>
    <w:rsid w:val="00056A3C"/>
    <w:rsid w:val="00056A6E"/>
    <w:rsid w:val="00056DD9"/>
    <w:rsid w:val="00056E8F"/>
    <w:rsid w:val="00056F25"/>
    <w:rsid w:val="000572E9"/>
    <w:rsid w:val="000573D7"/>
    <w:rsid w:val="0005746F"/>
    <w:rsid w:val="000576EB"/>
    <w:rsid w:val="00057B48"/>
    <w:rsid w:val="00057BF8"/>
    <w:rsid w:val="000601F7"/>
    <w:rsid w:val="000602F3"/>
    <w:rsid w:val="00060361"/>
    <w:rsid w:val="00060363"/>
    <w:rsid w:val="0006037F"/>
    <w:rsid w:val="000607AD"/>
    <w:rsid w:val="0006098C"/>
    <w:rsid w:val="00060D40"/>
    <w:rsid w:val="00060E19"/>
    <w:rsid w:val="00060E9F"/>
    <w:rsid w:val="0006124D"/>
    <w:rsid w:val="0006144B"/>
    <w:rsid w:val="000615D1"/>
    <w:rsid w:val="00061678"/>
    <w:rsid w:val="00061AED"/>
    <w:rsid w:val="00061E0F"/>
    <w:rsid w:val="000621A2"/>
    <w:rsid w:val="000625BB"/>
    <w:rsid w:val="00062679"/>
    <w:rsid w:val="0006275A"/>
    <w:rsid w:val="00062BC2"/>
    <w:rsid w:val="0006314D"/>
    <w:rsid w:val="000631F1"/>
    <w:rsid w:val="0006376C"/>
    <w:rsid w:val="000637AB"/>
    <w:rsid w:val="00063830"/>
    <w:rsid w:val="00063E24"/>
    <w:rsid w:val="0006423E"/>
    <w:rsid w:val="00064331"/>
    <w:rsid w:val="0006452D"/>
    <w:rsid w:val="000645F9"/>
    <w:rsid w:val="00064659"/>
    <w:rsid w:val="00064F0A"/>
    <w:rsid w:val="00064FFD"/>
    <w:rsid w:val="0006501F"/>
    <w:rsid w:val="0006509F"/>
    <w:rsid w:val="00065264"/>
    <w:rsid w:val="00065534"/>
    <w:rsid w:val="00065739"/>
    <w:rsid w:val="00065C0E"/>
    <w:rsid w:val="0006602E"/>
    <w:rsid w:val="000667CD"/>
    <w:rsid w:val="000669C3"/>
    <w:rsid w:val="000669C8"/>
    <w:rsid w:val="00066A56"/>
    <w:rsid w:val="00066C13"/>
    <w:rsid w:val="00066C66"/>
    <w:rsid w:val="00066E1B"/>
    <w:rsid w:val="00067254"/>
    <w:rsid w:val="00067278"/>
    <w:rsid w:val="00067538"/>
    <w:rsid w:val="00067677"/>
    <w:rsid w:val="00067723"/>
    <w:rsid w:val="0006773E"/>
    <w:rsid w:val="00067747"/>
    <w:rsid w:val="000679E6"/>
    <w:rsid w:val="00067D4B"/>
    <w:rsid w:val="000700DB"/>
    <w:rsid w:val="00070FB9"/>
    <w:rsid w:val="00071614"/>
    <w:rsid w:val="00071A98"/>
    <w:rsid w:val="00071CC7"/>
    <w:rsid w:val="000720A1"/>
    <w:rsid w:val="000728B2"/>
    <w:rsid w:val="00072BC2"/>
    <w:rsid w:val="00072BC3"/>
    <w:rsid w:val="00072C67"/>
    <w:rsid w:val="00072C85"/>
    <w:rsid w:val="00072E4F"/>
    <w:rsid w:val="000730B0"/>
    <w:rsid w:val="000732A0"/>
    <w:rsid w:val="000732DF"/>
    <w:rsid w:val="00073385"/>
    <w:rsid w:val="000739DE"/>
    <w:rsid w:val="00073B22"/>
    <w:rsid w:val="00073B62"/>
    <w:rsid w:val="00073DEC"/>
    <w:rsid w:val="00073E19"/>
    <w:rsid w:val="00073E66"/>
    <w:rsid w:val="00073EEC"/>
    <w:rsid w:val="0007404C"/>
    <w:rsid w:val="0007481A"/>
    <w:rsid w:val="00074849"/>
    <w:rsid w:val="00074C35"/>
    <w:rsid w:val="00074C55"/>
    <w:rsid w:val="00074DA3"/>
    <w:rsid w:val="0007562F"/>
    <w:rsid w:val="00075731"/>
    <w:rsid w:val="00076542"/>
    <w:rsid w:val="0007665D"/>
    <w:rsid w:val="000769AE"/>
    <w:rsid w:val="000769FD"/>
    <w:rsid w:val="00076BAD"/>
    <w:rsid w:val="00076E02"/>
    <w:rsid w:val="00077042"/>
    <w:rsid w:val="00077294"/>
    <w:rsid w:val="000773AF"/>
    <w:rsid w:val="0007748C"/>
    <w:rsid w:val="000775EE"/>
    <w:rsid w:val="00077720"/>
    <w:rsid w:val="000777BF"/>
    <w:rsid w:val="00077CC6"/>
    <w:rsid w:val="00077E91"/>
    <w:rsid w:val="0008005C"/>
    <w:rsid w:val="000803F4"/>
    <w:rsid w:val="000804EC"/>
    <w:rsid w:val="000808B8"/>
    <w:rsid w:val="00080A03"/>
    <w:rsid w:val="00080BD5"/>
    <w:rsid w:val="00080F2C"/>
    <w:rsid w:val="0008107A"/>
    <w:rsid w:val="00081097"/>
    <w:rsid w:val="000811AE"/>
    <w:rsid w:val="00081547"/>
    <w:rsid w:val="000815C3"/>
    <w:rsid w:val="00081D89"/>
    <w:rsid w:val="00081E12"/>
    <w:rsid w:val="00081F03"/>
    <w:rsid w:val="00082261"/>
    <w:rsid w:val="000828FD"/>
    <w:rsid w:val="00082965"/>
    <w:rsid w:val="000829B3"/>
    <w:rsid w:val="00082D62"/>
    <w:rsid w:val="00082D6F"/>
    <w:rsid w:val="00082EB2"/>
    <w:rsid w:val="00083392"/>
    <w:rsid w:val="00083862"/>
    <w:rsid w:val="0008388D"/>
    <w:rsid w:val="00083AC8"/>
    <w:rsid w:val="00083B31"/>
    <w:rsid w:val="00083CFB"/>
    <w:rsid w:val="00083D0E"/>
    <w:rsid w:val="0008437C"/>
    <w:rsid w:val="000845CF"/>
    <w:rsid w:val="00084924"/>
    <w:rsid w:val="00084D19"/>
    <w:rsid w:val="00084E96"/>
    <w:rsid w:val="000852BA"/>
    <w:rsid w:val="000852E5"/>
    <w:rsid w:val="00085551"/>
    <w:rsid w:val="00085987"/>
    <w:rsid w:val="00085CC8"/>
    <w:rsid w:val="00085D18"/>
    <w:rsid w:val="00085D32"/>
    <w:rsid w:val="00085D50"/>
    <w:rsid w:val="00085D6E"/>
    <w:rsid w:val="00085D88"/>
    <w:rsid w:val="00085E24"/>
    <w:rsid w:val="0008619C"/>
    <w:rsid w:val="00086773"/>
    <w:rsid w:val="000867DA"/>
    <w:rsid w:val="00086B72"/>
    <w:rsid w:val="00086BD0"/>
    <w:rsid w:val="00086DA7"/>
    <w:rsid w:val="00086E9D"/>
    <w:rsid w:val="00087397"/>
    <w:rsid w:val="00087ACD"/>
    <w:rsid w:val="00087D91"/>
    <w:rsid w:val="00090005"/>
    <w:rsid w:val="000903CD"/>
    <w:rsid w:val="000903FC"/>
    <w:rsid w:val="00090766"/>
    <w:rsid w:val="00091298"/>
    <w:rsid w:val="0009136D"/>
    <w:rsid w:val="00091494"/>
    <w:rsid w:val="00091A1A"/>
    <w:rsid w:val="00091ED8"/>
    <w:rsid w:val="000920DA"/>
    <w:rsid w:val="00092500"/>
    <w:rsid w:val="0009251E"/>
    <w:rsid w:val="000927F5"/>
    <w:rsid w:val="00092821"/>
    <w:rsid w:val="000928B7"/>
    <w:rsid w:val="00093027"/>
    <w:rsid w:val="000933BA"/>
    <w:rsid w:val="000938C8"/>
    <w:rsid w:val="00093BD1"/>
    <w:rsid w:val="00094628"/>
    <w:rsid w:val="0009471D"/>
    <w:rsid w:val="00094ECF"/>
    <w:rsid w:val="000950E6"/>
    <w:rsid w:val="00095250"/>
    <w:rsid w:val="0009597A"/>
    <w:rsid w:val="00095C9F"/>
    <w:rsid w:val="0009607C"/>
    <w:rsid w:val="00096103"/>
    <w:rsid w:val="000963AF"/>
    <w:rsid w:val="0009640A"/>
    <w:rsid w:val="00096514"/>
    <w:rsid w:val="00096560"/>
    <w:rsid w:val="00096742"/>
    <w:rsid w:val="00096D01"/>
    <w:rsid w:val="00096E24"/>
    <w:rsid w:val="00096F01"/>
    <w:rsid w:val="00096FF3"/>
    <w:rsid w:val="00097142"/>
    <w:rsid w:val="000971C1"/>
    <w:rsid w:val="000973B3"/>
    <w:rsid w:val="00097678"/>
    <w:rsid w:val="0009777C"/>
    <w:rsid w:val="0009778C"/>
    <w:rsid w:val="0009784C"/>
    <w:rsid w:val="000A0019"/>
    <w:rsid w:val="000A0224"/>
    <w:rsid w:val="000A0359"/>
    <w:rsid w:val="000A0429"/>
    <w:rsid w:val="000A04B6"/>
    <w:rsid w:val="000A05FB"/>
    <w:rsid w:val="000A0603"/>
    <w:rsid w:val="000A069A"/>
    <w:rsid w:val="000A0774"/>
    <w:rsid w:val="000A07E8"/>
    <w:rsid w:val="000A0A18"/>
    <w:rsid w:val="000A0D58"/>
    <w:rsid w:val="000A0FE5"/>
    <w:rsid w:val="000A1255"/>
    <w:rsid w:val="000A143A"/>
    <w:rsid w:val="000A1606"/>
    <w:rsid w:val="000A1619"/>
    <w:rsid w:val="000A1760"/>
    <w:rsid w:val="000A1986"/>
    <w:rsid w:val="000A19CC"/>
    <w:rsid w:val="000A1C14"/>
    <w:rsid w:val="000A2438"/>
    <w:rsid w:val="000A292F"/>
    <w:rsid w:val="000A29AE"/>
    <w:rsid w:val="000A2D0A"/>
    <w:rsid w:val="000A2D84"/>
    <w:rsid w:val="000A2E38"/>
    <w:rsid w:val="000A2E6D"/>
    <w:rsid w:val="000A305F"/>
    <w:rsid w:val="000A356F"/>
    <w:rsid w:val="000A372E"/>
    <w:rsid w:val="000A3F06"/>
    <w:rsid w:val="000A41D4"/>
    <w:rsid w:val="000A47CA"/>
    <w:rsid w:val="000A4828"/>
    <w:rsid w:val="000A4D93"/>
    <w:rsid w:val="000A53A9"/>
    <w:rsid w:val="000A53E0"/>
    <w:rsid w:val="000A5412"/>
    <w:rsid w:val="000A5E27"/>
    <w:rsid w:val="000A5F3C"/>
    <w:rsid w:val="000A60F1"/>
    <w:rsid w:val="000A69C3"/>
    <w:rsid w:val="000A6E33"/>
    <w:rsid w:val="000A6EB5"/>
    <w:rsid w:val="000A7111"/>
    <w:rsid w:val="000A71B7"/>
    <w:rsid w:val="000A72F1"/>
    <w:rsid w:val="000A73D2"/>
    <w:rsid w:val="000A759B"/>
    <w:rsid w:val="000A78CC"/>
    <w:rsid w:val="000A797E"/>
    <w:rsid w:val="000B0028"/>
    <w:rsid w:val="000B0230"/>
    <w:rsid w:val="000B0675"/>
    <w:rsid w:val="000B0710"/>
    <w:rsid w:val="000B073A"/>
    <w:rsid w:val="000B0DAA"/>
    <w:rsid w:val="000B0E94"/>
    <w:rsid w:val="000B0F55"/>
    <w:rsid w:val="000B1666"/>
    <w:rsid w:val="000B2229"/>
    <w:rsid w:val="000B2767"/>
    <w:rsid w:val="000B2845"/>
    <w:rsid w:val="000B29A2"/>
    <w:rsid w:val="000B2A59"/>
    <w:rsid w:val="000B306C"/>
    <w:rsid w:val="000B3166"/>
    <w:rsid w:val="000B340B"/>
    <w:rsid w:val="000B3A2A"/>
    <w:rsid w:val="000B3D67"/>
    <w:rsid w:val="000B3F03"/>
    <w:rsid w:val="000B42BB"/>
    <w:rsid w:val="000B43D9"/>
    <w:rsid w:val="000B4600"/>
    <w:rsid w:val="000B48F5"/>
    <w:rsid w:val="000B497C"/>
    <w:rsid w:val="000B4A56"/>
    <w:rsid w:val="000B4AD0"/>
    <w:rsid w:val="000B5282"/>
    <w:rsid w:val="000B5643"/>
    <w:rsid w:val="000B64BB"/>
    <w:rsid w:val="000B67F5"/>
    <w:rsid w:val="000B6EF2"/>
    <w:rsid w:val="000B7136"/>
    <w:rsid w:val="000B71AC"/>
    <w:rsid w:val="000B73AA"/>
    <w:rsid w:val="000B7B15"/>
    <w:rsid w:val="000B7FEA"/>
    <w:rsid w:val="000C032E"/>
    <w:rsid w:val="000C0473"/>
    <w:rsid w:val="000C047C"/>
    <w:rsid w:val="000C06AA"/>
    <w:rsid w:val="000C0951"/>
    <w:rsid w:val="000C098D"/>
    <w:rsid w:val="000C0ABF"/>
    <w:rsid w:val="000C0EA1"/>
    <w:rsid w:val="000C0FF9"/>
    <w:rsid w:val="000C1065"/>
    <w:rsid w:val="000C137C"/>
    <w:rsid w:val="000C17D3"/>
    <w:rsid w:val="000C1C9F"/>
    <w:rsid w:val="000C1E53"/>
    <w:rsid w:val="000C207A"/>
    <w:rsid w:val="000C212B"/>
    <w:rsid w:val="000C213C"/>
    <w:rsid w:val="000C2171"/>
    <w:rsid w:val="000C23B4"/>
    <w:rsid w:val="000C23FB"/>
    <w:rsid w:val="000C2488"/>
    <w:rsid w:val="000C2819"/>
    <w:rsid w:val="000C2824"/>
    <w:rsid w:val="000C285C"/>
    <w:rsid w:val="000C2A6A"/>
    <w:rsid w:val="000C2A7A"/>
    <w:rsid w:val="000C2E1B"/>
    <w:rsid w:val="000C3A79"/>
    <w:rsid w:val="000C41DE"/>
    <w:rsid w:val="000C424C"/>
    <w:rsid w:val="000C45C9"/>
    <w:rsid w:val="000C4635"/>
    <w:rsid w:val="000C4E7A"/>
    <w:rsid w:val="000C4F2B"/>
    <w:rsid w:val="000C52AA"/>
    <w:rsid w:val="000C5364"/>
    <w:rsid w:val="000C551E"/>
    <w:rsid w:val="000C5971"/>
    <w:rsid w:val="000C5B1D"/>
    <w:rsid w:val="000C5C81"/>
    <w:rsid w:val="000C5CB9"/>
    <w:rsid w:val="000C5EDD"/>
    <w:rsid w:val="000C5FBC"/>
    <w:rsid w:val="000C625F"/>
    <w:rsid w:val="000C69B0"/>
    <w:rsid w:val="000C6E92"/>
    <w:rsid w:val="000C6FAB"/>
    <w:rsid w:val="000C705D"/>
    <w:rsid w:val="000C70E5"/>
    <w:rsid w:val="000C73E2"/>
    <w:rsid w:val="000C7522"/>
    <w:rsid w:val="000C7997"/>
    <w:rsid w:val="000D06B0"/>
    <w:rsid w:val="000D0BBF"/>
    <w:rsid w:val="000D0F3F"/>
    <w:rsid w:val="000D108B"/>
    <w:rsid w:val="000D11B6"/>
    <w:rsid w:val="000D12BE"/>
    <w:rsid w:val="000D1411"/>
    <w:rsid w:val="000D1622"/>
    <w:rsid w:val="000D17A2"/>
    <w:rsid w:val="000D19E7"/>
    <w:rsid w:val="000D1C83"/>
    <w:rsid w:val="000D1E0F"/>
    <w:rsid w:val="000D2190"/>
    <w:rsid w:val="000D2580"/>
    <w:rsid w:val="000D25CE"/>
    <w:rsid w:val="000D26AE"/>
    <w:rsid w:val="000D2A33"/>
    <w:rsid w:val="000D2B92"/>
    <w:rsid w:val="000D3023"/>
    <w:rsid w:val="000D3109"/>
    <w:rsid w:val="000D315D"/>
    <w:rsid w:val="000D3CBB"/>
    <w:rsid w:val="000D3F44"/>
    <w:rsid w:val="000D3F82"/>
    <w:rsid w:val="000D4456"/>
    <w:rsid w:val="000D468B"/>
    <w:rsid w:val="000D516A"/>
    <w:rsid w:val="000D5244"/>
    <w:rsid w:val="000D5272"/>
    <w:rsid w:val="000D551B"/>
    <w:rsid w:val="000D556C"/>
    <w:rsid w:val="000D55ED"/>
    <w:rsid w:val="000D5663"/>
    <w:rsid w:val="000D5A4E"/>
    <w:rsid w:val="000D5B23"/>
    <w:rsid w:val="000D5B2C"/>
    <w:rsid w:val="000D5C25"/>
    <w:rsid w:val="000D6239"/>
    <w:rsid w:val="000D62E3"/>
    <w:rsid w:val="000D646F"/>
    <w:rsid w:val="000D68AF"/>
    <w:rsid w:val="000D6FB8"/>
    <w:rsid w:val="000D6FE2"/>
    <w:rsid w:val="000D71C0"/>
    <w:rsid w:val="000D72A6"/>
    <w:rsid w:val="000D7604"/>
    <w:rsid w:val="000D7A61"/>
    <w:rsid w:val="000D7B59"/>
    <w:rsid w:val="000E06C8"/>
    <w:rsid w:val="000E154C"/>
    <w:rsid w:val="000E1601"/>
    <w:rsid w:val="000E16C2"/>
    <w:rsid w:val="000E1B55"/>
    <w:rsid w:val="000E1EF3"/>
    <w:rsid w:val="000E2281"/>
    <w:rsid w:val="000E2504"/>
    <w:rsid w:val="000E2824"/>
    <w:rsid w:val="000E29E1"/>
    <w:rsid w:val="000E2D4A"/>
    <w:rsid w:val="000E31CC"/>
    <w:rsid w:val="000E3229"/>
    <w:rsid w:val="000E3548"/>
    <w:rsid w:val="000E3873"/>
    <w:rsid w:val="000E39CB"/>
    <w:rsid w:val="000E3C8D"/>
    <w:rsid w:val="000E3D58"/>
    <w:rsid w:val="000E40C0"/>
    <w:rsid w:val="000E412D"/>
    <w:rsid w:val="000E4251"/>
    <w:rsid w:val="000E434D"/>
    <w:rsid w:val="000E4507"/>
    <w:rsid w:val="000E47DC"/>
    <w:rsid w:val="000E4F1C"/>
    <w:rsid w:val="000E4FB7"/>
    <w:rsid w:val="000E5086"/>
    <w:rsid w:val="000E58EE"/>
    <w:rsid w:val="000E5B71"/>
    <w:rsid w:val="000E5D97"/>
    <w:rsid w:val="000E5ECE"/>
    <w:rsid w:val="000E600E"/>
    <w:rsid w:val="000E62C3"/>
    <w:rsid w:val="000E6450"/>
    <w:rsid w:val="000E66F2"/>
    <w:rsid w:val="000E690E"/>
    <w:rsid w:val="000E6CFE"/>
    <w:rsid w:val="000E6FAE"/>
    <w:rsid w:val="000E6FFE"/>
    <w:rsid w:val="000E72F4"/>
    <w:rsid w:val="000E7A31"/>
    <w:rsid w:val="000E7A75"/>
    <w:rsid w:val="000E7A9E"/>
    <w:rsid w:val="000E7BDC"/>
    <w:rsid w:val="000E7D60"/>
    <w:rsid w:val="000E7F45"/>
    <w:rsid w:val="000F018F"/>
    <w:rsid w:val="000F06C7"/>
    <w:rsid w:val="000F0BB5"/>
    <w:rsid w:val="000F0D9C"/>
    <w:rsid w:val="000F163F"/>
    <w:rsid w:val="000F1726"/>
    <w:rsid w:val="000F175C"/>
    <w:rsid w:val="000F1A9B"/>
    <w:rsid w:val="000F1AB7"/>
    <w:rsid w:val="000F1BFC"/>
    <w:rsid w:val="000F1E32"/>
    <w:rsid w:val="000F1E6B"/>
    <w:rsid w:val="000F21E6"/>
    <w:rsid w:val="000F22E7"/>
    <w:rsid w:val="000F2443"/>
    <w:rsid w:val="000F28E7"/>
    <w:rsid w:val="000F2D44"/>
    <w:rsid w:val="000F2D47"/>
    <w:rsid w:val="000F2E8C"/>
    <w:rsid w:val="000F3017"/>
    <w:rsid w:val="000F356C"/>
    <w:rsid w:val="000F3791"/>
    <w:rsid w:val="000F3C32"/>
    <w:rsid w:val="000F3DCE"/>
    <w:rsid w:val="000F4436"/>
    <w:rsid w:val="000F445C"/>
    <w:rsid w:val="000F4AC8"/>
    <w:rsid w:val="000F4AE6"/>
    <w:rsid w:val="000F4CAB"/>
    <w:rsid w:val="000F4E5C"/>
    <w:rsid w:val="000F5B2D"/>
    <w:rsid w:val="000F5EE4"/>
    <w:rsid w:val="000F60EF"/>
    <w:rsid w:val="000F64D4"/>
    <w:rsid w:val="000F66E8"/>
    <w:rsid w:val="000F67C3"/>
    <w:rsid w:val="000F68CB"/>
    <w:rsid w:val="000F6A8F"/>
    <w:rsid w:val="000F71FE"/>
    <w:rsid w:val="000F75EC"/>
    <w:rsid w:val="000F76F2"/>
    <w:rsid w:val="000F7C42"/>
    <w:rsid w:val="000F7CB9"/>
    <w:rsid w:val="001003B6"/>
    <w:rsid w:val="00100468"/>
    <w:rsid w:val="00100C4E"/>
    <w:rsid w:val="00100D4E"/>
    <w:rsid w:val="00100D7B"/>
    <w:rsid w:val="001010D5"/>
    <w:rsid w:val="00101A0D"/>
    <w:rsid w:val="00101C7F"/>
    <w:rsid w:val="00101EF8"/>
    <w:rsid w:val="00101F22"/>
    <w:rsid w:val="001025DA"/>
    <w:rsid w:val="001026FC"/>
    <w:rsid w:val="00102A84"/>
    <w:rsid w:val="00102BAF"/>
    <w:rsid w:val="00102CAB"/>
    <w:rsid w:val="00102DCC"/>
    <w:rsid w:val="00102E78"/>
    <w:rsid w:val="001032FA"/>
    <w:rsid w:val="0010331F"/>
    <w:rsid w:val="00103551"/>
    <w:rsid w:val="00103690"/>
    <w:rsid w:val="001038F2"/>
    <w:rsid w:val="00103ACB"/>
    <w:rsid w:val="00103BF5"/>
    <w:rsid w:val="00104172"/>
    <w:rsid w:val="00104238"/>
    <w:rsid w:val="0010434F"/>
    <w:rsid w:val="0010463B"/>
    <w:rsid w:val="00104696"/>
    <w:rsid w:val="001047C7"/>
    <w:rsid w:val="00104AD8"/>
    <w:rsid w:val="00104AEA"/>
    <w:rsid w:val="00104BA9"/>
    <w:rsid w:val="00104C04"/>
    <w:rsid w:val="00104EA6"/>
    <w:rsid w:val="0010504B"/>
    <w:rsid w:val="0010513E"/>
    <w:rsid w:val="0010516E"/>
    <w:rsid w:val="00105316"/>
    <w:rsid w:val="0010576F"/>
    <w:rsid w:val="00105877"/>
    <w:rsid w:val="00105B91"/>
    <w:rsid w:val="00105DC5"/>
    <w:rsid w:val="00105F9F"/>
    <w:rsid w:val="00106D6E"/>
    <w:rsid w:val="0010708F"/>
    <w:rsid w:val="0010758A"/>
    <w:rsid w:val="00107594"/>
    <w:rsid w:val="00107648"/>
    <w:rsid w:val="001079B9"/>
    <w:rsid w:val="00107A00"/>
    <w:rsid w:val="00110552"/>
    <w:rsid w:val="001107E6"/>
    <w:rsid w:val="00110AED"/>
    <w:rsid w:val="00110B36"/>
    <w:rsid w:val="00110BCA"/>
    <w:rsid w:val="00111478"/>
    <w:rsid w:val="00111E94"/>
    <w:rsid w:val="00111FCD"/>
    <w:rsid w:val="00112228"/>
    <w:rsid w:val="001124CA"/>
    <w:rsid w:val="00112D44"/>
    <w:rsid w:val="0011333D"/>
    <w:rsid w:val="00113375"/>
    <w:rsid w:val="001134AB"/>
    <w:rsid w:val="001138B2"/>
    <w:rsid w:val="00113C53"/>
    <w:rsid w:val="0011419B"/>
    <w:rsid w:val="001146D4"/>
    <w:rsid w:val="001148C3"/>
    <w:rsid w:val="00114A8F"/>
    <w:rsid w:val="00114F7F"/>
    <w:rsid w:val="001151EE"/>
    <w:rsid w:val="00115385"/>
    <w:rsid w:val="0011548B"/>
    <w:rsid w:val="00115740"/>
    <w:rsid w:val="00115B64"/>
    <w:rsid w:val="00115BF0"/>
    <w:rsid w:val="00115CA9"/>
    <w:rsid w:val="00116775"/>
    <w:rsid w:val="00116933"/>
    <w:rsid w:val="00116D78"/>
    <w:rsid w:val="00116DC0"/>
    <w:rsid w:val="00116FB6"/>
    <w:rsid w:val="0011703C"/>
    <w:rsid w:val="001178C2"/>
    <w:rsid w:val="00117C17"/>
    <w:rsid w:val="00117EA2"/>
    <w:rsid w:val="00117F48"/>
    <w:rsid w:val="00120136"/>
    <w:rsid w:val="00120ED7"/>
    <w:rsid w:val="00121153"/>
    <w:rsid w:val="0012116E"/>
    <w:rsid w:val="00121226"/>
    <w:rsid w:val="00121470"/>
    <w:rsid w:val="00121679"/>
    <w:rsid w:val="00121747"/>
    <w:rsid w:val="00121797"/>
    <w:rsid w:val="001217AE"/>
    <w:rsid w:val="00121800"/>
    <w:rsid w:val="0012188F"/>
    <w:rsid w:val="00121F81"/>
    <w:rsid w:val="001224AF"/>
    <w:rsid w:val="001226EE"/>
    <w:rsid w:val="00122C4F"/>
    <w:rsid w:val="00122D8B"/>
    <w:rsid w:val="0012351A"/>
    <w:rsid w:val="001239F9"/>
    <w:rsid w:val="00123ABC"/>
    <w:rsid w:val="00123EAD"/>
    <w:rsid w:val="00123FFD"/>
    <w:rsid w:val="00124493"/>
    <w:rsid w:val="0012479E"/>
    <w:rsid w:val="001250EC"/>
    <w:rsid w:val="00125263"/>
    <w:rsid w:val="00125501"/>
    <w:rsid w:val="001257BC"/>
    <w:rsid w:val="00125E1B"/>
    <w:rsid w:val="0012632E"/>
    <w:rsid w:val="001266B5"/>
    <w:rsid w:val="0012679B"/>
    <w:rsid w:val="00126A3D"/>
    <w:rsid w:val="00126C2C"/>
    <w:rsid w:val="00126D4F"/>
    <w:rsid w:val="00126DD7"/>
    <w:rsid w:val="00126F08"/>
    <w:rsid w:val="00126F84"/>
    <w:rsid w:val="00127302"/>
    <w:rsid w:val="00127416"/>
    <w:rsid w:val="001279AC"/>
    <w:rsid w:val="00127BBD"/>
    <w:rsid w:val="00127C89"/>
    <w:rsid w:val="00127E81"/>
    <w:rsid w:val="00127FFB"/>
    <w:rsid w:val="00130009"/>
    <w:rsid w:val="00130023"/>
    <w:rsid w:val="00130517"/>
    <w:rsid w:val="0013075D"/>
    <w:rsid w:val="00130869"/>
    <w:rsid w:val="00130B5B"/>
    <w:rsid w:val="00130CC9"/>
    <w:rsid w:val="00130DC5"/>
    <w:rsid w:val="00130F63"/>
    <w:rsid w:val="0013119F"/>
    <w:rsid w:val="00131449"/>
    <w:rsid w:val="0013155F"/>
    <w:rsid w:val="00131612"/>
    <w:rsid w:val="0013175A"/>
    <w:rsid w:val="001319A1"/>
    <w:rsid w:val="00131AFB"/>
    <w:rsid w:val="00131B84"/>
    <w:rsid w:val="00131DA0"/>
    <w:rsid w:val="00131DE6"/>
    <w:rsid w:val="00131EDA"/>
    <w:rsid w:val="001322EC"/>
    <w:rsid w:val="00132478"/>
    <w:rsid w:val="00132996"/>
    <w:rsid w:val="00132A1D"/>
    <w:rsid w:val="00132BDF"/>
    <w:rsid w:val="0013300E"/>
    <w:rsid w:val="00133042"/>
    <w:rsid w:val="001330E0"/>
    <w:rsid w:val="001331C0"/>
    <w:rsid w:val="001331C8"/>
    <w:rsid w:val="00133309"/>
    <w:rsid w:val="001334E6"/>
    <w:rsid w:val="001335A1"/>
    <w:rsid w:val="00133639"/>
    <w:rsid w:val="00133B15"/>
    <w:rsid w:val="00133DA8"/>
    <w:rsid w:val="00133EC8"/>
    <w:rsid w:val="00133FF8"/>
    <w:rsid w:val="00134261"/>
    <w:rsid w:val="0013437A"/>
    <w:rsid w:val="001343AF"/>
    <w:rsid w:val="0013463E"/>
    <w:rsid w:val="001350F2"/>
    <w:rsid w:val="001358C1"/>
    <w:rsid w:val="001359A0"/>
    <w:rsid w:val="00135EA7"/>
    <w:rsid w:val="00135F8E"/>
    <w:rsid w:val="001361A5"/>
    <w:rsid w:val="00136543"/>
    <w:rsid w:val="001366FD"/>
    <w:rsid w:val="00136892"/>
    <w:rsid w:val="00136916"/>
    <w:rsid w:val="00137495"/>
    <w:rsid w:val="0013753A"/>
    <w:rsid w:val="00137833"/>
    <w:rsid w:val="0013799F"/>
    <w:rsid w:val="00137C34"/>
    <w:rsid w:val="00137EEF"/>
    <w:rsid w:val="00137FE6"/>
    <w:rsid w:val="00140020"/>
    <w:rsid w:val="00140283"/>
    <w:rsid w:val="0014051E"/>
    <w:rsid w:val="00140836"/>
    <w:rsid w:val="0014096E"/>
    <w:rsid w:val="00140B83"/>
    <w:rsid w:val="00140ED0"/>
    <w:rsid w:val="00141562"/>
    <w:rsid w:val="00141604"/>
    <w:rsid w:val="00141913"/>
    <w:rsid w:val="00141996"/>
    <w:rsid w:val="00141A30"/>
    <w:rsid w:val="00141CFD"/>
    <w:rsid w:val="00141DAB"/>
    <w:rsid w:val="00142344"/>
    <w:rsid w:val="00142646"/>
    <w:rsid w:val="001426EB"/>
    <w:rsid w:val="0014271F"/>
    <w:rsid w:val="00142863"/>
    <w:rsid w:val="00142CF4"/>
    <w:rsid w:val="00142DB4"/>
    <w:rsid w:val="00142DEE"/>
    <w:rsid w:val="00142FBA"/>
    <w:rsid w:val="0014326A"/>
    <w:rsid w:val="0014372C"/>
    <w:rsid w:val="0014374B"/>
    <w:rsid w:val="00143B92"/>
    <w:rsid w:val="00143BFF"/>
    <w:rsid w:val="00143CA9"/>
    <w:rsid w:val="00143E36"/>
    <w:rsid w:val="00143F31"/>
    <w:rsid w:val="001440DB"/>
    <w:rsid w:val="00144197"/>
    <w:rsid w:val="0014423D"/>
    <w:rsid w:val="00144257"/>
    <w:rsid w:val="0014454D"/>
    <w:rsid w:val="00144880"/>
    <w:rsid w:val="00144CAF"/>
    <w:rsid w:val="00145862"/>
    <w:rsid w:val="00145B07"/>
    <w:rsid w:val="00145C2A"/>
    <w:rsid w:val="00145C5A"/>
    <w:rsid w:val="00145D4D"/>
    <w:rsid w:val="00146038"/>
    <w:rsid w:val="00146128"/>
    <w:rsid w:val="001466B8"/>
    <w:rsid w:val="00146D76"/>
    <w:rsid w:val="00147656"/>
    <w:rsid w:val="0014775D"/>
    <w:rsid w:val="001477F1"/>
    <w:rsid w:val="001478AD"/>
    <w:rsid w:val="001479B4"/>
    <w:rsid w:val="001479F8"/>
    <w:rsid w:val="00147DF6"/>
    <w:rsid w:val="00150200"/>
    <w:rsid w:val="00150220"/>
    <w:rsid w:val="001506A2"/>
    <w:rsid w:val="00150941"/>
    <w:rsid w:val="00150A5A"/>
    <w:rsid w:val="00150B05"/>
    <w:rsid w:val="00150CA7"/>
    <w:rsid w:val="0015108E"/>
    <w:rsid w:val="001511C0"/>
    <w:rsid w:val="001512EB"/>
    <w:rsid w:val="001513C1"/>
    <w:rsid w:val="00151446"/>
    <w:rsid w:val="00151556"/>
    <w:rsid w:val="00151666"/>
    <w:rsid w:val="0015186B"/>
    <w:rsid w:val="001518FA"/>
    <w:rsid w:val="00151965"/>
    <w:rsid w:val="00151CA3"/>
    <w:rsid w:val="00151EBB"/>
    <w:rsid w:val="001523C7"/>
    <w:rsid w:val="00152B64"/>
    <w:rsid w:val="00152D6F"/>
    <w:rsid w:val="00153174"/>
    <w:rsid w:val="0015353A"/>
    <w:rsid w:val="00153B88"/>
    <w:rsid w:val="00153CDE"/>
    <w:rsid w:val="00153E00"/>
    <w:rsid w:val="00153E84"/>
    <w:rsid w:val="0015431D"/>
    <w:rsid w:val="0015467C"/>
    <w:rsid w:val="001546A6"/>
    <w:rsid w:val="00154842"/>
    <w:rsid w:val="00154982"/>
    <w:rsid w:val="00154A33"/>
    <w:rsid w:val="00154CB3"/>
    <w:rsid w:val="00155470"/>
    <w:rsid w:val="00155722"/>
    <w:rsid w:val="00155762"/>
    <w:rsid w:val="00155B65"/>
    <w:rsid w:val="00155D4F"/>
    <w:rsid w:val="00155F19"/>
    <w:rsid w:val="00156134"/>
    <w:rsid w:val="001564C3"/>
    <w:rsid w:val="00156A82"/>
    <w:rsid w:val="001574CB"/>
    <w:rsid w:val="00157583"/>
    <w:rsid w:val="00157A33"/>
    <w:rsid w:val="00160052"/>
    <w:rsid w:val="00160421"/>
    <w:rsid w:val="0016058D"/>
    <w:rsid w:val="001605BF"/>
    <w:rsid w:val="001606C2"/>
    <w:rsid w:val="00160FFA"/>
    <w:rsid w:val="001614D6"/>
    <w:rsid w:val="001618B3"/>
    <w:rsid w:val="00161A6A"/>
    <w:rsid w:val="00161BFB"/>
    <w:rsid w:val="001620D5"/>
    <w:rsid w:val="0016222D"/>
    <w:rsid w:val="001622AC"/>
    <w:rsid w:val="00162409"/>
    <w:rsid w:val="00162887"/>
    <w:rsid w:val="00162A2F"/>
    <w:rsid w:val="00162A52"/>
    <w:rsid w:val="00162A87"/>
    <w:rsid w:val="00162E2D"/>
    <w:rsid w:val="00162F7B"/>
    <w:rsid w:val="0016323D"/>
    <w:rsid w:val="00163D3D"/>
    <w:rsid w:val="00163F60"/>
    <w:rsid w:val="00164239"/>
    <w:rsid w:val="00164558"/>
    <w:rsid w:val="00164675"/>
    <w:rsid w:val="00164787"/>
    <w:rsid w:val="00164935"/>
    <w:rsid w:val="001649E1"/>
    <w:rsid w:val="00164E24"/>
    <w:rsid w:val="00165002"/>
    <w:rsid w:val="00165660"/>
    <w:rsid w:val="001656D6"/>
    <w:rsid w:val="001658AC"/>
    <w:rsid w:val="001658C4"/>
    <w:rsid w:val="00165A9D"/>
    <w:rsid w:val="00165ED1"/>
    <w:rsid w:val="0016627F"/>
    <w:rsid w:val="00166485"/>
    <w:rsid w:val="00166A85"/>
    <w:rsid w:val="00167337"/>
    <w:rsid w:val="001673EB"/>
    <w:rsid w:val="0016790C"/>
    <w:rsid w:val="001679D2"/>
    <w:rsid w:val="00167AAC"/>
    <w:rsid w:val="00167EE2"/>
    <w:rsid w:val="00167FA9"/>
    <w:rsid w:val="0017000A"/>
    <w:rsid w:val="00170084"/>
    <w:rsid w:val="001702B5"/>
    <w:rsid w:val="00170A4D"/>
    <w:rsid w:val="0017125B"/>
    <w:rsid w:val="00171619"/>
    <w:rsid w:val="00171640"/>
    <w:rsid w:val="001717AC"/>
    <w:rsid w:val="001717DD"/>
    <w:rsid w:val="0017182C"/>
    <w:rsid w:val="00171B03"/>
    <w:rsid w:val="00171B48"/>
    <w:rsid w:val="00171CF3"/>
    <w:rsid w:val="0017202E"/>
    <w:rsid w:val="001725F5"/>
    <w:rsid w:val="00172977"/>
    <w:rsid w:val="00172B79"/>
    <w:rsid w:val="00172D82"/>
    <w:rsid w:val="00173017"/>
    <w:rsid w:val="00173099"/>
    <w:rsid w:val="0017326E"/>
    <w:rsid w:val="0017348F"/>
    <w:rsid w:val="00173682"/>
    <w:rsid w:val="00173B44"/>
    <w:rsid w:val="001742AC"/>
    <w:rsid w:val="0017435C"/>
    <w:rsid w:val="00174418"/>
    <w:rsid w:val="0017458D"/>
    <w:rsid w:val="001746BF"/>
    <w:rsid w:val="00174895"/>
    <w:rsid w:val="00174B31"/>
    <w:rsid w:val="00174DD2"/>
    <w:rsid w:val="00174E51"/>
    <w:rsid w:val="001753AA"/>
    <w:rsid w:val="00175794"/>
    <w:rsid w:val="00175A7F"/>
    <w:rsid w:val="00175C4D"/>
    <w:rsid w:val="00175EFE"/>
    <w:rsid w:val="00176204"/>
    <w:rsid w:val="001762A4"/>
    <w:rsid w:val="00176471"/>
    <w:rsid w:val="00176525"/>
    <w:rsid w:val="00176574"/>
    <w:rsid w:val="001767B5"/>
    <w:rsid w:val="001767CB"/>
    <w:rsid w:val="00176958"/>
    <w:rsid w:val="00176A31"/>
    <w:rsid w:val="00176BB8"/>
    <w:rsid w:val="00176E3B"/>
    <w:rsid w:val="001770E1"/>
    <w:rsid w:val="0017733E"/>
    <w:rsid w:val="00177A22"/>
    <w:rsid w:val="00177C2E"/>
    <w:rsid w:val="00177D1B"/>
    <w:rsid w:val="0018009E"/>
    <w:rsid w:val="00180741"/>
    <w:rsid w:val="0018080E"/>
    <w:rsid w:val="00180901"/>
    <w:rsid w:val="00180AAC"/>
    <w:rsid w:val="00180B05"/>
    <w:rsid w:val="001811C5"/>
    <w:rsid w:val="0018123E"/>
    <w:rsid w:val="0018133F"/>
    <w:rsid w:val="001815A5"/>
    <w:rsid w:val="0018199C"/>
    <w:rsid w:val="00181A58"/>
    <w:rsid w:val="00181C0B"/>
    <w:rsid w:val="00181F16"/>
    <w:rsid w:val="00181FF6"/>
    <w:rsid w:val="001820A3"/>
    <w:rsid w:val="00182145"/>
    <w:rsid w:val="001823C1"/>
    <w:rsid w:val="00182746"/>
    <w:rsid w:val="00182F4D"/>
    <w:rsid w:val="00183279"/>
    <w:rsid w:val="001832B8"/>
    <w:rsid w:val="00183383"/>
    <w:rsid w:val="0018351C"/>
    <w:rsid w:val="00183B8B"/>
    <w:rsid w:val="00183C4F"/>
    <w:rsid w:val="00183E71"/>
    <w:rsid w:val="001841D4"/>
    <w:rsid w:val="001843A4"/>
    <w:rsid w:val="00184437"/>
    <w:rsid w:val="001844EA"/>
    <w:rsid w:val="001846D9"/>
    <w:rsid w:val="00184769"/>
    <w:rsid w:val="0018497E"/>
    <w:rsid w:val="00184D6E"/>
    <w:rsid w:val="00184D7F"/>
    <w:rsid w:val="00184D94"/>
    <w:rsid w:val="00184F3F"/>
    <w:rsid w:val="00184F9A"/>
    <w:rsid w:val="00185373"/>
    <w:rsid w:val="00185494"/>
    <w:rsid w:val="001856D8"/>
    <w:rsid w:val="00185941"/>
    <w:rsid w:val="00185B73"/>
    <w:rsid w:val="00185F40"/>
    <w:rsid w:val="0018633E"/>
    <w:rsid w:val="00186560"/>
    <w:rsid w:val="00186BF4"/>
    <w:rsid w:val="00186D61"/>
    <w:rsid w:val="00186E6A"/>
    <w:rsid w:val="001871DC"/>
    <w:rsid w:val="001876BD"/>
    <w:rsid w:val="00187B5F"/>
    <w:rsid w:val="00187C16"/>
    <w:rsid w:val="001901C9"/>
    <w:rsid w:val="001903B7"/>
    <w:rsid w:val="00190922"/>
    <w:rsid w:val="00190B4C"/>
    <w:rsid w:val="00190B81"/>
    <w:rsid w:val="00190BFF"/>
    <w:rsid w:val="00190CE4"/>
    <w:rsid w:val="0019104C"/>
    <w:rsid w:val="0019142F"/>
    <w:rsid w:val="001914AE"/>
    <w:rsid w:val="0019175E"/>
    <w:rsid w:val="00191764"/>
    <w:rsid w:val="001917F7"/>
    <w:rsid w:val="001919B0"/>
    <w:rsid w:val="00191BDA"/>
    <w:rsid w:val="00191D3C"/>
    <w:rsid w:val="00192086"/>
    <w:rsid w:val="0019208B"/>
    <w:rsid w:val="0019256F"/>
    <w:rsid w:val="00192626"/>
    <w:rsid w:val="0019269B"/>
    <w:rsid w:val="00192B80"/>
    <w:rsid w:val="00192BAC"/>
    <w:rsid w:val="00192F39"/>
    <w:rsid w:val="00193152"/>
    <w:rsid w:val="0019320F"/>
    <w:rsid w:val="001932CC"/>
    <w:rsid w:val="001936C6"/>
    <w:rsid w:val="00193779"/>
    <w:rsid w:val="00193955"/>
    <w:rsid w:val="00193CEE"/>
    <w:rsid w:val="00193D5D"/>
    <w:rsid w:val="00193EC6"/>
    <w:rsid w:val="001940B5"/>
    <w:rsid w:val="00194171"/>
    <w:rsid w:val="001942CE"/>
    <w:rsid w:val="0019447D"/>
    <w:rsid w:val="00194612"/>
    <w:rsid w:val="00194B99"/>
    <w:rsid w:val="00194F8F"/>
    <w:rsid w:val="001951DB"/>
    <w:rsid w:val="00195A1C"/>
    <w:rsid w:val="00195D59"/>
    <w:rsid w:val="00195DDF"/>
    <w:rsid w:val="00195ED0"/>
    <w:rsid w:val="0019640C"/>
    <w:rsid w:val="001964B9"/>
    <w:rsid w:val="00196A0C"/>
    <w:rsid w:val="00196AB2"/>
    <w:rsid w:val="00196C93"/>
    <w:rsid w:val="001979EA"/>
    <w:rsid w:val="001A03E4"/>
    <w:rsid w:val="001A0549"/>
    <w:rsid w:val="001A061C"/>
    <w:rsid w:val="001A0978"/>
    <w:rsid w:val="001A0B96"/>
    <w:rsid w:val="001A0C8C"/>
    <w:rsid w:val="001A0FD6"/>
    <w:rsid w:val="001A1257"/>
    <w:rsid w:val="001A1531"/>
    <w:rsid w:val="001A1D9A"/>
    <w:rsid w:val="001A1FB2"/>
    <w:rsid w:val="001A2540"/>
    <w:rsid w:val="001A2940"/>
    <w:rsid w:val="001A2CC7"/>
    <w:rsid w:val="001A30C0"/>
    <w:rsid w:val="001A314A"/>
    <w:rsid w:val="001A375B"/>
    <w:rsid w:val="001A3BB9"/>
    <w:rsid w:val="001A4596"/>
    <w:rsid w:val="001A4606"/>
    <w:rsid w:val="001A4ABD"/>
    <w:rsid w:val="001A4F7B"/>
    <w:rsid w:val="001A56C5"/>
    <w:rsid w:val="001A5725"/>
    <w:rsid w:val="001A5827"/>
    <w:rsid w:val="001A5854"/>
    <w:rsid w:val="001A58FE"/>
    <w:rsid w:val="001A5BAF"/>
    <w:rsid w:val="001A6385"/>
    <w:rsid w:val="001A63DA"/>
    <w:rsid w:val="001A6BEE"/>
    <w:rsid w:val="001A70E2"/>
    <w:rsid w:val="001A7360"/>
    <w:rsid w:val="001A7637"/>
    <w:rsid w:val="001A76F3"/>
    <w:rsid w:val="001A7766"/>
    <w:rsid w:val="001A7D10"/>
    <w:rsid w:val="001B056A"/>
    <w:rsid w:val="001B0597"/>
    <w:rsid w:val="001B06F8"/>
    <w:rsid w:val="001B0D24"/>
    <w:rsid w:val="001B1535"/>
    <w:rsid w:val="001B1CF2"/>
    <w:rsid w:val="001B24C8"/>
    <w:rsid w:val="001B25A6"/>
    <w:rsid w:val="001B2ABE"/>
    <w:rsid w:val="001B2D53"/>
    <w:rsid w:val="001B2F24"/>
    <w:rsid w:val="001B2F49"/>
    <w:rsid w:val="001B31ED"/>
    <w:rsid w:val="001B3413"/>
    <w:rsid w:val="001B36E3"/>
    <w:rsid w:val="001B415A"/>
    <w:rsid w:val="001B44B1"/>
    <w:rsid w:val="001B4563"/>
    <w:rsid w:val="001B475E"/>
    <w:rsid w:val="001B480C"/>
    <w:rsid w:val="001B484C"/>
    <w:rsid w:val="001B4B8A"/>
    <w:rsid w:val="001B510C"/>
    <w:rsid w:val="001B5132"/>
    <w:rsid w:val="001B5314"/>
    <w:rsid w:val="001B54E0"/>
    <w:rsid w:val="001B593C"/>
    <w:rsid w:val="001B5962"/>
    <w:rsid w:val="001B5AAE"/>
    <w:rsid w:val="001B5ACF"/>
    <w:rsid w:val="001B5C9E"/>
    <w:rsid w:val="001B5EC5"/>
    <w:rsid w:val="001B606C"/>
    <w:rsid w:val="001B6128"/>
    <w:rsid w:val="001B62C2"/>
    <w:rsid w:val="001B6550"/>
    <w:rsid w:val="001B666F"/>
    <w:rsid w:val="001B6723"/>
    <w:rsid w:val="001B6991"/>
    <w:rsid w:val="001B714E"/>
    <w:rsid w:val="001B7562"/>
    <w:rsid w:val="001B76EC"/>
    <w:rsid w:val="001B799F"/>
    <w:rsid w:val="001C008C"/>
    <w:rsid w:val="001C00E0"/>
    <w:rsid w:val="001C0351"/>
    <w:rsid w:val="001C0359"/>
    <w:rsid w:val="001C03E0"/>
    <w:rsid w:val="001C05C4"/>
    <w:rsid w:val="001C0604"/>
    <w:rsid w:val="001C0729"/>
    <w:rsid w:val="001C0767"/>
    <w:rsid w:val="001C08D2"/>
    <w:rsid w:val="001C09EE"/>
    <w:rsid w:val="001C0BBA"/>
    <w:rsid w:val="001C0D28"/>
    <w:rsid w:val="001C15F0"/>
    <w:rsid w:val="001C1B86"/>
    <w:rsid w:val="001C1BC7"/>
    <w:rsid w:val="001C1D0A"/>
    <w:rsid w:val="001C23BF"/>
    <w:rsid w:val="001C2543"/>
    <w:rsid w:val="001C255E"/>
    <w:rsid w:val="001C264D"/>
    <w:rsid w:val="001C2688"/>
    <w:rsid w:val="001C2AD9"/>
    <w:rsid w:val="001C2AE5"/>
    <w:rsid w:val="001C2DB0"/>
    <w:rsid w:val="001C3201"/>
    <w:rsid w:val="001C3519"/>
    <w:rsid w:val="001C365E"/>
    <w:rsid w:val="001C3EB0"/>
    <w:rsid w:val="001C4486"/>
    <w:rsid w:val="001C4511"/>
    <w:rsid w:val="001C46F8"/>
    <w:rsid w:val="001C4736"/>
    <w:rsid w:val="001C4A4F"/>
    <w:rsid w:val="001C4B8B"/>
    <w:rsid w:val="001C4F2B"/>
    <w:rsid w:val="001C4FB9"/>
    <w:rsid w:val="001C51F5"/>
    <w:rsid w:val="001C5291"/>
    <w:rsid w:val="001C5369"/>
    <w:rsid w:val="001C54F9"/>
    <w:rsid w:val="001C5542"/>
    <w:rsid w:val="001C5575"/>
    <w:rsid w:val="001C5668"/>
    <w:rsid w:val="001C5B95"/>
    <w:rsid w:val="001C5D33"/>
    <w:rsid w:val="001C5DA0"/>
    <w:rsid w:val="001C629C"/>
    <w:rsid w:val="001C6745"/>
    <w:rsid w:val="001C6AB5"/>
    <w:rsid w:val="001C6AE4"/>
    <w:rsid w:val="001C6B01"/>
    <w:rsid w:val="001C6B15"/>
    <w:rsid w:val="001C7361"/>
    <w:rsid w:val="001C756A"/>
    <w:rsid w:val="001C761F"/>
    <w:rsid w:val="001C77D5"/>
    <w:rsid w:val="001C7F4E"/>
    <w:rsid w:val="001D0277"/>
    <w:rsid w:val="001D0342"/>
    <w:rsid w:val="001D0518"/>
    <w:rsid w:val="001D0631"/>
    <w:rsid w:val="001D0656"/>
    <w:rsid w:val="001D07E7"/>
    <w:rsid w:val="001D08E8"/>
    <w:rsid w:val="001D0E9F"/>
    <w:rsid w:val="001D11BF"/>
    <w:rsid w:val="001D1221"/>
    <w:rsid w:val="001D15E8"/>
    <w:rsid w:val="001D1909"/>
    <w:rsid w:val="001D1CFE"/>
    <w:rsid w:val="001D2006"/>
    <w:rsid w:val="001D20E8"/>
    <w:rsid w:val="001D21D5"/>
    <w:rsid w:val="001D232E"/>
    <w:rsid w:val="001D25FC"/>
    <w:rsid w:val="001D26F9"/>
    <w:rsid w:val="001D27D6"/>
    <w:rsid w:val="001D4366"/>
    <w:rsid w:val="001D4497"/>
    <w:rsid w:val="001D47CF"/>
    <w:rsid w:val="001D4B80"/>
    <w:rsid w:val="001D4E2C"/>
    <w:rsid w:val="001D51D0"/>
    <w:rsid w:val="001D524B"/>
    <w:rsid w:val="001D5A4A"/>
    <w:rsid w:val="001D5B67"/>
    <w:rsid w:val="001D5D9E"/>
    <w:rsid w:val="001D5E22"/>
    <w:rsid w:val="001D5F13"/>
    <w:rsid w:val="001D65F8"/>
    <w:rsid w:val="001D6706"/>
    <w:rsid w:val="001D6C31"/>
    <w:rsid w:val="001D7443"/>
    <w:rsid w:val="001D7A6E"/>
    <w:rsid w:val="001D7D57"/>
    <w:rsid w:val="001E0301"/>
    <w:rsid w:val="001E04A3"/>
    <w:rsid w:val="001E0682"/>
    <w:rsid w:val="001E0A57"/>
    <w:rsid w:val="001E0CDB"/>
    <w:rsid w:val="001E10CE"/>
    <w:rsid w:val="001E111F"/>
    <w:rsid w:val="001E177C"/>
    <w:rsid w:val="001E1896"/>
    <w:rsid w:val="001E19BE"/>
    <w:rsid w:val="001E1FEC"/>
    <w:rsid w:val="001E2680"/>
    <w:rsid w:val="001E27C3"/>
    <w:rsid w:val="001E295B"/>
    <w:rsid w:val="001E2999"/>
    <w:rsid w:val="001E2B7E"/>
    <w:rsid w:val="001E2C00"/>
    <w:rsid w:val="001E2CF0"/>
    <w:rsid w:val="001E31A2"/>
    <w:rsid w:val="001E3432"/>
    <w:rsid w:val="001E343E"/>
    <w:rsid w:val="001E3542"/>
    <w:rsid w:val="001E3A90"/>
    <w:rsid w:val="001E4118"/>
    <w:rsid w:val="001E4425"/>
    <w:rsid w:val="001E4500"/>
    <w:rsid w:val="001E4C6C"/>
    <w:rsid w:val="001E4F04"/>
    <w:rsid w:val="001E5460"/>
    <w:rsid w:val="001E54C1"/>
    <w:rsid w:val="001E54F6"/>
    <w:rsid w:val="001E5504"/>
    <w:rsid w:val="001E564E"/>
    <w:rsid w:val="001E57D2"/>
    <w:rsid w:val="001E5951"/>
    <w:rsid w:val="001E5B9B"/>
    <w:rsid w:val="001E6389"/>
    <w:rsid w:val="001E6446"/>
    <w:rsid w:val="001E6A57"/>
    <w:rsid w:val="001E6B9E"/>
    <w:rsid w:val="001E7016"/>
    <w:rsid w:val="001E741B"/>
    <w:rsid w:val="001E7725"/>
    <w:rsid w:val="001E79A4"/>
    <w:rsid w:val="001E7C11"/>
    <w:rsid w:val="001F083D"/>
    <w:rsid w:val="001F08E0"/>
    <w:rsid w:val="001F0A5F"/>
    <w:rsid w:val="001F0B12"/>
    <w:rsid w:val="001F0D2F"/>
    <w:rsid w:val="001F100E"/>
    <w:rsid w:val="001F1390"/>
    <w:rsid w:val="001F14CA"/>
    <w:rsid w:val="001F1C13"/>
    <w:rsid w:val="001F290B"/>
    <w:rsid w:val="001F2966"/>
    <w:rsid w:val="001F2A5E"/>
    <w:rsid w:val="001F2DE7"/>
    <w:rsid w:val="001F2F69"/>
    <w:rsid w:val="001F3446"/>
    <w:rsid w:val="001F346D"/>
    <w:rsid w:val="001F361D"/>
    <w:rsid w:val="001F3B27"/>
    <w:rsid w:val="001F3B7C"/>
    <w:rsid w:val="001F3FD7"/>
    <w:rsid w:val="001F414B"/>
    <w:rsid w:val="001F41DD"/>
    <w:rsid w:val="001F4345"/>
    <w:rsid w:val="001F44AD"/>
    <w:rsid w:val="001F47FD"/>
    <w:rsid w:val="001F4969"/>
    <w:rsid w:val="001F49E2"/>
    <w:rsid w:val="001F4FE6"/>
    <w:rsid w:val="001F5344"/>
    <w:rsid w:val="001F56A8"/>
    <w:rsid w:val="001F56F0"/>
    <w:rsid w:val="001F57DD"/>
    <w:rsid w:val="001F589E"/>
    <w:rsid w:val="001F58AE"/>
    <w:rsid w:val="001F5B32"/>
    <w:rsid w:val="001F5BDC"/>
    <w:rsid w:val="001F5F3A"/>
    <w:rsid w:val="001F6142"/>
    <w:rsid w:val="001F6204"/>
    <w:rsid w:val="001F62BA"/>
    <w:rsid w:val="001F6DBB"/>
    <w:rsid w:val="001F6DEC"/>
    <w:rsid w:val="001F6E72"/>
    <w:rsid w:val="001F6FC9"/>
    <w:rsid w:val="001F70BF"/>
    <w:rsid w:val="001F72AA"/>
    <w:rsid w:val="001F7BBB"/>
    <w:rsid w:val="001F7C5E"/>
    <w:rsid w:val="00200063"/>
    <w:rsid w:val="002000F3"/>
    <w:rsid w:val="00200374"/>
    <w:rsid w:val="0020059A"/>
    <w:rsid w:val="0020070B"/>
    <w:rsid w:val="00200855"/>
    <w:rsid w:val="002008BD"/>
    <w:rsid w:val="00200B51"/>
    <w:rsid w:val="002010C3"/>
    <w:rsid w:val="00201131"/>
    <w:rsid w:val="00201431"/>
    <w:rsid w:val="00201712"/>
    <w:rsid w:val="00201915"/>
    <w:rsid w:val="0020198A"/>
    <w:rsid w:val="00201C99"/>
    <w:rsid w:val="002020D8"/>
    <w:rsid w:val="00202119"/>
    <w:rsid w:val="002025FB"/>
    <w:rsid w:val="0020307C"/>
    <w:rsid w:val="00203148"/>
    <w:rsid w:val="002032CC"/>
    <w:rsid w:val="0020335E"/>
    <w:rsid w:val="002033B9"/>
    <w:rsid w:val="00203493"/>
    <w:rsid w:val="0020363B"/>
    <w:rsid w:val="00203727"/>
    <w:rsid w:val="0020379A"/>
    <w:rsid w:val="00203FEA"/>
    <w:rsid w:val="002048BF"/>
    <w:rsid w:val="002048FA"/>
    <w:rsid w:val="00204B79"/>
    <w:rsid w:val="00204C56"/>
    <w:rsid w:val="00204E7D"/>
    <w:rsid w:val="00205A29"/>
    <w:rsid w:val="00205FFE"/>
    <w:rsid w:val="0020634E"/>
    <w:rsid w:val="002066E0"/>
    <w:rsid w:val="0020683A"/>
    <w:rsid w:val="0020690D"/>
    <w:rsid w:val="00207B66"/>
    <w:rsid w:val="00207E4D"/>
    <w:rsid w:val="00210054"/>
    <w:rsid w:val="00210226"/>
    <w:rsid w:val="0021038F"/>
    <w:rsid w:val="0021048B"/>
    <w:rsid w:val="002104FA"/>
    <w:rsid w:val="002109BA"/>
    <w:rsid w:val="00210A48"/>
    <w:rsid w:val="00210B47"/>
    <w:rsid w:val="00210C66"/>
    <w:rsid w:val="00210D3E"/>
    <w:rsid w:val="00211386"/>
    <w:rsid w:val="002115E3"/>
    <w:rsid w:val="00211624"/>
    <w:rsid w:val="00211BD1"/>
    <w:rsid w:val="0021207C"/>
    <w:rsid w:val="0021242F"/>
    <w:rsid w:val="00212BCA"/>
    <w:rsid w:val="00213917"/>
    <w:rsid w:val="00213C1B"/>
    <w:rsid w:val="00213E24"/>
    <w:rsid w:val="00213E2E"/>
    <w:rsid w:val="00213F43"/>
    <w:rsid w:val="00214171"/>
    <w:rsid w:val="00214237"/>
    <w:rsid w:val="00214447"/>
    <w:rsid w:val="002146BB"/>
    <w:rsid w:val="002146E3"/>
    <w:rsid w:val="0021474B"/>
    <w:rsid w:val="00214CB5"/>
    <w:rsid w:val="00215173"/>
    <w:rsid w:val="002152B7"/>
    <w:rsid w:val="002152F0"/>
    <w:rsid w:val="002154AA"/>
    <w:rsid w:val="0021599A"/>
    <w:rsid w:val="00215C6D"/>
    <w:rsid w:val="00215DF9"/>
    <w:rsid w:val="00216089"/>
    <w:rsid w:val="00216203"/>
    <w:rsid w:val="002162FD"/>
    <w:rsid w:val="00216464"/>
    <w:rsid w:val="002167E7"/>
    <w:rsid w:val="00216CC0"/>
    <w:rsid w:val="0021720E"/>
    <w:rsid w:val="002174D8"/>
    <w:rsid w:val="002178C4"/>
    <w:rsid w:val="0022013B"/>
    <w:rsid w:val="002205FE"/>
    <w:rsid w:val="00220C89"/>
    <w:rsid w:val="00220D6D"/>
    <w:rsid w:val="00220D7E"/>
    <w:rsid w:val="00221083"/>
    <w:rsid w:val="002217C8"/>
    <w:rsid w:val="002218A0"/>
    <w:rsid w:val="00221ABE"/>
    <w:rsid w:val="00221D6B"/>
    <w:rsid w:val="0022224B"/>
    <w:rsid w:val="0022235D"/>
    <w:rsid w:val="00222F1A"/>
    <w:rsid w:val="00223223"/>
    <w:rsid w:val="00224023"/>
    <w:rsid w:val="0022407B"/>
    <w:rsid w:val="002240BC"/>
    <w:rsid w:val="002241E7"/>
    <w:rsid w:val="002241EA"/>
    <w:rsid w:val="00224220"/>
    <w:rsid w:val="00224310"/>
    <w:rsid w:val="002246FC"/>
    <w:rsid w:val="00224754"/>
    <w:rsid w:val="00225102"/>
    <w:rsid w:val="0022527D"/>
    <w:rsid w:val="002252CA"/>
    <w:rsid w:val="0022539C"/>
    <w:rsid w:val="002254A4"/>
    <w:rsid w:val="0022596B"/>
    <w:rsid w:val="00225AA3"/>
    <w:rsid w:val="0022602F"/>
    <w:rsid w:val="002260D7"/>
    <w:rsid w:val="002268FA"/>
    <w:rsid w:val="002276CF"/>
    <w:rsid w:val="00227921"/>
    <w:rsid w:val="002279C7"/>
    <w:rsid w:val="00227BC4"/>
    <w:rsid w:val="00227E00"/>
    <w:rsid w:val="0023033E"/>
    <w:rsid w:val="0023038B"/>
    <w:rsid w:val="002305BC"/>
    <w:rsid w:val="0023076E"/>
    <w:rsid w:val="00230C3F"/>
    <w:rsid w:val="00230F61"/>
    <w:rsid w:val="0023104D"/>
    <w:rsid w:val="002315A2"/>
    <w:rsid w:val="0023180A"/>
    <w:rsid w:val="00231999"/>
    <w:rsid w:val="00231A51"/>
    <w:rsid w:val="00231C47"/>
    <w:rsid w:val="00231CDB"/>
    <w:rsid w:val="00231D6B"/>
    <w:rsid w:val="00231DED"/>
    <w:rsid w:val="00231EC9"/>
    <w:rsid w:val="0023215B"/>
    <w:rsid w:val="0023220C"/>
    <w:rsid w:val="0023257E"/>
    <w:rsid w:val="00232840"/>
    <w:rsid w:val="00232C7E"/>
    <w:rsid w:val="00232D54"/>
    <w:rsid w:val="00232D98"/>
    <w:rsid w:val="00233646"/>
    <w:rsid w:val="00233799"/>
    <w:rsid w:val="00233F33"/>
    <w:rsid w:val="002340B6"/>
    <w:rsid w:val="00234213"/>
    <w:rsid w:val="002342D0"/>
    <w:rsid w:val="002343DC"/>
    <w:rsid w:val="0023477D"/>
    <w:rsid w:val="002348B2"/>
    <w:rsid w:val="0023492E"/>
    <w:rsid w:val="00234941"/>
    <w:rsid w:val="00234A5F"/>
    <w:rsid w:val="00234FED"/>
    <w:rsid w:val="0023572C"/>
    <w:rsid w:val="00235A48"/>
    <w:rsid w:val="00235A91"/>
    <w:rsid w:val="00235C1D"/>
    <w:rsid w:val="00235DF2"/>
    <w:rsid w:val="00236084"/>
    <w:rsid w:val="00236508"/>
    <w:rsid w:val="00236817"/>
    <w:rsid w:val="00236823"/>
    <w:rsid w:val="002368C7"/>
    <w:rsid w:val="00236BFC"/>
    <w:rsid w:val="00236CCB"/>
    <w:rsid w:val="00236FFA"/>
    <w:rsid w:val="00237099"/>
    <w:rsid w:val="00237B78"/>
    <w:rsid w:val="00237C9A"/>
    <w:rsid w:val="00237D09"/>
    <w:rsid w:val="00237E28"/>
    <w:rsid w:val="002400B8"/>
    <w:rsid w:val="002400E4"/>
    <w:rsid w:val="0024011F"/>
    <w:rsid w:val="002403E4"/>
    <w:rsid w:val="00240539"/>
    <w:rsid w:val="0024062C"/>
    <w:rsid w:val="002407D2"/>
    <w:rsid w:val="002408F4"/>
    <w:rsid w:val="002409DD"/>
    <w:rsid w:val="00240B91"/>
    <w:rsid w:val="00240C30"/>
    <w:rsid w:val="00240C5C"/>
    <w:rsid w:val="00240CB2"/>
    <w:rsid w:val="00240E7E"/>
    <w:rsid w:val="00240FA2"/>
    <w:rsid w:val="002411E0"/>
    <w:rsid w:val="00241480"/>
    <w:rsid w:val="00241515"/>
    <w:rsid w:val="002416F8"/>
    <w:rsid w:val="00241788"/>
    <w:rsid w:val="002417D6"/>
    <w:rsid w:val="00241BA1"/>
    <w:rsid w:val="00241EED"/>
    <w:rsid w:val="00242247"/>
    <w:rsid w:val="0024238C"/>
    <w:rsid w:val="00242479"/>
    <w:rsid w:val="002427BA"/>
    <w:rsid w:val="0024290F"/>
    <w:rsid w:val="002429D7"/>
    <w:rsid w:val="00242E85"/>
    <w:rsid w:val="00242EAF"/>
    <w:rsid w:val="002434AE"/>
    <w:rsid w:val="00243623"/>
    <w:rsid w:val="0024366F"/>
    <w:rsid w:val="00243963"/>
    <w:rsid w:val="00243DC3"/>
    <w:rsid w:val="0024400C"/>
    <w:rsid w:val="00244287"/>
    <w:rsid w:val="00244308"/>
    <w:rsid w:val="00244A77"/>
    <w:rsid w:val="00245148"/>
    <w:rsid w:val="00245527"/>
    <w:rsid w:val="002455C2"/>
    <w:rsid w:val="002455E6"/>
    <w:rsid w:val="00245658"/>
    <w:rsid w:val="002457A2"/>
    <w:rsid w:val="00245B4A"/>
    <w:rsid w:val="00245BF6"/>
    <w:rsid w:val="00246275"/>
    <w:rsid w:val="002464C8"/>
    <w:rsid w:val="002467D6"/>
    <w:rsid w:val="00246C93"/>
    <w:rsid w:val="002471E2"/>
    <w:rsid w:val="0024774E"/>
    <w:rsid w:val="00247880"/>
    <w:rsid w:val="00247D75"/>
    <w:rsid w:val="00250121"/>
    <w:rsid w:val="002502BF"/>
    <w:rsid w:val="0025145D"/>
    <w:rsid w:val="00251568"/>
    <w:rsid w:val="0025170D"/>
    <w:rsid w:val="00251A89"/>
    <w:rsid w:val="00251B75"/>
    <w:rsid w:val="00251E6C"/>
    <w:rsid w:val="00252222"/>
    <w:rsid w:val="00252588"/>
    <w:rsid w:val="002525BA"/>
    <w:rsid w:val="002528B1"/>
    <w:rsid w:val="00252947"/>
    <w:rsid w:val="00252C74"/>
    <w:rsid w:val="00252C79"/>
    <w:rsid w:val="00252D6A"/>
    <w:rsid w:val="00252D82"/>
    <w:rsid w:val="00252D94"/>
    <w:rsid w:val="002530E2"/>
    <w:rsid w:val="002531FF"/>
    <w:rsid w:val="00253B69"/>
    <w:rsid w:val="00253EA6"/>
    <w:rsid w:val="00254066"/>
    <w:rsid w:val="00254312"/>
    <w:rsid w:val="0025454F"/>
    <w:rsid w:val="002547B8"/>
    <w:rsid w:val="00254AD2"/>
    <w:rsid w:val="00254D4E"/>
    <w:rsid w:val="00254F6B"/>
    <w:rsid w:val="0025577E"/>
    <w:rsid w:val="002557BC"/>
    <w:rsid w:val="002557BF"/>
    <w:rsid w:val="0025591D"/>
    <w:rsid w:val="002559B8"/>
    <w:rsid w:val="00255BC8"/>
    <w:rsid w:val="002560F2"/>
    <w:rsid w:val="002561EE"/>
    <w:rsid w:val="00256365"/>
    <w:rsid w:val="00256369"/>
    <w:rsid w:val="00256783"/>
    <w:rsid w:val="00256850"/>
    <w:rsid w:val="00256DF1"/>
    <w:rsid w:val="002573B1"/>
    <w:rsid w:val="0025740F"/>
    <w:rsid w:val="00257803"/>
    <w:rsid w:val="00257A7C"/>
    <w:rsid w:val="00257D64"/>
    <w:rsid w:val="0026022E"/>
    <w:rsid w:val="00260307"/>
    <w:rsid w:val="0026062A"/>
    <w:rsid w:val="00260D15"/>
    <w:rsid w:val="00260DE1"/>
    <w:rsid w:val="002611CB"/>
    <w:rsid w:val="002612BE"/>
    <w:rsid w:val="002613CD"/>
    <w:rsid w:val="00261711"/>
    <w:rsid w:val="002618C8"/>
    <w:rsid w:val="00261C8E"/>
    <w:rsid w:val="00262669"/>
    <w:rsid w:val="00262B9F"/>
    <w:rsid w:val="00262BE7"/>
    <w:rsid w:val="00262E5B"/>
    <w:rsid w:val="00262F2E"/>
    <w:rsid w:val="0026302E"/>
    <w:rsid w:val="0026332B"/>
    <w:rsid w:val="0026361E"/>
    <w:rsid w:val="00263761"/>
    <w:rsid w:val="00263794"/>
    <w:rsid w:val="002641F1"/>
    <w:rsid w:val="002644FB"/>
    <w:rsid w:val="002648DD"/>
    <w:rsid w:val="0026495E"/>
    <w:rsid w:val="00264A7B"/>
    <w:rsid w:val="0026539B"/>
    <w:rsid w:val="0026542B"/>
    <w:rsid w:val="00265443"/>
    <w:rsid w:val="00265458"/>
    <w:rsid w:val="002656D3"/>
    <w:rsid w:val="00265B14"/>
    <w:rsid w:val="002660F8"/>
    <w:rsid w:val="00266322"/>
    <w:rsid w:val="002665BD"/>
    <w:rsid w:val="00266F27"/>
    <w:rsid w:val="0026734B"/>
    <w:rsid w:val="0026791D"/>
    <w:rsid w:val="00267CDC"/>
    <w:rsid w:val="00267DC8"/>
    <w:rsid w:val="00267EE7"/>
    <w:rsid w:val="00267EF3"/>
    <w:rsid w:val="00267F4B"/>
    <w:rsid w:val="0027002A"/>
    <w:rsid w:val="00270224"/>
    <w:rsid w:val="002705AA"/>
    <w:rsid w:val="002706D5"/>
    <w:rsid w:val="00270A22"/>
    <w:rsid w:val="00270F51"/>
    <w:rsid w:val="002710FF"/>
    <w:rsid w:val="0027141F"/>
    <w:rsid w:val="0027199B"/>
    <w:rsid w:val="00271B42"/>
    <w:rsid w:val="00271B51"/>
    <w:rsid w:val="0027200F"/>
    <w:rsid w:val="0027230F"/>
    <w:rsid w:val="0027235F"/>
    <w:rsid w:val="002729AF"/>
    <w:rsid w:val="00272A46"/>
    <w:rsid w:val="00272C77"/>
    <w:rsid w:val="0027302E"/>
    <w:rsid w:val="00273234"/>
    <w:rsid w:val="00273441"/>
    <w:rsid w:val="0027357E"/>
    <w:rsid w:val="002736AF"/>
    <w:rsid w:val="00273807"/>
    <w:rsid w:val="00273A02"/>
    <w:rsid w:val="00273B91"/>
    <w:rsid w:val="00273C0A"/>
    <w:rsid w:val="00273F6E"/>
    <w:rsid w:val="00273FD5"/>
    <w:rsid w:val="00274067"/>
    <w:rsid w:val="002740AF"/>
    <w:rsid w:val="002742B7"/>
    <w:rsid w:val="0027461A"/>
    <w:rsid w:val="0027498B"/>
    <w:rsid w:val="00274B18"/>
    <w:rsid w:val="00274D9F"/>
    <w:rsid w:val="00275012"/>
    <w:rsid w:val="00275B61"/>
    <w:rsid w:val="00275CB8"/>
    <w:rsid w:val="00276126"/>
    <w:rsid w:val="0027621A"/>
    <w:rsid w:val="0027625C"/>
    <w:rsid w:val="002762D5"/>
    <w:rsid w:val="002766AF"/>
    <w:rsid w:val="002769F5"/>
    <w:rsid w:val="00276C98"/>
    <w:rsid w:val="002770B7"/>
    <w:rsid w:val="00277294"/>
    <w:rsid w:val="00277434"/>
    <w:rsid w:val="00277539"/>
    <w:rsid w:val="0027767E"/>
    <w:rsid w:val="002778C9"/>
    <w:rsid w:val="00277981"/>
    <w:rsid w:val="00277FEB"/>
    <w:rsid w:val="002809E7"/>
    <w:rsid w:val="00280D31"/>
    <w:rsid w:val="002811B3"/>
    <w:rsid w:val="002811B6"/>
    <w:rsid w:val="00281340"/>
    <w:rsid w:val="002813B8"/>
    <w:rsid w:val="00281949"/>
    <w:rsid w:val="00281B4D"/>
    <w:rsid w:val="00281B97"/>
    <w:rsid w:val="00281E4D"/>
    <w:rsid w:val="00281E5A"/>
    <w:rsid w:val="0028233A"/>
    <w:rsid w:val="002828FB"/>
    <w:rsid w:val="00282A63"/>
    <w:rsid w:val="00282C15"/>
    <w:rsid w:val="00283044"/>
    <w:rsid w:val="00283423"/>
    <w:rsid w:val="002835A2"/>
    <w:rsid w:val="00283690"/>
    <w:rsid w:val="0028386D"/>
    <w:rsid w:val="00283E60"/>
    <w:rsid w:val="00284547"/>
    <w:rsid w:val="0028489A"/>
    <w:rsid w:val="00284CD9"/>
    <w:rsid w:val="00284D95"/>
    <w:rsid w:val="00284E7A"/>
    <w:rsid w:val="00284EFA"/>
    <w:rsid w:val="00284F0D"/>
    <w:rsid w:val="00285175"/>
    <w:rsid w:val="0028518B"/>
    <w:rsid w:val="0028561C"/>
    <w:rsid w:val="00285722"/>
    <w:rsid w:val="00285735"/>
    <w:rsid w:val="002858F1"/>
    <w:rsid w:val="00285ACE"/>
    <w:rsid w:val="00285BF9"/>
    <w:rsid w:val="00285C0E"/>
    <w:rsid w:val="00285F73"/>
    <w:rsid w:val="00286507"/>
    <w:rsid w:val="00286567"/>
    <w:rsid w:val="002866D2"/>
    <w:rsid w:val="00286E27"/>
    <w:rsid w:val="00286F71"/>
    <w:rsid w:val="002870F6"/>
    <w:rsid w:val="00287238"/>
    <w:rsid w:val="00287433"/>
    <w:rsid w:val="002876FB"/>
    <w:rsid w:val="002877DF"/>
    <w:rsid w:val="00287F31"/>
    <w:rsid w:val="0029021D"/>
    <w:rsid w:val="00290387"/>
    <w:rsid w:val="002905D0"/>
    <w:rsid w:val="00290C2D"/>
    <w:rsid w:val="00290EC0"/>
    <w:rsid w:val="00290FDA"/>
    <w:rsid w:val="002911A5"/>
    <w:rsid w:val="002912A2"/>
    <w:rsid w:val="002915DE"/>
    <w:rsid w:val="0029179C"/>
    <w:rsid w:val="00291EA8"/>
    <w:rsid w:val="00291EFE"/>
    <w:rsid w:val="00292269"/>
    <w:rsid w:val="002922EB"/>
    <w:rsid w:val="002928A0"/>
    <w:rsid w:val="002929FE"/>
    <w:rsid w:val="00292A22"/>
    <w:rsid w:val="00292C3B"/>
    <w:rsid w:val="00292CCB"/>
    <w:rsid w:val="00293A9F"/>
    <w:rsid w:val="00293DAE"/>
    <w:rsid w:val="00294214"/>
    <w:rsid w:val="00294885"/>
    <w:rsid w:val="00294895"/>
    <w:rsid w:val="00294930"/>
    <w:rsid w:val="00294ABF"/>
    <w:rsid w:val="00294B13"/>
    <w:rsid w:val="00294D39"/>
    <w:rsid w:val="00294EE4"/>
    <w:rsid w:val="0029513E"/>
    <w:rsid w:val="00295477"/>
    <w:rsid w:val="002956FB"/>
    <w:rsid w:val="0029574B"/>
    <w:rsid w:val="002957CB"/>
    <w:rsid w:val="00295A34"/>
    <w:rsid w:val="00296113"/>
    <w:rsid w:val="002965A3"/>
    <w:rsid w:val="0029684E"/>
    <w:rsid w:val="00296BF8"/>
    <w:rsid w:val="00296D2F"/>
    <w:rsid w:val="002979E8"/>
    <w:rsid w:val="00297A60"/>
    <w:rsid w:val="002A018F"/>
    <w:rsid w:val="002A080C"/>
    <w:rsid w:val="002A0CFB"/>
    <w:rsid w:val="002A0F14"/>
    <w:rsid w:val="002A1257"/>
    <w:rsid w:val="002A1473"/>
    <w:rsid w:val="002A18AE"/>
    <w:rsid w:val="002A19C6"/>
    <w:rsid w:val="002A1A29"/>
    <w:rsid w:val="002A1A8D"/>
    <w:rsid w:val="002A1BDF"/>
    <w:rsid w:val="002A1C15"/>
    <w:rsid w:val="002A1D75"/>
    <w:rsid w:val="002A1F93"/>
    <w:rsid w:val="002A1FAB"/>
    <w:rsid w:val="002A2329"/>
    <w:rsid w:val="002A268C"/>
    <w:rsid w:val="002A27B0"/>
    <w:rsid w:val="002A2885"/>
    <w:rsid w:val="002A2E13"/>
    <w:rsid w:val="002A3308"/>
    <w:rsid w:val="002A3381"/>
    <w:rsid w:val="002A365E"/>
    <w:rsid w:val="002A3687"/>
    <w:rsid w:val="002A36F5"/>
    <w:rsid w:val="002A37D7"/>
    <w:rsid w:val="002A384E"/>
    <w:rsid w:val="002A3CBC"/>
    <w:rsid w:val="002A3E13"/>
    <w:rsid w:val="002A418F"/>
    <w:rsid w:val="002A41C7"/>
    <w:rsid w:val="002A451E"/>
    <w:rsid w:val="002A4703"/>
    <w:rsid w:val="002A48BD"/>
    <w:rsid w:val="002A4BB9"/>
    <w:rsid w:val="002A4E88"/>
    <w:rsid w:val="002A4EA7"/>
    <w:rsid w:val="002A50CA"/>
    <w:rsid w:val="002A50EB"/>
    <w:rsid w:val="002A5409"/>
    <w:rsid w:val="002A5B0E"/>
    <w:rsid w:val="002A5B84"/>
    <w:rsid w:val="002A5FF0"/>
    <w:rsid w:val="002A6135"/>
    <w:rsid w:val="002A6242"/>
    <w:rsid w:val="002A650C"/>
    <w:rsid w:val="002A6679"/>
    <w:rsid w:val="002A6AC4"/>
    <w:rsid w:val="002A6BE5"/>
    <w:rsid w:val="002A6F1A"/>
    <w:rsid w:val="002A6F1D"/>
    <w:rsid w:val="002A72C7"/>
    <w:rsid w:val="002A776B"/>
    <w:rsid w:val="002A7F2E"/>
    <w:rsid w:val="002B039B"/>
    <w:rsid w:val="002B0488"/>
    <w:rsid w:val="002B0A0E"/>
    <w:rsid w:val="002B0BD1"/>
    <w:rsid w:val="002B0C86"/>
    <w:rsid w:val="002B0F98"/>
    <w:rsid w:val="002B1102"/>
    <w:rsid w:val="002B1B4C"/>
    <w:rsid w:val="002B1C57"/>
    <w:rsid w:val="002B1F86"/>
    <w:rsid w:val="002B1FBE"/>
    <w:rsid w:val="002B2254"/>
    <w:rsid w:val="002B288E"/>
    <w:rsid w:val="002B2BC1"/>
    <w:rsid w:val="002B3583"/>
    <w:rsid w:val="002B3C5C"/>
    <w:rsid w:val="002B3D5F"/>
    <w:rsid w:val="002B424B"/>
    <w:rsid w:val="002B42AD"/>
    <w:rsid w:val="002B4540"/>
    <w:rsid w:val="002B4DA5"/>
    <w:rsid w:val="002B4DB5"/>
    <w:rsid w:val="002B4F8A"/>
    <w:rsid w:val="002B50CC"/>
    <w:rsid w:val="002B50F7"/>
    <w:rsid w:val="002B51B4"/>
    <w:rsid w:val="002B53D0"/>
    <w:rsid w:val="002B5561"/>
    <w:rsid w:val="002B5588"/>
    <w:rsid w:val="002B58AA"/>
    <w:rsid w:val="002B5BEF"/>
    <w:rsid w:val="002B5E38"/>
    <w:rsid w:val="002B6170"/>
    <w:rsid w:val="002B6448"/>
    <w:rsid w:val="002B65A6"/>
    <w:rsid w:val="002B65F9"/>
    <w:rsid w:val="002B6A82"/>
    <w:rsid w:val="002B6C2F"/>
    <w:rsid w:val="002B6C9D"/>
    <w:rsid w:val="002B6DF6"/>
    <w:rsid w:val="002B72CD"/>
    <w:rsid w:val="002B72D9"/>
    <w:rsid w:val="002B73A7"/>
    <w:rsid w:val="002B78CE"/>
    <w:rsid w:val="002B7919"/>
    <w:rsid w:val="002C01BC"/>
    <w:rsid w:val="002C01F7"/>
    <w:rsid w:val="002C0547"/>
    <w:rsid w:val="002C071F"/>
    <w:rsid w:val="002C1210"/>
    <w:rsid w:val="002C1964"/>
    <w:rsid w:val="002C1996"/>
    <w:rsid w:val="002C1D86"/>
    <w:rsid w:val="002C1E71"/>
    <w:rsid w:val="002C2299"/>
    <w:rsid w:val="002C234A"/>
    <w:rsid w:val="002C238B"/>
    <w:rsid w:val="002C23AE"/>
    <w:rsid w:val="002C2637"/>
    <w:rsid w:val="002C291A"/>
    <w:rsid w:val="002C2B1F"/>
    <w:rsid w:val="002C2CA1"/>
    <w:rsid w:val="002C2E8B"/>
    <w:rsid w:val="002C2ED5"/>
    <w:rsid w:val="002C2F37"/>
    <w:rsid w:val="002C331C"/>
    <w:rsid w:val="002C34C4"/>
    <w:rsid w:val="002C3569"/>
    <w:rsid w:val="002C3C14"/>
    <w:rsid w:val="002C416C"/>
    <w:rsid w:val="002C4343"/>
    <w:rsid w:val="002C4A0C"/>
    <w:rsid w:val="002C4B76"/>
    <w:rsid w:val="002C5316"/>
    <w:rsid w:val="002C5395"/>
    <w:rsid w:val="002C5464"/>
    <w:rsid w:val="002C55C6"/>
    <w:rsid w:val="002C5AE4"/>
    <w:rsid w:val="002C5D50"/>
    <w:rsid w:val="002C60A5"/>
    <w:rsid w:val="002C6781"/>
    <w:rsid w:val="002C69E1"/>
    <w:rsid w:val="002C6A65"/>
    <w:rsid w:val="002C6C17"/>
    <w:rsid w:val="002C6F24"/>
    <w:rsid w:val="002C6F65"/>
    <w:rsid w:val="002C6FDE"/>
    <w:rsid w:val="002C7212"/>
    <w:rsid w:val="002C7901"/>
    <w:rsid w:val="002C7A29"/>
    <w:rsid w:val="002D03C2"/>
    <w:rsid w:val="002D03F3"/>
    <w:rsid w:val="002D0906"/>
    <w:rsid w:val="002D0BA5"/>
    <w:rsid w:val="002D1185"/>
    <w:rsid w:val="002D118D"/>
    <w:rsid w:val="002D1317"/>
    <w:rsid w:val="002D1385"/>
    <w:rsid w:val="002D146C"/>
    <w:rsid w:val="002D161F"/>
    <w:rsid w:val="002D1697"/>
    <w:rsid w:val="002D1894"/>
    <w:rsid w:val="002D1E80"/>
    <w:rsid w:val="002D1F51"/>
    <w:rsid w:val="002D29CA"/>
    <w:rsid w:val="002D3254"/>
    <w:rsid w:val="002D365E"/>
    <w:rsid w:val="002D373C"/>
    <w:rsid w:val="002D3BBF"/>
    <w:rsid w:val="002D3C46"/>
    <w:rsid w:val="002D3DA7"/>
    <w:rsid w:val="002D3F46"/>
    <w:rsid w:val="002D4021"/>
    <w:rsid w:val="002D4845"/>
    <w:rsid w:val="002D4999"/>
    <w:rsid w:val="002D4ABB"/>
    <w:rsid w:val="002D4CA9"/>
    <w:rsid w:val="002D5169"/>
    <w:rsid w:val="002D5777"/>
    <w:rsid w:val="002D594F"/>
    <w:rsid w:val="002D5C1F"/>
    <w:rsid w:val="002D638B"/>
    <w:rsid w:val="002D6559"/>
    <w:rsid w:val="002D6B20"/>
    <w:rsid w:val="002D6DCD"/>
    <w:rsid w:val="002D6E13"/>
    <w:rsid w:val="002D708E"/>
    <w:rsid w:val="002D7093"/>
    <w:rsid w:val="002D72DC"/>
    <w:rsid w:val="002D72EA"/>
    <w:rsid w:val="002D7585"/>
    <w:rsid w:val="002D76A4"/>
    <w:rsid w:val="002D7841"/>
    <w:rsid w:val="002D7DB4"/>
    <w:rsid w:val="002D7E48"/>
    <w:rsid w:val="002D7E6F"/>
    <w:rsid w:val="002D7FA4"/>
    <w:rsid w:val="002E01FC"/>
    <w:rsid w:val="002E0355"/>
    <w:rsid w:val="002E0407"/>
    <w:rsid w:val="002E0431"/>
    <w:rsid w:val="002E094E"/>
    <w:rsid w:val="002E0B42"/>
    <w:rsid w:val="002E0CD7"/>
    <w:rsid w:val="002E0FE3"/>
    <w:rsid w:val="002E1098"/>
    <w:rsid w:val="002E12C9"/>
    <w:rsid w:val="002E1361"/>
    <w:rsid w:val="002E1424"/>
    <w:rsid w:val="002E15CA"/>
    <w:rsid w:val="002E1A27"/>
    <w:rsid w:val="002E1D6E"/>
    <w:rsid w:val="002E213F"/>
    <w:rsid w:val="002E2422"/>
    <w:rsid w:val="002E25DA"/>
    <w:rsid w:val="002E300D"/>
    <w:rsid w:val="002E31FA"/>
    <w:rsid w:val="002E32F6"/>
    <w:rsid w:val="002E34B0"/>
    <w:rsid w:val="002E34C5"/>
    <w:rsid w:val="002E3864"/>
    <w:rsid w:val="002E3B5E"/>
    <w:rsid w:val="002E3D60"/>
    <w:rsid w:val="002E423A"/>
    <w:rsid w:val="002E4596"/>
    <w:rsid w:val="002E48AE"/>
    <w:rsid w:val="002E498E"/>
    <w:rsid w:val="002E4E0E"/>
    <w:rsid w:val="002E508F"/>
    <w:rsid w:val="002E558D"/>
    <w:rsid w:val="002E582E"/>
    <w:rsid w:val="002E5B98"/>
    <w:rsid w:val="002E5D62"/>
    <w:rsid w:val="002E5DB7"/>
    <w:rsid w:val="002E602D"/>
    <w:rsid w:val="002E661E"/>
    <w:rsid w:val="002E6715"/>
    <w:rsid w:val="002E69F1"/>
    <w:rsid w:val="002E6A2E"/>
    <w:rsid w:val="002E6B8F"/>
    <w:rsid w:val="002E6EF6"/>
    <w:rsid w:val="002E727D"/>
    <w:rsid w:val="002E72E8"/>
    <w:rsid w:val="002E731C"/>
    <w:rsid w:val="002E737E"/>
    <w:rsid w:val="002E7DB2"/>
    <w:rsid w:val="002E7DD2"/>
    <w:rsid w:val="002F035E"/>
    <w:rsid w:val="002F0387"/>
    <w:rsid w:val="002F05E5"/>
    <w:rsid w:val="002F0865"/>
    <w:rsid w:val="002F0A5C"/>
    <w:rsid w:val="002F0D61"/>
    <w:rsid w:val="002F0DDE"/>
    <w:rsid w:val="002F12C1"/>
    <w:rsid w:val="002F1717"/>
    <w:rsid w:val="002F18C9"/>
    <w:rsid w:val="002F1C9F"/>
    <w:rsid w:val="002F1CC4"/>
    <w:rsid w:val="002F1E09"/>
    <w:rsid w:val="002F2524"/>
    <w:rsid w:val="002F29D5"/>
    <w:rsid w:val="002F2CD5"/>
    <w:rsid w:val="002F32B1"/>
    <w:rsid w:val="002F3556"/>
    <w:rsid w:val="002F364B"/>
    <w:rsid w:val="002F367B"/>
    <w:rsid w:val="002F3B31"/>
    <w:rsid w:val="002F3DFE"/>
    <w:rsid w:val="002F3EF1"/>
    <w:rsid w:val="002F3FCF"/>
    <w:rsid w:val="002F4150"/>
    <w:rsid w:val="002F4569"/>
    <w:rsid w:val="002F4721"/>
    <w:rsid w:val="002F4724"/>
    <w:rsid w:val="002F49BC"/>
    <w:rsid w:val="002F4A8D"/>
    <w:rsid w:val="002F4AA2"/>
    <w:rsid w:val="002F4DB1"/>
    <w:rsid w:val="002F5616"/>
    <w:rsid w:val="002F564C"/>
    <w:rsid w:val="002F5773"/>
    <w:rsid w:val="002F57B0"/>
    <w:rsid w:val="002F5E78"/>
    <w:rsid w:val="002F6748"/>
    <w:rsid w:val="002F67C6"/>
    <w:rsid w:val="002F6863"/>
    <w:rsid w:val="002F68F3"/>
    <w:rsid w:val="002F68F5"/>
    <w:rsid w:val="002F6BFD"/>
    <w:rsid w:val="002F6ED4"/>
    <w:rsid w:val="002F7184"/>
    <w:rsid w:val="002F7CD1"/>
    <w:rsid w:val="00300341"/>
    <w:rsid w:val="0030038C"/>
    <w:rsid w:val="0030039E"/>
    <w:rsid w:val="003005FD"/>
    <w:rsid w:val="003006D1"/>
    <w:rsid w:val="003008FB"/>
    <w:rsid w:val="00300F93"/>
    <w:rsid w:val="0030105B"/>
    <w:rsid w:val="003010D8"/>
    <w:rsid w:val="003010DF"/>
    <w:rsid w:val="003012DD"/>
    <w:rsid w:val="003016BE"/>
    <w:rsid w:val="003018F8"/>
    <w:rsid w:val="0030194D"/>
    <w:rsid w:val="00301A2C"/>
    <w:rsid w:val="003021B2"/>
    <w:rsid w:val="0030222A"/>
    <w:rsid w:val="0030240C"/>
    <w:rsid w:val="00302781"/>
    <w:rsid w:val="003028F0"/>
    <w:rsid w:val="0030296E"/>
    <w:rsid w:val="00302A69"/>
    <w:rsid w:val="00302B1D"/>
    <w:rsid w:val="0030322D"/>
    <w:rsid w:val="0030326D"/>
    <w:rsid w:val="003038CD"/>
    <w:rsid w:val="00303AFD"/>
    <w:rsid w:val="0030406C"/>
    <w:rsid w:val="00304785"/>
    <w:rsid w:val="003047A9"/>
    <w:rsid w:val="00304C18"/>
    <w:rsid w:val="00304D32"/>
    <w:rsid w:val="00304FFD"/>
    <w:rsid w:val="0030550B"/>
    <w:rsid w:val="0030557A"/>
    <w:rsid w:val="00305B75"/>
    <w:rsid w:val="0030609A"/>
    <w:rsid w:val="003065E7"/>
    <w:rsid w:val="003065FF"/>
    <w:rsid w:val="003066F3"/>
    <w:rsid w:val="003068F7"/>
    <w:rsid w:val="00306902"/>
    <w:rsid w:val="00306F97"/>
    <w:rsid w:val="003071CA"/>
    <w:rsid w:val="003071F7"/>
    <w:rsid w:val="003072F5"/>
    <w:rsid w:val="00307353"/>
    <w:rsid w:val="00307AE8"/>
    <w:rsid w:val="00307B06"/>
    <w:rsid w:val="00307BB8"/>
    <w:rsid w:val="00310101"/>
    <w:rsid w:val="003101AC"/>
    <w:rsid w:val="003104FF"/>
    <w:rsid w:val="00310713"/>
    <w:rsid w:val="00310927"/>
    <w:rsid w:val="00311052"/>
    <w:rsid w:val="003112A1"/>
    <w:rsid w:val="00311449"/>
    <w:rsid w:val="003116F2"/>
    <w:rsid w:val="00311868"/>
    <w:rsid w:val="00311968"/>
    <w:rsid w:val="00311B8D"/>
    <w:rsid w:val="00312042"/>
    <w:rsid w:val="0031287A"/>
    <w:rsid w:val="00312DCE"/>
    <w:rsid w:val="0031354A"/>
    <w:rsid w:val="00313685"/>
    <w:rsid w:val="003137C7"/>
    <w:rsid w:val="00313984"/>
    <w:rsid w:val="00313DEC"/>
    <w:rsid w:val="00313E70"/>
    <w:rsid w:val="0031446B"/>
    <w:rsid w:val="003148EC"/>
    <w:rsid w:val="00314D6F"/>
    <w:rsid w:val="00314E0C"/>
    <w:rsid w:val="00314E77"/>
    <w:rsid w:val="00314EF1"/>
    <w:rsid w:val="00314F42"/>
    <w:rsid w:val="00314F91"/>
    <w:rsid w:val="00314FA6"/>
    <w:rsid w:val="00314FC7"/>
    <w:rsid w:val="00315358"/>
    <w:rsid w:val="00315697"/>
    <w:rsid w:val="00315854"/>
    <w:rsid w:val="00315ECC"/>
    <w:rsid w:val="00316046"/>
    <w:rsid w:val="00316643"/>
    <w:rsid w:val="003169BE"/>
    <w:rsid w:val="00316A99"/>
    <w:rsid w:val="00316B9F"/>
    <w:rsid w:val="003171F2"/>
    <w:rsid w:val="0031721E"/>
    <w:rsid w:val="0031729F"/>
    <w:rsid w:val="00317330"/>
    <w:rsid w:val="00317433"/>
    <w:rsid w:val="00317580"/>
    <w:rsid w:val="00317A4A"/>
    <w:rsid w:val="00317B2D"/>
    <w:rsid w:val="00317B80"/>
    <w:rsid w:val="00317C87"/>
    <w:rsid w:val="00317CB6"/>
    <w:rsid w:val="00317D6A"/>
    <w:rsid w:val="00317FE3"/>
    <w:rsid w:val="003200A5"/>
    <w:rsid w:val="00320480"/>
    <w:rsid w:val="00320508"/>
    <w:rsid w:val="00320585"/>
    <w:rsid w:val="003206C1"/>
    <w:rsid w:val="003208A2"/>
    <w:rsid w:val="003209FE"/>
    <w:rsid w:val="00320D82"/>
    <w:rsid w:val="00321120"/>
    <w:rsid w:val="003214A6"/>
    <w:rsid w:val="003217B9"/>
    <w:rsid w:val="00321BDD"/>
    <w:rsid w:val="00321F0B"/>
    <w:rsid w:val="00321FD0"/>
    <w:rsid w:val="00322065"/>
    <w:rsid w:val="0032222B"/>
    <w:rsid w:val="0032226E"/>
    <w:rsid w:val="003224A5"/>
    <w:rsid w:val="00322999"/>
    <w:rsid w:val="00322CAA"/>
    <w:rsid w:val="00322F16"/>
    <w:rsid w:val="003230EB"/>
    <w:rsid w:val="0032326A"/>
    <w:rsid w:val="003232AF"/>
    <w:rsid w:val="00323513"/>
    <w:rsid w:val="00323A75"/>
    <w:rsid w:val="00323D75"/>
    <w:rsid w:val="00323DED"/>
    <w:rsid w:val="00323FDA"/>
    <w:rsid w:val="0032402D"/>
    <w:rsid w:val="00324131"/>
    <w:rsid w:val="00324413"/>
    <w:rsid w:val="00324C74"/>
    <w:rsid w:val="003253A7"/>
    <w:rsid w:val="003253BD"/>
    <w:rsid w:val="00325736"/>
    <w:rsid w:val="00325A72"/>
    <w:rsid w:val="00325E25"/>
    <w:rsid w:val="00326063"/>
    <w:rsid w:val="003260A8"/>
    <w:rsid w:val="003260F2"/>
    <w:rsid w:val="00326246"/>
    <w:rsid w:val="00326722"/>
    <w:rsid w:val="003267F5"/>
    <w:rsid w:val="00326BE1"/>
    <w:rsid w:val="00326C9B"/>
    <w:rsid w:val="00326D29"/>
    <w:rsid w:val="00327037"/>
    <w:rsid w:val="003274AD"/>
    <w:rsid w:val="003275E4"/>
    <w:rsid w:val="00327699"/>
    <w:rsid w:val="003278AB"/>
    <w:rsid w:val="00327B78"/>
    <w:rsid w:val="00327BCE"/>
    <w:rsid w:val="00327FF6"/>
    <w:rsid w:val="0033000E"/>
    <w:rsid w:val="003302C4"/>
    <w:rsid w:val="003305AC"/>
    <w:rsid w:val="00330756"/>
    <w:rsid w:val="00330D76"/>
    <w:rsid w:val="00330DDF"/>
    <w:rsid w:val="00330DF8"/>
    <w:rsid w:val="003311D0"/>
    <w:rsid w:val="003313DD"/>
    <w:rsid w:val="003319EB"/>
    <w:rsid w:val="00331B6D"/>
    <w:rsid w:val="00331C52"/>
    <w:rsid w:val="00331ED8"/>
    <w:rsid w:val="00331F2C"/>
    <w:rsid w:val="00331F31"/>
    <w:rsid w:val="00332348"/>
    <w:rsid w:val="00332370"/>
    <w:rsid w:val="003324D1"/>
    <w:rsid w:val="003326A1"/>
    <w:rsid w:val="00332BD2"/>
    <w:rsid w:val="00333004"/>
    <w:rsid w:val="00333007"/>
    <w:rsid w:val="003330E3"/>
    <w:rsid w:val="00333253"/>
    <w:rsid w:val="00333389"/>
    <w:rsid w:val="003333FC"/>
    <w:rsid w:val="00333617"/>
    <w:rsid w:val="0033474A"/>
    <w:rsid w:val="003347BD"/>
    <w:rsid w:val="00334913"/>
    <w:rsid w:val="0033493C"/>
    <w:rsid w:val="00334B8E"/>
    <w:rsid w:val="00334E0B"/>
    <w:rsid w:val="00335EB2"/>
    <w:rsid w:val="00335F3B"/>
    <w:rsid w:val="00335F55"/>
    <w:rsid w:val="00335F77"/>
    <w:rsid w:val="00336082"/>
    <w:rsid w:val="003360EC"/>
    <w:rsid w:val="00336118"/>
    <w:rsid w:val="00336350"/>
    <w:rsid w:val="003365A9"/>
    <w:rsid w:val="00336722"/>
    <w:rsid w:val="00336BAA"/>
    <w:rsid w:val="00336DFA"/>
    <w:rsid w:val="003372E9"/>
    <w:rsid w:val="00337336"/>
    <w:rsid w:val="00337615"/>
    <w:rsid w:val="00337777"/>
    <w:rsid w:val="00337BAA"/>
    <w:rsid w:val="00337CB7"/>
    <w:rsid w:val="00337E27"/>
    <w:rsid w:val="0034010C"/>
    <w:rsid w:val="003408E7"/>
    <w:rsid w:val="00340C45"/>
    <w:rsid w:val="00340D76"/>
    <w:rsid w:val="00340DE0"/>
    <w:rsid w:val="00340FF2"/>
    <w:rsid w:val="003410CB"/>
    <w:rsid w:val="003412F7"/>
    <w:rsid w:val="00341473"/>
    <w:rsid w:val="00341712"/>
    <w:rsid w:val="00341756"/>
    <w:rsid w:val="00341757"/>
    <w:rsid w:val="00341A54"/>
    <w:rsid w:val="00341D9F"/>
    <w:rsid w:val="00341E93"/>
    <w:rsid w:val="003422FC"/>
    <w:rsid w:val="003423A3"/>
    <w:rsid w:val="0034281F"/>
    <w:rsid w:val="0034327E"/>
    <w:rsid w:val="00343432"/>
    <w:rsid w:val="00343700"/>
    <w:rsid w:val="0034385E"/>
    <w:rsid w:val="0034386B"/>
    <w:rsid w:val="00343C0E"/>
    <w:rsid w:val="0034449B"/>
    <w:rsid w:val="00344768"/>
    <w:rsid w:val="00344773"/>
    <w:rsid w:val="003447AE"/>
    <w:rsid w:val="003449ED"/>
    <w:rsid w:val="00344E89"/>
    <w:rsid w:val="00344FCE"/>
    <w:rsid w:val="0034565C"/>
    <w:rsid w:val="0034578E"/>
    <w:rsid w:val="00345911"/>
    <w:rsid w:val="00345931"/>
    <w:rsid w:val="003459BA"/>
    <w:rsid w:val="00345A69"/>
    <w:rsid w:val="00345CF6"/>
    <w:rsid w:val="00345EBA"/>
    <w:rsid w:val="00346555"/>
    <w:rsid w:val="003466FB"/>
    <w:rsid w:val="00346825"/>
    <w:rsid w:val="00346AF6"/>
    <w:rsid w:val="0034715D"/>
    <w:rsid w:val="003471AD"/>
    <w:rsid w:val="00347330"/>
    <w:rsid w:val="00347AB5"/>
    <w:rsid w:val="00347B5D"/>
    <w:rsid w:val="00347C33"/>
    <w:rsid w:val="00347CDD"/>
    <w:rsid w:val="00347EE5"/>
    <w:rsid w:val="00347F1B"/>
    <w:rsid w:val="0035027E"/>
    <w:rsid w:val="00350418"/>
    <w:rsid w:val="003504AC"/>
    <w:rsid w:val="00350586"/>
    <w:rsid w:val="00350775"/>
    <w:rsid w:val="003509C1"/>
    <w:rsid w:val="00350A54"/>
    <w:rsid w:val="00350A7F"/>
    <w:rsid w:val="00350B4B"/>
    <w:rsid w:val="00350D5F"/>
    <w:rsid w:val="00350DE4"/>
    <w:rsid w:val="00350E0A"/>
    <w:rsid w:val="00350E35"/>
    <w:rsid w:val="00351022"/>
    <w:rsid w:val="003511BE"/>
    <w:rsid w:val="0035160C"/>
    <w:rsid w:val="00351978"/>
    <w:rsid w:val="003519B6"/>
    <w:rsid w:val="00351DD6"/>
    <w:rsid w:val="00351FC4"/>
    <w:rsid w:val="00352011"/>
    <w:rsid w:val="00352207"/>
    <w:rsid w:val="00352373"/>
    <w:rsid w:val="003523E4"/>
    <w:rsid w:val="003526DA"/>
    <w:rsid w:val="00352749"/>
    <w:rsid w:val="003527FF"/>
    <w:rsid w:val="00352A99"/>
    <w:rsid w:val="00352F2A"/>
    <w:rsid w:val="00353690"/>
    <w:rsid w:val="0035382D"/>
    <w:rsid w:val="00353EA6"/>
    <w:rsid w:val="00353FA4"/>
    <w:rsid w:val="003541DE"/>
    <w:rsid w:val="003545EC"/>
    <w:rsid w:val="00354604"/>
    <w:rsid w:val="00354777"/>
    <w:rsid w:val="00354930"/>
    <w:rsid w:val="00354B09"/>
    <w:rsid w:val="00354F0B"/>
    <w:rsid w:val="003552CB"/>
    <w:rsid w:val="00355570"/>
    <w:rsid w:val="0035557A"/>
    <w:rsid w:val="0035559B"/>
    <w:rsid w:val="003557C0"/>
    <w:rsid w:val="00355A45"/>
    <w:rsid w:val="00355AC0"/>
    <w:rsid w:val="00355C72"/>
    <w:rsid w:val="003563A2"/>
    <w:rsid w:val="00356503"/>
    <w:rsid w:val="003565C6"/>
    <w:rsid w:val="00356B1D"/>
    <w:rsid w:val="00356C3A"/>
    <w:rsid w:val="00356C57"/>
    <w:rsid w:val="00356E43"/>
    <w:rsid w:val="00357361"/>
    <w:rsid w:val="003579ED"/>
    <w:rsid w:val="00357B52"/>
    <w:rsid w:val="00357BBA"/>
    <w:rsid w:val="00357C0C"/>
    <w:rsid w:val="00357C35"/>
    <w:rsid w:val="00357CC4"/>
    <w:rsid w:val="00357D19"/>
    <w:rsid w:val="00360091"/>
    <w:rsid w:val="00360184"/>
    <w:rsid w:val="00360282"/>
    <w:rsid w:val="003603C2"/>
    <w:rsid w:val="003610D0"/>
    <w:rsid w:val="00361122"/>
    <w:rsid w:val="00361372"/>
    <w:rsid w:val="0036147C"/>
    <w:rsid w:val="003614D6"/>
    <w:rsid w:val="00361923"/>
    <w:rsid w:val="0036196A"/>
    <w:rsid w:val="00361A8B"/>
    <w:rsid w:val="00361AB5"/>
    <w:rsid w:val="00361B71"/>
    <w:rsid w:val="00361D83"/>
    <w:rsid w:val="00361DE4"/>
    <w:rsid w:val="00361E75"/>
    <w:rsid w:val="00361F8F"/>
    <w:rsid w:val="00362045"/>
    <w:rsid w:val="00362683"/>
    <w:rsid w:val="003630AE"/>
    <w:rsid w:val="003634D3"/>
    <w:rsid w:val="003635F2"/>
    <w:rsid w:val="003637F3"/>
    <w:rsid w:val="00363AB4"/>
    <w:rsid w:val="003640CA"/>
    <w:rsid w:val="00364271"/>
    <w:rsid w:val="003645C3"/>
    <w:rsid w:val="00364ADC"/>
    <w:rsid w:val="00364E7D"/>
    <w:rsid w:val="003656FF"/>
    <w:rsid w:val="0036591A"/>
    <w:rsid w:val="003663E1"/>
    <w:rsid w:val="003664DC"/>
    <w:rsid w:val="00366556"/>
    <w:rsid w:val="00366695"/>
    <w:rsid w:val="00366FE4"/>
    <w:rsid w:val="003675AD"/>
    <w:rsid w:val="00367894"/>
    <w:rsid w:val="00367B34"/>
    <w:rsid w:val="00367F23"/>
    <w:rsid w:val="00367F49"/>
    <w:rsid w:val="00367F9F"/>
    <w:rsid w:val="0037075D"/>
    <w:rsid w:val="00370DAA"/>
    <w:rsid w:val="00370DFB"/>
    <w:rsid w:val="00370E6E"/>
    <w:rsid w:val="00370FB7"/>
    <w:rsid w:val="0037107E"/>
    <w:rsid w:val="003712BA"/>
    <w:rsid w:val="003713A6"/>
    <w:rsid w:val="00371412"/>
    <w:rsid w:val="003717BC"/>
    <w:rsid w:val="00371D4E"/>
    <w:rsid w:val="003720E1"/>
    <w:rsid w:val="00372107"/>
    <w:rsid w:val="00372798"/>
    <w:rsid w:val="00372B4B"/>
    <w:rsid w:val="00372B60"/>
    <w:rsid w:val="00372B82"/>
    <w:rsid w:val="00372FFA"/>
    <w:rsid w:val="003730E4"/>
    <w:rsid w:val="003733B1"/>
    <w:rsid w:val="0037345A"/>
    <w:rsid w:val="00373A0F"/>
    <w:rsid w:val="00373B5A"/>
    <w:rsid w:val="00373BF8"/>
    <w:rsid w:val="00373E1A"/>
    <w:rsid w:val="00373FF4"/>
    <w:rsid w:val="00374044"/>
    <w:rsid w:val="003740EC"/>
    <w:rsid w:val="00374298"/>
    <w:rsid w:val="00374374"/>
    <w:rsid w:val="00374652"/>
    <w:rsid w:val="00374B2E"/>
    <w:rsid w:val="003752FB"/>
    <w:rsid w:val="003753D2"/>
    <w:rsid w:val="003757F4"/>
    <w:rsid w:val="00375D40"/>
    <w:rsid w:val="00375F87"/>
    <w:rsid w:val="00375FE1"/>
    <w:rsid w:val="0037644D"/>
    <w:rsid w:val="0037651D"/>
    <w:rsid w:val="003765CA"/>
    <w:rsid w:val="0037680D"/>
    <w:rsid w:val="003768D3"/>
    <w:rsid w:val="00376AE5"/>
    <w:rsid w:val="00376B6D"/>
    <w:rsid w:val="00376D80"/>
    <w:rsid w:val="003774CF"/>
    <w:rsid w:val="00377858"/>
    <w:rsid w:val="00377C09"/>
    <w:rsid w:val="00377D9A"/>
    <w:rsid w:val="00377D9B"/>
    <w:rsid w:val="00377E42"/>
    <w:rsid w:val="00377FBF"/>
    <w:rsid w:val="00380192"/>
    <w:rsid w:val="003803CC"/>
    <w:rsid w:val="003806E6"/>
    <w:rsid w:val="0038083F"/>
    <w:rsid w:val="00380999"/>
    <w:rsid w:val="00380A37"/>
    <w:rsid w:val="00380D94"/>
    <w:rsid w:val="00380F24"/>
    <w:rsid w:val="003810BE"/>
    <w:rsid w:val="0038112C"/>
    <w:rsid w:val="00381182"/>
    <w:rsid w:val="003813E6"/>
    <w:rsid w:val="003813EF"/>
    <w:rsid w:val="003815BD"/>
    <w:rsid w:val="0038163B"/>
    <w:rsid w:val="003817F1"/>
    <w:rsid w:val="00381BD7"/>
    <w:rsid w:val="00381C76"/>
    <w:rsid w:val="00381CBF"/>
    <w:rsid w:val="00381F3C"/>
    <w:rsid w:val="003823C1"/>
    <w:rsid w:val="003824FB"/>
    <w:rsid w:val="003827B0"/>
    <w:rsid w:val="00382825"/>
    <w:rsid w:val="00382879"/>
    <w:rsid w:val="00382A7D"/>
    <w:rsid w:val="00382BA8"/>
    <w:rsid w:val="00382DA8"/>
    <w:rsid w:val="00382FDF"/>
    <w:rsid w:val="003832F0"/>
    <w:rsid w:val="00383347"/>
    <w:rsid w:val="003837B8"/>
    <w:rsid w:val="0038409A"/>
    <w:rsid w:val="00384212"/>
    <w:rsid w:val="0038430F"/>
    <w:rsid w:val="003843DB"/>
    <w:rsid w:val="003844A5"/>
    <w:rsid w:val="0038494C"/>
    <w:rsid w:val="00384C63"/>
    <w:rsid w:val="00384D49"/>
    <w:rsid w:val="00384DE4"/>
    <w:rsid w:val="00385CF3"/>
    <w:rsid w:val="00385DE9"/>
    <w:rsid w:val="00385EA7"/>
    <w:rsid w:val="00385F8E"/>
    <w:rsid w:val="00386054"/>
    <w:rsid w:val="003862D9"/>
    <w:rsid w:val="003865AC"/>
    <w:rsid w:val="00386B45"/>
    <w:rsid w:val="00386B4A"/>
    <w:rsid w:val="00386CFF"/>
    <w:rsid w:val="00387234"/>
    <w:rsid w:val="00387951"/>
    <w:rsid w:val="00387B6F"/>
    <w:rsid w:val="00387C9C"/>
    <w:rsid w:val="0039008E"/>
    <w:rsid w:val="003900BA"/>
    <w:rsid w:val="003900CD"/>
    <w:rsid w:val="00390169"/>
    <w:rsid w:val="00390514"/>
    <w:rsid w:val="003908CB"/>
    <w:rsid w:val="00390986"/>
    <w:rsid w:val="00390F91"/>
    <w:rsid w:val="0039121B"/>
    <w:rsid w:val="00391555"/>
    <w:rsid w:val="00391636"/>
    <w:rsid w:val="00391AE0"/>
    <w:rsid w:val="00391B72"/>
    <w:rsid w:val="00391C68"/>
    <w:rsid w:val="00391C94"/>
    <w:rsid w:val="00391CD4"/>
    <w:rsid w:val="00391E5E"/>
    <w:rsid w:val="00392175"/>
    <w:rsid w:val="00392476"/>
    <w:rsid w:val="00392567"/>
    <w:rsid w:val="003925D2"/>
    <w:rsid w:val="00392724"/>
    <w:rsid w:val="00393277"/>
    <w:rsid w:val="00393302"/>
    <w:rsid w:val="003936C3"/>
    <w:rsid w:val="0039392B"/>
    <w:rsid w:val="003946AD"/>
    <w:rsid w:val="003947F7"/>
    <w:rsid w:val="00394861"/>
    <w:rsid w:val="00394BE2"/>
    <w:rsid w:val="00394E3F"/>
    <w:rsid w:val="00394F21"/>
    <w:rsid w:val="00395064"/>
    <w:rsid w:val="0039536B"/>
    <w:rsid w:val="003954AD"/>
    <w:rsid w:val="00395504"/>
    <w:rsid w:val="0039586E"/>
    <w:rsid w:val="00395871"/>
    <w:rsid w:val="003959F3"/>
    <w:rsid w:val="00396019"/>
    <w:rsid w:val="003960E0"/>
    <w:rsid w:val="0039624C"/>
    <w:rsid w:val="00396413"/>
    <w:rsid w:val="00396A6E"/>
    <w:rsid w:val="00396CE5"/>
    <w:rsid w:val="00396DD8"/>
    <w:rsid w:val="00396EBE"/>
    <w:rsid w:val="0039707B"/>
    <w:rsid w:val="00397A26"/>
    <w:rsid w:val="003A017A"/>
    <w:rsid w:val="003A04C4"/>
    <w:rsid w:val="003A099F"/>
    <w:rsid w:val="003A11D0"/>
    <w:rsid w:val="003A13BC"/>
    <w:rsid w:val="003A195C"/>
    <w:rsid w:val="003A1970"/>
    <w:rsid w:val="003A1ADA"/>
    <w:rsid w:val="003A22EB"/>
    <w:rsid w:val="003A240E"/>
    <w:rsid w:val="003A255C"/>
    <w:rsid w:val="003A256F"/>
    <w:rsid w:val="003A2599"/>
    <w:rsid w:val="003A2A2D"/>
    <w:rsid w:val="003A2D5E"/>
    <w:rsid w:val="003A2E7F"/>
    <w:rsid w:val="003A3043"/>
    <w:rsid w:val="003A309E"/>
    <w:rsid w:val="003A30A6"/>
    <w:rsid w:val="003A319F"/>
    <w:rsid w:val="003A3308"/>
    <w:rsid w:val="003A37CF"/>
    <w:rsid w:val="003A3BB3"/>
    <w:rsid w:val="003A3BF8"/>
    <w:rsid w:val="003A3E1B"/>
    <w:rsid w:val="003A420B"/>
    <w:rsid w:val="003A4578"/>
    <w:rsid w:val="003A45C1"/>
    <w:rsid w:val="003A46D4"/>
    <w:rsid w:val="003A4953"/>
    <w:rsid w:val="003A4B85"/>
    <w:rsid w:val="003A4C65"/>
    <w:rsid w:val="003A4DBD"/>
    <w:rsid w:val="003A4E57"/>
    <w:rsid w:val="003A4F94"/>
    <w:rsid w:val="003A51B4"/>
    <w:rsid w:val="003A529A"/>
    <w:rsid w:val="003A5682"/>
    <w:rsid w:val="003A56E1"/>
    <w:rsid w:val="003A56EE"/>
    <w:rsid w:val="003A58E4"/>
    <w:rsid w:val="003A59E3"/>
    <w:rsid w:val="003A5C32"/>
    <w:rsid w:val="003A6315"/>
    <w:rsid w:val="003A646D"/>
    <w:rsid w:val="003A6A64"/>
    <w:rsid w:val="003A6B07"/>
    <w:rsid w:val="003A6B48"/>
    <w:rsid w:val="003A6DFE"/>
    <w:rsid w:val="003A6E36"/>
    <w:rsid w:val="003A7029"/>
    <w:rsid w:val="003A705C"/>
    <w:rsid w:val="003A72BF"/>
    <w:rsid w:val="003A7A1E"/>
    <w:rsid w:val="003A7F5B"/>
    <w:rsid w:val="003A7F6D"/>
    <w:rsid w:val="003A7FAC"/>
    <w:rsid w:val="003B0225"/>
    <w:rsid w:val="003B0615"/>
    <w:rsid w:val="003B0986"/>
    <w:rsid w:val="003B0C58"/>
    <w:rsid w:val="003B0EB3"/>
    <w:rsid w:val="003B0F5C"/>
    <w:rsid w:val="003B103C"/>
    <w:rsid w:val="003B1068"/>
    <w:rsid w:val="003B1946"/>
    <w:rsid w:val="003B19C9"/>
    <w:rsid w:val="003B1A10"/>
    <w:rsid w:val="003B1B7C"/>
    <w:rsid w:val="003B1BAC"/>
    <w:rsid w:val="003B1CD4"/>
    <w:rsid w:val="003B1E05"/>
    <w:rsid w:val="003B21BF"/>
    <w:rsid w:val="003B22E4"/>
    <w:rsid w:val="003B2744"/>
    <w:rsid w:val="003B27FE"/>
    <w:rsid w:val="003B2C3E"/>
    <w:rsid w:val="003B2F59"/>
    <w:rsid w:val="003B2FC7"/>
    <w:rsid w:val="003B3B48"/>
    <w:rsid w:val="003B3DA7"/>
    <w:rsid w:val="003B42B3"/>
    <w:rsid w:val="003B4660"/>
    <w:rsid w:val="003B46BD"/>
    <w:rsid w:val="003B473D"/>
    <w:rsid w:val="003B4780"/>
    <w:rsid w:val="003B4C3A"/>
    <w:rsid w:val="003B4E3E"/>
    <w:rsid w:val="003B4E5E"/>
    <w:rsid w:val="003B4F85"/>
    <w:rsid w:val="003B4FB6"/>
    <w:rsid w:val="003B538A"/>
    <w:rsid w:val="003B5527"/>
    <w:rsid w:val="003B56E5"/>
    <w:rsid w:val="003B5D98"/>
    <w:rsid w:val="003B6278"/>
    <w:rsid w:val="003B6310"/>
    <w:rsid w:val="003B6D66"/>
    <w:rsid w:val="003B7186"/>
    <w:rsid w:val="003B7222"/>
    <w:rsid w:val="003B784D"/>
    <w:rsid w:val="003B79AC"/>
    <w:rsid w:val="003B7AAB"/>
    <w:rsid w:val="003C03F1"/>
    <w:rsid w:val="003C077D"/>
    <w:rsid w:val="003C08E2"/>
    <w:rsid w:val="003C0C5E"/>
    <w:rsid w:val="003C12A9"/>
    <w:rsid w:val="003C1491"/>
    <w:rsid w:val="003C152B"/>
    <w:rsid w:val="003C1F05"/>
    <w:rsid w:val="003C1F1E"/>
    <w:rsid w:val="003C2069"/>
    <w:rsid w:val="003C2228"/>
    <w:rsid w:val="003C2349"/>
    <w:rsid w:val="003C24F0"/>
    <w:rsid w:val="003C25AB"/>
    <w:rsid w:val="003C26AC"/>
    <w:rsid w:val="003C28F6"/>
    <w:rsid w:val="003C2C27"/>
    <w:rsid w:val="003C30DB"/>
    <w:rsid w:val="003C319D"/>
    <w:rsid w:val="003C3788"/>
    <w:rsid w:val="003C3922"/>
    <w:rsid w:val="003C406B"/>
    <w:rsid w:val="003C41A4"/>
    <w:rsid w:val="003C41FC"/>
    <w:rsid w:val="003C44A4"/>
    <w:rsid w:val="003C4527"/>
    <w:rsid w:val="003C45A1"/>
    <w:rsid w:val="003C463E"/>
    <w:rsid w:val="003C48B2"/>
    <w:rsid w:val="003C4E27"/>
    <w:rsid w:val="003C5282"/>
    <w:rsid w:val="003C528B"/>
    <w:rsid w:val="003C555B"/>
    <w:rsid w:val="003C59BD"/>
    <w:rsid w:val="003C5AB7"/>
    <w:rsid w:val="003C5C8F"/>
    <w:rsid w:val="003C5D17"/>
    <w:rsid w:val="003C5D33"/>
    <w:rsid w:val="003C609C"/>
    <w:rsid w:val="003C6330"/>
    <w:rsid w:val="003C638C"/>
    <w:rsid w:val="003C640D"/>
    <w:rsid w:val="003C6587"/>
    <w:rsid w:val="003C67AD"/>
    <w:rsid w:val="003C68AD"/>
    <w:rsid w:val="003C68D4"/>
    <w:rsid w:val="003C68DF"/>
    <w:rsid w:val="003C6BC4"/>
    <w:rsid w:val="003C6BF1"/>
    <w:rsid w:val="003C6D00"/>
    <w:rsid w:val="003C70FB"/>
    <w:rsid w:val="003C73F0"/>
    <w:rsid w:val="003C747B"/>
    <w:rsid w:val="003C75D2"/>
    <w:rsid w:val="003C7617"/>
    <w:rsid w:val="003C7733"/>
    <w:rsid w:val="003C77C2"/>
    <w:rsid w:val="003C7A6C"/>
    <w:rsid w:val="003C7D51"/>
    <w:rsid w:val="003C7E0D"/>
    <w:rsid w:val="003D00C3"/>
    <w:rsid w:val="003D07C3"/>
    <w:rsid w:val="003D0880"/>
    <w:rsid w:val="003D08F0"/>
    <w:rsid w:val="003D0A66"/>
    <w:rsid w:val="003D0B68"/>
    <w:rsid w:val="003D0C2D"/>
    <w:rsid w:val="003D0C55"/>
    <w:rsid w:val="003D1078"/>
    <w:rsid w:val="003D12FF"/>
    <w:rsid w:val="003D140D"/>
    <w:rsid w:val="003D15B8"/>
    <w:rsid w:val="003D1BD3"/>
    <w:rsid w:val="003D1C50"/>
    <w:rsid w:val="003D1DCD"/>
    <w:rsid w:val="003D1F88"/>
    <w:rsid w:val="003D1FFD"/>
    <w:rsid w:val="003D23D0"/>
    <w:rsid w:val="003D2648"/>
    <w:rsid w:val="003D26CF"/>
    <w:rsid w:val="003D2749"/>
    <w:rsid w:val="003D2C55"/>
    <w:rsid w:val="003D2F7F"/>
    <w:rsid w:val="003D342E"/>
    <w:rsid w:val="003D3958"/>
    <w:rsid w:val="003D3A71"/>
    <w:rsid w:val="003D40EF"/>
    <w:rsid w:val="003D44C6"/>
    <w:rsid w:val="003D474C"/>
    <w:rsid w:val="003D4ADA"/>
    <w:rsid w:val="003D4BE5"/>
    <w:rsid w:val="003D56BC"/>
    <w:rsid w:val="003D5860"/>
    <w:rsid w:val="003D5A3B"/>
    <w:rsid w:val="003D5BA8"/>
    <w:rsid w:val="003D5E0C"/>
    <w:rsid w:val="003D60C4"/>
    <w:rsid w:val="003D6277"/>
    <w:rsid w:val="003D65FE"/>
    <w:rsid w:val="003D6647"/>
    <w:rsid w:val="003D66D4"/>
    <w:rsid w:val="003D6770"/>
    <w:rsid w:val="003D68FA"/>
    <w:rsid w:val="003D6A84"/>
    <w:rsid w:val="003D6B40"/>
    <w:rsid w:val="003D6CBF"/>
    <w:rsid w:val="003D70F5"/>
    <w:rsid w:val="003D724D"/>
    <w:rsid w:val="003D744D"/>
    <w:rsid w:val="003D77D5"/>
    <w:rsid w:val="003D77FE"/>
    <w:rsid w:val="003D782C"/>
    <w:rsid w:val="003D79E8"/>
    <w:rsid w:val="003D7D45"/>
    <w:rsid w:val="003E04DA"/>
    <w:rsid w:val="003E07A7"/>
    <w:rsid w:val="003E07D1"/>
    <w:rsid w:val="003E0989"/>
    <w:rsid w:val="003E0A71"/>
    <w:rsid w:val="003E0AEC"/>
    <w:rsid w:val="003E0CE2"/>
    <w:rsid w:val="003E0DA6"/>
    <w:rsid w:val="003E1599"/>
    <w:rsid w:val="003E1613"/>
    <w:rsid w:val="003E202A"/>
    <w:rsid w:val="003E2358"/>
    <w:rsid w:val="003E23C2"/>
    <w:rsid w:val="003E2522"/>
    <w:rsid w:val="003E2779"/>
    <w:rsid w:val="003E2C6D"/>
    <w:rsid w:val="003E2EED"/>
    <w:rsid w:val="003E38C8"/>
    <w:rsid w:val="003E3F3B"/>
    <w:rsid w:val="003E4330"/>
    <w:rsid w:val="003E4495"/>
    <w:rsid w:val="003E44DB"/>
    <w:rsid w:val="003E4D45"/>
    <w:rsid w:val="003E4E11"/>
    <w:rsid w:val="003E5296"/>
    <w:rsid w:val="003E5318"/>
    <w:rsid w:val="003E59D3"/>
    <w:rsid w:val="003E59D5"/>
    <w:rsid w:val="003E5B2A"/>
    <w:rsid w:val="003E5E71"/>
    <w:rsid w:val="003E5EDE"/>
    <w:rsid w:val="003E607B"/>
    <w:rsid w:val="003E6111"/>
    <w:rsid w:val="003E61A7"/>
    <w:rsid w:val="003E6349"/>
    <w:rsid w:val="003E63A8"/>
    <w:rsid w:val="003E63BA"/>
    <w:rsid w:val="003E6638"/>
    <w:rsid w:val="003E674E"/>
    <w:rsid w:val="003E7BC2"/>
    <w:rsid w:val="003F0025"/>
    <w:rsid w:val="003F0182"/>
    <w:rsid w:val="003F01A7"/>
    <w:rsid w:val="003F03AC"/>
    <w:rsid w:val="003F0469"/>
    <w:rsid w:val="003F0477"/>
    <w:rsid w:val="003F0E89"/>
    <w:rsid w:val="003F0F30"/>
    <w:rsid w:val="003F14D6"/>
    <w:rsid w:val="003F1E38"/>
    <w:rsid w:val="003F1F70"/>
    <w:rsid w:val="003F21F0"/>
    <w:rsid w:val="003F22C0"/>
    <w:rsid w:val="003F24A4"/>
    <w:rsid w:val="003F24EF"/>
    <w:rsid w:val="003F281C"/>
    <w:rsid w:val="003F2BDC"/>
    <w:rsid w:val="003F2BFE"/>
    <w:rsid w:val="003F2D93"/>
    <w:rsid w:val="003F32F5"/>
    <w:rsid w:val="003F3393"/>
    <w:rsid w:val="003F3493"/>
    <w:rsid w:val="003F3613"/>
    <w:rsid w:val="003F37C0"/>
    <w:rsid w:val="003F3C62"/>
    <w:rsid w:val="003F3E07"/>
    <w:rsid w:val="003F4035"/>
    <w:rsid w:val="003F4087"/>
    <w:rsid w:val="003F451C"/>
    <w:rsid w:val="003F4941"/>
    <w:rsid w:val="003F4A63"/>
    <w:rsid w:val="003F4E4F"/>
    <w:rsid w:val="003F52C5"/>
    <w:rsid w:val="003F534B"/>
    <w:rsid w:val="003F59C6"/>
    <w:rsid w:val="003F5D53"/>
    <w:rsid w:val="003F5EC8"/>
    <w:rsid w:val="003F61A3"/>
    <w:rsid w:val="003F631A"/>
    <w:rsid w:val="003F6345"/>
    <w:rsid w:val="003F674E"/>
    <w:rsid w:val="003F6895"/>
    <w:rsid w:val="003F68D2"/>
    <w:rsid w:val="003F69B2"/>
    <w:rsid w:val="003F6C09"/>
    <w:rsid w:val="003F6D47"/>
    <w:rsid w:val="003F70D5"/>
    <w:rsid w:val="003F7323"/>
    <w:rsid w:val="003F7A38"/>
    <w:rsid w:val="003F7A5F"/>
    <w:rsid w:val="003F7A7F"/>
    <w:rsid w:val="003F7DBB"/>
    <w:rsid w:val="0040040A"/>
    <w:rsid w:val="004006DF"/>
    <w:rsid w:val="00400C1B"/>
    <w:rsid w:val="00400D23"/>
    <w:rsid w:val="00400D35"/>
    <w:rsid w:val="00401190"/>
    <w:rsid w:val="004014CD"/>
    <w:rsid w:val="00401619"/>
    <w:rsid w:val="0040186E"/>
    <w:rsid w:val="00401D9B"/>
    <w:rsid w:val="00401EB8"/>
    <w:rsid w:val="00401EC2"/>
    <w:rsid w:val="00401FD2"/>
    <w:rsid w:val="0040204D"/>
    <w:rsid w:val="00402176"/>
    <w:rsid w:val="0040271E"/>
    <w:rsid w:val="00402733"/>
    <w:rsid w:val="004027FF"/>
    <w:rsid w:val="0040297C"/>
    <w:rsid w:val="004029CD"/>
    <w:rsid w:val="004029E7"/>
    <w:rsid w:val="00402B2C"/>
    <w:rsid w:val="00402CFC"/>
    <w:rsid w:val="00402D3F"/>
    <w:rsid w:val="00402F30"/>
    <w:rsid w:val="004030D7"/>
    <w:rsid w:val="004031B3"/>
    <w:rsid w:val="00403316"/>
    <w:rsid w:val="004037BB"/>
    <w:rsid w:val="00403AEA"/>
    <w:rsid w:val="00403BA5"/>
    <w:rsid w:val="00403ECD"/>
    <w:rsid w:val="004040F9"/>
    <w:rsid w:val="004044FE"/>
    <w:rsid w:val="00404868"/>
    <w:rsid w:val="00404885"/>
    <w:rsid w:val="00404BC9"/>
    <w:rsid w:val="00404E71"/>
    <w:rsid w:val="004054EB"/>
    <w:rsid w:val="004056D1"/>
    <w:rsid w:val="004057AF"/>
    <w:rsid w:val="00405918"/>
    <w:rsid w:val="00405A7E"/>
    <w:rsid w:val="00406410"/>
    <w:rsid w:val="00406550"/>
    <w:rsid w:val="004065AA"/>
    <w:rsid w:val="00406CE4"/>
    <w:rsid w:val="00406CEE"/>
    <w:rsid w:val="00406E25"/>
    <w:rsid w:val="0040742D"/>
    <w:rsid w:val="00407437"/>
    <w:rsid w:val="00407688"/>
    <w:rsid w:val="0040771E"/>
    <w:rsid w:val="004078C3"/>
    <w:rsid w:val="00407A60"/>
    <w:rsid w:val="00407C38"/>
    <w:rsid w:val="00407EB1"/>
    <w:rsid w:val="0041007B"/>
    <w:rsid w:val="00410313"/>
    <w:rsid w:val="00410529"/>
    <w:rsid w:val="00410796"/>
    <w:rsid w:val="00410859"/>
    <w:rsid w:val="00410EDE"/>
    <w:rsid w:val="00411367"/>
    <w:rsid w:val="004115A7"/>
    <w:rsid w:val="00411662"/>
    <w:rsid w:val="004117F4"/>
    <w:rsid w:val="0041199C"/>
    <w:rsid w:val="004119AC"/>
    <w:rsid w:val="00411E31"/>
    <w:rsid w:val="00411F08"/>
    <w:rsid w:val="0041218F"/>
    <w:rsid w:val="0041238E"/>
    <w:rsid w:val="00412482"/>
    <w:rsid w:val="004124D4"/>
    <w:rsid w:val="0041268F"/>
    <w:rsid w:val="004126CA"/>
    <w:rsid w:val="004126D6"/>
    <w:rsid w:val="00412AB5"/>
    <w:rsid w:val="00412F1C"/>
    <w:rsid w:val="00412FE7"/>
    <w:rsid w:val="0041300B"/>
    <w:rsid w:val="0041324F"/>
    <w:rsid w:val="00413250"/>
    <w:rsid w:val="004133A5"/>
    <w:rsid w:val="00413573"/>
    <w:rsid w:val="00413886"/>
    <w:rsid w:val="004139C7"/>
    <w:rsid w:val="00413D08"/>
    <w:rsid w:val="00413D79"/>
    <w:rsid w:val="00414253"/>
    <w:rsid w:val="0041496C"/>
    <w:rsid w:val="004149B1"/>
    <w:rsid w:val="00414B24"/>
    <w:rsid w:val="00414BCB"/>
    <w:rsid w:val="00414C07"/>
    <w:rsid w:val="00414E18"/>
    <w:rsid w:val="004158CB"/>
    <w:rsid w:val="00415C60"/>
    <w:rsid w:val="00415F38"/>
    <w:rsid w:val="00416426"/>
    <w:rsid w:val="004164E6"/>
    <w:rsid w:val="0041662E"/>
    <w:rsid w:val="0041663F"/>
    <w:rsid w:val="00416B5E"/>
    <w:rsid w:val="00416B96"/>
    <w:rsid w:val="00416BC2"/>
    <w:rsid w:val="00416CF1"/>
    <w:rsid w:val="00417430"/>
    <w:rsid w:val="00417513"/>
    <w:rsid w:val="00417BDF"/>
    <w:rsid w:val="00417C66"/>
    <w:rsid w:val="00417C72"/>
    <w:rsid w:val="00417C92"/>
    <w:rsid w:val="00417E85"/>
    <w:rsid w:val="0042040D"/>
    <w:rsid w:val="004204F4"/>
    <w:rsid w:val="004210FB"/>
    <w:rsid w:val="004211D0"/>
    <w:rsid w:val="0042178A"/>
    <w:rsid w:val="004218B8"/>
    <w:rsid w:val="00421BBF"/>
    <w:rsid w:val="00421DF4"/>
    <w:rsid w:val="00422137"/>
    <w:rsid w:val="004224DC"/>
    <w:rsid w:val="0042256E"/>
    <w:rsid w:val="004229CB"/>
    <w:rsid w:val="00422A51"/>
    <w:rsid w:val="00422C94"/>
    <w:rsid w:val="0042319D"/>
    <w:rsid w:val="004234D6"/>
    <w:rsid w:val="00423664"/>
    <w:rsid w:val="004237E6"/>
    <w:rsid w:val="00423D40"/>
    <w:rsid w:val="00423F33"/>
    <w:rsid w:val="00423FEB"/>
    <w:rsid w:val="00424169"/>
    <w:rsid w:val="004246B2"/>
    <w:rsid w:val="00424E7E"/>
    <w:rsid w:val="00424F4E"/>
    <w:rsid w:val="004250A8"/>
    <w:rsid w:val="0042514B"/>
    <w:rsid w:val="0042549C"/>
    <w:rsid w:val="004255B5"/>
    <w:rsid w:val="004257B5"/>
    <w:rsid w:val="00425B4A"/>
    <w:rsid w:val="00425CB3"/>
    <w:rsid w:val="0042644F"/>
    <w:rsid w:val="00426920"/>
    <w:rsid w:val="004269A3"/>
    <w:rsid w:val="00426B13"/>
    <w:rsid w:val="00426D47"/>
    <w:rsid w:val="00426F5F"/>
    <w:rsid w:val="004274EB"/>
    <w:rsid w:val="0042758E"/>
    <w:rsid w:val="00427B68"/>
    <w:rsid w:val="00427C1E"/>
    <w:rsid w:val="00427EB8"/>
    <w:rsid w:val="00427FBB"/>
    <w:rsid w:val="0043007F"/>
    <w:rsid w:val="0043045B"/>
    <w:rsid w:val="0043047F"/>
    <w:rsid w:val="004309ED"/>
    <w:rsid w:val="00430D23"/>
    <w:rsid w:val="00430FC7"/>
    <w:rsid w:val="00431102"/>
    <w:rsid w:val="00431119"/>
    <w:rsid w:val="00431463"/>
    <w:rsid w:val="0043161B"/>
    <w:rsid w:val="00431B02"/>
    <w:rsid w:val="00431D06"/>
    <w:rsid w:val="00431D71"/>
    <w:rsid w:val="00431FEA"/>
    <w:rsid w:val="00432110"/>
    <w:rsid w:val="004322C3"/>
    <w:rsid w:val="004322E1"/>
    <w:rsid w:val="0043233C"/>
    <w:rsid w:val="004323F5"/>
    <w:rsid w:val="00432506"/>
    <w:rsid w:val="00432AE1"/>
    <w:rsid w:val="00432D36"/>
    <w:rsid w:val="00433001"/>
    <w:rsid w:val="004330B6"/>
    <w:rsid w:val="00433484"/>
    <w:rsid w:val="004336CF"/>
    <w:rsid w:val="00433EF1"/>
    <w:rsid w:val="00433F5A"/>
    <w:rsid w:val="00433F7B"/>
    <w:rsid w:val="004340C1"/>
    <w:rsid w:val="00434968"/>
    <w:rsid w:val="00434A41"/>
    <w:rsid w:val="00434B98"/>
    <w:rsid w:val="00434E7B"/>
    <w:rsid w:val="004352DD"/>
    <w:rsid w:val="00435354"/>
    <w:rsid w:val="0043547E"/>
    <w:rsid w:val="0043566C"/>
    <w:rsid w:val="004356FB"/>
    <w:rsid w:val="00435B98"/>
    <w:rsid w:val="00435E07"/>
    <w:rsid w:val="004361B1"/>
    <w:rsid w:val="004368E0"/>
    <w:rsid w:val="00436BE3"/>
    <w:rsid w:val="00436E3B"/>
    <w:rsid w:val="00436E85"/>
    <w:rsid w:val="00437226"/>
    <w:rsid w:val="0043794C"/>
    <w:rsid w:val="00437A7B"/>
    <w:rsid w:val="00437BD4"/>
    <w:rsid w:val="00437C9C"/>
    <w:rsid w:val="00437D5B"/>
    <w:rsid w:val="00437DBB"/>
    <w:rsid w:val="004402FB"/>
    <w:rsid w:val="00440333"/>
    <w:rsid w:val="00440C1B"/>
    <w:rsid w:val="00441098"/>
    <w:rsid w:val="0044115B"/>
    <w:rsid w:val="00441480"/>
    <w:rsid w:val="004414E7"/>
    <w:rsid w:val="00441620"/>
    <w:rsid w:val="00441650"/>
    <w:rsid w:val="00441705"/>
    <w:rsid w:val="00441799"/>
    <w:rsid w:val="0044186C"/>
    <w:rsid w:val="0044190B"/>
    <w:rsid w:val="0044234D"/>
    <w:rsid w:val="0044248D"/>
    <w:rsid w:val="00442E93"/>
    <w:rsid w:val="0044346C"/>
    <w:rsid w:val="00443579"/>
    <w:rsid w:val="00443602"/>
    <w:rsid w:val="00443812"/>
    <w:rsid w:val="00443A62"/>
    <w:rsid w:val="00443F5F"/>
    <w:rsid w:val="00443F6A"/>
    <w:rsid w:val="00444707"/>
    <w:rsid w:val="00444810"/>
    <w:rsid w:val="004449E1"/>
    <w:rsid w:val="00444C2A"/>
    <w:rsid w:val="00445216"/>
    <w:rsid w:val="004453CD"/>
    <w:rsid w:val="0044594D"/>
    <w:rsid w:val="00445A6D"/>
    <w:rsid w:val="00445A74"/>
    <w:rsid w:val="00445FB0"/>
    <w:rsid w:val="004462C5"/>
    <w:rsid w:val="00446316"/>
    <w:rsid w:val="004469F1"/>
    <w:rsid w:val="00446BE2"/>
    <w:rsid w:val="00446FBC"/>
    <w:rsid w:val="00446FE5"/>
    <w:rsid w:val="00447052"/>
    <w:rsid w:val="004475A8"/>
    <w:rsid w:val="00447E06"/>
    <w:rsid w:val="00450047"/>
    <w:rsid w:val="0045069B"/>
    <w:rsid w:val="004506E9"/>
    <w:rsid w:val="004507D8"/>
    <w:rsid w:val="0045086E"/>
    <w:rsid w:val="00450A94"/>
    <w:rsid w:val="00450C79"/>
    <w:rsid w:val="00450F29"/>
    <w:rsid w:val="0045117E"/>
    <w:rsid w:val="004511B0"/>
    <w:rsid w:val="004515C3"/>
    <w:rsid w:val="00451EED"/>
    <w:rsid w:val="00451F92"/>
    <w:rsid w:val="00451F9E"/>
    <w:rsid w:val="0045204E"/>
    <w:rsid w:val="0045215A"/>
    <w:rsid w:val="00452370"/>
    <w:rsid w:val="004526AD"/>
    <w:rsid w:val="004526E8"/>
    <w:rsid w:val="00452871"/>
    <w:rsid w:val="004528C7"/>
    <w:rsid w:val="00452DFD"/>
    <w:rsid w:val="004530CC"/>
    <w:rsid w:val="004531BD"/>
    <w:rsid w:val="00453343"/>
    <w:rsid w:val="0045397D"/>
    <w:rsid w:val="00454577"/>
    <w:rsid w:val="00454B2A"/>
    <w:rsid w:val="00454BD3"/>
    <w:rsid w:val="00454C61"/>
    <w:rsid w:val="00454FCB"/>
    <w:rsid w:val="00455049"/>
    <w:rsid w:val="004552B3"/>
    <w:rsid w:val="0045584B"/>
    <w:rsid w:val="00455D02"/>
    <w:rsid w:val="00455D11"/>
    <w:rsid w:val="0045673A"/>
    <w:rsid w:val="0045674E"/>
    <w:rsid w:val="00456CAA"/>
    <w:rsid w:val="00456D7D"/>
    <w:rsid w:val="0045704D"/>
    <w:rsid w:val="004571A2"/>
    <w:rsid w:val="00457592"/>
    <w:rsid w:val="00457847"/>
    <w:rsid w:val="00457982"/>
    <w:rsid w:val="00457B93"/>
    <w:rsid w:val="0046005C"/>
    <w:rsid w:val="00460282"/>
    <w:rsid w:val="0046057F"/>
    <w:rsid w:val="0046085A"/>
    <w:rsid w:val="00460A0A"/>
    <w:rsid w:val="00460ADA"/>
    <w:rsid w:val="00460BD4"/>
    <w:rsid w:val="0046103E"/>
    <w:rsid w:val="004612CB"/>
    <w:rsid w:val="0046135A"/>
    <w:rsid w:val="00461619"/>
    <w:rsid w:val="00461904"/>
    <w:rsid w:val="00461947"/>
    <w:rsid w:val="00461BCC"/>
    <w:rsid w:val="00461BFD"/>
    <w:rsid w:val="00461C05"/>
    <w:rsid w:val="00461F26"/>
    <w:rsid w:val="00461F3E"/>
    <w:rsid w:val="00462135"/>
    <w:rsid w:val="004621AD"/>
    <w:rsid w:val="00462388"/>
    <w:rsid w:val="0046245E"/>
    <w:rsid w:val="00462530"/>
    <w:rsid w:val="0046297B"/>
    <w:rsid w:val="00462A21"/>
    <w:rsid w:val="00462A3A"/>
    <w:rsid w:val="00462BAA"/>
    <w:rsid w:val="00462D64"/>
    <w:rsid w:val="00462EAB"/>
    <w:rsid w:val="00462F5A"/>
    <w:rsid w:val="00463030"/>
    <w:rsid w:val="004631B9"/>
    <w:rsid w:val="0046329C"/>
    <w:rsid w:val="004632F2"/>
    <w:rsid w:val="00463479"/>
    <w:rsid w:val="0046361F"/>
    <w:rsid w:val="004636CB"/>
    <w:rsid w:val="00463924"/>
    <w:rsid w:val="00463FC7"/>
    <w:rsid w:val="004640EA"/>
    <w:rsid w:val="00464141"/>
    <w:rsid w:val="004643E7"/>
    <w:rsid w:val="00464DC8"/>
    <w:rsid w:val="0046508F"/>
    <w:rsid w:val="004650E9"/>
    <w:rsid w:val="004650FE"/>
    <w:rsid w:val="00465256"/>
    <w:rsid w:val="004652E8"/>
    <w:rsid w:val="0046562D"/>
    <w:rsid w:val="0046576F"/>
    <w:rsid w:val="004658C3"/>
    <w:rsid w:val="00465FFC"/>
    <w:rsid w:val="00466201"/>
    <w:rsid w:val="0046648A"/>
    <w:rsid w:val="00466557"/>
    <w:rsid w:val="00466640"/>
    <w:rsid w:val="0046664B"/>
    <w:rsid w:val="004666E8"/>
    <w:rsid w:val="004666E9"/>
    <w:rsid w:val="00466864"/>
    <w:rsid w:val="004672A2"/>
    <w:rsid w:val="00467446"/>
    <w:rsid w:val="00467507"/>
    <w:rsid w:val="00467BC2"/>
    <w:rsid w:val="00467EF7"/>
    <w:rsid w:val="00470144"/>
    <w:rsid w:val="0047031B"/>
    <w:rsid w:val="00470BA7"/>
    <w:rsid w:val="00470E8D"/>
    <w:rsid w:val="0047111C"/>
    <w:rsid w:val="00471363"/>
    <w:rsid w:val="00471486"/>
    <w:rsid w:val="00471767"/>
    <w:rsid w:val="004719D4"/>
    <w:rsid w:val="00471BB0"/>
    <w:rsid w:val="00471C20"/>
    <w:rsid w:val="00471D25"/>
    <w:rsid w:val="00472576"/>
    <w:rsid w:val="00472727"/>
    <w:rsid w:val="00472A09"/>
    <w:rsid w:val="00472AAB"/>
    <w:rsid w:val="00472ACD"/>
    <w:rsid w:val="0047305B"/>
    <w:rsid w:val="004737D0"/>
    <w:rsid w:val="00473C41"/>
    <w:rsid w:val="00473D25"/>
    <w:rsid w:val="00473D50"/>
    <w:rsid w:val="00473F7C"/>
    <w:rsid w:val="00473FC3"/>
    <w:rsid w:val="00474047"/>
    <w:rsid w:val="00474189"/>
    <w:rsid w:val="00474228"/>
    <w:rsid w:val="004743A7"/>
    <w:rsid w:val="0047456D"/>
    <w:rsid w:val="00474923"/>
    <w:rsid w:val="00474F0E"/>
    <w:rsid w:val="004758E5"/>
    <w:rsid w:val="00476181"/>
    <w:rsid w:val="0047771B"/>
    <w:rsid w:val="004777C0"/>
    <w:rsid w:val="0047789D"/>
    <w:rsid w:val="00477AD4"/>
    <w:rsid w:val="00477C3B"/>
    <w:rsid w:val="00477D38"/>
    <w:rsid w:val="00477F89"/>
    <w:rsid w:val="00480080"/>
    <w:rsid w:val="004800C4"/>
    <w:rsid w:val="00480214"/>
    <w:rsid w:val="00480430"/>
    <w:rsid w:val="00480C9E"/>
    <w:rsid w:val="00480D17"/>
    <w:rsid w:val="00480D70"/>
    <w:rsid w:val="00480ED7"/>
    <w:rsid w:val="00480ED9"/>
    <w:rsid w:val="00480F67"/>
    <w:rsid w:val="00480FE4"/>
    <w:rsid w:val="00481084"/>
    <w:rsid w:val="0048118A"/>
    <w:rsid w:val="0048140D"/>
    <w:rsid w:val="0048164B"/>
    <w:rsid w:val="00481725"/>
    <w:rsid w:val="00481794"/>
    <w:rsid w:val="004822B4"/>
    <w:rsid w:val="0048251F"/>
    <w:rsid w:val="004826A8"/>
    <w:rsid w:val="00482B07"/>
    <w:rsid w:val="00482C4D"/>
    <w:rsid w:val="00483100"/>
    <w:rsid w:val="00483175"/>
    <w:rsid w:val="00483680"/>
    <w:rsid w:val="00483B41"/>
    <w:rsid w:val="00483EF4"/>
    <w:rsid w:val="004840F5"/>
    <w:rsid w:val="0048432B"/>
    <w:rsid w:val="00484420"/>
    <w:rsid w:val="004846E3"/>
    <w:rsid w:val="00484733"/>
    <w:rsid w:val="00485012"/>
    <w:rsid w:val="00485681"/>
    <w:rsid w:val="00485A29"/>
    <w:rsid w:val="00485DC3"/>
    <w:rsid w:val="0048604F"/>
    <w:rsid w:val="00486282"/>
    <w:rsid w:val="00486542"/>
    <w:rsid w:val="0048658E"/>
    <w:rsid w:val="00486726"/>
    <w:rsid w:val="00486731"/>
    <w:rsid w:val="00486F6F"/>
    <w:rsid w:val="00487275"/>
    <w:rsid w:val="0048739E"/>
    <w:rsid w:val="00487462"/>
    <w:rsid w:val="004874E2"/>
    <w:rsid w:val="00487551"/>
    <w:rsid w:val="004876AC"/>
    <w:rsid w:val="00487840"/>
    <w:rsid w:val="00487984"/>
    <w:rsid w:val="00487BD3"/>
    <w:rsid w:val="00487CC8"/>
    <w:rsid w:val="00487EDC"/>
    <w:rsid w:val="00490003"/>
    <w:rsid w:val="0049004B"/>
    <w:rsid w:val="0049023C"/>
    <w:rsid w:val="00490AEB"/>
    <w:rsid w:val="00490CE9"/>
    <w:rsid w:val="00490D1B"/>
    <w:rsid w:val="00491034"/>
    <w:rsid w:val="0049156C"/>
    <w:rsid w:val="00491C32"/>
    <w:rsid w:val="00492021"/>
    <w:rsid w:val="00492784"/>
    <w:rsid w:val="00492C20"/>
    <w:rsid w:val="00492CAE"/>
    <w:rsid w:val="00493160"/>
    <w:rsid w:val="004931CB"/>
    <w:rsid w:val="004934A7"/>
    <w:rsid w:val="004938F5"/>
    <w:rsid w:val="00493A9A"/>
    <w:rsid w:val="00493B0B"/>
    <w:rsid w:val="00494213"/>
    <w:rsid w:val="0049477B"/>
    <w:rsid w:val="0049478B"/>
    <w:rsid w:val="004948B9"/>
    <w:rsid w:val="00494D75"/>
    <w:rsid w:val="0049509F"/>
    <w:rsid w:val="0049545A"/>
    <w:rsid w:val="004959EF"/>
    <w:rsid w:val="00495BC6"/>
    <w:rsid w:val="00495C72"/>
    <w:rsid w:val="00495E18"/>
    <w:rsid w:val="00496150"/>
    <w:rsid w:val="004961C1"/>
    <w:rsid w:val="0049652E"/>
    <w:rsid w:val="0049688B"/>
    <w:rsid w:val="00496B01"/>
    <w:rsid w:val="00496B8E"/>
    <w:rsid w:val="00496BCE"/>
    <w:rsid w:val="00496D94"/>
    <w:rsid w:val="0049713C"/>
    <w:rsid w:val="0049746B"/>
    <w:rsid w:val="004A0069"/>
    <w:rsid w:val="004A0443"/>
    <w:rsid w:val="004A0528"/>
    <w:rsid w:val="004A080D"/>
    <w:rsid w:val="004A0D0C"/>
    <w:rsid w:val="004A0D35"/>
    <w:rsid w:val="004A0ED8"/>
    <w:rsid w:val="004A0FCB"/>
    <w:rsid w:val="004A1307"/>
    <w:rsid w:val="004A1415"/>
    <w:rsid w:val="004A1427"/>
    <w:rsid w:val="004A1499"/>
    <w:rsid w:val="004A1A76"/>
    <w:rsid w:val="004A2609"/>
    <w:rsid w:val="004A2795"/>
    <w:rsid w:val="004A2998"/>
    <w:rsid w:val="004A2EA5"/>
    <w:rsid w:val="004A3108"/>
    <w:rsid w:val="004A34A2"/>
    <w:rsid w:val="004A3616"/>
    <w:rsid w:val="004A3950"/>
    <w:rsid w:val="004A3D1D"/>
    <w:rsid w:val="004A3E90"/>
    <w:rsid w:val="004A44E2"/>
    <w:rsid w:val="004A44E6"/>
    <w:rsid w:val="004A45AA"/>
    <w:rsid w:val="004A4ACF"/>
    <w:rsid w:val="004A4BD7"/>
    <w:rsid w:val="004A4CD2"/>
    <w:rsid w:val="004A50DF"/>
    <w:rsid w:val="004A50FD"/>
    <w:rsid w:val="004A511C"/>
    <w:rsid w:val="004A5222"/>
    <w:rsid w:val="004A5588"/>
    <w:rsid w:val="004A57DD"/>
    <w:rsid w:val="004A58B8"/>
    <w:rsid w:val="004A58DA"/>
    <w:rsid w:val="004A5C19"/>
    <w:rsid w:val="004A5E51"/>
    <w:rsid w:val="004A6703"/>
    <w:rsid w:val="004A68CA"/>
    <w:rsid w:val="004A68EE"/>
    <w:rsid w:val="004A6D35"/>
    <w:rsid w:val="004A6F9E"/>
    <w:rsid w:val="004A6FDA"/>
    <w:rsid w:val="004A74DE"/>
    <w:rsid w:val="004B007B"/>
    <w:rsid w:val="004B04DE"/>
    <w:rsid w:val="004B0FD2"/>
    <w:rsid w:val="004B15B3"/>
    <w:rsid w:val="004B1C67"/>
    <w:rsid w:val="004B1CBE"/>
    <w:rsid w:val="004B1CE5"/>
    <w:rsid w:val="004B1F85"/>
    <w:rsid w:val="004B22FA"/>
    <w:rsid w:val="004B24A3"/>
    <w:rsid w:val="004B261B"/>
    <w:rsid w:val="004B2664"/>
    <w:rsid w:val="004B2A33"/>
    <w:rsid w:val="004B2D47"/>
    <w:rsid w:val="004B2D4B"/>
    <w:rsid w:val="004B2F0F"/>
    <w:rsid w:val="004B36F0"/>
    <w:rsid w:val="004B378A"/>
    <w:rsid w:val="004B3913"/>
    <w:rsid w:val="004B3A4C"/>
    <w:rsid w:val="004B3B4E"/>
    <w:rsid w:val="004B3D2C"/>
    <w:rsid w:val="004B404B"/>
    <w:rsid w:val="004B4633"/>
    <w:rsid w:val="004B4C0F"/>
    <w:rsid w:val="004B4F08"/>
    <w:rsid w:val="004B5020"/>
    <w:rsid w:val="004B58BA"/>
    <w:rsid w:val="004B59C1"/>
    <w:rsid w:val="004B5CB8"/>
    <w:rsid w:val="004B5EBD"/>
    <w:rsid w:val="004B60DD"/>
    <w:rsid w:val="004B62BA"/>
    <w:rsid w:val="004B62DB"/>
    <w:rsid w:val="004B650C"/>
    <w:rsid w:val="004B6A95"/>
    <w:rsid w:val="004B704A"/>
    <w:rsid w:val="004B70C9"/>
    <w:rsid w:val="004B711E"/>
    <w:rsid w:val="004B72B2"/>
    <w:rsid w:val="004B72EA"/>
    <w:rsid w:val="004B75B9"/>
    <w:rsid w:val="004B77C7"/>
    <w:rsid w:val="004B7C4D"/>
    <w:rsid w:val="004B7DEE"/>
    <w:rsid w:val="004B7E03"/>
    <w:rsid w:val="004C0187"/>
    <w:rsid w:val="004C01BF"/>
    <w:rsid w:val="004C0530"/>
    <w:rsid w:val="004C05D4"/>
    <w:rsid w:val="004C0785"/>
    <w:rsid w:val="004C0C3C"/>
    <w:rsid w:val="004C0F49"/>
    <w:rsid w:val="004C10CF"/>
    <w:rsid w:val="004C1119"/>
    <w:rsid w:val="004C1CDF"/>
    <w:rsid w:val="004C1DE7"/>
    <w:rsid w:val="004C22D9"/>
    <w:rsid w:val="004C2A38"/>
    <w:rsid w:val="004C2B4B"/>
    <w:rsid w:val="004C2D9D"/>
    <w:rsid w:val="004C30B1"/>
    <w:rsid w:val="004C3145"/>
    <w:rsid w:val="004C34A0"/>
    <w:rsid w:val="004C350C"/>
    <w:rsid w:val="004C353D"/>
    <w:rsid w:val="004C35F5"/>
    <w:rsid w:val="004C3CA8"/>
    <w:rsid w:val="004C3CF7"/>
    <w:rsid w:val="004C3EE5"/>
    <w:rsid w:val="004C43AD"/>
    <w:rsid w:val="004C43E3"/>
    <w:rsid w:val="004C4804"/>
    <w:rsid w:val="004C4838"/>
    <w:rsid w:val="004C4940"/>
    <w:rsid w:val="004C4946"/>
    <w:rsid w:val="004C49B5"/>
    <w:rsid w:val="004C4AE4"/>
    <w:rsid w:val="004C4BCB"/>
    <w:rsid w:val="004C4E30"/>
    <w:rsid w:val="004C5207"/>
    <w:rsid w:val="004C58E2"/>
    <w:rsid w:val="004C5F7D"/>
    <w:rsid w:val="004C5F8B"/>
    <w:rsid w:val="004C62CD"/>
    <w:rsid w:val="004C65C1"/>
    <w:rsid w:val="004C6723"/>
    <w:rsid w:val="004C6A2F"/>
    <w:rsid w:val="004C6B46"/>
    <w:rsid w:val="004C6B4F"/>
    <w:rsid w:val="004C6BAE"/>
    <w:rsid w:val="004C6DD3"/>
    <w:rsid w:val="004C70AD"/>
    <w:rsid w:val="004C7C96"/>
    <w:rsid w:val="004C7D14"/>
    <w:rsid w:val="004C7D33"/>
    <w:rsid w:val="004D018C"/>
    <w:rsid w:val="004D082E"/>
    <w:rsid w:val="004D08C0"/>
    <w:rsid w:val="004D0ADB"/>
    <w:rsid w:val="004D0E16"/>
    <w:rsid w:val="004D11C2"/>
    <w:rsid w:val="004D1259"/>
    <w:rsid w:val="004D1AB8"/>
    <w:rsid w:val="004D1B13"/>
    <w:rsid w:val="004D1B23"/>
    <w:rsid w:val="004D1E7E"/>
    <w:rsid w:val="004D1FAC"/>
    <w:rsid w:val="004D214B"/>
    <w:rsid w:val="004D2502"/>
    <w:rsid w:val="004D2CD5"/>
    <w:rsid w:val="004D3025"/>
    <w:rsid w:val="004D31E8"/>
    <w:rsid w:val="004D350B"/>
    <w:rsid w:val="004D377B"/>
    <w:rsid w:val="004D3CFB"/>
    <w:rsid w:val="004D45E2"/>
    <w:rsid w:val="004D50FA"/>
    <w:rsid w:val="004D54D6"/>
    <w:rsid w:val="004D54F3"/>
    <w:rsid w:val="004D57F6"/>
    <w:rsid w:val="004D58A8"/>
    <w:rsid w:val="004D5EB4"/>
    <w:rsid w:val="004D6427"/>
    <w:rsid w:val="004D6451"/>
    <w:rsid w:val="004D646E"/>
    <w:rsid w:val="004D65E4"/>
    <w:rsid w:val="004D672E"/>
    <w:rsid w:val="004D6A16"/>
    <w:rsid w:val="004D6DEC"/>
    <w:rsid w:val="004D6FE0"/>
    <w:rsid w:val="004D7403"/>
    <w:rsid w:val="004D7432"/>
    <w:rsid w:val="004D760B"/>
    <w:rsid w:val="004D7D9F"/>
    <w:rsid w:val="004D7F7A"/>
    <w:rsid w:val="004E0092"/>
    <w:rsid w:val="004E0135"/>
    <w:rsid w:val="004E0203"/>
    <w:rsid w:val="004E0431"/>
    <w:rsid w:val="004E04E7"/>
    <w:rsid w:val="004E04FC"/>
    <w:rsid w:val="004E0895"/>
    <w:rsid w:val="004E090F"/>
    <w:rsid w:val="004E0AB5"/>
    <w:rsid w:val="004E0D0F"/>
    <w:rsid w:val="004E0F49"/>
    <w:rsid w:val="004E1455"/>
    <w:rsid w:val="004E1844"/>
    <w:rsid w:val="004E1A54"/>
    <w:rsid w:val="004E1BFE"/>
    <w:rsid w:val="004E1D43"/>
    <w:rsid w:val="004E1E0C"/>
    <w:rsid w:val="004E1E68"/>
    <w:rsid w:val="004E1F7E"/>
    <w:rsid w:val="004E208A"/>
    <w:rsid w:val="004E23A6"/>
    <w:rsid w:val="004E24BF"/>
    <w:rsid w:val="004E2FC4"/>
    <w:rsid w:val="004E3061"/>
    <w:rsid w:val="004E3069"/>
    <w:rsid w:val="004E3145"/>
    <w:rsid w:val="004E3177"/>
    <w:rsid w:val="004E32DF"/>
    <w:rsid w:val="004E33DB"/>
    <w:rsid w:val="004E3444"/>
    <w:rsid w:val="004E3A2C"/>
    <w:rsid w:val="004E3C5F"/>
    <w:rsid w:val="004E4206"/>
    <w:rsid w:val="004E441E"/>
    <w:rsid w:val="004E44F0"/>
    <w:rsid w:val="004E456C"/>
    <w:rsid w:val="004E4591"/>
    <w:rsid w:val="004E48B1"/>
    <w:rsid w:val="004E4A5F"/>
    <w:rsid w:val="004E4E6E"/>
    <w:rsid w:val="004E5000"/>
    <w:rsid w:val="004E5065"/>
    <w:rsid w:val="004E508E"/>
    <w:rsid w:val="004E51C2"/>
    <w:rsid w:val="004E53DC"/>
    <w:rsid w:val="004E57C4"/>
    <w:rsid w:val="004E5870"/>
    <w:rsid w:val="004E5B08"/>
    <w:rsid w:val="004E5CB7"/>
    <w:rsid w:val="004E5D64"/>
    <w:rsid w:val="004E6060"/>
    <w:rsid w:val="004E61F4"/>
    <w:rsid w:val="004E636C"/>
    <w:rsid w:val="004E669E"/>
    <w:rsid w:val="004E6749"/>
    <w:rsid w:val="004E674C"/>
    <w:rsid w:val="004E6AA3"/>
    <w:rsid w:val="004E6C65"/>
    <w:rsid w:val="004E6FA4"/>
    <w:rsid w:val="004E72A7"/>
    <w:rsid w:val="004E754E"/>
    <w:rsid w:val="004E7586"/>
    <w:rsid w:val="004E7628"/>
    <w:rsid w:val="004E797A"/>
    <w:rsid w:val="004E7B68"/>
    <w:rsid w:val="004E7C48"/>
    <w:rsid w:val="004E7E15"/>
    <w:rsid w:val="004F0176"/>
    <w:rsid w:val="004F0355"/>
    <w:rsid w:val="004F093C"/>
    <w:rsid w:val="004F0A94"/>
    <w:rsid w:val="004F0AD1"/>
    <w:rsid w:val="004F0ADA"/>
    <w:rsid w:val="004F0D6F"/>
    <w:rsid w:val="004F0F05"/>
    <w:rsid w:val="004F1083"/>
    <w:rsid w:val="004F10E2"/>
    <w:rsid w:val="004F115E"/>
    <w:rsid w:val="004F119E"/>
    <w:rsid w:val="004F180D"/>
    <w:rsid w:val="004F1B48"/>
    <w:rsid w:val="004F1CD7"/>
    <w:rsid w:val="004F1E85"/>
    <w:rsid w:val="004F22D4"/>
    <w:rsid w:val="004F23B0"/>
    <w:rsid w:val="004F25AC"/>
    <w:rsid w:val="004F2898"/>
    <w:rsid w:val="004F2B64"/>
    <w:rsid w:val="004F3956"/>
    <w:rsid w:val="004F39A1"/>
    <w:rsid w:val="004F3EA9"/>
    <w:rsid w:val="004F3FAA"/>
    <w:rsid w:val="004F456E"/>
    <w:rsid w:val="004F46F0"/>
    <w:rsid w:val="004F4A09"/>
    <w:rsid w:val="004F4BFF"/>
    <w:rsid w:val="004F4ED0"/>
    <w:rsid w:val="004F539B"/>
    <w:rsid w:val="004F560D"/>
    <w:rsid w:val="004F5AEF"/>
    <w:rsid w:val="004F60F6"/>
    <w:rsid w:val="004F61F2"/>
    <w:rsid w:val="004F635C"/>
    <w:rsid w:val="004F65B6"/>
    <w:rsid w:val="004F6635"/>
    <w:rsid w:val="004F6D13"/>
    <w:rsid w:val="004F6DC8"/>
    <w:rsid w:val="004F74BE"/>
    <w:rsid w:val="004F7698"/>
    <w:rsid w:val="004F7BB0"/>
    <w:rsid w:val="004F7D20"/>
    <w:rsid w:val="004F7E41"/>
    <w:rsid w:val="0050011E"/>
    <w:rsid w:val="005002B5"/>
    <w:rsid w:val="0050068B"/>
    <w:rsid w:val="00500A1B"/>
    <w:rsid w:val="0050147A"/>
    <w:rsid w:val="00501658"/>
    <w:rsid w:val="005019FD"/>
    <w:rsid w:val="00501AD2"/>
    <w:rsid w:val="00501C92"/>
    <w:rsid w:val="00501EA1"/>
    <w:rsid w:val="00501EE8"/>
    <w:rsid w:val="00501FC4"/>
    <w:rsid w:val="0050216E"/>
    <w:rsid w:val="0050246D"/>
    <w:rsid w:val="005024C6"/>
    <w:rsid w:val="005026BB"/>
    <w:rsid w:val="0050279D"/>
    <w:rsid w:val="00502B15"/>
    <w:rsid w:val="00502DEC"/>
    <w:rsid w:val="00502ED6"/>
    <w:rsid w:val="0050332C"/>
    <w:rsid w:val="00503C7E"/>
    <w:rsid w:val="00503C95"/>
    <w:rsid w:val="00503E37"/>
    <w:rsid w:val="00503F34"/>
    <w:rsid w:val="0050406A"/>
    <w:rsid w:val="00504B62"/>
    <w:rsid w:val="00504C90"/>
    <w:rsid w:val="00505725"/>
    <w:rsid w:val="00505E65"/>
    <w:rsid w:val="00505F95"/>
    <w:rsid w:val="00506099"/>
    <w:rsid w:val="00506288"/>
    <w:rsid w:val="00506290"/>
    <w:rsid w:val="0050639D"/>
    <w:rsid w:val="005067F8"/>
    <w:rsid w:val="00506852"/>
    <w:rsid w:val="00506C0A"/>
    <w:rsid w:val="00506E97"/>
    <w:rsid w:val="005071AB"/>
    <w:rsid w:val="00507387"/>
    <w:rsid w:val="005073BE"/>
    <w:rsid w:val="00507509"/>
    <w:rsid w:val="00507B95"/>
    <w:rsid w:val="00507C9C"/>
    <w:rsid w:val="00507D83"/>
    <w:rsid w:val="00507DC3"/>
    <w:rsid w:val="00507F8C"/>
    <w:rsid w:val="00510109"/>
    <w:rsid w:val="0051035C"/>
    <w:rsid w:val="00510A76"/>
    <w:rsid w:val="00510D65"/>
    <w:rsid w:val="00510F57"/>
    <w:rsid w:val="00510F75"/>
    <w:rsid w:val="005115B4"/>
    <w:rsid w:val="005119EF"/>
    <w:rsid w:val="00511B0D"/>
    <w:rsid w:val="00511EC2"/>
    <w:rsid w:val="005121FD"/>
    <w:rsid w:val="00512365"/>
    <w:rsid w:val="0051244C"/>
    <w:rsid w:val="00512518"/>
    <w:rsid w:val="00512524"/>
    <w:rsid w:val="0051298E"/>
    <w:rsid w:val="00512A34"/>
    <w:rsid w:val="00512E58"/>
    <w:rsid w:val="0051376B"/>
    <w:rsid w:val="005137B7"/>
    <w:rsid w:val="00513C2A"/>
    <w:rsid w:val="00513C3A"/>
    <w:rsid w:val="00513D6F"/>
    <w:rsid w:val="00513DC8"/>
    <w:rsid w:val="00513FBB"/>
    <w:rsid w:val="00514110"/>
    <w:rsid w:val="00514114"/>
    <w:rsid w:val="00514273"/>
    <w:rsid w:val="005142EE"/>
    <w:rsid w:val="005144BB"/>
    <w:rsid w:val="00514652"/>
    <w:rsid w:val="005147AC"/>
    <w:rsid w:val="005147E6"/>
    <w:rsid w:val="005147EE"/>
    <w:rsid w:val="005148CE"/>
    <w:rsid w:val="005149C9"/>
    <w:rsid w:val="00514F0D"/>
    <w:rsid w:val="0051531D"/>
    <w:rsid w:val="005153B5"/>
    <w:rsid w:val="00515815"/>
    <w:rsid w:val="00515931"/>
    <w:rsid w:val="00515FB1"/>
    <w:rsid w:val="00516119"/>
    <w:rsid w:val="00516B77"/>
    <w:rsid w:val="00516CFC"/>
    <w:rsid w:val="00516DFE"/>
    <w:rsid w:val="00516E60"/>
    <w:rsid w:val="00516E96"/>
    <w:rsid w:val="00516EA9"/>
    <w:rsid w:val="005174E0"/>
    <w:rsid w:val="005178BF"/>
    <w:rsid w:val="00517945"/>
    <w:rsid w:val="00517B51"/>
    <w:rsid w:val="00517C59"/>
    <w:rsid w:val="00520480"/>
    <w:rsid w:val="0052079B"/>
    <w:rsid w:val="005207CF"/>
    <w:rsid w:val="00520805"/>
    <w:rsid w:val="00520D9E"/>
    <w:rsid w:val="00520FF0"/>
    <w:rsid w:val="00521494"/>
    <w:rsid w:val="005219C6"/>
    <w:rsid w:val="00521E27"/>
    <w:rsid w:val="00521ED5"/>
    <w:rsid w:val="00521F7D"/>
    <w:rsid w:val="00522407"/>
    <w:rsid w:val="0052253E"/>
    <w:rsid w:val="00522DC7"/>
    <w:rsid w:val="0052373F"/>
    <w:rsid w:val="00523AB5"/>
    <w:rsid w:val="00523FA0"/>
    <w:rsid w:val="00524085"/>
    <w:rsid w:val="00524599"/>
    <w:rsid w:val="005245A6"/>
    <w:rsid w:val="005249E6"/>
    <w:rsid w:val="00524FC6"/>
    <w:rsid w:val="0052520A"/>
    <w:rsid w:val="0052594A"/>
    <w:rsid w:val="005259E9"/>
    <w:rsid w:val="00525A36"/>
    <w:rsid w:val="0052626E"/>
    <w:rsid w:val="0052644F"/>
    <w:rsid w:val="00526800"/>
    <w:rsid w:val="00526C6D"/>
    <w:rsid w:val="00526DE3"/>
    <w:rsid w:val="00527106"/>
    <w:rsid w:val="005274CA"/>
    <w:rsid w:val="005274E1"/>
    <w:rsid w:val="00527513"/>
    <w:rsid w:val="00527572"/>
    <w:rsid w:val="0052764C"/>
    <w:rsid w:val="005276AA"/>
    <w:rsid w:val="00527835"/>
    <w:rsid w:val="00527E11"/>
    <w:rsid w:val="00527F42"/>
    <w:rsid w:val="00530185"/>
    <w:rsid w:val="005302EE"/>
    <w:rsid w:val="005308B6"/>
    <w:rsid w:val="0053095C"/>
    <w:rsid w:val="00530D14"/>
    <w:rsid w:val="00530DFD"/>
    <w:rsid w:val="00530E8C"/>
    <w:rsid w:val="00530E99"/>
    <w:rsid w:val="00530F34"/>
    <w:rsid w:val="00531091"/>
    <w:rsid w:val="005312C9"/>
    <w:rsid w:val="0053140C"/>
    <w:rsid w:val="00531696"/>
    <w:rsid w:val="005319F6"/>
    <w:rsid w:val="00531A03"/>
    <w:rsid w:val="00531D82"/>
    <w:rsid w:val="00532261"/>
    <w:rsid w:val="005322DC"/>
    <w:rsid w:val="00532493"/>
    <w:rsid w:val="0053250D"/>
    <w:rsid w:val="005327D5"/>
    <w:rsid w:val="005328BF"/>
    <w:rsid w:val="00532D76"/>
    <w:rsid w:val="00532DAF"/>
    <w:rsid w:val="00532FF7"/>
    <w:rsid w:val="00533120"/>
    <w:rsid w:val="005335DD"/>
    <w:rsid w:val="005335DF"/>
    <w:rsid w:val="005335F9"/>
    <w:rsid w:val="00533A35"/>
    <w:rsid w:val="00533A41"/>
    <w:rsid w:val="00533B30"/>
    <w:rsid w:val="00533CF3"/>
    <w:rsid w:val="00534126"/>
    <w:rsid w:val="005341B6"/>
    <w:rsid w:val="00534281"/>
    <w:rsid w:val="00534741"/>
    <w:rsid w:val="0053494D"/>
    <w:rsid w:val="00534A5F"/>
    <w:rsid w:val="00534C72"/>
    <w:rsid w:val="00534CBD"/>
    <w:rsid w:val="00534F51"/>
    <w:rsid w:val="00534F6B"/>
    <w:rsid w:val="0053506E"/>
    <w:rsid w:val="005361EA"/>
    <w:rsid w:val="00536750"/>
    <w:rsid w:val="005367B0"/>
    <w:rsid w:val="00536C39"/>
    <w:rsid w:val="00536C47"/>
    <w:rsid w:val="00536DA8"/>
    <w:rsid w:val="00536E62"/>
    <w:rsid w:val="00536FE1"/>
    <w:rsid w:val="005370DA"/>
    <w:rsid w:val="0053732C"/>
    <w:rsid w:val="00537514"/>
    <w:rsid w:val="00537748"/>
    <w:rsid w:val="00537A99"/>
    <w:rsid w:val="00537B71"/>
    <w:rsid w:val="00537E98"/>
    <w:rsid w:val="00540355"/>
    <w:rsid w:val="005405BA"/>
    <w:rsid w:val="00540870"/>
    <w:rsid w:val="00541720"/>
    <w:rsid w:val="00541A76"/>
    <w:rsid w:val="00541C4F"/>
    <w:rsid w:val="00541E6C"/>
    <w:rsid w:val="0054215A"/>
    <w:rsid w:val="00542584"/>
    <w:rsid w:val="0054283B"/>
    <w:rsid w:val="00542B4E"/>
    <w:rsid w:val="00542CC9"/>
    <w:rsid w:val="00542FBB"/>
    <w:rsid w:val="00543301"/>
    <w:rsid w:val="0054333D"/>
    <w:rsid w:val="005438FA"/>
    <w:rsid w:val="00543B1A"/>
    <w:rsid w:val="00543FAA"/>
    <w:rsid w:val="0054417E"/>
    <w:rsid w:val="005444F0"/>
    <w:rsid w:val="00544697"/>
    <w:rsid w:val="0054498F"/>
    <w:rsid w:val="00544E1B"/>
    <w:rsid w:val="005450B4"/>
    <w:rsid w:val="00545117"/>
    <w:rsid w:val="00545256"/>
    <w:rsid w:val="0054553C"/>
    <w:rsid w:val="0054598B"/>
    <w:rsid w:val="00545E4C"/>
    <w:rsid w:val="00546317"/>
    <w:rsid w:val="0054663F"/>
    <w:rsid w:val="00546A11"/>
    <w:rsid w:val="00546C2B"/>
    <w:rsid w:val="0054704F"/>
    <w:rsid w:val="005471B0"/>
    <w:rsid w:val="00547883"/>
    <w:rsid w:val="00547ABC"/>
    <w:rsid w:val="00547CC3"/>
    <w:rsid w:val="0055000A"/>
    <w:rsid w:val="00550241"/>
    <w:rsid w:val="005509F3"/>
    <w:rsid w:val="00550A8C"/>
    <w:rsid w:val="00550B73"/>
    <w:rsid w:val="00550C0C"/>
    <w:rsid w:val="00550E2C"/>
    <w:rsid w:val="00550EF6"/>
    <w:rsid w:val="00551470"/>
    <w:rsid w:val="0055172B"/>
    <w:rsid w:val="00551BFE"/>
    <w:rsid w:val="00552252"/>
    <w:rsid w:val="005524E3"/>
    <w:rsid w:val="00552537"/>
    <w:rsid w:val="00552A03"/>
    <w:rsid w:val="00552CE4"/>
    <w:rsid w:val="00552D62"/>
    <w:rsid w:val="00552DA6"/>
    <w:rsid w:val="00552DF1"/>
    <w:rsid w:val="00552EB8"/>
    <w:rsid w:val="00552EDB"/>
    <w:rsid w:val="00552F75"/>
    <w:rsid w:val="005531E4"/>
    <w:rsid w:val="0055337D"/>
    <w:rsid w:val="00553493"/>
    <w:rsid w:val="005539F3"/>
    <w:rsid w:val="00553A1D"/>
    <w:rsid w:val="00554029"/>
    <w:rsid w:val="005546A5"/>
    <w:rsid w:val="005547E8"/>
    <w:rsid w:val="005548B3"/>
    <w:rsid w:val="00554F7D"/>
    <w:rsid w:val="0055523E"/>
    <w:rsid w:val="0055547D"/>
    <w:rsid w:val="005556BD"/>
    <w:rsid w:val="00555758"/>
    <w:rsid w:val="0055593D"/>
    <w:rsid w:val="00555943"/>
    <w:rsid w:val="00555975"/>
    <w:rsid w:val="005559E1"/>
    <w:rsid w:val="00555CB9"/>
    <w:rsid w:val="00555DCC"/>
    <w:rsid w:val="00555E1B"/>
    <w:rsid w:val="00555F0A"/>
    <w:rsid w:val="00555F1C"/>
    <w:rsid w:val="00556273"/>
    <w:rsid w:val="005566F6"/>
    <w:rsid w:val="0055691A"/>
    <w:rsid w:val="00556C4B"/>
    <w:rsid w:val="00556E53"/>
    <w:rsid w:val="00557669"/>
    <w:rsid w:val="00557720"/>
    <w:rsid w:val="005579CA"/>
    <w:rsid w:val="005579E9"/>
    <w:rsid w:val="005579EC"/>
    <w:rsid w:val="00557ADF"/>
    <w:rsid w:val="00557CE0"/>
    <w:rsid w:val="00557D41"/>
    <w:rsid w:val="00557DD2"/>
    <w:rsid w:val="00557EA8"/>
    <w:rsid w:val="00557F74"/>
    <w:rsid w:val="0056020A"/>
    <w:rsid w:val="0056021D"/>
    <w:rsid w:val="00560331"/>
    <w:rsid w:val="005604B9"/>
    <w:rsid w:val="00560825"/>
    <w:rsid w:val="00560A0F"/>
    <w:rsid w:val="00560DBE"/>
    <w:rsid w:val="00560E1C"/>
    <w:rsid w:val="00560E45"/>
    <w:rsid w:val="00560F55"/>
    <w:rsid w:val="005610F8"/>
    <w:rsid w:val="00561143"/>
    <w:rsid w:val="00561285"/>
    <w:rsid w:val="0056137D"/>
    <w:rsid w:val="0056183A"/>
    <w:rsid w:val="00561978"/>
    <w:rsid w:val="00561FC3"/>
    <w:rsid w:val="00562268"/>
    <w:rsid w:val="00562806"/>
    <w:rsid w:val="00562B85"/>
    <w:rsid w:val="00562C4A"/>
    <w:rsid w:val="00562D21"/>
    <w:rsid w:val="00562D57"/>
    <w:rsid w:val="0056316A"/>
    <w:rsid w:val="00563495"/>
    <w:rsid w:val="005636B0"/>
    <w:rsid w:val="005637AC"/>
    <w:rsid w:val="005637E1"/>
    <w:rsid w:val="00563937"/>
    <w:rsid w:val="00563BB1"/>
    <w:rsid w:val="00563F98"/>
    <w:rsid w:val="00563FCA"/>
    <w:rsid w:val="00564056"/>
    <w:rsid w:val="0056423C"/>
    <w:rsid w:val="00564320"/>
    <w:rsid w:val="0056439C"/>
    <w:rsid w:val="00564F64"/>
    <w:rsid w:val="00564F70"/>
    <w:rsid w:val="00565070"/>
    <w:rsid w:val="005651E0"/>
    <w:rsid w:val="00565267"/>
    <w:rsid w:val="0056542A"/>
    <w:rsid w:val="0056591A"/>
    <w:rsid w:val="00566260"/>
    <w:rsid w:val="005664CB"/>
    <w:rsid w:val="0056657B"/>
    <w:rsid w:val="00566893"/>
    <w:rsid w:val="00566EBF"/>
    <w:rsid w:val="00566F2E"/>
    <w:rsid w:val="00566F8F"/>
    <w:rsid w:val="005672E2"/>
    <w:rsid w:val="005673C5"/>
    <w:rsid w:val="0056753B"/>
    <w:rsid w:val="0056766C"/>
    <w:rsid w:val="005678A5"/>
    <w:rsid w:val="0056795E"/>
    <w:rsid w:val="00567A03"/>
    <w:rsid w:val="00567CEB"/>
    <w:rsid w:val="00567E82"/>
    <w:rsid w:val="0057031E"/>
    <w:rsid w:val="0057037A"/>
    <w:rsid w:val="00570451"/>
    <w:rsid w:val="005704C3"/>
    <w:rsid w:val="005706B0"/>
    <w:rsid w:val="00570988"/>
    <w:rsid w:val="00570B58"/>
    <w:rsid w:val="00570DFC"/>
    <w:rsid w:val="0057118B"/>
    <w:rsid w:val="005712AF"/>
    <w:rsid w:val="0057139D"/>
    <w:rsid w:val="005717FE"/>
    <w:rsid w:val="0057191D"/>
    <w:rsid w:val="00571D85"/>
    <w:rsid w:val="00571EFA"/>
    <w:rsid w:val="00571F35"/>
    <w:rsid w:val="00571F66"/>
    <w:rsid w:val="00572277"/>
    <w:rsid w:val="005723C3"/>
    <w:rsid w:val="00572584"/>
    <w:rsid w:val="005729E4"/>
    <w:rsid w:val="00572A96"/>
    <w:rsid w:val="00572B24"/>
    <w:rsid w:val="00572C9A"/>
    <w:rsid w:val="00572DAC"/>
    <w:rsid w:val="00573237"/>
    <w:rsid w:val="0057339D"/>
    <w:rsid w:val="0057346C"/>
    <w:rsid w:val="00573690"/>
    <w:rsid w:val="00573AC8"/>
    <w:rsid w:val="00573DCC"/>
    <w:rsid w:val="00573E97"/>
    <w:rsid w:val="0057444E"/>
    <w:rsid w:val="00574617"/>
    <w:rsid w:val="00574638"/>
    <w:rsid w:val="0057465D"/>
    <w:rsid w:val="00574DE3"/>
    <w:rsid w:val="00574E90"/>
    <w:rsid w:val="005751D8"/>
    <w:rsid w:val="00575377"/>
    <w:rsid w:val="005753A2"/>
    <w:rsid w:val="005753E8"/>
    <w:rsid w:val="005755A6"/>
    <w:rsid w:val="00575643"/>
    <w:rsid w:val="00575AA2"/>
    <w:rsid w:val="005761B0"/>
    <w:rsid w:val="005763CA"/>
    <w:rsid w:val="00576502"/>
    <w:rsid w:val="00576706"/>
    <w:rsid w:val="0057675C"/>
    <w:rsid w:val="005767C3"/>
    <w:rsid w:val="00576901"/>
    <w:rsid w:val="00576C19"/>
    <w:rsid w:val="00576D5E"/>
    <w:rsid w:val="00576E3A"/>
    <w:rsid w:val="00577290"/>
    <w:rsid w:val="00577431"/>
    <w:rsid w:val="00577507"/>
    <w:rsid w:val="00577BCE"/>
    <w:rsid w:val="00577CE2"/>
    <w:rsid w:val="00577E1D"/>
    <w:rsid w:val="00580136"/>
    <w:rsid w:val="005801F7"/>
    <w:rsid w:val="00580333"/>
    <w:rsid w:val="0058052D"/>
    <w:rsid w:val="00580960"/>
    <w:rsid w:val="00580CA1"/>
    <w:rsid w:val="00581199"/>
    <w:rsid w:val="00581BCA"/>
    <w:rsid w:val="00581D4A"/>
    <w:rsid w:val="00581D97"/>
    <w:rsid w:val="00581EBC"/>
    <w:rsid w:val="00582072"/>
    <w:rsid w:val="00582093"/>
    <w:rsid w:val="00582582"/>
    <w:rsid w:val="005825E8"/>
    <w:rsid w:val="00582A4B"/>
    <w:rsid w:val="00582A68"/>
    <w:rsid w:val="00582D5F"/>
    <w:rsid w:val="00582D83"/>
    <w:rsid w:val="00582E46"/>
    <w:rsid w:val="00582ED5"/>
    <w:rsid w:val="00582FC4"/>
    <w:rsid w:val="0058344D"/>
    <w:rsid w:val="00583559"/>
    <w:rsid w:val="00583FE6"/>
    <w:rsid w:val="005841E0"/>
    <w:rsid w:val="005842F7"/>
    <w:rsid w:val="0058438A"/>
    <w:rsid w:val="00584557"/>
    <w:rsid w:val="005845E8"/>
    <w:rsid w:val="005847DC"/>
    <w:rsid w:val="00584DA2"/>
    <w:rsid w:val="00584F3E"/>
    <w:rsid w:val="00585218"/>
    <w:rsid w:val="00585244"/>
    <w:rsid w:val="005855E0"/>
    <w:rsid w:val="00585672"/>
    <w:rsid w:val="00585D1B"/>
    <w:rsid w:val="00585FD1"/>
    <w:rsid w:val="005860C0"/>
    <w:rsid w:val="00586409"/>
    <w:rsid w:val="00586486"/>
    <w:rsid w:val="00586F7F"/>
    <w:rsid w:val="0058713D"/>
    <w:rsid w:val="0058724B"/>
    <w:rsid w:val="005874D2"/>
    <w:rsid w:val="00587995"/>
    <w:rsid w:val="005902A7"/>
    <w:rsid w:val="00590815"/>
    <w:rsid w:val="00590C72"/>
    <w:rsid w:val="00590F6E"/>
    <w:rsid w:val="0059113C"/>
    <w:rsid w:val="0059116D"/>
    <w:rsid w:val="0059159A"/>
    <w:rsid w:val="005915C5"/>
    <w:rsid w:val="00591CDD"/>
    <w:rsid w:val="00592054"/>
    <w:rsid w:val="0059266B"/>
    <w:rsid w:val="00592EDE"/>
    <w:rsid w:val="00592F7B"/>
    <w:rsid w:val="005931F8"/>
    <w:rsid w:val="005933D6"/>
    <w:rsid w:val="00594617"/>
    <w:rsid w:val="005947AC"/>
    <w:rsid w:val="005947C0"/>
    <w:rsid w:val="00594A32"/>
    <w:rsid w:val="00594B63"/>
    <w:rsid w:val="00594D22"/>
    <w:rsid w:val="00595660"/>
    <w:rsid w:val="00595A11"/>
    <w:rsid w:val="00595A20"/>
    <w:rsid w:val="00595B3F"/>
    <w:rsid w:val="00595DDB"/>
    <w:rsid w:val="005963E5"/>
    <w:rsid w:val="0059657E"/>
    <w:rsid w:val="005967D4"/>
    <w:rsid w:val="0059686F"/>
    <w:rsid w:val="00596A07"/>
    <w:rsid w:val="00596AEF"/>
    <w:rsid w:val="0059714B"/>
    <w:rsid w:val="00597500"/>
    <w:rsid w:val="005979F6"/>
    <w:rsid w:val="00597A63"/>
    <w:rsid w:val="00597B79"/>
    <w:rsid w:val="00597EEE"/>
    <w:rsid w:val="00597FC0"/>
    <w:rsid w:val="005A049E"/>
    <w:rsid w:val="005A0642"/>
    <w:rsid w:val="005A07E6"/>
    <w:rsid w:val="005A08B8"/>
    <w:rsid w:val="005A08C8"/>
    <w:rsid w:val="005A0940"/>
    <w:rsid w:val="005A098D"/>
    <w:rsid w:val="005A120B"/>
    <w:rsid w:val="005A1278"/>
    <w:rsid w:val="005A1404"/>
    <w:rsid w:val="005A1748"/>
    <w:rsid w:val="005A1821"/>
    <w:rsid w:val="005A19B4"/>
    <w:rsid w:val="005A1AB8"/>
    <w:rsid w:val="005A1B73"/>
    <w:rsid w:val="005A1C23"/>
    <w:rsid w:val="005A1CFC"/>
    <w:rsid w:val="005A1D64"/>
    <w:rsid w:val="005A1D6E"/>
    <w:rsid w:val="005A1DD2"/>
    <w:rsid w:val="005A2162"/>
    <w:rsid w:val="005A2369"/>
    <w:rsid w:val="005A24E5"/>
    <w:rsid w:val="005A265A"/>
    <w:rsid w:val="005A29A9"/>
    <w:rsid w:val="005A2AC3"/>
    <w:rsid w:val="005A2FDD"/>
    <w:rsid w:val="005A30A5"/>
    <w:rsid w:val="005A33BE"/>
    <w:rsid w:val="005A34A1"/>
    <w:rsid w:val="005A35DB"/>
    <w:rsid w:val="005A37F9"/>
    <w:rsid w:val="005A38AB"/>
    <w:rsid w:val="005A3A04"/>
    <w:rsid w:val="005A3E9F"/>
    <w:rsid w:val="005A3EC4"/>
    <w:rsid w:val="005A416E"/>
    <w:rsid w:val="005A434D"/>
    <w:rsid w:val="005A4620"/>
    <w:rsid w:val="005A4755"/>
    <w:rsid w:val="005A4A44"/>
    <w:rsid w:val="005A4E57"/>
    <w:rsid w:val="005A4F0B"/>
    <w:rsid w:val="005A5418"/>
    <w:rsid w:val="005A5745"/>
    <w:rsid w:val="005A5750"/>
    <w:rsid w:val="005A5786"/>
    <w:rsid w:val="005A57E4"/>
    <w:rsid w:val="005A5BF6"/>
    <w:rsid w:val="005A5D47"/>
    <w:rsid w:val="005A6082"/>
    <w:rsid w:val="005A678F"/>
    <w:rsid w:val="005A68BB"/>
    <w:rsid w:val="005A6B46"/>
    <w:rsid w:val="005A6CC9"/>
    <w:rsid w:val="005A6D0D"/>
    <w:rsid w:val="005A6D1E"/>
    <w:rsid w:val="005A6F1C"/>
    <w:rsid w:val="005A70BC"/>
    <w:rsid w:val="005A71C0"/>
    <w:rsid w:val="005A72AD"/>
    <w:rsid w:val="005A7497"/>
    <w:rsid w:val="005A7568"/>
    <w:rsid w:val="005A7833"/>
    <w:rsid w:val="005A7B28"/>
    <w:rsid w:val="005A7B39"/>
    <w:rsid w:val="005A7D22"/>
    <w:rsid w:val="005B0341"/>
    <w:rsid w:val="005B05E1"/>
    <w:rsid w:val="005B0677"/>
    <w:rsid w:val="005B0681"/>
    <w:rsid w:val="005B090F"/>
    <w:rsid w:val="005B0B5C"/>
    <w:rsid w:val="005B0BAD"/>
    <w:rsid w:val="005B0C38"/>
    <w:rsid w:val="005B0D18"/>
    <w:rsid w:val="005B0E20"/>
    <w:rsid w:val="005B10A9"/>
    <w:rsid w:val="005B11CE"/>
    <w:rsid w:val="005B1341"/>
    <w:rsid w:val="005B188F"/>
    <w:rsid w:val="005B1E79"/>
    <w:rsid w:val="005B21FF"/>
    <w:rsid w:val="005B2578"/>
    <w:rsid w:val="005B26AF"/>
    <w:rsid w:val="005B29A8"/>
    <w:rsid w:val="005B29BE"/>
    <w:rsid w:val="005B2D33"/>
    <w:rsid w:val="005B3A13"/>
    <w:rsid w:val="005B3CA4"/>
    <w:rsid w:val="005B3E6B"/>
    <w:rsid w:val="005B45DA"/>
    <w:rsid w:val="005B4742"/>
    <w:rsid w:val="005B4875"/>
    <w:rsid w:val="005B4D62"/>
    <w:rsid w:val="005B4E67"/>
    <w:rsid w:val="005B4F30"/>
    <w:rsid w:val="005B532E"/>
    <w:rsid w:val="005B5345"/>
    <w:rsid w:val="005B5354"/>
    <w:rsid w:val="005B5582"/>
    <w:rsid w:val="005B5850"/>
    <w:rsid w:val="005B5B70"/>
    <w:rsid w:val="005B5D5D"/>
    <w:rsid w:val="005B5FE7"/>
    <w:rsid w:val="005B62E7"/>
    <w:rsid w:val="005B6336"/>
    <w:rsid w:val="005B643B"/>
    <w:rsid w:val="005B65E8"/>
    <w:rsid w:val="005B6B82"/>
    <w:rsid w:val="005B6C91"/>
    <w:rsid w:val="005B6DB1"/>
    <w:rsid w:val="005B7141"/>
    <w:rsid w:val="005B71EC"/>
    <w:rsid w:val="005B72A9"/>
    <w:rsid w:val="005B7A37"/>
    <w:rsid w:val="005B7B64"/>
    <w:rsid w:val="005C0119"/>
    <w:rsid w:val="005C0622"/>
    <w:rsid w:val="005C0919"/>
    <w:rsid w:val="005C0D56"/>
    <w:rsid w:val="005C0F74"/>
    <w:rsid w:val="005C1294"/>
    <w:rsid w:val="005C1300"/>
    <w:rsid w:val="005C1796"/>
    <w:rsid w:val="005C1992"/>
    <w:rsid w:val="005C1B95"/>
    <w:rsid w:val="005C1FAD"/>
    <w:rsid w:val="005C228E"/>
    <w:rsid w:val="005C266D"/>
    <w:rsid w:val="005C277B"/>
    <w:rsid w:val="005C2BEE"/>
    <w:rsid w:val="005C2C2F"/>
    <w:rsid w:val="005C2E43"/>
    <w:rsid w:val="005C2E4E"/>
    <w:rsid w:val="005C310E"/>
    <w:rsid w:val="005C3256"/>
    <w:rsid w:val="005C327F"/>
    <w:rsid w:val="005C3652"/>
    <w:rsid w:val="005C41E4"/>
    <w:rsid w:val="005C4279"/>
    <w:rsid w:val="005C431F"/>
    <w:rsid w:val="005C4793"/>
    <w:rsid w:val="005C4840"/>
    <w:rsid w:val="005C4950"/>
    <w:rsid w:val="005C50C3"/>
    <w:rsid w:val="005C50C7"/>
    <w:rsid w:val="005C51C2"/>
    <w:rsid w:val="005C585C"/>
    <w:rsid w:val="005C5BB5"/>
    <w:rsid w:val="005C5CB1"/>
    <w:rsid w:val="005C6531"/>
    <w:rsid w:val="005C6552"/>
    <w:rsid w:val="005C661C"/>
    <w:rsid w:val="005C6668"/>
    <w:rsid w:val="005C699C"/>
    <w:rsid w:val="005C6BE5"/>
    <w:rsid w:val="005C6DDA"/>
    <w:rsid w:val="005C6DF4"/>
    <w:rsid w:val="005C6EFC"/>
    <w:rsid w:val="005C72FB"/>
    <w:rsid w:val="005C7390"/>
    <w:rsid w:val="005C76C0"/>
    <w:rsid w:val="005C7879"/>
    <w:rsid w:val="005C7922"/>
    <w:rsid w:val="005D0067"/>
    <w:rsid w:val="005D00E4"/>
    <w:rsid w:val="005D0555"/>
    <w:rsid w:val="005D079E"/>
    <w:rsid w:val="005D0B89"/>
    <w:rsid w:val="005D0F18"/>
    <w:rsid w:val="005D0F47"/>
    <w:rsid w:val="005D13AB"/>
    <w:rsid w:val="005D1721"/>
    <w:rsid w:val="005D1B99"/>
    <w:rsid w:val="005D2317"/>
    <w:rsid w:val="005D239E"/>
    <w:rsid w:val="005D2436"/>
    <w:rsid w:val="005D283B"/>
    <w:rsid w:val="005D287A"/>
    <w:rsid w:val="005D2D4A"/>
    <w:rsid w:val="005D2E8B"/>
    <w:rsid w:val="005D3073"/>
    <w:rsid w:val="005D3F23"/>
    <w:rsid w:val="005D3F92"/>
    <w:rsid w:val="005D474D"/>
    <w:rsid w:val="005D498B"/>
    <w:rsid w:val="005D4B38"/>
    <w:rsid w:val="005D4C52"/>
    <w:rsid w:val="005D4C80"/>
    <w:rsid w:val="005D4E17"/>
    <w:rsid w:val="005D555A"/>
    <w:rsid w:val="005D55D3"/>
    <w:rsid w:val="005D5622"/>
    <w:rsid w:val="005D569A"/>
    <w:rsid w:val="005D5714"/>
    <w:rsid w:val="005D578B"/>
    <w:rsid w:val="005D5C29"/>
    <w:rsid w:val="005D5C6A"/>
    <w:rsid w:val="005D5D66"/>
    <w:rsid w:val="005D5DAC"/>
    <w:rsid w:val="005D5E30"/>
    <w:rsid w:val="005D621C"/>
    <w:rsid w:val="005D6889"/>
    <w:rsid w:val="005D6973"/>
    <w:rsid w:val="005D6FF6"/>
    <w:rsid w:val="005D71BD"/>
    <w:rsid w:val="005D7328"/>
    <w:rsid w:val="005D769F"/>
    <w:rsid w:val="005D784C"/>
    <w:rsid w:val="005D7AC0"/>
    <w:rsid w:val="005D7DA2"/>
    <w:rsid w:val="005D7FBD"/>
    <w:rsid w:val="005E05FD"/>
    <w:rsid w:val="005E0866"/>
    <w:rsid w:val="005E08D7"/>
    <w:rsid w:val="005E0D48"/>
    <w:rsid w:val="005E18CA"/>
    <w:rsid w:val="005E1995"/>
    <w:rsid w:val="005E1C9A"/>
    <w:rsid w:val="005E2112"/>
    <w:rsid w:val="005E2464"/>
    <w:rsid w:val="005E2467"/>
    <w:rsid w:val="005E25B3"/>
    <w:rsid w:val="005E27A7"/>
    <w:rsid w:val="005E27EA"/>
    <w:rsid w:val="005E28D8"/>
    <w:rsid w:val="005E2B36"/>
    <w:rsid w:val="005E3156"/>
    <w:rsid w:val="005E35A8"/>
    <w:rsid w:val="005E3D0F"/>
    <w:rsid w:val="005E4C83"/>
    <w:rsid w:val="005E5169"/>
    <w:rsid w:val="005E5886"/>
    <w:rsid w:val="005E5F6A"/>
    <w:rsid w:val="005E5F72"/>
    <w:rsid w:val="005E5F9C"/>
    <w:rsid w:val="005E6007"/>
    <w:rsid w:val="005E6046"/>
    <w:rsid w:val="005E67D2"/>
    <w:rsid w:val="005E6820"/>
    <w:rsid w:val="005E6825"/>
    <w:rsid w:val="005E6AB0"/>
    <w:rsid w:val="005E716A"/>
    <w:rsid w:val="005E7176"/>
    <w:rsid w:val="005E728B"/>
    <w:rsid w:val="005E73AC"/>
    <w:rsid w:val="005E77E4"/>
    <w:rsid w:val="005E7847"/>
    <w:rsid w:val="005E7AFF"/>
    <w:rsid w:val="005E7C76"/>
    <w:rsid w:val="005E7CA7"/>
    <w:rsid w:val="005F0061"/>
    <w:rsid w:val="005F040D"/>
    <w:rsid w:val="005F044A"/>
    <w:rsid w:val="005F0D08"/>
    <w:rsid w:val="005F18CC"/>
    <w:rsid w:val="005F1D2E"/>
    <w:rsid w:val="005F21C5"/>
    <w:rsid w:val="005F2366"/>
    <w:rsid w:val="005F2485"/>
    <w:rsid w:val="005F2546"/>
    <w:rsid w:val="005F2612"/>
    <w:rsid w:val="005F2C12"/>
    <w:rsid w:val="005F2CAA"/>
    <w:rsid w:val="005F2E3A"/>
    <w:rsid w:val="005F3327"/>
    <w:rsid w:val="005F3465"/>
    <w:rsid w:val="005F3665"/>
    <w:rsid w:val="005F3908"/>
    <w:rsid w:val="005F3A2F"/>
    <w:rsid w:val="005F3A51"/>
    <w:rsid w:val="005F3B69"/>
    <w:rsid w:val="005F3EFA"/>
    <w:rsid w:val="005F4005"/>
    <w:rsid w:val="005F4316"/>
    <w:rsid w:val="005F4781"/>
    <w:rsid w:val="005F50A6"/>
    <w:rsid w:val="005F5371"/>
    <w:rsid w:val="005F54D8"/>
    <w:rsid w:val="005F5520"/>
    <w:rsid w:val="005F5664"/>
    <w:rsid w:val="005F5B53"/>
    <w:rsid w:val="005F5FD1"/>
    <w:rsid w:val="005F6B54"/>
    <w:rsid w:val="005F6F73"/>
    <w:rsid w:val="005F7135"/>
    <w:rsid w:val="005F73E9"/>
    <w:rsid w:val="005F75AF"/>
    <w:rsid w:val="005F774F"/>
    <w:rsid w:val="005F7812"/>
    <w:rsid w:val="005F7940"/>
    <w:rsid w:val="005F7AA3"/>
    <w:rsid w:val="005F7AE1"/>
    <w:rsid w:val="005F7BD4"/>
    <w:rsid w:val="005F7C88"/>
    <w:rsid w:val="00600198"/>
    <w:rsid w:val="0060034B"/>
    <w:rsid w:val="00600476"/>
    <w:rsid w:val="00600CB8"/>
    <w:rsid w:val="00600F67"/>
    <w:rsid w:val="00601166"/>
    <w:rsid w:val="0060147E"/>
    <w:rsid w:val="0060179E"/>
    <w:rsid w:val="00601A3A"/>
    <w:rsid w:val="00601A82"/>
    <w:rsid w:val="00601BAD"/>
    <w:rsid w:val="00601D30"/>
    <w:rsid w:val="00602273"/>
    <w:rsid w:val="006022D0"/>
    <w:rsid w:val="006022E9"/>
    <w:rsid w:val="00602346"/>
    <w:rsid w:val="006025E7"/>
    <w:rsid w:val="00602B67"/>
    <w:rsid w:val="00602C2F"/>
    <w:rsid w:val="00602EFF"/>
    <w:rsid w:val="006034ED"/>
    <w:rsid w:val="006035B4"/>
    <w:rsid w:val="00603831"/>
    <w:rsid w:val="006039FB"/>
    <w:rsid w:val="00603C9A"/>
    <w:rsid w:val="0060448D"/>
    <w:rsid w:val="0060475E"/>
    <w:rsid w:val="00604886"/>
    <w:rsid w:val="00604BA9"/>
    <w:rsid w:val="00605A90"/>
    <w:rsid w:val="00605C0F"/>
    <w:rsid w:val="00605C57"/>
    <w:rsid w:val="00605CF1"/>
    <w:rsid w:val="00605E4B"/>
    <w:rsid w:val="00605E82"/>
    <w:rsid w:val="0060619B"/>
    <w:rsid w:val="00606399"/>
    <w:rsid w:val="00606556"/>
    <w:rsid w:val="006067A3"/>
    <w:rsid w:val="006067A9"/>
    <w:rsid w:val="006068A8"/>
    <w:rsid w:val="00606A66"/>
    <w:rsid w:val="00607385"/>
    <w:rsid w:val="006078CF"/>
    <w:rsid w:val="006079C5"/>
    <w:rsid w:val="00607D9F"/>
    <w:rsid w:val="00607DF0"/>
    <w:rsid w:val="00607EBC"/>
    <w:rsid w:val="00610185"/>
    <w:rsid w:val="006107E5"/>
    <w:rsid w:val="00610BB2"/>
    <w:rsid w:val="0061106C"/>
    <w:rsid w:val="0061118C"/>
    <w:rsid w:val="006111C0"/>
    <w:rsid w:val="006115D2"/>
    <w:rsid w:val="00611910"/>
    <w:rsid w:val="006119C5"/>
    <w:rsid w:val="00611A03"/>
    <w:rsid w:val="00611ECD"/>
    <w:rsid w:val="00612792"/>
    <w:rsid w:val="00612CB6"/>
    <w:rsid w:val="00613822"/>
    <w:rsid w:val="00613966"/>
    <w:rsid w:val="00613EF5"/>
    <w:rsid w:val="00614429"/>
    <w:rsid w:val="006148F1"/>
    <w:rsid w:val="00614D37"/>
    <w:rsid w:val="00614D93"/>
    <w:rsid w:val="00614DB9"/>
    <w:rsid w:val="00614F37"/>
    <w:rsid w:val="00615366"/>
    <w:rsid w:val="00615669"/>
    <w:rsid w:val="0061588F"/>
    <w:rsid w:val="0061612A"/>
    <w:rsid w:val="0061612F"/>
    <w:rsid w:val="0061651C"/>
    <w:rsid w:val="006166E9"/>
    <w:rsid w:val="006167B4"/>
    <w:rsid w:val="0061698A"/>
    <w:rsid w:val="00616B7E"/>
    <w:rsid w:val="00616BB3"/>
    <w:rsid w:val="00616FCC"/>
    <w:rsid w:val="00617351"/>
    <w:rsid w:val="0061752C"/>
    <w:rsid w:val="00617790"/>
    <w:rsid w:val="006179DD"/>
    <w:rsid w:val="00617C67"/>
    <w:rsid w:val="00620CBB"/>
    <w:rsid w:val="00620D1D"/>
    <w:rsid w:val="006212C9"/>
    <w:rsid w:val="0062141E"/>
    <w:rsid w:val="00621718"/>
    <w:rsid w:val="006218CD"/>
    <w:rsid w:val="00621A25"/>
    <w:rsid w:val="00621F13"/>
    <w:rsid w:val="0062264C"/>
    <w:rsid w:val="0062274F"/>
    <w:rsid w:val="00622886"/>
    <w:rsid w:val="0062294B"/>
    <w:rsid w:val="00623162"/>
    <w:rsid w:val="006234CF"/>
    <w:rsid w:val="00623FCC"/>
    <w:rsid w:val="00624079"/>
    <w:rsid w:val="0062425D"/>
    <w:rsid w:val="0062452C"/>
    <w:rsid w:val="006245A4"/>
    <w:rsid w:val="006248B6"/>
    <w:rsid w:val="00624BCD"/>
    <w:rsid w:val="00624CEE"/>
    <w:rsid w:val="00624D4A"/>
    <w:rsid w:val="00624E7A"/>
    <w:rsid w:val="00624FD1"/>
    <w:rsid w:val="0062537B"/>
    <w:rsid w:val="00625A82"/>
    <w:rsid w:val="00625CEB"/>
    <w:rsid w:val="00625D26"/>
    <w:rsid w:val="006262BC"/>
    <w:rsid w:val="00626497"/>
    <w:rsid w:val="006265DE"/>
    <w:rsid w:val="006266B4"/>
    <w:rsid w:val="0062680C"/>
    <w:rsid w:val="00626C59"/>
    <w:rsid w:val="00626F2C"/>
    <w:rsid w:val="0062750B"/>
    <w:rsid w:val="0062759D"/>
    <w:rsid w:val="006275F5"/>
    <w:rsid w:val="0062772D"/>
    <w:rsid w:val="0063035A"/>
    <w:rsid w:val="00630620"/>
    <w:rsid w:val="0063078D"/>
    <w:rsid w:val="00630BA0"/>
    <w:rsid w:val="00630E9A"/>
    <w:rsid w:val="0063109B"/>
    <w:rsid w:val="00631130"/>
    <w:rsid w:val="00631220"/>
    <w:rsid w:val="006313A7"/>
    <w:rsid w:val="006315D3"/>
    <w:rsid w:val="0063185D"/>
    <w:rsid w:val="00631A9D"/>
    <w:rsid w:val="00631AB3"/>
    <w:rsid w:val="00631F38"/>
    <w:rsid w:val="00632204"/>
    <w:rsid w:val="006323F6"/>
    <w:rsid w:val="00632823"/>
    <w:rsid w:val="006328BB"/>
    <w:rsid w:val="00632A42"/>
    <w:rsid w:val="00632AF5"/>
    <w:rsid w:val="00632D16"/>
    <w:rsid w:val="006334B9"/>
    <w:rsid w:val="00633639"/>
    <w:rsid w:val="00633E0A"/>
    <w:rsid w:val="00634001"/>
    <w:rsid w:val="0063416D"/>
    <w:rsid w:val="00634185"/>
    <w:rsid w:val="00634511"/>
    <w:rsid w:val="00634573"/>
    <w:rsid w:val="00634692"/>
    <w:rsid w:val="00634D06"/>
    <w:rsid w:val="00635310"/>
    <w:rsid w:val="0063552D"/>
    <w:rsid w:val="00635C1B"/>
    <w:rsid w:val="00635E4B"/>
    <w:rsid w:val="00635EE6"/>
    <w:rsid w:val="0063609D"/>
    <w:rsid w:val="006367A7"/>
    <w:rsid w:val="006367E9"/>
    <w:rsid w:val="0063692B"/>
    <w:rsid w:val="00636A50"/>
    <w:rsid w:val="00636AF2"/>
    <w:rsid w:val="00636D01"/>
    <w:rsid w:val="00636E42"/>
    <w:rsid w:val="006371F7"/>
    <w:rsid w:val="00637475"/>
    <w:rsid w:val="0063763B"/>
    <w:rsid w:val="00637677"/>
    <w:rsid w:val="00637819"/>
    <w:rsid w:val="00637989"/>
    <w:rsid w:val="00637A8E"/>
    <w:rsid w:val="006400A1"/>
    <w:rsid w:val="006404CE"/>
    <w:rsid w:val="00640B7A"/>
    <w:rsid w:val="006411A2"/>
    <w:rsid w:val="00641620"/>
    <w:rsid w:val="00641966"/>
    <w:rsid w:val="00641BE3"/>
    <w:rsid w:val="00641C98"/>
    <w:rsid w:val="00641D39"/>
    <w:rsid w:val="00641EF0"/>
    <w:rsid w:val="00642136"/>
    <w:rsid w:val="006428BA"/>
    <w:rsid w:val="00642984"/>
    <w:rsid w:val="0064309D"/>
    <w:rsid w:val="006430A9"/>
    <w:rsid w:val="006432C5"/>
    <w:rsid w:val="006433EB"/>
    <w:rsid w:val="00643487"/>
    <w:rsid w:val="00643502"/>
    <w:rsid w:val="006437ED"/>
    <w:rsid w:val="006438BB"/>
    <w:rsid w:val="00643A19"/>
    <w:rsid w:val="00643B73"/>
    <w:rsid w:val="00643C5D"/>
    <w:rsid w:val="00643C63"/>
    <w:rsid w:val="00643E05"/>
    <w:rsid w:val="00643F87"/>
    <w:rsid w:val="00644C88"/>
    <w:rsid w:val="00644D60"/>
    <w:rsid w:val="00644D86"/>
    <w:rsid w:val="006456DE"/>
    <w:rsid w:val="00645804"/>
    <w:rsid w:val="00645C53"/>
    <w:rsid w:val="006461B5"/>
    <w:rsid w:val="006461BC"/>
    <w:rsid w:val="006462EA"/>
    <w:rsid w:val="0064660D"/>
    <w:rsid w:val="0064664A"/>
    <w:rsid w:val="00646753"/>
    <w:rsid w:val="00646D40"/>
    <w:rsid w:val="00646F2D"/>
    <w:rsid w:val="006470A8"/>
    <w:rsid w:val="0064726A"/>
    <w:rsid w:val="00647360"/>
    <w:rsid w:val="006475E8"/>
    <w:rsid w:val="00647602"/>
    <w:rsid w:val="00647F51"/>
    <w:rsid w:val="006500AE"/>
    <w:rsid w:val="00650322"/>
    <w:rsid w:val="00650DC1"/>
    <w:rsid w:val="006515B6"/>
    <w:rsid w:val="00651882"/>
    <w:rsid w:val="00651890"/>
    <w:rsid w:val="006519AB"/>
    <w:rsid w:val="006521B2"/>
    <w:rsid w:val="006522FA"/>
    <w:rsid w:val="00652666"/>
    <w:rsid w:val="00652A85"/>
    <w:rsid w:val="00652A89"/>
    <w:rsid w:val="00652D2E"/>
    <w:rsid w:val="00652D96"/>
    <w:rsid w:val="006533DC"/>
    <w:rsid w:val="006534D6"/>
    <w:rsid w:val="006535FC"/>
    <w:rsid w:val="00653686"/>
    <w:rsid w:val="00654085"/>
    <w:rsid w:val="0065423F"/>
    <w:rsid w:val="006546FE"/>
    <w:rsid w:val="00654801"/>
    <w:rsid w:val="00654AA5"/>
    <w:rsid w:val="00655003"/>
    <w:rsid w:val="00655344"/>
    <w:rsid w:val="00655483"/>
    <w:rsid w:val="0065551B"/>
    <w:rsid w:val="00655553"/>
    <w:rsid w:val="00655868"/>
    <w:rsid w:val="00655C21"/>
    <w:rsid w:val="00655CAD"/>
    <w:rsid w:val="00655D04"/>
    <w:rsid w:val="0065621A"/>
    <w:rsid w:val="00656BBC"/>
    <w:rsid w:val="00657100"/>
    <w:rsid w:val="00657C52"/>
    <w:rsid w:val="00657F3B"/>
    <w:rsid w:val="00657F55"/>
    <w:rsid w:val="0066016B"/>
    <w:rsid w:val="00660373"/>
    <w:rsid w:val="006605AC"/>
    <w:rsid w:val="006605D0"/>
    <w:rsid w:val="006607EA"/>
    <w:rsid w:val="00660847"/>
    <w:rsid w:val="006609DE"/>
    <w:rsid w:val="00660ACF"/>
    <w:rsid w:val="00660C98"/>
    <w:rsid w:val="00660CBD"/>
    <w:rsid w:val="00660DF0"/>
    <w:rsid w:val="006610A3"/>
    <w:rsid w:val="006614CE"/>
    <w:rsid w:val="0066179C"/>
    <w:rsid w:val="00661924"/>
    <w:rsid w:val="00661CF2"/>
    <w:rsid w:val="00661D83"/>
    <w:rsid w:val="00661D8D"/>
    <w:rsid w:val="00661E10"/>
    <w:rsid w:val="00661E78"/>
    <w:rsid w:val="00661EE9"/>
    <w:rsid w:val="00662088"/>
    <w:rsid w:val="006626AB"/>
    <w:rsid w:val="0066274E"/>
    <w:rsid w:val="006627AE"/>
    <w:rsid w:val="006629C2"/>
    <w:rsid w:val="00662BCA"/>
    <w:rsid w:val="00662C71"/>
    <w:rsid w:val="00662EFB"/>
    <w:rsid w:val="00662F97"/>
    <w:rsid w:val="00663643"/>
    <w:rsid w:val="00663781"/>
    <w:rsid w:val="006639EF"/>
    <w:rsid w:val="00663B3A"/>
    <w:rsid w:val="00663C3F"/>
    <w:rsid w:val="00663CF5"/>
    <w:rsid w:val="00663D0F"/>
    <w:rsid w:val="00663E02"/>
    <w:rsid w:val="00663E22"/>
    <w:rsid w:val="0066434F"/>
    <w:rsid w:val="0066447E"/>
    <w:rsid w:val="0066468D"/>
    <w:rsid w:val="00664818"/>
    <w:rsid w:val="00664B09"/>
    <w:rsid w:val="00664B21"/>
    <w:rsid w:val="00664BB8"/>
    <w:rsid w:val="00664BCD"/>
    <w:rsid w:val="00665394"/>
    <w:rsid w:val="00665485"/>
    <w:rsid w:val="00665767"/>
    <w:rsid w:val="00665C08"/>
    <w:rsid w:val="00665C8D"/>
    <w:rsid w:val="00665F74"/>
    <w:rsid w:val="006668C7"/>
    <w:rsid w:val="00666C4D"/>
    <w:rsid w:val="0066706A"/>
    <w:rsid w:val="006674D8"/>
    <w:rsid w:val="00667EB5"/>
    <w:rsid w:val="0067036B"/>
    <w:rsid w:val="00670536"/>
    <w:rsid w:val="006706DF"/>
    <w:rsid w:val="006708AD"/>
    <w:rsid w:val="0067095B"/>
    <w:rsid w:val="006709BE"/>
    <w:rsid w:val="00670A14"/>
    <w:rsid w:val="0067116A"/>
    <w:rsid w:val="0067138F"/>
    <w:rsid w:val="006713FC"/>
    <w:rsid w:val="00671481"/>
    <w:rsid w:val="00671BF8"/>
    <w:rsid w:val="00672175"/>
    <w:rsid w:val="00672263"/>
    <w:rsid w:val="0067242A"/>
    <w:rsid w:val="0067252C"/>
    <w:rsid w:val="00672A2B"/>
    <w:rsid w:val="00672CF3"/>
    <w:rsid w:val="0067348F"/>
    <w:rsid w:val="00673819"/>
    <w:rsid w:val="00673881"/>
    <w:rsid w:val="006742D9"/>
    <w:rsid w:val="006743B1"/>
    <w:rsid w:val="00674DFB"/>
    <w:rsid w:val="00674EFC"/>
    <w:rsid w:val="0067506B"/>
    <w:rsid w:val="00675089"/>
    <w:rsid w:val="00675699"/>
    <w:rsid w:val="00675D5A"/>
    <w:rsid w:val="00675DF6"/>
    <w:rsid w:val="00675E3D"/>
    <w:rsid w:val="006765A4"/>
    <w:rsid w:val="00676614"/>
    <w:rsid w:val="006767E0"/>
    <w:rsid w:val="006769D8"/>
    <w:rsid w:val="00676A46"/>
    <w:rsid w:val="00676E83"/>
    <w:rsid w:val="00676EF5"/>
    <w:rsid w:val="0067722D"/>
    <w:rsid w:val="00677981"/>
    <w:rsid w:val="006779E3"/>
    <w:rsid w:val="00677A80"/>
    <w:rsid w:val="00677D1C"/>
    <w:rsid w:val="00677D72"/>
    <w:rsid w:val="00677F9F"/>
    <w:rsid w:val="00677FDE"/>
    <w:rsid w:val="00680071"/>
    <w:rsid w:val="00680473"/>
    <w:rsid w:val="00680A42"/>
    <w:rsid w:val="00680DA6"/>
    <w:rsid w:val="0068117A"/>
    <w:rsid w:val="006816E2"/>
    <w:rsid w:val="00681DD2"/>
    <w:rsid w:val="0068205D"/>
    <w:rsid w:val="0068208F"/>
    <w:rsid w:val="00682290"/>
    <w:rsid w:val="0068232C"/>
    <w:rsid w:val="0068255F"/>
    <w:rsid w:val="006827D2"/>
    <w:rsid w:val="00682896"/>
    <w:rsid w:val="0068298F"/>
    <w:rsid w:val="00682AD4"/>
    <w:rsid w:val="00682FFD"/>
    <w:rsid w:val="00683032"/>
    <w:rsid w:val="00683441"/>
    <w:rsid w:val="006835B7"/>
    <w:rsid w:val="0068378D"/>
    <w:rsid w:val="00683967"/>
    <w:rsid w:val="00683A1D"/>
    <w:rsid w:val="00683B63"/>
    <w:rsid w:val="00683BB3"/>
    <w:rsid w:val="00683E86"/>
    <w:rsid w:val="00684009"/>
    <w:rsid w:val="006840F9"/>
    <w:rsid w:val="006842EF"/>
    <w:rsid w:val="00684792"/>
    <w:rsid w:val="00684A56"/>
    <w:rsid w:val="00684FB7"/>
    <w:rsid w:val="00685A48"/>
    <w:rsid w:val="00685B28"/>
    <w:rsid w:val="006861F1"/>
    <w:rsid w:val="00686265"/>
    <w:rsid w:val="00686998"/>
    <w:rsid w:val="00686E60"/>
    <w:rsid w:val="00686FFE"/>
    <w:rsid w:val="006871AF"/>
    <w:rsid w:val="00687600"/>
    <w:rsid w:val="00687979"/>
    <w:rsid w:val="00687A49"/>
    <w:rsid w:val="00687EA5"/>
    <w:rsid w:val="00690275"/>
    <w:rsid w:val="0069057A"/>
    <w:rsid w:val="0069071A"/>
    <w:rsid w:val="006907E3"/>
    <w:rsid w:val="006909F3"/>
    <w:rsid w:val="00690ACB"/>
    <w:rsid w:val="00690CA4"/>
    <w:rsid w:val="00690DD3"/>
    <w:rsid w:val="00690E68"/>
    <w:rsid w:val="00690EB8"/>
    <w:rsid w:val="00690FD3"/>
    <w:rsid w:val="006911E8"/>
    <w:rsid w:val="0069145F"/>
    <w:rsid w:val="006915D0"/>
    <w:rsid w:val="00691A4B"/>
    <w:rsid w:val="00691C96"/>
    <w:rsid w:val="00691CCB"/>
    <w:rsid w:val="00691FC3"/>
    <w:rsid w:val="00692841"/>
    <w:rsid w:val="00692AAE"/>
    <w:rsid w:val="00692B30"/>
    <w:rsid w:val="00692F12"/>
    <w:rsid w:val="00693257"/>
    <w:rsid w:val="006935CC"/>
    <w:rsid w:val="00693A2F"/>
    <w:rsid w:val="00693B4B"/>
    <w:rsid w:val="00693DC6"/>
    <w:rsid w:val="00693E15"/>
    <w:rsid w:val="006941B4"/>
    <w:rsid w:val="00694400"/>
    <w:rsid w:val="006944E6"/>
    <w:rsid w:val="006949B7"/>
    <w:rsid w:val="00694A57"/>
    <w:rsid w:val="00694BDA"/>
    <w:rsid w:val="00694EE2"/>
    <w:rsid w:val="0069503A"/>
    <w:rsid w:val="0069520E"/>
    <w:rsid w:val="0069527E"/>
    <w:rsid w:val="00695400"/>
    <w:rsid w:val="00695EB8"/>
    <w:rsid w:val="006963D2"/>
    <w:rsid w:val="00696413"/>
    <w:rsid w:val="00696491"/>
    <w:rsid w:val="00696641"/>
    <w:rsid w:val="00696A85"/>
    <w:rsid w:val="00696C67"/>
    <w:rsid w:val="00696D5C"/>
    <w:rsid w:val="00696E4B"/>
    <w:rsid w:val="006972E4"/>
    <w:rsid w:val="00697738"/>
    <w:rsid w:val="0069777A"/>
    <w:rsid w:val="00697A1F"/>
    <w:rsid w:val="00697BD8"/>
    <w:rsid w:val="00697BF4"/>
    <w:rsid w:val="00697F56"/>
    <w:rsid w:val="00697F8E"/>
    <w:rsid w:val="006A021C"/>
    <w:rsid w:val="006A042F"/>
    <w:rsid w:val="006A07D5"/>
    <w:rsid w:val="006A0F34"/>
    <w:rsid w:val="006A11FD"/>
    <w:rsid w:val="006A13DD"/>
    <w:rsid w:val="006A146F"/>
    <w:rsid w:val="006A14DB"/>
    <w:rsid w:val="006A1949"/>
    <w:rsid w:val="006A1AC8"/>
    <w:rsid w:val="006A1B0D"/>
    <w:rsid w:val="006A2350"/>
    <w:rsid w:val="006A2A41"/>
    <w:rsid w:val="006A2B12"/>
    <w:rsid w:val="006A2B61"/>
    <w:rsid w:val="006A2B71"/>
    <w:rsid w:val="006A3973"/>
    <w:rsid w:val="006A4048"/>
    <w:rsid w:val="006A4236"/>
    <w:rsid w:val="006A441C"/>
    <w:rsid w:val="006A47D1"/>
    <w:rsid w:val="006A48F0"/>
    <w:rsid w:val="006A4B77"/>
    <w:rsid w:val="006A4CA2"/>
    <w:rsid w:val="006A5326"/>
    <w:rsid w:val="006A56BA"/>
    <w:rsid w:val="006A5E0A"/>
    <w:rsid w:val="006A5F07"/>
    <w:rsid w:val="006A6199"/>
    <w:rsid w:val="006A63E3"/>
    <w:rsid w:val="006A66D3"/>
    <w:rsid w:val="006A6A1B"/>
    <w:rsid w:val="006A7549"/>
    <w:rsid w:val="006A75A9"/>
    <w:rsid w:val="006A76A1"/>
    <w:rsid w:val="006A7BE6"/>
    <w:rsid w:val="006B017D"/>
    <w:rsid w:val="006B05A6"/>
    <w:rsid w:val="006B07A4"/>
    <w:rsid w:val="006B07D5"/>
    <w:rsid w:val="006B0910"/>
    <w:rsid w:val="006B0BB6"/>
    <w:rsid w:val="006B0BF1"/>
    <w:rsid w:val="006B0D97"/>
    <w:rsid w:val="006B0DC2"/>
    <w:rsid w:val="006B1303"/>
    <w:rsid w:val="006B1FB8"/>
    <w:rsid w:val="006B2206"/>
    <w:rsid w:val="006B235C"/>
    <w:rsid w:val="006B2752"/>
    <w:rsid w:val="006B29A6"/>
    <w:rsid w:val="006B2B4C"/>
    <w:rsid w:val="006B2D1E"/>
    <w:rsid w:val="006B337F"/>
    <w:rsid w:val="006B3447"/>
    <w:rsid w:val="006B3FFC"/>
    <w:rsid w:val="006B4836"/>
    <w:rsid w:val="006B48A4"/>
    <w:rsid w:val="006B4933"/>
    <w:rsid w:val="006B4EE6"/>
    <w:rsid w:val="006B5080"/>
    <w:rsid w:val="006B525B"/>
    <w:rsid w:val="006B5435"/>
    <w:rsid w:val="006B54ED"/>
    <w:rsid w:val="006B550B"/>
    <w:rsid w:val="006B5619"/>
    <w:rsid w:val="006B57DD"/>
    <w:rsid w:val="006B5F0A"/>
    <w:rsid w:val="006B5FA5"/>
    <w:rsid w:val="006B68A4"/>
    <w:rsid w:val="006B6AC5"/>
    <w:rsid w:val="006B6B10"/>
    <w:rsid w:val="006B6F59"/>
    <w:rsid w:val="006B7063"/>
    <w:rsid w:val="006B7812"/>
    <w:rsid w:val="006B7B2E"/>
    <w:rsid w:val="006C0847"/>
    <w:rsid w:val="006C0907"/>
    <w:rsid w:val="006C0A16"/>
    <w:rsid w:val="006C0DD0"/>
    <w:rsid w:val="006C113D"/>
    <w:rsid w:val="006C1213"/>
    <w:rsid w:val="006C132B"/>
    <w:rsid w:val="006C15FC"/>
    <w:rsid w:val="006C19BA"/>
    <w:rsid w:val="006C1BF1"/>
    <w:rsid w:val="006C24F7"/>
    <w:rsid w:val="006C25A6"/>
    <w:rsid w:val="006C2686"/>
    <w:rsid w:val="006C2808"/>
    <w:rsid w:val="006C29BC"/>
    <w:rsid w:val="006C2AF7"/>
    <w:rsid w:val="006C3197"/>
    <w:rsid w:val="006C3495"/>
    <w:rsid w:val="006C3703"/>
    <w:rsid w:val="006C3803"/>
    <w:rsid w:val="006C4264"/>
    <w:rsid w:val="006C4375"/>
    <w:rsid w:val="006C4466"/>
    <w:rsid w:val="006C449E"/>
    <w:rsid w:val="006C464D"/>
    <w:rsid w:val="006C4679"/>
    <w:rsid w:val="006C46DD"/>
    <w:rsid w:val="006C46F6"/>
    <w:rsid w:val="006C47CE"/>
    <w:rsid w:val="006C4822"/>
    <w:rsid w:val="006C48AE"/>
    <w:rsid w:val="006C4A97"/>
    <w:rsid w:val="006C4C5A"/>
    <w:rsid w:val="006C539C"/>
    <w:rsid w:val="006C57D4"/>
    <w:rsid w:val="006C59D5"/>
    <w:rsid w:val="006C5C64"/>
    <w:rsid w:val="006C5D83"/>
    <w:rsid w:val="006C5FCD"/>
    <w:rsid w:val="006C6172"/>
    <w:rsid w:val="006C62C5"/>
    <w:rsid w:val="006C66F4"/>
    <w:rsid w:val="006C6E2E"/>
    <w:rsid w:val="006C7191"/>
    <w:rsid w:val="006C72DE"/>
    <w:rsid w:val="006C759C"/>
    <w:rsid w:val="006C78E8"/>
    <w:rsid w:val="006C7A0E"/>
    <w:rsid w:val="006C7B9C"/>
    <w:rsid w:val="006C7C59"/>
    <w:rsid w:val="006D0018"/>
    <w:rsid w:val="006D00DE"/>
    <w:rsid w:val="006D024F"/>
    <w:rsid w:val="006D02E0"/>
    <w:rsid w:val="006D0329"/>
    <w:rsid w:val="006D0445"/>
    <w:rsid w:val="006D046A"/>
    <w:rsid w:val="006D06E2"/>
    <w:rsid w:val="006D1083"/>
    <w:rsid w:val="006D1198"/>
    <w:rsid w:val="006D16E4"/>
    <w:rsid w:val="006D16E7"/>
    <w:rsid w:val="006D1FEC"/>
    <w:rsid w:val="006D243F"/>
    <w:rsid w:val="006D265C"/>
    <w:rsid w:val="006D2678"/>
    <w:rsid w:val="006D26E1"/>
    <w:rsid w:val="006D2A9E"/>
    <w:rsid w:val="006D31F8"/>
    <w:rsid w:val="006D329E"/>
    <w:rsid w:val="006D34C8"/>
    <w:rsid w:val="006D3C84"/>
    <w:rsid w:val="006D3F0C"/>
    <w:rsid w:val="006D40BE"/>
    <w:rsid w:val="006D4798"/>
    <w:rsid w:val="006D4BD3"/>
    <w:rsid w:val="006D4DA9"/>
    <w:rsid w:val="006D4DE3"/>
    <w:rsid w:val="006D4EB5"/>
    <w:rsid w:val="006D51E5"/>
    <w:rsid w:val="006D523F"/>
    <w:rsid w:val="006D557D"/>
    <w:rsid w:val="006D5588"/>
    <w:rsid w:val="006D5C46"/>
    <w:rsid w:val="006D5D06"/>
    <w:rsid w:val="006D5FEA"/>
    <w:rsid w:val="006D6171"/>
    <w:rsid w:val="006D61FA"/>
    <w:rsid w:val="006D62DC"/>
    <w:rsid w:val="006D647F"/>
    <w:rsid w:val="006D6964"/>
    <w:rsid w:val="006D6A3C"/>
    <w:rsid w:val="006D6D5A"/>
    <w:rsid w:val="006D6D99"/>
    <w:rsid w:val="006D6DFC"/>
    <w:rsid w:val="006D6E15"/>
    <w:rsid w:val="006D6EBF"/>
    <w:rsid w:val="006D76FD"/>
    <w:rsid w:val="006D7B1A"/>
    <w:rsid w:val="006D7B9B"/>
    <w:rsid w:val="006E001D"/>
    <w:rsid w:val="006E03B9"/>
    <w:rsid w:val="006E0494"/>
    <w:rsid w:val="006E058B"/>
    <w:rsid w:val="006E094C"/>
    <w:rsid w:val="006E0956"/>
    <w:rsid w:val="006E0A6E"/>
    <w:rsid w:val="006E0B3B"/>
    <w:rsid w:val="006E0F5A"/>
    <w:rsid w:val="006E1239"/>
    <w:rsid w:val="006E1EDD"/>
    <w:rsid w:val="006E2066"/>
    <w:rsid w:val="006E2635"/>
    <w:rsid w:val="006E27E9"/>
    <w:rsid w:val="006E2805"/>
    <w:rsid w:val="006E2A88"/>
    <w:rsid w:val="006E3186"/>
    <w:rsid w:val="006E3210"/>
    <w:rsid w:val="006E337C"/>
    <w:rsid w:val="006E3421"/>
    <w:rsid w:val="006E34A0"/>
    <w:rsid w:val="006E3595"/>
    <w:rsid w:val="006E3967"/>
    <w:rsid w:val="006E3B3B"/>
    <w:rsid w:val="006E43FF"/>
    <w:rsid w:val="006E4AA2"/>
    <w:rsid w:val="006E4D3C"/>
    <w:rsid w:val="006E4EEC"/>
    <w:rsid w:val="006E4FC0"/>
    <w:rsid w:val="006E5083"/>
    <w:rsid w:val="006E51F6"/>
    <w:rsid w:val="006E52DD"/>
    <w:rsid w:val="006E5397"/>
    <w:rsid w:val="006E5871"/>
    <w:rsid w:val="006E58A9"/>
    <w:rsid w:val="006E5D1C"/>
    <w:rsid w:val="006E5E6A"/>
    <w:rsid w:val="006E60B3"/>
    <w:rsid w:val="006E61EE"/>
    <w:rsid w:val="006E6511"/>
    <w:rsid w:val="006E6882"/>
    <w:rsid w:val="006E6F76"/>
    <w:rsid w:val="006E707D"/>
    <w:rsid w:val="006E7348"/>
    <w:rsid w:val="006E790C"/>
    <w:rsid w:val="006E7BFD"/>
    <w:rsid w:val="006E7C5A"/>
    <w:rsid w:val="006E7D94"/>
    <w:rsid w:val="006E7FB2"/>
    <w:rsid w:val="006F017E"/>
    <w:rsid w:val="006F023F"/>
    <w:rsid w:val="006F0243"/>
    <w:rsid w:val="006F06B4"/>
    <w:rsid w:val="006F09A4"/>
    <w:rsid w:val="006F0ABD"/>
    <w:rsid w:val="006F0B92"/>
    <w:rsid w:val="006F0C58"/>
    <w:rsid w:val="006F12F4"/>
    <w:rsid w:val="006F145D"/>
    <w:rsid w:val="006F1810"/>
    <w:rsid w:val="006F1BFB"/>
    <w:rsid w:val="006F1CBA"/>
    <w:rsid w:val="006F1F06"/>
    <w:rsid w:val="006F2A14"/>
    <w:rsid w:val="006F2B00"/>
    <w:rsid w:val="006F301C"/>
    <w:rsid w:val="006F33A2"/>
    <w:rsid w:val="006F34A3"/>
    <w:rsid w:val="006F3595"/>
    <w:rsid w:val="006F3B16"/>
    <w:rsid w:val="006F3B63"/>
    <w:rsid w:val="006F40E4"/>
    <w:rsid w:val="006F42CE"/>
    <w:rsid w:val="006F450C"/>
    <w:rsid w:val="006F4539"/>
    <w:rsid w:val="006F47F1"/>
    <w:rsid w:val="006F489D"/>
    <w:rsid w:val="006F48C0"/>
    <w:rsid w:val="006F4901"/>
    <w:rsid w:val="006F4A98"/>
    <w:rsid w:val="006F4B2A"/>
    <w:rsid w:val="006F4B8A"/>
    <w:rsid w:val="006F4FCA"/>
    <w:rsid w:val="006F50DB"/>
    <w:rsid w:val="006F51DA"/>
    <w:rsid w:val="006F5E84"/>
    <w:rsid w:val="006F6012"/>
    <w:rsid w:val="006F6585"/>
    <w:rsid w:val="006F659F"/>
    <w:rsid w:val="006F6702"/>
    <w:rsid w:val="006F6A16"/>
    <w:rsid w:val="006F6C50"/>
    <w:rsid w:val="006F6F77"/>
    <w:rsid w:val="006F7142"/>
    <w:rsid w:val="006F75A3"/>
    <w:rsid w:val="006F7885"/>
    <w:rsid w:val="006F7C35"/>
    <w:rsid w:val="006F7E12"/>
    <w:rsid w:val="006F7EAD"/>
    <w:rsid w:val="00700668"/>
    <w:rsid w:val="00700938"/>
    <w:rsid w:val="00701081"/>
    <w:rsid w:val="007013AB"/>
    <w:rsid w:val="007013EA"/>
    <w:rsid w:val="00701884"/>
    <w:rsid w:val="0070199D"/>
    <w:rsid w:val="00701AEF"/>
    <w:rsid w:val="00701B03"/>
    <w:rsid w:val="007021F1"/>
    <w:rsid w:val="007022A8"/>
    <w:rsid w:val="0070287A"/>
    <w:rsid w:val="00702B17"/>
    <w:rsid w:val="00702C56"/>
    <w:rsid w:val="00702ECC"/>
    <w:rsid w:val="0070308C"/>
    <w:rsid w:val="007030CC"/>
    <w:rsid w:val="00703261"/>
    <w:rsid w:val="00703709"/>
    <w:rsid w:val="00703894"/>
    <w:rsid w:val="007039B4"/>
    <w:rsid w:val="00703B45"/>
    <w:rsid w:val="00703BA8"/>
    <w:rsid w:val="00703D2E"/>
    <w:rsid w:val="00703F1E"/>
    <w:rsid w:val="0070403E"/>
    <w:rsid w:val="00704097"/>
    <w:rsid w:val="00704B70"/>
    <w:rsid w:val="00704E98"/>
    <w:rsid w:val="00704EFD"/>
    <w:rsid w:val="0070589D"/>
    <w:rsid w:val="00705E82"/>
    <w:rsid w:val="00706276"/>
    <w:rsid w:val="0070651F"/>
    <w:rsid w:val="00706702"/>
    <w:rsid w:val="007068E2"/>
    <w:rsid w:val="00706932"/>
    <w:rsid w:val="007069AE"/>
    <w:rsid w:val="00706B03"/>
    <w:rsid w:val="00706E87"/>
    <w:rsid w:val="00707060"/>
    <w:rsid w:val="00707104"/>
    <w:rsid w:val="007071D2"/>
    <w:rsid w:val="007073E3"/>
    <w:rsid w:val="0070750D"/>
    <w:rsid w:val="00707DBE"/>
    <w:rsid w:val="007103E7"/>
    <w:rsid w:val="00710845"/>
    <w:rsid w:val="007109C3"/>
    <w:rsid w:val="00710B25"/>
    <w:rsid w:val="00710BF8"/>
    <w:rsid w:val="00710E15"/>
    <w:rsid w:val="00710E4F"/>
    <w:rsid w:val="00710F38"/>
    <w:rsid w:val="00711005"/>
    <w:rsid w:val="00711331"/>
    <w:rsid w:val="007114C0"/>
    <w:rsid w:val="00711766"/>
    <w:rsid w:val="00711972"/>
    <w:rsid w:val="00711EA6"/>
    <w:rsid w:val="00711EE8"/>
    <w:rsid w:val="007122DD"/>
    <w:rsid w:val="007125CE"/>
    <w:rsid w:val="00712746"/>
    <w:rsid w:val="00712765"/>
    <w:rsid w:val="00712BE1"/>
    <w:rsid w:val="00712CB2"/>
    <w:rsid w:val="0071334C"/>
    <w:rsid w:val="00713964"/>
    <w:rsid w:val="00713B56"/>
    <w:rsid w:val="00713C52"/>
    <w:rsid w:val="00713E36"/>
    <w:rsid w:val="00714034"/>
    <w:rsid w:val="00714084"/>
    <w:rsid w:val="007140EE"/>
    <w:rsid w:val="007141AF"/>
    <w:rsid w:val="00714200"/>
    <w:rsid w:val="00714276"/>
    <w:rsid w:val="0071498D"/>
    <w:rsid w:val="00714E11"/>
    <w:rsid w:val="00714E60"/>
    <w:rsid w:val="007150F5"/>
    <w:rsid w:val="007154B9"/>
    <w:rsid w:val="007154E5"/>
    <w:rsid w:val="00715BCD"/>
    <w:rsid w:val="00715FB6"/>
    <w:rsid w:val="00716128"/>
    <w:rsid w:val="00716413"/>
    <w:rsid w:val="00716717"/>
    <w:rsid w:val="00716970"/>
    <w:rsid w:val="00716E35"/>
    <w:rsid w:val="0071753B"/>
    <w:rsid w:val="00717B45"/>
    <w:rsid w:val="00717F44"/>
    <w:rsid w:val="007200C9"/>
    <w:rsid w:val="007202F2"/>
    <w:rsid w:val="00720864"/>
    <w:rsid w:val="00720A53"/>
    <w:rsid w:val="00720BA1"/>
    <w:rsid w:val="00720E33"/>
    <w:rsid w:val="0072149C"/>
    <w:rsid w:val="007214AE"/>
    <w:rsid w:val="007215BC"/>
    <w:rsid w:val="00721791"/>
    <w:rsid w:val="007217A9"/>
    <w:rsid w:val="007219E4"/>
    <w:rsid w:val="00721BB5"/>
    <w:rsid w:val="0072228A"/>
    <w:rsid w:val="007224D7"/>
    <w:rsid w:val="00722580"/>
    <w:rsid w:val="00722852"/>
    <w:rsid w:val="00722958"/>
    <w:rsid w:val="00722C63"/>
    <w:rsid w:val="00722C7E"/>
    <w:rsid w:val="00722CF4"/>
    <w:rsid w:val="00723124"/>
    <w:rsid w:val="00723742"/>
    <w:rsid w:val="00723981"/>
    <w:rsid w:val="00723CBC"/>
    <w:rsid w:val="00723E18"/>
    <w:rsid w:val="00723E63"/>
    <w:rsid w:val="00723FE5"/>
    <w:rsid w:val="007240A1"/>
    <w:rsid w:val="007247E4"/>
    <w:rsid w:val="007250D7"/>
    <w:rsid w:val="0072531A"/>
    <w:rsid w:val="007253B6"/>
    <w:rsid w:val="00725407"/>
    <w:rsid w:val="007254F0"/>
    <w:rsid w:val="00725534"/>
    <w:rsid w:val="007261C5"/>
    <w:rsid w:val="00726589"/>
    <w:rsid w:val="00726891"/>
    <w:rsid w:val="007273C5"/>
    <w:rsid w:val="00727835"/>
    <w:rsid w:val="007279EA"/>
    <w:rsid w:val="00727B69"/>
    <w:rsid w:val="007300F1"/>
    <w:rsid w:val="00730277"/>
    <w:rsid w:val="00730307"/>
    <w:rsid w:val="00730687"/>
    <w:rsid w:val="007306CC"/>
    <w:rsid w:val="00730926"/>
    <w:rsid w:val="00730B82"/>
    <w:rsid w:val="00731508"/>
    <w:rsid w:val="0073160A"/>
    <w:rsid w:val="00731DF4"/>
    <w:rsid w:val="00732441"/>
    <w:rsid w:val="00732917"/>
    <w:rsid w:val="00732A92"/>
    <w:rsid w:val="00732C35"/>
    <w:rsid w:val="00732D21"/>
    <w:rsid w:val="00732D74"/>
    <w:rsid w:val="0073304D"/>
    <w:rsid w:val="007330AF"/>
    <w:rsid w:val="0073370D"/>
    <w:rsid w:val="0073395E"/>
    <w:rsid w:val="00733CE5"/>
    <w:rsid w:val="007340A3"/>
    <w:rsid w:val="0073428D"/>
    <w:rsid w:val="007342D2"/>
    <w:rsid w:val="007342FE"/>
    <w:rsid w:val="007345CB"/>
    <w:rsid w:val="00734655"/>
    <w:rsid w:val="0073486C"/>
    <w:rsid w:val="00734EB7"/>
    <w:rsid w:val="0073517E"/>
    <w:rsid w:val="007355B6"/>
    <w:rsid w:val="007357AA"/>
    <w:rsid w:val="00735B92"/>
    <w:rsid w:val="00735CE1"/>
    <w:rsid w:val="00735CE2"/>
    <w:rsid w:val="0073607D"/>
    <w:rsid w:val="00736103"/>
    <w:rsid w:val="007363F2"/>
    <w:rsid w:val="007364CD"/>
    <w:rsid w:val="007369E9"/>
    <w:rsid w:val="00736A16"/>
    <w:rsid w:val="00736BCE"/>
    <w:rsid w:val="00736C0A"/>
    <w:rsid w:val="00737094"/>
    <w:rsid w:val="00737458"/>
    <w:rsid w:val="007375E1"/>
    <w:rsid w:val="00737F13"/>
    <w:rsid w:val="007403C1"/>
    <w:rsid w:val="00740C0A"/>
    <w:rsid w:val="00740CAF"/>
    <w:rsid w:val="00740D2F"/>
    <w:rsid w:val="00740D85"/>
    <w:rsid w:val="00740DB5"/>
    <w:rsid w:val="00741598"/>
    <w:rsid w:val="00741713"/>
    <w:rsid w:val="00741A34"/>
    <w:rsid w:val="00741D7C"/>
    <w:rsid w:val="007420BF"/>
    <w:rsid w:val="00742205"/>
    <w:rsid w:val="007423D1"/>
    <w:rsid w:val="007425AC"/>
    <w:rsid w:val="00742C7F"/>
    <w:rsid w:val="00742D00"/>
    <w:rsid w:val="007431A4"/>
    <w:rsid w:val="00743345"/>
    <w:rsid w:val="00743481"/>
    <w:rsid w:val="00743713"/>
    <w:rsid w:val="0074371D"/>
    <w:rsid w:val="00743937"/>
    <w:rsid w:val="00743958"/>
    <w:rsid w:val="007439C2"/>
    <w:rsid w:val="007439E2"/>
    <w:rsid w:val="00743B26"/>
    <w:rsid w:val="00743EE3"/>
    <w:rsid w:val="00744250"/>
    <w:rsid w:val="00744537"/>
    <w:rsid w:val="00744F42"/>
    <w:rsid w:val="00744F5F"/>
    <w:rsid w:val="00744F68"/>
    <w:rsid w:val="007453B8"/>
    <w:rsid w:val="007455CD"/>
    <w:rsid w:val="00745A8E"/>
    <w:rsid w:val="00745AC2"/>
    <w:rsid w:val="00745C4A"/>
    <w:rsid w:val="00745C79"/>
    <w:rsid w:val="00745CA0"/>
    <w:rsid w:val="00745CE9"/>
    <w:rsid w:val="007467CC"/>
    <w:rsid w:val="00746951"/>
    <w:rsid w:val="00746CE5"/>
    <w:rsid w:val="00746E5A"/>
    <w:rsid w:val="007471FC"/>
    <w:rsid w:val="00747280"/>
    <w:rsid w:val="0074734D"/>
    <w:rsid w:val="0074766D"/>
    <w:rsid w:val="0074780F"/>
    <w:rsid w:val="00747907"/>
    <w:rsid w:val="00747A2A"/>
    <w:rsid w:val="00747AC2"/>
    <w:rsid w:val="00747DB9"/>
    <w:rsid w:val="00747E38"/>
    <w:rsid w:val="00747FBB"/>
    <w:rsid w:val="00747FDF"/>
    <w:rsid w:val="00750871"/>
    <w:rsid w:val="007508AC"/>
    <w:rsid w:val="00750A39"/>
    <w:rsid w:val="00750B74"/>
    <w:rsid w:val="00750CCF"/>
    <w:rsid w:val="00750F02"/>
    <w:rsid w:val="00750FC7"/>
    <w:rsid w:val="0075179E"/>
    <w:rsid w:val="007519AC"/>
    <w:rsid w:val="00751ADE"/>
    <w:rsid w:val="00751B5A"/>
    <w:rsid w:val="00751CF1"/>
    <w:rsid w:val="00751DF7"/>
    <w:rsid w:val="00751F61"/>
    <w:rsid w:val="00751F72"/>
    <w:rsid w:val="007520B7"/>
    <w:rsid w:val="0075361D"/>
    <w:rsid w:val="00753694"/>
    <w:rsid w:val="007536C2"/>
    <w:rsid w:val="00753AAE"/>
    <w:rsid w:val="007541D6"/>
    <w:rsid w:val="007541F7"/>
    <w:rsid w:val="00754403"/>
    <w:rsid w:val="00754663"/>
    <w:rsid w:val="00754871"/>
    <w:rsid w:val="00754C37"/>
    <w:rsid w:val="00754C4B"/>
    <w:rsid w:val="00755278"/>
    <w:rsid w:val="007557CF"/>
    <w:rsid w:val="0075589C"/>
    <w:rsid w:val="00755F33"/>
    <w:rsid w:val="007563CB"/>
    <w:rsid w:val="00756437"/>
    <w:rsid w:val="0075644C"/>
    <w:rsid w:val="00756549"/>
    <w:rsid w:val="00756589"/>
    <w:rsid w:val="007565CF"/>
    <w:rsid w:val="00756842"/>
    <w:rsid w:val="00756884"/>
    <w:rsid w:val="0075696F"/>
    <w:rsid w:val="007570A4"/>
    <w:rsid w:val="00757914"/>
    <w:rsid w:val="007579BD"/>
    <w:rsid w:val="00757A2C"/>
    <w:rsid w:val="00757DA2"/>
    <w:rsid w:val="00757FC7"/>
    <w:rsid w:val="00760190"/>
    <w:rsid w:val="007602EE"/>
    <w:rsid w:val="00760AF4"/>
    <w:rsid w:val="00760F08"/>
    <w:rsid w:val="007610C8"/>
    <w:rsid w:val="007610EE"/>
    <w:rsid w:val="007610FA"/>
    <w:rsid w:val="007611F1"/>
    <w:rsid w:val="0076175B"/>
    <w:rsid w:val="00761B21"/>
    <w:rsid w:val="00761B3D"/>
    <w:rsid w:val="00761D90"/>
    <w:rsid w:val="00761E7D"/>
    <w:rsid w:val="007621A7"/>
    <w:rsid w:val="007624C5"/>
    <w:rsid w:val="007624C6"/>
    <w:rsid w:val="0076287A"/>
    <w:rsid w:val="00762D21"/>
    <w:rsid w:val="00762E8B"/>
    <w:rsid w:val="007630AC"/>
    <w:rsid w:val="00763753"/>
    <w:rsid w:val="00763775"/>
    <w:rsid w:val="00763889"/>
    <w:rsid w:val="00763977"/>
    <w:rsid w:val="007639BB"/>
    <w:rsid w:val="00764312"/>
    <w:rsid w:val="00764386"/>
    <w:rsid w:val="00764871"/>
    <w:rsid w:val="0076496C"/>
    <w:rsid w:val="007654BB"/>
    <w:rsid w:val="0076574A"/>
    <w:rsid w:val="00765A7A"/>
    <w:rsid w:val="00765E47"/>
    <w:rsid w:val="00766162"/>
    <w:rsid w:val="007666A1"/>
    <w:rsid w:val="007668D7"/>
    <w:rsid w:val="00766F84"/>
    <w:rsid w:val="00766FFC"/>
    <w:rsid w:val="00767124"/>
    <w:rsid w:val="0076796A"/>
    <w:rsid w:val="00767AF2"/>
    <w:rsid w:val="00767C12"/>
    <w:rsid w:val="00767C64"/>
    <w:rsid w:val="0077004E"/>
    <w:rsid w:val="007709FD"/>
    <w:rsid w:val="00770A49"/>
    <w:rsid w:val="00770DEE"/>
    <w:rsid w:val="00771380"/>
    <w:rsid w:val="00771732"/>
    <w:rsid w:val="00771B89"/>
    <w:rsid w:val="00771BA1"/>
    <w:rsid w:val="00771BFF"/>
    <w:rsid w:val="00771C22"/>
    <w:rsid w:val="00772049"/>
    <w:rsid w:val="0077209A"/>
    <w:rsid w:val="00772504"/>
    <w:rsid w:val="00772637"/>
    <w:rsid w:val="00772AC3"/>
    <w:rsid w:val="00772B9B"/>
    <w:rsid w:val="00772E19"/>
    <w:rsid w:val="00773086"/>
    <w:rsid w:val="007732D5"/>
    <w:rsid w:val="00773315"/>
    <w:rsid w:val="00773C02"/>
    <w:rsid w:val="00773CE9"/>
    <w:rsid w:val="007743A2"/>
    <w:rsid w:val="007744F7"/>
    <w:rsid w:val="00774781"/>
    <w:rsid w:val="007747A5"/>
    <w:rsid w:val="00774A19"/>
    <w:rsid w:val="00774DF5"/>
    <w:rsid w:val="00774FB7"/>
    <w:rsid w:val="00774FF5"/>
    <w:rsid w:val="0077506A"/>
    <w:rsid w:val="00775138"/>
    <w:rsid w:val="00775A7F"/>
    <w:rsid w:val="00775BDA"/>
    <w:rsid w:val="00776332"/>
    <w:rsid w:val="0077643A"/>
    <w:rsid w:val="00776523"/>
    <w:rsid w:val="00776686"/>
    <w:rsid w:val="00776B0B"/>
    <w:rsid w:val="00777184"/>
    <w:rsid w:val="007773D4"/>
    <w:rsid w:val="007775A3"/>
    <w:rsid w:val="00777778"/>
    <w:rsid w:val="007777D6"/>
    <w:rsid w:val="00777C4D"/>
    <w:rsid w:val="00780488"/>
    <w:rsid w:val="007806F6"/>
    <w:rsid w:val="00780A7F"/>
    <w:rsid w:val="00780C6C"/>
    <w:rsid w:val="00780D33"/>
    <w:rsid w:val="00780E62"/>
    <w:rsid w:val="00781169"/>
    <w:rsid w:val="00781358"/>
    <w:rsid w:val="0078187B"/>
    <w:rsid w:val="00781899"/>
    <w:rsid w:val="00781971"/>
    <w:rsid w:val="00781A89"/>
    <w:rsid w:val="00781FCE"/>
    <w:rsid w:val="007822EB"/>
    <w:rsid w:val="00782549"/>
    <w:rsid w:val="00782F62"/>
    <w:rsid w:val="00783125"/>
    <w:rsid w:val="00783277"/>
    <w:rsid w:val="00783591"/>
    <w:rsid w:val="00783737"/>
    <w:rsid w:val="00783B0A"/>
    <w:rsid w:val="00783C06"/>
    <w:rsid w:val="00783F23"/>
    <w:rsid w:val="00784160"/>
    <w:rsid w:val="00784578"/>
    <w:rsid w:val="007849D6"/>
    <w:rsid w:val="00784A0F"/>
    <w:rsid w:val="00784A4B"/>
    <w:rsid w:val="00784B34"/>
    <w:rsid w:val="00784CD0"/>
    <w:rsid w:val="00784E6F"/>
    <w:rsid w:val="00785066"/>
    <w:rsid w:val="00785115"/>
    <w:rsid w:val="00785431"/>
    <w:rsid w:val="007854EE"/>
    <w:rsid w:val="00785801"/>
    <w:rsid w:val="007859E0"/>
    <w:rsid w:val="00785A11"/>
    <w:rsid w:val="00785BAB"/>
    <w:rsid w:val="00785DCF"/>
    <w:rsid w:val="00786108"/>
    <w:rsid w:val="00786367"/>
    <w:rsid w:val="00786727"/>
    <w:rsid w:val="00787171"/>
    <w:rsid w:val="007871F5"/>
    <w:rsid w:val="00787312"/>
    <w:rsid w:val="007873DA"/>
    <w:rsid w:val="00787621"/>
    <w:rsid w:val="007877A9"/>
    <w:rsid w:val="007878BE"/>
    <w:rsid w:val="00787B2E"/>
    <w:rsid w:val="00787E79"/>
    <w:rsid w:val="00787F49"/>
    <w:rsid w:val="00790068"/>
    <w:rsid w:val="0079047E"/>
    <w:rsid w:val="00790695"/>
    <w:rsid w:val="007907CA"/>
    <w:rsid w:val="00790D7D"/>
    <w:rsid w:val="0079103D"/>
    <w:rsid w:val="00791126"/>
    <w:rsid w:val="00791345"/>
    <w:rsid w:val="00791573"/>
    <w:rsid w:val="007916DF"/>
    <w:rsid w:val="007917A4"/>
    <w:rsid w:val="007917F1"/>
    <w:rsid w:val="0079206F"/>
    <w:rsid w:val="00792459"/>
    <w:rsid w:val="00792501"/>
    <w:rsid w:val="00792585"/>
    <w:rsid w:val="00792654"/>
    <w:rsid w:val="00792961"/>
    <w:rsid w:val="00792BD6"/>
    <w:rsid w:val="00792EC1"/>
    <w:rsid w:val="007932D2"/>
    <w:rsid w:val="0079340A"/>
    <w:rsid w:val="00793448"/>
    <w:rsid w:val="00793468"/>
    <w:rsid w:val="00793593"/>
    <w:rsid w:val="0079386E"/>
    <w:rsid w:val="00793A17"/>
    <w:rsid w:val="00793B3B"/>
    <w:rsid w:val="00793C00"/>
    <w:rsid w:val="00793F8C"/>
    <w:rsid w:val="0079409B"/>
    <w:rsid w:val="00794349"/>
    <w:rsid w:val="007944EC"/>
    <w:rsid w:val="0079450B"/>
    <w:rsid w:val="0079479E"/>
    <w:rsid w:val="00794CE4"/>
    <w:rsid w:val="00794F8E"/>
    <w:rsid w:val="007950A7"/>
    <w:rsid w:val="007952CF"/>
    <w:rsid w:val="0079556C"/>
    <w:rsid w:val="00795DD2"/>
    <w:rsid w:val="00795DF5"/>
    <w:rsid w:val="00795EAF"/>
    <w:rsid w:val="007967C1"/>
    <w:rsid w:val="00796B4F"/>
    <w:rsid w:val="0079700F"/>
    <w:rsid w:val="0079774C"/>
    <w:rsid w:val="00797930"/>
    <w:rsid w:val="00797A81"/>
    <w:rsid w:val="00797B1D"/>
    <w:rsid w:val="00797E18"/>
    <w:rsid w:val="007A01A4"/>
    <w:rsid w:val="007A0856"/>
    <w:rsid w:val="007A0906"/>
    <w:rsid w:val="007A0963"/>
    <w:rsid w:val="007A117C"/>
    <w:rsid w:val="007A12AD"/>
    <w:rsid w:val="007A17A9"/>
    <w:rsid w:val="007A1AA0"/>
    <w:rsid w:val="007A1B50"/>
    <w:rsid w:val="007A1C60"/>
    <w:rsid w:val="007A20B5"/>
    <w:rsid w:val="007A223A"/>
    <w:rsid w:val="007A2341"/>
    <w:rsid w:val="007A2396"/>
    <w:rsid w:val="007A24B9"/>
    <w:rsid w:val="007A2750"/>
    <w:rsid w:val="007A2AE5"/>
    <w:rsid w:val="007A3214"/>
    <w:rsid w:val="007A3517"/>
    <w:rsid w:val="007A3601"/>
    <w:rsid w:val="007A37D5"/>
    <w:rsid w:val="007A37F9"/>
    <w:rsid w:val="007A390F"/>
    <w:rsid w:val="007A4326"/>
    <w:rsid w:val="007A4CCA"/>
    <w:rsid w:val="007A4DA5"/>
    <w:rsid w:val="007A4DAF"/>
    <w:rsid w:val="007A5580"/>
    <w:rsid w:val="007A55A0"/>
    <w:rsid w:val="007A56F8"/>
    <w:rsid w:val="007A5894"/>
    <w:rsid w:val="007A5E7B"/>
    <w:rsid w:val="007A5FC3"/>
    <w:rsid w:val="007A6205"/>
    <w:rsid w:val="007A6220"/>
    <w:rsid w:val="007A6CF4"/>
    <w:rsid w:val="007A6EF3"/>
    <w:rsid w:val="007A7011"/>
    <w:rsid w:val="007A7656"/>
    <w:rsid w:val="007A76AD"/>
    <w:rsid w:val="007A77EA"/>
    <w:rsid w:val="007A79C2"/>
    <w:rsid w:val="007A7B05"/>
    <w:rsid w:val="007A7B4B"/>
    <w:rsid w:val="007B0181"/>
    <w:rsid w:val="007B0245"/>
    <w:rsid w:val="007B062C"/>
    <w:rsid w:val="007B070F"/>
    <w:rsid w:val="007B07B4"/>
    <w:rsid w:val="007B07BB"/>
    <w:rsid w:val="007B0BA3"/>
    <w:rsid w:val="007B0F6D"/>
    <w:rsid w:val="007B1479"/>
    <w:rsid w:val="007B1931"/>
    <w:rsid w:val="007B1CFB"/>
    <w:rsid w:val="007B1D1F"/>
    <w:rsid w:val="007B267E"/>
    <w:rsid w:val="007B2E4E"/>
    <w:rsid w:val="007B2F39"/>
    <w:rsid w:val="007B34E6"/>
    <w:rsid w:val="007B35D7"/>
    <w:rsid w:val="007B394A"/>
    <w:rsid w:val="007B3EB3"/>
    <w:rsid w:val="007B471A"/>
    <w:rsid w:val="007B4761"/>
    <w:rsid w:val="007B4A73"/>
    <w:rsid w:val="007B4CBE"/>
    <w:rsid w:val="007B4DF5"/>
    <w:rsid w:val="007B4EA4"/>
    <w:rsid w:val="007B5218"/>
    <w:rsid w:val="007B522B"/>
    <w:rsid w:val="007B53D8"/>
    <w:rsid w:val="007B55D1"/>
    <w:rsid w:val="007B6299"/>
    <w:rsid w:val="007B64D7"/>
    <w:rsid w:val="007B6740"/>
    <w:rsid w:val="007B6B34"/>
    <w:rsid w:val="007B6B75"/>
    <w:rsid w:val="007B6DFE"/>
    <w:rsid w:val="007B70EB"/>
    <w:rsid w:val="007B71D0"/>
    <w:rsid w:val="007B7347"/>
    <w:rsid w:val="007B7B03"/>
    <w:rsid w:val="007B7C57"/>
    <w:rsid w:val="007B7CE2"/>
    <w:rsid w:val="007B7D59"/>
    <w:rsid w:val="007C00CF"/>
    <w:rsid w:val="007C00E0"/>
    <w:rsid w:val="007C021F"/>
    <w:rsid w:val="007C02DD"/>
    <w:rsid w:val="007C0370"/>
    <w:rsid w:val="007C0949"/>
    <w:rsid w:val="007C0982"/>
    <w:rsid w:val="007C09BA"/>
    <w:rsid w:val="007C0AA2"/>
    <w:rsid w:val="007C0B3D"/>
    <w:rsid w:val="007C0D51"/>
    <w:rsid w:val="007C11ED"/>
    <w:rsid w:val="007C1B37"/>
    <w:rsid w:val="007C1D61"/>
    <w:rsid w:val="007C1F91"/>
    <w:rsid w:val="007C2069"/>
    <w:rsid w:val="007C20BB"/>
    <w:rsid w:val="007C2258"/>
    <w:rsid w:val="007C235F"/>
    <w:rsid w:val="007C241C"/>
    <w:rsid w:val="007C2712"/>
    <w:rsid w:val="007C2797"/>
    <w:rsid w:val="007C2E90"/>
    <w:rsid w:val="007C2EFD"/>
    <w:rsid w:val="007C31D5"/>
    <w:rsid w:val="007C3534"/>
    <w:rsid w:val="007C364F"/>
    <w:rsid w:val="007C366E"/>
    <w:rsid w:val="007C3A03"/>
    <w:rsid w:val="007C3DBD"/>
    <w:rsid w:val="007C4032"/>
    <w:rsid w:val="007C40F5"/>
    <w:rsid w:val="007C42A7"/>
    <w:rsid w:val="007C4924"/>
    <w:rsid w:val="007C4A0A"/>
    <w:rsid w:val="007C4B25"/>
    <w:rsid w:val="007C4BF5"/>
    <w:rsid w:val="007C4E7E"/>
    <w:rsid w:val="007C5443"/>
    <w:rsid w:val="007C5737"/>
    <w:rsid w:val="007C586B"/>
    <w:rsid w:val="007C5B06"/>
    <w:rsid w:val="007C614C"/>
    <w:rsid w:val="007C61AA"/>
    <w:rsid w:val="007C622D"/>
    <w:rsid w:val="007C639B"/>
    <w:rsid w:val="007C64D8"/>
    <w:rsid w:val="007C65AD"/>
    <w:rsid w:val="007C664A"/>
    <w:rsid w:val="007C66B0"/>
    <w:rsid w:val="007C66C2"/>
    <w:rsid w:val="007C698B"/>
    <w:rsid w:val="007C6F34"/>
    <w:rsid w:val="007C6F59"/>
    <w:rsid w:val="007C7185"/>
    <w:rsid w:val="007C7382"/>
    <w:rsid w:val="007C7621"/>
    <w:rsid w:val="007C79DD"/>
    <w:rsid w:val="007C7B43"/>
    <w:rsid w:val="007D0063"/>
    <w:rsid w:val="007D0247"/>
    <w:rsid w:val="007D03B7"/>
    <w:rsid w:val="007D067A"/>
    <w:rsid w:val="007D06D8"/>
    <w:rsid w:val="007D0B5F"/>
    <w:rsid w:val="007D1218"/>
    <w:rsid w:val="007D1A09"/>
    <w:rsid w:val="007D1AC8"/>
    <w:rsid w:val="007D1DA1"/>
    <w:rsid w:val="007D1F92"/>
    <w:rsid w:val="007D21EA"/>
    <w:rsid w:val="007D2509"/>
    <w:rsid w:val="007D2607"/>
    <w:rsid w:val="007D2946"/>
    <w:rsid w:val="007D2CC4"/>
    <w:rsid w:val="007D2F68"/>
    <w:rsid w:val="007D3036"/>
    <w:rsid w:val="007D3071"/>
    <w:rsid w:val="007D30C8"/>
    <w:rsid w:val="007D39BA"/>
    <w:rsid w:val="007D42E5"/>
    <w:rsid w:val="007D47FB"/>
    <w:rsid w:val="007D5085"/>
    <w:rsid w:val="007D578E"/>
    <w:rsid w:val="007D5AAC"/>
    <w:rsid w:val="007D5F7E"/>
    <w:rsid w:val="007D602F"/>
    <w:rsid w:val="007D6138"/>
    <w:rsid w:val="007D6290"/>
    <w:rsid w:val="007D633D"/>
    <w:rsid w:val="007D69E4"/>
    <w:rsid w:val="007D6AF6"/>
    <w:rsid w:val="007D6F42"/>
    <w:rsid w:val="007D705D"/>
    <w:rsid w:val="007D7549"/>
    <w:rsid w:val="007D7636"/>
    <w:rsid w:val="007D78F4"/>
    <w:rsid w:val="007D7F1E"/>
    <w:rsid w:val="007D7F28"/>
    <w:rsid w:val="007E035B"/>
    <w:rsid w:val="007E03C5"/>
    <w:rsid w:val="007E0594"/>
    <w:rsid w:val="007E0849"/>
    <w:rsid w:val="007E08CC"/>
    <w:rsid w:val="007E08FB"/>
    <w:rsid w:val="007E0CF5"/>
    <w:rsid w:val="007E199A"/>
    <w:rsid w:val="007E1C7F"/>
    <w:rsid w:val="007E1DCC"/>
    <w:rsid w:val="007E1E57"/>
    <w:rsid w:val="007E1F8D"/>
    <w:rsid w:val="007E208E"/>
    <w:rsid w:val="007E25C2"/>
    <w:rsid w:val="007E27A1"/>
    <w:rsid w:val="007E2BB8"/>
    <w:rsid w:val="007E2DB4"/>
    <w:rsid w:val="007E2ED1"/>
    <w:rsid w:val="007E37D6"/>
    <w:rsid w:val="007E3BC1"/>
    <w:rsid w:val="007E3F96"/>
    <w:rsid w:val="007E4158"/>
    <w:rsid w:val="007E415A"/>
    <w:rsid w:val="007E430A"/>
    <w:rsid w:val="007E43DD"/>
    <w:rsid w:val="007E4779"/>
    <w:rsid w:val="007E4AC7"/>
    <w:rsid w:val="007E4C36"/>
    <w:rsid w:val="007E50B8"/>
    <w:rsid w:val="007E529A"/>
    <w:rsid w:val="007E52F0"/>
    <w:rsid w:val="007E57C5"/>
    <w:rsid w:val="007E583E"/>
    <w:rsid w:val="007E5933"/>
    <w:rsid w:val="007E596C"/>
    <w:rsid w:val="007E5C06"/>
    <w:rsid w:val="007E5E1D"/>
    <w:rsid w:val="007E6A66"/>
    <w:rsid w:val="007E7CF7"/>
    <w:rsid w:val="007E7D64"/>
    <w:rsid w:val="007F0024"/>
    <w:rsid w:val="007F0369"/>
    <w:rsid w:val="007F09D2"/>
    <w:rsid w:val="007F0AE6"/>
    <w:rsid w:val="007F0B86"/>
    <w:rsid w:val="007F122A"/>
    <w:rsid w:val="007F1286"/>
    <w:rsid w:val="007F1305"/>
    <w:rsid w:val="007F139F"/>
    <w:rsid w:val="007F13DB"/>
    <w:rsid w:val="007F1783"/>
    <w:rsid w:val="007F19D8"/>
    <w:rsid w:val="007F1C3F"/>
    <w:rsid w:val="007F1DA2"/>
    <w:rsid w:val="007F2171"/>
    <w:rsid w:val="007F23CA"/>
    <w:rsid w:val="007F2AA9"/>
    <w:rsid w:val="007F2E45"/>
    <w:rsid w:val="007F2FE8"/>
    <w:rsid w:val="007F3033"/>
    <w:rsid w:val="007F30A6"/>
    <w:rsid w:val="007F325B"/>
    <w:rsid w:val="007F339F"/>
    <w:rsid w:val="007F3989"/>
    <w:rsid w:val="007F3EF6"/>
    <w:rsid w:val="007F3FC2"/>
    <w:rsid w:val="007F402A"/>
    <w:rsid w:val="007F436F"/>
    <w:rsid w:val="007F4371"/>
    <w:rsid w:val="007F4757"/>
    <w:rsid w:val="007F4952"/>
    <w:rsid w:val="007F4B96"/>
    <w:rsid w:val="007F4DBD"/>
    <w:rsid w:val="007F4E23"/>
    <w:rsid w:val="007F4E9B"/>
    <w:rsid w:val="007F4F63"/>
    <w:rsid w:val="007F5271"/>
    <w:rsid w:val="007F53E6"/>
    <w:rsid w:val="007F54F6"/>
    <w:rsid w:val="007F559E"/>
    <w:rsid w:val="007F5704"/>
    <w:rsid w:val="007F5BE1"/>
    <w:rsid w:val="007F5D05"/>
    <w:rsid w:val="007F600C"/>
    <w:rsid w:val="007F61BA"/>
    <w:rsid w:val="007F645E"/>
    <w:rsid w:val="007F6614"/>
    <w:rsid w:val="007F679A"/>
    <w:rsid w:val="007F6F8F"/>
    <w:rsid w:val="007F7114"/>
    <w:rsid w:val="007F722E"/>
    <w:rsid w:val="007F74A5"/>
    <w:rsid w:val="007F74C5"/>
    <w:rsid w:val="007F77C1"/>
    <w:rsid w:val="007F798E"/>
    <w:rsid w:val="007F7A96"/>
    <w:rsid w:val="007F7CE7"/>
    <w:rsid w:val="007F7D99"/>
    <w:rsid w:val="00800138"/>
    <w:rsid w:val="00800290"/>
    <w:rsid w:val="008004F5"/>
    <w:rsid w:val="008007AA"/>
    <w:rsid w:val="00800BAE"/>
    <w:rsid w:val="00800F99"/>
    <w:rsid w:val="00801039"/>
    <w:rsid w:val="008010E1"/>
    <w:rsid w:val="00801158"/>
    <w:rsid w:val="008011F4"/>
    <w:rsid w:val="00801241"/>
    <w:rsid w:val="00801536"/>
    <w:rsid w:val="0080156A"/>
    <w:rsid w:val="00801706"/>
    <w:rsid w:val="00801A08"/>
    <w:rsid w:val="00801B8D"/>
    <w:rsid w:val="0080227D"/>
    <w:rsid w:val="0080231C"/>
    <w:rsid w:val="0080242D"/>
    <w:rsid w:val="008025C3"/>
    <w:rsid w:val="00802AA9"/>
    <w:rsid w:val="00802C5A"/>
    <w:rsid w:val="00802D59"/>
    <w:rsid w:val="00803957"/>
    <w:rsid w:val="008039A4"/>
    <w:rsid w:val="00803AF5"/>
    <w:rsid w:val="00803C9B"/>
    <w:rsid w:val="008045DF"/>
    <w:rsid w:val="00804956"/>
    <w:rsid w:val="00804D0C"/>
    <w:rsid w:val="0080557A"/>
    <w:rsid w:val="00805634"/>
    <w:rsid w:val="00805A54"/>
    <w:rsid w:val="00805DE6"/>
    <w:rsid w:val="008069B0"/>
    <w:rsid w:val="008069DB"/>
    <w:rsid w:val="008069F1"/>
    <w:rsid w:val="00806AA8"/>
    <w:rsid w:val="00806DD3"/>
    <w:rsid w:val="008075B1"/>
    <w:rsid w:val="00807A86"/>
    <w:rsid w:val="00807AE4"/>
    <w:rsid w:val="00807BE7"/>
    <w:rsid w:val="008102D4"/>
    <w:rsid w:val="00810408"/>
    <w:rsid w:val="0081070C"/>
    <w:rsid w:val="008107E5"/>
    <w:rsid w:val="00810A61"/>
    <w:rsid w:val="00811021"/>
    <w:rsid w:val="00811204"/>
    <w:rsid w:val="00811285"/>
    <w:rsid w:val="00811316"/>
    <w:rsid w:val="008118C1"/>
    <w:rsid w:val="00811AAF"/>
    <w:rsid w:val="00811AF4"/>
    <w:rsid w:val="0081270B"/>
    <w:rsid w:val="00812C88"/>
    <w:rsid w:val="0081301C"/>
    <w:rsid w:val="0081329C"/>
    <w:rsid w:val="008132B2"/>
    <w:rsid w:val="00813498"/>
    <w:rsid w:val="008135AC"/>
    <w:rsid w:val="0081375C"/>
    <w:rsid w:val="008137FD"/>
    <w:rsid w:val="00813B35"/>
    <w:rsid w:val="00814483"/>
    <w:rsid w:val="0081468D"/>
    <w:rsid w:val="00814823"/>
    <w:rsid w:val="00814B07"/>
    <w:rsid w:val="00814C17"/>
    <w:rsid w:val="00815134"/>
    <w:rsid w:val="00815204"/>
    <w:rsid w:val="0081521A"/>
    <w:rsid w:val="0081578F"/>
    <w:rsid w:val="00815835"/>
    <w:rsid w:val="00815F6B"/>
    <w:rsid w:val="00816054"/>
    <w:rsid w:val="00816097"/>
    <w:rsid w:val="00816409"/>
    <w:rsid w:val="00816708"/>
    <w:rsid w:val="00816810"/>
    <w:rsid w:val="00816962"/>
    <w:rsid w:val="00816B31"/>
    <w:rsid w:val="00816ED1"/>
    <w:rsid w:val="0081729E"/>
    <w:rsid w:val="008177EB"/>
    <w:rsid w:val="008178D2"/>
    <w:rsid w:val="00817C80"/>
    <w:rsid w:val="008202D9"/>
    <w:rsid w:val="00820AE4"/>
    <w:rsid w:val="00820C6E"/>
    <w:rsid w:val="00820CD1"/>
    <w:rsid w:val="00821344"/>
    <w:rsid w:val="008213B0"/>
    <w:rsid w:val="008215D0"/>
    <w:rsid w:val="008216FD"/>
    <w:rsid w:val="008217E4"/>
    <w:rsid w:val="00821BBB"/>
    <w:rsid w:val="00821DEE"/>
    <w:rsid w:val="00822007"/>
    <w:rsid w:val="0082243B"/>
    <w:rsid w:val="00822564"/>
    <w:rsid w:val="0082279F"/>
    <w:rsid w:val="00822A93"/>
    <w:rsid w:val="00822A9E"/>
    <w:rsid w:val="008231F1"/>
    <w:rsid w:val="00823328"/>
    <w:rsid w:val="00823334"/>
    <w:rsid w:val="00823369"/>
    <w:rsid w:val="00823513"/>
    <w:rsid w:val="00823898"/>
    <w:rsid w:val="00824412"/>
    <w:rsid w:val="00824454"/>
    <w:rsid w:val="0082450C"/>
    <w:rsid w:val="008246F0"/>
    <w:rsid w:val="00824EA5"/>
    <w:rsid w:val="008253AA"/>
    <w:rsid w:val="00825538"/>
    <w:rsid w:val="0082561A"/>
    <w:rsid w:val="0082586B"/>
    <w:rsid w:val="00825A63"/>
    <w:rsid w:val="00825CD8"/>
    <w:rsid w:val="00825E4D"/>
    <w:rsid w:val="00826495"/>
    <w:rsid w:val="008267B0"/>
    <w:rsid w:val="00826B27"/>
    <w:rsid w:val="00826B9A"/>
    <w:rsid w:val="00827672"/>
    <w:rsid w:val="0082772A"/>
    <w:rsid w:val="00827841"/>
    <w:rsid w:val="00827A14"/>
    <w:rsid w:val="00827EF0"/>
    <w:rsid w:val="00830750"/>
    <w:rsid w:val="008308F1"/>
    <w:rsid w:val="00830AAC"/>
    <w:rsid w:val="00830E04"/>
    <w:rsid w:val="008311EB"/>
    <w:rsid w:val="00831648"/>
    <w:rsid w:val="008316ED"/>
    <w:rsid w:val="00831716"/>
    <w:rsid w:val="00831A5E"/>
    <w:rsid w:val="00831D05"/>
    <w:rsid w:val="00831D6E"/>
    <w:rsid w:val="00831DB9"/>
    <w:rsid w:val="00831F25"/>
    <w:rsid w:val="0083225D"/>
    <w:rsid w:val="00832279"/>
    <w:rsid w:val="00832295"/>
    <w:rsid w:val="008322A1"/>
    <w:rsid w:val="00832678"/>
    <w:rsid w:val="00832CE0"/>
    <w:rsid w:val="0083313D"/>
    <w:rsid w:val="00833288"/>
    <w:rsid w:val="00833324"/>
    <w:rsid w:val="00833D0B"/>
    <w:rsid w:val="00833D27"/>
    <w:rsid w:val="00833ECB"/>
    <w:rsid w:val="0083420D"/>
    <w:rsid w:val="00834495"/>
    <w:rsid w:val="0083450B"/>
    <w:rsid w:val="008346D2"/>
    <w:rsid w:val="00834940"/>
    <w:rsid w:val="0083499F"/>
    <w:rsid w:val="00834BFA"/>
    <w:rsid w:val="00834D62"/>
    <w:rsid w:val="00834E7E"/>
    <w:rsid w:val="00834F79"/>
    <w:rsid w:val="00834FBC"/>
    <w:rsid w:val="00835149"/>
    <w:rsid w:val="00835533"/>
    <w:rsid w:val="00835595"/>
    <w:rsid w:val="00835665"/>
    <w:rsid w:val="0083572C"/>
    <w:rsid w:val="00835A6B"/>
    <w:rsid w:val="00835CCF"/>
    <w:rsid w:val="008367A4"/>
    <w:rsid w:val="00836BEE"/>
    <w:rsid w:val="00836D48"/>
    <w:rsid w:val="00837111"/>
    <w:rsid w:val="0083719B"/>
    <w:rsid w:val="008375E1"/>
    <w:rsid w:val="008377A3"/>
    <w:rsid w:val="00837813"/>
    <w:rsid w:val="00837F99"/>
    <w:rsid w:val="00840209"/>
    <w:rsid w:val="00840279"/>
    <w:rsid w:val="00840443"/>
    <w:rsid w:val="00840735"/>
    <w:rsid w:val="00841225"/>
    <w:rsid w:val="008417C8"/>
    <w:rsid w:val="008418BC"/>
    <w:rsid w:val="00841D52"/>
    <w:rsid w:val="00841DD2"/>
    <w:rsid w:val="00841F1A"/>
    <w:rsid w:val="008420E6"/>
    <w:rsid w:val="00842233"/>
    <w:rsid w:val="00842277"/>
    <w:rsid w:val="0084232E"/>
    <w:rsid w:val="00842684"/>
    <w:rsid w:val="00842B7C"/>
    <w:rsid w:val="0084304E"/>
    <w:rsid w:val="00843157"/>
    <w:rsid w:val="008436A7"/>
    <w:rsid w:val="008439C3"/>
    <w:rsid w:val="00843F2B"/>
    <w:rsid w:val="008442D9"/>
    <w:rsid w:val="008445B3"/>
    <w:rsid w:val="00844868"/>
    <w:rsid w:val="00844B37"/>
    <w:rsid w:val="00844EB4"/>
    <w:rsid w:val="00844EBA"/>
    <w:rsid w:val="008452DC"/>
    <w:rsid w:val="00845314"/>
    <w:rsid w:val="00845347"/>
    <w:rsid w:val="008453B9"/>
    <w:rsid w:val="0084563E"/>
    <w:rsid w:val="008458DE"/>
    <w:rsid w:val="00846087"/>
    <w:rsid w:val="0084626D"/>
    <w:rsid w:val="008462B3"/>
    <w:rsid w:val="00846409"/>
    <w:rsid w:val="00846803"/>
    <w:rsid w:val="00846B5C"/>
    <w:rsid w:val="00846BB2"/>
    <w:rsid w:val="0084737F"/>
    <w:rsid w:val="00847500"/>
    <w:rsid w:val="0084767C"/>
    <w:rsid w:val="00847683"/>
    <w:rsid w:val="00847AFD"/>
    <w:rsid w:val="00847B84"/>
    <w:rsid w:val="00847E89"/>
    <w:rsid w:val="00850422"/>
    <w:rsid w:val="00850460"/>
    <w:rsid w:val="0085058B"/>
    <w:rsid w:val="008509CC"/>
    <w:rsid w:val="00850A2C"/>
    <w:rsid w:val="00850CCF"/>
    <w:rsid w:val="00850CF2"/>
    <w:rsid w:val="0085132A"/>
    <w:rsid w:val="008513F8"/>
    <w:rsid w:val="0085156D"/>
    <w:rsid w:val="00851842"/>
    <w:rsid w:val="00851900"/>
    <w:rsid w:val="00851B49"/>
    <w:rsid w:val="00851C92"/>
    <w:rsid w:val="00851DBD"/>
    <w:rsid w:val="00851E53"/>
    <w:rsid w:val="00851E8B"/>
    <w:rsid w:val="00851F46"/>
    <w:rsid w:val="00852245"/>
    <w:rsid w:val="0085249A"/>
    <w:rsid w:val="0085265C"/>
    <w:rsid w:val="00852C33"/>
    <w:rsid w:val="0085310A"/>
    <w:rsid w:val="00853311"/>
    <w:rsid w:val="0085348C"/>
    <w:rsid w:val="00853B74"/>
    <w:rsid w:val="00854066"/>
    <w:rsid w:val="00854514"/>
    <w:rsid w:val="00854B83"/>
    <w:rsid w:val="00854BFA"/>
    <w:rsid w:val="00854C89"/>
    <w:rsid w:val="00854C9F"/>
    <w:rsid w:val="008554FE"/>
    <w:rsid w:val="00855668"/>
    <w:rsid w:val="00855688"/>
    <w:rsid w:val="00855AF6"/>
    <w:rsid w:val="00855DCD"/>
    <w:rsid w:val="00855DE5"/>
    <w:rsid w:val="00855FF1"/>
    <w:rsid w:val="008561AC"/>
    <w:rsid w:val="0085624D"/>
    <w:rsid w:val="00856748"/>
    <w:rsid w:val="008569AE"/>
    <w:rsid w:val="0085790B"/>
    <w:rsid w:val="0085792A"/>
    <w:rsid w:val="00857F98"/>
    <w:rsid w:val="00860034"/>
    <w:rsid w:val="0086017A"/>
    <w:rsid w:val="00860305"/>
    <w:rsid w:val="00860675"/>
    <w:rsid w:val="008607CA"/>
    <w:rsid w:val="00860C7A"/>
    <w:rsid w:val="00860D3B"/>
    <w:rsid w:val="008611B3"/>
    <w:rsid w:val="00861319"/>
    <w:rsid w:val="008614BA"/>
    <w:rsid w:val="0086182E"/>
    <w:rsid w:val="008618E4"/>
    <w:rsid w:val="0086288C"/>
    <w:rsid w:val="00862AFD"/>
    <w:rsid w:val="00862F89"/>
    <w:rsid w:val="00862F9B"/>
    <w:rsid w:val="0086317F"/>
    <w:rsid w:val="008634F3"/>
    <w:rsid w:val="008635A8"/>
    <w:rsid w:val="008639D1"/>
    <w:rsid w:val="00863F2B"/>
    <w:rsid w:val="00864745"/>
    <w:rsid w:val="00864C82"/>
    <w:rsid w:val="00864E36"/>
    <w:rsid w:val="00865358"/>
    <w:rsid w:val="00865577"/>
    <w:rsid w:val="0086573A"/>
    <w:rsid w:val="0086589F"/>
    <w:rsid w:val="00865957"/>
    <w:rsid w:val="00866313"/>
    <w:rsid w:val="008664E9"/>
    <w:rsid w:val="00866DCF"/>
    <w:rsid w:val="008670E5"/>
    <w:rsid w:val="00867283"/>
    <w:rsid w:val="008673D4"/>
    <w:rsid w:val="00867688"/>
    <w:rsid w:val="008676A6"/>
    <w:rsid w:val="008676CE"/>
    <w:rsid w:val="00867A39"/>
    <w:rsid w:val="00867FFB"/>
    <w:rsid w:val="008702A9"/>
    <w:rsid w:val="00870318"/>
    <w:rsid w:val="008705BA"/>
    <w:rsid w:val="00870605"/>
    <w:rsid w:val="0087061D"/>
    <w:rsid w:val="0087065A"/>
    <w:rsid w:val="008706EC"/>
    <w:rsid w:val="008714C4"/>
    <w:rsid w:val="00871955"/>
    <w:rsid w:val="00871B8C"/>
    <w:rsid w:val="00871C93"/>
    <w:rsid w:val="00871E32"/>
    <w:rsid w:val="00872021"/>
    <w:rsid w:val="00872263"/>
    <w:rsid w:val="00872307"/>
    <w:rsid w:val="00872608"/>
    <w:rsid w:val="00872735"/>
    <w:rsid w:val="008729AF"/>
    <w:rsid w:val="00872BB7"/>
    <w:rsid w:val="00872BF9"/>
    <w:rsid w:val="00872C52"/>
    <w:rsid w:val="00872FCE"/>
    <w:rsid w:val="00873041"/>
    <w:rsid w:val="008732B1"/>
    <w:rsid w:val="0087364A"/>
    <w:rsid w:val="008738A7"/>
    <w:rsid w:val="00873900"/>
    <w:rsid w:val="008739D3"/>
    <w:rsid w:val="00873A0E"/>
    <w:rsid w:val="00873E0A"/>
    <w:rsid w:val="008740DD"/>
    <w:rsid w:val="00874B81"/>
    <w:rsid w:val="00874BA9"/>
    <w:rsid w:val="00874C91"/>
    <w:rsid w:val="00874CE7"/>
    <w:rsid w:val="00874CF2"/>
    <w:rsid w:val="00874D8B"/>
    <w:rsid w:val="00875259"/>
    <w:rsid w:val="008759E4"/>
    <w:rsid w:val="00875A10"/>
    <w:rsid w:val="00875A4F"/>
    <w:rsid w:val="00875ACF"/>
    <w:rsid w:val="00875B0A"/>
    <w:rsid w:val="00875ECF"/>
    <w:rsid w:val="00875F25"/>
    <w:rsid w:val="00875FF9"/>
    <w:rsid w:val="008762FD"/>
    <w:rsid w:val="0087654F"/>
    <w:rsid w:val="00876583"/>
    <w:rsid w:val="00876F52"/>
    <w:rsid w:val="00876FA3"/>
    <w:rsid w:val="008770D9"/>
    <w:rsid w:val="008773E4"/>
    <w:rsid w:val="008776B2"/>
    <w:rsid w:val="0087775F"/>
    <w:rsid w:val="00880136"/>
    <w:rsid w:val="0088035D"/>
    <w:rsid w:val="008806DF"/>
    <w:rsid w:val="00880854"/>
    <w:rsid w:val="00880888"/>
    <w:rsid w:val="00880B48"/>
    <w:rsid w:val="00880C82"/>
    <w:rsid w:val="00880ECC"/>
    <w:rsid w:val="00881053"/>
    <w:rsid w:val="0088115D"/>
    <w:rsid w:val="00881276"/>
    <w:rsid w:val="0088127E"/>
    <w:rsid w:val="008819D0"/>
    <w:rsid w:val="00881E88"/>
    <w:rsid w:val="00882322"/>
    <w:rsid w:val="0088233E"/>
    <w:rsid w:val="00882683"/>
    <w:rsid w:val="008826E2"/>
    <w:rsid w:val="00882711"/>
    <w:rsid w:val="008828D9"/>
    <w:rsid w:val="00882988"/>
    <w:rsid w:val="0088324F"/>
    <w:rsid w:val="008834F8"/>
    <w:rsid w:val="008839AF"/>
    <w:rsid w:val="008839C2"/>
    <w:rsid w:val="00883A7D"/>
    <w:rsid w:val="00883ACA"/>
    <w:rsid w:val="00883BA8"/>
    <w:rsid w:val="00883D58"/>
    <w:rsid w:val="00883DA7"/>
    <w:rsid w:val="0088409E"/>
    <w:rsid w:val="0088418E"/>
    <w:rsid w:val="00884496"/>
    <w:rsid w:val="00884715"/>
    <w:rsid w:val="0088476B"/>
    <w:rsid w:val="0088488F"/>
    <w:rsid w:val="0088489E"/>
    <w:rsid w:val="00884932"/>
    <w:rsid w:val="00884B29"/>
    <w:rsid w:val="00884C21"/>
    <w:rsid w:val="0088536E"/>
    <w:rsid w:val="00885487"/>
    <w:rsid w:val="00885679"/>
    <w:rsid w:val="008856FC"/>
    <w:rsid w:val="008859C3"/>
    <w:rsid w:val="00885B48"/>
    <w:rsid w:val="00885D8D"/>
    <w:rsid w:val="00885F70"/>
    <w:rsid w:val="008863C5"/>
    <w:rsid w:val="008864EC"/>
    <w:rsid w:val="0088659E"/>
    <w:rsid w:val="008866C1"/>
    <w:rsid w:val="008868CC"/>
    <w:rsid w:val="00886993"/>
    <w:rsid w:val="00886D4B"/>
    <w:rsid w:val="00886D87"/>
    <w:rsid w:val="00890095"/>
    <w:rsid w:val="008901A3"/>
    <w:rsid w:val="008906D8"/>
    <w:rsid w:val="008909A9"/>
    <w:rsid w:val="00890B52"/>
    <w:rsid w:val="00890F05"/>
    <w:rsid w:val="0089119E"/>
    <w:rsid w:val="00891E36"/>
    <w:rsid w:val="00891FD9"/>
    <w:rsid w:val="008920D5"/>
    <w:rsid w:val="008921F9"/>
    <w:rsid w:val="00892267"/>
    <w:rsid w:val="008925BA"/>
    <w:rsid w:val="0089282D"/>
    <w:rsid w:val="008928E0"/>
    <w:rsid w:val="00892922"/>
    <w:rsid w:val="00892D89"/>
    <w:rsid w:val="008930A5"/>
    <w:rsid w:val="00893175"/>
    <w:rsid w:val="008931FB"/>
    <w:rsid w:val="00893207"/>
    <w:rsid w:val="008933C8"/>
    <w:rsid w:val="00893AAD"/>
    <w:rsid w:val="00893C51"/>
    <w:rsid w:val="00893FDD"/>
    <w:rsid w:val="00894258"/>
    <w:rsid w:val="008944BB"/>
    <w:rsid w:val="008945EF"/>
    <w:rsid w:val="00894809"/>
    <w:rsid w:val="008948E5"/>
    <w:rsid w:val="00894AF6"/>
    <w:rsid w:val="00894B77"/>
    <w:rsid w:val="00894CC6"/>
    <w:rsid w:val="00894F16"/>
    <w:rsid w:val="0089531C"/>
    <w:rsid w:val="008953D2"/>
    <w:rsid w:val="00895493"/>
    <w:rsid w:val="00895D5C"/>
    <w:rsid w:val="00895E0A"/>
    <w:rsid w:val="00896B3D"/>
    <w:rsid w:val="00896BBC"/>
    <w:rsid w:val="008970CA"/>
    <w:rsid w:val="008970E5"/>
    <w:rsid w:val="00897934"/>
    <w:rsid w:val="00897BDF"/>
    <w:rsid w:val="00897D97"/>
    <w:rsid w:val="00897EB9"/>
    <w:rsid w:val="008A013F"/>
    <w:rsid w:val="008A028E"/>
    <w:rsid w:val="008A0528"/>
    <w:rsid w:val="008A06A5"/>
    <w:rsid w:val="008A0B83"/>
    <w:rsid w:val="008A0C06"/>
    <w:rsid w:val="008A0FA5"/>
    <w:rsid w:val="008A160B"/>
    <w:rsid w:val="008A17F0"/>
    <w:rsid w:val="008A1A9E"/>
    <w:rsid w:val="008A1B8D"/>
    <w:rsid w:val="008A1C22"/>
    <w:rsid w:val="008A21AC"/>
    <w:rsid w:val="008A23D3"/>
    <w:rsid w:val="008A259F"/>
    <w:rsid w:val="008A27D5"/>
    <w:rsid w:val="008A339B"/>
    <w:rsid w:val="008A3428"/>
    <w:rsid w:val="008A3914"/>
    <w:rsid w:val="008A39E3"/>
    <w:rsid w:val="008A3B07"/>
    <w:rsid w:val="008A4FD1"/>
    <w:rsid w:val="008A5513"/>
    <w:rsid w:val="008A569E"/>
    <w:rsid w:val="008A58B5"/>
    <w:rsid w:val="008A5901"/>
    <w:rsid w:val="008A5AD2"/>
    <w:rsid w:val="008A5B7C"/>
    <w:rsid w:val="008A5CE0"/>
    <w:rsid w:val="008A6255"/>
    <w:rsid w:val="008A64A7"/>
    <w:rsid w:val="008A64B6"/>
    <w:rsid w:val="008A6BFC"/>
    <w:rsid w:val="008A6EEF"/>
    <w:rsid w:val="008A6F96"/>
    <w:rsid w:val="008A7059"/>
    <w:rsid w:val="008A7400"/>
    <w:rsid w:val="008A7450"/>
    <w:rsid w:val="008A7501"/>
    <w:rsid w:val="008A766B"/>
    <w:rsid w:val="008A7871"/>
    <w:rsid w:val="008A7A0D"/>
    <w:rsid w:val="008A7B48"/>
    <w:rsid w:val="008A7E83"/>
    <w:rsid w:val="008A7EFB"/>
    <w:rsid w:val="008B0077"/>
    <w:rsid w:val="008B042B"/>
    <w:rsid w:val="008B0E98"/>
    <w:rsid w:val="008B1464"/>
    <w:rsid w:val="008B159D"/>
    <w:rsid w:val="008B189C"/>
    <w:rsid w:val="008B19CD"/>
    <w:rsid w:val="008B211A"/>
    <w:rsid w:val="008B24B6"/>
    <w:rsid w:val="008B255B"/>
    <w:rsid w:val="008B26B2"/>
    <w:rsid w:val="008B2A6F"/>
    <w:rsid w:val="008B2D55"/>
    <w:rsid w:val="008B30FB"/>
    <w:rsid w:val="008B3382"/>
    <w:rsid w:val="008B34A7"/>
    <w:rsid w:val="008B3520"/>
    <w:rsid w:val="008B3537"/>
    <w:rsid w:val="008B37AE"/>
    <w:rsid w:val="008B37FB"/>
    <w:rsid w:val="008B3862"/>
    <w:rsid w:val="008B3D56"/>
    <w:rsid w:val="008B3DB3"/>
    <w:rsid w:val="008B3E05"/>
    <w:rsid w:val="008B3FC3"/>
    <w:rsid w:val="008B43EC"/>
    <w:rsid w:val="008B43F3"/>
    <w:rsid w:val="008B45C3"/>
    <w:rsid w:val="008B4B28"/>
    <w:rsid w:val="008B4C68"/>
    <w:rsid w:val="008B4E3F"/>
    <w:rsid w:val="008B5127"/>
    <w:rsid w:val="008B550F"/>
    <w:rsid w:val="008B57B9"/>
    <w:rsid w:val="008B5C80"/>
    <w:rsid w:val="008B5C9E"/>
    <w:rsid w:val="008B5D10"/>
    <w:rsid w:val="008B5F70"/>
    <w:rsid w:val="008B5FA6"/>
    <w:rsid w:val="008B67D4"/>
    <w:rsid w:val="008B6A1A"/>
    <w:rsid w:val="008B6D1D"/>
    <w:rsid w:val="008B6E7E"/>
    <w:rsid w:val="008B6EC1"/>
    <w:rsid w:val="008B7079"/>
    <w:rsid w:val="008B7274"/>
    <w:rsid w:val="008B77F3"/>
    <w:rsid w:val="008B7AFB"/>
    <w:rsid w:val="008B7F31"/>
    <w:rsid w:val="008C0265"/>
    <w:rsid w:val="008C0BA2"/>
    <w:rsid w:val="008C0BCB"/>
    <w:rsid w:val="008C0D00"/>
    <w:rsid w:val="008C1209"/>
    <w:rsid w:val="008C12E7"/>
    <w:rsid w:val="008C1439"/>
    <w:rsid w:val="008C1459"/>
    <w:rsid w:val="008C1F31"/>
    <w:rsid w:val="008C22BE"/>
    <w:rsid w:val="008C23AB"/>
    <w:rsid w:val="008C2801"/>
    <w:rsid w:val="008C2A2C"/>
    <w:rsid w:val="008C2DDE"/>
    <w:rsid w:val="008C3605"/>
    <w:rsid w:val="008C38E9"/>
    <w:rsid w:val="008C391F"/>
    <w:rsid w:val="008C3983"/>
    <w:rsid w:val="008C3A95"/>
    <w:rsid w:val="008C3AF2"/>
    <w:rsid w:val="008C452D"/>
    <w:rsid w:val="008C48BF"/>
    <w:rsid w:val="008C49F9"/>
    <w:rsid w:val="008C4A55"/>
    <w:rsid w:val="008C4B06"/>
    <w:rsid w:val="008C4B0B"/>
    <w:rsid w:val="008C4D0C"/>
    <w:rsid w:val="008C502F"/>
    <w:rsid w:val="008C504A"/>
    <w:rsid w:val="008C50A6"/>
    <w:rsid w:val="008C5334"/>
    <w:rsid w:val="008C5639"/>
    <w:rsid w:val="008C569F"/>
    <w:rsid w:val="008C5872"/>
    <w:rsid w:val="008C593F"/>
    <w:rsid w:val="008C5CC8"/>
    <w:rsid w:val="008C6873"/>
    <w:rsid w:val="008C69F4"/>
    <w:rsid w:val="008C6E12"/>
    <w:rsid w:val="008C71E0"/>
    <w:rsid w:val="008C730E"/>
    <w:rsid w:val="008C73D4"/>
    <w:rsid w:val="008C7A70"/>
    <w:rsid w:val="008C7B77"/>
    <w:rsid w:val="008C7CD2"/>
    <w:rsid w:val="008C7DE5"/>
    <w:rsid w:val="008C7EA5"/>
    <w:rsid w:val="008D02BD"/>
    <w:rsid w:val="008D02C8"/>
    <w:rsid w:val="008D03E9"/>
    <w:rsid w:val="008D04DD"/>
    <w:rsid w:val="008D04E1"/>
    <w:rsid w:val="008D0553"/>
    <w:rsid w:val="008D0702"/>
    <w:rsid w:val="008D08A6"/>
    <w:rsid w:val="008D0C6D"/>
    <w:rsid w:val="008D0FA9"/>
    <w:rsid w:val="008D0FF3"/>
    <w:rsid w:val="008D111C"/>
    <w:rsid w:val="008D11C8"/>
    <w:rsid w:val="008D1A36"/>
    <w:rsid w:val="008D1A7F"/>
    <w:rsid w:val="008D1F28"/>
    <w:rsid w:val="008D211B"/>
    <w:rsid w:val="008D23B1"/>
    <w:rsid w:val="008D247F"/>
    <w:rsid w:val="008D2620"/>
    <w:rsid w:val="008D2667"/>
    <w:rsid w:val="008D2C1E"/>
    <w:rsid w:val="008D2DF4"/>
    <w:rsid w:val="008D2F4F"/>
    <w:rsid w:val="008D3145"/>
    <w:rsid w:val="008D319A"/>
    <w:rsid w:val="008D37F6"/>
    <w:rsid w:val="008D3A6F"/>
    <w:rsid w:val="008D3B70"/>
    <w:rsid w:val="008D3B8A"/>
    <w:rsid w:val="008D3BF9"/>
    <w:rsid w:val="008D3C1A"/>
    <w:rsid w:val="008D3CA0"/>
    <w:rsid w:val="008D3D94"/>
    <w:rsid w:val="008D4071"/>
    <w:rsid w:val="008D44A4"/>
    <w:rsid w:val="008D4533"/>
    <w:rsid w:val="008D46FC"/>
    <w:rsid w:val="008D4705"/>
    <w:rsid w:val="008D4B74"/>
    <w:rsid w:val="008D4CAB"/>
    <w:rsid w:val="008D4D6F"/>
    <w:rsid w:val="008D4EAF"/>
    <w:rsid w:val="008D5050"/>
    <w:rsid w:val="008D5760"/>
    <w:rsid w:val="008D5AC0"/>
    <w:rsid w:val="008D5BDF"/>
    <w:rsid w:val="008D5DAB"/>
    <w:rsid w:val="008D5E5C"/>
    <w:rsid w:val="008D6300"/>
    <w:rsid w:val="008D676D"/>
    <w:rsid w:val="008D6895"/>
    <w:rsid w:val="008D70FC"/>
    <w:rsid w:val="008D71A7"/>
    <w:rsid w:val="008D7418"/>
    <w:rsid w:val="008D74FA"/>
    <w:rsid w:val="008D7C0F"/>
    <w:rsid w:val="008D7E40"/>
    <w:rsid w:val="008E00C3"/>
    <w:rsid w:val="008E0292"/>
    <w:rsid w:val="008E0562"/>
    <w:rsid w:val="008E09EA"/>
    <w:rsid w:val="008E0E94"/>
    <w:rsid w:val="008E0F46"/>
    <w:rsid w:val="008E161D"/>
    <w:rsid w:val="008E167F"/>
    <w:rsid w:val="008E183A"/>
    <w:rsid w:val="008E1ACB"/>
    <w:rsid w:val="008E1D14"/>
    <w:rsid w:val="008E200A"/>
    <w:rsid w:val="008E20D8"/>
    <w:rsid w:val="008E22DB"/>
    <w:rsid w:val="008E24D5"/>
    <w:rsid w:val="008E2B7D"/>
    <w:rsid w:val="008E2C69"/>
    <w:rsid w:val="008E307B"/>
    <w:rsid w:val="008E3353"/>
    <w:rsid w:val="008E38E9"/>
    <w:rsid w:val="008E3A0E"/>
    <w:rsid w:val="008E3BC1"/>
    <w:rsid w:val="008E3BFA"/>
    <w:rsid w:val="008E3CF3"/>
    <w:rsid w:val="008E3D0A"/>
    <w:rsid w:val="008E3E24"/>
    <w:rsid w:val="008E3EB7"/>
    <w:rsid w:val="008E4102"/>
    <w:rsid w:val="008E420D"/>
    <w:rsid w:val="008E4337"/>
    <w:rsid w:val="008E4513"/>
    <w:rsid w:val="008E4831"/>
    <w:rsid w:val="008E48F4"/>
    <w:rsid w:val="008E4C0F"/>
    <w:rsid w:val="008E4C5F"/>
    <w:rsid w:val="008E50B4"/>
    <w:rsid w:val="008E5349"/>
    <w:rsid w:val="008E55A7"/>
    <w:rsid w:val="008E5E4F"/>
    <w:rsid w:val="008E6049"/>
    <w:rsid w:val="008E6476"/>
    <w:rsid w:val="008E68C1"/>
    <w:rsid w:val="008E697B"/>
    <w:rsid w:val="008E69A0"/>
    <w:rsid w:val="008E6A3E"/>
    <w:rsid w:val="008E6E31"/>
    <w:rsid w:val="008E6E81"/>
    <w:rsid w:val="008E6ED5"/>
    <w:rsid w:val="008E7046"/>
    <w:rsid w:val="008E708C"/>
    <w:rsid w:val="008E7770"/>
    <w:rsid w:val="008E7869"/>
    <w:rsid w:val="008E79BC"/>
    <w:rsid w:val="008E7A5F"/>
    <w:rsid w:val="008E7EB2"/>
    <w:rsid w:val="008F006B"/>
    <w:rsid w:val="008F0324"/>
    <w:rsid w:val="008F09EA"/>
    <w:rsid w:val="008F1994"/>
    <w:rsid w:val="008F1B51"/>
    <w:rsid w:val="008F21E7"/>
    <w:rsid w:val="008F2458"/>
    <w:rsid w:val="008F2C1E"/>
    <w:rsid w:val="008F2D2B"/>
    <w:rsid w:val="008F2F0F"/>
    <w:rsid w:val="008F2FCD"/>
    <w:rsid w:val="008F3026"/>
    <w:rsid w:val="008F3167"/>
    <w:rsid w:val="008F3302"/>
    <w:rsid w:val="008F341C"/>
    <w:rsid w:val="008F3426"/>
    <w:rsid w:val="008F3B16"/>
    <w:rsid w:val="008F3F67"/>
    <w:rsid w:val="008F4484"/>
    <w:rsid w:val="008F45F9"/>
    <w:rsid w:val="008F4E6B"/>
    <w:rsid w:val="008F50EC"/>
    <w:rsid w:val="008F5285"/>
    <w:rsid w:val="008F5362"/>
    <w:rsid w:val="008F582D"/>
    <w:rsid w:val="008F58BE"/>
    <w:rsid w:val="008F58EB"/>
    <w:rsid w:val="008F597A"/>
    <w:rsid w:val="008F599D"/>
    <w:rsid w:val="008F59B3"/>
    <w:rsid w:val="008F5B10"/>
    <w:rsid w:val="008F5B6C"/>
    <w:rsid w:val="008F5E2C"/>
    <w:rsid w:val="008F6000"/>
    <w:rsid w:val="008F6911"/>
    <w:rsid w:val="008F69A7"/>
    <w:rsid w:val="008F69E5"/>
    <w:rsid w:val="008F6B02"/>
    <w:rsid w:val="008F7189"/>
    <w:rsid w:val="008F727A"/>
    <w:rsid w:val="008F78E1"/>
    <w:rsid w:val="008F7C3E"/>
    <w:rsid w:val="009001F1"/>
    <w:rsid w:val="009002ED"/>
    <w:rsid w:val="0090050C"/>
    <w:rsid w:val="0090089F"/>
    <w:rsid w:val="009008E7"/>
    <w:rsid w:val="00900C35"/>
    <w:rsid w:val="00900DD3"/>
    <w:rsid w:val="00900DD8"/>
    <w:rsid w:val="009011A0"/>
    <w:rsid w:val="009012AD"/>
    <w:rsid w:val="0090137F"/>
    <w:rsid w:val="00901432"/>
    <w:rsid w:val="009014DA"/>
    <w:rsid w:val="009015A4"/>
    <w:rsid w:val="009015F2"/>
    <w:rsid w:val="00901AA2"/>
    <w:rsid w:val="00901B2C"/>
    <w:rsid w:val="00902321"/>
    <w:rsid w:val="009026BA"/>
    <w:rsid w:val="00902836"/>
    <w:rsid w:val="00902992"/>
    <w:rsid w:val="00902AA1"/>
    <w:rsid w:val="00902CCB"/>
    <w:rsid w:val="00903557"/>
    <w:rsid w:val="009035E9"/>
    <w:rsid w:val="009038F8"/>
    <w:rsid w:val="00903BDD"/>
    <w:rsid w:val="00903D47"/>
    <w:rsid w:val="009041AF"/>
    <w:rsid w:val="00904223"/>
    <w:rsid w:val="0090455D"/>
    <w:rsid w:val="00904C8B"/>
    <w:rsid w:val="00904E52"/>
    <w:rsid w:val="00904E53"/>
    <w:rsid w:val="00904EEF"/>
    <w:rsid w:val="009051F0"/>
    <w:rsid w:val="0090526F"/>
    <w:rsid w:val="00905310"/>
    <w:rsid w:val="009055CC"/>
    <w:rsid w:val="00905844"/>
    <w:rsid w:val="00905F97"/>
    <w:rsid w:val="00906601"/>
    <w:rsid w:val="009067AC"/>
    <w:rsid w:val="009068F1"/>
    <w:rsid w:val="00906929"/>
    <w:rsid w:val="00906A13"/>
    <w:rsid w:val="00906A73"/>
    <w:rsid w:val="00906B07"/>
    <w:rsid w:val="009074B1"/>
    <w:rsid w:val="00907804"/>
    <w:rsid w:val="00907AD9"/>
    <w:rsid w:val="00907F17"/>
    <w:rsid w:val="00910084"/>
    <w:rsid w:val="0091040F"/>
    <w:rsid w:val="009105B6"/>
    <w:rsid w:val="009105C0"/>
    <w:rsid w:val="0091077D"/>
    <w:rsid w:val="009108AE"/>
    <w:rsid w:val="00910DDD"/>
    <w:rsid w:val="00911139"/>
    <w:rsid w:val="00911198"/>
    <w:rsid w:val="00911644"/>
    <w:rsid w:val="009116A3"/>
    <w:rsid w:val="009116C6"/>
    <w:rsid w:val="00911718"/>
    <w:rsid w:val="00912122"/>
    <w:rsid w:val="00912868"/>
    <w:rsid w:val="009129FD"/>
    <w:rsid w:val="00912B5C"/>
    <w:rsid w:val="00912BB3"/>
    <w:rsid w:val="00912CF2"/>
    <w:rsid w:val="00913271"/>
    <w:rsid w:val="00913815"/>
    <w:rsid w:val="00913990"/>
    <w:rsid w:val="00913B8F"/>
    <w:rsid w:val="0091458C"/>
    <w:rsid w:val="0091466F"/>
    <w:rsid w:val="00914709"/>
    <w:rsid w:val="00914A15"/>
    <w:rsid w:val="00914FD8"/>
    <w:rsid w:val="00915B17"/>
    <w:rsid w:val="00915C44"/>
    <w:rsid w:val="00915D19"/>
    <w:rsid w:val="00916053"/>
    <w:rsid w:val="0091635E"/>
    <w:rsid w:val="0091652A"/>
    <w:rsid w:val="009165C8"/>
    <w:rsid w:val="00916692"/>
    <w:rsid w:val="00916E09"/>
    <w:rsid w:val="00916F7D"/>
    <w:rsid w:val="00916FE4"/>
    <w:rsid w:val="00917664"/>
    <w:rsid w:val="00917AC1"/>
    <w:rsid w:val="00917C3D"/>
    <w:rsid w:val="00917D65"/>
    <w:rsid w:val="0092097C"/>
    <w:rsid w:val="00920C8A"/>
    <w:rsid w:val="00920C8B"/>
    <w:rsid w:val="00920D66"/>
    <w:rsid w:val="00921057"/>
    <w:rsid w:val="00921429"/>
    <w:rsid w:val="009215B5"/>
    <w:rsid w:val="00921630"/>
    <w:rsid w:val="009219B8"/>
    <w:rsid w:val="00921A9A"/>
    <w:rsid w:val="00921E05"/>
    <w:rsid w:val="00922084"/>
    <w:rsid w:val="009222C5"/>
    <w:rsid w:val="00922BED"/>
    <w:rsid w:val="00922C14"/>
    <w:rsid w:val="00922D5B"/>
    <w:rsid w:val="00922ED1"/>
    <w:rsid w:val="00923100"/>
    <w:rsid w:val="0092314D"/>
    <w:rsid w:val="009235FF"/>
    <w:rsid w:val="009238FF"/>
    <w:rsid w:val="00923DBE"/>
    <w:rsid w:val="00923EA2"/>
    <w:rsid w:val="00923F5C"/>
    <w:rsid w:val="00924469"/>
    <w:rsid w:val="009247D9"/>
    <w:rsid w:val="00924836"/>
    <w:rsid w:val="009249BB"/>
    <w:rsid w:val="00924BB0"/>
    <w:rsid w:val="00924E3E"/>
    <w:rsid w:val="0092501A"/>
    <w:rsid w:val="00925409"/>
    <w:rsid w:val="009258EE"/>
    <w:rsid w:val="00925BBD"/>
    <w:rsid w:val="00925E7E"/>
    <w:rsid w:val="00925F26"/>
    <w:rsid w:val="009262E7"/>
    <w:rsid w:val="00926378"/>
    <w:rsid w:val="009263A1"/>
    <w:rsid w:val="009263F2"/>
    <w:rsid w:val="0092669A"/>
    <w:rsid w:val="009267A7"/>
    <w:rsid w:val="0092708E"/>
    <w:rsid w:val="00927130"/>
    <w:rsid w:val="00927311"/>
    <w:rsid w:val="009273D5"/>
    <w:rsid w:val="009276D7"/>
    <w:rsid w:val="00927972"/>
    <w:rsid w:val="009279A8"/>
    <w:rsid w:val="00927A66"/>
    <w:rsid w:val="00927B5A"/>
    <w:rsid w:val="009305BC"/>
    <w:rsid w:val="00930A07"/>
    <w:rsid w:val="00930BE8"/>
    <w:rsid w:val="00930D4C"/>
    <w:rsid w:val="00930E06"/>
    <w:rsid w:val="00930F1E"/>
    <w:rsid w:val="00931798"/>
    <w:rsid w:val="00931B24"/>
    <w:rsid w:val="00931B4E"/>
    <w:rsid w:val="00931EA9"/>
    <w:rsid w:val="0093260C"/>
    <w:rsid w:val="00932786"/>
    <w:rsid w:val="00932928"/>
    <w:rsid w:val="00932D50"/>
    <w:rsid w:val="00932E72"/>
    <w:rsid w:val="0093395D"/>
    <w:rsid w:val="00933A55"/>
    <w:rsid w:val="00933D41"/>
    <w:rsid w:val="00933E3D"/>
    <w:rsid w:val="00933F32"/>
    <w:rsid w:val="0093430A"/>
    <w:rsid w:val="00934874"/>
    <w:rsid w:val="00934919"/>
    <w:rsid w:val="009349DE"/>
    <w:rsid w:val="00934B70"/>
    <w:rsid w:val="00934E53"/>
    <w:rsid w:val="00935357"/>
    <w:rsid w:val="009354D3"/>
    <w:rsid w:val="0093574F"/>
    <w:rsid w:val="009357BB"/>
    <w:rsid w:val="00935C0D"/>
    <w:rsid w:val="009361D3"/>
    <w:rsid w:val="0093623A"/>
    <w:rsid w:val="009364FD"/>
    <w:rsid w:val="00936756"/>
    <w:rsid w:val="009368C0"/>
    <w:rsid w:val="00936B8A"/>
    <w:rsid w:val="00936E8C"/>
    <w:rsid w:val="00936EC5"/>
    <w:rsid w:val="00937069"/>
    <w:rsid w:val="00937627"/>
    <w:rsid w:val="009376FF"/>
    <w:rsid w:val="00937C22"/>
    <w:rsid w:val="00937EF5"/>
    <w:rsid w:val="00940023"/>
    <w:rsid w:val="00940E4A"/>
    <w:rsid w:val="00941109"/>
    <w:rsid w:val="0094112E"/>
    <w:rsid w:val="009411E9"/>
    <w:rsid w:val="00941395"/>
    <w:rsid w:val="009414B1"/>
    <w:rsid w:val="0094196C"/>
    <w:rsid w:val="00941A70"/>
    <w:rsid w:val="00941C8D"/>
    <w:rsid w:val="00941D7C"/>
    <w:rsid w:val="00941FC5"/>
    <w:rsid w:val="00942013"/>
    <w:rsid w:val="009422EA"/>
    <w:rsid w:val="009426DA"/>
    <w:rsid w:val="00943326"/>
    <w:rsid w:val="009434B6"/>
    <w:rsid w:val="0094372F"/>
    <w:rsid w:val="009437F6"/>
    <w:rsid w:val="0094389F"/>
    <w:rsid w:val="00943DA9"/>
    <w:rsid w:val="00943E0D"/>
    <w:rsid w:val="00943F3B"/>
    <w:rsid w:val="00944236"/>
    <w:rsid w:val="00944355"/>
    <w:rsid w:val="00944545"/>
    <w:rsid w:val="0094473E"/>
    <w:rsid w:val="00944B18"/>
    <w:rsid w:val="00944BFC"/>
    <w:rsid w:val="00945270"/>
    <w:rsid w:val="009455E4"/>
    <w:rsid w:val="00945EB0"/>
    <w:rsid w:val="00945FA3"/>
    <w:rsid w:val="009461D2"/>
    <w:rsid w:val="00946332"/>
    <w:rsid w:val="0094638A"/>
    <w:rsid w:val="00946780"/>
    <w:rsid w:val="00946F18"/>
    <w:rsid w:val="0094710E"/>
    <w:rsid w:val="00947132"/>
    <w:rsid w:val="009478A0"/>
    <w:rsid w:val="009478FB"/>
    <w:rsid w:val="009479B2"/>
    <w:rsid w:val="00947BC0"/>
    <w:rsid w:val="00947C98"/>
    <w:rsid w:val="00947E62"/>
    <w:rsid w:val="00947EDE"/>
    <w:rsid w:val="009500D1"/>
    <w:rsid w:val="009504B2"/>
    <w:rsid w:val="0095077D"/>
    <w:rsid w:val="00950916"/>
    <w:rsid w:val="00950DB3"/>
    <w:rsid w:val="00950E31"/>
    <w:rsid w:val="00951146"/>
    <w:rsid w:val="009511F7"/>
    <w:rsid w:val="009512A1"/>
    <w:rsid w:val="009516D2"/>
    <w:rsid w:val="009517A7"/>
    <w:rsid w:val="009519D2"/>
    <w:rsid w:val="00951AD2"/>
    <w:rsid w:val="00951B5B"/>
    <w:rsid w:val="00951CF1"/>
    <w:rsid w:val="00951D5C"/>
    <w:rsid w:val="0095247D"/>
    <w:rsid w:val="0095257C"/>
    <w:rsid w:val="009529FA"/>
    <w:rsid w:val="00952DC2"/>
    <w:rsid w:val="00953144"/>
    <w:rsid w:val="00953935"/>
    <w:rsid w:val="00953A37"/>
    <w:rsid w:val="00953A4E"/>
    <w:rsid w:val="00953B3D"/>
    <w:rsid w:val="00953DC3"/>
    <w:rsid w:val="00953FE7"/>
    <w:rsid w:val="009541EC"/>
    <w:rsid w:val="009543B6"/>
    <w:rsid w:val="00954455"/>
    <w:rsid w:val="009544E0"/>
    <w:rsid w:val="00954914"/>
    <w:rsid w:val="0095496B"/>
    <w:rsid w:val="00954B5D"/>
    <w:rsid w:val="00954DB9"/>
    <w:rsid w:val="00954E02"/>
    <w:rsid w:val="00954EAE"/>
    <w:rsid w:val="00954F61"/>
    <w:rsid w:val="009555D2"/>
    <w:rsid w:val="009555F6"/>
    <w:rsid w:val="0095682E"/>
    <w:rsid w:val="009568E1"/>
    <w:rsid w:val="00956928"/>
    <w:rsid w:val="00956A91"/>
    <w:rsid w:val="00956BCC"/>
    <w:rsid w:val="00956DAB"/>
    <w:rsid w:val="009570A4"/>
    <w:rsid w:val="009572B3"/>
    <w:rsid w:val="009573C9"/>
    <w:rsid w:val="0095777B"/>
    <w:rsid w:val="00957BB6"/>
    <w:rsid w:val="00957E61"/>
    <w:rsid w:val="009604BA"/>
    <w:rsid w:val="009606AA"/>
    <w:rsid w:val="009608DE"/>
    <w:rsid w:val="00960E1A"/>
    <w:rsid w:val="009611E4"/>
    <w:rsid w:val="00961248"/>
    <w:rsid w:val="0096127A"/>
    <w:rsid w:val="0096163A"/>
    <w:rsid w:val="0096165D"/>
    <w:rsid w:val="009619B3"/>
    <w:rsid w:val="00961A74"/>
    <w:rsid w:val="00961B69"/>
    <w:rsid w:val="00962127"/>
    <w:rsid w:val="00962A84"/>
    <w:rsid w:val="009630FC"/>
    <w:rsid w:val="00963538"/>
    <w:rsid w:val="00963D14"/>
    <w:rsid w:val="00963D89"/>
    <w:rsid w:val="0096473A"/>
    <w:rsid w:val="0096484A"/>
    <w:rsid w:val="00964B57"/>
    <w:rsid w:val="00964BA2"/>
    <w:rsid w:val="00965188"/>
    <w:rsid w:val="00965411"/>
    <w:rsid w:val="00965578"/>
    <w:rsid w:val="009655EF"/>
    <w:rsid w:val="00965629"/>
    <w:rsid w:val="00965BE0"/>
    <w:rsid w:val="00966296"/>
    <w:rsid w:val="00966526"/>
    <w:rsid w:val="0096686B"/>
    <w:rsid w:val="009669C2"/>
    <w:rsid w:val="00966A33"/>
    <w:rsid w:val="00966ABF"/>
    <w:rsid w:val="00966DE7"/>
    <w:rsid w:val="00966DFC"/>
    <w:rsid w:val="009673C1"/>
    <w:rsid w:val="00967545"/>
    <w:rsid w:val="0096763A"/>
    <w:rsid w:val="00967C01"/>
    <w:rsid w:val="00967C3D"/>
    <w:rsid w:val="00967CFC"/>
    <w:rsid w:val="00967E09"/>
    <w:rsid w:val="0097021A"/>
    <w:rsid w:val="00970224"/>
    <w:rsid w:val="009704B6"/>
    <w:rsid w:val="009707BB"/>
    <w:rsid w:val="00970931"/>
    <w:rsid w:val="00970D89"/>
    <w:rsid w:val="00970DC5"/>
    <w:rsid w:val="00970FB8"/>
    <w:rsid w:val="00971470"/>
    <w:rsid w:val="0097147A"/>
    <w:rsid w:val="0097153A"/>
    <w:rsid w:val="00971864"/>
    <w:rsid w:val="009718C7"/>
    <w:rsid w:val="00971DC2"/>
    <w:rsid w:val="00972233"/>
    <w:rsid w:val="0097227F"/>
    <w:rsid w:val="00972596"/>
    <w:rsid w:val="00972AFB"/>
    <w:rsid w:val="00972D00"/>
    <w:rsid w:val="0097384F"/>
    <w:rsid w:val="00973D00"/>
    <w:rsid w:val="00973EB2"/>
    <w:rsid w:val="00974175"/>
    <w:rsid w:val="00974510"/>
    <w:rsid w:val="00974A5B"/>
    <w:rsid w:val="00974B27"/>
    <w:rsid w:val="00974D2A"/>
    <w:rsid w:val="00974DA9"/>
    <w:rsid w:val="00975097"/>
    <w:rsid w:val="00975099"/>
    <w:rsid w:val="0097577A"/>
    <w:rsid w:val="00975A36"/>
    <w:rsid w:val="00975EFA"/>
    <w:rsid w:val="00975F62"/>
    <w:rsid w:val="0097608E"/>
    <w:rsid w:val="00976804"/>
    <w:rsid w:val="00976829"/>
    <w:rsid w:val="00976DC1"/>
    <w:rsid w:val="00976E26"/>
    <w:rsid w:val="0097707D"/>
    <w:rsid w:val="009779BB"/>
    <w:rsid w:val="00977D26"/>
    <w:rsid w:val="00977D2F"/>
    <w:rsid w:val="0098037D"/>
    <w:rsid w:val="0098069C"/>
    <w:rsid w:val="00980BC3"/>
    <w:rsid w:val="00980BE0"/>
    <w:rsid w:val="00980DD8"/>
    <w:rsid w:val="009813EF"/>
    <w:rsid w:val="00981408"/>
    <w:rsid w:val="009814F5"/>
    <w:rsid w:val="0098156B"/>
    <w:rsid w:val="009818A2"/>
    <w:rsid w:val="009818B3"/>
    <w:rsid w:val="009819BE"/>
    <w:rsid w:val="00981BF9"/>
    <w:rsid w:val="00981DEF"/>
    <w:rsid w:val="00981E91"/>
    <w:rsid w:val="00982081"/>
    <w:rsid w:val="0098253C"/>
    <w:rsid w:val="009828E1"/>
    <w:rsid w:val="009831E2"/>
    <w:rsid w:val="009831ED"/>
    <w:rsid w:val="0098325C"/>
    <w:rsid w:val="00983408"/>
    <w:rsid w:val="0098374D"/>
    <w:rsid w:val="00983870"/>
    <w:rsid w:val="00983E62"/>
    <w:rsid w:val="00984541"/>
    <w:rsid w:val="0098463B"/>
    <w:rsid w:val="00985325"/>
    <w:rsid w:val="009853E8"/>
    <w:rsid w:val="00985D7B"/>
    <w:rsid w:val="00985D90"/>
    <w:rsid w:val="00985EC1"/>
    <w:rsid w:val="00986210"/>
    <w:rsid w:val="0098638E"/>
    <w:rsid w:val="009863EA"/>
    <w:rsid w:val="009864DC"/>
    <w:rsid w:val="009864E2"/>
    <w:rsid w:val="0098651E"/>
    <w:rsid w:val="0098658D"/>
    <w:rsid w:val="00986878"/>
    <w:rsid w:val="00986BE7"/>
    <w:rsid w:val="00986D4F"/>
    <w:rsid w:val="00986E80"/>
    <w:rsid w:val="00987626"/>
    <w:rsid w:val="009877D8"/>
    <w:rsid w:val="00987B33"/>
    <w:rsid w:val="00987D2E"/>
    <w:rsid w:val="00987EDD"/>
    <w:rsid w:val="00987F9F"/>
    <w:rsid w:val="009901B7"/>
    <w:rsid w:val="00990236"/>
    <w:rsid w:val="009907EB"/>
    <w:rsid w:val="00990889"/>
    <w:rsid w:val="00990C7F"/>
    <w:rsid w:val="00990E72"/>
    <w:rsid w:val="00991214"/>
    <w:rsid w:val="00991334"/>
    <w:rsid w:val="009913BC"/>
    <w:rsid w:val="0099178D"/>
    <w:rsid w:val="00991C4E"/>
    <w:rsid w:val="00991D97"/>
    <w:rsid w:val="00991EDD"/>
    <w:rsid w:val="00991FCA"/>
    <w:rsid w:val="009921DB"/>
    <w:rsid w:val="009925ED"/>
    <w:rsid w:val="009928C8"/>
    <w:rsid w:val="00992972"/>
    <w:rsid w:val="0099337E"/>
    <w:rsid w:val="0099352B"/>
    <w:rsid w:val="00993608"/>
    <w:rsid w:val="00993625"/>
    <w:rsid w:val="0099382C"/>
    <w:rsid w:val="00993908"/>
    <w:rsid w:val="00993A10"/>
    <w:rsid w:val="00993B11"/>
    <w:rsid w:val="00993D4C"/>
    <w:rsid w:val="00995245"/>
    <w:rsid w:val="00995610"/>
    <w:rsid w:val="009956CF"/>
    <w:rsid w:val="009957CA"/>
    <w:rsid w:val="009959CE"/>
    <w:rsid w:val="00995BA7"/>
    <w:rsid w:val="0099623E"/>
    <w:rsid w:val="00996396"/>
    <w:rsid w:val="00996602"/>
    <w:rsid w:val="0099664A"/>
    <w:rsid w:val="00996A7A"/>
    <w:rsid w:val="00996E51"/>
    <w:rsid w:val="00996F1E"/>
    <w:rsid w:val="009970D6"/>
    <w:rsid w:val="00997204"/>
    <w:rsid w:val="009972CF"/>
    <w:rsid w:val="00997BAA"/>
    <w:rsid w:val="00997E15"/>
    <w:rsid w:val="00997F03"/>
    <w:rsid w:val="00997FB2"/>
    <w:rsid w:val="009A0279"/>
    <w:rsid w:val="009A0530"/>
    <w:rsid w:val="009A0762"/>
    <w:rsid w:val="009A0928"/>
    <w:rsid w:val="009A0A30"/>
    <w:rsid w:val="009A1077"/>
    <w:rsid w:val="009A117D"/>
    <w:rsid w:val="009A126E"/>
    <w:rsid w:val="009A1479"/>
    <w:rsid w:val="009A15B7"/>
    <w:rsid w:val="009A1742"/>
    <w:rsid w:val="009A1C12"/>
    <w:rsid w:val="009A201A"/>
    <w:rsid w:val="009A221E"/>
    <w:rsid w:val="009A24B2"/>
    <w:rsid w:val="009A26A4"/>
    <w:rsid w:val="009A2AA2"/>
    <w:rsid w:val="009A2BC9"/>
    <w:rsid w:val="009A2C7D"/>
    <w:rsid w:val="009A308D"/>
    <w:rsid w:val="009A316C"/>
    <w:rsid w:val="009A3284"/>
    <w:rsid w:val="009A36D1"/>
    <w:rsid w:val="009A3CB6"/>
    <w:rsid w:val="009A416C"/>
    <w:rsid w:val="009A4589"/>
    <w:rsid w:val="009A4BCF"/>
    <w:rsid w:val="009A4E31"/>
    <w:rsid w:val="009A513C"/>
    <w:rsid w:val="009A51A5"/>
    <w:rsid w:val="009A5939"/>
    <w:rsid w:val="009A5C96"/>
    <w:rsid w:val="009A5D08"/>
    <w:rsid w:val="009A5D27"/>
    <w:rsid w:val="009A65F0"/>
    <w:rsid w:val="009A68C5"/>
    <w:rsid w:val="009A7135"/>
    <w:rsid w:val="009A7524"/>
    <w:rsid w:val="009A768B"/>
    <w:rsid w:val="009A7831"/>
    <w:rsid w:val="009A7AF6"/>
    <w:rsid w:val="009B0821"/>
    <w:rsid w:val="009B091F"/>
    <w:rsid w:val="009B0E5E"/>
    <w:rsid w:val="009B0F60"/>
    <w:rsid w:val="009B119F"/>
    <w:rsid w:val="009B14D8"/>
    <w:rsid w:val="009B1635"/>
    <w:rsid w:val="009B17F9"/>
    <w:rsid w:val="009B1A87"/>
    <w:rsid w:val="009B1DC8"/>
    <w:rsid w:val="009B2032"/>
    <w:rsid w:val="009B219E"/>
    <w:rsid w:val="009B2A3C"/>
    <w:rsid w:val="009B2C3B"/>
    <w:rsid w:val="009B2C4A"/>
    <w:rsid w:val="009B2DA6"/>
    <w:rsid w:val="009B36D0"/>
    <w:rsid w:val="009B373E"/>
    <w:rsid w:val="009B3751"/>
    <w:rsid w:val="009B3D51"/>
    <w:rsid w:val="009B43DB"/>
    <w:rsid w:val="009B4442"/>
    <w:rsid w:val="009B4837"/>
    <w:rsid w:val="009B4938"/>
    <w:rsid w:val="009B49D5"/>
    <w:rsid w:val="009B4E68"/>
    <w:rsid w:val="009B4F9A"/>
    <w:rsid w:val="009B52EA"/>
    <w:rsid w:val="009B5900"/>
    <w:rsid w:val="009B64E7"/>
    <w:rsid w:val="009B65F9"/>
    <w:rsid w:val="009B66B5"/>
    <w:rsid w:val="009B696C"/>
    <w:rsid w:val="009B69C7"/>
    <w:rsid w:val="009B71C0"/>
    <w:rsid w:val="009B72F6"/>
    <w:rsid w:val="009B73D0"/>
    <w:rsid w:val="009B75DD"/>
    <w:rsid w:val="009B7BD1"/>
    <w:rsid w:val="009C05A1"/>
    <w:rsid w:val="009C07B1"/>
    <w:rsid w:val="009C0893"/>
    <w:rsid w:val="009C0996"/>
    <w:rsid w:val="009C0C79"/>
    <w:rsid w:val="009C0EAA"/>
    <w:rsid w:val="009C0F6D"/>
    <w:rsid w:val="009C0F72"/>
    <w:rsid w:val="009C11FA"/>
    <w:rsid w:val="009C2156"/>
    <w:rsid w:val="009C2533"/>
    <w:rsid w:val="009C2542"/>
    <w:rsid w:val="009C27FF"/>
    <w:rsid w:val="009C28C1"/>
    <w:rsid w:val="009C28E0"/>
    <w:rsid w:val="009C2A0B"/>
    <w:rsid w:val="009C2D6B"/>
    <w:rsid w:val="009C2F9C"/>
    <w:rsid w:val="009C392D"/>
    <w:rsid w:val="009C39B9"/>
    <w:rsid w:val="009C3DC9"/>
    <w:rsid w:val="009C4196"/>
    <w:rsid w:val="009C4839"/>
    <w:rsid w:val="009C4899"/>
    <w:rsid w:val="009C4958"/>
    <w:rsid w:val="009C497B"/>
    <w:rsid w:val="009C562D"/>
    <w:rsid w:val="009C5BF6"/>
    <w:rsid w:val="009C5C6B"/>
    <w:rsid w:val="009C63AE"/>
    <w:rsid w:val="009C646A"/>
    <w:rsid w:val="009C6581"/>
    <w:rsid w:val="009C65CA"/>
    <w:rsid w:val="009C74B5"/>
    <w:rsid w:val="009C77BD"/>
    <w:rsid w:val="009C7B90"/>
    <w:rsid w:val="009C7CAC"/>
    <w:rsid w:val="009D025A"/>
    <w:rsid w:val="009D025E"/>
    <w:rsid w:val="009D028D"/>
    <w:rsid w:val="009D1220"/>
    <w:rsid w:val="009D132C"/>
    <w:rsid w:val="009D13C3"/>
    <w:rsid w:val="009D1AC5"/>
    <w:rsid w:val="009D1B2A"/>
    <w:rsid w:val="009D1C17"/>
    <w:rsid w:val="009D1C70"/>
    <w:rsid w:val="009D1EC2"/>
    <w:rsid w:val="009D1F62"/>
    <w:rsid w:val="009D24B7"/>
    <w:rsid w:val="009D261B"/>
    <w:rsid w:val="009D2744"/>
    <w:rsid w:val="009D285B"/>
    <w:rsid w:val="009D2976"/>
    <w:rsid w:val="009D299E"/>
    <w:rsid w:val="009D29BD"/>
    <w:rsid w:val="009D2B6E"/>
    <w:rsid w:val="009D2CDD"/>
    <w:rsid w:val="009D2F4D"/>
    <w:rsid w:val="009D2FDE"/>
    <w:rsid w:val="009D3835"/>
    <w:rsid w:val="009D3A72"/>
    <w:rsid w:val="009D3AAA"/>
    <w:rsid w:val="009D3D40"/>
    <w:rsid w:val="009D4215"/>
    <w:rsid w:val="009D446F"/>
    <w:rsid w:val="009D48CF"/>
    <w:rsid w:val="009D4B06"/>
    <w:rsid w:val="009D4B6B"/>
    <w:rsid w:val="009D4E23"/>
    <w:rsid w:val="009D506E"/>
    <w:rsid w:val="009D51ED"/>
    <w:rsid w:val="009D5689"/>
    <w:rsid w:val="009D5967"/>
    <w:rsid w:val="009D5B77"/>
    <w:rsid w:val="009D5C40"/>
    <w:rsid w:val="009D5F85"/>
    <w:rsid w:val="009D61D7"/>
    <w:rsid w:val="009D6590"/>
    <w:rsid w:val="009D6687"/>
    <w:rsid w:val="009D669C"/>
    <w:rsid w:val="009D67AC"/>
    <w:rsid w:val="009D691C"/>
    <w:rsid w:val="009D6B18"/>
    <w:rsid w:val="009D73CA"/>
    <w:rsid w:val="009D7700"/>
    <w:rsid w:val="009D7900"/>
    <w:rsid w:val="009E05FF"/>
    <w:rsid w:val="009E0636"/>
    <w:rsid w:val="009E0BFA"/>
    <w:rsid w:val="009E0D83"/>
    <w:rsid w:val="009E0DCC"/>
    <w:rsid w:val="009E0F98"/>
    <w:rsid w:val="009E1594"/>
    <w:rsid w:val="009E16AB"/>
    <w:rsid w:val="009E18D3"/>
    <w:rsid w:val="009E1A8C"/>
    <w:rsid w:val="009E1B66"/>
    <w:rsid w:val="009E1CBF"/>
    <w:rsid w:val="009E2288"/>
    <w:rsid w:val="009E238E"/>
    <w:rsid w:val="009E274C"/>
    <w:rsid w:val="009E2B48"/>
    <w:rsid w:val="009E30A6"/>
    <w:rsid w:val="009E328E"/>
    <w:rsid w:val="009E3811"/>
    <w:rsid w:val="009E3A25"/>
    <w:rsid w:val="009E3C05"/>
    <w:rsid w:val="009E3F15"/>
    <w:rsid w:val="009E4608"/>
    <w:rsid w:val="009E46A0"/>
    <w:rsid w:val="009E4844"/>
    <w:rsid w:val="009E4B1E"/>
    <w:rsid w:val="009E4D07"/>
    <w:rsid w:val="009E4DB2"/>
    <w:rsid w:val="009E4F90"/>
    <w:rsid w:val="009E50CD"/>
    <w:rsid w:val="009E51ED"/>
    <w:rsid w:val="009E51FF"/>
    <w:rsid w:val="009E52E3"/>
    <w:rsid w:val="009E581C"/>
    <w:rsid w:val="009E5888"/>
    <w:rsid w:val="009E5A23"/>
    <w:rsid w:val="009E5E37"/>
    <w:rsid w:val="009E6347"/>
    <w:rsid w:val="009E6633"/>
    <w:rsid w:val="009E687C"/>
    <w:rsid w:val="009E703A"/>
    <w:rsid w:val="009E7187"/>
    <w:rsid w:val="009E78D7"/>
    <w:rsid w:val="009E7A14"/>
    <w:rsid w:val="009E7AF5"/>
    <w:rsid w:val="009E7C0D"/>
    <w:rsid w:val="009E7D2B"/>
    <w:rsid w:val="009E7E9C"/>
    <w:rsid w:val="009F0013"/>
    <w:rsid w:val="009F00CF"/>
    <w:rsid w:val="009F0271"/>
    <w:rsid w:val="009F02CE"/>
    <w:rsid w:val="009F0D37"/>
    <w:rsid w:val="009F15A2"/>
    <w:rsid w:val="009F182F"/>
    <w:rsid w:val="009F1979"/>
    <w:rsid w:val="009F1B87"/>
    <w:rsid w:val="009F21A9"/>
    <w:rsid w:val="009F24AA"/>
    <w:rsid w:val="009F25CC"/>
    <w:rsid w:val="009F27BE"/>
    <w:rsid w:val="009F2845"/>
    <w:rsid w:val="009F28CC"/>
    <w:rsid w:val="009F2C99"/>
    <w:rsid w:val="009F2CE0"/>
    <w:rsid w:val="009F2F65"/>
    <w:rsid w:val="009F350E"/>
    <w:rsid w:val="009F38A4"/>
    <w:rsid w:val="009F3BC3"/>
    <w:rsid w:val="009F4220"/>
    <w:rsid w:val="009F44A3"/>
    <w:rsid w:val="009F47DF"/>
    <w:rsid w:val="009F4A85"/>
    <w:rsid w:val="009F4ADE"/>
    <w:rsid w:val="009F4B0E"/>
    <w:rsid w:val="009F5015"/>
    <w:rsid w:val="009F5079"/>
    <w:rsid w:val="009F5351"/>
    <w:rsid w:val="009F542E"/>
    <w:rsid w:val="009F5982"/>
    <w:rsid w:val="009F5C26"/>
    <w:rsid w:val="009F5F2B"/>
    <w:rsid w:val="009F601D"/>
    <w:rsid w:val="009F6398"/>
    <w:rsid w:val="009F63CD"/>
    <w:rsid w:val="009F63F6"/>
    <w:rsid w:val="009F6587"/>
    <w:rsid w:val="009F66C7"/>
    <w:rsid w:val="009F7470"/>
    <w:rsid w:val="009F7749"/>
    <w:rsid w:val="00A00526"/>
    <w:rsid w:val="00A009CE"/>
    <w:rsid w:val="00A00A5D"/>
    <w:rsid w:val="00A00AA3"/>
    <w:rsid w:val="00A00B51"/>
    <w:rsid w:val="00A00C2D"/>
    <w:rsid w:val="00A00FC0"/>
    <w:rsid w:val="00A01A5E"/>
    <w:rsid w:val="00A01AA8"/>
    <w:rsid w:val="00A02013"/>
    <w:rsid w:val="00A020BB"/>
    <w:rsid w:val="00A02164"/>
    <w:rsid w:val="00A02656"/>
    <w:rsid w:val="00A031CE"/>
    <w:rsid w:val="00A031EB"/>
    <w:rsid w:val="00A032E6"/>
    <w:rsid w:val="00A033EB"/>
    <w:rsid w:val="00A03C3A"/>
    <w:rsid w:val="00A03DBA"/>
    <w:rsid w:val="00A03DF9"/>
    <w:rsid w:val="00A03E96"/>
    <w:rsid w:val="00A03FC6"/>
    <w:rsid w:val="00A0432A"/>
    <w:rsid w:val="00A0454A"/>
    <w:rsid w:val="00A04C0A"/>
    <w:rsid w:val="00A04C61"/>
    <w:rsid w:val="00A04E84"/>
    <w:rsid w:val="00A05611"/>
    <w:rsid w:val="00A05645"/>
    <w:rsid w:val="00A05880"/>
    <w:rsid w:val="00A05977"/>
    <w:rsid w:val="00A05E45"/>
    <w:rsid w:val="00A0601E"/>
    <w:rsid w:val="00A0687A"/>
    <w:rsid w:val="00A0696E"/>
    <w:rsid w:val="00A06A4B"/>
    <w:rsid w:val="00A06E56"/>
    <w:rsid w:val="00A07000"/>
    <w:rsid w:val="00A07456"/>
    <w:rsid w:val="00A07691"/>
    <w:rsid w:val="00A076A2"/>
    <w:rsid w:val="00A07741"/>
    <w:rsid w:val="00A078C5"/>
    <w:rsid w:val="00A07991"/>
    <w:rsid w:val="00A079F1"/>
    <w:rsid w:val="00A07A08"/>
    <w:rsid w:val="00A07D14"/>
    <w:rsid w:val="00A07FF0"/>
    <w:rsid w:val="00A10026"/>
    <w:rsid w:val="00A101B8"/>
    <w:rsid w:val="00A101F0"/>
    <w:rsid w:val="00A10373"/>
    <w:rsid w:val="00A106B6"/>
    <w:rsid w:val="00A110AA"/>
    <w:rsid w:val="00A110BB"/>
    <w:rsid w:val="00A1111B"/>
    <w:rsid w:val="00A11167"/>
    <w:rsid w:val="00A11C02"/>
    <w:rsid w:val="00A11D27"/>
    <w:rsid w:val="00A11D28"/>
    <w:rsid w:val="00A12373"/>
    <w:rsid w:val="00A12638"/>
    <w:rsid w:val="00A126CF"/>
    <w:rsid w:val="00A12928"/>
    <w:rsid w:val="00A12BC2"/>
    <w:rsid w:val="00A12EB7"/>
    <w:rsid w:val="00A12F8E"/>
    <w:rsid w:val="00A13331"/>
    <w:rsid w:val="00A14219"/>
    <w:rsid w:val="00A142F0"/>
    <w:rsid w:val="00A14DE7"/>
    <w:rsid w:val="00A15197"/>
    <w:rsid w:val="00A15265"/>
    <w:rsid w:val="00A15488"/>
    <w:rsid w:val="00A15721"/>
    <w:rsid w:val="00A1577D"/>
    <w:rsid w:val="00A1587E"/>
    <w:rsid w:val="00A15A14"/>
    <w:rsid w:val="00A15A7C"/>
    <w:rsid w:val="00A15E99"/>
    <w:rsid w:val="00A161D9"/>
    <w:rsid w:val="00A16453"/>
    <w:rsid w:val="00A164C1"/>
    <w:rsid w:val="00A16C89"/>
    <w:rsid w:val="00A16C8C"/>
    <w:rsid w:val="00A171E7"/>
    <w:rsid w:val="00A173C6"/>
    <w:rsid w:val="00A174AC"/>
    <w:rsid w:val="00A17746"/>
    <w:rsid w:val="00A1797D"/>
    <w:rsid w:val="00A17CE2"/>
    <w:rsid w:val="00A20054"/>
    <w:rsid w:val="00A2041A"/>
    <w:rsid w:val="00A207D1"/>
    <w:rsid w:val="00A208A5"/>
    <w:rsid w:val="00A20AA9"/>
    <w:rsid w:val="00A20F80"/>
    <w:rsid w:val="00A2124A"/>
    <w:rsid w:val="00A213A6"/>
    <w:rsid w:val="00A21CCE"/>
    <w:rsid w:val="00A21D2D"/>
    <w:rsid w:val="00A21F94"/>
    <w:rsid w:val="00A22484"/>
    <w:rsid w:val="00A228F1"/>
    <w:rsid w:val="00A228F2"/>
    <w:rsid w:val="00A22A4F"/>
    <w:rsid w:val="00A22AEB"/>
    <w:rsid w:val="00A22B49"/>
    <w:rsid w:val="00A22FFC"/>
    <w:rsid w:val="00A2307E"/>
    <w:rsid w:val="00A23136"/>
    <w:rsid w:val="00A234D4"/>
    <w:rsid w:val="00A23F0D"/>
    <w:rsid w:val="00A240C3"/>
    <w:rsid w:val="00A2442C"/>
    <w:rsid w:val="00A2444D"/>
    <w:rsid w:val="00A2475E"/>
    <w:rsid w:val="00A24C44"/>
    <w:rsid w:val="00A24E50"/>
    <w:rsid w:val="00A25711"/>
    <w:rsid w:val="00A25844"/>
    <w:rsid w:val="00A258C9"/>
    <w:rsid w:val="00A25DD5"/>
    <w:rsid w:val="00A25EF3"/>
    <w:rsid w:val="00A2601E"/>
    <w:rsid w:val="00A261A8"/>
    <w:rsid w:val="00A2624C"/>
    <w:rsid w:val="00A2659F"/>
    <w:rsid w:val="00A26D6E"/>
    <w:rsid w:val="00A27240"/>
    <w:rsid w:val="00A272D8"/>
    <w:rsid w:val="00A279E7"/>
    <w:rsid w:val="00A279ED"/>
    <w:rsid w:val="00A27A68"/>
    <w:rsid w:val="00A27BF8"/>
    <w:rsid w:val="00A27CE6"/>
    <w:rsid w:val="00A27CE7"/>
    <w:rsid w:val="00A27F5F"/>
    <w:rsid w:val="00A30488"/>
    <w:rsid w:val="00A30610"/>
    <w:rsid w:val="00A309F7"/>
    <w:rsid w:val="00A30D46"/>
    <w:rsid w:val="00A30E6D"/>
    <w:rsid w:val="00A30FAD"/>
    <w:rsid w:val="00A310DE"/>
    <w:rsid w:val="00A314C0"/>
    <w:rsid w:val="00A31581"/>
    <w:rsid w:val="00A31C8D"/>
    <w:rsid w:val="00A31E97"/>
    <w:rsid w:val="00A3232F"/>
    <w:rsid w:val="00A3244C"/>
    <w:rsid w:val="00A324CD"/>
    <w:rsid w:val="00A32905"/>
    <w:rsid w:val="00A32CE9"/>
    <w:rsid w:val="00A32FFD"/>
    <w:rsid w:val="00A330DD"/>
    <w:rsid w:val="00A33525"/>
    <w:rsid w:val="00A33B45"/>
    <w:rsid w:val="00A33D23"/>
    <w:rsid w:val="00A33F2C"/>
    <w:rsid w:val="00A340C1"/>
    <w:rsid w:val="00A3473B"/>
    <w:rsid w:val="00A34756"/>
    <w:rsid w:val="00A34F9B"/>
    <w:rsid w:val="00A3501B"/>
    <w:rsid w:val="00A350C1"/>
    <w:rsid w:val="00A35716"/>
    <w:rsid w:val="00A3593B"/>
    <w:rsid w:val="00A35A76"/>
    <w:rsid w:val="00A35A9E"/>
    <w:rsid w:val="00A3617A"/>
    <w:rsid w:val="00A362CC"/>
    <w:rsid w:val="00A36478"/>
    <w:rsid w:val="00A364E4"/>
    <w:rsid w:val="00A369E2"/>
    <w:rsid w:val="00A36C70"/>
    <w:rsid w:val="00A36EAD"/>
    <w:rsid w:val="00A36F4C"/>
    <w:rsid w:val="00A3727B"/>
    <w:rsid w:val="00A3748C"/>
    <w:rsid w:val="00A37783"/>
    <w:rsid w:val="00A37963"/>
    <w:rsid w:val="00A37CFC"/>
    <w:rsid w:val="00A37D96"/>
    <w:rsid w:val="00A402A1"/>
    <w:rsid w:val="00A404E3"/>
    <w:rsid w:val="00A409C6"/>
    <w:rsid w:val="00A40E8C"/>
    <w:rsid w:val="00A40FA2"/>
    <w:rsid w:val="00A4124B"/>
    <w:rsid w:val="00A41620"/>
    <w:rsid w:val="00A41D8C"/>
    <w:rsid w:val="00A41F5A"/>
    <w:rsid w:val="00A41FB6"/>
    <w:rsid w:val="00A424AF"/>
    <w:rsid w:val="00A42AAC"/>
    <w:rsid w:val="00A42AD7"/>
    <w:rsid w:val="00A42DCC"/>
    <w:rsid w:val="00A42EB0"/>
    <w:rsid w:val="00A4330F"/>
    <w:rsid w:val="00A43333"/>
    <w:rsid w:val="00A435D1"/>
    <w:rsid w:val="00A43772"/>
    <w:rsid w:val="00A43986"/>
    <w:rsid w:val="00A43A61"/>
    <w:rsid w:val="00A43D9F"/>
    <w:rsid w:val="00A43EA7"/>
    <w:rsid w:val="00A43FAD"/>
    <w:rsid w:val="00A440C8"/>
    <w:rsid w:val="00A441C6"/>
    <w:rsid w:val="00A4427A"/>
    <w:rsid w:val="00A4430F"/>
    <w:rsid w:val="00A44638"/>
    <w:rsid w:val="00A4473B"/>
    <w:rsid w:val="00A44826"/>
    <w:rsid w:val="00A448AF"/>
    <w:rsid w:val="00A4492F"/>
    <w:rsid w:val="00A44F0C"/>
    <w:rsid w:val="00A452F5"/>
    <w:rsid w:val="00A45433"/>
    <w:rsid w:val="00A4554A"/>
    <w:rsid w:val="00A458D8"/>
    <w:rsid w:val="00A46083"/>
    <w:rsid w:val="00A4630A"/>
    <w:rsid w:val="00A463B4"/>
    <w:rsid w:val="00A46424"/>
    <w:rsid w:val="00A466A4"/>
    <w:rsid w:val="00A46765"/>
    <w:rsid w:val="00A46A63"/>
    <w:rsid w:val="00A46B4E"/>
    <w:rsid w:val="00A46F28"/>
    <w:rsid w:val="00A47376"/>
    <w:rsid w:val="00A47621"/>
    <w:rsid w:val="00A47F61"/>
    <w:rsid w:val="00A500A4"/>
    <w:rsid w:val="00A50160"/>
    <w:rsid w:val="00A5033E"/>
    <w:rsid w:val="00A504F5"/>
    <w:rsid w:val="00A508EC"/>
    <w:rsid w:val="00A50970"/>
    <w:rsid w:val="00A50A7E"/>
    <w:rsid w:val="00A50E1D"/>
    <w:rsid w:val="00A50E91"/>
    <w:rsid w:val="00A51572"/>
    <w:rsid w:val="00A51804"/>
    <w:rsid w:val="00A51CBF"/>
    <w:rsid w:val="00A52621"/>
    <w:rsid w:val="00A5264F"/>
    <w:rsid w:val="00A52C70"/>
    <w:rsid w:val="00A52F38"/>
    <w:rsid w:val="00A530A2"/>
    <w:rsid w:val="00A532B4"/>
    <w:rsid w:val="00A53458"/>
    <w:rsid w:val="00A537F4"/>
    <w:rsid w:val="00A538DC"/>
    <w:rsid w:val="00A53FAA"/>
    <w:rsid w:val="00A5427D"/>
    <w:rsid w:val="00A542E4"/>
    <w:rsid w:val="00A54769"/>
    <w:rsid w:val="00A54D0A"/>
    <w:rsid w:val="00A54E07"/>
    <w:rsid w:val="00A550E0"/>
    <w:rsid w:val="00A55148"/>
    <w:rsid w:val="00A551D0"/>
    <w:rsid w:val="00A55247"/>
    <w:rsid w:val="00A55333"/>
    <w:rsid w:val="00A55426"/>
    <w:rsid w:val="00A555EB"/>
    <w:rsid w:val="00A557D2"/>
    <w:rsid w:val="00A5582C"/>
    <w:rsid w:val="00A55FB0"/>
    <w:rsid w:val="00A55FD2"/>
    <w:rsid w:val="00A56033"/>
    <w:rsid w:val="00A56C42"/>
    <w:rsid w:val="00A57433"/>
    <w:rsid w:val="00A57E66"/>
    <w:rsid w:val="00A609F6"/>
    <w:rsid w:val="00A60BCA"/>
    <w:rsid w:val="00A60C33"/>
    <w:rsid w:val="00A60F50"/>
    <w:rsid w:val="00A61104"/>
    <w:rsid w:val="00A61189"/>
    <w:rsid w:val="00A61440"/>
    <w:rsid w:val="00A618B4"/>
    <w:rsid w:val="00A618EB"/>
    <w:rsid w:val="00A619DE"/>
    <w:rsid w:val="00A61A2C"/>
    <w:rsid w:val="00A6207D"/>
    <w:rsid w:val="00A625B9"/>
    <w:rsid w:val="00A629F3"/>
    <w:rsid w:val="00A62EF2"/>
    <w:rsid w:val="00A631ED"/>
    <w:rsid w:val="00A63290"/>
    <w:rsid w:val="00A63339"/>
    <w:rsid w:val="00A633D7"/>
    <w:rsid w:val="00A63B83"/>
    <w:rsid w:val="00A63C23"/>
    <w:rsid w:val="00A64096"/>
    <w:rsid w:val="00A64326"/>
    <w:rsid w:val="00A643A4"/>
    <w:rsid w:val="00A644E8"/>
    <w:rsid w:val="00A6459F"/>
    <w:rsid w:val="00A64611"/>
    <w:rsid w:val="00A64CFA"/>
    <w:rsid w:val="00A6533E"/>
    <w:rsid w:val="00A65396"/>
    <w:rsid w:val="00A653C4"/>
    <w:rsid w:val="00A6561B"/>
    <w:rsid w:val="00A65BAA"/>
    <w:rsid w:val="00A65ED4"/>
    <w:rsid w:val="00A6626B"/>
    <w:rsid w:val="00A66280"/>
    <w:rsid w:val="00A6644D"/>
    <w:rsid w:val="00A667A1"/>
    <w:rsid w:val="00A668A6"/>
    <w:rsid w:val="00A66BAA"/>
    <w:rsid w:val="00A66DDE"/>
    <w:rsid w:val="00A6727A"/>
    <w:rsid w:val="00A702CA"/>
    <w:rsid w:val="00A70414"/>
    <w:rsid w:val="00A70969"/>
    <w:rsid w:val="00A7149B"/>
    <w:rsid w:val="00A71506"/>
    <w:rsid w:val="00A71517"/>
    <w:rsid w:val="00A71D51"/>
    <w:rsid w:val="00A71F6E"/>
    <w:rsid w:val="00A720AE"/>
    <w:rsid w:val="00A72384"/>
    <w:rsid w:val="00A724A4"/>
    <w:rsid w:val="00A7257F"/>
    <w:rsid w:val="00A725C8"/>
    <w:rsid w:val="00A725EB"/>
    <w:rsid w:val="00A728B1"/>
    <w:rsid w:val="00A729E1"/>
    <w:rsid w:val="00A72DBF"/>
    <w:rsid w:val="00A731BA"/>
    <w:rsid w:val="00A732DE"/>
    <w:rsid w:val="00A732FA"/>
    <w:rsid w:val="00A735E4"/>
    <w:rsid w:val="00A73A23"/>
    <w:rsid w:val="00A73AAC"/>
    <w:rsid w:val="00A73B62"/>
    <w:rsid w:val="00A73BDE"/>
    <w:rsid w:val="00A73CB1"/>
    <w:rsid w:val="00A74144"/>
    <w:rsid w:val="00A741D0"/>
    <w:rsid w:val="00A74279"/>
    <w:rsid w:val="00A746BA"/>
    <w:rsid w:val="00A74B36"/>
    <w:rsid w:val="00A74D1B"/>
    <w:rsid w:val="00A74E3A"/>
    <w:rsid w:val="00A74FF1"/>
    <w:rsid w:val="00A757FB"/>
    <w:rsid w:val="00A75A12"/>
    <w:rsid w:val="00A75A3D"/>
    <w:rsid w:val="00A75B19"/>
    <w:rsid w:val="00A75EC9"/>
    <w:rsid w:val="00A76773"/>
    <w:rsid w:val="00A76854"/>
    <w:rsid w:val="00A768AE"/>
    <w:rsid w:val="00A76B2A"/>
    <w:rsid w:val="00A76E0A"/>
    <w:rsid w:val="00A76ED4"/>
    <w:rsid w:val="00A7703B"/>
    <w:rsid w:val="00A77123"/>
    <w:rsid w:val="00A7763B"/>
    <w:rsid w:val="00A800FD"/>
    <w:rsid w:val="00A801F2"/>
    <w:rsid w:val="00A803EA"/>
    <w:rsid w:val="00A80508"/>
    <w:rsid w:val="00A808AD"/>
    <w:rsid w:val="00A80B84"/>
    <w:rsid w:val="00A80C27"/>
    <w:rsid w:val="00A80C46"/>
    <w:rsid w:val="00A80D11"/>
    <w:rsid w:val="00A813B6"/>
    <w:rsid w:val="00A814A0"/>
    <w:rsid w:val="00A81827"/>
    <w:rsid w:val="00A81A46"/>
    <w:rsid w:val="00A81EAF"/>
    <w:rsid w:val="00A81FF5"/>
    <w:rsid w:val="00A823C0"/>
    <w:rsid w:val="00A827B2"/>
    <w:rsid w:val="00A8297E"/>
    <w:rsid w:val="00A82AC5"/>
    <w:rsid w:val="00A82CF4"/>
    <w:rsid w:val="00A83060"/>
    <w:rsid w:val="00A83135"/>
    <w:rsid w:val="00A8353B"/>
    <w:rsid w:val="00A83816"/>
    <w:rsid w:val="00A83A8E"/>
    <w:rsid w:val="00A83AC9"/>
    <w:rsid w:val="00A84005"/>
    <w:rsid w:val="00A84009"/>
    <w:rsid w:val="00A8412E"/>
    <w:rsid w:val="00A84153"/>
    <w:rsid w:val="00A84613"/>
    <w:rsid w:val="00A84A96"/>
    <w:rsid w:val="00A851BC"/>
    <w:rsid w:val="00A852F2"/>
    <w:rsid w:val="00A854A5"/>
    <w:rsid w:val="00A856E5"/>
    <w:rsid w:val="00A85A9D"/>
    <w:rsid w:val="00A85E1F"/>
    <w:rsid w:val="00A85E4D"/>
    <w:rsid w:val="00A85ECC"/>
    <w:rsid w:val="00A86906"/>
    <w:rsid w:val="00A86AF1"/>
    <w:rsid w:val="00A86C7B"/>
    <w:rsid w:val="00A86DE3"/>
    <w:rsid w:val="00A86F24"/>
    <w:rsid w:val="00A8757D"/>
    <w:rsid w:val="00A875C9"/>
    <w:rsid w:val="00A876C6"/>
    <w:rsid w:val="00A87C41"/>
    <w:rsid w:val="00A87CCB"/>
    <w:rsid w:val="00A90186"/>
    <w:rsid w:val="00A9025C"/>
    <w:rsid w:val="00A90279"/>
    <w:rsid w:val="00A902AC"/>
    <w:rsid w:val="00A9034F"/>
    <w:rsid w:val="00A90657"/>
    <w:rsid w:val="00A90667"/>
    <w:rsid w:val="00A9086B"/>
    <w:rsid w:val="00A90C16"/>
    <w:rsid w:val="00A91126"/>
    <w:rsid w:val="00A91512"/>
    <w:rsid w:val="00A91573"/>
    <w:rsid w:val="00A919A2"/>
    <w:rsid w:val="00A91C8E"/>
    <w:rsid w:val="00A91EAF"/>
    <w:rsid w:val="00A91FFB"/>
    <w:rsid w:val="00A9217C"/>
    <w:rsid w:val="00A92729"/>
    <w:rsid w:val="00A929CE"/>
    <w:rsid w:val="00A92ABB"/>
    <w:rsid w:val="00A92B61"/>
    <w:rsid w:val="00A92D92"/>
    <w:rsid w:val="00A92E6E"/>
    <w:rsid w:val="00A93140"/>
    <w:rsid w:val="00A933B7"/>
    <w:rsid w:val="00A9352C"/>
    <w:rsid w:val="00A93553"/>
    <w:rsid w:val="00A938EC"/>
    <w:rsid w:val="00A93C82"/>
    <w:rsid w:val="00A94156"/>
    <w:rsid w:val="00A943A7"/>
    <w:rsid w:val="00A943D6"/>
    <w:rsid w:val="00A944D9"/>
    <w:rsid w:val="00A94519"/>
    <w:rsid w:val="00A94975"/>
    <w:rsid w:val="00A94A5E"/>
    <w:rsid w:val="00A94D37"/>
    <w:rsid w:val="00A94DB2"/>
    <w:rsid w:val="00A951C3"/>
    <w:rsid w:val="00A95236"/>
    <w:rsid w:val="00A957A5"/>
    <w:rsid w:val="00A95F4B"/>
    <w:rsid w:val="00A960AE"/>
    <w:rsid w:val="00A96333"/>
    <w:rsid w:val="00A96475"/>
    <w:rsid w:val="00A96548"/>
    <w:rsid w:val="00A96998"/>
    <w:rsid w:val="00A96C2B"/>
    <w:rsid w:val="00A96D5E"/>
    <w:rsid w:val="00A96F6F"/>
    <w:rsid w:val="00A97016"/>
    <w:rsid w:val="00A97129"/>
    <w:rsid w:val="00A9723D"/>
    <w:rsid w:val="00A97BE6"/>
    <w:rsid w:val="00A97EC0"/>
    <w:rsid w:val="00A97F39"/>
    <w:rsid w:val="00AA0007"/>
    <w:rsid w:val="00AA00F3"/>
    <w:rsid w:val="00AA00FC"/>
    <w:rsid w:val="00AA0226"/>
    <w:rsid w:val="00AA0C54"/>
    <w:rsid w:val="00AA0D54"/>
    <w:rsid w:val="00AA1044"/>
    <w:rsid w:val="00AA1062"/>
    <w:rsid w:val="00AA1152"/>
    <w:rsid w:val="00AA12AB"/>
    <w:rsid w:val="00AA1410"/>
    <w:rsid w:val="00AA191D"/>
    <w:rsid w:val="00AA1947"/>
    <w:rsid w:val="00AA1969"/>
    <w:rsid w:val="00AA1992"/>
    <w:rsid w:val="00AA19C0"/>
    <w:rsid w:val="00AA1DCA"/>
    <w:rsid w:val="00AA1F19"/>
    <w:rsid w:val="00AA216F"/>
    <w:rsid w:val="00AA25FC"/>
    <w:rsid w:val="00AA2DB9"/>
    <w:rsid w:val="00AA2FA4"/>
    <w:rsid w:val="00AA3531"/>
    <w:rsid w:val="00AA3970"/>
    <w:rsid w:val="00AA3D17"/>
    <w:rsid w:val="00AA3D70"/>
    <w:rsid w:val="00AA414C"/>
    <w:rsid w:val="00AA4953"/>
    <w:rsid w:val="00AA49C6"/>
    <w:rsid w:val="00AA5005"/>
    <w:rsid w:val="00AA5014"/>
    <w:rsid w:val="00AA51C6"/>
    <w:rsid w:val="00AA5265"/>
    <w:rsid w:val="00AA5325"/>
    <w:rsid w:val="00AA547C"/>
    <w:rsid w:val="00AA5550"/>
    <w:rsid w:val="00AA55F8"/>
    <w:rsid w:val="00AA58D3"/>
    <w:rsid w:val="00AA59A4"/>
    <w:rsid w:val="00AA5C37"/>
    <w:rsid w:val="00AA5ECA"/>
    <w:rsid w:val="00AA6141"/>
    <w:rsid w:val="00AA67D3"/>
    <w:rsid w:val="00AA6929"/>
    <w:rsid w:val="00AA6B8C"/>
    <w:rsid w:val="00AA6D8F"/>
    <w:rsid w:val="00AA6F36"/>
    <w:rsid w:val="00AA7732"/>
    <w:rsid w:val="00AA7901"/>
    <w:rsid w:val="00AA7927"/>
    <w:rsid w:val="00AA7963"/>
    <w:rsid w:val="00AA7A05"/>
    <w:rsid w:val="00AA7B87"/>
    <w:rsid w:val="00AA7C90"/>
    <w:rsid w:val="00AA7E96"/>
    <w:rsid w:val="00AB0418"/>
    <w:rsid w:val="00AB0480"/>
    <w:rsid w:val="00AB049C"/>
    <w:rsid w:val="00AB07C4"/>
    <w:rsid w:val="00AB08CE"/>
    <w:rsid w:val="00AB0AEF"/>
    <w:rsid w:val="00AB0B6A"/>
    <w:rsid w:val="00AB0E1F"/>
    <w:rsid w:val="00AB10FF"/>
    <w:rsid w:val="00AB153F"/>
    <w:rsid w:val="00AB1801"/>
    <w:rsid w:val="00AB19BB"/>
    <w:rsid w:val="00AB1E71"/>
    <w:rsid w:val="00AB1FD3"/>
    <w:rsid w:val="00AB1FFD"/>
    <w:rsid w:val="00AB21BB"/>
    <w:rsid w:val="00AB2756"/>
    <w:rsid w:val="00AB2A01"/>
    <w:rsid w:val="00AB2C27"/>
    <w:rsid w:val="00AB30CF"/>
    <w:rsid w:val="00AB30DA"/>
    <w:rsid w:val="00AB3102"/>
    <w:rsid w:val="00AB33DD"/>
    <w:rsid w:val="00AB34B7"/>
    <w:rsid w:val="00AB3AFE"/>
    <w:rsid w:val="00AB3B68"/>
    <w:rsid w:val="00AB3C19"/>
    <w:rsid w:val="00AB436E"/>
    <w:rsid w:val="00AB4544"/>
    <w:rsid w:val="00AB4609"/>
    <w:rsid w:val="00AB465D"/>
    <w:rsid w:val="00AB4A3A"/>
    <w:rsid w:val="00AB4B04"/>
    <w:rsid w:val="00AB4BAC"/>
    <w:rsid w:val="00AB4C4E"/>
    <w:rsid w:val="00AB4C51"/>
    <w:rsid w:val="00AB4C82"/>
    <w:rsid w:val="00AB4E71"/>
    <w:rsid w:val="00AB4F0B"/>
    <w:rsid w:val="00AB50B7"/>
    <w:rsid w:val="00AB512D"/>
    <w:rsid w:val="00AB5B94"/>
    <w:rsid w:val="00AB5E6F"/>
    <w:rsid w:val="00AB61F5"/>
    <w:rsid w:val="00AB6219"/>
    <w:rsid w:val="00AB66BD"/>
    <w:rsid w:val="00AB6934"/>
    <w:rsid w:val="00AB69B7"/>
    <w:rsid w:val="00AB6E3B"/>
    <w:rsid w:val="00AB6FCC"/>
    <w:rsid w:val="00AB72D5"/>
    <w:rsid w:val="00AB734C"/>
    <w:rsid w:val="00AB7F03"/>
    <w:rsid w:val="00AC018C"/>
    <w:rsid w:val="00AC0B43"/>
    <w:rsid w:val="00AC0DBB"/>
    <w:rsid w:val="00AC11DB"/>
    <w:rsid w:val="00AC1581"/>
    <w:rsid w:val="00AC15A0"/>
    <w:rsid w:val="00AC1ED9"/>
    <w:rsid w:val="00AC204B"/>
    <w:rsid w:val="00AC28D7"/>
    <w:rsid w:val="00AC2919"/>
    <w:rsid w:val="00AC2928"/>
    <w:rsid w:val="00AC2E03"/>
    <w:rsid w:val="00AC2E0C"/>
    <w:rsid w:val="00AC339F"/>
    <w:rsid w:val="00AC3644"/>
    <w:rsid w:val="00AC3B9E"/>
    <w:rsid w:val="00AC3CCA"/>
    <w:rsid w:val="00AC3E07"/>
    <w:rsid w:val="00AC3E7E"/>
    <w:rsid w:val="00AC3F94"/>
    <w:rsid w:val="00AC423C"/>
    <w:rsid w:val="00AC44A0"/>
    <w:rsid w:val="00AC48DF"/>
    <w:rsid w:val="00AC5037"/>
    <w:rsid w:val="00AC50D1"/>
    <w:rsid w:val="00AC59AE"/>
    <w:rsid w:val="00AC5A92"/>
    <w:rsid w:val="00AC5BF7"/>
    <w:rsid w:val="00AC667C"/>
    <w:rsid w:val="00AC67EC"/>
    <w:rsid w:val="00AC72DE"/>
    <w:rsid w:val="00AC751D"/>
    <w:rsid w:val="00AC791A"/>
    <w:rsid w:val="00AC7B9D"/>
    <w:rsid w:val="00AD03B3"/>
    <w:rsid w:val="00AD04FF"/>
    <w:rsid w:val="00AD06A4"/>
    <w:rsid w:val="00AD0EC6"/>
    <w:rsid w:val="00AD11A3"/>
    <w:rsid w:val="00AD162E"/>
    <w:rsid w:val="00AD1652"/>
    <w:rsid w:val="00AD1658"/>
    <w:rsid w:val="00AD1843"/>
    <w:rsid w:val="00AD189E"/>
    <w:rsid w:val="00AD1A9F"/>
    <w:rsid w:val="00AD1B8A"/>
    <w:rsid w:val="00AD1F33"/>
    <w:rsid w:val="00AD2428"/>
    <w:rsid w:val="00AD2510"/>
    <w:rsid w:val="00AD2969"/>
    <w:rsid w:val="00AD2A2A"/>
    <w:rsid w:val="00AD2F8C"/>
    <w:rsid w:val="00AD31BF"/>
    <w:rsid w:val="00AD34E5"/>
    <w:rsid w:val="00AD377D"/>
    <w:rsid w:val="00AD3EBD"/>
    <w:rsid w:val="00AD458D"/>
    <w:rsid w:val="00AD497C"/>
    <w:rsid w:val="00AD4FEA"/>
    <w:rsid w:val="00AD5072"/>
    <w:rsid w:val="00AD516F"/>
    <w:rsid w:val="00AD524B"/>
    <w:rsid w:val="00AD52B9"/>
    <w:rsid w:val="00AD5397"/>
    <w:rsid w:val="00AD55B7"/>
    <w:rsid w:val="00AD55D5"/>
    <w:rsid w:val="00AD5824"/>
    <w:rsid w:val="00AD588A"/>
    <w:rsid w:val="00AD5950"/>
    <w:rsid w:val="00AD5C05"/>
    <w:rsid w:val="00AD5D52"/>
    <w:rsid w:val="00AD5F02"/>
    <w:rsid w:val="00AD5F72"/>
    <w:rsid w:val="00AD610C"/>
    <w:rsid w:val="00AD6288"/>
    <w:rsid w:val="00AD6737"/>
    <w:rsid w:val="00AD6763"/>
    <w:rsid w:val="00AD6997"/>
    <w:rsid w:val="00AD6A4B"/>
    <w:rsid w:val="00AD6BB5"/>
    <w:rsid w:val="00AD6BF8"/>
    <w:rsid w:val="00AD6DCE"/>
    <w:rsid w:val="00AD71EE"/>
    <w:rsid w:val="00AD7253"/>
    <w:rsid w:val="00AD72A4"/>
    <w:rsid w:val="00AD72FC"/>
    <w:rsid w:val="00AD73D3"/>
    <w:rsid w:val="00AD7464"/>
    <w:rsid w:val="00AD76E6"/>
    <w:rsid w:val="00AD7838"/>
    <w:rsid w:val="00AD79F4"/>
    <w:rsid w:val="00AD7E9E"/>
    <w:rsid w:val="00AE00C5"/>
    <w:rsid w:val="00AE0465"/>
    <w:rsid w:val="00AE0485"/>
    <w:rsid w:val="00AE0803"/>
    <w:rsid w:val="00AE0CAC"/>
    <w:rsid w:val="00AE0CCF"/>
    <w:rsid w:val="00AE0F87"/>
    <w:rsid w:val="00AE120E"/>
    <w:rsid w:val="00AE1405"/>
    <w:rsid w:val="00AE16AA"/>
    <w:rsid w:val="00AE1A54"/>
    <w:rsid w:val="00AE1B4B"/>
    <w:rsid w:val="00AE2B8B"/>
    <w:rsid w:val="00AE2C11"/>
    <w:rsid w:val="00AE32D9"/>
    <w:rsid w:val="00AE3854"/>
    <w:rsid w:val="00AE39A3"/>
    <w:rsid w:val="00AE3F49"/>
    <w:rsid w:val="00AE3F88"/>
    <w:rsid w:val="00AE4093"/>
    <w:rsid w:val="00AE4097"/>
    <w:rsid w:val="00AE4436"/>
    <w:rsid w:val="00AE4530"/>
    <w:rsid w:val="00AE4686"/>
    <w:rsid w:val="00AE488B"/>
    <w:rsid w:val="00AE49B6"/>
    <w:rsid w:val="00AE49D2"/>
    <w:rsid w:val="00AE5221"/>
    <w:rsid w:val="00AE52C7"/>
    <w:rsid w:val="00AE52FE"/>
    <w:rsid w:val="00AE5774"/>
    <w:rsid w:val="00AE5AE9"/>
    <w:rsid w:val="00AE5DF1"/>
    <w:rsid w:val="00AE5EB8"/>
    <w:rsid w:val="00AE609D"/>
    <w:rsid w:val="00AE60C6"/>
    <w:rsid w:val="00AE6223"/>
    <w:rsid w:val="00AE6280"/>
    <w:rsid w:val="00AE6290"/>
    <w:rsid w:val="00AE64F5"/>
    <w:rsid w:val="00AE6B34"/>
    <w:rsid w:val="00AE7030"/>
    <w:rsid w:val="00AE706B"/>
    <w:rsid w:val="00AE7697"/>
    <w:rsid w:val="00AE7D0F"/>
    <w:rsid w:val="00AF008E"/>
    <w:rsid w:val="00AF0122"/>
    <w:rsid w:val="00AF0339"/>
    <w:rsid w:val="00AF03C6"/>
    <w:rsid w:val="00AF03FE"/>
    <w:rsid w:val="00AF0405"/>
    <w:rsid w:val="00AF09E5"/>
    <w:rsid w:val="00AF0B00"/>
    <w:rsid w:val="00AF0B80"/>
    <w:rsid w:val="00AF0BBB"/>
    <w:rsid w:val="00AF0CE9"/>
    <w:rsid w:val="00AF0DAA"/>
    <w:rsid w:val="00AF0F35"/>
    <w:rsid w:val="00AF13AD"/>
    <w:rsid w:val="00AF151F"/>
    <w:rsid w:val="00AF1E2C"/>
    <w:rsid w:val="00AF24A0"/>
    <w:rsid w:val="00AF2DDF"/>
    <w:rsid w:val="00AF3026"/>
    <w:rsid w:val="00AF3724"/>
    <w:rsid w:val="00AF3C24"/>
    <w:rsid w:val="00AF3D89"/>
    <w:rsid w:val="00AF3F2B"/>
    <w:rsid w:val="00AF403D"/>
    <w:rsid w:val="00AF45BB"/>
    <w:rsid w:val="00AF4832"/>
    <w:rsid w:val="00AF49B6"/>
    <w:rsid w:val="00AF4C22"/>
    <w:rsid w:val="00AF500F"/>
    <w:rsid w:val="00AF514D"/>
    <w:rsid w:val="00AF571F"/>
    <w:rsid w:val="00AF5871"/>
    <w:rsid w:val="00AF5941"/>
    <w:rsid w:val="00AF5A09"/>
    <w:rsid w:val="00AF5A8C"/>
    <w:rsid w:val="00AF5BCD"/>
    <w:rsid w:val="00AF5D9E"/>
    <w:rsid w:val="00AF5FA2"/>
    <w:rsid w:val="00AF655B"/>
    <w:rsid w:val="00AF6628"/>
    <w:rsid w:val="00AF6727"/>
    <w:rsid w:val="00AF6814"/>
    <w:rsid w:val="00AF69A7"/>
    <w:rsid w:val="00AF6BE4"/>
    <w:rsid w:val="00AF706B"/>
    <w:rsid w:val="00AF71E2"/>
    <w:rsid w:val="00AF7206"/>
    <w:rsid w:val="00AF7A95"/>
    <w:rsid w:val="00AF7AEF"/>
    <w:rsid w:val="00AF7B34"/>
    <w:rsid w:val="00B010BD"/>
    <w:rsid w:val="00B0150F"/>
    <w:rsid w:val="00B018E9"/>
    <w:rsid w:val="00B01D7D"/>
    <w:rsid w:val="00B021A8"/>
    <w:rsid w:val="00B02277"/>
    <w:rsid w:val="00B02473"/>
    <w:rsid w:val="00B02BA5"/>
    <w:rsid w:val="00B02CE0"/>
    <w:rsid w:val="00B02E8D"/>
    <w:rsid w:val="00B03088"/>
    <w:rsid w:val="00B03331"/>
    <w:rsid w:val="00B0349F"/>
    <w:rsid w:val="00B03835"/>
    <w:rsid w:val="00B03BC5"/>
    <w:rsid w:val="00B03C03"/>
    <w:rsid w:val="00B04528"/>
    <w:rsid w:val="00B0468F"/>
    <w:rsid w:val="00B047CA"/>
    <w:rsid w:val="00B04B57"/>
    <w:rsid w:val="00B04B5A"/>
    <w:rsid w:val="00B04C9F"/>
    <w:rsid w:val="00B051CA"/>
    <w:rsid w:val="00B05ACF"/>
    <w:rsid w:val="00B05C79"/>
    <w:rsid w:val="00B05D69"/>
    <w:rsid w:val="00B063F5"/>
    <w:rsid w:val="00B0643F"/>
    <w:rsid w:val="00B064C2"/>
    <w:rsid w:val="00B065FA"/>
    <w:rsid w:val="00B06E39"/>
    <w:rsid w:val="00B06F01"/>
    <w:rsid w:val="00B0735C"/>
    <w:rsid w:val="00B0777A"/>
    <w:rsid w:val="00B07B04"/>
    <w:rsid w:val="00B07BE1"/>
    <w:rsid w:val="00B101CE"/>
    <w:rsid w:val="00B1051E"/>
    <w:rsid w:val="00B10A2C"/>
    <w:rsid w:val="00B10E6C"/>
    <w:rsid w:val="00B10F45"/>
    <w:rsid w:val="00B1137F"/>
    <w:rsid w:val="00B11575"/>
    <w:rsid w:val="00B1184A"/>
    <w:rsid w:val="00B12327"/>
    <w:rsid w:val="00B12547"/>
    <w:rsid w:val="00B1263B"/>
    <w:rsid w:val="00B12891"/>
    <w:rsid w:val="00B12B15"/>
    <w:rsid w:val="00B12E68"/>
    <w:rsid w:val="00B12F37"/>
    <w:rsid w:val="00B13047"/>
    <w:rsid w:val="00B13176"/>
    <w:rsid w:val="00B132C8"/>
    <w:rsid w:val="00B1383F"/>
    <w:rsid w:val="00B138A9"/>
    <w:rsid w:val="00B13CB4"/>
    <w:rsid w:val="00B13CE6"/>
    <w:rsid w:val="00B13F5E"/>
    <w:rsid w:val="00B1415D"/>
    <w:rsid w:val="00B142BA"/>
    <w:rsid w:val="00B14311"/>
    <w:rsid w:val="00B14658"/>
    <w:rsid w:val="00B1474D"/>
    <w:rsid w:val="00B14C94"/>
    <w:rsid w:val="00B14E0B"/>
    <w:rsid w:val="00B15108"/>
    <w:rsid w:val="00B151E5"/>
    <w:rsid w:val="00B152DD"/>
    <w:rsid w:val="00B152ED"/>
    <w:rsid w:val="00B16453"/>
    <w:rsid w:val="00B1674F"/>
    <w:rsid w:val="00B167C3"/>
    <w:rsid w:val="00B167F8"/>
    <w:rsid w:val="00B16B30"/>
    <w:rsid w:val="00B16E89"/>
    <w:rsid w:val="00B17592"/>
    <w:rsid w:val="00B17BF0"/>
    <w:rsid w:val="00B20017"/>
    <w:rsid w:val="00B20303"/>
    <w:rsid w:val="00B203D7"/>
    <w:rsid w:val="00B20409"/>
    <w:rsid w:val="00B20A97"/>
    <w:rsid w:val="00B20B14"/>
    <w:rsid w:val="00B20BC3"/>
    <w:rsid w:val="00B20BD9"/>
    <w:rsid w:val="00B21362"/>
    <w:rsid w:val="00B21420"/>
    <w:rsid w:val="00B21638"/>
    <w:rsid w:val="00B21BF8"/>
    <w:rsid w:val="00B21D70"/>
    <w:rsid w:val="00B21FC6"/>
    <w:rsid w:val="00B220B9"/>
    <w:rsid w:val="00B22B89"/>
    <w:rsid w:val="00B2316F"/>
    <w:rsid w:val="00B23469"/>
    <w:rsid w:val="00B2350A"/>
    <w:rsid w:val="00B23542"/>
    <w:rsid w:val="00B236AC"/>
    <w:rsid w:val="00B238F3"/>
    <w:rsid w:val="00B23EE2"/>
    <w:rsid w:val="00B242B6"/>
    <w:rsid w:val="00B2451B"/>
    <w:rsid w:val="00B24797"/>
    <w:rsid w:val="00B24E11"/>
    <w:rsid w:val="00B2517C"/>
    <w:rsid w:val="00B25C5B"/>
    <w:rsid w:val="00B25C5D"/>
    <w:rsid w:val="00B25EC5"/>
    <w:rsid w:val="00B26493"/>
    <w:rsid w:val="00B264A3"/>
    <w:rsid w:val="00B26507"/>
    <w:rsid w:val="00B26BB0"/>
    <w:rsid w:val="00B26D64"/>
    <w:rsid w:val="00B26E9F"/>
    <w:rsid w:val="00B271B6"/>
    <w:rsid w:val="00B276CC"/>
    <w:rsid w:val="00B27ECA"/>
    <w:rsid w:val="00B3000D"/>
    <w:rsid w:val="00B30039"/>
    <w:rsid w:val="00B30249"/>
    <w:rsid w:val="00B3031C"/>
    <w:rsid w:val="00B30368"/>
    <w:rsid w:val="00B3046E"/>
    <w:rsid w:val="00B304E8"/>
    <w:rsid w:val="00B30F94"/>
    <w:rsid w:val="00B313B2"/>
    <w:rsid w:val="00B31507"/>
    <w:rsid w:val="00B316AC"/>
    <w:rsid w:val="00B317CE"/>
    <w:rsid w:val="00B322FA"/>
    <w:rsid w:val="00B3249A"/>
    <w:rsid w:val="00B328D2"/>
    <w:rsid w:val="00B329AE"/>
    <w:rsid w:val="00B32BC3"/>
    <w:rsid w:val="00B32C1B"/>
    <w:rsid w:val="00B32E25"/>
    <w:rsid w:val="00B331CC"/>
    <w:rsid w:val="00B336BF"/>
    <w:rsid w:val="00B33722"/>
    <w:rsid w:val="00B33788"/>
    <w:rsid w:val="00B337E1"/>
    <w:rsid w:val="00B339BD"/>
    <w:rsid w:val="00B33AB2"/>
    <w:rsid w:val="00B33C45"/>
    <w:rsid w:val="00B33E5B"/>
    <w:rsid w:val="00B33E8B"/>
    <w:rsid w:val="00B33EC4"/>
    <w:rsid w:val="00B33F8C"/>
    <w:rsid w:val="00B33FF0"/>
    <w:rsid w:val="00B3453F"/>
    <w:rsid w:val="00B3488B"/>
    <w:rsid w:val="00B34B58"/>
    <w:rsid w:val="00B34D5F"/>
    <w:rsid w:val="00B34E77"/>
    <w:rsid w:val="00B34F2B"/>
    <w:rsid w:val="00B34FBD"/>
    <w:rsid w:val="00B35525"/>
    <w:rsid w:val="00B35618"/>
    <w:rsid w:val="00B356B3"/>
    <w:rsid w:val="00B358A9"/>
    <w:rsid w:val="00B359C6"/>
    <w:rsid w:val="00B35B4E"/>
    <w:rsid w:val="00B35ECB"/>
    <w:rsid w:val="00B36183"/>
    <w:rsid w:val="00B36538"/>
    <w:rsid w:val="00B365DC"/>
    <w:rsid w:val="00B36FC9"/>
    <w:rsid w:val="00B3707C"/>
    <w:rsid w:val="00B3717E"/>
    <w:rsid w:val="00B3732C"/>
    <w:rsid w:val="00B37348"/>
    <w:rsid w:val="00B374DC"/>
    <w:rsid w:val="00B374E6"/>
    <w:rsid w:val="00B37761"/>
    <w:rsid w:val="00B378A2"/>
    <w:rsid w:val="00B37CC2"/>
    <w:rsid w:val="00B37DF3"/>
    <w:rsid w:val="00B37E7D"/>
    <w:rsid w:val="00B40385"/>
    <w:rsid w:val="00B40423"/>
    <w:rsid w:val="00B406AA"/>
    <w:rsid w:val="00B40B22"/>
    <w:rsid w:val="00B40BBE"/>
    <w:rsid w:val="00B40D0E"/>
    <w:rsid w:val="00B40EE7"/>
    <w:rsid w:val="00B412E8"/>
    <w:rsid w:val="00B41445"/>
    <w:rsid w:val="00B41627"/>
    <w:rsid w:val="00B416D3"/>
    <w:rsid w:val="00B417A8"/>
    <w:rsid w:val="00B418C0"/>
    <w:rsid w:val="00B41DA4"/>
    <w:rsid w:val="00B4214F"/>
    <w:rsid w:val="00B42233"/>
    <w:rsid w:val="00B42242"/>
    <w:rsid w:val="00B423CE"/>
    <w:rsid w:val="00B424FF"/>
    <w:rsid w:val="00B42727"/>
    <w:rsid w:val="00B42B5D"/>
    <w:rsid w:val="00B42CE1"/>
    <w:rsid w:val="00B42FA2"/>
    <w:rsid w:val="00B4308B"/>
    <w:rsid w:val="00B432C7"/>
    <w:rsid w:val="00B43422"/>
    <w:rsid w:val="00B43815"/>
    <w:rsid w:val="00B43D81"/>
    <w:rsid w:val="00B43EBE"/>
    <w:rsid w:val="00B4416B"/>
    <w:rsid w:val="00B4470D"/>
    <w:rsid w:val="00B44943"/>
    <w:rsid w:val="00B44A49"/>
    <w:rsid w:val="00B44CC3"/>
    <w:rsid w:val="00B452E9"/>
    <w:rsid w:val="00B45562"/>
    <w:rsid w:val="00B45588"/>
    <w:rsid w:val="00B45ACE"/>
    <w:rsid w:val="00B45B95"/>
    <w:rsid w:val="00B45C2C"/>
    <w:rsid w:val="00B45D9F"/>
    <w:rsid w:val="00B4604D"/>
    <w:rsid w:val="00B46497"/>
    <w:rsid w:val="00B46B7F"/>
    <w:rsid w:val="00B46D20"/>
    <w:rsid w:val="00B46E9B"/>
    <w:rsid w:val="00B46ED6"/>
    <w:rsid w:val="00B46FA0"/>
    <w:rsid w:val="00B473BB"/>
    <w:rsid w:val="00B4768B"/>
    <w:rsid w:val="00B479FD"/>
    <w:rsid w:val="00B47DFA"/>
    <w:rsid w:val="00B501B3"/>
    <w:rsid w:val="00B50508"/>
    <w:rsid w:val="00B50601"/>
    <w:rsid w:val="00B50966"/>
    <w:rsid w:val="00B50C05"/>
    <w:rsid w:val="00B51083"/>
    <w:rsid w:val="00B51234"/>
    <w:rsid w:val="00B51321"/>
    <w:rsid w:val="00B514B9"/>
    <w:rsid w:val="00B51696"/>
    <w:rsid w:val="00B5179A"/>
    <w:rsid w:val="00B51A7E"/>
    <w:rsid w:val="00B51DBD"/>
    <w:rsid w:val="00B5267C"/>
    <w:rsid w:val="00B52700"/>
    <w:rsid w:val="00B52BB4"/>
    <w:rsid w:val="00B52DB4"/>
    <w:rsid w:val="00B53058"/>
    <w:rsid w:val="00B530CF"/>
    <w:rsid w:val="00B5316A"/>
    <w:rsid w:val="00B533B5"/>
    <w:rsid w:val="00B53600"/>
    <w:rsid w:val="00B536A2"/>
    <w:rsid w:val="00B538CD"/>
    <w:rsid w:val="00B53A55"/>
    <w:rsid w:val="00B5444A"/>
    <w:rsid w:val="00B54A6D"/>
    <w:rsid w:val="00B54B68"/>
    <w:rsid w:val="00B54B71"/>
    <w:rsid w:val="00B5552C"/>
    <w:rsid w:val="00B55745"/>
    <w:rsid w:val="00B55910"/>
    <w:rsid w:val="00B55B1B"/>
    <w:rsid w:val="00B55EDC"/>
    <w:rsid w:val="00B56AA7"/>
    <w:rsid w:val="00B57528"/>
    <w:rsid w:val="00B575CC"/>
    <w:rsid w:val="00B60166"/>
    <w:rsid w:val="00B6025E"/>
    <w:rsid w:val="00B60449"/>
    <w:rsid w:val="00B60630"/>
    <w:rsid w:val="00B60A8A"/>
    <w:rsid w:val="00B60B0C"/>
    <w:rsid w:val="00B60B69"/>
    <w:rsid w:val="00B60E30"/>
    <w:rsid w:val="00B614ED"/>
    <w:rsid w:val="00B61E23"/>
    <w:rsid w:val="00B61EFA"/>
    <w:rsid w:val="00B62111"/>
    <w:rsid w:val="00B6259C"/>
    <w:rsid w:val="00B626D0"/>
    <w:rsid w:val="00B62831"/>
    <w:rsid w:val="00B62C3A"/>
    <w:rsid w:val="00B6372B"/>
    <w:rsid w:val="00B637CB"/>
    <w:rsid w:val="00B6385B"/>
    <w:rsid w:val="00B63A35"/>
    <w:rsid w:val="00B63B04"/>
    <w:rsid w:val="00B63BFF"/>
    <w:rsid w:val="00B63ED2"/>
    <w:rsid w:val="00B63EF7"/>
    <w:rsid w:val="00B63FF5"/>
    <w:rsid w:val="00B642C2"/>
    <w:rsid w:val="00B6437A"/>
    <w:rsid w:val="00B644FD"/>
    <w:rsid w:val="00B64518"/>
    <w:rsid w:val="00B64530"/>
    <w:rsid w:val="00B645A1"/>
    <w:rsid w:val="00B64720"/>
    <w:rsid w:val="00B64840"/>
    <w:rsid w:val="00B648F4"/>
    <w:rsid w:val="00B64C47"/>
    <w:rsid w:val="00B64E01"/>
    <w:rsid w:val="00B64F9D"/>
    <w:rsid w:val="00B65439"/>
    <w:rsid w:val="00B654CA"/>
    <w:rsid w:val="00B65D5D"/>
    <w:rsid w:val="00B65E18"/>
    <w:rsid w:val="00B662C8"/>
    <w:rsid w:val="00B66BA5"/>
    <w:rsid w:val="00B66C61"/>
    <w:rsid w:val="00B66D9E"/>
    <w:rsid w:val="00B66ED6"/>
    <w:rsid w:val="00B67009"/>
    <w:rsid w:val="00B67170"/>
    <w:rsid w:val="00B67292"/>
    <w:rsid w:val="00B673F8"/>
    <w:rsid w:val="00B679B9"/>
    <w:rsid w:val="00B67BCD"/>
    <w:rsid w:val="00B70198"/>
    <w:rsid w:val="00B7023A"/>
    <w:rsid w:val="00B70472"/>
    <w:rsid w:val="00B7065B"/>
    <w:rsid w:val="00B70CB5"/>
    <w:rsid w:val="00B70F30"/>
    <w:rsid w:val="00B710F0"/>
    <w:rsid w:val="00B711C4"/>
    <w:rsid w:val="00B7153A"/>
    <w:rsid w:val="00B71793"/>
    <w:rsid w:val="00B71ADC"/>
    <w:rsid w:val="00B71ECC"/>
    <w:rsid w:val="00B7218D"/>
    <w:rsid w:val="00B723D9"/>
    <w:rsid w:val="00B72419"/>
    <w:rsid w:val="00B72493"/>
    <w:rsid w:val="00B72919"/>
    <w:rsid w:val="00B72D2A"/>
    <w:rsid w:val="00B72FE2"/>
    <w:rsid w:val="00B7306B"/>
    <w:rsid w:val="00B7306E"/>
    <w:rsid w:val="00B7359B"/>
    <w:rsid w:val="00B73615"/>
    <w:rsid w:val="00B737C0"/>
    <w:rsid w:val="00B7381E"/>
    <w:rsid w:val="00B73FB7"/>
    <w:rsid w:val="00B7466E"/>
    <w:rsid w:val="00B748C3"/>
    <w:rsid w:val="00B749A7"/>
    <w:rsid w:val="00B751EA"/>
    <w:rsid w:val="00B7542B"/>
    <w:rsid w:val="00B75487"/>
    <w:rsid w:val="00B759EE"/>
    <w:rsid w:val="00B75BC5"/>
    <w:rsid w:val="00B761B0"/>
    <w:rsid w:val="00B765AC"/>
    <w:rsid w:val="00B766C4"/>
    <w:rsid w:val="00B76AD0"/>
    <w:rsid w:val="00B76B36"/>
    <w:rsid w:val="00B76DFD"/>
    <w:rsid w:val="00B77FA1"/>
    <w:rsid w:val="00B80041"/>
    <w:rsid w:val="00B80179"/>
    <w:rsid w:val="00B803DB"/>
    <w:rsid w:val="00B80650"/>
    <w:rsid w:val="00B80A52"/>
    <w:rsid w:val="00B80A64"/>
    <w:rsid w:val="00B80AC0"/>
    <w:rsid w:val="00B80CE8"/>
    <w:rsid w:val="00B80F17"/>
    <w:rsid w:val="00B8127F"/>
    <w:rsid w:val="00B81281"/>
    <w:rsid w:val="00B813AB"/>
    <w:rsid w:val="00B814B0"/>
    <w:rsid w:val="00B8152F"/>
    <w:rsid w:val="00B8160E"/>
    <w:rsid w:val="00B8162D"/>
    <w:rsid w:val="00B81BB3"/>
    <w:rsid w:val="00B81CD7"/>
    <w:rsid w:val="00B81F27"/>
    <w:rsid w:val="00B82391"/>
    <w:rsid w:val="00B823AA"/>
    <w:rsid w:val="00B82421"/>
    <w:rsid w:val="00B825A8"/>
    <w:rsid w:val="00B8287C"/>
    <w:rsid w:val="00B82AA1"/>
    <w:rsid w:val="00B82B0D"/>
    <w:rsid w:val="00B82C40"/>
    <w:rsid w:val="00B82C53"/>
    <w:rsid w:val="00B82F9E"/>
    <w:rsid w:val="00B834B2"/>
    <w:rsid w:val="00B835D8"/>
    <w:rsid w:val="00B835EA"/>
    <w:rsid w:val="00B83707"/>
    <w:rsid w:val="00B837C1"/>
    <w:rsid w:val="00B837D6"/>
    <w:rsid w:val="00B83E7F"/>
    <w:rsid w:val="00B8447C"/>
    <w:rsid w:val="00B844BC"/>
    <w:rsid w:val="00B8451A"/>
    <w:rsid w:val="00B846AB"/>
    <w:rsid w:val="00B846C4"/>
    <w:rsid w:val="00B848B7"/>
    <w:rsid w:val="00B84BE6"/>
    <w:rsid w:val="00B84CAC"/>
    <w:rsid w:val="00B84CC4"/>
    <w:rsid w:val="00B84D4A"/>
    <w:rsid w:val="00B84E3A"/>
    <w:rsid w:val="00B84F6A"/>
    <w:rsid w:val="00B854E8"/>
    <w:rsid w:val="00B85914"/>
    <w:rsid w:val="00B85959"/>
    <w:rsid w:val="00B85C6F"/>
    <w:rsid w:val="00B85C7D"/>
    <w:rsid w:val="00B85D18"/>
    <w:rsid w:val="00B85EC5"/>
    <w:rsid w:val="00B86136"/>
    <w:rsid w:val="00B8620F"/>
    <w:rsid w:val="00B86A02"/>
    <w:rsid w:val="00B86B25"/>
    <w:rsid w:val="00B86CC2"/>
    <w:rsid w:val="00B86D85"/>
    <w:rsid w:val="00B8708B"/>
    <w:rsid w:val="00B871AB"/>
    <w:rsid w:val="00B8746E"/>
    <w:rsid w:val="00B87670"/>
    <w:rsid w:val="00B87B70"/>
    <w:rsid w:val="00B87E1F"/>
    <w:rsid w:val="00B87E96"/>
    <w:rsid w:val="00B901BC"/>
    <w:rsid w:val="00B90E5B"/>
    <w:rsid w:val="00B90F91"/>
    <w:rsid w:val="00B90FD4"/>
    <w:rsid w:val="00B9107F"/>
    <w:rsid w:val="00B91527"/>
    <w:rsid w:val="00B9153E"/>
    <w:rsid w:val="00B915ED"/>
    <w:rsid w:val="00B91A24"/>
    <w:rsid w:val="00B91C3E"/>
    <w:rsid w:val="00B92430"/>
    <w:rsid w:val="00B9268C"/>
    <w:rsid w:val="00B928FB"/>
    <w:rsid w:val="00B92AB3"/>
    <w:rsid w:val="00B92CF1"/>
    <w:rsid w:val="00B92FF6"/>
    <w:rsid w:val="00B934CA"/>
    <w:rsid w:val="00B934E5"/>
    <w:rsid w:val="00B93764"/>
    <w:rsid w:val="00B93847"/>
    <w:rsid w:val="00B93DCC"/>
    <w:rsid w:val="00B94198"/>
    <w:rsid w:val="00B941DB"/>
    <w:rsid w:val="00B9496C"/>
    <w:rsid w:val="00B94AF6"/>
    <w:rsid w:val="00B94F52"/>
    <w:rsid w:val="00B95182"/>
    <w:rsid w:val="00B951DF"/>
    <w:rsid w:val="00B95436"/>
    <w:rsid w:val="00B9576B"/>
    <w:rsid w:val="00B957A1"/>
    <w:rsid w:val="00B9583A"/>
    <w:rsid w:val="00B95EA6"/>
    <w:rsid w:val="00B9651C"/>
    <w:rsid w:val="00B96B09"/>
    <w:rsid w:val="00B96C23"/>
    <w:rsid w:val="00B96DD3"/>
    <w:rsid w:val="00B96E6D"/>
    <w:rsid w:val="00B96F25"/>
    <w:rsid w:val="00B97013"/>
    <w:rsid w:val="00B97033"/>
    <w:rsid w:val="00B971C4"/>
    <w:rsid w:val="00B97360"/>
    <w:rsid w:val="00B97442"/>
    <w:rsid w:val="00B97449"/>
    <w:rsid w:val="00B97CFD"/>
    <w:rsid w:val="00BA00ED"/>
    <w:rsid w:val="00BA0529"/>
    <w:rsid w:val="00BA080C"/>
    <w:rsid w:val="00BA08A7"/>
    <w:rsid w:val="00BA0B86"/>
    <w:rsid w:val="00BA13D2"/>
    <w:rsid w:val="00BA15AE"/>
    <w:rsid w:val="00BA1708"/>
    <w:rsid w:val="00BA1BEC"/>
    <w:rsid w:val="00BA2005"/>
    <w:rsid w:val="00BA2100"/>
    <w:rsid w:val="00BA24F3"/>
    <w:rsid w:val="00BA2962"/>
    <w:rsid w:val="00BA2D0C"/>
    <w:rsid w:val="00BA2D6A"/>
    <w:rsid w:val="00BA2F4F"/>
    <w:rsid w:val="00BA338D"/>
    <w:rsid w:val="00BA3B79"/>
    <w:rsid w:val="00BA4202"/>
    <w:rsid w:val="00BA47F7"/>
    <w:rsid w:val="00BA49A4"/>
    <w:rsid w:val="00BA4B15"/>
    <w:rsid w:val="00BA4C39"/>
    <w:rsid w:val="00BA507B"/>
    <w:rsid w:val="00BA555F"/>
    <w:rsid w:val="00BA55EC"/>
    <w:rsid w:val="00BA5704"/>
    <w:rsid w:val="00BA5A00"/>
    <w:rsid w:val="00BA5A84"/>
    <w:rsid w:val="00BA5AEE"/>
    <w:rsid w:val="00BA5BBF"/>
    <w:rsid w:val="00BA5D39"/>
    <w:rsid w:val="00BA5EB3"/>
    <w:rsid w:val="00BA6086"/>
    <w:rsid w:val="00BA6247"/>
    <w:rsid w:val="00BA6500"/>
    <w:rsid w:val="00BA6519"/>
    <w:rsid w:val="00BA66F8"/>
    <w:rsid w:val="00BA6A5D"/>
    <w:rsid w:val="00BA6D65"/>
    <w:rsid w:val="00BA6FAA"/>
    <w:rsid w:val="00BA728B"/>
    <w:rsid w:val="00BA72EB"/>
    <w:rsid w:val="00BA76F8"/>
    <w:rsid w:val="00BA797C"/>
    <w:rsid w:val="00BA7AE8"/>
    <w:rsid w:val="00BA7FF7"/>
    <w:rsid w:val="00BB0140"/>
    <w:rsid w:val="00BB04DC"/>
    <w:rsid w:val="00BB0783"/>
    <w:rsid w:val="00BB0BF2"/>
    <w:rsid w:val="00BB0CAE"/>
    <w:rsid w:val="00BB1190"/>
    <w:rsid w:val="00BB1656"/>
    <w:rsid w:val="00BB1B83"/>
    <w:rsid w:val="00BB1CDF"/>
    <w:rsid w:val="00BB1D2A"/>
    <w:rsid w:val="00BB1DAE"/>
    <w:rsid w:val="00BB1E0B"/>
    <w:rsid w:val="00BB1E39"/>
    <w:rsid w:val="00BB1FBC"/>
    <w:rsid w:val="00BB20B9"/>
    <w:rsid w:val="00BB21C0"/>
    <w:rsid w:val="00BB21F5"/>
    <w:rsid w:val="00BB220B"/>
    <w:rsid w:val="00BB232E"/>
    <w:rsid w:val="00BB2CF3"/>
    <w:rsid w:val="00BB2D19"/>
    <w:rsid w:val="00BB2E5B"/>
    <w:rsid w:val="00BB3992"/>
    <w:rsid w:val="00BB3BD6"/>
    <w:rsid w:val="00BB3C61"/>
    <w:rsid w:val="00BB3C8F"/>
    <w:rsid w:val="00BB3D54"/>
    <w:rsid w:val="00BB4198"/>
    <w:rsid w:val="00BB4BE9"/>
    <w:rsid w:val="00BB4D78"/>
    <w:rsid w:val="00BB4E57"/>
    <w:rsid w:val="00BB5053"/>
    <w:rsid w:val="00BB529C"/>
    <w:rsid w:val="00BB556B"/>
    <w:rsid w:val="00BB5707"/>
    <w:rsid w:val="00BB577B"/>
    <w:rsid w:val="00BB58EA"/>
    <w:rsid w:val="00BB59F7"/>
    <w:rsid w:val="00BB60CA"/>
    <w:rsid w:val="00BB6244"/>
    <w:rsid w:val="00BB651D"/>
    <w:rsid w:val="00BB67A0"/>
    <w:rsid w:val="00BB6812"/>
    <w:rsid w:val="00BB6E35"/>
    <w:rsid w:val="00BB6F82"/>
    <w:rsid w:val="00BB7044"/>
    <w:rsid w:val="00BB70A3"/>
    <w:rsid w:val="00BB7174"/>
    <w:rsid w:val="00BB7228"/>
    <w:rsid w:val="00BB7487"/>
    <w:rsid w:val="00BB7588"/>
    <w:rsid w:val="00BB75B8"/>
    <w:rsid w:val="00BC03B3"/>
    <w:rsid w:val="00BC03B7"/>
    <w:rsid w:val="00BC041C"/>
    <w:rsid w:val="00BC046E"/>
    <w:rsid w:val="00BC072F"/>
    <w:rsid w:val="00BC0EC2"/>
    <w:rsid w:val="00BC0F75"/>
    <w:rsid w:val="00BC1478"/>
    <w:rsid w:val="00BC14DB"/>
    <w:rsid w:val="00BC1620"/>
    <w:rsid w:val="00BC1A01"/>
    <w:rsid w:val="00BC1DDB"/>
    <w:rsid w:val="00BC2500"/>
    <w:rsid w:val="00BC2BFD"/>
    <w:rsid w:val="00BC2F29"/>
    <w:rsid w:val="00BC2F73"/>
    <w:rsid w:val="00BC2F78"/>
    <w:rsid w:val="00BC2FE3"/>
    <w:rsid w:val="00BC317F"/>
    <w:rsid w:val="00BC34DA"/>
    <w:rsid w:val="00BC3570"/>
    <w:rsid w:val="00BC3894"/>
    <w:rsid w:val="00BC395C"/>
    <w:rsid w:val="00BC397B"/>
    <w:rsid w:val="00BC3D81"/>
    <w:rsid w:val="00BC3DD0"/>
    <w:rsid w:val="00BC3E9E"/>
    <w:rsid w:val="00BC3F20"/>
    <w:rsid w:val="00BC414A"/>
    <w:rsid w:val="00BC449A"/>
    <w:rsid w:val="00BC5005"/>
    <w:rsid w:val="00BC5068"/>
    <w:rsid w:val="00BC53B8"/>
    <w:rsid w:val="00BC545A"/>
    <w:rsid w:val="00BC5B8D"/>
    <w:rsid w:val="00BC5D48"/>
    <w:rsid w:val="00BC5DF2"/>
    <w:rsid w:val="00BC63F1"/>
    <w:rsid w:val="00BC6B53"/>
    <w:rsid w:val="00BC6E94"/>
    <w:rsid w:val="00BC741D"/>
    <w:rsid w:val="00BC750E"/>
    <w:rsid w:val="00BC760D"/>
    <w:rsid w:val="00BC7A59"/>
    <w:rsid w:val="00BD0173"/>
    <w:rsid w:val="00BD038A"/>
    <w:rsid w:val="00BD0560"/>
    <w:rsid w:val="00BD0722"/>
    <w:rsid w:val="00BD0BBC"/>
    <w:rsid w:val="00BD0E45"/>
    <w:rsid w:val="00BD1003"/>
    <w:rsid w:val="00BD116F"/>
    <w:rsid w:val="00BD1386"/>
    <w:rsid w:val="00BD1500"/>
    <w:rsid w:val="00BD17E4"/>
    <w:rsid w:val="00BD1AEE"/>
    <w:rsid w:val="00BD1D37"/>
    <w:rsid w:val="00BD22CC"/>
    <w:rsid w:val="00BD2815"/>
    <w:rsid w:val="00BD2881"/>
    <w:rsid w:val="00BD2E06"/>
    <w:rsid w:val="00BD39F5"/>
    <w:rsid w:val="00BD3CF5"/>
    <w:rsid w:val="00BD40F7"/>
    <w:rsid w:val="00BD48FD"/>
    <w:rsid w:val="00BD4E83"/>
    <w:rsid w:val="00BD4EB4"/>
    <w:rsid w:val="00BD4F3D"/>
    <w:rsid w:val="00BD51EE"/>
    <w:rsid w:val="00BD5210"/>
    <w:rsid w:val="00BD527F"/>
    <w:rsid w:val="00BD547B"/>
    <w:rsid w:val="00BD59A5"/>
    <w:rsid w:val="00BD5AAB"/>
    <w:rsid w:val="00BD63A5"/>
    <w:rsid w:val="00BD6415"/>
    <w:rsid w:val="00BD6521"/>
    <w:rsid w:val="00BD690C"/>
    <w:rsid w:val="00BD69A5"/>
    <w:rsid w:val="00BD69B4"/>
    <w:rsid w:val="00BD69B8"/>
    <w:rsid w:val="00BD6B51"/>
    <w:rsid w:val="00BD73E4"/>
    <w:rsid w:val="00BD761B"/>
    <w:rsid w:val="00BD7B9C"/>
    <w:rsid w:val="00BD7DE8"/>
    <w:rsid w:val="00BD7E33"/>
    <w:rsid w:val="00BD7EB4"/>
    <w:rsid w:val="00BD7F27"/>
    <w:rsid w:val="00BD7FDC"/>
    <w:rsid w:val="00BE01D4"/>
    <w:rsid w:val="00BE0262"/>
    <w:rsid w:val="00BE07F2"/>
    <w:rsid w:val="00BE0BE9"/>
    <w:rsid w:val="00BE0CC5"/>
    <w:rsid w:val="00BE0CD4"/>
    <w:rsid w:val="00BE10F3"/>
    <w:rsid w:val="00BE12A2"/>
    <w:rsid w:val="00BE18CE"/>
    <w:rsid w:val="00BE1A72"/>
    <w:rsid w:val="00BE1F03"/>
    <w:rsid w:val="00BE22BF"/>
    <w:rsid w:val="00BE23BC"/>
    <w:rsid w:val="00BE2403"/>
    <w:rsid w:val="00BE24D6"/>
    <w:rsid w:val="00BE26D0"/>
    <w:rsid w:val="00BE2849"/>
    <w:rsid w:val="00BE2E0D"/>
    <w:rsid w:val="00BE3057"/>
    <w:rsid w:val="00BE33EC"/>
    <w:rsid w:val="00BE3568"/>
    <w:rsid w:val="00BE37C4"/>
    <w:rsid w:val="00BE3B8A"/>
    <w:rsid w:val="00BE3FE6"/>
    <w:rsid w:val="00BE43F1"/>
    <w:rsid w:val="00BE471B"/>
    <w:rsid w:val="00BE47BF"/>
    <w:rsid w:val="00BE493D"/>
    <w:rsid w:val="00BE4AB5"/>
    <w:rsid w:val="00BE4DA7"/>
    <w:rsid w:val="00BE5065"/>
    <w:rsid w:val="00BE55DD"/>
    <w:rsid w:val="00BE55DF"/>
    <w:rsid w:val="00BE5B12"/>
    <w:rsid w:val="00BE5B97"/>
    <w:rsid w:val="00BE5E73"/>
    <w:rsid w:val="00BE666D"/>
    <w:rsid w:val="00BE6864"/>
    <w:rsid w:val="00BE693C"/>
    <w:rsid w:val="00BE6C7C"/>
    <w:rsid w:val="00BE6E7A"/>
    <w:rsid w:val="00BE6FCC"/>
    <w:rsid w:val="00BE7017"/>
    <w:rsid w:val="00BE7291"/>
    <w:rsid w:val="00BE72B3"/>
    <w:rsid w:val="00BE75CF"/>
    <w:rsid w:val="00BE791D"/>
    <w:rsid w:val="00BE7A97"/>
    <w:rsid w:val="00BE7F47"/>
    <w:rsid w:val="00BF0260"/>
    <w:rsid w:val="00BF0403"/>
    <w:rsid w:val="00BF05E2"/>
    <w:rsid w:val="00BF0680"/>
    <w:rsid w:val="00BF0958"/>
    <w:rsid w:val="00BF0C54"/>
    <w:rsid w:val="00BF106C"/>
    <w:rsid w:val="00BF1221"/>
    <w:rsid w:val="00BF1428"/>
    <w:rsid w:val="00BF1644"/>
    <w:rsid w:val="00BF1839"/>
    <w:rsid w:val="00BF1B41"/>
    <w:rsid w:val="00BF288D"/>
    <w:rsid w:val="00BF291D"/>
    <w:rsid w:val="00BF2AE0"/>
    <w:rsid w:val="00BF2B73"/>
    <w:rsid w:val="00BF2F29"/>
    <w:rsid w:val="00BF309F"/>
    <w:rsid w:val="00BF34F9"/>
    <w:rsid w:val="00BF3903"/>
    <w:rsid w:val="00BF39DC"/>
    <w:rsid w:val="00BF3B89"/>
    <w:rsid w:val="00BF3C6C"/>
    <w:rsid w:val="00BF3DEB"/>
    <w:rsid w:val="00BF41EA"/>
    <w:rsid w:val="00BF43A7"/>
    <w:rsid w:val="00BF45A3"/>
    <w:rsid w:val="00BF47BA"/>
    <w:rsid w:val="00BF4B4D"/>
    <w:rsid w:val="00BF5072"/>
    <w:rsid w:val="00BF516E"/>
    <w:rsid w:val="00BF5187"/>
    <w:rsid w:val="00BF548F"/>
    <w:rsid w:val="00BF54A6"/>
    <w:rsid w:val="00BF5579"/>
    <w:rsid w:val="00BF55EE"/>
    <w:rsid w:val="00BF580D"/>
    <w:rsid w:val="00BF594E"/>
    <w:rsid w:val="00BF6075"/>
    <w:rsid w:val="00BF6447"/>
    <w:rsid w:val="00BF65F8"/>
    <w:rsid w:val="00BF682B"/>
    <w:rsid w:val="00BF68CC"/>
    <w:rsid w:val="00BF693B"/>
    <w:rsid w:val="00BF6A50"/>
    <w:rsid w:val="00BF733C"/>
    <w:rsid w:val="00BF73F5"/>
    <w:rsid w:val="00BF7485"/>
    <w:rsid w:val="00BF75BF"/>
    <w:rsid w:val="00BF76A5"/>
    <w:rsid w:val="00BF79D8"/>
    <w:rsid w:val="00BF7F74"/>
    <w:rsid w:val="00BF7FED"/>
    <w:rsid w:val="00C00051"/>
    <w:rsid w:val="00C000B5"/>
    <w:rsid w:val="00C002D3"/>
    <w:rsid w:val="00C00694"/>
    <w:rsid w:val="00C006AF"/>
    <w:rsid w:val="00C00B2E"/>
    <w:rsid w:val="00C00BD7"/>
    <w:rsid w:val="00C00BE2"/>
    <w:rsid w:val="00C01335"/>
    <w:rsid w:val="00C01418"/>
    <w:rsid w:val="00C017DE"/>
    <w:rsid w:val="00C01FD3"/>
    <w:rsid w:val="00C0204B"/>
    <w:rsid w:val="00C021AE"/>
    <w:rsid w:val="00C0278E"/>
    <w:rsid w:val="00C02804"/>
    <w:rsid w:val="00C02854"/>
    <w:rsid w:val="00C02BE5"/>
    <w:rsid w:val="00C02C41"/>
    <w:rsid w:val="00C0301C"/>
    <w:rsid w:val="00C03097"/>
    <w:rsid w:val="00C03181"/>
    <w:rsid w:val="00C03803"/>
    <w:rsid w:val="00C03AA3"/>
    <w:rsid w:val="00C03C10"/>
    <w:rsid w:val="00C042B2"/>
    <w:rsid w:val="00C042BE"/>
    <w:rsid w:val="00C042D8"/>
    <w:rsid w:val="00C04321"/>
    <w:rsid w:val="00C04433"/>
    <w:rsid w:val="00C0489E"/>
    <w:rsid w:val="00C04AD1"/>
    <w:rsid w:val="00C04E41"/>
    <w:rsid w:val="00C04F05"/>
    <w:rsid w:val="00C04F7F"/>
    <w:rsid w:val="00C050CB"/>
    <w:rsid w:val="00C0544E"/>
    <w:rsid w:val="00C05A49"/>
    <w:rsid w:val="00C05B7A"/>
    <w:rsid w:val="00C0609D"/>
    <w:rsid w:val="00C063C7"/>
    <w:rsid w:val="00C06CB9"/>
    <w:rsid w:val="00C06D46"/>
    <w:rsid w:val="00C07052"/>
    <w:rsid w:val="00C074A4"/>
    <w:rsid w:val="00C075BC"/>
    <w:rsid w:val="00C076A1"/>
    <w:rsid w:val="00C076FE"/>
    <w:rsid w:val="00C07983"/>
    <w:rsid w:val="00C07A3D"/>
    <w:rsid w:val="00C07DA3"/>
    <w:rsid w:val="00C07FD9"/>
    <w:rsid w:val="00C105DE"/>
    <w:rsid w:val="00C10606"/>
    <w:rsid w:val="00C1063F"/>
    <w:rsid w:val="00C106D7"/>
    <w:rsid w:val="00C10865"/>
    <w:rsid w:val="00C10A68"/>
    <w:rsid w:val="00C10CC8"/>
    <w:rsid w:val="00C10DC1"/>
    <w:rsid w:val="00C10E92"/>
    <w:rsid w:val="00C10EC0"/>
    <w:rsid w:val="00C10F0D"/>
    <w:rsid w:val="00C11056"/>
    <w:rsid w:val="00C1114A"/>
    <w:rsid w:val="00C1115A"/>
    <w:rsid w:val="00C1126B"/>
    <w:rsid w:val="00C114E3"/>
    <w:rsid w:val="00C1162B"/>
    <w:rsid w:val="00C12303"/>
    <w:rsid w:val="00C12603"/>
    <w:rsid w:val="00C1266B"/>
    <w:rsid w:val="00C12878"/>
    <w:rsid w:val="00C12A65"/>
    <w:rsid w:val="00C12EDA"/>
    <w:rsid w:val="00C133D1"/>
    <w:rsid w:val="00C1342B"/>
    <w:rsid w:val="00C13613"/>
    <w:rsid w:val="00C1365C"/>
    <w:rsid w:val="00C13748"/>
    <w:rsid w:val="00C13CB2"/>
    <w:rsid w:val="00C13CF1"/>
    <w:rsid w:val="00C14340"/>
    <w:rsid w:val="00C146D7"/>
    <w:rsid w:val="00C14746"/>
    <w:rsid w:val="00C14B37"/>
    <w:rsid w:val="00C14D39"/>
    <w:rsid w:val="00C14D7D"/>
    <w:rsid w:val="00C15132"/>
    <w:rsid w:val="00C1537F"/>
    <w:rsid w:val="00C15431"/>
    <w:rsid w:val="00C15C84"/>
    <w:rsid w:val="00C16467"/>
    <w:rsid w:val="00C167BE"/>
    <w:rsid w:val="00C16A28"/>
    <w:rsid w:val="00C16CD3"/>
    <w:rsid w:val="00C16D9D"/>
    <w:rsid w:val="00C16F82"/>
    <w:rsid w:val="00C1769E"/>
    <w:rsid w:val="00C17925"/>
    <w:rsid w:val="00C17D7B"/>
    <w:rsid w:val="00C202C3"/>
    <w:rsid w:val="00C2053D"/>
    <w:rsid w:val="00C20957"/>
    <w:rsid w:val="00C20960"/>
    <w:rsid w:val="00C20A45"/>
    <w:rsid w:val="00C20F46"/>
    <w:rsid w:val="00C212BD"/>
    <w:rsid w:val="00C217D9"/>
    <w:rsid w:val="00C21A9F"/>
    <w:rsid w:val="00C21C03"/>
    <w:rsid w:val="00C21CF0"/>
    <w:rsid w:val="00C21D01"/>
    <w:rsid w:val="00C228D0"/>
    <w:rsid w:val="00C22AD9"/>
    <w:rsid w:val="00C2345F"/>
    <w:rsid w:val="00C234A3"/>
    <w:rsid w:val="00C23801"/>
    <w:rsid w:val="00C23865"/>
    <w:rsid w:val="00C238CF"/>
    <w:rsid w:val="00C23BB3"/>
    <w:rsid w:val="00C23D4F"/>
    <w:rsid w:val="00C23F51"/>
    <w:rsid w:val="00C24170"/>
    <w:rsid w:val="00C243C1"/>
    <w:rsid w:val="00C24608"/>
    <w:rsid w:val="00C24B6E"/>
    <w:rsid w:val="00C24C0C"/>
    <w:rsid w:val="00C24D7A"/>
    <w:rsid w:val="00C24D9B"/>
    <w:rsid w:val="00C25448"/>
    <w:rsid w:val="00C25786"/>
    <w:rsid w:val="00C25795"/>
    <w:rsid w:val="00C25C9E"/>
    <w:rsid w:val="00C261C4"/>
    <w:rsid w:val="00C2652C"/>
    <w:rsid w:val="00C26729"/>
    <w:rsid w:val="00C26762"/>
    <w:rsid w:val="00C267A2"/>
    <w:rsid w:val="00C26AB6"/>
    <w:rsid w:val="00C26BD1"/>
    <w:rsid w:val="00C26F52"/>
    <w:rsid w:val="00C2700E"/>
    <w:rsid w:val="00C2702F"/>
    <w:rsid w:val="00C27183"/>
    <w:rsid w:val="00C27D09"/>
    <w:rsid w:val="00C27D0D"/>
    <w:rsid w:val="00C27D37"/>
    <w:rsid w:val="00C27DBC"/>
    <w:rsid w:val="00C301A9"/>
    <w:rsid w:val="00C3031F"/>
    <w:rsid w:val="00C30752"/>
    <w:rsid w:val="00C3093D"/>
    <w:rsid w:val="00C30B97"/>
    <w:rsid w:val="00C30D67"/>
    <w:rsid w:val="00C310F2"/>
    <w:rsid w:val="00C311DE"/>
    <w:rsid w:val="00C31250"/>
    <w:rsid w:val="00C318B4"/>
    <w:rsid w:val="00C31D21"/>
    <w:rsid w:val="00C31FBD"/>
    <w:rsid w:val="00C32714"/>
    <w:rsid w:val="00C32946"/>
    <w:rsid w:val="00C32A02"/>
    <w:rsid w:val="00C32A56"/>
    <w:rsid w:val="00C32E00"/>
    <w:rsid w:val="00C32E9E"/>
    <w:rsid w:val="00C32F0D"/>
    <w:rsid w:val="00C3307D"/>
    <w:rsid w:val="00C33A75"/>
    <w:rsid w:val="00C33EF7"/>
    <w:rsid w:val="00C34077"/>
    <w:rsid w:val="00C3417F"/>
    <w:rsid w:val="00C343D7"/>
    <w:rsid w:val="00C34580"/>
    <w:rsid w:val="00C34920"/>
    <w:rsid w:val="00C3496E"/>
    <w:rsid w:val="00C34C0B"/>
    <w:rsid w:val="00C34FF6"/>
    <w:rsid w:val="00C35196"/>
    <w:rsid w:val="00C352F5"/>
    <w:rsid w:val="00C35562"/>
    <w:rsid w:val="00C355BE"/>
    <w:rsid w:val="00C35A67"/>
    <w:rsid w:val="00C362B4"/>
    <w:rsid w:val="00C364DC"/>
    <w:rsid w:val="00C37019"/>
    <w:rsid w:val="00C3706C"/>
    <w:rsid w:val="00C3716D"/>
    <w:rsid w:val="00C37431"/>
    <w:rsid w:val="00C37684"/>
    <w:rsid w:val="00C37770"/>
    <w:rsid w:val="00C37925"/>
    <w:rsid w:val="00C37B64"/>
    <w:rsid w:val="00C37E7D"/>
    <w:rsid w:val="00C401C2"/>
    <w:rsid w:val="00C40297"/>
    <w:rsid w:val="00C40437"/>
    <w:rsid w:val="00C40807"/>
    <w:rsid w:val="00C40AC2"/>
    <w:rsid w:val="00C40EA6"/>
    <w:rsid w:val="00C41429"/>
    <w:rsid w:val="00C41B71"/>
    <w:rsid w:val="00C41BB7"/>
    <w:rsid w:val="00C420C7"/>
    <w:rsid w:val="00C42557"/>
    <w:rsid w:val="00C426FC"/>
    <w:rsid w:val="00C4282A"/>
    <w:rsid w:val="00C42B37"/>
    <w:rsid w:val="00C43026"/>
    <w:rsid w:val="00C43338"/>
    <w:rsid w:val="00C43477"/>
    <w:rsid w:val="00C43965"/>
    <w:rsid w:val="00C43AAB"/>
    <w:rsid w:val="00C43ADB"/>
    <w:rsid w:val="00C444F7"/>
    <w:rsid w:val="00C44508"/>
    <w:rsid w:val="00C4453F"/>
    <w:rsid w:val="00C445AD"/>
    <w:rsid w:val="00C44D71"/>
    <w:rsid w:val="00C4503C"/>
    <w:rsid w:val="00C45448"/>
    <w:rsid w:val="00C4546A"/>
    <w:rsid w:val="00C45A9E"/>
    <w:rsid w:val="00C45AE2"/>
    <w:rsid w:val="00C45E1D"/>
    <w:rsid w:val="00C46238"/>
    <w:rsid w:val="00C46242"/>
    <w:rsid w:val="00C4633F"/>
    <w:rsid w:val="00C463DA"/>
    <w:rsid w:val="00C46725"/>
    <w:rsid w:val="00C467FE"/>
    <w:rsid w:val="00C46EA5"/>
    <w:rsid w:val="00C46F35"/>
    <w:rsid w:val="00C47306"/>
    <w:rsid w:val="00C47435"/>
    <w:rsid w:val="00C47498"/>
    <w:rsid w:val="00C475CA"/>
    <w:rsid w:val="00C47756"/>
    <w:rsid w:val="00C47EF0"/>
    <w:rsid w:val="00C47F1D"/>
    <w:rsid w:val="00C504F3"/>
    <w:rsid w:val="00C505F8"/>
    <w:rsid w:val="00C50628"/>
    <w:rsid w:val="00C5064B"/>
    <w:rsid w:val="00C50E86"/>
    <w:rsid w:val="00C512F7"/>
    <w:rsid w:val="00C51B48"/>
    <w:rsid w:val="00C51E2E"/>
    <w:rsid w:val="00C51FE0"/>
    <w:rsid w:val="00C520C3"/>
    <w:rsid w:val="00C52154"/>
    <w:rsid w:val="00C5241E"/>
    <w:rsid w:val="00C5247E"/>
    <w:rsid w:val="00C525DF"/>
    <w:rsid w:val="00C52ADD"/>
    <w:rsid w:val="00C5315D"/>
    <w:rsid w:val="00C532C7"/>
    <w:rsid w:val="00C53322"/>
    <w:rsid w:val="00C53843"/>
    <w:rsid w:val="00C53F4F"/>
    <w:rsid w:val="00C54366"/>
    <w:rsid w:val="00C54AA4"/>
    <w:rsid w:val="00C54CB6"/>
    <w:rsid w:val="00C54D50"/>
    <w:rsid w:val="00C54E3E"/>
    <w:rsid w:val="00C553AD"/>
    <w:rsid w:val="00C55C37"/>
    <w:rsid w:val="00C55D81"/>
    <w:rsid w:val="00C55DBC"/>
    <w:rsid w:val="00C55E49"/>
    <w:rsid w:val="00C5611F"/>
    <w:rsid w:val="00C56399"/>
    <w:rsid w:val="00C5651D"/>
    <w:rsid w:val="00C5694E"/>
    <w:rsid w:val="00C56B75"/>
    <w:rsid w:val="00C56C36"/>
    <w:rsid w:val="00C572F0"/>
    <w:rsid w:val="00C5736F"/>
    <w:rsid w:val="00C575C7"/>
    <w:rsid w:val="00C57717"/>
    <w:rsid w:val="00C578F8"/>
    <w:rsid w:val="00C57A8C"/>
    <w:rsid w:val="00C57D76"/>
    <w:rsid w:val="00C57D8F"/>
    <w:rsid w:val="00C57EA3"/>
    <w:rsid w:val="00C57EE3"/>
    <w:rsid w:val="00C603AB"/>
    <w:rsid w:val="00C60401"/>
    <w:rsid w:val="00C608A4"/>
    <w:rsid w:val="00C609F4"/>
    <w:rsid w:val="00C60A6D"/>
    <w:rsid w:val="00C60E4C"/>
    <w:rsid w:val="00C60EDB"/>
    <w:rsid w:val="00C60FB1"/>
    <w:rsid w:val="00C60FCB"/>
    <w:rsid w:val="00C61195"/>
    <w:rsid w:val="00C6150A"/>
    <w:rsid w:val="00C615FC"/>
    <w:rsid w:val="00C61860"/>
    <w:rsid w:val="00C619C5"/>
    <w:rsid w:val="00C61A3A"/>
    <w:rsid w:val="00C61BEE"/>
    <w:rsid w:val="00C61D1C"/>
    <w:rsid w:val="00C61F6F"/>
    <w:rsid w:val="00C621E1"/>
    <w:rsid w:val="00C6249F"/>
    <w:rsid w:val="00C624B0"/>
    <w:rsid w:val="00C626E0"/>
    <w:rsid w:val="00C62B12"/>
    <w:rsid w:val="00C62B80"/>
    <w:rsid w:val="00C63354"/>
    <w:rsid w:val="00C6361F"/>
    <w:rsid w:val="00C637A0"/>
    <w:rsid w:val="00C63923"/>
    <w:rsid w:val="00C63AD2"/>
    <w:rsid w:val="00C6467E"/>
    <w:rsid w:val="00C64A7A"/>
    <w:rsid w:val="00C64BCD"/>
    <w:rsid w:val="00C64CCA"/>
    <w:rsid w:val="00C64D01"/>
    <w:rsid w:val="00C64D1D"/>
    <w:rsid w:val="00C65100"/>
    <w:rsid w:val="00C652EE"/>
    <w:rsid w:val="00C65363"/>
    <w:rsid w:val="00C65BE5"/>
    <w:rsid w:val="00C65C87"/>
    <w:rsid w:val="00C65CB1"/>
    <w:rsid w:val="00C65D3A"/>
    <w:rsid w:val="00C66137"/>
    <w:rsid w:val="00C6661E"/>
    <w:rsid w:val="00C6679A"/>
    <w:rsid w:val="00C67383"/>
    <w:rsid w:val="00C674B2"/>
    <w:rsid w:val="00C6760D"/>
    <w:rsid w:val="00C70092"/>
    <w:rsid w:val="00C701BF"/>
    <w:rsid w:val="00C70454"/>
    <w:rsid w:val="00C7049D"/>
    <w:rsid w:val="00C70559"/>
    <w:rsid w:val="00C70782"/>
    <w:rsid w:val="00C7087E"/>
    <w:rsid w:val="00C7090C"/>
    <w:rsid w:val="00C70B9C"/>
    <w:rsid w:val="00C70E74"/>
    <w:rsid w:val="00C70FB4"/>
    <w:rsid w:val="00C71467"/>
    <w:rsid w:val="00C717FB"/>
    <w:rsid w:val="00C719D7"/>
    <w:rsid w:val="00C72292"/>
    <w:rsid w:val="00C72847"/>
    <w:rsid w:val="00C7298C"/>
    <w:rsid w:val="00C72C70"/>
    <w:rsid w:val="00C73008"/>
    <w:rsid w:val="00C7320F"/>
    <w:rsid w:val="00C7394D"/>
    <w:rsid w:val="00C73A15"/>
    <w:rsid w:val="00C73B0E"/>
    <w:rsid w:val="00C73C63"/>
    <w:rsid w:val="00C73DBE"/>
    <w:rsid w:val="00C73EA1"/>
    <w:rsid w:val="00C73EBD"/>
    <w:rsid w:val="00C73F8E"/>
    <w:rsid w:val="00C7400A"/>
    <w:rsid w:val="00C7420D"/>
    <w:rsid w:val="00C7448D"/>
    <w:rsid w:val="00C744C3"/>
    <w:rsid w:val="00C7473B"/>
    <w:rsid w:val="00C747B1"/>
    <w:rsid w:val="00C750D2"/>
    <w:rsid w:val="00C7513E"/>
    <w:rsid w:val="00C7565A"/>
    <w:rsid w:val="00C756F1"/>
    <w:rsid w:val="00C7591F"/>
    <w:rsid w:val="00C75C1A"/>
    <w:rsid w:val="00C76017"/>
    <w:rsid w:val="00C761E5"/>
    <w:rsid w:val="00C7632A"/>
    <w:rsid w:val="00C7658B"/>
    <w:rsid w:val="00C76CB7"/>
    <w:rsid w:val="00C76D3D"/>
    <w:rsid w:val="00C76E0C"/>
    <w:rsid w:val="00C76FA3"/>
    <w:rsid w:val="00C770BF"/>
    <w:rsid w:val="00C770F1"/>
    <w:rsid w:val="00C77223"/>
    <w:rsid w:val="00C7726E"/>
    <w:rsid w:val="00C7729B"/>
    <w:rsid w:val="00C77520"/>
    <w:rsid w:val="00C77B5A"/>
    <w:rsid w:val="00C77BC4"/>
    <w:rsid w:val="00C77DA6"/>
    <w:rsid w:val="00C803D6"/>
    <w:rsid w:val="00C8043C"/>
    <w:rsid w:val="00C8043F"/>
    <w:rsid w:val="00C8054A"/>
    <w:rsid w:val="00C80596"/>
    <w:rsid w:val="00C8065E"/>
    <w:rsid w:val="00C8091E"/>
    <w:rsid w:val="00C80E13"/>
    <w:rsid w:val="00C8141E"/>
    <w:rsid w:val="00C8153F"/>
    <w:rsid w:val="00C81660"/>
    <w:rsid w:val="00C819D2"/>
    <w:rsid w:val="00C819EB"/>
    <w:rsid w:val="00C81C10"/>
    <w:rsid w:val="00C81EA8"/>
    <w:rsid w:val="00C823CF"/>
    <w:rsid w:val="00C8266E"/>
    <w:rsid w:val="00C82808"/>
    <w:rsid w:val="00C82AAE"/>
    <w:rsid w:val="00C82BE3"/>
    <w:rsid w:val="00C82C0D"/>
    <w:rsid w:val="00C82E73"/>
    <w:rsid w:val="00C8307C"/>
    <w:rsid w:val="00C8353D"/>
    <w:rsid w:val="00C836C7"/>
    <w:rsid w:val="00C83770"/>
    <w:rsid w:val="00C83DF7"/>
    <w:rsid w:val="00C840BD"/>
    <w:rsid w:val="00C842FB"/>
    <w:rsid w:val="00C8434D"/>
    <w:rsid w:val="00C845A7"/>
    <w:rsid w:val="00C84A35"/>
    <w:rsid w:val="00C84A61"/>
    <w:rsid w:val="00C84BD4"/>
    <w:rsid w:val="00C851B0"/>
    <w:rsid w:val="00C859C7"/>
    <w:rsid w:val="00C85AB2"/>
    <w:rsid w:val="00C85C81"/>
    <w:rsid w:val="00C86311"/>
    <w:rsid w:val="00C8663C"/>
    <w:rsid w:val="00C866B3"/>
    <w:rsid w:val="00C86752"/>
    <w:rsid w:val="00C86766"/>
    <w:rsid w:val="00C86859"/>
    <w:rsid w:val="00C86D0C"/>
    <w:rsid w:val="00C8728D"/>
    <w:rsid w:val="00C8759F"/>
    <w:rsid w:val="00C87616"/>
    <w:rsid w:val="00C87A47"/>
    <w:rsid w:val="00C87C5A"/>
    <w:rsid w:val="00C87CDD"/>
    <w:rsid w:val="00C87CEF"/>
    <w:rsid w:val="00C87D0E"/>
    <w:rsid w:val="00C87E90"/>
    <w:rsid w:val="00C90151"/>
    <w:rsid w:val="00C901F7"/>
    <w:rsid w:val="00C90670"/>
    <w:rsid w:val="00C90A68"/>
    <w:rsid w:val="00C90B3A"/>
    <w:rsid w:val="00C90CB7"/>
    <w:rsid w:val="00C9173E"/>
    <w:rsid w:val="00C921E3"/>
    <w:rsid w:val="00C92AFA"/>
    <w:rsid w:val="00C93126"/>
    <w:rsid w:val="00C93466"/>
    <w:rsid w:val="00C938A0"/>
    <w:rsid w:val="00C939F1"/>
    <w:rsid w:val="00C93C7C"/>
    <w:rsid w:val="00C93E9B"/>
    <w:rsid w:val="00C940DC"/>
    <w:rsid w:val="00C94208"/>
    <w:rsid w:val="00C94336"/>
    <w:rsid w:val="00C94BCD"/>
    <w:rsid w:val="00C94EC9"/>
    <w:rsid w:val="00C94F06"/>
    <w:rsid w:val="00C9515D"/>
    <w:rsid w:val="00C96624"/>
    <w:rsid w:val="00C96656"/>
    <w:rsid w:val="00C96684"/>
    <w:rsid w:val="00C968E4"/>
    <w:rsid w:val="00C969B1"/>
    <w:rsid w:val="00C96C7B"/>
    <w:rsid w:val="00C97189"/>
    <w:rsid w:val="00C97366"/>
    <w:rsid w:val="00C973EB"/>
    <w:rsid w:val="00C97614"/>
    <w:rsid w:val="00C97679"/>
    <w:rsid w:val="00C97ACC"/>
    <w:rsid w:val="00C97C7D"/>
    <w:rsid w:val="00CA070D"/>
    <w:rsid w:val="00CA074C"/>
    <w:rsid w:val="00CA077F"/>
    <w:rsid w:val="00CA09B9"/>
    <w:rsid w:val="00CA0D6B"/>
    <w:rsid w:val="00CA0DDC"/>
    <w:rsid w:val="00CA0EF5"/>
    <w:rsid w:val="00CA107A"/>
    <w:rsid w:val="00CA1081"/>
    <w:rsid w:val="00CA10B1"/>
    <w:rsid w:val="00CA1109"/>
    <w:rsid w:val="00CA115E"/>
    <w:rsid w:val="00CA1274"/>
    <w:rsid w:val="00CA1442"/>
    <w:rsid w:val="00CA1682"/>
    <w:rsid w:val="00CA1858"/>
    <w:rsid w:val="00CA1D67"/>
    <w:rsid w:val="00CA1E61"/>
    <w:rsid w:val="00CA1F25"/>
    <w:rsid w:val="00CA1FDA"/>
    <w:rsid w:val="00CA204A"/>
    <w:rsid w:val="00CA2341"/>
    <w:rsid w:val="00CA25A0"/>
    <w:rsid w:val="00CA266B"/>
    <w:rsid w:val="00CA26E3"/>
    <w:rsid w:val="00CA275F"/>
    <w:rsid w:val="00CA2903"/>
    <w:rsid w:val="00CA2E97"/>
    <w:rsid w:val="00CA2F05"/>
    <w:rsid w:val="00CA33C1"/>
    <w:rsid w:val="00CA3B5C"/>
    <w:rsid w:val="00CA3CC4"/>
    <w:rsid w:val="00CA3E08"/>
    <w:rsid w:val="00CA41A2"/>
    <w:rsid w:val="00CA4638"/>
    <w:rsid w:val="00CA4712"/>
    <w:rsid w:val="00CA4713"/>
    <w:rsid w:val="00CA4A3F"/>
    <w:rsid w:val="00CA4D5D"/>
    <w:rsid w:val="00CA4E15"/>
    <w:rsid w:val="00CA4F16"/>
    <w:rsid w:val="00CA51C0"/>
    <w:rsid w:val="00CA5208"/>
    <w:rsid w:val="00CA5286"/>
    <w:rsid w:val="00CA54B1"/>
    <w:rsid w:val="00CA5A69"/>
    <w:rsid w:val="00CA61B3"/>
    <w:rsid w:val="00CA640C"/>
    <w:rsid w:val="00CA6DE5"/>
    <w:rsid w:val="00CA7637"/>
    <w:rsid w:val="00CA7720"/>
    <w:rsid w:val="00CA78F4"/>
    <w:rsid w:val="00CA7AB7"/>
    <w:rsid w:val="00CA7DDC"/>
    <w:rsid w:val="00CA7DF0"/>
    <w:rsid w:val="00CA7F69"/>
    <w:rsid w:val="00CB04AF"/>
    <w:rsid w:val="00CB0598"/>
    <w:rsid w:val="00CB093B"/>
    <w:rsid w:val="00CB0EE2"/>
    <w:rsid w:val="00CB1372"/>
    <w:rsid w:val="00CB15A6"/>
    <w:rsid w:val="00CB1662"/>
    <w:rsid w:val="00CB16AD"/>
    <w:rsid w:val="00CB1777"/>
    <w:rsid w:val="00CB194D"/>
    <w:rsid w:val="00CB1A02"/>
    <w:rsid w:val="00CB1B48"/>
    <w:rsid w:val="00CB1D17"/>
    <w:rsid w:val="00CB242B"/>
    <w:rsid w:val="00CB2742"/>
    <w:rsid w:val="00CB2D38"/>
    <w:rsid w:val="00CB2E7B"/>
    <w:rsid w:val="00CB2E8E"/>
    <w:rsid w:val="00CB2F70"/>
    <w:rsid w:val="00CB3103"/>
    <w:rsid w:val="00CB322C"/>
    <w:rsid w:val="00CB34E0"/>
    <w:rsid w:val="00CB4147"/>
    <w:rsid w:val="00CB43F1"/>
    <w:rsid w:val="00CB4551"/>
    <w:rsid w:val="00CB45C1"/>
    <w:rsid w:val="00CB45C2"/>
    <w:rsid w:val="00CB480C"/>
    <w:rsid w:val="00CB4B0D"/>
    <w:rsid w:val="00CB5556"/>
    <w:rsid w:val="00CB5ACD"/>
    <w:rsid w:val="00CB5AE8"/>
    <w:rsid w:val="00CB5B40"/>
    <w:rsid w:val="00CB5C84"/>
    <w:rsid w:val="00CB5CEC"/>
    <w:rsid w:val="00CB5EAB"/>
    <w:rsid w:val="00CB5F7A"/>
    <w:rsid w:val="00CB601D"/>
    <w:rsid w:val="00CB625C"/>
    <w:rsid w:val="00CB630A"/>
    <w:rsid w:val="00CB643E"/>
    <w:rsid w:val="00CB656A"/>
    <w:rsid w:val="00CB65B7"/>
    <w:rsid w:val="00CB695A"/>
    <w:rsid w:val="00CB69E2"/>
    <w:rsid w:val="00CB7222"/>
    <w:rsid w:val="00CB72B4"/>
    <w:rsid w:val="00CB7514"/>
    <w:rsid w:val="00CB76F6"/>
    <w:rsid w:val="00CB7B07"/>
    <w:rsid w:val="00CB7BF0"/>
    <w:rsid w:val="00CB7F13"/>
    <w:rsid w:val="00CC005F"/>
    <w:rsid w:val="00CC00C9"/>
    <w:rsid w:val="00CC0116"/>
    <w:rsid w:val="00CC07F8"/>
    <w:rsid w:val="00CC081F"/>
    <w:rsid w:val="00CC097D"/>
    <w:rsid w:val="00CC0B1E"/>
    <w:rsid w:val="00CC0C48"/>
    <w:rsid w:val="00CC0D02"/>
    <w:rsid w:val="00CC0D27"/>
    <w:rsid w:val="00CC0E28"/>
    <w:rsid w:val="00CC0F39"/>
    <w:rsid w:val="00CC1152"/>
    <w:rsid w:val="00CC11AD"/>
    <w:rsid w:val="00CC12B7"/>
    <w:rsid w:val="00CC169C"/>
    <w:rsid w:val="00CC1896"/>
    <w:rsid w:val="00CC1FB3"/>
    <w:rsid w:val="00CC2064"/>
    <w:rsid w:val="00CC25C5"/>
    <w:rsid w:val="00CC2BFC"/>
    <w:rsid w:val="00CC2C00"/>
    <w:rsid w:val="00CC2CED"/>
    <w:rsid w:val="00CC38CB"/>
    <w:rsid w:val="00CC4060"/>
    <w:rsid w:val="00CC44F5"/>
    <w:rsid w:val="00CC46B2"/>
    <w:rsid w:val="00CC4763"/>
    <w:rsid w:val="00CC4CC0"/>
    <w:rsid w:val="00CC4E15"/>
    <w:rsid w:val="00CC4F88"/>
    <w:rsid w:val="00CC567D"/>
    <w:rsid w:val="00CC5A51"/>
    <w:rsid w:val="00CC6140"/>
    <w:rsid w:val="00CC650B"/>
    <w:rsid w:val="00CC679D"/>
    <w:rsid w:val="00CC6A3C"/>
    <w:rsid w:val="00CC6B58"/>
    <w:rsid w:val="00CC6F3B"/>
    <w:rsid w:val="00CC6F8D"/>
    <w:rsid w:val="00CC74E9"/>
    <w:rsid w:val="00CC7562"/>
    <w:rsid w:val="00CC7656"/>
    <w:rsid w:val="00CC7E0D"/>
    <w:rsid w:val="00CC7F25"/>
    <w:rsid w:val="00CD0413"/>
    <w:rsid w:val="00CD06A3"/>
    <w:rsid w:val="00CD0961"/>
    <w:rsid w:val="00CD0B0E"/>
    <w:rsid w:val="00CD0D0D"/>
    <w:rsid w:val="00CD119C"/>
    <w:rsid w:val="00CD1201"/>
    <w:rsid w:val="00CD182E"/>
    <w:rsid w:val="00CD1994"/>
    <w:rsid w:val="00CD1C9B"/>
    <w:rsid w:val="00CD2448"/>
    <w:rsid w:val="00CD2CB5"/>
    <w:rsid w:val="00CD2FB7"/>
    <w:rsid w:val="00CD33F7"/>
    <w:rsid w:val="00CD3514"/>
    <w:rsid w:val="00CD372F"/>
    <w:rsid w:val="00CD390E"/>
    <w:rsid w:val="00CD3B86"/>
    <w:rsid w:val="00CD41EC"/>
    <w:rsid w:val="00CD4E3B"/>
    <w:rsid w:val="00CD52AC"/>
    <w:rsid w:val="00CD5387"/>
    <w:rsid w:val="00CD539E"/>
    <w:rsid w:val="00CD53A0"/>
    <w:rsid w:val="00CD574B"/>
    <w:rsid w:val="00CD5821"/>
    <w:rsid w:val="00CD58A7"/>
    <w:rsid w:val="00CD5CCA"/>
    <w:rsid w:val="00CD5DD0"/>
    <w:rsid w:val="00CD62C9"/>
    <w:rsid w:val="00CD6334"/>
    <w:rsid w:val="00CD698B"/>
    <w:rsid w:val="00CD6CCC"/>
    <w:rsid w:val="00CD6F1F"/>
    <w:rsid w:val="00CD7DC0"/>
    <w:rsid w:val="00CE02E5"/>
    <w:rsid w:val="00CE03C5"/>
    <w:rsid w:val="00CE10F0"/>
    <w:rsid w:val="00CE21C5"/>
    <w:rsid w:val="00CE27FE"/>
    <w:rsid w:val="00CE2987"/>
    <w:rsid w:val="00CE2B79"/>
    <w:rsid w:val="00CE2FB7"/>
    <w:rsid w:val="00CE3108"/>
    <w:rsid w:val="00CE3975"/>
    <w:rsid w:val="00CE3BDB"/>
    <w:rsid w:val="00CE3C7B"/>
    <w:rsid w:val="00CE4146"/>
    <w:rsid w:val="00CE41CC"/>
    <w:rsid w:val="00CE4249"/>
    <w:rsid w:val="00CE46B6"/>
    <w:rsid w:val="00CE46E9"/>
    <w:rsid w:val="00CE4AE7"/>
    <w:rsid w:val="00CE51F8"/>
    <w:rsid w:val="00CE545F"/>
    <w:rsid w:val="00CE5604"/>
    <w:rsid w:val="00CE5648"/>
    <w:rsid w:val="00CE5E66"/>
    <w:rsid w:val="00CE6079"/>
    <w:rsid w:val="00CE61AB"/>
    <w:rsid w:val="00CE61D8"/>
    <w:rsid w:val="00CE6345"/>
    <w:rsid w:val="00CE634E"/>
    <w:rsid w:val="00CE643F"/>
    <w:rsid w:val="00CE6486"/>
    <w:rsid w:val="00CE6A1C"/>
    <w:rsid w:val="00CE6DEE"/>
    <w:rsid w:val="00CE7525"/>
    <w:rsid w:val="00CE76F7"/>
    <w:rsid w:val="00CE7913"/>
    <w:rsid w:val="00CE792F"/>
    <w:rsid w:val="00CE7B72"/>
    <w:rsid w:val="00CE7C3E"/>
    <w:rsid w:val="00CF00BA"/>
    <w:rsid w:val="00CF0624"/>
    <w:rsid w:val="00CF0786"/>
    <w:rsid w:val="00CF0D99"/>
    <w:rsid w:val="00CF0EEE"/>
    <w:rsid w:val="00CF12F1"/>
    <w:rsid w:val="00CF1445"/>
    <w:rsid w:val="00CF176A"/>
    <w:rsid w:val="00CF18E6"/>
    <w:rsid w:val="00CF1918"/>
    <w:rsid w:val="00CF1A25"/>
    <w:rsid w:val="00CF1AA4"/>
    <w:rsid w:val="00CF1C3B"/>
    <w:rsid w:val="00CF1D1F"/>
    <w:rsid w:val="00CF202A"/>
    <w:rsid w:val="00CF2113"/>
    <w:rsid w:val="00CF235D"/>
    <w:rsid w:val="00CF238F"/>
    <w:rsid w:val="00CF28DD"/>
    <w:rsid w:val="00CF2936"/>
    <w:rsid w:val="00CF296F"/>
    <w:rsid w:val="00CF2CA9"/>
    <w:rsid w:val="00CF2E8C"/>
    <w:rsid w:val="00CF349A"/>
    <w:rsid w:val="00CF34A5"/>
    <w:rsid w:val="00CF34B0"/>
    <w:rsid w:val="00CF3B25"/>
    <w:rsid w:val="00CF408D"/>
    <w:rsid w:val="00CF4154"/>
    <w:rsid w:val="00CF499C"/>
    <w:rsid w:val="00CF4D86"/>
    <w:rsid w:val="00CF4DBF"/>
    <w:rsid w:val="00CF56EC"/>
    <w:rsid w:val="00CF5CBF"/>
    <w:rsid w:val="00CF5CF0"/>
    <w:rsid w:val="00CF5E38"/>
    <w:rsid w:val="00CF5ECC"/>
    <w:rsid w:val="00CF60F9"/>
    <w:rsid w:val="00CF6346"/>
    <w:rsid w:val="00CF6766"/>
    <w:rsid w:val="00CF6E0D"/>
    <w:rsid w:val="00CF6EB7"/>
    <w:rsid w:val="00CF72F6"/>
    <w:rsid w:val="00CF7605"/>
    <w:rsid w:val="00CF764A"/>
    <w:rsid w:val="00D0035F"/>
    <w:rsid w:val="00D0094C"/>
    <w:rsid w:val="00D00ECF"/>
    <w:rsid w:val="00D01081"/>
    <w:rsid w:val="00D0111E"/>
    <w:rsid w:val="00D01371"/>
    <w:rsid w:val="00D015E7"/>
    <w:rsid w:val="00D01805"/>
    <w:rsid w:val="00D019B1"/>
    <w:rsid w:val="00D01A7B"/>
    <w:rsid w:val="00D01B54"/>
    <w:rsid w:val="00D01B7E"/>
    <w:rsid w:val="00D01E8E"/>
    <w:rsid w:val="00D01ECD"/>
    <w:rsid w:val="00D01F53"/>
    <w:rsid w:val="00D021D8"/>
    <w:rsid w:val="00D0220D"/>
    <w:rsid w:val="00D028D6"/>
    <w:rsid w:val="00D02C14"/>
    <w:rsid w:val="00D02D08"/>
    <w:rsid w:val="00D02E85"/>
    <w:rsid w:val="00D02F22"/>
    <w:rsid w:val="00D03142"/>
    <w:rsid w:val="00D031FF"/>
    <w:rsid w:val="00D03374"/>
    <w:rsid w:val="00D0367B"/>
    <w:rsid w:val="00D0374C"/>
    <w:rsid w:val="00D047E8"/>
    <w:rsid w:val="00D0493F"/>
    <w:rsid w:val="00D04BE5"/>
    <w:rsid w:val="00D04DCF"/>
    <w:rsid w:val="00D04EA6"/>
    <w:rsid w:val="00D04F6E"/>
    <w:rsid w:val="00D053F5"/>
    <w:rsid w:val="00D055FD"/>
    <w:rsid w:val="00D057FB"/>
    <w:rsid w:val="00D05ABE"/>
    <w:rsid w:val="00D05F37"/>
    <w:rsid w:val="00D05FBC"/>
    <w:rsid w:val="00D061A7"/>
    <w:rsid w:val="00D0654F"/>
    <w:rsid w:val="00D06681"/>
    <w:rsid w:val="00D066A2"/>
    <w:rsid w:val="00D06809"/>
    <w:rsid w:val="00D0692D"/>
    <w:rsid w:val="00D06AD2"/>
    <w:rsid w:val="00D070FE"/>
    <w:rsid w:val="00D0718E"/>
    <w:rsid w:val="00D071F3"/>
    <w:rsid w:val="00D07377"/>
    <w:rsid w:val="00D07652"/>
    <w:rsid w:val="00D07C20"/>
    <w:rsid w:val="00D07E3F"/>
    <w:rsid w:val="00D07FDB"/>
    <w:rsid w:val="00D1002F"/>
    <w:rsid w:val="00D107FF"/>
    <w:rsid w:val="00D109FF"/>
    <w:rsid w:val="00D10CAC"/>
    <w:rsid w:val="00D10D55"/>
    <w:rsid w:val="00D10DA7"/>
    <w:rsid w:val="00D10DE7"/>
    <w:rsid w:val="00D10E6C"/>
    <w:rsid w:val="00D10E94"/>
    <w:rsid w:val="00D10FCB"/>
    <w:rsid w:val="00D1102F"/>
    <w:rsid w:val="00D11061"/>
    <w:rsid w:val="00D1152A"/>
    <w:rsid w:val="00D1158A"/>
    <w:rsid w:val="00D117AA"/>
    <w:rsid w:val="00D11BBC"/>
    <w:rsid w:val="00D11D65"/>
    <w:rsid w:val="00D11E6C"/>
    <w:rsid w:val="00D120EE"/>
    <w:rsid w:val="00D1219B"/>
    <w:rsid w:val="00D121A9"/>
    <w:rsid w:val="00D122E0"/>
    <w:rsid w:val="00D12599"/>
    <w:rsid w:val="00D125C6"/>
    <w:rsid w:val="00D126D2"/>
    <w:rsid w:val="00D12933"/>
    <w:rsid w:val="00D12A51"/>
    <w:rsid w:val="00D12BD1"/>
    <w:rsid w:val="00D12CEB"/>
    <w:rsid w:val="00D12E1C"/>
    <w:rsid w:val="00D12F13"/>
    <w:rsid w:val="00D131B0"/>
    <w:rsid w:val="00D13520"/>
    <w:rsid w:val="00D1358D"/>
    <w:rsid w:val="00D13610"/>
    <w:rsid w:val="00D13B99"/>
    <w:rsid w:val="00D13CC8"/>
    <w:rsid w:val="00D13FFD"/>
    <w:rsid w:val="00D140A0"/>
    <w:rsid w:val="00D14262"/>
    <w:rsid w:val="00D143FF"/>
    <w:rsid w:val="00D14AF5"/>
    <w:rsid w:val="00D15712"/>
    <w:rsid w:val="00D1579C"/>
    <w:rsid w:val="00D15879"/>
    <w:rsid w:val="00D1596D"/>
    <w:rsid w:val="00D15BF1"/>
    <w:rsid w:val="00D15C70"/>
    <w:rsid w:val="00D15D2F"/>
    <w:rsid w:val="00D16091"/>
    <w:rsid w:val="00D161FD"/>
    <w:rsid w:val="00D16322"/>
    <w:rsid w:val="00D16464"/>
    <w:rsid w:val="00D164CD"/>
    <w:rsid w:val="00D165F0"/>
    <w:rsid w:val="00D16723"/>
    <w:rsid w:val="00D168B4"/>
    <w:rsid w:val="00D16C49"/>
    <w:rsid w:val="00D16CE5"/>
    <w:rsid w:val="00D16DB2"/>
    <w:rsid w:val="00D16F0B"/>
    <w:rsid w:val="00D17086"/>
    <w:rsid w:val="00D173DC"/>
    <w:rsid w:val="00D17469"/>
    <w:rsid w:val="00D175E4"/>
    <w:rsid w:val="00D17659"/>
    <w:rsid w:val="00D17741"/>
    <w:rsid w:val="00D17A87"/>
    <w:rsid w:val="00D17F24"/>
    <w:rsid w:val="00D200AC"/>
    <w:rsid w:val="00D20287"/>
    <w:rsid w:val="00D20516"/>
    <w:rsid w:val="00D207CC"/>
    <w:rsid w:val="00D20BF4"/>
    <w:rsid w:val="00D20DDA"/>
    <w:rsid w:val="00D210D6"/>
    <w:rsid w:val="00D21251"/>
    <w:rsid w:val="00D212EF"/>
    <w:rsid w:val="00D21311"/>
    <w:rsid w:val="00D2149E"/>
    <w:rsid w:val="00D21D68"/>
    <w:rsid w:val="00D21E4A"/>
    <w:rsid w:val="00D223F8"/>
    <w:rsid w:val="00D2279D"/>
    <w:rsid w:val="00D22972"/>
    <w:rsid w:val="00D22A2D"/>
    <w:rsid w:val="00D22EB5"/>
    <w:rsid w:val="00D23072"/>
    <w:rsid w:val="00D230D3"/>
    <w:rsid w:val="00D232FC"/>
    <w:rsid w:val="00D23379"/>
    <w:rsid w:val="00D23410"/>
    <w:rsid w:val="00D23696"/>
    <w:rsid w:val="00D2379C"/>
    <w:rsid w:val="00D238E4"/>
    <w:rsid w:val="00D23A0D"/>
    <w:rsid w:val="00D23C5D"/>
    <w:rsid w:val="00D24270"/>
    <w:rsid w:val="00D2460F"/>
    <w:rsid w:val="00D24E6F"/>
    <w:rsid w:val="00D252E5"/>
    <w:rsid w:val="00D252ED"/>
    <w:rsid w:val="00D2531E"/>
    <w:rsid w:val="00D259BB"/>
    <w:rsid w:val="00D25C6C"/>
    <w:rsid w:val="00D25DF6"/>
    <w:rsid w:val="00D25E8B"/>
    <w:rsid w:val="00D260B5"/>
    <w:rsid w:val="00D265E2"/>
    <w:rsid w:val="00D2690F"/>
    <w:rsid w:val="00D26A34"/>
    <w:rsid w:val="00D26ADA"/>
    <w:rsid w:val="00D26E66"/>
    <w:rsid w:val="00D27598"/>
    <w:rsid w:val="00D275D4"/>
    <w:rsid w:val="00D277C9"/>
    <w:rsid w:val="00D27927"/>
    <w:rsid w:val="00D2794D"/>
    <w:rsid w:val="00D27C05"/>
    <w:rsid w:val="00D30C7B"/>
    <w:rsid w:val="00D30E6B"/>
    <w:rsid w:val="00D310CD"/>
    <w:rsid w:val="00D313D6"/>
    <w:rsid w:val="00D3157A"/>
    <w:rsid w:val="00D3184F"/>
    <w:rsid w:val="00D31952"/>
    <w:rsid w:val="00D3196F"/>
    <w:rsid w:val="00D31D2C"/>
    <w:rsid w:val="00D31E0B"/>
    <w:rsid w:val="00D31F9E"/>
    <w:rsid w:val="00D32005"/>
    <w:rsid w:val="00D32036"/>
    <w:rsid w:val="00D32656"/>
    <w:rsid w:val="00D32673"/>
    <w:rsid w:val="00D32C06"/>
    <w:rsid w:val="00D330F7"/>
    <w:rsid w:val="00D335FB"/>
    <w:rsid w:val="00D3385A"/>
    <w:rsid w:val="00D33BD5"/>
    <w:rsid w:val="00D33C4C"/>
    <w:rsid w:val="00D34A19"/>
    <w:rsid w:val="00D34B1B"/>
    <w:rsid w:val="00D34B1E"/>
    <w:rsid w:val="00D34CAB"/>
    <w:rsid w:val="00D3539A"/>
    <w:rsid w:val="00D35413"/>
    <w:rsid w:val="00D3563C"/>
    <w:rsid w:val="00D35966"/>
    <w:rsid w:val="00D35D05"/>
    <w:rsid w:val="00D35EFE"/>
    <w:rsid w:val="00D364C3"/>
    <w:rsid w:val="00D36644"/>
    <w:rsid w:val="00D36AF4"/>
    <w:rsid w:val="00D36B09"/>
    <w:rsid w:val="00D36CFE"/>
    <w:rsid w:val="00D36D1C"/>
    <w:rsid w:val="00D36FD2"/>
    <w:rsid w:val="00D37247"/>
    <w:rsid w:val="00D37470"/>
    <w:rsid w:val="00D37712"/>
    <w:rsid w:val="00D37A8D"/>
    <w:rsid w:val="00D37DBA"/>
    <w:rsid w:val="00D37F54"/>
    <w:rsid w:val="00D40038"/>
    <w:rsid w:val="00D4047A"/>
    <w:rsid w:val="00D406C1"/>
    <w:rsid w:val="00D40782"/>
    <w:rsid w:val="00D40806"/>
    <w:rsid w:val="00D40963"/>
    <w:rsid w:val="00D40BD9"/>
    <w:rsid w:val="00D40C22"/>
    <w:rsid w:val="00D40F28"/>
    <w:rsid w:val="00D411D3"/>
    <w:rsid w:val="00D41311"/>
    <w:rsid w:val="00D413B8"/>
    <w:rsid w:val="00D41813"/>
    <w:rsid w:val="00D41B77"/>
    <w:rsid w:val="00D41ECD"/>
    <w:rsid w:val="00D42210"/>
    <w:rsid w:val="00D422C1"/>
    <w:rsid w:val="00D42350"/>
    <w:rsid w:val="00D42A1F"/>
    <w:rsid w:val="00D42D5B"/>
    <w:rsid w:val="00D42E63"/>
    <w:rsid w:val="00D42EA1"/>
    <w:rsid w:val="00D42FCF"/>
    <w:rsid w:val="00D43244"/>
    <w:rsid w:val="00D43864"/>
    <w:rsid w:val="00D43D6B"/>
    <w:rsid w:val="00D43ED9"/>
    <w:rsid w:val="00D442CA"/>
    <w:rsid w:val="00D44318"/>
    <w:rsid w:val="00D4434D"/>
    <w:rsid w:val="00D4473B"/>
    <w:rsid w:val="00D44897"/>
    <w:rsid w:val="00D449E6"/>
    <w:rsid w:val="00D44BB6"/>
    <w:rsid w:val="00D4513B"/>
    <w:rsid w:val="00D451BF"/>
    <w:rsid w:val="00D456DD"/>
    <w:rsid w:val="00D45A19"/>
    <w:rsid w:val="00D46435"/>
    <w:rsid w:val="00D469B9"/>
    <w:rsid w:val="00D46EDC"/>
    <w:rsid w:val="00D4711B"/>
    <w:rsid w:val="00D472C0"/>
    <w:rsid w:val="00D474E2"/>
    <w:rsid w:val="00D47672"/>
    <w:rsid w:val="00D47690"/>
    <w:rsid w:val="00D50246"/>
    <w:rsid w:val="00D50328"/>
    <w:rsid w:val="00D5069D"/>
    <w:rsid w:val="00D50714"/>
    <w:rsid w:val="00D50727"/>
    <w:rsid w:val="00D50D30"/>
    <w:rsid w:val="00D5101A"/>
    <w:rsid w:val="00D51074"/>
    <w:rsid w:val="00D51157"/>
    <w:rsid w:val="00D51313"/>
    <w:rsid w:val="00D51603"/>
    <w:rsid w:val="00D516F6"/>
    <w:rsid w:val="00D518C8"/>
    <w:rsid w:val="00D51BAC"/>
    <w:rsid w:val="00D51C03"/>
    <w:rsid w:val="00D51D54"/>
    <w:rsid w:val="00D520E6"/>
    <w:rsid w:val="00D5237A"/>
    <w:rsid w:val="00D52CC0"/>
    <w:rsid w:val="00D52E57"/>
    <w:rsid w:val="00D52EB8"/>
    <w:rsid w:val="00D5329C"/>
    <w:rsid w:val="00D53670"/>
    <w:rsid w:val="00D537BD"/>
    <w:rsid w:val="00D537C6"/>
    <w:rsid w:val="00D53B49"/>
    <w:rsid w:val="00D53E77"/>
    <w:rsid w:val="00D53FD3"/>
    <w:rsid w:val="00D54149"/>
    <w:rsid w:val="00D54195"/>
    <w:rsid w:val="00D541A7"/>
    <w:rsid w:val="00D544D5"/>
    <w:rsid w:val="00D5467C"/>
    <w:rsid w:val="00D54928"/>
    <w:rsid w:val="00D54CBC"/>
    <w:rsid w:val="00D54FFD"/>
    <w:rsid w:val="00D55182"/>
    <w:rsid w:val="00D55D83"/>
    <w:rsid w:val="00D55D8A"/>
    <w:rsid w:val="00D560FC"/>
    <w:rsid w:val="00D564A2"/>
    <w:rsid w:val="00D566D8"/>
    <w:rsid w:val="00D5718C"/>
    <w:rsid w:val="00D572AA"/>
    <w:rsid w:val="00D57418"/>
    <w:rsid w:val="00D5781D"/>
    <w:rsid w:val="00D57CA2"/>
    <w:rsid w:val="00D60585"/>
    <w:rsid w:val="00D60885"/>
    <w:rsid w:val="00D60F4D"/>
    <w:rsid w:val="00D611AE"/>
    <w:rsid w:val="00D61443"/>
    <w:rsid w:val="00D61516"/>
    <w:rsid w:val="00D615B2"/>
    <w:rsid w:val="00D6189C"/>
    <w:rsid w:val="00D61C34"/>
    <w:rsid w:val="00D61D55"/>
    <w:rsid w:val="00D61DB2"/>
    <w:rsid w:val="00D61E9F"/>
    <w:rsid w:val="00D61F5F"/>
    <w:rsid w:val="00D6208D"/>
    <w:rsid w:val="00D62318"/>
    <w:rsid w:val="00D6233F"/>
    <w:rsid w:val="00D6244F"/>
    <w:rsid w:val="00D6287C"/>
    <w:rsid w:val="00D62A4F"/>
    <w:rsid w:val="00D62FD8"/>
    <w:rsid w:val="00D63163"/>
    <w:rsid w:val="00D634B0"/>
    <w:rsid w:val="00D635C2"/>
    <w:rsid w:val="00D6362A"/>
    <w:rsid w:val="00D636AD"/>
    <w:rsid w:val="00D63823"/>
    <w:rsid w:val="00D63926"/>
    <w:rsid w:val="00D63C8D"/>
    <w:rsid w:val="00D64361"/>
    <w:rsid w:val="00D6448C"/>
    <w:rsid w:val="00D64721"/>
    <w:rsid w:val="00D6478F"/>
    <w:rsid w:val="00D648ED"/>
    <w:rsid w:val="00D64C13"/>
    <w:rsid w:val="00D64E83"/>
    <w:rsid w:val="00D64F40"/>
    <w:rsid w:val="00D64FD5"/>
    <w:rsid w:val="00D6541B"/>
    <w:rsid w:val="00D6561D"/>
    <w:rsid w:val="00D65816"/>
    <w:rsid w:val="00D65986"/>
    <w:rsid w:val="00D65B4E"/>
    <w:rsid w:val="00D65C83"/>
    <w:rsid w:val="00D665E2"/>
    <w:rsid w:val="00D666F0"/>
    <w:rsid w:val="00D6684C"/>
    <w:rsid w:val="00D66875"/>
    <w:rsid w:val="00D66953"/>
    <w:rsid w:val="00D66C04"/>
    <w:rsid w:val="00D66F6C"/>
    <w:rsid w:val="00D67131"/>
    <w:rsid w:val="00D671AF"/>
    <w:rsid w:val="00D67704"/>
    <w:rsid w:val="00D67964"/>
    <w:rsid w:val="00D67A86"/>
    <w:rsid w:val="00D67BB8"/>
    <w:rsid w:val="00D67BF2"/>
    <w:rsid w:val="00D67EBE"/>
    <w:rsid w:val="00D702CB"/>
    <w:rsid w:val="00D703C0"/>
    <w:rsid w:val="00D70808"/>
    <w:rsid w:val="00D70A8F"/>
    <w:rsid w:val="00D71014"/>
    <w:rsid w:val="00D71137"/>
    <w:rsid w:val="00D71409"/>
    <w:rsid w:val="00D716ED"/>
    <w:rsid w:val="00D71BCD"/>
    <w:rsid w:val="00D71C7E"/>
    <w:rsid w:val="00D71E83"/>
    <w:rsid w:val="00D71F0E"/>
    <w:rsid w:val="00D71FA6"/>
    <w:rsid w:val="00D7291D"/>
    <w:rsid w:val="00D72944"/>
    <w:rsid w:val="00D72947"/>
    <w:rsid w:val="00D729C0"/>
    <w:rsid w:val="00D72ADB"/>
    <w:rsid w:val="00D72D64"/>
    <w:rsid w:val="00D72E22"/>
    <w:rsid w:val="00D730FE"/>
    <w:rsid w:val="00D732C0"/>
    <w:rsid w:val="00D73554"/>
    <w:rsid w:val="00D7356C"/>
    <w:rsid w:val="00D736A4"/>
    <w:rsid w:val="00D737FB"/>
    <w:rsid w:val="00D73FBB"/>
    <w:rsid w:val="00D740E7"/>
    <w:rsid w:val="00D74258"/>
    <w:rsid w:val="00D743F4"/>
    <w:rsid w:val="00D74451"/>
    <w:rsid w:val="00D744AE"/>
    <w:rsid w:val="00D748F6"/>
    <w:rsid w:val="00D74931"/>
    <w:rsid w:val="00D74962"/>
    <w:rsid w:val="00D74A0C"/>
    <w:rsid w:val="00D74AE3"/>
    <w:rsid w:val="00D74BC0"/>
    <w:rsid w:val="00D74C03"/>
    <w:rsid w:val="00D74DA8"/>
    <w:rsid w:val="00D74E89"/>
    <w:rsid w:val="00D75063"/>
    <w:rsid w:val="00D7529E"/>
    <w:rsid w:val="00D75D8B"/>
    <w:rsid w:val="00D7624F"/>
    <w:rsid w:val="00D762A0"/>
    <w:rsid w:val="00D7663E"/>
    <w:rsid w:val="00D76D80"/>
    <w:rsid w:val="00D76E79"/>
    <w:rsid w:val="00D76F2D"/>
    <w:rsid w:val="00D7732F"/>
    <w:rsid w:val="00D773E8"/>
    <w:rsid w:val="00D775A7"/>
    <w:rsid w:val="00D776FB"/>
    <w:rsid w:val="00D77747"/>
    <w:rsid w:val="00D77867"/>
    <w:rsid w:val="00D77973"/>
    <w:rsid w:val="00D779DD"/>
    <w:rsid w:val="00D77FF6"/>
    <w:rsid w:val="00D80032"/>
    <w:rsid w:val="00D80590"/>
    <w:rsid w:val="00D80897"/>
    <w:rsid w:val="00D808AC"/>
    <w:rsid w:val="00D80940"/>
    <w:rsid w:val="00D80999"/>
    <w:rsid w:val="00D813E6"/>
    <w:rsid w:val="00D81C7B"/>
    <w:rsid w:val="00D81EEA"/>
    <w:rsid w:val="00D82045"/>
    <w:rsid w:val="00D83097"/>
    <w:rsid w:val="00D83140"/>
    <w:rsid w:val="00D831C5"/>
    <w:rsid w:val="00D8346B"/>
    <w:rsid w:val="00D835F9"/>
    <w:rsid w:val="00D839B9"/>
    <w:rsid w:val="00D83B93"/>
    <w:rsid w:val="00D83BC8"/>
    <w:rsid w:val="00D83F98"/>
    <w:rsid w:val="00D84081"/>
    <w:rsid w:val="00D84721"/>
    <w:rsid w:val="00D847CA"/>
    <w:rsid w:val="00D847FD"/>
    <w:rsid w:val="00D84A83"/>
    <w:rsid w:val="00D84AD2"/>
    <w:rsid w:val="00D84C18"/>
    <w:rsid w:val="00D84D61"/>
    <w:rsid w:val="00D84D80"/>
    <w:rsid w:val="00D84E47"/>
    <w:rsid w:val="00D851E8"/>
    <w:rsid w:val="00D853E8"/>
    <w:rsid w:val="00D85415"/>
    <w:rsid w:val="00D85419"/>
    <w:rsid w:val="00D859BC"/>
    <w:rsid w:val="00D85A1E"/>
    <w:rsid w:val="00D8614F"/>
    <w:rsid w:val="00D861E3"/>
    <w:rsid w:val="00D86529"/>
    <w:rsid w:val="00D869B1"/>
    <w:rsid w:val="00D86AE5"/>
    <w:rsid w:val="00D86EF6"/>
    <w:rsid w:val="00D870E1"/>
    <w:rsid w:val="00D87148"/>
    <w:rsid w:val="00D874F3"/>
    <w:rsid w:val="00D87690"/>
    <w:rsid w:val="00D87EA9"/>
    <w:rsid w:val="00D87F02"/>
    <w:rsid w:val="00D902AA"/>
    <w:rsid w:val="00D9058E"/>
    <w:rsid w:val="00D90A2F"/>
    <w:rsid w:val="00D90A42"/>
    <w:rsid w:val="00D90B11"/>
    <w:rsid w:val="00D90CE6"/>
    <w:rsid w:val="00D90DAA"/>
    <w:rsid w:val="00D90E82"/>
    <w:rsid w:val="00D912E9"/>
    <w:rsid w:val="00D9137A"/>
    <w:rsid w:val="00D913E0"/>
    <w:rsid w:val="00D916EB"/>
    <w:rsid w:val="00D918B6"/>
    <w:rsid w:val="00D919FF"/>
    <w:rsid w:val="00D91C12"/>
    <w:rsid w:val="00D91DA5"/>
    <w:rsid w:val="00D91E3E"/>
    <w:rsid w:val="00D91EEE"/>
    <w:rsid w:val="00D91FE9"/>
    <w:rsid w:val="00D923BF"/>
    <w:rsid w:val="00D92AD0"/>
    <w:rsid w:val="00D92F2C"/>
    <w:rsid w:val="00D935ED"/>
    <w:rsid w:val="00D9393C"/>
    <w:rsid w:val="00D939A1"/>
    <w:rsid w:val="00D939AE"/>
    <w:rsid w:val="00D93B6B"/>
    <w:rsid w:val="00D94190"/>
    <w:rsid w:val="00D9456A"/>
    <w:rsid w:val="00D94718"/>
    <w:rsid w:val="00D951E1"/>
    <w:rsid w:val="00D95259"/>
    <w:rsid w:val="00D954E4"/>
    <w:rsid w:val="00D95DC6"/>
    <w:rsid w:val="00D965A8"/>
    <w:rsid w:val="00D96733"/>
    <w:rsid w:val="00D96F60"/>
    <w:rsid w:val="00D97422"/>
    <w:rsid w:val="00D9774A"/>
    <w:rsid w:val="00D97841"/>
    <w:rsid w:val="00D979D7"/>
    <w:rsid w:val="00D97C0D"/>
    <w:rsid w:val="00DA0087"/>
    <w:rsid w:val="00DA0180"/>
    <w:rsid w:val="00DA0196"/>
    <w:rsid w:val="00DA0332"/>
    <w:rsid w:val="00DA06D1"/>
    <w:rsid w:val="00DA0C09"/>
    <w:rsid w:val="00DA0D3D"/>
    <w:rsid w:val="00DA0DF1"/>
    <w:rsid w:val="00DA0EEE"/>
    <w:rsid w:val="00DA0FEB"/>
    <w:rsid w:val="00DA1455"/>
    <w:rsid w:val="00DA16FB"/>
    <w:rsid w:val="00DA1EA8"/>
    <w:rsid w:val="00DA231E"/>
    <w:rsid w:val="00DA2355"/>
    <w:rsid w:val="00DA2565"/>
    <w:rsid w:val="00DA27AA"/>
    <w:rsid w:val="00DA2919"/>
    <w:rsid w:val="00DA29E4"/>
    <w:rsid w:val="00DA2A30"/>
    <w:rsid w:val="00DA2B5F"/>
    <w:rsid w:val="00DA2E29"/>
    <w:rsid w:val="00DA2F5C"/>
    <w:rsid w:val="00DA30B0"/>
    <w:rsid w:val="00DA31F4"/>
    <w:rsid w:val="00DA332E"/>
    <w:rsid w:val="00DA3837"/>
    <w:rsid w:val="00DA3B12"/>
    <w:rsid w:val="00DA401A"/>
    <w:rsid w:val="00DA41A0"/>
    <w:rsid w:val="00DA459B"/>
    <w:rsid w:val="00DA47B5"/>
    <w:rsid w:val="00DA4D53"/>
    <w:rsid w:val="00DA4DA3"/>
    <w:rsid w:val="00DA5034"/>
    <w:rsid w:val="00DA50F1"/>
    <w:rsid w:val="00DA511A"/>
    <w:rsid w:val="00DA51AB"/>
    <w:rsid w:val="00DA52DB"/>
    <w:rsid w:val="00DA5423"/>
    <w:rsid w:val="00DA577C"/>
    <w:rsid w:val="00DA58D3"/>
    <w:rsid w:val="00DA5AA0"/>
    <w:rsid w:val="00DA5C15"/>
    <w:rsid w:val="00DA5E85"/>
    <w:rsid w:val="00DA5EDC"/>
    <w:rsid w:val="00DA605B"/>
    <w:rsid w:val="00DA61ED"/>
    <w:rsid w:val="00DA624E"/>
    <w:rsid w:val="00DA652A"/>
    <w:rsid w:val="00DA6CD2"/>
    <w:rsid w:val="00DA71D1"/>
    <w:rsid w:val="00DA7288"/>
    <w:rsid w:val="00DA72EF"/>
    <w:rsid w:val="00DA7AD6"/>
    <w:rsid w:val="00DA7E08"/>
    <w:rsid w:val="00DB00F9"/>
    <w:rsid w:val="00DB01A2"/>
    <w:rsid w:val="00DB061C"/>
    <w:rsid w:val="00DB09AD"/>
    <w:rsid w:val="00DB0AB3"/>
    <w:rsid w:val="00DB0AE6"/>
    <w:rsid w:val="00DB0EDA"/>
    <w:rsid w:val="00DB1A14"/>
    <w:rsid w:val="00DB1A41"/>
    <w:rsid w:val="00DB1AAF"/>
    <w:rsid w:val="00DB1B1B"/>
    <w:rsid w:val="00DB1BDE"/>
    <w:rsid w:val="00DB1CE5"/>
    <w:rsid w:val="00DB2174"/>
    <w:rsid w:val="00DB2449"/>
    <w:rsid w:val="00DB26C0"/>
    <w:rsid w:val="00DB276B"/>
    <w:rsid w:val="00DB2A38"/>
    <w:rsid w:val="00DB2C5B"/>
    <w:rsid w:val="00DB2DA5"/>
    <w:rsid w:val="00DB2DE6"/>
    <w:rsid w:val="00DB34FB"/>
    <w:rsid w:val="00DB3796"/>
    <w:rsid w:val="00DB3CFC"/>
    <w:rsid w:val="00DB4194"/>
    <w:rsid w:val="00DB434A"/>
    <w:rsid w:val="00DB44EF"/>
    <w:rsid w:val="00DB4565"/>
    <w:rsid w:val="00DB4572"/>
    <w:rsid w:val="00DB4852"/>
    <w:rsid w:val="00DB4BFE"/>
    <w:rsid w:val="00DB4CB5"/>
    <w:rsid w:val="00DB4F14"/>
    <w:rsid w:val="00DB50A7"/>
    <w:rsid w:val="00DB559B"/>
    <w:rsid w:val="00DB56B0"/>
    <w:rsid w:val="00DB57E4"/>
    <w:rsid w:val="00DB5806"/>
    <w:rsid w:val="00DB5962"/>
    <w:rsid w:val="00DB5B7C"/>
    <w:rsid w:val="00DB5C0D"/>
    <w:rsid w:val="00DB5D45"/>
    <w:rsid w:val="00DB5D4C"/>
    <w:rsid w:val="00DB5D52"/>
    <w:rsid w:val="00DB5DB5"/>
    <w:rsid w:val="00DB5FF2"/>
    <w:rsid w:val="00DB612A"/>
    <w:rsid w:val="00DB62B7"/>
    <w:rsid w:val="00DB62E5"/>
    <w:rsid w:val="00DB63A1"/>
    <w:rsid w:val="00DB648B"/>
    <w:rsid w:val="00DB64C0"/>
    <w:rsid w:val="00DB6752"/>
    <w:rsid w:val="00DB67AD"/>
    <w:rsid w:val="00DB6AA7"/>
    <w:rsid w:val="00DB6B4A"/>
    <w:rsid w:val="00DB6C73"/>
    <w:rsid w:val="00DB6FBA"/>
    <w:rsid w:val="00DB7012"/>
    <w:rsid w:val="00DB744B"/>
    <w:rsid w:val="00DB7964"/>
    <w:rsid w:val="00DB7C7F"/>
    <w:rsid w:val="00DB7E8E"/>
    <w:rsid w:val="00DC020F"/>
    <w:rsid w:val="00DC04C8"/>
    <w:rsid w:val="00DC0CF9"/>
    <w:rsid w:val="00DC0E0E"/>
    <w:rsid w:val="00DC0E41"/>
    <w:rsid w:val="00DC0FC2"/>
    <w:rsid w:val="00DC104E"/>
    <w:rsid w:val="00DC1067"/>
    <w:rsid w:val="00DC11D0"/>
    <w:rsid w:val="00DC124B"/>
    <w:rsid w:val="00DC132C"/>
    <w:rsid w:val="00DC151E"/>
    <w:rsid w:val="00DC1578"/>
    <w:rsid w:val="00DC1877"/>
    <w:rsid w:val="00DC19AA"/>
    <w:rsid w:val="00DC1A3D"/>
    <w:rsid w:val="00DC1AA7"/>
    <w:rsid w:val="00DC1E15"/>
    <w:rsid w:val="00DC1EFD"/>
    <w:rsid w:val="00DC2159"/>
    <w:rsid w:val="00DC2526"/>
    <w:rsid w:val="00DC2549"/>
    <w:rsid w:val="00DC2657"/>
    <w:rsid w:val="00DC2A41"/>
    <w:rsid w:val="00DC2BDB"/>
    <w:rsid w:val="00DC2DA1"/>
    <w:rsid w:val="00DC32B0"/>
    <w:rsid w:val="00DC3448"/>
    <w:rsid w:val="00DC3655"/>
    <w:rsid w:val="00DC3A78"/>
    <w:rsid w:val="00DC3C2B"/>
    <w:rsid w:val="00DC3F26"/>
    <w:rsid w:val="00DC40A4"/>
    <w:rsid w:val="00DC41BF"/>
    <w:rsid w:val="00DC42D8"/>
    <w:rsid w:val="00DC4517"/>
    <w:rsid w:val="00DC4A0B"/>
    <w:rsid w:val="00DC4C62"/>
    <w:rsid w:val="00DC4D7D"/>
    <w:rsid w:val="00DC4F01"/>
    <w:rsid w:val="00DC5033"/>
    <w:rsid w:val="00DC5060"/>
    <w:rsid w:val="00DC514D"/>
    <w:rsid w:val="00DC53B9"/>
    <w:rsid w:val="00DC5564"/>
    <w:rsid w:val="00DC564D"/>
    <w:rsid w:val="00DC576E"/>
    <w:rsid w:val="00DC60FD"/>
    <w:rsid w:val="00DC6140"/>
    <w:rsid w:val="00DC6327"/>
    <w:rsid w:val="00DC661A"/>
    <w:rsid w:val="00DC6902"/>
    <w:rsid w:val="00DC6A84"/>
    <w:rsid w:val="00DC6B13"/>
    <w:rsid w:val="00DC6B9A"/>
    <w:rsid w:val="00DC6C02"/>
    <w:rsid w:val="00DC6EDB"/>
    <w:rsid w:val="00DC71A7"/>
    <w:rsid w:val="00DC7831"/>
    <w:rsid w:val="00DC7904"/>
    <w:rsid w:val="00DC7AD1"/>
    <w:rsid w:val="00DD04B3"/>
    <w:rsid w:val="00DD053B"/>
    <w:rsid w:val="00DD087E"/>
    <w:rsid w:val="00DD08F9"/>
    <w:rsid w:val="00DD0995"/>
    <w:rsid w:val="00DD0C41"/>
    <w:rsid w:val="00DD11AC"/>
    <w:rsid w:val="00DD1301"/>
    <w:rsid w:val="00DD17AE"/>
    <w:rsid w:val="00DD1F11"/>
    <w:rsid w:val="00DD1FA0"/>
    <w:rsid w:val="00DD207B"/>
    <w:rsid w:val="00DD22A1"/>
    <w:rsid w:val="00DD23BF"/>
    <w:rsid w:val="00DD244A"/>
    <w:rsid w:val="00DD265F"/>
    <w:rsid w:val="00DD2676"/>
    <w:rsid w:val="00DD2765"/>
    <w:rsid w:val="00DD2E23"/>
    <w:rsid w:val="00DD3167"/>
    <w:rsid w:val="00DD383F"/>
    <w:rsid w:val="00DD3B31"/>
    <w:rsid w:val="00DD3BC2"/>
    <w:rsid w:val="00DD3F48"/>
    <w:rsid w:val="00DD4943"/>
    <w:rsid w:val="00DD4A8E"/>
    <w:rsid w:val="00DD501A"/>
    <w:rsid w:val="00DD52A5"/>
    <w:rsid w:val="00DD58DA"/>
    <w:rsid w:val="00DD5C19"/>
    <w:rsid w:val="00DD5F0E"/>
    <w:rsid w:val="00DD617D"/>
    <w:rsid w:val="00DD6270"/>
    <w:rsid w:val="00DD6338"/>
    <w:rsid w:val="00DD65BF"/>
    <w:rsid w:val="00DD660A"/>
    <w:rsid w:val="00DD6845"/>
    <w:rsid w:val="00DD6BF2"/>
    <w:rsid w:val="00DD6F3B"/>
    <w:rsid w:val="00DD717F"/>
    <w:rsid w:val="00DD71BF"/>
    <w:rsid w:val="00DD745F"/>
    <w:rsid w:val="00DD77D4"/>
    <w:rsid w:val="00DD7BE8"/>
    <w:rsid w:val="00DE0597"/>
    <w:rsid w:val="00DE0708"/>
    <w:rsid w:val="00DE0A17"/>
    <w:rsid w:val="00DE0DDC"/>
    <w:rsid w:val="00DE17AF"/>
    <w:rsid w:val="00DE1B03"/>
    <w:rsid w:val="00DE1B35"/>
    <w:rsid w:val="00DE1BF5"/>
    <w:rsid w:val="00DE1F22"/>
    <w:rsid w:val="00DE22B7"/>
    <w:rsid w:val="00DE24A7"/>
    <w:rsid w:val="00DE2A38"/>
    <w:rsid w:val="00DE2BCF"/>
    <w:rsid w:val="00DE316C"/>
    <w:rsid w:val="00DE32BA"/>
    <w:rsid w:val="00DE3365"/>
    <w:rsid w:val="00DE3539"/>
    <w:rsid w:val="00DE365A"/>
    <w:rsid w:val="00DE38CB"/>
    <w:rsid w:val="00DE3BAB"/>
    <w:rsid w:val="00DE3CBA"/>
    <w:rsid w:val="00DE4002"/>
    <w:rsid w:val="00DE4020"/>
    <w:rsid w:val="00DE43D7"/>
    <w:rsid w:val="00DE464A"/>
    <w:rsid w:val="00DE4747"/>
    <w:rsid w:val="00DE476F"/>
    <w:rsid w:val="00DE4832"/>
    <w:rsid w:val="00DE496A"/>
    <w:rsid w:val="00DE49D2"/>
    <w:rsid w:val="00DE49F2"/>
    <w:rsid w:val="00DE503A"/>
    <w:rsid w:val="00DE5273"/>
    <w:rsid w:val="00DE552A"/>
    <w:rsid w:val="00DE5551"/>
    <w:rsid w:val="00DE5759"/>
    <w:rsid w:val="00DE58C5"/>
    <w:rsid w:val="00DE5BA3"/>
    <w:rsid w:val="00DE5CB3"/>
    <w:rsid w:val="00DE5EFA"/>
    <w:rsid w:val="00DE5EFB"/>
    <w:rsid w:val="00DE60F1"/>
    <w:rsid w:val="00DE61B1"/>
    <w:rsid w:val="00DE621C"/>
    <w:rsid w:val="00DE6663"/>
    <w:rsid w:val="00DE66EA"/>
    <w:rsid w:val="00DE679A"/>
    <w:rsid w:val="00DE6B6B"/>
    <w:rsid w:val="00DE6BE7"/>
    <w:rsid w:val="00DE6C8E"/>
    <w:rsid w:val="00DE704B"/>
    <w:rsid w:val="00DE7217"/>
    <w:rsid w:val="00DE723E"/>
    <w:rsid w:val="00DE75E2"/>
    <w:rsid w:val="00DE77E3"/>
    <w:rsid w:val="00DE784E"/>
    <w:rsid w:val="00DE79F8"/>
    <w:rsid w:val="00DE7D68"/>
    <w:rsid w:val="00DE7F01"/>
    <w:rsid w:val="00DF01C3"/>
    <w:rsid w:val="00DF0570"/>
    <w:rsid w:val="00DF0639"/>
    <w:rsid w:val="00DF090D"/>
    <w:rsid w:val="00DF1095"/>
    <w:rsid w:val="00DF15CC"/>
    <w:rsid w:val="00DF19B3"/>
    <w:rsid w:val="00DF1F79"/>
    <w:rsid w:val="00DF202C"/>
    <w:rsid w:val="00DF243E"/>
    <w:rsid w:val="00DF26DD"/>
    <w:rsid w:val="00DF27AD"/>
    <w:rsid w:val="00DF2BE4"/>
    <w:rsid w:val="00DF2BE6"/>
    <w:rsid w:val="00DF2CA9"/>
    <w:rsid w:val="00DF3061"/>
    <w:rsid w:val="00DF31B0"/>
    <w:rsid w:val="00DF351E"/>
    <w:rsid w:val="00DF367A"/>
    <w:rsid w:val="00DF376C"/>
    <w:rsid w:val="00DF3DDB"/>
    <w:rsid w:val="00DF40BA"/>
    <w:rsid w:val="00DF4202"/>
    <w:rsid w:val="00DF4228"/>
    <w:rsid w:val="00DF451A"/>
    <w:rsid w:val="00DF454C"/>
    <w:rsid w:val="00DF4950"/>
    <w:rsid w:val="00DF4C93"/>
    <w:rsid w:val="00DF5238"/>
    <w:rsid w:val="00DF5367"/>
    <w:rsid w:val="00DF54A3"/>
    <w:rsid w:val="00DF5507"/>
    <w:rsid w:val="00DF586D"/>
    <w:rsid w:val="00DF5B65"/>
    <w:rsid w:val="00DF5CA1"/>
    <w:rsid w:val="00DF5D18"/>
    <w:rsid w:val="00DF61B1"/>
    <w:rsid w:val="00DF6453"/>
    <w:rsid w:val="00DF6569"/>
    <w:rsid w:val="00DF65D6"/>
    <w:rsid w:val="00DF6B35"/>
    <w:rsid w:val="00DF703F"/>
    <w:rsid w:val="00DF7110"/>
    <w:rsid w:val="00DF73C2"/>
    <w:rsid w:val="00DF76FF"/>
    <w:rsid w:val="00DF7914"/>
    <w:rsid w:val="00E004B2"/>
    <w:rsid w:val="00E0051B"/>
    <w:rsid w:val="00E007C4"/>
    <w:rsid w:val="00E007CE"/>
    <w:rsid w:val="00E00A11"/>
    <w:rsid w:val="00E00C5C"/>
    <w:rsid w:val="00E00C86"/>
    <w:rsid w:val="00E00EB2"/>
    <w:rsid w:val="00E01486"/>
    <w:rsid w:val="00E01801"/>
    <w:rsid w:val="00E01D46"/>
    <w:rsid w:val="00E02023"/>
    <w:rsid w:val="00E02188"/>
    <w:rsid w:val="00E022BA"/>
    <w:rsid w:val="00E024EC"/>
    <w:rsid w:val="00E0259E"/>
    <w:rsid w:val="00E027C1"/>
    <w:rsid w:val="00E02839"/>
    <w:rsid w:val="00E0290B"/>
    <w:rsid w:val="00E02AB9"/>
    <w:rsid w:val="00E02F56"/>
    <w:rsid w:val="00E031C6"/>
    <w:rsid w:val="00E036FC"/>
    <w:rsid w:val="00E03804"/>
    <w:rsid w:val="00E03857"/>
    <w:rsid w:val="00E03D82"/>
    <w:rsid w:val="00E03DE3"/>
    <w:rsid w:val="00E03EC9"/>
    <w:rsid w:val="00E03F06"/>
    <w:rsid w:val="00E03F4B"/>
    <w:rsid w:val="00E03FA6"/>
    <w:rsid w:val="00E03FEC"/>
    <w:rsid w:val="00E040E1"/>
    <w:rsid w:val="00E041CC"/>
    <w:rsid w:val="00E044D3"/>
    <w:rsid w:val="00E04562"/>
    <w:rsid w:val="00E045B0"/>
    <w:rsid w:val="00E0482E"/>
    <w:rsid w:val="00E04915"/>
    <w:rsid w:val="00E04A42"/>
    <w:rsid w:val="00E04BED"/>
    <w:rsid w:val="00E04CFA"/>
    <w:rsid w:val="00E04DBF"/>
    <w:rsid w:val="00E04F8C"/>
    <w:rsid w:val="00E052D0"/>
    <w:rsid w:val="00E053A9"/>
    <w:rsid w:val="00E05596"/>
    <w:rsid w:val="00E0597B"/>
    <w:rsid w:val="00E05D77"/>
    <w:rsid w:val="00E05E91"/>
    <w:rsid w:val="00E061B7"/>
    <w:rsid w:val="00E06361"/>
    <w:rsid w:val="00E06417"/>
    <w:rsid w:val="00E064FB"/>
    <w:rsid w:val="00E06788"/>
    <w:rsid w:val="00E06853"/>
    <w:rsid w:val="00E0690B"/>
    <w:rsid w:val="00E06C3E"/>
    <w:rsid w:val="00E073A0"/>
    <w:rsid w:val="00E07894"/>
    <w:rsid w:val="00E07ABE"/>
    <w:rsid w:val="00E07EC8"/>
    <w:rsid w:val="00E07F1F"/>
    <w:rsid w:val="00E103FD"/>
    <w:rsid w:val="00E106C9"/>
    <w:rsid w:val="00E1071E"/>
    <w:rsid w:val="00E10A5C"/>
    <w:rsid w:val="00E10AFE"/>
    <w:rsid w:val="00E10C2E"/>
    <w:rsid w:val="00E1197A"/>
    <w:rsid w:val="00E1197F"/>
    <w:rsid w:val="00E11ABB"/>
    <w:rsid w:val="00E11B2A"/>
    <w:rsid w:val="00E11E3B"/>
    <w:rsid w:val="00E120B6"/>
    <w:rsid w:val="00E12102"/>
    <w:rsid w:val="00E12188"/>
    <w:rsid w:val="00E1239C"/>
    <w:rsid w:val="00E12445"/>
    <w:rsid w:val="00E12BC0"/>
    <w:rsid w:val="00E12BFB"/>
    <w:rsid w:val="00E131FB"/>
    <w:rsid w:val="00E13418"/>
    <w:rsid w:val="00E13478"/>
    <w:rsid w:val="00E1355B"/>
    <w:rsid w:val="00E135E2"/>
    <w:rsid w:val="00E13637"/>
    <w:rsid w:val="00E1397F"/>
    <w:rsid w:val="00E13C1F"/>
    <w:rsid w:val="00E141D4"/>
    <w:rsid w:val="00E141FB"/>
    <w:rsid w:val="00E143BE"/>
    <w:rsid w:val="00E1461C"/>
    <w:rsid w:val="00E14959"/>
    <w:rsid w:val="00E149BD"/>
    <w:rsid w:val="00E14CCE"/>
    <w:rsid w:val="00E14E26"/>
    <w:rsid w:val="00E14E64"/>
    <w:rsid w:val="00E14E76"/>
    <w:rsid w:val="00E14EB0"/>
    <w:rsid w:val="00E152F2"/>
    <w:rsid w:val="00E1565B"/>
    <w:rsid w:val="00E15756"/>
    <w:rsid w:val="00E1596A"/>
    <w:rsid w:val="00E15C76"/>
    <w:rsid w:val="00E15D81"/>
    <w:rsid w:val="00E15F76"/>
    <w:rsid w:val="00E16098"/>
    <w:rsid w:val="00E162D3"/>
    <w:rsid w:val="00E16447"/>
    <w:rsid w:val="00E1645C"/>
    <w:rsid w:val="00E164A2"/>
    <w:rsid w:val="00E164AC"/>
    <w:rsid w:val="00E16DF5"/>
    <w:rsid w:val="00E170C7"/>
    <w:rsid w:val="00E17176"/>
    <w:rsid w:val="00E17471"/>
    <w:rsid w:val="00E17519"/>
    <w:rsid w:val="00E17570"/>
    <w:rsid w:val="00E17634"/>
    <w:rsid w:val="00E17A07"/>
    <w:rsid w:val="00E202A1"/>
    <w:rsid w:val="00E20706"/>
    <w:rsid w:val="00E20B39"/>
    <w:rsid w:val="00E20BBC"/>
    <w:rsid w:val="00E2171D"/>
    <w:rsid w:val="00E21910"/>
    <w:rsid w:val="00E21A22"/>
    <w:rsid w:val="00E21CE7"/>
    <w:rsid w:val="00E22023"/>
    <w:rsid w:val="00E22765"/>
    <w:rsid w:val="00E22A88"/>
    <w:rsid w:val="00E22D46"/>
    <w:rsid w:val="00E22EBD"/>
    <w:rsid w:val="00E22FF2"/>
    <w:rsid w:val="00E23177"/>
    <w:rsid w:val="00E23707"/>
    <w:rsid w:val="00E237DA"/>
    <w:rsid w:val="00E23AA2"/>
    <w:rsid w:val="00E23C9C"/>
    <w:rsid w:val="00E24CF4"/>
    <w:rsid w:val="00E24EF9"/>
    <w:rsid w:val="00E24FED"/>
    <w:rsid w:val="00E2507B"/>
    <w:rsid w:val="00E2519F"/>
    <w:rsid w:val="00E252D2"/>
    <w:rsid w:val="00E254BD"/>
    <w:rsid w:val="00E25508"/>
    <w:rsid w:val="00E257C2"/>
    <w:rsid w:val="00E2586D"/>
    <w:rsid w:val="00E25978"/>
    <w:rsid w:val="00E25B74"/>
    <w:rsid w:val="00E25C26"/>
    <w:rsid w:val="00E2616C"/>
    <w:rsid w:val="00E2630A"/>
    <w:rsid w:val="00E265D3"/>
    <w:rsid w:val="00E26A0D"/>
    <w:rsid w:val="00E27294"/>
    <w:rsid w:val="00E27340"/>
    <w:rsid w:val="00E2743F"/>
    <w:rsid w:val="00E2755C"/>
    <w:rsid w:val="00E276AE"/>
    <w:rsid w:val="00E27A24"/>
    <w:rsid w:val="00E27B5C"/>
    <w:rsid w:val="00E27D78"/>
    <w:rsid w:val="00E27FD5"/>
    <w:rsid w:val="00E27FEA"/>
    <w:rsid w:val="00E307A9"/>
    <w:rsid w:val="00E31048"/>
    <w:rsid w:val="00E31129"/>
    <w:rsid w:val="00E312AC"/>
    <w:rsid w:val="00E313FA"/>
    <w:rsid w:val="00E3190D"/>
    <w:rsid w:val="00E31A54"/>
    <w:rsid w:val="00E31FD7"/>
    <w:rsid w:val="00E321B7"/>
    <w:rsid w:val="00E32281"/>
    <w:rsid w:val="00E3237C"/>
    <w:rsid w:val="00E326F8"/>
    <w:rsid w:val="00E326FD"/>
    <w:rsid w:val="00E328F4"/>
    <w:rsid w:val="00E32B26"/>
    <w:rsid w:val="00E32BDA"/>
    <w:rsid w:val="00E32C4E"/>
    <w:rsid w:val="00E32CA5"/>
    <w:rsid w:val="00E32DF9"/>
    <w:rsid w:val="00E33012"/>
    <w:rsid w:val="00E3315A"/>
    <w:rsid w:val="00E331E9"/>
    <w:rsid w:val="00E33B11"/>
    <w:rsid w:val="00E33B3D"/>
    <w:rsid w:val="00E33B6C"/>
    <w:rsid w:val="00E33C76"/>
    <w:rsid w:val="00E33E74"/>
    <w:rsid w:val="00E34435"/>
    <w:rsid w:val="00E347C9"/>
    <w:rsid w:val="00E3486B"/>
    <w:rsid w:val="00E348A0"/>
    <w:rsid w:val="00E34B91"/>
    <w:rsid w:val="00E34E92"/>
    <w:rsid w:val="00E34E9E"/>
    <w:rsid w:val="00E35204"/>
    <w:rsid w:val="00E353F2"/>
    <w:rsid w:val="00E354D2"/>
    <w:rsid w:val="00E35504"/>
    <w:rsid w:val="00E3558E"/>
    <w:rsid w:val="00E358AA"/>
    <w:rsid w:val="00E35AE0"/>
    <w:rsid w:val="00E35BB2"/>
    <w:rsid w:val="00E36262"/>
    <w:rsid w:val="00E363C5"/>
    <w:rsid w:val="00E364EB"/>
    <w:rsid w:val="00E364F3"/>
    <w:rsid w:val="00E365DF"/>
    <w:rsid w:val="00E36637"/>
    <w:rsid w:val="00E367C7"/>
    <w:rsid w:val="00E36CB4"/>
    <w:rsid w:val="00E36CFC"/>
    <w:rsid w:val="00E36F0D"/>
    <w:rsid w:val="00E36FAD"/>
    <w:rsid w:val="00E3710E"/>
    <w:rsid w:val="00E3726C"/>
    <w:rsid w:val="00E37A0F"/>
    <w:rsid w:val="00E37DAB"/>
    <w:rsid w:val="00E400EB"/>
    <w:rsid w:val="00E4096A"/>
    <w:rsid w:val="00E409C4"/>
    <w:rsid w:val="00E40AB1"/>
    <w:rsid w:val="00E40BC5"/>
    <w:rsid w:val="00E40D4C"/>
    <w:rsid w:val="00E41038"/>
    <w:rsid w:val="00E4152E"/>
    <w:rsid w:val="00E415E8"/>
    <w:rsid w:val="00E41BB7"/>
    <w:rsid w:val="00E41BCB"/>
    <w:rsid w:val="00E41BDE"/>
    <w:rsid w:val="00E41DB6"/>
    <w:rsid w:val="00E42195"/>
    <w:rsid w:val="00E4287B"/>
    <w:rsid w:val="00E42B7D"/>
    <w:rsid w:val="00E42DD5"/>
    <w:rsid w:val="00E42EC9"/>
    <w:rsid w:val="00E43897"/>
    <w:rsid w:val="00E439CE"/>
    <w:rsid w:val="00E43B69"/>
    <w:rsid w:val="00E446BF"/>
    <w:rsid w:val="00E447E7"/>
    <w:rsid w:val="00E45001"/>
    <w:rsid w:val="00E450A4"/>
    <w:rsid w:val="00E450C2"/>
    <w:rsid w:val="00E45120"/>
    <w:rsid w:val="00E45122"/>
    <w:rsid w:val="00E45265"/>
    <w:rsid w:val="00E452F4"/>
    <w:rsid w:val="00E456F1"/>
    <w:rsid w:val="00E45748"/>
    <w:rsid w:val="00E4597C"/>
    <w:rsid w:val="00E45A70"/>
    <w:rsid w:val="00E45E70"/>
    <w:rsid w:val="00E46264"/>
    <w:rsid w:val="00E4644D"/>
    <w:rsid w:val="00E46477"/>
    <w:rsid w:val="00E46860"/>
    <w:rsid w:val="00E46C4A"/>
    <w:rsid w:val="00E46D4A"/>
    <w:rsid w:val="00E46DFA"/>
    <w:rsid w:val="00E46EE7"/>
    <w:rsid w:val="00E46EED"/>
    <w:rsid w:val="00E470B2"/>
    <w:rsid w:val="00E4710D"/>
    <w:rsid w:val="00E471E8"/>
    <w:rsid w:val="00E473A8"/>
    <w:rsid w:val="00E474EC"/>
    <w:rsid w:val="00E474F5"/>
    <w:rsid w:val="00E476A9"/>
    <w:rsid w:val="00E479F6"/>
    <w:rsid w:val="00E47B90"/>
    <w:rsid w:val="00E47E17"/>
    <w:rsid w:val="00E5011B"/>
    <w:rsid w:val="00E5023A"/>
    <w:rsid w:val="00E504F5"/>
    <w:rsid w:val="00E50560"/>
    <w:rsid w:val="00E50694"/>
    <w:rsid w:val="00E5075B"/>
    <w:rsid w:val="00E51082"/>
    <w:rsid w:val="00E515FE"/>
    <w:rsid w:val="00E5171E"/>
    <w:rsid w:val="00E51BBB"/>
    <w:rsid w:val="00E51D16"/>
    <w:rsid w:val="00E51EB9"/>
    <w:rsid w:val="00E52468"/>
    <w:rsid w:val="00E5268C"/>
    <w:rsid w:val="00E52844"/>
    <w:rsid w:val="00E528C8"/>
    <w:rsid w:val="00E52AA1"/>
    <w:rsid w:val="00E52B3B"/>
    <w:rsid w:val="00E52D07"/>
    <w:rsid w:val="00E52E3D"/>
    <w:rsid w:val="00E52F48"/>
    <w:rsid w:val="00E531A7"/>
    <w:rsid w:val="00E534D9"/>
    <w:rsid w:val="00E5376E"/>
    <w:rsid w:val="00E539A7"/>
    <w:rsid w:val="00E53C23"/>
    <w:rsid w:val="00E53C8D"/>
    <w:rsid w:val="00E53CAE"/>
    <w:rsid w:val="00E53F28"/>
    <w:rsid w:val="00E53FF8"/>
    <w:rsid w:val="00E54004"/>
    <w:rsid w:val="00E545FF"/>
    <w:rsid w:val="00E5492C"/>
    <w:rsid w:val="00E5508D"/>
    <w:rsid w:val="00E553B8"/>
    <w:rsid w:val="00E555DC"/>
    <w:rsid w:val="00E55697"/>
    <w:rsid w:val="00E556D6"/>
    <w:rsid w:val="00E557B2"/>
    <w:rsid w:val="00E55883"/>
    <w:rsid w:val="00E5594C"/>
    <w:rsid w:val="00E5602F"/>
    <w:rsid w:val="00E56210"/>
    <w:rsid w:val="00E562AF"/>
    <w:rsid w:val="00E562B8"/>
    <w:rsid w:val="00E56348"/>
    <w:rsid w:val="00E565F5"/>
    <w:rsid w:val="00E56723"/>
    <w:rsid w:val="00E56842"/>
    <w:rsid w:val="00E56FE3"/>
    <w:rsid w:val="00E57004"/>
    <w:rsid w:val="00E57052"/>
    <w:rsid w:val="00E5722C"/>
    <w:rsid w:val="00E573A4"/>
    <w:rsid w:val="00E5793D"/>
    <w:rsid w:val="00E57998"/>
    <w:rsid w:val="00E579C2"/>
    <w:rsid w:val="00E57B6A"/>
    <w:rsid w:val="00E57F1D"/>
    <w:rsid w:val="00E601FA"/>
    <w:rsid w:val="00E6022B"/>
    <w:rsid w:val="00E604C0"/>
    <w:rsid w:val="00E605E5"/>
    <w:rsid w:val="00E60662"/>
    <w:rsid w:val="00E60689"/>
    <w:rsid w:val="00E60991"/>
    <w:rsid w:val="00E609AA"/>
    <w:rsid w:val="00E609B6"/>
    <w:rsid w:val="00E60A43"/>
    <w:rsid w:val="00E612C3"/>
    <w:rsid w:val="00E61B48"/>
    <w:rsid w:val="00E61F30"/>
    <w:rsid w:val="00E622E8"/>
    <w:rsid w:val="00E625CB"/>
    <w:rsid w:val="00E62ED3"/>
    <w:rsid w:val="00E62F49"/>
    <w:rsid w:val="00E62F86"/>
    <w:rsid w:val="00E62FF5"/>
    <w:rsid w:val="00E6355F"/>
    <w:rsid w:val="00E63AE6"/>
    <w:rsid w:val="00E6457E"/>
    <w:rsid w:val="00E648A1"/>
    <w:rsid w:val="00E64A3D"/>
    <w:rsid w:val="00E65090"/>
    <w:rsid w:val="00E650CE"/>
    <w:rsid w:val="00E65260"/>
    <w:rsid w:val="00E6591C"/>
    <w:rsid w:val="00E65E82"/>
    <w:rsid w:val="00E66037"/>
    <w:rsid w:val="00E6610C"/>
    <w:rsid w:val="00E66237"/>
    <w:rsid w:val="00E66300"/>
    <w:rsid w:val="00E66AD9"/>
    <w:rsid w:val="00E66E82"/>
    <w:rsid w:val="00E6754D"/>
    <w:rsid w:val="00E67673"/>
    <w:rsid w:val="00E6769C"/>
    <w:rsid w:val="00E6770A"/>
    <w:rsid w:val="00E6771E"/>
    <w:rsid w:val="00E67939"/>
    <w:rsid w:val="00E67968"/>
    <w:rsid w:val="00E67A0E"/>
    <w:rsid w:val="00E67A51"/>
    <w:rsid w:val="00E67AA5"/>
    <w:rsid w:val="00E67DA0"/>
    <w:rsid w:val="00E67EA0"/>
    <w:rsid w:val="00E700BB"/>
    <w:rsid w:val="00E70242"/>
    <w:rsid w:val="00E7030B"/>
    <w:rsid w:val="00E703B0"/>
    <w:rsid w:val="00E70CEF"/>
    <w:rsid w:val="00E70CF4"/>
    <w:rsid w:val="00E7102B"/>
    <w:rsid w:val="00E7145C"/>
    <w:rsid w:val="00E714FE"/>
    <w:rsid w:val="00E71603"/>
    <w:rsid w:val="00E71847"/>
    <w:rsid w:val="00E71849"/>
    <w:rsid w:val="00E71A2F"/>
    <w:rsid w:val="00E71DF3"/>
    <w:rsid w:val="00E71EAF"/>
    <w:rsid w:val="00E7237C"/>
    <w:rsid w:val="00E72504"/>
    <w:rsid w:val="00E7254E"/>
    <w:rsid w:val="00E7269D"/>
    <w:rsid w:val="00E72980"/>
    <w:rsid w:val="00E72A1A"/>
    <w:rsid w:val="00E72DFD"/>
    <w:rsid w:val="00E73A1A"/>
    <w:rsid w:val="00E73B64"/>
    <w:rsid w:val="00E73E38"/>
    <w:rsid w:val="00E74932"/>
    <w:rsid w:val="00E74A67"/>
    <w:rsid w:val="00E74E72"/>
    <w:rsid w:val="00E75056"/>
    <w:rsid w:val="00E75230"/>
    <w:rsid w:val="00E75297"/>
    <w:rsid w:val="00E7531B"/>
    <w:rsid w:val="00E75630"/>
    <w:rsid w:val="00E75AA9"/>
    <w:rsid w:val="00E75AEC"/>
    <w:rsid w:val="00E75BE9"/>
    <w:rsid w:val="00E75DB9"/>
    <w:rsid w:val="00E75EE6"/>
    <w:rsid w:val="00E7622E"/>
    <w:rsid w:val="00E76273"/>
    <w:rsid w:val="00E762CE"/>
    <w:rsid w:val="00E7692D"/>
    <w:rsid w:val="00E76935"/>
    <w:rsid w:val="00E76A24"/>
    <w:rsid w:val="00E76F00"/>
    <w:rsid w:val="00E76FB9"/>
    <w:rsid w:val="00E7724D"/>
    <w:rsid w:val="00E7732B"/>
    <w:rsid w:val="00E778D0"/>
    <w:rsid w:val="00E77DA1"/>
    <w:rsid w:val="00E77E2F"/>
    <w:rsid w:val="00E80532"/>
    <w:rsid w:val="00E80543"/>
    <w:rsid w:val="00E808D9"/>
    <w:rsid w:val="00E80A9D"/>
    <w:rsid w:val="00E80D9F"/>
    <w:rsid w:val="00E81443"/>
    <w:rsid w:val="00E8198C"/>
    <w:rsid w:val="00E81C1C"/>
    <w:rsid w:val="00E81C44"/>
    <w:rsid w:val="00E81CC3"/>
    <w:rsid w:val="00E81F33"/>
    <w:rsid w:val="00E823C7"/>
    <w:rsid w:val="00E825EB"/>
    <w:rsid w:val="00E82652"/>
    <w:rsid w:val="00E826B6"/>
    <w:rsid w:val="00E82726"/>
    <w:rsid w:val="00E82765"/>
    <w:rsid w:val="00E829ED"/>
    <w:rsid w:val="00E82C36"/>
    <w:rsid w:val="00E82D0B"/>
    <w:rsid w:val="00E82EE7"/>
    <w:rsid w:val="00E82F3A"/>
    <w:rsid w:val="00E82F43"/>
    <w:rsid w:val="00E83086"/>
    <w:rsid w:val="00E832D2"/>
    <w:rsid w:val="00E83546"/>
    <w:rsid w:val="00E835AD"/>
    <w:rsid w:val="00E83B87"/>
    <w:rsid w:val="00E844C5"/>
    <w:rsid w:val="00E84506"/>
    <w:rsid w:val="00E85379"/>
    <w:rsid w:val="00E8582C"/>
    <w:rsid w:val="00E85AA5"/>
    <w:rsid w:val="00E85AB7"/>
    <w:rsid w:val="00E85B73"/>
    <w:rsid w:val="00E85CA4"/>
    <w:rsid w:val="00E863A5"/>
    <w:rsid w:val="00E86504"/>
    <w:rsid w:val="00E86576"/>
    <w:rsid w:val="00E86688"/>
    <w:rsid w:val="00E869D1"/>
    <w:rsid w:val="00E86FA5"/>
    <w:rsid w:val="00E86FF6"/>
    <w:rsid w:val="00E87057"/>
    <w:rsid w:val="00E878B0"/>
    <w:rsid w:val="00E87A1C"/>
    <w:rsid w:val="00E87AD6"/>
    <w:rsid w:val="00E87C83"/>
    <w:rsid w:val="00E90481"/>
    <w:rsid w:val="00E904FD"/>
    <w:rsid w:val="00E90718"/>
    <w:rsid w:val="00E9079C"/>
    <w:rsid w:val="00E908F3"/>
    <w:rsid w:val="00E90C28"/>
    <w:rsid w:val="00E90ECD"/>
    <w:rsid w:val="00E90FA6"/>
    <w:rsid w:val="00E91122"/>
    <w:rsid w:val="00E912E4"/>
    <w:rsid w:val="00E91952"/>
    <w:rsid w:val="00E91A81"/>
    <w:rsid w:val="00E91BCE"/>
    <w:rsid w:val="00E91DFC"/>
    <w:rsid w:val="00E91E1D"/>
    <w:rsid w:val="00E928A9"/>
    <w:rsid w:val="00E92A35"/>
    <w:rsid w:val="00E92C28"/>
    <w:rsid w:val="00E92E71"/>
    <w:rsid w:val="00E92F1A"/>
    <w:rsid w:val="00E92FE1"/>
    <w:rsid w:val="00E92FE7"/>
    <w:rsid w:val="00E930D3"/>
    <w:rsid w:val="00E934CE"/>
    <w:rsid w:val="00E938C7"/>
    <w:rsid w:val="00E93DE3"/>
    <w:rsid w:val="00E94117"/>
    <w:rsid w:val="00E942D6"/>
    <w:rsid w:val="00E944C9"/>
    <w:rsid w:val="00E94620"/>
    <w:rsid w:val="00E94C43"/>
    <w:rsid w:val="00E94DB3"/>
    <w:rsid w:val="00E94DF8"/>
    <w:rsid w:val="00E9520C"/>
    <w:rsid w:val="00E95301"/>
    <w:rsid w:val="00E95302"/>
    <w:rsid w:val="00E95519"/>
    <w:rsid w:val="00E958DF"/>
    <w:rsid w:val="00E95DA2"/>
    <w:rsid w:val="00E95F0B"/>
    <w:rsid w:val="00E96233"/>
    <w:rsid w:val="00E962DB"/>
    <w:rsid w:val="00E965C0"/>
    <w:rsid w:val="00E96C41"/>
    <w:rsid w:val="00E96C46"/>
    <w:rsid w:val="00E96C54"/>
    <w:rsid w:val="00E96C95"/>
    <w:rsid w:val="00E96F6C"/>
    <w:rsid w:val="00E97224"/>
    <w:rsid w:val="00E972E3"/>
    <w:rsid w:val="00E976FC"/>
    <w:rsid w:val="00E977C8"/>
    <w:rsid w:val="00E97A28"/>
    <w:rsid w:val="00E97A96"/>
    <w:rsid w:val="00E97E9E"/>
    <w:rsid w:val="00EA00ED"/>
    <w:rsid w:val="00EA02AF"/>
    <w:rsid w:val="00EA0482"/>
    <w:rsid w:val="00EA050F"/>
    <w:rsid w:val="00EA07BF"/>
    <w:rsid w:val="00EA07F3"/>
    <w:rsid w:val="00EA08F8"/>
    <w:rsid w:val="00EA0C02"/>
    <w:rsid w:val="00EA0D09"/>
    <w:rsid w:val="00EA110C"/>
    <w:rsid w:val="00EA1EA7"/>
    <w:rsid w:val="00EA2392"/>
    <w:rsid w:val="00EA2452"/>
    <w:rsid w:val="00EA2867"/>
    <w:rsid w:val="00EA3006"/>
    <w:rsid w:val="00EA37AB"/>
    <w:rsid w:val="00EA38B3"/>
    <w:rsid w:val="00EA3A36"/>
    <w:rsid w:val="00EA42B6"/>
    <w:rsid w:val="00EA4364"/>
    <w:rsid w:val="00EA464D"/>
    <w:rsid w:val="00EA47F7"/>
    <w:rsid w:val="00EA508B"/>
    <w:rsid w:val="00EA5143"/>
    <w:rsid w:val="00EA53BE"/>
    <w:rsid w:val="00EA543D"/>
    <w:rsid w:val="00EA54AC"/>
    <w:rsid w:val="00EA54CF"/>
    <w:rsid w:val="00EA5516"/>
    <w:rsid w:val="00EA57D1"/>
    <w:rsid w:val="00EA5CCF"/>
    <w:rsid w:val="00EA5E58"/>
    <w:rsid w:val="00EA6258"/>
    <w:rsid w:val="00EA62E8"/>
    <w:rsid w:val="00EA6425"/>
    <w:rsid w:val="00EA671B"/>
    <w:rsid w:val="00EA6A7E"/>
    <w:rsid w:val="00EA6B65"/>
    <w:rsid w:val="00EA6EB5"/>
    <w:rsid w:val="00EA7146"/>
    <w:rsid w:val="00EA7A0C"/>
    <w:rsid w:val="00EA7ABC"/>
    <w:rsid w:val="00EA7AFA"/>
    <w:rsid w:val="00EA7CD6"/>
    <w:rsid w:val="00EA7DC5"/>
    <w:rsid w:val="00EA7F08"/>
    <w:rsid w:val="00EB01A3"/>
    <w:rsid w:val="00EB0316"/>
    <w:rsid w:val="00EB0403"/>
    <w:rsid w:val="00EB04BD"/>
    <w:rsid w:val="00EB0717"/>
    <w:rsid w:val="00EB092F"/>
    <w:rsid w:val="00EB0E24"/>
    <w:rsid w:val="00EB12A3"/>
    <w:rsid w:val="00EB13A3"/>
    <w:rsid w:val="00EB1509"/>
    <w:rsid w:val="00EB1B80"/>
    <w:rsid w:val="00EB1B94"/>
    <w:rsid w:val="00EB1BF4"/>
    <w:rsid w:val="00EB1C8D"/>
    <w:rsid w:val="00EB2050"/>
    <w:rsid w:val="00EB2729"/>
    <w:rsid w:val="00EB2A44"/>
    <w:rsid w:val="00EB2A66"/>
    <w:rsid w:val="00EB2B12"/>
    <w:rsid w:val="00EB2C16"/>
    <w:rsid w:val="00EB3063"/>
    <w:rsid w:val="00EB3157"/>
    <w:rsid w:val="00EB3321"/>
    <w:rsid w:val="00EB3334"/>
    <w:rsid w:val="00EB3ADA"/>
    <w:rsid w:val="00EB3B73"/>
    <w:rsid w:val="00EB3DDD"/>
    <w:rsid w:val="00EB48DD"/>
    <w:rsid w:val="00EB49CE"/>
    <w:rsid w:val="00EB4BA9"/>
    <w:rsid w:val="00EB4F60"/>
    <w:rsid w:val="00EB4FC7"/>
    <w:rsid w:val="00EB50BF"/>
    <w:rsid w:val="00EB597A"/>
    <w:rsid w:val="00EB5A17"/>
    <w:rsid w:val="00EB5B3A"/>
    <w:rsid w:val="00EB5BA5"/>
    <w:rsid w:val="00EB5C9A"/>
    <w:rsid w:val="00EB5DA2"/>
    <w:rsid w:val="00EB5DC0"/>
    <w:rsid w:val="00EB66A3"/>
    <w:rsid w:val="00EB6735"/>
    <w:rsid w:val="00EB6A11"/>
    <w:rsid w:val="00EB6D27"/>
    <w:rsid w:val="00EB70CE"/>
    <w:rsid w:val="00EB765C"/>
    <w:rsid w:val="00EB779D"/>
    <w:rsid w:val="00EB78FE"/>
    <w:rsid w:val="00EB7B9C"/>
    <w:rsid w:val="00EB7CF0"/>
    <w:rsid w:val="00EB7D85"/>
    <w:rsid w:val="00EB7DB1"/>
    <w:rsid w:val="00EC05DC"/>
    <w:rsid w:val="00EC0D79"/>
    <w:rsid w:val="00EC1499"/>
    <w:rsid w:val="00EC15D1"/>
    <w:rsid w:val="00EC18D0"/>
    <w:rsid w:val="00EC18E3"/>
    <w:rsid w:val="00EC1D43"/>
    <w:rsid w:val="00EC1F7D"/>
    <w:rsid w:val="00EC277F"/>
    <w:rsid w:val="00EC2876"/>
    <w:rsid w:val="00EC287D"/>
    <w:rsid w:val="00EC288D"/>
    <w:rsid w:val="00EC2C4D"/>
    <w:rsid w:val="00EC351B"/>
    <w:rsid w:val="00EC35F2"/>
    <w:rsid w:val="00EC38B9"/>
    <w:rsid w:val="00EC3A91"/>
    <w:rsid w:val="00EC3C2F"/>
    <w:rsid w:val="00EC3CBB"/>
    <w:rsid w:val="00EC3ECA"/>
    <w:rsid w:val="00EC4198"/>
    <w:rsid w:val="00EC41C6"/>
    <w:rsid w:val="00EC488C"/>
    <w:rsid w:val="00EC48A6"/>
    <w:rsid w:val="00EC4FAE"/>
    <w:rsid w:val="00EC528D"/>
    <w:rsid w:val="00EC577F"/>
    <w:rsid w:val="00EC58CB"/>
    <w:rsid w:val="00EC5BE5"/>
    <w:rsid w:val="00EC5DF0"/>
    <w:rsid w:val="00EC62EC"/>
    <w:rsid w:val="00EC64CD"/>
    <w:rsid w:val="00EC650B"/>
    <w:rsid w:val="00EC6AFB"/>
    <w:rsid w:val="00EC6D32"/>
    <w:rsid w:val="00EC6E90"/>
    <w:rsid w:val="00EC72E0"/>
    <w:rsid w:val="00EC7488"/>
    <w:rsid w:val="00EC789B"/>
    <w:rsid w:val="00EC799C"/>
    <w:rsid w:val="00EC7D03"/>
    <w:rsid w:val="00ED0087"/>
    <w:rsid w:val="00ED018F"/>
    <w:rsid w:val="00ED03E6"/>
    <w:rsid w:val="00ED079B"/>
    <w:rsid w:val="00ED0B97"/>
    <w:rsid w:val="00ED0F70"/>
    <w:rsid w:val="00ED1094"/>
    <w:rsid w:val="00ED110D"/>
    <w:rsid w:val="00ED1293"/>
    <w:rsid w:val="00ED12F8"/>
    <w:rsid w:val="00ED12FA"/>
    <w:rsid w:val="00ED1992"/>
    <w:rsid w:val="00ED2113"/>
    <w:rsid w:val="00ED27BA"/>
    <w:rsid w:val="00ED29EF"/>
    <w:rsid w:val="00ED2B4C"/>
    <w:rsid w:val="00ED2C70"/>
    <w:rsid w:val="00ED2F26"/>
    <w:rsid w:val="00ED2F5A"/>
    <w:rsid w:val="00ED3013"/>
    <w:rsid w:val="00ED327A"/>
    <w:rsid w:val="00ED32C4"/>
    <w:rsid w:val="00ED3ACC"/>
    <w:rsid w:val="00ED3BF4"/>
    <w:rsid w:val="00ED3C09"/>
    <w:rsid w:val="00ED3EE8"/>
    <w:rsid w:val="00ED4216"/>
    <w:rsid w:val="00ED4259"/>
    <w:rsid w:val="00ED4816"/>
    <w:rsid w:val="00ED4A5A"/>
    <w:rsid w:val="00ED4AE2"/>
    <w:rsid w:val="00ED4E8B"/>
    <w:rsid w:val="00ED4EBD"/>
    <w:rsid w:val="00ED5444"/>
    <w:rsid w:val="00ED5578"/>
    <w:rsid w:val="00ED578F"/>
    <w:rsid w:val="00ED5AAA"/>
    <w:rsid w:val="00ED611F"/>
    <w:rsid w:val="00ED670F"/>
    <w:rsid w:val="00ED69C5"/>
    <w:rsid w:val="00ED6F69"/>
    <w:rsid w:val="00ED7489"/>
    <w:rsid w:val="00ED74AE"/>
    <w:rsid w:val="00ED751B"/>
    <w:rsid w:val="00ED7555"/>
    <w:rsid w:val="00ED75C1"/>
    <w:rsid w:val="00ED7804"/>
    <w:rsid w:val="00ED7BCA"/>
    <w:rsid w:val="00ED7E11"/>
    <w:rsid w:val="00EE03C6"/>
    <w:rsid w:val="00EE071E"/>
    <w:rsid w:val="00EE08F4"/>
    <w:rsid w:val="00EE09C5"/>
    <w:rsid w:val="00EE0B98"/>
    <w:rsid w:val="00EE0BE9"/>
    <w:rsid w:val="00EE0CC8"/>
    <w:rsid w:val="00EE0F1C"/>
    <w:rsid w:val="00EE0F5B"/>
    <w:rsid w:val="00EE128F"/>
    <w:rsid w:val="00EE12F5"/>
    <w:rsid w:val="00EE1783"/>
    <w:rsid w:val="00EE1999"/>
    <w:rsid w:val="00EE1C0E"/>
    <w:rsid w:val="00EE1DDB"/>
    <w:rsid w:val="00EE2569"/>
    <w:rsid w:val="00EE27C7"/>
    <w:rsid w:val="00EE2CDB"/>
    <w:rsid w:val="00EE2DE0"/>
    <w:rsid w:val="00EE31E5"/>
    <w:rsid w:val="00EE3679"/>
    <w:rsid w:val="00EE3736"/>
    <w:rsid w:val="00EE373E"/>
    <w:rsid w:val="00EE37B7"/>
    <w:rsid w:val="00EE39CB"/>
    <w:rsid w:val="00EE3C6C"/>
    <w:rsid w:val="00EE3CE0"/>
    <w:rsid w:val="00EE3D0E"/>
    <w:rsid w:val="00EE42D9"/>
    <w:rsid w:val="00EE450B"/>
    <w:rsid w:val="00EE4538"/>
    <w:rsid w:val="00EE4700"/>
    <w:rsid w:val="00EE4B72"/>
    <w:rsid w:val="00EE4EAC"/>
    <w:rsid w:val="00EE51BD"/>
    <w:rsid w:val="00EE5201"/>
    <w:rsid w:val="00EE5388"/>
    <w:rsid w:val="00EE5A3D"/>
    <w:rsid w:val="00EE5D62"/>
    <w:rsid w:val="00EE6823"/>
    <w:rsid w:val="00EE6892"/>
    <w:rsid w:val="00EE6935"/>
    <w:rsid w:val="00EE6AF9"/>
    <w:rsid w:val="00EE6D64"/>
    <w:rsid w:val="00EE6E77"/>
    <w:rsid w:val="00EE725F"/>
    <w:rsid w:val="00EE753B"/>
    <w:rsid w:val="00EE7712"/>
    <w:rsid w:val="00EE77E6"/>
    <w:rsid w:val="00EE7AB6"/>
    <w:rsid w:val="00EE7BDF"/>
    <w:rsid w:val="00EE7C26"/>
    <w:rsid w:val="00EE7E5F"/>
    <w:rsid w:val="00EF04FC"/>
    <w:rsid w:val="00EF0666"/>
    <w:rsid w:val="00EF0A08"/>
    <w:rsid w:val="00EF0FF0"/>
    <w:rsid w:val="00EF1167"/>
    <w:rsid w:val="00EF12E3"/>
    <w:rsid w:val="00EF141C"/>
    <w:rsid w:val="00EF14CB"/>
    <w:rsid w:val="00EF16AB"/>
    <w:rsid w:val="00EF19F4"/>
    <w:rsid w:val="00EF1C58"/>
    <w:rsid w:val="00EF2054"/>
    <w:rsid w:val="00EF2355"/>
    <w:rsid w:val="00EF2567"/>
    <w:rsid w:val="00EF2929"/>
    <w:rsid w:val="00EF2A78"/>
    <w:rsid w:val="00EF2E4B"/>
    <w:rsid w:val="00EF3533"/>
    <w:rsid w:val="00EF3824"/>
    <w:rsid w:val="00EF3D22"/>
    <w:rsid w:val="00EF4378"/>
    <w:rsid w:val="00EF459A"/>
    <w:rsid w:val="00EF47C6"/>
    <w:rsid w:val="00EF4852"/>
    <w:rsid w:val="00EF5169"/>
    <w:rsid w:val="00EF59C8"/>
    <w:rsid w:val="00EF5DB2"/>
    <w:rsid w:val="00EF6369"/>
    <w:rsid w:val="00EF661E"/>
    <w:rsid w:val="00EF6A40"/>
    <w:rsid w:val="00EF6CCD"/>
    <w:rsid w:val="00EF76B8"/>
    <w:rsid w:val="00EF798E"/>
    <w:rsid w:val="00EF7AC9"/>
    <w:rsid w:val="00EF7D38"/>
    <w:rsid w:val="00F00024"/>
    <w:rsid w:val="00F00124"/>
    <w:rsid w:val="00F0024C"/>
    <w:rsid w:val="00F00285"/>
    <w:rsid w:val="00F0037D"/>
    <w:rsid w:val="00F005A1"/>
    <w:rsid w:val="00F00665"/>
    <w:rsid w:val="00F00B28"/>
    <w:rsid w:val="00F00BFF"/>
    <w:rsid w:val="00F00C0A"/>
    <w:rsid w:val="00F01837"/>
    <w:rsid w:val="00F0192E"/>
    <w:rsid w:val="00F01999"/>
    <w:rsid w:val="00F01B08"/>
    <w:rsid w:val="00F024D9"/>
    <w:rsid w:val="00F027A3"/>
    <w:rsid w:val="00F0332E"/>
    <w:rsid w:val="00F0349A"/>
    <w:rsid w:val="00F034C3"/>
    <w:rsid w:val="00F034E3"/>
    <w:rsid w:val="00F037ED"/>
    <w:rsid w:val="00F04008"/>
    <w:rsid w:val="00F04049"/>
    <w:rsid w:val="00F0475D"/>
    <w:rsid w:val="00F0480A"/>
    <w:rsid w:val="00F0495A"/>
    <w:rsid w:val="00F04E9A"/>
    <w:rsid w:val="00F05264"/>
    <w:rsid w:val="00F054A6"/>
    <w:rsid w:val="00F054D4"/>
    <w:rsid w:val="00F0570A"/>
    <w:rsid w:val="00F0574D"/>
    <w:rsid w:val="00F058AA"/>
    <w:rsid w:val="00F05A84"/>
    <w:rsid w:val="00F05E2D"/>
    <w:rsid w:val="00F05E39"/>
    <w:rsid w:val="00F060E9"/>
    <w:rsid w:val="00F06770"/>
    <w:rsid w:val="00F06921"/>
    <w:rsid w:val="00F069BB"/>
    <w:rsid w:val="00F069DF"/>
    <w:rsid w:val="00F06B3E"/>
    <w:rsid w:val="00F06F8E"/>
    <w:rsid w:val="00F0715A"/>
    <w:rsid w:val="00F072BD"/>
    <w:rsid w:val="00F07605"/>
    <w:rsid w:val="00F078AF"/>
    <w:rsid w:val="00F07963"/>
    <w:rsid w:val="00F07D9D"/>
    <w:rsid w:val="00F1032E"/>
    <w:rsid w:val="00F107CD"/>
    <w:rsid w:val="00F1089D"/>
    <w:rsid w:val="00F10DAD"/>
    <w:rsid w:val="00F10EEC"/>
    <w:rsid w:val="00F11098"/>
    <w:rsid w:val="00F111A1"/>
    <w:rsid w:val="00F1142E"/>
    <w:rsid w:val="00F115A7"/>
    <w:rsid w:val="00F11851"/>
    <w:rsid w:val="00F11A22"/>
    <w:rsid w:val="00F11EAC"/>
    <w:rsid w:val="00F11F78"/>
    <w:rsid w:val="00F1223D"/>
    <w:rsid w:val="00F1279D"/>
    <w:rsid w:val="00F12848"/>
    <w:rsid w:val="00F12B86"/>
    <w:rsid w:val="00F12FCF"/>
    <w:rsid w:val="00F13193"/>
    <w:rsid w:val="00F1339A"/>
    <w:rsid w:val="00F135C7"/>
    <w:rsid w:val="00F13774"/>
    <w:rsid w:val="00F13AAC"/>
    <w:rsid w:val="00F13AEC"/>
    <w:rsid w:val="00F13B27"/>
    <w:rsid w:val="00F13C85"/>
    <w:rsid w:val="00F13DD3"/>
    <w:rsid w:val="00F14457"/>
    <w:rsid w:val="00F14A5F"/>
    <w:rsid w:val="00F14D19"/>
    <w:rsid w:val="00F14E84"/>
    <w:rsid w:val="00F155B4"/>
    <w:rsid w:val="00F15A93"/>
    <w:rsid w:val="00F15BA6"/>
    <w:rsid w:val="00F15DC0"/>
    <w:rsid w:val="00F15F05"/>
    <w:rsid w:val="00F15F36"/>
    <w:rsid w:val="00F16196"/>
    <w:rsid w:val="00F163EB"/>
    <w:rsid w:val="00F163FC"/>
    <w:rsid w:val="00F168E9"/>
    <w:rsid w:val="00F16BC7"/>
    <w:rsid w:val="00F16DA9"/>
    <w:rsid w:val="00F16E2E"/>
    <w:rsid w:val="00F16F93"/>
    <w:rsid w:val="00F16FFE"/>
    <w:rsid w:val="00F170CD"/>
    <w:rsid w:val="00F178DE"/>
    <w:rsid w:val="00F20043"/>
    <w:rsid w:val="00F200E6"/>
    <w:rsid w:val="00F201F1"/>
    <w:rsid w:val="00F20259"/>
    <w:rsid w:val="00F2076A"/>
    <w:rsid w:val="00F20968"/>
    <w:rsid w:val="00F20D0A"/>
    <w:rsid w:val="00F20DEF"/>
    <w:rsid w:val="00F20F00"/>
    <w:rsid w:val="00F2135F"/>
    <w:rsid w:val="00F217D4"/>
    <w:rsid w:val="00F218F5"/>
    <w:rsid w:val="00F2198C"/>
    <w:rsid w:val="00F21E55"/>
    <w:rsid w:val="00F21E5F"/>
    <w:rsid w:val="00F21FCA"/>
    <w:rsid w:val="00F220DE"/>
    <w:rsid w:val="00F22226"/>
    <w:rsid w:val="00F224D7"/>
    <w:rsid w:val="00F22EED"/>
    <w:rsid w:val="00F23149"/>
    <w:rsid w:val="00F231C6"/>
    <w:rsid w:val="00F2320A"/>
    <w:rsid w:val="00F23636"/>
    <w:rsid w:val="00F23723"/>
    <w:rsid w:val="00F237C6"/>
    <w:rsid w:val="00F23A40"/>
    <w:rsid w:val="00F23A6A"/>
    <w:rsid w:val="00F23AA5"/>
    <w:rsid w:val="00F23F96"/>
    <w:rsid w:val="00F23FE6"/>
    <w:rsid w:val="00F2462E"/>
    <w:rsid w:val="00F24652"/>
    <w:rsid w:val="00F246CE"/>
    <w:rsid w:val="00F24ECF"/>
    <w:rsid w:val="00F25262"/>
    <w:rsid w:val="00F25305"/>
    <w:rsid w:val="00F253CF"/>
    <w:rsid w:val="00F259DE"/>
    <w:rsid w:val="00F25DE4"/>
    <w:rsid w:val="00F25E04"/>
    <w:rsid w:val="00F25FD2"/>
    <w:rsid w:val="00F26925"/>
    <w:rsid w:val="00F2693D"/>
    <w:rsid w:val="00F26A41"/>
    <w:rsid w:val="00F26A92"/>
    <w:rsid w:val="00F26AD4"/>
    <w:rsid w:val="00F26CC9"/>
    <w:rsid w:val="00F26E1F"/>
    <w:rsid w:val="00F26F80"/>
    <w:rsid w:val="00F270A2"/>
    <w:rsid w:val="00F27446"/>
    <w:rsid w:val="00F27942"/>
    <w:rsid w:val="00F279D9"/>
    <w:rsid w:val="00F27B01"/>
    <w:rsid w:val="00F27BBE"/>
    <w:rsid w:val="00F27C3A"/>
    <w:rsid w:val="00F3012B"/>
    <w:rsid w:val="00F30384"/>
    <w:rsid w:val="00F303A8"/>
    <w:rsid w:val="00F30424"/>
    <w:rsid w:val="00F3063C"/>
    <w:rsid w:val="00F30728"/>
    <w:rsid w:val="00F30AC7"/>
    <w:rsid w:val="00F30D6F"/>
    <w:rsid w:val="00F31185"/>
    <w:rsid w:val="00F314E6"/>
    <w:rsid w:val="00F31B8F"/>
    <w:rsid w:val="00F31BB6"/>
    <w:rsid w:val="00F31F09"/>
    <w:rsid w:val="00F32526"/>
    <w:rsid w:val="00F325E9"/>
    <w:rsid w:val="00F32614"/>
    <w:rsid w:val="00F3272E"/>
    <w:rsid w:val="00F3275C"/>
    <w:rsid w:val="00F32A9B"/>
    <w:rsid w:val="00F336A2"/>
    <w:rsid w:val="00F33B70"/>
    <w:rsid w:val="00F33C86"/>
    <w:rsid w:val="00F3434B"/>
    <w:rsid w:val="00F346A2"/>
    <w:rsid w:val="00F349D9"/>
    <w:rsid w:val="00F34BE8"/>
    <w:rsid w:val="00F34ED2"/>
    <w:rsid w:val="00F34EE1"/>
    <w:rsid w:val="00F34F15"/>
    <w:rsid w:val="00F34F2C"/>
    <w:rsid w:val="00F3510F"/>
    <w:rsid w:val="00F35264"/>
    <w:rsid w:val="00F354D8"/>
    <w:rsid w:val="00F356EA"/>
    <w:rsid w:val="00F36061"/>
    <w:rsid w:val="00F365DE"/>
    <w:rsid w:val="00F36775"/>
    <w:rsid w:val="00F36789"/>
    <w:rsid w:val="00F369A5"/>
    <w:rsid w:val="00F36A7E"/>
    <w:rsid w:val="00F36CCF"/>
    <w:rsid w:val="00F36D77"/>
    <w:rsid w:val="00F3719D"/>
    <w:rsid w:val="00F3741E"/>
    <w:rsid w:val="00F37D1E"/>
    <w:rsid w:val="00F4117D"/>
    <w:rsid w:val="00F41489"/>
    <w:rsid w:val="00F41647"/>
    <w:rsid w:val="00F416B8"/>
    <w:rsid w:val="00F41960"/>
    <w:rsid w:val="00F41B4E"/>
    <w:rsid w:val="00F41C2D"/>
    <w:rsid w:val="00F423FC"/>
    <w:rsid w:val="00F42467"/>
    <w:rsid w:val="00F42567"/>
    <w:rsid w:val="00F427B7"/>
    <w:rsid w:val="00F42881"/>
    <w:rsid w:val="00F42C7B"/>
    <w:rsid w:val="00F42EEE"/>
    <w:rsid w:val="00F4304E"/>
    <w:rsid w:val="00F43268"/>
    <w:rsid w:val="00F4399C"/>
    <w:rsid w:val="00F43ECA"/>
    <w:rsid w:val="00F43EDC"/>
    <w:rsid w:val="00F43F01"/>
    <w:rsid w:val="00F43F47"/>
    <w:rsid w:val="00F43F98"/>
    <w:rsid w:val="00F44719"/>
    <w:rsid w:val="00F44A49"/>
    <w:rsid w:val="00F44EA1"/>
    <w:rsid w:val="00F44F0A"/>
    <w:rsid w:val="00F45081"/>
    <w:rsid w:val="00F450A2"/>
    <w:rsid w:val="00F45565"/>
    <w:rsid w:val="00F4568A"/>
    <w:rsid w:val="00F45968"/>
    <w:rsid w:val="00F45AFE"/>
    <w:rsid w:val="00F45BA4"/>
    <w:rsid w:val="00F45C9C"/>
    <w:rsid w:val="00F460BA"/>
    <w:rsid w:val="00F4617E"/>
    <w:rsid w:val="00F462AB"/>
    <w:rsid w:val="00F46441"/>
    <w:rsid w:val="00F46657"/>
    <w:rsid w:val="00F46691"/>
    <w:rsid w:val="00F466FF"/>
    <w:rsid w:val="00F46B8A"/>
    <w:rsid w:val="00F46BFD"/>
    <w:rsid w:val="00F46C2E"/>
    <w:rsid w:val="00F46D4D"/>
    <w:rsid w:val="00F46ED5"/>
    <w:rsid w:val="00F46F01"/>
    <w:rsid w:val="00F46FFB"/>
    <w:rsid w:val="00F470F9"/>
    <w:rsid w:val="00F4735A"/>
    <w:rsid w:val="00F475AB"/>
    <w:rsid w:val="00F47C49"/>
    <w:rsid w:val="00F47D8A"/>
    <w:rsid w:val="00F47E2C"/>
    <w:rsid w:val="00F47F78"/>
    <w:rsid w:val="00F501E4"/>
    <w:rsid w:val="00F5075F"/>
    <w:rsid w:val="00F50893"/>
    <w:rsid w:val="00F50990"/>
    <w:rsid w:val="00F509F3"/>
    <w:rsid w:val="00F50AF6"/>
    <w:rsid w:val="00F50C93"/>
    <w:rsid w:val="00F50D2C"/>
    <w:rsid w:val="00F50D90"/>
    <w:rsid w:val="00F51495"/>
    <w:rsid w:val="00F515C4"/>
    <w:rsid w:val="00F517DF"/>
    <w:rsid w:val="00F51980"/>
    <w:rsid w:val="00F51F88"/>
    <w:rsid w:val="00F52065"/>
    <w:rsid w:val="00F52127"/>
    <w:rsid w:val="00F523B4"/>
    <w:rsid w:val="00F523D6"/>
    <w:rsid w:val="00F526FD"/>
    <w:rsid w:val="00F52C14"/>
    <w:rsid w:val="00F52CFC"/>
    <w:rsid w:val="00F53339"/>
    <w:rsid w:val="00F53B47"/>
    <w:rsid w:val="00F53E83"/>
    <w:rsid w:val="00F543BD"/>
    <w:rsid w:val="00F5459E"/>
    <w:rsid w:val="00F54A1C"/>
    <w:rsid w:val="00F54AA0"/>
    <w:rsid w:val="00F54C75"/>
    <w:rsid w:val="00F55060"/>
    <w:rsid w:val="00F55613"/>
    <w:rsid w:val="00F5561C"/>
    <w:rsid w:val="00F56195"/>
    <w:rsid w:val="00F561B8"/>
    <w:rsid w:val="00F561E3"/>
    <w:rsid w:val="00F5620A"/>
    <w:rsid w:val="00F564AF"/>
    <w:rsid w:val="00F56688"/>
    <w:rsid w:val="00F56995"/>
    <w:rsid w:val="00F56BDC"/>
    <w:rsid w:val="00F56DD8"/>
    <w:rsid w:val="00F57C4C"/>
    <w:rsid w:val="00F57C56"/>
    <w:rsid w:val="00F6029A"/>
    <w:rsid w:val="00F603F5"/>
    <w:rsid w:val="00F6051B"/>
    <w:rsid w:val="00F605AD"/>
    <w:rsid w:val="00F607D4"/>
    <w:rsid w:val="00F60976"/>
    <w:rsid w:val="00F60C02"/>
    <w:rsid w:val="00F60C14"/>
    <w:rsid w:val="00F60D1B"/>
    <w:rsid w:val="00F60F69"/>
    <w:rsid w:val="00F616B6"/>
    <w:rsid w:val="00F619F8"/>
    <w:rsid w:val="00F61A75"/>
    <w:rsid w:val="00F61E5D"/>
    <w:rsid w:val="00F62013"/>
    <w:rsid w:val="00F62DD1"/>
    <w:rsid w:val="00F62FE5"/>
    <w:rsid w:val="00F6395C"/>
    <w:rsid w:val="00F63C4D"/>
    <w:rsid w:val="00F6463E"/>
    <w:rsid w:val="00F64692"/>
    <w:rsid w:val="00F64C57"/>
    <w:rsid w:val="00F64CD1"/>
    <w:rsid w:val="00F64F83"/>
    <w:rsid w:val="00F65048"/>
    <w:rsid w:val="00F650FD"/>
    <w:rsid w:val="00F6515A"/>
    <w:rsid w:val="00F6533E"/>
    <w:rsid w:val="00F6566F"/>
    <w:rsid w:val="00F658C0"/>
    <w:rsid w:val="00F65C23"/>
    <w:rsid w:val="00F6625B"/>
    <w:rsid w:val="00F66561"/>
    <w:rsid w:val="00F66745"/>
    <w:rsid w:val="00F66D8B"/>
    <w:rsid w:val="00F66FB7"/>
    <w:rsid w:val="00F670BB"/>
    <w:rsid w:val="00F673DA"/>
    <w:rsid w:val="00F67844"/>
    <w:rsid w:val="00F678E6"/>
    <w:rsid w:val="00F67D8B"/>
    <w:rsid w:val="00F67EA1"/>
    <w:rsid w:val="00F7055E"/>
    <w:rsid w:val="00F708B0"/>
    <w:rsid w:val="00F70E0C"/>
    <w:rsid w:val="00F70E80"/>
    <w:rsid w:val="00F70F29"/>
    <w:rsid w:val="00F71021"/>
    <w:rsid w:val="00F7124B"/>
    <w:rsid w:val="00F71797"/>
    <w:rsid w:val="00F71C22"/>
    <w:rsid w:val="00F71F7C"/>
    <w:rsid w:val="00F72359"/>
    <w:rsid w:val="00F723DB"/>
    <w:rsid w:val="00F72588"/>
    <w:rsid w:val="00F72A96"/>
    <w:rsid w:val="00F73062"/>
    <w:rsid w:val="00F7317C"/>
    <w:rsid w:val="00F73A13"/>
    <w:rsid w:val="00F73A29"/>
    <w:rsid w:val="00F73C07"/>
    <w:rsid w:val="00F73E7C"/>
    <w:rsid w:val="00F7481F"/>
    <w:rsid w:val="00F7482B"/>
    <w:rsid w:val="00F74BE5"/>
    <w:rsid w:val="00F74E32"/>
    <w:rsid w:val="00F75070"/>
    <w:rsid w:val="00F7547F"/>
    <w:rsid w:val="00F75538"/>
    <w:rsid w:val="00F75575"/>
    <w:rsid w:val="00F75593"/>
    <w:rsid w:val="00F75F10"/>
    <w:rsid w:val="00F76817"/>
    <w:rsid w:val="00F76ADE"/>
    <w:rsid w:val="00F76C8F"/>
    <w:rsid w:val="00F76E7C"/>
    <w:rsid w:val="00F771B3"/>
    <w:rsid w:val="00F77219"/>
    <w:rsid w:val="00F77305"/>
    <w:rsid w:val="00F775BD"/>
    <w:rsid w:val="00F77850"/>
    <w:rsid w:val="00F77873"/>
    <w:rsid w:val="00F77C49"/>
    <w:rsid w:val="00F77CAD"/>
    <w:rsid w:val="00F77F0B"/>
    <w:rsid w:val="00F8018A"/>
    <w:rsid w:val="00F80438"/>
    <w:rsid w:val="00F80B45"/>
    <w:rsid w:val="00F8105F"/>
    <w:rsid w:val="00F811CD"/>
    <w:rsid w:val="00F814AC"/>
    <w:rsid w:val="00F81802"/>
    <w:rsid w:val="00F8188D"/>
    <w:rsid w:val="00F81E4E"/>
    <w:rsid w:val="00F82628"/>
    <w:rsid w:val="00F82814"/>
    <w:rsid w:val="00F8291E"/>
    <w:rsid w:val="00F82B02"/>
    <w:rsid w:val="00F83017"/>
    <w:rsid w:val="00F831AE"/>
    <w:rsid w:val="00F8327A"/>
    <w:rsid w:val="00F83335"/>
    <w:rsid w:val="00F835A1"/>
    <w:rsid w:val="00F83802"/>
    <w:rsid w:val="00F83EBA"/>
    <w:rsid w:val="00F83FDC"/>
    <w:rsid w:val="00F840C8"/>
    <w:rsid w:val="00F84231"/>
    <w:rsid w:val="00F8427C"/>
    <w:rsid w:val="00F844CB"/>
    <w:rsid w:val="00F84CF8"/>
    <w:rsid w:val="00F84F10"/>
    <w:rsid w:val="00F8520D"/>
    <w:rsid w:val="00F85860"/>
    <w:rsid w:val="00F858E5"/>
    <w:rsid w:val="00F85B31"/>
    <w:rsid w:val="00F861E1"/>
    <w:rsid w:val="00F863FD"/>
    <w:rsid w:val="00F86511"/>
    <w:rsid w:val="00F8655E"/>
    <w:rsid w:val="00F86757"/>
    <w:rsid w:val="00F86B57"/>
    <w:rsid w:val="00F87596"/>
    <w:rsid w:val="00F878BC"/>
    <w:rsid w:val="00F87AA5"/>
    <w:rsid w:val="00F87FA7"/>
    <w:rsid w:val="00F909B7"/>
    <w:rsid w:val="00F90A3C"/>
    <w:rsid w:val="00F90B92"/>
    <w:rsid w:val="00F90BE9"/>
    <w:rsid w:val="00F9139C"/>
    <w:rsid w:val="00F91636"/>
    <w:rsid w:val="00F91BEE"/>
    <w:rsid w:val="00F91DE0"/>
    <w:rsid w:val="00F92159"/>
    <w:rsid w:val="00F924C8"/>
    <w:rsid w:val="00F925B2"/>
    <w:rsid w:val="00F927AB"/>
    <w:rsid w:val="00F932AD"/>
    <w:rsid w:val="00F9333E"/>
    <w:rsid w:val="00F9361C"/>
    <w:rsid w:val="00F93658"/>
    <w:rsid w:val="00F93752"/>
    <w:rsid w:val="00F93800"/>
    <w:rsid w:val="00F93A76"/>
    <w:rsid w:val="00F93B73"/>
    <w:rsid w:val="00F93EE6"/>
    <w:rsid w:val="00F93F49"/>
    <w:rsid w:val="00F93FFB"/>
    <w:rsid w:val="00F94239"/>
    <w:rsid w:val="00F94284"/>
    <w:rsid w:val="00F94709"/>
    <w:rsid w:val="00F94749"/>
    <w:rsid w:val="00F951A3"/>
    <w:rsid w:val="00F95386"/>
    <w:rsid w:val="00F95487"/>
    <w:rsid w:val="00F95EF3"/>
    <w:rsid w:val="00F95F3B"/>
    <w:rsid w:val="00F9609F"/>
    <w:rsid w:val="00F9632A"/>
    <w:rsid w:val="00F96C21"/>
    <w:rsid w:val="00F96DDC"/>
    <w:rsid w:val="00F97244"/>
    <w:rsid w:val="00F97590"/>
    <w:rsid w:val="00F978CB"/>
    <w:rsid w:val="00F97C2A"/>
    <w:rsid w:val="00F97C46"/>
    <w:rsid w:val="00FA080F"/>
    <w:rsid w:val="00FA0B8D"/>
    <w:rsid w:val="00FA0D24"/>
    <w:rsid w:val="00FA0F79"/>
    <w:rsid w:val="00FA1073"/>
    <w:rsid w:val="00FA12CE"/>
    <w:rsid w:val="00FA137C"/>
    <w:rsid w:val="00FA1437"/>
    <w:rsid w:val="00FA14DA"/>
    <w:rsid w:val="00FA186B"/>
    <w:rsid w:val="00FA18C8"/>
    <w:rsid w:val="00FA1C7B"/>
    <w:rsid w:val="00FA1CAD"/>
    <w:rsid w:val="00FA1CAF"/>
    <w:rsid w:val="00FA24C3"/>
    <w:rsid w:val="00FA274D"/>
    <w:rsid w:val="00FA2A79"/>
    <w:rsid w:val="00FA2B06"/>
    <w:rsid w:val="00FA2BF9"/>
    <w:rsid w:val="00FA2C31"/>
    <w:rsid w:val="00FA2C74"/>
    <w:rsid w:val="00FA2DB3"/>
    <w:rsid w:val="00FA2DEC"/>
    <w:rsid w:val="00FA2E58"/>
    <w:rsid w:val="00FA3022"/>
    <w:rsid w:val="00FA3077"/>
    <w:rsid w:val="00FA30BA"/>
    <w:rsid w:val="00FA315D"/>
    <w:rsid w:val="00FA316F"/>
    <w:rsid w:val="00FA3335"/>
    <w:rsid w:val="00FA3392"/>
    <w:rsid w:val="00FA33C3"/>
    <w:rsid w:val="00FA3853"/>
    <w:rsid w:val="00FA3A91"/>
    <w:rsid w:val="00FA3B0C"/>
    <w:rsid w:val="00FA3CB8"/>
    <w:rsid w:val="00FA40E4"/>
    <w:rsid w:val="00FA451C"/>
    <w:rsid w:val="00FA45E0"/>
    <w:rsid w:val="00FA4895"/>
    <w:rsid w:val="00FA4A85"/>
    <w:rsid w:val="00FA4B4C"/>
    <w:rsid w:val="00FA4EEA"/>
    <w:rsid w:val="00FA54EB"/>
    <w:rsid w:val="00FA55D3"/>
    <w:rsid w:val="00FA5BE2"/>
    <w:rsid w:val="00FA68E5"/>
    <w:rsid w:val="00FA7393"/>
    <w:rsid w:val="00FA779A"/>
    <w:rsid w:val="00FA7C97"/>
    <w:rsid w:val="00FA7DDD"/>
    <w:rsid w:val="00FA7DF8"/>
    <w:rsid w:val="00FA7EF0"/>
    <w:rsid w:val="00FA7FD1"/>
    <w:rsid w:val="00FB03CB"/>
    <w:rsid w:val="00FB060E"/>
    <w:rsid w:val="00FB089B"/>
    <w:rsid w:val="00FB0AA5"/>
    <w:rsid w:val="00FB0B16"/>
    <w:rsid w:val="00FB0B4A"/>
    <w:rsid w:val="00FB0B4B"/>
    <w:rsid w:val="00FB0CF8"/>
    <w:rsid w:val="00FB1127"/>
    <w:rsid w:val="00FB1356"/>
    <w:rsid w:val="00FB145C"/>
    <w:rsid w:val="00FB1650"/>
    <w:rsid w:val="00FB1717"/>
    <w:rsid w:val="00FB1887"/>
    <w:rsid w:val="00FB1DB4"/>
    <w:rsid w:val="00FB20F0"/>
    <w:rsid w:val="00FB21BD"/>
    <w:rsid w:val="00FB2300"/>
    <w:rsid w:val="00FB2535"/>
    <w:rsid w:val="00FB28BB"/>
    <w:rsid w:val="00FB2AAA"/>
    <w:rsid w:val="00FB2AAC"/>
    <w:rsid w:val="00FB2B47"/>
    <w:rsid w:val="00FB2CEE"/>
    <w:rsid w:val="00FB2D99"/>
    <w:rsid w:val="00FB2E8B"/>
    <w:rsid w:val="00FB370A"/>
    <w:rsid w:val="00FB40F8"/>
    <w:rsid w:val="00FB4193"/>
    <w:rsid w:val="00FB430E"/>
    <w:rsid w:val="00FB46AE"/>
    <w:rsid w:val="00FB4F28"/>
    <w:rsid w:val="00FB52B9"/>
    <w:rsid w:val="00FB54EA"/>
    <w:rsid w:val="00FB5563"/>
    <w:rsid w:val="00FB55BF"/>
    <w:rsid w:val="00FB589B"/>
    <w:rsid w:val="00FB6080"/>
    <w:rsid w:val="00FB64D1"/>
    <w:rsid w:val="00FB64DC"/>
    <w:rsid w:val="00FB67FB"/>
    <w:rsid w:val="00FB6845"/>
    <w:rsid w:val="00FB68FA"/>
    <w:rsid w:val="00FB698A"/>
    <w:rsid w:val="00FB6AF1"/>
    <w:rsid w:val="00FB6C35"/>
    <w:rsid w:val="00FB6CEE"/>
    <w:rsid w:val="00FB6D36"/>
    <w:rsid w:val="00FB6D83"/>
    <w:rsid w:val="00FB700D"/>
    <w:rsid w:val="00FB737F"/>
    <w:rsid w:val="00FB741B"/>
    <w:rsid w:val="00FB78A6"/>
    <w:rsid w:val="00FB7A88"/>
    <w:rsid w:val="00FB7B0E"/>
    <w:rsid w:val="00FB7CD5"/>
    <w:rsid w:val="00FB7F8B"/>
    <w:rsid w:val="00FC02FA"/>
    <w:rsid w:val="00FC0889"/>
    <w:rsid w:val="00FC0D0F"/>
    <w:rsid w:val="00FC14B8"/>
    <w:rsid w:val="00FC154C"/>
    <w:rsid w:val="00FC162E"/>
    <w:rsid w:val="00FC16EB"/>
    <w:rsid w:val="00FC1BCB"/>
    <w:rsid w:val="00FC1C31"/>
    <w:rsid w:val="00FC2514"/>
    <w:rsid w:val="00FC2940"/>
    <w:rsid w:val="00FC2AE4"/>
    <w:rsid w:val="00FC2C88"/>
    <w:rsid w:val="00FC2EB9"/>
    <w:rsid w:val="00FC2F5A"/>
    <w:rsid w:val="00FC3209"/>
    <w:rsid w:val="00FC330B"/>
    <w:rsid w:val="00FC3908"/>
    <w:rsid w:val="00FC3A53"/>
    <w:rsid w:val="00FC3FAF"/>
    <w:rsid w:val="00FC417D"/>
    <w:rsid w:val="00FC4637"/>
    <w:rsid w:val="00FC4D97"/>
    <w:rsid w:val="00FC4DA4"/>
    <w:rsid w:val="00FC4F42"/>
    <w:rsid w:val="00FC52AE"/>
    <w:rsid w:val="00FC5322"/>
    <w:rsid w:val="00FC565C"/>
    <w:rsid w:val="00FC58CF"/>
    <w:rsid w:val="00FC5B00"/>
    <w:rsid w:val="00FC5E2A"/>
    <w:rsid w:val="00FC5EA3"/>
    <w:rsid w:val="00FC5FB1"/>
    <w:rsid w:val="00FC60A0"/>
    <w:rsid w:val="00FC619E"/>
    <w:rsid w:val="00FC6902"/>
    <w:rsid w:val="00FC6C1A"/>
    <w:rsid w:val="00FC6C6C"/>
    <w:rsid w:val="00FC6FB9"/>
    <w:rsid w:val="00FC711F"/>
    <w:rsid w:val="00FC7231"/>
    <w:rsid w:val="00FC7582"/>
    <w:rsid w:val="00FC78A8"/>
    <w:rsid w:val="00FC78F4"/>
    <w:rsid w:val="00FC7A4C"/>
    <w:rsid w:val="00FC7ADA"/>
    <w:rsid w:val="00FC7B8E"/>
    <w:rsid w:val="00FC7CFB"/>
    <w:rsid w:val="00FC7D11"/>
    <w:rsid w:val="00FC7D5D"/>
    <w:rsid w:val="00FC7E0E"/>
    <w:rsid w:val="00FC7EA3"/>
    <w:rsid w:val="00FD00FF"/>
    <w:rsid w:val="00FD024A"/>
    <w:rsid w:val="00FD0592"/>
    <w:rsid w:val="00FD0673"/>
    <w:rsid w:val="00FD0A1E"/>
    <w:rsid w:val="00FD0B75"/>
    <w:rsid w:val="00FD0DE6"/>
    <w:rsid w:val="00FD0F7B"/>
    <w:rsid w:val="00FD147D"/>
    <w:rsid w:val="00FD1561"/>
    <w:rsid w:val="00FD1994"/>
    <w:rsid w:val="00FD19D7"/>
    <w:rsid w:val="00FD1B04"/>
    <w:rsid w:val="00FD2278"/>
    <w:rsid w:val="00FD2877"/>
    <w:rsid w:val="00FD29A3"/>
    <w:rsid w:val="00FD2B5B"/>
    <w:rsid w:val="00FD2E4C"/>
    <w:rsid w:val="00FD31DE"/>
    <w:rsid w:val="00FD35C0"/>
    <w:rsid w:val="00FD3728"/>
    <w:rsid w:val="00FD3A0B"/>
    <w:rsid w:val="00FD4029"/>
    <w:rsid w:val="00FD4227"/>
    <w:rsid w:val="00FD44C8"/>
    <w:rsid w:val="00FD456C"/>
    <w:rsid w:val="00FD45BE"/>
    <w:rsid w:val="00FD47E6"/>
    <w:rsid w:val="00FD4B49"/>
    <w:rsid w:val="00FD4F3D"/>
    <w:rsid w:val="00FD59A0"/>
    <w:rsid w:val="00FD6B25"/>
    <w:rsid w:val="00FD6E01"/>
    <w:rsid w:val="00FD6EAE"/>
    <w:rsid w:val="00FD73AB"/>
    <w:rsid w:val="00FD7643"/>
    <w:rsid w:val="00FD7AAA"/>
    <w:rsid w:val="00FD7DE7"/>
    <w:rsid w:val="00FE0092"/>
    <w:rsid w:val="00FE033C"/>
    <w:rsid w:val="00FE0399"/>
    <w:rsid w:val="00FE04C8"/>
    <w:rsid w:val="00FE07CF"/>
    <w:rsid w:val="00FE08CA"/>
    <w:rsid w:val="00FE0931"/>
    <w:rsid w:val="00FE0C21"/>
    <w:rsid w:val="00FE0DA1"/>
    <w:rsid w:val="00FE10CE"/>
    <w:rsid w:val="00FE1972"/>
    <w:rsid w:val="00FE2635"/>
    <w:rsid w:val="00FE2674"/>
    <w:rsid w:val="00FE2718"/>
    <w:rsid w:val="00FE2807"/>
    <w:rsid w:val="00FE3439"/>
    <w:rsid w:val="00FE34CF"/>
    <w:rsid w:val="00FE3508"/>
    <w:rsid w:val="00FE3A74"/>
    <w:rsid w:val="00FE403A"/>
    <w:rsid w:val="00FE4596"/>
    <w:rsid w:val="00FE462F"/>
    <w:rsid w:val="00FE47AC"/>
    <w:rsid w:val="00FE47BC"/>
    <w:rsid w:val="00FE4E82"/>
    <w:rsid w:val="00FE4FB7"/>
    <w:rsid w:val="00FE4FF0"/>
    <w:rsid w:val="00FE55BE"/>
    <w:rsid w:val="00FE5EF8"/>
    <w:rsid w:val="00FE66BC"/>
    <w:rsid w:val="00FE6881"/>
    <w:rsid w:val="00FE69B6"/>
    <w:rsid w:val="00FE6B5F"/>
    <w:rsid w:val="00FE70DF"/>
    <w:rsid w:val="00FE7130"/>
    <w:rsid w:val="00FE7291"/>
    <w:rsid w:val="00FE7329"/>
    <w:rsid w:val="00FE770F"/>
    <w:rsid w:val="00FE7765"/>
    <w:rsid w:val="00FE7A96"/>
    <w:rsid w:val="00FE7BFA"/>
    <w:rsid w:val="00FE7C7C"/>
    <w:rsid w:val="00FE7C8C"/>
    <w:rsid w:val="00FE7CA3"/>
    <w:rsid w:val="00FF0392"/>
    <w:rsid w:val="00FF0A8F"/>
    <w:rsid w:val="00FF0E3E"/>
    <w:rsid w:val="00FF1265"/>
    <w:rsid w:val="00FF15A7"/>
    <w:rsid w:val="00FF17CF"/>
    <w:rsid w:val="00FF18EB"/>
    <w:rsid w:val="00FF1C3F"/>
    <w:rsid w:val="00FF1F9D"/>
    <w:rsid w:val="00FF2468"/>
    <w:rsid w:val="00FF26AD"/>
    <w:rsid w:val="00FF27F2"/>
    <w:rsid w:val="00FF28B9"/>
    <w:rsid w:val="00FF2931"/>
    <w:rsid w:val="00FF2AE4"/>
    <w:rsid w:val="00FF2D83"/>
    <w:rsid w:val="00FF2ED2"/>
    <w:rsid w:val="00FF2F66"/>
    <w:rsid w:val="00FF306F"/>
    <w:rsid w:val="00FF30C3"/>
    <w:rsid w:val="00FF33F6"/>
    <w:rsid w:val="00FF3915"/>
    <w:rsid w:val="00FF398B"/>
    <w:rsid w:val="00FF3BB0"/>
    <w:rsid w:val="00FF47B5"/>
    <w:rsid w:val="00FF4B78"/>
    <w:rsid w:val="00FF4CB5"/>
    <w:rsid w:val="00FF51E8"/>
    <w:rsid w:val="00FF5418"/>
    <w:rsid w:val="00FF5B2B"/>
    <w:rsid w:val="00FF6174"/>
    <w:rsid w:val="00FF61E2"/>
    <w:rsid w:val="00FF654E"/>
    <w:rsid w:val="00FF6928"/>
    <w:rsid w:val="00FF69E4"/>
    <w:rsid w:val="00FF6A92"/>
    <w:rsid w:val="00FF6B57"/>
    <w:rsid w:val="00FF6FD3"/>
    <w:rsid w:val="00FF79F5"/>
    <w:rsid w:val="00FF7A0C"/>
    <w:rsid w:val="01012106"/>
    <w:rsid w:val="0111EC3A"/>
    <w:rsid w:val="0115DF33"/>
    <w:rsid w:val="013114CB"/>
    <w:rsid w:val="01467073"/>
    <w:rsid w:val="0170F5CB"/>
    <w:rsid w:val="0172E4AC"/>
    <w:rsid w:val="017B8D00"/>
    <w:rsid w:val="01CB76F1"/>
    <w:rsid w:val="01D35C52"/>
    <w:rsid w:val="01EA3A15"/>
    <w:rsid w:val="02041A2C"/>
    <w:rsid w:val="02730527"/>
    <w:rsid w:val="02907AA5"/>
    <w:rsid w:val="02C270AC"/>
    <w:rsid w:val="02C3D103"/>
    <w:rsid w:val="02E348B2"/>
    <w:rsid w:val="03132652"/>
    <w:rsid w:val="0314B753"/>
    <w:rsid w:val="03386509"/>
    <w:rsid w:val="03C18C62"/>
    <w:rsid w:val="03C46A73"/>
    <w:rsid w:val="03D3AD8B"/>
    <w:rsid w:val="040CB0B0"/>
    <w:rsid w:val="041ACB56"/>
    <w:rsid w:val="0428BA98"/>
    <w:rsid w:val="0463F758"/>
    <w:rsid w:val="04B445D6"/>
    <w:rsid w:val="04B4ECF8"/>
    <w:rsid w:val="04D56821"/>
    <w:rsid w:val="04EC3510"/>
    <w:rsid w:val="0508F65A"/>
    <w:rsid w:val="052E2CFA"/>
    <w:rsid w:val="053D3913"/>
    <w:rsid w:val="056F1B92"/>
    <w:rsid w:val="057ADDDA"/>
    <w:rsid w:val="0580239B"/>
    <w:rsid w:val="059C1F60"/>
    <w:rsid w:val="05AFDDD4"/>
    <w:rsid w:val="05CA3F3C"/>
    <w:rsid w:val="061D86E5"/>
    <w:rsid w:val="061F78EF"/>
    <w:rsid w:val="064B4DE1"/>
    <w:rsid w:val="068F85FB"/>
    <w:rsid w:val="06C7E691"/>
    <w:rsid w:val="06D7D43C"/>
    <w:rsid w:val="06E25499"/>
    <w:rsid w:val="073E17D2"/>
    <w:rsid w:val="07885273"/>
    <w:rsid w:val="078CABB2"/>
    <w:rsid w:val="078F7536"/>
    <w:rsid w:val="07941070"/>
    <w:rsid w:val="07E00AB7"/>
    <w:rsid w:val="0857E633"/>
    <w:rsid w:val="0872A0C5"/>
    <w:rsid w:val="0878EA19"/>
    <w:rsid w:val="088E3C3E"/>
    <w:rsid w:val="08929BB0"/>
    <w:rsid w:val="08B5723A"/>
    <w:rsid w:val="08F9AC8E"/>
    <w:rsid w:val="0921029D"/>
    <w:rsid w:val="093D2CD0"/>
    <w:rsid w:val="093F9734"/>
    <w:rsid w:val="099A3437"/>
    <w:rsid w:val="09A25ED4"/>
    <w:rsid w:val="09D5A649"/>
    <w:rsid w:val="0A306451"/>
    <w:rsid w:val="0A3272B4"/>
    <w:rsid w:val="0A337CCF"/>
    <w:rsid w:val="0A6FE269"/>
    <w:rsid w:val="0A855820"/>
    <w:rsid w:val="0A936A75"/>
    <w:rsid w:val="0AE17D36"/>
    <w:rsid w:val="0AFAD51F"/>
    <w:rsid w:val="0B19E736"/>
    <w:rsid w:val="0B1F7835"/>
    <w:rsid w:val="0B4AE895"/>
    <w:rsid w:val="0B756335"/>
    <w:rsid w:val="0B919FBD"/>
    <w:rsid w:val="0BE26DE9"/>
    <w:rsid w:val="0C0035B5"/>
    <w:rsid w:val="0C20F609"/>
    <w:rsid w:val="0C581578"/>
    <w:rsid w:val="0C5ED530"/>
    <w:rsid w:val="0CA4E1CB"/>
    <w:rsid w:val="0CBAB553"/>
    <w:rsid w:val="0CD40132"/>
    <w:rsid w:val="0CE005F2"/>
    <w:rsid w:val="0CF2DA73"/>
    <w:rsid w:val="0D2F37E6"/>
    <w:rsid w:val="0D30E41D"/>
    <w:rsid w:val="0D3A09B9"/>
    <w:rsid w:val="0D45B5EA"/>
    <w:rsid w:val="0D5086B7"/>
    <w:rsid w:val="0D707FC9"/>
    <w:rsid w:val="0D7F70B7"/>
    <w:rsid w:val="0DAFECDA"/>
    <w:rsid w:val="0DB999DB"/>
    <w:rsid w:val="0DF6C52D"/>
    <w:rsid w:val="0E0B1E69"/>
    <w:rsid w:val="0E1717B1"/>
    <w:rsid w:val="0E2FAE89"/>
    <w:rsid w:val="0E9146C8"/>
    <w:rsid w:val="0EA180B3"/>
    <w:rsid w:val="0ECC412B"/>
    <w:rsid w:val="0EE94590"/>
    <w:rsid w:val="0F1A5F03"/>
    <w:rsid w:val="0F251E5D"/>
    <w:rsid w:val="0F2E3AAD"/>
    <w:rsid w:val="0F48B926"/>
    <w:rsid w:val="0F51EE33"/>
    <w:rsid w:val="0FA590DD"/>
    <w:rsid w:val="0FD50A19"/>
    <w:rsid w:val="0FDD8EB6"/>
    <w:rsid w:val="100E1565"/>
    <w:rsid w:val="1034A437"/>
    <w:rsid w:val="108C05A7"/>
    <w:rsid w:val="10C69781"/>
    <w:rsid w:val="10D8FDDA"/>
    <w:rsid w:val="10DA9A08"/>
    <w:rsid w:val="11219882"/>
    <w:rsid w:val="11274BA5"/>
    <w:rsid w:val="119B8793"/>
    <w:rsid w:val="11AD7119"/>
    <w:rsid w:val="11B3A3D6"/>
    <w:rsid w:val="11DB88FC"/>
    <w:rsid w:val="11E9EC7E"/>
    <w:rsid w:val="11F77A7B"/>
    <w:rsid w:val="12260F06"/>
    <w:rsid w:val="125C0D8A"/>
    <w:rsid w:val="125CB4AF"/>
    <w:rsid w:val="126F4FFC"/>
    <w:rsid w:val="1289834E"/>
    <w:rsid w:val="12D0BC0E"/>
    <w:rsid w:val="1318570F"/>
    <w:rsid w:val="131A2EE1"/>
    <w:rsid w:val="1325594F"/>
    <w:rsid w:val="1343B1AC"/>
    <w:rsid w:val="13603AB5"/>
    <w:rsid w:val="136A1833"/>
    <w:rsid w:val="13C1DB1E"/>
    <w:rsid w:val="13C8D537"/>
    <w:rsid w:val="140E0338"/>
    <w:rsid w:val="1442F8B3"/>
    <w:rsid w:val="145EDB03"/>
    <w:rsid w:val="148D795C"/>
    <w:rsid w:val="14B53B5F"/>
    <w:rsid w:val="14C44883"/>
    <w:rsid w:val="14D3D21C"/>
    <w:rsid w:val="14D4811A"/>
    <w:rsid w:val="1524E114"/>
    <w:rsid w:val="1537EC7F"/>
    <w:rsid w:val="154BB97F"/>
    <w:rsid w:val="1592AD08"/>
    <w:rsid w:val="15C5AC7D"/>
    <w:rsid w:val="15DD801D"/>
    <w:rsid w:val="15ED2AAF"/>
    <w:rsid w:val="15FBD407"/>
    <w:rsid w:val="160207FD"/>
    <w:rsid w:val="160C33DD"/>
    <w:rsid w:val="162DA5CC"/>
    <w:rsid w:val="16D8EC77"/>
    <w:rsid w:val="171B719D"/>
    <w:rsid w:val="176D7B82"/>
    <w:rsid w:val="1826388B"/>
    <w:rsid w:val="18559AEB"/>
    <w:rsid w:val="185DA953"/>
    <w:rsid w:val="186699E3"/>
    <w:rsid w:val="1871FB6C"/>
    <w:rsid w:val="187BEC68"/>
    <w:rsid w:val="187F10AE"/>
    <w:rsid w:val="18E5CDE5"/>
    <w:rsid w:val="18E816D5"/>
    <w:rsid w:val="18FA9748"/>
    <w:rsid w:val="191A53C4"/>
    <w:rsid w:val="19284270"/>
    <w:rsid w:val="192B129D"/>
    <w:rsid w:val="194BE94B"/>
    <w:rsid w:val="19616164"/>
    <w:rsid w:val="1965B289"/>
    <w:rsid w:val="1991E831"/>
    <w:rsid w:val="199FB0FA"/>
    <w:rsid w:val="19C4F52E"/>
    <w:rsid w:val="19D66FCA"/>
    <w:rsid w:val="19EB5A6B"/>
    <w:rsid w:val="1A208592"/>
    <w:rsid w:val="1A34D9D9"/>
    <w:rsid w:val="1A3CDF36"/>
    <w:rsid w:val="1A44B255"/>
    <w:rsid w:val="1A4633BB"/>
    <w:rsid w:val="1A568A37"/>
    <w:rsid w:val="1A667AAC"/>
    <w:rsid w:val="1A8134B4"/>
    <w:rsid w:val="1A882EDC"/>
    <w:rsid w:val="1A896FBE"/>
    <w:rsid w:val="1AD3B2F1"/>
    <w:rsid w:val="1AE46246"/>
    <w:rsid w:val="1AE64742"/>
    <w:rsid w:val="1AEC313C"/>
    <w:rsid w:val="1B04D082"/>
    <w:rsid w:val="1BB9657A"/>
    <w:rsid w:val="1BBE82BE"/>
    <w:rsid w:val="1BC2D23F"/>
    <w:rsid w:val="1BF45FD7"/>
    <w:rsid w:val="1C09E1F0"/>
    <w:rsid w:val="1C2E1E74"/>
    <w:rsid w:val="1C54F349"/>
    <w:rsid w:val="1C6A8D62"/>
    <w:rsid w:val="1CC5372D"/>
    <w:rsid w:val="1D02EB58"/>
    <w:rsid w:val="1D0B4618"/>
    <w:rsid w:val="1D0D4108"/>
    <w:rsid w:val="1D3C212D"/>
    <w:rsid w:val="1D411C22"/>
    <w:rsid w:val="1D44C665"/>
    <w:rsid w:val="1DADB4F0"/>
    <w:rsid w:val="1DB2384B"/>
    <w:rsid w:val="1DBCD8EC"/>
    <w:rsid w:val="1DBD873E"/>
    <w:rsid w:val="1DD82766"/>
    <w:rsid w:val="1E5789F4"/>
    <w:rsid w:val="1E672384"/>
    <w:rsid w:val="1E6DA6AC"/>
    <w:rsid w:val="1E88C928"/>
    <w:rsid w:val="1ED72A51"/>
    <w:rsid w:val="1EDECBB2"/>
    <w:rsid w:val="1EE66A61"/>
    <w:rsid w:val="1F197F73"/>
    <w:rsid w:val="1F1EA8EF"/>
    <w:rsid w:val="1F3E8A11"/>
    <w:rsid w:val="1F4F3DE6"/>
    <w:rsid w:val="1F527112"/>
    <w:rsid w:val="1F8E866A"/>
    <w:rsid w:val="1FDB3F95"/>
    <w:rsid w:val="1FDDDF3B"/>
    <w:rsid w:val="1FE3EA2A"/>
    <w:rsid w:val="20291552"/>
    <w:rsid w:val="205AA46A"/>
    <w:rsid w:val="207941B1"/>
    <w:rsid w:val="20934C07"/>
    <w:rsid w:val="20AC383F"/>
    <w:rsid w:val="20DA4973"/>
    <w:rsid w:val="20E6CC49"/>
    <w:rsid w:val="2108FD7F"/>
    <w:rsid w:val="21514652"/>
    <w:rsid w:val="2153AD1F"/>
    <w:rsid w:val="2157D668"/>
    <w:rsid w:val="2171DAEC"/>
    <w:rsid w:val="2180A95A"/>
    <w:rsid w:val="21A78825"/>
    <w:rsid w:val="21AB252A"/>
    <w:rsid w:val="21B480C5"/>
    <w:rsid w:val="222359D7"/>
    <w:rsid w:val="22313EAD"/>
    <w:rsid w:val="223B4288"/>
    <w:rsid w:val="225EA8D9"/>
    <w:rsid w:val="22927449"/>
    <w:rsid w:val="22935C50"/>
    <w:rsid w:val="22B0415C"/>
    <w:rsid w:val="22F3F828"/>
    <w:rsid w:val="22F46B15"/>
    <w:rsid w:val="2304E77A"/>
    <w:rsid w:val="2366CAC8"/>
    <w:rsid w:val="2368740A"/>
    <w:rsid w:val="23786255"/>
    <w:rsid w:val="23E4BF70"/>
    <w:rsid w:val="242A6C91"/>
    <w:rsid w:val="247A2AD7"/>
    <w:rsid w:val="247E0615"/>
    <w:rsid w:val="24CC67A9"/>
    <w:rsid w:val="24D7FDC4"/>
    <w:rsid w:val="2518C8A9"/>
    <w:rsid w:val="2530B39A"/>
    <w:rsid w:val="253F3360"/>
    <w:rsid w:val="25414E17"/>
    <w:rsid w:val="2563931B"/>
    <w:rsid w:val="258DB6AB"/>
    <w:rsid w:val="259F8492"/>
    <w:rsid w:val="25CE5066"/>
    <w:rsid w:val="264C89B7"/>
    <w:rsid w:val="264DDA06"/>
    <w:rsid w:val="26547F58"/>
    <w:rsid w:val="26831296"/>
    <w:rsid w:val="2684D833"/>
    <w:rsid w:val="26A39FF5"/>
    <w:rsid w:val="26C84B30"/>
    <w:rsid w:val="273C7C17"/>
    <w:rsid w:val="27C2A4BC"/>
    <w:rsid w:val="280B0DE4"/>
    <w:rsid w:val="2822F61D"/>
    <w:rsid w:val="28536B51"/>
    <w:rsid w:val="285F3BD4"/>
    <w:rsid w:val="28622F7B"/>
    <w:rsid w:val="288423EA"/>
    <w:rsid w:val="288650DC"/>
    <w:rsid w:val="28963548"/>
    <w:rsid w:val="28A22BFA"/>
    <w:rsid w:val="28E48B0C"/>
    <w:rsid w:val="2921E7D5"/>
    <w:rsid w:val="2955944B"/>
    <w:rsid w:val="29605C6A"/>
    <w:rsid w:val="296AEA9F"/>
    <w:rsid w:val="296C27E5"/>
    <w:rsid w:val="29757BF4"/>
    <w:rsid w:val="29857BA7"/>
    <w:rsid w:val="29A69249"/>
    <w:rsid w:val="29E84613"/>
    <w:rsid w:val="29EC59E3"/>
    <w:rsid w:val="29ED9EF9"/>
    <w:rsid w:val="2A88D01D"/>
    <w:rsid w:val="2A8DC652"/>
    <w:rsid w:val="2A97BF02"/>
    <w:rsid w:val="2AC22632"/>
    <w:rsid w:val="2AE3826A"/>
    <w:rsid w:val="2B1BF96F"/>
    <w:rsid w:val="2B1FEB58"/>
    <w:rsid w:val="2B2004A3"/>
    <w:rsid w:val="2B2087C2"/>
    <w:rsid w:val="2B38089A"/>
    <w:rsid w:val="2B851758"/>
    <w:rsid w:val="2B9EC2DC"/>
    <w:rsid w:val="2BA7DA11"/>
    <w:rsid w:val="2BEE746E"/>
    <w:rsid w:val="2C16CF12"/>
    <w:rsid w:val="2C435DB1"/>
    <w:rsid w:val="2C44FA0A"/>
    <w:rsid w:val="2C602641"/>
    <w:rsid w:val="2C7EAFCA"/>
    <w:rsid w:val="2D0EA3FD"/>
    <w:rsid w:val="2D1DAA5D"/>
    <w:rsid w:val="2D3878A6"/>
    <w:rsid w:val="2D4520B6"/>
    <w:rsid w:val="2D4D6E0D"/>
    <w:rsid w:val="2D90EF49"/>
    <w:rsid w:val="2DBF2C12"/>
    <w:rsid w:val="2DCE18C1"/>
    <w:rsid w:val="2DE30F19"/>
    <w:rsid w:val="2DF1690C"/>
    <w:rsid w:val="2E055F0C"/>
    <w:rsid w:val="2E255626"/>
    <w:rsid w:val="2E34ADED"/>
    <w:rsid w:val="2E385967"/>
    <w:rsid w:val="2E3C14AD"/>
    <w:rsid w:val="2E46D4E9"/>
    <w:rsid w:val="2EA8C44C"/>
    <w:rsid w:val="2EAB7C3A"/>
    <w:rsid w:val="2EC13785"/>
    <w:rsid w:val="2F005806"/>
    <w:rsid w:val="2F6C727D"/>
    <w:rsid w:val="2F875F2E"/>
    <w:rsid w:val="2F9C24CD"/>
    <w:rsid w:val="2FBBE079"/>
    <w:rsid w:val="2FE77D5E"/>
    <w:rsid w:val="2FE7D0D3"/>
    <w:rsid w:val="303495DF"/>
    <w:rsid w:val="3042B21E"/>
    <w:rsid w:val="306CF82C"/>
    <w:rsid w:val="308B26C2"/>
    <w:rsid w:val="309D1792"/>
    <w:rsid w:val="30ADC6D5"/>
    <w:rsid w:val="30CB3F7D"/>
    <w:rsid w:val="30DCC911"/>
    <w:rsid w:val="31489DFC"/>
    <w:rsid w:val="3156A267"/>
    <w:rsid w:val="315A1FDF"/>
    <w:rsid w:val="31637A20"/>
    <w:rsid w:val="3163D405"/>
    <w:rsid w:val="3167C976"/>
    <w:rsid w:val="316C0657"/>
    <w:rsid w:val="316EC40A"/>
    <w:rsid w:val="31800E58"/>
    <w:rsid w:val="31A137AA"/>
    <w:rsid w:val="31C585F6"/>
    <w:rsid w:val="31C69B16"/>
    <w:rsid w:val="31E5C09E"/>
    <w:rsid w:val="31EAEAD1"/>
    <w:rsid w:val="32018919"/>
    <w:rsid w:val="320B99DB"/>
    <w:rsid w:val="32186020"/>
    <w:rsid w:val="3229A4D3"/>
    <w:rsid w:val="3233DF4E"/>
    <w:rsid w:val="3256F25F"/>
    <w:rsid w:val="327FCEFA"/>
    <w:rsid w:val="32A5B9D2"/>
    <w:rsid w:val="32B6FDD6"/>
    <w:rsid w:val="32CE2FAE"/>
    <w:rsid w:val="32CF3094"/>
    <w:rsid w:val="32DCDF66"/>
    <w:rsid w:val="32EEFE33"/>
    <w:rsid w:val="32F16F36"/>
    <w:rsid w:val="3300410E"/>
    <w:rsid w:val="3323BA57"/>
    <w:rsid w:val="33304CC0"/>
    <w:rsid w:val="336CFC9C"/>
    <w:rsid w:val="339C8A88"/>
    <w:rsid w:val="33A9BEAE"/>
    <w:rsid w:val="33B4356F"/>
    <w:rsid w:val="33C9FDF9"/>
    <w:rsid w:val="33E6379E"/>
    <w:rsid w:val="342A7910"/>
    <w:rsid w:val="3447CA1B"/>
    <w:rsid w:val="34504D8B"/>
    <w:rsid w:val="345CDA6D"/>
    <w:rsid w:val="34651E22"/>
    <w:rsid w:val="347ABB31"/>
    <w:rsid w:val="348A2ABD"/>
    <w:rsid w:val="3490B25F"/>
    <w:rsid w:val="34A0A72A"/>
    <w:rsid w:val="34A4A47F"/>
    <w:rsid w:val="34C668F9"/>
    <w:rsid w:val="34F56642"/>
    <w:rsid w:val="3534DAE7"/>
    <w:rsid w:val="3547207B"/>
    <w:rsid w:val="35634D3F"/>
    <w:rsid w:val="3577AE55"/>
    <w:rsid w:val="357ED26F"/>
    <w:rsid w:val="3584068B"/>
    <w:rsid w:val="3590F56C"/>
    <w:rsid w:val="35A5D174"/>
    <w:rsid w:val="35BD262B"/>
    <w:rsid w:val="35C2892A"/>
    <w:rsid w:val="35CE9577"/>
    <w:rsid w:val="35F0AC9E"/>
    <w:rsid w:val="360208A5"/>
    <w:rsid w:val="36318556"/>
    <w:rsid w:val="3639C77B"/>
    <w:rsid w:val="3647719B"/>
    <w:rsid w:val="3648196A"/>
    <w:rsid w:val="36C5077C"/>
    <w:rsid w:val="36CBDFA9"/>
    <w:rsid w:val="36E9694E"/>
    <w:rsid w:val="374043CD"/>
    <w:rsid w:val="37B1F0AD"/>
    <w:rsid w:val="37C11059"/>
    <w:rsid w:val="37CF09B5"/>
    <w:rsid w:val="37D85FAB"/>
    <w:rsid w:val="37EDB73A"/>
    <w:rsid w:val="37F9C92E"/>
    <w:rsid w:val="37FFD961"/>
    <w:rsid w:val="382C92F0"/>
    <w:rsid w:val="385A0E8B"/>
    <w:rsid w:val="38E67226"/>
    <w:rsid w:val="38F0F9A6"/>
    <w:rsid w:val="38FC9F56"/>
    <w:rsid w:val="3903D8B0"/>
    <w:rsid w:val="390AD4CE"/>
    <w:rsid w:val="396D3C71"/>
    <w:rsid w:val="39735A86"/>
    <w:rsid w:val="39902748"/>
    <w:rsid w:val="3A0D1187"/>
    <w:rsid w:val="3A2545CE"/>
    <w:rsid w:val="3AA2D258"/>
    <w:rsid w:val="3AE218AF"/>
    <w:rsid w:val="3B14515A"/>
    <w:rsid w:val="3B19120E"/>
    <w:rsid w:val="3B19A434"/>
    <w:rsid w:val="3B19B691"/>
    <w:rsid w:val="3B20CFA8"/>
    <w:rsid w:val="3B2C86B1"/>
    <w:rsid w:val="3B367A57"/>
    <w:rsid w:val="3B6BCFC2"/>
    <w:rsid w:val="3B8A0AE9"/>
    <w:rsid w:val="3B8ABAD7"/>
    <w:rsid w:val="3B8C73B6"/>
    <w:rsid w:val="3C24434E"/>
    <w:rsid w:val="3C3D2491"/>
    <w:rsid w:val="3CAA9689"/>
    <w:rsid w:val="3CAEB5F8"/>
    <w:rsid w:val="3D06CFC2"/>
    <w:rsid w:val="3D07A48E"/>
    <w:rsid w:val="3D303A7A"/>
    <w:rsid w:val="3D4F498A"/>
    <w:rsid w:val="3D569CF9"/>
    <w:rsid w:val="3D65A14D"/>
    <w:rsid w:val="3D713FBF"/>
    <w:rsid w:val="3D7F6F45"/>
    <w:rsid w:val="3DD9323E"/>
    <w:rsid w:val="3DE58C1C"/>
    <w:rsid w:val="3E2BFD25"/>
    <w:rsid w:val="3E30C4F7"/>
    <w:rsid w:val="3E5063B3"/>
    <w:rsid w:val="3E5722A4"/>
    <w:rsid w:val="3EC0B704"/>
    <w:rsid w:val="3ECEBFB5"/>
    <w:rsid w:val="3ED5231C"/>
    <w:rsid w:val="3F17F0A4"/>
    <w:rsid w:val="3F1BB604"/>
    <w:rsid w:val="3F2A1EAD"/>
    <w:rsid w:val="3F593953"/>
    <w:rsid w:val="3F6D992D"/>
    <w:rsid w:val="3F74FE16"/>
    <w:rsid w:val="3F8DAE6C"/>
    <w:rsid w:val="3F978BF8"/>
    <w:rsid w:val="3FCB6270"/>
    <w:rsid w:val="3FDA0DB3"/>
    <w:rsid w:val="3FDDED9C"/>
    <w:rsid w:val="3FDFECC6"/>
    <w:rsid w:val="400306B5"/>
    <w:rsid w:val="402A66F8"/>
    <w:rsid w:val="403F5AB3"/>
    <w:rsid w:val="40477320"/>
    <w:rsid w:val="4051CC43"/>
    <w:rsid w:val="405453AB"/>
    <w:rsid w:val="40C9F15E"/>
    <w:rsid w:val="40DD65E5"/>
    <w:rsid w:val="40FD1692"/>
    <w:rsid w:val="4124F5C5"/>
    <w:rsid w:val="418A5F51"/>
    <w:rsid w:val="4198F0D0"/>
    <w:rsid w:val="41A655F3"/>
    <w:rsid w:val="41C6D99F"/>
    <w:rsid w:val="41F729BD"/>
    <w:rsid w:val="41FC3233"/>
    <w:rsid w:val="4205029A"/>
    <w:rsid w:val="421A18A8"/>
    <w:rsid w:val="422D13A6"/>
    <w:rsid w:val="42638F82"/>
    <w:rsid w:val="42A2F9E6"/>
    <w:rsid w:val="42A9D5F1"/>
    <w:rsid w:val="42C76B85"/>
    <w:rsid w:val="42D69529"/>
    <w:rsid w:val="42E69D71"/>
    <w:rsid w:val="4303396C"/>
    <w:rsid w:val="430D4A2B"/>
    <w:rsid w:val="4313184C"/>
    <w:rsid w:val="4326E742"/>
    <w:rsid w:val="43422B2F"/>
    <w:rsid w:val="43471E63"/>
    <w:rsid w:val="437B2C1C"/>
    <w:rsid w:val="4388F97D"/>
    <w:rsid w:val="43C10C16"/>
    <w:rsid w:val="43C6FE8E"/>
    <w:rsid w:val="43EB0AAD"/>
    <w:rsid w:val="444AA71E"/>
    <w:rsid w:val="4456634B"/>
    <w:rsid w:val="445AC8DC"/>
    <w:rsid w:val="445C98F1"/>
    <w:rsid w:val="445E59DA"/>
    <w:rsid w:val="4487CA28"/>
    <w:rsid w:val="44977122"/>
    <w:rsid w:val="4498514C"/>
    <w:rsid w:val="44B0341B"/>
    <w:rsid w:val="44E802AD"/>
    <w:rsid w:val="45219DDC"/>
    <w:rsid w:val="452A2AB3"/>
    <w:rsid w:val="457ED1A1"/>
    <w:rsid w:val="4588AFD0"/>
    <w:rsid w:val="45A57549"/>
    <w:rsid w:val="45A81A79"/>
    <w:rsid w:val="45F29092"/>
    <w:rsid w:val="4623B2D3"/>
    <w:rsid w:val="46590962"/>
    <w:rsid w:val="46750785"/>
    <w:rsid w:val="4686DF68"/>
    <w:rsid w:val="46B9074A"/>
    <w:rsid w:val="46C4DFFE"/>
    <w:rsid w:val="46EB033C"/>
    <w:rsid w:val="46FCB5A4"/>
    <w:rsid w:val="4753712C"/>
    <w:rsid w:val="475CDA91"/>
    <w:rsid w:val="476FADFB"/>
    <w:rsid w:val="477EDD68"/>
    <w:rsid w:val="4787539D"/>
    <w:rsid w:val="47AD3673"/>
    <w:rsid w:val="47D925A2"/>
    <w:rsid w:val="47EB64D5"/>
    <w:rsid w:val="481E5654"/>
    <w:rsid w:val="482416B3"/>
    <w:rsid w:val="4829B6D8"/>
    <w:rsid w:val="483F78EE"/>
    <w:rsid w:val="484A6D50"/>
    <w:rsid w:val="4859CC68"/>
    <w:rsid w:val="487C7249"/>
    <w:rsid w:val="4883C72D"/>
    <w:rsid w:val="4891F061"/>
    <w:rsid w:val="489F5F3D"/>
    <w:rsid w:val="48C586AC"/>
    <w:rsid w:val="48F986D5"/>
    <w:rsid w:val="492E14D0"/>
    <w:rsid w:val="4961D0CC"/>
    <w:rsid w:val="4996850D"/>
    <w:rsid w:val="49E35074"/>
    <w:rsid w:val="49FDA1EB"/>
    <w:rsid w:val="4A086C49"/>
    <w:rsid w:val="4A312E1F"/>
    <w:rsid w:val="4A635E0D"/>
    <w:rsid w:val="4A6D0FBB"/>
    <w:rsid w:val="4AB10F92"/>
    <w:rsid w:val="4AE0D5F1"/>
    <w:rsid w:val="4AF68F2B"/>
    <w:rsid w:val="4B137333"/>
    <w:rsid w:val="4B493927"/>
    <w:rsid w:val="4B78F90E"/>
    <w:rsid w:val="4B949A3C"/>
    <w:rsid w:val="4C16728C"/>
    <w:rsid w:val="4C178C93"/>
    <w:rsid w:val="4C5014C5"/>
    <w:rsid w:val="4C53703D"/>
    <w:rsid w:val="4C7BA8C5"/>
    <w:rsid w:val="4C936423"/>
    <w:rsid w:val="4CA7CEBA"/>
    <w:rsid w:val="4CA938F0"/>
    <w:rsid w:val="4CC8B00C"/>
    <w:rsid w:val="4CD70BAD"/>
    <w:rsid w:val="4D15B803"/>
    <w:rsid w:val="4D15DA3A"/>
    <w:rsid w:val="4D313EFE"/>
    <w:rsid w:val="4D6244A2"/>
    <w:rsid w:val="4D6AC984"/>
    <w:rsid w:val="4D8B0375"/>
    <w:rsid w:val="4D8D31CC"/>
    <w:rsid w:val="4D961A54"/>
    <w:rsid w:val="4DC18F12"/>
    <w:rsid w:val="4DC6A02F"/>
    <w:rsid w:val="4DD9DF4F"/>
    <w:rsid w:val="4DFC07E4"/>
    <w:rsid w:val="4E0E9121"/>
    <w:rsid w:val="4E32AF7F"/>
    <w:rsid w:val="4E4F8888"/>
    <w:rsid w:val="4E7381C3"/>
    <w:rsid w:val="4EAA6ADD"/>
    <w:rsid w:val="4EBBDF9E"/>
    <w:rsid w:val="4F315001"/>
    <w:rsid w:val="4F34FCCB"/>
    <w:rsid w:val="4F4CEA77"/>
    <w:rsid w:val="4F59DBCF"/>
    <w:rsid w:val="4F5ED624"/>
    <w:rsid w:val="4F68575E"/>
    <w:rsid w:val="4F6DC8F6"/>
    <w:rsid w:val="4FA90C91"/>
    <w:rsid w:val="4FF62084"/>
    <w:rsid w:val="4FF99EEC"/>
    <w:rsid w:val="5068333B"/>
    <w:rsid w:val="5074A1C4"/>
    <w:rsid w:val="507B024D"/>
    <w:rsid w:val="5082477B"/>
    <w:rsid w:val="5094585A"/>
    <w:rsid w:val="509EC522"/>
    <w:rsid w:val="50B08F36"/>
    <w:rsid w:val="514EEC22"/>
    <w:rsid w:val="5165125B"/>
    <w:rsid w:val="51715935"/>
    <w:rsid w:val="51796240"/>
    <w:rsid w:val="51881A51"/>
    <w:rsid w:val="51A391A7"/>
    <w:rsid w:val="51A6546A"/>
    <w:rsid w:val="5217FD12"/>
    <w:rsid w:val="5251EBA2"/>
    <w:rsid w:val="5262380E"/>
    <w:rsid w:val="526A5731"/>
    <w:rsid w:val="52CECEA2"/>
    <w:rsid w:val="52FC4893"/>
    <w:rsid w:val="52FF93EE"/>
    <w:rsid w:val="536318DE"/>
    <w:rsid w:val="53709E06"/>
    <w:rsid w:val="5383B816"/>
    <w:rsid w:val="539443D3"/>
    <w:rsid w:val="53C16751"/>
    <w:rsid w:val="53C937B6"/>
    <w:rsid w:val="53E5744C"/>
    <w:rsid w:val="53FA2556"/>
    <w:rsid w:val="541456FC"/>
    <w:rsid w:val="543B6F2C"/>
    <w:rsid w:val="543D87B0"/>
    <w:rsid w:val="5457D4E8"/>
    <w:rsid w:val="549E5552"/>
    <w:rsid w:val="54C00DAE"/>
    <w:rsid w:val="54D502CB"/>
    <w:rsid w:val="54EF333D"/>
    <w:rsid w:val="550314A8"/>
    <w:rsid w:val="551E4A2C"/>
    <w:rsid w:val="5568A72C"/>
    <w:rsid w:val="558ED3CD"/>
    <w:rsid w:val="558FC091"/>
    <w:rsid w:val="55D4FF1B"/>
    <w:rsid w:val="55FACBDC"/>
    <w:rsid w:val="561BECCF"/>
    <w:rsid w:val="56298768"/>
    <w:rsid w:val="562FB182"/>
    <w:rsid w:val="56554ACA"/>
    <w:rsid w:val="5659574C"/>
    <w:rsid w:val="56679154"/>
    <w:rsid w:val="567A2F2F"/>
    <w:rsid w:val="56CDC023"/>
    <w:rsid w:val="57243C27"/>
    <w:rsid w:val="57608E72"/>
    <w:rsid w:val="5760D5E1"/>
    <w:rsid w:val="577C7C13"/>
    <w:rsid w:val="5787B17B"/>
    <w:rsid w:val="57A474D0"/>
    <w:rsid w:val="57BA4B2C"/>
    <w:rsid w:val="57D7313C"/>
    <w:rsid w:val="5847761B"/>
    <w:rsid w:val="5872478F"/>
    <w:rsid w:val="58B252B7"/>
    <w:rsid w:val="58BBED36"/>
    <w:rsid w:val="58D3627F"/>
    <w:rsid w:val="58ECBBB4"/>
    <w:rsid w:val="591A4DE5"/>
    <w:rsid w:val="5921DAE5"/>
    <w:rsid w:val="593BEFCA"/>
    <w:rsid w:val="593DDD81"/>
    <w:rsid w:val="59A72A55"/>
    <w:rsid w:val="59AE3780"/>
    <w:rsid w:val="59C12FFC"/>
    <w:rsid w:val="59C7B32C"/>
    <w:rsid w:val="59DAD040"/>
    <w:rsid w:val="59FABA56"/>
    <w:rsid w:val="5A065ACB"/>
    <w:rsid w:val="5A3C2013"/>
    <w:rsid w:val="5A5271DE"/>
    <w:rsid w:val="5A68CED3"/>
    <w:rsid w:val="5A8ED0F4"/>
    <w:rsid w:val="5A9FC2DF"/>
    <w:rsid w:val="5AC226B2"/>
    <w:rsid w:val="5AE3EADD"/>
    <w:rsid w:val="5AF7CABF"/>
    <w:rsid w:val="5AF9A5A5"/>
    <w:rsid w:val="5B1540DC"/>
    <w:rsid w:val="5B503204"/>
    <w:rsid w:val="5B50C7B7"/>
    <w:rsid w:val="5B76A5BD"/>
    <w:rsid w:val="5B776087"/>
    <w:rsid w:val="5B8F2F52"/>
    <w:rsid w:val="5BB797B3"/>
    <w:rsid w:val="5BBA107E"/>
    <w:rsid w:val="5BC51CEE"/>
    <w:rsid w:val="5C224FED"/>
    <w:rsid w:val="5C4F949A"/>
    <w:rsid w:val="5C531B83"/>
    <w:rsid w:val="5C53E705"/>
    <w:rsid w:val="5C68AEDF"/>
    <w:rsid w:val="5C6CBD58"/>
    <w:rsid w:val="5C738EDE"/>
    <w:rsid w:val="5CDEC593"/>
    <w:rsid w:val="5CE84AE4"/>
    <w:rsid w:val="5CE8F2E9"/>
    <w:rsid w:val="5D1532C6"/>
    <w:rsid w:val="5D3173A8"/>
    <w:rsid w:val="5D50698B"/>
    <w:rsid w:val="5D510302"/>
    <w:rsid w:val="5D55B13D"/>
    <w:rsid w:val="5D61F878"/>
    <w:rsid w:val="5D693F0B"/>
    <w:rsid w:val="5D8A3226"/>
    <w:rsid w:val="5DBA06A0"/>
    <w:rsid w:val="5DC9D6DD"/>
    <w:rsid w:val="5DD895AA"/>
    <w:rsid w:val="5DE838A0"/>
    <w:rsid w:val="5DF75D9C"/>
    <w:rsid w:val="5E1318DE"/>
    <w:rsid w:val="5E1C6A0C"/>
    <w:rsid w:val="5E1D04E6"/>
    <w:rsid w:val="5E49BE13"/>
    <w:rsid w:val="5E72AAD0"/>
    <w:rsid w:val="5EEA97A8"/>
    <w:rsid w:val="5EECE09A"/>
    <w:rsid w:val="5F01A9B6"/>
    <w:rsid w:val="5F056AFB"/>
    <w:rsid w:val="5F1E0490"/>
    <w:rsid w:val="5F28D8C5"/>
    <w:rsid w:val="5F2B5B7A"/>
    <w:rsid w:val="5F2D8E04"/>
    <w:rsid w:val="5F8B3620"/>
    <w:rsid w:val="5FA07EE7"/>
    <w:rsid w:val="5FA4EFC7"/>
    <w:rsid w:val="5FC903F7"/>
    <w:rsid w:val="5FDC0AD9"/>
    <w:rsid w:val="5FDDCEC7"/>
    <w:rsid w:val="5FFD767B"/>
    <w:rsid w:val="6008F1C5"/>
    <w:rsid w:val="601D0FCD"/>
    <w:rsid w:val="60282F70"/>
    <w:rsid w:val="60412ADD"/>
    <w:rsid w:val="606480D2"/>
    <w:rsid w:val="60E5425D"/>
    <w:rsid w:val="60EC03D6"/>
    <w:rsid w:val="611A5AC5"/>
    <w:rsid w:val="616563D1"/>
    <w:rsid w:val="61674D4B"/>
    <w:rsid w:val="61B1C966"/>
    <w:rsid w:val="61B9B38B"/>
    <w:rsid w:val="61D41AE4"/>
    <w:rsid w:val="61D816A3"/>
    <w:rsid w:val="61E2D078"/>
    <w:rsid w:val="620B8F23"/>
    <w:rsid w:val="621F2DBE"/>
    <w:rsid w:val="6248A5D4"/>
    <w:rsid w:val="6258F9B7"/>
    <w:rsid w:val="625B84AA"/>
    <w:rsid w:val="6268FFFB"/>
    <w:rsid w:val="626D5406"/>
    <w:rsid w:val="627BA1C2"/>
    <w:rsid w:val="62A2D7A9"/>
    <w:rsid w:val="62A95408"/>
    <w:rsid w:val="62C063D5"/>
    <w:rsid w:val="62C9D4AA"/>
    <w:rsid w:val="62DC067B"/>
    <w:rsid w:val="630D8D91"/>
    <w:rsid w:val="6328CC5B"/>
    <w:rsid w:val="632F2B2E"/>
    <w:rsid w:val="633FB585"/>
    <w:rsid w:val="638DD85C"/>
    <w:rsid w:val="63C9FFF6"/>
    <w:rsid w:val="63D0180F"/>
    <w:rsid w:val="63D3B717"/>
    <w:rsid w:val="63F249A3"/>
    <w:rsid w:val="63FC7908"/>
    <w:rsid w:val="64223CD3"/>
    <w:rsid w:val="6428683E"/>
    <w:rsid w:val="645D8A82"/>
    <w:rsid w:val="64648FF8"/>
    <w:rsid w:val="647196AA"/>
    <w:rsid w:val="647596EC"/>
    <w:rsid w:val="6481357E"/>
    <w:rsid w:val="6483CE7E"/>
    <w:rsid w:val="6493B626"/>
    <w:rsid w:val="649CA8FA"/>
    <w:rsid w:val="64CD35D6"/>
    <w:rsid w:val="64F4EE24"/>
    <w:rsid w:val="6557FE5A"/>
    <w:rsid w:val="656B97B4"/>
    <w:rsid w:val="657D08DD"/>
    <w:rsid w:val="65BB2185"/>
    <w:rsid w:val="65D9CE61"/>
    <w:rsid w:val="664A7455"/>
    <w:rsid w:val="665BAA8D"/>
    <w:rsid w:val="667408FC"/>
    <w:rsid w:val="66A6EEF1"/>
    <w:rsid w:val="66AC81DA"/>
    <w:rsid w:val="66E1DBDD"/>
    <w:rsid w:val="671C7F66"/>
    <w:rsid w:val="67307E59"/>
    <w:rsid w:val="6759AAE7"/>
    <w:rsid w:val="678348E2"/>
    <w:rsid w:val="67902956"/>
    <w:rsid w:val="67A83716"/>
    <w:rsid w:val="67C2C29E"/>
    <w:rsid w:val="67E11A6E"/>
    <w:rsid w:val="6804B7E8"/>
    <w:rsid w:val="682678DD"/>
    <w:rsid w:val="6829BA59"/>
    <w:rsid w:val="683B34E6"/>
    <w:rsid w:val="68627B59"/>
    <w:rsid w:val="687195C7"/>
    <w:rsid w:val="6889A304"/>
    <w:rsid w:val="6889C2DD"/>
    <w:rsid w:val="68ABFCC4"/>
    <w:rsid w:val="68CF8F02"/>
    <w:rsid w:val="68D43D97"/>
    <w:rsid w:val="68D5BB11"/>
    <w:rsid w:val="68EFD5FC"/>
    <w:rsid w:val="6939BF2C"/>
    <w:rsid w:val="693B1FB4"/>
    <w:rsid w:val="693FD150"/>
    <w:rsid w:val="69738EE0"/>
    <w:rsid w:val="6974A025"/>
    <w:rsid w:val="69A218E0"/>
    <w:rsid w:val="69C2F426"/>
    <w:rsid w:val="69D02870"/>
    <w:rsid w:val="69E091B5"/>
    <w:rsid w:val="69FB0A77"/>
    <w:rsid w:val="6A150F03"/>
    <w:rsid w:val="6A4ADC1B"/>
    <w:rsid w:val="6A6FDC08"/>
    <w:rsid w:val="6B12C5E2"/>
    <w:rsid w:val="6B1A9910"/>
    <w:rsid w:val="6B243827"/>
    <w:rsid w:val="6B2610AB"/>
    <w:rsid w:val="6B2677E7"/>
    <w:rsid w:val="6B9C1D95"/>
    <w:rsid w:val="6BA2D6AA"/>
    <w:rsid w:val="6BBD31C2"/>
    <w:rsid w:val="6BD80DC2"/>
    <w:rsid w:val="6BF3647C"/>
    <w:rsid w:val="6C4EEDD6"/>
    <w:rsid w:val="6C786043"/>
    <w:rsid w:val="6C7E9B05"/>
    <w:rsid w:val="6CA5A1CB"/>
    <w:rsid w:val="6CAAC07F"/>
    <w:rsid w:val="6CCD3DA0"/>
    <w:rsid w:val="6CCD414D"/>
    <w:rsid w:val="6CD021D9"/>
    <w:rsid w:val="6CE969EC"/>
    <w:rsid w:val="6CE970D5"/>
    <w:rsid w:val="6CF785D4"/>
    <w:rsid w:val="6D09DA5D"/>
    <w:rsid w:val="6D71E7CD"/>
    <w:rsid w:val="6D721455"/>
    <w:rsid w:val="6D9B679E"/>
    <w:rsid w:val="6D9CD1C0"/>
    <w:rsid w:val="6DDF3270"/>
    <w:rsid w:val="6DE662B6"/>
    <w:rsid w:val="6E240910"/>
    <w:rsid w:val="6E512E54"/>
    <w:rsid w:val="6E63522A"/>
    <w:rsid w:val="6E6DF9B0"/>
    <w:rsid w:val="6E83A069"/>
    <w:rsid w:val="6F3AE0A6"/>
    <w:rsid w:val="6F45232B"/>
    <w:rsid w:val="6F566A0C"/>
    <w:rsid w:val="6FA07EA3"/>
    <w:rsid w:val="6FA0C0DD"/>
    <w:rsid w:val="6FA37D18"/>
    <w:rsid w:val="6FC1B06C"/>
    <w:rsid w:val="6FDCAA46"/>
    <w:rsid w:val="6FF09158"/>
    <w:rsid w:val="6FF25E0A"/>
    <w:rsid w:val="7003FAFD"/>
    <w:rsid w:val="7004A065"/>
    <w:rsid w:val="7016F3EA"/>
    <w:rsid w:val="7031F0CA"/>
    <w:rsid w:val="703C4705"/>
    <w:rsid w:val="704148C2"/>
    <w:rsid w:val="704847C1"/>
    <w:rsid w:val="705878DF"/>
    <w:rsid w:val="706CAD25"/>
    <w:rsid w:val="70A20056"/>
    <w:rsid w:val="70B9CC1C"/>
    <w:rsid w:val="70BB75AF"/>
    <w:rsid w:val="70D9F18F"/>
    <w:rsid w:val="70E17108"/>
    <w:rsid w:val="70E18183"/>
    <w:rsid w:val="71057CF3"/>
    <w:rsid w:val="710FC3F2"/>
    <w:rsid w:val="7131923A"/>
    <w:rsid w:val="713BD99E"/>
    <w:rsid w:val="717189FD"/>
    <w:rsid w:val="717E53C3"/>
    <w:rsid w:val="719B7411"/>
    <w:rsid w:val="719FC1E5"/>
    <w:rsid w:val="71C75D84"/>
    <w:rsid w:val="71FD2400"/>
    <w:rsid w:val="721ECF39"/>
    <w:rsid w:val="723E047B"/>
    <w:rsid w:val="7240A1EC"/>
    <w:rsid w:val="725C37FE"/>
    <w:rsid w:val="72910AEF"/>
    <w:rsid w:val="7295EEA3"/>
    <w:rsid w:val="72CB2C71"/>
    <w:rsid w:val="72DB822F"/>
    <w:rsid w:val="72EFF387"/>
    <w:rsid w:val="72F3AAB7"/>
    <w:rsid w:val="72FD9879"/>
    <w:rsid w:val="734A966F"/>
    <w:rsid w:val="73900A6E"/>
    <w:rsid w:val="73BEC593"/>
    <w:rsid w:val="73C865E4"/>
    <w:rsid w:val="73EB1811"/>
    <w:rsid w:val="740BB849"/>
    <w:rsid w:val="742D52E9"/>
    <w:rsid w:val="74974967"/>
    <w:rsid w:val="74ABEF25"/>
    <w:rsid w:val="74B34F7B"/>
    <w:rsid w:val="74E243EE"/>
    <w:rsid w:val="75075D2B"/>
    <w:rsid w:val="751D8BCC"/>
    <w:rsid w:val="75692447"/>
    <w:rsid w:val="7580D8E3"/>
    <w:rsid w:val="75921674"/>
    <w:rsid w:val="75C62684"/>
    <w:rsid w:val="75C9C786"/>
    <w:rsid w:val="75D73EC8"/>
    <w:rsid w:val="76054164"/>
    <w:rsid w:val="76117D5F"/>
    <w:rsid w:val="76772A75"/>
    <w:rsid w:val="76C82EB8"/>
    <w:rsid w:val="76F817CB"/>
    <w:rsid w:val="7709615F"/>
    <w:rsid w:val="770C62F6"/>
    <w:rsid w:val="777B502D"/>
    <w:rsid w:val="77B8B39F"/>
    <w:rsid w:val="77C9C8ED"/>
    <w:rsid w:val="77FD3B14"/>
    <w:rsid w:val="7840182A"/>
    <w:rsid w:val="786B852E"/>
    <w:rsid w:val="78744980"/>
    <w:rsid w:val="78A91206"/>
    <w:rsid w:val="7920B6D3"/>
    <w:rsid w:val="794DC089"/>
    <w:rsid w:val="795CB818"/>
    <w:rsid w:val="796ABD27"/>
    <w:rsid w:val="797E463D"/>
    <w:rsid w:val="7988F3BB"/>
    <w:rsid w:val="798C3091"/>
    <w:rsid w:val="79B0841D"/>
    <w:rsid w:val="79BE5A99"/>
    <w:rsid w:val="79CBB09C"/>
    <w:rsid w:val="79D33E2E"/>
    <w:rsid w:val="7A408505"/>
    <w:rsid w:val="7A5D7B63"/>
    <w:rsid w:val="7A67623E"/>
    <w:rsid w:val="7A86C445"/>
    <w:rsid w:val="7AA55A66"/>
    <w:rsid w:val="7B3D75FD"/>
    <w:rsid w:val="7B8452AA"/>
    <w:rsid w:val="7B95F320"/>
    <w:rsid w:val="7BA8C6CA"/>
    <w:rsid w:val="7BD6AB55"/>
    <w:rsid w:val="7C529F72"/>
    <w:rsid w:val="7CE65F3D"/>
    <w:rsid w:val="7CEA9B4C"/>
    <w:rsid w:val="7CF83310"/>
    <w:rsid w:val="7D3060D8"/>
    <w:rsid w:val="7DA565B2"/>
    <w:rsid w:val="7DA8CEBE"/>
    <w:rsid w:val="7DD6AD6F"/>
    <w:rsid w:val="7DF4A706"/>
    <w:rsid w:val="7E30E31C"/>
    <w:rsid w:val="7E4EB112"/>
    <w:rsid w:val="7E5417B2"/>
    <w:rsid w:val="7E637939"/>
    <w:rsid w:val="7EA02BDB"/>
    <w:rsid w:val="7EC8037B"/>
    <w:rsid w:val="7ECA2247"/>
    <w:rsid w:val="7F2E6713"/>
    <w:rsid w:val="7F3D3B38"/>
    <w:rsid w:val="7F56C8FC"/>
    <w:rsid w:val="7F9160D5"/>
    <w:rsid w:val="7FF842E2"/>
    <w:rsid w:val="7FF8A077"/>
    <w:rsid w:val="7FFEB7AA"/>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8114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58CF"/>
  </w:style>
  <w:style w:type="paragraph" w:styleId="Heading1">
    <w:name w:val="heading 1"/>
    <w:basedOn w:val="Normal"/>
    <w:next w:val="Normal"/>
    <w:link w:val="Heading1Char"/>
    <w:uiPriority w:val="9"/>
    <w:qFormat/>
    <w:rsid w:val="00BC750E"/>
    <w:pPr>
      <w:keepNext/>
      <w:numPr>
        <w:numId w:val="7"/>
      </w:numPr>
      <w:spacing w:before="360" w:after="120" w:line="240" w:lineRule="auto"/>
      <w:jc w:val="both"/>
      <w:outlineLvl w:val="0"/>
    </w:pPr>
    <w:rPr>
      <w:rFonts w:ascii="Times New Roman" w:eastAsiaTheme="majorEastAsia" w:hAnsi="Times New Roman" w:cs="Times New Roman"/>
      <w:b/>
      <w:bCs/>
      <w:smallCaps/>
      <w:sz w:val="24"/>
      <w:szCs w:val="28"/>
    </w:rPr>
  </w:style>
  <w:style w:type="paragraph" w:styleId="Heading2">
    <w:name w:val="heading 2"/>
    <w:basedOn w:val="Normal"/>
    <w:next w:val="Normal"/>
    <w:link w:val="Heading2Char"/>
    <w:uiPriority w:val="9"/>
    <w:semiHidden/>
    <w:unhideWhenUsed/>
    <w:qFormat/>
    <w:rsid w:val="00BC750E"/>
    <w:pPr>
      <w:keepNext/>
      <w:numPr>
        <w:ilvl w:val="1"/>
        <w:numId w:val="7"/>
      </w:numPr>
      <w:spacing w:before="120" w:after="120" w:line="240" w:lineRule="auto"/>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rsid w:val="00BC750E"/>
    <w:pPr>
      <w:keepNext/>
      <w:numPr>
        <w:ilvl w:val="2"/>
        <w:numId w:val="7"/>
      </w:numPr>
      <w:spacing w:before="120" w:after="120" w:line="240" w:lineRule="auto"/>
      <w:jc w:val="both"/>
      <w:outlineLvl w:val="2"/>
    </w:pPr>
    <w:rPr>
      <w:rFonts w:ascii="Times New Roman" w:eastAsiaTheme="majorEastAsia" w:hAnsi="Times New Roman" w:cs="Times New Roman"/>
      <w:bCs/>
      <w:i/>
      <w:sz w:val="24"/>
    </w:rPr>
  </w:style>
  <w:style w:type="paragraph" w:styleId="Heading4">
    <w:name w:val="heading 4"/>
    <w:basedOn w:val="Normal"/>
    <w:next w:val="Normal"/>
    <w:link w:val="Heading4Char"/>
    <w:uiPriority w:val="9"/>
    <w:semiHidden/>
    <w:unhideWhenUsed/>
    <w:qFormat/>
    <w:rsid w:val="00BC750E"/>
    <w:pPr>
      <w:keepNext/>
      <w:numPr>
        <w:ilvl w:val="3"/>
        <w:numId w:val="7"/>
      </w:numPr>
      <w:spacing w:before="120" w:after="120" w:line="240" w:lineRule="auto"/>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rsid w:val="00BC750E"/>
    <w:pPr>
      <w:spacing w:after="240" w:line="240" w:lineRule="auto"/>
      <w:jc w:val="center"/>
    </w:pPr>
    <w:rPr>
      <w:rFonts w:ascii="Times New Roman" w:hAnsi="Times New Roman" w:cs="Times New Roman"/>
      <w:b/>
      <w:i/>
      <w:sz w:val="24"/>
    </w:rPr>
  </w:style>
  <w:style w:type="paragraph" w:customStyle="1" w:styleId="AccompagnantPagedecouverture">
    <w:name w:val="Accompagnant (Page de couverture)"/>
    <w:basedOn w:val="Accompagnant"/>
    <w:next w:val="Normal"/>
    <w:rsid w:val="00BC750E"/>
  </w:style>
  <w:style w:type="character" w:customStyle="1" w:styleId="Added">
    <w:name w:val="Added"/>
    <w:basedOn w:val="DefaultParagraphFont"/>
    <w:rsid w:val="00BC750E"/>
    <w:rPr>
      <w:b/>
      <w:u w:val="single"/>
      <w:shd w:val="clear" w:color="auto" w:fill="auto"/>
    </w:rPr>
  </w:style>
  <w:style w:type="paragraph" w:customStyle="1" w:styleId="Address">
    <w:name w:val="Address"/>
    <w:basedOn w:val="Normal"/>
    <w:next w:val="Normal"/>
    <w:rsid w:val="00BC750E"/>
    <w:pPr>
      <w:keepLines/>
      <w:spacing w:before="120" w:after="120" w:line="360" w:lineRule="auto"/>
      <w:ind w:left="3402"/>
    </w:pPr>
    <w:rPr>
      <w:rFonts w:ascii="Times New Roman" w:hAnsi="Times New Roman" w:cs="Times New Roman"/>
      <w:sz w:val="24"/>
    </w:rPr>
  </w:style>
  <w:style w:type="paragraph" w:customStyle="1" w:styleId="Annexetitre">
    <w:name w:val="Annexe tit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nnexetitreexpos">
    <w:name w:val="Annexe titre (exposé)"/>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Normal"/>
    <w:rsid w:val="00BC750E"/>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BC750E"/>
    <w:pPr>
      <w:keepNext/>
      <w:spacing w:before="480" w:after="120" w:line="240" w:lineRule="auto"/>
      <w:jc w:val="both"/>
    </w:pPr>
    <w:rPr>
      <w:rFonts w:ascii="Times New Roman" w:hAnsi="Times New Roman" w:cs="Times New Roman"/>
      <w:sz w:val="24"/>
      <w:u w:val="single"/>
    </w:rPr>
  </w:style>
  <w:style w:type="paragraph" w:styleId="BalloonText">
    <w:name w:val="Balloon Text"/>
    <w:basedOn w:val="Normal"/>
    <w:link w:val="BalloonTextChar"/>
    <w:uiPriority w:val="99"/>
    <w:semiHidden/>
    <w:unhideWhenUsed/>
    <w:rsid w:val="00BC750E"/>
    <w:pPr>
      <w:spacing w:after="0" w:line="240" w:lineRule="auto"/>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50E"/>
    <w:rPr>
      <w:rFonts w:ascii="Tahoma" w:hAnsi="Tahoma" w:cs="Tahoma"/>
      <w:sz w:val="16"/>
      <w:szCs w:val="16"/>
      <w:lang w:val="ro-RO"/>
    </w:rPr>
  </w:style>
  <w:style w:type="paragraph" w:customStyle="1" w:styleId="Bullet0">
    <w:name w:val="Bullet 0"/>
    <w:basedOn w:val="Normal"/>
    <w:rsid w:val="00BC750E"/>
    <w:pPr>
      <w:numPr>
        <w:numId w:val="1"/>
      </w:numPr>
      <w:spacing w:before="120" w:after="120" w:line="240" w:lineRule="auto"/>
      <w:jc w:val="both"/>
    </w:pPr>
    <w:rPr>
      <w:rFonts w:ascii="Times New Roman" w:hAnsi="Times New Roman" w:cs="Times New Roman"/>
      <w:sz w:val="24"/>
    </w:rPr>
  </w:style>
  <w:style w:type="paragraph" w:customStyle="1" w:styleId="Bullet1">
    <w:name w:val="Bullet 1"/>
    <w:basedOn w:val="Normal"/>
    <w:rsid w:val="00BC750E"/>
    <w:pPr>
      <w:numPr>
        <w:numId w:val="2"/>
      </w:numPr>
      <w:spacing w:before="120" w:after="120" w:line="240" w:lineRule="auto"/>
      <w:jc w:val="both"/>
    </w:pPr>
    <w:rPr>
      <w:rFonts w:ascii="Times New Roman" w:hAnsi="Times New Roman" w:cs="Times New Roman"/>
      <w:sz w:val="24"/>
    </w:rPr>
  </w:style>
  <w:style w:type="paragraph" w:customStyle="1" w:styleId="Bullet2">
    <w:name w:val="Bullet 2"/>
    <w:basedOn w:val="Normal"/>
    <w:rsid w:val="00BC750E"/>
    <w:pPr>
      <w:numPr>
        <w:numId w:val="3"/>
      </w:numPr>
      <w:spacing w:before="120" w:after="120" w:line="240" w:lineRule="auto"/>
      <w:jc w:val="both"/>
    </w:pPr>
    <w:rPr>
      <w:rFonts w:ascii="Times New Roman" w:hAnsi="Times New Roman" w:cs="Times New Roman"/>
      <w:sz w:val="24"/>
    </w:rPr>
  </w:style>
  <w:style w:type="paragraph" w:customStyle="1" w:styleId="Bullet3">
    <w:name w:val="Bullet 3"/>
    <w:basedOn w:val="Normal"/>
    <w:rsid w:val="00BC750E"/>
    <w:pPr>
      <w:numPr>
        <w:numId w:val="4"/>
      </w:numPr>
      <w:spacing w:before="120" w:after="120" w:line="240" w:lineRule="auto"/>
      <w:jc w:val="both"/>
    </w:pPr>
    <w:rPr>
      <w:rFonts w:ascii="Times New Roman" w:hAnsi="Times New Roman" w:cs="Times New Roman"/>
      <w:sz w:val="24"/>
    </w:rPr>
  </w:style>
  <w:style w:type="paragraph" w:customStyle="1" w:styleId="Bullet4">
    <w:name w:val="Bullet 4"/>
    <w:basedOn w:val="Normal"/>
    <w:rsid w:val="00BC750E"/>
    <w:pPr>
      <w:numPr>
        <w:numId w:val="5"/>
      </w:numPr>
      <w:spacing w:before="120" w:after="120" w:line="240" w:lineRule="auto"/>
      <w:jc w:val="both"/>
    </w:pPr>
    <w:rPr>
      <w:rFonts w:ascii="Times New Roman" w:hAnsi="Times New Roman" w:cs="Times New Roman"/>
      <w:sz w:val="24"/>
    </w:rPr>
  </w:style>
  <w:style w:type="paragraph" w:styleId="Caption">
    <w:name w:val="caption"/>
    <w:basedOn w:val="Normal"/>
    <w:next w:val="Normal"/>
    <w:uiPriority w:val="35"/>
    <w:semiHidden/>
    <w:unhideWhenUsed/>
    <w:qFormat/>
    <w:rsid w:val="00BC750E"/>
    <w:pPr>
      <w:spacing w:after="200" w:line="240" w:lineRule="auto"/>
      <w:jc w:val="both"/>
    </w:pPr>
    <w:rPr>
      <w:rFonts w:ascii="Times New Roman" w:hAnsi="Times New Roman" w:cs="Times New Roman"/>
      <w:i/>
      <w:iCs/>
      <w:color w:val="44546A" w:themeColor="text2"/>
      <w:sz w:val="18"/>
      <w:szCs w:val="18"/>
    </w:rPr>
  </w:style>
  <w:style w:type="paragraph" w:customStyle="1" w:styleId="ChapterTitle">
    <w:name w:val="ChapterTitle"/>
    <w:basedOn w:val="Normal"/>
    <w:next w:val="Normal"/>
    <w:rsid w:val="00BC750E"/>
    <w:pPr>
      <w:keepNext/>
      <w:spacing w:before="120" w:after="360" w:line="240" w:lineRule="auto"/>
      <w:jc w:val="center"/>
    </w:pPr>
    <w:rPr>
      <w:rFonts w:ascii="Times New Roman" w:hAnsi="Times New Roman" w:cs="Times New Roman"/>
      <w:b/>
      <w:sz w:val="32"/>
    </w:rPr>
  </w:style>
  <w:style w:type="character" w:styleId="CommentReference">
    <w:name w:val="annotation reference"/>
    <w:basedOn w:val="DefaultParagraphFont"/>
    <w:uiPriority w:val="99"/>
    <w:semiHidden/>
    <w:unhideWhenUsed/>
    <w:rsid w:val="00BC750E"/>
    <w:rPr>
      <w:sz w:val="16"/>
      <w:szCs w:val="16"/>
    </w:rPr>
  </w:style>
  <w:style w:type="paragraph" w:styleId="CommentText">
    <w:name w:val="annotation text"/>
    <w:basedOn w:val="Normal"/>
    <w:link w:val="CommentTextChar"/>
    <w:uiPriority w:val="99"/>
    <w:unhideWhenUsed/>
    <w:rsid w:val="00BC750E"/>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BC750E"/>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BC750E"/>
    <w:rPr>
      <w:b/>
      <w:bCs/>
    </w:rPr>
  </w:style>
  <w:style w:type="character" w:customStyle="1" w:styleId="CommentSubjectChar">
    <w:name w:val="Comment Subject Char"/>
    <w:basedOn w:val="CommentTextChar"/>
    <w:link w:val="CommentSubject"/>
    <w:uiPriority w:val="99"/>
    <w:semiHidden/>
    <w:rsid w:val="00BC750E"/>
    <w:rPr>
      <w:rFonts w:ascii="Times New Roman" w:hAnsi="Times New Roman" w:cs="Times New Roman"/>
      <w:b/>
      <w:bCs/>
      <w:sz w:val="20"/>
      <w:szCs w:val="20"/>
      <w:lang w:val="ro-RO"/>
    </w:rPr>
  </w:style>
  <w:style w:type="paragraph" w:customStyle="1" w:styleId="Confidence">
    <w:name w:val="Confidence"/>
    <w:basedOn w:val="Normal"/>
    <w:next w:val="Normal"/>
    <w:rsid w:val="00BC750E"/>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Normal"/>
    <w:rsid w:val="00BC750E"/>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rsid w:val="00BC750E"/>
    <w:pPr>
      <w:numPr>
        <w:numId w:val="6"/>
      </w:numPr>
      <w:spacing w:before="120" w:after="120" w:line="240" w:lineRule="auto"/>
      <w:jc w:val="both"/>
    </w:pPr>
    <w:rPr>
      <w:rFonts w:ascii="Times New Roman" w:hAnsi="Times New Roman" w:cs="Times New Roman"/>
      <w:sz w:val="24"/>
    </w:rPr>
  </w:style>
  <w:style w:type="paragraph" w:customStyle="1" w:styleId="Corrigendum">
    <w:name w:val="Corrigendum"/>
    <w:basedOn w:val="Normal"/>
    <w:next w:val="Normal"/>
    <w:rsid w:val="00BC750E"/>
    <w:pPr>
      <w:spacing w:after="240" w:line="240" w:lineRule="auto"/>
    </w:pPr>
    <w:rPr>
      <w:rFonts w:ascii="Times New Roman" w:hAnsi="Times New Roman" w:cs="Times New Roman"/>
      <w:sz w:val="24"/>
    </w:rPr>
  </w:style>
  <w:style w:type="paragraph" w:customStyle="1" w:styleId="Datedadoption">
    <w:name w:val="Date d'adoption"/>
    <w:basedOn w:val="Normal"/>
    <w:next w:val="Normal"/>
    <w:rsid w:val="00BC750E"/>
    <w:pPr>
      <w:spacing w:before="360" w:after="0" w:line="240" w:lineRule="auto"/>
      <w:jc w:val="center"/>
    </w:pPr>
    <w:rPr>
      <w:rFonts w:ascii="Times New Roman" w:hAnsi="Times New Roman" w:cs="Times New Roman"/>
      <w:b/>
      <w:sz w:val="24"/>
    </w:rPr>
  </w:style>
  <w:style w:type="paragraph" w:customStyle="1" w:styleId="DatedadoptionPagedecouverture">
    <w:name w:val="Date d'adoption (Page de couverture)"/>
    <w:basedOn w:val="Datedadoption"/>
    <w:next w:val="Normal"/>
    <w:rsid w:val="00BC750E"/>
  </w:style>
  <w:style w:type="paragraph" w:customStyle="1" w:styleId="DateMarking">
    <w:name w:val="DateMarking"/>
    <w:basedOn w:val="Normal"/>
    <w:rsid w:val="00BC750E"/>
    <w:pPr>
      <w:spacing w:after="0" w:line="276" w:lineRule="auto"/>
      <w:ind w:left="5103"/>
    </w:pPr>
    <w:rPr>
      <w:rFonts w:ascii="Times New Roman" w:hAnsi="Times New Roman" w:cs="Times New Roman"/>
      <w:i/>
      <w:sz w:val="28"/>
    </w:rPr>
  </w:style>
  <w:style w:type="paragraph" w:customStyle="1" w:styleId="Declassification">
    <w:name w:val="Declassification"/>
    <w:basedOn w:val="Normal"/>
    <w:next w:val="Normal"/>
    <w:rsid w:val="00BC750E"/>
    <w:pPr>
      <w:spacing w:after="0" w:line="240" w:lineRule="auto"/>
      <w:jc w:val="both"/>
    </w:pPr>
    <w:rPr>
      <w:rFonts w:ascii="Times New Roman" w:hAnsi="Times New Roman" w:cs="Times New Roman"/>
      <w:sz w:val="24"/>
    </w:rPr>
  </w:style>
  <w:style w:type="paragraph" w:customStyle="1" w:styleId="Default">
    <w:name w:val="Default"/>
    <w:rsid w:val="00BC750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leted">
    <w:name w:val="Deleted"/>
    <w:basedOn w:val="DefaultParagraphFont"/>
    <w:rsid w:val="00BC750E"/>
    <w:rPr>
      <w:strike/>
      <w:dstrike w:val="0"/>
      <w:shd w:val="clear" w:color="auto" w:fill="auto"/>
    </w:rPr>
  </w:style>
  <w:style w:type="paragraph" w:customStyle="1" w:styleId="Disclaimer">
    <w:name w:val="Disclaimer"/>
    <w:basedOn w:val="Normal"/>
    <w:rsid w:val="00BC750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Emission">
    <w:name w:val="Emission"/>
    <w:basedOn w:val="Normal"/>
    <w:next w:val="Normal"/>
    <w:rsid w:val="00BC750E"/>
    <w:pPr>
      <w:spacing w:after="0" w:line="240" w:lineRule="auto"/>
      <w:ind w:left="5103"/>
    </w:pPr>
    <w:rPr>
      <w:rFonts w:ascii="Times New Roman" w:hAnsi="Times New Roman" w:cs="Times New Roman"/>
      <w:sz w:val="24"/>
    </w:rPr>
  </w:style>
  <w:style w:type="character" w:styleId="Emphasis">
    <w:name w:val="Emphasis"/>
    <w:basedOn w:val="DefaultParagraphFont"/>
    <w:uiPriority w:val="20"/>
    <w:qFormat/>
    <w:rsid w:val="00BC750E"/>
    <w:rPr>
      <w:i/>
      <w:iCs/>
    </w:rPr>
  </w:style>
  <w:style w:type="paragraph" w:customStyle="1" w:styleId="Exposdesmotifstitre">
    <w:name w:val="Exposé des motifs tit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Normal"/>
    <w:rsid w:val="00BC750E"/>
    <w:pPr>
      <w:keepNext/>
      <w:spacing w:before="120" w:after="0" w:line="240" w:lineRule="auto"/>
      <w:jc w:val="both"/>
    </w:pPr>
    <w:rPr>
      <w:rFonts w:ascii="Times New Roman" w:hAnsi="Times New Roman" w:cs="Times New Roman"/>
      <w:sz w:val="24"/>
    </w:rPr>
  </w:style>
  <w:style w:type="paragraph" w:customStyle="1" w:styleId="Fichefinanciretitre">
    <w:name w:val="Fiche financière titre"/>
    <w:basedOn w:val="Normal"/>
    <w:next w:val="Normal"/>
    <w:rsid w:val="00BC750E"/>
    <w:pPr>
      <w:spacing w:before="120" w:after="120" w:line="240" w:lineRule="auto"/>
      <w:jc w:val="center"/>
    </w:pPr>
    <w:rPr>
      <w:rFonts w:ascii="Times New Roman" w:hAnsi="Times New Roman" w:cs="Times New Roman"/>
      <w:b/>
      <w:sz w:val="24"/>
      <w:u w:val="single"/>
    </w:rPr>
  </w:style>
  <w:style w:type="character" w:styleId="FollowedHyperlink">
    <w:name w:val="FollowedHyperlink"/>
    <w:basedOn w:val="DefaultParagraphFont"/>
    <w:uiPriority w:val="99"/>
    <w:semiHidden/>
    <w:unhideWhenUsed/>
    <w:rsid w:val="00BC750E"/>
    <w:rPr>
      <w:color w:val="954F72" w:themeColor="followedHyperlink"/>
      <w:u w:val="single"/>
    </w:rPr>
  </w:style>
  <w:style w:type="paragraph" w:styleId="Footer">
    <w:name w:val="footer"/>
    <w:basedOn w:val="Normal"/>
    <w:link w:val="FooterChar"/>
    <w:uiPriority w:val="99"/>
    <w:unhideWhenUsed/>
    <w:rsid w:val="00BC750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BC750E"/>
    <w:rPr>
      <w:rFonts w:ascii="Times New Roman" w:hAnsi="Times New Roman" w:cs="Times New Roman"/>
      <w:sz w:val="24"/>
      <w:lang w:val="ro-RO"/>
    </w:rPr>
  </w:style>
  <w:style w:type="paragraph" w:customStyle="1" w:styleId="FooterSensitivity">
    <w:name w:val="Footer Sensitivity"/>
    <w:basedOn w:val="Normal"/>
    <w:rsid w:val="00BC750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FooterLandscape">
    <w:name w:val="FooterLandscape"/>
    <w:basedOn w:val="Normal"/>
    <w:rsid w:val="00BC750E"/>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rsid w:val="00BC750E"/>
    <w:rPr>
      <w:shd w:val="clear" w:color="auto" w:fill="auto"/>
      <w:vertAlign w:val="superscript"/>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o,Footnote Text Char2 Char"/>
    <w:basedOn w:val="Normal"/>
    <w:link w:val="FootnoteTextChar"/>
    <w:uiPriority w:val="99"/>
    <w:unhideWhenUsed/>
    <w:qFormat/>
    <w:rsid w:val="00BC750E"/>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BC750E"/>
    <w:rPr>
      <w:rFonts w:ascii="Times New Roman" w:hAnsi="Times New Roman" w:cs="Times New Roman"/>
      <w:sz w:val="20"/>
      <w:szCs w:val="20"/>
      <w:lang w:val="ro-RO"/>
    </w:rPr>
  </w:style>
  <w:style w:type="paragraph" w:customStyle="1" w:styleId="Formuledadoption">
    <w:name w:val="Formule d'adoption"/>
    <w:basedOn w:val="Normal"/>
    <w:next w:val="Normal"/>
    <w:rsid w:val="00BC750E"/>
    <w:pPr>
      <w:keepNext/>
      <w:spacing w:before="120" w:after="12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BC750E"/>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BC750E"/>
    <w:rPr>
      <w:rFonts w:ascii="Times New Roman" w:hAnsi="Times New Roman" w:cs="Times New Roman"/>
      <w:sz w:val="24"/>
      <w:lang w:val="ro-RO"/>
    </w:rPr>
  </w:style>
  <w:style w:type="paragraph" w:customStyle="1" w:styleId="HeaderSensitivity">
    <w:name w:val="Header Sensitivity"/>
    <w:basedOn w:val="Normal"/>
    <w:rsid w:val="00BC750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BC750E"/>
    <w:pPr>
      <w:spacing w:after="120" w:line="240" w:lineRule="auto"/>
      <w:jc w:val="right"/>
    </w:pPr>
    <w:rPr>
      <w:rFonts w:ascii="Times New Roman" w:hAnsi="Times New Roman" w:cs="Times New Roman"/>
      <w:sz w:val="28"/>
    </w:rPr>
  </w:style>
  <w:style w:type="paragraph" w:customStyle="1" w:styleId="HeaderLandscape">
    <w:name w:val="HeaderLandscape"/>
    <w:basedOn w:val="Normal"/>
    <w:rsid w:val="00BC750E"/>
    <w:pPr>
      <w:tabs>
        <w:tab w:val="center" w:pos="7285"/>
        <w:tab w:val="right" w:pos="14003"/>
      </w:tabs>
      <w:spacing w:after="120" w:line="240" w:lineRule="auto"/>
      <w:jc w:val="both"/>
    </w:pPr>
    <w:rPr>
      <w:rFonts w:ascii="Times New Roman" w:hAnsi="Times New Roman" w:cs="Times New Roman"/>
      <w:sz w:val="24"/>
    </w:rPr>
  </w:style>
  <w:style w:type="character" w:customStyle="1" w:styleId="Heading1Char">
    <w:name w:val="Heading 1 Char"/>
    <w:basedOn w:val="DefaultParagraphFont"/>
    <w:link w:val="Heading1"/>
    <w:uiPriority w:val="9"/>
    <w:rsid w:val="00BC750E"/>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sid w:val="00BC750E"/>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sid w:val="00BC750E"/>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sid w:val="00BC750E"/>
    <w:rPr>
      <w:rFonts w:ascii="Times New Roman" w:eastAsiaTheme="majorEastAsia" w:hAnsi="Times New Roman" w:cs="Times New Roman"/>
      <w:bCs/>
      <w:iCs/>
      <w:sz w:val="24"/>
      <w:lang w:val="ro-RO"/>
    </w:rPr>
  </w:style>
  <w:style w:type="character" w:styleId="Hyperlink">
    <w:name w:val="Hyperlink"/>
    <w:basedOn w:val="DefaultParagraphFont"/>
    <w:uiPriority w:val="99"/>
    <w:unhideWhenUsed/>
    <w:rsid w:val="00BC750E"/>
    <w:rPr>
      <w:color w:val="0563C1" w:themeColor="hyperlink"/>
      <w:u w:val="single"/>
    </w:rPr>
  </w:style>
  <w:style w:type="paragraph" w:customStyle="1" w:styleId="Institutionquiagit">
    <w:name w:val="Institution qui agit"/>
    <w:basedOn w:val="Normal"/>
    <w:next w:val="Normal"/>
    <w:rsid w:val="00BC750E"/>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Normal"/>
    <w:rsid w:val="00BC750E"/>
    <w:pPr>
      <w:keepNext/>
      <w:tabs>
        <w:tab w:val="left" w:pos="4252"/>
      </w:tabs>
      <w:spacing w:before="720" w:after="0" w:line="240" w:lineRule="auto"/>
      <w:jc w:val="both"/>
    </w:pPr>
    <w:rPr>
      <w:rFonts w:ascii="Times New Roman" w:hAnsi="Times New Roman" w:cs="Times New Roman"/>
      <w:i/>
      <w:sz w:val="24"/>
    </w:rPr>
  </w:style>
  <w:style w:type="paragraph" w:customStyle="1" w:styleId="Languesfaisantfoi">
    <w:name w:val="Langues faisant foi"/>
    <w:basedOn w:val="Normal"/>
    <w:next w:val="Normal"/>
    <w:rsid w:val="00BC750E"/>
    <w:pPr>
      <w:spacing w:before="360" w:after="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BC750E"/>
    <w:pPr>
      <w:spacing w:after="240"/>
    </w:pPr>
  </w:style>
  <w:style w:type="paragraph" w:customStyle="1" w:styleId="IntrtEEEPagedecouverture">
    <w:name w:val="Intérêt EEE (Page de couverture)"/>
    <w:basedOn w:val="IntrtEEE"/>
    <w:next w:val="Normal"/>
    <w:rsid w:val="00BC750E"/>
  </w:style>
  <w:style w:type="paragraph" w:customStyle="1" w:styleId="Langue">
    <w:name w:val="Langue"/>
    <w:basedOn w:val="Normal"/>
    <w:next w:val="Normal"/>
    <w:rsid w:val="00BC750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LanguesfaisantfoiPagedecouverture">
    <w:name w:val="Langues faisant foi (Page de couverture)"/>
    <w:basedOn w:val="Normal"/>
    <w:next w:val="Normal"/>
    <w:rsid w:val="00BC750E"/>
    <w:pPr>
      <w:spacing w:before="360" w:after="0" w:line="240" w:lineRule="auto"/>
      <w:jc w:val="center"/>
    </w:pPr>
    <w:rPr>
      <w:rFonts w:ascii="Times New Roman" w:hAnsi="Times New Roman" w:cs="Times New Roman"/>
      <w:sz w:val="24"/>
    </w:rPr>
  </w:style>
  <w:style w:type="paragraph" w:styleId="ListBullet">
    <w:name w:val="List Bullet"/>
    <w:basedOn w:val="Normal"/>
    <w:uiPriority w:val="99"/>
    <w:semiHidden/>
    <w:unhideWhenUsed/>
    <w:rsid w:val="00BC750E"/>
    <w:pPr>
      <w:numPr>
        <w:numId w:val="8"/>
      </w:numPr>
      <w:spacing w:before="120" w:after="120" w:line="240" w:lineRule="auto"/>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BC750E"/>
    <w:pPr>
      <w:numPr>
        <w:numId w:val="9"/>
      </w:numPr>
      <w:spacing w:before="120" w:after="120" w:line="240" w:lineRule="auto"/>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BC750E"/>
    <w:pPr>
      <w:numPr>
        <w:numId w:val="10"/>
      </w:numPr>
      <w:spacing w:before="120" w:after="120" w:line="240" w:lineRule="auto"/>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BC750E"/>
    <w:pPr>
      <w:numPr>
        <w:numId w:val="11"/>
      </w:numPr>
      <w:spacing w:before="120" w:after="120" w:line="240" w:lineRule="auto"/>
      <w:contextualSpacing/>
      <w:jc w:val="both"/>
    </w:pPr>
    <w:rPr>
      <w:rFonts w:ascii="Times New Roman" w:hAnsi="Times New Roman" w:cs="Times New Roman"/>
      <w:sz w:val="24"/>
    </w:rPr>
  </w:style>
  <w:style w:type="paragraph" w:styleId="ListNumber">
    <w:name w:val="List Number"/>
    <w:basedOn w:val="Normal"/>
    <w:uiPriority w:val="99"/>
    <w:semiHidden/>
    <w:unhideWhenUsed/>
    <w:rsid w:val="00BC750E"/>
    <w:pPr>
      <w:numPr>
        <w:numId w:val="12"/>
      </w:numPr>
      <w:spacing w:before="120" w:after="120" w:line="240" w:lineRule="auto"/>
      <w:contextualSpacing/>
      <w:jc w:val="both"/>
    </w:pPr>
    <w:rPr>
      <w:rFonts w:ascii="Times New Roman" w:hAnsi="Times New Roman" w:cs="Times New Roman"/>
      <w:sz w:val="24"/>
    </w:rPr>
  </w:style>
  <w:style w:type="paragraph" w:styleId="ListNumber2">
    <w:name w:val="List Number 2"/>
    <w:basedOn w:val="Normal"/>
    <w:uiPriority w:val="99"/>
    <w:semiHidden/>
    <w:unhideWhenUsed/>
    <w:rsid w:val="00BC750E"/>
    <w:pPr>
      <w:numPr>
        <w:numId w:val="13"/>
      </w:numPr>
      <w:spacing w:before="120" w:after="120" w:line="240" w:lineRule="auto"/>
      <w:contextualSpacing/>
      <w:jc w:val="both"/>
    </w:pPr>
    <w:rPr>
      <w:rFonts w:ascii="Times New Roman" w:hAnsi="Times New Roman" w:cs="Times New Roman"/>
      <w:sz w:val="24"/>
    </w:rPr>
  </w:style>
  <w:style w:type="paragraph" w:styleId="ListNumber3">
    <w:name w:val="List Number 3"/>
    <w:basedOn w:val="Normal"/>
    <w:uiPriority w:val="99"/>
    <w:semiHidden/>
    <w:unhideWhenUsed/>
    <w:rsid w:val="00BC750E"/>
    <w:pPr>
      <w:numPr>
        <w:numId w:val="14"/>
      </w:numPr>
      <w:spacing w:before="120" w:after="120" w:line="240" w:lineRule="auto"/>
      <w:contextualSpacing/>
      <w:jc w:val="both"/>
    </w:pPr>
    <w:rPr>
      <w:rFonts w:ascii="Times New Roman" w:hAnsi="Times New Roman" w:cs="Times New Roman"/>
      <w:sz w:val="24"/>
    </w:rPr>
  </w:style>
  <w:style w:type="paragraph" w:styleId="ListNumber4">
    <w:name w:val="List Number 4"/>
    <w:basedOn w:val="Normal"/>
    <w:uiPriority w:val="99"/>
    <w:semiHidden/>
    <w:unhideWhenUsed/>
    <w:rsid w:val="00BC750E"/>
    <w:pPr>
      <w:numPr>
        <w:numId w:val="15"/>
      </w:numPr>
      <w:spacing w:before="120" w:after="120" w:line="240" w:lineRule="auto"/>
      <w:contextualSpacing/>
      <w:jc w:val="both"/>
    </w:pPr>
    <w:rPr>
      <w:rFonts w:ascii="Times New Roman" w:hAnsi="Times New Roman" w:cs="Times New Roman"/>
      <w:sz w:val="24"/>
    </w:rPr>
  </w:style>
  <w:style w:type="paragraph" w:styleId="ListParagraph">
    <w:name w:val="List Paragraph"/>
    <w:aliases w:val="Fiche List Paragraph,OBC Bullet,Dot pt,F5 List Paragraph,List Paragraph1,No Spacing1,List Paragraph Char Char Char,Indicator Text,Colorful List - Accent 11,Numbered Para 1,Bullet Points,MAIN CONTENT,List Paragraph11,2,Bullet St,L"/>
    <w:basedOn w:val="Normal"/>
    <w:link w:val="ListParagraphChar"/>
    <w:uiPriority w:val="34"/>
    <w:qFormat/>
    <w:rsid w:val="00BC750E"/>
    <w:pPr>
      <w:spacing w:after="0" w:line="240" w:lineRule="auto"/>
      <w:ind w:left="720"/>
    </w:pPr>
    <w:rPr>
      <w:rFonts w:ascii="Calibri" w:hAnsi="Calibri" w:cs="Times New Roman"/>
    </w:rPr>
  </w:style>
  <w:style w:type="paragraph" w:customStyle="1" w:styleId="ManualConsidrant">
    <w:name w:val="Manual Considérant"/>
    <w:basedOn w:val="Normal"/>
    <w:rsid w:val="00BC750E"/>
    <w:pPr>
      <w:spacing w:before="120" w:after="120" w:line="240" w:lineRule="auto"/>
      <w:ind w:left="709" w:hanging="709"/>
      <w:jc w:val="both"/>
    </w:pPr>
    <w:rPr>
      <w:rFonts w:ascii="Times New Roman" w:hAnsi="Times New Roman" w:cs="Times New Roman"/>
      <w:sz w:val="24"/>
    </w:rPr>
  </w:style>
  <w:style w:type="paragraph" w:customStyle="1" w:styleId="ManualHeading1">
    <w:name w:val="Manual Heading 1"/>
    <w:basedOn w:val="Normal"/>
    <w:next w:val="Normal"/>
    <w:rsid w:val="00BC750E"/>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Normal"/>
    <w:rsid w:val="00BC750E"/>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Normal"/>
    <w:rsid w:val="00BC750E"/>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Normal"/>
    <w:rsid w:val="00BC750E"/>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ManualNumPar1">
    <w:name w:val="Manual NumPar 1"/>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Normal"/>
    <w:rsid w:val="00BC750E"/>
    <w:pPr>
      <w:spacing w:before="120" w:after="120" w:line="240" w:lineRule="auto"/>
      <w:ind w:left="850" w:hanging="850"/>
      <w:jc w:val="both"/>
    </w:pPr>
    <w:rPr>
      <w:rFonts w:ascii="Times New Roman" w:hAnsi="Times New Roman" w:cs="Times New Roman"/>
      <w:sz w:val="24"/>
    </w:rPr>
  </w:style>
  <w:style w:type="character" w:customStyle="1" w:styleId="Marker">
    <w:name w:val="Marker"/>
    <w:basedOn w:val="DefaultParagraphFont"/>
    <w:rsid w:val="00BC750E"/>
    <w:rPr>
      <w:color w:val="0000FF"/>
      <w:shd w:val="clear" w:color="auto" w:fill="auto"/>
    </w:rPr>
  </w:style>
  <w:style w:type="character" w:customStyle="1" w:styleId="Marker1">
    <w:name w:val="Marker1"/>
    <w:basedOn w:val="DefaultParagraphFont"/>
    <w:rsid w:val="00BC750E"/>
    <w:rPr>
      <w:color w:val="008000"/>
      <w:shd w:val="clear" w:color="auto" w:fill="auto"/>
    </w:rPr>
  </w:style>
  <w:style w:type="character" w:customStyle="1" w:styleId="Marker2">
    <w:name w:val="Marker2"/>
    <w:basedOn w:val="DefaultParagraphFont"/>
    <w:rsid w:val="00BC750E"/>
    <w:rPr>
      <w:color w:val="FF0000"/>
      <w:shd w:val="clear" w:color="auto" w:fill="auto"/>
    </w:rPr>
  </w:style>
  <w:style w:type="paragraph" w:customStyle="1" w:styleId="Nomdelinstitution">
    <w:name w:val="Nom de l'institution"/>
    <w:basedOn w:val="Normal"/>
    <w:next w:val="Emission"/>
    <w:rsid w:val="00BC750E"/>
    <w:pPr>
      <w:spacing w:after="0" w:line="240" w:lineRule="auto"/>
    </w:pPr>
    <w:rPr>
      <w:rFonts w:ascii="Arial" w:hAnsi="Arial" w:cs="Arial"/>
      <w:sz w:val="24"/>
    </w:rPr>
  </w:style>
  <w:style w:type="paragraph" w:styleId="NormalWeb">
    <w:name w:val="Normal (Web)"/>
    <w:basedOn w:val="Normal"/>
    <w:uiPriority w:val="99"/>
    <w:semiHidden/>
    <w:unhideWhenUsed/>
    <w:rsid w:val="00BC75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Centered">
    <w:name w:val="Normal Centered"/>
    <w:basedOn w:val="Normal"/>
    <w:rsid w:val="00BC750E"/>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BC750E"/>
    <w:pPr>
      <w:spacing w:before="120" w:after="120" w:line="240" w:lineRule="auto"/>
    </w:pPr>
    <w:rPr>
      <w:rFonts w:ascii="Times New Roman" w:hAnsi="Times New Roman" w:cs="Times New Roman"/>
      <w:sz w:val="24"/>
    </w:rPr>
  </w:style>
  <w:style w:type="paragraph" w:customStyle="1" w:styleId="NormalRight">
    <w:name w:val="Normal Right"/>
    <w:basedOn w:val="Normal"/>
    <w:rsid w:val="00BC750E"/>
    <w:pPr>
      <w:spacing w:before="120" w:after="120" w:line="240" w:lineRule="auto"/>
      <w:jc w:val="right"/>
    </w:pPr>
    <w:rPr>
      <w:rFonts w:ascii="Times New Roman" w:hAnsi="Times New Roman" w:cs="Times New Roman"/>
      <w:sz w:val="24"/>
    </w:rPr>
  </w:style>
  <w:style w:type="paragraph" w:customStyle="1" w:styleId="NumPar1">
    <w:name w:val="NumPar 1"/>
    <w:basedOn w:val="Normal"/>
    <w:next w:val="Normal"/>
    <w:rsid w:val="00BC750E"/>
    <w:pPr>
      <w:numPr>
        <w:numId w:val="16"/>
      </w:numPr>
      <w:spacing w:before="120" w:after="120" w:line="240" w:lineRule="auto"/>
      <w:jc w:val="both"/>
    </w:pPr>
    <w:rPr>
      <w:rFonts w:ascii="Times New Roman" w:hAnsi="Times New Roman" w:cs="Times New Roman"/>
      <w:sz w:val="24"/>
    </w:rPr>
  </w:style>
  <w:style w:type="paragraph" w:customStyle="1" w:styleId="NumPar2">
    <w:name w:val="NumPar 2"/>
    <w:basedOn w:val="Normal"/>
    <w:next w:val="Normal"/>
    <w:rsid w:val="00BC750E"/>
    <w:pPr>
      <w:numPr>
        <w:ilvl w:val="1"/>
        <w:numId w:val="16"/>
      </w:numPr>
      <w:spacing w:before="120" w:after="120" w:line="240" w:lineRule="auto"/>
      <w:jc w:val="both"/>
    </w:pPr>
    <w:rPr>
      <w:rFonts w:ascii="Times New Roman" w:hAnsi="Times New Roman" w:cs="Times New Roman"/>
      <w:sz w:val="24"/>
    </w:rPr>
  </w:style>
  <w:style w:type="paragraph" w:customStyle="1" w:styleId="NumPar3">
    <w:name w:val="NumPar 3"/>
    <w:basedOn w:val="Normal"/>
    <w:next w:val="Normal"/>
    <w:rsid w:val="00BC750E"/>
    <w:pPr>
      <w:numPr>
        <w:ilvl w:val="2"/>
        <w:numId w:val="16"/>
      </w:numPr>
      <w:spacing w:before="120" w:after="120" w:line="240" w:lineRule="auto"/>
      <w:jc w:val="both"/>
    </w:pPr>
    <w:rPr>
      <w:rFonts w:ascii="Times New Roman" w:hAnsi="Times New Roman" w:cs="Times New Roman"/>
      <w:sz w:val="24"/>
    </w:rPr>
  </w:style>
  <w:style w:type="paragraph" w:customStyle="1" w:styleId="NumPar4">
    <w:name w:val="NumPar 4"/>
    <w:basedOn w:val="Normal"/>
    <w:next w:val="Normal"/>
    <w:rsid w:val="00BC750E"/>
    <w:pPr>
      <w:numPr>
        <w:ilvl w:val="3"/>
        <w:numId w:val="16"/>
      </w:numPr>
      <w:spacing w:before="120" w:after="120" w:line="240" w:lineRule="auto"/>
      <w:jc w:val="both"/>
    </w:pPr>
    <w:rPr>
      <w:rFonts w:ascii="Times New Roman" w:hAnsi="Times New Roman" w:cs="Times New Roman"/>
      <w:sz w:val="24"/>
    </w:rPr>
  </w:style>
  <w:style w:type="paragraph" w:customStyle="1" w:styleId="Objetacteprincipal">
    <w:name w:val="Objet acte principal"/>
    <w:basedOn w:val="Normal"/>
    <w:next w:val="Normal"/>
    <w:rsid w:val="00BC750E"/>
    <w:pPr>
      <w:spacing w:after="360" w:line="240" w:lineRule="auto"/>
      <w:jc w:val="center"/>
    </w:pPr>
    <w:rPr>
      <w:rFonts w:ascii="Times New Roman" w:hAnsi="Times New Roman" w:cs="Times New Roman"/>
      <w:b/>
      <w:sz w:val="24"/>
    </w:rPr>
  </w:style>
  <w:style w:type="paragraph" w:customStyle="1" w:styleId="ObjetacteprincipalPagedecouverture">
    <w:name w:val="Objet acte principal (Page de couverture)"/>
    <w:basedOn w:val="Objetacteprincipal"/>
    <w:next w:val="Normal"/>
    <w:rsid w:val="00BC750E"/>
  </w:style>
  <w:style w:type="paragraph" w:customStyle="1" w:styleId="Objetexterne">
    <w:name w:val="Objet externe"/>
    <w:basedOn w:val="Normal"/>
    <w:next w:val="Normal"/>
    <w:rsid w:val="00BC750E"/>
    <w:pPr>
      <w:spacing w:before="120" w:after="120" w:line="240" w:lineRule="auto"/>
      <w:jc w:val="both"/>
    </w:pPr>
    <w:rPr>
      <w:rFonts w:ascii="Times New Roman" w:hAnsi="Times New Roman" w:cs="Times New Roman"/>
      <w:i/>
      <w:caps/>
      <w:sz w:val="24"/>
    </w:rPr>
  </w:style>
  <w:style w:type="character" w:customStyle="1" w:styleId="outreachitemdesc">
    <w:name w:val="outreach__item__desc"/>
    <w:basedOn w:val="DefaultParagraphFont"/>
    <w:rsid w:val="00BC750E"/>
  </w:style>
  <w:style w:type="paragraph" w:customStyle="1" w:styleId="Pagedecouverture">
    <w:name w:val="Page de couverture"/>
    <w:basedOn w:val="Normal"/>
    <w:next w:val="Normal"/>
    <w:rsid w:val="00BC750E"/>
    <w:pPr>
      <w:spacing w:after="0" w:line="240" w:lineRule="auto"/>
      <w:jc w:val="both"/>
    </w:pPr>
    <w:rPr>
      <w:rFonts w:ascii="Times New Roman" w:hAnsi="Times New Roman" w:cs="Times New Roman"/>
      <w:sz w:val="24"/>
    </w:rPr>
  </w:style>
  <w:style w:type="paragraph" w:customStyle="1" w:styleId="PartTitle">
    <w:name w:val="PartTitle"/>
    <w:basedOn w:val="Normal"/>
    <w:next w:val="ChapterTitle"/>
    <w:rsid w:val="00BC750E"/>
    <w:pPr>
      <w:keepNext/>
      <w:pageBreakBefore/>
      <w:spacing w:before="120" w:after="360" w:line="240" w:lineRule="auto"/>
      <w:jc w:val="center"/>
    </w:pPr>
    <w:rPr>
      <w:rFonts w:ascii="Times New Roman" w:hAnsi="Times New Roman" w:cs="Times New Roman"/>
      <w:b/>
      <w:sz w:val="36"/>
    </w:rPr>
  </w:style>
  <w:style w:type="paragraph" w:customStyle="1" w:styleId="Personnequisigne">
    <w:name w:val="Personne qui signe"/>
    <w:basedOn w:val="Normal"/>
    <w:next w:val="Institutionquisigne"/>
    <w:rsid w:val="00BC750E"/>
    <w:pPr>
      <w:tabs>
        <w:tab w:val="left" w:pos="4252"/>
      </w:tabs>
      <w:spacing w:after="0" w:line="240" w:lineRule="auto"/>
    </w:pPr>
    <w:rPr>
      <w:rFonts w:ascii="Times New Roman" w:hAnsi="Times New Roman" w:cs="Times New Roman"/>
      <w:i/>
      <w:sz w:val="24"/>
    </w:rPr>
  </w:style>
  <w:style w:type="paragraph" w:customStyle="1" w:styleId="Point0">
    <w:name w:val="Point 0"/>
    <w:basedOn w:val="Normal"/>
    <w:rsid w:val="00BC750E"/>
    <w:pPr>
      <w:spacing w:before="120" w:after="120" w:line="240" w:lineRule="auto"/>
      <w:ind w:left="850" w:hanging="850"/>
      <w:jc w:val="both"/>
    </w:pPr>
    <w:rPr>
      <w:rFonts w:ascii="Times New Roman" w:hAnsi="Times New Roman" w:cs="Times New Roman"/>
      <w:sz w:val="24"/>
    </w:rPr>
  </w:style>
  <w:style w:type="paragraph" w:customStyle="1" w:styleId="Point0letter">
    <w:name w:val="Point 0 (letter)"/>
    <w:basedOn w:val="Normal"/>
    <w:rsid w:val="00BC750E"/>
    <w:pPr>
      <w:numPr>
        <w:ilvl w:val="1"/>
        <w:numId w:val="17"/>
      </w:numPr>
      <w:spacing w:before="120" w:after="120" w:line="240" w:lineRule="auto"/>
      <w:jc w:val="both"/>
    </w:pPr>
    <w:rPr>
      <w:rFonts w:ascii="Times New Roman" w:hAnsi="Times New Roman" w:cs="Times New Roman"/>
      <w:sz w:val="24"/>
    </w:rPr>
  </w:style>
  <w:style w:type="paragraph" w:customStyle="1" w:styleId="Point0number">
    <w:name w:val="Point 0 (number)"/>
    <w:basedOn w:val="Normal"/>
    <w:rsid w:val="00BC750E"/>
    <w:pPr>
      <w:numPr>
        <w:numId w:val="17"/>
      </w:numPr>
      <w:spacing w:before="120" w:after="120" w:line="240" w:lineRule="auto"/>
      <w:jc w:val="both"/>
    </w:pPr>
    <w:rPr>
      <w:rFonts w:ascii="Times New Roman" w:hAnsi="Times New Roman" w:cs="Times New Roman"/>
      <w:sz w:val="24"/>
    </w:rPr>
  </w:style>
  <w:style w:type="paragraph" w:customStyle="1" w:styleId="Point1">
    <w:name w:val="Point 1"/>
    <w:basedOn w:val="Normal"/>
    <w:rsid w:val="00BC750E"/>
    <w:pPr>
      <w:spacing w:before="120" w:after="120" w:line="240" w:lineRule="auto"/>
      <w:ind w:left="1417" w:hanging="567"/>
      <w:jc w:val="both"/>
    </w:pPr>
    <w:rPr>
      <w:rFonts w:ascii="Times New Roman" w:hAnsi="Times New Roman" w:cs="Times New Roman"/>
      <w:sz w:val="24"/>
    </w:rPr>
  </w:style>
  <w:style w:type="paragraph" w:customStyle="1" w:styleId="Point1letter">
    <w:name w:val="Point 1 (letter)"/>
    <w:basedOn w:val="Normal"/>
    <w:rsid w:val="00BC750E"/>
    <w:pPr>
      <w:numPr>
        <w:ilvl w:val="3"/>
        <w:numId w:val="17"/>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BC750E"/>
    <w:pPr>
      <w:numPr>
        <w:ilvl w:val="2"/>
        <w:numId w:val="17"/>
      </w:numPr>
      <w:spacing w:before="120" w:after="120" w:line="240" w:lineRule="auto"/>
      <w:jc w:val="both"/>
    </w:pPr>
    <w:rPr>
      <w:rFonts w:ascii="Times New Roman" w:hAnsi="Times New Roman" w:cs="Times New Roman"/>
      <w:sz w:val="24"/>
    </w:rPr>
  </w:style>
  <w:style w:type="paragraph" w:customStyle="1" w:styleId="Point2">
    <w:name w:val="Point 2"/>
    <w:basedOn w:val="Normal"/>
    <w:rsid w:val="00BC750E"/>
    <w:pPr>
      <w:spacing w:before="120" w:after="120" w:line="240" w:lineRule="auto"/>
      <w:ind w:left="1984" w:hanging="567"/>
      <w:jc w:val="both"/>
    </w:pPr>
    <w:rPr>
      <w:rFonts w:ascii="Times New Roman" w:hAnsi="Times New Roman" w:cs="Times New Roman"/>
      <w:sz w:val="24"/>
    </w:rPr>
  </w:style>
  <w:style w:type="paragraph" w:customStyle="1" w:styleId="Point2letter">
    <w:name w:val="Point 2 (letter)"/>
    <w:basedOn w:val="Normal"/>
    <w:rsid w:val="00BC750E"/>
    <w:pPr>
      <w:numPr>
        <w:ilvl w:val="5"/>
        <w:numId w:val="17"/>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BC750E"/>
    <w:pPr>
      <w:numPr>
        <w:ilvl w:val="4"/>
        <w:numId w:val="17"/>
      </w:numPr>
      <w:spacing w:before="120" w:after="120" w:line="240" w:lineRule="auto"/>
      <w:jc w:val="both"/>
    </w:pPr>
    <w:rPr>
      <w:rFonts w:ascii="Times New Roman" w:hAnsi="Times New Roman" w:cs="Times New Roman"/>
      <w:sz w:val="24"/>
    </w:rPr>
  </w:style>
  <w:style w:type="paragraph" w:customStyle="1" w:styleId="Point3">
    <w:name w:val="Point 3"/>
    <w:basedOn w:val="Normal"/>
    <w:rsid w:val="00BC750E"/>
    <w:pPr>
      <w:spacing w:before="120" w:after="120" w:line="240" w:lineRule="auto"/>
      <w:ind w:left="2551" w:hanging="567"/>
      <w:jc w:val="both"/>
    </w:pPr>
    <w:rPr>
      <w:rFonts w:ascii="Times New Roman" w:hAnsi="Times New Roman" w:cs="Times New Roman"/>
      <w:sz w:val="24"/>
    </w:rPr>
  </w:style>
  <w:style w:type="paragraph" w:customStyle="1" w:styleId="Point3letter">
    <w:name w:val="Point 3 (letter)"/>
    <w:basedOn w:val="Normal"/>
    <w:rsid w:val="00BC750E"/>
    <w:pPr>
      <w:numPr>
        <w:ilvl w:val="7"/>
        <w:numId w:val="17"/>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BC750E"/>
    <w:pPr>
      <w:numPr>
        <w:ilvl w:val="6"/>
        <w:numId w:val="17"/>
      </w:numPr>
      <w:spacing w:before="120" w:after="120" w:line="240" w:lineRule="auto"/>
      <w:jc w:val="both"/>
    </w:pPr>
    <w:rPr>
      <w:rFonts w:ascii="Times New Roman" w:hAnsi="Times New Roman" w:cs="Times New Roman"/>
      <w:sz w:val="24"/>
    </w:rPr>
  </w:style>
  <w:style w:type="paragraph" w:customStyle="1" w:styleId="Point4">
    <w:name w:val="Point 4"/>
    <w:basedOn w:val="Normal"/>
    <w:rsid w:val="00BC750E"/>
    <w:pPr>
      <w:spacing w:before="120" w:after="120" w:line="240" w:lineRule="auto"/>
      <w:ind w:left="3118" w:hanging="567"/>
      <w:jc w:val="both"/>
    </w:pPr>
    <w:rPr>
      <w:rFonts w:ascii="Times New Roman" w:hAnsi="Times New Roman" w:cs="Times New Roman"/>
      <w:sz w:val="24"/>
    </w:rPr>
  </w:style>
  <w:style w:type="paragraph" w:customStyle="1" w:styleId="Point4letter">
    <w:name w:val="Point 4 (letter)"/>
    <w:basedOn w:val="Normal"/>
    <w:rsid w:val="00BC750E"/>
    <w:pPr>
      <w:numPr>
        <w:ilvl w:val="8"/>
        <w:numId w:val="17"/>
      </w:numPr>
      <w:spacing w:before="120" w:after="120" w:line="240" w:lineRule="auto"/>
      <w:jc w:val="both"/>
    </w:pPr>
    <w:rPr>
      <w:rFonts w:ascii="Times New Roman" w:hAnsi="Times New Roman" w:cs="Times New Roman"/>
      <w:sz w:val="24"/>
    </w:rPr>
  </w:style>
  <w:style w:type="paragraph" w:customStyle="1" w:styleId="PointDouble0">
    <w:name w:val="PointDouble 0"/>
    <w:basedOn w:val="Normal"/>
    <w:rsid w:val="00BC750E"/>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BC750E"/>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BC750E"/>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BC750E"/>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BC750E"/>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BC750E"/>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BC750E"/>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BC750E"/>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BC750E"/>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BC750E"/>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QuotedNumPar">
    <w:name w:val="Quoted NumPar"/>
    <w:basedOn w:val="Normal"/>
    <w:rsid w:val="00BC750E"/>
    <w:pPr>
      <w:spacing w:before="120" w:after="120" w:line="240" w:lineRule="auto"/>
      <w:ind w:left="1417" w:hanging="567"/>
      <w:jc w:val="both"/>
    </w:pPr>
    <w:rPr>
      <w:rFonts w:ascii="Times New Roman" w:hAnsi="Times New Roman" w:cs="Times New Roman"/>
      <w:sz w:val="24"/>
    </w:rPr>
  </w:style>
  <w:style w:type="paragraph" w:customStyle="1" w:styleId="QuotedText">
    <w:name w:val="Quoted Text"/>
    <w:basedOn w:val="Normal"/>
    <w:rsid w:val="00BC750E"/>
    <w:pPr>
      <w:spacing w:before="120" w:after="120" w:line="240" w:lineRule="auto"/>
      <w:ind w:left="1417"/>
      <w:jc w:val="both"/>
    </w:pPr>
    <w:rPr>
      <w:rFonts w:ascii="Times New Roman" w:hAnsi="Times New Roman" w:cs="Times New Roman"/>
      <w:sz w:val="24"/>
    </w:rPr>
  </w:style>
  <w:style w:type="paragraph" w:customStyle="1" w:styleId="Rfrencecroise">
    <w:name w:val="Référence croisée"/>
    <w:basedOn w:val="Normal"/>
    <w:rsid w:val="00BC750E"/>
    <w:pPr>
      <w:spacing w:after="0" w:line="240" w:lineRule="auto"/>
      <w:jc w:val="center"/>
    </w:pPr>
    <w:rPr>
      <w:rFonts w:ascii="Times New Roman" w:hAnsi="Times New Roman" w:cs="Times New Roman"/>
      <w:sz w:val="24"/>
    </w:rPr>
  </w:style>
  <w:style w:type="paragraph" w:customStyle="1" w:styleId="Rfrenceinstitutionnelle">
    <w:name w:val="Référence institutionnelle"/>
    <w:basedOn w:val="Normal"/>
    <w:next w:val="Confidentialit"/>
    <w:rsid w:val="00BC750E"/>
    <w:pPr>
      <w:spacing w:after="240" w:line="240" w:lineRule="auto"/>
      <w:ind w:left="5103"/>
    </w:pPr>
    <w:rPr>
      <w:rFonts w:ascii="Times New Roman" w:hAnsi="Times New Roman" w:cs="Times New Roman"/>
      <w:sz w:val="24"/>
    </w:rPr>
  </w:style>
  <w:style w:type="paragraph" w:customStyle="1" w:styleId="Rfrenceinterinstitutionnelle">
    <w:name w:val="Référence interinstitutionnelle"/>
    <w:basedOn w:val="Normal"/>
    <w:next w:val="Normal"/>
    <w:rsid w:val="00BC750E"/>
    <w:pPr>
      <w:spacing w:after="0" w:line="240" w:lineRule="auto"/>
      <w:ind w:left="5103"/>
    </w:pPr>
    <w:rPr>
      <w:rFonts w:ascii="Times New Roman" w:hAnsi="Times New Roman" w:cs="Times New Roman"/>
      <w:sz w:val="24"/>
    </w:rPr>
  </w:style>
  <w:style w:type="paragraph" w:customStyle="1" w:styleId="RfrenceinterinstitutionnellePagedecouverture">
    <w:name w:val="Référence interinstitutionnelle (Page de couverture)"/>
    <w:basedOn w:val="Rfrenceinterinstitutionnelle"/>
    <w:next w:val="Confidentialit"/>
    <w:rsid w:val="00BC750E"/>
  </w:style>
  <w:style w:type="paragraph" w:customStyle="1" w:styleId="Rfrenceinterne">
    <w:name w:val="Référence interne"/>
    <w:basedOn w:val="Normal"/>
    <w:next w:val="Rfrenceinterinstitutionnelle"/>
    <w:rsid w:val="00BC750E"/>
    <w:pPr>
      <w:spacing w:after="0" w:line="240" w:lineRule="auto"/>
      <w:ind w:left="5103"/>
    </w:pPr>
    <w:rPr>
      <w:rFonts w:ascii="Times New Roman" w:hAnsi="Times New Roman" w:cs="Times New Roman"/>
      <w:sz w:val="24"/>
    </w:rPr>
  </w:style>
  <w:style w:type="paragraph" w:customStyle="1" w:styleId="ReleasableTo">
    <w:name w:val="ReleasableTo"/>
    <w:basedOn w:val="Normal"/>
    <w:rsid w:val="00BC750E"/>
    <w:pPr>
      <w:spacing w:after="0" w:line="276" w:lineRule="auto"/>
      <w:ind w:left="5103"/>
    </w:pPr>
    <w:rPr>
      <w:rFonts w:ascii="Times New Roman" w:hAnsi="Times New Roman" w:cs="Times New Roman"/>
      <w:i/>
      <w:sz w:val="28"/>
    </w:rPr>
  </w:style>
  <w:style w:type="paragraph" w:customStyle="1" w:styleId="SectionTitle">
    <w:name w:val="SectionTitle"/>
    <w:basedOn w:val="Normal"/>
    <w:next w:val="Heading1"/>
    <w:rsid w:val="00BC750E"/>
    <w:pPr>
      <w:keepNext/>
      <w:spacing w:before="120" w:after="360" w:line="240" w:lineRule="auto"/>
      <w:jc w:val="center"/>
    </w:pPr>
    <w:rPr>
      <w:rFonts w:ascii="Times New Roman" w:hAnsi="Times New Roman" w:cs="Times New Roman"/>
      <w:b/>
      <w:smallCaps/>
      <w:sz w:val="28"/>
    </w:rPr>
  </w:style>
  <w:style w:type="paragraph" w:customStyle="1" w:styleId="SecurityMarking">
    <w:name w:val="SecurityMarking"/>
    <w:basedOn w:val="Normal"/>
    <w:rsid w:val="00BC750E"/>
    <w:pPr>
      <w:spacing w:after="0" w:line="276" w:lineRule="auto"/>
      <w:ind w:left="5103"/>
    </w:pPr>
    <w:rPr>
      <w:rFonts w:ascii="Times New Roman" w:hAnsi="Times New Roman" w:cs="Times New Roman"/>
      <w:sz w:val="28"/>
    </w:rPr>
  </w:style>
  <w:style w:type="paragraph" w:customStyle="1" w:styleId="Sous-titreobjet">
    <w:name w:val="Sous-titre objet"/>
    <w:basedOn w:val="Normal"/>
    <w:rsid w:val="00BC750E"/>
    <w:pPr>
      <w:spacing w:after="0" w:line="240" w:lineRule="auto"/>
      <w:jc w:val="center"/>
    </w:pPr>
    <w:rPr>
      <w:rFonts w:ascii="Times New Roman" w:hAnsi="Times New Roman" w:cs="Times New Roman"/>
      <w:b/>
      <w:sz w:val="24"/>
    </w:rPr>
  </w:style>
  <w:style w:type="paragraph" w:customStyle="1" w:styleId="Sous-titreobjetPagedecouverture">
    <w:name w:val="Sous-titre objet (Page de couverture)"/>
    <w:basedOn w:val="Sous-titreobjet"/>
    <w:rsid w:val="00BC750E"/>
  </w:style>
  <w:style w:type="paragraph" w:customStyle="1" w:styleId="statut">
    <w:name w:val="statut"/>
    <w:basedOn w:val="Normal"/>
    <w:rsid w:val="00BC75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t0">
    <w:name w:val="Statut"/>
    <w:basedOn w:val="Normal"/>
    <w:next w:val="Normal"/>
    <w:rsid w:val="00BC750E"/>
    <w:pPr>
      <w:spacing w:before="360" w:after="0" w:line="240" w:lineRule="auto"/>
      <w:jc w:val="center"/>
    </w:pPr>
    <w:rPr>
      <w:rFonts w:ascii="Times New Roman" w:hAnsi="Times New Roman" w:cs="Times New Roman"/>
      <w:sz w:val="24"/>
    </w:rPr>
  </w:style>
  <w:style w:type="paragraph" w:customStyle="1" w:styleId="StatutPagedecouverture">
    <w:name w:val="Statut (Page de couverture)"/>
    <w:basedOn w:val="Statut0"/>
    <w:next w:val="Normal"/>
    <w:rsid w:val="00BC750E"/>
  </w:style>
  <w:style w:type="character" w:styleId="Strong">
    <w:name w:val="Strong"/>
    <w:basedOn w:val="DefaultParagraphFont"/>
    <w:uiPriority w:val="22"/>
    <w:qFormat/>
    <w:rsid w:val="00BC750E"/>
    <w:rPr>
      <w:b/>
      <w:bCs/>
    </w:rPr>
  </w:style>
  <w:style w:type="paragraph" w:customStyle="1" w:styleId="Supertitre">
    <w:name w:val="Supertitre"/>
    <w:basedOn w:val="Normal"/>
    <w:next w:val="Normal"/>
    <w:rsid w:val="00BC750E"/>
    <w:pPr>
      <w:spacing w:after="600" w:line="240" w:lineRule="auto"/>
      <w:jc w:val="center"/>
    </w:pPr>
    <w:rPr>
      <w:rFonts w:ascii="Times New Roman" w:hAnsi="Times New Roman" w:cs="Times New Roman"/>
      <w:b/>
      <w:sz w:val="24"/>
    </w:rPr>
  </w:style>
  <w:style w:type="table" w:styleId="TableGrid">
    <w:name w:val="Table Grid"/>
    <w:basedOn w:val="TableNormal"/>
    <w:rsid w:val="00BC750E"/>
    <w:pPr>
      <w:spacing w:after="24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unhideWhenUsed/>
    <w:rsid w:val="00BC750E"/>
    <w:pPr>
      <w:spacing w:before="120" w:after="0" w:line="240" w:lineRule="auto"/>
      <w:jc w:val="both"/>
    </w:pPr>
    <w:rPr>
      <w:rFonts w:ascii="Times New Roman" w:hAnsi="Times New Roman" w:cs="Times New Roman"/>
      <w:sz w:val="24"/>
    </w:rPr>
  </w:style>
  <w:style w:type="paragraph" w:customStyle="1" w:styleId="TableTitle">
    <w:name w:val="Table Title"/>
    <w:basedOn w:val="Normal"/>
    <w:next w:val="Normal"/>
    <w:rsid w:val="00BC750E"/>
    <w:pPr>
      <w:spacing w:before="120" w:after="120" w:line="240" w:lineRule="auto"/>
      <w:jc w:val="center"/>
    </w:pPr>
    <w:rPr>
      <w:rFonts w:ascii="Times New Roman" w:hAnsi="Times New Roman" w:cs="Times New Roman"/>
      <w:b/>
      <w:sz w:val="24"/>
    </w:rPr>
  </w:style>
  <w:style w:type="paragraph" w:customStyle="1" w:styleId="Text1">
    <w:name w:val="Text 1"/>
    <w:basedOn w:val="Normal"/>
    <w:rsid w:val="00BC750E"/>
    <w:pPr>
      <w:spacing w:before="120" w:after="120" w:line="240" w:lineRule="auto"/>
      <w:ind w:left="850"/>
      <w:jc w:val="both"/>
    </w:pPr>
    <w:rPr>
      <w:rFonts w:ascii="Times New Roman" w:hAnsi="Times New Roman" w:cs="Times New Roman"/>
      <w:sz w:val="24"/>
    </w:rPr>
  </w:style>
  <w:style w:type="paragraph" w:customStyle="1" w:styleId="Text2">
    <w:name w:val="Text 2"/>
    <w:basedOn w:val="Normal"/>
    <w:rsid w:val="00BC750E"/>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BC750E"/>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BC750E"/>
    <w:pPr>
      <w:spacing w:before="120" w:after="120" w:line="240" w:lineRule="auto"/>
      <w:ind w:left="2551"/>
      <w:jc w:val="both"/>
    </w:pPr>
    <w:rPr>
      <w:rFonts w:ascii="Times New Roman" w:hAnsi="Times New Roman" w:cs="Times New Roman"/>
      <w:sz w:val="24"/>
    </w:rPr>
  </w:style>
  <w:style w:type="paragraph" w:customStyle="1" w:styleId="Tiret0">
    <w:name w:val="Tiret 0"/>
    <w:basedOn w:val="Point0"/>
    <w:rsid w:val="00BC750E"/>
    <w:pPr>
      <w:numPr>
        <w:numId w:val="18"/>
      </w:numPr>
    </w:pPr>
  </w:style>
  <w:style w:type="paragraph" w:customStyle="1" w:styleId="Tiret1">
    <w:name w:val="Tiret 1"/>
    <w:basedOn w:val="Point1"/>
    <w:rsid w:val="00BC750E"/>
    <w:pPr>
      <w:numPr>
        <w:numId w:val="19"/>
      </w:numPr>
    </w:pPr>
  </w:style>
  <w:style w:type="paragraph" w:customStyle="1" w:styleId="Tiret2">
    <w:name w:val="Tiret 2"/>
    <w:basedOn w:val="Point2"/>
    <w:rsid w:val="00BC750E"/>
    <w:pPr>
      <w:numPr>
        <w:numId w:val="20"/>
      </w:numPr>
    </w:pPr>
  </w:style>
  <w:style w:type="paragraph" w:customStyle="1" w:styleId="Tiret3">
    <w:name w:val="Tiret 3"/>
    <w:basedOn w:val="Point3"/>
    <w:rsid w:val="00BC750E"/>
    <w:pPr>
      <w:numPr>
        <w:numId w:val="21"/>
      </w:numPr>
    </w:pPr>
  </w:style>
  <w:style w:type="paragraph" w:customStyle="1" w:styleId="Tiret4">
    <w:name w:val="Tiret 4"/>
    <w:basedOn w:val="Point4"/>
    <w:rsid w:val="00BC750E"/>
    <w:pPr>
      <w:numPr>
        <w:numId w:val="22"/>
      </w:numPr>
    </w:pPr>
  </w:style>
  <w:style w:type="paragraph" w:customStyle="1" w:styleId="Titrearticle">
    <w:name w:val="Titre article"/>
    <w:basedOn w:val="Normal"/>
    <w:next w:val="Normal"/>
    <w:rsid w:val="00BC750E"/>
    <w:pPr>
      <w:keepNext/>
      <w:spacing w:before="360" w:after="120" w:line="240" w:lineRule="auto"/>
      <w:jc w:val="center"/>
    </w:pPr>
    <w:rPr>
      <w:rFonts w:ascii="Times New Roman" w:hAnsi="Times New Roman" w:cs="Times New Roman"/>
      <w:i/>
      <w:sz w:val="24"/>
    </w:rPr>
  </w:style>
  <w:style w:type="paragraph" w:customStyle="1" w:styleId="Titreobjet">
    <w:name w:val="Titre objet"/>
    <w:basedOn w:val="Normal"/>
    <w:next w:val="IntrtEEE"/>
    <w:rsid w:val="00BC750E"/>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IntrtEEEPagedecouverture"/>
    <w:rsid w:val="00BC750E"/>
  </w:style>
  <w:style w:type="paragraph" w:styleId="TOC1">
    <w:name w:val="toc 1"/>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rsid w:val="00BC750E"/>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rsid w:val="00BC750E"/>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rsid w:val="00BC750E"/>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rsid w:val="00BC750E"/>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rsid w:val="00BC750E"/>
    <w:pPr>
      <w:tabs>
        <w:tab w:val="right" w:leader="dot" w:pos="9071"/>
      </w:tabs>
      <w:spacing w:before="120" w:after="120" w:line="240" w:lineRule="auto"/>
      <w:jc w:val="both"/>
    </w:pPr>
    <w:rPr>
      <w:rFonts w:ascii="Times New Roman" w:hAnsi="Times New Roman" w:cs="Times New Roman"/>
      <w:sz w:val="24"/>
    </w:rPr>
  </w:style>
  <w:style w:type="paragraph" w:styleId="TOCHeading">
    <w:name w:val="TOC Heading"/>
    <w:basedOn w:val="Normal"/>
    <w:next w:val="Normal"/>
    <w:uiPriority w:val="39"/>
    <w:semiHidden/>
    <w:unhideWhenUsed/>
    <w:qFormat/>
    <w:rsid w:val="00BC750E"/>
    <w:pPr>
      <w:spacing w:before="120" w:after="240" w:line="240" w:lineRule="auto"/>
      <w:jc w:val="center"/>
    </w:pPr>
    <w:rPr>
      <w:rFonts w:ascii="Times New Roman" w:hAnsi="Times New Roman" w:cs="Times New Roman"/>
      <w:b/>
      <w:sz w:val="28"/>
    </w:rPr>
  </w:style>
  <w:style w:type="paragraph" w:customStyle="1" w:styleId="Typeacteprincipal">
    <w:name w:val="Type acte principal"/>
    <w:basedOn w:val="Normal"/>
    <w:next w:val="Objetacteprincipal"/>
    <w:rsid w:val="00BC750E"/>
    <w:pPr>
      <w:spacing w:after="240" w:line="240" w:lineRule="auto"/>
      <w:jc w:val="center"/>
    </w:pPr>
    <w:rPr>
      <w:rFonts w:ascii="Times New Roman" w:hAnsi="Times New Roman" w:cs="Times New Roman"/>
      <w:b/>
      <w:sz w:val="24"/>
    </w:rPr>
  </w:style>
  <w:style w:type="paragraph" w:customStyle="1" w:styleId="TypeacteprincipalPagedecouverture">
    <w:name w:val="Type acte principal (Page de couverture)"/>
    <w:basedOn w:val="Typeacteprincipal"/>
    <w:next w:val="ObjetacteprincipalPagedecouverture"/>
    <w:rsid w:val="00BC750E"/>
  </w:style>
  <w:style w:type="paragraph" w:customStyle="1" w:styleId="Typedudocument">
    <w:name w:val="Type du document"/>
    <w:basedOn w:val="Normal"/>
    <w:next w:val="Titreobjet"/>
    <w:rsid w:val="00BC750E"/>
    <w:pPr>
      <w:spacing w:before="360" w:after="0" w:line="240" w:lineRule="auto"/>
      <w:jc w:val="center"/>
    </w:pPr>
    <w:rPr>
      <w:rFonts w:ascii="Times New Roman" w:hAnsi="Times New Roman" w:cs="Times New Roman"/>
      <w:b/>
      <w:sz w:val="24"/>
    </w:rPr>
  </w:style>
  <w:style w:type="paragraph" w:customStyle="1" w:styleId="TypedudocumentPagedecouverture">
    <w:name w:val="Type du document (Page de couverture)"/>
    <w:basedOn w:val="Typedudocument"/>
    <w:next w:val="TitreobjetPagedecouverture"/>
    <w:rsid w:val="00BC750E"/>
  </w:style>
  <w:style w:type="paragraph" w:customStyle="1" w:styleId="Volume">
    <w:name w:val="Volume"/>
    <w:basedOn w:val="Normal"/>
    <w:next w:val="Confidentialit"/>
    <w:rsid w:val="00BC750E"/>
    <w:pPr>
      <w:spacing w:after="240" w:line="240" w:lineRule="auto"/>
      <w:ind w:left="5103"/>
    </w:pPr>
    <w:rPr>
      <w:rFonts w:ascii="Times New Roman" w:hAnsi="Times New Roman" w:cs="Times New Roman"/>
      <w:sz w:val="24"/>
    </w:rPr>
  </w:style>
  <w:style w:type="paragraph" w:customStyle="1" w:styleId="FooterCoverPage">
    <w:name w:val="Footer Cover Page"/>
    <w:basedOn w:val="Normal"/>
    <w:link w:val="FooterCoverPageChar"/>
    <w:rsid w:val="00C7400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7400A"/>
    <w:rPr>
      <w:rFonts w:ascii="Times New Roman" w:hAnsi="Times New Roman" w:cs="Times New Roman"/>
      <w:sz w:val="24"/>
    </w:rPr>
  </w:style>
  <w:style w:type="paragraph" w:customStyle="1" w:styleId="HeaderCoverPage">
    <w:name w:val="Header Cover Page"/>
    <w:basedOn w:val="Normal"/>
    <w:link w:val="HeaderCoverPageChar"/>
    <w:rsid w:val="00C7400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7400A"/>
    <w:rPr>
      <w:rFonts w:ascii="Times New Roman" w:hAnsi="Times New Roman" w:cs="Times New Roman"/>
      <w:sz w:val="24"/>
    </w:rPr>
  </w:style>
  <w:style w:type="paragraph" w:styleId="Revision">
    <w:name w:val="Revision"/>
    <w:hidden/>
    <w:uiPriority w:val="99"/>
    <w:semiHidden/>
    <w:rsid w:val="00356503"/>
    <w:pPr>
      <w:spacing w:after="0" w:line="240" w:lineRule="auto"/>
    </w:pPr>
  </w:style>
  <w:style w:type="character" w:customStyle="1" w:styleId="Mention">
    <w:name w:val="Mention"/>
    <w:basedOn w:val="DefaultParagraphFont"/>
    <w:uiPriority w:val="99"/>
    <w:unhideWhenUsed/>
    <w:rsid w:val="00356503"/>
    <w:rPr>
      <w:color w:val="2B579A"/>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E2519F"/>
    <w:pPr>
      <w:spacing w:line="240" w:lineRule="exact"/>
      <w:jc w:val="both"/>
    </w:pPr>
    <w:rPr>
      <w:vertAlign w:val="superscript"/>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680DA6"/>
    <w:rPr>
      <w:rFonts w:ascii="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9516">
      <w:bodyDiv w:val="1"/>
      <w:marLeft w:val="0"/>
      <w:marRight w:val="0"/>
      <w:marTop w:val="0"/>
      <w:marBottom w:val="0"/>
      <w:divBdr>
        <w:top w:val="none" w:sz="0" w:space="0" w:color="auto"/>
        <w:left w:val="none" w:sz="0" w:space="0" w:color="auto"/>
        <w:bottom w:val="none" w:sz="0" w:space="0" w:color="auto"/>
        <w:right w:val="none" w:sz="0" w:space="0" w:color="auto"/>
      </w:divBdr>
    </w:div>
    <w:div w:id="139886473">
      <w:bodyDiv w:val="1"/>
      <w:marLeft w:val="0"/>
      <w:marRight w:val="0"/>
      <w:marTop w:val="0"/>
      <w:marBottom w:val="0"/>
      <w:divBdr>
        <w:top w:val="none" w:sz="0" w:space="0" w:color="auto"/>
        <w:left w:val="none" w:sz="0" w:space="0" w:color="auto"/>
        <w:bottom w:val="none" w:sz="0" w:space="0" w:color="auto"/>
        <w:right w:val="none" w:sz="0" w:space="0" w:color="auto"/>
      </w:divBdr>
    </w:div>
    <w:div w:id="213582605">
      <w:bodyDiv w:val="1"/>
      <w:marLeft w:val="0"/>
      <w:marRight w:val="0"/>
      <w:marTop w:val="0"/>
      <w:marBottom w:val="0"/>
      <w:divBdr>
        <w:top w:val="none" w:sz="0" w:space="0" w:color="auto"/>
        <w:left w:val="none" w:sz="0" w:space="0" w:color="auto"/>
        <w:bottom w:val="none" w:sz="0" w:space="0" w:color="auto"/>
        <w:right w:val="none" w:sz="0" w:space="0" w:color="auto"/>
      </w:divBdr>
    </w:div>
    <w:div w:id="257451834">
      <w:bodyDiv w:val="1"/>
      <w:marLeft w:val="0"/>
      <w:marRight w:val="0"/>
      <w:marTop w:val="0"/>
      <w:marBottom w:val="0"/>
      <w:divBdr>
        <w:top w:val="none" w:sz="0" w:space="0" w:color="auto"/>
        <w:left w:val="none" w:sz="0" w:space="0" w:color="auto"/>
        <w:bottom w:val="none" w:sz="0" w:space="0" w:color="auto"/>
        <w:right w:val="none" w:sz="0" w:space="0" w:color="auto"/>
      </w:divBdr>
    </w:div>
    <w:div w:id="396173303">
      <w:bodyDiv w:val="1"/>
      <w:marLeft w:val="0"/>
      <w:marRight w:val="0"/>
      <w:marTop w:val="0"/>
      <w:marBottom w:val="0"/>
      <w:divBdr>
        <w:top w:val="none" w:sz="0" w:space="0" w:color="auto"/>
        <w:left w:val="none" w:sz="0" w:space="0" w:color="auto"/>
        <w:bottom w:val="none" w:sz="0" w:space="0" w:color="auto"/>
        <w:right w:val="none" w:sz="0" w:space="0" w:color="auto"/>
      </w:divBdr>
    </w:div>
    <w:div w:id="402530228">
      <w:bodyDiv w:val="1"/>
      <w:marLeft w:val="0"/>
      <w:marRight w:val="0"/>
      <w:marTop w:val="0"/>
      <w:marBottom w:val="0"/>
      <w:divBdr>
        <w:top w:val="none" w:sz="0" w:space="0" w:color="auto"/>
        <w:left w:val="none" w:sz="0" w:space="0" w:color="auto"/>
        <w:bottom w:val="none" w:sz="0" w:space="0" w:color="auto"/>
        <w:right w:val="none" w:sz="0" w:space="0" w:color="auto"/>
      </w:divBdr>
    </w:div>
    <w:div w:id="499859171">
      <w:bodyDiv w:val="1"/>
      <w:marLeft w:val="0"/>
      <w:marRight w:val="0"/>
      <w:marTop w:val="0"/>
      <w:marBottom w:val="0"/>
      <w:divBdr>
        <w:top w:val="none" w:sz="0" w:space="0" w:color="auto"/>
        <w:left w:val="none" w:sz="0" w:space="0" w:color="auto"/>
        <w:bottom w:val="none" w:sz="0" w:space="0" w:color="auto"/>
        <w:right w:val="none" w:sz="0" w:space="0" w:color="auto"/>
      </w:divBdr>
    </w:div>
    <w:div w:id="522743528">
      <w:bodyDiv w:val="1"/>
      <w:marLeft w:val="0"/>
      <w:marRight w:val="0"/>
      <w:marTop w:val="0"/>
      <w:marBottom w:val="0"/>
      <w:divBdr>
        <w:top w:val="none" w:sz="0" w:space="0" w:color="auto"/>
        <w:left w:val="none" w:sz="0" w:space="0" w:color="auto"/>
        <w:bottom w:val="none" w:sz="0" w:space="0" w:color="auto"/>
        <w:right w:val="none" w:sz="0" w:space="0" w:color="auto"/>
      </w:divBdr>
    </w:div>
    <w:div w:id="570038972">
      <w:bodyDiv w:val="1"/>
      <w:marLeft w:val="0"/>
      <w:marRight w:val="0"/>
      <w:marTop w:val="0"/>
      <w:marBottom w:val="0"/>
      <w:divBdr>
        <w:top w:val="none" w:sz="0" w:space="0" w:color="auto"/>
        <w:left w:val="none" w:sz="0" w:space="0" w:color="auto"/>
        <w:bottom w:val="none" w:sz="0" w:space="0" w:color="auto"/>
        <w:right w:val="none" w:sz="0" w:space="0" w:color="auto"/>
      </w:divBdr>
    </w:div>
    <w:div w:id="827986861">
      <w:bodyDiv w:val="1"/>
      <w:marLeft w:val="0"/>
      <w:marRight w:val="0"/>
      <w:marTop w:val="0"/>
      <w:marBottom w:val="0"/>
      <w:divBdr>
        <w:top w:val="none" w:sz="0" w:space="0" w:color="auto"/>
        <w:left w:val="none" w:sz="0" w:space="0" w:color="auto"/>
        <w:bottom w:val="none" w:sz="0" w:space="0" w:color="auto"/>
        <w:right w:val="none" w:sz="0" w:space="0" w:color="auto"/>
      </w:divBdr>
    </w:div>
    <w:div w:id="830564602">
      <w:bodyDiv w:val="1"/>
      <w:marLeft w:val="0"/>
      <w:marRight w:val="0"/>
      <w:marTop w:val="0"/>
      <w:marBottom w:val="0"/>
      <w:divBdr>
        <w:top w:val="none" w:sz="0" w:space="0" w:color="auto"/>
        <w:left w:val="none" w:sz="0" w:space="0" w:color="auto"/>
        <w:bottom w:val="none" w:sz="0" w:space="0" w:color="auto"/>
        <w:right w:val="none" w:sz="0" w:space="0" w:color="auto"/>
      </w:divBdr>
    </w:div>
    <w:div w:id="1030187338">
      <w:bodyDiv w:val="1"/>
      <w:marLeft w:val="0"/>
      <w:marRight w:val="0"/>
      <w:marTop w:val="0"/>
      <w:marBottom w:val="0"/>
      <w:divBdr>
        <w:top w:val="none" w:sz="0" w:space="0" w:color="auto"/>
        <w:left w:val="none" w:sz="0" w:space="0" w:color="auto"/>
        <w:bottom w:val="none" w:sz="0" w:space="0" w:color="auto"/>
        <w:right w:val="none" w:sz="0" w:space="0" w:color="auto"/>
      </w:divBdr>
    </w:div>
    <w:div w:id="1081176925">
      <w:bodyDiv w:val="1"/>
      <w:marLeft w:val="0"/>
      <w:marRight w:val="0"/>
      <w:marTop w:val="0"/>
      <w:marBottom w:val="0"/>
      <w:divBdr>
        <w:top w:val="none" w:sz="0" w:space="0" w:color="auto"/>
        <w:left w:val="none" w:sz="0" w:space="0" w:color="auto"/>
        <w:bottom w:val="none" w:sz="0" w:space="0" w:color="auto"/>
        <w:right w:val="none" w:sz="0" w:space="0" w:color="auto"/>
      </w:divBdr>
    </w:div>
    <w:div w:id="1090002409">
      <w:bodyDiv w:val="1"/>
      <w:marLeft w:val="0"/>
      <w:marRight w:val="0"/>
      <w:marTop w:val="0"/>
      <w:marBottom w:val="0"/>
      <w:divBdr>
        <w:top w:val="none" w:sz="0" w:space="0" w:color="auto"/>
        <w:left w:val="none" w:sz="0" w:space="0" w:color="auto"/>
        <w:bottom w:val="none" w:sz="0" w:space="0" w:color="auto"/>
        <w:right w:val="none" w:sz="0" w:space="0" w:color="auto"/>
      </w:divBdr>
    </w:div>
    <w:div w:id="1112943220">
      <w:bodyDiv w:val="1"/>
      <w:marLeft w:val="0"/>
      <w:marRight w:val="0"/>
      <w:marTop w:val="0"/>
      <w:marBottom w:val="0"/>
      <w:divBdr>
        <w:top w:val="none" w:sz="0" w:space="0" w:color="auto"/>
        <w:left w:val="none" w:sz="0" w:space="0" w:color="auto"/>
        <w:bottom w:val="none" w:sz="0" w:space="0" w:color="auto"/>
        <w:right w:val="none" w:sz="0" w:space="0" w:color="auto"/>
      </w:divBdr>
    </w:div>
    <w:div w:id="1117215006">
      <w:bodyDiv w:val="1"/>
      <w:marLeft w:val="0"/>
      <w:marRight w:val="0"/>
      <w:marTop w:val="0"/>
      <w:marBottom w:val="0"/>
      <w:divBdr>
        <w:top w:val="none" w:sz="0" w:space="0" w:color="auto"/>
        <w:left w:val="none" w:sz="0" w:space="0" w:color="auto"/>
        <w:bottom w:val="none" w:sz="0" w:space="0" w:color="auto"/>
        <w:right w:val="none" w:sz="0" w:space="0" w:color="auto"/>
      </w:divBdr>
    </w:div>
    <w:div w:id="1731925272">
      <w:bodyDiv w:val="1"/>
      <w:marLeft w:val="0"/>
      <w:marRight w:val="0"/>
      <w:marTop w:val="0"/>
      <w:marBottom w:val="0"/>
      <w:divBdr>
        <w:top w:val="none" w:sz="0" w:space="0" w:color="auto"/>
        <w:left w:val="none" w:sz="0" w:space="0" w:color="auto"/>
        <w:bottom w:val="none" w:sz="0" w:space="0" w:color="auto"/>
        <w:right w:val="none" w:sz="0" w:space="0" w:color="auto"/>
      </w:divBdr>
    </w:div>
    <w:div w:id="1978365834">
      <w:bodyDiv w:val="1"/>
      <w:marLeft w:val="0"/>
      <w:marRight w:val="0"/>
      <w:marTop w:val="0"/>
      <w:marBottom w:val="0"/>
      <w:divBdr>
        <w:top w:val="none" w:sz="0" w:space="0" w:color="auto"/>
        <w:left w:val="none" w:sz="0" w:space="0" w:color="auto"/>
        <w:bottom w:val="none" w:sz="0" w:space="0" w:color="auto"/>
        <w:right w:val="none" w:sz="0" w:space="0" w:color="auto"/>
      </w:divBdr>
    </w:div>
    <w:div w:id="199914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16AC9-4747-4F4D-AFAC-04130432E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12896</Words>
  <Characters>73510</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2026-07-12T11:35:00Z</dcterms:created>
  <dcterms:modified xsi:type="dcterms:W3CDTF">2026-07-31T14:47:00Z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2026-07-11T18:58:54Z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fbf9ba1a-ac65-4997-b68b-41265f974796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DocStatus">
    <vt:lpwstr>Green</vt:lpwstr>
  </property>
  <property fmtid="{D5CDD505-2E9C-101B-9397-08002B2CF9AE}" pid="18" name="CPTemplateID">
    <vt:lpwstr>CP-039</vt:lpwstr>
  </property>
</Properties>
</file>