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1A39C4" w14:textId="77ADA499" w:rsidR="009015DE" w:rsidRDefault="00CA0078" w:rsidP="00CA0078">
      <w:pPr>
        <w:pStyle w:val="Pagedecouverture"/>
        <w:rPr>
          <w:noProof/>
        </w:rPr>
      </w:pPr>
      <w:bookmarkStart w:id="0" w:name="LW_BM_COVERPAGE"/>
      <w:r>
        <w:rPr>
          <w:noProof/>
        </w:rPr>
        <w:pict w14:anchorId="2675D4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88F65C9-E992-4D35-86DF-DDA68B445E37" style="width:455.25pt;height:480pt">
            <v:imagedata r:id="rId11" o:title=""/>
          </v:shape>
        </w:pict>
      </w:r>
    </w:p>
    <w:bookmarkEnd w:id="0"/>
    <w:p w14:paraId="2A3CD110" w14:textId="3D780777" w:rsidR="00DB54CD" w:rsidRPr="00D16622" w:rsidRDefault="00DB54CD" w:rsidP="009015DE">
      <w:pPr>
        <w:pStyle w:val="Pagedecouverture"/>
        <w:rPr>
          <w:noProof/>
        </w:rPr>
        <w:sectPr w:rsidR="00DB54CD" w:rsidRPr="00D16622" w:rsidSect="00CA007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4783327" w14:textId="601CD502" w:rsidR="00477E80" w:rsidRPr="00D16622" w:rsidRDefault="000243C2" w:rsidP="004A0C93">
      <w:pPr>
        <w:pStyle w:val="ListParagraph"/>
        <w:numPr>
          <w:ilvl w:val="0"/>
          <w:numId w:val="1"/>
        </w:numPr>
        <w:spacing w:after="120" w:line="240" w:lineRule="auto"/>
        <w:ind w:left="357" w:hanging="357"/>
        <w:contextualSpacing w:val="0"/>
        <w:rPr>
          <w:rFonts w:ascii="Times New Roman" w:hAnsi="Times New Roman" w:cs="Times New Roman"/>
          <w:b/>
          <w:noProof/>
          <w:sz w:val="24"/>
          <w:szCs w:val="24"/>
        </w:rPr>
      </w:pPr>
      <w:bookmarkStart w:id="1" w:name="_GoBack"/>
      <w:bookmarkEnd w:id="1"/>
      <w:r w:rsidRPr="00D16622">
        <w:rPr>
          <w:rFonts w:ascii="Times New Roman" w:hAnsi="Times New Roman" w:cs="Times New Roman"/>
          <w:b/>
          <w:noProof/>
          <w:sz w:val="24"/>
          <w:szCs w:val="24"/>
        </w:rPr>
        <w:lastRenderedPageBreak/>
        <w:t xml:space="preserve">INTRODUCTION </w:t>
      </w:r>
    </w:p>
    <w:p w14:paraId="33D98DDF" w14:textId="52680EFB" w:rsidR="00CC3521" w:rsidRPr="00D16622" w:rsidRDefault="00CC3521" w:rsidP="00CC3521">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The rule of law lies at the heart of the European project as one of the values on which the European Union is founded. The EU’s prosperity, security and democratic resilience depend on respect for the rule of law and the Union’s common values. E</w:t>
      </w:r>
      <w:r w:rsidR="00D40490" w:rsidRPr="00D16622">
        <w:rPr>
          <w:rFonts w:ascii="Times New Roman" w:hAnsi="Times New Roman" w:cs="Times New Roman"/>
          <w:noProof/>
          <w:sz w:val="24"/>
          <w:szCs w:val="24"/>
        </w:rPr>
        <w:t>uropeans</w:t>
      </w:r>
      <w:r w:rsidRPr="00D16622">
        <w:rPr>
          <w:rFonts w:ascii="Times New Roman" w:hAnsi="Times New Roman" w:cs="Times New Roman"/>
          <w:noProof/>
          <w:sz w:val="24"/>
          <w:szCs w:val="24"/>
        </w:rPr>
        <w:t xml:space="preserve"> </w:t>
      </w:r>
      <w:r w:rsidR="00D40490" w:rsidRPr="00D16622">
        <w:rPr>
          <w:rFonts w:ascii="Times New Roman" w:hAnsi="Times New Roman" w:cs="Times New Roman"/>
          <w:noProof/>
          <w:sz w:val="24"/>
          <w:szCs w:val="24"/>
        </w:rPr>
        <w:t xml:space="preserve">consider </w:t>
      </w:r>
      <w:r w:rsidRPr="00D16622">
        <w:rPr>
          <w:rFonts w:ascii="Times New Roman" w:hAnsi="Times New Roman" w:cs="Times New Roman"/>
          <w:noProof/>
          <w:sz w:val="24"/>
          <w:szCs w:val="24"/>
        </w:rPr>
        <w:t xml:space="preserve">democracy, human rights and the rule of law </w:t>
      </w:r>
      <w:r w:rsidR="00D40490" w:rsidRPr="00D16622">
        <w:rPr>
          <w:rFonts w:ascii="Times New Roman" w:hAnsi="Times New Roman" w:cs="Times New Roman"/>
          <w:noProof/>
          <w:sz w:val="24"/>
          <w:szCs w:val="24"/>
        </w:rPr>
        <w:t>to be</w:t>
      </w:r>
      <w:r w:rsidRPr="00D16622">
        <w:rPr>
          <w:rFonts w:ascii="Times New Roman" w:hAnsi="Times New Roman" w:cs="Times New Roman"/>
          <w:noProof/>
          <w:sz w:val="24"/>
          <w:szCs w:val="24"/>
        </w:rPr>
        <w:t xml:space="preserve"> among the </w:t>
      </w:r>
      <w:r w:rsidR="00D40490" w:rsidRPr="00D16622">
        <w:rPr>
          <w:rFonts w:ascii="Times New Roman" w:hAnsi="Times New Roman" w:cs="Times New Roman"/>
          <w:noProof/>
          <w:sz w:val="24"/>
          <w:szCs w:val="24"/>
        </w:rPr>
        <w:t>E</w:t>
      </w:r>
      <w:r w:rsidRPr="00D16622">
        <w:rPr>
          <w:rFonts w:ascii="Times New Roman" w:hAnsi="Times New Roman" w:cs="Times New Roman"/>
          <w:noProof/>
          <w:sz w:val="24"/>
          <w:szCs w:val="24"/>
        </w:rPr>
        <w:t>U’s greatest strengths</w:t>
      </w:r>
      <w:r w:rsidR="005A4E46" w:rsidRPr="00D16622">
        <w:rPr>
          <w:rStyle w:val="FootnoteReference"/>
          <w:rFonts w:cs="Times New Roman"/>
          <w:noProof/>
        </w:rPr>
        <w:footnoteReference w:id="2"/>
      </w:r>
      <w:r w:rsidRPr="00D16622">
        <w:rPr>
          <w:rFonts w:ascii="Times New Roman" w:hAnsi="Times New Roman" w:cs="Times New Roman"/>
          <w:noProof/>
          <w:sz w:val="24"/>
          <w:szCs w:val="24"/>
        </w:rPr>
        <w:t xml:space="preserve">. At a time when the international rules-based order, fundamental rights and democratic systems increasingly </w:t>
      </w:r>
      <w:r w:rsidR="00D40490" w:rsidRPr="00D16622">
        <w:rPr>
          <w:rFonts w:ascii="Times New Roman" w:hAnsi="Times New Roman" w:cs="Times New Roman"/>
          <w:noProof/>
          <w:sz w:val="24"/>
          <w:szCs w:val="24"/>
        </w:rPr>
        <w:t>come</w:t>
      </w:r>
      <w:r w:rsidRPr="00D16622">
        <w:rPr>
          <w:rFonts w:ascii="Times New Roman" w:hAnsi="Times New Roman" w:cs="Times New Roman"/>
          <w:noProof/>
          <w:sz w:val="24"/>
          <w:szCs w:val="24"/>
        </w:rPr>
        <w:t xml:space="preserve"> under pressure, safeguarding these values is more important than ever. Strong rule of law standards are essential not only to uphold citizens’ trust in public institutions, ensure the protection of their rights, and underpin democracy, but also to reinforce Europe’s attractiveness for investment and business activity and </w:t>
      </w:r>
      <w:r w:rsidR="002371E1" w:rsidRPr="00D16622">
        <w:rPr>
          <w:rFonts w:ascii="Times New Roman" w:hAnsi="Times New Roman" w:cs="Times New Roman"/>
          <w:noProof/>
          <w:sz w:val="24"/>
          <w:szCs w:val="24"/>
        </w:rPr>
        <w:t xml:space="preserve">boost </w:t>
      </w:r>
      <w:r w:rsidRPr="00D16622">
        <w:rPr>
          <w:rFonts w:ascii="Times New Roman" w:hAnsi="Times New Roman" w:cs="Times New Roman"/>
          <w:noProof/>
          <w:sz w:val="24"/>
          <w:szCs w:val="24"/>
        </w:rPr>
        <w:t>the Union’s long-term competitiveness.</w:t>
      </w:r>
    </w:p>
    <w:p w14:paraId="3C247E00" w14:textId="03ABC674" w:rsidR="00CC3521" w:rsidRPr="00D16622" w:rsidRDefault="00CC3521" w:rsidP="00CC3521">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Since its launch in 2020, the Rule of Law Report has become a well-established instrument, with its recommendations increasingly acting as drivers of reform thanks to closer engagement with Member States throughout the annual cycle. The stronger focus on the Single Market dimension, introduced last year, reflects the central role of the rule of law for ensuring legal certainty, and a predictable environment where businesses can benefit from the Single Market on </w:t>
      </w:r>
      <w:r w:rsidR="000479AF" w:rsidRPr="00D16622">
        <w:rPr>
          <w:rFonts w:ascii="Times New Roman" w:hAnsi="Times New Roman" w:cs="Times New Roman"/>
          <w:noProof/>
          <w:sz w:val="24"/>
          <w:szCs w:val="24"/>
        </w:rPr>
        <w:t xml:space="preserve">an </w:t>
      </w:r>
      <w:r w:rsidRPr="00D16622">
        <w:rPr>
          <w:rFonts w:ascii="Times New Roman" w:hAnsi="Times New Roman" w:cs="Times New Roman"/>
          <w:noProof/>
          <w:sz w:val="24"/>
          <w:szCs w:val="24"/>
        </w:rPr>
        <w:t xml:space="preserve">equal footing across the Union. </w:t>
      </w:r>
    </w:p>
    <w:p w14:paraId="5F02A59B" w14:textId="2B1E8D7E" w:rsidR="00CC3521" w:rsidRPr="00D16622" w:rsidRDefault="00CC3521" w:rsidP="00CC3521">
      <w:pPr>
        <w:spacing w:after="120" w:line="240" w:lineRule="auto"/>
        <w:jc w:val="both"/>
        <w:rPr>
          <w:rFonts w:ascii="Times New Roman" w:hAnsi="Times New Roman" w:cs="Times New Roman"/>
          <w:noProof/>
          <w:sz w:val="24"/>
          <w:szCs w:val="24"/>
          <w:lang w:val="en-IE"/>
        </w:rPr>
      </w:pPr>
      <w:r w:rsidRPr="00D16622">
        <w:rPr>
          <w:rFonts w:ascii="Times New Roman" w:hAnsi="Times New Roman" w:cs="Times New Roman"/>
          <w:noProof/>
          <w:sz w:val="24"/>
          <w:szCs w:val="24"/>
          <w:lang w:val="en-IE"/>
        </w:rPr>
        <w:t>In a context of continued geopolitical instability, promoti</w:t>
      </w:r>
      <w:r w:rsidR="004B500E" w:rsidRPr="00D16622">
        <w:rPr>
          <w:rFonts w:ascii="Times New Roman" w:hAnsi="Times New Roman" w:cs="Times New Roman"/>
          <w:noProof/>
          <w:sz w:val="24"/>
          <w:szCs w:val="24"/>
          <w:lang w:val="en-IE"/>
        </w:rPr>
        <w:t>ng</w:t>
      </w:r>
      <w:r w:rsidRPr="00D16622">
        <w:rPr>
          <w:rFonts w:ascii="Times New Roman" w:hAnsi="Times New Roman" w:cs="Times New Roman"/>
          <w:noProof/>
          <w:sz w:val="24"/>
          <w:szCs w:val="24"/>
          <w:lang w:val="en-IE"/>
        </w:rPr>
        <w:t xml:space="preserve"> and protecti</w:t>
      </w:r>
      <w:r w:rsidR="004B500E" w:rsidRPr="00D16622">
        <w:rPr>
          <w:rFonts w:ascii="Times New Roman" w:hAnsi="Times New Roman" w:cs="Times New Roman"/>
          <w:noProof/>
          <w:sz w:val="24"/>
          <w:szCs w:val="24"/>
          <w:lang w:val="en-IE"/>
        </w:rPr>
        <w:t>ng</w:t>
      </w:r>
      <w:r w:rsidRPr="00D16622">
        <w:rPr>
          <w:rFonts w:ascii="Times New Roman" w:hAnsi="Times New Roman" w:cs="Times New Roman"/>
          <w:noProof/>
          <w:sz w:val="24"/>
          <w:szCs w:val="24"/>
          <w:lang w:val="en-IE"/>
        </w:rPr>
        <w:t xml:space="preserve"> the rule of law </w:t>
      </w:r>
      <w:r w:rsidRPr="00D16622">
        <w:rPr>
          <w:rFonts w:ascii="Times New Roman" w:hAnsi="Times New Roman" w:cs="Times New Roman"/>
          <w:noProof/>
          <w:sz w:val="24"/>
          <w:szCs w:val="24"/>
        </w:rPr>
        <w:t>beyond its borders</w:t>
      </w:r>
      <w:r w:rsidRPr="00D16622">
        <w:rPr>
          <w:rFonts w:ascii="Times New Roman" w:hAnsi="Times New Roman" w:cs="Times New Roman"/>
          <w:noProof/>
          <w:sz w:val="24"/>
          <w:szCs w:val="24"/>
          <w:lang w:val="en-IE"/>
        </w:rPr>
        <w:t xml:space="preserve"> </w:t>
      </w:r>
      <w:r w:rsidRPr="00D16622">
        <w:rPr>
          <w:rFonts w:ascii="Times New Roman" w:hAnsi="Times New Roman" w:cs="Times New Roman"/>
          <w:noProof/>
          <w:sz w:val="24"/>
          <w:szCs w:val="24"/>
        </w:rPr>
        <w:t>remains a key strategic goal for the Union</w:t>
      </w:r>
      <w:r w:rsidRPr="00D16622">
        <w:rPr>
          <w:rFonts w:ascii="Times New Roman" w:hAnsi="Times New Roman" w:cs="Times New Roman"/>
          <w:noProof/>
          <w:sz w:val="24"/>
          <w:szCs w:val="24"/>
          <w:lang w:val="en-IE"/>
        </w:rPr>
        <w:t xml:space="preserve">. </w:t>
      </w:r>
      <w:r w:rsidRPr="00D16622">
        <w:rPr>
          <w:rFonts w:ascii="Times New Roman" w:hAnsi="Times New Roman" w:cs="Times New Roman"/>
          <w:noProof/>
          <w:sz w:val="24"/>
          <w:szCs w:val="24"/>
        </w:rPr>
        <w:t xml:space="preserve">The participation of </w:t>
      </w:r>
      <w:r w:rsidRPr="00D16622">
        <w:rPr>
          <w:rFonts w:ascii="Times New Roman" w:hAnsi="Times New Roman" w:cs="Times New Roman"/>
          <w:noProof/>
          <w:sz w:val="24"/>
          <w:szCs w:val="24"/>
          <w:lang w:val="en-IE"/>
        </w:rPr>
        <w:t xml:space="preserve">enlargement countries alongside </w:t>
      </w:r>
      <w:r w:rsidRPr="00D16622">
        <w:rPr>
          <w:rFonts w:ascii="Times New Roman" w:hAnsi="Times New Roman" w:cs="Times New Roman"/>
          <w:noProof/>
          <w:sz w:val="24"/>
          <w:szCs w:val="24"/>
        </w:rPr>
        <w:t>EU Member States in the Rule of Law Report</w:t>
      </w:r>
      <w:r w:rsidRPr="00D16622">
        <w:rPr>
          <w:rFonts w:ascii="Times New Roman" w:hAnsi="Times New Roman" w:cs="Times New Roman"/>
          <w:noProof/>
          <w:sz w:val="24"/>
          <w:szCs w:val="24"/>
          <w:lang w:val="en-IE"/>
        </w:rPr>
        <w:t xml:space="preserve"> and the gradual inclusion of additional enlargement </w:t>
      </w:r>
      <w:r w:rsidR="00832D3B" w:rsidRPr="00D16622">
        <w:rPr>
          <w:rFonts w:ascii="Times New Roman" w:hAnsi="Times New Roman" w:cs="Times New Roman"/>
          <w:noProof/>
          <w:sz w:val="24"/>
          <w:szCs w:val="24"/>
          <w:lang w:val="en-IE"/>
        </w:rPr>
        <w:t>partners</w:t>
      </w:r>
      <w:r w:rsidRPr="00D16622">
        <w:rPr>
          <w:rFonts w:ascii="Times New Roman" w:hAnsi="Times New Roman" w:cs="Times New Roman"/>
          <w:noProof/>
          <w:sz w:val="24"/>
          <w:szCs w:val="24"/>
          <w:lang w:val="en-IE"/>
        </w:rPr>
        <w:t>, as and when ready</w:t>
      </w:r>
      <w:r w:rsidRPr="00D16622">
        <w:rPr>
          <w:rStyle w:val="FootnoteReference"/>
          <w:rFonts w:cs="Times New Roman"/>
          <w:noProof/>
        </w:rPr>
        <w:footnoteReference w:id="3"/>
      </w:r>
      <w:r w:rsidRPr="00D16622">
        <w:rPr>
          <w:rFonts w:ascii="Times New Roman" w:hAnsi="Times New Roman" w:cs="Times New Roman"/>
          <w:noProof/>
          <w:sz w:val="24"/>
          <w:szCs w:val="24"/>
          <w:lang w:val="en-IE"/>
        </w:rPr>
        <w:t>, further support</w:t>
      </w:r>
      <w:r w:rsidR="000005FF" w:rsidRPr="00D16622">
        <w:rPr>
          <w:rFonts w:ascii="Times New Roman" w:hAnsi="Times New Roman" w:cs="Times New Roman"/>
          <w:noProof/>
          <w:sz w:val="24"/>
          <w:szCs w:val="24"/>
          <w:lang w:val="en-IE"/>
        </w:rPr>
        <w:t>s</w:t>
      </w:r>
      <w:r w:rsidRPr="00D16622">
        <w:rPr>
          <w:rFonts w:ascii="Times New Roman" w:hAnsi="Times New Roman" w:cs="Times New Roman"/>
          <w:noProof/>
          <w:sz w:val="24"/>
          <w:szCs w:val="24"/>
          <w:lang w:val="en-IE"/>
        </w:rPr>
        <w:t xml:space="preserve"> their reform efforts to anchor the rule of law firmly and irreversibly ahead of accession, </w:t>
      </w:r>
      <w:r w:rsidRPr="00D16622">
        <w:rPr>
          <w:rFonts w:ascii="Times New Roman" w:hAnsi="Times New Roman" w:cs="Times New Roman"/>
          <w:noProof/>
          <w:sz w:val="24"/>
          <w:szCs w:val="24"/>
        </w:rPr>
        <w:t>and to guarantee that these high standards are sustained after accession.</w:t>
      </w:r>
    </w:p>
    <w:p w14:paraId="039822D3" w14:textId="7540E719" w:rsidR="00CC3521" w:rsidRPr="00D16622" w:rsidRDefault="00A8767E" w:rsidP="00CC3521">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Through its annual assessment of the state of the rule of law in each EU Member State, the </w:t>
      </w:r>
      <w:r w:rsidR="007F7368" w:rsidRPr="00D16622">
        <w:rPr>
          <w:rFonts w:ascii="Times New Roman" w:hAnsi="Times New Roman" w:cs="Times New Roman"/>
          <w:noProof/>
          <w:sz w:val="24"/>
          <w:szCs w:val="24"/>
        </w:rPr>
        <w:t>R</w:t>
      </w:r>
      <w:r w:rsidRPr="00D16622">
        <w:rPr>
          <w:rFonts w:ascii="Times New Roman" w:hAnsi="Times New Roman" w:cs="Times New Roman"/>
          <w:noProof/>
          <w:sz w:val="24"/>
          <w:szCs w:val="24"/>
        </w:rPr>
        <w:t>eport provides a single reference point that contributes to dialogue and mutual trust between the EU and Member States. Its recommendations are meant to guide action by Member States in undertaking reforms that address key challenges and strengthen the rule of law</w:t>
      </w:r>
      <w:r w:rsidR="004477D3" w:rsidRPr="00D16622">
        <w:rPr>
          <w:rFonts w:ascii="Times New Roman" w:hAnsi="Times New Roman" w:cs="Times New Roman"/>
          <w:noProof/>
          <w:sz w:val="24"/>
          <w:szCs w:val="24"/>
        </w:rPr>
        <w:t>, w</w:t>
      </w:r>
      <w:r w:rsidRPr="00D16622">
        <w:rPr>
          <w:rFonts w:ascii="Times New Roman" w:hAnsi="Times New Roman" w:cs="Times New Roman"/>
          <w:noProof/>
          <w:sz w:val="24"/>
          <w:szCs w:val="24"/>
        </w:rPr>
        <w:t>h</w:t>
      </w:r>
      <w:r w:rsidR="004477D3" w:rsidRPr="00D16622">
        <w:rPr>
          <w:rFonts w:ascii="Times New Roman" w:hAnsi="Times New Roman" w:cs="Times New Roman"/>
          <w:noProof/>
          <w:sz w:val="24"/>
          <w:szCs w:val="24"/>
        </w:rPr>
        <w:t>ich</w:t>
      </w:r>
      <w:r w:rsidRPr="00D16622">
        <w:rPr>
          <w:rFonts w:ascii="Times New Roman" w:hAnsi="Times New Roman" w:cs="Times New Roman"/>
          <w:noProof/>
          <w:sz w:val="24"/>
          <w:szCs w:val="24"/>
        </w:rPr>
        <w:t xml:space="preserve"> has contributed to building positive reform dynamic</w:t>
      </w:r>
      <w:r w:rsidR="004477D3" w:rsidRPr="00D16622">
        <w:rPr>
          <w:rFonts w:ascii="Times New Roman" w:hAnsi="Times New Roman" w:cs="Times New Roman"/>
          <w:noProof/>
          <w:sz w:val="24"/>
          <w:szCs w:val="24"/>
        </w:rPr>
        <w:t>s</w:t>
      </w:r>
      <w:r w:rsidR="00CC3521" w:rsidRPr="00D16622">
        <w:rPr>
          <w:rStyle w:val="FootnoteReference"/>
          <w:rFonts w:cs="Times New Roman"/>
          <w:noProof/>
        </w:rPr>
        <w:footnoteReference w:id="4"/>
      </w:r>
      <w:r w:rsidRPr="00D16622">
        <w:rPr>
          <w:rFonts w:ascii="Times New Roman" w:hAnsi="Times New Roman" w:cs="Times New Roman"/>
          <w:noProof/>
          <w:sz w:val="24"/>
          <w:szCs w:val="24"/>
        </w:rPr>
        <w:t xml:space="preserve">. The </w:t>
      </w:r>
      <w:r w:rsidR="00E41A17" w:rsidRPr="00D16622">
        <w:rPr>
          <w:rFonts w:ascii="Times New Roman" w:hAnsi="Times New Roman" w:cs="Times New Roman"/>
          <w:noProof/>
          <w:sz w:val="24"/>
          <w:szCs w:val="24"/>
        </w:rPr>
        <w:t>R</w:t>
      </w:r>
      <w:r w:rsidRPr="00D16622">
        <w:rPr>
          <w:rFonts w:ascii="Times New Roman" w:hAnsi="Times New Roman" w:cs="Times New Roman"/>
          <w:noProof/>
          <w:sz w:val="24"/>
          <w:szCs w:val="24"/>
        </w:rPr>
        <w:t xml:space="preserve">eport’s findings </w:t>
      </w:r>
      <w:r w:rsidR="005663B4" w:rsidRPr="00D16622">
        <w:rPr>
          <w:rFonts w:ascii="Times New Roman" w:hAnsi="Times New Roman" w:cs="Times New Roman"/>
          <w:noProof/>
          <w:sz w:val="24"/>
          <w:szCs w:val="24"/>
        </w:rPr>
        <w:t>are also</w:t>
      </w:r>
      <w:r w:rsidRPr="00D16622">
        <w:rPr>
          <w:rFonts w:ascii="Times New Roman" w:hAnsi="Times New Roman" w:cs="Times New Roman"/>
          <w:noProof/>
          <w:sz w:val="24"/>
          <w:szCs w:val="24"/>
        </w:rPr>
        <w:t xml:space="preserve"> a source of information in the application of other instruments, notably the Conditionality Regulation</w:t>
      </w:r>
      <w:r w:rsidRPr="00D16622">
        <w:rPr>
          <w:rStyle w:val="FootnoteReference"/>
          <w:rFonts w:cs="Times New Roman"/>
          <w:noProof/>
        </w:rPr>
        <w:footnoteReference w:id="5"/>
      </w:r>
      <w:r w:rsidRPr="00D16622">
        <w:rPr>
          <w:rFonts w:ascii="Times New Roman" w:hAnsi="Times New Roman" w:cs="Times New Roman"/>
          <w:noProof/>
          <w:sz w:val="24"/>
          <w:szCs w:val="24"/>
        </w:rPr>
        <w:t xml:space="preserve">. </w:t>
      </w:r>
      <w:r w:rsidR="002C098C" w:rsidRPr="00D16622">
        <w:rPr>
          <w:rFonts w:ascii="Times New Roman" w:hAnsi="Times New Roman" w:cs="Times New Roman"/>
          <w:noProof/>
          <w:sz w:val="24"/>
          <w:szCs w:val="24"/>
        </w:rPr>
        <w:t xml:space="preserve">The </w:t>
      </w:r>
      <w:r w:rsidRPr="00D16622">
        <w:rPr>
          <w:rFonts w:ascii="Times New Roman" w:hAnsi="Times New Roman" w:cs="Times New Roman"/>
          <w:noProof/>
          <w:sz w:val="24"/>
          <w:szCs w:val="24"/>
        </w:rPr>
        <w:t>essential role</w:t>
      </w:r>
      <w:r w:rsidR="002C098C" w:rsidRPr="00D16622">
        <w:rPr>
          <w:rFonts w:ascii="Times New Roman" w:hAnsi="Times New Roman" w:cs="Times New Roman"/>
          <w:noProof/>
          <w:sz w:val="24"/>
          <w:szCs w:val="24"/>
        </w:rPr>
        <w:t xml:space="preserve"> of the Report</w:t>
      </w:r>
      <w:r w:rsidRPr="00D16622">
        <w:rPr>
          <w:rFonts w:ascii="Times New Roman" w:hAnsi="Times New Roman" w:cs="Times New Roman"/>
          <w:noProof/>
          <w:sz w:val="24"/>
          <w:szCs w:val="24"/>
        </w:rPr>
        <w:t xml:space="preserve"> in promoting reforms, supporting good governance and ensuring that rule of law challenges are being addressed in a pre-emptive manner is also reflected in the Commission’s proposal for the next Multiannual Financial Framework (MFF)</w:t>
      </w:r>
      <w:r w:rsidR="00CC3521" w:rsidRPr="00D16622">
        <w:rPr>
          <w:rStyle w:val="FootnoteReference"/>
          <w:rFonts w:cs="Times New Roman"/>
          <w:noProof/>
        </w:rPr>
        <w:footnoteReference w:id="6"/>
      </w:r>
      <w:r w:rsidR="00CC3521" w:rsidRPr="00D16622">
        <w:rPr>
          <w:rFonts w:ascii="Times New Roman" w:hAnsi="Times New Roman" w:cs="Times New Roman"/>
          <w:noProof/>
          <w:sz w:val="24"/>
          <w:szCs w:val="24"/>
        </w:rPr>
        <w:t>.</w:t>
      </w:r>
    </w:p>
    <w:p w14:paraId="38071F1B" w14:textId="55EEA8B6" w:rsidR="00477E80" w:rsidRPr="00D16622" w:rsidRDefault="00EB4B07" w:rsidP="00EE0398">
      <w:pPr>
        <w:pStyle w:val="ListParagraph"/>
        <w:keepNext/>
        <w:numPr>
          <w:ilvl w:val="0"/>
          <w:numId w:val="1"/>
        </w:numPr>
        <w:spacing w:before="360" w:after="120" w:line="240" w:lineRule="auto"/>
        <w:ind w:left="357" w:hanging="357"/>
        <w:contextualSpacing w:val="0"/>
        <w:jc w:val="both"/>
        <w:rPr>
          <w:rFonts w:ascii="Times New Roman" w:hAnsi="Times New Roman" w:cs="Times New Roman"/>
          <w:b/>
          <w:noProof/>
          <w:sz w:val="24"/>
          <w:szCs w:val="24"/>
        </w:rPr>
      </w:pPr>
      <w:r w:rsidRPr="00D16622">
        <w:rPr>
          <w:rFonts w:ascii="Times New Roman" w:hAnsi="Times New Roman" w:cs="Times New Roman"/>
          <w:b/>
          <w:noProof/>
          <w:sz w:val="24"/>
          <w:szCs w:val="24"/>
        </w:rPr>
        <w:t>UPHOLDING THE RULE OF LAW: DEVELOPMENTS AND ACTION AT EU LEVEL</w:t>
      </w:r>
    </w:p>
    <w:p w14:paraId="13188916" w14:textId="5E7FA753" w:rsidR="000859D7" w:rsidRPr="00D16622" w:rsidRDefault="008C3501" w:rsidP="00E73D35">
      <w:pPr>
        <w:spacing w:after="120" w:line="240" w:lineRule="auto"/>
        <w:jc w:val="both"/>
        <w:rPr>
          <w:rFonts w:ascii="Times New Roman" w:hAnsi="Times New Roman" w:cs="Times New Roman"/>
          <w:noProof/>
          <w:sz w:val="24"/>
          <w:szCs w:val="24"/>
          <w:lang w:val="en-IE"/>
        </w:rPr>
      </w:pPr>
      <w:r w:rsidRPr="00D16622">
        <w:rPr>
          <w:rFonts w:ascii="Times New Roman" w:hAnsi="Times New Roman" w:cs="Times New Roman"/>
          <w:noProof/>
          <w:sz w:val="24"/>
          <w:szCs w:val="24"/>
          <w:lang w:val="en-IE"/>
        </w:rPr>
        <w:t>T</w:t>
      </w:r>
      <w:r w:rsidR="64F867DA" w:rsidRPr="00D16622">
        <w:rPr>
          <w:rFonts w:ascii="Times New Roman" w:hAnsi="Times New Roman" w:cs="Times New Roman"/>
          <w:noProof/>
          <w:sz w:val="24"/>
          <w:szCs w:val="24"/>
          <w:lang w:val="en-IE"/>
        </w:rPr>
        <w:t>he Rule of Law Report</w:t>
      </w:r>
      <w:r w:rsidR="004515C7" w:rsidRPr="00D16622">
        <w:rPr>
          <w:rFonts w:ascii="Times New Roman" w:hAnsi="Times New Roman" w:cs="Times New Roman"/>
          <w:noProof/>
          <w:sz w:val="24"/>
          <w:szCs w:val="24"/>
          <w:lang w:val="en-IE"/>
        </w:rPr>
        <w:t xml:space="preserve"> is</w:t>
      </w:r>
      <w:r w:rsidR="00E10A84" w:rsidRPr="00D16622">
        <w:rPr>
          <w:rFonts w:ascii="Times New Roman" w:hAnsi="Times New Roman" w:cs="Times New Roman"/>
          <w:noProof/>
          <w:sz w:val="24"/>
          <w:szCs w:val="24"/>
          <w:lang w:val="en-IE"/>
        </w:rPr>
        <w:t xml:space="preserve"> </w:t>
      </w:r>
      <w:r w:rsidR="0038179D" w:rsidRPr="00D16622">
        <w:rPr>
          <w:rFonts w:ascii="Times New Roman" w:hAnsi="Times New Roman" w:cs="Times New Roman"/>
          <w:noProof/>
          <w:sz w:val="24"/>
          <w:szCs w:val="24"/>
          <w:lang w:val="en-IE"/>
        </w:rPr>
        <w:t>a</w:t>
      </w:r>
      <w:r w:rsidR="001B7653" w:rsidRPr="00D16622">
        <w:rPr>
          <w:rFonts w:ascii="Times New Roman" w:hAnsi="Times New Roman" w:cs="Times New Roman"/>
          <w:noProof/>
          <w:sz w:val="24"/>
          <w:szCs w:val="24"/>
          <w:lang w:val="en-IE"/>
        </w:rPr>
        <w:t xml:space="preserve"> </w:t>
      </w:r>
      <w:r w:rsidR="004172DE" w:rsidRPr="00D16622">
        <w:rPr>
          <w:rFonts w:ascii="Times New Roman" w:hAnsi="Times New Roman" w:cs="Times New Roman"/>
          <w:noProof/>
          <w:sz w:val="24"/>
          <w:szCs w:val="24"/>
          <w:lang w:val="en-IE"/>
        </w:rPr>
        <w:t>central pillar</w:t>
      </w:r>
      <w:r w:rsidR="0038179D" w:rsidRPr="00D16622">
        <w:rPr>
          <w:rFonts w:ascii="Times New Roman" w:hAnsi="Times New Roman" w:cs="Times New Roman"/>
          <w:noProof/>
          <w:sz w:val="24"/>
          <w:szCs w:val="24"/>
          <w:lang w:val="en-IE"/>
        </w:rPr>
        <w:t xml:space="preserve"> of the EU’s rule of law architecture</w:t>
      </w:r>
      <w:r w:rsidR="0025786B" w:rsidRPr="00D16622">
        <w:rPr>
          <w:rStyle w:val="FootnoteReference"/>
          <w:rFonts w:cs="Times New Roman"/>
          <w:noProof/>
        </w:rPr>
        <w:footnoteReference w:id="7"/>
      </w:r>
      <w:r w:rsidR="00BF047E" w:rsidRPr="00D16622">
        <w:rPr>
          <w:rFonts w:ascii="Times New Roman" w:hAnsi="Times New Roman" w:cs="Times New Roman"/>
          <w:noProof/>
          <w:sz w:val="24"/>
          <w:szCs w:val="24"/>
          <w:lang w:val="en-IE"/>
        </w:rPr>
        <w:t>.</w:t>
      </w:r>
      <w:r w:rsidR="002C036F" w:rsidRPr="00D16622">
        <w:rPr>
          <w:rFonts w:ascii="Times New Roman" w:hAnsi="Times New Roman" w:cs="Times New Roman"/>
          <w:noProof/>
          <w:sz w:val="24"/>
          <w:szCs w:val="24"/>
          <w:lang w:val="en-IE"/>
        </w:rPr>
        <w:t xml:space="preserve"> </w:t>
      </w:r>
      <w:r w:rsidR="0025786B" w:rsidRPr="00D16622">
        <w:rPr>
          <w:rFonts w:ascii="Times New Roman" w:hAnsi="Times New Roman" w:cs="Times New Roman"/>
          <w:noProof/>
          <w:sz w:val="24"/>
          <w:szCs w:val="24"/>
          <w:lang w:val="en-IE"/>
        </w:rPr>
        <w:t>This architecture</w:t>
      </w:r>
      <w:r w:rsidR="004515C7" w:rsidRPr="00D16622">
        <w:rPr>
          <w:rFonts w:ascii="Times New Roman" w:hAnsi="Times New Roman" w:cs="Times New Roman"/>
          <w:noProof/>
          <w:sz w:val="24"/>
          <w:szCs w:val="24"/>
          <w:lang w:val="en-IE"/>
        </w:rPr>
        <w:t xml:space="preserve"> </w:t>
      </w:r>
      <w:r w:rsidR="002C036F" w:rsidRPr="00D16622">
        <w:rPr>
          <w:rFonts w:ascii="Times New Roman" w:hAnsi="Times New Roman" w:cs="Times New Roman"/>
          <w:noProof/>
          <w:sz w:val="24"/>
          <w:szCs w:val="24"/>
          <w:lang w:val="en-IE"/>
        </w:rPr>
        <w:t>consists of</w:t>
      </w:r>
      <w:r w:rsidR="008160CC" w:rsidRPr="00D16622">
        <w:rPr>
          <w:rFonts w:ascii="Times New Roman" w:hAnsi="Times New Roman" w:cs="Times New Roman"/>
          <w:noProof/>
          <w:sz w:val="24"/>
          <w:szCs w:val="24"/>
          <w:lang w:val="en-IE"/>
        </w:rPr>
        <w:t xml:space="preserve"> </w:t>
      </w:r>
      <w:r w:rsidR="190EF90B" w:rsidRPr="00D16622">
        <w:rPr>
          <w:rFonts w:ascii="Times New Roman" w:hAnsi="Times New Roman" w:cs="Times New Roman"/>
          <w:noProof/>
          <w:sz w:val="24"/>
          <w:szCs w:val="24"/>
          <w:lang w:val="en-IE"/>
        </w:rPr>
        <w:t xml:space="preserve">a </w:t>
      </w:r>
      <w:r w:rsidR="31720230" w:rsidRPr="00D16622">
        <w:rPr>
          <w:rFonts w:ascii="Times New Roman" w:hAnsi="Times New Roman" w:cs="Times New Roman"/>
          <w:noProof/>
          <w:sz w:val="24"/>
          <w:szCs w:val="24"/>
          <w:lang w:val="en-IE"/>
        </w:rPr>
        <w:t>diverse set of</w:t>
      </w:r>
      <w:r w:rsidR="190EF90B" w:rsidRPr="00D16622">
        <w:rPr>
          <w:rFonts w:ascii="Times New Roman" w:hAnsi="Times New Roman" w:cs="Times New Roman"/>
          <w:noProof/>
          <w:sz w:val="24"/>
          <w:szCs w:val="24"/>
          <w:lang w:val="en-IE"/>
        </w:rPr>
        <w:t xml:space="preserve"> </w:t>
      </w:r>
      <w:r w:rsidR="002749F0" w:rsidRPr="00D16622">
        <w:rPr>
          <w:rFonts w:ascii="Times New Roman" w:hAnsi="Times New Roman" w:cs="Times New Roman"/>
          <w:noProof/>
          <w:sz w:val="24"/>
          <w:szCs w:val="24"/>
          <w:lang w:val="en-IE"/>
        </w:rPr>
        <w:t>instruments</w:t>
      </w:r>
      <w:r w:rsidR="190EF90B" w:rsidRPr="00D16622">
        <w:rPr>
          <w:rFonts w:ascii="Times New Roman" w:hAnsi="Times New Roman" w:cs="Times New Roman"/>
          <w:noProof/>
          <w:sz w:val="24"/>
          <w:szCs w:val="24"/>
          <w:lang w:val="en-IE"/>
        </w:rPr>
        <w:t xml:space="preserve"> that </w:t>
      </w:r>
      <w:r w:rsidR="648D3B74" w:rsidRPr="00D16622">
        <w:rPr>
          <w:rFonts w:ascii="Times New Roman" w:hAnsi="Times New Roman" w:cs="Times New Roman"/>
          <w:noProof/>
          <w:sz w:val="24"/>
          <w:szCs w:val="24"/>
          <w:lang w:val="en-IE"/>
        </w:rPr>
        <w:t>aim</w:t>
      </w:r>
      <w:r w:rsidR="190EF90B" w:rsidRPr="00D16622">
        <w:rPr>
          <w:rFonts w:ascii="Times New Roman" w:hAnsi="Times New Roman" w:cs="Times New Roman"/>
          <w:noProof/>
          <w:sz w:val="24"/>
          <w:szCs w:val="24"/>
          <w:lang w:val="en-IE"/>
        </w:rPr>
        <w:t xml:space="preserve"> </w:t>
      </w:r>
      <w:r w:rsidR="648D3B74" w:rsidRPr="00D16622">
        <w:rPr>
          <w:rFonts w:ascii="Times New Roman" w:hAnsi="Times New Roman" w:cs="Times New Roman"/>
          <w:noProof/>
          <w:sz w:val="24"/>
          <w:szCs w:val="24"/>
          <w:lang w:val="en-IE"/>
        </w:rPr>
        <w:t xml:space="preserve">to </w:t>
      </w:r>
      <w:r w:rsidR="004E7D62" w:rsidRPr="00D16622">
        <w:rPr>
          <w:rFonts w:ascii="Times New Roman" w:hAnsi="Times New Roman" w:cs="Times New Roman"/>
          <w:noProof/>
          <w:sz w:val="24"/>
          <w:szCs w:val="24"/>
          <w:lang w:val="en-IE"/>
        </w:rPr>
        <w:t>foster</w:t>
      </w:r>
      <w:r w:rsidR="009737F0" w:rsidRPr="00D16622">
        <w:rPr>
          <w:rFonts w:ascii="Times New Roman" w:hAnsi="Times New Roman" w:cs="Times New Roman"/>
          <w:noProof/>
          <w:sz w:val="24"/>
          <w:szCs w:val="24"/>
          <w:lang w:val="en-IE"/>
        </w:rPr>
        <w:t>, protect and uphold the rule of law across the Union</w:t>
      </w:r>
      <w:r w:rsidR="64F867DA" w:rsidRPr="00D16622">
        <w:rPr>
          <w:rFonts w:ascii="Times New Roman" w:hAnsi="Times New Roman" w:cs="Times New Roman"/>
          <w:noProof/>
          <w:sz w:val="24"/>
          <w:szCs w:val="24"/>
          <w:lang w:val="en-IE"/>
        </w:rPr>
        <w:t>.</w:t>
      </w:r>
      <w:r w:rsidR="58B4621C" w:rsidRPr="00D16622">
        <w:rPr>
          <w:rFonts w:ascii="Times New Roman" w:hAnsi="Times New Roman" w:cs="Times New Roman"/>
          <w:noProof/>
          <w:sz w:val="24"/>
          <w:szCs w:val="24"/>
          <w:lang w:val="en-IE"/>
        </w:rPr>
        <w:t xml:space="preserve"> </w:t>
      </w:r>
      <w:r w:rsidR="002C036F" w:rsidRPr="00D16622">
        <w:rPr>
          <w:rFonts w:ascii="Times New Roman" w:hAnsi="Times New Roman" w:cs="Times New Roman"/>
          <w:noProof/>
          <w:sz w:val="24"/>
          <w:szCs w:val="24"/>
          <w:lang w:val="en-IE"/>
        </w:rPr>
        <w:t xml:space="preserve">The </w:t>
      </w:r>
      <w:r w:rsidR="00AC1553" w:rsidRPr="00D16622">
        <w:rPr>
          <w:rFonts w:ascii="Times New Roman" w:hAnsi="Times New Roman" w:cs="Times New Roman"/>
          <w:noProof/>
          <w:sz w:val="24"/>
          <w:szCs w:val="24"/>
          <w:lang w:val="en-IE"/>
        </w:rPr>
        <w:t>R</w:t>
      </w:r>
      <w:r w:rsidR="002C036F" w:rsidRPr="00D16622">
        <w:rPr>
          <w:rFonts w:ascii="Times New Roman" w:hAnsi="Times New Roman" w:cs="Times New Roman"/>
          <w:noProof/>
          <w:sz w:val="24"/>
          <w:szCs w:val="24"/>
          <w:lang w:val="en-IE"/>
        </w:rPr>
        <w:t>eport’s</w:t>
      </w:r>
      <w:r w:rsidR="00757B2B" w:rsidRPr="00D16622">
        <w:rPr>
          <w:rFonts w:ascii="Times New Roman" w:hAnsi="Times New Roman" w:cs="Times New Roman"/>
          <w:noProof/>
          <w:sz w:val="24"/>
          <w:szCs w:val="24"/>
          <w:lang w:val="en-IE"/>
        </w:rPr>
        <w:t xml:space="preserve"> </w:t>
      </w:r>
      <w:r w:rsidR="58B4621C" w:rsidRPr="00D16622">
        <w:rPr>
          <w:rFonts w:ascii="Times New Roman" w:hAnsi="Times New Roman" w:cs="Times New Roman"/>
          <w:noProof/>
          <w:sz w:val="24"/>
          <w:szCs w:val="24"/>
          <w:lang w:val="en-IE"/>
        </w:rPr>
        <w:t>objective</w:t>
      </w:r>
      <w:r w:rsidR="00C75E54" w:rsidRPr="00D16622">
        <w:rPr>
          <w:rFonts w:ascii="Times New Roman" w:hAnsi="Times New Roman" w:cs="Times New Roman"/>
          <w:noProof/>
          <w:sz w:val="24"/>
          <w:szCs w:val="24"/>
          <w:lang w:val="en-IE"/>
        </w:rPr>
        <w:t>s</w:t>
      </w:r>
      <w:r w:rsidR="7F276CB1" w:rsidRPr="00D16622">
        <w:rPr>
          <w:rFonts w:ascii="Times New Roman" w:hAnsi="Times New Roman" w:cs="Times New Roman"/>
          <w:noProof/>
          <w:sz w:val="24"/>
          <w:szCs w:val="24"/>
          <w:lang w:val="en-IE"/>
        </w:rPr>
        <w:t xml:space="preserve"> </w:t>
      </w:r>
      <w:r w:rsidR="00C75E54" w:rsidRPr="00D16622">
        <w:rPr>
          <w:rFonts w:ascii="Times New Roman" w:hAnsi="Times New Roman" w:cs="Times New Roman"/>
          <w:noProof/>
          <w:sz w:val="24"/>
          <w:szCs w:val="24"/>
          <w:lang w:val="en-IE"/>
        </w:rPr>
        <w:t>are</w:t>
      </w:r>
      <w:r w:rsidR="7F276CB1" w:rsidRPr="00D16622">
        <w:rPr>
          <w:rFonts w:ascii="Times New Roman" w:hAnsi="Times New Roman" w:cs="Times New Roman"/>
          <w:noProof/>
          <w:sz w:val="24"/>
          <w:szCs w:val="24"/>
          <w:lang w:val="en-IE"/>
        </w:rPr>
        <w:t xml:space="preserve"> to</w:t>
      </w:r>
      <w:r w:rsidR="00AA3CB7" w:rsidRPr="00D16622">
        <w:rPr>
          <w:rFonts w:ascii="Times New Roman" w:hAnsi="Times New Roman" w:cs="Times New Roman"/>
          <w:noProof/>
          <w:sz w:val="24"/>
          <w:szCs w:val="24"/>
          <w:lang w:val="en-IE"/>
        </w:rPr>
        <w:t xml:space="preserve"> </w:t>
      </w:r>
      <w:r w:rsidR="00AD11F5" w:rsidRPr="00D16622">
        <w:rPr>
          <w:rFonts w:ascii="Times New Roman" w:hAnsi="Times New Roman" w:cs="Times New Roman"/>
          <w:b/>
          <w:bCs/>
          <w:noProof/>
          <w:sz w:val="24"/>
          <w:szCs w:val="24"/>
          <w:lang w:val="en-IE"/>
        </w:rPr>
        <w:t>promote</w:t>
      </w:r>
      <w:r w:rsidR="7F276CB1" w:rsidRPr="00D16622">
        <w:rPr>
          <w:rFonts w:ascii="Times New Roman" w:hAnsi="Times New Roman" w:cs="Times New Roman"/>
          <w:b/>
          <w:bCs/>
          <w:noProof/>
          <w:sz w:val="24"/>
          <w:szCs w:val="24"/>
          <w:lang w:val="en-IE"/>
        </w:rPr>
        <w:t xml:space="preserve"> </w:t>
      </w:r>
      <w:r w:rsidR="00AA3CB7" w:rsidRPr="00D16622">
        <w:rPr>
          <w:rFonts w:ascii="Times New Roman" w:hAnsi="Times New Roman" w:cs="Times New Roman"/>
          <w:noProof/>
          <w:sz w:val="24"/>
          <w:szCs w:val="24"/>
          <w:lang w:val="en-IE"/>
        </w:rPr>
        <w:t>a</w:t>
      </w:r>
      <w:r w:rsidR="002B7BEE" w:rsidRPr="00D16622">
        <w:rPr>
          <w:rFonts w:ascii="Times New Roman" w:hAnsi="Times New Roman" w:cs="Times New Roman"/>
          <w:noProof/>
          <w:sz w:val="24"/>
          <w:szCs w:val="24"/>
          <w:lang w:val="en-IE"/>
        </w:rPr>
        <w:t xml:space="preserve"> strong</w:t>
      </w:r>
      <w:r w:rsidR="00AA3CB7" w:rsidRPr="00D16622">
        <w:rPr>
          <w:rFonts w:ascii="Times New Roman" w:hAnsi="Times New Roman" w:cs="Times New Roman"/>
          <w:noProof/>
          <w:sz w:val="24"/>
          <w:szCs w:val="24"/>
          <w:lang w:val="en-IE"/>
        </w:rPr>
        <w:t xml:space="preserve"> rule of law culture</w:t>
      </w:r>
      <w:r w:rsidR="002B7BEE" w:rsidRPr="00D16622">
        <w:rPr>
          <w:rFonts w:ascii="Times New Roman" w:hAnsi="Times New Roman" w:cs="Times New Roman"/>
          <w:b/>
          <w:noProof/>
          <w:sz w:val="24"/>
          <w:szCs w:val="24"/>
          <w:lang w:val="en-IE"/>
        </w:rPr>
        <w:t>,</w:t>
      </w:r>
      <w:r w:rsidR="00AA3CB7" w:rsidRPr="00D16622">
        <w:rPr>
          <w:rFonts w:ascii="Times New Roman" w:hAnsi="Times New Roman" w:cs="Times New Roman"/>
          <w:b/>
          <w:noProof/>
          <w:sz w:val="24"/>
          <w:szCs w:val="24"/>
          <w:lang w:val="en-IE"/>
        </w:rPr>
        <w:t xml:space="preserve"> </w:t>
      </w:r>
      <w:r w:rsidR="55B42849" w:rsidRPr="00D16622">
        <w:rPr>
          <w:rFonts w:ascii="Times New Roman" w:hAnsi="Times New Roman" w:cs="Times New Roman"/>
          <w:b/>
          <w:noProof/>
          <w:sz w:val="24"/>
          <w:szCs w:val="24"/>
          <w:lang w:val="en-IE"/>
        </w:rPr>
        <w:t xml:space="preserve">prevent </w:t>
      </w:r>
      <w:r w:rsidR="55B42849" w:rsidRPr="00D16622">
        <w:rPr>
          <w:rFonts w:ascii="Times New Roman" w:hAnsi="Times New Roman" w:cs="Times New Roman"/>
          <w:noProof/>
          <w:sz w:val="24"/>
          <w:szCs w:val="24"/>
          <w:lang w:val="en-IE"/>
        </w:rPr>
        <w:t xml:space="preserve">rule of law problems from emerging, </w:t>
      </w:r>
      <w:r w:rsidR="2BBCB262" w:rsidRPr="00D16622">
        <w:rPr>
          <w:rFonts w:ascii="Times New Roman" w:hAnsi="Times New Roman" w:cs="Times New Roman"/>
          <w:noProof/>
          <w:sz w:val="24"/>
          <w:szCs w:val="24"/>
          <w:lang w:val="en-IE"/>
        </w:rPr>
        <w:t xml:space="preserve">and to </w:t>
      </w:r>
      <w:r w:rsidR="68AB50AD" w:rsidRPr="00D16622">
        <w:rPr>
          <w:rFonts w:ascii="Times New Roman" w:hAnsi="Times New Roman" w:cs="Times New Roman"/>
          <w:b/>
          <w:noProof/>
          <w:sz w:val="24"/>
          <w:szCs w:val="24"/>
          <w:lang w:val="en-IE"/>
        </w:rPr>
        <w:t xml:space="preserve">respond </w:t>
      </w:r>
      <w:r w:rsidR="68AB50AD" w:rsidRPr="00D16622">
        <w:rPr>
          <w:rFonts w:ascii="Times New Roman" w:hAnsi="Times New Roman" w:cs="Times New Roman"/>
          <w:noProof/>
          <w:sz w:val="24"/>
          <w:szCs w:val="24"/>
          <w:lang w:val="en-IE"/>
        </w:rPr>
        <w:t xml:space="preserve">effectively to </w:t>
      </w:r>
      <w:r w:rsidR="42B046F4" w:rsidRPr="00D16622">
        <w:rPr>
          <w:rFonts w:ascii="Times New Roman" w:hAnsi="Times New Roman" w:cs="Times New Roman"/>
          <w:noProof/>
          <w:sz w:val="24"/>
          <w:szCs w:val="24"/>
          <w:lang w:val="en-IE"/>
        </w:rPr>
        <w:t>serious and persistent challenges.</w:t>
      </w:r>
      <w:r w:rsidR="64F867DA" w:rsidRPr="00D16622">
        <w:rPr>
          <w:rFonts w:ascii="Times New Roman" w:hAnsi="Times New Roman" w:cs="Times New Roman"/>
          <w:noProof/>
          <w:sz w:val="24"/>
          <w:szCs w:val="24"/>
          <w:lang w:val="en-IE"/>
        </w:rPr>
        <w:t xml:space="preserve"> </w:t>
      </w:r>
    </w:p>
    <w:p w14:paraId="2DBDEEC4" w14:textId="0ED68517" w:rsidR="00F71E2E" w:rsidRPr="00D16622" w:rsidRDefault="00F71E2E" w:rsidP="00EE0398">
      <w:pPr>
        <w:keepNext/>
        <w:spacing w:before="180" w:after="120" w:line="240" w:lineRule="auto"/>
        <w:jc w:val="both"/>
        <w:rPr>
          <w:rFonts w:ascii="Times New Roman" w:hAnsi="Times New Roman" w:cs="Times New Roman"/>
          <w:b/>
          <w:bCs/>
          <w:i/>
          <w:iCs/>
          <w:noProof/>
          <w:sz w:val="24"/>
          <w:szCs w:val="24"/>
        </w:rPr>
      </w:pPr>
      <w:r w:rsidRPr="00D16622">
        <w:rPr>
          <w:rFonts w:ascii="Times New Roman" w:hAnsi="Times New Roman" w:cs="Times New Roman"/>
          <w:b/>
          <w:bCs/>
          <w:i/>
          <w:iCs/>
          <w:noProof/>
          <w:sz w:val="24"/>
          <w:szCs w:val="24"/>
        </w:rPr>
        <w:t>2.1</w:t>
      </w:r>
      <w:r w:rsidR="00F63A1F" w:rsidRPr="00D16622">
        <w:rPr>
          <w:rFonts w:ascii="Times New Roman" w:hAnsi="Times New Roman" w:cs="Times New Roman"/>
          <w:b/>
          <w:bCs/>
          <w:i/>
          <w:iCs/>
          <w:noProof/>
          <w:sz w:val="24"/>
          <w:szCs w:val="24"/>
        </w:rPr>
        <w:tab/>
      </w:r>
      <w:r w:rsidR="00EB4B07" w:rsidRPr="00D16622">
        <w:rPr>
          <w:rFonts w:ascii="Times New Roman" w:hAnsi="Times New Roman" w:cs="Times New Roman"/>
          <w:b/>
          <w:i/>
          <w:noProof/>
          <w:sz w:val="24"/>
          <w:szCs w:val="24"/>
        </w:rPr>
        <w:t>An integrated rule of law cycle</w:t>
      </w:r>
    </w:p>
    <w:p w14:paraId="695ABFD9" w14:textId="33BD4D86" w:rsidR="00EF5AE0" w:rsidRPr="00D16622" w:rsidRDefault="00105AFC" w:rsidP="003543F6">
      <w:pPr>
        <w:spacing w:after="120" w:line="240" w:lineRule="auto"/>
        <w:jc w:val="both"/>
        <w:rPr>
          <w:rFonts w:ascii="Times New Roman" w:eastAsia="Aptos" w:hAnsi="Times New Roman" w:cs="Times New Roman"/>
          <w:noProof/>
          <w:sz w:val="24"/>
          <w:szCs w:val="24"/>
        </w:rPr>
      </w:pPr>
      <w:r w:rsidRPr="00D16622">
        <w:rPr>
          <w:rFonts w:ascii="Times New Roman" w:eastAsia="Aptos" w:hAnsi="Times New Roman" w:cs="Times New Roman"/>
          <w:noProof/>
          <w:sz w:val="24"/>
          <w:szCs w:val="24"/>
        </w:rPr>
        <w:t xml:space="preserve">In her 2025 State of the Union speech, President von der Leyen called for </w:t>
      </w:r>
      <w:r w:rsidR="00D60B7B" w:rsidRPr="00D16622">
        <w:rPr>
          <w:rFonts w:ascii="Times New Roman" w:eastAsia="Aptos" w:hAnsi="Times New Roman" w:cs="Times New Roman"/>
          <w:noProof/>
          <w:sz w:val="24"/>
          <w:szCs w:val="24"/>
        </w:rPr>
        <w:t xml:space="preserve">an </w:t>
      </w:r>
      <w:r w:rsidR="00D60B7B" w:rsidRPr="00D16622">
        <w:rPr>
          <w:rFonts w:ascii="Times New Roman" w:eastAsia="Aptos" w:hAnsi="Times New Roman" w:cs="Times New Roman"/>
          <w:b/>
          <w:bCs/>
          <w:noProof/>
          <w:sz w:val="24"/>
          <w:szCs w:val="24"/>
        </w:rPr>
        <w:t xml:space="preserve">integrated annual cycle on the </w:t>
      </w:r>
      <w:r w:rsidR="35886738" w:rsidRPr="00D16622">
        <w:rPr>
          <w:rFonts w:ascii="Times New Roman" w:eastAsia="Aptos" w:hAnsi="Times New Roman" w:cs="Times New Roman"/>
          <w:b/>
          <w:bCs/>
          <w:noProof/>
          <w:sz w:val="24"/>
          <w:szCs w:val="24"/>
        </w:rPr>
        <w:t>R</w:t>
      </w:r>
      <w:r w:rsidR="7DE65658" w:rsidRPr="00D16622">
        <w:rPr>
          <w:rFonts w:ascii="Times New Roman" w:eastAsia="Aptos" w:hAnsi="Times New Roman" w:cs="Times New Roman"/>
          <w:b/>
          <w:bCs/>
          <w:noProof/>
          <w:sz w:val="24"/>
          <w:szCs w:val="24"/>
        </w:rPr>
        <w:t>ule</w:t>
      </w:r>
      <w:r w:rsidR="1E83DDC5" w:rsidRPr="00D16622">
        <w:rPr>
          <w:rFonts w:ascii="Times New Roman" w:eastAsia="Aptos" w:hAnsi="Times New Roman" w:cs="Times New Roman"/>
          <w:b/>
          <w:bCs/>
          <w:noProof/>
          <w:sz w:val="24"/>
          <w:szCs w:val="24"/>
        </w:rPr>
        <w:t xml:space="preserve"> of </w:t>
      </w:r>
      <w:r w:rsidR="0AF1AFCF" w:rsidRPr="00D16622">
        <w:rPr>
          <w:rFonts w:ascii="Times New Roman" w:eastAsia="Aptos" w:hAnsi="Times New Roman" w:cs="Times New Roman"/>
          <w:b/>
          <w:bCs/>
          <w:noProof/>
          <w:sz w:val="24"/>
          <w:szCs w:val="24"/>
        </w:rPr>
        <w:t>L</w:t>
      </w:r>
      <w:r w:rsidR="1E83DDC5" w:rsidRPr="00D16622">
        <w:rPr>
          <w:rFonts w:ascii="Times New Roman" w:eastAsia="Aptos" w:hAnsi="Times New Roman" w:cs="Times New Roman"/>
          <w:b/>
          <w:bCs/>
          <w:noProof/>
          <w:sz w:val="24"/>
          <w:szCs w:val="24"/>
        </w:rPr>
        <w:t>aw</w:t>
      </w:r>
      <w:r w:rsidR="00D60B7B" w:rsidRPr="00D16622">
        <w:rPr>
          <w:rFonts w:ascii="Times New Roman" w:eastAsia="Aptos" w:hAnsi="Times New Roman" w:cs="Times New Roman"/>
          <w:noProof/>
          <w:sz w:val="24"/>
          <w:szCs w:val="24"/>
        </w:rPr>
        <w:t xml:space="preserve">, </w:t>
      </w:r>
      <w:r w:rsidR="00771484" w:rsidRPr="00D16622">
        <w:rPr>
          <w:rFonts w:ascii="Times New Roman" w:eastAsia="Aptos" w:hAnsi="Times New Roman" w:cs="Times New Roman"/>
          <w:noProof/>
          <w:sz w:val="24"/>
          <w:szCs w:val="24"/>
        </w:rPr>
        <w:t xml:space="preserve">built around </w:t>
      </w:r>
      <w:r w:rsidR="00D60B7B" w:rsidRPr="00D16622">
        <w:rPr>
          <w:rFonts w:ascii="Times New Roman" w:eastAsia="Aptos" w:hAnsi="Times New Roman" w:cs="Times New Roman"/>
          <w:noProof/>
          <w:sz w:val="24"/>
          <w:szCs w:val="24"/>
        </w:rPr>
        <w:t xml:space="preserve">a common </w:t>
      </w:r>
      <w:r w:rsidR="00BC2C5E" w:rsidRPr="00D16622">
        <w:rPr>
          <w:rFonts w:ascii="Times New Roman" w:eastAsia="Aptos" w:hAnsi="Times New Roman" w:cs="Times New Roman"/>
          <w:noProof/>
          <w:sz w:val="24"/>
          <w:szCs w:val="24"/>
        </w:rPr>
        <w:t>rhythm, clear milestones, and contributions from all</w:t>
      </w:r>
      <w:r w:rsidR="00BF0890" w:rsidRPr="00D16622">
        <w:rPr>
          <w:rFonts w:ascii="Times New Roman" w:eastAsia="Aptos" w:hAnsi="Times New Roman" w:cs="Times New Roman"/>
          <w:noProof/>
          <w:sz w:val="24"/>
          <w:szCs w:val="24"/>
        </w:rPr>
        <w:t xml:space="preserve"> EU</w:t>
      </w:r>
      <w:r w:rsidR="00BC2C5E" w:rsidRPr="00D16622">
        <w:rPr>
          <w:rFonts w:ascii="Times New Roman" w:eastAsia="Aptos" w:hAnsi="Times New Roman" w:cs="Times New Roman"/>
          <w:noProof/>
          <w:sz w:val="24"/>
          <w:szCs w:val="24"/>
        </w:rPr>
        <w:t xml:space="preserve"> institutions. </w:t>
      </w:r>
      <w:r w:rsidR="00C94C60" w:rsidRPr="00D16622">
        <w:rPr>
          <w:rFonts w:ascii="Times New Roman" w:eastAsia="Aptos" w:hAnsi="Times New Roman" w:cs="Times New Roman"/>
          <w:noProof/>
          <w:sz w:val="24"/>
          <w:szCs w:val="24"/>
        </w:rPr>
        <w:t xml:space="preserve">The institutions </w:t>
      </w:r>
      <w:r w:rsidR="00F34448" w:rsidRPr="00D16622">
        <w:rPr>
          <w:rFonts w:ascii="Times New Roman" w:eastAsia="Aptos" w:hAnsi="Times New Roman" w:cs="Times New Roman"/>
          <w:noProof/>
          <w:sz w:val="24"/>
          <w:szCs w:val="24"/>
        </w:rPr>
        <w:t>have a</w:t>
      </w:r>
      <w:r w:rsidR="00C94C60" w:rsidRPr="00D16622">
        <w:rPr>
          <w:rFonts w:ascii="Times New Roman" w:eastAsia="Aptos" w:hAnsi="Times New Roman" w:cs="Times New Roman"/>
          <w:noProof/>
          <w:sz w:val="24"/>
          <w:szCs w:val="24"/>
        </w:rPr>
        <w:t xml:space="preserve"> share</w:t>
      </w:r>
      <w:r w:rsidR="00F34448" w:rsidRPr="00D16622">
        <w:rPr>
          <w:rFonts w:ascii="Times New Roman" w:eastAsia="Aptos" w:hAnsi="Times New Roman" w:cs="Times New Roman"/>
          <w:noProof/>
          <w:sz w:val="24"/>
          <w:szCs w:val="24"/>
        </w:rPr>
        <w:t>d</w:t>
      </w:r>
      <w:r w:rsidR="00C94C60" w:rsidRPr="00D16622">
        <w:rPr>
          <w:rFonts w:ascii="Times New Roman" w:eastAsia="Aptos" w:hAnsi="Times New Roman" w:cs="Times New Roman"/>
          <w:noProof/>
          <w:sz w:val="24"/>
          <w:szCs w:val="24"/>
        </w:rPr>
        <w:t xml:space="preserve"> duty to </w:t>
      </w:r>
      <w:r w:rsidR="00F34448" w:rsidRPr="00D16622">
        <w:rPr>
          <w:rFonts w:ascii="Times New Roman" w:eastAsia="Aptos" w:hAnsi="Times New Roman" w:cs="Times New Roman"/>
          <w:noProof/>
          <w:sz w:val="24"/>
          <w:szCs w:val="24"/>
        </w:rPr>
        <w:t xml:space="preserve">help </w:t>
      </w:r>
      <w:r w:rsidR="001F5E7A" w:rsidRPr="00D16622">
        <w:rPr>
          <w:rFonts w:ascii="Times New Roman" w:eastAsia="Aptos" w:hAnsi="Times New Roman" w:cs="Times New Roman"/>
          <w:noProof/>
          <w:sz w:val="24"/>
          <w:szCs w:val="24"/>
        </w:rPr>
        <w:t>promot</w:t>
      </w:r>
      <w:r w:rsidR="00513579" w:rsidRPr="00D16622">
        <w:rPr>
          <w:rFonts w:ascii="Times New Roman" w:eastAsia="Aptos" w:hAnsi="Times New Roman" w:cs="Times New Roman"/>
          <w:noProof/>
          <w:sz w:val="24"/>
          <w:szCs w:val="24"/>
        </w:rPr>
        <w:t>e</w:t>
      </w:r>
      <w:r w:rsidR="001F5E7A" w:rsidRPr="00D16622">
        <w:rPr>
          <w:rFonts w:ascii="Times New Roman" w:eastAsia="Aptos" w:hAnsi="Times New Roman" w:cs="Times New Roman"/>
          <w:noProof/>
          <w:sz w:val="24"/>
          <w:szCs w:val="24"/>
        </w:rPr>
        <w:t xml:space="preserve"> and </w:t>
      </w:r>
      <w:r w:rsidR="00C94C60" w:rsidRPr="00D16622">
        <w:rPr>
          <w:rFonts w:ascii="Times New Roman" w:eastAsia="Aptos" w:hAnsi="Times New Roman" w:cs="Times New Roman"/>
          <w:noProof/>
          <w:sz w:val="24"/>
          <w:szCs w:val="24"/>
        </w:rPr>
        <w:t xml:space="preserve">uphold the rule of law </w:t>
      </w:r>
      <w:r w:rsidR="00213500" w:rsidRPr="00D16622">
        <w:rPr>
          <w:rFonts w:ascii="Times New Roman" w:eastAsia="Aptos" w:hAnsi="Times New Roman" w:cs="Times New Roman"/>
          <w:noProof/>
          <w:sz w:val="24"/>
          <w:szCs w:val="24"/>
        </w:rPr>
        <w:t xml:space="preserve">under </w:t>
      </w:r>
      <w:r w:rsidR="00C94C60" w:rsidRPr="00D16622">
        <w:rPr>
          <w:rFonts w:ascii="Times New Roman" w:eastAsia="Aptos" w:hAnsi="Times New Roman" w:cs="Times New Roman"/>
          <w:noProof/>
          <w:sz w:val="24"/>
          <w:szCs w:val="24"/>
        </w:rPr>
        <w:t>their respective prerogatives</w:t>
      </w:r>
      <w:r w:rsidR="70456298" w:rsidRPr="00D16622">
        <w:rPr>
          <w:rFonts w:ascii="Times New Roman" w:eastAsia="Aptos" w:hAnsi="Times New Roman" w:cs="Times New Roman"/>
          <w:noProof/>
          <w:sz w:val="24"/>
          <w:szCs w:val="24"/>
        </w:rPr>
        <w:t>. A</w:t>
      </w:r>
      <w:r w:rsidR="0FDF0803" w:rsidRPr="00D16622">
        <w:rPr>
          <w:rFonts w:ascii="Times New Roman" w:eastAsia="Aptos" w:hAnsi="Times New Roman" w:cs="Times New Roman"/>
          <w:noProof/>
          <w:sz w:val="24"/>
          <w:szCs w:val="24"/>
        </w:rPr>
        <w:t>s</w:t>
      </w:r>
      <w:r w:rsidR="009501E9" w:rsidRPr="00D16622">
        <w:rPr>
          <w:rFonts w:ascii="Times New Roman" w:eastAsia="Aptos" w:hAnsi="Times New Roman" w:cs="Times New Roman"/>
          <w:noProof/>
          <w:sz w:val="24"/>
          <w:szCs w:val="24"/>
        </w:rPr>
        <w:t xml:space="preserve"> part of this year’s </w:t>
      </w:r>
      <w:r w:rsidR="00C8639F" w:rsidRPr="00D16622">
        <w:rPr>
          <w:rFonts w:ascii="Times New Roman" w:eastAsia="Aptos" w:hAnsi="Times New Roman" w:cs="Times New Roman"/>
          <w:noProof/>
          <w:sz w:val="24"/>
          <w:szCs w:val="24"/>
        </w:rPr>
        <w:t xml:space="preserve">rule of law </w:t>
      </w:r>
      <w:r w:rsidR="009501E9" w:rsidRPr="00D16622">
        <w:rPr>
          <w:rFonts w:ascii="Times New Roman" w:eastAsia="Aptos" w:hAnsi="Times New Roman" w:cs="Times New Roman"/>
          <w:noProof/>
          <w:sz w:val="24"/>
          <w:szCs w:val="24"/>
        </w:rPr>
        <w:t>cycle</w:t>
      </w:r>
      <w:r w:rsidR="003D2B28" w:rsidRPr="00D16622">
        <w:rPr>
          <w:rFonts w:ascii="Times New Roman" w:eastAsia="Aptos" w:hAnsi="Times New Roman" w:cs="Times New Roman"/>
          <w:noProof/>
          <w:sz w:val="24"/>
          <w:szCs w:val="24"/>
        </w:rPr>
        <w:t>,</w:t>
      </w:r>
      <w:r w:rsidR="009501E9" w:rsidRPr="00D16622">
        <w:rPr>
          <w:rFonts w:ascii="Times New Roman" w:eastAsia="Aptos" w:hAnsi="Times New Roman" w:cs="Times New Roman"/>
          <w:noProof/>
          <w:sz w:val="24"/>
          <w:szCs w:val="24"/>
        </w:rPr>
        <w:t xml:space="preserve"> the Commission has sought to </w:t>
      </w:r>
      <w:r w:rsidR="00F81DFE" w:rsidRPr="00D16622">
        <w:rPr>
          <w:rFonts w:ascii="Times New Roman" w:eastAsia="Aptos" w:hAnsi="Times New Roman" w:cs="Times New Roman"/>
          <w:noProof/>
          <w:sz w:val="24"/>
          <w:szCs w:val="24"/>
        </w:rPr>
        <w:t xml:space="preserve">further </w:t>
      </w:r>
      <w:r w:rsidR="009501E9" w:rsidRPr="00D16622">
        <w:rPr>
          <w:rFonts w:ascii="Times New Roman" w:eastAsia="Aptos" w:hAnsi="Times New Roman" w:cs="Times New Roman"/>
          <w:noProof/>
          <w:sz w:val="24"/>
          <w:szCs w:val="24"/>
        </w:rPr>
        <w:t>deepen</w:t>
      </w:r>
      <w:r w:rsidR="00F81DFE" w:rsidRPr="00D16622">
        <w:rPr>
          <w:rFonts w:ascii="Times New Roman" w:eastAsia="Aptos" w:hAnsi="Times New Roman" w:cs="Times New Roman"/>
          <w:noProof/>
          <w:sz w:val="24"/>
          <w:szCs w:val="24"/>
        </w:rPr>
        <w:t xml:space="preserve"> engagement with </w:t>
      </w:r>
      <w:r w:rsidR="00CD6853" w:rsidRPr="00D16622">
        <w:rPr>
          <w:rFonts w:ascii="Times New Roman" w:eastAsia="Aptos" w:hAnsi="Times New Roman" w:cs="Times New Roman"/>
          <w:noProof/>
          <w:sz w:val="24"/>
          <w:szCs w:val="24"/>
        </w:rPr>
        <w:t>the European</w:t>
      </w:r>
      <w:r w:rsidR="00F81DFE" w:rsidRPr="00D16622">
        <w:rPr>
          <w:rFonts w:ascii="Times New Roman" w:eastAsia="Aptos" w:hAnsi="Times New Roman" w:cs="Times New Roman"/>
          <w:noProof/>
          <w:sz w:val="24"/>
          <w:szCs w:val="24"/>
        </w:rPr>
        <w:t xml:space="preserve"> Parliament and Member States</w:t>
      </w:r>
      <w:r w:rsidR="00DC2CFB" w:rsidRPr="00D16622">
        <w:rPr>
          <w:rFonts w:ascii="Times New Roman" w:eastAsia="Aptos" w:hAnsi="Times New Roman" w:cs="Times New Roman"/>
          <w:noProof/>
          <w:sz w:val="24"/>
          <w:szCs w:val="24"/>
        </w:rPr>
        <w:t xml:space="preserve"> by </w:t>
      </w:r>
      <w:r w:rsidR="008B27CE" w:rsidRPr="00D16622">
        <w:rPr>
          <w:rFonts w:ascii="Times New Roman" w:eastAsia="Aptos" w:hAnsi="Times New Roman" w:cs="Times New Roman"/>
          <w:noProof/>
          <w:sz w:val="24"/>
          <w:szCs w:val="24"/>
        </w:rPr>
        <w:t>strengthening outreach and coordination</w:t>
      </w:r>
      <w:r w:rsidR="00B50762" w:rsidRPr="00D16622">
        <w:rPr>
          <w:rFonts w:ascii="Times New Roman" w:eastAsia="Aptos" w:hAnsi="Times New Roman" w:cs="Times New Roman"/>
          <w:noProof/>
          <w:sz w:val="24"/>
          <w:szCs w:val="24"/>
        </w:rPr>
        <w:t xml:space="preserve">. </w:t>
      </w:r>
    </w:p>
    <w:p w14:paraId="687CA664" w14:textId="45411214" w:rsidR="002D4152" w:rsidRPr="00D16622" w:rsidRDefault="002D4152" w:rsidP="003543F6">
      <w:pPr>
        <w:spacing w:after="120" w:line="240" w:lineRule="auto"/>
        <w:jc w:val="both"/>
        <w:rPr>
          <w:rFonts w:ascii="Times New Roman" w:eastAsia="Aptos" w:hAnsi="Times New Roman" w:cs="Times New Roman"/>
          <w:noProof/>
          <w:sz w:val="24"/>
          <w:szCs w:val="24"/>
        </w:rPr>
      </w:pPr>
      <w:r w:rsidRPr="00D16622">
        <w:rPr>
          <w:rFonts w:ascii="Times New Roman" w:eastAsia="Aptos" w:hAnsi="Times New Roman" w:cs="Times New Roman"/>
          <w:noProof/>
          <w:sz w:val="24"/>
          <w:szCs w:val="24"/>
        </w:rPr>
        <w:t xml:space="preserve">The Report is prepared through </w:t>
      </w:r>
      <w:r w:rsidRPr="00D16622">
        <w:rPr>
          <w:rFonts w:ascii="Times New Roman" w:hAnsi="Times New Roman" w:cs="Times New Roman"/>
          <w:noProof/>
          <w:sz w:val="24"/>
          <w:szCs w:val="24"/>
        </w:rPr>
        <w:t>consistent</w:t>
      </w:r>
      <w:r w:rsidRPr="00D16622">
        <w:rPr>
          <w:rFonts w:ascii="Times New Roman" w:eastAsia="Aptos" w:hAnsi="Times New Roman" w:cs="Times New Roman"/>
          <w:noProof/>
          <w:sz w:val="24"/>
          <w:szCs w:val="24"/>
        </w:rPr>
        <w:t xml:space="preserve"> and intensive engagement with </w:t>
      </w:r>
      <w:r w:rsidR="00163086" w:rsidRPr="00D16622">
        <w:rPr>
          <w:rFonts w:ascii="Times New Roman" w:eastAsia="Aptos" w:hAnsi="Times New Roman" w:cs="Times New Roman"/>
          <w:noProof/>
          <w:sz w:val="24"/>
          <w:szCs w:val="24"/>
        </w:rPr>
        <w:t xml:space="preserve">the </w:t>
      </w:r>
      <w:r w:rsidRPr="00D16622">
        <w:rPr>
          <w:rFonts w:ascii="Times New Roman" w:eastAsia="Aptos" w:hAnsi="Times New Roman" w:cs="Times New Roman"/>
          <w:noProof/>
          <w:sz w:val="24"/>
          <w:szCs w:val="24"/>
        </w:rPr>
        <w:t>Member States and other stakeholders at national and EU level</w:t>
      </w:r>
      <w:r w:rsidR="00901FD8" w:rsidRPr="00D16622">
        <w:rPr>
          <w:rStyle w:val="FootnoteReference"/>
          <w:rFonts w:cs="Times New Roman"/>
          <w:noProof/>
        </w:rPr>
        <w:footnoteReference w:id="8"/>
      </w:r>
      <w:r w:rsidRPr="00D16622">
        <w:rPr>
          <w:rFonts w:ascii="Times New Roman" w:eastAsia="Aptos" w:hAnsi="Times New Roman" w:cs="Times New Roman"/>
          <w:noProof/>
          <w:sz w:val="24"/>
          <w:szCs w:val="24"/>
        </w:rPr>
        <w:t>. It encourages sustained and targeted efforts to address the challenges it identifies, based on a common understanding. It also fosters cooperation between Member States, as well as with the Commission, international bodies and actors such as the Council of Europe’s Venice Commission, prompting reforms based on the most appropriate solutions</w:t>
      </w:r>
      <w:r w:rsidR="00FB626A" w:rsidRPr="00D16622">
        <w:rPr>
          <w:rFonts w:ascii="Times New Roman" w:eastAsia="Aptos" w:hAnsi="Times New Roman" w:cs="Times New Roman"/>
          <w:noProof/>
          <w:sz w:val="24"/>
          <w:szCs w:val="24"/>
        </w:rPr>
        <w:t>, while also taking specific national contexts and legal traditions into account</w:t>
      </w:r>
      <w:r w:rsidRPr="00D16622">
        <w:rPr>
          <w:rFonts w:ascii="Times New Roman" w:eastAsia="Aptos" w:hAnsi="Times New Roman" w:cs="Times New Roman"/>
          <w:noProof/>
          <w:sz w:val="24"/>
          <w:szCs w:val="24"/>
        </w:rPr>
        <w:t xml:space="preserve">. </w:t>
      </w:r>
    </w:p>
    <w:p w14:paraId="3F20E019" w14:textId="29FC5B96" w:rsidR="003543F6" w:rsidRPr="00D16622" w:rsidRDefault="00693127" w:rsidP="003543F6">
      <w:pPr>
        <w:spacing w:after="120" w:line="240" w:lineRule="auto"/>
        <w:jc w:val="both"/>
        <w:rPr>
          <w:rFonts w:ascii="Times New Roman" w:eastAsia="Aptos" w:hAnsi="Times New Roman" w:cs="Times New Roman"/>
          <w:noProof/>
          <w:sz w:val="24"/>
          <w:szCs w:val="24"/>
        </w:rPr>
      </w:pPr>
      <w:r w:rsidRPr="00D16622">
        <w:rPr>
          <w:rFonts w:ascii="Times New Roman" w:eastAsia="Aptos" w:hAnsi="Times New Roman" w:cs="Times New Roman"/>
          <w:noProof/>
          <w:sz w:val="24"/>
          <w:szCs w:val="24"/>
        </w:rPr>
        <w:t>With the Member States, t</w:t>
      </w:r>
      <w:r w:rsidR="00087C15" w:rsidRPr="00D16622">
        <w:rPr>
          <w:rFonts w:ascii="Times New Roman" w:eastAsia="Aptos" w:hAnsi="Times New Roman" w:cs="Times New Roman"/>
          <w:noProof/>
          <w:sz w:val="24"/>
          <w:szCs w:val="24"/>
        </w:rPr>
        <w:t>he Commission c</w:t>
      </w:r>
      <w:r w:rsidR="008D6B26" w:rsidRPr="00D16622">
        <w:rPr>
          <w:rFonts w:ascii="Times New Roman" w:eastAsia="Aptos" w:hAnsi="Times New Roman" w:cs="Times New Roman"/>
          <w:noProof/>
          <w:sz w:val="24"/>
          <w:szCs w:val="24"/>
        </w:rPr>
        <w:t>ooperat</w:t>
      </w:r>
      <w:r w:rsidR="00D25251" w:rsidRPr="00D16622">
        <w:rPr>
          <w:rFonts w:ascii="Times New Roman" w:eastAsia="Aptos" w:hAnsi="Times New Roman" w:cs="Times New Roman"/>
          <w:noProof/>
          <w:sz w:val="24"/>
          <w:szCs w:val="24"/>
        </w:rPr>
        <w:t>es closely</w:t>
      </w:r>
      <w:r w:rsidR="0075038D" w:rsidRPr="00D16622" w:rsidDel="00693127">
        <w:rPr>
          <w:rFonts w:ascii="Times New Roman" w:eastAsia="Aptos" w:hAnsi="Times New Roman" w:cs="Times New Roman"/>
          <w:noProof/>
          <w:sz w:val="24"/>
          <w:szCs w:val="24"/>
        </w:rPr>
        <w:t xml:space="preserve"> </w:t>
      </w:r>
      <w:r w:rsidR="0075038D" w:rsidRPr="00D16622">
        <w:rPr>
          <w:rFonts w:ascii="Times New Roman" w:eastAsia="Aptos" w:hAnsi="Times New Roman" w:cs="Times New Roman"/>
          <w:noProof/>
          <w:sz w:val="24"/>
          <w:szCs w:val="24"/>
        </w:rPr>
        <w:t>at both political and technical level</w:t>
      </w:r>
      <w:r w:rsidR="00682721" w:rsidRPr="00D16622">
        <w:rPr>
          <w:rFonts w:ascii="Times New Roman" w:eastAsia="Aptos" w:hAnsi="Times New Roman" w:cs="Times New Roman"/>
          <w:noProof/>
          <w:sz w:val="24"/>
          <w:szCs w:val="24"/>
        </w:rPr>
        <w:t xml:space="preserve">, </w:t>
      </w:r>
      <w:r w:rsidR="00D25251" w:rsidRPr="00D16622">
        <w:rPr>
          <w:rFonts w:ascii="Times New Roman" w:eastAsia="Aptos" w:hAnsi="Times New Roman" w:cs="Times New Roman"/>
          <w:noProof/>
          <w:sz w:val="24"/>
          <w:szCs w:val="24"/>
        </w:rPr>
        <w:t xml:space="preserve">also </w:t>
      </w:r>
      <w:r w:rsidR="00B639B0" w:rsidRPr="00D16622">
        <w:rPr>
          <w:rFonts w:ascii="Times New Roman" w:eastAsia="Aptos" w:hAnsi="Times New Roman" w:cs="Times New Roman"/>
          <w:noProof/>
          <w:sz w:val="24"/>
          <w:szCs w:val="24"/>
        </w:rPr>
        <w:t xml:space="preserve">to improve the tracking and follow-up of recommendations. </w:t>
      </w:r>
      <w:r w:rsidR="00B55D89" w:rsidRPr="00D16622">
        <w:rPr>
          <w:rFonts w:ascii="Times New Roman" w:eastAsia="Aptos" w:hAnsi="Times New Roman" w:cs="Times New Roman"/>
          <w:noProof/>
          <w:sz w:val="24"/>
          <w:szCs w:val="24"/>
        </w:rPr>
        <w:t xml:space="preserve">This </w:t>
      </w:r>
      <w:r w:rsidR="00AA6E0B" w:rsidRPr="00D16622">
        <w:rPr>
          <w:rFonts w:ascii="Times New Roman" w:eastAsia="Aptos" w:hAnsi="Times New Roman" w:cs="Times New Roman"/>
          <w:noProof/>
          <w:sz w:val="24"/>
          <w:szCs w:val="24"/>
        </w:rPr>
        <w:t>increased</w:t>
      </w:r>
      <w:r w:rsidR="00B55D89" w:rsidRPr="00D16622">
        <w:rPr>
          <w:rFonts w:ascii="Times New Roman" w:eastAsia="Aptos" w:hAnsi="Times New Roman" w:cs="Times New Roman"/>
          <w:noProof/>
          <w:sz w:val="24"/>
          <w:szCs w:val="24"/>
        </w:rPr>
        <w:t xml:space="preserve"> engagement </w:t>
      </w:r>
      <w:r w:rsidR="00D25251" w:rsidRPr="00D16622">
        <w:rPr>
          <w:rFonts w:ascii="Times New Roman" w:eastAsia="Aptos" w:hAnsi="Times New Roman" w:cs="Times New Roman"/>
          <w:noProof/>
          <w:sz w:val="24"/>
          <w:szCs w:val="24"/>
        </w:rPr>
        <w:t xml:space="preserve">allows it to </w:t>
      </w:r>
      <w:r w:rsidR="00B55D89" w:rsidRPr="00D16622">
        <w:rPr>
          <w:rFonts w:ascii="Times New Roman" w:eastAsia="Aptos" w:hAnsi="Times New Roman" w:cs="Times New Roman"/>
          <w:noProof/>
          <w:sz w:val="24"/>
          <w:szCs w:val="24"/>
        </w:rPr>
        <w:t>support the implementation of reforms, monitor progress throughout the year and ensure that recommendations remain closely aligned with developments on the ground</w:t>
      </w:r>
      <w:r w:rsidR="00E12AD1" w:rsidRPr="00D16622">
        <w:rPr>
          <w:rFonts w:ascii="Times New Roman" w:eastAsia="Aptos" w:hAnsi="Times New Roman" w:cs="Times New Roman"/>
          <w:noProof/>
          <w:sz w:val="24"/>
          <w:szCs w:val="24"/>
        </w:rPr>
        <w:t>.</w:t>
      </w:r>
      <w:r w:rsidR="00FD2865" w:rsidRPr="00D16622">
        <w:rPr>
          <w:rFonts w:ascii="Times New Roman" w:eastAsia="Aptos" w:hAnsi="Times New Roman" w:cs="Times New Roman"/>
          <w:noProof/>
          <w:sz w:val="24"/>
          <w:szCs w:val="24"/>
        </w:rPr>
        <w:t xml:space="preserve"> </w:t>
      </w:r>
      <w:r w:rsidR="0059639A" w:rsidRPr="00D16622">
        <w:rPr>
          <w:rFonts w:ascii="Times New Roman" w:eastAsia="Aptos" w:hAnsi="Times New Roman" w:cs="Times New Roman"/>
          <w:noProof/>
          <w:sz w:val="24"/>
          <w:szCs w:val="24"/>
        </w:rPr>
        <w:t>At technical level, r</w:t>
      </w:r>
      <w:r w:rsidR="003543F6" w:rsidRPr="00D16622">
        <w:rPr>
          <w:rFonts w:ascii="Times New Roman" w:eastAsia="Aptos" w:hAnsi="Times New Roman" w:cs="Times New Roman"/>
          <w:noProof/>
          <w:sz w:val="24"/>
          <w:szCs w:val="24"/>
        </w:rPr>
        <w:t xml:space="preserve">egular meetings of the </w:t>
      </w:r>
      <w:r w:rsidR="003543F6" w:rsidRPr="00D16622">
        <w:rPr>
          <w:rFonts w:ascii="Times New Roman" w:eastAsia="Aptos" w:hAnsi="Times New Roman" w:cs="Times New Roman"/>
          <w:b/>
          <w:bCs/>
          <w:noProof/>
          <w:sz w:val="24"/>
          <w:szCs w:val="24"/>
        </w:rPr>
        <w:t>Network of Rule of Law Contact Points</w:t>
      </w:r>
      <w:r w:rsidR="003543F6" w:rsidRPr="00D16622">
        <w:rPr>
          <w:rFonts w:ascii="Times New Roman" w:eastAsia="Aptos" w:hAnsi="Times New Roman" w:cs="Times New Roman"/>
          <w:noProof/>
          <w:sz w:val="24"/>
          <w:szCs w:val="24"/>
        </w:rPr>
        <w:t xml:space="preserve"> provide a forum for </w:t>
      </w:r>
      <w:r w:rsidR="00CB5710" w:rsidRPr="00D16622">
        <w:rPr>
          <w:rFonts w:ascii="Times New Roman" w:eastAsia="Aptos" w:hAnsi="Times New Roman" w:cs="Times New Roman"/>
          <w:noProof/>
          <w:sz w:val="24"/>
          <w:szCs w:val="24"/>
        </w:rPr>
        <w:t>exchange</w:t>
      </w:r>
      <w:r w:rsidR="003543F6" w:rsidRPr="00D16622">
        <w:rPr>
          <w:rFonts w:ascii="Times New Roman" w:eastAsia="Aptos" w:hAnsi="Times New Roman" w:cs="Times New Roman"/>
          <w:noProof/>
          <w:sz w:val="24"/>
          <w:szCs w:val="24"/>
        </w:rPr>
        <w:t xml:space="preserve"> </w:t>
      </w:r>
      <w:r w:rsidR="0028302B" w:rsidRPr="00D16622">
        <w:rPr>
          <w:rFonts w:ascii="Times New Roman" w:eastAsia="Aptos" w:hAnsi="Times New Roman" w:cs="Times New Roman"/>
          <w:noProof/>
          <w:sz w:val="24"/>
          <w:szCs w:val="24"/>
        </w:rPr>
        <w:t>of</w:t>
      </w:r>
      <w:r w:rsidR="003543F6" w:rsidRPr="00D16622">
        <w:rPr>
          <w:rFonts w:ascii="Times New Roman" w:eastAsia="Aptos" w:hAnsi="Times New Roman" w:cs="Times New Roman"/>
          <w:noProof/>
          <w:sz w:val="24"/>
          <w:szCs w:val="24"/>
        </w:rPr>
        <w:t xml:space="preserve"> experiences and discussing issues of common interest </w:t>
      </w:r>
      <w:r w:rsidR="00257F75" w:rsidRPr="00D16622">
        <w:rPr>
          <w:rFonts w:ascii="Times New Roman" w:eastAsia="Aptos" w:hAnsi="Times New Roman" w:cs="Times New Roman"/>
          <w:noProof/>
          <w:sz w:val="24"/>
          <w:szCs w:val="24"/>
        </w:rPr>
        <w:t xml:space="preserve">raised </w:t>
      </w:r>
      <w:r w:rsidR="003543F6" w:rsidRPr="00D16622">
        <w:rPr>
          <w:rFonts w:ascii="Times New Roman" w:eastAsia="Aptos" w:hAnsi="Times New Roman" w:cs="Times New Roman"/>
          <w:noProof/>
          <w:sz w:val="24"/>
          <w:szCs w:val="24"/>
        </w:rPr>
        <w:t>in the Rule of Law Reports</w:t>
      </w:r>
      <w:r w:rsidR="00D624D8" w:rsidRPr="00D16622">
        <w:rPr>
          <w:rStyle w:val="FootnoteReference"/>
          <w:rFonts w:eastAsia="Aptos" w:cs="Times New Roman"/>
          <w:noProof/>
        </w:rPr>
        <w:footnoteReference w:id="9"/>
      </w:r>
      <w:r w:rsidR="003543F6" w:rsidRPr="00D16622">
        <w:rPr>
          <w:rFonts w:ascii="Times New Roman" w:eastAsia="Aptos" w:hAnsi="Times New Roman" w:cs="Times New Roman"/>
          <w:noProof/>
          <w:sz w:val="24"/>
          <w:szCs w:val="24"/>
        </w:rPr>
        <w:t>.</w:t>
      </w:r>
      <w:r w:rsidR="00786F7E" w:rsidRPr="00D16622">
        <w:rPr>
          <w:rFonts w:ascii="Times New Roman" w:eastAsia="Aptos" w:hAnsi="Times New Roman" w:cs="Times New Roman"/>
          <w:noProof/>
          <w:sz w:val="24"/>
          <w:szCs w:val="24"/>
        </w:rPr>
        <w:t xml:space="preserve"> </w:t>
      </w:r>
      <w:r w:rsidR="0076461C" w:rsidRPr="00D16622">
        <w:rPr>
          <w:rFonts w:ascii="Times New Roman" w:eastAsia="Aptos" w:hAnsi="Times New Roman" w:cs="Times New Roman"/>
          <w:noProof/>
          <w:sz w:val="24"/>
          <w:szCs w:val="24"/>
        </w:rPr>
        <w:t>I</w:t>
      </w:r>
      <w:r w:rsidR="008450C3" w:rsidRPr="00D16622">
        <w:rPr>
          <w:rFonts w:ascii="Times New Roman" w:eastAsia="Aptos" w:hAnsi="Times New Roman" w:cs="Times New Roman"/>
          <w:noProof/>
          <w:sz w:val="24"/>
          <w:szCs w:val="24"/>
        </w:rPr>
        <w:t xml:space="preserve">nput from Member States authorities is a key source of information for the </w:t>
      </w:r>
      <w:r w:rsidR="007F7145" w:rsidRPr="00D16622">
        <w:rPr>
          <w:rFonts w:ascii="Times New Roman" w:eastAsia="Aptos" w:hAnsi="Times New Roman" w:cs="Times New Roman"/>
          <w:noProof/>
          <w:sz w:val="24"/>
          <w:szCs w:val="24"/>
        </w:rPr>
        <w:t>R</w:t>
      </w:r>
      <w:r w:rsidR="008450C3" w:rsidRPr="00D16622">
        <w:rPr>
          <w:rFonts w:ascii="Times New Roman" w:eastAsia="Aptos" w:hAnsi="Times New Roman" w:cs="Times New Roman"/>
          <w:noProof/>
          <w:sz w:val="24"/>
          <w:szCs w:val="24"/>
        </w:rPr>
        <w:t>eport.</w:t>
      </w:r>
    </w:p>
    <w:p w14:paraId="16557907" w14:textId="4E4D2168" w:rsidR="009A768C" w:rsidRPr="00D16622" w:rsidRDefault="005348EB" w:rsidP="00AD4206">
      <w:pPr>
        <w:spacing w:after="120" w:line="240" w:lineRule="auto"/>
        <w:jc w:val="both"/>
        <w:rPr>
          <w:rFonts w:ascii="Times New Roman" w:hAnsi="Times New Roman" w:cs="Times New Roman"/>
          <w:bCs/>
          <w:iCs/>
          <w:noProof/>
          <w:sz w:val="24"/>
          <w:szCs w:val="24"/>
        </w:rPr>
      </w:pPr>
      <w:r w:rsidRPr="00D16622">
        <w:rPr>
          <w:rFonts w:ascii="Times New Roman" w:hAnsi="Times New Roman" w:cs="Times New Roman"/>
          <w:bCs/>
          <w:iCs/>
          <w:noProof/>
          <w:sz w:val="24"/>
          <w:szCs w:val="24"/>
          <w:lang w:val="en-IE"/>
        </w:rPr>
        <w:t>At political level, t</w:t>
      </w:r>
      <w:r w:rsidR="00AD4206" w:rsidRPr="00D16622">
        <w:rPr>
          <w:rFonts w:ascii="Times New Roman" w:hAnsi="Times New Roman" w:cs="Times New Roman"/>
          <w:bCs/>
          <w:iCs/>
          <w:noProof/>
          <w:sz w:val="24"/>
          <w:szCs w:val="24"/>
          <w:lang w:val="en-IE"/>
        </w:rPr>
        <w:t xml:space="preserve">he </w:t>
      </w:r>
      <w:r w:rsidR="00AD4206" w:rsidRPr="00D16622">
        <w:rPr>
          <w:rFonts w:ascii="Times New Roman" w:hAnsi="Times New Roman" w:cs="Times New Roman"/>
          <w:b/>
          <w:iCs/>
          <w:noProof/>
          <w:sz w:val="24"/>
          <w:szCs w:val="24"/>
          <w:lang w:val="en-IE"/>
        </w:rPr>
        <w:t>Rule of Law dialogue</w:t>
      </w:r>
      <w:r w:rsidR="00AD4206" w:rsidRPr="00D16622">
        <w:rPr>
          <w:rFonts w:ascii="Times New Roman" w:hAnsi="Times New Roman" w:cs="Times New Roman"/>
          <w:bCs/>
          <w:iCs/>
          <w:noProof/>
          <w:sz w:val="24"/>
          <w:szCs w:val="24"/>
          <w:lang w:val="en-IE"/>
        </w:rPr>
        <w:t xml:space="preserve"> in the General Affairs </w:t>
      </w:r>
      <w:r w:rsidR="00AD4206" w:rsidRPr="00D16622">
        <w:rPr>
          <w:rFonts w:ascii="Times New Roman" w:hAnsi="Times New Roman" w:cs="Times New Roman"/>
          <w:bCs/>
          <w:noProof/>
          <w:sz w:val="24"/>
          <w:szCs w:val="24"/>
          <w:lang w:val="en-IE"/>
        </w:rPr>
        <w:t>Council</w:t>
      </w:r>
      <w:r w:rsidR="00AD4206" w:rsidRPr="00D16622">
        <w:rPr>
          <w:rFonts w:ascii="Times New Roman" w:hAnsi="Times New Roman" w:cs="Times New Roman"/>
          <w:bCs/>
          <w:iCs/>
          <w:noProof/>
          <w:sz w:val="24"/>
          <w:szCs w:val="24"/>
          <w:lang w:val="en-IE"/>
        </w:rPr>
        <w:t xml:space="preserve"> </w:t>
      </w:r>
      <w:r w:rsidR="004715B7" w:rsidRPr="00D16622">
        <w:rPr>
          <w:rFonts w:ascii="Times New Roman" w:hAnsi="Times New Roman" w:cs="Times New Roman"/>
          <w:bCs/>
          <w:iCs/>
          <w:noProof/>
          <w:sz w:val="24"/>
          <w:szCs w:val="24"/>
          <w:lang w:val="en-IE"/>
        </w:rPr>
        <w:t>has further consolidated as</w:t>
      </w:r>
      <w:r w:rsidR="002A3C3F" w:rsidRPr="00D16622">
        <w:rPr>
          <w:rFonts w:ascii="Times New Roman" w:hAnsi="Times New Roman" w:cs="Times New Roman"/>
          <w:bCs/>
          <w:iCs/>
          <w:noProof/>
          <w:sz w:val="24"/>
          <w:szCs w:val="24"/>
          <w:lang w:val="en-IE"/>
        </w:rPr>
        <w:t xml:space="preserve"> </w:t>
      </w:r>
      <w:r w:rsidR="00AD4206" w:rsidRPr="00D16622">
        <w:rPr>
          <w:rFonts w:ascii="Times New Roman" w:hAnsi="Times New Roman" w:cs="Times New Roman"/>
          <w:bCs/>
          <w:iCs/>
          <w:noProof/>
          <w:sz w:val="24"/>
          <w:szCs w:val="24"/>
          <w:lang w:val="en-IE"/>
        </w:rPr>
        <w:t xml:space="preserve">a forum for political exchanges </w:t>
      </w:r>
      <w:r w:rsidR="004715B7" w:rsidRPr="00D16622">
        <w:rPr>
          <w:rFonts w:ascii="Times New Roman" w:hAnsi="Times New Roman" w:cs="Times New Roman"/>
          <w:bCs/>
          <w:iCs/>
          <w:noProof/>
          <w:sz w:val="24"/>
          <w:szCs w:val="24"/>
          <w:lang w:val="en-IE"/>
        </w:rPr>
        <w:t>on rule of law matters</w:t>
      </w:r>
      <w:r w:rsidR="00D56AE4" w:rsidRPr="00D16622">
        <w:rPr>
          <w:rFonts w:ascii="Times New Roman" w:hAnsi="Times New Roman" w:cs="Times New Roman"/>
          <w:bCs/>
          <w:iCs/>
          <w:noProof/>
          <w:sz w:val="24"/>
          <w:szCs w:val="24"/>
          <w:lang w:val="en-IE"/>
        </w:rPr>
        <w:t xml:space="preserve"> between the Member States</w:t>
      </w:r>
      <w:r w:rsidR="00490F72" w:rsidRPr="00D16622">
        <w:rPr>
          <w:rStyle w:val="FootnoteReference"/>
          <w:rFonts w:cs="Times New Roman"/>
          <w:noProof/>
        </w:rPr>
        <w:footnoteReference w:id="10"/>
      </w:r>
      <w:r w:rsidR="00405B22" w:rsidRPr="00D16622">
        <w:rPr>
          <w:rFonts w:ascii="Times New Roman" w:hAnsi="Times New Roman" w:cs="Times New Roman"/>
          <w:bCs/>
          <w:iCs/>
          <w:noProof/>
          <w:sz w:val="24"/>
          <w:szCs w:val="24"/>
          <w:lang w:val="en-IE"/>
        </w:rPr>
        <w:t xml:space="preserve">. </w:t>
      </w:r>
      <w:r w:rsidR="000F5637" w:rsidRPr="00D16622">
        <w:rPr>
          <w:rFonts w:ascii="Times New Roman" w:hAnsi="Times New Roman" w:cs="Times New Roman"/>
          <w:bCs/>
          <w:iCs/>
          <w:noProof/>
          <w:sz w:val="24"/>
          <w:szCs w:val="24"/>
          <w:lang w:val="en-IE"/>
        </w:rPr>
        <w:t>It</w:t>
      </w:r>
      <w:r w:rsidR="007003B1" w:rsidRPr="00D16622">
        <w:rPr>
          <w:rFonts w:ascii="Times New Roman" w:hAnsi="Times New Roman" w:cs="Times New Roman"/>
          <w:bCs/>
          <w:iCs/>
          <w:noProof/>
          <w:sz w:val="24"/>
          <w:szCs w:val="24"/>
          <w:lang w:val="en-IE"/>
        </w:rPr>
        <w:t xml:space="preserve"> </w:t>
      </w:r>
      <w:r w:rsidR="0022486D" w:rsidRPr="00D16622">
        <w:rPr>
          <w:rFonts w:ascii="Times New Roman" w:hAnsi="Times New Roman" w:cs="Times New Roman"/>
          <w:bCs/>
          <w:iCs/>
          <w:noProof/>
          <w:sz w:val="24"/>
          <w:szCs w:val="24"/>
          <w:lang w:val="en-IE"/>
        </w:rPr>
        <w:t xml:space="preserve">provides a </w:t>
      </w:r>
      <w:r w:rsidR="003A0F5C" w:rsidRPr="00D16622">
        <w:rPr>
          <w:rFonts w:ascii="Times New Roman" w:hAnsi="Times New Roman" w:cs="Times New Roman"/>
          <w:bCs/>
          <w:iCs/>
          <w:noProof/>
          <w:sz w:val="24"/>
          <w:szCs w:val="24"/>
          <w:lang w:val="en-IE"/>
        </w:rPr>
        <w:t>platform</w:t>
      </w:r>
      <w:r w:rsidR="001D07FB" w:rsidRPr="00D16622">
        <w:rPr>
          <w:rFonts w:ascii="Times New Roman" w:hAnsi="Times New Roman" w:cs="Times New Roman"/>
          <w:bCs/>
          <w:iCs/>
          <w:noProof/>
          <w:sz w:val="24"/>
          <w:szCs w:val="24"/>
          <w:lang w:val="en-IE"/>
        </w:rPr>
        <w:t xml:space="preserve"> </w:t>
      </w:r>
      <w:r w:rsidR="007003B1" w:rsidRPr="00D16622">
        <w:rPr>
          <w:rFonts w:ascii="Times New Roman" w:hAnsi="Times New Roman" w:cs="Times New Roman"/>
          <w:bCs/>
          <w:iCs/>
          <w:noProof/>
          <w:sz w:val="24"/>
          <w:szCs w:val="24"/>
          <w:lang w:val="en-IE"/>
        </w:rPr>
        <w:t>for</w:t>
      </w:r>
      <w:r w:rsidR="00AD4206" w:rsidRPr="00D16622">
        <w:rPr>
          <w:rFonts w:ascii="Times New Roman" w:hAnsi="Times New Roman" w:cs="Times New Roman"/>
          <w:bCs/>
          <w:iCs/>
          <w:noProof/>
          <w:sz w:val="24"/>
          <w:szCs w:val="24"/>
          <w:lang w:val="en-IE"/>
        </w:rPr>
        <w:t xml:space="preserve"> constructive dialogue</w:t>
      </w:r>
      <w:r w:rsidR="000F5637" w:rsidRPr="00D16622">
        <w:rPr>
          <w:rFonts w:ascii="Times New Roman" w:hAnsi="Times New Roman" w:cs="Times New Roman"/>
          <w:bCs/>
          <w:iCs/>
          <w:noProof/>
          <w:sz w:val="24"/>
          <w:szCs w:val="24"/>
          <w:lang w:val="en-IE"/>
        </w:rPr>
        <w:t xml:space="preserve"> </w:t>
      </w:r>
      <w:r w:rsidR="00D56AE4" w:rsidRPr="00D16622">
        <w:rPr>
          <w:rFonts w:ascii="Times New Roman" w:hAnsi="Times New Roman" w:cs="Times New Roman"/>
          <w:bCs/>
          <w:iCs/>
          <w:noProof/>
          <w:sz w:val="24"/>
          <w:szCs w:val="24"/>
          <w:lang w:val="en-IE"/>
        </w:rPr>
        <w:t>on</w:t>
      </w:r>
      <w:r w:rsidR="004D544B" w:rsidRPr="00D16622">
        <w:rPr>
          <w:rFonts w:ascii="Times New Roman" w:hAnsi="Times New Roman" w:cs="Times New Roman"/>
          <w:bCs/>
          <w:iCs/>
          <w:noProof/>
          <w:sz w:val="24"/>
          <w:szCs w:val="24"/>
          <w:lang w:val="en-IE"/>
        </w:rPr>
        <w:t xml:space="preserve"> best practices </w:t>
      </w:r>
      <w:r w:rsidR="001D07FB" w:rsidRPr="00D16622">
        <w:rPr>
          <w:rFonts w:ascii="Times New Roman" w:hAnsi="Times New Roman" w:cs="Times New Roman"/>
          <w:bCs/>
          <w:iCs/>
          <w:noProof/>
          <w:sz w:val="24"/>
          <w:szCs w:val="24"/>
          <w:lang w:val="en-IE"/>
        </w:rPr>
        <w:t>and</w:t>
      </w:r>
      <w:r w:rsidR="00AD4206" w:rsidRPr="00D16622">
        <w:rPr>
          <w:rFonts w:ascii="Times New Roman" w:hAnsi="Times New Roman" w:cs="Times New Roman"/>
          <w:bCs/>
          <w:iCs/>
          <w:noProof/>
          <w:sz w:val="24"/>
          <w:szCs w:val="24"/>
          <w:lang w:val="en-IE"/>
        </w:rPr>
        <w:t xml:space="preserve"> discuss</w:t>
      </w:r>
      <w:r w:rsidR="00D56AE4" w:rsidRPr="00D16622">
        <w:rPr>
          <w:rFonts w:ascii="Times New Roman" w:hAnsi="Times New Roman" w:cs="Times New Roman"/>
          <w:bCs/>
          <w:iCs/>
          <w:noProof/>
          <w:sz w:val="24"/>
          <w:szCs w:val="24"/>
          <w:lang w:val="en-IE"/>
        </w:rPr>
        <w:t>ions on</w:t>
      </w:r>
      <w:r w:rsidR="00C902E3" w:rsidRPr="00D16622">
        <w:rPr>
          <w:rFonts w:ascii="Times New Roman" w:hAnsi="Times New Roman" w:cs="Times New Roman"/>
          <w:bCs/>
          <w:iCs/>
          <w:noProof/>
          <w:sz w:val="24"/>
          <w:szCs w:val="24"/>
          <w:lang w:val="en-IE"/>
        </w:rPr>
        <w:t xml:space="preserve"> </w:t>
      </w:r>
      <w:r w:rsidR="00AD4206" w:rsidRPr="00D16622">
        <w:rPr>
          <w:rFonts w:ascii="Times New Roman" w:hAnsi="Times New Roman" w:cs="Times New Roman"/>
          <w:bCs/>
          <w:iCs/>
          <w:noProof/>
          <w:sz w:val="24"/>
          <w:szCs w:val="24"/>
          <w:lang w:val="en-IE"/>
        </w:rPr>
        <w:t xml:space="preserve">how to </w:t>
      </w:r>
      <w:r w:rsidR="00D56AE4" w:rsidRPr="00D16622">
        <w:rPr>
          <w:rFonts w:ascii="Times New Roman" w:hAnsi="Times New Roman" w:cs="Times New Roman"/>
          <w:bCs/>
          <w:iCs/>
          <w:noProof/>
          <w:sz w:val="24"/>
          <w:szCs w:val="24"/>
          <w:lang w:val="en-IE"/>
        </w:rPr>
        <w:t xml:space="preserve">tackle </w:t>
      </w:r>
      <w:r w:rsidR="009C27C7" w:rsidRPr="00D16622">
        <w:rPr>
          <w:rFonts w:ascii="Times New Roman" w:hAnsi="Times New Roman" w:cs="Times New Roman"/>
          <w:bCs/>
          <w:iCs/>
          <w:noProof/>
          <w:sz w:val="24"/>
          <w:szCs w:val="24"/>
          <w:lang w:val="en-IE"/>
        </w:rPr>
        <w:t>shortcomings</w:t>
      </w:r>
      <w:r w:rsidR="004715B7" w:rsidRPr="00D16622">
        <w:rPr>
          <w:rFonts w:ascii="Times New Roman" w:hAnsi="Times New Roman" w:cs="Times New Roman"/>
          <w:bCs/>
          <w:iCs/>
          <w:noProof/>
          <w:sz w:val="24"/>
          <w:szCs w:val="24"/>
          <w:lang w:val="en-IE"/>
        </w:rPr>
        <w:t>, based on the Rule of Law Report</w:t>
      </w:r>
      <w:r w:rsidR="00AD4206" w:rsidRPr="00D16622">
        <w:rPr>
          <w:rFonts w:ascii="Times New Roman" w:hAnsi="Times New Roman" w:cs="Times New Roman"/>
          <w:bCs/>
          <w:iCs/>
          <w:noProof/>
          <w:sz w:val="24"/>
          <w:szCs w:val="24"/>
          <w:lang w:val="en-IE"/>
        </w:rPr>
        <w:t xml:space="preserve">. </w:t>
      </w:r>
      <w:r w:rsidR="007003B1" w:rsidRPr="00D16622">
        <w:rPr>
          <w:rFonts w:ascii="Times New Roman" w:hAnsi="Times New Roman" w:cs="Times New Roman"/>
          <w:bCs/>
          <w:iCs/>
          <w:noProof/>
          <w:sz w:val="24"/>
          <w:szCs w:val="24"/>
        </w:rPr>
        <w:t>Since</w:t>
      </w:r>
      <w:r w:rsidR="00AD4206" w:rsidRPr="00D16622">
        <w:rPr>
          <w:rFonts w:ascii="Times New Roman" w:hAnsi="Times New Roman" w:cs="Times New Roman"/>
          <w:bCs/>
          <w:iCs/>
          <w:noProof/>
          <w:sz w:val="24"/>
          <w:szCs w:val="24"/>
        </w:rPr>
        <w:t xml:space="preserve"> 2024, </w:t>
      </w:r>
      <w:r w:rsidR="007003B1" w:rsidRPr="00D16622">
        <w:rPr>
          <w:rFonts w:ascii="Times New Roman" w:hAnsi="Times New Roman" w:cs="Times New Roman"/>
          <w:bCs/>
          <w:iCs/>
          <w:noProof/>
          <w:sz w:val="24"/>
          <w:szCs w:val="24"/>
        </w:rPr>
        <w:t xml:space="preserve">Ministers from the </w:t>
      </w:r>
      <w:r w:rsidR="00AD4206" w:rsidRPr="00D16622">
        <w:rPr>
          <w:rFonts w:ascii="Times New Roman" w:hAnsi="Times New Roman" w:cs="Times New Roman"/>
          <w:bCs/>
          <w:iCs/>
          <w:noProof/>
          <w:sz w:val="24"/>
          <w:szCs w:val="24"/>
        </w:rPr>
        <w:t xml:space="preserve">enlargement countries </w:t>
      </w:r>
      <w:r w:rsidR="00251E7C" w:rsidRPr="00D16622">
        <w:rPr>
          <w:rFonts w:ascii="Times New Roman" w:hAnsi="Times New Roman" w:cs="Times New Roman"/>
          <w:bCs/>
          <w:iCs/>
          <w:noProof/>
          <w:sz w:val="24"/>
          <w:szCs w:val="24"/>
        </w:rPr>
        <w:t>covered by</w:t>
      </w:r>
      <w:r w:rsidR="00AD4206" w:rsidRPr="00D16622">
        <w:rPr>
          <w:rFonts w:ascii="Times New Roman" w:hAnsi="Times New Roman" w:cs="Times New Roman"/>
          <w:bCs/>
          <w:iCs/>
          <w:noProof/>
          <w:sz w:val="24"/>
          <w:szCs w:val="24"/>
        </w:rPr>
        <w:t xml:space="preserve"> the Rule of Law Report</w:t>
      </w:r>
      <w:r w:rsidR="007003B1" w:rsidRPr="00D16622">
        <w:rPr>
          <w:rFonts w:ascii="Times New Roman" w:hAnsi="Times New Roman" w:cs="Times New Roman"/>
          <w:bCs/>
          <w:iCs/>
          <w:noProof/>
          <w:sz w:val="24"/>
          <w:szCs w:val="24"/>
        </w:rPr>
        <w:t xml:space="preserve"> participate in these dialogues</w:t>
      </w:r>
      <w:r w:rsidR="009A060D" w:rsidRPr="00D16622">
        <w:rPr>
          <w:rFonts w:ascii="Times New Roman" w:hAnsi="Times New Roman" w:cs="Times New Roman"/>
          <w:bCs/>
          <w:iCs/>
          <w:noProof/>
          <w:sz w:val="24"/>
          <w:szCs w:val="24"/>
        </w:rPr>
        <w:t xml:space="preserve"> </w:t>
      </w:r>
      <w:r w:rsidR="00B57667" w:rsidRPr="00D16622">
        <w:rPr>
          <w:rFonts w:ascii="Times New Roman" w:hAnsi="Times New Roman" w:cs="Times New Roman"/>
          <w:bCs/>
          <w:iCs/>
          <w:noProof/>
          <w:sz w:val="24"/>
          <w:szCs w:val="24"/>
        </w:rPr>
        <w:t xml:space="preserve">alongside </w:t>
      </w:r>
      <w:r w:rsidR="006A5DBD" w:rsidRPr="00D16622">
        <w:rPr>
          <w:rFonts w:ascii="Times New Roman" w:hAnsi="Times New Roman" w:cs="Times New Roman"/>
          <w:bCs/>
          <w:iCs/>
          <w:noProof/>
          <w:sz w:val="24"/>
          <w:szCs w:val="24"/>
        </w:rPr>
        <w:t>Member States’ ministers</w:t>
      </w:r>
      <w:r w:rsidR="00AD4206" w:rsidRPr="00D16622">
        <w:rPr>
          <w:rStyle w:val="FootnoteReference"/>
          <w:rFonts w:cs="Times New Roman"/>
          <w:noProof/>
        </w:rPr>
        <w:footnoteReference w:id="11"/>
      </w:r>
      <w:r w:rsidR="00AD4206" w:rsidRPr="00D16622">
        <w:rPr>
          <w:rFonts w:ascii="Times New Roman" w:hAnsi="Times New Roman" w:cs="Times New Roman"/>
          <w:bCs/>
          <w:iCs/>
          <w:noProof/>
          <w:sz w:val="24"/>
          <w:szCs w:val="24"/>
        </w:rPr>
        <w:t xml:space="preserve">. The Justice </w:t>
      </w:r>
      <w:r w:rsidR="00B97F11" w:rsidRPr="00D16622">
        <w:rPr>
          <w:rFonts w:ascii="Times New Roman" w:hAnsi="Times New Roman" w:cs="Times New Roman"/>
          <w:bCs/>
          <w:iCs/>
          <w:noProof/>
          <w:sz w:val="24"/>
          <w:szCs w:val="24"/>
        </w:rPr>
        <w:t xml:space="preserve">and Home Affairs </w:t>
      </w:r>
      <w:r w:rsidR="00AD4206" w:rsidRPr="00D16622">
        <w:rPr>
          <w:rFonts w:ascii="Times New Roman" w:hAnsi="Times New Roman" w:cs="Times New Roman"/>
          <w:bCs/>
          <w:iCs/>
          <w:noProof/>
          <w:sz w:val="24"/>
          <w:szCs w:val="24"/>
        </w:rPr>
        <w:t xml:space="preserve">Council also continued to discuss topical rule </w:t>
      </w:r>
      <w:r w:rsidR="00AD4206" w:rsidRPr="00D16622">
        <w:rPr>
          <w:rFonts w:ascii="Times New Roman" w:hAnsi="Times New Roman" w:cs="Times New Roman"/>
          <w:noProof/>
          <w:sz w:val="24"/>
          <w:szCs w:val="24"/>
        </w:rPr>
        <w:t>of</w:t>
      </w:r>
      <w:r w:rsidR="00AD4206" w:rsidRPr="00D16622">
        <w:rPr>
          <w:rFonts w:ascii="Times New Roman" w:hAnsi="Times New Roman" w:cs="Times New Roman"/>
          <w:bCs/>
          <w:iCs/>
          <w:noProof/>
          <w:sz w:val="24"/>
          <w:szCs w:val="24"/>
        </w:rPr>
        <w:t xml:space="preserve"> law questions during each six-month Council Presidency</w:t>
      </w:r>
      <w:r w:rsidR="00AD4206" w:rsidRPr="00D16622">
        <w:rPr>
          <w:rStyle w:val="FootnoteReference"/>
          <w:rFonts w:cs="Times New Roman"/>
          <w:noProof/>
        </w:rPr>
        <w:footnoteReference w:id="12"/>
      </w:r>
      <w:r w:rsidR="00AD4206" w:rsidRPr="00D16622">
        <w:rPr>
          <w:rFonts w:ascii="Times New Roman" w:hAnsi="Times New Roman" w:cs="Times New Roman"/>
          <w:bCs/>
          <w:iCs/>
          <w:noProof/>
          <w:sz w:val="24"/>
          <w:szCs w:val="24"/>
        </w:rPr>
        <w:t>.</w:t>
      </w:r>
      <w:r w:rsidR="00B73D58" w:rsidRPr="00D16622">
        <w:rPr>
          <w:rFonts w:ascii="Times New Roman" w:hAnsi="Times New Roman" w:cs="Times New Roman"/>
          <w:bCs/>
          <w:iCs/>
          <w:noProof/>
          <w:sz w:val="24"/>
          <w:szCs w:val="24"/>
        </w:rPr>
        <w:t xml:space="preserve"> </w:t>
      </w:r>
      <w:r w:rsidR="00D821E2" w:rsidRPr="00D16622">
        <w:rPr>
          <w:rFonts w:ascii="Times New Roman" w:hAnsi="Times New Roman" w:cs="Times New Roman"/>
          <w:bCs/>
          <w:iCs/>
          <w:noProof/>
          <w:sz w:val="24"/>
          <w:szCs w:val="24"/>
        </w:rPr>
        <w:t>In 2025, u</w:t>
      </w:r>
      <w:r w:rsidR="008C700F" w:rsidRPr="00D16622">
        <w:rPr>
          <w:rFonts w:ascii="Times New Roman" w:hAnsi="Times New Roman" w:cs="Times New Roman"/>
          <w:bCs/>
          <w:iCs/>
          <w:noProof/>
          <w:sz w:val="24"/>
          <w:szCs w:val="24"/>
        </w:rPr>
        <w:t>nder the Danish</w:t>
      </w:r>
      <w:r w:rsidR="000D3E8A" w:rsidRPr="00D16622">
        <w:rPr>
          <w:rFonts w:ascii="Times New Roman" w:hAnsi="Times New Roman" w:cs="Times New Roman"/>
          <w:bCs/>
          <w:iCs/>
          <w:noProof/>
          <w:sz w:val="24"/>
          <w:szCs w:val="24"/>
        </w:rPr>
        <w:t xml:space="preserve"> Presidency</w:t>
      </w:r>
      <w:r w:rsidR="008C700F" w:rsidRPr="00D16622">
        <w:rPr>
          <w:rFonts w:ascii="Times New Roman" w:hAnsi="Times New Roman" w:cs="Times New Roman"/>
          <w:bCs/>
          <w:iCs/>
          <w:noProof/>
          <w:sz w:val="24"/>
          <w:szCs w:val="24"/>
        </w:rPr>
        <w:t>, the Council</w:t>
      </w:r>
      <w:r w:rsidR="000D3E8A" w:rsidRPr="00D16622">
        <w:rPr>
          <w:rFonts w:ascii="Times New Roman" w:hAnsi="Times New Roman" w:cs="Times New Roman"/>
          <w:bCs/>
          <w:iCs/>
          <w:noProof/>
          <w:sz w:val="24"/>
          <w:szCs w:val="24"/>
        </w:rPr>
        <w:t xml:space="preserve"> </w:t>
      </w:r>
      <w:r w:rsidR="009839EC" w:rsidRPr="00D16622">
        <w:rPr>
          <w:rFonts w:ascii="Times New Roman" w:hAnsi="Times New Roman" w:cs="Times New Roman"/>
          <w:bCs/>
          <w:iCs/>
          <w:noProof/>
          <w:sz w:val="24"/>
          <w:szCs w:val="24"/>
        </w:rPr>
        <w:t xml:space="preserve">organised an informal meeting of culture and media ministers, </w:t>
      </w:r>
      <w:r w:rsidR="00452687" w:rsidRPr="00D16622">
        <w:rPr>
          <w:rFonts w:ascii="Times New Roman" w:hAnsi="Times New Roman" w:cs="Times New Roman"/>
          <w:bCs/>
          <w:iCs/>
          <w:noProof/>
          <w:sz w:val="24"/>
          <w:szCs w:val="24"/>
        </w:rPr>
        <w:t>who issued</w:t>
      </w:r>
      <w:r w:rsidR="003F67DC" w:rsidRPr="00D16622">
        <w:rPr>
          <w:rFonts w:ascii="Times New Roman" w:hAnsi="Times New Roman" w:cs="Times New Roman"/>
          <w:bCs/>
          <w:iCs/>
          <w:noProof/>
          <w:sz w:val="24"/>
          <w:szCs w:val="24"/>
        </w:rPr>
        <w:t xml:space="preserve"> a declaration stressing</w:t>
      </w:r>
      <w:r w:rsidR="009046FF" w:rsidRPr="00D16622">
        <w:rPr>
          <w:rFonts w:ascii="Times New Roman" w:hAnsi="Times New Roman" w:cs="Times New Roman"/>
          <w:bCs/>
          <w:iCs/>
          <w:noProof/>
          <w:sz w:val="24"/>
          <w:szCs w:val="24"/>
        </w:rPr>
        <w:t xml:space="preserve"> the </w:t>
      </w:r>
      <w:r w:rsidR="009046FF" w:rsidRPr="00D16622">
        <w:rPr>
          <w:rFonts w:ascii="Times New Roman" w:hAnsi="Times New Roman" w:cs="Times New Roman"/>
          <w:b/>
          <w:iCs/>
          <w:noProof/>
          <w:sz w:val="24"/>
          <w:szCs w:val="24"/>
        </w:rPr>
        <w:t>importance of free, independent and diverse</w:t>
      </w:r>
      <w:r w:rsidR="00BB75BD" w:rsidRPr="00D16622">
        <w:rPr>
          <w:rFonts w:ascii="Times New Roman" w:hAnsi="Times New Roman" w:cs="Times New Roman"/>
          <w:b/>
          <w:iCs/>
          <w:noProof/>
          <w:sz w:val="24"/>
          <w:szCs w:val="24"/>
        </w:rPr>
        <w:t xml:space="preserve"> media</w:t>
      </w:r>
      <w:r w:rsidR="00BB75BD" w:rsidRPr="00D16622">
        <w:rPr>
          <w:rStyle w:val="FootnoteReference"/>
          <w:rFonts w:cs="Times New Roman"/>
          <w:noProof/>
        </w:rPr>
        <w:footnoteReference w:id="13"/>
      </w:r>
      <w:r w:rsidR="00BB75BD" w:rsidRPr="00D16622">
        <w:rPr>
          <w:rFonts w:ascii="Times New Roman" w:hAnsi="Times New Roman" w:cs="Times New Roman"/>
          <w:bCs/>
          <w:iCs/>
          <w:noProof/>
          <w:sz w:val="24"/>
          <w:szCs w:val="24"/>
        </w:rPr>
        <w:t>.</w:t>
      </w:r>
      <w:r w:rsidR="00FC58B0" w:rsidRPr="00D16622">
        <w:rPr>
          <w:rFonts w:ascii="Times New Roman" w:hAnsi="Times New Roman" w:cs="Times New Roman"/>
          <w:bCs/>
          <w:iCs/>
          <w:noProof/>
          <w:sz w:val="24"/>
          <w:szCs w:val="24"/>
        </w:rPr>
        <w:t xml:space="preserve"> </w:t>
      </w:r>
      <w:r w:rsidR="000C65E8" w:rsidRPr="00D16622">
        <w:rPr>
          <w:rFonts w:ascii="Times New Roman" w:hAnsi="Times New Roman" w:cs="Times New Roman"/>
          <w:bCs/>
          <w:iCs/>
          <w:noProof/>
          <w:sz w:val="24"/>
          <w:szCs w:val="24"/>
        </w:rPr>
        <w:t>At</w:t>
      </w:r>
      <w:r w:rsidR="00FC58B0" w:rsidRPr="00D16622">
        <w:rPr>
          <w:rFonts w:ascii="Times New Roman" w:hAnsi="Times New Roman" w:cs="Times New Roman"/>
          <w:bCs/>
          <w:iCs/>
          <w:noProof/>
          <w:sz w:val="24"/>
          <w:szCs w:val="24"/>
        </w:rPr>
        <w:t xml:space="preserve"> the May</w:t>
      </w:r>
      <w:r w:rsidR="003545DC" w:rsidRPr="00D16622">
        <w:rPr>
          <w:rFonts w:ascii="Times New Roman" w:hAnsi="Times New Roman" w:cs="Times New Roman"/>
          <w:bCs/>
          <w:iCs/>
          <w:noProof/>
          <w:sz w:val="24"/>
          <w:szCs w:val="24"/>
        </w:rPr>
        <w:t xml:space="preserve"> 2026</w:t>
      </w:r>
      <w:r w:rsidR="00FC58B0" w:rsidRPr="00D16622">
        <w:rPr>
          <w:rFonts w:ascii="Times New Roman" w:hAnsi="Times New Roman" w:cs="Times New Roman"/>
          <w:bCs/>
          <w:iCs/>
          <w:noProof/>
          <w:sz w:val="24"/>
          <w:szCs w:val="24"/>
        </w:rPr>
        <w:t xml:space="preserve"> General Affairs Council</w:t>
      </w:r>
      <w:r w:rsidR="008C700F" w:rsidRPr="00D16622">
        <w:rPr>
          <w:rFonts w:ascii="Times New Roman" w:hAnsi="Times New Roman" w:cs="Times New Roman"/>
          <w:bCs/>
          <w:iCs/>
          <w:noProof/>
          <w:sz w:val="24"/>
          <w:szCs w:val="24"/>
        </w:rPr>
        <w:t xml:space="preserve">, </w:t>
      </w:r>
      <w:r w:rsidR="001258F1" w:rsidRPr="00D16622">
        <w:rPr>
          <w:rFonts w:ascii="Times New Roman" w:hAnsi="Times New Roman" w:cs="Times New Roman"/>
          <w:bCs/>
          <w:iCs/>
          <w:noProof/>
          <w:sz w:val="24"/>
          <w:szCs w:val="24"/>
        </w:rPr>
        <w:t xml:space="preserve">the </w:t>
      </w:r>
      <w:r w:rsidR="003979D2" w:rsidRPr="00D16622">
        <w:rPr>
          <w:rFonts w:ascii="Times New Roman" w:hAnsi="Times New Roman" w:cs="Times New Roman"/>
          <w:bCs/>
          <w:iCs/>
          <w:noProof/>
          <w:sz w:val="24"/>
          <w:szCs w:val="24"/>
        </w:rPr>
        <w:t xml:space="preserve">2023 </w:t>
      </w:r>
      <w:r w:rsidR="003A4BF6" w:rsidRPr="00D16622">
        <w:rPr>
          <w:rFonts w:ascii="Times New Roman" w:hAnsi="Times New Roman" w:cs="Times New Roman"/>
          <w:bCs/>
          <w:iCs/>
          <w:noProof/>
          <w:sz w:val="24"/>
          <w:szCs w:val="24"/>
        </w:rPr>
        <w:t xml:space="preserve">Presidency conclusions on the </w:t>
      </w:r>
      <w:r w:rsidR="00D45E3D" w:rsidRPr="00D16622">
        <w:rPr>
          <w:rFonts w:ascii="Times New Roman" w:hAnsi="Times New Roman" w:cs="Times New Roman"/>
          <w:bCs/>
          <w:iCs/>
          <w:noProof/>
          <w:sz w:val="24"/>
          <w:szCs w:val="24"/>
        </w:rPr>
        <w:t xml:space="preserve">evaluation of the annual </w:t>
      </w:r>
      <w:r w:rsidR="003A4BF6" w:rsidRPr="00D16622">
        <w:rPr>
          <w:rFonts w:ascii="Times New Roman" w:hAnsi="Times New Roman" w:cs="Times New Roman"/>
          <w:bCs/>
          <w:iCs/>
          <w:noProof/>
          <w:sz w:val="24"/>
          <w:szCs w:val="24"/>
        </w:rPr>
        <w:t>rule of law dialogue</w:t>
      </w:r>
      <w:r w:rsidR="003979D2" w:rsidRPr="00D16622">
        <w:rPr>
          <w:rFonts w:ascii="Times New Roman" w:hAnsi="Times New Roman" w:cs="Times New Roman"/>
          <w:bCs/>
          <w:iCs/>
          <w:noProof/>
          <w:sz w:val="24"/>
          <w:szCs w:val="24"/>
        </w:rPr>
        <w:t xml:space="preserve"> reached </w:t>
      </w:r>
      <w:r w:rsidR="00201145" w:rsidRPr="00D16622">
        <w:rPr>
          <w:rFonts w:ascii="Times New Roman" w:hAnsi="Times New Roman" w:cs="Times New Roman"/>
          <w:bCs/>
          <w:iCs/>
          <w:noProof/>
          <w:sz w:val="24"/>
          <w:szCs w:val="24"/>
        </w:rPr>
        <w:t>support by all Member States</w:t>
      </w:r>
      <w:r w:rsidR="00600823" w:rsidRPr="00D16622">
        <w:rPr>
          <w:rStyle w:val="FootnoteReference"/>
          <w:rFonts w:cs="Times New Roman"/>
          <w:noProof/>
        </w:rPr>
        <w:footnoteReference w:id="14"/>
      </w:r>
      <w:r w:rsidR="00201145" w:rsidRPr="00D16622">
        <w:rPr>
          <w:rFonts w:ascii="Times New Roman" w:hAnsi="Times New Roman" w:cs="Times New Roman"/>
          <w:bCs/>
          <w:iCs/>
          <w:noProof/>
          <w:sz w:val="24"/>
          <w:szCs w:val="24"/>
        </w:rPr>
        <w:t>.</w:t>
      </w:r>
    </w:p>
    <w:p w14:paraId="7CFC88C2" w14:textId="232D55BE" w:rsidR="00B23D3E" w:rsidRPr="00D16622" w:rsidRDefault="009A768C" w:rsidP="5D54048A">
      <w:pPr>
        <w:tabs>
          <w:tab w:val="left" w:pos="5024"/>
        </w:tabs>
        <w:spacing w:after="120" w:line="240" w:lineRule="auto"/>
        <w:jc w:val="both"/>
        <w:rPr>
          <w:rFonts w:ascii="Times New Roman" w:hAnsi="Times New Roman" w:cs="Times New Roman"/>
          <w:noProof/>
          <w:sz w:val="24"/>
          <w:szCs w:val="24"/>
        </w:rPr>
      </w:pPr>
      <w:bookmarkStart w:id="2" w:name="_Hlk233926069"/>
      <w:r w:rsidRPr="00D16622">
        <w:rPr>
          <w:rFonts w:ascii="Times New Roman" w:hAnsi="Times New Roman" w:cs="Times New Roman"/>
          <w:noProof/>
          <w:sz w:val="24"/>
          <w:szCs w:val="24"/>
        </w:rPr>
        <w:t xml:space="preserve">The </w:t>
      </w:r>
      <w:r w:rsidRPr="00D16622">
        <w:rPr>
          <w:rFonts w:ascii="Times New Roman" w:hAnsi="Times New Roman" w:cs="Times New Roman"/>
          <w:b/>
          <w:bCs/>
          <w:noProof/>
          <w:sz w:val="24"/>
          <w:szCs w:val="24"/>
        </w:rPr>
        <w:t xml:space="preserve">European Parliament </w:t>
      </w:r>
      <w:r w:rsidR="00280D1C" w:rsidRPr="00D16622">
        <w:rPr>
          <w:rFonts w:ascii="Times New Roman" w:hAnsi="Times New Roman" w:cs="Times New Roman"/>
          <w:noProof/>
          <w:sz w:val="24"/>
          <w:szCs w:val="24"/>
        </w:rPr>
        <w:t xml:space="preserve">has continued to </w:t>
      </w:r>
      <w:r w:rsidR="009C730C" w:rsidRPr="00D16622">
        <w:rPr>
          <w:rFonts w:ascii="Times New Roman" w:hAnsi="Times New Roman" w:cs="Times New Roman"/>
          <w:noProof/>
          <w:sz w:val="24"/>
          <w:szCs w:val="24"/>
        </w:rPr>
        <w:t xml:space="preserve">make important </w:t>
      </w:r>
      <w:r w:rsidR="00D63B5D" w:rsidRPr="00D16622">
        <w:rPr>
          <w:rFonts w:ascii="Times New Roman" w:hAnsi="Times New Roman" w:cs="Times New Roman"/>
          <w:noProof/>
          <w:sz w:val="24"/>
          <w:szCs w:val="24"/>
        </w:rPr>
        <w:t>contribut</w:t>
      </w:r>
      <w:r w:rsidR="009C730C" w:rsidRPr="00D16622">
        <w:rPr>
          <w:rFonts w:ascii="Times New Roman" w:hAnsi="Times New Roman" w:cs="Times New Roman"/>
          <w:noProof/>
          <w:sz w:val="24"/>
          <w:szCs w:val="24"/>
        </w:rPr>
        <w:t>ions</w:t>
      </w:r>
      <w:r w:rsidR="00D63B5D" w:rsidRPr="00D16622">
        <w:rPr>
          <w:rFonts w:ascii="Times New Roman" w:hAnsi="Times New Roman" w:cs="Times New Roman"/>
          <w:noProof/>
          <w:sz w:val="24"/>
          <w:szCs w:val="24"/>
        </w:rPr>
        <w:t xml:space="preserve"> to the annual </w:t>
      </w:r>
      <w:r w:rsidR="001C43BE" w:rsidRPr="00D16622">
        <w:rPr>
          <w:rFonts w:ascii="Times New Roman" w:hAnsi="Times New Roman" w:cs="Times New Roman"/>
          <w:noProof/>
          <w:sz w:val="24"/>
          <w:szCs w:val="24"/>
        </w:rPr>
        <w:t xml:space="preserve">rule of law </w:t>
      </w:r>
      <w:r w:rsidR="00D63B5D" w:rsidRPr="00D16622">
        <w:rPr>
          <w:rFonts w:ascii="Times New Roman" w:hAnsi="Times New Roman" w:cs="Times New Roman"/>
          <w:noProof/>
          <w:sz w:val="24"/>
          <w:szCs w:val="24"/>
        </w:rPr>
        <w:t>cycle</w:t>
      </w:r>
      <w:r w:rsidR="00F90CEE" w:rsidRPr="00D16622">
        <w:rPr>
          <w:rFonts w:ascii="Times New Roman" w:hAnsi="Times New Roman" w:cs="Times New Roman"/>
          <w:noProof/>
          <w:sz w:val="24"/>
          <w:szCs w:val="24"/>
        </w:rPr>
        <w:t xml:space="preserve"> through regular discussions in plenary and committee, helping</w:t>
      </w:r>
      <w:r w:rsidR="003936BB" w:rsidRPr="00D16622">
        <w:rPr>
          <w:rFonts w:ascii="Times New Roman" w:hAnsi="Times New Roman" w:cs="Times New Roman"/>
          <w:noProof/>
          <w:sz w:val="24"/>
          <w:szCs w:val="24"/>
        </w:rPr>
        <w:t xml:space="preserve"> to increase the prominence of rule of law issues at EU and national levels. </w:t>
      </w:r>
      <w:r w:rsidR="00340895" w:rsidRPr="00D16622">
        <w:rPr>
          <w:rFonts w:ascii="Times New Roman" w:hAnsi="Times New Roman" w:cs="Times New Roman"/>
          <w:noProof/>
          <w:sz w:val="24"/>
          <w:szCs w:val="24"/>
        </w:rPr>
        <w:t xml:space="preserve">In 2025, </w:t>
      </w:r>
      <w:r w:rsidR="007D5EC2" w:rsidRPr="00D16622">
        <w:rPr>
          <w:rFonts w:ascii="Times New Roman" w:hAnsi="Times New Roman" w:cs="Times New Roman"/>
          <w:noProof/>
          <w:sz w:val="24"/>
          <w:szCs w:val="24"/>
        </w:rPr>
        <w:t>the Parliament</w:t>
      </w:r>
      <w:r w:rsidR="00B23D3E" w:rsidRPr="00D16622">
        <w:rPr>
          <w:rFonts w:ascii="Times New Roman" w:hAnsi="Times New Roman" w:cs="Times New Roman"/>
          <w:noProof/>
          <w:sz w:val="24"/>
          <w:szCs w:val="24"/>
          <w:lang w:val="en-IE"/>
        </w:rPr>
        <w:t xml:space="preserve"> </w:t>
      </w:r>
      <w:r w:rsidR="00977B8C" w:rsidRPr="00D16622">
        <w:rPr>
          <w:rFonts w:ascii="Times New Roman" w:hAnsi="Times New Roman" w:cs="Times New Roman"/>
          <w:noProof/>
          <w:sz w:val="24"/>
          <w:szCs w:val="24"/>
          <w:lang w:val="en-IE"/>
        </w:rPr>
        <w:t xml:space="preserve">brought </w:t>
      </w:r>
      <w:r w:rsidR="00012237" w:rsidRPr="00D16622">
        <w:rPr>
          <w:rFonts w:ascii="Times New Roman" w:hAnsi="Times New Roman" w:cs="Times New Roman"/>
          <w:noProof/>
          <w:sz w:val="24"/>
          <w:szCs w:val="24"/>
          <w:lang w:val="en-IE"/>
        </w:rPr>
        <w:t>forward</w:t>
      </w:r>
      <w:r w:rsidR="00B51EB8" w:rsidRPr="00D16622">
        <w:rPr>
          <w:rFonts w:ascii="Times New Roman" w:hAnsi="Times New Roman" w:cs="Times New Roman"/>
          <w:noProof/>
          <w:sz w:val="24"/>
          <w:szCs w:val="24"/>
          <w:lang w:val="en-IE"/>
        </w:rPr>
        <w:t xml:space="preserve"> the timing</w:t>
      </w:r>
      <w:r w:rsidR="00012237" w:rsidRPr="00D16622">
        <w:rPr>
          <w:rFonts w:ascii="Times New Roman" w:hAnsi="Times New Roman" w:cs="Times New Roman"/>
          <w:noProof/>
          <w:sz w:val="24"/>
          <w:szCs w:val="24"/>
          <w:lang w:val="en-IE"/>
        </w:rPr>
        <w:t xml:space="preserve"> </w:t>
      </w:r>
      <w:r w:rsidR="001C7DAA" w:rsidRPr="00D16622">
        <w:rPr>
          <w:rFonts w:ascii="Times New Roman" w:hAnsi="Times New Roman" w:cs="Times New Roman"/>
          <w:noProof/>
          <w:sz w:val="24"/>
          <w:szCs w:val="24"/>
          <w:lang w:val="en-IE"/>
        </w:rPr>
        <w:t>of</w:t>
      </w:r>
      <w:r w:rsidR="00012237" w:rsidRPr="00D16622">
        <w:rPr>
          <w:rFonts w:ascii="Times New Roman" w:hAnsi="Times New Roman" w:cs="Times New Roman"/>
          <w:noProof/>
          <w:sz w:val="24"/>
          <w:szCs w:val="24"/>
          <w:lang w:val="en-IE"/>
        </w:rPr>
        <w:t xml:space="preserve"> its</w:t>
      </w:r>
      <w:r w:rsidR="00672C64" w:rsidRPr="00D16622">
        <w:rPr>
          <w:rFonts w:ascii="Times New Roman" w:hAnsi="Times New Roman" w:cs="Times New Roman"/>
          <w:noProof/>
          <w:sz w:val="24"/>
          <w:szCs w:val="24"/>
          <w:lang w:val="en-IE"/>
        </w:rPr>
        <w:t xml:space="preserve"> </w:t>
      </w:r>
      <w:r w:rsidR="00B23D3E" w:rsidRPr="00D16622">
        <w:rPr>
          <w:rFonts w:ascii="Times New Roman" w:hAnsi="Times New Roman" w:cs="Times New Roman"/>
          <w:noProof/>
          <w:sz w:val="24"/>
          <w:szCs w:val="24"/>
          <w:lang w:val="en-IE"/>
        </w:rPr>
        <w:t>own-initiative Report on the Commission’s Rule of Law Report</w:t>
      </w:r>
      <w:r w:rsidR="00340895" w:rsidRPr="00D16622">
        <w:rPr>
          <w:rFonts w:ascii="Times New Roman" w:hAnsi="Times New Roman" w:cs="Times New Roman"/>
          <w:noProof/>
          <w:sz w:val="24"/>
          <w:szCs w:val="24"/>
          <w:lang w:val="en-IE"/>
        </w:rPr>
        <w:t xml:space="preserve"> in </w:t>
      </w:r>
      <w:r w:rsidR="00A3210B" w:rsidRPr="00D16622">
        <w:rPr>
          <w:rFonts w:ascii="Times New Roman" w:hAnsi="Times New Roman" w:cs="Times New Roman"/>
          <w:noProof/>
          <w:sz w:val="24"/>
          <w:szCs w:val="24"/>
          <w:lang w:val="en-IE"/>
        </w:rPr>
        <w:t xml:space="preserve">view of </w:t>
      </w:r>
      <w:r w:rsidR="00D00CAC" w:rsidRPr="00D16622">
        <w:rPr>
          <w:rFonts w:ascii="Times New Roman" w:hAnsi="Times New Roman" w:cs="Times New Roman"/>
          <w:noProof/>
          <w:sz w:val="24"/>
          <w:szCs w:val="24"/>
          <w:lang w:val="en-IE"/>
        </w:rPr>
        <w:t>enabling</w:t>
      </w:r>
      <w:r w:rsidR="00340895" w:rsidRPr="00D16622">
        <w:rPr>
          <w:rFonts w:ascii="Times New Roman" w:hAnsi="Times New Roman" w:cs="Times New Roman"/>
          <w:noProof/>
          <w:sz w:val="24"/>
          <w:szCs w:val="24"/>
          <w:lang w:val="en-IE"/>
        </w:rPr>
        <w:t xml:space="preserve"> a more integrated cycle</w:t>
      </w:r>
      <w:r w:rsidR="00567329" w:rsidRPr="00D16622">
        <w:rPr>
          <w:rFonts w:ascii="Times New Roman" w:hAnsi="Times New Roman" w:cs="Times New Roman"/>
          <w:noProof/>
          <w:sz w:val="24"/>
          <w:szCs w:val="24"/>
          <w:lang w:val="en-IE"/>
        </w:rPr>
        <w:t xml:space="preserve">. </w:t>
      </w:r>
      <w:r w:rsidR="003936BB" w:rsidRPr="00D16622">
        <w:rPr>
          <w:rFonts w:ascii="Times New Roman" w:hAnsi="Times New Roman" w:cs="Times New Roman"/>
          <w:noProof/>
          <w:sz w:val="24"/>
          <w:szCs w:val="24"/>
        </w:rPr>
        <w:t>It is important to favour synergies between the</w:t>
      </w:r>
      <w:r w:rsidR="00525A05" w:rsidRPr="00D16622">
        <w:rPr>
          <w:rFonts w:ascii="Times New Roman" w:hAnsi="Times New Roman" w:cs="Times New Roman"/>
          <w:noProof/>
          <w:sz w:val="24"/>
          <w:szCs w:val="24"/>
        </w:rPr>
        <w:t xml:space="preserve"> Commission</w:t>
      </w:r>
      <w:r w:rsidR="003936BB" w:rsidRPr="00D16622">
        <w:rPr>
          <w:rFonts w:ascii="Times New Roman" w:hAnsi="Times New Roman" w:cs="Times New Roman"/>
          <w:noProof/>
          <w:sz w:val="24"/>
          <w:szCs w:val="24"/>
        </w:rPr>
        <w:t>’s rule of law toolbox and other existing initiatives</w:t>
      </w:r>
      <w:r w:rsidR="009926B3" w:rsidRPr="00D16622">
        <w:rPr>
          <w:rFonts w:ascii="Times New Roman" w:hAnsi="Times New Roman" w:cs="Times New Roman"/>
          <w:noProof/>
          <w:sz w:val="24"/>
          <w:szCs w:val="24"/>
        </w:rPr>
        <w:t xml:space="preserve"> to ensure the </w:t>
      </w:r>
      <w:r w:rsidR="0073553A" w:rsidRPr="00D16622">
        <w:rPr>
          <w:rFonts w:ascii="Times New Roman" w:hAnsi="Times New Roman" w:cs="Times New Roman"/>
          <w:noProof/>
          <w:sz w:val="24"/>
          <w:szCs w:val="24"/>
        </w:rPr>
        <w:t xml:space="preserve">annual </w:t>
      </w:r>
      <w:r w:rsidR="009926B3" w:rsidRPr="00D16622">
        <w:rPr>
          <w:rFonts w:ascii="Times New Roman" w:hAnsi="Times New Roman" w:cs="Times New Roman"/>
          <w:noProof/>
          <w:sz w:val="24"/>
          <w:szCs w:val="24"/>
        </w:rPr>
        <w:t>rule of law cycle becomes even more effective at helping Member States implement positive reforms</w:t>
      </w:r>
      <w:r w:rsidR="00E76C2D" w:rsidRPr="00D16622">
        <w:rPr>
          <w:rFonts w:ascii="Times New Roman" w:hAnsi="Times New Roman" w:cs="Times New Roman"/>
          <w:noProof/>
          <w:sz w:val="24"/>
          <w:szCs w:val="24"/>
        </w:rPr>
        <w:t>, and t</w:t>
      </w:r>
      <w:r w:rsidR="003936BB" w:rsidRPr="00D16622">
        <w:rPr>
          <w:rFonts w:ascii="Times New Roman" w:hAnsi="Times New Roman" w:cs="Times New Roman"/>
          <w:noProof/>
          <w:sz w:val="24"/>
          <w:szCs w:val="24"/>
        </w:rPr>
        <w:t>he Commission</w:t>
      </w:r>
      <w:r w:rsidR="00525A05" w:rsidRPr="00D16622">
        <w:rPr>
          <w:rFonts w:ascii="Times New Roman" w:hAnsi="Times New Roman" w:cs="Times New Roman"/>
          <w:noProof/>
          <w:sz w:val="24"/>
          <w:szCs w:val="24"/>
        </w:rPr>
        <w:t xml:space="preserve"> </w:t>
      </w:r>
      <w:r w:rsidR="000044DC" w:rsidRPr="00D16622">
        <w:rPr>
          <w:rFonts w:ascii="Times New Roman" w:hAnsi="Times New Roman" w:cs="Times New Roman"/>
          <w:noProof/>
          <w:sz w:val="24"/>
          <w:szCs w:val="24"/>
        </w:rPr>
        <w:t xml:space="preserve">will continue to </w:t>
      </w:r>
      <w:r w:rsidR="00F90487" w:rsidRPr="00D16622">
        <w:rPr>
          <w:rFonts w:ascii="Times New Roman" w:hAnsi="Times New Roman" w:cs="Times New Roman"/>
          <w:noProof/>
          <w:sz w:val="24"/>
          <w:szCs w:val="24"/>
        </w:rPr>
        <w:t>work</w:t>
      </w:r>
      <w:r w:rsidR="00525A05" w:rsidRPr="00D16622">
        <w:rPr>
          <w:rFonts w:ascii="Times New Roman" w:hAnsi="Times New Roman" w:cs="Times New Roman"/>
          <w:noProof/>
          <w:sz w:val="24"/>
          <w:szCs w:val="24"/>
        </w:rPr>
        <w:t xml:space="preserve"> with Parliament</w:t>
      </w:r>
      <w:r w:rsidR="00A92666" w:rsidRPr="00D16622">
        <w:rPr>
          <w:rFonts w:ascii="Times New Roman" w:hAnsi="Times New Roman" w:cs="Times New Roman"/>
          <w:noProof/>
          <w:sz w:val="24"/>
          <w:szCs w:val="24"/>
        </w:rPr>
        <w:t xml:space="preserve"> and Council</w:t>
      </w:r>
      <w:r w:rsidR="00525A05" w:rsidRPr="00D16622">
        <w:rPr>
          <w:rFonts w:ascii="Times New Roman" w:hAnsi="Times New Roman" w:cs="Times New Roman"/>
          <w:noProof/>
          <w:sz w:val="24"/>
          <w:szCs w:val="24"/>
        </w:rPr>
        <w:t xml:space="preserve"> </w:t>
      </w:r>
      <w:r w:rsidR="005C190A" w:rsidRPr="00D16622">
        <w:rPr>
          <w:rFonts w:ascii="Times New Roman" w:hAnsi="Times New Roman" w:cs="Times New Roman"/>
          <w:noProof/>
          <w:sz w:val="24"/>
          <w:szCs w:val="24"/>
        </w:rPr>
        <w:t>to improve and</w:t>
      </w:r>
      <w:r w:rsidR="00F90487" w:rsidRPr="00D16622">
        <w:rPr>
          <w:rFonts w:ascii="Times New Roman" w:hAnsi="Times New Roman" w:cs="Times New Roman"/>
          <w:noProof/>
          <w:sz w:val="24"/>
          <w:szCs w:val="24"/>
        </w:rPr>
        <w:t xml:space="preserve"> enhance</w:t>
      </w:r>
      <w:r w:rsidR="005C190A" w:rsidRPr="00D16622">
        <w:rPr>
          <w:rFonts w:ascii="Times New Roman" w:hAnsi="Times New Roman" w:cs="Times New Roman"/>
          <w:noProof/>
          <w:sz w:val="24"/>
          <w:szCs w:val="24"/>
        </w:rPr>
        <w:t xml:space="preserve"> the</w:t>
      </w:r>
      <w:r w:rsidR="00525A05" w:rsidRPr="00D16622">
        <w:rPr>
          <w:rFonts w:ascii="Times New Roman" w:hAnsi="Times New Roman" w:cs="Times New Roman"/>
          <w:noProof/>
          <w:sz w:val="24"/>
          <w:szCs w:val="24"/>
        </w:rPr>
        <w:t xml:space="preserve"> </w:t>
      </w:r>
      <w:r w:rsidR="00F90487" w:rsidRPr="00D16622">
        <w:rPr>
          <w:rFonts w:ascii="Times New Roman" w:hAnsi="Times New Roman" w:cs="Times New Roman"/>
          <w:noProof/>
          <w:sz w:val="24"/>
          <w:szCs w:val="24"/>
        </w:rPr>
        <w:t>dialogue on the</w:t>
      </w:r>
      <w:r w:rsidR="00525A05" w:rsidRPr="00D16622">
        <w:rPr>
          <w:rFonts w:ascii="Times New Roman" w:hAnsi="Times New Roman" w:cs="Times New Roman"/>
          <w:noProof/>
          <w:sz w:val="24"/>
          <w:szCs w:val="24"/>
        </w:rPr>
        <w:t xml:space="preserve"> cycle.</w:t>
      </w:r>
      <w:r w:rsidR="0077306A" w:rsidRPr="00D16622">
        <w:rPr>
          <w:rFonts w:ascii="Times New Roman" w:hAnsi="Times New Roman" w:cs="Times New Roman"/>
          <w:noProof/>
          <w:sz w:val="24"/>
          <w:szCs w:val="24"/>
        </w:rPr>
        <w:t xml:space="preserve"> </w:t>
      </w:r>
      <w:r w:rsidR="00BE12EE" w:rsidRPr="00D16622">
        <w:rPr>
          <w:rFonts w:ascii="Times New Roman" w:hAnsi="Times New Roman" w:cs="Times New Roman"/>
          <w:noProof/>
          <w:sz w:val="24"/>
          <w:szCs w:val="24"/>
        </w:rPr>
        <w:t>In that context,</w:t>
      </w:r>
      <w:r w:rsidR="00EC0AED" w:rsidRPr="00D16622">
        <w:rPr>
          <w:rFonts w:ascii="Times New Roman" w:hAnsi="Times New Roman" w:cs="Times New Roman"/>
          <w:noProof/>
          <w:sz w:val="24"/>
          <w:szCs w:val="24"/>
        </w:rPr>
        <w:t xml:space="preserve"> </w:t>
      </w:r>
      <w:r w:rsidR="00AF2BC4" w:rsidRPr="00D16622">
        <w:rPr>
          <w:rFonts w:ascii="Times New Roman" w:hAnsi="Times New Roman" w:cs="Times New Roman"/>
          <w:noProof/>
          <w:sz w:val="24"/>
          <w:szCs w:val="24"/>
        </w:rPr>
        <w:t>it</w:t>
      </w:r>
      <w:r w:rsidR="00EC0AED" w:rsidRPr="00D16622">
        <w:rPr>
          <w:rFonts w:ascii="Times New Roman" w:hAnsi="Times New Roman" w:cs="Times New Roman"/>
          <w:noProof/>
          <w:sz w:val="24"/>
          <w:szCs w:val="24"/>
        </w:rPr>
        <w:t xml:space="preserve"> </w:t>
      </w:r>
      <w:r w:rsidR="0073553A" w:rsidRPr="00D16622">
        <w:rPr>
          <w:rFonts w:ascii="Times New Roman" w:hAnsi="Times New Roman" w:cs="Times New Roman"/>
          <w:noProof/>
          <w:sz w:val="24"/>
          <w:szCs w:val="24"/>
        </w:rPr>
        <w:t>welcomes</w:t>
      </w:r>
      <w:r w:rsidR="00BE12EE" w:rsidRPr="00D16622">
        <w:rPr>
          <w:rFonts w:ascii="Times New Roman" w:hAnsi="Times New Roman" w:cs="Times New Roman"/>
          <w:noProof/>
          <w:sz w:val="24"/>
          <w:szCs w:val="24"/>
        </w:rPr>
        <w:t xml:space="preserve"> t</w:t>
      </w:r>
      <w:r w:rsidR="0077306A" w:rsidRPr="00D16622">
        <w:rPr>
          <w:rFonts w:ascii="Times New Roman" w:hAnsi="Times New Roman" w:cs="Times New Roman"/>
          <w:noProof/>
          <w:sz w:val="24"/>
          <w:szCs w:val="24"/>
        </w:rPr>
        <w:t>he</w:t>
      </w:r>
      <w:r w:rsidR="0073553A" w:rsidRPr="00D16622">
        <w:rPr>
          <w:rFonts w:ascii="Times New Roman" w:hAnsi="Times New Roman" w:cs="Times New Roman"/>
          <w:noProof/>
          <w:sz w:val="24"/>
          <w:szCs w:val="24"/>
        </w:rPr>
        <w:t xml:space="preserve"> work of </w:t>
      </w:r>
      <w:r w:rsidR="00AC7212" w:rsidRPr="00D16622">
        <w:rPr>
          <w:rFonts w:ascii="Times New Roman" w:hAnsi="Times New Roman" w:cs="Times New Roman"/>
          <w:noProof/>
          <w:sz w:val="24"/>
          <w:szCs w:val="24"/>
        </w:rPr>
        <w:t>the</w:t>
      </w:r>
      <w:r w:rsidR="0077306A" w:rsidRPr="00D16622">
        <w:rPr>
          <w:rFonts w:ascii="Times New Roman" w:hAnsi="Times New Roman" w:cs="Times New Roman"/>
          <w:noProof/>
          <w:sz w:val="24"/>
          <w:szCs w:val="24"/>
        </w:rPr>
        <w:t xml:space="preserve"> </w:t>
      </w:r>
      <w:hyperlink r:id="rId18" w:history="1">
        <w:r w:rsidR="0077306A" w:rsidRPr="00D16622">
          <w:rPr>
            <w:rStyle w:val="Hyperlink"/>
            <w:rFonts w:cs="Times New Roman"/>
            <w:noProof/>
            <w:szCs w:val="24"/>
          </w:rPr>
          <w:t>Democracy, Rule of Law and Fundamental Rights Monitoring Group</w:t>
        </w:r>
        <w:r w:rsidR="003936BB" w:rsidRPr="00D16622">
          <w:rPr>
            <w:rStyle w:val="Hyperlink"/>
            <w:rFonts w:cs="Times New Roman"/>
            <w:noProof/>
            <w:szCs w:val="24"/>
          </w:rPr>
          <w:t xml:space="preserve"> (DRFMG)</w:t>
        </w:r>
      </w:hyperlink>
      <w:r w:rsidR="0077306A" w:rsidRPr="00D16622">
        <w:rPr>
          <w:rFonts w:ascii="Times New Roman" w:hAnsi="Times New Roman" w:cs="Times New Roman"/>
          <w:noProof/>
          <w:sz w:val="24"/>
          <w:szCs w:val="24"/>
        </w:rPr>
        <w:t xml:space="preserve"> of the Parliament’s LIBE Committee</w:t>
      </w:r>
      <w:r w:rsidR="0073553A" w:rsidRPr="00D16622">
        <w:rPr>
          <w:rFonts w:ascii="Times New Roman" w:hAnsi="Times New Roman" w:cs="Times New Roman"/>
          <w:noProof/>
          <w:sz w:val="24"/>
          <w:szCs w:val="24"/>
        </w:rPr>
        <w:t xml:space="preserve">. </w:t>
      </w:r>
      <w:r w:rsidR="00352E7A" w:rsidRPr="00D16622">
        <w:rPr>
          <w:rFonts w:ascii="Times New Roman" w:hAnsi="Times New Roman" w:cs="Times New Roman"/>
          <w:noProof/>
          <w:sz w:val="24"/>
          <w:szCs w:val="24"/>
        </w:rPr>
        <w:t>It</w:t>
      </w:r>
      <w:r w:rsidR="0073553A" w:rsidRPr="00D16622">
        <w:rPr>
          <w:rFonts w:ascii="Times New Roman" w:hAnsi="Times New Roman" w:cs="Times New Roman"/>
          <w:noProof/>
          <w:sz w:val="24"/>
          <w:szCs w:val="24"/>
        </w:rPr>
        <w:t xml:space="preserve"> provides</w:t>
      </w:r>
      <w:r w:rsidR="00956D81" w:rsidRPr="00D16622">
        <w:rPr>
          <w:rFonts w:ascii="Times New Roman" w:hAnsi="Times New Roman" w:cs="Times New Roman"/>
          <w:noProof/>
          <w:sz w:val="24"/>
          <w:szCs w:val="24"/>
        </w:rPr>
        <w:t xml:space="preserve"> </w:t>
      </w:r>
      <w:r w:rsidR="0077306A" w:rsidRPr="00D16622">
        <w:rPr>
          <w:rFonts w:ascii="Times New Roman" w:hAnsi="Times New Roman" w:cs="Times New Roman"/>
          <w:noProof/>
          <w:sz w:val="24"/>
          <w:szCs w:val="24"/>
        </w:rPr>
        <w:t>a valuable forum for both horizontal and country-specific discussions</w:t>
      </w:r>
      <w:r w:rsidR="00D704FF" w:rsidRPr="00D16622">
        <w:rPr>
          <w:rFonts w:ascii="Times New Roman" w:hAnsi="Times New Roman" w:cs="Times New Roman"/>
          <w:noProof/>
          <w:sz w:val="24"/>
          <w:szCs w:val="24"/>
        </w:rPr>
        <w:t xml:space="preserve"> </w:t>
      </w:r>
      <w:r w:rsidR="0073553A" w:rsidRPr="00D16622">
        <w:rPr>
          <w:rFonts w:ascii="Times New Roman" w:hAnsi="Times New Roman" w:cs="Times New Roman"/>
          <w:noProof/>
          <w:sz w:val="24"/>
          <w:szCs w:val="24"/>
        </w:rPr>
        <w:t xml:space="preserve">which </w:t>
      </w:r>
      <w:r w:rsidR="00F90CEE" w:rsidRPr="00D16622">
        <w:rPr>
          <w:rFonts w:ascii="Times New Roman" w:hAnsi="Times New Roman" w:cs="Times New Roman"/>
          <w:noProof/>
          <w:sz w:val="24"/>
          <w:szCs w:val="24"/>
        </w:rPr>
        <w:t>the Commission will continue to actively engage in, including</w:t>
      </w:r>
      <w:r w:rsidR="0073553A" w:rsidRPr="00D16622">
        <w:rPr>
          <w:rFonts w:ascii="Times New Roman" w:hAnsi="Times New Roman" w:cs="Times New Roman"/>
          <w:noProof/>
          <w:sz w:val="24"/>
          <w:szCs w:val="24"/>
        </w:rPr>
        <w:t xml:space="preserve"> to support the preparation of</w:t>
      </w:r>
      <w:r w:rsidR="00D704FF" w:rsidRPr="00D16622">
        <w:rPr>
          <w:rFonts w:ascii="Times New Roman" w:hAnsi="Times New Roman" w:cs="Times New Roman"/>
          <w:noProof/>
          <w:sz w:val="24"/>
          <w:szCs w:val="24"/>
        </w:rPr>
        <w:t xml:space="preserve"> the Rule of Law Report</w:t>
      </w:r>
      <w:r w:rsidR="0073553A" w:rsidRPr="00D16622">
        <w:rPr>
          <w:rFonts w:ascii="Times New Roman" w:hAnsi="Times New Roman" w:cs="Times New Roman"/>
          <w:noProof/>
          <w:sz w:val="24"/>
          <w:szCs w:val="24"/>
        </w:rPr>
        <w:t xml:space="preserve"> and follow-up to its recommendations</w:t>
      </w:r>
      <w:bookmarkEnd w:id="2"/>
      <w:r w:rsidR="000B4A12" w:rsidRPr="00D16622">
        <w:rPr>
          <w:rFonts w:ascii="Times New Roman" w:hAnsi="Times New Roman" w:cs="Times New Roman"/>
          <w:noProof/>
          <w:sz w:val="24"/>
          <w:szCs w:val="24"/>
          <w:lang w:val="en-IE"/>
        </w:rPr>
        <w:t>.</w:t>
      </w:r>
      <w:r w:rsidR="0073553A" w:rsidRPr="00D16622">
        <w:rPr>
          <w:rFonts w:ascii="Times New Roman" w:hAnsi="Times New Roman" w:cs="Times New Roman"/>
          <w:noProof/>
          <w:sz w:val="24"/>
          <w:szCs w:val="24"/>
          <w:lang w:val="en-IE"/>
        </w:rPr>
        <w:t xml:space="preserve"> </w:t>
      </w:r>
    </w:p>
    <w:p w14:paraId="4ECC4B4E" w14:textId="7D2FF4A0" w:rsidR="00AC2AA8" w:rsidRPr="00D16622" w:rsidRDefault="00FB488A" w:rsidP="00AC2AA8">
      <w:pPr>
        <w:spacing w:after="120" w:line="240" w:lineRule="auto"/>
        <w:jc w:val="both"/>
        <w:rPr>
          <w:rFonts w:ascii="Times New Roman" w:hAnsi="Times New Roman" w:cs="Times New Roman"/>
          <w:noProof/>
          <w:sz w:val="24"/>
          <w:szCs w:val="24"/>
          <w:lang w:val="en-IE"/>
        </w:rPr>
      </w:pPr>
      <w:r w:rsidRPr="00D16622">
        <w:rPr>
          <w:rFonts w:ascii="Times New Roman" w:eastAsia="Aptos" w:hAnsi="Times New Roman" w:cs="Times New Roman"/>
          <w:noProof/>
          <w:sz w:val="24"/>
          <w:szCs w:val="24"/>
        </w:rPr>
        <w:t xml:space="preserve">Discussions on </w:t>
      </w:r>
      <w:r w:rsidR="00D27468" w:rsidRPr="00D16622">
        <w:rPr>
          <w:rFonts w:ascii="Times New Roman" w:eastAsia="Aptos" w:hAnsi="Times New Roman" w:cs="Times New Roman"/>
          <w:noProof/>
          <w:sz w:val="24"/>
          <w:szCs w:val="24"/>
        </w:rPr>
        <w:t xml:space="preserve">the </w:t>
      </w:r>
      <w:r w:rsidRPr="00D16622">
        <w:rPr>
          <w:rFonts w:ascii="Times New Roman" w:eastAsia="Aptos" w:hAnsi="Times New Roman" w:cs="Times New Roman"/>
          <w:noProof/>
          <w:sz w:val="24"/>
          <w:szCs w:val="24"/>
        </w:rPr>
        <w:t xml:space="preserve">rule of law also continued in other fora. </w:t>
      </w:r>
      <w:r w:rsidR="00732968" w:rsidRPr="00D16622">
        <w:rPr>
          <w:rFonts w:ascii="Times New Roman" w:eastAsia="Aptos" w:hAnsi="Times New Roman" w:cs="Times New Roman"/>
          <w:noProof/>
          <w:sz w:val="24"/>
          <w:szCs w:val="24"/>
        </w:rPr>
        <w:t xml:space="preserve">The </w:t>
      </w:r>
      <w:r w:rsidR="00732968" w:rsidRPr="00D16622">
        <w:rPr>
          <w:rFonts w:ascii="Times New Roman" w:eastAsia="Aptos" w:hAnsi="Times New Roman" w:cs="Times New Roman"/>
          <w:b/>
          <w:noProof/>
          <w:sz w:val="24"/>
          <w:szCs w:val="24"/>
        </w:rPr>
        <w:t>European Economic and Social Committee</w:t>
      </w:r>
      <w:r w:rsidR="00732968" w:rsidRPr="00D16622">
        <w:rPr>
          <w:rFonts w:ascii="Times New Roman" w:eastAsia="Aptos" w:hAnsi="Times New Roman" w:cs="Times New Roman"/>
          <w:noProof/>
          <w:sz w:val="24"/>
          <w:szCs w:val="24"/>
        </w:rPr>
        <w:t xml:space="preserve"> </w:t>
      </w:r>
      <w:r w:rsidR="00122193" w:rsidRPr="00D16622">
        <w:rPr>
          <w:rFonts w:ascii="Times New Roman" w:eastAsia="Aptos" w:hAnsi="Times New Roman" w:cs="Times New Roman"/>
          <w:noProof/>
          <w:sz w:val="24"/>
          <w:szCs w:val="24"/>
        </w:rPr>
        <w:t xml:space="preserve">held its sixth </w:t>
      </w:r>
      <w:r w:rsidR="002C2571" w:rsidRPr="00D16622">
        <w:rPr>
          <w:rFonts w:ascii="Times New Roman" w:eastAsia="Aptos" w:hAnsi="Times New Roman" w:cs="Times New Roman"/>
          <w:noProof/>
          <w:sz w:val="24"/>
          <w:szCs w:val="24"/>
        </w:rPr>
        <w:t>a</w:t>
      </w:r>
      <w:r w:rsidR="00122193" w:rsidRPr="00D16622">
        <w:rPr>
          <w:rFonts w:ascii="Times New Roman" w:eastAsia="Aptos" w:hAnsi="Times New Roman" w:cs="Times New Roman"/>
          <w:noProof/>
          <w:sz w:val="24"/>
          <w:szCs w:val="24"/>
        </w:rPr>
        <w:t xml:space="preserve">nnual </w:t>
      </w:r>
      <w:r w:rsidR="002C2571" w:rsidRPr="00D16622">
        <w:rPr>
          <w:rFonts w:ascii="Times New Roman" w:eastAsia="Aptos" w:hAnsi="Times New Roman" w:cs="Times New Roman"/>
          <w:noProof/>
          <w:sz w:val="24"/>
          <w:szCs w:val="24"/>
        </w:rPr>
        <w:t>c</w:t>
      </w:r>
      <w:r w:rsidR="00122193" w:rsidRPr="00D16622">
        <w:rPr>
          <w:rFonts w:ascii="Times New Roman" w:eastAsia="Aptos" w:hAnsi="Times New Roman" w:cs="Times New Roman"/>
          <w:noProof/>
          <w:sz w:val="24"/>
          <w:szCs w:val="24"/>
        </w:rPr>
        <w:t>onference on fundamental rights and the rule of law</w:t>
      </w:r>
      <w:r w:rsidR="00732968" w:rsidRPr="00D16622">
        <w:rPr>
          <w:rFonts w:ascii="Times New Roman" w:eastAsia="Aptos" w:hAnsi="Times New Roman" w:cs="Times New Roman"/>
          <w:noProof/>
          <w:sz w:val="24"/>
          <w:szCs w:val="24"/>
        </w:rPr>
        <w:t>.</w:t>
      </w:r>
      <w:r w:rsidR="00C204AF" w:rsidRPr="00D16622">
        <w:rPr>
          <w:rFonts w:ascii="Times New Roman" w:eastAsia="Aptos" w:hAnsi="Times New Roman" w:cs="Times New Roman"/>
          <w:noProof/>
          <w:sz w:val="24"/>
          <w:szCs w:val="24"/>
        </w:rPr>
        <w:t xml:space="preserve"> </w:t>
      </w:r>
      <w:r w:rsidR="00AC2AA8" w:rsidRPr="00D16622">
        <w:rPr>
          <w:rFonts w:ascii="Times New Roman" w:hAnsi="Times New Roman" w:cs="Times New Roman"/>
          <w:noProof/>
          <w:sz w:val="24"/>
          <w:szCs w:val="24"/>
          <w:lang w:val="en-IE"/>
        </w:rPr>
        <w:t>The Commission organise</w:t>
      </w:r>
      <w:r w:rsidR="008A2C23" w:rsidRPr="00D16622">
        <w:rPr>
          <w:rFonts w:ascii="Times New Roman" w:hAnsi="Times New Roman" w:cs="Times New Roman"/>
          <w:noProof/>
          <w:sz w:val="24"/>
          <w:szCs w:val="24"/>
          <w:lang w:val="en-IE"/>
        </w:rPr>
        <w:t>d several</w:t>
      </w:r>
      <w:r w:rsidR="00AC2AA8" w:rsidRPr="00D16622">
        <w:rPr>
          <w:rFonts w:ascii="Times New Roman" w:hAnsi="Times New Roman" w:cs="Times New Roman"/>
          <w:noProof/>
          <w:sz w:val="24"/>
          <w:szCs w:val="24"/>
          <w:lang w:val="en-IE"/>
        </w:rPr>
        <w:t xml:space="preserve"> </w:t>
      </w:r>
      <w:r w:rsidR="00AC2AA8" w:rsidRPr="00D16622">
        <w:rPr>
          <w:rFonts w:ascii="Times New Roman" w:hAnsi="Times New Roman" w:cs="Times New Roman"/>
          <w:b/>
          <w:bCs/>
          <w:noProof/>
          <w:sz w:val="24"/>
          <w:szCs w:val="24"/>
          <w:lang w:val="en-IE"/>
        </w:rPr>
        <w:t>national rule of law dialogues</w:t>
      </w:r>
      <w:r w:rsidR="00AC2AA8" w:rsidRPr="00D16622">
        <w:rPr>
          <w:rStyle w:val="FootnoteReference"/>
          <w:rFonts w:cs="Times New Roman"/>
          <w:noProof/>
        </w:rPr>
        <w:footnoteReference w:id="15"/>
      </w:r>
      <w:r w:rsidR="00AC2AA8" w:rsidRPr="00D16622">
        <w:rPr>
          <w:rFonts w:ascii="Times New Roman" w:hAnsi="Times New Roman" w:cs="Times New Roman"/>
          <w:noProof/>
          <w:sz w:val="24"/>
          <w:szCs w:val="24"/>
          <w:lang w:val="en-IE"/>
        </w:rPr>
        <w:t xml:space="preserve"> in close cooperation with the Fundamental Rights Agency</w:t>
      </w:r>
      <w:r w:rsidR="00C70245" w:rsidRPr="00D16622">
        <w:rPr>
          <w:rFonts w:ascii="Times New Roman" w:hAnsi="Times New Roman" w:cs="Times New Roman"/>
          <w:noProof/>
          <w:sz w:val="24"/>
          <w:szCs w:val="24"/>
          <w:lang w:val="en-IE"/>
        </w:rPr>
        <w:t xml:space="preserve">. </w:t>
      </w:r>
      <w:r w:rsidR="007834ED" w:rsidRPr="00D16622">
        <w:rPr>
          <w:rFonts w:ascii="Times New Roman" w:hAnsi="Times New Roman" w:cs="Times New Roman"/>
          <w:noProof/>
          <w:sz w:val="24"/>
          <w:szCs w:val="24"/>
          <w:lang w:val="en-IE"/>
        </w:rPr>
        <w:t xml:space="preserve">These dialogues </w:t>
      </w:r>
      <w:r w:rsidR="00AC2AA8" w:rsidRPr="00D16622">
        <w:rPr>
          <w:rFonts w:ascii="Times New Roman" w:hAnsi="Times New Roman" w:cs="Times New Roman"/>
          <w:noProof/>
          <w:sz w:val="24"/>
          <w:szCs w:val="24"/>
          <w:lang w:val="en-IE"/>
        </w:rPr>
        <w:t>are an important part of a follow-up process</w:t>
      </w:r>
      <w:r w:rsidR="007834ED" w:rsidRPr="00D16622">
        <w:rPr>
          <w:rFonts w:ascii="Times New Roman" w:hAnsi="Times New Roman" w:cs="Times New Roman"/>
          <w:noProof/>
          <w:sz w:val="24"/>
          <w:szCs w:val="24"/>
          <w:lang w:val="en-IE"/>
        </w:rPr>
        <w:t xml:space="preserve">, </w:t>
      </w:r>
      <w:r w:rsidR="00AC2AA8" w:rsidRPr="00D16622">
        <w:rPr>
          <w:rFonts w:ascii="Times New Roman" w:hAnsi="Times New Roman" w:cs="Times New Roman"/>
          <w:noProof/>
          <w:sz w:val="24"/>
          <w:szCs w:val="24"/>
          <w:lang w:val="en-IE"/>
        </w:rPr>
        <w:t>bring</w:t>
      </w:r>
      <w:r w:rsidR="007834ED" w:rsidRPr="00D16622">
        <w:rPr>
          <w:rFonts w:ascii="Times New Roman" w:hAnsi="Times New Roman" w:cs="Times New Roman"/>
          <w:noProof/>
          <w:sz w:val="24"/>
          <w:szCs w:val="24"/>
          <w:lang w:val="en-IE"/>
        </w:rPr>
        <w:t>ing</w:t>
      </w:r>
      <w:r w:rsidR="00AC2AA8" w:rsidRPr="00D16622">
        <w:rPr>
          <w:rFonts w:ascii="Times New Roman" w:hAnsi="Times New Roman" w:cs="Times New Roman"/>
          <w:noProof/>
          <w:sz w:val="24"/>
          <w:szCs w:val="24"/>
          <w:lang w:val="en-IE"/>
        </w:rPr>
        <w:t xml:space="preserve"> together </w:t>
      </w:r>
      <w:r w:rsidR="00F22FE9" w:rsidRPr="00D16622">
        <w:rPr>
          <w:rFonts w:ascii="Times New Roman" w:hAnsi="Times New Roman" w:cs="Times New Roman"/>
          <w:noProof/>
          <w:sz w:val="24"/>
          <w:szCs w:val="24"/>
          <w:lang w:val="en-IE"/>
        </w:rPr>
        <w:t>v</w:t>
      </w:r>
      <w:r w:rsidR="00673D85" w:rsidRPr="00D16622">
        <w:rPr>
          <w:rFonts w:ascii="Times New Roman" w:hAnsi="Times New Roman" w:cs="Times New Roman"/>
          <w:noProof/>
          <w:sz w:val="24"/>
          <w:szCs w:val="24"/>
          <w:lang w:val="en-IE"/>
        </w:rPr>
        <w:t>a</w:t>
      </w:r>
      <w:r w:rsidR="00F22FE9" w:rsidRPr="00D16622">
        <w:rPr>
          <w:rFonts w:ascii="Times New Roman" w:hAnsi="Times New Roman" w:cs="Times New Roman"/>
          <w:noProof/>
          <w:sz w:val="24"/>
          <w:szCs w:val="24"/>
          <w:lang w:val="en-IE"/>
        </w:rPr>
        <w:t xml:space="preserve">rious </w:t>
      </w:r>
      <w:r w:rsidR="00AC2AA8" w:rsidRPr="00D16622">
        <w:rPr>
          <w:rFonts w:ascii="Times New Roman" w:hAnsi="Times New Roman" w:cs="Times New Roman"/>
          <w:noProof/>
          <w:sz w:val="24"/>
          <w:szCs w:val="24"/>
          <w:lang w:val="en-IE"/>
        </w:rPr>
        <w:t xml:space="preserve">national stakeholders and authorities </w:t>
      </w:r>
      <w:r w:rsidR="00673D85" w:rsidRPr="00D16622">
        <w:rPr>
          <w:rFonts w:ascii="Times New Roman" w:hAnsi="Times New Roman" w:cs="Times New Roman"/>
          <w:noProof/>
          <w:sz w:val="24"/>
          <w:szCs w:val="24"/>
          <w:lang w:val="en-IE"/>
        </w:rPr>
        <w:t>to involve</w:t>
      </w:r>
      <w:r w:rsidR="00AC2AA8" w:rsidRPr="00D16622">
        <w:rPr>
          <w:rFonts w:ascii="Times New Roman" w:hAnsi="Times New Roman" w:cs="Times New Roman"/>
          <w:noProof/>
          <w:sz w:val="24"/>
          <w:szCs w:val="24"/>
          <w:lang w:val="en-IE"/>
        </w:rPr>
        <w:t xml:space="preserve"> them more closely in the follow-up to the Rule of Law Report </w:t>
      </w:r>
      <w:r w:rsidR="00402D29" w:rsidRPr="00D16622">
        <w:rPr>
          <w:rFonts w:ascii="Times New Roman" w:hAnsi="Times New Roman" w:cs="Times New Roman"/>
          <w:noProof/>
          <w:sz w:val="24"/>
          <w:szCs w:val="24"/>
          <w:lang w:val="en-IE"/>
        </w:rPr>
        <w:t>including in the implementation of its</w:t>
      </w:r>
      <w:r w:rsidR="00AC2AA8" w:rsidRPr="00D16622">
        <w:rPr>
          <w:rFonts w:ascii="Times New Roman" w:hAnsi="Times New Roman" w:cs="Times New Roman"/>
          <w:noProof/>
          <w:sz w:val="24"/>
          <w:szCs w:val="24"/>
          <w:lang w:val="en-IE"/>
        </w:rPr>
        <w:t xml:space="preserve"> recommendations. </w:t>
      </w:r>
    </w:p>
    <w:p w14:paraId="7026433D" w14:textId="33940112" w:rsidR="00071325" w:rsidRPr="00D16622" w:rsidRDefault="008F1F32" w:rsidP="00F2462F">
      <w:pPr>
        <w:spacing w:after="120" w:line="240" w:lineRule="auto"/>
        <w:jc w:val="both"/>
        <w:rPr>
          <w:rFonts w:ascii="Times New Roman" w:eastAsia="Aptos" w:hAnsi="Times New Roman" w:cs="Times New Roman"/>
          <w:noProof/>
          <w:sz w:val="24"/>
          <w:szCs w:val="24"/>
        </w:rPr>
      </w:pPr>
      <w:r w:rsidRPr="00D16622">
        <w:rPr>
          <w:rFonts w:ascii="Times New Roman" w:eastAsia="Aptos" w:hAnsi="Times New Roman" w:cs="Times New Roman"/>
          <w:noProof/>
          <w:sz w:val="24"/>
          <w:szCs w:val="24"/>
        </w:rPr>
        <w:t xml:space="preserve">The Rule of Law Report </w:t>
      </w:r>
      <w:r w:rsidR="00A63274" w:rsidRPr="00D16622">
        <w:rPr>
          <w:rFonts w:ascii="Times New Roman" w:eastAsia="Aptos" w:hAnsi="Times New Roman" w:cs="Times New Roman"/>
          <w:noProof/>
          <w:sz w:val="24"/>
          <w:szCs w:val="24"/>
        </w:rPr>
        <w:t xml:space="preserve">continues to </w:t>
      </w:r>
      <w:r w:rsidR="00E93B97" w:rsidRPr="00D16622">
        <w:rPr>
          <w:rFonts w:ascii="Times New Roman" w:eastAsia="Aptos" w:hAnsi="Times New Roman" w:cs="Times New Roman"/>
          <w:noProof/>
          <w:sz w:val="24"/>
          <w:szCs w:val="24"/>
        </w:rPr>
        <w:t xml:space="preserve">serve as a </w:t>
      </w:r>
      <w:r w:rsidR="00FB1E00" w:rsidRPr="00D16622">
        <w:rPr>
          <w:rFonts w:ascii="Times New Roman" w:eastAsia="Aptos" w:hAnsi="Times New Roman" w:cs="Times New Roman"/>
          <w:noProof/>
          <w:sz w:val="24"/>
          <w:szCs w:val="24"/>
        </w:rPr>
        <w:t xml:space="preserve">catalyst </w:t>
      </w:r>
      <w:r w:rsidR="00E93B97" w:rsidRPr="00D16622">
        <w:rPr>
          <w:rFonts w:ascii="Times New Roman" w:eastAsia="Aptos" w:hAnsi="Times New Roman" w:cs="Times New Roman"/>
          <w:noProof/>
          <w:sz w:val="24"/>
          <w:szCs w:val="24"/>
        </w:rPr>
        <w:t>for deeper</w:t>
      </w:r>
      <w:r w:rsidR="00E06905" w:rsidRPr="00D16622">
        <w:rPr>
          <w:rFonts w:ascii="Times New Roman" w:eastAsia="Aptos" w:hAnsi="Times New Roman" w:cs="Times New Roman"/>
          <w:noProof/>
          <w:sz w:val="24"/>
          <w:szCs w:val="24"/>
        </w:rPr>
        <w:t xml:space="preserve"> engagement with </w:t>
      </w:r>
      <w:r w:rsidR="00E06905" w:rsidRPr="00D16622">
        <w:rPr>
          <w:rFonts w:ascii="Times New Roman" w:eastAsia="Aptos" w:hAnsi="Times New Roman" w:cs="Times New Roman"/>
          <w:b/>
          <w:noProof/>
          <w:sz w:val="24"/>
          <w:szCs w:val="24"/>
        </w:rPr>
        <w:t xml:space="preserve">civil society and </w:t>
      </w:r>
      <w:r w:rsidR="000A43A6" w:rsidRPr="00D16622">
        <w:rPr>
          <w:rFonts w:ascii="Times New Roman" w:eastAsia="Aptos" w:hAnsi="Times New Roman" w:cs="Times New Roman"/>
          <w:b/>
          <w:noProof/>
          <w:sz w:val="24"/>
          <w:szCs w:val="24"/>
        </w:rPr>
        <w:t xml:space="preserve">other </w:t>
      </w:r>
      <w:r w:rsidR="00E06905" w:rsidRPr="00D16622">
        <w:rPr>
          <w:rFonts w:ascii="Times New Roman" w:eastAsia="Aptos" w:hAnsi="Times New Roman" w:cs="Times New Roman"/>
          <w:b/>
          <w:noProof/>
          <w:sz w:val="24"/>
          <w:szCs w:val="24"/>
        </w:rPr>
        <w:t>stakeholders</w:t>
      </w:r>
      <w:r w:rsidR="00415426" w:rsidRPr="00D16622">
        <w:rPr>
          <w:rFonts w:ascii="Times New Roman" w:eastAsia="Aptos" w:hAnsi="Times New Roman" w:cs="Times New Roman"/>
          <w:noProof/>
          <w:sz w:val="24"/>
          <w:szCs w:val="24"/>
        </w:rPr>
        <w:t>.</w:t>
      </w:r>
      <w:r w:rsidR="00A63274" w:rsidRPr="00D16622">
        <w:rPr>
          <w:rFonts w:ascii="Times New Roman" w:eastAsia="Aptos" w:hAnsi="Times New Roman" w:cs="Times New Roman"/>
          <w:noProof/>
          <w:sz w:val="24"/>
          <w:szCs w:val="24"/>
        </w:rPr>
        <w:t xml:space="preserve"> </w:t>
      </w:r>
      <w:r w:rsidR="000839E6" w:rsidRPr="00D16622">
        <w:rPr>
          <w:rFonts w:ascii="Times New Roman" w:eastAsia="Aptos" w:hAnsi="Times New Roman" w:cs="Times New Roman"/>
          <w:noProof/>
          <w:sz w:val="24"/>
          <w:szCs w:val="24"/>
        </w:rPr>
        <w:t>Civil society organisations and professional groups representing judges, prosecutors</w:t>
      </w:r>
      <w:r w:rsidR="004E1641" w:rsidRPr="00D16622">
        <w:rPr>
          <w:rFonts w:ascii="Times New Roman" w:eastAsia="Aptos" w:hAnsi="Times New Roman" w:cs="Times New Roman"/>
          <w:noProof/>
          <w:sz w:val="24"/>
          <w:szCs w:val="24"/>
        </w:rPr>
        <w:t>, lawyers</w:t>
      </w:r>
      <w:r w:rsidR="000839E6" w:rsidRPr="00D16622">
        <w:rPr>
          <w:rFonts w:ascii="Times New Roman" w:eastAsia="Aptos" w:hAnsi="Times New Roman" w:cs="Times New Roman"/>
          <w:noProof/>
          <w:sz w:val="24"/>
          <w:szCs w:val="24"/>
        </w:rPr>
        <w:t xml:space="preserve"> and journalists play an important role in promoting and safeguarding the rule of law. </w:t>
      </w:r>
      <w:r w:rsidR="009E048E" w:rsidRPr="00D16622">
        <w:rPr>
          <w:rFonts w:ascii="Times New Roman" w:eastAsia="Aptos" w:hAnsi="Times New Roman" w:cs="Times New Roman"/>
          <w:noProof/>
          <w:sz w:val="24"/>
          <w:szCs w:val="24"/>
        </w:rPr>
        <w:t xml:space="preserve">Their expertise and on-the-ground insights are essential </w:t>
      </w:r>
      <w:r w:rsidR="00C34A26" w:rsidRPr="00D16622">
        <w:rPr>
          <w:rFonts w:ascii="Times New Roman" w:eastAsia="Aptos" w:hAnsi="Times New Roman" w:cs="Times New Roman"/>
          <w:noProof/>
          <w:sz w:val="24"/>
          <w:szCs w:val="24"/>
        </w:rPr>
        <w:t xml:space="preserve">to </w:t>
      </w:r>
      <w:r w:rsidR="009E048E" w:rsidRPr="00D16622">
        <w:rPr>
          <w:rFonts w:ascii="Times New Roman" w:eastAsia="Aptos" w:hAnsi="Times New Roman" w:cs="Times New Roman"/>
          <w:noProof/>
          <w:sz w:val="24"/>
          <w:szCs w:val="24"/>
        </w:rPr>
        <w:t>ensur</w:t>
      </w:r>
      <w:r w:rsidR="00C34A26" w:rsidRPr="00D16622">
        <w:rPr>
          <w:rFonts w:ascii="Times New Roman" w:eastAsia="Aptos" w:hAnsi="Times New Roman" w:cs="Times New Roman"/>
          <w:noProof/>
          <w:sz w:val="24"/>
          <w:szCs w:val="24"/>
        </w:rPr>
        <w:t>e</w:t>
      </w:r>
      <w:r w:rsidR="009E048E" w:rsidRPr="00D16622">
        <w:rPr>
          <w:rFonts w:ascii="Times New Roman" w:eastAsia="Aptos" w:hAnsi="Times New Roman" w:cs="Times New Roman"/>
          <w:noProof/>
          <w:sz w:val="24"/>
          <w:szCs w:val="24"/>
        </w:rPr>
        <w:t xml:space="preserve"> a comprehensive and evidence-based Rule of Law Report</w:t>
      </w:r>
      <w:r w:rsidR="000839E6" w:rsidRPr="00D16622">
        <w:rPr>
          <w:rFonts w:ascii="Times New Roman" w:eastAsia="Aptos" w:hAnsi="Times New Roman" w:cs="Times New Roman"/>
          <w:noProof/>
          <w:sz w:val="24"/>
          <w:szCs w:val="24"/>
        </w:rPr>
        <w:t>.</w:t>
      </w:r>
      <w:r w:rsidR="007C40D8" w:rsidRPr="00D16622" w:rsidDel="00E123EF">
        <w:rPr>
          <w:rFonts w:ascii="Times New Roman" w:eastAsia="Aptos" w:hAnsi="Times New Roman" w:cs="Times New Roman"/>
          <w:noProof/>
          <w:sz w:val="24"/>
          <w:szCs w:val="24"/>
        </w:rPr>
        <w:t xml:space="preserve"> </w:t>
      </w:r>
    </w:p>
    <w:p w14:paraId="1D6607FD" w14:textId="76179A62" w:rsidR="00F71E2E" w:rsidRPr="00D16622" w:rsidRDefault="00F71E2E" w:rsidP="00EE0398">
      <w:pPr>
        <w:keepNext/>
        <w:spacing w:after="120" w:line="240" w:lineRule="auto"/>
        <w:jc w:val="both"/>
        <w:rPr>
          <w:rFonts w:ascii="Times New Roman" w:hAnsi="Times New Roman" w:cs="Times New Roman"/>
          <w:b/>
          <w:bCs/>
          <w:i/>
          <w:iCs/>
          <w:noProof/>
          <w:sz w:val="24"/>
          <w:szCs w:val="24"/>
        </w:rPr>
      </w:pPr>
      <w:r w:rsidRPr="00D16622">
        <w:rPr>
          <w:rFonts w:ascii="Times New Roman" w:hAnsi="Times New Roman" w:cs="Times New Roman"/>
          <w:b/>
          <w:bCs/>
          <w:i/>
          <w:iCs/>
          <w:noProof/>
          <w:sz w:val="24"/>
          <w:szCs w:val="24"/>
        </w:rPr>
        <w:t>2.2</w:t>
      </w:r>
      <w:r w:rsidR="00F63A1F" w:rsidRPr="00D16622">
        <w:rPr>
          <w:rFonts w:ascii="Times New Roman" w:hAnsi="Times New Roman" w:cs="Times New Roman"/>
          <w:b/>
          <w:bCs/>
          <w:i/>
          <w:iCs/>
          <w:noProof/>
          <w:sz w:val="24"/>
          <w:szCs w:val="24"/>
        </w:rPr>
        <w:tab/>
      </w:r>
      <w:r w:rsidRPr="00D16622">
        <w:rPr>
          <w:rFonts w:ascii="Times New Roman" w:hAnsi="Times New Roman" w:cs="Times New Roman"/>
          <w:b/>
          <w:bCs/>
          <w:i/>
          <w:iCs/>
          <w:noProof/>
          <w:sz w:val="24"/>
          <w:szCs w:val="24"/>
        </w:rPr>
        <w:t>Supporting the rule of law through the</w:t>
      </w:r>
      <w:r w:rsidR="00F967D2" w:rsidRPr="00D16622">
        <w:rPr>
          <w:rFonts w:ascii="Times New Roman" w:hAnsi="Times New Roman" w:cs="Times New Roman"/>
          <w:b/>
          <w:bCs/>
          <w:i/>
          <w:iCs/>
          <w:noProof/>
          <w:sz w:val="24"/>
          <w:szCs w:val="24"/>
        </w:rPr>
        <w:t xml:space="preserve"> </w:t>
      </w:r>
      <w:r w:rsidRPr="00D16622">
        <w:rPr>
          <w:rFonts w:ascii="Times New Roman" w:hAnsi="Times New Roman" w:cs="Times New Roman"/>
          <w:b/>
          <w:bCs/>
          <w:i/>
          <w:iCs/>
          <w:noProof/>
          <w:sz w:val="24"/>
          <w:szCs w:val="24"/>
        </w:rPr>
        <w:t>EU budget</w:t>
      </w:r>
    </w:p>
    <w:p w14:paraId="216DB050" w14:textId="4AFBEA60" w:rsidR="00C25120" w:rsidRPr="00D16622" w:rsidRDefault="00C25120" w:rsidP="00C25120">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The rule of law is central to the functioning of European economies, particularly the Single Market, which relies on effective justice systems, strong anti-corruption frameworks and sound lawmaking. Rule of law issues therefore feature increasingly prominently as part of the European Semester and in EU support for</w:t>
      </w:r>
      <w:r w:rsidR="00BF2064" w:rsidRPr="00D16622">
        <w:rPr>
          <w:rFonts w:ascii="Times New Roman" w:hAnsi="Times New Roman" w:cs="Times New Roman"/>
          <w:noProof/>
          <w:sz w:val="24"/>
          <w:szCs w:val="24"/>
        </w:rPr>
        <w:t xml:space="preserve"> investments and</w:t>
      </w:r>
      <w:r w:rsidRPr="00D16622">
        <w:rPr>
          <w:rFonts w:ascii="Times New Roman" w:hAnsi="Times New Roman" w:cs="Times New Roman"/>
          <w:noProof/>
          <w:sz w:val="24"/>
          <w:szCs w:val="24"/>
        </w:rPr>
        <w:t xml:space="preserve"> national reforms. </w:t>
      </w:r>
    </w:p>
    <w:p w14:paraId="0811C003" w14:textId="7067322A" w:rsidR="00C25120" w:rsidRPr="00D16622" w:rsidRDefault="00C25120" w:rsidP="00C25120">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The </w:t>
      </w:r>
      <w:hyperlink r:id="rId19" w:history="1">
        <w:r w:rsidRPr="00D16622">
          <w:rPr>
            <w:rStyle w:val="Hyperlink"/>
            <w:rFonts w:cs="Times New Roman"/>
            <w:bCs/>
            <w:noProof/>
            <w:szCs w:val="24"/>
          </w:rPr>
          <w:t>Recovery and Resilience Facility</w:t>
        </w:r>
      </w:hyperlink>
      <w:r w:rsidRPr="00D16622">
        <w:rPr>
          <w:rFonts w:ascii="Times New Roman" w:hAnsi="Times New Roman" w:cs="Times New Roman"/>
          <w:noProof/>
          <w:sz w:val="24"/>
          <w:szCs w:val="24"/>
        </w:rPr>
        <w:t xml:space="preserve"> has demonstrated how the EU budget can be effective in advancing rule of law reforms within Member States, including to strengthen judicial systems, advance digitalisation for greater efficiency, improve judicial infrastructure, reinforce institutions fighting corruption and improve the quality of law-making. </w:t>
      </w:r>
      <w:r w:rsidR="005F57F9" w:rsidRPr="00D16622">
        <w:rPr>
          <w:rFonts w:ascii="Times New Roman" w:hAnsi="Times New Roman" w:cs="Times New Roman"/>
          <w:noProof/>
          <w:sz w:val="24"/>
          <w:szCs w:val="24"/>
        </w:rPr>
        <w:t xml:space="preserve">No less that </w:t>
      </w:r>
      <w:r w:rsidR="00D76522" w:rsidRPr="00D16622">
        <w:rPr>
          <w:rFonts w:ascii="Times New Roman" w:hAnsi="Times New Roman" w:cs="Times New Roman"/>
          <w:noProof/>
          <w:sz w:val="24"/>
          <w:szCs w:val="24"/>
        </w:rPr>
        <w:t>twenty-one</w:t>
      </w:r>
      <w:r w:rsidR="005F57F9" w:rsidRPr="00D16622">
        <w:rPr>
          <w:rFonts w:ascii="Times New Roman" w:hAnsi="Times New Roman" w:cs="Times New Roman"/>
          <w:noProof/>
          <w:sz w:val="24"/>
          <w:szCs w:val="24"/>
        </w:rPr>
        <w:t xml:space="preserve"> of the </w:t>
      </w:r>
      <w:r w:rsidRPr="00D16622">
        <w:rPr>
          <w:rFonts w:ascii="Times New Roman" w:hAnsi="Times New Roman" w:cs="Times New Roman"/>
          <w:noProof/>
          <w:sz w:val="24"/>
          <w:szCs w:val="24"/>
        </w:rPr>
        <w:t>Member State</w:t>
      </w:r>
      <w:r>
        <w:rPr>
          <w:rFonts w:ascii="Times New Roman" w:hAnsi="Times New Roman" w:cs="Times New Roman"/>
          <w:noProof/>
          <w:sz w:val="24"/>
          <w:szCs w:val="24"/>
        </w:rPr>
        <w:t>s</w:t>
      </w:r>
      <w:r w:rsidRPr="00D16622">
        <w:rPr>
          <w:rFonts w:ascii="Times New Roman" w:hAnsi="Times New Roman" w:cs="Times New Roman"/>
          <w:noProof/>
          <w:sz w:val="24"/>
          <w:szCs w:val="24"/>
        </w:rPr>
        <w:t xml:space="preserve"> </w:t>
      </w:r>
      <w:r w:rsidR="00A95D08" w:rsidRPr="00D16622">
        <w:rPr>
          <w:rFonts w:ascii="Times New Roman" w:hAnsi="Times New Roman" w:cs="Times New Roman"/>
          <w:noProof/>
          <w:sz w:val="24"/>
          <w:szCs w:val="24"/>
        </w:rPr>
        <w:t>included</w:t>
      </w:r>
      <w:r w:rsidRPr="00D16622">
        <w:rPr>
          <w:rFonts w:ascii="Times New Roman" w:hAnsi="Times New Roman" w:cs="Times New Roman"/>
          <w:noProof/>
          <w:sz w:val="24"/>
          <w:szCs w:val="24"/>
        </w:rPr>
        <w:t xml:space="preserve"> commitments related to the rule of law</w:t>
      </w:r>
      <w:r w:rsidR="00BF08A4" w:rsidRPr="00D16622">
        <w:rPr>
          <w:rFonts w:ascii="Times New Roman" w:hAnsi="Times New Roman" w:cs="Times New Roman"/>
          <w:noProof/>
          <w:sz w:val="24"/>
          <w:szCs w:val="24"/>
        </w:rPr>
        <w:t xml:space="preserve"> in their Recovery and Resilience Plans (RRPs)</w:t>
      </w:r>
      <w:r w:rsidR="00B91E64" w:rsidRPr="00D16622">
        <w:rPr>
          <w:rStyle w:val="FootnoteReference"/>
          <w:rFonts w:cs="Times New Roman"/>
          <w:noProof/>
        </w:rPr>
        <w:footnoteReference w:id="16"/>
      </w:r>
      <w:r w:rsidRPr="00D16622">
        <w:rPr>
          <w:rFonts w:ascii="Times New Roman" w:hAnsi="Times New Roman" w:cs="Times New Roman"/>
          <w:noProof/>
          <w:sz w:val="24"/>
          <w:szCs w:val="24"/>
        </w:rPr>
        <w:t xml:space="preserve">. </w:t>
      </w:r>
      <w:r w:rsidR="00BF08A4" w:rsidRPr="00D16622">
        <w:rPr>
          <w:rFonts w:ascii="Times New Roman" w:hAnsi="Times New Roman" w:cs="Times New Roman"/>
          <w:noProof/>
          <w:sz w:val="24"/>
          <w:szCs w:val="24"/>
        </w:rPr>
        <w:t>These commitments translated into a</w:t>
      </w:r>
      <w:r w:rsidR="00901265" w:rsidRPr="00D16622">
        <w:rPr>
          <w:rFonts w:ascii="Times New Roman" w:hAnsi="Times New Roman" w:cs="Times New Roman"/>
          <w:noProof/>
          <w:sz w:val="24"/>
          <w:szCs w:val="24"/>
        </w:rPr>
        <w:t>round 285 milestones and targets</w:t>
      </w:r>
      <w:r w:rsidR="003A6988" w:rsidRPr="00D16622">
        <w:rPr>
          <w:rFonts w:ascii="Times New Roman" w:hAnsi="Times New Roman" w:cs="Times New Roman"/>
          <w:noProof/>
          <w:sz w:val="24"/>
          <w:szCs w:val="24"/>
        </w:rPr>
        <w:t>, corresponding to 75 reforms and 36 investments</w:t>
      </w:r>
      <w:r w:rsidR="00901265" w:rsidRPr="00D16622">
        <w:rPr>
          <w:rFonts w:ascii="Times New Roman" w:hAnsi="Times New Roman" w:cs="Times New Roman"/>
          <w:noProof/>
          <w:sz w:val="24"/>
          <w:szCs w:val="24"/>
        </w:rPr>
        <w:t xml:space="preserve"> to strengthen the rule of law</w:t>
      </w:r>
      <w:r w:rsidR="00C259FD" w:rsidRPr="00D16622">
        <w:rPr>
          <w:rFonts w:ascii="Times New Roman" w:hAnsi="Times New Roman" w:cs="Times New Roman"/>
          <w:noProof/>
          <w:sz w:val="24"/>
          <w:szCs w:val="24"/>
        </w:rPr>
        <w:t xml:space="preserve"> which </w:t>
      </w:r>
      <w:r w:rsidR="00F23D34" w:rsidRPr="00D16622">
        <w:rPr>
          <w:rFonts w:ascii="Times New Roman" w:hAnsi="Times New Roman" w:cs="Times New Roman"/>
          <w:noProof/>
          <w:sz w:val="24"/>
          <w:szCs w:val="24"/>
        </w:rPr>
        <w:t>are gradually being finalised</w:t>
      </w:r>
      <w:r w:rsidR="00F23D34" w:rsidRPr="00D16622">
        <w:rPr>
          <w:rStyle w:val="FootnoteReference"/>
          <w:rFonts w:cs="Times New Roman"/>
          <w:noProof/>
        </w:rPr>
        <w:footnoteReference w:id="17"/>
      </w:r>
      <w:r w:rsidR="00BF08A4" w:rsidRPr="00D16622">
        <w:rPr>
          <w:rFonts w:ascii="Times New Roman" w:hAnsi="Times New Roman" w:cs="Times New Roman"/>
          <w:noProof/>
          <w:sz w:val="24"/>
          <w:szCs w:val="24"/>
        </w:rPr>
        <w:t>. Examples include</w:t>
      </w:r>
      <w:r w:rsidR="00901265" w:rsidRPr="00D16622">
        <w:rPr>
          <w:rFonts w:ascii="Times New Roman" w:hAnsi="Times New Roman" w:cs="Times New Roman"/>
          <w:noProof/>
          <w:sz w:val="24"/>
          <w:szCs w:val="24"/>
        </w:rPr>
        <w:t xml:space="preserve"> </w:t>
      </w:r>
      <w:r w:rsidRPr="00D16622">
        <w:rPr>
          <w:rFonts w:ascii="Times New Roman" w:hAnsi="Times New Roman" w:cs="Times New Roman"/>
          <w:noProof/>
          <w:sz w:val="24"/>
          <w:szCs w:val="24"/>
        </w:rPr>
        <w:t>improv</w:t>
      </w:r>
      <w:r w:rsidR="00B91E64" w:rsidRPr="00D16622">
        <w:rPr>
          <w:rFonts w:ascii="Times New Roman" w:hAnsi="Times New Roman" w:cs="Times New Roman"/>
          <w:noProof/>
          <w:sz w:val="24"/>
          <w:szCs w:val="24"/>
        </w:rPr>
        <w:t>ing</w:t>
      </w:r>
      <w:r w:rsidRPr="00D16622">
        <w:rPr>
          <w:rFonts w:ascii="Times New Roman" w:hAnsi="Times New Roman" w:cs="Times New Roman"/>
          <w:noProof/>
          <w:sz w:val="24"/>
          <w:szCs w:val="24"/>
        </w:rPr>
        <w:t xml:space="preserve"> judicial efficiency by restructuring courts or strengthening anti-corruption efforts by reinforcing institutions focused on combating corruption. </w:t>
      </w:r>
      <w:r w:rsidR="00E35A5A" w:rsidRPr="00D16622">
        <w:rPr>
          <w:rFonts w:ascii="Times New Roman" w:hAnsi="Times New Roman" w:cs="Times New Roman"/>
          <w:noProof/>
          <w:sz w:val="24"/>
          <w:szCs w:val="24"/>
        </w:rPr>
        <w:t>Overall, these</w:t>
      </w:r>
      <w:r w:rsidR="00A60797" w:rsidRPr="00D16622">
        <w:rPr>
          <w:rFonts w:ascii="Times New Roman" w:hAnsi="Times New Roman" w:cs="Times New Roman"/>
          <w:noProof/>
          <w:sz w:val="24"/>
          <w:szCs w:val="24"/>
        </w:rPr>
        <w:t xml:space="preserve"> measures</w:t>
      </w:r>
      <w:r w:rsidR="00785F3F" w:rsidRPr="00D16622">
        <w:rPr>
          <w:rFonts w:ascii="Times New Roman" w:hAnsi="Times New Roman" w:cs="Times New Roman"/>
          <w:noProof/>
          <w:sz w:val="24"/>
          <w:szCs w:val="24"/>
        </w:rPr>
        <w:t xml:space="preserve"> </w:t>
      </w:r>
      <w:r w:rsidR="00A60797" w:rsidRPr="00D16622">
        <w:rPr>
          <w:rFonts w:ascii="Times New Roman" w:hAnsi="Times New Roman" w:cs="Times New Roman"/>
          <w:noProof/>
          <w:sz w:val="24"/>
          <w:szCs w:val="24"/>
        </w:rPr>
        <w:t>are worth more than EUR 3 billion</w:t>
      </w:r>
      <w:r w:rsidR="00E35A5A" w:rsidRPr="00D16622">
        <w:rPr>
          <w:rFonts w:ascii="Times New Roman" w:hAnsi="Times New Roman" w:cs="Times New Roman"/>
          <w:noProof/>
          <w:sz w:val="24"/>
          <w:szCs w:val="24"/>
        </w:rPr>
        <w:t xml:space="preserve">. </w:t>
      </w:r>
      <w:r w:rsidRPr="00D16622">
        <w:rPr>
          <w:rFonts w:ascii="Times New Roman" w:hAnsi="Times New Roman" w:cs="Times New Roman"/>
          <w:noProof/>
          <w:sz w:val="24"/>
          <w:szCs w:val="24"/>
        </w:rPr>
        <w:t>Some RRPs also drive improvements to the legislative process, for example by mandating public consultations and impact assessments. In certain instances, RRP commitments on the rule of law were deemed essential for safeguarding the EU’s financial interests and meeting them is therefore a prerequisite for receiving any disbursement following a payment request</w:t>
      </w:r>
      <w:r w:rsidR="000C1877" w:rsidRPr="00D16622">
        <w:rPr>
          <w:rStyle w:val="FootnoteReference"/>
          <w:rFonts w:cs="Times New Roman"/>
          <w:noProof/>
        </w:rPr>
        <w:footnoteReference w:id="18"/>
      </w:r>
      <w:r w:rsidRPr="00D16622">
        <w:rPr>
          <w:rFonts w:ascii="Times New Roman" w:hAnsi="Times New Roman" w:cs="Times New Roman"/>
          <w:noProof/>
          <w:sz w:val="24"/>
          <w:szCs w:val="24"/>
        </w:rPr>
        <w:t>.</w:t>
      </w:r>
      <w:r w:rsidR="00C3009F" w:rsidRPr="00D16622">
        <w:rPr>
          <w:rFonts w:ascii="Times New Roman" w:hAnsi="Times New Roman" w:cs="Times New Roman"/>
          <w:noProof/>
          <w:sz w:val="24"/>
          <w:szCs w:val="24"/>
        </w:rPr>
        <w:t xml:space="preserve"> </w:t>
      </w:r>
    </w:p>
    <w:p w14:paraId="1A7FE068" w14:textId="26274A63" w:rsidR="004043FF" w:rsidRPr="00D16622" w:rsidRDefault="0090517C" w:rsidP="004043FF">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Building on the </w:t>
      </w:r>
      <w:r w:rsidR="004C384F" w:rsidRPr="00D16622">
        <w:rPr>
          <w:rFonts w:ascii="Times New Roman" w:hAnsi="Times New Roman" w:cs="Times New Roman"/>
          <w:noProof/>
          <w:sz w:val="24"/>
          <w:szCs w:val="24"/>
        </w:rPr>
        <w:t xml:space="preserve">lessons learned from </w:t>
      </w:r>
      <w:r w:rsidRPr="00D16622">
        <w:rPr>
          <w:rFonts w:ascii="Times New Roman" w:hAnsi="Times New Roman" w:cs="Times New Roman"/>
          <w:noProof/>
          <w:sz w:val="24"/>
          <w:szCs w:val="24"/>
        </w:rPr>
        <w:t>funding rule of law reforms under the current MFF and NextGenerationEU, t</w:t>
      </w:r>
      <w:r w:rsidR="003F70C1" w:rsidRPr="00D16622">
        <w:rPr>
          <w:rFonts w:ascii="Times New Roman" w:hAnsi="Times New Roman" w:cs="Times New Roman"/>
          <w:noProof/>
          <w:sz w:val="24"/>
          <w:szCs w:val="24"/>
        </w:rPr>
        <w:t xml:space="preserve">he </w:t>
      </w:r>
      <w:r w:rsidR="002828E8" w:rsidRPr="00D16622">
        <w:rPr>
          <w:rFonts w:ascii="Times New Roman" w:hAnsi="Times New Roman" w:cs="Times New Roman"/>
          <w:noProof/>
          <w:sz w:val="24"/>
          <w:szCs w:val="24"/>
        </w:rPr>
        <w:t xml:space="preserve">Commission’s proposal for the </w:t>
      </w:r>
      <w:hyperlink r:id="rId20" w:history="1">
        <w:r w:rsidR="002828E8" w:rsidRPr="00D16622">
          <w:rPr>
            <w:rStyle w:val="Hyperlink"/>
            <w:rFonts w:cs="Times New Roman"/>
            <w:bCs/>
            <w:noProof/>
            <w:szCs w:val="24"/>
          </w:rPr>
          <w:t>Multiannual Financial Framework (MFF) for 2028-34</w:t>
        </w:r>
      </w:hyperlink>
      <w:r w:rsidR="002828E8" w:rsidRPr="00D16622">
        <w:rPr>
          <w:rFonts w:ascii="Times New Roman" w:hAnsi="Times New Roman" w:cs="Times New Roman"/>
          <w:noProof/>
          <w:sz w:val="24"/>
          <w:szCs w:val="24"/>
        </w:rPr>
        <w:t xml:space="preserve"> </w:t>
      </w:r>
      <w:r w:rsidR="000F7159" w:rsidRPr="00D16622">
        <w:rPr>
          <w:rFonts w:ascii="Times New Roman" w:hAnsi="Times New Roman" w:cs="Times New Roman"/>
          <w:noProof/>
          <w:sz w:val="24"/>
          <w:szCs w:val="24"/>
        </w:rPr>
        <w:t>strengthens</w:t>
      </w:r>
      <w:r w:rsidR="003F70C1" w:rsidRPr="00D16622">
        <w:rPr>
          <w:rFonts w:ascii="Times New Roman" w:hAnsi="Times New Roman" w:cs="Times New Roman"/>
          <w:noProof/>
          <w:sz w:val="24"/>
          <w:szCs w:val="24"/>
        </w:rPr>
        <w:t xml:space="preserve"> </w:t>
      </w:r>
      <w:r w:rsidR="000F7159" w:rsidRPr="00D16622">
        <w:rPr>
          <w:rFonts w:ascii="Times New Roman" w:hAnsi="Times New Roman" w:cs="Times New Roman"/>
          <w:noProof/>
          <w:sz w:val="24"/>
          <w:szCs w:val="24"/>
        </w:rPr>
        <w:t>the</w:t>
      </w:r>
      <w:r w:rsidR="008E7FAC" w:rsidRPr="00D16622">
        <w:rPr>
          <w:rFonts w:ascii="Times New Roman" w:hAnsi="Times New Roman" w:cs="Times New Roman"/>
          <w:noProof/>
          <w:sz w:val="24"/>
          <w:szCs w:val="24"/>
        </w:rPr>
        <w:t xml:space="preserve"> link between the Rule of Law </w:t>
      </w:r>
      <w:r w:rsidR="009A0CC0" w:rsidRPr="00D16622">
        <w:rPr>
          <w:rFonts w:ascii="Times New Roman" w:hAnsi="Times New Roman" w:cs="Times New Roman"/>
          <w:noProof/>
          <w:sz w:val="24"/>
          <w:szCs w:val="24"/>
        </w:rPr>
        <w:t>Report</w:t>
      </w:r>
      <w:r w:rsidR="003F70C1" w:rsidRPr="00D16622">
        <w:rPr>
          <w:rFonts w:ascii="Times New Roman" w:hAnsi="Times New Roman" w:cs="Times New Roman"/>
          <w:noProof/>
          <w:sz w:val="24"/>
          <w:szCs w:val="24"/>
        </w:rPr>
        <w:t>’s recommen</w:t>
      </w:r>
      <w:r w:rsidR="00B659E8" w:rsidRPr="00D16622">
        <w:rPr>
          <w:rFonts w:ascii="Times New Roman" w:hAnsi="Times New Roman" w:cs="Times New Roman"/>
          <w:noProof/>
          <w:sz w:val="24"/>
          <w:szCs w:val="24"/>
        </w:rPr>
        <w:t>d</w:t>
      </w:r>
      <w:r w:rsidR="003F70C1" w:rsidRPr="00D16622">
        <w:rPr>
          <w:rFonts w:ascii="Times New Roman" w:hAnsi="Times New Roman" w:cs="Times New Roman"/>
          <w:noProof/>
          <w:sz w:val="24"/>
          <w:szCs w:val="24"/>
        </w:rPr>
        <w:t>ations</w:t>
      </w:r>
      <w:r w:rsidR="009A0CC0" w:rsidRPr="00D16622">
        <w:rPr>
          <w:rFonts w:ascii="Times New Roman" w:hAnsi="Times New Roman" w:cs="Times New Roman"/>
          <w:noProof/>
          <w:sz w:val="24"/>
          <w:szCs w:val="24"/>
        </w:rPr>
        <w:t xml:space="preserve"> and </w:t>
      </w:r>
      <w:r w:rsidR="003F10DE" w:rsidRPr="00D16622">
        <w:rPr>
          <w:rFonts w:ascii="Times New Roman" w:hAnsi="Times New Roman" w:cs="Times New Roman"/>
          <w:noProof/>
          <w:sz w:val="24"/>
          <w:szCs w:val="24"/>
        </w:rPr>
        <w:t>financial support</w:t>
      </w:r>
      <w:r w:rsidR="250CAB4D" w:rsidRPr="00D16622">
        <w:rPr>
          <w:rFonts w:ascii="Times New Roman" w:hAnsi="Times New Roman" w:cs="Times New Roman"/>
          <w:noProof/>
          <w:sz w:val="24"/>
          <w:szCs w:val="24"/>
        </w:rPr>
        <w:t>.</w:t>
      </w:r>
      <w:r w:rsidR="00DF4BE8" w:rsidRPr="00D16622">
        <w:rPr>
          <w:rFonts w:ascii="Times New Roman" w:hAnsi="Times New Roman" w:cs="Times New Roman"/>
          <w:noProof/>
        </w:rPr>
        <w:t xml:space="preserve"> </w:t>
      </w:r>
      <w:r w:rsidR="00FB746C" w:rsidRPr="00D16622">
        <w:rPr>
          <w:rFonts w:ascii="Times New Roman" w:hAnsi="Times New Roman" w:cs="Times New Roman"/>
          <w:noProof/>
          <w:sz w:val="24"/>
          <w:szCs w:val="24"/>
        </w:rPr>
        <w:t>The combination</w:t>
      </w:r>
      <w:r w:rsidR="57B03E6E" w:rsidRPr="00D16622">
        <w:rPr>
          <w:rFonts w:ascii="Times New Roman" w:hAnsi="Times New Roman" w:cs="Times New Roman"/>
          <w:noProof/>
          <w:sz w:val="24"/>
          <w:szCs w:val="24"/>
        </w:rPr>
        <w:t xml:space="preserve"> of </w:t>
      </w:r>
      <w:r w:rsidR="007934B6" w:rsidRPr="00D16622">
        <w:rPr>
          <w:rFonts w:ascii="Times New Roman" w:hAnsi="Times New Roman" w:cs="Times New Roman"/>
          <w:noProof/>
          <w:sz w:val="24"/>
          <w:szCs w:val="24"/>
        </w:rPr>
        <w:t>strong</w:t>
      </w:r>
      <w:r w:rsidR="00DF4BE8" w:rsidRPr="00D16622">
        <w:rPr>
          <w:rFonts w:ascii="Times New Roman" w:hAnsi="Times New Roman" w:cs="Times New Roman"/>
          <w:noProof/>
          <w:sz w:val="24"/>
          <w:szCs w:val="24"/>
        </w:rPr>
        <w:t xml:space="preserve"> </w:t>
      </w:r>
      <w:r w:rsidR="009519BC" w:rsidRPr="00D16622">
        <w:rPr>
          <w:rFonts w:ascii="Times New Roman" w:hAnsi="Times New Roman" w:cs="Times New Roman"/>
          <w:noProof/>
          <w:sz w:val="24"/>
          <w:szCs w:val="24"/>
        </w:rPr>
        <w:t xml:space="preserve">rule of law </w:t>
      </w:r>
      <w:r w:rsidR="00DF4BE8" w:rsidRPr="00D16622">
        <w:rPr>
          <w:rFonts w:ascii="Times New Roman" w:hAnsi="Times New Roman" w:cs="Times New Roman"/>
          <w:noProof/>
          <w:sz w:val="24"/>
          <w:szCs w:val="24"/>
        </w:rPr>
        <w:t xml:space="preserve">safeguards </w:t>
      </w:r>
      <w:r w:rsidR="009519BC" w:rsidRPr="00D16622">
        <w:rPr>
          <w:rFonts w:ascii="Times New Roman" w:hAnsi="Times New Roman" w:cs="Times New Roman"/>
          <w:noProof/>
          <w:sz w:val="24"/>
          <w:szCs w:val="24"/>
        </w:rPr>
        <w:t>and support for</w:t>
      </w:r>
      <w:r w:rsidR="00F03749" w:rsidRPr="00D16622">
        <w:rPr>
          <w:rFonts w:ascii="Times New Roman" w:hAnsi="Times New Roman" w:cs="Times New Roman"/>
          <w:noProof/>
          <w:sz w:val="24"/>
          <w:szCs w:val="24"/>
        </w:rPr>
        <w:t xml:space="preserve"> investments and</w:t>
      </w:r>
      <w:r w:rsidR="009519BC" w:rsidRPr="00D16622">
        <w:rPr>
          <w:rFonts w:ascii="Times New Roman" w:hAnsi="Times New Roman" w:cs="Times New Roman"/>
          <w:noProof/>
          <w:sz w:val="24"/>
          <w:szCs w:val="24"/>
        </w:rPr>
        <w:t xml:space="preserve"> </w:t>
      </w:r>
      <w:r w:rsidR="0076416E" w:rsidRPr="00D16622">
        <w:rPr>
          <w:rFonts w:ascii="Times New Roman" w:hAnsi="Times New Roman" w:cs="Times New Roman"/>
          <w:noProof/>
          <w:sz w:val="24"/>
          <w:szCs w:val="24"/>
        </w:rPr>
        <w:t xml:space="preserve">reforms </w:t>
      </w:r>
      <w:r w:rsidR="00DF4BE8" w:rsidRPr="00D16622">
        <w:rPr>
          <w:rFonts w:ascii="Times New Roman" w:hAnsi="Times New Roman" w:cs="Times New Roman"/>
          <w:noProof/>
          <w:sz w:val="24"/>
          <w:szCs w:val="24"/>
        </w:rPr>
        <w:t xml:space="preserve">will protect the EU budget and ensure that it </w:t>
      </w:r>
      <w:r w:rsidR="007934B6" w:rsidRPr="00D16622">
        <w:rPr>
          <w:rFonts w:ascii="Times New Roman" w:hAnsi="Times New Roman" w:cs="Times New Roman"/>
          <w:noProof/>
          <w:sz w:val="24"/>
          <w:szCs w:val="24"/>
        </w:rPr>
        <w:t xml:space="preserve">effectively contributes to </w:t>
      </w:r>
      <w:r w:rsidR="00B1750E" w:rsidRPr="00D16622">
        <w:rPr>
          <w:rFonts w:ascii="Times New Roman" w:hAnsi="Times New Roman" w:cs="Times New Roman"/>
          <w:noProof/>
          <w:sz w:val="24"/>
          <w:szCs w:val="24"/>
        </w:rPr>
        <w:t>strengthen</w:t>
      </w:r>
      <w:r w:rsidR="005B792C" w:rsidRPr="00D16622">
        <w:rPr>
          <w:rFonts w:ascii="Times New Roman" w:hAnsi="Times New Roman" w:cs="Times New Roman"/>
          <w:noProof/>
          <w:sz w:val="24"/>
          <w:szCs w:val="24"/>
        </w:rPr>
        <w:t>ing</w:t>
      </w:r>
      <w:r w:rsidR="00B1750E" w:rsidRPr="00D16622">
        <w:rPr>
          <w:rFonts w:ascii="Times New Roman" w:hAnsi="Times New Roman" w:cs="Times New Roman"/>
          <w:noProof/>
          <w:sz w:val="24"/>
          <w:szCs w:val="24"/>
        </w:rPr>
        <w:t xml:space="preserve"> the </w:t>
      </w:r>
      <w:r w:rsidR="00DF4BE8" w:rsidRPr="00D16622">
        <w:rPr>
          <w:rFonts w:ascii="Times New Roman" w:hAnsi="Times New Roman" w:cs="Times New Roman"/>
          <w:noProof/>
          <w:sz w:val="24"/>
          <w:szCs w:val="24"/>
        </w:rPr>
        <w:t>rule of law</w:t>
      </w:r>
      <w:r w:rsidR="00B7685D" w:rsidRPr="00D16622">
        <w:rPr>
          <w:rFonts w:ascii="Times New Roman" w:hAnsi="Times New Roman" w:cs="Times New Roman"/>
          <w:noProof/>
          <w:sz w:val="24"/>
          <w:szCs w:val="24"/>
        </w:rPr>
        <w:t xml:space="preserve"> </w:t>
      </w:r>
      <w:r w:rsidR="005B792C" w:rsidRPr="00D16622">
        <w:rPr>
          <w:rFonts w:ascii="Times New Roman" w:hAnsi="Times New Roman" w:cs="Times New Roman"/>
          <w:noProof/>
          <w:sz w:val="24"/>
          <w:szCs w:val="24"/>
        </w:rPr>
        <w:t>in</w:t>
      </w:r>
      <w:r w:rsidR="00B7685D" w:rsidRPr="00D16622">
        <w:rPr>
          <w:rFonts w:ascii="Times New Roman" w:hAnsi="Times New Roman" w:cs="Times New Roman"/>
          <w:noProof/>
          <w:sz w:val="24"/>
          <w:szCs w:val="24"/>
        </w:rPr>
        <w:t xml:space="preserve"> the EU</w:t>
      </w:r>
      <w:r w:rsidR="00DF4BE8" w:rsidRPr="00D16622">
        <w:rPr>
          <w:rFonts w:ascii="Times New Roman" w:hAnsi="Times New Roman" w:cs="Times New Roman"/>
          <w:noProof/>
          <w:sz w:val="24"/>
          <w:szCs w:val="24"/>
        </w:rPr>
        <w:t>.</w:t>
      </w:r>
      <w:r w:rsidR="002F644C" w:rsidRPr="00D16622">
        <w:rPr>
          <w:rFonts w:ascii="Times New Roman" w:hAnsi="Times New Roman" w:cs="Times New Roman"/>
          <w:noProof/>
          <w:sz w:val="24"/>
          <w:szCs w:val="24"/>
        </w:rPr>
        <w:t xml:space="preserve"> </w:t>
      </w:r>
    </w:p>
    <w:p w14:paraId="49D3BBAF" w14:textId="2ACC5ABF" w:rsidR="00502CC8" w:rsidRPr="00D16622" w:rsidRDefault="004E2784" w:rsidP="003E6C7C">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Under the</w:t>
      </w:r>
      <w:r w:rsidR="00455439" w:rsidRPr="00D16622">
        <w:rPr>
          <w:rFonts w:ascii="Times New Roman" w:hAnsi="Times New Roman" w:cs="Times New Roman"/>
          <w:noProof/>
          <w:sz w:val="24"/>
          <w:szCs w:val="24"/>
        </w:rPr>
        <w:t xml:space="preserve"> Commission’s proposal for the</w:t>
      </w:r>
      <w:r w:rsidRPr="00D16622">
        <w:rPr>
          <w:rFonts w:ascii="Times New Roman" w:hAnsi="Times New Roman" w:cs="Times New Roman"/>
          <w:noProof/>
          <w:sz w:val="24"/>
          <w:szCs w:val="24"/>
        </w:rPr>
        <w:t xml:space="preserve"> next MFF,</w:t>
      </w:r>
      <w:r w:rsidR="00772EC2" w:rsidRPr="00D16622">
        <w:rPr>
          <w:rFonts w:ascii="Times New Roman" w:hAnsi="Times New Roman" w:cs="Times New Roman"/>
          <w:noProof/>
          <w:sz w:val="24"/>
          <w:szCs w:val="24"/>
        </w:rPr>
        <w:t xml:space="preserve"> the </w:t>
      </w:r>
      <w:hyperlink r:id="rId21" w:history="1">
        <w:r w:rsidR="00086E44" w:rsidRPr="00D16622">
          <w:rPr>
            <w:rStyle w:val="Hyperlink"/>
            <w:rFonts w:cs="Times New Roman"/>
            <w:noProof/>
            <w:szCs w:val="24"/>
          </w:rPr>
          <w:t>National and Regional Partnership Plans</w:t>
        </w:r>
        <w:r w:rsidR="006C7B4A" w:rsidRPr="00D16622">
          <w:rPr>
            <w:rStyle w:val="Hyperlink"/>
            <w:rFonts w:cs="Times New Roman"/>
            <w:noProof/>
            <w:szCs w:val="24"/>
          </w:rPr>
          <w:t xml:space="preserve"> (NRP</w:t>
        </w:r>
        <w:r w:rsidR="0023493F" w:rsidRPr="00D16622">
          <w:rPr>
            <w:rStyle w:val="Hyperlink"/>
            <w:rFonts w:cs="Times New Roman"/>
            <w:noProof/>
            <w:szCs w:val="24"/>
          </w:rPr>
          <w:t xml:space="preserve"> </w:t>
        </w:r>
        <w:r w:rsidR="006C7B4A" w:rsidRPr="00D16622">
          <w:rPr>
            <w:rStyle w:val="Hyperlink"/>
            <w:rFonts w:cs="Times New Roman"/>
            <w:noProof/>
            <w:szCs w:val="24"/>
          </w:rPr>
          <w:t>P</w:t>
        </w:r>
        <w:r w:rsidR="0023493F" w:rsidRPr="00D16622">
          <w:rPr>
            <w:rStyle w:val="Hyperlink"/>
            <w:rFonts w:cs="Times New Roman"/>
            <w:noProof/>
            <w:szCs w:val="24"/>
          </w:rPr>
          <w:t>lan</w:t>
        </w:r>
        <w:r w:rsidR="006C7B4A" w:rsidRPr="00D16622">
          <w:rPr>
            <w:rStyle w:val="Hyperlink"/>
            <w:rFonts w:cs="Times New Roman"/>
            <w:noProof/>
            <w:szCs w:val="24"/>
          </w:rPr>
          <w:t>s)</w:t>
        </w:r>
      </w:hyperlink>
      <w:r w:rsidR="00086E44" w:rsidRPr="00D16622">
        <w:rPr>
          <w:rFonts w:ascii="Times New Roman" w:hAnsi="Times New Roman" w:cs="Times New Roman"/>
          <w:noProof/>
          <w:sz w:val="24"/>
          <w:szCs w:val="24"/>
        </w:rPr>
        <w:t xml:space="preserve"> </w:t>
      </w:r>
      <w:r w:rsidR="00965935" w:rsidRPr="00D16622">
        <w:rPr>
          <w:rFonts w:ascii="Times New Roman" w:hAnsi="Times New Roman" w:cs="Times New Roman"/>
          <w:noProof/>
          <w:sz w:val="24"/>
          <w:szCs w:val="24"/>
        </w:rPr>
        <w:t>will</w:t>
      </w:r>
      <w:r w:rsidR="002D3BB5" w:rsidRPr="00D16622">
        <w:rPr>
          <w:rFonts w:ascii="Times New Roman" w:hAnsi="Times New Roman" w:cs="Times New Roman"/>
          <w:noProof/>
          <w:sz w:val="24"/>
          <w:szCs w:val="24"/>
        </w:rPr>
        <w:t xml:space="preserve"> </w:t>
      </w:r>
      <w:r w:rsidR="00DC6BEE" w:rsidRPr="00D16622">
        <w:rPr>
          <w:rFonts w:ascii="Times New Roman" w:hAnsi="Times New Roman" w:cs="Times New Roman"/>
          <w:noProof/>
          <w:sz w:val="24"/>
          <w:szCs w:val="24"/>
        </w:rPr>
        <w:t>provide a single coherent framework for</w:t>
      </w:r>
      <w:r w:rsidR="00CA024A" w:rsidRPr="00D16622">
        <w:rPr>
          <w:rFonts w:ascii="Times New Roman" w:hAnsi="Times New Roman" w:cs="Times New Roman"/>
          <w:noProof/>
          <w:sz w:val="24"/>
          <w:szCs w:val="24"/>
        </w:rPr>
        <w:t xml:space="preserve"> EU funds implemented by Member States and </w:t>
      </w:r>
      <w:r w:rsidR="0001010D" w:rsidRPr="00D16622">
        <w:rPr>
          <w:rFonts w:ascii="Times New Roman" w:hAnsi="Times New Roman" w:cs="Times New Roman"/>
          <w:noProof/>
          <w:sz w:val="24"/>
          <w:szCs w:val="24"/>
        </w:rPr>
        <w:t>r</w:t>
      </w:r>
      <w:r w:rsidR="00CA024A" w:rsidRPr="00D16622">
        <w:rPr>
          <w:rFonts w:ascii="Times New Roman" w:hAnsi="Times New Roman" w:cs="Times New Roman"/>
          <w:noProof/>
          <w:sz w:val="24"/>
          <w:szCs w:val="24"/>
        </w:rPr>
        <w:t>egions</w:t>
      </w:r>
      <w:r w:rsidR="004E38F4" w:rsidRPr="00D16622">
        <w:rPr>
          <w:rFonts w:ascii="Times New Roman" w:hAnsi="Times New Roman" w:cs="Times New Roman"/>
          <w:noProof/>
          <w:sz w:val="24"/>
          <w:szCs w:val="24"/>
        </w:rPr>
        <w:t>.</w:t>
      </w:r>
      <w:r w:rsidR="004F42FD" w:rsidRPr="00D16622">
        <w:rPr>
          <w:rFonts w:ascii="Times New Roman" w:hAnsi="Times New Roman" w:cs="Times New Roman"/>
          <w:noProof/>
          <w:sz w:val="24"/>
          <w:szCs w:val="24"/>
        </w:rPr>
        <w:t xml:space="preserve"> Upholding Union values in accordance with </w:t>
      </w:r>
      <w:r w:rsidR="005C6648" w:rsidRPr="00D16622">
        <w:rPr>
          <w:rFonts w:ascii="Times New Roman" w:hAnsi="Times New Roman" w:cs="Times New Roman"/>
          <w:noProof/>
          <w:sz w:val="24"/>
          <w:szCs w:val="24"/>
        </w:rPr>
        <w:t xml:space="preserve">Article 2 TEU, including </w:t>
      </w:r>
      <w:r w:rsidR="00CF314F" w:rsidRPr="00D16622">
        <w:rPr>
          <w:rFonts w:ascii="Times New Roman" w:hAnsi="Times New Roman" w:cs="Times New Roman"/>
          <w:noProof/>
          <w:sz w:val="24"/>
          <w:szCs w:val="24"/>
        </w:rPr>
        <w:t>the</w:t>
      </w:r>
      <w:r w:rsidR="005C6648" w:rsidRPr="00D16622">
        <w:rPr>
          <w:rFonts w:ascii="Times New Roman" w:hAnsi="Times New Roman" w:cs="Times New Roman"/>
          <w:noProof/>
          <w:sz w:val="24"/>
          <w:szCs w:val="24"/>
        </w:rPr>
        <w:t xml:space="preserve"> rule of law, is a general objective</w:t>
      </w:r>
      <w:r w:rsidR="00FD2969" w:rsidRPr="00D16622">
        <w:rPr>
          <w:rFonts w:ascii="Times New Roman" w:hAnsi="Times New Roman" w:cs="Times New Roman"/>
          <w:noProof/>
          <w:sz w:val="24"/>
          <w:szCs w:val="24"/>
        </w:rPr>
        <w:t xml:space="preserve"> of this framework</w:t>
      </w:r>
      <w:r w:rsidR="00CF314F" w:rsidRPr="00D16622">
        <w:rPr>
          <w:rFonts w:ascii="Times New Roman" w:hAnsi="Times New Roman" w:cs="Times New Roman"/>
          <w:noProof/>
          <w:sz w:val="24"/>
          <w:szCs w:val="24"/>
        </w:rPr>
        <w:t>.</w:t>
      </w:r>
      <w:r w:rsidR="004E38F4" w:rsidRPr="00D16622">
        <w:rPr>
          <w:rFonts w:ascii="Times New Roman" w:hAnsi="Times New Roman" w:cs="Times New Roman"/>
          <w:noProof/>
          <w:sz w:val="24"/>
          <w:szCs w:val="24"/>
        </w:rPr>
        <w:t xml:space="preserve"> The </w:t>
      </w:r>
      <w:r w:rsidR="00D37459" w:rsidRPr="00D16622">
        <w:rPr>
          <w:rFonts w:ascii="Times New Roman" w:hAnsi="Times New Roman" w:cs="Times New Roman"/>
          <w:noProof/>
          <w:sz w:val="24"/>
          <w:szCs w:val="24"/>
        </w:rPr>
        <w:t>Commission has proposed that</w:t>
      </w:r>
      <w:r w:rsidR="00EB63C7" w:rsidRPr="00D16622">
        <w:rPr>
          <w:rFonts w:ascii="Times New Roman" w:hAnsi="Times New Roman" w:cs="Times New Roman"/>
          <w:noProof/>
          <w:sz w:val="24"/>
          <w:szCs w:val="24"/>
        </w:rPr>
        <w:t xml:space="preserve"> NRP</w:t>
      </w:r>
      <w:r w:rsidR="00043051" w:rsidRPr="00D16622">
        <w:rPr>
          <w:rFonts w:ascii="Times New Roman" w:hAnsi="Times New Roman" w:cs="Times New Roman"/>
          <w:noProof/>
          <w:sz w:val="24"/>
          <w:szCs w:val="24"/>
        </w:rPr>
        <w:t xml:space="preserve"> Plans</w:t>
      </w:r>
      <w:r w:rsidR="00C57BDF" w:rsidRPr="00D16622">
        <w:rPr>
          <w:rFonts w:ascii="Times New Roman" w:hAnsi="Times New Roman" w:cs="Times New Roman"/>
          <w:noProof/>
          <w:sz w:val="24"/>
          <w:szCs w:val="24"/>
        </w:rPr>
        <w:t xml:space="preserve"> address challenges identified in the EU policy reference framework</w:t>
      </w:r>
      <w:r w:rsidR="00AD08C2" w:rsidRPr="00D16622">
        <w:rPr>
          <w:rFonts w:ascii="Times New Roman" w:hAnsi="Times New Roman" w:cs="Times New Roman"/>
          <w:noProof/>
          <w:sz w:val="24"/>
          <w:szCs w:val="24"/>
        </w:rPr>
        <w:t>,</w:t>
      </w:r>
      <w:r w:rsidRPr="00D16622" w:rsidDel="00C57BDF">
        <w:rPr>
          <w:rFonts w:ascii="Times New Roman" w:hAnsi="Times New Roman" w:cs="Times New Roman"/>
          <w:noProof/>
          <w:sz w:val="24"/>
          <w:szCs w:val="24"/>
        </w:rPr>
        <w:t xml:space="preserve"> </w:t>
      </w:r>
      <w:r w:rsidR="00800F83" w:rsidRPr="00D16622">
        <w:rPr>
          <w:rFonts w:ascii="Times New Roman" w:hAnsi="Times New Roman" w:cs="Times New Roman"/>
          <w:noProof/>
          <w:sz w:val="24"/>
          <w:szCs w:val="24"/>
        </w:rPr>
        <w:t xml:space="preserve">including </w:t>
      </w:r>
      <w:r w:rsidR="009D3ED8" w:rsidRPr="00D16622">
        <w:rPr>
          <w:rFonts w:ascii="Times New Roman" w:hAnsi="Times New Roman" w:cs="Times New Roman"/>
          <w:noProof/>
          <w:sz w:val="24"/>
          <w:szCs w:val="24"/>
        </w:rPr>
        <w:t xml:space="preserve">those identified in </w:t>
      </w:r>
      <w:r w:rsidR="007F328A" w:rsidRPr="00D16622">
        <w:rPr>
          <w:rFonts w:ascii="Times New Roman" w:hAnsi="Times New Roman" w:cs="Times New Roman"/>
          <w:noProof/>
          <w:sz w:val="24"/>
          <w:szCs w:val="24"/>
        </w:rPr>
        <w:t xml:space="preserve">the Rule of Law Report </w:t>
      </w:r>
      <w:r w:rsidR="00A21B54" w:rsidRPr="00D16622">
        <w:rPr>
          <w:rFonts w:ascii="Times New Roman" w:hAnsi="Times New Roman" w:cs="Times New Roman"/>
          <w:noProof/>
          <w:sz w:val="24"/>
          <w:szCs w:val="24"/>
        </w:rPr>
        <w:t xml:space="preserve">as well as </w:t>
      </w:r>
      <w:r w:rsidR="0044131F" w:rsidRPr="00D16622">
        <w:rPr>
          <w:rFonts w:ascii="Times New Roman" w:hAnsi="Times New Roman" w:cs="Times New Roman"/>
          <w:noProof/>
          <w:sz w:val="24"/>
          <w:szCs w:val="24"/>
        </w:rPr>
        <w:t xml:space="preserve">the European Semester </w:t>
      </w:r>
      <w:r w:rsidR="008F3A74" w:rsidRPr="00D16622">
        <w:rPr>
          <w:rFonts w:ascii="Times New Roman" w:hAnsi="Times New Roman" w:cs="Times New Roman"/>
          <w:noProof/>
          <w:sz w:val="24"/>
          <w:szCs w:val="24"/>
        </w:rPr>
        <w:t xml:space="preserve">and its </w:t>
      </w:r>
      <w:r w:rsidR="0044131F" w:rsidRPr="00D16622">
        <w:rPr>
          <w:rFonts w:ascii="Times New Roman" w:hAnsi="Times New Roman" w:cs="Times New Roman"/>
          <w:noProof/>
          <w:sz w:val="24"/>
          <w:szCs w:val="24"/>
        </w:rPr>
        <w:t>country-specific recommendations.</w:t>
      </w:r>
      <w:r w:rsidRPr="00D16622" w:rsidDel="0082202F">
        <w:rPr>
          <w:rFonts w:ascii="Times New Roman" w:hAnsi="Times New Roman" w:cs="Times New Roman"/>
          <w:noProof/>
          <w:sz w:val="24"/>
          <w:szCs w:val="24"/>
        </w:rPr>
        <w:t xml:space="preserve"> </w:t>
      </w:r>
      <w:r w:rsidR="00B914AB" w:rsidRPr="00D16622">
        <w:rPr>
          <w:rFonts w:ascii="Times New Roman" w:hAnsi="Times New Roman" w:cs="Times New Roman"/>
          <w:noProof/>
          <w:sz w:val="24"/>
          <w:szCs w:val="24"/>
        </w:rPr>
        <w:t xml:space="preserve">Member States </w:t>
      </w:r>
      <w:r w:rsidR="007F4548" w:rsidRPr="00D16622">
        <w:rPr>
          <w:rFonts w:ascii="Times New Roman" w:hAnsi="Times New Roman" w:cs="Times New Roman"/>
          <w:noProof/>
          <w:sz w:val="24"/>
          <w:szCs w:val="24"/>
        </w:rPr>
        <w:t xml:space="preserve">are </w:t>
      </w:r>
      <w:r w:rsidR="00942BEB" w:rsidRPr="00D16622">
        <w:rPr>
          <w:rFonts w:ascii="Times New Roman" w:hAnsi="Times New Roman" w:cs="Times New Roman"/>
          <w:noProof/>
          <w:sz w:val="24"/>
          <w:szCs w:val="24"/>
        </w:rPr>
        <w:t xml:space="preserve">therefore </w:t>
      </w:r>
      <w:r w:rsidR="007F4548" w:rsidRPr="00D16622">
        <w:rPr>
          <w:rFonts w:ascii="Times New Roman" w:hAnsi="Times New Roman" w:cs="Times New Roman"/>
          <w:noProof/>
          <w:sz w:val="24"/>
          <w:szCs w:val="24"/>
        </w:rPr>
        <w:t>expected</w:t>
      </w:r>
      <w:r w:rsidR="004044CD" w:rsidRPr="00D16622">
        <w:rPr>
          <w:rFonts w:ascii="Times New Roman" w:hAnsi="Times New Roman" w:cs="Times New Roman"/>
          <w:noProof/>
          <w:sz w:val="24"/>
          <w:szCs w:val="24"/>
        </w:rPr>
        <w:t xml:space="preserve"> </w:t>
      </w:r>
      <w:r w:rsidR="00B914AB" w:rsidRPr="00D16622">
        <w:rPr>
          <w:rFonts w:ascii="Times New Roman" w:hAnsi="Times New Roman" w:cs="Times New Roman"/>
          <w:noProof/>
          <w:sz w:val="24"/>
          <w:szCs w:val="24"/>
        </w:rPr>
        <w:t xml:space="preserve">to </w:t>
      </w:r>
      <w:r w:rsidR="00F93834" w:rsidRPr="00D16622">
        <w:rPr>
          <w:rFonts w:ascii="Times New Roman" w:hAnsi="Times New Roman" w:cs="Times New Roman"/>
          <w:noProof/>
          <w:sz w:val="24"/>
          <w:szCs w:val="24"/>
        </w:rPr>
        <w:t xml:space="preserve">include </w:t>
      </w:r>
      <w:r w:rsidR="00CD42CF" w:rsidRPr="00D16622">
        <w:rPr>
          <w:rFonts w:ascii="Times New Roman" w:hAnsi="Times New Roman" w:cs="Times New Roman"/>
          <w:noProof/>
          <w:sz w:val="24"/>
          <w:szCs w:val="24"/>
        </w:rPr>
        <w:t xml:space="preserve">in their Plans </w:t>
      </w:r>
      <w:r w:rsidR="00F93834" w:rsidRPr="00D16622">
        <w:rPr>
          <w:rFonts w:ascii="Times New Roman" w:hAnsi="Times New Roman" w:cs="Times New Roman"/>
          <w:noProof/>
          <w:sz w:val="24"/>
          <w:szCs w:val="24"/>
        </w:rPr>
        <w:t>investments and reforms</w:t>
      </w:r>
      <w:r w:rsidR="00EE4365" w:rsidRPr="00D16622">
        <w:rPr>
          <w:rFonts w:ascii="Times New Roman" w:hAnsi="Times New Roman" w:cs="Times New Roman"/>
          <w:noProof/>
          <w:sz w:val="24"/>
          <w:szCs w:val="24"/>
        </w:rPr>
        <w:t xml:space="preserve"> t</w:t>
      </w:r>
      <w:r w:rsidR="00CA7460" w:rsidRPr="00D16622">
        <w:rPr>
          <w:rFonts w:ascii="Times New Roman" w:hAnsi="Times New Roman" w:cs="Times New Roman"/>
          <w:noProof/>
          <w:sz w:val="24"/>
          <w:szCs w:val="24"/>
        </w:rPr>
        <w:t xml:space="preserve">hat </w:t>
      </w:r>
      <w:r w:rsidR="00EE4365" w:rsidRPr="00D16622">
        <w:rPr>
          <w:rFonts w:ascii="Times New Roman" w:hAnsi="Times New Roman" w:cs="Times New Roman"/>
          <w:noProof/>
          <w:sz w:val="24"/>
          <w:szCs w:val="24"/>
        </w:rPr>
        <w:t>protect and strengthen</w:t>
      </w:r>
      <w:r w:rsidR="002A657E" w:rsidRPr="00D16622">
        <w:rPr>
          <w:rFonts w:ascii="Times New Roman" w:hAnsi="Times New Roman" w:cs="Times New Roman"/>
          <w:noProof/>
          <w:sz w:val="24"/>
          <w:szCs w:val="24"/>
        </w:rPr>
        <w:t xml:space="preserve"> the rule of law, </w:t>
      </w:r>
      <w:r w:rsidR="005049C8" w:rsidRPr="00D16622">
        <w:rPr>
          <w:rFonts w:ascii="Times New Roman" w:hAnsi="Times New Roman" w:cs="Times New Roman"/>
          <w:noProof/>
          <w:sz w:val="24"/>
          <w:szCs w:val="24"/>
        </w:rPr>
        <w:t>guid</w:t>
      </w:r>
      <w:r w:rsidR="00B92081" w:rsidRPr="00D16622">
        <w:rPr>
          <w:rFonts w:ascii="Times New Roman" w:hAnsi="Times New Roman" w:cs="Times New Roman"/>
          <w:noProof/>
          <w:sz w:val="24"/>
          <w:szCs w:val="24"/>
        </w:rPr>
        <w:t xml:space="preserve">ed by the </w:t>
      </w:r>
      <w:r w:rsidR="00F1770E" w:rsidRPr="00D16622">
        <w:rPr>
          <w:rFonts w:ascii="Times New Roman" w:hAnsi="Times New Roman" w:cs="Times New Roman"/>
          <w:noProof/>
          <w:sz w:val="24"/>
          <w:szCs w:val="24"/>
        </w:rPr>
        <w:t>Report and its</w:t>
      </w:r>
      <w:r w:rsidR="00552051" w:rsidRPr="00D16622">
        <w:rPr>
          <w:rFonts w:ascii="Times New Roman" w:hAnsi="Times New Roman" w:cs="Times New Roman"/>
          <w:noProof/>
          <w:sz w:val="24"/>
          <w:szCs w:val="24"/>
        </w:rPr>
        <w:t xml:space="preserve"> results-oriented</w:t>
      </w:r>
      <w:r w:rsidR="00F1770E" w:rsidRPr="00D16622">
        <w:rPr>
          <w:rFonts w:ascii="Times New Roman" w:hAnsi="Times New Roman" w:cs="Times New Roman"/>
          <w:noProof/>
          <w:sz w:val="24"/>
          <w:szCs w:val="24"/>
        </w:rPr>
        <w:t xml:space="preserve"> recommendations</w:t>
      </w:r>
      <w:r w:rsidR="00D03B15" w:rsidRPr="00D16622">
        <w:rPr>
          <w:rFonts w:ascii="Times New Roman" w:hAnsi="Times New Roman" w:cs="Times New Roman"/>
          <w:noProof/>
          <w:sz w:val="24"/>
          <w:szCs w:val="24"/>
        </w:rPr>
        <w:t xml:space="preserve"> – </w:t>
      </w:r>
      <w:r w:rsidR="00C153E7" w:rsidRPr="00D16622">
        <w:rPr>
          <w:rFonts w:ascii="Times New Roman" w:hAnsi="Times New Roman" w:cs="Times New Roman"/>
          <w:noProof/>
          <w:sz w:val="24"/>
          <w:szCs w:val="24"/>
        </w:rPr>
        <w:t>covering</w:t>
      </w:r>
      <w:r w:rsidR="000F1615" w:rsidRPr="00D16622">
        <w:rPr>
          <w:rFonts w:ascii="Times New Roman" w:hAnsi="Times New Roman" w:cs="Times New Roman"/>
          <w:noProof/>
          <w:sz w:val="24"/>
          <w:szCs w:val="24"/>
        </w:rPr>
        <w:t xml:space="preserve"> areas such as the strengthening of justice systems, anti-corruption frameworks, </w:t>
      </w:r>
      <w:r w:rsidR="00597D22" w:rsidRPr="00D16622">
        <w:rPr>
          <w:rFonts w:ascii="Times New Roman" w:hAnsi="Times New Roman" w:cs="Times New Roman"/>
          <w:noProof/>
          <w:sz w:val="24"/>
          <w:szCs w:val="24"/>
        </w:rPr>
        <w:t>media pluralism and effective checks and balances</w:t>
      </w:r>
      <w:r w:rsidR="00DE0269" w:rsidRPr="00D16622">
        <w:rPr>
          <w:rFonts w:ascii="Times New Roman" w:hAnsi="Times New Roman" w:cs="Times New Roman"/>
          <w:noProof/>
          <w:sz w:val="24"/>
          <w:szCs w:val="24"/>
        </w:rPr>
        <w:t xml:space="preserve">. </w:t>
      </w:r>
      <w:r w:rsidR="00CE5F68" w:rsidRPr="00D16622">
        <w:rPr>
          <w:rFonts w:ascii="Times New Roman" w:hAnsi="Times New Roman" w:cs="Times New Roman"/>
          <w:noProof/>
          <w:sz w:val="24"/>
          <w:szCs w:val="24"/>
        </w:rPr>
        <w:t xml:space="preserve">Such reforms </w:t>
      </w:r>
      <w:r w:rsidR="00644CDD" w:rsidRPr="00D16622">
        <w:rPr>
          <w:rFonts w:ascii="Times New Roman" w:hAnsi="Times New Roman" w:cs="Times New Roman"/>
          <w:noProof/>
          <w:sz w:val="24"/>
          <w:szCs w:val="24"/>
        </w:rPr>
        <w:t>may</w:t>
      </w:r>
      <w:r w:rsidR="00CE5F68" w:rsidRPr="00D16622">
        <w:rPr>
          <w:rFonts w:ascii="Times New Roman" w:hAnsi="Times New Roman" w:cs="Times New Roman"/>
          <w:noProof/>
          <w:sz w:val="24"/>
          <w:szCs w:val="24"/>
        </w:rPr>
        <w:t xml:space="preserve"> also contribute to better governance by enhancing the efficiency of public administration, including judicial authorities, and the institutional capacity of public authorities and stakeholders in Member States, regions and local communities</w:t>
      </w:r>
      <w:r w:rsidR="00E77E42" w:rsidRPr="00D16622">
        <w:rPr>
          <w:rFonts w:ascii="Times New Roman" w:hAnsi="Times New Roman" w:cs="Times New Roman"/>
          <w:noProof/>
          <w:sz w:val="24"/>
          <w:szCs w:val="24"/>
        </w:rPr>
        <w:t>.</w:t>
      </w:r>
      <w:r w:rsidR="00E23402" w:rsidRPr="00D16622">
        <w:rPr>
          <w:rFonts w:ascii="Times New Roman" w:hAnsi="Times New Roman" w:cs="Times New Roman"/>
          <w:noProof/>
          <w:sz w:val="24"/>
          <w:szCs w:val="24"/>
        </w:rPr>
        <w:t xml:space="preserve"> </w:t>
      </w:r>
      <w:r w:rsidR="00890770" w:rsidRPr="00D16622">
        <w:rPr>
          <w:rFonts w:ascii="Times New Roman" w:hAnsi="Times New Roman" w:cs="Times New Roman"/>
          <w:noProof/>
          <w:sz w:val="24"/>
          <w:szCs w:val="24"/>
        </w:rPr>
        <w:t>The Single Market focus of the Rule of Law Report will, in combination with the</w:t>
      </w:r>
      <w:r w:rsidR="00FB65BF" w:rsidRPr="00D16622">
        <w:rPr>
          <w:rFonts w:ascii="Times New Roman" w:hAnsi="Times New Roman" w:cs="Times New Roman"/>
          <w:noProof/>
          <w:sz w:val="24"/>
          <w:szCs w:val="24"/>
        </w:rPr>
        <w:t xml:space="preserve"> European Semester</w:t>
      </w:r>
      <w:r w:rsidR="00DC3B1B" w:rsidRPr="00D16622">
        <w:rPr>
          <w:rStyle w:val="FootnoteReference"/>
          <w:rFonts w:cs="Times New Roman"/>
          <w:noProof/>
        </w:rPr>
        <w:footnoteReference w:id="19"/>
      </w:r>
      <w:r w:rsidR="00FB65BF" w:rsidRPr="00D16622">
        <w:rPr>
          <w:rFonts w:ascii="Times New Roman" w:hAnsi="Times New Roman" w:cs="Times New Roman"/>
          <w:noProof/>
          <w:sz w:val="24"/>
          <w:szCs w:val="24"/>
        </w:rPr>
        <w:t xml:space="preserve">, also help Member States identify </w:t>
      </w:r>
      <w:r w:rsidR="000E69B9" w:rsidRPr="00D16622">
        <w:rPr>
          <w:rFonts w:ascii="Times New Roman" w:hAnsi="Times New Roman" w:cs="Times New Roman"/>
          <w:noProof/>
          <w:sz w:val="24"/>
          <w:szCs w:val="24"/>
        </w:rPr>
        <w:t xml:space="preserve">rule of law reforms </w:t>
      </w:r>
      <w:r w:rsidR="00F0143B" w:rsidRPr="00D16622">
        <w:rPr>
          <w:rFonts w:ascii="Times New Roman" w:hAnsi="Times New Roman" w:cs="Times New Roman"/>
          <w:noProof/>
          <w:sz w:val="24"/>
          <w:szCs w:val="24"/>
        </w:rPr>
        <w:t>to be supported in NRP Plans</w:t>
      </w:r>
      <w:r w:rsidR="000E69B9" w:rsidRPr="00D16622">
        <w:rPr>
          <w:rFonts w:ascii="Times New Roman" w:hAnsi="Times New Roman" w:cs="Times New Roman"/>
          <w:noProof/>
          <w:sz w:val="24"/>
          <w:szCs w:val="24"/>
        </w:rPr>
        <w:t xml:space="preserve"> that are economically relevant</w:t>
      </w:r>
      <w:r w:rsidR="00014381" w:rsidRPr="00D16622">
        <w:rPr>
          <w:rFonts w:ascii="Times New Roman" w:hAnsi="Times New Roman" w:cs="Times New Roman"/>
          <w:noProof/>
          <w:sz w:val="24"/>
          <w:szCs w:val="24"/>
        </w:rPr>
        <w:t>, including those still pending from current RRPs</w:t>
      </w:r>
      <w:r w:rsidR="00F0143B" w:rsidRPr="00D16622">
        <w:rPr>
          <w:rFonts w:ascii="Times New Roman" w:hAnsi="Times New Roman" w:cs="Times New Roman"/>
          <w:noProof/>
          <w:sz w:val="24"/>
          <w:szCs w:val="24"/>
        </w:rPr>
        <w:t xml:space="preserve">. </w:t>
      </w:r>
      <w:r w:rsidR="008222EF" w:rsidRPr="00D16622">
        <w:rPr>
          <w:rFonts w:ascii="Times New Roman" w:hAnsi="Times New Roman" w:cs="Times New Roman"/>
          <w:noProof/>
          <w:sz w:val="24"/>
          <w:szCs w:val="24"/>
        </w:rPr>
        <w:t>Once submitted, t</w:t>
      </w:r>
      <w:r w:rsidR="007776C6" w:rsidRPr="00D16622">
        <w:rPr>
          <w:rFonts w:ascii="Times New Roman" w:hAnsi="Times New Roman" w:cs="Times New Roman"/>
          <w:noProof/>
          <w:sz w:val="24"/>
          <w:szCs w:val="24"/>
        </w:rPr>
        <w:t xml:space="preserve">he </w:t>
      </w:r>
      <w:r w:rsidR="002B01E5" w:rsidRPr="00D16622">
        <w:rPr>
          <w:rFonts w:ascii="Times New Roman" w:hAnsi="Times New Roman" w:cs="Times New Roman"/>
          <w:noProof/>
          <w:sz w:val="24"/>
          <w:szCs w:val="24"/>
        </w:rPr>
        <w:t>NRP</w:t>
      </w:r>
      <w:r w:rsidR="007776C6" w:rsidRPr="00D16622">
        <w:rPr>
          <w:rFonts w:ascii="Times New Roman" w:hAnsi="Times New Roman" w:cs="Times New Roman"/>
          <w:noProof/>
          <w:sz w:val="24"/>
          <w:szCs w:val="24"/>
        </w:rPr>
        <w:t xml:space="preserve"> Plans will be </w:t>
      </w:r>
      <w:r w:rsidR="00EA181B" w:rsidRPr="00D16622">
        <w:rPr>
          <w:rFonts w:ascii="Times New Roman" w:hAnsi="Times New Roman" w:cs="Times New Roman"/>
          <w:noProof/>
          <w:sz w:val="24"/>
          <w:szCs w:val="24"/>
        </w:rPr>
        <w:t xml:space="preserve">discussed </w:t>
      </w:r>
      <w:r w:rsidR="007776C6" w:rsidRPr="00D16622">
        <w:rPr>
          <w:rFonts w:ascii="Times New Roman" w:hAnsi="Times New Roman" w:cs="Times New Roman"/>
          <w:noProof/>
          <w:sz w:val="24"/>
          <w:szCs w:val="24"/>
        </w:rPr>
        <w:t xml:space="preserve">between the Commission and Member States </w:t>
      </w:r>
      <w:r w:rsidR="004C03FA" w:rsidRPr="00D16622">
        <w:rPr>
          <w:rFonts w:ascii="Times New Roman" w:hAnsi="Times New Roman" w:cs="Times New Roman"/>
          <w:noProof/>
          <w:sz w:val="24"/>
          <w:szCs w:val="24"/>
        </w:rPr>
        <w:t>with</w:t>
      </w:r>
      <w:r w:rsidR="007776C6" w:rsidRPr="00D16622">
        <w:rPr>
          <w:rFonts w:ascii="Times New Roman" w:hAnsi="Times New Roman" w:cs="Times New Roman"/>
          <w:noProof/>
          <w:sz w:val="24"/>
          <w:szCs w:val="24"/>
        </w:rPr>
        <w:t xml:space="preserve"> milestones and targets for </w:t>
      </w:r>
      <w:r w:rsidR="7D9416C8" w:rsidRPr="00D16622">
        <w:rPr>
          <w:rFonts w:ascii="Times New Roman" w:hAnsi="Times New Roman" w:cs="Times New Roman"/>
          <w:noProof/>
          <w:sz w:val="24"/>
          <w:szCs w:val="24"/>
        </w:rPr>
        <w:t xml:space="preserve">the agreed </w:t>
      </w:r>
      <w:r w:rsidR="007776C6" w:rsidRPr="00D16622">
        <w:rPr>
          <w:rFonts w:ascii="Times New Roman" w:hAnsi="Times New Roman" w:cs="Times New Roman"/>
          <w:noProof/>
          <w:sz w:val="24"/>
          <w:szCs w:val="24"/>
        </w:rPr>
        <w:t>reforms.</w:t>
      </w:r>
      <w:r w:rsidR="00F14C73" w:rsidRPr="00D16622">
        <w:rPr>
          <w:rFonts w:ascii="Times New Roman" w:hAnsi="Times New Roman" w:cs="Times New Roman"/>
          <w:noProof/>
          <w:sz w:val="24"/>
          <w:szCs w:val="24"/>
        </w:rPr>
        <w:t xml:space="preserve"> With a view to support Member States in identifying and prioritising rule of law </w:t>
      </w:r>
      <w:r w:rsidR="00A902B8" w:rsidRPr="00D16622">
        <w:rPr>
          <w:rFonts w:ascii="Times New Roman" w:hAnsi="Times New Roman" w:cs="Times New Roman"/>
          <w:noProof/>
          <w:sz w:val="24"/>
          <w:szCs w:val="24"/>
        </w:rPr>
        <w:t xml:space="preserve">investments and </w:t>
      </w:r>
      <w:r w:rsidR="00F14C73" w:rsidRPr="00D16622">
        <w:rPr>
          <w:rFonts w:ascii="Times New Roman" w:hAnsi="Times New Roman" w:cs="Times New Roman"/>
          <w:noProof/>
          <w:sz w:val="24"/>
          <w:szCs w:val="24"/>
        </w:rPr>
        <w:t xml:space="preserve">reforms that can be supported through the Plans, </w:t>
      </w:r>
      <w:r w:rsidR="00F57C77" w:rsidRPr="00D16622">
        <w:rPr>
          <w:rFonts w:ascii="Times New Roman" w:hAnsi="Times New Roman" w:cs="Times New Roman"/>
          <w:b/>
          <w:bCs/>
          <w:noProof/>
          <w:sz w:val="24"/>
          <w:szCs w:val="24"/>
        </w:rPr>
        <w:t xml:space="preserve">in this 2026 edition of the Rule of Law Report, </w:t>
      </w:r>
      <w:r w:rsidR="00F14C73" w:rsidRPr="00D16622">
        <w:rPr>
          <w:rFonts w:ascii="Times New Roman" w:hAnsi="Times New Roman" w:cs="Times New Roman"/>
          <w:b/>
          <w:bCs/>
          <w:noProof/>
          <w:sz w:val="24"/>
          <w:szCs w:val="24"/>
        </w:rPr>
        <w:t>the Commission has further consolidated its recommendations, making them more targeted and operational</w:t>
      </w:r>
      <w:r w:rsidR="00F14C73" w:rsidRPr="00D16622">
        <w:rPr>
          <w:rFonts w:ascii="Times New Roman" w:hAnsi="Times New Roman" w:cs="Times New Roman"/>
          <w:noProof/>
          <w:sz w:val="24"/>
          <w:szCs w:val="24"/>
        </w:rPr>
        <w:t xml:space="preserve">. </w:t>
      </w:r>
      <w:r w:rsidR="00D344BB" w:rsidRPr="00D16622">
        <w:rPr>
          <w:rFonts w:ascii="Times New Roman" w:hAnsi="Times New Roman" w:cs="Times New Roman"/>
          <w:noProof/>
          <w:sz w:val="24"/>
          <w:szCs w:val="24"/>
        </w:rPr>
        <w:t xml:space="preserve">The recommendations are intended to identify </w:t>
      </w:r>
      <w:r w:rsidR="0031761C" w:rsidRPr="00D16622">
        <w:rPr>
          <w:rFonts w:ascii="Times New Roman" w:hAnsi="Times New Roman" w:cs="Times New Roman"/>
          <w:noProof/>
          <w:sz w:val="24"/>
          <w:szCs w:val="24"/>
        </w:rPr>
        <w:t xml:space="preserve">the </w:t>
      </w:r>
      <w:r w:rsidR="00C21E09" w:rsidRPr="00D16622">
        <w:rPr>
          <w:rFonts w:ascii="Times New Roman" w:hAnsi="Times New Roman" w:cs="Times New Roman"/>
          <w:noProof/>
          <w:sz w:val="24"/>
          <w:szCs w:val="24"/>
        </w:rPr>
        <w:t>key</w:t>
      </w:r>
      <w:r w:rsidR="00D344BB" w:rsidRPr="00D16622">
        <w:rPr>
          <w:rFonts w:ascii="Times New Roman" w:hAnsi="Times New Roman" w:cs="Times New Roman"/>
          <w:noProof/>
          <w:sz w:val="24"/>
          <w:szCs w:val="24"/>
        </w:rPr>
        <w:t xml:space="preserve"> issues </w:t>
      </w:r>
      <w:r w:rsidR="000B2491" w:rsidRPr="00D16622">
        <w:rPr>
          <w:rFonts w:ascii="Times New Roman" w:hAnsi="Times New Roman" w:cs="Times New Roman"/>
          <w:noProof/>
          <w:sz w:val="24"/>
          <w:szCs w:val="24"/>
        </w:rPr>
        <w:t>and challenges</w:t>
      </w:r>
      <w:r w:rsidR="00D344BB" w:rsidRPr="00D16622">
        <w:rPr>
          <w:rFonts w:ascii="Times New Roman" w:hAnsi="Times New Roman" w:cs="Times New Roman"/>
          <w:noProof/>
          <w:sz w:val="24"/>
          <w:szCs w:val="24"/>
        </w:rPr>
        <w:t xml:space="preserve"> </w:t>
      </w:r>
      <w:r w:rsidR="0031761C" w:rsidRPr="00D16622">
        <w:rPr>
          <w:rFonts w:ascii="Times New Roman" w:hAnsi="Times New Roman" w:cs="Times New Roman"/>
          <w:noProof/>
          <w:sz w:val="24"/>
          <w:szCs w:val="24"/>
        </w:rPr>
        <w:t xml:space="preserve">which need to be </w:t>
      </w:r>
      <w:r w:rsidR="00D344BB" w:rsidRPr="00D16622">
        <w:rPr>
          <w:rFonts w:ascii="Times New Roman" w:hAnsi="Times New Roman" w:cs="Times New Roman"/>
          <w:noProof/>
          <w:sz w:val="24"/>
          <w:szCs w:val="24"/>
        </w:rPr>
        <w:t>address</w:t>
      </w:r>
      <w:r w:rsidR="0031761C" w:rsidRPr="00D16622">
        <w:rPr>
          <w:rFonts w:ascii="Times New Roman" w:hAnsi="Times New Roman" w:cs="Times New Roman"/>
          <w:noProof/>
          <w:sz w:val="24"/>
          <w:szCs w:val="24"/>
        </w:rPr>
        <w:t>ed</w:t>
      </w:r>
      <w:r w:rsidR="00D344BB" w:rsidRPr="00D16622">
        <w:rPr>
          <w:rFonts w:ascii="Times New Roman" w:hAnsi="Times New Roman" w:cs="Times New Roman"/>
          <w:noProof/>
          <w:sz w:val="24"/>
          <w:szCs w:val="24"/>
        </w:rPr>
        <w:t xml:space="preserve">, while leaving Member States the flexibility </w:t>
      </w:r>
      <w:r w:rsidR="00E132B5" w:rsidRPr="00D16622">
        <w:rPr>
          <w:rFonts w:ascii="Times New Roman" w:hAnsi="Times New Roman" w:cs="Times New Roman"/>
          <w:noProof/>
          <w:sz w:val="24"/>
          <w:szCs w:val="24"/>
        </w:rPr>
        <w:t>on</w:t>
      </w:r>
      <w:r w:rsidR="00D344BB" w:rsidRPr="00D16622">
        <w:rPr>
          <w:rFonts w:ascii="Times New Roman" w:hAnsi="Times New Roman" w:cs="Times New Roman"/>
          <w:noProof/>
          <w:sz w:val="24"/>
          <w:szCs w:val="24"/>
        </w:rPr>
        <w:t xml:space="preserve"> </w:t>
      </w:r>
      <w:r w:rsidR="00954629" w:rsidRPr="00D16622">
        <w:rPr>
          <w:rFonts w:ascii="Times New Roman" w:hAnsi="Times New Roman" w:cs="Times New Roman"/>
          <w:noProof/>
          <w:sz w:val="24"/>
          <w:szCs w:val="24"/>
        </w:rPr>
        <w:t>how to</w:t>
      </w:r>
      <w:r w:rsidR="00D344BB" w:rsidRPr="00D16622">
        <w:rPr>
          <w:rFonts w:ascii="Times New Roman" w:hAnsi="Times New Roman" w:cs="Times New Roman"/>
          <w:noProof/>
          <w:sz w:val="24"/>
          <w:szCs w:val="24"/>
        </w:rPr>
        <w:t xml:space="preserve"> achiev</w:t>
      </w:r>
      <w:r w:rsidR="00954629" w:rsidRPr="00D16622">
        <w:rPr>
          <w:rFonts w:ascii="Times New Roman" w:hAnsi="Times New Roman" w:cs="Times New Roman"/>
          <w:noProof/>
          <w:sz w:val="24"/>
          <w:szCs w:val="24"/>
        </w:rPr>
        <w:t>e</w:t>
      </w:r>
      <w:r w:rsidR="00D344BB" w:rsidRPr="00D16622">
        <w:rPr>
          <w:rFonts w:ascii="Times New Roman" w:hAnsi="Times New Roman" w:cs="Times New Roman"/>
          <w:noProof/>
          <w:sz w:val="24"/>
          <w:szCs w:val="24"/>
        </w:rPr>
        <w:t xml:space="preserve"> the</w:t>
      </w:r>
      <w:r w:rsidR="001D53D8" w:rsidRPr="00D16622">
        <w:rPr>
          <w:rFonts w:ascii="Times New Roman" w:hAnsi="Times New Roman" w:cs="Times New Roman"/>
          <w:noProof/>
          <w:sz w:val="24"/>
          <w:szCs w:val="24"/>
        </w:rPr>
        <w:t>se</w:t>
      </w:r>
      <w:r w:rsidR="00D344BB" w:rsidRPr="00D16622">
        <w:rPr>
          <w:rFonts w:ascii="Times New Roman" w:hAnsi="Times New Roman" w:cs="Times New Roman"/>
          <w:noProof/>
          <w:sz w:val="24"/>
          <w:szCs w:val="24"/>
        </w:rPr>
        <w:t xml:space="preserve"> outcomes</w:t>
      </w:r>
      <w:r w:rsidR="00DE6BFF" w:rsidRPr="00D16622">
        <w:rPr>
          <w:rFonts w:ascii="Times New Roman" w:hAnsi="Times New Roman" w:cs="Times New Roman"/>
          <w:noProof/>
          <w:sz w:val="24"/>
          <w:szCs w:val="24"/>
        </w:rPr>
        <w:t>, taking into account their national legal and institutional framework</w:t>
      </w:r>
      <w:r w:rsidR="00D344BB" w:rsidRPr="00D16622">
        <w:rPr>
          <w:rFonts w:ascii="Times New Roman" w:hAnsi="Times New Roman" w:cs="Times New Roman"/>
          <w:noProof/>
          <w:sz w:val="24"/>
          <w:szCs w:val="24"/>
        </w:rPr>
        <w:t>.</w:t>
      </w:r>
    </w:p>
    <w:p w14:paraId="091D396E" w14:textId="5A8DEF5A" w:rsidR="0015077F" w:rsidRPr="00D16622" w:rsidRDefault="007E5548" w:rsidP="007F17DE">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T</w:t>
      </w:r>
      <w:r w:rsidR="009803F6" w:rsidRPr="00D16622">
        <w:rPr>
          <w:rFonts w:ascii="Times New Roman" w:hAnsi="Times New Roman" w:cs="Times New Roman"/>
          <w:noProof/>
          <w:sz w:val="24"/>
          <w:szCs w:val="24"/>
        </w:rPr>
        <w:t xml:space="preserve">he proposed Regulation also </w:t>
      </w:r>
      <w:r w:rsidRPr="00D16622">
        <w:rPr>
          <w:rFonts w:ascii="Times New Roman" w:hAnsi="Times New Roman" w:cs="Times New Roman"/>
          <w:noProof/>
          <w:sz w:val="24"/>
          <w:szCs w:val="24"/>
        </w:rPr>
        <w:t xml:space="preserve">embeds strong safeguards </w:t>
      </w:r>
      <w:r w:rsidR="00835C61" w:rsidRPr="00D16622">
        <w:rPr>
          <w:rFonts w:ascii="Times New Roman" w:hAnsi="Times New Roman" w:cs="Times New Roman"/>
          <w:noProof/>
          <w:sz w:val="24"/>
          <w:szCs w:val="24"/>
        </w:rPr>
        <w:t>for compliance with t</w:t>
      </w:r>
      <w:r w:rsidR="005B715C" w:rsidRPr="00D16622">
        <w:rPr>
          <w:rFonts w:ascii="Times New Roman" w:hAnsi="Times New Roman" w:cs="Times New Roman"/>
          <w:noProof/>
          <w:sz w:val="24"/>
          <w:szCs w:val="24"/>
        </w:rPr>
        <w:t xml:space="preserve">he </w:t>
      </w:r>
      <w:r w:rsidR="009803F6" w:rsidRPr="00D16622">
        <w:rPr>
          <w:rFonts w:ascii="Times New Roman" w:hAnsi="Times New Roman" w:cs="Times New Roman"/>
          <w:b/>
          <w:bCs/>
          <w:noProof/>
          <w:sz w:val="24"/>
          <w:szCs w:val="24"/>
        </w:rPr>
        <w:t xml:space="preserve">rule of law </w:t>
      </w:r>
      <w:r w:rsidR="00B561CD" w:rsidRPr="00D16622">
        <w:rPr>
          <w:rFonts w:ascii="Times New Roman" w:hAnsi="Times New Roman" w:cs="Times New Roman"/>
          <w:b/>
          <w:bCs/>
          <w:noProof/>
          <w:sz w:val="24"/>
          <w:szCs w:val="24"/>
        </w:rPr>
        <w:t xml:space="preserve">and </w:t>
      </w:r>
      <w:r w:rsidR="005B715C" w:rsidRPr="00D16622">
        <w:rPr>
          <w:rFonts w:ascii="Times New Roman" w:hAnsi="Times New Roman" w:cs="Times New Roman"/>
          <w:b/>
          <w:noProof/>
          <w:sz w:val="24"/>
          <w:szCs w:val="24"/>
        </w:rPr>
        <w:t>the Charter of</w:t>
      </w:r>
      <w:r w:rsidR="005B715C" w:rsidRPr="00D16622">
        <w:rPr>
          <w:rFonts w:ascii="Times New Roman" w:hAnsi="Times New Roman" w:cs="Times New Roman"/>
          <w:b/>
          <w:bCs/>
          <w:noProof/>
          <w:sz w:val="24"/>
          <w:szCs w:val="24"/>
        </w:rPr>
        <w:t xml:space="preserve"> </w:t>
      </w:r>
      <w:r w:rsidR="005B715C" w:rsidRPr="00D16622">
        <w:rPr>
          <w:rFonts w:ascii="Times New Roman" w:hAnsi="Times New Roman" w:cs="Times New Roman"/>
          <w:b/>
          <w:noProof/>
          <w:sz w:val="24"/>
          <w:szCs w:val="24"/>
        </w:rPr>
        <w:t xml:space="preserve">Fundamental </w:t>
      </w:r>
      <w:r w:rsidR="005B715C" w:rsidRPr="00D16622">
        <w:rPr>
          <w:rFonts w:ascii="Times New Roman" w:hAnsi="Times New Roman" w:cs="Times New Roman"/>
          <w:b/>
          <w:bCs/>
          <w:noProof/>
          <w:sz w:val="24"/>
          <w:szCs w:val="24"/>
        </w:rPr>
        <w:t>Rights</w:t>
      </w:r>
      <w:r w:rsidR="005B715C" w:rsidRPr="00D16622">
        <w:rPr>
          <w:rFonts w:ascii="Times New Roman" w:hAnsi="Times New Roman" w:cs="Times New Roman"/>
          <w:b/>
          <w:noProof/>
          <w:sz w:val="24"/>
          <w:szCs w:val="24"/>
        </w:rPr>
        <w:t xml:space="preserve"> of the EU</w:t>
      </w:r>
      <w:r w:rsidR="005B715C" w:rsidRPr="00D16622">
        <w:rPr>
          <w:rFonts w:ascii="Times New Roman" w:hAnsi="Times New Roman" w:cs="Times New Roman"/>
          <w:noProof/>
          <w:sz w:val="24"/>
          <w:szCs w:val="24"/>
        </w:rPr>
        <w:t xml:space="preserve"> in the implementation of the </w:t>
      </w:r>
      <w:r w:rsidR="00B238FA" w:rsidRPr="00D16622">
        <w:rPr>
          <w:rFonts w:ascii="Times New Roman" w:hAnsi="Times New Roman" w:cs="Times New Roman"/>
          <w:noProof/>
          <w:sz w:val="24"/>
          <w:szCs w:val="24"/>
        </w:rPr>
        <w:t>NRP Plans</w:t>
      </w:r>
      <w:r w:rsidR="009803F6" w:rsidRPr="00D16622" w:rsidDel="005B715C">
        <w:rPr>
          <w:rFonts w:ascii="Times New Roman" w:hAnsi="Times New Roman" w:cs="Times New Roman"/>
          <w:noProof/>
          <w:sz w:val="24"/>
          <w:szCs w:val="24"/>
        </w:rPr>
        <w:t>,</w:t>
      </w:r>
      <w:r w:rsidR="009803F6" w:rsidRPr="00D16622">
        <w:rPr>
          <w:rFonts w:ascii="Times New Roman" w:hAnsi="Times New Roman" w:cs="Times New Roman"/>
          <w:noProof/>
          <w:sz w:val="24"/>
          <w:szCs w:val="24"/>
        </w:rPr>
        <w:t xml:space="preserve"> requiring Member States </w:t>
      </w:r>
      <w:r w:rsidR="00076C74" w:rsidRPr="00D16622">
        <w:rPr>
          <w:rFonts w:ascii="Times New Roman" w:hAnsi="Times New Roman" w:cs="Times New Roman"/>
          <w:noProof/>
          <w:sz w:val="24"/>
          <w:szCs w:val="24"/>
        </w:rPr>
        <w:t xml:space="preserve">to </w:t>
      </w:r>
      <w:r w:rsidR="009803F6" w:rsidRPr="00D16622">
        <w:rPr>
          <w:rFonts w:ascii="Times New Roman" w:hAnsi="Times New Roman" w:cs="Times New Roman"/>
          <w:noProof/>
          <w:sz w:val="24"/>
          <w:szCs w:val="24"/>
        </w:rPr>
        <w:t>respect the</w:t>
      </w:r>
      <w:r w:rsidR="007B6775" w:rsidRPr="00D16622">
        <w:rPr>
          <w:rFonts w:ascii="Times New Roman" w:hAnsi="Times New Roman" w:cs="Times New Roman"/>
          <w:noProof/>
          <w:sz w:val="24"/>
          <w:szCs w:val="24"/>
        </w:rPr>
        <w:t>se fundamental</w:t>
      </w:r>
      <w:r w:rsidR="009803F6" w:rsidRPr="00D16622">
        <w:rPr>
          <w:rFonts w:ascii="Times New Roman" w:hAnsi="Times New Roman" w:cs="Times New Roman"/>
          <w:noProof/>
          <w:sz w:val="24"/>
          <w:szCs w:val="24"/>
        </w:rPr>
        <w:t xml:space="preserve"> principles</w:t>
      </w:r>
      <w:r w:rsidR="007F17DE" w:rsidRPr="00D16622">
        <w:rPr>
          <w:rFonts w:ascii="Times New Roman" w:hAnsi="Times New Roman" w:cs="Times New Roman"/>
          <w:noProof/>
          <w:sz w:val="24"/>
          <w:szCs w:val="24"/>
        </w:rPr>
        <w:t xml:space="preserve"> throughout the MFF.</w:t>
      </w:r>
      <w:r w:rsidR="009803F6" w:rsidRPr="00D16622">
        <w:rPr>
          <w:rFonts w:ascii="Times New Roman" w:hAnsi="Times New Roman" w:cs="Times New Roman"/>
          <w:noProof/>
          <w:sz w:val="24"/>
          <w:szCs w:val="24"/>
        </w:rPr>
        <w:t xml:space="preserve"> </w:t>
      </w:r>
      <w:r w:rsidR="007F17DE" w:rsidRPr="00D16622">
        <w:rPr>
          <w:rFonts w:ascii="Times New Roman" w:hAnsi="Times New Roman" w:cs="Times New Roman"/>
          <w:noProof/>
          <w:sz w:val="24"/>
          <w:szCs w:val="24"/>
        </w:rPr>
        <w:t xml:space="preserve">Compliance </w:t>
      </w:r>
      <w:r w:rsidR="00D30B27" w:rsidRPr="00D16622">
        <w:rPr>
          <w:rFonts w:ascii="Times New Roman" w:hAnsi="Times New Roman" w:cs="Times New Roman"/>
          <w:noProof/>
          <w:sz w:val="24"/>
          <w:szCs w:val="24"/>
        </w:rPr>
        <w:t>with horizontal</w:t>
      </w:r>
      <w:r w:rsidR="007640F0" w:rsidRPr="00D16622">
        <w:rPr>
          <w:rFonts w:ascii="Times New Roman" w:hAnsi="Times New Roman" w:cs="Times New Roman"/>
          <w:noProof/>
          <w:sz w:val="24"/>
          <w:szCs w:val="24"/>
        </w:rPr>
        <w:t xml:space="preserve"> </w:t>
      </w:r>
      <w:r w:rsidR="00076C74" w:rsidRPr="00D16622">
        <w:rPr>
          <w:rFonts w:ascii="Times New Roman" w:hAnsi="Times New Roman" w:cs="Times New Roman"/>
          <w:noProof/>
          <w:sz w:val="24"/>
          <w:szCs w:val="24"/>
        </w:rPr>
        <w:t>condition</w:t>
      </w:r>
      <w:r w:rsidR="003013C6" w:rsidRPr="00D16622">
        <w:rPr>
          <w:rFonts w:ascii="Times New Roman" w:hAnsi="Times New Roman" w:cs="Times New Roman"/>
          <w:noProof/>
          <w:sz w:val="24"/>
          <w:szCs w:val="24"/>
        </w:rPr>
        <w:t>s</w:t>
      </w:r>
      <w:r w:rsidR="00311626" w:rsidRPr="00D16622">
        <w:rPr>
          <w:rFonts w:ascii="Times New Roman" w:hAnsi="Times New Roman" w:cs="Times New Roman"/>
          <w:noProof/>
          <w:sz w:val="24"/>
          <w:szCs w:val="24"/>
        </w:rPr>
        <w:t xml:space="preserve"> </w:t>
      </w:r>
      <w:r w:rsidR="000B04CE" w:rsidRPr="00D16622">
        <w:rPr>
          <w:rFonts w:ascii="Times New Roman" w:hAnsi="Times New Roman" w:cs="Times New Roman"/>
          <w:noProof/>
          <w:sz w:val="24"/>
          <w:szCs w:val="24"/>
        </w:rPr>
        <w:t>on the rule of law</w:t>
      </w:r>
      <w:r w:rsidR="002C46AF" w:rsidRPr="00D16622">
        <w:rPr>
          <w:rFonts w:ascii="Times New Roman" w:hAnsi="Times New Roman" w:cs="Times New Roman"/>
          <w:noProof/>
          <w:sz w:val="24"/>
          <w:szCs w:val="24"/>
        </w:rPr>
        <w:t xml:space="preserve"> </w:t>
      </w:r>
      <w:r w:rsidR="00C75D01" w:rsidRPr="00D16622">
        <w:rPr>
          <w:rFonts w:ascii="Times New Roman" w:hAnsi="Times New Roman" w:cs="Times New Roman"/>
          <w:noProof/>
          <w:sz w:val="24"/>
          <w:szCs w:val="24"/>
        </w:rPr>
        <w:t xml:space="preserve">and fundamental rights </w:t>
      </w:r>
      <w:r w:rsidR="002C46AF" w:rsidRPr="00D16622">
        <w:rPr>
          <w:rFonts w:ascii="Times New Roman" w:hAnsi="Times New Roman" w:cs="Times New Roman"/>
          <w:noProof/>
          <w:sz w:val="24"/>
          <w:szCs w:val="24"/>
        </w:rPr>
        <w:t xml:space="preserve">will be a prerequisite </w:t>
      </w:r>
      <w:r w:rsidR="00F26646" w:rsidRPr="00D16622">
        <w:rPr>
          <w:rFonts w:ascii="Times New Roman" w:hAnsi="Times New Roman" w:cs="Times New Roman"/>
          <w:noProof/>
          <w:sz w:val="24"/>
          <w:szCs w:val="24"/>
        </w:rPr>
        <w:t>for receiving support under the</w:t>
      </w:r>
      <w:r w:rsidR="00311626" w:rsidRPr="00D16622">
        <w:rPr>
          <w:rFonts w:ascii="Times New Roman" w:hAnsi="Times New Roman" w:cs="Times New Roman"/>
          <w:noProof/>
          <w:sz w:val="24"/>
          <w:szCs w:val="24"/>
        </w:rPr>
        <w:t xml:space="preserve"> </w:t>
      </w:r>
      <w:r w:rsidR="007F17DE" w:rsidRPr="00D16622">
        <w:rPr>
          <w:rFonts w:ascii="Times New Roman" w:hAnsi="Times New Roman" w:cs="Times New Roman"/>
          <w:noProof/>
          <w:sz w:val="24"/>
          <w:szCs w:val="24"/>
        </w:rPr>
        <w:t>NRP</w:t>
      </w:r>
      <w:r w:rsidR="00445914" w:rsidRPr="00D16622">
        <w:rPr>
          <w:rFonts w:ascii="Times New Roman" w:hAnsi="Times New Roman" w:cs="Times New Roman"/>
          <w:noProof/>
          <w:sz w:val="24"/>
          <w:szCs w:val="24"/>
        </w:rPr>
        <w:t xml:space="preserve"> </w:t>
      </w:r>
      <w:r w:rsidR="007F17DE" w:rsidRPr="00D16622">
        <w:rPr>
          <w:rFonts w:ascii="Times New Roman" w:hAnsi="Times New Roman" w:cs="Times New Roman"/>
          <w:noProof/>
          <w:sz w:val="24"/>
          <w:szCs w:val="24"/>
        </w:rPr>
        <w:t>P</w:t>
      </w:r>
      <w:r w:rsidR="00445914" w:rsidRPr="00D16622">
        <w:rPr>
          <w:rFonts w:ascii="Times New Roman" w:hAnsi="Times New Roman" w:cs="Times New Roman"/>
          <w:noProof/>
          <w:sz w:val="24"/>
          <w:szCs w:val="24"/>
        </w:rPr>
        <w:t>lan</w:t>
      </w:r>
      <w:r w:rsidR="00303F45" w:rsidRPr="00D16622">
        <w:rPr>
          <w:rFonts w:ascii="Times New Roman" w:hAnsi="Times New Roman" w:cs="Times New Roman"/>
          <w:noProof/>
          <w:sz w:val="24"/>
          <w:szCs w:val="24"/>
        </w:rPr>
        <w:t>s</w:t>
      </w:r>
      <w:r w:rsidR="009803F6" w:rsidRPr="00D16622">
        <w:rPr>
          <w:rFonts w:ascii="Times New Roman" w:hAnsi="Times New Roman" w:cs="Times New Roman"/>
          <w:noProof/>
          <w:sz w:val="24"/>
          <w:szCs w:val="24"/>
        </w:rPr>
        <w:t xml:space="preserve">. </w:t>
      </w:r>
      <w:r w:rsidR="00DC19C4" w:rsidRPr="00D16622">
        <w:rPr>
          <w:rFonts w:ascii="Times New Roman" w:hAnsi="Times New Roman" w:cs="Times New Roman"/>
          <w:noProof/>
          <w:sz w:val="24"/>
          <w:szCs w:val="24"/>
        </w:rPr>
        <w:t xml:space="preserve">At any time during </w:t>
      </w:r>
      <w:r w:rsidR="00076C74" w:rsidRPr="00D16622">
        <w:rPr>
          <w:rFonts w:ascii="Times New Roman" w:hAnsi="Times New Roman" w:cs="Times New Roman"/>
          <w:noProof/>
          <w:sz w:val="24"/>
          <w:szCs w:val="24"/>
        </w:rPr>
        <w:t>the</w:t>
      </w:r>
      <w:r w:rsidR="00DC19C4" w:rsidRPr="00D16622">
        <w:rPr>
          <w:rFonts w:ascii="Times New Roman" w:hAnsi="Times New Roman" w:cs="Times New Roman"/>
          <w:noProof/>
          <w:sz w:val="24"/>
          <w:szCs w:val="24"/>
        </w:rPr>
        <w:t xml:space="preserve"> implementation of the </w:t>
      </w:r>
      <w:r w:rsidR="005B715C" w:rsidRPr="00D16622">
        <w:rPr>
          <w:rFonts w:ascii="Times New Roman" w:hAnsi="Times New Roman" w:cs="Times New Roman"/>
          <w:noProof/>
          <w:sz w:val="24"/>
          <w:szCs w:val="24"/>
        </w:rPr>
        <w:t>p</w:t>
      </w:r>
      <w:r w:rsidR="00DC19C4" w:rsidRPr="00D16622">
        <w:rPr>
          <w:rFonts w:ascii="Times New Roman" w:hAnsi="Times New Roman" w:cs="Times New Roman"/>
          <w:noProof/>
          <w:sz w:val="24"/>
          <w:szCs w:val="24"/>
        </w:rPr>
        <w:t xml:space="preserve">lans and following exchanges with the Member States concerned, there will be a possibility to block payments made to a Member State </w:t>
      </w:r>
      <w:r w:rsidR="005D1279" w:rsidRPr="00D16622">
        <w:rPr>
          <w:rFonts w:ascii="Times New Roman" w:hAnsi="Times New Roman" w:cs="Times New Roman"/>
          <w:noProof/>
          <w:sz w:val="24"/>
          <w:szCs w:val="24"/>
        </w:rPr>
        <w:t xml:space="preserve">for specific measures affected </w:t>
      </w:r>
      <w:r w:rsidR="006B3BED" w:rsidRPr="00D16622">
        <w:rPr>
          <w:rFonts w:ascii="Times New Roman" w:hAnsi="Times New Roman" w:cs="Times New Roman"/>
          <w:noProof/>
          <w:sz w:val="24"/>
          <w:szCs w:val="24"/>
        </w:rPr>
        <w:t>in case</w:t>
      </w:r>
      <w:r w:rsidR="00DC19C4" w:rsidRPr="00D16622">
        <w:rPr>
          <w:rFonts w:ascii="Times New Roman" w:hAnsi="Times New Roman" w:cs="Times New Roman"/>
          <w:noProof/>
          <w:sz w:val="24"/>
          <w:szCs w:val="24"/>
        </w:rPr>
        <w:t xml:space="preserve"> these horizontal conditions are not </w:t>
      </w:r>
      <w:r w:rsidR="00875440" w:rsidRPr="00D16622">
        <w:rPr>
          <w:rFonts w:ascii="Times New Roman" w:hAnsi="Times New Roman" w:cs="Times New Roman"/>
          <w:noProof/>
          <w:sz w:val="24"/>
          <w:szCs w:val="24"/>
        </w:rPr>
        <w:t xml:space="preserve">or no longer </w:t>
      </w:r>
      <w:r w:rsidR="00DC19C4" w:rsidRPr="00D16622">
        <w:rPr>
          <w:rFonts w:ascii="Times New Roman" w:hAnsi="Times New Roman" w:cs="Times New Roman"/>
          <w:noProof/>
          <w:sz w:val="24"/>
          <w:szCs w:val="24"/>
        </w:rPr>
        <w:t>fulfilled</w:t>
      </w:r>
      <w:r w:rsidR="00E4785C" w:rsidRPr="00D16622">
        <w:rPr>
          <w:rStyle w:val="FootnoteReference"/>
          <w:rFonts w:cs="Times New Roman"/>
          <w:noProof/>
        </w:rPr>
        <w:footnoteReference w:id="20"/>
      </w:r>
      <w:r w:rsidR="00DC19C4" w:rsidRPr="00D16622">
        <w:rPr>
          <w:rFonts w:ascii="Times New Roman" w:hAnsi="Times New Roman" w:cs="Times New Roman"/>
          <w:noProof/>
          <w:sz w:val="24"/>
          <w:szCs w:val="24"/>
        </w:rPr>
        <w:t>.</w:t>
      </w:r>
      <w:r w:rsidR="003F10B7" w:rsidRPr="00D16622">
        <w:rPr>
          <w:rFonts w:ascii="Times New Roman" w:hAnsi="Times New Roman" w:cs="Times New Roman"/>
          <w:noProof/>
          <w:sz w:val="24"/>
          <w:szCs w:val="24"/>
        </w:rPr>
        <w:t xml:space="preserve"> </w:t>
      </w:r>
      <w:r w:rsidR="00845417" w:rsidRPr="00D16622">
        <w:rPr>
          <w:rFonts w:ascii="Times New Roman" w:hAnsi="Times New Roman" w:cs="Times New Roman"/>
          <w:noProof/>
          <w:sz w:val="24"/>
          <w:szCs w:val="24"/>
        </w:rPr>
        <w:t>I</w:t>
      </w:r>
      <w:r w:rsidR="00D974E5" w:rsidRPr="00D16622">
        <w:rPr>
          <w:rFonts w:ascii="Times New Roman" w:hAnsi="Times New Roman" w:cs="Times New Roman"/>
          <w:noProof/>
          <w:sz w:val="24"/>
          <w:szCs w:val="24"/>
        </w:rPr>
        <w:t xml:space="preserve">nformation from </w:t>
      </w:r>
      <w:r w:rsidR="007F17DE" w:rsidRPr="00D16622">
        <w:rPr>
          <w:rFonts w:ascii="Times New Roman" w:hAnsi="Times New Roman" w:cs="Times New Roman"/>
          <w:noProof/>
          <w:sz w:val="24"/>
          <w:szCs w:val="24"/>
        </w:rPr>
        <w:t>the</w:t>
      </w:r>
      <w:r w:rsidR="00D974E5" w:rsidRPr="00D16622">
        <w:rPr>
          <w:rFonts w:ascii="Times New Roman" w:hAnsi="Times New Roman" w:cs="Times New Roman"/>
          <w:noProof/>
          <w:sz w:val="24"/>
          <w:szCs w:val="24"/>
        </w:rPr>
        <w:t xml:space="preserve"> Rule of Law</w:t>
      </w:r>
      <w:r w:rsidR="007F17DE" w:rsidRPr="00D16622">
        <w:rPr>
          <w:rFonts w:ascii="Times New Roman" w:hAnsi="Times New Roman" w:cs="Times New Roman"/>
          <w:noProof/>
          <w:sz w:val="24"/>
          <w:szCs w:val="24"/>
        </w:rPr>
        <w:t xml:space="preserve"> Report</w:t>
      </w:r>
      <w:r w:rsidR="004718BE" w:rsidRPr="00D16622">
        <w:rPr>
          <w:rFonts w:ascii="Times New Roman" w:hAnsi="Times New Roman" w:cs="Times New Roman"/>
          <w:noProof/>
          <w:sz w:val="24"/>
          <w:szCs w:val="24"/>
        </w:rPr>
        <w:t xml:space="preserve"> will be used</w:t>
      </w:r>
      <w:r w:rsidR="007F17DE" w:rsidRPr="00D16622">
        <w:rPr>
          <w:rFonts w:ascii="Times New Roman" w:hAnsi="Times New Roman" w:cs="Times New Roman"/>
          <w:noProof/>
          <w:sz w:val="24"/>
          <w:szCs w:val="24"/>
        </w:rPr>
        <w:t xml:space="preserve"> </w:t>
      </w:r>
      <w:r w:rsidR="007615A0" w:rsidRPr="00D16622">
        <w:rPr>
          <w:rFonts w:ascii="Times New Roman" w:hAnsi="Times New Roman" w:cs="Times New Roman"/>
          <w:noProof/>
          <w:sz w:val="24"/>
          <w:szCs w:val="24"/>
        </w:rPr>
        <w:t>as one of the sources</w:t>
      </w:r>
      <w:r w:rsidR="007F17DE" w:rsidRPr="00D16622">
        <w:rPr>
          <w:rFonts w:ascii="Times New Roman" w:hAnsi="Times New Roman" w:cs="Times New Roman"/>
          <w:noProof/>
          <w:sz w:val="24"/>
          <w:szCs w:val="24"/>
        </w:rPr>
        <w:t xml:space="preserve"> to support </w:t>
      </w:r>
      <w:r w:rsidR="004718BE" w:rsidRPr="00D16622">
        <w:rPr>
          <w:rFonts w:ascii="Times New Roman" w:hAnsi="Times New Roman" w:cs="Times New Roman"/>
          <w:noProof/>
          <w:sz w:val="24"/>
          <w:szCs w:val="24"/>
        </w:rPr>
        <w:t xml:space="preserve">the Commission’s </w:t>
      </w:r>
      <w:r w:rsidR="007F17DE" w:rsidRPr="00D16622">
        <w:rPr>
          <w:rFonts w:ascii="Times New Roman" w:hAnsi="Times New Roman" w:cs="Times New Roman"/>
          <w:noProof/>
          <w:sz w:val="24"/>
          <w:szCs w:val="24"/>
        </w:rPr>
        <w:t>assessment of the respect of the horizontal condition</w:t>
      </w:r>
      <w:r w:rsidR="00267DC5" w:rsidRPr="00D16622">
        <w:rPr>
          <w:rFonts w:ascii="Times New Roman" w:hAnsi="Times New Roman" w:cs="Times New Roman"/>
          <w:noProof/>
          <w:sz w:val="24"/>
          <w:szCs w:val="24"/>
        </w:rPr>
        <w:t>s</w:t>
      </w:r>
      <w:r w:rsidR="004718BE" w:rsidRPr="00D16622">
        <w:rPr>
          <w:rFonts w:ascii="Times New Roman" w:hAnsi="Times New Roman" w:cs="Times New Roman"/>
          <w:noProof/>
          <w:sz w:val="24"/>
          <w:szCs w:val="24"/>
        </w:rPr>
        <w:t xml:space="preserve">, </w:t>
      </w:r>
      <w:r w:rsidR="007F17DE" w:rsidRPr="00D16622">
        <w:rPr>
          <w:rFonts w:ascii="Times New Roman" w:hAnsi="Times New Roman" w:cs="Times New Roman"/>
          <w:noProof/>
          <w:sz w:val="24"/>
          <w:szCs w:val="24"/>
        </w:rPr>
        <w:t>reflect</w:t>
      </w:r>
      <w:r w:rsidR="004718BE" w:rsidRPr="00D16622">
        <w:rPr>
          <w:rFonts w:ascii="Times New Roman" w:hAnsi="Times New Roman" w:cs="Times New Roman"/>
          <w:noProof/>
          <w:sz w:val="24"/>
          <w:szCs w:val="24"/>
        </w:rPr>
        <w:t>ing</w:t>
      </w:r>
      <w:r w:rsidR="007F17DE" w:rsidRPr="00D16622">
        <w:rPr>
          <w:rFonts w:ascii="Times New Roman" w:hAnsi="Times New Roman" w:cs="Times New Roman"/>
          <w:noProof/>
          <w:sz w:val="24"/>
          <w:szCs w:val="24"/>
        </w:rPr>
        <w:t xml:space="preserve"> the Rule of Law Report’s established role as a tool to identify rule of law challenges and reform priorities through an evidence-based process grounded in dialogue with Member States. </w:t>
      </w:r>
      <w:r w:rsidR="00CF7112" w:rsidRPr="00D16622">
        <w:rPr>
          <w:rFonts w:ascii="Times New Roman" w:hAnsi="Times New Roman" w:cs="Times New Roman"/>
          <w:noProof/>
          <w:sz w:val="24"/>
          <w:szCs w:val="24"/>
        </w:rPr>
        <w:t>H</w:t>
      </w:r>
      <w:r w:rsidR="004718BE" w:rsidRPr="00D16622">
        <w:rPr>
          <w:rFonts w:ascii="Times New Roman" w:hAnsi="Times New Roman" w:cs="Times New Roman"/>
          <w:noProof/>
          <w:sz w:val="24"/>
          <w:szCs w:val="24"/>
        </w:rPr>
        <w:t>owever</w:t>
      </w:r>
      <w:r w:rsidR="00CF7112" w:rsidRPr="00D16622">
        <w:rPr>
          <w:rFonts w:ascii="Times New Roman" w:hAnsi="Times New Roman" w:cs="Times New Roman"/>
          <w:noProof/>
          <w:sz w:val="24"/>
          <w:szCs w:val="24"/>
        </w:rPr>
        <w:t xml:space="preserve">, there will </w:t>
      </w:r>
      <w:r w:rsidR="004718BE" w:rsidRPr="00D16622">
        <w:rPr>
          <w:rFonts w:ascii="Times New Roman" w:hAnsi="Times New Roman" w:cs="Times New Roman"/>
          <w:noProof/>
          <w:sz w:val="24"/>
          <w:szCs w:val="24"/>
        </w:rPr>
        <w:t xml:space="preserve">be </w:t>
      </w:r>
      <w:r w:rsidR="004718BE" w:rsidRPr="00D16622">
        <w:rPr>
          <w:rFonts w:ascii="Times New Roman" w:hAnsi="Times New Roman" w:cs="Times New Roman"/>
          <w:b/>
          <w:bCs/>
          <w:noProof/>
          <w:sz w:val="24"/>
          <w:szCs w:val="24"/>
        </w:rPr>
        <w:t>no automatic link</w:t>
      </w:r>
      <w:r w:rsidR="004718BE" w:rsidRPr="00D16622">
        <w:rPr>
          <w:rFonts w:ascii="Times New Roman" w:hAnsi="Times New Roman" w:cs="Times New Roman"/>
          <w:noProof/>
          <w:sz w:val="24"/>
          <w:szCs w:val="24"/>
        </w:rPr>
        <w:t xml:space="preserve"> between the Rule of Law Report’s recommendations and the</w:t>
      </w:r>
      <w:r w:rsidR="00665849" w:rsidRPr="00D16622">
        <w:rPr>
          <w:rFonts w:ascii="Times New Roman" w:hAnsi="Times New Roman" w:cs="Times New Roman"/>
          <w:noProof/>
          <w:sz w:val="24"/>
          <w:szCs w:val="24"/>
        </w:rPr>
        <w:t xml:space="preserve"> </w:t>
      </w:r>
      <w:r>
        <w:rPr>
          <w:rFonts w:ascii="Times New Roman" w:hAnsi="Times New Roman" w:cs="Times New Roman"/>
          <w:noProof/>
          <w:sz w:val="24"/>
          <w:szCs w:val="24"/>
        </w:rPr>
        <w:t>approval of the</w:t>
      </w:r>
      <w:r w:rsidR="00665849" w:rsidRPr="00D16622">
        <w:rPr>
          <w:rFonts w:ascii="Times New Roman" w:hAnsi="Times New Roman" w:cs="Times New Roman"/>
          <w:noProof/>
          <w:sz w:val="24"/>
          <w:szCs w:val="24"/>
        </w:rPr>
        <w:t xml:space="preserve"> NRP Plans, nor with the</w:t>
      </w:r>
      <w:r w:rsidR="004718BE" w:rsidRPr="00D16622">
        <w:rPr>
          <w:rFonts w:ascii="Times New Roman" w:hAnsi="Times New Roman" w:cs="Times New Roman"/>
          <w:noProof/>
          <w:sz w:val="24"/>
          <w:szCs w:val="24"/>
        </w:rPr>
        <w:t xml:space="preserve"> </w:t>
      </w:r>
      <w:r w:rsidR="0083308B" w:rsidRPr="00D16622">
        <w:rPr>
          <w:rFonts w:ascii="Times New Roman" w:hAnsi="Times New Roman" w:cs="Times New Roman"/>
          <w:noProof/>
          <w:sz w:val="24"/>
          <w:szCs w:val="24"/>
        </w:rPr>
        <w:t>assessment o</w:t>
      </w:r>
      <w:r w:rsidR="0045109B" w:rsidRPr="00D16622">
        <w:rPr>
          <w:rFonts w:ascii="Times New Roman" w:hAnsi="Times New Roman" w:cs="Times New Roman"/>
          <w:noProof/>
          <w:sz w:val="24"/>
          <w:szCs w:val="24"/>
        </w:rPr>
        <w:t xml:space="preserve">f compliance with </w:t>
      </w:r>
      <w:r w:rsidR="004718BE" w:rsidRPr="00D16622">
        <w:rPr>
          <w:rFonts w:ascii="Times New Roman" w:hAnsi="Times New Roman" w:cs="Times New Roman"/>
          <w:noProof/>
          <w:sz w:val="24"/>
          <w:szCs w:val="24"/>
        </w:rPr>
        <w:t>these horizontal conditions</w:t>
      </w:r>
      <w:r w:rsidR="00CE47DE" w:rsidRPr="00D16622">
        <w:rPr>
          <w:rFonts w:ascii="Times New Roman" w:hAnsi="Times New Roman" w:cs="Times New Roman"/>
          <w:noProof/>
          <w:sz w:val="24"/>
          <w:szCs w:val="24"/>
        </w:rPr>
        <w:t xml:space="preserve">, </w:t>
      </w:r>
      <w:r w:rsidR="00665849" w:rsidRPr="00D16622">
        <w:rPr>
          <w:rFonts w:ascii="Times New Roman" w:hAnsi="Times New Roman" w:cs="Times New Roman"/>
          <w:noProof/>
          <w:sz w:val="24"/>
          <w:szCs w:val="24"/>
        </w:rPr>
        <w:t>the latter</w:t>
      </w:r>
      <w:r w:rsidR="00CE47DE" w:rsidRPr="00D16622">
        <w:rPr>
          <w:rFonts w:ascii="Times New Roman" w:hAnsi="Times New Roman" w:cs="Times New Roman"/>
          <w:noProof/>
          <w:sz w:val="24"/>
          <w:szCs w:val="24"/>
        </w:rPr>
        <w:t xml:space="preserve"> requir</w:t>
      </w:r>
      <w:r w:rsidR="00665849" w:rsidRPr="00D16622">
        <w:rPr>
          <w:rFonts w:ascii="Times New Roman" w:hAnsi="Times New Roman" w:cs="Times New Roman"/>
          <w:noProof/>
          <w:sz w:val="24"/>
          <w:szCs w:val="24"/>
        </w:rPr>
        <w:t>ing</w:t>
      </w:r>
      <w:r w:rsidR="00CE47DE" w:rsidRPr="00D16622">
        <w:rPr>
          <w:rFonts w:ascii="Times New Roman" w:hAnsi="Times New Roman" w:cs="Times New Roman"/>
          <w:noProof/>
          <w:sz w:val="24"/>
          <w:szCs w:val="24"/>
        </w:rPr>
        <w:t xml:space="preserve"> </w:t>
      </w:r>
      <w:r w:rsidR="002D2E34" w:rsidRPr="00D16622">
        <w:rPr>
          <w:rFonts w:ascii="Times New Roman" w:hAnsi="Times New Roman" w:cs="Times New Roman"/>
          <w:noProof/>
          <w:sz w:val="24"/>
          <w:szCs w:val="24"/>
        </w:rPr>
        <w:t>also establishing the</w:t>
      </w:r>
      <w:r w:rsidR="00CE47DE" w:rsidRPr="00D16622">
        <w:rPr>
          <w:rFonts w:ascii="Times New Roman" w:hAnsi="Times New Roman" w:cs="Times New Roman"/>
          <w:noProof/>
          <w:sz w:val="24"/>
          <w:szCs w:val="24"/>
        </w:rPr>
        <w:t xml:space="preserve"> (potential) impact of the deficiencies identified on the implementation of the funds</w:t>
      </w:r>
      <w:r w:rsidR="004718BE" w:rsidRPr="00D16622">
        <w:rPr>
          <w:rFonts w:ascii="Times New Roman" w:hAnsi="Times New Roman" w:cs="Times New Roman"/>
          <w:noProof/>
          <w:sz w:val="24"/>
          <w:szCs w:val="24"/>
        </w:rPr>
        <w:t xml:space="preserve">. </w:t>
      </w:r>
    </w:p>
    <w:p w14:paraId="362EDB3F" w14:textId="21BEB66D" w:rsidR="003C496F" w:rsidRPr="00D16622" w:rsidRDefault="00447F73" w:rsidP="00A872A8">
      <w:pPr>
        <w:spacing w:after="120" w:line="240" w:lineRule="auto"/>
        <w:jc w:val="both"/>
        <w:rPr>
          <w:rFonts w:ascii="Times New Roman" w:hAnsi="Times New Roman" w:cs="Times New Roman"/>
          <w:noProof/>
          <w:sz w:val="24"/>
          <w:szCs w:val="24"/>
          <w:lang w:val="en-IE"/>
        </w:rPr>
      </w:pPr>
      <w:r w:rsidRPr="00D16622">
        <w:rPr>
          <w:rFonts w:ascii="Times New Roman" w:hAnsi="Times New Roman" w:cs="Times New Roman"/>
          <w:noProof/>
          <w:sz w:val="24"/>
          <w:szCs w:val="24"/>
          <w:lang w:val="en-IE"/>
        </w:rPr>
        <w:t>The EU has other</w:t>
      </w:r>
      <w:r w:rsidRPr="00D16622">
        <w:rPr>
          <w:rFonts w:ascii="Times New Roman" w:hAnsi="Times New Roman" w:cs="Times New Roman"/>
          <w:b/>
          <w:bCs/>
          <w:noProof/>
          <w:sz w:val="24"/>
          <w:szCs w:val="24"/>
          <w:lang w:val="en-IE"/>
        </w:rPr>
        <w:t xml:space="preserve"> funding</w:t>
      </w:r>
      <w:r w:rsidRPr="00D16622">
        <w:rPr>
          <w:rFonts w:ascii="Times New Roman" w:hAnsi="Times New Roman" w:cs="Times New Roman"/>
          <w:noProof/>
          <w:sz w:val="24"/>
          <w:szCs w:val="24"/>
          <w:lang w:val="en-IE"/>
        </w:rPr>
        <w:t xml:space="preserve"> </w:t>
      </w:r>
      <w:r w:rsidRPr="00D16622">
        <w:rPr>
          <w:rFonts w:ascii="Times New Roman" w:hAnsi="Times New Roman" w:cs="Times New Roman"/>
          <w:b/>
          <w:noProof/>
          <w:sz w:val="24"/>
          <w:szCs w:val="24"/>
          <w:lang w:val="en-IE"/>
        </w:rPr>
        <w:t>sources</w:t>
      </w:r>
      <w:r w:rsidRPr="00D16622">
        <w:rPr>
          <w:rFonts w:ascii="Times New Roman" w:hAnsi="Times New Roman" w:cs="Times New Roman"/>
          <w:noProof/>
          <w:sz w:val="24"/>
          <w:szCs w:val="24"/>
          <w:lang w:val="en-IE"/>
        </w:rPr>
        <w:t xml:space="preserve"> to help strengthening the capacities of the judiciary, media, and civil society to uphold the rule of law. </w:t>
      </w:r>
      <w:r w:rsidRPr="00D16622">
        <w:rPr>
          <w:rFonts w:ascii="Times New Roman" w:hAnsi="Times New Roman" w:cs="Times New Roman"/>
          <w:noProof/>
          <w:sz w:val="24"/>
          <w:szCs w:val="24"/>
        </w:rPr>
        <w:t xml:space="preserve">Under the current MFF, this includes programmes such as the Citizens, Equality, Rights and Values (CERV) programme, the </w:t>
      </w:r>
      <w:r w:rsidR="0061648D" w:rsidRPr="00D16622">
        <w:rPr>
          <w:rFonts w:ascii="Times New Roman" w:hAnsi="Times New Roman" w:cs="Times New Roman"/>
          <w:noProof/>
          <w:sz w:val="24"/>
          <w:szCs w:val="24"/>
        </w:rPr>
        <w:t>2021-</w:t>
      </w:r>
      <w:r w:rsidR="001609FF" w:rsidRPr="00D16622">
        <w:rPr>
          <w:rFonts w:ascii="Times New Roman" w:hAnsi="Times New Roman" w:cs="Times New Roman"/>
          <w:noProof/>
          <w:sz w:val="24"/>
          <w:szCs w:val="24"/>
        </w:rPr>
        <w:t xml:space="preserve">2027 </w:t>
      </w:r>
      <w:r w:rsidRPr="00D16622">
        <w:rPr>
          <w:rFonts w:ascii="Times New Roman" w:hAnsi="Times New Roman" w:cs="Times New Roman"/>
          <w:noProof/>
          <w:sz w:val="24"/>
          <w:szCs w:val="24"/>
        </w:rPr>
        <w:t>Justice programme, the European Social Fund Plus</w:t>
      </w:r>
      <w:r w:rsidR="0085471A" w:rsidRPr="00D16622">
        <w:rPr>
          <w:rFonts w:ascii="Times New Roman" w:hAnsi="Times New Roman" w:cs="Times New Roman"/>
          <w:noProof/>
          <w:sz w:val="24"/>
          <w:szCs w:val="24"/>
        </w:rPr>
        <w:t xml:space="preserve"> and</w:t>
      </w:r>
      <w:r w:rsidRPr="00D16622">
        <w:rPr>
          <w:rFonts w:ascii="Times New Roman" w:hAnsi="Times New Roman" w:cs="Times New Roman"/>
          <w:noProof/>
          <w:sz w:val="24"/>
          <w:szCs w:val="24"/>
        </w:rPr>
        <w:t xml:space="preserve"> Creative Europe</w:t>
      </w:r>
      <w:r w:rsidR="004A27FE" w:rsidRPr="00D16622">
        <w:rPr>
          <w:rFonts w:ascii="Times New Roman" w:hAnsi="Times New Roman" w:cs="Times New Roman"/>
          <w:noProof/>
          <w:sz w:val="24"/>
          <w:szCs w:val="24"/>
        </w:rPr>
        <w:t xml:space="preserve">. </w:t>
      </w:r>
      <w:r w:rsidR="00A872A8" w:rsidRPr="00D16622">
        <w:rPr>
          <w:rFonts w:ascii="Times New Roman" w:hAnsi="Times New Roman" w:cs="Times New Roman"/>
          <w:noProof/>
          <w:sz w:val="24"/>
          <w:szCs w:val="24"/>
          <w:lang w:val="en-IE"/>
        </w:rPr>
        <w:t xml:space="preserve">Under the </w:t>
      </w:r>
      <w:r w:rsidR="00AB5A40" w:rsidRPr="00D16622">
        <w:rPr>
          <w:rFonts w:ascii="Times New Roman" w:hAnsi="Times New Roman" w:cs="Times New Roman"/>
          <w:noProof/>
          <w:sz w:val="24"/>
          <w:szCs w:val="24"/>
          <w:lang w:val="en-IE"/>
        </w:rPr>
        <w:t xml:space="preserve">next </w:t>
      </w:r>
      <w:r w:rsidR="00A872A8" w:rsidRPr="00D16622">
        <w:rPr>
          <w:rFonts w:ascii="Times New Roman" w:hAnsi="Times New Roman" w:cs="Times New Roman"/>
          <w:noProof/>
          <w:sz w:val="24"/>
          <w:szCs w:val="24"/>
          <w:lang w:val="en-IE"/>
        </w:rPr>
        <w:t xml:space="preserve">MFF, </w:t>
      </w:r>
      <w:r w:rsidR="00D5542B" w:rsidRPr="00D16622">
        <w:rPr>
          <w:rFonts w:ascii="Times New Roman" w:hAnsi="Times New Roman" w:cs="Times New Roman"/>
          <w:noProof/>
          <w:sz w:val="24"/>
          <w:szCs w:val="24"/>
          <w:lang w:val="en-IE"/>
        </w:rPr>
        <w:t>this support will be</w:t>
      </w:r>
      <w:r w:rsidR="00AC5FE9" w:rsidRPr="00D16622">
        <w:rPr>
          <w:rFonts w:ascii="Times New Roman" w:hAnsi="Times New Roman" w:cs="Times New Roman"/>
          <w:noProof/>
          <w:sz w:val="24"/>
          <w:szCs w:val="24"/>
          <w:lang w:val="en-IE"/>
        </w:rPr>
        <w:t xml:space="preserve"> </w:t>
      </w:r>
      <w:r w:rsidR="00A872A8" w:rsidRPr="00D16622">
        <w:rPr>
          <w:rFonts w:ascii="Times New Roman" w:hAnsi="Times New Roman" w:cs="Times New Roman"/>
          <w:noProof/>
          <w:sz w:val="24"/>
          <w:szCs w:val="24"/>
          <w:lang w:val="en-IE"/>
        </w:rPr>
        <w:t>reinforce</w:t>
      </w:r>
      <w:r w:rsidR="00D5542B" w:rsidRPr="00D16622">
        <w:rPr>
          <w:rFonts w:ascii="Times New Roman" w:hAnsi="Times New Roman" w:cs="Times New Roman"/>
          <w:noProof/>
          <w:sz w:val="24"/>
          <w:szCs w:val="24"/>
          <w:lang w:val="en-IE"/>
        </w:rPr>
        <w:t xml:space="preserve">d, </w:t>
      </w:r>
      <w:r w:rsidR="004E6D6E" w:rsidRPr="00D16622">
        <w:rPr>
          <w:rFonts w:ascii="Times New Roman" w:hAnsi="Times New Roman" w:cs="Times New Roman"/>
          <w:noProof/>
          <w:sz w:val="24"/>
          <w:szCs w:val="24"/>
          <w:lang w:val="en-IE"/>
        </w:rPr>
        <w:t>including for</w:t>
      </w:r>
      <w:r w:rsidR="00A872A8" w:rsidRPr="00D16622">
        <w:rPr>
          <w:rFonts w:ascii="Times New Roman" w:hAnsi="Times New Roman" w:cs="Times New Roman"/>
          <w:noProof/>
          <w:sz w:val="24"/>
          <w:szCs w:val="24"/>
          <w:lang w:val="en-IE"/>
        </w:rPr>
        <w:t xml:space="preserve"> </w:t>
      </w:r>
      <w:r w:rsidR="0005002C" w:rsidRPr="00D16622">
        <w:rPr>
          <w:rFonts w:ascii="Times New Roman" w:hAnsi="Times New Roman" w:cs="Times New Roman"/>
          <w:noProof/>
          <w:sz w:val="24"/>
          <w:szCs w:val="24"/>
          <w:lang w:val="en-IE"/>
        </w:rPr>
        <w:t xml:space="preserve">the indispensable work of </w:t>
      </w:r>
      <w:r w:rsidR="00A872A8" w:rsidRPr="00D16622">
        <w:rPr>
          <w:rFonts w:ascii="Times New Roman" w:hAnsi="Times New Roman" w:cs="Times New Roman"/>
          <w:noProof/>
          <w:sz w:val="24"/>
          <w:szCs w:val="24"/>
          <w:lang w:val="en-IE"/>
        </w:rPr>
        <w:t>civil society organisations</w:t>
      </w:r>
      <w:r w:rsidR="00BC5BF7" w:rsidRPr="00D16622">
        <w:rPr>
          <w:rFonts w:ascii="Times New Roman" w:hAnsi="Times New Roman" w:cs="Times New Roman"/>
          <w:noProof/>
          <w:sz w:val="24"/>
          <w:szCs w:val="24"/>
          <w:lang w:val="en-IE"/>
        </w:rPr>
        <w:t xml:space="preserve"> </w:t>
      </w:r>
      <w:r w:rsidR="006523E0" w:rsidRPr="00D16622">
        <w:rPr>
          <w:rFonts w:ascii="Times New Roman" w:hAnsi="Times New Roman" w:cs="Times New Roman"/>
          <w:noProof/>
          <w:sz w:val="24"/>
          <w:szCs w:val="24"/>
          <w:lang w:val="en-IE"/>
        </w:rPr>
        <w:t>in</w:t>
      </w:r>
      <w:r w:rsidR="006E264B" w:rsidRPr="00D16622">
        <w:rPr>
          <w:rFonts w:ascii="Times New Roman" w:hAnsi="Times New Roman" w:cs="Times New Roman"/>
          <w:noProof/>
          <w:sz w:val="24"/>
          <w:szCs w:val="24"/>
          <w:lang w:val="en-IE"/>
        </w:rPr>
        <w:t xml:space="preserve"> monitoring </w:t>
      </w:r>
      <w:r w:rsidR="00CE699C" w:rsidRPr="00D16622">
        <w:rPr>
          <w:rFonts w:ascii="Times New Roman" w:hAnsi="Times New Roman" w:cs="Times New Roman"/>
          <w:noProof/>
          <w:sz w:val="24"/>
          <w:szCs w:val="24"/>
          <w:lang w:val="en-IE"/>
        </w:rPr>
        <w:t>rule of law compliance, exposing corruption</w:t>
      </w:r>
      <w:r w:rsidR="00B042F6" w:rsidRPr="00D16622">
        <w:rPr>
          <w:rFonts w:ascii="Times New Roman" w:hAnsi="Times New Roman" w:cs="Times New Roman"/>
          <w:noProof/>
          <w:sz w:val="24"/>
          <w:szCs w:val="24"/>
          <w:lang w:val="en-IE"/>
        </w:rPr>
        <w:t xml:space="preserve"> and advocating for reforms</w:t>
      </w:r>
      <w:r w:rsidR="00A872A8" w:rsidRPr="00D16622">
        <w:rPr>
          <w:rFonts w:ascii="Times New Roman" w:hAnsi="Times New Roman" w:cs="Times New Roman"/>
          <w:noProof/>
          <w:sz w:val="24"/>
          <w:szCs w:val="24"/>
          <w:lang w:val="en-IE"/>
        </w:rPr>
        <w:t>. The budget of the</w:t>
      </w:r>
      <w:r w:rsidR="001609FF" w:rsidRPr="00D16622">
        <w:rPr>
          <w:rFonts w:ascii="Times New Roman" w:hAnsi="Times New Roman" w:cs="Times New Roman"/>
          <w:noProof/>
          <w:sz w:val="24"/>
          <w:szCs w:val="24"/>
          <w:lang w:val="en-IE"/>
        </w:rPr>
        <w:t xml:space="preserve"> new</w:t>
      </w:r>
      <w:r w:rsidR="00A872A8" w:rsidRPr="00D16622">
        <w:rPr>
          <w:rFonts w:ascii="Times New Roman" w:hAnsi="Times New Roman" w:cs="Times New Roman"/>
          <w:noProof/>
          <w:sz w:val="24"/>
          <w:szCs w:val="24"/>
          <w:lang w:val="en-IE"/>
        </w:rPr>
        <w:t xml:space="preserve"> </w:t>
      </w:r>
      <w:hyperlink r:id="rId22" w:history="1">
        <w:r w:rsidR="00A872A8" w:rsidRPr="00D16622">
          <w:rPr>
            <w:rStyle w:val="Hyperlink"/>
            <w:rFonts w:cs="Times New Roman"/>
            <w:noProof/>
            <w:szCs w:val="24"/>
            <w:lang w:val="en-IE"/>
          </w:rPr>
          <w:t>Justice Programme</w:t>
        </w:r>
      </w:hyperlink>
      <w:r w:rsidR="00A872A8" w:rsidRPr="00D16622">
        <w:rPr>
          <w:rFonts w:ascii="Times New Roman" w:hAnsi="Times New Roman" w:cs="Times New Roman"/>
          <w:noProof/>
          <w:sz w:val="24"/>
          <w:szCs w:val="24"/>
          <w:lang w:val="en-IE"/>
        </w:rPr>
        <w:t xml:space="preserve"> would</w:t>
      </w:r>
      <w:r w:rsidR="00F35E83" w:rsidRPr="00D16622">
        <w:rPr>
          <w:rFonts w:ascii="Times New Roman" w:hAnsi="Times New Roman" w:cs="Times New Roman"/>
          <w:noProof/>
          <w:sz w:val="24"/>
          <w:szCs w:val="24"/>
          <w:lang w:val="en-IE"/>
        </w:rPr>
        <w:t xml:space="preserve">, according to the </w:t>
      </w:r>
      <w:r w:rsidR="0095055B" w:rsidRPr="00D16622">
        <w:rPr>
          <w:rFonts w:ascii="Times New Roman" w:hAnsi="Times New Roman" w:cs="Times New Roman"/>
          <w:noProof/>
          <w:sz w:val="24"/>
          <w:szCs w:val="24"/>
          <w:lang w:val="en-IE"/>
        </w:rPr>
        <w:t xml:space="preserve">Commission </w:t>
      </w:r>
      <w:r w:rsidR="00F35E83" w:rsidRPr="00D16622">
        <w:rPr>
          <w:rFonts w:ascii="Times New Roman" w:hAnsi="Times New Roman" w:cs="Times New Roman"/>
          <w:noProof/>
          <w:sz w:val="24"/>
          <w:szCs w:val="24"/>
          <w:lang w:val="en-IE"/>
        </w:rPr>
        <w:t>proposal,</w:t>
      </w:r>
      <w:r w:rsidR="00A872A8" w:rsidRPr="00D16622">
        <w:rPr>
          <w:rFonts w:ascii="Times New Roman" w:hAnsi="Times New Roman" w:cs="Times New Roman"/>
          <w:noProof/>
          <w:sz w:val="24"/>
          <w:szCs w:val="24"/>
          <w:lang w:val="en-IE"/>
        </w:rPr>
        <w:t xml:space="preserve"> more than </w:t>
      </w:r>
      <w:r w:rsidR="002B3B75" w:rsidRPr="00D16622">
        <w:rPr>
          <w:rFonts w:ascii="Times New Roman" w:hAnsi="Times New Roman" w:cs="Times New Roman"/>
          <w:noProof/>
          <w:sz w:val="24"/>
          <w:szCs w:val="24"/>
          <w:lang w:val="en-IE"/>
        </w:rPr>
        <w:t>triple</w:t>
      </w:r>
      <w:r w:rsidR="00A872A8" w:rsidRPr="00D16622">
        <w:rPr>
          <w:rFonts w:ascii="Times New Roman" w:hAnsi="Times New Roman" w:cs="Times New Roman"/>
          <w:noProof/>
          <w:sz w:val="24"/>
          <w:szCs w:val="24"/>
          <w:lang w:val="en-IE"/>
        </w:rPr>
        <w:t xml:space="preserve">, with a stronger focus on the digitalisation of justice systems. In addition, the new </w:t>
      </w:r>
      <w:hyperlink r:id="rId23" w:history="1">
        <w:r w:rsidR="00A872A8" w:rsidRPr="00D16622">
          <w:rPr>
            <w:rStyle w:val="Hyperlink"/>
            <w:rFonts w:cs="Times New Roman"/>
            <w:noProof/>
            <w:szCs w:val="24"/>
            <w:lang w:val="en-IE"/>
          </w:rPr>
          <w:t>AgoraEU programme</w:t>
        </w:r>
      </w:hyperlink>
      <w:r w:rsidR="00A872A8" w:rsidRPr="00D16622">
        <w:rPr>
          <w:rFonts w:ascii="Times New Roman" w:hAnsi="Times New Roman" w:cs="Times New Roman"/>
          <w:noProof/>
          <w:sz w:val="24"/>
          <w:szCs w:val="24"/>
          <w:lang w:val="en-IE"/>
        </w:rPr>
        <w:t>, with a proposed budget of around EUR 8.</w:t>
      </w:r>
      <w:r w:rsidR="007E5A77" w:rsidRPr="00D16622">
        <w:rPr>
          <w:rFonts w:ascii="Times New Roman" w:hAnsi="Times New Roman" w:cs="Times New Roman"/>
          <w:noProof/>
          <w:sz w:val="24"/>
          <w:szCs w:val="24"/>
          <w:lang w:val="en-IE"/>
        </w:rPr>
        <w:t>6</w:t>
      </w:r>
      <w:r w:rsidR="00A872A8" w:rsidRPr="00D16622">
        <w:rPr>
          <w:rFonts w:ascii="Times New Roman" w:hAnsi="Times New Roman" w:cs="Times New Roman"/>
          <w:noProof/>
          <w:sz w:val="24"/>
          <w:szCs w:val="24"/>
          <w:lang w:val="en-IE"/>
        </w:rPr>
        <w:t xml:space="preserve"> billion, would bring together support for culture, media, rights and values under a single framework, </w:t>
      </w:r>
      <w:r w:rsidR="00A94FB3" w:rsidRPr="00D16622">
        <w:rPr>
          <w:rFonts w:ascii="Times New Roman" w:hAnsi="Times New Roman" w:cs="Times New Roman"/>
          <w:noProof/>
          <w:sz w:val="24"/>
          <w:szCs w:val="24"/>
          <w:lang w:val="en-IE"/>
        </w:rPr>
        <w:t>to</w:t>
      </w:r>
      <w:r w:rsidR="00A872A8" w:rsidRPr="00D16622">
        <w:rPr>
          <w:rFonts w:ascii="Times New Roman" w:hAnsi="Times New Roman" w:cs="Times New Roman"/>
          <w:noProof/>
          <w:sz w:val="24"/>
          <w:szCs w:val="24"/>
          <w:lang w:val="en-IE"/>
        </w:rPr>
        <w:t xml:space="preserve"> strengthen democratic participation</w:t>
      </w:r>
      <w:r w:rsidR="00183021" w:rsidRPr="00D16622">
        <w:rPr>
          <w:rFonts w:ascii="Times New Roman" w:hAnsi="Times New Roman" w:cs="Times New Roman"/>
          <w:noProof/>
          <w:sz w:val="24"/>
          <w:szCs w:val="24"/>
          <w:lang w:val="en-IE"/>
        </w:rPr>
        <w:t>,</w:t>
      </w:r>
      <w:r w:rsidR="00C6793F" w:rsidRPr="00D16622">
        <w:rPr>
          <w:rFonts w:ascii="Times New Roman" w:hAnsi="Times New Roman" w:cs="Times New Roman"/>
          <w:noProof/>
          <w:sz w:val="24"/>
          <w:szCs w:val="24"/>
          <w:lang w:val="en-IE"/>
        </w:rPr>
        <w:t xml:space="preserve"> societal resilience</w:t>
      </w:r>
      <w:r w:rsidR="00A872A8" w:rsidRPr="00D16622">
        <w:rPr>
          <w:rFonts w:ascii="Times New Roman" w:hAnsi="Times New Roman" w:cs="Times New Roman"/>
          <w:noProof/>
          <w:sz w:val="24"/>
          <w:szCs w:val="24"/>
          <w:lang w:val="en-IE"/>
        </w:rPr>
        <w:t>, media freedom</w:t>
      </w:r>
      <w:r w:rsidR="00070EF9" w:rsidRPr="00D16622">
        <w:rPr>
          <w:rFonts w:ascii="Times New Roman" w:hAnsi="Times New Roman" w:cs="Times New Roman"/>
          <w:noProof/>
          <w:sz w:val="24"/>
          <w:szCs w:val="24"/>
          <w:lang w:val="en-IE"/>
        </w:rPr>
        <w:t>, fundamental rights, equality</w:t>
      </w:r>
      <w:r w:rsidR="00A872A8" w:rsidRPr="00D16622">
        <w:rPr>
          <w:rFonts w:ascii="Times New Roman" w:hAnsi="Times New Roman" w:cs="Times New Roman"/>
          <w:noProof/>
          <w:sz w:val="24"/>
          <w:szCs w:val="24"/>
          <w:lang w:val="en-IE"/>
        </w:rPr>
        <w:t xml:space="preserve"> and the rule of law across the EU. </w:t>
      </w:r>
    </w:p>
    <w:p w14:paraId="2432FE85" w14:textId="4B364B93" w:rsidR="00EB4B07" w:rsidRPr="00D16622" w:rsidRDefault="00EB4B07" w:rsidP="00EB4B07">
      <w:pPr>
        <w:keepNext/>
        <w:spacing w:after="120" w:line="240" w:lineRule="auto"/>
        <w:jc w:val="both"/>
        <w:rPr>
          <w:rFonts w:ascii="Times New Roman" w:hAnsi="Times New Roman" w:cs="Times New Roman"/>
          <w:b/>
          <w:bCs/>
          <w:i/>
          <w:iCs/>
          <w:noProof/>
          <w:sz w:val="24"/>
          <w:szCs w:val="24"/>
        </w:rPr>
      </w:pPr>
      <w:r w:rsidRPr="00D16622">
        <w:rPr>
          <w:rFonts w:ascii="Times New Roman" w:hAnsi="Times New Roman" w:cs="Times New Roman"/>
          <w:b/>
          <w:bCs/>
          <w:i/>
          <w:iCs/>
          <w:noProof/>
          <w:sz w:val="24"/>
          <w:szCs w:val="24"/>
        </w:rPr>
        <w:t>2.3</w:t>
      </w:r>
      <w:r w:rsidRPr="00D16622">
        <w:rPr>
          <w:rFonts w:ascii="Times New Roman" w:hAnsi="Times New Roman" w:cs="Times New Roman"/>
          <w:b/>
          <w:bCs/>
          <w:i/>
          <w:iCs/>
          <w:noProof/>
          <w:sz w:val="24"/>
          <w:szCs w:val="24"/>
        </w:rPr>
        <w:tab/>
      </w:r>
      <w:r w:rsidR="00D751C2" w:rsidRPr="00D16622">
        <w:rPr>
          <w:rFonts w:ascii="Times New Roman" w:hAnsi="Times New Roman" w:cs="Times New Roman"/>
          <w:b/>
          <w:bCs/>
          <w:i/>
          <w:iCs/>
          <w:noProof/>
          <w:sz w:val="24"/>
          <w:szCs w:val="24"/>
        </w:rPr>
        <w:t>P</w:t>
      </w:r>
      <w:r w:rsidRPr="00D16622">
        <w:rPr>
          <w:rFonts w:ascii="Times New Roman" w:hAnsi="Times New Roman" w:cs="Times New Roman"/>
          <w:b/>
          <w:bCs/>
          <w:i/>
          <w:iCs/>
          <w:noProof/>
          <w:sz w:val="24"/>
          <w:szCs w:val="24"/>
        </w:rPr>
        <w:t>romot</w:t>
      </w:r>
      <w:r w:rsidR="00D751C2" w:rsidRPr="00D16622">
        <w:rPr>
          <w:rFonts w:ascii="Times New Roman" w:hAnsi="Times New Roman" w:cs="Times New Roman"/>
          <w:b/>
          <w:bCs/>
          <w:i/>
          <w:iCs/>
          <w:noProof/>
          <w:sz w:val="24"/>
          <w:szCs w:val="24"/>
        </w:rPr>
        <w:t>ing and safeguarding</w:t>
      </w:r>
      <w:r w:rsidRPr="00D16622">
        <w:rPr>
          <w:rFonts w:ascii="Times New Roman" w:hAnsi="Times New Roman" w:cs="Times New Roman"/>
          <w:b/>
          <w:bCs/>
          <w:i/>
          <w:iCs/>
          <w:noProof/>
          <w:sz w:val="24"/>
          <w:szCs w:val="24"/>
        </w:rPr>
        <w:t xml:space="preserve"> the rule of law</w:t>
      </w:r>
      <w:r w:rsidR="00D751C2" w:rsidRPr="00D16622">
        <w:rPr>
          <w:rFonts w:ascii="Times New Roman" w:hAnsi="Times New Roman" w:cs="Times New Roman"/>
          <w:b/>
          <w:bCs/>
          <w:i/>
          <w:iCs/>
          <w:noProof/>
          <w:sz w:val="24"/>
          <w:szCs w:val="24"/>
        </w:rPr>
        <w:t xml:space="preserve"> by EU policies and legislation</w:t>
      </w:r>
    </w:p>
    <w:p w14:paraId="535B00BE" w14:textId="05513A98" w:rsidR="00EB4B07" w:rsidRPr="00D16622" w:rsidRDefault="009D55E6" w:rsidP="00EB4B07">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T</w:t>
      </w:r>
      <w:r w:rsidR="00132D1B" w:rsidRPr="00D16622">
        <w:rPr>
          <w:rFonts w:ascii="Times New Roman" w:hAnsi="Times New Roman" w:cs="Times New Roman"/>
          <w:noProof/>
          <w:sz w:val="24"/>
          <w:szCs w:val="24"/>
        </w:rPr>
        <w:t xml:space="preserve">he Rule of Law Report has </w:t>
      </w:r>
      <w:r w:rsidR="003F0792" w:rsidRPr="00D16622">
        <w:rPr>
          <w:rFonts w:ascii="Times New Roman" w:hAnsi="Times New Roman" w:cs="Times New Roman"/>
          <w:noProof/>
          <w:sz w:val="24"/>
          <w:szCs w:val="24"/>
        </w:rPr>
        <w:t>been</w:t>
      </w:r>
      <w:r w:rsidR="00132D1B" w:rsidRPr="00D16622">
        <w:rPr>
          <w:rFonts w:ascii="Times New Roman" w:hAnsi="Times New Roman" w:cs="Times New Roman"/>
          <w:noProof/>
          <w:sz w:val="24"/>
          <w:szCs w:val="24"/>
        </w:rPr>
        <w:t xml:space="preserve"> a driving force behind the development of new EU policies and legal instruments in </w:t>
      </w:r>
      <w:r w:rsidR="00AD0410" w:rsidRPr="00D16622">
        <w:rPr>
          <w:rFonts w:ascii="Times New Roman" w:hAnsi="Times New Roman" w:cs="Times New Roman"/>
          <w:noProof/>
          <w:sz w:val="24"/>
          <w:szCs w:val="24"/>
        </w:rPr>
        <w:t xml:space="preserve">a variety of </w:t>
      </w:r>
      <w:r w:rsidR="00132D1B" w:rsidRPr="00D16622">
        <w:rPr>
          <w:rFonts w:ascii="Times New Roman" w:hAnsi="Times New Roman" w:cs="Times New Roman"/>
          <w:noProof/>
          <w:sz w:val="24"/>
          <w:szCs w:val="24"/>
        </w:rPr>
        <w:t xml:space="preserve">areas </w:t>
      </w:r>
      <w:r w:rsidR="00AD0410" w:rsidRPr="00D16622">
        <w:rPr>
          <w:rFonts w:ascii="Times New Roman" w:hAnsi="Times New Roman" w:cs="Times New Roman"/>
          <w:noProof/>
          <w:sz w:val="24"/>
          <w:szCs w:val="24"/>
        </w:rPr>
        <w:t xml:space="preserve">spanning justice, </w:t>
      </w:r>
      <w:r w:rsidR="00132D1B" w:rsidRPr="00D16622">
        <w:rPr>
          <w:rFonts w:ascii="Times New Roman" w:hAnsi="Times New Roman" w:cs="Times New Roman"/>
          <w:noProof/>
          <w:sz w:val="24"/>
          <w:szCs w:val="24"/>
        </w:rPr>
        <w:t>media pluralism and anti-corruption.</w:t>
      </w:r>
    </w:p>
    <w:p w14:paraId="1618C311" w14:textId="77777777" w:rsidR="00E243D0" w:rsidRPr="00D16622" w:rsidRDefault="00E243D0" w:rsidP="00E243D0">
      <w:pPr>
        <w:spacing w:after="120" w:line="240" w:lineRule="auto"/>
        <w:jc w:val="both"/>
        <w:rPr>
          <w:rFonts w:ascii="Times New Roman" w:hAnsi="Times New Roman" w:cs="Times New Roman"/>
          <w:i/>
          <w:iCs/>
          <w:noProof/>
          <w:sz w:val="24"/>
          <w:szCs w:val="24"/>
        </w:rPr>
      </w:pPr>
      <w:r w:rsidRPr="00D16622">
        <w:rPr>
          <w:rFonts w:ascii="Times New Roman" w:hAnsi="Times New Roman" w:cs="Times New Roman"/>
          <w:i/>
          <w:iCs/>
          <w:noProof/>
          <w:sz w:val="24"/>
          <w:szCs w:val="24"/>
        </w:rPr>
        <w:t>Supporting Member States in the implementation of new rules on media freedom</w:t>
      </w:r>
    </w:p>
    <w:p w14:paraId="4F002EDA" w14:textId="13D38B42" w:rsidR="00E243D0" w:rsidRPr="00D16622" w:rsidRDefault="00E243D0" w:rsidP="00E243D0">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Since 8 August 2025, the vast majority of provisions of the </w:t>
      </w:r>
      <w:hyperlink r:id="rId24" w:history="1">
        <w:r w:rsidRPr="00D16622">
          <w:rPr>
            <w:rStyle w:val="Hyperlink"/>
            <w:rFonts w:cs="Times New Roman"/>
            <w:noProof/>
            <w:szCs w:val="24"/>
          </w:rPr>
          <w:t>European Media Freedom Act (EMFA)</w:t>
        </w:r>
      </w:hyperlink>
      <w:r w:rsidRPr="00D16622">
        <w:rPr>
          <w:rFonts w:ascii="Times New Roman" w:hAnsi="Times New Roman" w:cs="Times New Roman"/>
          <w:noProof/>
        </w:rPr>
        <w:t xml:space="preserve"> </w:t>
      </w:r>
      <w:r w:rsidRPr="00D16622">
        <w:rPr>
          <w:rFonts w:ascii="Times New Roman" w:hAnsi="Times New Roman" w:cs="Times New Roman"/>
          <w:noProof/>
          <w:sz w:val="24"/>
          <w:szCs w:val="24"/>
        </w:rPr>
        <w:t>are</w:t>
      </w:r>
      <w:r w:rsidRPr="00D16622">
        <w:rPr>
          <w:rFonts w:ascii="Times New Roman" w:hAnsi="Times New Roman" w:cs="Times New Roman"/>
          <w:noProof/>
        </w:rPr>
        <w:t xml:space="preserve"> </w:t>
      </w:r>
      <w:r w:rsidRPr="00D16622">
        <w:rPr>
          <w:rFonts w:ascii="Times New Roman" w:hAnsi="Times New Roman" w:cs="Times New Roman"/>
          <w:noProof/>
          <w:sz w:val="24"/>
          <w:szCs w:val="24"/>
        </w:rPr>
        <w:t xml:space="preserve">applicable. The EMFA includes specific provisions on the transparent and fair allocation of state advertising, the transparency of media ownership, the independent functioning of public service media and the availability of financial resources to fulfil its public service role. It also introduces measures to protect journalistic sources and confidential communications. The past year has seen intense activity involving the European Commission and the authorities of the Member States to ensure alignment of national legislation and practices in these crucial areas which are also central to the media pillar of the Rule of Law Report. The Commission has launched first </w:t>
      </w:r>
      <w:r w:rsidR="003B409E" w:rsidRPr="00D16622">
        <w:rPr>
          <w:rFonts w:ascii="Times New Roman" w:hAnsi="Times New Roman" w:cs="Times New Roman"/>
          <w:noProof/>
          <w:sz w:val="24"/>
          <w:szCs w:val="24"/>
        </w:rPr>
        <w:t xml:space="preserve">actions to </w:t>
      </w:r>
      <w:r w:rsidRPr="00D16622">
        <w:rPr>
          <w:rFonts w:ascii="Times New Roman" w:hAnsi="Times New Roman" w:cs="Times New Roman"/>
          <w:noProof/>
          <w:sz w:val="24"/>
          <w:szCs w:val="24"/>
        </w:rPr>
        <w:t xml:space="preserve">enforce </w:t>
      </w:r>
      <w:r w:rsidR="00193F6D" w:rsidRPr="00D16622">
        <w:rPr>
          <w:rFonts w:ascii="Times New Roman" w:hAnsi="Times New Roman" w:cs="Times New Roman"/>
          <w:noProof/>
          <w:sz w:val="24"/>
          <w:szCs w:val="24"/>
        </w:rPr>
        <w:t xml:space="preserve">the </w:t>
      </w:r>
      <w:r w:rsidRPr="00D16622">
        <w:rPr>
          <w:rFonts w:ascii="Times New Roman" w:hAnsi="Times New Roman" w:cs="Times New Roman"/>
          <w:noProof/>
          <w:sz w:val="24"/>
          <w:szCs w:val="24"/>
        </w:rPr>
        <w:t>EMFA in December 2025</w:t>
      </w:r>
      <w:r w:rsidRPr="00D16622">
        <w:rPr>
          <w:rStyle w:val="FootnoteReference"/>
          <w:rFonts w:cs="Times New Roman"/>
          <w:noProof/>
          <w:sz w:val="24"/>
          <w:szCs w:val="24"/>
        </w:rPr>
        <w:footnoteReference w:id="21"/>
      </w:r>
      <w:r w:rsidRPr="00D16622">
        <w:rPr>
          <w:rFonts w:ascii="Times New Roman" w:hAnsi="Times New Roman" w:cs="Times New Roman"/>
          <w:noProof/>
          <w:sz w:val="24"/>
          <w:szCs w:val="24"/>
        </w:rPr>
        <w:t xml:space="preserve">. </w:t>
      </w:r>
      <w:r w:rsidR="00CD7108" w:rsidRPr="00D16622">
        <w:rPr>
          <w:rFonts w:ascii="Times New Roman" w:hAnsi="Times New Roman" w:cs="Times New Roman"/>
          <w:noProof/>
          <w:sz w:val="24"/>
          <w:szCs w:val="24"/>
        </w:rPr>
        <w:t>As the EMFA is now</w:t>
      </w:r>
      <w:r w:rsidR="00613158" w:rsidRPr="00D16622">
        <w:rPr>
          <w:rFonts w:ascii="Times New Roman" w:hAnsi="Times New Roman" w:cs="Times New Roman"/>
          <w:noProof/>
          <w:sz w:val="24"/>
          <w:szCs w:val="24"/>
        </w:rPr>
        <w:t xml:space="preserve"> almost</w:t>
      </w:r>
      <w:r w:rsidR="00CD7108" w:rsidRPr="00D16622">
        <w:rPr>
          <w:rFonts w:ascii="Times New Roman" w:hAnsi="Times New Roman" w:cs="Times New Roman"/>
          <w:noProof/>
          <w:sz w:val="24"/>
          <w:szCs w:val="24"/>
        </w:rPr>
        <w:t xml:space="preserve"> fully applicable</w:t>
      </w:r>
      <w:r w:rsidR="00613158" w:rsidRPr="00D16622">
        <w:rPr>
          <w:rStyle w:val="FootnoteReference"/>
          <w:rFonts w:cs="Times New Roman"/>
          <w:noProof/>
        </w:rPr>
        <w:footnoteReference w:id="22"/>
      </w:r>
      <w:r w:rsidR="00CD7108" w:rsidRPr="00D16622">
        <w:rPr>
          <w:rFonts w:ascii="Times New Roman" w:hAnsi="Times New Roman" w:cs="Times New Roman"/>
          <w:noProof/>
          <w:sz w:val="24"/>
          <w:szCs w:val="24"/>
        </w:rPr>
        <w:t xml:space="preserve">, </w:t>
      </w:r>
      <w:r w:rsidRPr="00D16622">
        <w:rPr>
          <w:rFonts w:ascii="Times New Roman" w:hAnsi="Times New Roman" w:cs="Times New Roman"/>
          <w:noProof/>
          <w:sz w:val="24"/>
          <w:szCs w:val="24"/>
        </w:rPr>
        <w:t xml:space="preserve">follow-up </w:t>
      </w:r>
      <w:r w:rsidR="006010E2" w:rsidRPr="00D16622">
        <w:rPr>
          <w:rFonts w:ascii="Times New Roman" w:hAnsi="Times New Roman" w:cs="Times New Roman"/>
          <w:noProof/>
          <w:sz w:val="24"/>
          <w:szCs w:val="24"/>
        </w:rPr>
        <w:t xml:space="preserve">to the </w:t>
      </w:r>
      <w:r w:rsidR="009838D8" w:rsidRPr="00D16622">
        <w:rPr>
          <w:rFonts w:ascii="Times New Roman" w:hAnsi="Times New Roman" w:cs="Times New Roman"/>
          <w:noProof/>
          <w:sz w:val="24"/>
          <w:szCs w:val="24"/>
        </w:rPr>
        <w:t xml:space="preserve">issues fully covered by </w:t>
      </w:r>
      <w:r w:rsidR="00331B18" w:rsidRPr="00D16622">
        <w:rPr>
          <w:rFonts w:ascii="Times New Roman" w:hAnsi="Times New Roman" w:cs="Times New Roman"/>
          <w:noProof/>
          <w:sz w:val="24"/>
          <w:szCs w:val="24"/>
        </w:rPr>
        <w:t xml:space="preserve">the </w:t>
      </w:r>
      <w:r w:rsidR="009838D8" w:rsidRPr="00D16622">
        <w:rPr>
          <w:rFonts w:ascii="Times New Roman" w:hAnsi="Times New Roman" w:cs="Times New Roman"/>
          <w:noProof/>
          <w:sz w:val="24"/>
          <w:szCs w:val="24"/>
        </w:rPr>
        <w:t xml:space="preserve">EMFA under the 2025 recommendations </w:t>
      </w:r>
      <w:r w:rsidRPr="00D16622">
        <w:rPr>
          <w:rFonts w:ascii="Times New Roman" w:hAnsi="Times New Roman" w:cs="Times New Roman"/>
          <w:noProof/>
          <w:sz w:val="24"/>
          <w:szCs w:val="24"/>
        </w:rPr>
        <w:t xml:space="preserve">will be ensured as part of the Commission’s support to Member States in the application of </w:t>
      </w:r>
      <w:r w:rsidR="00193F6D" w:rsidRPr="00D16622">
        <w:rPr>
          <w:rFonts w:ascii="Times New Roman" w:hAnsi="Times New Roman" w:cs="Times New Roman"/>
          <w:noProof/>
          <w:sz w:val="24"/>
          <w:szCs w:val="24"/>
        </w:rPr>
        <w:t xml:space="preserve">the </w:t>
      </w:r>
      <w:r w:rsidRPr="00D16622">
        <w:rPr>
          <w:rFonts w:ascii="Times New Roman" w:hAnsi="Times New Roman" w:cs="Times New Roman"/>
          <w:noProof/>
          <w:sz w:val="24"/>
          <w:szCs w:val="24"/>
        </w:rPr>
        <w:t xml:space="preserve">EMFA and enforcement of this legislation. The Rule of Law Report will, however, continue to </w:t>
      </w:r>
      <w:r w:rsidR="00752C0F" w:rsidRPr="00D16622">
        <w:rPr>
          <w:rFonts w:ascii="Times New Roman" w:hAnsi="Times New Roman" w:cs="Times New Roman"/>
          <w:noProof/>
          <w:sz w:val="24"/>
          <w:szCs w:val="24"/>
        </w:rPr>
        <w:t xml:space="preserve">monitor significant </w:t>
      </w:r>
      <w:r w:rsidRPr="00D16622">
        <w:rPr>
          <w:rFonts w:ascii="Times New Roman" w:hAnsi="Times New Roman" w:cs="Times New Roman"/>
          <w:noProof/>
          <w:sz w:val="24"/>
          <w:szCs w:val="24"/>
        </w:rPr>
        <w:t xml:space="preserve">developments in these areas and </w:t>
      </w:r>
      <w:r w:rsidR="00840221" w:rsidRPr="00D16622">
        <w:rPr>
          <w:rFonts w:ascii="Times New Roman" w:hAnsi="Times New Roman" w:cs="Times New Roman"/>
          <w:noProof/>
          <w:sz w:val="24"/>
          <w:szCs w:val="24"/>
        </w:rPr>
        <w:t>report on</w:t>
      </w:r>
      <w:r w:rsidRPr="00D16622">
        <w:rPr>
          <w:rFonts w:ascii="Times New Roman" w:hAnsi="Times New Roman" w:cs="Times New Roman"/>
          <w:noProof/>
          <w:sz w:val="24"/>
          <w:szCs w:val="24"/>
        </w:rPr>
        <w:t xml:space="preserve"> their impact.</w:t>
      </w:r>
    </w:p>
    <w:p w14:paraId="3CEFAD8A" w14:textId="19840979" w:rsidR="00580DDC" w:rsidRPr="00D16622" w:rsidRDefault="006D0E27" w:rsidP="00580DDC">
      <w:pPr>
        <w:spacing w:after="120" w:line="240" w:lineRule="auto"/>
        <w:jc w:val="both"/>
        <w:rPr>
          <w:rFonts w:ascii="Times New Roman" w:hAnsi="Times New Roman" w:cs="Times New Roman"/>
          <w:i/>
          <w:noProof/>
          <w:sz w:val="24"/>
          <w:szCs w:val="24"/>
        </w:rPr>
      </w:pPr>
      <w:r w:rsidRPr="00D16622">
        <w:rPr>
          <w:rFonts w:ascii="Times New Roman" w:hAnsi="Times New Roman" w:cs="Times New Roman"/>
          <w:i/>
          <w:noProof/>
          <w:sz w:val="24"/>
          <w:szCs w:val="24"/>
        </w:rPr>
        <w:t>Protecting journalists in the EU</w:t>
      </w:r>
    </w:p>
    <w:p w14:paraId="6196755F" w14:textId="745AC236" w:rsidR="007D7FF1" w:rsidRPr="00D16622" w:rsidRDefault="00163B94" w:rsidP="000A4BED">
      <w:pPr>
        <w:spacing w:after="120" w:line="240" w:lineRule="auto"/>
        <w:jc w:val="both"/>
        <w:rPr>
          <w:rFonts w:ascii="Times New Roman" w:eastAsia="Times New Roman" w:hAnsi="Times New Roman" w:cs="Times New Roman"/>
          <w:noProof/>
          <w:sz w:val="24"/>
          <w:szCs w:val="24"/>
          <w:lang w:val="en-IE"/>
        </w:rPr>
      </w:pPr>
      <w:r w:rsidRPr="00D16622">
        <w:rPr>
          <w:rFonts w:ascii="Times New Roman" w:hAnsi="Times New Roman" w:cs="Times New Roman"/>
          <w:noProof/>
          <w:sz w:val="24"/>
          <w:szCs w:val="24"/>
          <w:lang w:val="en-IE"/>
        </w:rPr>
        <w:t>T</w:t>
      </w:r>
      <w:r w:rsidR="00F337AC" w:rsidRPr="00D16622">
        <w:rPr>
          <w:rFonts w:ascii="Times New Roman" w:hAnsi="Times New Roman" w:cs="Times New Roman"/>
          <w:noProof/>
          <w:sz w:val="24"/>
          <w:szCs w:val="24"/>
          <w:lang w:val="en-IE"/>
        </w:rPr>
        <w:t>o protect</w:t>
      </w:r>
      <w:r w:rsidRPr="00D16622">
        <w:rPr>
          <w:rFonts w:ascii="Times New Roman" w:hAnsi="Times New Roman" w:cs="Times New Roman"/>
          <w:noProof/>
          <w:sz w:val="24"/>
          <w:szCs w:val="24"/>
          <w:lang w:val="en-IE"/>
        </w:rPr>
        <w:t xml:space="preserve"> journalists, human rights defenders and other actors engaged in public </w:t>
      </w:r>
      <w:r w:rsidR="005E2175" w:rsidRPr="00D16622">
        <w:rPr>
          <w:rFonts w:ascii="Times New Roman" w:hAnsi="Times New Roman" w:cs="Times New Roman"/>
          <w:noProof/>
          <w:sz w:val="24"/>
          <w:szCs w:val="24"/>
          <w:lang w:val="en-IE"/>
        </w:rPr>
        <w:t xml:space="preserve">debate </w:t>
      </w:r>
      <w:r w:rsidR="00F337AC" w:rsidRPr="00D16622">
        <w:rPr>
          <w:rFonts w:ascii="Times New Roman" w:hAnsi="Times New Roman" w:cs="Times New Roman"/>
          <w:noProof/>
          <w:sz w:val="24"/>
          <w:szCs w:val="24"/>
          <w:lang w:val="en-IE"/>
        </w:rPr>
        <w:t>from abusive litigation intended to silence</w:t>
      </w:r>
      <w:r w:rsidRPr="00D16622">
        <w:rPr>
          <w:rFonts w:ascii="Times New Roman" w:hAnsi="Times New Roman" w:cs="Times New Roman"/>
          <w:noProof/>
          <w:sz w:val="24"/>
          <w:szCs w:val="24"/>
          <w:lang w:val="en-IE"/>
        </w:rPr>
        <w:t xml:space="preserve"> their</w:t>
      </w:r>
      <w:r w:rsidR="00F337AC" w:rsidRPr="00D16622">
        <w:rPr>
          <w:rFonts w:ascii="Times New Roman" w:hAnsi="Times New Roman" w:cs="Times New Roman"/>
          <w:noProof/>
          <w:sz w:val="24"/>
          <w:szCs w:val="24"/>
          <w:lang w:val="en-IE"/>
        </w:rPr>
        <w:t xml:space="preserve"> participation in matters of public interest,</w:t>
      </w:r>
      <w:r w:rsidR="00390547" w:rsidRPr="00D16622">
        <w:rPr>
          <w:rFonts w:ascii="Times New Roman" w:hAnsi="Times New Roman" w:cs="Times New Roman"/>
          <w:noProof/>
          <w:sz w:val="24"/>
          <w:szCs w:val="24"/>
          <w:lang w:val="en-IE"/>
        </w:rPr>
        <w:t xml:space="preserve"> </w:t>
      </w:r>
      <w:r w:rsidR="00781E70" w:rsidRPr="00D16622">
        <w:rPr>
          <w:rFonts w:ascii="Times New Roman" w:hAnsi="Times New Roman" w:cs="Times New Roman"/>
          <w:noProof/>
          <w:sz w:val="24"/>
          <w:szCs w:val="24"/>
          <w:lang w:val="en-IE"/>
        </w:rPr>
        <w:t xml:space="preserve">the </w:t>
      </w:r>
      <w:r w:rsidR="00783360" w:rsidRPr="00D16622">
        <w:rPr>
          <w:rFonts w:ascii="Times New Roman" w:hAnsi="Times New Roman" w:cs="Times New Roman"/>
          <w:noProof/>
          <w:sz w:val="24"/>
          <w:szCs w:val="24"/>
          <w:lang w:val="en-IE"/>
        </w:rPr>
        <w:t xml:space="preserve">Commission has continued to work with Member States to support their transposition and implementation of the new </w:t>
      </w:r>
      <w:hyperlink r:id="rId25" w:history="1">
        <w:r w:rsidR="00783360" w:rsidRPr="00D16622">
          <w:rPr>
            <w:rStyle w:val="Hyperlink"/>
            <w:rFonts w:cs="Times New Roman"/>
            <w:noProof/>
            <w:szCs w:val="24"/>
            <w:lang w:val="en-IE"/>
          </w:rPr>
          <w:t>anti-SLAPP Directive</w:t>
        </w:r>
      </w:hyperlink>
      <w:r w:rsidR="00783360" w:rsidRPr="00D16622">
        <w:rPr>
          <w:rFonts w:ascii="Times New Roman" w:hAnsi="Times New Roman" w:cs="Times New Roman"/>
          <w:noProof/>
          <w:sz w:val="24"/>
          <w:szCs w:val="24"/>
          <w:lang w:val="en-IE"/>
        </w:rPr>
        <w:t xml:space="preserve">. </w:t>
      </w:r>
      <w:r w:rsidR="00DC07B9" w:rsidRPr="00D16622">
        <w:rPr>
          <w:rFonts w:ascii="Times New Roman" w:eastAsia="Times New Roman" w:hAnsi="Times New Roman" w:cs="Times New Roman"/>
          <w:noProof/>
          <w:sz w:val="24"/>
          <w:szCs w:val="24"/>
          <w:lang w:val="en-IE"/>
        </w:rPr>
        <w:t>The Directive establishes minimum procedural safeguards against abusive lawsuits targeting journalists</w:t>
      </w:r>
      <w:r w:rsidR="00D458B8" w:rsidRPr="00D16622">
        <w:rPr>
          <w:rFonts w:ascii="Times New Roman" w:eastAsia="Times New Roman" w:hAnsi="Times New Roman" w:cs="Times New Roman"/>
          <w:noProof/>
          <w:sz w:val="24"/>
          <w:szCs w:val="24"/>
          <w:lang w:val="en-IE"/>
        </w:rPr>
        <w:t>,</w:t>
      </w:r>
      <w:r w:rsidR="00DC07B9" w:rsidRPr="00D16622">
        <w:rPr>
          <w:rFonts w:ascii="Times New Roman" w:eastAsia="Times New Roman" w:hAnsi="Times New Roman" w:cs="Times New Roman"/>
          <w:noProof/>
          <w:sz w:val="24"/>
          <w:szCs w:val="24"/>
          <w:lang w:val="en-IE"/>
        </w:rPr>
        <w:t xml:space="preserve"> human rights defenders</w:t>
      </w:r>
      <w:r w:rsidR="00D458B8" w:rsidRPr="00D16622">
        <w:rPr>
          <w:rFonts w:ascii="Times New Roman" w:eastAsia="Times New Roman" w:hAnsi="Times New Roman" w:cs="Times New Roman"/>
          <w:noProof/>
          <w:sz w:val="24"/>
          <w:szCs w:val="24"/>
          <w:lang w:val="en-IE"/>
        </w:rPr>
        <w:t xml:space="preserve"> and others</w:t>
      </w:r>
      <w:r w:rsidR="00DC07B9" w:rsidRPr="00D16622">
        <w:rPr>
          <w:rFonts w:ascii="Times New Roman" w:eastAsia="Times New Roman" w:hAnsi="Times New Roman" w:cs="Times New Roman"/>
          <w:noProof/>
          <w:sz w:val="24"/>
          <w:szCs w:val="24"/>
          <w:lang w:val="en-IE"/>
        </w:rPr>
        <w:t xml:space="preserve"> in cross-border </w:t>
      </w:r>
      <w:r w:rsidR="00823047" w:rsidRPr="00D16622">
        <w:rPr>
          <w:rFonts w:ascii="Times New Roman" w:eastAsia="Times New Roman" w:hAnsi="Times New Roman" w:cs="Times New Roman"/>
          <w:noProof/>
          <w:sz w:val="24"/>
          <w:szCs w:val="24"/>
          <w:lang w:val="en-IE"/>
        </w:rPr>
        <w:t>civil</w:t>
      </w:r>
      <w:r w:rsidR="00B5078C" w:rsidRPr="00D16622">
        <w:rPr>
          <w:rFonts w:ascii="Times New Roman" w:eastAsia="Times New Roman" w:hAnsi="Times New Roman" w:cs="Times New Roman"/>
          <w:noProof/>
          <w:sz w:val="24"/>
          <w:szCs w:val="24"/>
          <w:lang w:val="en-IE"/>
        </w:rPr>
        <w:t xml:space="preserve"> </w:t>
      </w:r>
      <w:r w:rsidR="00D458B8" w:rsidRPr="00D16622">
        <w:rPr>
          <w:rFonts w:ascii="Times New Roman" w:eastAsia="Times New Roman" w:hAnsi="Times New Roman" w:cs="Times New Roman"/>
          <w:noProof/>
          <w:sz w:val="24"/>
          <w:szCs w:val="24"/>
          <w:lang w:val="en-IE"/>
        </w:rPr>
        <w:t>proceedings</w:t>
      </w:r>
      <w:r w:rsidR="00D92FE2" w:rsidRPr="00D16622">
        <w:rPr>
          <w:rStyle w:val="FootnoteReference"/>
          <w:rFonts w:eastAsia="Times New Roman" w:cs="Times New Roman"/>
          <w:noProof/>
          <w:sz w:val="24"/>
          <w:szCs w:val="24"/>
        </w:rPr>
        <w:footnoteReference w:id="23"/>
      </w:r>
      <w:r w:rsidR="00DC07B9" w:rsidRPr="00D16622">
        <w:rPr>
          <w:rFonts w:ascii="Times New Roman" w:eastAsia="Times New Roman" w:hAnsi="Times New Roman" w:cs="Times New Roman"/>
          <w:noProof/>
          <w:sz w:val="24"/>
          <w:szCs w:val="24"/>
          <w:lang w:val="en-IE"/>
        </w:rPr>
        <w:t>.</w:t>
      </w:r>
      <w:r w:rsidR="00543240" w:rsidRPr="00D16622">
        <w:rPr>
          <w:rFonts w:ascii="Times New Roman" w:eastAsia="Times New Roman" w:hAnsi="Times New Roman" w:cs="Times New Roman"/>
          <w:noProof/>
          <w:sz w:val="24"/>
          <w:szCs w:val="24"/>
          <w:lang w:val="en-IE"/>
        </w:rPr>
        <w:t xml:space="preserve"> </w:t>
      </w:r>
      <w:r w:rsidR="0079585C" w:rsidRPr="00D16622">
        <w:rPr>
          <w:rFonts w:ascii="Times New Roman" w:eastAsia="Times New Roman" w:hAnsi="Times New Roman" w:cs="Times New Roman"/>
          <w:noProof/>
          <w:sz w:val="24"/>
          <w:szCs w:val="24"/>
          <w:lang w:val="en-IE"/>
        </w:rPr>
        <w:t xml:space="preserve">While the </w:t>
      </w:r>
      <w:r w:rsidR="00B92B13" w:rsidRPr="00D16622">
        <w:rPr>
          <w:rFonts w:ascii="Times New Roman" w:eastAsia="Times New Roman" w:hAnsi="Times New Roman" w:cs="Times New Roman"/>
          <w:noProof/>
          <w:sz w:val="24"/>
          <w:szCs w:val="24"/>
          <w:lang w:val="en-IE"/>
        </w:rPr>
        <w:t>D</w:t>
      </w:r>
      <w:r w:rsidR="0079585C" w:rsidRPr="00D16622">
        <w:rPr>
          <w:rFonts w:ascii="Times New Roman" w:eastAsia="Times New Roman" w:hAnsi="Times New Roman" w:cs="Times New Roman"/>
          <w:noProof/>
          <w:sz w:val="24"/>
          <w:szCs w:val="24"/>
          <w:lang w:val="en-IE"/>
        </w:rPr>
        <w:t xml:space="preserve">irective </w:t>
      </w:r>
      <w:r w:rsidR="00E7228E" w:rsidRPr="00D16622">
        <w:rPr>
          <w:rFonts w:ascii="Times New Roman" w:eastAsia="Times New Roman" w:hAnsi="Times New Roman" w:cs="Times New Roman"/>
          <w:noProof/>
          <w:sz w:val="24"/>
          <w:szCs w:val="24"/>
          <w:lang w:val="en-IE"/>
        </w:rPr>
        <w:t>require</w:t>
      </w:r>
      <w:r w:rsidR="0079585C" w:rsidRPr="00D16622">
        <w:rPr>
          <w:rFonts w:ascii="Times New Roman" w:eastAsia="Times New Roman" w:hAnsi="Times New Roman" w:cs="Times New Roman"/>
          <w:noProof/>
          <w:sz w:val="24"/>
          <w:szCs w:val="24"/>
          <w:lang w:val="en-IE"/>
        </w:rPr>
        <w:t xml:space="preserve">s Member States to have anti-SLAPP safeguards in place for cross-border cases, </w:t>
      </w:r>
      <w:r w:rsidR="00506691" w:rsidRPr="00D16622">
        <w:rPr>
          <w:rFonts w:ascii="Times New Roman" w:eastAsia="Times New Roman" w:hAnsi="Times New Roman" w:cs="Times New Roman"/>
          <w:noProof/>
          <w:sz w:val="24"/>
          <w:szCs w:val="24"/>
          <w:lang w:val="en-IE"/>
        </w:rPr>
        <w:t xml:space="preserve">several Member States have extended such safeguards </w:t>
      </w:r>
      <w:r w:rsidR="00A074D6" w:rsidRPr="00D16622">
        <w:rPr>
          <w:rFonts w:ascii="Times New Roman" w:eastAsia="Times New Roman" w:hAnsi="Times New Roman" w:cs="Times New Roman"/>
          <w:noProof/>
          <w:sz w:val="24"/>
          <w:szCs w:val="24"/>
          <w:lang w:val="en-IE"/>
        </w:rPr>
        <w:t xml:space="preserve">also </w:t>
      </w:r>
      <w:r w:rsidR="00506691" w:rsidRPr="00D16622">
        <w:rPr>
          <w:rFonts w:ascii="Times New Roman" w:eastAsia="Times New Roman" w:hAnsi="Times New Roman" w:cs="Times New Roman"/>
          <w:noProof/>
          <w:sz w:val="24"/>
          <w:szCs w:val="24"/>
          <w:lang w:val="en-IE"/>
        </w:rPr>
        <w:t xml:space="preserve">to </w:t>
      </w:r>
      <w:r w:rsidR="00433C69" w:rsidRPr="00D16622">
        <w:rPr>
          <w:rFonts w:ascii="Times New Roman" w:eastAsia="Times New Roman" w:hAnsi="Times New Roman" w:cs="Times New Roman"/>
          <w:noProof/>
          <w:sz w:val="24"/>
          <w:szCs w:val="24"/>
          <w:lang w:val="en-IE"/>
        </w:rPr>
        <w:t>domestic cases</w:t>
      </w:r>
      <w:r w:rsidR="00A47FDF" w:rsidRPr="00D16622">
        <w:rPr>
          <w:rFonts w:ascii="Times New Roman" w:eastAsia="Times New Roman" w:hAnsi="Times New Roman" w:cs="Times New Roman"/>
          <w:noProof/>
          <w:sz w:val="24"/>
          <w:szCs w:val="24"/>
          <w:lang w:val="en-IE"/>
        </w:rPr>
        <w:t>,</w:t>
      </w:r>
      <w:r w:rsidR="00ED06FB" w:rsidRPr="00D16622">
        <w:rPr>
          <w:rFonts w:ascii="Times New Roman" w:eastAsia="Times New Roman" w:hAnsi="Times New Roman" w:cs="Times New Roman"/>
          <w:noProof/>
          <w:sz w:val="24"/>
          <w:szCs w:val="24"/>
          <w:lang w:val="en-IE"/>
        </w:rPr>
        <w:t xml:space="preserve"> which </w:t>
      </w:r>
      <w:r w:rsidR="00996EBF" w:rsidRPr="00D16622">
        <w:rPr>
          <w:rFonts w:ascii="Times New Roman" w:eastAsia="Times New Roman" w:hAnsi="Times New Roman" w:cs="Times New Roman"/>
          <w:noProof/>
          <w:sz w:val="24"/>
          <w:szCs w:val="24"/>
          <w:lang w:val="en-IE"/>
        </w:rPr>
        <w:t>helps</w:t>
      </w:r>
      <w:r w:rsidR="00A47FDF" w:rsidRPr="00D16622">
        <w:rPr>
          <w:rFonts w:ascii="Times New Roman" w:eastAsia="Times New Roman" w:hAnsi="Times New Roman" w:cs="Times New Roman"/>
          <w:noProof/>
          <w:sz w:val="24"/>
          <w:szCs w:val="24"/>
          <w:lang w:val="en-IE"/>
        </w:rPr>
        <w:t xml:space="preserve"> improve legal certainty and strengthens </w:t>
      </w:r>
      <w:r w:rsidR="00A65CB8" w:rsidRPr="00D16622">
        <w:rPr>
          <w:rFonts w:ascii="Times New Roman" w:eastAsia="Times New Roman" w:hAnsi="Times New Roman" w:cs="Times New Roman"/>
          <w:noProof/>
          <w:sz w:val="24"/>
          <w:szCs w:val="24"/>
          <w:lang w:val="en-IE"/>
        </w:rPr>
        <w:t xml:space="preserve">the protection of </w:t>
      </w:r>
      <w:r w:rsidR="00D458B8" w:rsidRPr="00D16622">
        <w:rPr>
          <w:rFonts w:ascii="Times New Roman" w:eastAsia="Times New Roman" w:hAnsi="Times New Roman" w:cs="Times New Roman"/>
          <w:noProof/>
          <w:sz w:val="24"/>
          <w:szCs w:val="24"/>
          <w:lang w:val="en-IE"/>
        </w:rPr>
        <w:t xml:space="preserve">SLAPP targets </w:t>
      </w:r>
      <w:r w:rsidR="00A65CB8" w:rsidRPr="00D16622">
        <w:rPr>
          <w:rFonts w:ascii="Times New Roman" w:eastAsia="Times New Roman" w:hAnsi="Times New Roman" w:cs="Times New Roman"/>
          <w:noProof/>
          <w:sz w:val="24"/>
          <w:szCs w:val="24"/>
          <w:lang w:val="en-IE"/>
        </w:rPr>
        <w:t>across the board</w:t>
      </w:r>
      <w:r w:rsidR="00A931F3" w:rsidRPr="00D16622">
        <w:rPr>
          <w:rFonts w:ascii="Times New Roman" w:eastAsia="Times New Roman" w:hAnsi="Times New Roman" w:cs="Times New Roman"/>
          <w:noProof/>
          <w:sz w:val="24"/>
          <w:szCs w:val="24"/>
          <w:lang w:val="en-IE"/>
        </w:rPr>
        <w:t xml:space="preserve">, in line with the Commission’s anti-SLAPP </w:t>
      </w:r>
      <w:r w:rsidR="00951DA9" w:rsidRPr="00D16622">
        <w:rPr>
          <w:rFonts w:ascii="Times New Roman" w:eastAsia="Times New Roman" w:hAnsi="Times New Roman" w:cs="Times New Roman"/>
          <w:noProof/>
          <w:sz w:val="24"/>
          <w:szCs w:val="24"/>
          <w:lang w:val="en-IE"/>
        </w:rPr>
        <w:t>R</w:t>
      </w:r>
      <w:r w:rsidR="00A931F3" w:rsidRPr="00D16622">
        <w:rPr>
          <w:rFonts w:ascii="Times New Roman" w:eastAsia="Times New Roman" w:hAnsi="Times New Roman" w:cs="Times New Roman"/>
          <w:noProof/>
          <w:sz w:val="24"/>
          <w:szCs w:val="24"/>
          <w:lang w:val="en-IE"/>
        </w:rPr>
        <w:t>ecommendation</w:t>
      </w:r>
      <w:r w:rsidR="00A65CB8" w:rsidRPr="00D16622">
        <w:rPr>
          <w:rStyle w:val="FootnoteReference"/>
          <w:rFonts w:eastAsia="Times New Roman" w:cs="Times New Roman"/>
          <w:noProof/>
          <w:sz w:val="24"/>
          <w:szCs w:val="24"/>
        </w:rPr>
        <w:footnoteReference w:id="24"/>
      </w:r>
      <w:r w:rsidR="00A931F3" w:rsidRPr="00D16622">
        <w:rPr>
          <w:rFonts w:ascii="Times New Roman" w:eastAsia="Times New Roman" w:hAnsi="Times New Roman" w:cs="Times New Roman"/>
          <w:noProof/>
          <w:sz w:val="24"/>
          <w:szCs w:val="24"/>
          <w:lang w:val="en-IE"/>
        </w:rPr>
        <w:t xml:space="preserve">. </w:t>
      </w:r>
      <w:r w:rsidR="007716F6" w:rsidRPr="00D16622">
        <w:rPr>
          <w:rFonts w:ascii="Times New Roman" w:eastAsia="Times New Roman" w:hAnsi="Times New Roman" w:cs="Times New Roman"/>
          <w:noProof/>
          <w:sz w:val="24"/>
          <w:szCs w:val="24"/>
          <w:lang w:val="en-IE"/>
        </w:rPr>
        <w:t>In line with</w:t>
      </w:r>
      <w:r w:rsidR="001E7C06" w:rsidRPr="00D16622">
        <w:rPr>
          <w:rFonts w:ascii="Times New Roman" w:eastAsia="Times New Roman" w:hAnsi="Times New Roman" w:cs="Times New Roman"/>
          <w:noProof/>
          <w:sz w:val="24"/>
          <w:szCs w:val="24"/>
          <w:lang w:val="en-IE"/>
        </w:rPr>
        <w:t xml:space="preserve"> this Recommendation, s</w:t>
      </w:r>
      <w:r w:rsidR="0067571F" w:rsidRPr="00D16622">
        <w:rPr>
          <w:rFonts w:ascii="Times New Roman" w:eastAsia="Times New Roman" w:hAnsi="Times New Roman" w:cs="Times New Roman"/>
          <w:noProof/>
          <w:sz w:val="24"/>
          <w:szCs w:val="24"/>
          <w:lang w:val="en-IE"/>
        </w:rPr>
        <w:t xml:space="preserve">everal Member States have also </w:t>
      </w:r>
      <w:r w:rsidR="006139CB" w:rsidRPr="00D16622">
        <w:rPr>
          <w:rFonts w:ascii="Times New Roman" w:eastAsia="Times New Roman" w:hAnsi="Times New Roman" w:cs="Times New Roman"/>
          <w:noProof/>
          <w:sz w:val="24"/>
          <w:szCs w:val="24"/>
          <w:lang w:val="en-IE"/>
        </w:rPr>
        <w:t>de-criminalise</w:t>
      </w:r>
      <w:r w:rsidR="00ED06FB" w:rsidRPr="00D16622">
        <w:rPr>
          <w:rFonts w:ascii="Times New Roman" w:eastAsia="Times New Roman" w:hAnsi="Times New Roman" w:cs="Times New Roman"/>
          <w:noProof/>
          <w:sz w:val="24"/>
          <w:szCs w:val="24"/>
          <w:lang w:val="en-IE"/>
        </w:rPr>
        <w:t>d</w:t>
      </w:r>
      <w:r w:rsidR="00A82757" w:rsidRPr="00D16622">
        <w:rPr>
          <w:rFonts w:ascii="Times New Roman" w:eastAsia="Times New Roman" w:hAnsi="Times New Roman" w:cs="Times New Roman"/>
          <w:noProof/>
          <w:sz w:val="24"/>
          <w:szCs w:val="24"/>
          <w:lang w:val="en-IE"/>
        </w:rPr>
        <w:t xml:space="preserve"> </w:t>
      </w:r>
      <w:r w:rsidR="007902AE" w:rsidRPr="00D16622">
        <w:rPr>
          <w:rFonts w:ascii="Times New Roman" w:eastAsia="Times New Roman" w:hAnsi="Times New Roman" w:cs="Times New Roman"/>
          <w:noProof/>
          <w:sz w:val="24"/>
          <w:szCs w:val="24"/>
          <w:lang w:val="en-IE"/>
        </w:rPr>
        <w:t>defamation</w:t>
      </w:r>
      <w:r w:rsidR="00100D31" w:rsidRPr="00D16622">
        <w:rPr>
          <w:rFonts w:ascii="Times New Roman" w:eastAsia="Times New Roman" w:hAnsi="Times New Roman" w:cs="Times New Roman"/>
          <w:noProof/>
          <w:sz w:val="24"/>
          <w:szCs w:val="24"/>
          <w:lang w:val="en-IE"/>
        </w:rPr>
        <w:t>,</w:t>
      </w:r>
      <w:r w:rsidR="001A7C4C" w:rsidRPr="00D16622">
        <w:rPr>
          <w:rFonts w:ascii="Times New Roman" w:eastAsia="Times New Roman" w:hAnsi="Times New Roman" w:cs="Times New Roman"/>
          <w:noProof/>
          <w:sz w:val="24"/>
          <w:szCs w:val="24"/>
          <w:lang w:val="en-IE"/>
        </w:rPr>
        <w:t xml:space="preserve"> an important step </w:t>
      </w:r>
      <w:r w:rsidR="00171751" w:rsidRPr="00D16622">
        <w:rPr>
          <w:rFonts w:ascii="Times New Roman" w:eastAsia="Times New Roman" w:hAnsi="Times New Roman" w:cs="Times New Roman"/>
          <w:noProof/>
          <w:sz w:val="24"/>
          <w:szCs w:val="24"/>
          <w:lang w:val="en-IE"/>
        </w:rPr>
        <w:t xml:space="preserve">towards </w:t>
      </w:r>
      <w:r w:rsidR="001A7C4C" w:rsidRPr="00D16622">
        <w:rPr>
          <w:rFonts w:ascii="Times New Roman" w:eastAsia="Times New Roman" w:hAnsi="Times New Roman" w:cs="Times New Roman"/>
          <w:noProof/>
          <w:sz w:val="24"/>
          <w:szCs w:val="24"/>
          <w:lang w:val="en-IE"/>
        </w:rPr>
        <w:t>limiting the use of defamation laws in proceedings that can have a chilling effect on public debate and participation</w:t>
      </w:r>
      <w:r w:rsidR="00E9556D" w:rsidRPr="00D16622">
        <w:rPr>
          <w:rFonts w:ascii="Times New Roman" w:eastAsia="Times New Roman" w:hAnsi="Times New Roman" w:cs="Times New Roman"/>
          <w:noProof/>
          <w:sz w:val="24"/>
          <w:szCs w:val="24"/>
          <w:lang w:val="en-IE"/>
        </w:rPr>
        <w:t xml:space="preserve">. </w:t>
      </w:r>
      <w:r w:rsidR="00F84833" w:rsidRPr="00D16622">
        <w:rPr>
          <w:rFonts w:ascii="Times New Roman" w:eastAsia="Times New Roman" w:hAnsi="Times New Roman" w:cs="Times New Roman"/>
          <w:noProof/>
          <w:sz w:val="24"/>
          <w:szCs w:val="24"/>
          <w:lang w:val="en-IE"/>
        </w:rPr>
        <w:t xml:space="preserve">In May 2026, the Commission </w:t>
      </w:r>
      <w:r w:rsidR="00E64F92" w:rsidRPr="00D16622">
        <w:rPr>
          <w:rFonts w:ascii="Times New Roman" w:eastAsia="Times New Roman" w:hAnsi="Times New Roman" w:cs="Times New Roman"/>
          <w:noProof/>
          <w:sz w:val="24"/>
          <w:szCs w:val="24"/>
          <w:lang w:val="en-IE"/>
        </w:rPr>
        <w:t xml:space="preserve">held </w:t>
      </w:r>
      <w:r w:rsidR="00F84833" w:rsidRPr="00D16622">
        <w:rPr>
          <w:rFonts w:ascii="Times New Roman" w:eastAsia="Times New Roman" w:hAnsi="Times New Roman" w:cs="Times New Roman"/>
          <w:noProof/>
          <w:sz w:val="24"/>
          <w:szCs w:val="24"/>
          <w:lang w:val="en-IE"/>
        </w:rPr>
        <w:t xml:space="preserve">a </w:t>
      </w:r>
      <w:r w:rsidR="00390547" w:rsidRPr="00D16622">
        <w:rPr>
          <w:rFonts w:ascii="Times New Roman" w:eastAsia="Times New Roman" w:hAnsi="Times New Roman" w:cs="Times New Roman"/>
          <w:noProof/>
          <w:sz w:val="24"/>
          <w:szCs w:val="24"/>
          <w:lang w:val="en-IE"/>
        </w:rPr>
        <w:t>h</w:t>
      </w:r>
      <w:r w:rsidR="00F84833" w:rsidRPr="00D16622">
        <w:rPr>
          <w:rFonts w:ascii="Times New Roman" w:eastAsia="Times New Roman" w:hAnsi="Times New Roman" w:cs="Times New Roman"/>
          <w:noProof/>
          <w:sz w:val="24"/>
          <w:szCs w:val="24"/>
          <w:lang w:val="en-IE"/>
        </w:rPr>
        <w:t>igh-</w:t>
      </w:r>
      <w:r w:rsidR="00390547" w:rsidRPr="00D16622">
        <w:rPr>
          <w:rFonts w:ascii="Times New Roman" w:eastAsia="Times New Roman" w:hAnsi="Times New Roman" w:cs="Times New Roman"/>
          <w:noProof/>
          <w:sz w:val="24"/>
          <w:szCs w:val="24"/>
          <w:lang w:val="en-IE"/>
        </w:rPr>
        <w:t>l</w:t>
      </w:r>
      <w:r w:rsidR="00F84833" w:rsidRPr="00D16622">
        <w:rPr>
          <w:rFonts w:ascii="Times New Roman" w:eastAsia="Times New Roman" w:hAnsi="Times New Roman" w:cs="Times New Roman"/>
          <w:noProof/>
          <w:sz w:val="24"/>
          <w:szCs w:val="24"/>
          <w:lang w:val="en-IE"/>
        </w:rPr>
        <w:t xml:space="preserve">evel </w:t>
      </w:r>
      <w:r w:rsidR="00390547" w:rsidRPr="00D16622">
        <w:rPr>
          <w:rFonts w:ascii="Times New Roman" w:eastAsia="Times New Roman" w:hAnsi="Times New Roman" w:cs="Times New Roman"/>
          <w:noProof/>
          <w:sz w:val="24"/>
          <w:szCs w:val="24"/>
          <w:lang w:val="en-IE"/>
        </w:rPr>
        <w:t>e</w:t>
      </w:r>
      <w:r w:rsidR="00F84833" w:rsidRPr="00D16622">
        <w:rPr>
          <w:rFonts w:ascii="Times New Roman" w:eastAsia="Times New Roman" w:hAnsi="Times New Roman" w:cs="Times New Roman"/>
          <w:noProof/>
          <w:sz w:val="24"/>
          <w:szCs w:val="24"/>
          <w:lang w:val="en-IE"/>
        </w:rPr>
        <w:t>vent to inaugurate the renewed Expert Group against SLAPPs</w:t>
      </w:r>
      <w:r w:rsidR="00D77E50" w:rsidRPr="00D16622">
        <w:rPr>
          <w:rFonts w:ascii="Times New Roman" w:eastAsia="Times New Roman" w:hAnsi="Times New Roman" w:cs="Times New Roman"/>
          <w:noProof/>
          <w:sz w:val="24"/>
          <w:szCs w:val="24"/>
          <w:lang w:val="en-IE"/>
        </w:rPr>
        <w:t xml:space="preserve"> and launch the review of the anti-SLAPP Recommendation</w:t>
      </w:r>
      <w:r w:rsidR="00F84833" w:rsidRPr="00D16622">
        <w:rPr>
          <w:rFonts w:ascii="Times New Roman" w:eastAsia="Times New Roman" w:hAnsi="Times New Roman" w:cs="Times New Roman"/>
          <w:noProof/>
          <w:sz w:val="24"/>
          <w:szCs w:val="24"/>
          <w:lang w:val="en-IE"/>
        </w:rPr>
        <w:t>.</w:t>
      </w:r>
      <w:r w:rsidR="007D3753" w:rsidRPr="00D16622">
        <w:rPr>
          <w:rFonts w:ascii="Times New Roman" w:eastAsia="Times New Roman" w:hAnsi="Times New Roman" w:cs="Times New Roman"/>
          <w:noProof/>
          <w:sz w:val="24"/>
          <w:szCs w:val="24"/>
          <w:lang w:val="en-IE"/>
        </w:rPr>
        <w:t xml:space="preserve"> As also highlighted in the previous reports, m</w:t>
      </w:r>
      <w:r w:rsidR="00F84833" w:rsidRPr="00D16622">
        <w:rPr>
          <w:rFonts w:ascii="Times New Roman" w:eastAsia="Times New Roman" w:hAnsi="Times New Roman" w:cs="Times New Roman"/>
          <w:noProof/>
          <w:sz w:val="24"/>
          <w:szCs w:val="24"/>
          <w:lang w:val="en-IE"/>
        </w:rPr>
        <w:t>any Member States have already taken concrete steps to address SLAPP</w:t>
      </w:r>
      <w:r w:rsidR="00560A3F" w:rsidRPr="00D16622">
        <w:rPr>
          <w:rFonts w:ascii="Times New Roman" w:eastAsia="Times New Roman" w:hAnsi="Times New Roman" w:cs="Times New Roman"/>
          <w:noProof/>
          <w:sz w:val="24"/>
          <w:szCs w:val="24"/>
          <w:lang w:val="en-IE"/>
        </w:rPr>
        <w:t>s</w:t>
      </w:r>
      <w:r w:rsidR="00F84833" w:rsidRPr="00D16622">
        <w:rPr>
          <w:rFonts w:ascii="Times New Roman" w:eastAsia="Times New Roman" w:hAnsi="Times New Roman" w:cs="Times New Roman"/>
          <w:noProof/>
          <w:sz w:val="24"/>
          <w:szCs w:val="24"/>
          <w:lang w:val="en-IE"/>
        </w:rPr>
        <w:t>, including through specialised training, awareness-raising initiatives and support mechanisms for targeted journalists and human rights defenders.</w:t>
      </w:r>
      <w:r w:rsidR="00001978" w:rsidRPr="00D16622">
        <w:rPr>
          <w:rFonts w:ascii="Times New Roman" w:eastAsia="Times New Roman" w:hAnsi="Times New Roman" w:cs="Times New Roman"/>
          <w:noProof/>
          <w:sz w:val="24"/>
          <w:szCs w:val="24"/>
          <w:lang w:val="en-IE"/>
        </w:rPr>
        <w:t xml:space="preserve"> </w:t>
      </w:r>
      <w:r w:rsidR="001E7C06" w:rsidRPr="00D16622">
        <w:rPr>
          <w:rFonts w:ascii="Times New Roman" w:eastAsia="Times New Roman" w:hAnsi="Times New Roman" w:cs="Times New Roman"/>
          <w:noProof/>
          <w:sz w:val="24"/>
          <w:szCs w:val="24"/>
          <w:lang w:val="en-IE"/>
        </w:rPr>
        <w:t>As a</w:t>
      </w:r>
      <w:r w:rsidR="006C7AF5" w:rsidRPr="00D16622">
        <w:rPr>
          <w:rFonts w:ascii="Times New Roman" w:eastAsia="Times New Roman" w:hAnsi="Times New Roman" w:cs="Times New Roman"/>
          <w:noProof/>
          <w:sz w:val="24"/>
          <w:szCs w:val="24"/>
          <w:lang w:val="en-IE"/>
        </w:rPr>
        <w:t xml:space="preserve">lso committed in the European Democracy Shield, </w:t>
      </w:r>
      <w:r w:rsidR="000A414B" w:rsidRPr="00D16622">
        <w:rPr>
          <w:rFonts w:ascii="Times New Roman" w:eastAsia="Times New Roman" w:hAnsi="Times New Roman" w:cs="Times New Roman"/>
          <w:noProof/>
          <w:sz w:val="24"/>
          <w:szCs w:val="24"/>
          <w:lang w:val="en-IE"/>
        </w:rPr>
        <w:t>t</w:t>
      </w:r>
      <w:r w:rsidR="00001978" w:rsidRPr="00D16622">
        <w:rPr>
          <w:rFonts w:ascii="Times New Roman" w:eastAsia="Times New Roman" w:hAnsi="Times New Roman" w:cs="Times New Roman"/>
          <w:noProof/>
          <w:sz w:val="24"/>
          <w:szCs w:val="24"/>
          <w:lang w:val="en-IE"/>
        </w:rPr>
        <w:t xml:space="preserve">he </w:t>
      </w:r>
      <w:r w:rsidR="000A4BED" w:rsidRPr="00D16622">
        <w:rPr>
          <w:rFonts w:ascii="Times New Roman" w:eastAsia="Times New Roman" w:hAnsi="Times New Roman" w:cs="Times New Roman"/>
          <w:noProof/>
          <w:sz w:val="24"/>
          <w:szCs w:val="24"/>
          <w:lang w:val="en-IE"/>
        </w:rPr>
        <w:t xml:space="preserve">Commission will </w:t>
      </w:r>
      <w:r w:rsidR="00001978" w:rsidRPr="00D16622">
        <w:rPr>
          <w:rFonts w:ascii="Times New Roman" w:eastAsia="Times New Roman" w:hAnsi="Times New Roman" w:cs="Times New Roman"/>
          <w:noProof/>
          <w:sz w:val="24"/>
          <w:szCs w:val="24"/>
          <w:lang w:val="en-IE"/>
        </w:rPr>
        <w:t xml:space="preserve">continue to support a stronger </w:t>
      </w:r>
      <w:r w:rsidR="00074CCC" w:rsidRPr="00D16622">
        <w:rPr>
          <w:rFonts w:ascii="Times New Roman" w:eastAsia="Times New Roman" w:hAnsi="Times New Roman" w:cs="Times New Roman"/>
          <w:noProof/>
          <w:sz w:val="24"/>
          <w:szCs w:val="24"/>
          <w:lang w:val="en-IE"/>
        </w:rPr>
        <w:t>e</w:t>
      </w:r>
      <w:r w:rsidR="00001978" w:rsidRPr="00D16622">
        <w:rPr>
          <w:rFonts w:ascii="Times New Roman" w:eastAsia="Times New Roman" w:hAnsi="Times New Roman" w:cs="Times New Roman"/>
          <w:noProof/>
          <w:sz w:val="24"/>
          <w:szCs w:val="24"/>
          <w:lang w:val="en-IE"/>
        </w:rPr>
        <w:t xml:space="preserve">nabling environment </w:t>
      </w:r>
      <w:r w:rsidR="00074CCC" w:rsidRPr="00D16622">
        <w:rPr>
          <w:rFonts w:ascii="Times New Roman" w:eastAsia="Times New Roman" w:hAnsi="Times New Roman" w:cs="Times New Roman"/>
          <w:noProof/>
          <w:sz w:val="24"/>
          <w:szCs w:val="24"/>
          <w:lang w:val="en-IE"/>
        </w:rPr>
        <w:t xml:space="preserve">and safety </w:t>
      </w:r>
      <w:r w:rsidR="00001978" w:rsidRPr="00D16622">
        <w:rPr>
          <w:rFonts w:ascii="Times New Roman" w:eastAsia="Times New Roman" w:hAnsi="Times New Roman" w:cs="Times New Roman"/>
          <w:noProof/>
          <w:sz w:val="24"/>
          <w:szCs w:val="24"/>
          <w:lang w:val="en-IE"/>
        </w:rPr>
        <w:t xml:space="preserve">for journalists and for quality newsreporting, including by </w:t>
      </w:r>
      <w:r w:rsidR="000A4BED" w:rsidRPr="00D16622">
        <w:rPr>
          <w:rFonts w:ascii="Times New Roman" w:eastAsia="Times New Roman" w:hAnsi="Times New Roman" w:cs="Times New Roman"/>
          <w:noProof/>
          <w:sz w:val="24"/>
          <w:szCs w:val="24"/>
          <w:lang w:val="en-IE"/>
        </w:rPr>
        <w:t>updat</w:t>
      </w:r>
      <w:r w:rsidR="00001978" w:rsidRPr="00D16622">
        <w:rPr>
          <w:rFonts w:ascii="Times New Roman" w:eastAsia="Times New Roman" w:hAnsi="Times New Roman" w:cs="Times New Roman"/>
          <w:noProof/>
          <w:sz w:val="24"/>
          <w:szCs w:val="24"/>
          <w:lang w:val="en-IE"/>
        </w:rPr>
        <w:t>ing</w:t>
      </w:r>
      <w:r w:rsidR="000A4BED" w:rsidRPr="00D16622">
        <w:rPr>
          <w:rFonts w:ascii="Times New Roman" w:eastAsia="Times New Roman" w:hAnsi="Times New Roman" w:cs="Times New Roman"/>
          <w:noProof/>
          <w:sz w:val="24"/>
          <w:szCs w:val="24"/>
          <w:lang w:val="en-IE"/>
        </w:rPr>
        <w:t xml:space="preserve"> its </w:t>
      </w:r>
      <w:hyperlink r:id="rId26" w:history="1">
        <w:r w:rsidR="000A4BED" w:rsidRPr="00D16622">
          <w:rPr>
            <w:rStyle w:val="Hyperlink"/>
            <w:rFonts w:eastAsia="Times New Roman" w:cs="Times New Roman"/>
            <w:noProof/>
            <w:szCs w:val="24"/>
            <w:lang w:val="en-IE"/>
          </w:rPr>
          <w:t>Recommendation on the safety of journalists</w:t>
        </w:r>
      </w:hyperlink>
      <w:r w:rsidR="000A4BED" w:rsidRPr="00D16622">
        <w:rPr>
          <w:rFonts w:ascii="Times New Roman" w:eastAsia="Times New Roman" w:hAnsi="Times New Roman" w:cs="Times New Roman"/>
          <w:noProof/>
          <w:sz w:val="24"/>
          <w:szCs w:val="24"/>
          <w:lang w:val="en-IE"/>
        </w:rPr>
        <w:t>.</w:t>
      </w:r>
    </w:p>
    <w:p w14:paraId="285289B7" w14:textId="35B6AAB3" w:rsidR="004E3ABC" w:rsidRPr="00D16622" w:rsidRDefault="004E3ABC" w:rsidP="00783360">
      <w:pPr>
        <w:spacing w:after="120" w:line="240" w:lineRule="auto"/>
        <w:jc w:val="both"/>
        <w:rPr>
          <w:rFonts w:ascii="Times New Roman" w:hAnsi="Times New Roman" w:cs="Times New Roman"/>
          <w:i/>
          <w:iCs/>
          <w:noProof/>
        </w:rPr>
      </w:pPr>
      <w:r w:rsidRPr="00D16622">
        <w:rPr>
          <w:rFonts w:ascii="Times New Roman" w:eastAsia="Times New Roman" w:hAnsi="Times New Roman" w:cs="Times New Roman"/>
          <w:i/>
          <w:iCs/>
          <w:noProof/>
          <w:sz w:val="24"/>
          <w:szCs w:val="24"/>
          <w:lang w:val="en-IE"/>
        </w:rPr>
        <w:t>A strategic framework to support and empower civil society</w:t>
      </w:r>
    </w:p>
    <w:p w14:paraId="1FB88F72" w14:textId="02C2CED9" w:rsidR="00783360" w:rsidRPr="00D16622" w:rsidRDefault="1A70A4F1" w:rsidP="204F0320">
      <w:pPr>
        <w:spacing w:after="120" w:line="240" w:lineRule="auto"/>
        <w:jc w:val="both"/>
        <w:rPr>
          <w:rFonts w:ascii="Times New Roman" w:eastAsia="Arial" w:hAnsi="Times New Roman" w:cs="Times New Roman"/>
          <w:noProof/>
          <w:sz w:val="24"/>
          <w:szCs w:val="24"/>
          <w:lang w:val="en-IE"/>
        </w:rPr>
      </w:pPr>
      <w:r w:rsidRPr="00D16622">
        <w:rPr>
          <w:rFonts w:ascii="Times New Roman" w:eastAsia="Times New Roman" w:hAnsi="Times New Roman" w:cs="Times New Roman"/>
          <w:noProof/>
          <w:sz w:val="24"/>
          <w:szCs w:val="24"/>
        </w:rPr>
        <w:t>Th</w:t>
      </w:r>
      <w:r w:rsidR="2E66134C" w:rsidRPr="00D16622">
        <w:rPr>
          <w:rFonts w:ascii="Times New Roman" w:eastAsia="Times New Roman" w:hAnsi="Times New Roman" w:cs="Times New Roman"/>
          <w:noProof/>
          <w:sz w:val="24"/>
          <w:szCs w:val="24"/>
          <w:lang w:val="en-IE"/>
        </w:rPr>
        <w:t>e Commission has</w:t>
      </w:r>
      <w:r w:rsidRPr="00D16622">
        <w:rPr>
          <w:rFonts w:ascii="Times New Roman" w:eastAsia="Times New Roman" w:hAnsi="Times New Roman" w:cs="Times New Roman"/>
          <w:noProof/>
          <w:sz w:val="24"/>
          <w:szCs w:val="24"/>
          <w:lang w:val="en-IE"/>
        </w:rPr>
        <w:t xml:space="preserve"> also</w:t>
      </w:r>
      <w:r w:rsidR="2E66134C" w:rsidRPr="00D16622">
        <w:rPr>
          <w:rFonts w:ascii="Times New Roman" w:eastAsia="Times New Roman" w:hAnsi="Times New Roman" w:cs="Times New Roman"/>
          <w:noProof/>
          <w:sz w:val="24"/>
          <w:szCs w:val="24"/>
          <w:lang w:val="en-IE"/>
        </w:rPr>
        <w:t xml:space="preserve"> adopted </w:t>
      </w:r>
      <w:r w:rsidR="00986FDB" w:rsidRPr="00D16622">
        <w:rPr>
          <w:rFonts w:ascii="Times New Roman" w:eastAsia="Times New Roman" w:hAnsi="Times New Roman" w:cs="Times New Roman"/>
          <w:noProof/>
          <w:sz w:val="24"/>
          <w:szCs w:val="24"/>
          <w:lang w:val="en-IE"/>
        </w:rPr>
        <w:t xml:space="preserve">a </w:t>
      </w:r>
      <w:r w:rsidR="2E66134C" w:rsidRPr="00D16622">
        <w:rPr>
          <w:rFonts w:ascii="Times New Roman" w:eastAsia="Times New Roman" w:hAnsi="Times New Roman" w:cs="Times New Roman"/>
          <w:noProof/>
          <w:sz w:val="24"/>
          <w:szCs w:val="24"/>
          <w:lang w:val="en-IE"/>
        </w:rPr>
        <w:t xml:space="preserve">first </w:t>
      </w:r>
      <w:hyperlink r:id="rId27" w:history="1">
        <w:r w:rsidR="2E66134C" w:rsidRPr="00D16622">
          <w:rPr>
            <w:rStyle w:val="Hyperlink"/>
            <w:rFonts w:eastAsia="Times New Roman" w:cs="Times New Roman"/>
            <w:noProof/>
            <w:szCs w:val="24"/>
            <w:lang w:val="en-IE"/>
          </w:rPr>
          <w:t>EU Strategy for Civil Society</w:t>
        </w:r>
      </w:hyperlink>
      <w:r w:rsidR="2E66134C" w:rsidRPr="00D16622">
        <w:rPr>
          <w:rFonts w:ascii="Times New Roman" w:eastAsia="Times New Roman" w:hAnsi="Times New Roman" w:cs="Times New Roman"/>
          <w:noProof/>
          <w:sz w:val="24"/>
          <w:szCs w:val="24"/>
          <w:lang w:val="en-IE"/>
        </w:rPr>
        <w:t>, which</w:t>
      </w:r>
      <w:r w:rsidR="40A4F3EF" w:rsidRPr="00D16622">
        <w:rPr>
          <w:rFonts w:ascii="Times New Roman" w:eastAsia="Times New Roman" w:hAnsi="Times New Roman" w:cs="Times New Roman"/>
          <w:noProof/>
          <w:sz w:val="24"/>
          <w:szCs w:val="24"/>
          <w:lang w:val="en-IE"/>
        </w:rPr>
        <w:t xml:space="preserve"> recognises </w:t>
      </w:r>
      <w:r w:rsidR="1E870672" w:rsidRPr="00D16622">
        <w:rPr>
          <w:rFonts w:ascii="Times New Roman" w:eastAsia="Times New Roman" w:hAnsi="Times New Roman" w:cs="Times New Roman"/>
          <w:noProof/>
          <w:sz w:val="24"/>
          <w:szCs w:val="24"/>
          <w:lang w:val="en-IE"/>
        </w:rPr>
        <w:t>civil society’s</w:t>
      </w:r>
      <w:r w:rsidR="40A4F3EF" w:rsidRPr="00D16622">
        <w:rPr>
          <w:rFonts w:ascii="Times New Roman" w:eastAsia="Times New Roman" w:hAnsi="Times New Roman" w:cs="Times New Roman"/>
          <w:noProof/>
          <w:sz w:val="24"/>
          <w:szCs w:val="24"/>
          <w:lang w:val="en-IE"/>
        </w:rPr>
        <w:t xml:space="preserve"> essential role in upholding</w:t>
      </w:r>
      <w:r w:rsidR="4AD25A21" w:rsidRPr="00D16622">
        <w:rPr>
          <w:rFonts w:ascii="Times New Roman" w:eastAsia="Times New Roman" w:hAnsi="Times New Roman" w:cs="Times New Roman"/>
          <w:noProof/>
          <w:sz w:val="24"/>
          <w:szCs w:val="24"/>
          <w:lang w:val="en-IE"/>
        </w:rPr>
        <w:t xml:space="preserve"> EU values</w:t>
      </w:r>
      <w:r w:rsidR="00540EB6" w:rsidRPr="00D16622">
        <w:rPr>
          <w:rFonts w:ascii="Times New Roman" w:eastAsia="Times New Roman" w:hAnsi="Times New Roman" w:cs="Times New Roman"/>
          <w:noProof/>
          <w:sz w:val="24"/>
          <w:szCs w:val="24"/>
          <w:lang w:val="en-IE"/>
        </w:rPr>
        <w:t>, including</w:t>
      </w:r>
      <w:r w:rsidR="40A4F3EF" w:rsidRPr="00D16622">
        <w:rPr>
          <w:rFonts w:ascii="Times New Roman" w:eastAsia="Times New Roman" w:hAnsi="Times New Roman" w:cs="Times New Roman"/>
          <w:noProof/>
          <w:sz w:val="24"/>
          <w:szCs w:val="24"/>
          <w:lang w:val="en-IE"/>
        </w:rPr>
        <w:t xml:space="preserve"> the r</w:t>
      </w:r>
      <w:r w:rsidR="00D768E8" w:rsidRPr="00D16622">
        <w:rPr>
          <w:rFonts w:ascii="Times New Roman" w:eastAsia="Times New Roman" w:hAnsi="Times New Roman" w:cs="Times New Roman"/>
          <w:noProof/>
          <w:sz w:val="24"/>
          <w:szCs w:val="24"/>
          <w:lang w:val="en-IE"/>
        </w:rPr>
        <w:t>u</w:t>
      </w:r>
      <w:r w:rsidR="40A4F3EF" w:rsidRPr="00D16622">
        <w:rPr>
          <w:rFonts w:ascii="Times New Roman" w:eastAsia="Times New Roman" w:hAnsi="Times New Roman" w:cs="Times New Roman"/>
          <w:noProof/>
          <w:sz w:val="24"/>
          <w:szCs w:val="24"/>
          <w:lang w:val="en-IE"/>
        </w:rPr>
        <w:t>le of law</w:t>
      </w:r>
      <w:r w:rsidR="008871AB" w:rsidRPr="00D16622">
        <w:rPr>
          <w:rFonts w:ascii="Times New Roman" w:eastAsia="Times New Roman" w:hAnsi="Times New Roman" w:cs="Times New Roman"/>
          <w:noProof/>
          <w:sz w:val="24"/>
          <w:szCs w:val="24"/>
          <w:lang w:val="en-IE"/>
        </w:rPr>
        <w:t>,</w:t>
      </w:r>
      <w:r w:rsidR="40A4F3EF" w:rsidRPr="00D16622">
        <w:rPr>
          <w:rFonts w:ascii="Times New Roman" w:eastAsia="Times New Roman" w:hAnsi="Times New Roman" w:cs="Times New Roman"/>
          <w:noProof/>
          <w:sz w:val="24"/>
          <w:szCs w:val="24"/>
          <w:lang w:val="en-IE"/>
        </w:rPr>
        <w:t xml:space="preserve"> and</w:t>
      </w:r>
      <w:r w:rsidR="2E66134C" w:rsidRPr="00D16622">
        <w:rPr>
          <w:rFonts w:ascii="Times New Roman" w:eastAsia="Times New Roman" w:hAnsi="Times New Roman" w:cs="Times New Roman"/>
          <w:noProof/>
          <w:sz w:val="24"/>
          <w:szCs w:val="24"/>
          <w:lang w:val="en-IE"/>
        </w:rPr>
        <w:t xml:space="preserve"> sets out a framework for action</w:t>
      </w:r>
      <w:r w:rsidR="0E955ED4" w:rsidRPr="00D16622">
        <w:rPr>
          <w:rFonts w:ascii="Times New Roman" w:eastAsia="Times New Roman" w:hAnsi="Times New Roman" w:cs="Times New Roman"/>
          <w:noProof/>
          <w:sz w:val="24"/>
          <w:szCs w:val="24"/>
          <w:lang w:val="en-IE"/>
        </w:rPr>
        <w:t xml:space="preserve"> for an an open, safe and enabling civic space. </w:t>
      </w:r>
      <w:r w:rsidR="0082740A" w:rsidRPr="00D16622">
        <w:rPr>
          <w:rFonts w:ascii="Times New Roman" w:eastAsia="Times New Roman" w:hAnsi="Times New Roman" w:cs="Times New Roman"/>
          <w:noProof/>
          <w:sz w:val="24"/>
          <w:szCs w:val="24"/>
          <w:lang w:val="en-IE"/>
        </w:rPr>
        <w:t>T</w:t>
      </w:r>
      <w:r w:rsidR="0E955ED4" w:rsidRPr="00D16622">
        <w:rPr>
          <w:rFonts w:ascii="Times New Roman" w:eastAsia="Times New Roman" w:hAnsi="Times New Roman" w:cs="Times New Roman"/>
          <w:noProof/>
          <w:sz w:val="24"/>
          <w:szCs w:val="24"/>
          <w:lang w:val="en-IE"/>
        </w:rPr>
        <w:t xml:space="preserve">he Strategy </w:t>
      </w:r>
      <w:r w:rsidR="00850779" w:rsidRPr="00D16622">
        <w:rPr>
          <w:rFonts w:ascii="Times New Roman" w:eastAsia="Times New Roman" w:hAnsi="Times New Roman" w:cs="Times New Roman"/>
          <w:noProof/>
          <w:sz w:val="24"/>
          <w:szCs w:val="24"/>
          <w:lang w:val="en-IE"/>
        </w:rPr>
        <w:t>sets out concrete commitments across</w:t>
      </w:r>
      <w:r w:rsidR="2E66134C" w:rsidRPr="00D16622">
        <w:rPr>
          <w:rFonts w:ascii="Times New Roman" w:eastAsia="Times New Roman" w:hAnsi="Times New Roman" w:cs="Times New Roman"/>
          <w:noProof/>
          <w:sz w:val="24"/>
          <w:szCs w:val="24"/>
          <w:lang w:val="en-IE"/>
        </w:rPr>
        <w:t xml:space="preserve"> three</w:t>
      </w:r>
      <w:r w:rsidR="2E66134C" w:rsidRPr="00D16622" w:rsidDel="00E123EF">
        <w:rPr>
          <w:rFonts w:ascii="Times New Roman" w:eastAsia="Times New Roman" w:hAnsi="Times New Roman" w:cs="Times New Roman"/>
          <w:noProof/>
          <w:sz w:val="24"/>
          <w:szCs w:val="24"/>
          <w:lang w:val="en-IE"/>
        </w:rPr>
        <w:t xml:space="preserve"> </w:t>
      </w:r>
      <w:r w:rsidR="2E66134C" w:rsidRPr="00D16622">
        <w:rPr>
          <w:rFonts w:ascii="Times New Roman" w:eastAsia="Times New Roman" w:hAnsi="Times New Roman" w:cs="Times New Roman"/>
          <w:noProof/>
          <w:sz w:val="24"/>
          <w:szCs w:val="24"/>
          <w:lang w:val="en-IE"/>
        </w:rPr>
        <w:t>mutually reinforcing objectives</w:t>
      </w:r>
      <w:r w:rsidR="004A644F" w:rsidRPr="00D16622">
        <w:rPr>
          <w:rFonts w:ascii="Times New Roman" w:eastAsia="Times New Roman" w:hAnsi="Times New Roman" w:cs="Times New Roman"/>
          <w:noProof/>
          <w:sz w:val="24"/>
          <w:szCs w:val="24"/>
          <w:lang w:val="en-IE"/>
        </w:rPr>
        <w:t>:</w:t>
      </w:r>
      <w:r w:rsidR="00E123EF" w:rsidRPr="00D16622">
        <w:rPr>
          <w:rFonts w:ascii="Times New Roman" w:eastAsia="Times New Roman" w:hAnsi="Times New Roman" w:cs="Times New Roman"/>
          <w:noProof/>
          <w:sz w:val="24"/>
          <w:szCs w:val="24"/>
          <w:lang w:val="en-IE"/>
        </w:rPr>
        <w:t xml:space="preserve"> </w:t>
      </w:r>
      <w:r w:rsidR="2E66134C" w:rsidRPr="00D16622">
        <w:rPr>
          <w:rFonts w:ascii="Times New Roman" w:eastAsia="Times New Roman" w:hAnsi="Times New Roman" w:cs="Times New Roman"/>
          <w:noProof/>
          <w:sz w:val="24"/>
          <w:szCs w:val="24"/>
          <w:lang w:val="en-IE"/>
        </w:rPr>
        <w:t>strengthening engagement with civil society,</w:t>
      </w:r>
      <w:r w:rsidR="2E66134C" w:rsidRPr="00D16622" w:rsidDel="00E123EF">
        <w:rPr>
          <w:rFonts w:ascii="Times New Roman" w:eastAsia="Times New Roman" w:hAnsi="Times New Roman" w:cs="Times New Roman"/>
          <w:noProof/>
          <w:sz w:val="24"/>
          <w:szCs w:val="24"/>
          <w:lang w:val="en-IE"/>
        </w:rPr>
        <w:t xml:space="preserve"> </w:t>
      </w:r>
      <w:r w:rsidR="4DBC7E70" w:rsidRPr="00D16622">
        <w:rPr>
          <w:rFonts w:ascii="Times New Roman" w:eastAsia="Times New Roman" w:hAnsi="Times New Roman" w:cs="Times New Roman"/>
          <w:noProof/>
          <w:sz w:val="24"/>
          <w:szCs w:val="24"/>
          <w:lang w:val="en-IE"/>
        </w:rPr>
        <w:t>protecting and</w:t>
      </w:r>
      <w:r w:rsidR="2E66134C" w:rsidRPr="00D16622">
        <w:rPr>
          <w:rFonts w:ascii="Times New Roman" w:eastAsia="Times New Roman" w:hAnsi="Times New Roman" w:cs="Times New Roman"/>
          <w:noProof/>
          <w:sz w:val="24"/>
          <w:szCs w:val="24"/>
          <w:lang w:val="en-IE"/>
        </w:rPr>
        <w:t xml:space="preserve"> supporting civil society</w:t>
      </w:r>
      <w:r w:rsidR="4E4C90B7" w:rsidRPr="00D16622">
        <w:rPr>
          <w:rFonts w:ascii="Times New Roman" w:eastAsia="Times New Roman" w:hAnsi="Times New Roman" w:cs="Times New Roman"/>
          <w:noProof/>
          <w:sz w:val="24"/>
          <w:szCs w:val="24"/>
          <w:lang w:val="en-IE"/>
        </w:rPr>
        <w:t>,</w:t>
      </w:r>
      <w:r w:rsidR="30F4AB20" w:rsidRPr="00D16622">
        <w:rPr>
          <w:rFonts w:ascii="Times New Roman" w:eastAsia="Times New Roman" w:hAnsi="Times New Roman" w:cs="Times New Roman"/>
          <w:noProof/>
          <w:sz w:val="24"/>
          <w:szCs w:val="24"/>
          <w:lang w:val="en-IE"/>
        </w:rPr>
        <w:t xml:space="preserve"> </w:t>
      </w:r>
      <w:r w:rsidR="00C95809" w:rsidRPr="00D16622">
        <w:rPr>
          <w:rFonts w:ascii="Times New Roman" w:eastAsia="Times New Roman" w:hAnsi="Times New Roman" w:cs="Times New Roman"/>
          <w:noProof/>
          <w:sz w:val="24"/>
          <w:szCs w:val="24"/>
          <w:lang w:val="en-IE"/>
        </w:rPr>
        <w:t>and ensuring</w:t>
      </w:r>
      <w:r w:rsidR="2E66134C" w:rsidRPr="00D16622">
        <w:rPr>
          <w:rFonts w:ascii="Times New Roman" w:eastAsia="Times New Roman" w:hAnsi="Times New Roman" w:cs="Times New Roman"/>
          <w:noProof/>
          <w:sz w:val="24"/>
          <w:szCs w:val="24"/>
          <w:lang w:val="en-IE"/>
        </w:rPr>
        <w:t xml:space="preserve"> adequate, sustainable and transparent funding</w:t>
      </w:r>
      <w:r w:rsidR="28BDEA1B" w:rsidRPr="00D16622">
        <w:rPr>
          <w:rFonts w:ascii="Times New Roman" w:eastAsia="Times New Roman" w:hAnsi="Times New Roman" w:cs="Times New Roman"/>
          <w:noProof/>
          <w:sz w:val="24"/>
          <w:szCs w:val="24"/>
          <w:lang w:val="en-IE"/>
        </w:rPr>
        <w:t xml:space="preserve">. </w:t>
      </w:r>
      <w:r w:rsidR="00850779" w:rsidRPr="00D16622">
        <w:rPr>
          <w:rFonts w:ascii="Times New Roman" w:eastAsia="Times New Roman" w:hAnsi="Times New Roman" w:cs="Times New Roman"/>
          <w:noProof/>
          <w:sz w:val="24"/>
          <w:szCs w:val="24"/>
          <w:lang w:val="en-IE"/>
        </w:rPr>
        <w:t>It proposes actions at EU and national level in close cooperation with partners, civil society organisations and Member States</w:t>
      </w:r>
      <w:r w:rsidR="4908671D" w:rsidRPr="00D16622">
        <w:rPr>
          <w:rFonts w:ascii="Times New Roman" w:eastAsia="Times New Roman" w:hAnsi="Times New Roman" w:cs="Times New Roman"/>
          <w:noProof/>
          <w:sz w:val="24"/>
          <w:szCs w:val="24"/>
          <w:lang w:val="en-IE"/>
        </w:rPr>
        <w:t>.</w:t>
      </w:r>
    </w:p>
    <w:p w14:paraId="3684C02C" w14:textId="6526120E" w:rsidR="006D0E27" w:rsidRPr="00D16622" w:rsidRDefault="006D0E27" w:rsidP="00C7157D">
      <w:pPr>
        <w:spacing w:after="120" w:line="240" w:lineRule="auto"/>
        <w:jc w:val="both"/>
        <w:rPr>
          <w:rFonts w:ascii="Times New Roman" w:hAnsi="Times New Roman" w:cs="Times New Roman"/>
          <w:i/>
          <w:iCs/>
          <w:noProof/>
          <w:sz w:val="24"/>
          <w:szCs w:val="24"/>
          <w:lang w:val="en-IE"/>
        </w:rPr>
      </w:pPr>
      <w:r w:rsidRPr="00D16622">
        <w:rPr>
          <w:rFonts w:ascii="Times New Roman" w:hAnsi="Times New Roman" w:cs="Times New Roman"/>
          <w:i/>
          <w:iCs/>
          <w:noProof/>
          <w:sz w:val="24"/>
          <w:szCs w:val="24"/>
          <w:lang w:val="en-IE"/>
        </w:rPr>
        <w:t>New</w:t>
      </w:r>
      <w:r w:rsidR="00E474C5" w:rsidRPr="00D16622">
        <w:rPr>
          <w:rFonts w:ascii="Times New Roman" w:hAnsi="Times New Roman" w:cs="Times New Roman"/>
          <w:i/>
          <w:iCs/>
          <w:noProof/>
          <w:sz w:val="24"/>
          <w:szCs w:val="24"/>
          <w:lang w:val="en-IE"/>
        </w:rPr>
        <w:t xml:space="preserve"> </w:t>
      </w:r>
      <w:r w:rsidRPr="00D16622">
        <w:rPr>
          <w:rFonts w:ascii="Times New Roman" w:hAnsi="Times New Roman" w:cs="Times New Roman"/>
          <w:i/>
          <w:iCs/>
          <w:noProof/>
          <w:sz w:val="24"/>
          <w:szCs w:val="24"/>
          <w:lang w:val="en-IE"/>
        </w:rPr>
        <w:t>rules</w:t>
      </w:r>
      <w:r w:rsidR="001C3F6E" w:rsidRPr="00D16622">
        <w:rPr>
          <w:rFonts w:ascii="Times New Roman" w:hAnsi="Times New Roman" w:cs="Times New Roman"/>
          <w:i/>
          <w:iCs/>
          <w:noProof/>
          <w:sz w:val="24"/>
          <w:szCs w:val="24"/>
          <w:lang w:val="en-IE"/>
        </w:rPr>
        <w:t xml:space="preserve"> to strengthen the fight against corruption </w:t>
      </w:r>
    </w:p>
    <w:p w14:paraId="11102535" w14:textId="6FBED9C4" w:rsidR="00C7157D" w:rsidRPr="00D16622" w:rsidRDefault="001A7440" w:rsidP="00C7157D">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lang w:val="en-IE"/>
        </w:rPr>
        <w:t>T</w:t>
      </w:r>
      <w:r w:rsidR="00563B57" w:rsidRPr="00D16622">
        <w:rPr>
          <w:rFonts w:ascii="Times New Roman" w:hAnsi="Times New Roman" w:cs="Times New Roman"/>
          <w:noProof/>
          <w:sz w:val="24"/>
          <w:szCs w:val="24"/>
          <w:lang w:val="en-IE"/>
        </w:rPr>
        <w:t xml:space="preserve">he </w:t>
      </w:r>
      <w:r w:rsidR="00CD09EC" w:rsidRPr="00D16622">
        <w:rPr>
          <w:rFonts w:ascii="Times New Roman" w:hAnsi="Times New Roman" w:cs="Times New Roman"/>
          <w:noProof/>
          <w:sz w:val="24"/>
          <w:szCs w:val="24"/>
          <w:lang w:val="en-IE"/>
        </w:rPr>
        <w:t>entry into force</w:t>
      </w:r>
      <w:r w:rsidR="00563B57" w:rsidRPr="00D16622">
        <w:rPr>
          <w:rFonts w:ascii="Times New Roman" w:hAnsi="Times New Roman" w:cs="Times New Roman"/>
          <w:noProof/>
          <w:sz w:val="24"/>
          <w:szCs w:val="24"/>
          <w:lang w:val="en-IE"/>
        </w:rPr>
        <w:t xml:space="preserve"> of the </w:t>
      </w:r>
      <w:hyperlink r:id="rId28" w:history="1">
        <w:r w:rsidR="00563B57" w:rsidRPr="00D16622">
          <w:rPr>
            <w:rStyle w:val="Hyperlink"/>
            <w:rFonts w:cs="Times New Roman"/>
            <w:noProof/>
            <w:szCs w:val="24"/>
            <w:lang w:val="en-IE"/>
          </w:rPr>
          <w:t>Anti-Corruption Directive</w:t>
        </w:r>
      </w:hyperlink>
      <w:r w:rsidR="007E1B08" w:rsidRPr="00D16622">
        <w:rPr>
          <w:rFonts w:ascii="Times New Roman" w:hAnsi="Times New Roman" w:cs="Times New Roman"/>
          <w:noProof/>
          <w:sz w:val="24"/>
          <w:szCs w:val="24"/>
          <w:lang w:val="en-IE"/>
        </w:rPr>
        <w:t xml:space="preserve"> on </w:t>
      </w:r>
      <w:r w:rsidR="00CD09EC" w:rsidRPr="00D16622">
        <w:rPr>
          <w:rFonts w:ascii="Times New Roman" w:hAnsi="Times New Roman" w:cs="Times New Roman"/>
          <w:noProof/>
          <w:sz w:val="24"/>
          <w:szCs w:val="24"/>
          <w:lang w:val="en-IE"/>
        </w:rPr>
        <w:t>31 May</w:t>
      </w:r>
      <w:r w:rsidR="0062561B" w:rsidRPr="00D16622">
        <w:rPr>
          <w:rFonts w:ascii="Times New Roman" w:hAnsi="Times New Roman" w:cs="Times New Roman"/>
          <w:noProof/>
          <w:sz w:val="24"/>
          <w:szCs w:val="24"/>
          <w:lang w:val="en-IE"/>
        </w:rPr>
        <w:t xml:space="preserve"> 2026</w:t>
      </w:r>
      <w:r w:rsidRPr="00D16622">
        <w:rPr>
          <w:rFonts w:ascii="Times New Roman" w:hAnsi="Times New Roman" w:cs="Times New Roman"/>
          <w:noProof/>
          <w:sz w:val="24"/>
          <w:szCs w:val="24"/>
          <w:lang w:val="en-IE"/>
        </w:rPr>
        <w:t xml:space="preserve"> </w:t>
      </w:r>
      <w:r w:rsidR="00411A59" w:rsidRPr="00D16622">
        <w:rPr>
          <w:rFonts w:ascii="Times New Roman" w:hAnsi="Times New Roman" w:cs="Times New Roman"/>
          <w:noProof/>
          <w:sz w:val="24"/>
          <w:szCs w:val="24"/>
          <w:lang w:val="en-IE"/>
        </w:rPr>
        <w:t>wa</w:t>
      </w:r>
      <w:r w:rsidRPr="00D16622">
        <w:rPr>
          <w:rFonts w:ascii="Times New Roman" w:hAnsi="Times New Roman" w:cs="Times New Roman"/>
          <w:noProof/>
          <w:sz w:val="24"/>
          <w:szCs w:val="24"/>
          <w:lang w:val="en-IE"/>
        </w:rPr>
        <w:t>s a</w:t>
      </w:r>
      <w:r w:rsidR="00764FC2" w:rsidRPr="00D16622">
        <w:rPr>
          <w:rFonts w:ascii="Times New Roman" w:hAnsi="Times New Roman" w:cs="Times New Roman"/>
          <w:noProof/>
          <w:sz w:val="24"/>
          <w:szCs w:val="24"/>
          <w:lang w:val="en-IE"/>
        </w:rPr>
        <w:t>n important</w:t>
      </w:r>
      <w:r w:rsidRPr="00D16622">
        <w:rPr>
          <w:rFonts w:ascii="Times New Roman" w:hAnsi="Times New Roman" w:cs="Times New Roman"/>
          <w:noProof/>
          <w:sz w:val="24"/>
          <w:szCs w:val="24"/>
          <w:lang w:val="en-IE"/>
        </w:rPr>
        <w:t xml:space="preserve"> milestone</w:t>
      </w:r>
      <w:r w:rsidR="0083675C" w:rsidRPr="00D16622">
        <w:rPr>
          <w:rFonts w:ascii="Times New Roman" w:hAnsi="Times New Roman" w:cs="Times New Roman"/>
          <w:noProof/>
          <w:sz w:val="24"/>
          <w:szCs w:val="24"/>
          <w:lang w:val="en-IE"/>
        </w:rPr>
        <w:t xml:space="preserve"> to protect our democracies, economies and institutions from the damaging effects of corruption.</w:t>
      </w:r>
      <w:r w:rsidR="007E1B08" w:rsidRPr="00D16622">
        <w:rPr>
          <w:rFonts w:ascii="Times New Roman" w:hAnsi="Times New Roman" w:cs="Times New Roman"/>
          <w:noProof/>
          <w:sz w:val="24"/>
          <w:szCs w:val="24"/>
          <w:lang w:val="en-IE"/>
        </w:rPr>
        <w:t xml:space="preserve"> </w:t>
      </w:r>
      <w:r w:rsidR="00001460" w:rsidRPr="00D16622">
        <w:rPr>
          <w:rFonts w:ascii="Times New Roman" w:hAnsi="Times New Roman" w:cs="Times New Roman"/>
          <w:noProof/>
          <w:sz w:val="24"/>
          <w:szCs w:val="24"/>
          <w:lang w:val="en-IE"/>
        </w:rPr>
        <w:t xml:space="preserve">The new rules </w:t>
      </w:r>
      <w:r w:rsidR="002D3119" w:rsidRPr="00D16622">
        <w:rPr>
          <w:rFonts w:ascii="Times New Roman" w:hAnsi="Times New Roman" w:cs="Times New Roman"/>
          <w:noProof/>
          <w:sz w:val="24"/>
          <w:szCs w:val="24"/>
          <w:lang w:val="en-IE"/>
        </w:rPr>
        <w:t xml:space="preserve">establish a modern and harmonised framework to prevent, detect and sanction corruption in the EU. </w:t>
      </w:r>
      <w:r w:rsidR="002E6AA5" w:rsidRPr="00D16622">
        <w:rPr>
          <w:rFonts w:ascii="Times New Roman" w:hAnsi="Times New Roman" w:cs="Times New Roman"/>
          <w:noProof/>
          <w:sz w:val="24"/>
          <w:szCs w:val="24"/>
          <w:lang w:val="en-IE"/>
        </w:rPr>
        <w:t>The</w:t>
      </w:r>
      <w:r w:rsidR="00281B7D" w:rsidRPr="00D16622">
        <w:rPr>
          <w:rFonts w:ascii="Times New Roman" w:hAnsi="Times New Roman" w:cs="Times New Roman"/>
          <w:noProof/>
          <w:sz w:val="24"/>
          <w:szCs w:val="24"/>
          <w:lang w:val="en-IE"/>
        </w:rPr>
        <w:t xml:space="preserve"> Commission will support Member States in </w:t>
      </w:r>
      <w:r w:rsidR="006B1017" w:rsidRPr="00D16622">
        <w:rPr>
          <w:rFonts w:ascii="Times New Roman" w:hAnsi="Times New Roman" w:cs="Times New Roman"/>
          <w:noProof/>
          <w:sz w:val="24"/>
          <w:szCs w:val="24"/>
          <w:lang w:val="en-IE"/>
        </w:rPr>
        <w:t>meeting the transposition deadline for the</w:t>
      </w:r>
      <w:r w:rsidR="00281B7D" w:rsidRPr="00D16622">
        <w:rPr>
          <w:rFonts w:ascii="Times New Roman" w:hAnsi="Times New Roman" w:cs="Times New Roman"/>
          <w:noProof/>
          <w:sz w:val="24"/>
          <w:szCs w:val="24"/>
          <w:lang w:val="en-IE"/>
        </w:rPr>
        <w:t xml:space="preserve"> </w:t>
      </w:r>
      <w:r w:rsidR="006B1017" w:rsidRPr="00D16622">
        <w:rPr>
          <w:rFonts w:ascii="Times New Roman" w:hAnsi="Times New Roman" w:cs="Times New Roman"/>
          <w:noProof/>
          <w:sz w:val="24"/>
          <w:szCs w:val="24"/>
          <w:lang w:val="en-IE"/>
        </w:rPr>
        <w:t>relevant</w:t>
      </w:r>
      <w:r w:rsidR="0039529A" w:rsidRPr="00D16622">
        <w:rPr>
          <w:rFonts w:ascii="Times New Roman" w:hAnsi="Times New Roman" w:cs="Times New Roman"/>
          <w:noProof/>
          <w:sz w:val="24"/>
          <w:szCs w:val="24"/>
          <w:lang w:val="en-IE"/>
        </w:rPr>
        <w:t xml:space="preserve"> </w:t>
      </w:r>
      <w:r w:rsidR="006B1017" w:rsidRPr="00D16622">
        <w:rPr>
          <w:rFonts w:ascii="Times New Roman" w:hAnsi="Times New Roman" w:cs="Times New Roman"/>
          <w:noProof/>
          <w:sz w:val="24"/>
          <w:szCs w:val="24"/>
          <w:lang w:val="en-IE"/>
        </w:rPr>
        <w:t>provisions</w:t>
      </w:r>
      <w:r w:rsidR="00281B7D" w:rsidRPr="00D16622">
        <w:rPr>
          <w:rFonts w:ascii="Times New Roman" w:hAnsi="Times New Roman" w:cs="Times New Roman"/>
          <w:noProof/>
          <w:sz w:val="24"/>
          <w:szCs w:val="24"/>
          <w:lang w:val="en-IE"/>
        </w:rPr>
        <w:t xml:space="preserve"> </w:t>
      </w:r>
      <w:r w:rsidR="006F5EB3" w:rsidRPr="00D16622">
        <w:rPr>
          <w:rFonts w:ascii="Times New Roman" w:hAnsi="Times New Roman" w:cs="Times New Roman"/>
          <w:noProof/>
          <w:sz w:val="24"/>
          <w:szCs w:val="24"/>
          <w:lang w:val="en-IE"/>
        </w:rPr>
        <w:t xml:space="preserve">by </w:t>
      </w:r>
      <w:r w:rsidR="0080611D" w:rsidRPr="00D16622">
        <w:rPr>
          <w:rFonts w:ascii="Times New Roman" w:hAnsi="Times New Roman" w:cs="Times New Roman"/>
          <w:noProof/>
          <w:sz w:val="24"/>
          <w:szCs w:val="24"/>
          <w:lang w:val="en-IE"/>
        </w:rPr>
        <w:t>1</w:t>
      </w:r>
      <w:r w:rsidR="006F5EB3" w:rsidRPr="00D16622">
        <w:rPr>
          <w:rFonts w:ascii="Times New Roman" w:hAnsi="Times New Roman" w:cs="Times New Roman"/>
          <w:noProof/>
          <w:sz w:val="24"/>
          <w:szCs w:val="24"/>
          <w:lang w:val="en-IE"/>
        </w:rPr>
        <w:t xml:space="preserve"> June</w:t>
      </w:r>
      <w:r w:rsidR="0080611D" w:rsidRPr="00D16622">
        <w:rPr>
          <w:rFonts w:ascii="Times New Roman" w:hAnsi="Times New Roman" w:cs="Times New Roman"/>
          <w:noProof/>
          <w:sz w:val="24"/>
          <w:szCs w:val="24"/>
          <w:lang w:val="en-IE"/>
        </w:rPr>
        <w:t xml:space="preserve"> 2028</w:t>
      </w:r>
      <w:r w:rsidR="00D35A2E" w:rsidRPr="00D16622">
        <w:rPr>
          <w:rStyle w:val="FootnoteReference"/>
          <w:rFonts w:cs="Times New Roman"/>
          <w:noProof/>
        </w:rPr>
        <w:footnoteReference w:id="25"/>
      </w:r>
      <w:r w:rsidR="002B2E29" w:rsidRPr="00D16622">
        <w:rPr>
          <w:rFonts w:ascii="Times New Roman" w:hAnsi="Times New Roman" w:cs="Times New Roman"/>
          <w:noProof/>
          <w:sz w:val="24"/>
          <w:szCs w:val="24"/>
          <w:lang w:val="en-IE"/>
        </w:rPr>
        <w:t xml:space="preserve">. </w:t>
      </w:r>
      <w:r w:rsidR="00337D78" w:rsidRPr="00D16622">
        <w:rPr>
          <w:rFonts w:ascii="Times New Roman" w:hAnsi="Times New Roman" w:cs="Times New Roman"/>
          <w:noProof/>
          <w:sz w:val="24"/>
          <w:szCs w:val="24"/>
          <w:lang w:val="en-IE"/>
        </w:rPr>
        <w:t xml:space="preserve">Furthermore, </w:t>
      </w:r>
      <w:r w:rsidR="004170A2" w:rsidRPr="00D16622">
        <w:rPr>
          <w:rFonts w:ascii="Times New Roman" w:hAnsi="Times New Roman" w:cs="Times New Roman"/>
          <w:noProof/>
          <w:sz w:val="24"/>
          <w:szCs w:val="24"/>
          <w:lang w:val="en-IE"/>
        </w:rPr>
        <w:t xml:space="preserve">the Commission </w:t>
      </w:r>
      <w:r w:rsidR="00BC7F4C" w:rsidRPr="00D16622">
        <w:rPr>
          <w:rFonts w:ascii="Times New Roman" w:hAnsi="Times New Roman" w:cs="Times New Roman"/>
          <w:noProof/>
          <w:sz w:val="24"/>
          <w:szCs w:val="24"/>
          <w:lang w:val="en-IE"/>
        </w:rPr>
        <w:t xml:space="preserve">is planning to </w:t>
      </w:r>
      <w:r w:rsidR="004170A2" w:rsidRPr="00D16622">
        <w:rPr>
          <w:rFonts w:ascii="Times New Roman" w:hAnsi="Times New Roman" w:cs="Times New Roman"/>
          <w:noProof/>
          <w:sz w:val="24"/>
          <w:szCs w:val="24"/>
          <w:lang w:val="en-IE"/>
        </w:rPr>
        <w:t xml:space="preserve">adopt </w:t>
      </w:r>
      <w:r w:rsidR="00BA75DA" w:rsidRPr="00D16622">
        <w:rPr>
          <w:rFonts w:ascii="Times New Roman" w:hAnsi="Times New Roman" w:cs="Times New Roman"/>
          <w:noProof/>
          <w:sz w:val="24"/>
          <w:szCs w:val="24"/>
          <w:lang w:val="en-IE"/>
        </w:rPr>
        <w:t xml:space="preserve">an </w:t>
      </w:r>
      <w:r w:rsidR="00223000" w:rsidRPr="00D16622">
        <w:rPr>
          <w:rFonts w:ascii="Times New Roman" w:hAnsi="Times New Roman" w:cs="Times New Roman"/>
          <w:b/>
          <w:bCs/>
          <w:noProof/>
          <w:sz w:val="24"/>
          <w:szCs w:val="24"/>
          <w:lang w:val="en-IE"/>
        </w:rPr>
        <w:t>EU Strategy against Corruption</w:t>
      </w:r>
      <w:r w:rsidR="00270C25" w:rsidRPr="00D16622">
        <w:rPr>
          <w:rFonts w:ascii="Times New Roman" w:hAnsi="Times New Roman" w:cs="Times New Roman"/>
          <w:b/>
          <w:bCs/>
          <w:noProof/>
          <w:sz w:val="24"/>
          <w:szCs w:val="24"/>
          <w:lang w:val="en-IE"/>
        </w:rPr>
        <w:t xml:space="preserve"> </w:t>
      </w:r>
      <w:r w:rsidR="00270C25" w:rsidRPr="00D16622">
        <w:rPr>
          <w:rFonts w:ascii="Times New Roman" w:hAnsi="Times New Roman" w:cs="Times New Roman"/>
          <w:noProof/>
          <w:sz w:val="24"/>
          <w:szCs w:val="24"/>
          <w:lang w:val="en-IE"/>
        </w:rPr>
        <w:t>this year</w:t>
      </w:r>
      <w:r w:rsidR="00B1747E" w:rsidRPr="00D16622">
        <w:rPr>
          <w:rFonts w:ascii="Times New Roman" w:hAnsi="Times New Roman" w:cs="Times New Roman"/>
          <w:noProof/>
          <w:sz w:val="24"/>
          <w:szCs w:val="24"/>
          <w:lang w:val="en-IE"/>
        </w:rPr>
        <w:t>,</w:t>
      </w:r>
      <w:r w:rsidR="00B1747E" w:rsidRPr="00D16622">
        <w:rPr>
          <w:rFonts w:ascii="Times New Roman" w:hAnsi="Times New Roman" w:cs="Times New Roman"/>
          <w:b/>
          <w:bCs/>
          <w:noProof/>
          <w:sz w:val="24"/>
          <w:szCs w:val="24"/>
          <w:lang w:val="en-IE"/>
        </w:rPr>
        <w:t xml:space="preserve"> </w:t>
      </w:r>
      <w:r w:rsidR="001D4DE9" w:rsidRPr="00D16622">
        <w:rPr>
          <w:rFonts w:ascii="Times New Roman" w:hAnsi="Times New Roman" w:cs="Times New Roman"/>
          <w:noProof/>
          <w:sz w:val="24"/>
          <w:szCs w:val="24"/>
          <w:lang w:val="en-IE"/>
        </w:rPr>
        <w:t>aimed at streamlining and better</w:t>
      </w:r>
      <w:r w:rsidR="00C06ECA" w:rsidRPr="00D16622">
        <w:rPr>
          <w:rFonts w:ascii="Times New Roman" w:hAnsi="Times New Roman" w:cs="Times New Roman"/>
          <w:noProof/>
          <w:sz w:val="24"/>
          <w:szCs w:val="24"/>
          <w:lang w:val="en-IE"/>
        </w:rPr>
        <w:t xml:space="preserve"> coordinat</w:t>
      </w:r>
      <w:r w:rsidR="001D4DE9" w:rsidRPr="00D16622">
        <w:rPr>
          <w:rFonts w:ascii="Times New Roman" w:hAnsi="Times New Roman" w:cs="Times New Roman"/>
          <w:noProof/>
          <w:sz w:val="24"/>
          <w:szCs w:val="24"/>
          <w:lang w:val="en-IE"/>
        </w:rPr>
        <w:t>e</w:t>
      </w:r>
      <w:r w:rsidR="00C06ECA" w:rsidRPr="00D16622">
        <w:rPr>
          <w:rFonts w:ascii="Times New Roman" w:hAnsi="Times New Roman" w:cs="Times New Roman"/>
          <w:noProof/>
          <w:sz w:val="24"/>
          <w:szCs w:val="24"/>
          <w:lang w:val="en-IE"/>
        </w:rPr>
        <w:t xml:space="preserve"> anti-corruption efforts in the EU</w:t>
      </w:r>
      <w:r w:rsidR="000E4066" w:rsidRPr="00D16622">
        <w:rPr>
          <w:rFonts w:ascii="Times New Roman" w:hAnsi="Times New Roman" w:cs="Times New Roman"/>
          <w:noProof/>
          <w:sz w:val="24"/>
          <w:szCs w:val="24"/>
          <w:lang w:val="en-IE"/>
        </w:rPr>
        <w:t xml:space="preserve">. </w:t>
      </w:r>
      <w:r w:rsidR="00C7157D" w:rsidRPr="00D16622">
        <w:rPr>
          <w:rFonts w:ascii="Times New Roman" w:hAnsi="Times New Roman" w:cs="Times New Roman"/>
          <w:noProof/>
          <w:sz w:val="24"/>
          <w:szCs w:val="24"/>
        </w:rPr>
        <w:t>The EU Network Against Corruption continues to provide a forum for cooperation and exchange of good practices to support EU-wide efforts to foster integrity and fight corruption</w:t>
      </w:r>
      <w:r w:rsidR="00C7157D" w:rsidRPr="00D16622">
        <w:rPr>
          <w:rStyle w:val="FootnoteReference"/>
          <w:rFonts w:cs="Times New Roman"/>
          <w:noProof/>
        </w:rPr>
        <w:footnoteReference w:id="26"/>
      </w:r>
      <w:r w:rsidR="002C42FD" w:rsidRPr="00D16622">
        <w:rPr>
          <w:rFonts w:ascii="Times New Roman" w:hAnsi="Times New Roman" w:cs="Times New Roman"/>
          <w:noProof/>
          <w:sz w:val="24"/>
          <w:szCs w:val="24"/>
        </w:rPr>
        <w:t>.</w:t>
      </w:r>
    </w:p>
    <w:p w14:paraId="0997BE27" w14:textId="181C19F6" w:rsidR="0039109B" w:rsidRPr="00D16622" w:rsidRDefault="00515BE2" w:rsidP="00C7157D">
      <w:pPr>
        <w:spacing w:after="120" w:line="240" w:lineRule="auto"/>
        <w:jc w:val="both"/>
        <w:rPr>
          <w:rFonts w:ascii="Times New Roman" w:hAnsi="Times New Roman" w:cs="Times New Roman"/>
          <w:i/>
          <w:iCs/>
          <w:noProof/>
          <w:sz w:val="24"/>
          <w:szCs w:val="24"/>
        </w:rPr>
      </w:pPr>
      <w:r w:rsidRPr="00D16622">
        <w:rPr>
          <w:rFonts w:ascii="Times New Roman" w:hAnsi="Times New Roman" w:cs="Times New Roman"/>
          <w:i/>
          <w:iCs/>
          <w:noProof/>
          <w:sz w:val="24"/>
          <w:szCs w:val="24"/>
        </w:rPr>
        <w:t>Digitalisation for more efficient, resilient and secure justice systems</w:t>
      </w:r>
    </w:p>
    <w:p w14:paraId="27506AAD" w14:textId="06C72FC6" w:rsidR="0039109B" w:rsidRPr="00D16622" w:rsidRDefault="0039109B" w:rsidP="0039109B">
      <w:pPr>
        <w:spacing w:after="120" w:line="240" w:lineRule="auto"/>
        <w:jc w:val="both"/>
        <w:rPr>
          <w:rFonts w:ascii="Times New Roman" w:hAnsi="Times New Roman" w:cs="Times New Roman"/>
          <w:b/>
          <w:bCs/>
          <w:noProof/>
          <w:sz w:val="24"/>
          <w:szCs w:val="24"/>
          <w:lang w:val="en-IE"/>
        </w:rPr>
      </w:pPr>
      <w:r w:rsidRPr="00D16622">
        <w:rPr>
          <w:rFonts w:ascii="Times New Roman" w:hAnsi="Times New Roman" w:cs="Times New Roman"/>
          <w:noProof/>
          <w:sz w:val="24"/>
          <w:szCs w:val="24"/>
          <w:lang w:val="en-IE"/>
        </w:rPr>
        <w:t xml:space="preserve">The </w:t>
      </w:r>
      <w:hyperlink r:id="rId29" w:history="1">
        <w:r w:rsidRPr="00D16622">
          <w:rPr>
            <w:rStyle w:val="Hyperlink"/>
            <w:rFonts w:cs="Times New Roman"/>
            <w:noProof/>
            <w:szCs w:val="24"/>
            <w:lang w:val="en-IE"/>
          </w:rPr>
          <w:t>Digital Justice@2030 strategy</w:t>
        </w:r>
      </w:hyperlink>
      <w:r w:rsidRPr="00D16622">
        <w:rPr>
          <w:rFonts w:ascii="Times New Roman" w:hAnsi="Times New Roman" w:cs="Times New Roman"/>
          <w:noProof/>
          <w:sz w:val="24"/>
          <w:szCs w:val="24"/>
          <w:lang w:val="en-IE"/>
        </w:rPr>
        <w:t xml:space="preserve"> and the </w:t>
      </w:r>
      <w:hyperlink r:id="rId30" w:history="1">
        <w:r w:rsidRPr="00D16622">
          <w:rPr>
            <w:rStyle w:val="Hyperlink"/>
            <w:rFonts w:cs="Times New Roman"/>
            <w:bCs/>
            <w:noProof/>
            <w:szCs w:val="24"/>
            <w:lang w:val="en-IE"/>
          </w:rPr>
          <w:t>Judicial Training Strategy 2025-2030</w:t>
        </w:r>
      </w:hyperlink>
      <w:r w:rsidRPr="00D16622">
        <w:rPr>
          <w:rFonts w:ascii="Times New Roman" w:hAnsi="Times New Roman" w:cs="Times New Roman"/>
          <w:noProof/>
          <w:sz w:val="24"/>
          <w:szCs w:val="24"/>
          <w:lang w:val="en-IE"/>
        </w:rPr>
        <w:t xml:space="preserve">, adopted in November 2025, aim to accelerate digitalisation of national justice systems to make EU justice systems more efficient, resilient and secure. </w:t>
      </w:r>
      <w:r w:rsidR="00A17BCC" w:rsidRPr="00D16622">
        <w:rPr>
          <w:rFonts w:ascii="Times New Roman" w:hAnsi="Times New Roman" w:cs="Times New Roman"/>
          <w:noProof/>
          <w:sz w:val="24"/>
          <w:szCs w:val="24"/>
          <w:lang w:val="en-IE"/>
        </w:rPr>
        <w:t xml:space="preserve">Specific actions include improving full digital access to case law, improving videoconferencing, and achieving fully digital cross-border judicial proceedings. </w:t>
      </w:r>
      <w:r w:rsidRPr="00D16622">
        <w:rPr>
          <w:rFonts w:ascii="Times New Roman" w:hAnsi="Times New Roman" w:cs="Times New Roman"/>
          <w:noProof/>
          <w:sz w:val="24"/>
          <w:szCs w:val="24"/>
        </w:rPr>
        <w:t xml:space="preserve">This should help courts to provide faster and more effective </w:t>
      </w:r>
      <w:r w:rsidR="005D6EBD" w:rsidRPr="00D16622">
        <w:rPr>
          <w:rFonts w:ascii="Times New Roman" w:hAnsi="Times New Roman" w:cs="Times New Roman"/>
          <w:noProof/>
          <w:sz w:val="24"/>
          <w:szCs w:val="24"/>
        </w:rPr>
        <w:t>legal protection</w:t>
      </w:r>
      <w:r w:rsidRPr="00D16622">
        <w:rPr>
          <w:rFonts w:ascii="Times New Roman" w:hAnsi="Times New Roman" w:cs="Times New Roman"/>
          <w:noProof/>
          <w:sz w:val="24"/>
          <w:szCs w:val="24"/>
        </w:rPr>
        <w:t>, thereby increasing growth and competitiveness, and ease the strained budgets for national justice systems. Harnessing the digitalisation potential requires justice professionals to acquire the relevant skills, knowledge and awareness.</w:t>
      </w:r>
    </w:p>
    <w:p w14:paraId="38CBB60F" w14:textId="1E9BE290" w:rsidR="006E0B00" w:rsidRPr="00D16622" w:rsidRDefault="00A8125A" w:rsidP="00EB4B07">
      <w:pPr>
        <w:spacing w:after="120" w:line="240" w:lineRule="auto"/>
        <w:jc w:val="both"/>
        <w:rPr>
          <w:rFonts w:ascii="Times New Roman" w:hAnsi="Times New Roman" w:cs="Times New Roman"/>
          <w:i/>
          <w:iCs/>
          <w:noProof/>
          <w:sz w:val="24"/>
          <w:szCs w:val="24"/>
        </w:rPr>
      </w:pPr>
      <w:r w:rsidRPr="00D16622">
        <w:rPr>
          <w:rFonts w:ascii="Times New Roman" w:hAnsi="Times New Roman" w:cs="Times New Roman"/>
          <w:i/>
          <w:iCs/>
          <w:noProof/>
          <w:sz w:val="24"/>
          <w:szCs w:val="24"/>
        </w:rPr>
        <w:t>Reinforcing democracy, fundamental rights and financial integrity in the EU</w:t>
      </w:r>
    </w:p>
    <w:p w14:paraId="68986ACA" w14:textId="7269B371" w:rsidR="006E0B00" w:rsidRPr="00D16622" w:rsidRDefault="0039109B" w:rsidP="006E0B00">
      <w:pPr>
        <w:spacing w:after="120" w:line="240" w:lineRule="auto"/>
        <w:jc w:val="both"/>
        <w:rPr>
          <w:rFonts w:ascii="Times New Roman" w:hAnsi="Times New Roman" w:cs="Times New Roman"/>
          <w:noProof/>
        </w:rPr>
      </w:pPr>
      <w:r w:rsidRPr="00D16622">
        <w:rPr>
          <w:rFonts w:ascii="Times New Roman" w:eastAsia="Times New Roman" w:hAnsi="Times New Roman" w:cs="Times New Roman"/>
          <w:noProof/>
          <w:sz w:val="24"/>
          <w:szCs w:val="24"/>
          <w:lang w:val="en-IE"/>
        </w:rPr>
        <w:t xml:space="preserve">Rule of law and democracy are </w:t>
      </w:r>
      <w:r w:rsidR="000623DC" w:rsidRPr="00D16622">
        <w:rPr>
          <w:rFonts w:ascii="Times New Roman" w:eastAsia="Times New Roman" w:hAnsi="Times New Roman" w:cs="Times New Roman"/>
          <w:noProof/>
          <w:sz w:val="24"/>
          <w:szCs w:val="24"/>
          <w:lang w:val="en-IE"/>
        </w:rPr>
        <w:t>mutually reinforcing values</w:t>
      </w:r>
      <w:r w:rsidRPr="00D16622">
        <w:rPr>
          <w:rFonts w:ascii="Times New Roman" w:eastAsia="Times New Roman" w:hAnsi="Times New Roman" w:cs="Times New Roman"/>
          <w:noProof/>
          <w:sz w:val="24"/>
          <w:szCs w:val="24"/>
          <w:lang w:val="en-IE"/>
        </w:rPr>
        <w:t xml:space="preserve">. </w:t>
      </w:r>
      <w:r w:rsidR="006E0B00" w:rsidRPr="00D16622">
        <w:rPr>
          <w:rFonts w:ascii="Times New Roman" w:eastAsia="Times New Roman" w:hAnsi="Times New Roman" w:cs="Times New Roman"/>
          <w:noProof/>
          <w:sz w:val="24"/>
          <w:szCs w:val="24"/>
          <w:lang w:val="en-IE"/>
        </w:rPr>
        <w:t xml:space="preserve">The adoption of the </w:t>
      </w:r>
      <w:hyperlink r:id="rId31" w:history="1">
        <w:r w:rsidR="006E0B00" w:rsidRPr="00D16622">
          <w:rPr>
            <w:rStyle w:val="Hyperlink"/>
            <w:rFonts w:eastAsia="Times New Roman" w:cs="Times New Roman"/>
            <w:noProof/>
            <w:szCs w:val="24"/>
            <w:lang w:val="en-IE"/>
          </w:rPr>
          <w:t>European Democracy Shield</w:t>
        </w:r>
      </w:hyperlink>
      <w:r w:rsidR="006E0B00" w:rsidRPr="00D16622">
        <w:rPr>
          <w:rFonts w:ascii="Times New Roman" w:eastAsia="Times New Roman" w:hAnsi="Times New Roman" w:cs="Times New Roman"/>
          <w:noProof/>
          <w:sz w:val="24"/>
          <w:szCs w:val="24"/>
          <w:lang w:val="en-IE"/>
        </w:rPr>
        <w:t xml:space="preserve"> in November 2025 highligh</w:t>
      </w:r>
      <w:r w:rsidR="00AC78B0" w:rsidRPr="00D16622">
        <w:rPr>
          <w:rFonts w:ascii="Times New Roman" w:eastAsia="Times New Roman" w:hAnsi="Times New Roman" w:cs="Times New Roman"/>
          <w:noProof/>
          <w:sz w:val="24"/>
          <w:szCs w:val="24"/>
          <w:lang w:val="en-IE"/>
        </w:rPr>
        <w:t>ts</w:t>
      </w:r>
      <w:r w:rsidR="006E0B00" w:rsidRPr="00D16622">
        <w:rPr>
          <w:rFonts w:ascii="Times New Roman" w:eastAsia="Times New Roman" w:hAnsi="Times New Roman" w:cs="Times New Roman"/>
          <w:noProof/>
          <w:sz w:val="24"/>
          <w:szCs w:val="24"/>
          <w:lang w:val="en-IE"/>
        </w:rPr>
        <w:t xml:space="preserve"> the importance </w:t>
      </w:r>
      <w:r w:rsidR="008A1399" w:rsidRPr="00D16622">
        <w:rPr>
          <w:rFonts w:ascii="Times New Roman" w:eastAsia="Times New Roman" w:hAnsi="Times New Roman" w:cs="Times New Roman"/>
          <w:noProof/>
          <w:sz w:val="24"/>
          <w:szCs w:val="24"/>
          <w:lang w:val="en-IE"/>
        </w:rPr>
        <w:t xml:space="preserve">for </w:t>
      </w:r>
      <w:r w:rsidR="008B4F75" w:rsidRPr="00D16622">
        <w:rPr>
          <w:rFonts w:ascii="Times New Roman" w:eastAsia="Times New Roman" w:hAnsi="Times New Roman" w:cs="Times New Roman"/>
          <w:noProof/>
          <w:sz w:val="24"/>
          <w:szCs w:val="24"/>
          <w:lang w:val="en-IE"/>
        </w:rPr>
        <w:t xml:space="preserve">healthy democracies </w:t>
      </w:r>
      <w:r w:rsidR="006E0B00" w:rsidRPr="00D16622">
        <w:rPr>
          <w:rFonts w:ascii="Times New Roman" w:eastAsia="Times New Roman" w:hAnsi="Times New Roman" w:cs="Times New Roman"/>
          <w:noProof/>
          <w:sz w:val="24"/>
          <w:szCs w:val="24"/>
          <w:lang w:val="en-IE"/>
        </w:rPr>
        <w:t>of trusted institutions, free and fair elections, free and independent media</w:t>
      </w:r>
      <w:r w:rsidR="008260F6" w:rsidRPr="00D16622">
        <w:rPr>
          <w:rFonts w:ascii="Times New Roman" w:eastAsia="Times New Roman" w:hAnsi="Times New Roman" w:cs="Times New Roman"/>
          <w:noProof/>
          <w:sz w:val="24"/>
          <w:szCs w:val="24"/>
          <w:lang w:val="en-IE"/>
        </w:rPr>
        <w:t xml:space="preserve"> contributing to the integrity of the i</w:t>
      </w:r>
      <w:r w:rsidR="005C46FD" w:rsidRPr="00D16622">
        <w:rPr>
          <w:rFonts w:ascii="Times New Roman" w:eastAsia="Times New Roman" w:hAnsi="Times New Roman" w:cs="Times New Roman"/>
          <w:noProof/>
          <w:sz w:val="24"/>
          <w:szCs w:val="24"/>
          <w:lang w:val="en-IE"/>
        </w:rPr>
        <w:t>n</w:t>
      </w:r>
      <w:r w:rsidR="008260F6" w:rsidRPr="00D16622">
        <w:rPr>
          <w:rFonts w:ascii="Times New Roman" w:eastAsia="Times New Roman" w:hAnsi="Times New Roman" w:cs="Times New Roman"/>
          <w:noProof/>
          <w:sz w:val="24"/>
          <w:szCs w:val="24"/>
          <w:lang w:val="en-IE"/>
        </w:rPr>
        <w:t>formation space</w:t>
      </w:r>
      <w:r w:rsidR="006E0B00" w:rsidRPr="00D16622">
        <w:rPr>
          <w:rFonts w:ascii="Times New Roman" w:eastAsia="Times New Roman" w:hAnsi="Times New Roman" w:cs="Times New Roman"/>
          <w:noProof/>
          <w:sz w:val="24"/>
          <w:szCs w:val="24"/>
          <w:lang w:val="en-IE"/>
        </w:rPr>
        <w:t xml:space="preserve">, and an enabling environment for civil society. It </w:t>
      </w:r>
      <w:r w:rsidR="00AC78B0" w:rsidRPr="00D16622">
        <w:rPr>
          <w:rFonts w:ascii="Times New Roman" w:eastAsia="Times New Roman" w:hAnsi="Times New Roman" w:cs="Times New Roman"/>
          <w:noProof/>
          <w:sz w:val="24"/>
          <w:szCs w:val="24"/>
          <w:lang w:val="en-IE"/>
        </w:rPr>
        <w:t>emphasises</w:t>
      </w:r>
      <w:r w:rsidR="006E0B00" w:rsidRPr="00D16622">
        <w:rPr>
          <w:rFonts w:ascii="Times New Roman" w:eastAsia="Times New Roman" w:hAnsi="Times New Roman" w:cs="Times New Roman"/>
          <w:noProof/>
          <w:sz w:val="24"/>
          <w:szCs w:val="24"/>
          <w:lang w:val="en-IE"/>
        </w:rPr>
        <w:t xml:space="preserve"> the Commission’s strong commitment to enhancing democratic resilience across the Union as an integral element of its work together with other EU institutions and bodies, the EU Member States, </w:t>
      </w:r>
      <w:r w:rsidR="00684033" w:rsidRPr="00D16622">
        <w:rPr>
          <w:rFonts w:ascii="Times New Roman" w:eastAsia="Times New Roman" w:hAnsi="Times New Roman" w:cs="Times New Roman"/>
          <w:noProof/>
          <w:sz w:val="24"/>
          <w:szCs w:val="24"/>
          <w:lang w:val="en-IE"/>
        </w:rPr>
        <w:t xml:space="preserve">candidate countries and potential candidates </w:t>
      </w:r>
      <w:r w:rsidR="006E0B00" w:rsidRPr="00D16622">
        <w:rPr>
          <w:rFonts w:ascii="Times New Roman" w:eastAsia="Times New Roman" w:hAnsi="Times New Roman" w:cs="Times New Roman"/>
          <w:noProof/>
          <w:sz w:val="24"/>
          <w:szCs w:val="24"/>
          <w:lang w:val="en-IE"/>
        </w:rPr>
        <w:t xml:space="preserve">and partners and citizens to defend and uphold EU values. The actions it sets out are being progressively rolled </w:t>
      </w:r>
      <w:r w:rsidR="00105E05" w:rsidRPr="00D16622">
        <w:rPr>
          <w:rFonts w:ascii="Times New Roman" w:eastAsia="Times New Roman" w:hAnsi="Times New Roman" w:cs="Times New Roman"/>
          <w:noProof/>
          <w:sz w:val="24"/>
          <w:szCs w:val="24"/>
          <w:lang w:val="en-IE"/>
        </w:rPr>
        <w:t xml:space="preserve">out </w:t>
      </w:r>
      <w:r w:rsidR="006E0B00" w:rsidRPr="00D16622">
        <w:rPr>
          <w:rFonts w:ascii="Times New Roman" w:eastAsia="Times New Roman" w:hAnsi="Times New Roman" w:cs="Times New Roman"/>
          <w:noProof/>
          <w:sz w:val="24"/>
          <w:szCs w:val="24"/>
          <w:lang w:val="en-IE"/>
        </w:rPr>
        <w:t xml:space="preserve">by 2027. </w:t>
      </w:r>
    </w:p>
    <w:p w14:paraId="77F7D5F7" w14:textId="38BF6D5B" w:rsidR="00732F84" w:rsidRPr="00D16622" w:rsidRDefault="50DD69E4" w:rsidP="00384EBD">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The 2026 </w:t>
      </w:r>
      <w:r w:rsidR="00421192" w:rsidRPr="00D16622">
        <w:rPr>
          <w:rFonts w:ascii="Times New Roman" w:hAnsi="Times New Roman" w:cs="Times New Roman"/>
          <w:noProof/>
          <w:sz w:val="24"/>
          <w:szCs w:val="24"/>
        </w:rPr>
        <w:t>edition of the annual</w:t>
      </w:r>
      <w:r w:rsidR="00421192" w:rsidRPr="00D16622">
        <w:rPr>
          <w:rFonts w:ascii="Times New Roman" w:hAnsi="Times New Roman" w:cs="Times New Roman"/>
          <w:b/>
          <w:bCs/>
          <w:noProof/>
          <w:sz w:val="24"/>
          <w:szCs w:val="24"/>
        </w:rPr>
        <w:t xml:space="preserve"> </w:t>
      </w:r>
      <w:r w:rsidRPr="00D16622">
        <w:rPr>
          <w:rFonts w:ascii="Times New Roman" w:hAnsi="Times New Roman" w:cs="Times New Roman"/>
          <w:b/>
          <w:bCs/>
          <w:noProof/>
          <w:sz w:val="24"/>
          <w:szCs w:val="24"/>
        </w:rPr>
        <w:t>report</w:t>
      </w:r>
      <w:r w:rsidR="0020741C" w:rsidRPr="00D16622">
        <w:rPr>
          <w:rFonts w:ascii="Times New Roman" w:hAnsi="Times New Roman" w:cs="Times New Roman"/>
          <w:b/>
          <w:bCs/>
          <w:noProof/>
          <w:sz w:val="24"/>
          <w:szCs w:val="24"/>
        </w:rPr>
        <w:t xml:space="preserve"> on the application of the</w:t>
      </w:r>
      <w:r w:rsidR="000B5C43" w:rsidRPr="00D16622">
        <w:rPr>
          <w:rFonts w:ascii="Times New Roman" w:hAnsi="Times New Roman" w:cs="Times New Roman"/>
          <w:b/>
          <w:bCs/>
          <w:noProof/>
          <w:sz w:val="24"/>
          <w:szCs w:val="24"/>
        </w:rPr>
        <w:t xml:space="preserve"> EU</w:t>
      </w:r>
      <w:r w:rsidRPr="00D16622">
        <w:rPr>
          <w:rFonts w:ascii="Times New Roman" w:hAnsi="Times New Roman" w:cs="Times New Roman"/>
          <w:noProof/>
          <w:sz w:val="24"/>
          <w:szCs w:val="24"/>
        </w:rPr>
        <w:t xml:space="preserve"> </w:t>
      </w:r>
      <w:r w:rsidR="0020741C" w:rsidRPr="00D16622">
        <w:rPr>
          <w:rFonts w:ascii="Times New Roman" w:hAnsi="Times New Roman" w:cs="Times New Roman"/>
          <w:b/>
          <w:bCs/>
          <w:noProof/>
          <w:sz w:val="24"/>
          <w:szCs w:val="24"/>
        </w:rPr>
        <w:t>Charter</w:t>
      </w:r>
      <w:r w:rsidR="000B5C43" w:rsidRPr="00D16622">
        <w:rPr>
          <w:rFonts w:ascii="Times New Roman" w:hAnsi="Times New Roman" w:cs="Times New Roman"/>
          <w:b/>
          <w:bCs/>
          <w:noProof/>
          <w:sz w:val="24"/>
          <w:szCs w:val="24"/>
        </w:rPr>
        <w:t xml:space="preserve"> of Fundamental Rights</w:t>
      </w:r>
      <w:r w:rsidR="0020741C" w:rsidRPr="00D16622">
        <w:rPr>
          <w:rFonts w:ascii="Times New Roman" w:hAnsi="Times New Roman" w:cs="Times New Roman"/>
          <w:b/>
          <w:bCs/>
          <w:noProof/>
          <w:sz w:val="24"/>
          <w:szCs w:val="24"/>
        </w:rPr>
        <w:t xml:space="preserve"> </w:t>
      </w:r>
      <w:r w:rsidRPr="00D16622">
        <w:rPr>
          <w:rFonts w:ascii="Times New Roman" w:hAnsi="Times New Roman" w:cs="Times New Roman"/>
          <w:noProof/>
          <w:sz w:val="24"/>
          <w:szCs w:val="24"/>
        </w:rPr>
        <w:t>will focus on the role played by independent fundamental rights bodies</w:t>
      </w:r>
      <w:r w:rsidR="00421192" w:rsidRPr="00D16622">
        <w:rPr>
          <w:rFonts w:ascii="Times New Roman" w:hAnsi="Times New Roman" w:cs="Times New Roman"/>
          <w:noProof/>
          <w:sz w:val="24"/>
          <w:szCs w:val="24"/>
        </w:rPr>
        <w:t>, namely</w:t>
      </w:r>
      <w:r w:rsidRPr="00D16622">
        <w:rPr>
          <w:rFonts w:ascii="Times New Roman" w:hAnsi="Times New Roman" w:cs="Times New Roman"/>
          <w:noProof/>
          <w:sz w:val="24"/>
          <w:szCs w:val="24"/>
        </w:rPr>
        <w:t xml:space="preserve"> National Human Rights Institutions (NHRIs), equality bodies and ombuds institutions. These state-mandated actors promote, protect, and monitor fundamental rights at the national level</w:t>
      </w:r>
      <w:r w:rsidR="00732F84" w:rsidRPr="00D16622">
        <w:rPr>
          <w:rFonts w:ascii="Times New Roman" w:hAnsi="Times New Roman" w:cs="Times New Roman"/>
          <w:noProof/>
          <w:sz w:val="24"/>
          <w:szCs w:val="24"/>
        </w:rPr>
        <w:t xml:space="preserve">, support victims, and contribute to international human rights reporting. Building on </w:t>
      </w:r>
      <w:r w:rsidR="00732F84" w:rsidRPr="00621650">
        <w:rPr>
          <w:rFonts w:ascii="Times New Roman" w:hAnsi="Times New Roman" w:cs="Times New Roman"/>
          <w:noProof/>
          <w:sz w:val="24"/>
          <w:szCs w:val="24"/>
        </w:rPr>
        <w:t xml:space="preserve">the </w:t>
      </w:r>
      <w:hyperlink r:id="rId32" w:history="1">
        <w:r w:rsidR="00732F84" w:rsidRPr="00325D7C">
          <w:rPr>
            <w:rStyle w:val="Hyperlink"/>
            <w:noProof/>
          </w:rPr>
          <w:t>Charter</w:t>
        </w:r>
        <w:r w:rsidR="00732F84" w:rsidRPr="00621650">
          <w:rPr>
            <w:rStyle w:val="Hyperlink"/>
            <w:rFonts w:cs="Times New Roman"/>
            <w:noProof/>
            <w:szCs w:val="24"/>
          </w:rPr>
          <w:t xml:space="preserve"> strategy</w:t>
        </w:r>
      </w:hyperlink>
      <w:r w:rsidR="00732F84" w:rsidRPr="00621650">
        <w:rPr>
          <w:rFonts w:ascii="Times New Roman" w:hAnsi="Times New Roman" w:cs="Times New Roman"/>
          <w:noProof/>
          <w:sz w:val="24"/>
          <w:szCs w:val="24"/>
        </w:rPr>
        <w:t xml:space="preserve"> and its </w:t>
      </w:r>
      <w:hyperlink r:id="rId33" w:history="1">
        <w:r w:rsidR="00732F84" w:rsidRPr="00621650">
          <w:rPr>
            <w:rStyle w:val="Hyperlink"/>
            <w:rFonts w:cs="Times New Roman"/>
            <w:noProof/>
            <w:szCs w:val="24"/>
          </w:rPr>
          <w:t>2025 mid-term review</w:t>
        </w:r>
      </w:hyperlink>
      <w:r w:rsidR="00732F84" w:rsidRPr="00D16622">
        <w:rPr>
          <w:rFonts w:ascii="Times New Roman" w:hAnsi="Times New Roman" w:cs="Times New Roman"/>
          <w:noProof/>
          <w:sz w:val="24"/>
          <w:szCs w:val="24"/>
        </w:rPr>
        <w:t xml:space="preserve">, the report will highlight their role in national </w:t>
      </w:r>
      <w:r w:rsidR="009B1B19" w:rsidRPr="00D16622">
        <w:rPr>
          <w:rFonts w:ascii="Times New Roman" w:hAnsi="Times New Roman" w:cs="Times New Roman"/>
          <w:noProof/>
          <w:sz w:val="24"/>
          <w:szCs w:val="24"/>
        </w:rPr>
        <w:t xml:space="preserve">fundamental </w:t>
      </w:r>
      <w:r w:rsidR="00732F84" w:rsidRPr="00D16622">
        <w:rPr>
          <w:rFonts w:ascii="Times New Roman" w:hAnsi="Times New Roman" w:cs="Times New Roman"/>
          <w:noProof/>
          <w:sz w:val="24"/>
          <w:szCs w:val="24"/>
        </w:rPr>
        <w:t>rights systems and EU policymaking, including</w:t>
      </w:r>
      <w:r w:rsidR="000A1F06" w:rsidRPr="00D16622">
        <w:rPr>
          <w:rFonts w:ascii="Times New Roman" w:hAnsi="Times New Roman" w:cs="Times New Roman"/>
          <w:noProof/>
          <w:sz w:val="24"/>
          <w:szCs w:val="24"/>
        </w:rPr>
        <w:t xml:space="preserve"> in protecting</w:t>
      </w:r>
      <w:r w:rsidR="00732F84" w:rsidRPr="00D16622">
        <w:rPr>
          <w:rFonts w:ascii="Times New Roman" w:hAnsi="Times New Roman" w:cs="Times New Roman"/>
          <w:noProof/>
          <w:sz w:val="24"/>
          <w:szCs w:val="24"/>
        </w:rPr>
        <w:t xml:space="preserve"> the rule of law. </w:t>
      </w:r>
    </w:p>
    <w:p w14:paraId="6C7FE65B" w14:textId="152FF6C6" w:rsidR="00267419" w:rsidRPr="00D16622" w:rsidRDefault="006D3D1C" w:rsidP="00267419">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Protecting the Union's financial interests is also essential to</w:t>
      </w:r>
      <w:r w:rsidR="00251C9D" w:rsidRPr="00D16622">
        <w:rPr>
          <w:rFonts w:ascii="Times New Roman" w:hAnsi="Times New Roman" w:cs="Times New Roman"/>
          <w:noProof/>
          <w:sz w:val="24"/>
          <w:szCs w:val="24"/>
        </w:rPr>
        <w:t xml:space="preserve"> ensure</w:t>
      </w:r>
      <w:r w:rsidRPr="00D16622">
        <w:rPr>
          <w:rFonts w:ascii="Times New Roman" w:hAnsi="Times New Roman" w:cs="Times New Roman"/>
          <w:noProof/>
          <w:sz w:val="24"/>
          <w:szCs w:val="24"/>
        </w:rPr>
        <w:t xml:space="preserve"> trust in EU institutions and the broader rule</w:t>
      </w:r>
      <w:r w:rsidR="00EF359B" w:rsidRPr="00D16622">
        <w:rPr>
          <w:rFonts w:ascii="Times New Roman" w:hAnsi="Times New Roman" w:cs="Times New Roman"/>
          <w:noProof/>
          <w:sz w:val="24"/>
          <w:szCs w:val="24"/>
        </w:rPr>
        <w:t xml:space="preserve"> </w:t>
      </w:r>
      <w:r w:rsidRPr="00D16622">
        <w:rPr>
          <w:rFonts w:ascii="Times New Roman" w:hAnsi="Times New Roman" w:cs="Times New Roman"/>
          <w:noProof/>
          <w:sz w:val="24"/>
          <w:szCs w:val="24"/>
        </w:rPr>
        <w:t>of</w:t>
      </w:r>
      <w:r w:rsidR="00EF359B" w:rsidRPr="00D16622">
        <w:rPr>
          <w:rFonts w:ascii="Times New Roman" w:hAnsi="Times New Roman" w:cs="Times New Roman"/>
          <w:noProof/>
          <w:sz w:val="24"/>
          <w:szCs w:val="24"/>
        </w:rPr>
        <w:t xml:space="preserve"> </w:t>
      </w:r>
      <w:r w:rsidRPr="00D16622">
        <w:rPr>
          <w:rFonts w:ascii="Times New Roman" w:hAnsi="Times New Roman" w:cs="Times New Roman"/>
          <w:noProof/>
          <w:sz w:val="24"/>
          <w:szCs w:val="24"/>
        </w:rPr>
        <w:t>law framework. In this context, t</w:t>
      </w:r>
      <w:r w:rsidR="00267419" w:rsidRPr="00D16622">
        <w:rPr>
          <w:rFonts w:ascii="Times New Roman" w:hAnsi="Times New Roman" w:cs="Times New Roman"/>
          <w:noProof/>
          <w:sz w:val="24"/>
          <w:szCs w:val="24"/>
        </w:rPr>
        <w:t xml:space="preserve">he review of the </w:t>
      </w:r>
      <w:r w:rsidR="00267419" w:rsidRPr="00D16622">
        <w:rPr>
          <w:rFonts w:ascii="Times New Roman" w:hAnsi="Times New Roman" w:cs="Times New Roman"/>
          <w:b/>
          <w:bCs/>
          <w:noProof/>
          <w:sz w:val="24"/>
          <w:szCs w:val="24"/>
        </w:rPr>
        <w:t>EU anti-fraud architecture</w:t>
      </w:r>
      <w:r w:rsidR="00267419" w:rsidRPr="00D16622">
        <w:rPr>
          <w:rFonts w:ascii="Times New Roman" w:hAnsi="Times New Roman" w:cs="Times New Roman"/>
          <w:noProof/>
          <w:sz w:val="24"/>
          <w:szCs w:val="24"/>
        </w:rPr>
        <w:t xml:space="preserve"> is ongoing, with all relevant actors actively engaged in identifying solutions to strengthen the protection of the Union’s financial interests. The review focuses on enhancing deterrence, increasing synergies and efficiency, and avoiding duplication throughout the anti-fraud cycle, from prevention and detection to investigation, correction</w:t>
      </w:r>
      <w:r w:rsidR="001D2A5D" w:rsidRPr="00D16622">
        <w:rPr>
          <w:rFonts w:ascii="Times New Roman" w:hAnsi="Times New Roman" w:cs="Times New Roman"/>
          <w:noProof/>
          <w:sz w:val="24"/>
          <w:szCs w:val="24"/>
        </w:rPr>
        <w:t>, sanctioning</w:t>
      </w:r>
      <w:r w:rsidR="00267419" w:rsidRPr="00D16622">
        <w:rPr>
          <w:rFonts w:ascii="Times New Roman" w:hAnsi="Times New Roman" w:cs="Times New Roman"/>
          <w:noProof/>
          <w:sz w:val="24"/>
          <w:szCs w:val="24"/>
        </w:rPr>
        <w:t xml:space="preserve"> and recovery.</w:t>
      </w:r>
    </w:p>
    <w:p w14:paraId="01DEDBD2" w14:textId="77777777" w:rsidR="002C6547" w:rsidRPr="00D16622" w:rsidRDefault="002C6547" w:rsidP="002C6547">
      <w:pPr>
        <w:spacing w:after="120" w:line="240" w:lineRule="auto"/>
        <w:jc w:val="both"/>
        <w:rPr>
          <w:rFonts w:ascii="Times New Roman" w:hAnsi="Times New Roman" w:cs="Times New Roman"/>
          <w:noProof/>
          <w:sz w:val="24"/>
          <w:szCs w:val="24"/>
        </w:rPr>
      </w:pPr>
      <w:r w:rsidRPr="00D16622">
        <w:rPr>
          <w:rFonts w:ascii="Times New Roman" w:hAnsi="Times New Roman" w:cs="Times New Roman"/>
          <w:i/>
          <w:noProof/>
          <w:sz w:val="24"/>
          <w:szCs w:val="24"/>
        </w:rPr>
        <w:t>Fostering a Rule of Law culture</w:t>
      </w:r>
    </w:p>
    <w:p w14:paraId="5DA3AE1A" w14:textId="78B5DD26" w:rsidR="002C6547" w:rsidRPr="00D16622" w:rsidRDefault="002C6547" w:rsidP="002C6547">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Enhancing the awareness of European citizens, national authorities, and relevant stakeholders of the rule of law as a bedrock of successful democratic societies is a key objective of the Commission. In May 2026, the Commission launched the </w:t>
      </w:r>
      <w:hyperlink r:id="rId34" w:history="1">
        <w:r w:rsidRPr="00D16622">
          <w:rPr>
            <w:rStyle w:val="Hyperlink"/>
            <w:rFonts w:cs="Times New Roman"/>
            <w:noProof/>
            <w:szCs w:val="24"/>
          </w:rPr>
          <w:t>‘Protect What Matters’ campaign</w:t>
        </w:r>
      </w:hyperlink>
      <w:r w:rsidRPr="00D16622">
        <w:rPr>
          <w:rFonts w:ascii="Times New Roman" w:hAnsi="Times New Roman" w:cs="Times New Roman"/>
          <w:noProof/>
          <w:sz w:val="24"/>
          <w:szCs w:val="24"/>
        </w:rPr>
        <w:t xml:space="preserve">, which focuses on democratic principles and aims to raise awareness of core values relevant to the rule of law, including media freedom. </w:t>
      </w:r>
      <w:r w:rsidR="00E02CBD" w:rsidRPr="00D16622">
        <w:rPr>
          <w:rFonts w:ascii="Times New Roman" w:hAnsi="Times New Roman" w:cs="Times New Roman"/>
          <w:noProof/>
          <w:sz w:val="24"/>
          <w:szCs w:val="24"/>
        </w:rPr>
        <w:t>S</w:t>
      </w:r>
      <w:r w:rsidRPr="00D16622">
        <w:rPr>
          <w:rFonts w:ascii="Times New Roman" w:hAnsi="Times New Roman" w:cs="Times New Roman"/>
          <w:noProof/>
          <w:sz w:val="24"/>
          <w:szCs w:val="24"/>
        </w:rPr>
        <w:t xml:space="preserve">everal Member States </w:t>
      </w:r>
      <w:r w:rsidR="00E02CBD" w:rsidRPr="00D16622">
        <w:rPr>
          <w:rFonts w:ascii="Times New Roman" w:hAnsi="Times New Roman" w:cs="Times New Roman"/>
          <w:noProof/>
          <w:sz w:val="24"/>
          <w:szCs w:val="24"/>
        </w:rPr>
        <w:t xml:space="preserve">implemented initiatives </w:t>
      </w:r>
      <w:r w:rsidRPr="00D16622">
        <w:rPr>
          <w:rFonts w:ascii="Times New Roman" w:hAnsi="Times New Roman" w:cs="Times New Roman"/>
          <w:noProof/>
          <w:sz w:val="24"/>
          <w:szCs w:val="24"/>
        </w:rPr>
        <w:t xml:space="preserve">for raising awareness of the rule of law, including </w:t>
      </w:r>
      <w:r w:rsidR="00E02CBD" w:rsidRPr="00D16622">
        <w:rPr>
          <w:rFonts w:ascii="Times New Roman" w:hAnsi="Times New Roman" w:cs="Times New Roman"/>
          <w:noProof/>
          <w:sz w:val="24"/>
          <w:szCs w:val="24"/>
        </w:rPr>
        <w:t>a</w:t>
      </w:r>
      <w:r w:rsidRPr="00D16622">
        <w:rPr>
          <w:rFonts w:ascii="Times New Roman" w:hAnsi="Times New Roman" w:cs="Times New Roman"/>
          <w:noProof/>
          <w:sz w:val="24"/>
          <w:szCs w:val="24"/>
        </w:rPr>
        <w:t xml:space="preserve"> ‘Rule of Law week’ in the Netherlands and Belgium to encourage public debate</w:t>
      </w:r>
      <w:r w:rsidRPr="00D16622">
        <w:rPr>
          <w:rStyle w:val="FootnoteReference"/>
          <w:rFonts w:cs="Times New Roman"/>
          <w:noProof/>
        </w:rPr>
        <w:footnoteReference w:id="27"/>
      </w:r>
      <w:r w:rsidRPr="00D16622">
        <w:rPr>
          <w:rFonts w:ascii="Times New Roman" w:hAnsi="Times New Roman" w:cs="Times New Roman"/>
          <w:noProof/>
          <w:sz w:val="24"/>
          <w:szCs w:val="24"/>
        </w:rPr>
        <w:t xml:space="preserve">. </w:t>
      </w:r>
    </w:p>
    <w:p w14:paraId="50EF2040" w14:textId="3661EE3F" w:rsidR="006120B2" w:rsidRPr="00D16622" w:rsidRDefault="006120B2" w:rsidP="006120B2">
      <w:pPr>
        <w:spacing w:after="120" w:line="240" w:lineRule="auto"/>
        <w:jc w:val="both"/>
        <w:rPr>
          <w:rFonts w:ascii="Times New Roman" w:hAnsi="Times New Roman" w:cs="Times New Roman"/>
          <w:bCs/>
          <w:i/>
          <w:noProof/>
          <w:sz w:val="24"/>
          <w:szCs w:val="24"/>
        </w:rPr>
      </w:pPr>
      <w:r w:rsidRPr="00D16622">
        <w:rPr>
          <w:rFonts w:ascii="Times New Roman" w:hAnsi="Times New Roman" w:cs="Times New Roman"/>
          <w:i/>
          <w:noProof/>
          <w:sz w:val="24"/>
          <w:szCs w:val="24"/>
        </w:rPr>
        <w:t>Rule of law at the core of the enlargement process and external action</w:t>
      </w:r>
    </w:p>
    <w:p w14:paraId="3817A1C4" w14:textId="047EE590" w:rsidR="00964D1F" w:rsidRPr="00D16622" w:rsidRDefault="00964D1F" w:rsidP="009C6F62">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The </w:t>
      </w:r>
      <w:r w:rsidR="00C9758E" w:rsidRPr="00D16622">
        <w:rPr>
          <w:rFonts w:ascii="Times New Roman" w:hAnsi="Times New Roman" w:cs="Times New Roman"/>
          <w:noProof/>
          <w:sz w:val="24"/>
          <w:szCs w:val="24"/>
        </w:rPr>
        <w:t>EU</w:t>
      </w:r>
      <w:r w:rsidRPr="00D16622">
        <w:rPr>
          <w:rFonts w:ascii="Times New Roman" w:hAnsi="Times New Roman" w:cs="Times New Roman"/>
          <w:noProof/>
          <w:sz w:val="24"/>
          <w:szCs w:val="24"/>
        </w:rPr>
        <w:t xml:space="preserve"> remains </w:t>
      </w:r>
      <w:r w:rsidR="00792252" w:rsidRPr="00D16622">
        <w:rPr>
          <w:rFonts w:ascii="Times New Roman" w:hAnsi="Times New Roman" w:cs="Times New Roman"/>
          <w:noProof/>
          <w:sz w:val="24"/>
          <w:szCs w:val="24"/>
        </w:rPr>
        <w:t xml:space="preserve">unwavering </w:t>
      </w:r>
      <w:r w:rsidRPr="00D16622">
        <w:rPr>
          <w:rFonts w:ascii="Times New Roman" w:hAnsi="Times New Roman" w:cs="Times New Roman"/>
          <w:noProof/>
          <w:sz w:val="24"/>
          <w:szCs w:val="24"/>
        </w:rPr>
        <w:t>in its commitment to defending democratic principles and the rule of law, particularly in the face of Russia’s ongoing war of aggression against Ukraine</w:t>
      </w:r>
      <w:r w:rsidR="005300DD" w:rsidRPr="00D16622">
        <w:rPr>
          <w:rFonts w:ascii="Times New Roman" w:hAnsi="Times New Roman" w:cs="Times New Roman"/>
          <w:noProof/>
          <w:sz w:val="24"/>
          <w:szCs w:val="24"/>
        </w:rPr>
        <w:t xml:space="preserve">, </w:t>
      </w:r>
      <w:r w:rsidRPr="00D16622">
        <w:rPr>
          <w:rFonts w:ascii="Times New Roman" w:hAnsi="Times New Roman" w:cs="Times New Roman"/>
          <w:noProof/>
          <w:sz w:val="24"/>
          <w:szCs w:val="24"/>
        </w:rPr>
        <w:t xml:space="preserve">a blatant violation of international law. </w:t>
      </w:r>
      <w:r w:rsidR="00453260" w:rsidRPr="00D16622">
        <w:rPr>
          <w:rFonts w:ascii="Times New Roman" w:hAnsi="Times New Roman" w:cs="Times New Roman"/>
          <w:noProof/>
          <w:sz w:val="24"/>
          <w:szCs w:val="24"/>
        </w:rPr>
        <w:t xml:space="preserve">The rule of law </w:t>
      </w:r>
      <w:r w:rsidRPr="00D16622">
        <w:rPr>
          <w:rFonts w:ascii="Times New Roman" w:hAnsi="Times New Roman" w:cs="Times New Roman"/>
          <w:noProof/>
          <w:sz w:val="24"/>
          <w:szCs w:val="24"/>
        </w:rPr>
        <w:t>is essential</w:t>
      </w:r>
      <w:r w:rsidR="00322624" w:rsidRPr="00D16622">
        <w:rPr>
          <w:rFonts w:ascii="Times New Roman" w:hAnsi="Times New Roman" w:cs="Times New Roman"/>
          <w:noProof/>
          <w:sz w:val="24"/>
          <w:szCs w:val="24"/>
        </w:rPr>
        <w:t xml:space="preserve"> </w:t>
      </w:r>
      <w:r w:rsidR="00184A20" w:rsidRPr="00D16622">
        <w:rPr>
          <w:rFonts w:ascii="Times New Roman" w:hAnsi="Times New Roman" w:cs="Times New Roman"/>
          <w:noProof/>
          <w:sz w:val="24"/>
          <w:szCs w:val="24"/>
        </w:rPr>
        <w:t>to democratic resilience and</w:t>
      </w:r>
      <w:r w:rsidRPr="00D16622">
        <w:rPr>
          <w:rFonts w:ascii="Times New Roman" w:hAnsi="Times New Roman" w:cs="Times New Roman"/>
          <w:noProof/>
          <w:sz w:val="24"/>
          <w:szCs w:val="24"/>
        </w:rPr>
        <w:t xml:space="preserve"> to counter external threats, such as </w:t>
      </w:r>
      <w:r w:rsidR="00C72D58" w:rsidRPr="00D16622">
        <w:rPr>
          <w:rFonts w:ascii="Times New Roman" w:hAnsi="Times New Roman" w:cs="Times New Roman"/>
          <w:noProof/>
          <w:sz w:val="24"/>
          <w:szCs w:val="24"/>
        </w:rPr>
        <w:t>foreign information manipulation and interference (FIMI)</w:t>
      </w:r>
      <w:r w:rsidR="008F05A2" w:rsidRPr="00D16622">
        <w:rPr>
          <w:rFonts w:ascii="Times New Roman" w:hAnsi="Times New Roman" w:cs="Times New Roman"/>
          <w:noProof/>
          <w:sz w:val="24"/>
          <w:szCs w:val="24"/>
        </w:rPr>
        <w:t>.</w:t>
      </w:r>
      <w:r w:rsidR="00774249" w:rsidRPr="00D16622" w:rsidDel="00E123EF">
        <w:rPr>
          <w:rFonts w:ascii="Times New Roman" w:hAnsi="Times New Roman" w:cs="Times New Roman"/>
          <w:noProof/>
          <w:sz w:val="24"/>
          <w:szCs w:val="24"/>
        </w:rPr>
        <w:t xml:space="preserve"> </w:t>
      </w:r>
      <w:r w:rsidR="009C6F62" w:rsidRPr="00D16622">
        <w:rPr>
          <w:rFonts w:ascii="Times New Roman" w:hAnsi="Times New Roman" w:cs="Times New Roman"/>
          <w:noProof/>
          <w:sz w:val="24"/>
          <w:szCs w:val="24"/>
        </w:rPr>
        <w:t xml:space="preserve">In its external action, the EU seeks to </w:t>
      </w:r>
      <w:r w:rsidR="0060607F" w:rsidRPr="00D16622">
        <w:rPr>
          <w:rFonts w:ascii="Times New Roman" w:hAnsi="Times New Roman" w:cs="Times New Roman"/>
          <w:noProof/>
          <w:sz w:val="24"/>
          <w:szCs w:val="24"/>
        </w:rPr>
        <w:t>support the rule of law through dialogue and cooperation with partner countries</w:t>
      </w:r>
      <w:r w:rsidR="008701FF" w:rsidRPr="00D16622">
        <w:rPr>
          <w:rFonts w:ascii="Times New Roman" w:hAnsi="Times New Roman" w:cs="Times New Roman"/>
          <w:noProof/>
          <w:sz w:val="24"/>
          <w:szCs w:val="24"/>
        </w:rPr>
        <w:t xml:space="preserve">, notably in </w:t>
      </w:r>
      <w:r w:rsidRPr="00D16622">
        <w:rPr>
          <w:rFonts w:ascii="Times New Roman" w:hAnsi="Times New Roman" w:cs="Times New Roman"/>
          <w:noProof/>
          <w:sz w:val="24"/>
          <w:szCs w:val="24"/>
        </w:rPr>
        <w:t>its neighbouring regions.</w:t>
      </w:r>
      <w:r w:rsidR="00343A14" w:rsidRPr="00D16622">
        <w:rPr>
          <w:rFonts w:ascii="Times New Roman" w:hAnsi="Times New Roman" w:cs="Times New Roman"/>
          <w:noProof/>
          <w:sz w:val="24"/>
          <w:szCs w:val="24"/>
        </w:rPr>
        <w:t xml:space="preserve"> </w:t>
      </w:r>
    </w:p>
    <w:p w14:paraId="77AB9220" w14:textId="098B83E3" w:rsidR="00964D1F" w:rsidRPr="00D16622" w:rsidRDefault="00964D1F" w:rsidP="00964D1F">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At the heart of the </w:t>
      </w:r>
      <w:r w:rsidRPr="00D16622">
        <w:rPr>
          <w:rFonts w:ascii="Times New Roman" w:hAnsi="Times New Roman" w:cs="Times New Roman"/>
          <w:b/>
          <w:bCs/>
          <w:noProof/>
          <w:sz w:val="24"/>
          <w:szCs w:val="24"/>
        </w:rPr>
        <w:t>EU’s enlargement policy</w:t>
      </w:r>
      <w:r w:rsidRPr="00D16622">
        <w:rPr>
          <w:rFonts w:ascii="Times New Roman" w:hAnsi="Times New Roman" w:cs="Times New Roman"/>
          <w:noProof/>
          <w:sz w:val="24"/>
          <w:szCs w:val="24"/>
        </w:rPr>
        <w:t xml:space="preserve"> lie the </w:t>
      </w:r>
      <w:r w:rsidR="005B4281" w:rsidRPr="00D16622">
        <w:rPr>
          <w:rFonts w:ascii="Times New Roman" w:hAnsi="Times New Roman" w:cs="Times New Roman"/>
          <w:noProof/>
          <w:sz w:val="24"/>
          <w:szCs w:val="24"/>
        </w:rPr>
        <w:t>so-called</w:t>
      </w:r>
      <w:r w:rsidRPr="00D16622">
        <w:rPr>
          <w:rFonts w:ascii="Times New Roman" w:hAnsi="Times New Roman" w:cs="Times New Roman"/>
          <w:noProof/>
          <w:sz w:val="24"/>
          <w:szCs w:val="24"/>
        </w:rPr>
        <w:t xml:space="preserve"> </w:t>
      </w:r>
      <w:r w:rsidR="005B4281" w:rsidRPr="00D16622">
        <w:rPr>
          <w:rFonts w:ascii="Times New Roman" w:hAnsi="Times New Roman" w:cs="Times New Roman"/>
          <w:noProof/>
          <w:sz w:val="24"/>
          <w:szCs w:val="24"/>
        </w:rPr>
        <w:t>‘</w:t>
      </w:r>
      <w:r w:rsidRPr="00D16622">
        <w:rPr>
          <w:rFonts w:ascii="Times New Roman" w:hAnsi="Times New Roman" w:cs="Times New Roman"/>
          <w:noProof/>
          <w:sz w:val="24"/>
          <w:szCs w:val="24"/>
        </w:rPr>
        <w:t>fundamentals</w:t>
      </w:r>
      <w:r w:rsidR="005B4281" w:rsidRPr="00D16622">
        <w:rPr>
          <w:rFonts w:ascii="Times New Roman" w:hAnsi="Times New Roman" w:cs="Times New Roman"/>
          <w:noProof/>
          <w:sz w:val="24"/>
          <w:szCs w:val="24"/>
        </w:rPr>
        <w:t>’</w:t>
      </w:r>
      <w:r w:rsidR="006B78C9" w:rsidRPr="00D16622">
        <w:rPr>
          <w:rFonts w:ascii="Times New Roman" w:hAnsi="Times New Roman" w:cs="Times New Roman"/>
          <w:noProof/>
          <w:sz w:val="24"/>
          <w:szCs w:val="24"/>
        </w:rPr>
        <w:t xml:space="preserve"> – </w:t>
      </w:r>
      <w:r w:rsidRPr="00D16622">
        <w:rPr>
          <w:rFonts w:ascii="Times New Roman" w:hAnsi="Times New Roman" w:cs="Times New Roman"/>
          <w:noProof/>
          <w:sz w:val="24"/>
          <w:szCs w:val="24"/>
        </w:rPr>
        <w:t>the consolidation of democratic structures, the upholding of the rule of law, and the protection of fundamental rights</w:t>
      </w:r>
      <w:r w:rsidR="00BE1F0C" w:rsidRPr="00D16622">
        <w:rPr>
          <w:rStyle w:val="FootnoteReference"/>
          <w:rFonts w:cs="Times New Roman"/>
          <w:noProof/>
        </w:rPr>
        <w:footnoteReference w:id="28"/>
      </w:r>
      <w:r w:rsidRPr="00D16622">
        <w:rPr>
          <w:rFonts w:ascii="Times New Roman" w:hAnsi="Times New Roman" w:cs="Times New Roman"/>
          <w:noProof/>
          <w:sz w:val="24"/>
          <w:szCs w:val="24"/>
        </w:rPr>
        <w:t>. Progress in these areas is rigorously assessed in the Commission’s annual Enlargement package, with tangible and sustained reforms serving as the benchmark for advancing negotiations. The EU continues to work closely with the Council of Europe (including the European Court of Human Rights, the Venice Commission, CEPEJ</w:t>
      </w:r>
      <w:r w:rsidR="00117552" w:rsidRPr="00D16622">
        <w:rPr>
          <w:rStyle w:val="FootnoteReference"/>
          <w:rFonts w:cs="Times New Roman"/>
          <w:noProof/>
        </w:rPr>
        <w:footnoteReference w:id="29"/>
      </w:r>
      <w:r w:rsidR="005C0231" w:rsidRPr="00D16622">
        <w:rPr>
          <w:rFonts w:ascii="Times New Roman" w:hAnsi="Times New Roman" w:cs="Times New Roman"/>
          <w:noProof/>
        </w:rPr>
        <w:t>,</w:t>
      </w:r>
      <w:r w:rsidRPr="00D16622">
        <w:rPr>
          <w:rFonts w:ascii="Times New Roman" w:hAnsi="Times New Roman" w:cs="Times New Roman"/>
          <w:noProof/>
          <w:sz w:val="24"/>
          <w:szCs w:val="24"/>
        </w:rPr>
        <w:t xml:space="preserve"> and GRECO</w:t>
      </w:r>
      <w:r w:rsidR="009A26DA" w:rsidRPr="00D16622">
        <w:rPr>
          <w:rStyle w:val="FootnoteReference"/>
          <w:rFonts w:cs="Times New Roman"/>
          <w:noProof/>
        </w:rPr>
        <w:footnoteReference w:id="30"/>
      </w:r>
      <w:r w:rsidRPr="00D16622">
        <w:rPr>
          <w:rFonts w:ascii="Times New Roman" w:hAnsi="Times New Roman" w:cs="Times New Roman"/>
          <w:noProof/>
          <w:sz w:val="24"/>
          <w:szCs w:val="24"/>
        </w:rPr>
        <w:t>) and the OECD Anti-Corruption Network to support enlargement partners in aligning with European standards, ensuring that reforms are both credible and enduring.</w:t>
      </w:r>
    </w:p>
    <w:p w14:paraId="579C28CF" w14:textId="701FFE1D" w:rsidR="00964D1F" w:rsidRPr="00D16622" w:rsidRDefault="00B36BB7" w:rsidP="00964D1F">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T</w:t>
      </w:r>
      <w:r w:rsidR="00964D1F" w:rsidRPr="00D16622">
        <w:rPr>
          <w:rFonts w:ascii="Times New Roman" w:hAnsi="Times New Roman" w:cs="Times New Roman"/>
          <w:noProof/>
          <w:sz w:val="24"/>
          <w:szCs w:val="24"/>
        </w:rPr>
        <w:t xml:space="preserve">he EU will progressively integrate </w:t>
      </w:r>
      <w:r w:rsidR="005B7FCF" w:rsidRPr="00D16622">
        <w:rPr>
          <w:rFonts w:ascii="Times New Roman" w:hAnsi="Times New Roman" w:cs="Times New Roman"/>
          <w:noProof/>
          <w:sz w:val="24"/>
          <w:szCs w:val="24"/>
        </w:rPr>
        <w:t>additional enlargement partners</w:t>
      </w:r>
      <w:r w:rsidR="00964D1F" w:rsidRPr="00D16622">
        <w:rPr>
          <w:rFonts w:ascii="Times New Roman" w:hAnsi="Times New Roman" w:cs="Times New Roman"/>
          <w:noProof/>
          <w:sz w:val="24"/>
          <w:szCs w:val="24"/>
        </w:rPr>
        <w:t xml:space="preserve"> </w:t>
      </w:r>
      <w:r w:rsidR="0085083B" w:rsidRPr="00D16622">
        <w:rPr>
          <w:rFonts w:ascii="Times New Roman" w:hAnsi="Times New Roman" w:cs="Times New Roman"/>
          <w:noProof/>
          <w:sz w:val="24"/>
          <w:szCs w:val="24"/>
        </w:rPr>
        <w:t xml:space="preserve">into the Rule of Law Report </w:t>
      </w:r>
      <w:r w:rsidR="00B5032A" w:rsidRPr="00D16622">
        <w:rPr>
          <w:rFonts w:ascii="Times New Roman" w:hAnsi="Times New Roman" w:cs="Times New Roman"/>
          <w:noProof/>
          <w:sz w:val="24"/>
          <w:szCs w:val="24"/>
        </w:rPr>
        <w:t>beyond</w:t>
      </w:r>
      <w:r w:rsidR="00964D1F" w:rsidRPr="00D16622">
        <w:rPr>
          <w:rFonts w:ascii="Times New Roman" w:hAnsi="Times New Roman" w:cs="Times New Roman"/>
          <w:noProof/>
          <w:sz w:val="24"/>
          <w:szCs w:val="24"/>
        </w:rPr>
        <w:t xml:space="preserve"> </w:t>
      </w:r>
      <w:r w:rsidR="00857EFF" w:rsidRPr="00D16622">
        <w:rPr>
          <w:rFonts w:ascii="Times New Roman" w:hAnsi="Times New Roman" w:cs="Times New Roman"/>
          <w:noProof/>
          <w:sz w:val="24"/>
          <w:szCs w:val="24"/>
        </w:rPr>
        <w:t xml:space="preserve">the four already covered </w:t>
      </w:r>
      <w:r w:rsidR="00964D1F" w:rsidRPr="00D16622">
        <w:rPr>
          <w:rFonts w:ascii="Times New Roman" w:hAnsi="Times New Roman" w:cs="Times New Roman"/>
          <w:noProof/>
          <w:sz w:val="24"/>
          <w:szCs w:val="24"/>
        </w:rPr>
        <w:t xml:space="preserve">when they make progress in the formal accession process. This approach reinforces the expectation that high rule of law standards </w:t>
      </w:r>
      <w:r w:rsidR="00C01FCB" w:rsidRPr="00D16622">
        <w:rPr>
          <w:rFonts w:ascii="Times New Roman" w:hAnsi="Times New Roman" w:cs="Times New Roman"/>
          <w:noProof/>
          <w:sz w:val="24"/>
          <w:szCs w:val="24"/>
        </w:rPr>
        <w:t xml:space="preserve">are not only prerequisites for </w:t>
      </w:r>
      <w:r w:rsidR="00964D1F" w:rsidRPr="00D16622">
        <w:rPr>
          <w:rFonts w:ascii="Times New Roman" w:hAnsi="Times New Roman" w:cs="Times New Roman"/>
          <w:noProof/>
          <w:sz w:val="24"/>
          <w:szCs w:val="24"/>
        </w:rPr>
        <w:t>accession</w:t>
      </w:r>
      <w:r w:rsidR="00B23296" w:rsidRPr="00D16622">
        <w:rPr>
          <w:rFonts w:ascii="Times New Roman" w:hAnsi="Times New Roman" w:cs="Times New Roman"/>
          <w:noProof/>
          <w:sz w:val="24"/>
          <w:szCs w:val="24"/>
        </w:rPr>
        <w:t>,</w:t>
      </w:r>
      <w:r w:rsidR="00964D1F" w:rsidRPr="00D16622">
        <w:rPr>
          <w:rFonts w:ascii="Times New Roman" w:hAnsi="Times New Roman" w:cs="Times New Roman"/>
          <w:noProof/>
          <w:sz w:val="24"/>
          <w:szCs w:val="24"/>
        </w:rPr>
        <w:t xml:space="preserve"> b</w:t>
      </w:r>
      <w:r w:rsidR="004C1BA5" w:rsidRPr="00D16622">
        <w:rPr>
          <w:rFonts w:ascii="Times New Roman" w:hAnsi="Times New Roman" w:cs="Times New Roman"/>
          <w:noProof/>
          <w:sz w:val="24"/>
          <w:szCs w:val="24"/>
        </w:rPr>
        <w:t xml:space="preserve">ut </w:t>
      </w:r>
      <w:r w:rsidR="00956DF9" w:rsidRPr="00D16622">
        <w:rPr>
          <w:rFonts w:ascii="Times New Roman" w:hAnsi="Times New Roman" w:cs="Times New Roman"/>
          <w:noProof/>
          <w:sz w:val="24"/>
          <w:szCs w:val="24"/>
        </w:rPr>
        <w:t>also an integral part</w:t>
      </w:r>
      <w:r w:rsidR="004C1BA5" w:rsidRPr="00D16622">
        <w:rPr>
          <w:rFonts w:ascii="Times New Roman" w:hAnsi="Times New Roman" w:cs="Times New Roman"/>
          <w:noProof/>
          <w:sz w:val="24"/>
          <w:szCs w:val="24"/>
        </w:rPr>
        <w:t xml:space="preserve"> </w:t>
      </w:r>
      <w:r w:rsidR="005E0DC5" w:rsidRPr="00D16622">
        <w:rPr>
          <w:rFonts w:ascii="Times New Roman" w:hAnsi="Times New Roman" w:cs="Times New Roman"/>
          <w:noProof/>
          <w:sz w:val="24"/>
          <w:szCs w:val="24"/>
        </w:rPr>
        <w:t>of</w:t>
      </w:r>
      <w:r w:rsidR="00964D1F" w:rsidRPr="00D16622">
        <w:rPr>
          <w:rFonts w:ascii="Times New Roman" w:hAnsi="Times New Roman" w:cs="Times New Roman"/>
          <w:noProof/>
          <w:sz w:val="24"/>
          <w:szCs w:val="24"/>
        </w:rPr>
        <w:t xml:space="preserve"> </w:t>
      </w:r>
      <w:r w:rsidR="005E0DC5" w:rsidRPr="00D16622">
        <w:rPr>
          <w:rFonts w:ascii="Times New Roman" w:hAnsi="Times New Roman" w:cs="Times New Roman"/>
          <w:noProof/>
          <w:sz w:val="24"/>
          <w:szCs w:val="24"/>
        </w:rPr>
        <w:t>EU membership</w:t>
      </w:r>
      <w:r w:rsidR="00964D1F" w:rsidRPr="00D16622">
        <w:rPr>
          <w:rFonts w:ascii="Times New Roman" w:hAnsi="Times New Roman" w:cs="Times New Roman"/>
          <w:noProof/>
          <w:sz w:val="24"/>
          <w:szCs w:val="24"/>
        </w:rPr>
        <w:t>.</w:t>
      </w:r>
    </w:p>
    <w:p w14:paraId="6A8C015D" w14:textId="5EFB8805" w:rsidR="00964D1F" w:rsidRPr="00D16622" w:rsidRDefault="00964D1F" w:rsidP="23A5DC0E">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The rule of law is also central to </w:t>
      </w:r>
      <w:r w:rsidRPr="00D16622">
        <w:rPr>
          <w:rFonts w:ascii="Times New Roman" w:hAnsi="Times New Roman" w:cs="Times New Roman"/>
          <w:b/>
          <w:bCs/>
          <w:noProof/>
          <w:sz w:val="24"/>
          <w:szCs w:val="24"/>
        </w:rPr>
        <w:t>key EU support mechanisms</w:t>
      </w:r>
      <w:r w:rsidRPr="00D16622">
        <w:rPr>
          <w:rFonts w:ascii="Times New Roman" w:hAnsi="Times New Roman" w:cs="Times New Roman"/>
          <w:noProof/>
          <w:sz w:val="24"/>
          <w:szCs w:val="24"/>
        </w:rPr>
        <w:t xml:space="preserve">, including the Western Balkans Reform and Growth Facility, the Reform and Growth Facility for Moldova, and the Ukraine Facility. </w:t>
      </w:r>
      <w:r w:rsidR="00B02087" w:rsidRPr="00D16622">
        <w:rPr>
          <w:rFonts w:ascii="Times New Roman" w:hAnsi="Times New Roman" w:cs="Times New Roman"/>
          <w:noProof/>
          <w:sz w:val="24"/>
          <w:szCs w:val="24"/>
        </w:rPr>
        <w:t>General access</w:t>
      </w:r>
      <w:r w:rsidRPr="00D16622">
        <w:rPr>
          <w:rFonts w:ascii="Times New Roman" w:hAnsi="Times New Roman" w:cs="Times New Roman"/>
          <w:noProof/>
          <w:sz w:val="24"/>
          <w:szCs w:val="24"/>
        </w:rPr>
        <w:t xml:space="preserve"> to these unprecedented funding instruments is conditional on </w:t>
      </w:r>
      <w:r w:rsidR="00B02087" w:rsidRPr="00D16622">
        <w:rPr>
          <w:rFonts w:ascii="Times New Roman" w:hAnsi="Times New Roman" w:cs="Times New Roman"/>
          <w:noProof/>
          <w:sz w:val="24"/>
          <w:szCs w:val="24"/>
        </w:rPr>
        <w:t>adhering to the rule of law</w:t>
      </w:r>
      <w:r w:rsidR="00721A80" w:rsidRPr="00D16622">
        <w:rPr>
          <w:rFonts w:ascii="Times New Roman" w:hAnsi="Times New Roman" w:cs="Times New Roman"/>
          <w:noProof/>
          <w:sz w:val="24"/>
          <w:szCs w:val="24"/>
        </w:rPr>
        <w:t xml:space="preserve"> </w:t>
      </w:r>
      <w:r w:rsidR="6EAAF16C" w:rsidRPr="00D16622">
        <w:rPr>
          <w:rFonts w:ascii="Times New Roman" w:hAnsi="Times New Roman" w:cs="Times New Roman"/>
          <w:noProof/>
          <w:sz w:val="24"/>
          <w:szCs w:val="24"/>
        </w:rPr>
        <w:t>and</w:t>
      </w:r>
      <w:r w:rsidR="000A327C" w:rsidRPr="00D16622">
        <w:rPr>
          <w:rFonts w:ascii="Times New Roman" w:hAnsi="Times New Roman" w:cs="Times New Roman"/>
          <w:noProof/>
          <w:sz w:val="24"/>
          <w:szCs w:val="24"/>
        </w:rPr>
        <w:t xml:space="preserve"> </w:t>
      </w:r>
      <w:r w:rsidR="00C04BE2" w:rsidRPr="00D16622">
        <w:rPr>
          <w:rFonts w:ascii="Times New Roman" w:hAnsi="Times New Roman" w:cs="Times New Roman"/>
          <w:noProof/>
          <w:sz w:val="24"/>
          <w:szCs w:val="24"/>
        </w:rPr>
        <w:t>disbursements depend</w:t>
      </w:r>
      <w:r w:rsidR="000A327C" w:rsidRPr="00D16622">
        <w:rPr>
          <w:rFonts w:ascii="Times New Roman" w:hAnsi="Times New Roman" w:cs="Times New Roman"/>
          <w:noProof/>
          <w:sz w:val="24"/>
          <w:szCs w:val="24"/>
        </w:rPr>
        <w:t xml:space="preserve"> on </w:t>
      </w:r>
      <w:r w:rsidRPr="00D16622">
        <w:rPr>
          <w:rFonts w:ascii="Times New Roman" w:hAnsi="Times New Roman" w:cs="Times New Roman"/>
          <w:noProof/>
          <w:sz w:val="24"/>
          <w:szCs w:val="24"/>
        </w:rPr>
        <w:t xml:space="preserve">the implementation of a reform agenda that delivers </w:t>
      </w:r>
      <w:r w:rsidR="0043660F" w:rsidRPr="00D16622">
        <w:rPr>
          <w:rFonts w:ascii="Times New Roman" w:hAnsi="Times New Roman" w:cs="Times New Roman"/>
          <w:noProof/>
          <w:sz w:val="24"/>
          <w:szCs w:val="24"/>
        </w:rPr>
        <w:t>o</w:t>
      </w:r>
      <w:r w:rsidRPr="00D16622">
        <w:rPr>
          <w:rFonts w:ascii="Times New Roman" w:hAnsi="Times New Roman" w:cs="Times New Roman"/>
          <w:noProof/>
          <w:sz w:val="24"/>
          <w:szCs w:val="24"/>
        </w:rPr>
        <w:t>n the fundamentals</w:t>
      </w:r>
      <w:r w:rsidR="00237F76" w:rsidRPr="00D16622">
        <w:rPr>
          <w:rFonts w:ascii="Times New Roman" w:hAnsi="Times New Roman" w:cs="Times New Roman"/>
          <w:noProof/>
          <w:sz w:val="24"/>
          <w:szCs w:val="24"/>
        </w:rPr>
        <w:t xml:space="preserve"> </w:t>
      </w:r>
      <w:r w:rsidR="008A6D0A" w:rsidRPr="00D16622">
        <w:rPr>
          <w:rFonts w:ascii="Times New Roman" w:hAnsi="Times New Roman" w:cs="Times New Roman"/>
          <w:noProof/>
          <w:sz w:val="24"/>
          <w:szCs w:val="24"/>
        </w:rPr>
        <w:t xml:space="preserve">As </w:t>
      </w:r>
      <w:r w:rsidR="008A6D0A" w:rsidRPr="00D16622">
        <w:rPr>
          <w:rFonts w:ascii="Times New Roman" w:hAnsi="Times New Roman" w:cs="Times New Roman"/>
          <w:noProof/>
          <w:sz w:val="24"/>
          <w:szCs w:val="24"/>
          <w:lang w:val="en-IE"/>
        </w:rPr>
        <w:t>r</w:t>
      </w:r>
      <w:r w:rsidR="00237F76" w:rsidRPr="00D16622">
        <w:rPr>
          <w:rFonts w:ascii="Times New Roman" w:hAnsi="Times New Roman" w:cs="Times New Roman"/>
          <w:noProof/>
          <w:sz w:val="24"/>
          <w:szCs w:val="24"/>
          <w:lang w:val="en-IE"/>
        </w:rPr>
        <w:t>egard</w:t>
      </w:r>
      <w:r w:rsidR="008A6D0A" w:rsidRPr="00D16622">
        <w:rPr>
          <w:rFonts w:ascii="Times New Roman" w:hAnsi="Times New Roman" w:cs="Times New Roman"/>
          <w:noProof/>
          <w:sz w:val="24"/>
          <w:szCs w:val="24"/>
          <w:lang w:val="en-IE"/>
        </w:rPr>
        <w:t>s the next MFF</w:t>
      </w:r>
      <w:r w:rsidR="00237F76" w:rsidRPr="00D16622">
        <w:rPr>
          <w:rFonts w:ascii="Times New Roman" w:hAnsi="Times New Roman" w:cs="Times New Roman"/>
          <w:noProof/>
          <w:sz w:val="24"/>
          <w:szCs w:val="24"/>
          <w:lang w:val="en-IE"/>
        </w:rPr>
        <w:t xml:space="preserve">, </w:t>
      </w:r>
      <w:r w:rsidR="06163060" w:rsidRPr="00D16622">
        <w:rPr>
          <w:rFonts w:ascii="Times New Roman" w:hAnsi="Times New Roman" w:cs="Times New Roman"/>
          <w:noProof/>
          <w:sz w:val="24"/>
          <w:szCs w:val="24"/>
          <w:lang w:val="en-IE"/>
        </w:rPr>
        <w:t xml:space="preserve">one of the main objectives of </w:t>
      </w:r>
      <w:r w:rsidR="00237F76" w:rsidRPr="00D16622">
        <w:rPr>
          <w:rFonts w:ascii="Times New Roman" w:hAnsi="Times New Roman" w:cs="Times New Roman"/>
          <w:noProof/>
          <w:sz w:val="24"/>
          <w:szCs w:val="24"/>
          <w:lang w:val="en-IE"/>
        </w:rPr>
        <w:t xml:space="preserve">the new </w:t>
      </w:r>
      <w:hyperlink r:id="rId35" w:history="1">
        <w:r w:rsidR="00237F76" w:rsidRPr="00D16622">
          <w:rPr>
            <w:rStyle w:val="Hyperlink"/>
            <w:rFonts w:cs="Times New Roman"/>
            <w:noProof/>
            <w:szCs w:val="24"/>
            <w:lang w:val="en-IE"/>
          </w:rPr>
          <w:t>Global Europe</w:t>
        </w:r>
      </w:hyperlink>
      <w:r w:rsidR="00237F76" w:rsidRPr="00D16622">
        <w:rPr>
          <w:rFonts w:ascii="Times New Roman" w:hAnsi="Times New Roman" w:cs="Times New Roman"/>
          <w:b/>
          <w:bCs/>
          <w:noProof/>
          <w:sz w:val="24"/>
          <w:szCs w:val="24"/>
          <w:lang w:val="en-IE"/>
        </w:rPr>
        <w:t xml:space="preserve"> </w:t>
      </w:r>
      <w:r w:rsidR="00237F76" w:rsidRPr="00D16622">
        <w:rPr>
          <w:rFonts w:ascii="Times New Roman" w:hAnsi="Times New Roman" w:cs="Times New Roman"/>
          <w:noProof/>
          <w:sz w:val="24"/>
          <w:szCs w:val="24"/>
          <w:lang w:val="en-IE"/>
        </w:rPr>
        <w:t xml:space="preserve">instrument </w:t>
      </w:r>
      <w:r w:rsidR="4FA22B50" w:rsidRPr="00D16622">
        <w:rPr>
          <w:rFonts w:ascii="Times New Roman" w:hAnsi="Times New Roman" w:cs="Times New Roman"/>
          <w:noProof/>
          <w:sz w:val="24"/>
          <w:szCs w:val="24"/>
          <w:lang w:val="en-IE"/>
        </w:rPr>
        <w:t>is to uphold and promote the Union’s values and interests worldwide. The</w:t>
      </w:r>
      <w:r w:rsidR="00237F76" w:rsidRPr="00D16622">
        <w:rPr>
          <w:rFonts w:ascii="Times New Roman" w:hAnsi="Times New Roman" w:cs="Times New Roman"/>
          <w:noProof/>
          <w:sz w:val="24"/>
          <w:szCs w:val="24"/>
          <w:lang w:val="en-IE"/>
        </w:rPr>
        <w:t xml:space="preserve"> instrument </w:t>
      </w:r>
      <w:r w:rsidR="008A6D0A" w:rsidRPr="00D16622">
        <w:rPr>
          <w:rFonts w:ascii="Times New Roman" w:hAnsi="Times New Roman" w:cs="Times New Roman"/>
          <w:noProof/>
          <w:sz w:val="24"/>
          <w:szCs w:val="24"/>
          <w:lang w:val="en-IE"/>
        </w:rPr>
        <w:t xml:space="preserve">will </w:t>
      </w:r>
      <w:r w:rsidR="00FC3157" w:rsidRPr="00D16622">
        <w:rPr>
          <w:rFonts w:ascii="Times New Roman" w:hAnsi="Times New Roman" w:cs="Times New Roman"/>
          <w:noProof/>
          <w:sz w:val="24"/>
          <w:szCs w:val="24"/>
          <w:lang w:val="en-IE"/>
        </w:rPr>
        <w:t xml:space="preserve">continue </w:t>
      </w:r>
      <w:r w:rsidR="00916A10" w:rsidRPr="00D16622">
        <w:rPr>
          <w:rFonts w:ascii="Times New Roman" w:hAnsi="Times New Roman" w:cs="Times New Roman"/>
          <w:noProof/>
          <w:sz w:val="24"/>
          <w:szCs w:val="24"/>
          <w:lang w:val="en-IE"/>
        </w:rPr>
        <w:t>support</w:t>
      </w:r>
      <w:r w:rsidR="00684033" w:rsidRPr="00D16622">
        <w:rPr>
          <w:rFonts w:ascii="Times New Roman" w:hAnsi="Times New Roman" w:cs="Times New Roman"/>
          <w:noProof/>
          <w:sz w:val="24"/>
          <w:szCs w:val="24"/>
          <w:lang w:val="en-IE"/>
        </w:rPr>
        <w:t>ing</w:t>
      </w:r>
      <w:r w:rsidR="00916A10" w:rsidRPr="00D16622">
        <w:rPr>
          <w:rFonts w:ascii="Times New Roman" w:hAnsi="Times New Roman" w:cs="Times New Roman"/>
          <w:noProof/>
          <w:sz w:val="24"/>
          <w:szCs w:val="24"/>
          <w:lang w:val="en-IE"/>
        </w:rPr>
        <w:t xml:space="preserve"> civil society organisations</w:t>
      </w:r>
      <w:r w:rsidR="0063166B" w:rsidRPr="00D16622">
        <w:rPr>
          <w:rFonts w:ascii="Times New Roman" w:hAnsi="Times New Roman" w:cs="Times New Roman"/>
          <w:noProof/>
          <w:sz w:val="24"/>
          <w:szCs w:val="24"/>
          <w:lang w:val="en-IE"/>
        </w:rPr>
        <w:t xml:space="preserve">, </w:t>
      </w:r>
      <w:r w:rsidR="00916A10" w:rsidRPr="00D16622">
        <w:rPr>
          <w:rFonts w:ascii="Times New Roman" w:hAnsi="Times New Roman" w:cs="Times New Roman"/>
          <w:noProof/>
          <w:sz w:val="24"/>
          <w:szCs w:val="24"/>
          <w:lang w:val="en-IE"/>
        </w:rPr>
        <w:t xml:space="preserve">human rights and democracy abroad, with funding </w:t>
      </w:r>
      <w:r w:rsidR="001231CE" w:rsidRPr="00D16622">
        <w:rPr>
          <w:rFonts w:ascii="Times New Roman" w:hAnsi="Times New Roman" w:cs="Times New Roman"/>
          <w:noProof/>
          <w:sz w:val="24"/>
          <w:szCs w:val="24"/>
          <w:lang w:val="en-IE"/>
        </w:rPr>
        <w:t xml:space="preserve">under </w:t>
      </w:r>
      <w:r w:rsidR="00916A10" w:rsidRPr="00D16622">
        <w:rPr>
          <w:rFonts w:ascii="Times New Roman" w:hAnsi="Times New Roman" w:cs="Times New Roman"/>
          <w:noProof/>
          <w:sz w:val="24"/>
          <w:szCs w:val="24"/>
          <w:lang w:val="en-IE"/>
        </w:rPr>
        <w:t xml:space="preserve">both </w:t>
      </w:r>
      <w:r w:rsidR="001231CE" w:rsidRPr="00D16622">
        <w:rPr>
          <w:rFonts w:ascii="Times New Roman" w:hAnsi="Times New Roman" w:cs="Times New Roman"/>
          <w:noProof/>
          <w:sz w:val="24"/>
          <w:szCs w:val="24"/>
          <w:lang w:val="en-IE"/>
        </w:rPr>
        <w:t xml:space="preserve">its </w:t>
      </w:r>
      <w:r w:rsidR="00916A10" w:rsidRPr="00D16622">
        <w:rPr>
          <w:rFonts w:ascii="Times New Roman" w:hAnsi="Times New Roman" w:cs="Times New Roman"/>
          <w:noProof/>
          <w:sz w:val="24"/>
          <w:szCs w:val="24"/>
          <w:lang w:val="en-IE"/>
        </w:rPr>
        <w:t xml:space="preserve">geographic and global pillars, and a clear emphasis on good governance and the </w:t>
      </w:r>
      <w:r w:rsidR="00C75381" w:rsidRPr="00D16622">
        <w:rPr>
          <w:rFonts w:ascii="Times New Roman" w:hAnsi="Times New Roman" w:cs="Times New Roman"/>
          <w:noProof/>
          <w:sz w:val="24"/>
          <w:szCs w:val="24"/>
          <w:lang w:val="en-IE"/>
        </w:rPr>
        <w:t>r</w:t>
      </w:r>
      <w:r w:rsidR="00916A10" w:rsidRPr="00D16622">
        <w:rPr>
          <w:rFonts w:ascii="Times New Roman" w:hAnsi="Times New Roman" w:cs="Times New Roman"/>
          <w:noProof/>
          <w:sz w:val="24"/>
          <w:szCs w:val="24"/>
          <w:lang w:val="en-IE"/>
        </w:rPr>
        <w:t xml:space="preserve">ule of </w:t>
      </w:r>
      <w:r w:rsidR="00C75381" w:rsidRPr="00D16622">
        <w:rPr>
          <w:rFonts w:ascii="Times New Roman" w:hAnsi="Times New Roman" w:cs="Times New Roman"/>
          <w:noProof/>
          <w:sz w:val="24"/>
          <w:szCs w:val="24"/>
          <w:lang w:val="en-IE"/>
        </w:rPr>
        <w:t>l</w:t>
      </w:r>
      <w:r w:rsidR="00916A10" w:rsidRPr="00D16622">
        <w:rPr>
          <w:rFonts w:ascii="Times New Roman" w:hAnsi="Times New Roman" w:cs="Times New Roman"/>
          <w:noProof/>
          <w:sz w:val="24"/>
          <w:szCs w:val="24"/>
          <w:lang w:val="en-IE"/>
        </w:rPr>
        <w:t xml:space="preserve">aw. </w:t>
      </w:r>
      <w:r w:rsidR="63AF7BD7" w:rsidRPr="00D16622">
        <w:rPr>
          <w:rFonts w:ascii="Times New Roman" w:hAnsi="Times New Roman" w:cs="Times New Roman"/>
          <w:noProof/>
          <w:sz w:val="24"/>
          <w:szCs w:val="24"/>
        </w:rPr>
        <w:t>It</w:t>
      </w:r>
      <w:r w:rsidR="00BA336C" w:rsidRPr="00D16622">
        <w:rPr>
          <w:rFonts w:ascii="Times New Roman" w:hAnsi="Times New Roman" w:cs="Times New Roman"/>
          <w:noProof/>
          <w:sz w:val="24"/>
          <w:szCs w:val="24"/>
        </w:rPr>
        <w:t xml:space="preserve"> </w:t>
      </w:r>
      <w:r w:rsidR="007162B6" w:rsidRPr="00D16622">
        <w:rPr>
          <w:rFonts w:ascii="Times New Roman" w:hAnsi="Times New Roman" w:cs="Times New Roman"/>
          <w:noProof/>
          <w:sz w:val="24"/>
          <w:szCs w:val="24"/>
          <w:lang w:val="en-IE"/>
        </w:rPr>
        <w:t xml:space="preserve">will remain possible </w:t>
      </w:r>
      <w:r w:rsidR="008A4BF7" w:rsidRPr="00D16622">
        <w:rPr>
          <w:rFonts w:ascii="Times New Roman" w:hAnsi="Times New Roman" w:cs="Times New Roman"/>
          <w:noProof/>
          <w:sz w:val="24"/>
          <w:szCs w:val="24"/>
          <w:lang w:val="en-IE"/>
        </w:rPr>
        <w:t xml:space="preserve">to discontinue </w:t>
      </w:r>
      <w:r w:rsidR="007162B6" w:rsidRPr="00D16622">
        <w:rPr>
          <w:rFonts w:ascii="Times New Roman" w:hAnsi="Times New Roman" w:cs="Times New Roman"/>
          <w:noProof/>
          <w:sz w:val="24"/>
          <w:szCs w:val="24"/>
          <w:lang w:val="en-IE"/>
        </w:rPr>
        <w:t xml:space="preserve">Global Europe </w:t>
      </w:r>
      <w:r w:rsidR="008A4BF7" w:rsidRPr="00D16622">
        <w:rPr>
          <w:rFonts w:ascii="Times New Roman" w:hAnsi="Times New Roman" w:cs="Times New Roman"/>
          <w:noProof/>
          <w:sz w:val="24"/>
          <w:szCs w:val="24"/>
          <w:lang w:val="en-IE"/>
        </w:rPr>
        <w:t xml:space="preserve">funding in case of a </w:t>
      </w:r>
      <w:r w:rsidR="001F02D7" w:rsidRPr="00D16622">
        <w:rPr>
          <w:rFonts w:ascii="Times New Roman" w:hAnsi="Times New Roman" w:cs="Times New Roman"/>
          <w:noProof/>
          <w:sz w:val="24"/>
          <w:szCs w:val="24"/>
          <w:lang w:val="en-IE"/>
        </w:rPr>
        <w:t>degradation in democracy, human rights, or the rule of law.</w:t>
      </w:r>
      <w:r w:rsidR="00237F76" w:rsidRPr="00D16622">
        <w:rPr>
          <w:rFonts w:ascii="Times New Roman" w:hAnsi="Times New Roman" w:cs="Times New Roman"/>
          <w:noProof/>
          <w:sz w:val="24"/>
          <w:szCs w:val="24"/>
          <w:lang w:val="en-IE"/>
        </w:rPr>
        <w:t xml:space="preserve"> </w:t>
      </w:r>
    </w:p>
    <w:p w14:paraId="2527E603" w14:textId="160EDB6D" w:rsidR="00964D1F" w:rsidRPr="00D16622" w:rsidRDefault="00237F76" w:rsidP="00964D1F">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lang w:val="en-IE"/>
        </w:rPr>
        <w:t xml:space="preserve">In relation to enlargement partners, external support will </w:t>
      </w:r>
      <w:r w:rsidR="001B2D4C" w:rsidRPr="00D16622">
        <w:rPr>
          <w:rFonts w:ascii="Times New Roman" w:hAnsi="Times New Roman" w:cs="Times New Roman"/>
          <w:noProof/>
          <w:sz w:val="24"/>
          <w:szCs w:val="24"/>
          <w:lang w:val="en-IE"/>
        </w:rPr>
        <w:t>continue</w:t>
      </w:r>
      <w:r w:rsidRPr="00D16622">
        <w:rPr>
          <w:rFonts w:ascii="Times New Roman" w:hAnsi="Times New Roman" w:cs="Times New Roman"/>
          <w:noProof/>
          <w:sz w:val="24"/>
          <w:szCs w:val="24"/>
          <w:lang w:val="en-IE"/>
        </w:rPr>
        <w:t xml:space="preserve"> </w:t>
      </w:r>
      <w:r w:rsidR="003D057F" w:rsidRPr="00D16622">
        <w:rPr>
          <w:rFonts w:ascii="Times New Roman" w:hAnsi="Times New Roman" w:cs="Times New Roman"/>
          <w:noProof/>
          <w:sz w:val="24"/>
          <w:szCs w:val="24"/>
          <w:lang w:val="en-IE"/>
        </w:rPr>
        <w:t xml:space="preserve">to </w:t>
      </w:r>
      <w:r w:rsidRPr="00D16622">
        <w:rPr>
          <w:rFonts w:ascii="Times New Roman" w:hAnsi="Times New Roman" w:cs="Times New Roman"/>
          <w:noProof/>
          <w:sz w:val="24"/>
          <w:szCs w:val="24"/>
          <w:lang w:val="en-IE"/>
        </w:rPr>
        <w:t xml:space="preserve">promote </w:t>
      </w:r>
      <w:r w:rsidR="00104E2D" w:rsidRPr="00D16622">
        <w:rPr>
          <w:rFonts w:ascii="Times New Roman" w:hAnsi="Times New Roman" w:cs="Times New Roman"/>
          <w:noProof/>
          <w:sz w:val="24"/>
          <w:szCs w:val="24"/>
          <w:lang w:val="en-IE"/>
        </w:rPr>
        <w:t xml:space="preserve">the </w:t>
      </w:r>
      <w:r w:rsidRPr="00D16622">
        <w:rPr>
          <w:rFonts w:ascii="Times New Roman" w:hAnsi="Times New Roman" w:cs="Times New Roman"/>
          <w:noProof/>
          <w:sz w:val="24"/>
          <w:szCs w:val="24"/>
          <w:lang w:val="en-IE"/>
        </w:rPr>
        <w:t>rule of law</w:t>
      </w:r>
      <w:r w:rsidR="00865A80" w:rsidRPr="00D16622">
        <w:rPr>
          <w:rFonts w:ascii="Times New Roman" w:hAnsi="Times New Roman" w:cs="Times New Roman"/>
          <w:noProof/>
          <w:sz w:val="24"/>
          <w:szCs w:val="24"/>
          <w:lang w:val="en-IE"/>
        </w:rPr>
        <w:t>, fundamental rights</w:t>
      </w:r>
      <w:r w:rsidRPr="00D16622">
        <w:rPr>
          <w:rFonts w:ascii="Times New Roman" w:hAnsi="Times New Roman" w:cs="Times New Roman"/>
          <w:noProof/>
          <w:sz w:val="24"/>
          <w:szCs w:val="24"/>
          <w:lang w:val="en-IE"/>
        </w:rPr>
        <w:t xml:space="preserve"> and democracy as part of the fundamental requirements under the accession process through performance-based growth plans rewarding progress in key reforms</w:t>
      </w:r>
      <w:r w:rsidR="00A2357F" w:rsidRPr="00D16622">
        <w:rPr>
          <w:rFonts w:ascii="Times New Roman" w:hAnsi="Times New Roman" w:cs="Times New Roman"/>
          <w:noProof/>
          <w:sz w:val="24"/>
          <w:szCs w:val="24"/>
          <w:lang w:val="en-IE"/>
        </w:rPr>
        <w:t xml:space="preserve">, </w:t>
      </w:r>
      <w:r w:rsidR="004B78D4" w:rsidRPr="00D16622">
        <w:rPr>
          <w:rFonts w:ascii="Times New Roman" w:hAnsi="Times New Roman" w:cs="Times New Roman"/>
          <w:noProof/>
          <w:sz w:val="24"/>
          <w:szCs w:val="24"/>
          <w:lang w:val="en-IE"/>
        </w:rPr>
        <w:t>with the aim of</w:t>
      </w:r>
      <w:r w:rsidR="00A2357F" w:rsidRPr="00D16622">
        <w:rPr>
          <w:rFonts w:ascii="Times New Roman" w:hAnsi="Times New Roman" w:cs="Times New Roman"/>
          <w:noProof/>
          <w:sz w:val="24"/>
          <w:szCs w:val="24"/>
          <w:lang w:val="en-IE"/>
        </w:rPr>
        <w:t xml:space="preserve"> ensuring that enlargement partners remain firmly on the path towards European integration</w:t>
      </w:r>
      <w:r w:rsidRPr="00D16622">
        <w:rPr>
          <w:rFonts w:ascii="Times New Roman" w:hAnsi="Times New Roman" w:cs="Times New Roman"/>
          <w:noProof/>
          <w:sz w:val="24"/>
          <w:szCs w:val="24"/>
          <w:lang w:val="en-IE"/>
        </w:rPr>
        <w:t>.</w:t>
      </w:r>
    </w:p>
    <w:p w14:paraId="5A0458B7" w14:textId="4BD00942" w:rsidR="00A25F8E" w:rsidRPr="00D16622" w:rsidRDefault="00A25F8E" w:rsidP="00964D1F">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The EU continues to </w:t>
      </w:r>
      <w:r w:rsidR="00411BB6" w:rsidRPr="00D16622">
        <w:rPr>
          <w:rFonts w:ascii="Times New Roman" w:hAnsi="Times New Roman" w:cs="Times New Roman"/>
          <w:noProof/>
          <w:sz w:val="24"/>
          <w:szCs w:val="24"/>
        </w:rPr>
        <w:t>strengthen</w:t>
      </w:r>
      <w:r w:rsidRPr="00D16622">
        <w:rPr>
          <w:rFonts w:ascii="Times New Roman" w:hAnsi="Times New Roman" w:cs="Times New Roman"/>
          <w:noProof/>
          <w:sz w:val="24"/>
          <w:szCs w:val="24"/>
        </w:rPr>
        <w:t xml:space="preserve"> its commitment to </w:t>
      </w:r>
      <w:r w:rsidRPr="00D16622">
        <w:rPr>
          <w:rFonts w:ascii="Times New Roman" w:hAnsi="Times New Roman" w:cs="Times New Roman"/>
          <w:b/>
          <w:bCs/>
          <w:noProof/>
          <w:sz w:val="24"/>
          <w:szCs w:val="24"/>
        </w:rPr>
        <w:t>international legal standards</w:t>
      </w:r>
      <w:r w:rsidRPr="00D16622">
        <w:rPr>
          <w:rFonts w:ascii="Times New Roman" w:hAnsi="Times New Roman" w:cs="Times New Roman"/>
          <w:noProof/>
          <w:sz w:val="24"/>
          <w:szCs w:val="24"/>
        </w:rPr>
        <w:t xml:space="preserve"> through </w:t>
      </w:r>
      <w:r w:rsidR="005B11F0" w:rsidRPr="00D16622">
        <w:rPr>
          <w:rFonts w:ascii="Times New Roman" w:hAnsi="Times New Roman" w:cs="Times New Roman"/>
          <w:noProof/>
          <w:sz w:val="24"/>
          <w:szCs w:val="24"/>
        </w:rPr>
        <w:t xml:space="preserve">its ongoing review under the UN Convention against Corruption and </w:t>
      </w:r>
      <w:r w:rsidRPr="00D16622">
        <w:rPr>
          <w:rFonts w:ascii="Times New Roman" w:hAnsi="Times New Roman" w:cs="Times New Roman"/>
          <w:noProof/>
          <w:sz w:val="24"/>
          <w:szCs w:val="24"/>
        </w:rPr>
        <w:t>its accession process to the European Convention on Human Rights</w:t>
      </w:r>
      <w:r w:rsidR="00CD2332" w:rsidRPr="00D16622">
        <w:rPr>
          <w:rFonts w:ascii="Times New Roman" w:hAnsi="Times New Roman" w:cs="Times New Roman"/>
          <w:noProof/>
          <w:sz w:val="24"/>
          <w:szCs w:val="24"/>
        </w:rPr>
        <w:t>.</w:t>
      </w:r>
      <w:r w:rsidR="00CD2332" w:rsidRPr="00D16622">
        <w:rPr>
          <w:rFonts w:ascii="Times New Roman" w:hAnsi="Times New Roman" w:cs="Times New Roman"/>
          <w:noProof/>
        </w:rPr>
        <w:t xml:space="preserve"> </w:t>
      </w:r>
      <w:r w:rsidR="00CD2332" w:rsidRPr="00D16622">
        <w:rPr>
          <w:rFonts w:ascii="Times New Roman" w:hAnsi="Times New Roman" w:cs="Times New Roman"/>
          <w:noProof/>
          <w:sz w:val="24"/>
          <w:szCs w:val="24"/>
        </w:rPr>
        <w:t xml:space="preserve">This broader commitment to a rules-based international order is also reflected in the </w:t>
      </w:r>
      <w:r w:rsidR="00552A89" w:rsidRPr="00D16622">
        <w:rPr>
          <w:rFonts w:ascii="Times New Roman" w:hAnsi="Times New Roman" w:cs="Times New Roman"/>
          <w:noProof/>
          <w:sz w:val="24"/>
          <w:szCs w:val="24"/>
        </w:rPr>
        <w:t>continued support for</w:t>
      </w:r>
      <w:r w:rsidR="00CD2332" w:rsidRPr="00D16622">
        <w:rPr>
          <w:rFonts w:ascii="Times New Roman" w:hAnsi="Times New Roman" w:cs="Times New Roman"/>
          <w:noProof/>
          <w:sz w:val="24"/>
          <w:szCs w:val="24"/>
        </w:rPr>
        <w:t xml:space="preserve"> the International Criminal Court</w:t>
      </w:r>
      <w:r w:rsidR="0014229B" w:rsidRPr="00D16622">
        <w:rPr>
          <w:rFonts w:ascii="Times New Roman" w:hAnsi="Times New Roman" w:cs="Times New Roman"/>
          <w:noProof/>
          <w:sz w:val="24"/>
          <w:szCs w:val="24"/>
        </w:rPr>
        <w:t xml:space="preserve"> to ensure accountability for the most serious international crimes</w:t>
      </w:r>
      <w:r w:rsidRPr="00D16622">
        <w:rPr>
          <w:rFonts w:ascii="Times New Roman" w:hAnsi="Times New Roman" w:cs="Times New Roman"/>
          <w:noProof/>
          <w:sz w:val="24"/>
          <w:szCs w:val="24"/>
        </w:rPr>
        <w:t>.</w:t>
      </w:r>
    </w:p>
    <w:p w14:paraId="25223A22" w14:textId="26890F26" w:rsidR="00EB4B07" w:rsidRPr="00D16622" w:rsidRDefault="00EB4B07" w:rsidP="00EB4B07">
      <w:pPr>
        <w:keepNext/>
        <w:spacing w:after="120" w:line="240" w:lineRule="auto"/>
        <w:jc w:val="both"/>
        <w:rPr>
          <w:rFonts w:ascii="Times New Roman" w:hAnsi="Times New Roman" w:cs="Times New Roman"/>
          <w:b/>
          <w:bCs/>
          <w:i/>
          <w:iCs/>
          <w:noProof/>
          <w:sz w:val="24"/>
          <w:szCs w:val="24"/>
        </w:rPr>
      </w:pPr>
      <w:r w:rsidRPr="00D16622">
        <w:rPr>
          <w:rFonts w:ascii="Times New Roman" w:hAnsi="Times New Roman" w:cs="Times New Roman"/>
          <w:b/>
          <w:bCs/>
          <w:i/>
          <w:iCs/>
          <w:noProof/>
          <w:sz w:val="24"/>
          <w:szCs w:val="24"/>
        </w:rPr>
        <w:t>2.4</w:t>
      </w:r>
      <w:r w:rsidRPr="00D16622">
        <w:rPr>
          <w:rFonts w:ascii="Times New Roman" w:hAnsi="Times New Roman" w:cs="Times New Roman"/>
          <w:b/>
          <w:bCs/>
          <w:i/>
          <w:iCs/>
          <w:noProof/>
          <w:sz w:val="24"/>
          <w:szCs w:val="24"/>
        </w:rPr>
        <w:tab/>
        <w:t>EU action to respond to breaches of rule of law</w:t>
      </w:r>
    </w:p>
    <w:p w14:paraId="73D31635" w14:textId="785FFECD" w:rsidR="00942547" w:rsidRPr="00D16622" w:rsidRDefault="004D40E2" w:rsidP="000525E9">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Alongside its preventive and dialogue-based approach, t</w:t>
      </w:r>
      <w:r w:rsidR="00ED0941" w:rsidRPr="00D16622">
        <w:rPr>
          <w:rFonts w:ascii="Times New Roman" w:hAnsi="Times New Roman" w:cs="Times New Roman"/>
          <w:noProof/>
          <w:sz w:val="24"/>
          <w:szCs w:val="24"/>
        </w:rPr>
        <w:t>he EU’s rule of law toolbox</w:t>
      </w:r>
      <w:r w:rsidRPr="00D16622">
        <w:rPr>
          <w:rFonts w:ascii="Times New Roman" w:hAnsi="Times New Roman" w:cs="Times New Roman"/>
          <w:noProof/>
          <w:sz w:val="24"/>
          <w:szCs w:val="24"/>
        </w:rPr>
        <w:t xml:space="preserve"> also</w:t>
      </w:r>
      <w:r w:rsidR="00ED0941" w:rsidRPr="00D16622">
        <w:rPr>
          <w:rFonts w:ascii="Times New Roman" w:hAnsi="Times New Roman" w:cs="Times New Roman"/>
          <w:noProof/>
          <w:sz w:val="24"/>
          <w:szCs w:val="24"/>
        </w:rPr>
        <w:t xml:space="preserve"> includes </w:t>
      </w:r>
      <w:r w:rsidR="007337D9" w:rsidRPr="00D16622">
        <w:rPr>
          <w:rFonts w:ascii="Times New Roman" w:hAnsi="Times New Roman" w:cs="Times New Roman"/>
          <w:noProof/>
          <w:sz w:val="24"/>
          <w:szCs w:val="24"/>
        </w:rPr>
        <w:t>several</w:t>
      </w:r>
      <w:r w:rsidR="00ED0941" w:rsidRPr="00D16622">
        <w:rPr>
          <w:rFonts w:ascii="Times New Roman" w:hAnsi="Times New Roman" w:cs="Times New Roman"/>
          <w:noProof/>
          <w:sz w:val="24"/>
          <w:szCs w:val="24"/>
        </w:rPr>
        <w:t xml:space="preserve"> </w:t>
      </w:r>
      <w:r w:rsidR="0025216D" w:rsidRPr="00D16622">
        <w:rPr>
          <w:rFonts w:ascii="Times New Roman" w:hAnsi="Times New Roman" w:cs="Times New Roman"/>
          <w:noProof/>
          <w:sz w:val="24"/>
          <w:szCs w:val="24"/>
        </w:rPr>
        <w:t>instruments to address breaches to the rule of law</w:t>
      </w:r>
      <w:r w:rsidR="00ED0941" w:rsidRPr="00D16622">
        <w:rPr>
          <w:rFonts w:ascii="Times New Roman" w:hAnsi="Times New Roman" w:cs="Times New Roman"/>
          <w:noProof/>
          <w:sz w:val="24"/>
          <w:szCs w:val="24"/>
        </w:rPr>
        <w:t xml:space="preserve">, including infringement procedures, the </w:t>
      </w:r>
      <w:r w:rsidR="002606A8" w:rsidRPr="00D16622">
        <w:rPr>
          <w:rFonts w:ascii="Times New Roman" w:hAnsi="Times New Roman" w:cs="Times New Roman"/>
          <w:noProof/>
          <w:sz w:val="24"/>
          <w:szCs w:val="24"/>
        </w:rPr>
        <w:t xml:space="preserve">Article 7 TEU procedure, and </w:t>
      </w:r>
      <w:r w:rsidR="00A52C54" w:rsidRPr="00D16622">
        <w:rPr>
          <w:rFonts w:ascii="Times New Roman" w:hAnsi="Times New Roman" w:cs="Times New Roman"/>
          <w:noProof/>
          <w:sz w:val="24"/>
          <w:szCs w:val="24"/>
        </w:rPr>
        <w:t>tools to protect the EU budget</w:t>
      </w:r>
      <w:r w:rsidR="002606A8" w:rsidRPr="00D16622">
        <w:rPr>
          <w:rFonts w:ascii="Times New Roman" w:hAnsi="Times New Roman" w:cs="Times New Roman"/>
          <w:noProof/>
          <w:sz w:val="24"/>
          <w:szCs w:val="24"/>
        </w:rPr>
        <w:t xml:space="preserve">. </w:t>
      </w:r>
    </w:p>
    <w:p w14:paraId="77FB7DA3" w14:textId="540F8E4E" w:rsidR="00C815FD" w:rsidRPr="00D16622" w:rsidRDefault="00C815FD" w:rsidP="000525E9">
      <w:pPr>
        <w:spacing w:after="120" w:line="240" w:lineRule="auto"/>
        <w:jc w:val="both"/>
        <w:rPr>
          <w:rFonts w:ascii="Times New Roman" w:hAnsi="Times New Roman" w:cs="Times New Roman"/>
          <w:noProof/>
          <w:sz w:val="24"/>
          <w:szCs w:val="24"/>
        </w:rPr>
      </w:pPr>
      <w:r w:rsidRPr="00D16622">
        <w:rPr>
          <w:rFonts w:ascii="Times New Roman" w:hAnsi="Times New Roman" w:cs="Times New Roman"/>
          <w:i/>
          <w:iCs/>
          <w:noProof/>
          <w:sz w:val="24"/>
          <w:szCs w:val="24"/>
        </w:rPr>
        <w:t>Responding to rule of law challenges</w:t>
      </w:r>
    </w:p>
    <w:p w14:paraId="1150A6C6" w14:textId="64C49ECA" w:rsidR="00BE750E" w:rsidRPr="00D16622" w:rsidRDefault="00C815FD" w:rsidP="002F3833">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The Commission has continued to fulfil its role as guardian of the Treaties by </w:t>
      </w:r>
      <w:r w:rsidR="00EC4051" w:rsidRPr="00D16622">
        <w:rPr>
          <w:rFonts w:ascii="Times New Roman" w:hAnsi="Times New Roman" w:cs="Times New Roman"/>
          <w:noProof/>
          <w:sz w:val="24"/>
          <w:szCs w:val="24"/>
        </w:rPr>
        <w:t>launching</w:t>
      </w:r>
      <w:r w:rsidRPr="00D16622">
        <w:rPr>
          <w:rFonts w:ascii="Times New Roman" w:hAnsi="Times New Roman" w:cs="Times New Roman"/>
          <w:noProof/>
          <w:sz w:val="24"/>
          <w:szCs w:val="24"/>
        </w:rPr>
        <w:t xml:space="preserve"> infringement procedures </w:t>
      </w:r>
      <w:r w:rsidR="00EC4051" w:rsidRPr="00D16622">
        <w:rPr>
          <w:rFonts w:ascii="Times New Roman" w:hAnsi="Times New Roman" w:cs="Times New Roman"/>
          <w:noProof/>
          <w:sz w:val="24"/>
          <w:szCs w:val="24"/>
        </w:rPr>
        <w:t>to address</w:t>
      </w:r>
      <w:r w:rsidRPr="00D16622">
        <w:rPr>
          <w:rFonts w:ascii="Times New Roman" w:hAnsi="Times New Roman" w:cs="Times New Roman"/>
          <w:noProof/>
          <w:sz w:val="24"/>
          <w:szCs w:val="24"/>
        </w:rPr>
        <w:t xml:space="preserve"> breaches of the rule of law</w:t>
      </w:r>
      <w:r w:rsidR="00FF460C" w:rsidRPr="00D16622">
        <w:rPr>
          <w:rFonts w:ascii="Times New Roman" w:hAnsi="Times New Roman" w:cs="Times New Roman"/>
          <w:noProof/>
          <w:sz w:val="24"/>
          <w:szCs w:val="24"/>
        </w:rPr>
        <w:t xml:space="preserve"> where necessary</w:t>
      </w:r>
      <w:r w:rsidRPr="00D16622">
        <w:rPr>
          <w:rFonts w:ascii="Times New Roman" w:hAnsi="Times New Roman" w:cs="Times New Roman"/>
          <w:noProof/>
          <w:sz w:val="24"/>
          <w:szCs w:val="24"/>
        </w:rPr>
        <w:t xml:space="preserve">. At the same time, the </w:t>
      </w:r>
      <w:r w:rsidRPr="00D16622">
        <w:rPr>
          <w:rFonts w:ascii="Times New Roman" w:hAnsi="Times New Roman" w:cs="Times New Roman"/>
          <w:b/>
          <w:bCs/>
          <w:noProof/>
          <w:sz w:val="24"/>
          <w:szCs w:val="24"/>
        </w:rPr>
        <w:t>Court of Justice of the European Union (CJEU)</w:t>
      </w:r>
      <w:r w:rsidRPr="00D16622">
        <w:rPr>
          <w:rFonts w:ascii="Times New Roman" w:hAnsi="Times New Roman" w:cs="Times New Roman"/>
          <w:noProof/>
          <w:sz w:val="24"/>
          <w:szCs w:val="24"/>
        </w:rPr>
        <w:t xml:space="preserve"> has further developed its case-law on </w:t>
      </w:r>
      <w:r w:rsidR="003E3E62" w:rsidRPr="00D16622">
        <w:rPr>
          <w:rFonts w:ascii="Times New Roman" w:hAnsi="Times New Roman" w:cs="Times New Roman"/>
          <w:noProof/>
          <w:sz w:val="24"/>
          <w:szCs w:val="24"/>
        </w:rPr>
        <w:t xml:space="preserve">the </w:t>
      </w:r>
      <w:r w:rsidRPr="00D16622">
        <w:rPr>
          <w:rFonts w:ascii="Times New Roman" w:hAnsi="Times New Roman" w:cs="Times New Roman"/>
          <w:noProof/>
          <w:sz w:val="24"/>
          <w:szCs w:val="24"/>
        </w:rPr>
        <w:t>rule of law</w:t>
      </w:r>
      <w:r w:rsidR="00113473" w:rsidRPr="00D16622">
        <w:rPr>
          <w:rFonts w:ascii="Times New Roman" w:hAnsi="Times New Roman" w:cs="Times New Roman"/>
          <w:noProof/>
          <w:sz w:val="24"/>
          <w:szCs w:val="24"/>
        </w:rPr>
        <w:t>. This include</w:t>
      </w:r>
      <w:r w:rsidR="00991EA8" w:rsidRPr="00D16622">
        <w:rPr>
          <w:rFonts w:ascii="Times New Roman" w:hAnsi="Times New Roman" w:cs="Times New Roman"/>
          <w:noProof/>
          <w:sz w:val="24"/>
          <w:szCs w:val="24"/>
        </w:rPr>
        <w:t>d</w:t>
      </w:r>
      <w:r w:rsidR="00113473" w:rsidRPr="00D16622">
        <w:rPr>
          <w:rFonts w:ascii="Times New Roman" w:hAnsi="Times New Roman" w:cs="Times New Roman"/>
          <w:noProof/>
          <w:sz w:val="24"/>
          <w:szCs w:val="24"/>
        </w:rPr>
        <w:t xml:space="preserve"> rulings </w:t>
      </w:r>
      <w:r w:rsidR="00991EA8" w:rsidRPr="00D16622">
        <w:rPr>
          <w:rFonts w:ascii="Times New Roman" w:hAnsi="Times New Roman" w:cs="Times New Roman"/>
          <w:noProof/>
          <w:sz w:val="24"/>
          <w:szCs w:val="24"/>
        </w:rPr>
        <w:t xml:space="preserve">on </w:t>
      </w:r>
      <w:r w:rsidR="00FD2F6A" w:rsidRPr="00D16622">
        <w:rPr>
          <w:rFonts w:ascii="Times New Roman" w:hAnsi="Times New Roman" w:cs="Times New Roman"/>
          <w:noProof/>
          <w:sz w:val="24"/>
          <w:szCs w:val="24"/>
        </w:rPr>
        <w:t>the principle of effective judicial protection</w:t>
      </w:r>
      <w:r w:rsidR="00510B3A" w:rsidRPr="00D16622">
        <w:rPr>
          <w:rFonts w:ascii="Times New Roman" w:hAnsi="Times New Roman" w:cs="Times New Roman"/>
          <w:noProof/>
          <w:sz w:val="24"/>
          <w:szCs w:val="24"/>
        </w:rPr>
        <w:t xml:space="preserve"> and primacy of EU law</w:t>
      </w:r>
      <w:r w:rsidR="009C5DE1" w:rsidRPr="00D16622">
        <w:rPr>
          <w:rStyle w:val="FootnoteReference"/>
          <w:rFonts w:cs="Times New Roman"/>
          <w:noProof/>
        </w:rPr>
        <w:footnoteReference w:id="31"/>
      </w:r>
      <w:r w:rsidR="00FD2F6A" w:rsidRPr="00D16622">
        <w:rPr>
          <w:rFonts w:ascii="Times New Roman" w:hAnsi="Times New Roman" w:cs="Times New Roman"/>
          <w:noProof/>
          <w:sz w:val="24"/>
          <w:szCs w:val="24"/>
        </w:rPr>
        <w:t xml:space="preserve">, </w:t>
      </w:r>
      <w:r w:rsidR="00CE7F84" w:rsidRPr="00D16622">
        <w:rPr>
          <w:rFonts w:ascii="Times New Roman" w:hAnsi="Times New Roman" w:cs="Times New Roman"/>
          <w:noProof/>
          <w:sz w:val="24"/>
          <w:szCs w:val="24"/>
        </w:rPr>
        <w:t xml:space="preserve">judicial </w:t>
      </w:r>
      <w:r w:rsidR="000E5623" w:rsidRPr="00D16622">
        <w:rPr>
          <w:rFonts w:ascii="Times New Roman" w:hAnsi="Times New Roman" w:cs="Times New Roman"/>
          <w:noProof/>
          <w:sz w:val="24"/>
          <w:szCs w:val="24"/>
        </w:rPr>
        <w:t>appointment procedures</w:t>
      </w:r>
      <w:r w:rsidR="00434FBD" w:rsidRPr="00D16622">
        <w:rPr>
          <w:rStyle w:val="FootnoteReference"/>
          <w:rFonts w:cs="Times New Roman"/>
          <w:noProof/>
        </w:rPr>
        <w:footnoteReference w:id="32"/>
      </w:r>
      <w:r w:rsidR="000E5623" w:rsidRPr="00D16622">
        <w:rPr>
          <w:rFonts w:ascii="Times New Roman" w:hAnsi="Times New Roman" w:cs="Times New Roman"/>
          <w:noProof/>
          <w:sz w:val="24"/>
          <w:szCs w:val="24"/>
        </w:rPr>
        <w:t xml:space="preserve">, </w:t>
      </w:r>
      <w:r w:rsidR="008A6E04" w:rsidRPr="00D16622">
        <w:rPr>
          <w:rFonts w:ascii="Times New Roman" w:hAnsi="Times New Roman" w:cs="Times New Roman"/>
          <w:noProof/>
          <w:sz w:val="24"/>
          <w:szCs w:val="24"/>
        </w:rPr>
        <w:t xml:space="preserve">and rulings </w:t>
      </w:r>
      <w:r w:rsidR="00FC4113" w:rsidRPr="00D16622">
        <w:rPr>
          <w:rFonts w:ascii="Times New Roman" w:hAnsi="Times New Roman" w:cs="Times New Roman"/>
          <w:noProof/>
          <w:sz w:val="24"/>
          <w:szCs w:val="24"/>
        </w:rPr>
        <w:t xml:space="preserve">of </w:t>
      </w:r>
      <w:r w:rsidR="000257B6" w:rsidRPr="00D16622">
        <w:rPr>
          <w:rFonts w:ascii="Times New Roman" w:hAnsi="Times New Roman" w:cs="Times New Roman"/>
          <w:noProof/>
          <w:sz w:val="24"/>
          <w:szCs w:val="24"/>
        </w:rPr>
        <w:t xml:space="preserve">national </w:t>
      </w:r>
      <w:r w:rsidR="00FC4113" w:rsidRPr="00D16622">
        <w:rPr>
          <w:rFonts w:ascii="Times New Roman" w:hAnsi="Times New Roman" w:cs="Times New Roman"/>
          <w:noProof/>
          <w:sz w:val="24"/>
          <w:szCs w:val="24"/>
        </w:rPr>
        <w:t>courts not considered to be independent</w:t>
      </w:r>
      <w:r w:rsidR="00630FB6" w:rsidRPr="00D16622">
        <w:rPr>
          <w:rStyle w:val="FootnoteReference"/>
          <w:rFonts w:cs="Times New Roman"/>
          <w:noProof/>
        </w:rPr>
        <w:footnoteReference w:id="33"/>
      </w:r>
      <w:r w:rsidR="00BE750E" w:rsidRPr="00D16622">
        <w:rPr>
          <w:rFonts w:ascii="Times New Roman" w:hAnsi="Times New Roman" w:cs="Times New Roman"/>
          <w:noProof/>
          <w:sz w:val="24"/>
          <w:szCs w:val="24"/>
        </w:rPr>
        <w:t>.</w:t>
      </w:r>
      <w:r w:rsidR="00431D70" w:rsidRPr="00D16622">
        <w:rPr>
          <w:rFonts w:ascii="Times New Roman" w:hAnsi="Times New Roman" w:cs="Times New Roman"/>
          <w:noProof/>
          <w:sz w:val="24"/>
          <w:szCs w:val="24"/>
        </w:rPr>
        <w:t xml:space="preserve"> In a</w:t>
      </w:r>
      <w:r w:rsidR="00431D70" w:rsidRPr="00D16622" w:rsidDel="00E24C25">
        <w:rPr>
          <w:rFonts w:ascii="Times New Roman" w:hAnsi="Times New Roman" w:cs="Times New Roman"/>
          <w:noProof/>
          <w:sz w:val="24"/>
          <w:szCs w:val="24"/>
        </w:rPr>
        <w:t xml:space="preserve"> </w:t>
      </w:r>
      <w:r w:rsidR="00431D70" w:rsidRPr="00D16622">
        <w:rPr>
          <w:rFonts w:ascii="Times New Roman" w:hAnsi="Times New Roman" w:cs="Times New Roman"/>
          <w:noProof/>
          <w:sz w:val="24"/>
          <w:szCs w:val="24"/>
        </w:rPr>
        <w:t>landmark ruling,</w:t>
      </w:r>
      <w:r w:rsidR="00807441" w:rsidRPr="00D16622">
        <w:rPr>
          <w:rFonts w:ascii="Times New Roman" w:hAnsi="Times New Roman" w:cs="Times New Roman"/>
          <w:noProof/>
          <w:sz w:val="24"/>
          <w:szCs w:val="24"/>
        </w:rPr>
        <w:t xml:space="preserve"> the CJEU held that </w:t>
      </w:r>
      <w:r w:rsidR="007E3BEC" w:rsidRPr="00D16622">
        <w:rPr>
          <w:rFonts w:ascii="Times New Roman" w:hAnsi="Times New Roman" w:cs="Times New Roman"/>
          <w:noProof/>
          <w:sz w:val="24"/>
          <w:szCs w:val="24"/>
        </w:rPr>
        <w:t xml:space="preserve">Hungary’s anti-LGBTIQ+ law </w:t>
      </w:r>
      <w:r w:rsidR="00EB239D" w:rsidRPr="00D16622">
        <w:rPr>
          <w:rFonts w:ascii="Times New Roman" w:hAnsi="Times New Roman" w:cs="Times New Roman"/>
          <w:noProof/>
          <w:sz w:val="24"/>
          <w:szCs w:val="24"/>
        </w:rPr>
        <w:t>violated internal market legislation</w:t>
      </w:r>
      <w:r w:rsidR="00D4465F" w:rsidRPr="00D16622">
        <w:rPr>
          <w:rFonts w:ascii="Times New Roman" w:hAnsi="Times New Roman" w:cs="Times New Roman"/>
          <w:noProof/>
          <w:sz w:val="24"/>
          <w:szCs w:val="24"/>
        </w:rPr>
        <w:t>,</w:t>
      </w:r>
      <w:r w:rsidR="00EB239D" w:rsidRPr="00D16622">
        <w:rPr>
          <w:rFonts w:ascii="Times New Roman" w:hAnsi="Times New Roman" w:cs="Times New Roman"/>
          <w:noProof/>
          <w:sz w:val="24"/>
          <w:szCs w:val="24"/>
        </w:rPr>
        <w:t xml:space="preserve"> several fundamental rights set out in the Charter </w:t>
      </w:r>
      <w:r w:rsidR="00D4465F" w:rsidRPr="00D16622">
        <w:rPr>
          <w:rFonts w:ascii="Times New Roman" w:hAnsi="Times New Roman" w:cs="Times New Roman"/>
          <w:noProof/>
          <w:sz w:val="24"/>
          <w:szCs w:val="24"/>
        </w:rPr>
        <w:t>and</w:t>
      </w:r>
      <w:r w:rsidR="00EB239D" w:rsidRPr="00D16622">
        <w:rPr>
          <w:rFonts w:ascii="Times New Roman" w:hAnsi="Times New Roman" w:cs="Times New Roman"/>
          <w:noProof/>
          <w:sz w:val="24"/>
          <w:szCs w:val="24"/>
        </w:rPr>
        <w:t xml:space="preserve"> Article 2 of the TEU</w:t>
      </w:r>
      <w:r w:rsidR="00935AA1" w:rsidRPr="00D16622">
        <w:rPr>
          <w:rStyle w:val="FootnoteReference"/>
          <w:rFonts w:cs="Times New Roman"/>
          <w:noProof/>
        </w:rPr>
        <w:footnoteReference w:id="34"/>
      </w:r>
      <w:r w:rsidR="00EB239D" w:rsidRPr="00D16622">
        <w:rPr>
          <w:rFonts w:ascii="Times New Roman" w:hAnsi="Times New Roman" w:cs="Times New Roman"/>
          <w:noProof/>
          <w:sz w:val="24"/>
          <w:szCs w:val="24"/>
        </w:rPr>
        <w:t xml:space="preserve">. </w:t>
      </w:r>
      <w:r w:rsidR="00CA50EF" w:rsidRPr="00D16622">
        <w:rPr>
          <w:rFonts w:ascii="Times New Roman" w:hAnsi="Times New Roman" w:cs="Times New Roman"/>
          <w:noProof/>
          <w:sz w:val="24"/>
          <w:szCs w:val="24"/>
        </w:rPr>
        <w:t>Th</w:t>
      </w:r>
      <w:r w:rsidR="00985FD4" w:rsidRPr="00D16622">
        <w:rPr>
          <w:rFonts w:ascii="Times New Roman" w:hAnsi="Times New Roman" w:cs="Times New Roman"/>
          <w:noProof/>
          <w:sz w:val="24"/>
          <w:szCs w:val="24"/>
        </w:rPr>
        <w:t>is</w:t>
      </w:r>
      <w:r w:rsidR="00985FD4" w:rsidRPr="00D16622" w:rsidDel="001C33BF">
        <w:rPr>
          <w:rFonts w:ascii="Times New Roman" w:hAnsi="Times New Roman" w:cs="Times New Roman"/>
          <w:noProof/>
          <w:sz w:val="24"/>
          <w:szCs w:val="24"/>
        </w:rPr>
        <w:t xml:space="preserve"> </w:t>
      </w:r>
      <w:r w:rsidR="001C33BF" w:rsidRPr="00D16622">
        <w:rPr>
          <w:rFonts w:ascii="Times New Roman" w:hAnsi="Times New Roman" w:cs="Times New Roman"/>
          <w:noProof/>
          <w:sz w:val="24"/>
          <w:szCs w:val="24"/>
        </w:rPr>
        <w:t xml:space="preserve">marks the </w:t>
      </w:r>
      <w:r w:rsidR="00985FD4" w:rsidRPr="00D16622">
        <w:rPr>
          <w:rFonts w:ascii="Times New Roman" w:hAnsi="Times New Roman" w:cs="Times New Roman"/>
          <w:noProof/>
          <w:sz w:val="24"/>
          <w:szCs w:val="24"/>
        </w:rPr>
        <w:t>first time that th</w:t>
      </w:r>
      <w:r w:rsidR="00CA50EF" w:rsidRPr="00D16622">
        <w:rPr>
          <w:rFonts w:ascii="Times New Roman" w:hAnsi="Times New Roman" w:cs="Times New Roman"/>
          <w:noProof/>
          <w:sz w:val="24"/>
          <w:szCs w:val="24"/>
        </w:rPr>
        <w:t>e Court f</w:t>
      </w:r>
      <w:r w:rsidR="00985FD4" w:rsidRPr="00D16622">
        <w:rPr>
          <w:rFonts w:ascii="Times New Roman" w:hAnsi="Times New Roman" w:cs="Times New Roman"/>
          <w:noProof/>
          <w:sz w:val="24"/>
          <w:szCs w:val="24"/>
        </w:rPr>
        <w:t>oun</w:t>
      </w:r>
      <w:r w:rsidR="00B93A43" w:rsidRPr="00D16622">
        <w:rPr>
          <w:rFonts w:ascii="Times New Roman" w:hAnsi="Times New Roman" w:cs="Times New Roman"/>
          <w:noProof/>
          <w:sz w:val="24"/>
          <w:szCs w:val="24"/>
        </w:rPr>
        <w:t xml:space="preserve">d </w:t>
      </w:r>
      <w:r w:rsidR="00A56F12" w:rsidRPr="00D16622">
        <w:rPr>
          <w:rFonts w:ascii="Times New Roman" w:hAnsi="Times New Roman" w:cs="Times New Roman"/>
          <w:noProof/>
          <w:sz w:val="24"/>
          <w:szCs w:val="24"/>
        </w:rPr>
        <w:t xml:space="preserve">a violation </w:t>
      </w:r>
      <w:r w:rsidR="002F3833" w:rsidRPr="00D16622">
        <w:rPr>
          <w:rFonts w:ascii="Times New Roman" w:hAnsi="Times New Roman" w:cs="Times New Roman"/>
          <w:noProof/>
          <w:sz w:val="24"/>
          <w:szCs w:val="24"/>
        </w:rPr>
        <w:t>of</w:t>
      </w:r>
      <w:r w:rsidR="00FF52D5" w:rsidRPr="00D16622">
        <w:rPr>
          <w:rFonts w:ascii="Times New Roman" w:hAnsi="Times New Roman" w:cs="Times New Roman"/>
          <w:noProof/>
          <w:sz w:val="24"/>
          <w:szCs w:val="24"/>
        </w:rPr>
        <w:t xml:space="preserve"> </w:t>
      </w:r>
      <w:r w:rsidR="002F3833" w:rsidRPr="00D16622">
        <w:rPr>
          <w:rFonts w:ascii="Times New Roman" w:hAnsi="Times New Roman" w:cs="Times New Roman"/>
          <w:noProof/>
          <w:sz w:val="24"/>
          <w:szCs w:val="24"/>
        </w:rPr>
        <w:t>Article</w:t>
      </w:r>
      <w:r w:rsidR="00B93A43" w:rsidRPr="00D16622">
        <w:rPr>
          <w:rFonts w:ascii="Times New Roman" w:hAnsi="Times New Roman" w:cs="Times New Roman"/>
          <w:noProof/>
          <w:sz w:val="24"/>
          <w:szCs w:val="24"/>
        </w:rPr>
        <w:t xml:space="preserve"> 2</w:t>
      </w:r>
      <w:r w:rsidR="005877B8" w:rsidRPr="00D16622">
        <w:rPr>
          <w:rFonts w:ascii="Times New Roman" w:hAnsi="Times New Roman" w:cs="Times New Roman"/>
          <w:noProof/>
          <w:sz w:val="24"/>
          <w:szCs w:val="24"/>
        </w:rPr>
        <w:t>,</w:t>
      </w:r>
      <w:r w:rsidR="002F3833" w:rsidRPr="00D16622">
        <w:rPr>
          <w:rFonts w:ascii="Times New Roman" w:hAnsi="Times New Roman" w:cs="Times New Roman"/>
          <w:noProof/>
          <w:sz w:val="24"/>
          <w:szCs w:val="24"/>
        </w:rPr>
        <w:t xml:space="preserve"> which </w:t>
      </w:r>
      <w:r w:rsidR="001A31D2" w:rsidRPr="00D16622">
        <w:rPr>
          <w:rFonts w:ascii="Times New Roman" w:hAnsi="Times New Roman" w:cs="Times New Roman"/>
          <w:noProof/>
          <w:sz w:val="24"/>
          <w:szCs w:val="24"/>
        </w:rPr>
        <w:t xml:space="preserve">enshrines </w:t>
      </w:r>
      <w:r w:rsidR="002F3833" w:rsidRPr="00D16622">
        <w:rPr>
          <w:rFonts w:ascii="Times New Roman" w:hAnsi="Times New Roman" w:cs="Times New Roman"/>
          <w:noProof/>
          <w:sz w:val="24"/>
          <w:szCs w:val="24"/>
        </w:rPr>
        <w:t>the values on which the European Union is founded</w:t>
      </w:r>
      <w:r w:rsidR="001D76D2" w:rsidRPr="00D16622">
        <w:rPr>
          <w:rFonts w:ascii="Times New Roman" w:hAnsi="Times New Roman" w:cs="Times New Roman"/>
          <w:noProof/>
          <w:sz w:val="24"/>
          <w:szCs w:val="24"/>
        </w:rPr>
        <w:t>, including the rule of law</w:t>
      </w:r>
      <w:r w:rsidR="00935AA1" w:rsidRPr="00D16622">
        <w:rPr>
          <w:rFonts w:ascii="Times New Roman" w:hAnsi="Times New Roman" w:cs="Times New Roman"/>
          <w:noProof/>
          <w:sz w:val="24"/>
          <w:szCs w:val="24"/>
        </w:rPr>
        <w:t>.</w:t>
      </w:r>
      <w:r w:rsidR="00BE750E" w:rsidRPr="00D16622">
        <w:rPr>
          <w:rFonts w:ascii="Times New Roman" w:hAnsi="Times New Roman" w:cs="Times New Roman"/>
          <w:noProof/>
          <w:sz w:val="24"/>
          <w:szCs w:val="24"/>
        </w:rPr>
        <w:t xml:space="preserve"> </w:t>
      </w:r>
    </w:p>
    <w:p w14:paraId="12B4A8A2" w14:textId="1A74C3A7" w:rsidR="00B70172" w:rsidRPr="00D16622" w:rsidRDefault="00F76EFA" w:rsidP="000525E9">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The</w:t>
      </w:r>
      <w:r w:rsidR="009A6E8C" w:rsidRPr="00D16622" w:rsidDel="00942DF2">
        <w:rPr>
          <w:rFonts w:ascii="Times New Roman" w:hAnsi="Times New Roman" w:cs="Times New Roman"/>
          <w:noProof/>
          <w:sz w:val="24"/>
          <w:szCs w:val="24"/>
        </w:rPr>
        <w:t xml:space="preserve"> </w:t>
      </w:r>
      <w:r w:rsidRPr="00D16622">
        <w:rPr>
          <w:rFonts w:ascii="Times New Roman" w:hAnsi="Times New Roman" w:cs="Times New Roman"/>
          <w:noProof/>
          <w:sz w:val="24"/>
          <w:szCs w:val="24"/>
        </w:rPr>
        <w:t xml:space="preserve">application of the </w:t>
      </w:r>
      <w:r w:rsidRPr="00D16622">
        <w:rPr>
          <w:rFonts w:ascii="Times New Roman" w:hAnsi="Times New Roman" w:cs="Times New Roman"/>
          <w:b/>
          <w:bCs/>
          <w:noProof/>
          <w:sz w:val="24"/>
          <w:szCs w:val="24"/>
        </w:rPr>
        <w:t>Article 7 TEU mechanism</w:t>
      </w:r>
      <w:r w:rsidRPr="00D16622">
        <w:rPr>
          <w:rFonts w:ascii="Times New Roman" w:hAnsi="Times New Roman" w:cs="Times New Roman"/>
          <w:noProof/>
          <w:sz w:val="24"/>
          <w:szCs w:val="24"/>
        </w:rPr>
        <w:t xml:space="preserve"> </w:t>
      </w:r>
      <w:r w:rsidR="00B10414" w:rsidRPr="00D16622">
        <w:rPr>
          <w:rFonts w:ascii="Times New Roman" w:hAnsi="Times New Roman" w:cs="Times New Roman"/>
          <w:noProof/>
          <w:sz w:val="24"/>
          <w:szCs w:val="24"/>
        </w:rPr>
        <w:t xml:space="preserve">should </w:t>
      </w:r>
      <w:r w:rsidR="00F30307" w:rsidRPr="00D16622">
        <w:rPr>
          <w:rFonts w:ascii="Times New Roman" w:hAnsi="Times New Roman" w:cs="Times New Roman"/>
          <w:noProof/>
          <w:sz w:val="24"/>
          <w:szCs w:val="24"/>
        </w:rPr>
        <w:t>continue</w:t>
      </w:r>
      <w:r w:rsidRPr="00D16622">
        <w:rPr>
          <w:rFonts w:ascii="Times New Roman" w:hAnsi="Times New Roman" w:cs="Times New Roman"/>
          <w:noProof/>
          <w:sz w:val="24"/>
          <w:szCs w:val="24"/>
        </w:rPr>
        <w:t>, including in a future enlarged U</w:t>
      </w:r>
      <w:r w:rsidR="009A6E8C" w:rsidRPr="00D16622">
        <w:rPr>
          <w:rFonts w:ascii="Times New Roman" w:hAnsi="Times New Roman" w:cs="Times New Roman"/>
          <w:noProof/>
          <w:sz w:val="24"/>
          <w:szCs w:val="24"/>
        </w:rPr>
        <w:t>nion</w:t>
      </w:r>
      <w:r w:rsidR="00435D0B" w:rsidRPr="00D16622">
        <w:rPr>
          <w:rStyle w:val="FootnoteReference"/>
          <w:rFonts w:cs="Times New Roman"/>
          <w:noProof/>
        </w:rPr>
        <w:footnoteReference w:id="35"/>
      </w:r>
      <w:r w:rsidRPr="00D16622">
        <w:rPr>
          <w:rFonts w:ascii="Times New Roman" w:hAnsi="Times New Roman" w:cs="Times New Roman"/>
          <w:noProof/>
          <w:sz w:val="24"/>
          <w:szCs w:val="24"/>
        </w:rPr>
        <w:t xml:space="preserve">. The Article 7(1) TEU procedure, </w:t>
      </w:r>
      <w:r w:rsidR="005C74DC" w:rsidRPr="00D16622">
        <w:rPr>
          <w:rFonts w:ascii="Times New Roman" w:hAnsi="Times New Roman" w:cs="Times New Roman"/>
          <w:noProof/>
          <w:sz w:val="24"/>
          <w:szCs w:val="24"/>
        </w:rPr>
        <w:t>allowing</w:t>
      </w:r>
      <w:r w:rsidRPr="00D16622">
        <w:rPr>
          <w:rFonts w:ascii="Times New Roman" w:hAnsi="Times New Roman" w:cs="Times New Roman"/>
          <w:noProof/>
          <w:sz w:val="24"/>
          <w:szCs w:val="24"/>
        </w:rPr>
        <w:t xml:space="preserve"> the Council to determine the existence of a clear risk of a serious breach of the EU’s values and to follow up on such risks, continues in relation to Hungary. The Council held a </w:t>
      </w:r>
      <w:r w:rsidR="003C4DBA" w:rsidRPr="00D16622">
        <w:rPr>
          <w:rFonts w:ascii="Times New Roman" w:hAnsi="Times New Roman" w:cs="Times New Roman"/>
          <w:noProof/>
          <w:sz w:val="24"/>
          <w:szCs w:val="24"/>
        </w:rPr>
        <w:t>state of play</w:t>
      </w:r>
      <w:r w:rsidR="006C36C4" w:rsidRPr="00D16622">
        <w:rPr>
          <w:rFonts w:ascii="Times New Roman" w:hAnsi="Times New Roman" w:cs="Times New Roman"/>
          <w:noProof/>
          <w:sz w:val="24"/>
          <w:szCs w:val="24"/>
        </w:rPr>
        <w:t xml:space="preserve"> discussio</w:t>
      </w:r>
      <w:r w:rsidR="008E509A" w:rsidRPr="00D16622">
        <w:rPr>
          <w:rFonts w:ascii="Times New Roman" w:hAnsi="Times New Roman" w:cs="Times New Roman"/>
          <w:noProof/>
          <w:sz w:val="24"/>
          <w:szCs w:val="24"/>
        </w:rPr>
        <w:t>n</w:t>
      </w:r>
      <w:r w:rsidRPr="00D16622">
        <w:rPr>
          <w:rFonts w:ascii="Times New Roman" w:hAnsi="Times New Roman" w:cs="Times New Roman"/>
          <w:noProof/>
          <w:sz w:val="24"/>
          <w:szCs w:val="24"/>
        </w:rPr>
        <w:t xml:space="preserve"> in </w:t>
      </w:r>
      <w:r w:rsidR="005C74DC" w:rsidRPr="00D16622">
        <w:rPr>
          <w:rFonts w:ascii="Times New Roman" w:hAnsi="Times New Roman" w:cs="Times New Roman"/>
          <w:noProof/>
          <w:sz w:val="24"/>
          <w:szCs w:val="24"/>
        </w:rPr>
        <w:t>June</w:t>
      </w:r>
      <w:r w:rsidRPr="00D16622">
        <w:rPr>
          <w:rFonts w:ascii="Times New Roman" w:hAnsi="Times New Roman" w:cs="Times New Roman"/>
          <w:noProof/>
          <w:sz w:val="24"/>
          <w:szCs w:val="24"/>
        </w:rPr>
        <w:t xml:space="preserve"> 202</w:t>
      </w:r>
      <w:r w:rsidR="005C74DC" w:rsidRPr="00D16622">
        <w:rPr>
          <w:rFonts w:ascii="Times New Roman" w:hAnsi="Times New Roman" w:cs="Times New Roman"/>
          <w:noProof/>
          <w:sz w:val="24"/>
          <w:szCs w:val="24"/>
        </w:rPr>
        <w:t>6</w:t>
      </w:r>
      <w:r w:rsidR="00E5313A" w:rsidRPr="00D16622">
        <w:rPr>
          <w:rFonts w:ascii="Times New Roman" w:hAnsi="Times New Roman" w:cs="Times New Roman"/>
          <w:noProof/>
          <w:sz w:val="24"/>
          <w:szCs w:val="24"/>
        </w:rPr>
        <w:t>,</w:t>
      </w:r>
      <w:r w:rsidR="00041189" w:rsidRPr="00D16622">
        <w:rPr>
          <w:rFonts w:ascii="Times New Roman" w:hAnsi="Times New Roman" w:cs="Times New Roman"/>
          <w:noProof/>
          <w:sz w:val="24"/>
          <w:szCs w:val="24"/>
        </w:rPr>
        <w:t xml:space="preserve"> during which Hungary updated on its plans and concrete steps to address the concerns raised in the European Parliament’s reasoned proposal and by Member States in previous Council meetings</w:t>
      </w:r>
      <w:r w:rsidR="005C74DC" w:rsidRPr="00D16622">
        <w:rPr>
          <w:rFonts w:ascii="Times New Roman" w:hAnsi="Times New Roman" w:cs="Times New Roman"/>
          <w:noProof/>
          <w:sz w:val="24"/>
          <w:szCs w:val="24"/>
        </w:rPr>
        <w:t>.</w:t>
      </w:r>
    </w:p>
    <w:p w14:paraId="3216DC4A" w14:textId="4A67CFE9" w:rsidR="000C1D06" w:rsidRPr="00D16622" w:rsidRDefault="000C1D06" w:rsidP="000525E9">
      <w:pPr>
        <w:spacing w:after="120" w:line="240" w:lineRule="auto"/>
        <w:jc w:val="both"/>
        <w:rPr>
          <w:rFonts w:ascii="Times New Roman" w:hAnsi="Times New Roman" w:cs="Times New Roman"/>
          <w:i/>
          <w:iCs/>
          <w:noProof/>
          <w:sz w:val="24"/>
          <w:szCs w:val="24"/>
        </w:rPr>
      </w:pPr>
      <w:r w:rsidRPr="00D16622">
        <w:rPr>
          <w:rFonts w:ascii="Times New Roman" w:hAnsi="Times New Roman" w:cs="Times New Roman"/>
          <w:i/>
          <w:iCs/>
          <w:noProof/>
          <w:sz w:val="24"/>
          <w:szCs w:val="24"/>
        </w:rPr>
        <w:t>Protecting the EU budget from breaches of the principles of rule of law</w:t>
      </w:r>
    </w:p>
    <w:p w14:paraId="222266D7" w14:textId="0ACB5244" w:rsidR="008D15C4" w:rsidRPr="00D16622" w:rsidRDefault="00474BB6" w:rsidP="00474BB6">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Effective financial management can only be guaranteed where public authorities operate in compliance with the law, where violations are properly investigated and prosecuted, and where arbitrary or unlawful actions by public authorities are subject to judicial oversight.</w:t>
      </w:r>
      <w:r w:rsidR="005B508A" w:rsidRPr="00D16622">
        <w:rPr>
          <w:rFonts w:ascii="Times New Roman" w:hAnsi="Times New Roman" w:cs="Times New Roman"/>
          <w:noProof/>
          <w:sz w:val="24"/>
          <w:szCs w:val="24"/>
        </w:rPr>
        <w:t xml:space="preserve"> </w:t>
      </w:r>
    </w:p>
    <w:p w14:paraId="118B67D5" w14:textId="30661BF3" w:rsidR="00474BB6" w:rsidRPr="00D16622" w:rsidRDefault="001D1E83" w:rsidP="00474BB6">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The </w:t>
      </w:r>
      <w:r w:rsidRPr="00D16622">
        <w:rPr>
          <w:rFonts w:ascii="Times New Roman" w:hAnsi="Times New Roman" w:cs="Times New Roman"/>
          <w:b/>
          <w:noProof/>
          <w:sz w:val="24"/>
          <w:szCs w:val="24"/>
        </w:rPr>
        <w:t>Conditionality Regulation</w:t>
      </w:r>
      <w:r w:rsidRPr="00D16622">
        <w:rPr>
          <w:rFonts w:ascii="Times New Roman" w:hAnsi="Times New Roman" w:cs="Times New Roman"/>
          <w:noProof/>
          <w:sz w:val="24"/>
          <w:szCs w:val="24"/>
        </w:rPr>
        <w:t xml:space="preserve"> </w:t>
      </w:r>
      <w:r w:rsidR="00CB0D3B" w:rsidRPr="00D16622">
        <w:rPr>
          <w:rFonts w:ascii="Times New Roman" w:hAnsi="Times New Roman" w:cs="Times New Roman"/>
          <w:noProof/>
          <w:sz w:val="24"/>
          <w:szCs w:val="24"/>
        </w:rPr>
        <w:t>is an</w:t>
      </w:r>
      <w:r w:rsidR="00B10F3A" w:rsidRPr="00D16622">
        <w:rPr>
          <w:rFonts w:ascii="Times New Roman" w:hAnsi="Times New Roman" w:cs="Times New Roman"/>
          <w:noProof/>
          <w:sz w:val="24"/>
          <w:szCs w:val="24"/>
        </w:rPr>
        <w:t xml:space="preserve"> important </w:t>
      </w:r>
      <w:r w:rsidRPr="00D16622">
        <w:rPr>
          <w:rFonts w:ascii="Times New Roman" w:hAnsi="Times New Roman" w:cs="Times New Roman"/>
          <w:noProof/>
          <w:sz w:val="24"/>
          <w:szCs w:val="24"/>
        </w:rPr>
        <w:t>tool</w:t>
      </w:r>
      <w:r w:rsidR="00CB0D3B" w:rsidRPr="00D16622">
        <w:rPr>
          <w:rFonts w:ascii="Times New Roman" w:hAnsi="Times New Roman" w:cs="Times New Roman"/>
          <w:noProof/>
          <w:sz w:val="24"/>
          <w:szCs w:val="24"/>
        </w:rPr>
        <w:t xml:space="preserve"> to</w:t>
      </w:r>
      <w:r w:rsidR="00BD1B8C" w:rsidRPr="00D16622">
        <w:rPr>
          <w:rFonts w:ascii="Times New Roman" w:hAnsi="Times New Roman" w:cs="Times New Roman"/>
          <w:noProof/>
          <w:sz w:val="24"/>
          <w:szCs w:val="24"/>
        </w:rPr>
        <w:t xml:space="preserve"> protect the EU budget</w:t>
      </w:r>
      <w:r w:rsidR="0019485F" w:rsidRPr="00D16622">
        <w:rPr>
          <w:rFonts w:ascii="Times New Roman" w:hAnsi="Times New Roman" w:cs="Times New Roman"/>
          <w:noProof/>
          <w:sz w:val="24"/>
          <w:szCs w:val="24"/>
        </w:rPr>
        <w:t xml:space="preserve"> from breaches of rule of law principles.</w:t>
      </w:r>
      <w:r w:rsidR="00363F1C" w:rsidRPr="00D16622">
        <w:rPr>
          <w:rFonts w:ascii="Times New Roman" w:hAnsi="Times New Roman" w:cs="Times New Roman"/>
          <w:noProof/>
          <w:sz w:val="24"/>
          <w:szCs w:val="24"/>
        </w:rPr>
        <w:t xml:space="preserve"> </w:t>
      </w:r>
      <w:r w:rsidR="00474BB6" w:rsidRPr="00D16622">
        <w:rPr>
          <w:rFonts w:ascii="Times New Roman" w:hAnsi="Times New Roman" w:cs="Times New Roman"/>
          <w:noProof/>
          <w:sz w:val="24"/>
          <w:szCs w:val="24"/>
        </w:rPr>
        <w:t xml:space="preserve">The protective measures adopted by the Council in December 2022 following the procedure launched </w:t>
      </w:r>
      <w:r w:rsidR="00EF0692" w:rsidRPr="00D16622">
        <w:rPr>
          <w:rFonts w:ascii="Times New Roman" w:hAnsi="Times New Roman" w:cs="Times New Roman"/>
          <w:noProof/>
          <w:sz w:val="24"/>
          <w:szCs w:val="24"/>
        </w:rPr>
        <w:t xml:space="preserve">regarding Hungary </w:t>
      </w:r>
      <w:r w:rsidR="00474BB6" w:rsidRPr="00D16622">
        <w:rPr>
          <w:rFonts w:ascii="Times New Roman" w:hAnsi="Times New Roman" w:cs="Times New Roman"/>
          <w:noProof/>
          <w:sz w:val="24"/>
          <w:szCs w:val="24"/>
        </w:rPr>
        <w:t>by the Commission under the Conditionality Regulation remain in force</w:t>
      </w:r>
      <w:r w:rsidR="00A2514C" w:rsidRPr="00D16622">
        <w:rPr>
          <w:rFonts w:ascii="Times New Roman" w:hAnsi="Times New Roman" w:cs="Times New Roman"/>
          <w:noProof/>
          <w:sz w:val="24"/>
          <w:szCs w:val="24"/>
        </w:rPr>
        <w:t>.</w:t>
      </w:r>
      <w:r w:rsidR="005C1B3A" w:rsidRPr="00D16622">
        <w:rPr>
          <w:rFonts w:ascii="Times New Roman" w:hAnsi="Times New Roman" w:cs="Times New Roman"/>
          <w:noProof/>
          <w:sz w:val="24"/>
          <w:szCs w:val="24"/>
        </w:rPr>
        <w:t xml:space="preserve"> </w:t>
      </w:r>
      <w:r w:rsidR="00266D06" w:rsidRPr="00D16622">
        <w:rPr>
          <w:rFonts w:ascii="Times New Roman" w:hAnsi="Times New Roman" w:cs="Times New Roman"/>
          <w:noProof/>
          <w:sz w:val="24"/>
          <w:szCs w:val="24"/>
        </w:rPr>
        <w:t>The Commission is engaging with the Hungarian authorities on actions that need to be taken to address the relevant concerns</w:t>
      </w:r>
      <w:r w:rsidR="00FF09A7">
        <w:rPr>
          <w:rFonts w:ascii="Times New Roman" w:hAnsi="Times New Roman" w:cs="Times New Roman"/>
          <w:noProof/>
          <w:sz w:val="24"/>
          <w:szCs w:val="24"/>
        </w:rPr>
        <w:t>.</w:t>
      </w:r>
      <w:r w:rsidR="00266D06" w:rsidRPr="00D16622">
        <w:rPr>
          <w:rFonts w:ascii="Times New Roman" w:hAnsi="Times New Roman" w:cs="Times New Roman"/>
          <w:noProof/>
          <w:sz w:val="24"/>
          <w:szCs w:val="24"/>
        </w:rPr>
        <w:t xml:space="preserve"> </w:t>
      </w:r>
      <w:r w:rsidR="00927601" w:rsidRPr="00D16622">
        <w:rPr>
          <w:rFonts w:ascii="Times New Roman" w:hAnsi="Times New Roman" w:cs="Times New Roman"/>
          <w:noProof/>
          <w:sz w:val="24"/>
          <w:szCs w:val="24"/>
        </w:rPr>
        <w:t>T</w:t>
      </w:r>
      <w:r w:rsidR="00092976" w:rsidRPr="00D16622">
        <w:rPr>
          <w:rFonts w:ascii="Times New Roman" w:hAnsi="Times New Roman" w:cs="Times New Roman"/>
          <w:noProof/>
          <w:sz w:val="24"/>
          <w:szCs w:val="24"/>
        </w:rPr>
        <w:t xml:space="preserve">he new Hungarian Recovery and Resilience Plan, as approved by the Council on [12 July 2026], contains rule of law-related audit and control milestones to effectively protect the EU’s financial interests. </w:t>
      </w:r>
      <w:r w:rsidR="00C219C4" w:rsidRPr="00D16622">
        <w:rPr>
          <w:rFonts w:ascii="Times New Roman" w:hAnsi="Times New Roman" w:cs="Times New Roman"/>
          <w:noProof/>
          <w:sz w:val="24"/>
          <w:szCs w:val="24"/>
        </w:rPr>
        <w:t xml:space="preserve">The </w:t>
      </w:r>
      <w:r w:rsidR="00C219C4" w:rsidRPr="00D16622">
        <w:rPr>
          <w:rFonts w:ascii="Times New Roman" w:hAnsi="Times New Roman" w:cs="Times New Roman"/>
          <w:b/>
          <w:noProof/>
          <w:sz w:val="24"/>
          <w:szCs w:val="24"/>
        </w:rPr>
        <w:t>horizontal enabling condition</w:t>
      </w:r>
      <w:r w:rsidR="00C219C4" w:rsidRPr="00D16622">
        <w:rPr>
          <w:rFonts w:ascii="Times New Roman" w:hAnsi="Times New Roman" w:cs="Times New Roman"/>
          <w:noProof/>
          <w:sz w:val="24"/>
          <w:szCs w:val="24"/>
        </w:rPr>
        <w:t xml:space="preserve"> </w:t>
      </w:r>
      <w:r w:rsidR="00552BF6" w:rsidRPr="00D16622">
        <w:rPr>
          <w:rFonts w:ascii="Times New Roman" w:hAnsi="Times New Roman" w:cs="Times New Roman"/>
          <w:noProof/>
          <w:sz w:val="24"/>
          <w:szCs w:val="24"/>
        </w:rPr>
        <w:t>under the Common Provisions Regulation</w:t>
      </w:r>
      <w:r w:rsidR="002502E2" w:rsidRPr="00D16622">
        <w:rPr>
          <w:rFonts w:ascii="Times New Roman" w:hAnsi="Times New Roman" w:cs="Times New Roman"/>
          <w:noProof/>
          <w:sz w:val="24"/>
          <w:szCs w:val="24"/>
        </w:rPr>
        <w:t xml:space="preserve"> is another important tool to ensure that the Charter</w:t>
      </w:r>
      <w:r w:rsidR="00552BF6" w:rsidRPr="00D16622">
        <w:rPr>
          <w:rFonts w:ascii="Times New Roman" w:hAnsi="Times New Roman" w:cs="Times New Roman"/>
          <w:noProof/>
          <w:sz w:val="24"/>
          <w:szCs w:val="24"/>
        </w:rPr>
        <w:t xml:space="preserve"> of Fundamental Rights</w:t>
      </w:r>
      <w:r w:rsidR="002502E2" w:rsidRPr="00D16622">
        <w:rPr>
          <w:rFonts w:ascii="Times New Roman" w:hAnsi="Times New Roman" w:cs="Times New Roman"/>
          <w:noProof/>
          <w:sz w:val="24"/>
          <w:szCs w:val="24"/>
        </w:rPr>
        <w:t xml:space="preserve"> is respected </w:t>
      </w:r>
      <w:r w:rsidR="00D42F5D" w:rsidRPr="00D16622">
        <w:rPr>
          <w:rFonts w:ascii="Times New Roman" w:hAnsi="Times New Roman" w:cs="Times New Roman"/>
          <w:noProof/>
          <w:sz w:val="24"/>
          <w:szCs w:val="24"/>
        </w:rPr>
        <w:t>when Member States implement EU funds.</w:t>
      </w:r>
      <w:r w:rsidR="00C219C4" w:rsidRPr="00D16622">
        <w:rPr>
          <w:rFonts w:ascii="Times New Roman" w:hAnsi="Times New Roman" w:cs="Times New Roman"/>
          <w:noProof/>
          <w:sz w:val="24"/>
          <w:szCs w:val="24"/>
        </w:rPr>
        <w:t xml:space="preserve"> </w:t>
      </w:r>
    </w:p>
    <w:p w14:paraId="15F51B24" w14:textId="4BD57645" w:rsidR="00474BB6" w:rsidRPr="00D16622" w:rsidRDefault="007C07A4" w:rsidP="0027416B">
      <w:pPr>
        <w:spacing w:after="120" w:line="240" w:lineRule="auto"/>
        <w:jc w:val="both"/>
        <w:rPr>
          <w:rFonts w:ascii="Times New Roman" w:hAnsi="Times New Roman" w:cs="Times New Roman"/>
          <w:noProof/>
          <w:sz w:val="24"/>
          <w:szCs w:val="24"/>
        </w:rPr>
      </w:pPr>
      <w:bookmarkStart w:id="3" w:name="_Hlk232793893"/>
      <w:r w:rsidRPr="00D16622">
        <w:rPr>
          <w:rFonts w:ascii="Times New Roman" w:hAnsi="Times New Roman" w:cs="Times New Roman"/>
          <w:noProof/>
          <w:sz w:val="24"/>
          <w:szCs w:val="24"/>
        </w:rPr>
        <w:t>Th</w:t>
      </w:r>
      <w:r w:rsidR="006A7EC1" w:rsidRPr="00D16622">
        <w:rPr>
          <w:rFonts w:ascii="Times New Roman" w:hAnsi="Times New Roman" w:cs="Times New Roman"/>
          <w:noProof/>
          <w:sz w:val="24"/>
          <w:szCs w:val="24"/>
        </w:rPr>
        <w:t xml:space="preserve">rough </w:t>
      </w:r>
      <w:r w:rsidR="009A589C" w:rsidRPr="00D16622">
        <w:rPr>
          <w:rFonts w:ascii="Times New Roman" w:hAnsi="Times New Roman" w:cs="Times New Roman"/>
          <w:noProof/>
          <w:sz w:val="24"/>
          <w:szCs w:val="24"/>
        </w:rPr>
        <w:t>their</w:t>
      </w:r>
      <w:r w:rsidR="006A7EC1" w:rsidRPr="00D16622">
        <w:rPr>
          <w:rFonts w:ascii="Times New Roman" w:hAnsi="Times New Roman" w:cs="Times New Roman"/>
          <w:noProof/>
          <w:sz w:val="24"/>
          <w:szCs w:val="24"/>
        </w:rPr>
        <w:t xml:space="preserve"> </w:t>
      </w:r>
      <w:r w:rsidR="00980261" w:rsidRPr="00D16622">
        <w:rPr>
          <w:rFonts w:ascii="Times New Roman" w:hAnsi="Times New Roman" w:cs="Times New Roman"/>
          <w:noProof/>
          <w:sz w:val="24"/>
          <w:szCs w:val="24"/>
        </w:rPr>
        <w:t>work to protect</w:t>
      </w:r>
      <w:r w:rsidR="006A7EC1" w:rsidRPr="00D16622">
        <w:rPr>
          <w:rFonts w:ascii="Times New Roman" w:hAnsi="Times New Roman" w:cs="Times New Roman"/>
          <w:noProof/>
          <w:sz w:val="24"/>
          <w:szCs w:val="24"/>
        </w:rPr>
        <w:t xml:space="preserve"> the Union’s financial interests, th</w:t>
      </w:r>
      <w:r w:rsidRPr="00D16622">
        <w:rPr>
          <w:rFonts w:ascii="Times New Roman" w:hAnsi="Times New Roman" w:cs="Times New Roman"/>
          <w:noProof/>
          <w:sz w:val="24"/>
          <w:szCs w:val="24"/>
        </w:rPr>
        <w:t xml:space="preserve">e </w:t>
      </w:r>
      <w:r w:rsidRPr="00D16622">
        <w:rPr>
          <w:rFonts w:ascii="Times New Roman" w:hAnsi="Times New Roman" w:cs="Times New Roman"/>
          <w:b/>
          <w:noProof/>
          <w:sz w:val="24"/>
          <w:szCs w:val="24"/>
        </w:rPr>
        <w:t xml:space="preserve">European Public Prosecutor’s Office (EPPO) </w:t>
      </w:r>
      <w:r w:rsidR="009A589C" w:rsidRPr="00D16622">
        <w:rPr>
          <w:rFonts w:ascii="Times New Roman" w:hAnsi="Times New Roman" w:cs="Times New Roman"/>
          <w:bCs/>
          <w:noProof/>
          <w:sz w:val="24"/>
          <w:szCs w:val="24"/>
        </w:rPr>
        <w:t xml:space="preserve">and </w:t>
      </w:r>
      <w:r w:rsidR="00AC7AC8" w:rsidRPr="00D16622">
        <w:rPr>
          <w:rFonts w:ascii="Times New Roman" w:hAnsi="Times New Roman" w:cs="Times New Roman"/>
          <w:bCs/>
          <w:noProof/>
          <w:sz w:val="24"/>
          <w:szCs w:val="24"/>
        </w:rPr>
        <w:t xml:space="preserve">the </w:t>
      </w:r>
      <w:r w:rsidR="00AC7AC8" w:rsidRPr="00D16622">
        <w:rPr>
          <w:rFonts w:ascii="Times New Roman" w:hAnsi="Times New Roman" w:cs="Times New Roman"/>
          <w:b/>
          <w:noProof/>
          <w:sz w:val="24"/>
          <w:szCs w:val="24"/>
        </w:rPr>
        <w:t>European Anti-Fraud Office (</w:t>
      </w:r>
      <w:r w:rsidR="009A589C" w:rsidRPr="00D16622">
        <w:rPr>
          <w:rFonts w:ascii="Times New Roman" w:hAnsi="Times New Roman" w:cs="Times New Roman"/>
          <w:b/>
          <w:noProof/>
          <w:sz w:val="24"/>
          <w:szCs w:val="24"/>
        </w:rPr>
        <w:t>OLAF</w:t>
      </w:r>
      <w:r w:rsidR="00AC7AC8" w:rsidRPr="00D16622">
        <w:rPr>
          <w:rFonts w:ascii="Times New Roman" w:hAnsi="Times New Roman" w:cs="Times New Roman"/>
          <w:b/>
          <w:noProof/>
          <w:sz w:val="24"/>
          <w:szCs w:val="24"/>
        </w:rPr>
        <w:t>)</w:t>
      </w:r>
      <w:r w:rsidR="009A589C" w:rsidRPr="00D16622">
        <w:rPr>
          <w:rFonts w:ascii="Times New Roman" w:hAnsi="Times New Roman" w:cs="Times New Roman"/>
          <w:bCs/>
          <w:noProof/>
          <w:sz w:val="24"/>
          <w:szCs w:val="24"/>
        </w:rPr>
        <w:t xml:space="preserve"> </w:t>
      </w:r>
      <w:r w:rsidRPr="00D16622">
        <w:rPr>
          <w:rFonts w:ascii="Times New Roman" w:hAnsi="Times New Roman" w:cs="Times New Roman"/>
          <w:noProof/>
          <w:sz w:val="24"/>
          <w:szCs w:val="24"/>
        </w:rPr>
        <w:t>make a critical contribution to</w:t>
      </w:r>
      <w:r w:rsidR="00F35C76" w:rsidRPr="00D16622">
        <w:rPr>
          <w:rFonts w:ascii="Times New Roman" w:hAnsi="Times New Roman" w:cs="Times New Roman"/>
          <w:noProof/>
          <w:sz w:val="24"/>
          <w:szCs w:val="24"/>
        </w:rPr>
        <w:t xml:space="preserve"> protecting the EU budget</w:t>
      </w:r>
      <w:r w:rsidR="007B347A" w:rsidRPr="00D16622">
        <w:rPr>
          <w:rFonts w:ascii="Times New Roman" w:hAnsi="Times New Roman" w:cs="Times New Roman"/>
          <w:noProof/>
          <w:sz w:val="24"/>
          <w:szCs w:val="24"/>
        </w:rPr>
        <w:t>,</w:t>
      </w:r>
      <w:r w:rsidR="008E117D" w:rsidRPr="00D16622">
        <w:rPr>
          <w:rFonts w:ascii="Times New Roman" w:hAnsi="Times New Roman" w:cs="Times New Roman"/>
          <w:noProof/>
          <w:sz w:val="24"/>
          <w:szCs w:val="24"/>
        </w:rPr>
        <w:t xml:space="preserve"> </w:t>
      </w:r>
      <w:r w:rsidRPr="00D16622">
        <w:rPr>
          <w:rFonts w:ascii="Times New Roman" w:hAnsi="Times New Roman" w:cs="Times New Roman"/>
          <w:noProof/>
          <w:sz w:val="24"/>
          <w:szCs w:val="24"/>
        </w:rPr>
        <w:t>upholding the rule of law</w:t>
      </w:r>
      <w:r w:rsidR="006A7EC1" w:rsidRPr="00D16622">
        <w:rPr>
          <w:rFonts w:ascii="Times New Roman" w:hAnsi="Times New Roman" w:cs="Times New Roman"/>
          <w:noProof/>
          <w:sz w:val="24"/>
          <w:szCs w:val="24"/>
        </w:rPr>
        <w:t xml:space="preserve"> and fighting corruption</w:t>
      </w:r>
      <w:r w:rsidRPr="00D16622">
        <w:rPr>
          <w:rFonts w:ascii="Times New Roman" w:hAnsi="Times New Roman" w:cs="Times New Roman"/>
          <w:noProof/>
          <w:sz w:val="24"/>
          <w:szCs w:val="24"/>
        </w:rPr>
        <w:t>.</w:t>
      </w:r>
      <w:r w:rsidR="0057249A" w:rsidRPr="00D16622">
        <w:rPr>
          <w:rFonts w:ascii="Times New Roman" w:hAnsi="Times New Roman" w:cs="Times New Roman"/>
          <w:noProof/>
          <w:sz w:val="24"/>
          <w:szCs w:val="24"/>
        </w:rPr>
        <w:t xml:space="preserve"> </w:t>
      </w:r>
      <w:r w:rsidR="00A7744C" w:rsidRPr="00D16622">
        <w:rPr>
          <w:rFonts w:ascii="Times New Roman" w:hAnsi="Times New Roman" w:cs="Times New Roman"/>
          <w:noProof/>
          <w:sz w:val="24"/>
          <w:szCs w:val="24"/>
        </w:rPr>
        <w:t xml:space="preserve">Established as a mechanism of enhanced cooperation </w:t>
      </w:r>
      <w:r w:rsidR="00F317F6" w:rsidRPr="00D16622">
        <w:rPr>
          <w:rFonts w:ascii="Times New Roman" w:hAnsi="Times New Roman" w:cs="Times New Roman"/>
          <w:noProof/>
          <w:sz w:val="24"/>
          <w:szCs w:val="24"/>
        </w:rPr>
        <w:t xml:space="preserve">in October 2017, the EPPO has gradually </w:t>
      </w:r>
      <w:r w:rsidR="00D200BD" w:rsidRPr="00D16622">
        <w:rPr>
          <w:rFonts w:ascii="Times New Roman" w:hAnsi="Times New Roman" w:cs="Times New Roman"/>
          <w:noProof/>
          <w:sz w:val="24"/>
          <w:szCs w:val="24"/>
        </w:rPr>
        <w:t>been joined by additional Member States</w:t>
      </w:r>
      <w:r w:rsidR="004902FD" w:rsidRPr="00D16622">
        <w:rPr>
          <w:rStyle w:val="FootnoteReference"/>
          <w:rFonts w:cs="Times New Roman"/>
          <w:noProof/>
        </w:rPr>
        <w:footnoteReference w:id="36"/>
      </w:r>
      <w:r w:rsidR="00D200BD" w:rsidRPr="00D16622">
        <w:rPr>
          <w:rFonts w:ascii="Times New Roman" w:hAnsi="Times New Roman" w:cs="Times New Roman"/>
          <w:noProof/>
          <w:sz w:val="24"/>
          <w:szCs w:val="24"/>
        </w:rPr>
        <w:t xml:space="preserve">. </w:t>
      </w:r>
      <w:r w:rsidR="00D17742" w:rsidRPr="00D16622">
        <w:rPr>
          <w:rFonts w:ascii="Times New Roman" w:hAnsi="Times New Roman" w:cs="Times New Roman"/>
          <w:noProof/>
          <w:sz w:val="24"/>
          <w:szCs w:val="24"/>
        </w:rPr>
        <w:t xml:space="preserve">On 29 May 2026, </w:t>
      </w:r>
      <w:r w:rsidR="00184465" w:rsidRPr="00D16622">
        <w:rPr>
          <w:rFonts w:ascii="Times New Roman" w:hAnsi="Times New Roman" w:cs="Times New Roman"/>
          <w:noProof/>
          <w:sz w:val="24"/>
          <w:szCs w:val="24"/>
        </w:rPr>
        <w:t>Hungary</w:t>
      </w:r>
      <w:r w:rsidR="00217EE4" w:rsidRPr="00D16622">
        <w:rPr>
          <w:rFonts w:ascii="Times New Roman" w:hAnsi="Times New Roman" w:cs="Times New Roman"/>
          <w:noProof/>
          <w:sz w:val="24"/>
          <w:szCs w:val="24"/>
        </w:rPr>
        <w:t xml:space="preserve"> notif</w:t>
      </w:r>
      <w:r w:rsidR="00B800EC" w:rsidRPr="00D16622">
        <w:rPr>
          <w:rFonts w:ascii="Times New Roman" w:hAnsi="Times New Roman" w:cs="Times New Roman"/>
          <w:noProof/>
          <w:sz w:val="24"/>
          <w:szCs w:val="24"/>
        </w:rPr>
        <w:t>ied</w:t>
      </w:r>
      <w:r w:rsidR="00217EE4" w:rsidRPr="00D16622">
        <w:rPr>
          <w:rFonts w:ascii="Times New Roman" w:hAnsi="Times New Roman" w:cs="Times New Roman"/>
          <w:noProof/>
          <w:sz w:val="24"/>
          <w:szCs w:val="24"/>
        </w:rPr>
        <w:t xml:space="preserve"> its intention to participate in the EPPO</w:t>
      </w:r>
      <w:r w:rsidR="00D17742" w:rsidRPr="00D16622">
        <w:rPr>
          <w:rFonts w:ascii="Times New Roman" w:hAnsi="Times New Roman" w:cs="Times New Roman"/>
          <w:noProof/>
          <w:sz w:val="24"/>
          <w:szCs w:val="24"/>
        </w:rPr>
        <w:t xml:space="preserve"> and on </w:t>
      </w:r>
      <w:r w:rsidR="001465A9" w:rsidRPr="00D16622">
        <w:rPr>
          <w:rFonts w:ascii="Times New Roman" w:hAnsi="Times New Roman" w:cs="Times New Roman"/>
          <w:noProof/>
          <w:sz w:val="24"/>
          <w:szCs w:val="24"/>
        </w:rPr>
        <w:t xml:space="preserve">10 </w:t>
      </w:r>
      <w:r w:rsidR="00D17742" w:rsidRPr="00D16622">
        <w:rPr>
          <w:rFonts w:ascii="Times New Roman" w:hAnsi="Times New Roman" w:cs="Times New Roman"/>
          <w:noProof/>
          <w:sz w:val="24"/>
          <w:szCs w:val="24"/>
        </w:rPr>
        <w:t>July</w:t>
      </w:r>
      <w:r w:rsidR="00020603" w:rsidRPr="00D16622">
        <w:rPr>
          <w:rFonts w:ascii="Times New Roman" w:hAnsi="Times New Roman" w:cs="Times New Roman"/>
          <w:noProof/>
          <w:sz w:val="24"/>
          <w:szCs w:val="24"/>
        </w:rPr>
        <w:t xml:space="preserve">, the Commission adopted a decision </w:t>
      </w:r>
      <w:r w:rsidR="00D62FAF" w:rsidRPr="00D16622">
        <w:rPr>
          <w:rFonts w:ascii="Times New Roman" w:hAnsi="Times New Roman" w:cs="Times New Roman"/>
          <w:noProof/>
          <w:sz w:val="24"/>
          <w:szCs w:val="24"/>
        </w:rPr>
        <w:t>confirming</w:t>
      </w:r>
      <w:r w:rsidR="00020603" w:rsidRPr="00D16622">
        <w:rPr>
          <w:rFonts w:ascii="Times New Roman" w:hAnsi="Times New Roman" w:cs="Times New Roman"/>
          <w:noProof/>
          <w:sz w:val="24"/>
          <w:szCs w:val="24"/>
        </w:rPr>
        <w:t xml:space="preserve"> Hungary’s participation.</w:t>
      </w:r>
      <w:r w:rsidR="009245E4" w:rsidRPr="00D16622">
        <w:rPr>
          <w:rFonts w:ascii="Times New Roman" w:hAnsi="Times New Roman" w:cs="Times New Roman"/>
          <w:noProof/>
          <w:sz w:val="24"/>
          <w:szCs w:val="24"/>
        </w:rPr>
        <w:t xml:space="preserve"> </w:t>
      </w:r>
      <w:r w:rsidR="00CB1E87" w:rsidRPr="00D16622">
        <w:rPr>
          <w:rFonts w:ascii="Times New Roman" w:hAnsi="Times New Roman" w:cs="Times New Roman"/>
          <w:noProof/>
          <w:sz w:val="24"/>
          <w:szCs w:val="24"/>
        </w:rPr>
        <w:t xml:space="preserve">This </w:t>
      </w:r>
      <w:r w:rsidR="00137D99" w:rsidRPr="00D16622">
        <w:rPr>
          <w:rFonts w:ascii="Times New Roman" w:hAnsi="Times New Roman" w:cs="Times New Roman"/>
          <w:noProof/>
          <w:sz w:val="24"/>
          <w:szCs w:val="24"/>
        </w:rPr>
        <w:t>also has broader implications for the EPPO</w:t>
      </w:r>
      <w:r w:rsidR="00203FB7" w:rsidRPr="00D16622">
        <w:rPr>
          <w:rFonts w:ascii="Times New Roman" w:hAnsi="Times New Roman" w:cs="Times New Roman"/>
          <w:noProof/>
          <w:sz w:val="24"/>
          <w:szCs w:val="24"/>
        </w:rPr>
        <w:t>, as</w:t>
      </w:r>
      <w:r w:rsidR="00020603" w:rsidRPr="00D16622">
        <w:rPr>
          <w:rFonts w:ascii="Times New Roman" w:hAnsi="Times New Roman" w:cs="Times New Roman"/>
          <w:noProof/>
          <w:sz w:val="24"/>
          <w:szCs w:val="24"/>
        </w:rPr>
        <w:t xml:space="preserve"> the EPPO Regulation </w:t>
      </w:r>
      <w:r w:rsidR="0054081F" w:rsidRPr="00D16622">
        <w:rPr>
          <w:rFonts w:ascii="Times New Roman" w:hAnsi="Times New Roman" w:cs="Times New Roman"/>
          <w:noProof/>
          <w:sz w:val="24"/>
          <w:szCs w:val="24"/>
        </w:rPr>
        <w:t xml:space="preserve">will </w:t>
      </w:r>
      <w:r w:rsidR="003443E9" w:rsidRPr="00D16622">
        <w:rPr>
          <w:rFonts w:ascii="Times New Roman" w:hAnsi="Times New Roman" w:cs="Times New Roman"/>
          <w:noProof/>
          <w:sz w:val="24"/>
          <w:szCs w:val="24"/>
        </w:rPr>
        <w:t>cease to be an act under</w:t>
      </w:r>
      <w:r w:rsidR="008867D8" w:rsidRPr="00D16622">
        <w:rPr>
          <w:rFonts w:ascii="Times New Roman" w:hAnsi="Times New Roman" w:cs="Times New Roman"/>
          <w:noProof/>
          <w:sz w:val="24"/>
          <w:szCs w:val="24"/>
        </w:rPr>
        <w:t xml:space="preserve"> enhanced cooperation</w:t>
      </w:r>
      <w:r w:rsidR="003F6859" w:rsidRPr="00D16622">
        <w:rPr>
          <w:rStyle w:val="FootnoteReference"/>
          <w:rFonts w:cs="Times New Roman"/>
          <w:noProof/>
        </w:rPr>
        <w:footnoteReference w:id="37"/>
      </w:r>
      <w:r w:rsidR="008867D8" w:rsidRPr="00D16622">
        <w:rPr>
          <w:rFonts w:ascii="Times New Roman" w:hAnsi="Times New Roman" w:cs="Times New Roman"/>
          <w:noProof/>
          <w:sz w:val="24"/>
          <w:szCs w:val="24"/>
        </w:rPr>
        <w:t xml:space="preserve"> </w:t>
      </w:r>
      <w:r w:rsidR="00376832" w:rsidRPr="00D16622">
        <w:rPr>
          <w:rFonts w:ascii="Times New Roman" w:hAnsi="Times New Roman" w:cs="Times New Roman"/>
          <w:noProof/>
          <w:sz w:val="24"/>
          <w:szCs w:val="24"/>
        </w:rPr>
        <w:t xml:space="preserve">and </w:t>
      </w:r>
      <w:r w:rsidR="00902117" w:rsidRPr="00D16622">
        <w:rPr>
          <w:rFonts w:ascii="Times New Roman" w:hAnsi="Times New Roman" w:cs="Times New Roman"/>
          <w:noProof/>
          <w:sz w:val="24"/>
          <w:szCs w:val="24"/>
        </w:rPr>
        <w:t>will become</w:t>
      </w:r>
      <w:r w:rsidR="00D756A0" w:rsidRPr="00D16622">
        <w:rPr>
          <w:rFonts w:ascii="Times New Roman" w:hAnsi="Times New Roman" w:cs="Times New Roman"/>
          <w:noProof/>
          <w:sz w:val="24"/>
          <w:szCs w:val="24"/>
        </w:rPr>
        <w:t xml:space="preserve"> part of the </w:t>
      </w:r>
      <w:r w:rsidR="00D756A0" w:rsidRPr="00D16622">
        <w:rPr>
          <w:rFonts w:ascii="Times New Roman" w:hAnsi="Times New Roman" w:cs="Times New Roman"/>
          <w:i/>
          <w:iCs/>
          <w:noProof/>
          <w:sz w:val="24"/>
          <w:szCs w:val="24"/>
        </w:rPr>
        <w:t>EU acquis</w:t>
      </w:r>
      <w:r w:rsidR="00D404D2" w:rsidRPr="00D16622">
        <w:rPr>
          <w:rFonts w:ascii="Times New Roman" w:hAnsi="Times New Roman" w:cs="Times New Roman"/>
          <w:noProof/>
          <w:sz w:val="24"/>
          <w:szCs w:val="24"/>
        </w:rPr>
        <w:t xml:space="preserve">. This will also entail that </w:t>
      </w:r>
      <w:r w:rsidR="003F6859" w:rsidRPr="00D16622">
        <w:rPr>
          <w:rFonts w:ascii="Times New Roman" w:hAnsi="Times New Roman" w:cs="Times New Roman"/>
          <w:noProof/>
          <w:sz w:val="24"/>
          <w:szCs w:val="24"/>
        </w:rPr>
        <w:t xml:space="preserve">all relevant implementing acts </w:t>
      </w:r>
      <w:r w:rsidR="00D404D2" w:rsidRPr="00D16622">
        <w:rPr>
          <w:rFonts w:ascii="Times New Roman" w:hAnsi="Times New Roman" w:cs="Times New Roman"/>
          <w:noProof/>
          <w:sz w:val="24"/>
          <w:szCs w:val="24"/>
        </w:rPr>
        <w:t xml:space="preserve">will have </w:t>
      </w:r>
      <w:r w:rsidR="003F6859" w:rsidRPr="00D16622">
        <w:rPr>
          <w:rFonts w:ascii="Times New Roman" w:hAnsi="Times New Roman" w:cs="Times New Roman"/>
          <w:noProof/>
          <w:sz w:val="24"/>
          <w:szCs w:val="24"/>
        </w:rPr>
        <w:t>to be accepted by candidate States for accession to the Union</w:t>
      </w:r>
      <w:r w:rsidR="00AE6140" w:rsidRPr="00D16622">
        <w:rPr>
          <w:rFonts w:ascii="Times New Roman" w:hAnsi="Times New Roman" w:cs="Times New Roman"/>
          <w:noProof/>
          <w:sz w:val="24"/>
          <w:szCs w:val="24"/>
        </w:rPr>
        <w:t xml:space="preserve">. </w:t>
      </w:r>
    </w:p>
    <w:p w14:paraId="7E1B5382" w14:textId="13F77363" w:rsidR="00CB4D3D" w:rsidRPr="00D16622" w:rsidRDefault="002D5C09" w:rsidP="009C258F">
      <w:pPr>
        <w:pStyle w:val="ListParagraph"/>
        <w:keepNext/>
        <w:numPr>
          <w:ilvl w:val="0"/>
          <w:numId w:val="1"/>
        </w:numPr>
        <w:spacing w:before="360" w:after="120" w:line="240" w:lineRule="auto"/>
        <w:ind w:left="357" w:hanging="357"/>
        <w:contextualSpacing w:val="0"/>
        <w:jc w:val="both"/>
        <w:rPr>
          <w:rFonts w:ascii="Times New Roman" w:hAnsi="Times New Roman" w:cs="Times New Roman"/>
          <w:b/>
          <w:noProof/>
          <w:sz w:val="24"/>
          <w:szCs w:val="24"/>
        </w:rPr>
      </w:pPr>
      <w:bookmarkStart w:id="4" w:name="_Hlk201223526"/>
      <w:bookmarkEnd w:id="3"/>
      <w:r w:rsidRPr="00D16622">
        <w:rPr>
          <w:rFonts w:ascii="Times New Roman" w:hAnsi="Times New Roman" w:cs="Times New Roman"/>
          <w:b/>
          <w:noProof/>
          <w:sz w:val="24"/>
          <w:szCs w:val="24"/>
        </w:rPr>
        <w:t>KEY ASPECTS OF THE RULE OF LAW SITUATION AT NATIONAL LEVEL</w:t>
      </w:r>
    </w:p>
    <w:tbl>
      <w:tblPr>
        <w:tblStyle w:val="TableGrid"/>
        <w:tblW w:w="0" w:type="auto"/>
        <w:tblLook w:val="04A0" w:firstRow="1" w:lastRow="0" w:firstColumn="1" w:lastColumn="0" w:noHBand="0" w:noVBand="1"/>
      </w:tblPr>
      <w:tblGrid>
        <w:gridCol w:w="9016"/>
      </w:tblGrid>
      <w:tr w:rsidR="00922118" w:rsidRPr="00D16622" w14:paraId="053DF4D5" w14:textId="77777777" w:rsidTr="747801D4">
        <w:tc>
          <w:tcPr>
            <w:tcW w:w="9016" w:type="dxa"/>
          </w:tcPr>
          <w:bookmarkEnd w:id="4"/>
          <w:p w14:paraId="012209FD" w14:textId="5688BE42" w:rsidR="008B0C4D" w:rsidRPr="00D16622" w:rsidRDefault="008B0C4D" w:rsidP="004A0C93">
            <w:pPr>
              <w:spacing w:after="80"/>
              <w:rPr>
                <w:rFonts w:ascii="Times New Roman" w:hAnsi="Times New Roman" w:cs="Times New Roman"/>
                <w:bCs/>
                <w:i/>
                <w:noProof/>
                <w:sz w:val="24"/>
                <w:szCs w:val="24"/>
                <w:lang w:bidi="en-IE"/>
              </w:rPr>
            </w:pPr>
            <w:r w:rsidRPr="00D16622">
              <w:rPr>
                <w:rFonts w:ascii="Times New Roman" w:hAnsi="Times New Roman" w:cs="Times New Roman"/>
                <w:bCs/>
                <w:i/>
                <w:noProof/>
                <w:sz w:val="24"/>
                <w:szCs w:val="24"/>
                <w:lang w:bidi="en-IE"/>
              </w:rPr>
              <w:t xml:space="preserve">Methodology of the Rule of Law </w:t>
            </w:r>
            <w:r w:rsidR="001D2F63" w:rsidRPr="00D16622">
              <w:rPr>
                <w:rFonts w:ascii="Times New Roman" w:hAnsi="Times New Roman" w:cs="Times New Roman"/>
                <w:bCs/>
                <w:i/>
                <w:noProof/>
                <w:sz w:val="24"/>
                <w:szCs w:val="24"/>
                <w:lang w:bidi="en-IE"/>
              </w:rPr>
              <w:t xml:space="preserve">Report </w:t>
            </w:r>
            <w:r w:rsidRPr="00D16622">
              <w:rPr>
                <w:rFonts w:ascii="Times New Roman" w:hAnsi="Times New Roman" w:cs="Times New Roman"/>
                <w:bCs/>
                <w:i/>
                <w:noProof/>
                <w:sz w:val="24"/>
                <w:szCs w:val="24"/>
                <w:lang w:bidi="en-IE"/>
              </w:rPr>
              <w:t>and its recommendations</w:t>
            </w:r>
          </w:p>
          <w:p w14:paraId="465C93C8" w14:textId="1EE7580A" w:rsidR="00A16024" w:rsidRPr="00D16622" w:rsidRDefault="28F10C3F" w:rsidP="747801D4">
            <w:pPr>
              <w:spacing w:after="120"/>
              <w:jc w:val="both"/>
              <w:rPr>
                <w:rFonts w:ascii="Times New Roman" w:hAnsi="Times New Roman" w:cs="Times New Roman"/>
                <w:noProof/>
                <w:sz w:val="24"/>
                <w:szCs w:val="24"/>
                <w:lang w:val="en-IE" w:bidi="en-IE"/>
              </w:rPr>
            </w:pPr>
            <w:r w:rsidRPr="00D16622">
              <w:rPr>
                <w:rFonts w:ascii="Times New Roman" w:hAnsi="Times New Roman" w:cs="Times New Roman"/>
                <w:noProof/>
                <w:sz w:val="24"/>
                <w:szCs w:val="24"/>
                <w:lang w:bidi="en-IE"/>
              </w:rPr>
              <w:t xml:space="preserve">The assessment in the country chapters for each Member State and enlargement country covered has been prepared in line with an established </w:t>
            </w:r>
            <w:hyperlink r:id="rId36" w:history="1">
              <w:r w:rsidRPr="00D16622">
                <w:rPr>
                  <w:rStyle w:val="Hyperlink"/>
                  <w:rFonts w:cs="Times New Roman"/>
                  <w:noProof/>
                  <w:szCs w:val="24"/>
                  <w:lang w:bidi="en-IE"/>
                </w:rPr>
                <w:t>methodology</w:t>
              </w:r>
            </w:hyperlink>
            <w:r w:rsidRPr="00D16622">
              <w:rPr>
                <w:rFonts w:ascii="Times New Roman" w:hAnsi="Times New Roman" w:cs="Times New Roman"/>
                <w:noProof/>
                <w:sz w:val="24"/>
                <w:szCs w:val="24"/>
                <w:lang w:bidi="en-IE"/>
              </w:rPr>
              <w:t xml:space="preserve"> used for previous editions of the report. </w:t>
            </w:r>
            <w:r w:rsidR="0CFE98A5" w:rsidRPr="00D16622">
              <w:rPr>
                <w:rFonts w:ascii="Times New Roman" w:hAnsi="Times New Roman" w:cs="Times New Roman"/>
                <w:noProof/>
                <w:sz w:val="24"/>
                <w:szCs w:val="24"/>
                <w:lang w:val="en-IE" w:bidi="en-IE"/>
              </w:rPr>
              <w:t xml:space="preserve">For the enlargement partners, the Commission’s annual Enlargement package covers the state of preparedness and progress in aligning with the EU </w:t>
            </w:r>
            <w:r w:rsidR="0CFE98A5" w:rsidRPr="00D16622">
              <w:rPr>
                <w:rFonts w:ascii="Times New Roman" w:hAnsi="Times New Roman" w:cs="Times New Roman"/>
                <w:i/>
                <w:iCs/>
                <w:noProof/>
                <w:sz w:val="24"/>
                <w:szCs w:val="24"/>
                <w:lang w:val="en-IE" w:bidi="en-IE"/>
              </w:rPr>
              <w:t>acquis</w:t>
            </w:r>
            <w:r w:rsidR="0CFE98A5" w:rsidRPr="00D16622">
              <w:rPr>
                <w:rFonts w:ascii="Times New Roman" w:hAnsi="Times New Roman" w:cs="Times New Roman"/>
                <w:noProof/>
                <w:sz w:val="24"/>
                <w:szCs w:val="24"/>
                <w:lang w:val="en-IE" w:bidi="en-IE"/>
              </w:rPr>
              <w:t xml:space="preserve"> and European standards, including on all aspects of rule of law. The Rule of Law Report country chapters of the selected enlargement </w:t>
            </w:r>
            <w:r w:rsidR="70B8254B" w:rsidRPr="00D16622">
              <w:rPr>
                <w:rFonts w:ascii="Times New Roman" w:hAnsi="Times New Roman" w:cs="Times New Roman"/>
                <w:noProof/>
                <w:sz w:val="24"/>
                <w:szCs w:val="24"/>
                <w:lang w:val="en-IE" w:bidi="en-IE"/>
              </w:rPr>
              <w:t xml:space="preserve">partners </w:t>
            </w:r>
            <w:r w:rsidR="0CFE98A5" w:rsidRPr="00D16622">
              <w:rPr>
                <w:rFonts w:ascii="Times New Roman" w:hAnsi="Times New Roman" w:cs="Times New Roman"/>
                <w:noProof/>
                <w:sz w:val="24"/>
                <w:szCs w:val="24"/>
                <w:lang w:val="en-IE" w:bidi="en-IE"/>
              </w:rPr>
              <w:t>may refer to the guidance issued to them in the enlargement process and underline the complementarity between that process and the Rule of Law Report.</w:t>
            </w:r>
          </w:p>
          <w:p w14:paraId="0E312D09" w14:textId="463B735B" w:rsidR="005C0142" w:rsidRPr="00D16622" w:rsidRDefault="006E3CA2" w:rsidP="004A0C93">
            <w:pPr>
              <w:spacing w:after="120"/>
              <w:jc w:val="both"/>
              <w:rPr>
                <w:rFonts w:ascii="Times New Roman" w:hAnsi="Times New Roman" w:cs="Times New Roman"/>
                <w:bCs/>
                <w:noProof/>
                <w:sz w:val="24"/>
                <w:szCs w:val="24"/>
                <w:lang w:bidi="en-IE"/>
              </w:rPr>
            </w:pPr>
            <w:r w:rsidRPr="00D16622">
              <w:rPr>
                <w:rFonts w:ascii="Times New Roman" w:hAnsi="Times New Roman" w:cs="Times New Roman"/>
                <w:bCs/>
                <w:noProof/>
                <w:sz w:val="24"/>
                <w:szCs w:val="24"/>
                <w:lang w:bidi="en-IE"/>
              </w:rPr>
              <w:t xml:space="preserve">The country chapters rely on a qualitative assessment carried out </w:t>
            </w:r>
            <w:r w:rsidR="004B2CAC" w:rsidRPr="00D16622">
              <w:rPr>
                <w:rFonts w:ascii="Times New Roman" w:hAnsi="Times New Roman" w:cs="Times New Roman"/>
                <w:bCs/>
                <w:noProof/>
                <w:sz w:val="24"/>
                <w:szCs w:val="24"/>
                <w:lang w:bidi="en-IE"/>
              </w:rPr>
              <w:t xml:space="preserve">autonomously </w:t>
            </w:r>
            <w:r w:rsidRPr="00D16622">
              <w:rPr>
                <w:rFonts w:ascii="Times New Roman" w:hAnsi="Times New Roman" w:cs="Times New Roman"/>
                <w:bCs/>
                <w:noProof/>
                <w:sz w:val="24"/>
                <w:szCs w:val="24"/>
                <w:lang w:bidi="en-IE"/>
              </w:rPr>
              <w:t xml:space="preserve">by the Commission, focusing on a synthesis of significant developments since July </w:t>
            </w:r>
            <w:r w:rsidR="00326769" w:rsidRPr="00D16622">
              <w:rPr>
                <w:rFonts w:ascii="Times New Roman" w:hAnsi="Times New Roman" w:cs="Times New Roman"/>
                <w:bCs/>
                <w:noProof/>
                <w:sz w:val="24"/>
                <w:szCs w:val="24"/>
                <w:lang w:bidi="en-IE"/>
              </w:rPr>
              <w:t>2025</w:t>
            </w:r>
            <w:r w:rsidRPr="00D16622">
              <w:rPr>
                <w:rFonts w:ascii="Times New Roman" w:hAnsi="Times New Roman" w:cs="Times New Roman"/>
                <w:bCs/>
                <w:noProof/>
                <w:sz w:val="24"/>
                <w:szCs w:val="24"/>
                <w:lang w:bidi="en-IE"/>
              </w:rPr>
              <w:t>. In each country chapter, the analysis focuses on topics where there have been significant developments,</w:t>
            </w:r>
            <w:r w:rsidR="00152223" w:rsidRPr="00D16622">
              <w:rPr>
                <w:rFonts w:ascii="Times New Roman" w:hAnsi="Times New Roman" w:cs="Times New Roman"/>
                <w:bCs/>
                <w:noProof/>
                <w:sz w:val="24"/>
                <w:szCs w:val="24"/>
                <w:lang w:bidi="en-IE"/>
              </w:rPr>
              <w:t xml:space="preserve"> both positive and negative,</w:t>
            </w:r>
            <w:r w:rsidRPr="00D16622">
              <w:rPr>
                <w:rFonts w:ascii="Times New Roman" w:hAnsi="Times New Roman" w:cs="Times New Roman"/>
                <w:bCs/>
                <w:noProof/>
                <w:sz w:val="24"/>
                <w:szCs w:val="24"/>
                <w:lang w:bidi="en-IE"/>
              </w:rPr>
              <w:t xml:space="preserve"> or where significant challenges identified in previous report</w:t>
            </w:r>
            <w:r w:rsidR="004B2CAC" w:rsidRPr="00D16622">
              <w:rPr>
                <w:rFonts w:ascii="Times New Roman" w:hAnsi="Times New Roman" w:cs="Times New Roman"/>
                <w:bCs/>
                <w:noProof/>
                <w:sz w:val="24"/>
                <w:szCs w:val="24"/>
                <w:lang w:bidi="en-IE"/>
              </w:rPr>
              <w:t>s</w:t>
            </w:r>
            <w:r w:rsidRPr="00D16622">
              <w:rPr>
                <w:rFonts w:ascii="Times New Roman" w:hAnsi="Times New Roman" w:cs="Times New Roman"/>
                <w:bCs/>
                <w:noProof/>
                <w:sz w:val="24"/>
                <w:szCs w:val="24"/>
                <w:lang w:bidi="en-IE"/>
              </w:rPr>
              <w:t xml:space="preserve"> persist. </w:t>
            </w:r>
            <w:r w:rsidR="00CD48E3" w:rsidRPr="00D16622">
              <w:rPr>
                <w:rFonts w:ascii="Times New Roman" w:hAnsi="Times New Roman" w:cs="Times New Roman"/>
                <w:bCs/>
                <w:noProof/>
                <w:sz w:val="24"/>
                <w:szCs w:val="24"/>
                <w:lang w:bidi="en-IE"/>
              </w:rPr>
              <w:t>On topics covered by recommendations, t</w:t>
            </w:r>
            <w:r w:rsidRPr="00D16622">
              <w:rPr>
                <w:rFonts w:ascii="Times New Roman" w:hAnsi="Times New Roman" w:cs="Times New Roman"/>
                <w:bCs/>
                <w:noProof/>
                <w:sz w:val="24"/>
                <w:szCs w:val="24"/>
                <w:lang w:bidi="en-IE"/>
              </w:rPr>
              <w:t xml:space="preserve">he analysis contains a qualitative assessment of the progress made by Member States towards implementing the </w:t>
            </w:r>
            <w:r w:rsidR="00326769" w:rsidRPr="00D16622">
              <w:rPr>
                <w:rFonts w:ascii="Times New Roman" w:hAnsi="Times New Roman" w:cs="Times New Roman"/>
                <w:bCs/>
                <w:noProof/>
                <w:sz w:val="24"/>
                <w:szCs w:val="24"/>
                <w:lang w:bidi="en-IE"/>
              </w:rPr>
              <w:t>2025</w:t>
            </w:r>
            <w:r w:rsidRPr="00D16622">
              <w:rPr>
                <w:rFonts w:ascii="Times New Roman" w:hAnsi="Times New Roman" w:cs="Times New Roman"/>
                <w:bCs/>
                <w:noProof/>
                <w:sz w:val="24"/>
                <w:szCs w:val="24"/>
                <w:lang w:bidi="en-IE"/>
              </w:rPr>
              <w:t xml:space="preserve"> recommendations</w:t>
            </w:r>
            <w:r w:rsidR="00935C28" w:rsidRPr="00D16622">
              <w:rPr>
                <w:rStyle w:val="FootnoteReference"/>
                <w:rFonts w:cs="Times New Roman"/>
                <w:noProof/>
              </w:rPr>
              <w:footnoteReference w:id="38"/>
            </w:r>
            <w:r w:rsidRPr="00D16622">
              <w:rPr>
                <w:rFonts w:ascii="Times New Roman" w:hAnsi="Times New Roman" w:cs="Times New Roman"/>
                <w:bCs/>
                <w:noProof/>
                <w:sz w:val="24"/>
                <w:szCs w:val="24"/>
                <w:lang w:bidi="en-IE"/>
              </w:rPr>
              <w:t xml:space="preserve">. </w:t>
            </w:r>
            <w:r w:rsidR="00061B7E" w:rsidRPr="00D16622">
              <w:rPr>
                <w:rFonts w:ascii="Times New Roman" w:hAnsi="Times New Roman" w:cs="Times New Roman"/>
                <w:bCs/>
                <w:noProof/>
                <w:sz w:val="24"/>
                <w:szCs w:val="24"/>
                <w:lang w:bidi="en-IE"/>
              </w:rPr>
              <w:t xml:space="preserve">The recommendations included in this 2026 annual report are based </w:t>
            </w:r>
            <w:r w:rsidR="00E21F5D" w:rsidRPr="00D16622">
              <w:rPr>
                <w:rFonts w:ascii="Times New Roman" w:hAnsi="Times New Roman" w:cs="Times New Roman"/>
                <w:bCs/>
                <w:noProof/>
                <w:sz w:val="24"/>
                <w:szCs w:val="24"/>
                <w:lang w:bidi="en-IE"/>
              </w:rPr>
              <w:t>on a thorough assessment of the situation</w:t>
            </w:r>
            <w:r w:rsidR="004B0CB5" w:rsidRPr="00D16622">
              <w:rPr>
                <w:rFonts w:ascii="Times New Roman" w:hAnsi="Times New Roman" w:cs="Times New Roman"/>
                <w:bCs/>
                <w:noProof/>
                <w:sz w:val="24"/>
                <w:szCs w:val="24"/>
                <w:lang w:bidi="en-IE"/>
              </w:rPr>
              <w:t xml:space="preserve"> related to key challenges. </w:t>
            </w:r>
            <w:r w:rsidRPr="00D16622">
              <w:rPr>
                <w:rFonts w:ascii="Times New Roman" w:hAnsi="Times New Roman" w:cs="Times New Roman"/>
                <w:bCs/>
                <w:noProof/>
                <w:sz w:val="24"/>
                <w:szCs w:val="24"/>
                <w:lang w:bidi="en-IE"/>
              </w:rPr>
              <w:t>The</w:t>
            </w:r>
            <w:r w:rsidR="004B0CB5" w:rsidRPr="00D16622">
              <w:rPr>
                <w:rFonts w:ascii="Times New Roman" w:hAnsi="Times New Roman" w:cs="Times New Roman"/>
                <w:bCs/>
                <w:noProof/>
                <w:sz w:val="24"/>
                <w:szCs w:val="24"/>
                <w:lang w:bidi="en-IE"/>
              </w:rPr>
              <w:t>ir</w:t>
            </w:r>
            <w:r w:rsidRPr="00D16622">
              <w:rPr>
                <w:rFonts w:ascii="Times New Roman" w:hAnsi="Times New Roman" w:cs="Times New Roman"/>
                <w:bCs/>
                <w:noProof/>
                <w:sz w:val="24"/>
                <w:szCs w:val="24"/>
                <w:lang w:bidi="en-IE"/>
              </w:rPr>
              <w:t xml:space="preserve"> objective </w:t>
            </w:r>
            <w:r w:rsidR="004B0CB5" w:rsidRPr="00D16622">
              <w:rPr>
                <w:rFonts w:ascii="Times New Roman" w:hAnsi="Times New Roman" w:cs="Times New Roman"/>
                <w:bCs/>
                <w:noProof/>
                <w:sz w:val="24"/>
                <w:szCs w:val="24"/>
                <w:lang w:bidi="en-IE"/>
              </w:rPr>
              <w:t>is</w:t>
            </w:r>
            <w:r w:rsidR="005C0142" w:rsidRPr="00D16622">
              <w:rPr>
                <w:rFonts w:ascii="Times New Roman" w:hAnsi="Times New Roman" w:cs="Times New Roman"/>
                <w:bCs/>
                <w:noProof/>
                <w:sz w:val="24"/>
                <w:szCs w:val="24"/>
                <w:lang w:bidi="en-IE"/>
              </w:rPr>
              <w:t xml:space="preserve"> to support Member States in their efforts to </w:t>
            </w:r>
            <w:r w:rsidR="00007BB4" w:rsidRPr="00D16622">
              <w:rPr>
                <w:rFonts w:ascii="Times New Roman" w:hAnsi="Times New Roman" w:cs="Times New Roman"/>
                <w:bCs/>
                <w:noProof/>
                <w:sz w:val="24"/>
                <w:szCs w:val="24"/>
                <w:lang w:bidi="en-IE"/>
              </w:rPr>
              <w:t>advance</w:t>
            </w:r>
            <w:r w:rsidR="005C0142" w:rsidRPr="00D16622">
              <w:rPr>
                <w:rFonts w:ascii="Times New Roman" w:hAnsi="Times New Roman" w:cs="Times New Roman"/>
                <w:bCs/>
                <w:noProof/>
                <w:sz w:val="24"/>
                <w:szCs w:val="24"/>
                <w:lang w:bidi="en-IE"/>
              </w:rPr>
              <w:t xml:space="preserve"> reforms</w:t>
            </w:r>
            <w:r w:rsidR="009F1947" w:rsidRPr="00D16622">
              <w:rPr>
                <w:rFonts w:ascii="Times New Roman" w:hAnsi="Times New Roman" w:cs="Times New Roman"/>
                <w:bCs/>
                <w:noProof/>
                <w:sz w:val="24"/>
                <w:szCs w:val="24"/>
                <w:lang w:bidi="en-IE"/>
              </w:rPr>
              <w:t xml:space="preserve"> in the four areas of the report</w:t>
            </w:r>
            <w:r w:rsidR="005C0142" w:rsidRPr="00D16622">
              <w:rPr>
                <w:rStyle w:val="FootnoteReference"/>
                <w:rFonts w:cs="Times New Roman"/>
                <w:noProof/>
              </w:rPr>
              <w:footnoteReference w:id="39"/>
            </w:r>
            <w:r w:rsidR="005C0142" w:rsidRPr="00D16622">
              <w:rPr>
                <w:rFonts w:ascii="Times New Roman" w:hAnsi="Times New Roman" w:cs="Times New Roman"/>
                <w:bCs/>
                <w:noProof/>
                <w:sz w:val="24"/>
                <w:szCs w:val="24"/>
                <w:lang w:bidi="en-IE"/>
              </w:rPr>
              <w:t xml:space="preserve">. There are no recommendations for enlargement countries in this report, as such recommendations are issued in the context of the annual Enlargement </w:t>
            </w:r>
            <w:r w:rsidR="00E77C33" w:rsidRPr="00D16622">
              <w:rPr>
                <w:rFonts w:ascii="Times New Roman" w:hAnsi="Times New Roman" w:cs="Times New Roman"/>
                <w:bCs/>
                <w:noProof/>
                <w:sz w:val="24"/>
                <w:szCs w:val="24"/>
                <w:lang w:bidi="en-IE"/>
              </w:rPr>
              <w:t>p</w:t>
            </w:r>
            <w:r w:rsidR="005C0142" w:rsidRPr="00D16622">
              <w:rPr>
                <w:rFonts w:ascii="Times New Roman" w:hAnsi="Times New Roman" w:cs="Times New Roman"/>
                <w:bCs/>
                <w:noProof/>
                <w:sz w:val="24"/>
                <w:szCs w:val="24"/>
                <w:lang w:bidi="en-IE"/>
              </w:rPr>
              <w:t>ackage.</w:t>
            </w:r>
          </w:p>
          <w:p w14:paraId="515000DD" w14:textId="144056EA" w:rsidR="00A54050" w:rsidRPr="00D16622" w:rsidRDefault="00A54050" w:rsidP="004A0C93">
            <w:pPr>
              <w:spacing w:after="120"/>
              <w:jc w:val="both"/>
              <w:rPr>
                <w:rFonts w:ascii="Times New Roman" w:hAnsi="Times New Roman" w:cs="Times New Roman"/>
                <w:bCs/>
                <w:noProof/>
                <w:sz w:val="24"/>
                <w:szCs w:val="24"/>
                <w:lang w:bidi="en-IE"/>
              </w:rPr>
            </w:pPr>
            <w:r w:rsidRPr="00D16622">
              <w:rPr>
                <w:rFonts w:ascii="Times New Roman" w:hAnsi="Times New Roman" w:cs="Times New Roman"/>
                <w:bCs/>
                <w:noProof/>
                <w:sz w:val="24"/>
                <w:szCs w:val="24"/>
                <w:lang w:bidi="en-IE"/>
              </w:rPr>
              <w:t xml:space="preserve">The report is the result of close collaboration </w:t>
            </w:r>
            <w:r w:rsidR="00E4556A" w:rsidRPr="00D16622">
              <w:rPr>
                <w:rFonts w:ascii="Times New Roman" w:hAnsi="Times New Roman" w:cs="Times New Roman"/>
                <w:bCs/>
                <w:noProof/>
                <w:sz w:val="24"/>
                <w:szCs w:val="24"/>
                <w:lang w:bidi="en-IE"/>
              </w:rPr>
              <w:t>and dialogue</w:t>
            </w:r>
            <w:r w:rsidRPr="00D16622">
              <w:rPr>
                <w:rFonts w:ascii="Times New Roman" w:hAnsi="Times New Roman" w:cs="Times New Roman"/>
                <w:bCs/>
                <w:noProof/>
                <w:sz w:val="24"/>
                <w:szCs w:val="24"/>
                <w:lang w:bidi="en-IE"/>
              </w:rPr>
              <w:t xml:space="preserve"> with national authorities</w:t>
            </w:r>
            <w:r w:rsidR="001B4D70" w:rsidRPr="00D16622">
              <w:rPr>
                <w:rFonts w:ascii="Times New Roman" w:hAnsi="Times New Roman" w:cs="Times New Roman"/>
                <w:bCs/>
                <w:noProof/>
                <w:sz w:val="24"/>
                <w:szCs w:val="24"/>
                <w:lang w:bidi="en-IE"/>
              </w:rPr>
              <w:t>. The report draws</w:t>
            </w:r>
            <w:r w:rsidR="003051C1" w:rsidRPr="00D16622">
              <w:rPr>
                <w:rFonts w:ascii="Times New Roman" w:hAnsi="Times New Roman" w:cs="Times New Roman"/>
                <w:bCs/>
                <w:noProof/>
                <w:sz w:val="24"/>
                <w:szCs w:val="24"/>
                <w:lang w:bidi="en-IE"/>
              </w:rPr>
              <w:t xml:space="preserve"> </w:t>
            </w:r>
            <w:r w:rsidRPr="00D16622">
              <w:rPr>
                <w:rFonts w:ascii="Times New Roman" w:hAnsi="Times New Roman" w:cs="Times New Roman"/>
                <w:bCs/>
                <w:noProof/>
                <w:sz w:val="24"/>
                <w:szCs w:val="24"/>
                <w:lang w:bidi="en-IE"/>
              </w:rPr>
              <w:t>on</w:t>
            </w:r>
            <w:r w:rsidR="00503B59" w:rsidRPr="00D16622">
              <w:rPr>
                <w:rFonts w:ascii="Times New Roman" w:hAnsi="Times New Roman" w:cs="Times New Roman"/>
                <w:bCs/>
                <w:noProof/>
                <w:sz w:val="24"/>
                <w:szCs w:val="24"/>
                <w:lang w:bidi="en-IE"/>
              </w:rPr>
              <w:t xml:space="preserve"> input from</w:t>
            </w:r>
            <w:r w:rsidRPr="00D16622">
              <w:rPr>
                <w:rFonts w:ascii="Times New Roman" w:hAnsi="Times New Roman" w:cs="Times New Roman"/>
                <w:bCs/>
                <w:noProof/>
                <w:sz w:val="24"/>
                <w:szCs w:val="24"/>
                <w:lang w:bidi="en-IE"/>
              </w:rPr>
              <w:t xml:space="preserve"> national</w:t>
            </w:r>
            <w:r w:rsidR="00503B59" w:rsidRPr="00D16622">
              <w:rPr>
                <w:rFonts w:ascii="Times New Roman" w:hAnsi="Times New Roman" w:cs="Times New Roman"/>
                <w:bCs/>
                <w:noProof/>
                <w:sz w:val="24"/>
                <w:szCs w:val="24"/>
                <w:lang w:bidi="en-IE"/>
              </w:rPr>
              <w:t xml:space="preserve"> authorities</w:t>
            </w:r>
            <w:r w:rsidRPr="00D16622">
              <w:rPr>
                <w:rFonts w:ascii="Times New Roman" w:hAnsi="Times New Roman" w:cs="Times New Roman"/>
                <w:bCs/>
                <w:noProof/>
                <w:sz w:val="24"/>
                <w:szCs w:val="24"/>
                <w:lang w:bidi="en-IE"/>
              </w:rPr>
              <w:t>, international</w:t>
            </w:r>
            <w:r w:rsidR="00E11F7E" w:rsidRPr="00D16622">
              <w:rPr>
                <w:rFonts w:ascii="Times New Roman" w:hAnsi="Times New Roman" w:cs="Times New Roman"/>
                <w:bCs/>
                <w:noProof/>
                <w:sz w:val="24"/>
                <w:szCs w:val="24"/>
                <w:lang w:bidi="en-IE"/>
              </w:rPr>
              <w:t xml:space="preserve"> organisations</w:t>
            </w:r>
            <w:r w:rsidR="00A15A0A" w:rsidRPr="00D16622">
              <w:rPr>
                <w:rFonts w:ascii="Times New Roman" w:hAnsi="Times New Roman" w:cs="Times New Roman"/>
                <w:bCs/>
                <w:noProof/>
                <w:sz w:val="24"/>
                <w:szCs w:val="24"/>
                <w:lang w:bidi="en-IE"/>
              </w:rPr>
              <w:t>,</w:t>
            </w:r>
            <w:r w:rsidR="00A15A0A" w:rsidRPr="00D16622">
              <w:rPr>
                <w:rFonts w:ascii="Times New Roman" w:hAnsi="Times New Roman" w:cs="Times New Roman"/>
                <w:noProof/>
                <w:sz w:val="24"/>
                <w:szCs w:val="24"/>
                <w:lang w:bidi="en-IE"/>
              </w:rPr>
              <w:t xml:space="preserve"> </w:t>
            </w:r>
            <w:r w:rsidR="00847AD8" w:rsidRPr="00D16622">
              <w:rPr>
                <w:rFonts w:ascii="Times New Roman" w:hAnsi="Times New Roman" w:cs="Times New Roman"/>
                <w:bCs/>
                <w:noProof/>
                <w:sz w:val="24"/>
                <w:szCs w:val="24"/>
                <w:lang w:bidi="en-IE"/>
              </w:rPr>
              <w:t>and</w:t>
            </w:r>
            <w:r w:rsidR="008D437F" w:rsidRPr="00D16622">
              <w:rPr>
                <w:rFonts w:ascii="Times New Roman" w:hAnsi="Times New Roman" w:cs="Times New Roman"/>
                <w:bCs/>
                <w:noProof/>
                <w:sz w:val="24"/>
                <w:szCs w:val="24"/>
                <w:lang w:bidi="en-IE"/>
              </w:rPr>
              <w:t xml:space="preserve"> relevant</w:t>
            </w:r>
            <w:r w:rsidR="00847AD8" w:rsidRPr="00D16622">
              <w:rPr>
                <w:rFonts w:ascii="Times New Roman" w:hAnsi="Times New Roman" w:cs="Times New Roman"/>
                <w:bCs/>
                <w:noProof/>
                <w:sz w:val="24"/>
                <w:szCs w:val="24"/>
                <w:lang w:bidi="en-IE"/>
              </w:rPr>
              <w:t xml:space="preserve"> </w:t>
            </w:r>
            <w:r w:rsidR="00A15A0A" w:rsidRPr="00D16622">
              <w:rPr>
                <w:rFonts w:ascii="Times New Roman" w:hAnsi="Times New Roman" w:cs="Times New Roman"/>
                <w:noProof/>
                <w:sz w:val="24"/>
                <w:szCs w:val="24"/>
                <w:lang w:bidi="en-IE"/>
              </w:rPr>
              <w:t>stakeholders</w:t>
            </w:r>
            <w:r w:rsidRPr="00D16622">
              <w:rPr>
                <w:rFonts w:ascii="Times New Roman" w:hAnsi="Times New Roman" w:cs="Times New Roman"/>
                <w:bCs/>
                <w:noProof/>
                <w:sz w:val="24"/>
                <w:szCs w:val="24"/>
                <w:lang w:bidi="en-IE"/>
              </w:rPr>
              <w:t xml:space="preserve"> </w:t>
            </w:r>
            <w:r w:rsidR="0090091B" w:rsidRPr="00D16622">
              <w:rPr>
                <w:rFonts w:ascii="Times New Roman" w:hAnsi="Times New Roman" w:cs="Times New Roman"/>
                <w:bCs/>
                <w:noProof/>
                <w:sz w:val="24"/>
                <w:szCs w:val="24"/>
                <w:lang w:bidi="en-IE"/>
              </w:rPr>
              <w:t>as well as the Commission’s own data gathering</w:t>
            </w:r>
            <w:r w:rsidR="0090091B" w:rsidRPr="00D16622">
              <w:rPr>
                <w:rStyle w:val="FootnoteReference"/>
                <w:rFonts w:cs="Times New Roman"/>
                <w:noProof/>
              </w:rPr>
              <w:footnoteReference w:id="40"/>
            </w:r>
            <w:r w:rsidR="00736B55" w:rsidRPr="00D16622">
              <w:rPr>
                <w:rFonts w:ascii="Times New Roman" w:hAnsi="Times New Roman" w:cs="Times New Roman"/>
                <w:bCs/>
                <w:noProof/>
                <w:sz w:val="24"/>
                <w:szCs w:val="24"/>
                <w:lang w:bidi="en-IE"/>
              </w:rPr>
              <w:t>.</w:t>
            </w:r>
            <w:r w:rsidR="00CF351B" w:rsidRPr="00D16622">
              <w:rPr>
                <w:rFonts w:ascii="Times New Roman" w:hAnsi="Times New Roman" w:cs="Times New Roman"/>
                <w:bCs/>
                <w:noProof/>
                <w:sz w:val="24"/>
                <w:szCs w:val="24"/>
                <w:lang w:bidi="en-IE"/>
              </w:rPr>
              <w:t xml:space="preserve"> </w:t>
            </w:r>
            <w:r w:rsidR="00C056E8" w:rsidRPr="00D16622">
              <w:rPr>
                <w:rFonts w:ascii="Times New Roman" w:hAnsi="Times New Roman" w:cs="Times New Roman"/>
                <w:bCs/>
                <w:noProof/>
                <w:sz w:val="24"/>
                <w:szCs w:val="24"/>
                <w:lang w:bidi="en-IE"/>
              </w:rPr>
              <w:t xml:space="preserve">All sources used </w:t>
            </w:r>
            <w:r w:rsidR="00E24B2C" w:rsidRPr="00D16622">
              <w:rPr>
                <w:rFonts w:ascii="Times New Roman" w:hAnsi="Times New Roman" w:cs="Times New Roman"/>
                <w:bCs/>
                <w:noProof/>
                <w:sz w:val="24"/>
                <w:szCs w:val="24"/>
                <w:lang w:bidi="en-IE"/>
              </w:rPr>
              <w:t>to inform the assessment are well documented in each country chapter</w:t>
            </w:r>
            <w:r w:rsidR="00C056E8" w:rsidRPr="00D16622">
              <w:rPr>
                <w:rStyle w:val="FootnoteReference"/>
                <w:rFonts w:cs="Times New Roman"/>
                <w:noProof/>
              </w:rPr>
              <w:footnoteReference w:id="41"/>
            </w:r>
            <w:r w:rsidR="00A15A0A" w:rsidRPr="00D16622">
              <w:rPr>
                <w:rFonts w:ascii="Times New Roman" w:hAnsi="Times New Roman" w:cs="Times New Roman"/>
                <w:bCs/>
                <w:noProof/>
                <w:sz w:val="24"/>
                <w:szCs w:val="24"/>
                <w:lang w:bidi="en-IE"/>
              </w:rPr>
              <w:t>.</w:t>
            </w:r>
            <w:r w:rsidR="00C056E8" w:rsidRPr="00D16622">
              <w:rPr>
                <w:rFonts w:ascii="Times New Roman" w:hAnsi="Times New Roman" w:cs="Times New Roman"/>
                <w:bCs/>
                <w:noProof/>
                <w:sz w:val="24"/>
                <w:szCs w:val="24"/>
                <w:lang w:bidi="en-IE"/>
              </w:rPr>
              <w:t xml:space="preserve"> </w:t>
            </w:r>
            <w:r w:rsidR="00FA2310" w:rsidRPr="00D16622">
              <w:rPr>
                <w:rFonts w:ascii="Times New Roman" w:hAnsi="Times New Roman" w:cs="Times New Roman"/>
                <w:bCs/>
                <w:noProof/>
                <w:sz w:val="24"/>
                <w:szCs w:val="24"/>
                <w:lang w:bidi="en-IE"/>
              </w:rPr>
              <w:t>Authorities in</w:t>
            </w:r>
            <w:r w:rsidR="00736B55" w:rsidRPr="00D16622">
              <w:rPr>
                <w:rFonts w:ascii="Times New Roman" w:hAnsi="Times New Roman" w:cs="Times New Roman"/>
                <w:bCs/>
                <w:noProof/>
                <w:sz w:val="24"/>
                <w:szCs w:val="24"/>
                <w:lang w:bidi="en-IE"/>
              </w:rPr>
              <w:t xml:space="preserve"> Member States and enlargement countries were invited to provide written input</w:t>
            </w:r>
            <w:r w:rsidR="00FD7DBF" w:rsidRPr="00D16622">
              <w:rPr>
                <w:rFonts w:ascii="Times New Roman" w:hAnsi="Times New Roman" w:cs="Times New Roman"/>
                <w:bCs/>
                <w:noProof/>
                <w:sz w:val="24"/>
                <w:szCs w:val="24"/>
                <w:lang w:bidi="en-IE"/>
              </w:rPr>
              <w:t xml:space="preserve"> and participate in dedicated country visits</w:t>
            </w:r>
            <w:r w:rsidR="00DA6C31" w:rsidRPr="00D16622">
              <w:rPr>
                <w:rStyle w:val="FootnoteReference"/>
                <w:rFonts w:cs="Times New Roman"/>
                <w:noProof/>
                <w:lang w:bidi="en-IE"/>
              </w:rPr>
              <w:footnoteReference w:id="42"/>
            </w:r>
            <w:r w:rsidR="00DA6C31" w:rsidRPr="00D16622">
              <w:rPr>
                <w:rFonts w:ascii="Times New Roman" w:hAnsi="Times New Roman" w:cs="Times New Roman"/>
                <w:bCs/>
                <w:noProof/>
                <w:sz w:val="24"/>
                <w:szCs w:val="24"/>
                <w:lang w:bidi="en-IE"/>
              </w:rPr>
              <w:t>. A targeted stakeholder consultation also provided valuable cross-cutting and country-specific contributions</w:t>
            </w:r>
            <w:r w:rsidR="00DA6C31" w:rsidRPr="00D16622">
              <w:rPr>
                <w:rStyle w:val="FootnoteReference"/>
                <w:rFonts w:cs="Times New Roman"/>
                <w:noProof/>
              </w:rPr>
              <w:footnoteReference w:id="43"/>
            </w:r>
            <w:r w:rsidR="00F04E82" w:rsidRPr="00D16622">
              <w:rPr>
                <w:rFonts w:ascii="Times New Roman" w:hAnsi="Times New Roman" w:cs="Times New Roman"/>
                <w:bCs/>
                <w:noProof/>
                <w:sz w:val="24"/>
                <w:szCs w:val="24"/>
                <w:lang w:bidi="en-IE"/>
              </w:rPr>
              <w:t>. The Council of Europe provided an overview of its recent opinions and reports</w:t>
            </w:r>
            <w:r w:rsidR="00F04E82" w:rsidRPr="00D16622">
              <w:rPr>
                <w:rStyle w:val="FootnoteReference"/>
                <w:rFonts w:cs="Times New Roman"/>
                <w:noProof/>
              </w:rPr>
              <w:footnoteReference w:id="44"/>
            </w:r>
            <w:r w:rsidR="00F04E82" w:rsidRPr="00D16622">
              <w:rPr>
                <w:rFonts w:ascii="Times New Roman" w:hAnsi="Times New Roman" w:cs="Times New Roman"/>
                <w:bCs/>
                <w:noProof/>
                <w:sz w:val="24"/>
                <w:szCs w:val="24"/>
                <w:lang w:bidi="en-IE"/>
              </w:rPr>
              <w:t xml:space="preserve">. </w:t>
            </w:r>
            <w:r w:rsidR="00FA635C" w:rsidRPr="00D16622">
              <w:rPr>
                <w:rFonts w:ascii="Times New Roman" w:hAnsi="Times New Roman" w:cs="Times New Roman"/>
                <w:bCs/>
                <w:noProof/>
                <w:sz w:val="24"/>
                <w:szCs w:val="24"/>
                <w:lang w:bidi="en-IE"/>
              </w:rPr>
              <w:t xml:space="preserve">Prior to the adoption of this report, national authorities have been given the opportunity to provide factual updates to their country chapter. </w:t>
            </w:r>
            <w:r w:rsidR="004B2CAC" w:rsidRPr="00D16622">
              <w:rPr>
                <w:rFonts w:ascii="Times New Roman" w:hAnsi="Times New Roman" w:cs="Times New Roman"/>
                <w:bCs/>
                <w:noProof/>
                <w:sz w:val="24"/>
                <w:szCs w:val="24"/>
                <w:lang w:bidi="en-IE"/>
              </w:rPr>
              <w:t>T</w:t>
            </w:r>
            <w:r w:rsidR="00FA635C" w:rsidRPr="00D16622">
              <w:rPr>
                <w:rFonts w:ascii="Times New Roman" w:hAnsi="Times New Roman" w:cs="Times New Roman"/>
                <w:bCs/>
                <w:noProof/>
                <w:sz w:val="24"/>
                <w:szCs w:val="24"/>
                <w:lang w:bidi="en-IE"/>
              </w:rPr>
              <w:t xml:space="preserve">he </w:t>
            </w:r>
            <w:r w:rsidR="004B2CAC" w:rsidRPr="00D16622">
              <w:rPr>
                <w:rFonts w:ascii="Times New Roman" w:hAnsi="Times New Roman" w:cs="Times New Roman"/>
                <w:bCs/>
                <w:noProof/>
                <w:sz w:val="24"/>
                <w:szCs w:val="24"/>
                <w:lang w:bidi="en-IE"/>
              </w:rPr>
              <w:t xml:space="preserve">adopted report serves as a basis for subsequent </w:t>
            </w:r>
            <w:r w:rsidR="00FA635C" w:rsidRPr="00D16622">
              <w:rPr>
                <w:rFonts w:ascii="Times New Roman" w:hAnsi="Times New Roman" w:cs="Times New Roman"/>
                <w:bCs/>
                <w:noProof/>
                <w:sz w:val="24"/>
                <w:szCs w:val="24"/>
                <w:lang w:bidi="en-IE"/>
              </w:rPr>
              <w:t xml:space="preserve">Commission </w:t>
            </w:r>
            <w:r w:rsidR="004B2CAC" w:rsidRPr="00D16622">
              <w:rPr>
                <w:rFonts w:ascii="Times New Roman" w:hAnsi="Times New Roman" w:cs="Times New Roman"/>
                <w:bCs/>
                <w:noProof/>
                <w:sz w:val="24"/>
                <w:szCs w:val="24"/>
                <w:lang w:bidi="en-IE"/>
              </w:rPr>
              <w:t>discussions</w:t>
            </w:r>
            <w:r w:rsidR="00FA635C" w:rsidRPr="00D16622">
              <w:rPr>
                <w:rFonts w:ascii="Times New Roman" w:hAnsi="Times New Roman" w:cs="Times New Roman"/>
                <w:bCs/>
                <w:noProof/>
                <w:sz w:val="24"/>
                <w:szCs w:val="24"/>
                <w:lang w:bidi="en-IE"/>
              </w:rPr>
              <w:t xml:space="preserve"> with national governments</w:t>
            </w:r>
            <w:r w:rsidR="004B2CAC" w:rsidRPr="00D16622">
              <w:rPr>
                <w:rFonts w:ascii="Times New Roman" w:hAnsi="Times New Roman" w:cs="Times New Roman"/>
                <w:bCs/>
                <w:noProof/>
                <w:sz w:val="24"/>
                <w:szCs w:val="24"/>
                <w:lang w:bidi="en-IE"/>
              </w:rPr>
              <w:t xml:space="preserve"> and</w:t>
            </w:r>
            <w:r w:rsidR="00FA635C" w:rsidRPr="00D16622">
              <w:rPr>
                <w:rFonts w:ascii="Times New Roman" w:hAnsi="Times New Roman" w:cs="Times New Roman"/>
                <w:bCs/>
                <w:noProof/>
                <w:sz w:val="24"/>
                <w:szCs w:val="24"/>
                <w:lang w:bidi="en-IE"/>
              </w:rPr>
              <w:t xml:space="preserve"> </w:t>
            </w:r>
            <w:r w:rsidR="00A95756" w:rsidRPr="00D16622">
              <w:rPr>
                <w:rFonts w:ascii="Times New Roman" w:hAnsi="Times New Roman" w:cs="Times New Roman"/>
                <w:bCs/>
                <w:noProof/>
                <w:sz w:val="24"/>
                <w:szCs w:val="24"/>
                <w:lang w:bidi="en-IE"/>
              </w:rPr>
              <w:t>p</w:t>
            </w:r>
            <w:r w:rsidR="00FA635C" w:rsidRPr="00D16622" w:rsidDel="007D3BD3">
              <w:rPr>
                <w:rFonts w:ascii="Times New Roman" w:hAnsi="Times New Roman" w:cs="Times New Roman"/>
                <w:bCs/>
                <w:noProof/>
                <w:sz w:val="24"/>
                <w:szCs w:val="24"/>
                <w:lang w:bidi="en-IE"/>
              </w:rPr>
              <w:t>arliaments</w:t>
            </w:r>
            <w:r w:rsidR="00FA635C" w:rsidRPr="00D16622">
              <w:rPr>
                <w:rFonts w:ascii="Times New Roman" w:hAnsi="Times New Roman" w:cs="Times New Roman"/>
                <w:bCs/>
                <w:noProof/>
                <w:sz w:val="24"/>
                <w:szCs w:val="24"/>
                <w:lang w:bidi="en-IE"/>
              </w:rPr>
              <w:t>.</w:t>
            </w:r>
          </w:p>
        </w:tc>
      </w:tr>
    </w:tbl>
    <w:p w14:paraId="1732C3E3" w14:textId="13EDAA87" w:rsidR="00CB4D3D" w:rsidRPr="00D16622" w:rsidRDefault="00502BDD" w:rsidP="00EE0398">
      <w:pPr>
        <w:keepNext/>
        <w:spacing w:before="120" w:after="120" w:line="240" w:lineRule="auto"/>
        <w:jc w:val="both"/>
        <w:rPr>
          <w:rFonts w:ascii="Times New Roman" w:hAnsi="Times New Roman" w:cs="Times New Roman"/>
          <w:b/>
          <w:bCs/>
          <w:i/>
          <w:iCs/>
          <w:noProof/>
          <w:sz w:val="24"/>
          <w:szCs w:val="24"/>
        </w:rPr>
      </w:pPr>
      <w:r w:rsidRPr="00D16622">
        <w:rPr>
          <w:rFonts w:ascii="Times New Roman" w:hAnsi="Times New Roman" w:cs="Times New Roman"/>
          <w:b/>
          <w:bCs/>
          <w:i/>
          <w:iCs/>
          <w:noProof/>
          <w:sz w:val="24"/>
          <w:szCs w:val="24"/>
        </w:rPr>
        <w:t>3</w:t>
      </w:r>
      <w:r w:rsidR="00CB4D3D" w:rsidRPr="00D16622">
        <w:rPr>
          <w:rFonts w:ascii="Times New Roman" w:hAnsi="Times New Roman" w:cs="Times New Roman"/>
          <w:b/>
          <w:bCs/>
          <w:i/>
          <w:iCs/>
          <w:noProof/>
          <w:sz w:val="24"/>
          <w:szCs w:val="24"/>
        </w:rPr>
        <w:t xml:space="preserve">.1 </w:t>
      </w:r>
      <w:r w:rsidR="00BB03D0" w:rsidRPr="00D16622">
        <w:rPr>
          <w:rFonts w:ascii="Times New Roman" w:hAnsi="Times New Roman" w:cs="Times New Roman"/>
          <w:b/>
          <w:bCs/>
          <w:i/>
          <w:iCs/>
          <w:noProof/>
          <w:sz w:val="24"/>
          <w:szCs w:val="24"/>
        </w:rPr>
        <w:tab/>
      </w:r>
      <w:r w:rsidR="00CB4D3D" w:rsidRPr="00D16622">
        <w:rPr>
          <w:rFonts w:ascii="Times New Roman" w:hAnsi="Times New Roman" w:cs="Times New Roman"/>
          <w:b/>
          <w:bCs/>
          <w:i/>
          <w:iCs/>
          <w:noProof/>
          <w:sz w:val="24"/>
          <w:szCs w:val="24"/>
        </w:rPr>
        <w:t xml:space="preserve">Justice systems </w:t>
      </w:r>
    </w:p>
    <w:p w14:paraId="00F57B05" w14:textId="239B4059" w:rsidR="0061505D" w:rsidRPr="00D16622" w:rsidRDefault="0061505D" w:rsidP="0084398F">
      <w:pPr>
        <w:spacing w:after="120" w:line="240" w:lineRule="auto"/>
        <w:jc w:val="both"/>
        <w:rPr>
          <w:rFonts w:ascii="Times New Roman" w:hAnsi="Times New Roman" w:cs="Times New Roman"/>
          <w:iCs/>
          <w:noProof/>
          <w:sz w:val="24"/>
          <w:szCs w:val="24"/>
          <w:lang w:eastAsia="en-IE"/>
        </w:rPr>
      </w:pPr>
      <w:r w:rsidRPr="00D16622">
        <w:rPr>
          <w:rFonts w:ascii="Times New Roman" w:hAnsi="Times New Roman" w:cs="Times New Roman"/>
          <w:iCs/>
          <w:noProof/>
          <w:sz w:val="24"/>
          <w:szCs w:val="24"/>
          <w:lang w:eastAsia="en-IE"/>
        </w:rPr>
        <w:t xml:space="preserve">Efficient, well-functioning and independent justice systems are indispensable for </w:t>
      </w:r>
      <w:r w:rsidR="00FE35D6" w:rsidRPr="00D16622">
        <w:rPr>
          <w:rFonts w:ascii="Times New Roman" w:hAnsi="Times New Roman" w:cs="Times New Roman"/>
          <w:iCs/>
          <w:noProof/>
          <w:sz w:val="24"/>
          <w:szCs w:val="24"/>
          <w:lang w:eastAsia="en-IE"/>
        </w:rPr>
        <w:t xml:space="preserve">applying and enforcing </w:t>
      </w:r>
      <w:r w:rsidRPr="00D16622">
        <w:rPr>
          <w:rFonts w:ascii="Times New Roman" w:hAnsi="Times New Roman" w:cs="Times New Roman"/>
          <w:iCs/>
          <w:noProof/>
          <w:sz w:val="24"/>
          <w:szCs w:val="24"/>
          <w:lang w:eastAsia="en-IE"/>
        </w:rPr>
        <w:t>EU and national law. Judicial independence is essential to guarantee fair proceedings and effective judicial protection</w:t>
      </w:r>
      <w:r w:rsidR="00DB5702" w:rsidRPr="00D16622">
        <w:rPr>
          <w:rFonts w:ascii="Times New Roman" w:hAnsi="Times New Roman" w:cs="Times New Roman"/>
          <w:iCs/>
          <w:noProof/>
          <w:sz w:val="24"/>
          <w:szCs w:val="24"/>
          <w:lang w:eastAsia="en-IE"/>
        </w:rPr>
        <w:t xml:space="preserve"> of individual rights</w:t>
      </w:r>
      <w:r w:rsidR="00DB5702" w:rsidRPr="00D16622">
        <w:rPr>
          <w:rStyle w:val="FootnoteReference"/>
          <w:rFonts w:cs="Times New Roman"/>
          <w:noProof/>
        </w:rPr>
        <w:footnoteReference w:id="45"/>
      </w:r>
      <w:r w:rsidRPr="00D16622">
        <w:rPr>
          <w:rFonts w:ascii="Times New Roman" w:hAnsi="Times New Roman" w:cs="Times New Roman"/>
          <w:iCs/>
          <w:noProof/>
          <w:sz w:val="24"/>
          <w:szCs w:val="24"/>
          <w:lang w:eastAsia="en-IE"/>
        </w:rPr>
        <w:t>, while access to independent courts and judicial review constitutes a core element of the rule of law.</w:t>
      </w:r>
      <w:r w:rsidR="007E14ED" w:rsidRPr="00D16622">
        <w:rPr>
          <w:rFonts w:ascii="Times New Roman" w:hAnsi="Times New Roman" w:cs="Times New Roman"/>
          <w:iCs/>
          <w:noProof/>
          <w:sz w:val="24"/>
          <w:szCs w:val="24"/>
          <w:lang w:eastAsia="en-IE"/>
        </w:rPr>
        <w:t xml:space="preserve"> </w:t>
      </w:r>
    </w:p>
    <w:p w14:paraId="22928BFA" w14:textId="4DB1233D" w:rsidR="0084398F" w:rsidRPr="00D16622" w:rsidRDefault="0084398F" w:rsidP="0084398F">
      <w:pPr>
        <w:spacing w:after="120" w:line="240" w:lineRule="auto"/>
        <w:jc w:val="both"/>
        <w:rPr>
          <w:rFonts w:ascii="Times New Roman" w:hAnsi="Times New Roman" w:cs="Times New Roman"/>
          <w:iCs/>
          <w:noProof/>
          <w:sz w:val="24"/>
          <w:szCs w:val="24"/>
          <w:lang w:val="en-IE" w:eastAsia="en-IE"/>
        </w:rPr>
      </w:pPr>
      <w:r w:rsidRPr="00D16622">
        <w:rPr>
          <w:rFonts w:ascii="Times New Roman" w:hAnsi="Times New Roman" w:cs="Times New Roman"/>
          <w:iCs/>
          <w:noProof/>
          <w:sz w:val="24"/>
          <w:szCs w:val="24"/>
          <w:lang w:eastAsia="en-IE"/>
        </w:rPr>
        <w:t>When</w:t>
      </w:r>
      <w:r w:rsidR="00F339F3" w:rsidRPr="00D16622" w:rsidDel="00731751">
        <w:rPr>
          <w:rFonts w:ascii="Times New Roman" w:hAnsi="Times New Roman" w:cs="Times New Roman"/>
          <w:iCs/>
          <w:noProof/>
          <w:sz w:val="24"/>
          <w:szCs w:val="24"/>
          <w:lang w:eastAsia="en-IE"/>
        </w:rPr>
        <w:t xml:space="preserve"> </w:t>
      </w:r>
      <w:r w:rsidR="00731751" w:rsidRPr="00D16622">
        <w:rPr>
          <w:rFonts w:ascii="Times New Roman" w:hAnsi="Times New Roman" w:cs="Times New Roman"/>
          <w:noProof/>
          <w:sz w:val="24"/>
          <w:szCs w:val="24"/>
          <w:lang w:eastAsia="en-IE"/>
        </w:rPr>
        <w:t>structuring</w:t>
      </w:r>
      <w:r w:rsidR="00731751" w:rsidRPr="00D16622">
        <w:rPr>
          <w:rFonts w:ascii="Times New Roman" w:hAnsi="Times New Roman" w:cs="Times New Roman"/>
          <w:iCs/>
          <w:noProof/>
          <w:sz w:val="24"/>
          <w:szCs w:val="24"/>
          <w:lang w:eastAsia="en-IE"/>
        </w:rPr>
        <w:t xml:space="preserve"> </w:t>
      </w:r>
      <w:r w:rsidR="00F339F3" w:rsidRPr="00D16622">
        <w:rPr>
          <w:rFonts w:ascii="Times New Roman" w:hAnsi="Times New Roman" w:cs="Times New Roman"/>
          <w:iCs/>
          <w:noProof/>
          <w:sz w:val="24"/>
          <w:szCs w:val="24"/>
          <w:lang w:eastAsia="en-IE"/>
        </w:rPr>
        <w:t>and reforming</w:t>
      </w:r>
      <w:r w:rsidR="00B55C5B" w:rsidRPr="00D16622">
        <w:rPr>
          <w:rFonts w:ascii="Times New Roman" w:hAnsi="Times New Roman" w:cs="Times New Roman"/>
          <w:iCs/>
          <w:noProof/>
          <w:sz w:val="24"/>
          <w:szCs w:val="24"/>
          <w:lang w:eastAsia="en-IE"/>
        </w:rPr>
        <w:t xml:space="preserve"> </w:t>
      </w:r>
      <w:r w:rsidRPr="00D16622">
        <w:rPr>
          <w:rFonts w:ascii="Times New Roman" w:hAnsi="Times New Roman" w:cs="Times New Roman"/>
          <w:iCs/>
          <w:noProof/>
          <w:sz w:val="24"/>
          <w:szCs w:val="24"/>
          <w:lang w:eastAsia="en-IE"/>
        </w:rPr>
        <w:t xml:space="preserve">their justice systems, Member States must fully </w:t>
      </w:r>
      <w:r w:rsidR="00F339F3" w:rsidRPr="00D16622">
        <w:rPr>
          <w:rFonts w:ascii="Times New Roman" w:hAnsi="Times New Roman" w:cs="Times New Roman"/>
          <w:iCs/>
          <w:noProof/>
          <w:sz w:val="24"/>
          <w:szCs w:val="24"/>
          <w:lang w:eastAsia="en-IE"/>
        </w:rPr>
        <w:t>comply with</w:t>
      </w:r>
      <w:r w:rsidRPr="00D16622">
        <w:rPr>
          <w:rFonts w:ascii="Times New Roman" w:hAnsi="Times New Roman" w:cs="Times New Roman"/>
          <w:iCs/>
          <w:noProof/>
          <w:sz w:val="24"/>
          <w:szCs w:val="24"/>
          <w:lang w:eastAsia="en-IE"/>
        </w:rPr>
        <w:t xml:space="preserve"> the requirements established by EU law and the CJEU case law. The</w:t>
      </w:r>
      <w:r w:rsidR="005D097C" w:rsidRPr="00D16622">
        <w:rPr>
          <w:rFonts w:ascii="Times New Roman" w:hAnsi="Times New Roman" w:cs="Times New Roman"/>
          <w:iCs/>
          <w:noProof/>
          <w:sz w:val="24"/>
          <w:szCs w:val="24"/>
          <w:lang w:eastAsia="en-IE"/>
        </w:rPr>
        <w:t>y should also take into account</w:t>
      </w:r>
      <w:r w:rsidRPr="00D16622">
        <w:rPr>
          <w:rFonts w:ascii="Times New Roman" w:hAnsi="Times New Roman" w:cs="Times New Roman"/>
          <w:iCs/>
          <w:noProof/>
          <w:sz w:val="24"/>
          <w:szCs w:val="24"/>
          <w:lang w:eastAsia="en-IE"/>
        </w:rPr>
        <w:t xml:space="preserve"> European standards developed by the Council of Europe and the Venice Commission</w:t>
      </w:r>
      <w:r w:rsidR="00D55B6F" w:rsidRPr="00D16622">
        <w:rPr>
          <w:rFonts w:ascii="Times New Roman" w:hAnsi="Times New Roman" w:cs="Times New Roman"/>
          <w:iCs/>
          <w:noProof/>
          <w:sz w:val="24"/>
          <w:szCs w:val="24"/>
          <w:lang w:eastAsia="en-IE"/>
        </w:rPr>
        <w:t xml:space="preserve">, </w:t>
      </w:r>
      <w:r w:rsidR="008737FD" w:rsidRPr="00D16622">
        <w:rPr>
          <w:rFonts w:ascii="Times New Roman" w:hAnsi="Times New Roman" w:cs="Times New Roman"/>
          <w:iCs/>
          <w:noProof/>
          <w:sz w:val="24"/>
          <w:szCs w:val="24"/>
          <w:lang w:eastAsia="en-IE"/>
        </w:rPr>
        <w:t>including the</w:t>
      </w:r>
      <w:r w:rsidR="003F1BDE" w:rsidRPr="00D16622">
        <w:rPr>
          <w:rFonts w:ascii="Times New Roman" w:hAnsi="Times New Roman" w:cs="Times New Roman"/>
          <w:iCs/>
          <w:noProof/>
          <w:sz w:val="24"/>
          <w:szCs w:val="24"/>
          <w:lang w:eastAsia="en-IE"/>
        </w:rPr>
        <w:t xml:space="preserve"> latter’s</w:t>
      </w:r>
      <w:r w:rsidR="00ED4652" w:rsidRPr="00D16622">
        <w:rPr>
          <w:rFonts w:ascii="Times New Roman" w:hAnsi="Times New Roman" w:cs="Times New Roman"/>
          <w:iCs/>
          <w:noProof/>
          <w:sz w:val="24"/>
          <w:szCs w:val="24"/>
          <w:lang w:eastAsia="en-IE"/>
        </w:rPr>
        <w:t xml:space="preserve"> </w:t>
      </w:r>
      <w:r w:rsidR="00191294" w:rsidRPr="00D16622">
        <w:rPr>
          <w:rFonts w:ascii="Times New Roman" w:hAnsi="Times New Roman" w:cs="Times New Roman"/>
          <w:iCs/>
          <w:noProof/>
          <w:sz w:val="24"/>
          <w:szCs w:val="24"/>
          <w:lang w:eastAsia="en-IE"/>
        </w:rPr>
        <w:t>updated Rule of Law Checklist</w:t>
      </w:r>
      <w:r w:rsidR="00ED4652" w:rsidRPr="00D16622">
        <w:rPr>
          <w:rFonts w:ascii="Times New Roman" w:hAnsi="Times New Roman" w:cs="Times New Roman"/>
          <w:iCs/>
          <w:noProof/>
          <w:sz w:val="24"/>
          <w:szCs w:val="24"/>
          <w:lang w:eastAsia="en-IE"/>
        </w:rPr>
        <w:t xml:space="preserve"> </w:t>
      </w:r>
      <w:r w:rsidR="000F4B44" w:rsidRPr="00D16622">
        <w:rPr>
          <w:rFonts w:ascii="Times New Roman" w:hAnsi="Times New Roman" w:cs="Times New Roman"/>
          <w:iCs/>
          <w:noProof/>
          <w:sz w:val="24"/>
          <w:szCs w:val="24"/>
          <w:lang w:eastAsia="en-IE"/>
        </w:rPr>
        <w:t>adopted in December 2025</w:t>
      </w:r>
      <w:r w:rsidRPr="00D16622">
        <w:rPr>
          <w:rFonts w:ascii="Times New Roman" w:hAnsi="Times New Roman" w:cs="Times New Roman"/>
          <w:iCs/>
          <w:noProof/>
          <w:sz w:val="24"/>
          <w:szCs w:val="24"/>
          <w:lang w:eastAsia="en-IE"/>
        </w:rPr>
        <w:t xml:space="preserve">. European judicial networks and associations </w:t>
      </w:r>
      <w:r w:rsidR="008063FC" w:rsidRPr="00D16622">
        <w:rPr>
          <w:rFonts w:ascii="Times New Roman" w:hAnsi="Times New Roman" w:cs="Times New Roman"/>
          <w:iCs/>
          <w:noProof/>
          <w:sz w:val="24"/>
          <w:szCs w:val="24"/>
          <w:lang w:eastAsia="en-IE"/>
        </w:rPr>
        <w:t xml:space="preserve">play </w:t>
      </w:r>
      <w:r w:rsidRPr="00D16622">
        <w:rPr>
          <w:rFonts w:ascii="Times New Roman" w:hAnsi="Times New Roman" w:cs="Times New Roman"/>
          <w:iCs/>
          <w:noProof/>
          <w:sz w:val="24"/>
          <w:szCs w:val="24"/>
          <w:lang w:eastAsia="en-IE"/>
        </w:rPr>
        <w:t xml:space="preserve">an important </w:t>
      </w:r>
      <w:r w:rsidR="008063FC" w:rsidRPr="00D16622">
        <w:rPr>
          <w:rFonts w:ascii="Times New Roman" w:hAnsi="Times New Roman" w:cs="Times New Roman"/>
          <w:iCs/>
          <w:noProof/>
          <w:sz w:val="24"/>
          <w:szCs w:val="24"/>
          <w:lang w:eastAsia="en-IE"/>
        </w:rPr>
        <w:t>role</w:t>
      </w:r>
      <w:r w:rsidR="00C165C0" w:rsidRPr="00D16622">
        <w:rPr>
          <w:rFonts w:ascii="Times New Roman" w:hAnsi="Times New Roman" w:cs="Times New Roman"/>
          <w:iCs/>
          <w:noProof/>
          <w:sz w:val="24"/>
          <w:szCs w:val="24"/>
          <w:lang w:eastAsia="en-IE"/>
        </w:rPr>
        <w:t xml:space="preserve"> in</w:t>
      </w:r>
      <w:r w:rsidRPr="00D16622">
        <w:rPr>
          <w:rFonts w:ascii="Times New Roman" w:hAnsi="Times New Roman" w:cs="Times New Roman"/>
          <w:iCs/>
          <w:noProof/>
          <w:sz w:val="24"/>
          <w:szCs w:val="24"/>
          <w:lang w:eastAsia="en-IE"/>
        </w:rPr>
        <w:t xml:space="preserve"> promoting and </w:t>
      </w:r>
      <w:r w:rsidR="003931D4" w:rsidRPr="00D16622">
        <w:rPr>
          <w:rFonts w:ascii="Times New Roman" w:hAnsi="Times New Roman" w:cs="Times New Roman"/>
          <w:iCs/>
          <w:noProof/>
          <w:sz w:val="24"/>
          <w:szCs w:val="24"/>
          <w:lang w:eastAsia="en-IE"/>
        </w:rPr>
        <w:t>safeguarding</w:t>
      </w:r>
      <w:r w:rsidRPr="00D16622">
        <w:rPr>
          <w:rFonts w:ascii="Times New Roman" w:hAnsi="Times New Roman" w:cs="Times New Roman"/>
          <w:iCs/>
          <w:noProof/>
          <w:sz w:val="24"/>
          <w:szCs w:val="24"/>
          <w:lang w:eastAsia="en-IE"/>
        </w:rPr>
        <w:t xml:space="preserve"> the rule of law and contribute to the development of European standards</w:t>
      </w:r>
      <w:r w:rsidRPr="00D16622">
        <w:rPr>
          <w:rStyle w:val="FootnoteReference"/>
          <w:rFonts w:cs="Times New Roman"/>
          <w:noProof/>
        </w:rPr>
        <w:footnoteReference w:id="46"/>
      </w:r>
      <w:r w:rsidRPr="00D16622">
        <w:rPr>
          <w:rFonts w:ascii="Times New Roman" w:hAnsi="Times New Roman" w:cs="Times New Roman"/>
          <w:iCs/>
          <w:noProof/>
          <w:sz w:val="24"/>
          <w:szCs w:val="24"/>
          <w:lang w:eastAsia="en-IE"/>
        </w:rPr>
        <w:t xml:space="preserve">. Lawyers and bar associations also </w:t>
      </w:r>
      <w:r w:rsidR="00252C1E" w:rsidRPr="00D16622">
        <w:rPr>
          <w:rFonts w:ascii="Times New Roman" w:hAnsi="Times New Roman" w:cs="Times New Roman"/>
          <w:iCs/>
          <w:noProof/>
          <w:sz w:val="24"/>
          <w:szCs w:val="24"/>
          <w:lang w:eastAsia="en-IE"/>
        </w:rPr>
        <w:t xml:space="preserve">make </w:t>
      </w:r>
      <w:r w:rsidRPr="00D16622">
        <w:rPr>
          <w:rFonts w:ascii="Times New Roman" w:hAnsi="Times New Roman" w:cs="Times New Roman"/>
          <w:iCs/>
          <w:noProof/>
          <w:sz w:val="24"/>
          <w:szCs w:val="24"/>
          <w:lang w:eastAsia="en-IE"/>
        </w:rPr>
        <w:t xml:space="preserve">a significant </w:t>
      </w:r>
      <w:r w:rsidR="00252C1E" w:rsidRPr="00D16622">
        <w:rPr>
          <w:rFonts w:ascii="Times New Roman" w:hAnsi="Times New Roman" w:cs="Times New Roman"/>
          <w:iCs/>
          <w:noProof/>
          <w:sz w:val="24"/>
          <w:szCs w:val="24"/>
          <w:lang w:eastAsia="en-IE"/>
        </w:rPr>
        <w:t>contribution</w:t>
      </w:r>
      <w:r w:rsidRPr="00D16622">
        <w:rPr>
          <w:rFonts w:ascii="Times New Roman" w:hAnsi="Times New Roman" w:cs="Times New Roman"/>
          <w:iCs/>
          <w:noProof/>
          <w:sz w:val="24"/>
          <w:szCs w:val="24"/>
          <w:lang w:eastAsia="en-IE"/>
        </w:rPr>
        <w:t xml:space="preserve"> </w:t>
      </w:r>
      <w:r w:rsidR="00846B17" w:rsidRPr="00D16622">
        <w:rPr>
          <w:rFonts w:ascii="Times New Roman" w:hAnsi="Times New Roman" w:cs="Times New Roman"/>
          <w:iCs/>
          <w:noProof/>
          <w:sz w:val="24"/>
          <w:szCs w:val="24"/>
          <w:lang w:eastAsia="en-IE"/>
        </w:rPr>
        <w:t>to the rule of law, as do public notaries</w:t>
      </w:r>
      <w:r w:rsidRPr="00D16622">
        <w:rPr>
          <w:rFonts w:ascii="Times New Roman" w:hAnsi="Times New Roman" w:cs="Times New Roman"/>
          <w:iCs/>
          <w:noProof/>
          <w:sz w:val="24"/>
          <w:szCs w:val="24"/>
          <w:lang w:eastAsia="en-IE"/>
        </w:rPr>
        <w:t xml:space="preserve">. </w:t>
      </w:r>
    </w:p>
    <w:p w14:paraId="3165B560" w14:textId="4E202D74" w:rsidR="00394BD0" w:rsidRPr="00D16622" w:rsidRDefault="00394BD0" w:rsidP="00E85CBC">
      <w:pPr>
        <w:spacing w:after="120" w:line="240" w:lineRule="auto"/>
        <w:jc w:val="both"/>
        <w:rPr>
          <w:rFonts w:ascii="Times New Roman" w:hAnsi="Times New Roman" w:cs="Times New Roman"/>
          <w:i/>
          <w:iCs/>
          <w:noProof/>
          <w:sz w:val="24"/>
          <w:szCs w:val="24"/>
        </w:rPr>
      </w:pPr>
      <w:r w:rsidRPr="00D16622">
        <w:rPr>
          <w:rFonts w:ascii="Times New Roman" w:hAnsi="Times New Roman" w:cs="Times New Roman"/>
          <w:i/>
          <w:iCs/>
          <w:noProof/>
          <w:sz w:val="24"/>
          <w:szCs w:val="24"/>
        </w:rPr>
        <w:t>Perceptions of judicial independence across the EU</w:t>
      </w:r>
    </w:p>
    <w:p w14:paraId="0AB51207" w14:textId="55F46345" w:rsidR="00ED7A7B" w:rsidRPr="00D16622" w:rsidDel="00686032" w:rsidRDefault="00ED7A7B" w:rsidP="00ED7A7B">
      <w:pPr>
        <w:spacing w:after="120" w:line="240" w:lineRule="auto"/>
        <w:jc w:val="both"/>
        <w:rPr>
          <w:rFonts w:ascii="Times New Roman" w:hAnsi="Times New Roman" w:cs="Times New Roman"/>
          <w:noProof/>
          <w:sz w:val="24"/>
          <w:szCs w:val="24"/>
          <w:lang w:eastAsia="en-IE"/>
        </w:rPr>
      </w:pPr>
      <w:r w:rsidRPr="00D16622">
        <w:rPr>
          <w:rFonts w:ascii="Times New Roman" w:hAnsi="Times New Roman" w:cs="Times New Roman"/>
          <w:noProof/>
          <w:sz w:val="24"/>
          <w:szCs w:val="24"/>
          <w:lang w:eastAsia="en-IE"/>
        </w:rPr>
        <w:t xml:space="preserve">As set out in the 2026 EU Justice Scoreboard, Eurobarometer surveys conducted in 2026 show that the perception of </w:t>
      </w:r>
      <w:r w:rsidR="00C25552" w:rsidRPr="00D16622">
        <w:rPr>
          <w:rFonts w:ascii="Times New Roman" w:hAnsi="Times New Roman" w:cs="Times New Roman"/>
          <w:noProof/>
          <w:sz w:val="24"/>
          <w:szCs w:val="24"/>
          <w:lang w:eastAsia="en-IE"/>
        </w:rPr>
        <w:t xml:space="preserve">judicial </w:t>
      </w:r>
      <w:r w:rsidRPr="00D16622">
        <w:rPr>
          <w:rFonts w:ascii="Times New Roman" w:hAnsi="Times New Roman" w:cs="Times New Roman"/>
          <w:noProof/>
          <w:sz w:val="24"/>
          <w:szCs w:val="24"/>
          <w:lang w:eastAsia="en-IE"/>
        </w:rPr>
        <w:t>independence among the general public, increased or remained stable in 17 Member States</w:t>
      </w:r>
      <w:r w:rsidR="00E705A1" w:rsidRPr="00D16622">
        <w:rPr>
          <w:rFonts w:ascii="Times New Roman" w:hAnsi="Times New Roman" w:cs="Times New Roman"/>
          <w:noProof/>
          <w:sz w:val="24"/>
          <w:szCs w:val="24"/>
          <w:lang w:eastAsia="en-IE"/>
        </w:rPr>
        <w:t xml:space="preserve"> when compared to 2025</w:t>
      </w:r>
      <w:r w:rsidRPr="00D16622">
        <w:rPr>
          <w:rFonts w:ascii="Times New Roman" w:hAnsi="Times New Roman" w:cs="Times New Roman"/>
          <w:noProof/>
          <w:sz w:val="24"/>
          <w:szCs w:val="24"/>
          <w:lang w:eastAsia="en-IE"/>
        </w:rPr>
        <w:t>, while it decreased in ten Member States</w:t>
      </w:r>
      <w:r w:rsidRPr="00D16622">
        <w:rPr>
          <w:rStyle w:val="FootnoteReference"/>
          <w:rFonts w:cs="Times New Roman"/>
          <w:noProof/>
        </w:rPr>
        <w:footnoteReference w:id="47"/>
      </w:r>
      <w:r w:rsidRPr="00D16622">
        <w:rPr>
          <w:rFonts w:ascii="Times New Roman" w:hAnsi="Times New Roman" w:cs="Times New Roman"/>
          <w:noProof/>
          <w:sz w:val="24"/>
          <w:szCs w:val="24"/>
          <w:lang w:eastAsia="en-IE"/>
        </w:rPr>
        <w:t>. Among companies, the perception of independence has increased or remained stable in 18 Member States when compared to 2025, and it decreased in nine Member States</w:t>
      </w:r>
      <w:r w:rsidRPr="00D16622">
        <w:rPr>
          <w:rStyle w:val="FootnoteReference"/>
          <w:rFonts w:cs="Times New Roman"/>
          <w:noProof/>
        </w:rPr>
        <w:footnoteReference w:id="48"/>
      </w:r>
      <w:r w:rsidRPr="00D16622">
        <w:rPr>
          <w:rFonts w:ascii="Times New Roman" w:hAnsi="Times New Roman" w:cs="Times New Roman"/>
          <w:noProof/>
          <w:sz w:val="24"/>
          <w:szCs w:val="24"/>
          <w:lang w:eastAsia="en-IE"/>
        </w:rPr>
        <w:t xml:space="preserve">. In </w:t>
      </w:r>
      <w:hyperlink r:id="rId37" w:history="1">
        <w:r w:rsidRPr="00D16622">
          <w:rPr>
            <w:rStyle w:val="Hyperlink"/>
            <w:rFonts w:cs="Times New Roman"/>
            <w:noProof/>
            <w:szCs w:val="24"/>
            <w:lang w:eastAsia="en-IE"/>
          </w:rPr>
          <w:t>Denmark</w:t>
        </w:r>
      </w:hyperlink>
      <w:r w:rsidRPr="00D16622">
        <w:rPr>
          <w:rFonts w:ascii="Times New Roman" w:hAnsi="Times New Roman" w:cs="Times New Roman"/>
          <w:noProof/>
          <w:sz w:val="24"/>
          <w:szCs w:val="24"/>
          <w:lang w:eastAsia="en-IE"/>
        </w:rPr>
        <w:t xml:space="preserve">, </w:t>
      </w:r>
      <w:hyperlink r:id="rId38" w:history="1">
        <w:r w:rsidRPr="00D16622">
          <w:rPr>
            <w:rStyle w:val="Hyperlink"/>
            <w:rFonts w:cs="Times New Roman"/>
            <w:noProof/>
            <w:szCs w:val="24"/>
            <w:lang w:eastAsia="en-IE"/>
          </w:rPr>
          <w:t>Finland</w:t>
        </w:r>
      </w:hyperlink>
      <w:r w:rsidRPr="00D16622">
        <w:rPr>
          <w:rFonts w:ascii="Times New Roman" w:hAnsi="Times New Roman" w:cs="Times New Roman"/>
          <w:noProof/>
          <w:sz w:val="24"/>
          <w:szCs w:val="24"/>
          <w:lang w:eastAsia="en-IE"/>
        </w:rPr>
        <w:t xml:space="preserve">, </w:t>
      </w:r>
      <w:hyperlink r:id="rId39" w:history="1">
        <w:r w:rsidRPr="00D16622">
          <w:rPr>
            <w:rStyle w:val="Hyperlink"/>
            <w:rFonts w:cs="Times New Roman"/>
            <w:noProof/>
            <w:szCs w:val="24"/>
            <w:lang w:eastAsia="en-IE"/>
          </w:rPr>
          <w:t>Austria</w:t>
        </w:r>
      </w:hyperlink>
      <w:r w:rsidRPr="00D16622">
        <w:rPr>
          <w:rFonts w:ascii="Times New Roman" w:hAnsi="Times New Roman" w:cs="Times New Roman"/>
          <w:noProof/>
          <w:sz w:val="24"/>
          <w:szCs w:val="24"/>
          <w:lang w:eastAsia="en-IE"/>
        </w:rPr>
        <w:t xml:space="preserve">, </w:t>
      </w:r>
      <w:hyperlink r:id="rId40" w:history="1">
        <w:r w:rsidRPr="00D16622">
          <w:rPr>
            <w:rStyle w:val="Hyperlink"/>
            <w:rFonts w:cs="Times New Roman"/>
            <w:noProof/>
            <w:szCs w:val="24"/>
            <w:lang w:eastAsia="en-IE"/>
          </w:rPr>
          <w:t>Sweden</w:t>
        </w:r>
      </w:hyperlink>
      <w:r w:rsidRPr="00D16622">
        <w:rPr>
          <w:rFonts w:ascii="Times New Roman" w:hAnsi="Times New Roman" w:cs="Times New Roman"/>
          <w:noProof/>
          <w:sz w:val="24"/>
          <w:szCs w:val="24"/>
          <w:lang w:eastAsia="en-IE"/>
        </w:rPr>
        <w:t xml:space="preserve">, the </w:t>
      </w:r>
      <w:hyperlink r:id="rId41" w:history="1">
        <w:r w:rsidRPr="00D16622">
          <w:rPr>
            <w:rStyle w:val="Hyperlink"/>
            <w:rFonts w:cs="Times New Roman"/>
            <w:noProof/>
            <w:szCs w:val="24"/>
            <w:lang w:eastAsia="en-IE"/>
          </w:rPr>
          <w:t>Netherlands</w:t>
        </w:r>
      </w:hyperlink>
      <w:r w:rsidRPr="00D16622">
        <w:rPr>
          <w:rFonts w:ascii="Times New Roman" w:hAnsi="Times New Roman" w:cs="Times New Roman"/>
          <w:noProof/>
          <w:sz w:val="24"/>
          <w:szCs w:val="24"/>
          <w:lang w:eastAsia="en-IE"/>
        </w:rPr>
        <w:t xml:space="preserve">, </w:t>
      </w:r>
      <w:hyperlink r:id="rId42" w:history="1">
        <w:r w:rsidRPr="00D16622">
          <w:rPr>
            <w:rStyle w:val="Hyperlink"/>
            <w:rFonts w:cs="Times New Roman"/>
            <w:noProof/>
            <w:szCs w:val="24"/>
            <w:lang w:eastAsia="en-IE"/>
          </w:rPr>
          <w:t>Germany</w:t>
        </w:r>
      </w:hyperlink>
      <w:r w:rsidRPr="00D16622">
        <w:rPr>
          <w:rFonts w:ascii="Times New Roman" w:hAnsi="Times New Roman" w:cs="Times New Roman"/>
          <w:noProof/>
          <w:sz w:val="24"/>
          <w:szCs w:val="24"/>
          <w:lang w:eastAsia="en-IE"/>
        </w:rPr>
        <w:t xml:space="preserve">, </w:t>
      </w:r>
      <w:hyperlink r:id="rId43" w:history="1">
        <w:r w:rsidRPr="00D16622">
          <w:rPr>
            <w:rStyle w:val="Hyperlink"/>
            <w:rFonts w:cs="Times New Roman"/>
            <w:noProof/>
            <w:szCs w:val="24"/>
            <w:lang w:eastAsia="en-IE"/>
          </w:rPr>
          <w:t>Luxembourg</w:t>
        </w:r>
      </w:hyperlink>
      <w:r w:rsidRPr="00D16622">
        <w:rPr>
          <w:rFonts w:ascii="Times New Roman" w:hAnsi="Times New Roman" w:cs="Times New Roman"/>
          <w:noProof/>
          <w:sz w:val="24"/>
          <w:szCs w:val="24"/>
          <w:lang w:eastAsia="en-IE"/>
        </w:rPr>
        <w:t xml:space="preserve">, and </w:t>
      </w:r>
      <w:hyperlink r:id="rId44" w:history="1">
        <w:r w:rsidRPr="00D16622">
          <w:rPr>
            <w:rStyle w:val="Hyperlink"/>
            <w:rFonts w:cs="Times New Roman"/>
            <w:noProof/>
            <w:szCs w:val="24"/>
            <w:lang w:eastAsia="en-IE"/>
          </w:rPr>
          <w:t>Ireland</w:t>
        </w:r>
      </w:hyperlink>
      <w:r w:rsidRPr="00D16622">
        <w:rPr>
          <w:rFonts w:ascii="Times New Roman" w:hAnsi="Times New Roman" w:cs="Times New Roman"/>
          <w:noProof/>
          <w:sz w:val="24"/>
          <w:szCs w:val="24"/>
          <w:lang w:eastAsia="en-IE"/>
        </w:rPr>
        <w:t xml:space="preserve">, the level of perceived independence continues to be particularly high among the general public or companies (above 75%), while it remains very low in </w:t>
      </w:r>
      <w:hyperlink r:id="rId45" w:history="1">
        <w:r w:rsidRPr="00D16622">
          <w:rPr>
            <w:rStyle w:val="Hyperlink"/>
            <w:rFonts w:cs="Times New Roman"/>
            <w:noProof/>
            <w:szCs w:val="24"/>
            <w:lang w:eastAsia="en-IE"/>
          </w:rPr>
          <w:t>Croatia</w:t>
        </w:r>
      </w:hyperlink>
      <w:r w:rsidRPr="00D16622">
        <w:rPr>
          <w:rFonts w:ascii="Times New Roman" w:hAnsi="Times New Roman" w:cs="Times New Roman"/>
          <w:noProof/>
          <w:sz w:val="24"/>
          <w:szCs w:val="24"/>
          <w:lang w:eastAsia="en-IE"/>
        </w:rPr>
        <w:t xml:space="preserve"> and </w:t>
      </w:r>
      <w:hyperlink r:id="rId46" w:history="1">
        <w:r w:rsidRPr="00D16622">
          <w:rPr>
            <w:rStyle w:val="Hyperlink"/>
            <w:rFonts w:cs="Times New Roman"/>
            <w:noProof/>
            <w:szCs w:val="24"/>
            <w:lang w:eastAsia="en-IE"/>
          </w:rPr>
          <w:t>Bulgaria</w:t>
        </w:r>
      </w:hyperlink>
      <w:r w:rsidRPr="00D16622">
        <w:rPr>
          <w:rFonts w:ascii="Times New Roman" w:hAnsi="Times New Roman" w:cs="Times New Roman"/>
          <w:noProof/>
          <w:sz w:val="24"/>
          <w:szCs w:val="24"/>
          <w:lang w:eastAsia="en-IE"/>
        </w:rPr>
        <w:t xml:space="preserve"> (below 30%). As regards enlargement countries, Eurobarometer results show very low to average level</w:t>
      </w:r>
      <w:r w:rsidR="00E44A93" w:rsidRPr="00D16622">
        <w:rPr>
          <w:rFonts w:ascii="Times New Roman" w:hAnsi="Times New Roman" w:cs="Times New Roman"/>
          <w:noProof/>
          <w:sz w:val="24"/>
          <w:szCs w:val="24"/>
          <w:lang w:eastAsia="en-IE"/>
        </w:rPr>
        <w:t>s</w:t>
      </w:r>
      <w:r w:rsidRPr="00D16622">
        <w:rPr>
          <w:rFonts w:ascii="Times New Roman" w:hAnsi="Times New Roman" w:cs="Times New Roman"/>
          <w:noProof/>
          <w:sz w:val="24"/>
          <w:szCs w:val="24"/>
          <w:lang w:eastAsia="en-IE"/>
        </w:rPr>
        <w:t xml:space="preserve"> of perceived independence. </w:t>
      </w:r>
    </w:p>
    <w:p w14:paraId="350B22BC" w14:textId="3C4564F2" w:rsidR="00394BD0" w:rsidRPr="00D16622" w:rsidRDefault="00394BD0" w:rsidP="00E85CBC">
      <w:pPr>
        <w:spacing w:after="120" w:line="240" w:lineRule="auto"/>
        <w:jc w:val="both"/>
        <w:rPr>
          <w:rFonts w:ascii="Times New Roman" w:hAnsi="Times New Roman" w:cs="Times New Roman"/>
          <w:i/>
          <w:iCs/>
          <w:noProof/>
          <w:sz w:val="24"/>
          <w:szCs w:val="24"/>
        </w:rPr>
      </w:pPr>
      <w:r w:rsidRPr="00D16622">
        <w:rPr>
          <w:rFonts w:ascii="Times New Roman" w:hAnsi="Times New Roman" w:cs="Times New Roman"/>
          <w:i/>
          <w:iCs/>
          <w:noProof/>
          <w:sz w:val="24"/>
          <w:szCs w:val="24"/>
        </w:rPr>
        <w:t>Councils for the Judiciary and procedures for the appointment and dismissal of judges as key safeguards for judicial independence</w:t>
      </w:r>
    </w:p>
    <w:p w14:paraId="20342F42" w14:textId="1BC34FC4" w:rsidR="001C46F9" w:rsidRPr="00D16622" w:rsidRDefault="001C46F9" w:rsidP="001C46F9">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The procedures for appointing and dismissing judges, along with the powers and structure of the Councils for the Judiciary</w:t>
      </w:r>
      <w:r w:rsidR="005D1550" w:rsidRPr="00D16622">
        <w:rPr>
          <w:rFonts w:ascii="Times New Roman" w:hAnsi="Times New Roman" w:cs="Times New Roman"/>
          <w:noProof/>
          <w:sz w:val="24"/>
          <w:szCs w:val="24"/>
        </w:rPr>
        <w:t>,</w:t>
      </w:r>
      <w:r w:rsidRPr="00D16622">
        <w:rPr>
          <w:rFonts w:ascii="Times New Roman" w:hAnsi="Times New Roman" w:cs="Times New Roman"/>
          <w:noProof/>
          <w:sz w:val="24"/>
          <w:szCs w:val="24"/>
        </w:rPr>
        <w:t xml:space="preserve"> are central to preserving judicial independence. Where Councils for the Judiciary exist, they serve as a buffer between the judiciary and other branches of power in areas such as appointments</w:t>
      </w:r>
      <w:r w:rsidR="004576AF" w:rsidRPr="00D16622">
        <w:rPr>
          <w:rFonts w:ascii="Times New Roman" w:hAnsi="Times New Roman" w:cs="Times New Roman"/>
          <w:noProof/>
          <w:sz w:val="24"/>
          <w:szCs w:val="24"/>
        </w:rPr>
        <w:t xml:space="preserve">, </w:t>
      </w:r>
      <w:r w:rsidRPr="00D16622">
        <w:rPr>
          <w:rFonts w:ascii="Times New Roman" w:hAnsi="Times New Roman" w:cs="Times New Roman"/>
          <w:noProof/>
          <w:sz w:val="24"/>
          <w:szCs w:val="24"/>
        </w:rPr>
        <w:t>career development and justice system management</w:t>
      </w:r>
      <w:r w:rsidRPr="00D16622">
        <w:rPr>
          <w:rStyle w:val="FootnoteReference"/>
          <w:rFonts w:cs="Times New Roman"/>
          <w:noProof/>
        </w:rPr>
        <w:footnoteReference w:id="49"/>
      </w:r>
      <w:r w:rsidRPr="00D16622">
        <w:rPr>
          <w:rFonts w:ascii="Times New Roman" w:hAnsi="Times New Roman" w:cs="Times New Roman"/>
          <w:noProof/>
          <w:sz w:val="24"/>
          <w:szCs w:val="24"/>
        </w:rPr>
        <w:t>. The Council of Europe has developed European standards on how these Councils should be designed to effectively protect their independence, including as regards composition</w:t>
      </w:r>
      <w:r w:rsidRPr="00D16622">
        <w:rPr>
          <w:rStyle w:val="FootnoteReference"/>
          <w:rFonts w:cs="Times New Roman"/>
          <w:noProof/>
        </w:rPr>
        <w:footnoteReference w:id="50"/>
      </w:r>
      <w:r w:rsidRPr="00D16622">
        <w:rPr>
          <w:rFonts w:ascii="Times New Roman" w:hAnsi="Times New Roman" w:cs="Times New Roman"/>
          <w:noProof/>
          <w:sz w:val="24"/>
          <w:szCs w:val="24"/>
        </w:rPr>
        <w:t>. For Councils for the Judiciary to operate efficiently, they require sufficient resources and administrative independence.</w:t>
      </w:r>
    </w:p>
    <w:p w14:paraId="2D6EB58E" w14:textId="1FA1C4A9" w:rsidR="001C46F9" w:rsidRPr="00D16622" w:rsidRDefault="001C46F9" w:rsidP="001C46F9">
      <w:pPr>
        <w:spacing w:after="120" w:line="240" w:lineRule="auto"/>
        <w:jc w:val="both"/>
        <w:rPr>
          <w:rFonts w:ascii="Times New Roman" w:eastAsia="Times New Roman" w:hAnsi="Times New Roman" w:cs="Times New Roman"/>
          <w:noProof/>
          <w:sz w:val="24"/>
          <w:szCs w:val="24"/>
          <w:lang w:val="en-US"/>
        </w:rPr>
      </w:pPr>
      <w:r w:rsidRPr="00D16622">
        <w:rPr>
          <w:rFonts w:ascii="Times New Roman" w:hAnsi="Times New Roman" w:cs="Times New Roman"/>
          <w:noProof/>
          <w:sz w:val="24"/>
          <w:szCs w:val="24"/>
        </w:rPr>
        <w:t xml:space="preserve">Several Member States </w:t>
      </w:r>
      <w:r w:rsidR="00E2429D" w:rsidRPr="00D16622">
        <w:rPr>
          <w:rFonts w:ascii="Times New Roman" w:hAnsi="Times New Roman" w:cs="Times New Roman"/>
          <w:noProof/>
          <w:sz w:val="24"/>
          <w:szCs w:val="24"/>
        </w:rPr>
        <w:t xml:space="preserve">took forward </w:t>
      </w:r>
      <w:r w:rsidR="007415CA" w:rsidRPr="00D16622">
        <w:rPr>
          <w:rFonts w:ascii="Times New Roman" w:hAnsi="Times New Roman" w:cs="Times New Roman"/>
          <w:noProof/>
          <w:sz w:val="24"/>
          <w:szCs w:val="24"/>
        </w:rPr>
        <w:t>measures</w:t>
      </w:r>
      <w:r w:rsidRPr="00D16622">
        <w:rPr>
          <w:rFonts w:ascii="Times New Roman" w:hAnsi="Times New Roman" w:cs="Times New Roman"/>
          <w:noProof/>
          <w:sz w:val="24"/>
          <w:szCs w:val="24"/>
        </w:rPr>
        <w:t xml:space="preserve"> to strengthen the independence and effectiveness of Councils for the Judiciary. </w:t>
      </w:r>
      <w:r w:rsidRPr="00D16622">
        <w:rPr>
          <w:rFonts w:ascii="Times New Roman" w:eastAsia="Times New Roman" w:hAnsi="Times New Roman" w:cs="Times New Roman"/>
          <w:noProof/>
          <w:sz w:val="24"/>
          <w:szCs w:val="24"/>
        </w:rPr>
        <w:t xml:space="preserve">In the </w:t>
      </w:r>
      <w:hyperlink r:id="rId47" w:history="1">
        <w:r w:rsidRPr="00D16622">
          <w:rPr>
            <w:rStyle w:val="Hyperlink"/>
            <w:rFonts w:eastAsia="Times New Roman" w:cs="Times New Roman"/>
            <w:noProof/>
            <w:szCs w:val="24"/>
          </w:rPr>
          <w:t>Netherlands</w:t>
        </w:r>
      </w:hyperlink>
      <w:r w:rsidRPr="00D16622">
        <w:rPr>
          <w:rFonts w:ascii="Times New Roman" w:eastAsia="Times New Roman" w:hAnsi="Times New Roman" w:cs="Times New Roman"/>
          <w:noProof/>
          <w:sz w:val="24"/>
          <w:szCs w:val="24"/>
        </w:rPr>
        <w:t xml:space="preserve">, the Government </w:t>
      </w:r>
      <w:r w:rsidRPr="00D16622">
        <w:rPr>
          <w:rFonts w:ascii="Times New Roman" w:eastAsia="Times New Roman" w:hAnsi="Times New Roman" w:cs="Times New Roman"/>
          <w:noProof/>
          <w:sz w:val="24"/>
          <w:szCs w:val="24"/>
          <w:lang w:val="en-IE" w:eastAsia="fr-FR"/>
        </w:rPr>
        <w:t>proposed to give the judiciary its own budget and to remove the role of the Minister of Justice and Security in the appointment of members of the Council for the Judiciary.</w:t>
      </w:r>
      <w:r w:rsidR="00156B25" w:rsidRPr="00D16622">
        <w:rPr>
          <w:rFonts w:ascii="Times New Roman" w:eastAsia="Times New Roman" w:hAnsi="Times New Roman" w:cs="Times New Roman"/>
          <w:noProof/>
          <w:sz w:val="24"/>
          <w:szCs w:val="24"/>
          <w:lang w:val="en-IE" w:eastAsia="fr-FR"/>
        </w:rPr>
        <w:t xml:space="preserve"> </w:t>
      </w:r>
      <w:r w:rsidR="00A969C3" w:rsidRPr="00D16622">
        <w:rPr>
          <w:rFonts w:ascii="Times New Roman" w:eastAsia="Times New Roman" w:hAnsi="Times New Roman" w:cs="Times New Roman"/>
          <w:noProof/>
          <w:color w:val="000000" w:themeColor="text1"/>
          <w:sz w:val="24"/>
          <w:szCs w:val="24"/>
          <w:lang w:val="en-IE"/>
        </w:rPr>
        <w:t xml:space="preserve">For </w:t>
      </w:r>
      <w:hyperlink r:id="rId48" w:history="1">
        <w:r w:rsidRPr="00D16622">
          <w:rPr>
            <w:rStyle w:val="Hyperlink"/>
            <w:rFonts w:eastAsia="Times New Roman" w:cs="Times New Roman"/>
            <w:noProof/>
            <w:szCs w:val="24"/>
            <w:lang w:val="en-IE"/>
          </w:rPr>
          <w:t>Spain</w:t>
        </w:r>
      </w:hyperlink>
      <w:r w:rsidRPr="00D16622">
        <w:rPr>
          <w:rFonts w:ascii="Times New Roman" w:eastAsia="Times New Roman" w:hAnsi="Times New Roman" w:cs="Times New Roman"/>
          <w:noProof/>
          <w:color w:val="000000" w:themeColor="text1"/>
          <w:sz w:val="24"/>
          <w:szCs w:val="24"/>
          <w:lang w:val="en-IE"/>
        </w:rPr>
        <w:t xml:space="preserve">, steps were taken to </w:t>
      </w:r>
      <w:r w:rsidR="00FD1A21" w:rsidRPr="00D16622">
        <w:rPr>
          <w:rFonts w:ascii="Times New Roman" w:eastAsia="Times New Roman" w:hAnsi="Times New Roman" w:cs="Times New Roman"/>
          <w:noProof/>
          <w:color w:val="000000" w:themeColor="text1"/>
          <w:sz w:val="24"/>
          <w:szCs w:val="24"/>
          <w:lang w:val="en-IE"/>
        </w:rPr>
        <w:t>advance</w:t>
      </w:r>
      <w:r w:rsidRPr="00D16622">
        <w:rPr>
          <w:rFonts w:ascii="Times New Roman" w:eastAsia="Times New Roman" w:hAnsi="Times New Roman" w:cs="Times New Roman"/>
          <w:noProof/>
          <w:color w:val="000000" w:themeColor="text1"/>
          <w:sz w:val="24"/>
          <w:szCs w:val="24"/>
          <w:lang w:val="en-IE"/>
        </w:rPr>
        <w:t xml:space="preserve"> the process of adapting the appointment procedure for the Council of the Judiciary’s judges-members, with the adoption of an opinion of the Venice Commission on two alternative models.</w:t>
      </w:r>
      <w:r w:rsidRPr="00D16622">
        <w:rPr>
          <w:rFonts w:ascii="Times New Roman" w:hAnsi="Times New Roman" w:cs="Times New Roman"/>
          <w:noProof/>
          <w:sz w:val="24"/>
          <w:szCs w:val="24"/>
        </w:rPr>
        <w:t xml:space="preserve"> In </w:t>
      </w:r>
      <w:hyperlink r:id="rId49" w:history="1">
        <w:r w:rsidRPr="00D16622">
          <w:rPr>
            <w:rStyle w:val="Hyperlink"/>
            <w:rFonts w:cs="Times New Roman"/>
            <w:noProof/>
            <w:szCs w:val="24"/>
          </w:rPr>
          <w:t>Portugal</w:t>
        </w:r>
      </w:hyperlink>
      <w:r w:rsidRPr="00D16622">
        <w:rPr>
          <w:rFonts w:ascii="Times New Roman" w:hAnsi="Times New Roman" w:cs="Times New Roman"/>
          <w:noProof/>
          <w:sz w:val="24"/>
          <w:szCs w:val="24"/>
        </w:rPr>
        <w:t xml:space="preserve">, in </w:t>
      </w:r>
      <w:r w:rsidR="00CE59E6" w:rsidRPr="00D16622">
        <w:rPr>
          <w:rFonts w:ascii="Times New Roman" w:hAnsi="Times New Roman" w:cs="Times New Roman"/>
          <w:noProof/>
          <w:sz w:val="24"/>
          <w:szCs w:val="24"/>
        </w:rPr>
        <w:t>light of ongoing discussions on stre</w:t>
      </w:r>
      <w:r w:rsidR="00E17187" w:rsidRPr="00D16622">
        <w:rPr>
          <w:rFonts w:ascii="Times New Roman" w:hAnsi="Times New Roman" w:cs="Times New Roman"/>
          <w:noProof/>
          <w:sz w:val="24"/>
          <w:szCs w:val="24"/>
        </w:rPr>
        <w:t xml:space="preserve">ngthening </w:t>
      </w:r>
      <w:r w:rsidR="00B04AE3" w:rsidRPr="00D16622">
        <w:rPr>
          <w:rFonts w:ascii="Times New Roman" w:hAnsi="Times New Roman" w:cs="Times New Roman"/>
          <w:noProof/>
          <w:sz w:val="24"/>
          <w:szCs w:val="24"/>
        </w:rPr>
        <w:t>its legal framework</w:t>
      </w:r>
      <w:r w:rsidRPr="00D16622">
        <w:rPr>
          <w:rFonts w:ascii="Times New Roman" w:hAnsi="Times New Roman" w:cs="Times New Roman"/>
          <w:noProof/>
          <w:sz w:val="24"/>
          <w:szCs w:val="24"/>
        </w:rPr>
        <w:t>, the Council for the Judiciary adopted a Code of Conduct for its members, aimed at safeguarding its independence and credibility.</w:t>
      </w:r>
      <w:r w:rsidRPr="00D16622">
        <w:rPr>
          <w:rFonts w:ascii="Times New Roman" w:eastAsia="Times New Roman" w:hAnsi="Times New Roman" w:cs="Times New Roman"/>
          <w:noProof/>
          <w:sz w:val="24"/>
          <w:szCs w:val="24"/>
          <w:lang w:val="en-US"/>
        </w:rPr>
        <w:t xml:space="preserve"> In </w:t>
      </w:r>
      <w:hyperlink r:id="rId50" w:history="1">
        <w:r w:rsidR="00874BD7" w:rsidRPr="00D16622">
          <w:rPr>
            <w:rStyle w:val="Hyperlink"/>
            <w:rFonts w:cs="Times New Roman"/>
            <w:noProof/>
            <w:szCs w:val="24"/>
            <w:lang w:eastAsia="en-IE"/>
          </w:rPr>
          <w:t>Finland</w:t>
        </w:r>
      </w:hyperlink>
      <w:r w:rsidRPr="00D16622">
        <w:rPr>
          <w:rFonts w:ascii="Times New Roman" w:eastAsia="Times New Roman" w:hAnsi="Times New Roman" w:cs="Times New Roman"/>
          <w:noProof/>
          <w:sz w:val="24"/>
          <w:szCs w:val="24"/>
          <w:lang w:val="en-US"/>
        </w:rPr>
        <w:t>, constitutional amendments to further safeguard the independence of the judiciary</w:t>
      </w:r>
      <w:r w:rsidR="008039F0" w:rsidRPr="00D16622">
        <w:rPr>
          <w:rFonts w:ascii="Times New Roman" w:eastAsia="Times New Roman" w:hAnsi="Times New Roman" w:cs="Times New Roman"/>
          <w:noProof/>
          <w:sz w:val="24"/>
          <w:szCs w:val="24"/>
          <w:lang w:val="en-US"/>
        </w:rPr>
        <w:t xml:space="preserve"> are in preparation</w:t>
      </w:r>
      <w:r w:rsidRPr="00D16622">
        <w:rPr>
          <w:rFonts w:ascii="Times New Roman" w:eastAsia="Times New Roman" w:hAnsi="Times New Roman" w:cs="Times New Roman"/>
          <w:noProof/>
          <w:sz w:val="24"/>
          <w:szCs w:val="24"/>
          <w:lang w:val="en-US"/>
        </w:rPr>
        <w:t xml:space="preserve">. </w:t>
      </w:r>
    </w:p>
    <w:p w14:paraId="0B37D9BD" w14:textId="2A0B3EFB" w:rsidR="001C46F9" w:rsidRPr="00D16622" w:rsidRDefault="001C46F9" w:rsidP="001C46F9">
      <w:pPr>
        <w:spacing w:after="120" w:line="240" w:lineRule="auto"/>
        <w:jc w:val="both"/>
        <w:rPr>
          <w:rFonts w:ascii="Times New Roman" w:eastAsia="Times New Roman" w:hAnsi="Times New Roman" w:cs="Times New Roman"/>
          <w:noProof/>
          <w:sz w:val="24"/>
          <w:szCs w:val="24"/>
        </w:rPr>
      </w:pPr>
      <w:r w:rsidRPr="00D16622" w:rsidDel="001C46F9">
        <w:rPr>
          <w:rFonts w:ascii="Times New Roman" w:hAnsi="Times New Roman" w:cs="Times New Roman"/>
          <w:noProof/>
          <w:sz w:val="24"/>
          <w:szCs w:val="24"/>
        </w:rPr>
        <w:t>As regards enlargement countries</w:t>
      </w:r>
      <w:r w:rsidR="00AF7C6E" w:rsidRPr="00D16622">
        <w:rPr>
          <w:rFonts w:ascii="Times New Roman" w:hAnsi="Times New Roman" w:cs="Times New Roman"/>
          <w:noProof/>
          <w:sz w:val="24"/>
          <w:szCs w:val="24"/>
        </w:rPr>
        <w:t>, i</w:t>
      </w:r>
      <w:r w:rsidRPr="00D16622">
        <w:rPr>
          <w:rFonts w:ascii="Times New Roman" w:eastAsia="Times New Roman" w:hAnsi="Times New Roman" w:cs="Times New Roman"/>
          <w:noProof/>
          <w:sz w:val="24"/>
          <w:szCs w:val="24"/>
        </w:rPr>
        <w:t xml:space="preserve">n </w:t>
      </w:r>
      <w:hyperlink r:id="rId51" w:history="1">
        <w:r w:rsidRPr="00D16622">
          <w:rPr>
            <w:rStyle w:val="Hyperlink"/>
            <w:rFonts w:cs="Times New Roman"/>
            <w:noProof/>
            <w:szCs w:val="24"/>
          </w:rPr>
          <w:t>North Macedonia</w:t>
        </w:r>
      </w:hyperlink>
      <w:r w:rsidRPr="00D16622">
        <w:rPr>
          <w:rFonts w:ascii="Times New Roman" w:hAnsi="Times New Roman" w:cs="Times New Roman"/>
          <w:noProof/>
          <w:sz w:val="24"/>
          <w:szCs w:val="24"/>
        </w:rPr>
        <w:t>,</w:t>
      </w:r>
      <w:r w:rsidRPr="00D16622">
        <w:rPr>
          <w:rFonts w:ascii="Times New Roman" w:eastAsia="Times New Roman" w:hAnsi="Times New Roman" w:cs="Times New Roman"/>
          <w:noProof/>
          <w:sz w:val="24"/>
          <w:szCs w:val="24"/>
        </w:rPr>
        <w:t xml:space="preserve"> </w:t>
      </w:r>
      <w:r w:rsidR="006D3103" w:rsidRPr="00D16622">
        <w:rPr>
          <w:rFonts w:ascii="Times New Roman" w:eastAsia="Times New Roman" w:hAnsi="Times New Roman" w:cs="Times New Roman"/>
          <w:noProof/>
          <w:sz w:val="24"/>
          <w:szCs w:val="24"/>
        </w:rPr>
        <w:t>Parliament adopted a new Law on the Judicial Council with a view to align with European standards</w:t>
      </w:r>
      <w:r w:rsidRPr="00D16622">
        <w:rPr>
          <w:rFonts w:ascii="Times New Roman" w:eastAsia="Times New Roman" w:hAnsi="Times New Roman" w:cs="Times New Roman"/>
          <w:noProof/>
          <w:sz w:val="24"/>
          <w:szCs w:val="24"/>
        </w:rPr>
        <w:t xml:space="preserve">. </w:t>
      </w:r>
      <w:r w:rsidR="004A1CB6" w:rsidRPr="00D16622">
        <w:rPr>
          <w:rFonts w:ascii="Times New Roman" w:hAnsi="Times New Roman" w:cs="Times New Roman"/>
          <w:noProof/>
          <w:sz w:val="24"/>
          <w:szCs w:val="24"/>
        </w:rPr>
        <w:t xml:space="preserve">In </w:t>
      </w:r>
      <w:hyperlink r:id="rId52" w:history="1">
        <w:r w:rsidR="004A1CB6" w:rsidRPr="00D16622">
          <w:rPr>
            <w:rStyle w:val="Hyperlink"/>
            <w:rFonts w:cs="Times New Roman"/>
            <w:noProof/>
            <w:szCs w:val="24"/>
          </w:rPr>
          <w:t>Serbia</w:t>
        </w:r>
      </w:hyperlink>
      <w:r w:rsidR="004A1CB6" w:rsidRPr="00D16622">
        <w:rPr>
          <w:rFonts w:ascii="Times New Roman" w:hAnsi="Times New Roman" w:cs="Times New Roman"/>
          <w:noProof/>
          <w:sz w:val="24"/>
          <w:szCs w:val="24"/>
        </w:rPr>
        <w:t xml:space="preserve">, legal amendments </w:t>
      </w:r>
      <w:r w:rsidR="00536996" w:rsidRPr="00D16622">
        <w:rPr>
          <w:rFonts w:ascii="Times New Roman" w:hAnsi="Times New Roman" w:cs="Times New Roman"/>
          <w:noProof/>
          <w:sz w:val="24"/>
          <w:szCs w:val="24"/>
        </w:rPr>
        <w:t xml:space="preserve">removed </w:t>
      </w:r>
      <w:r w:rsidR="009E7E81" w:rsidRPr="00D16622">
        <w:rPr>
          <w:rFonts w:ascii="Times New Roman" w:hAnsi="Times New Roman" w:cs="Times New Roman"/>
          <w:noProof/>
          <w:sz w:val="24"/>
          <w:szCs w:val="24"/>
        </w:rPr>
        <w:t xml:space="preserve">some of the </w:t>
      </w:r>
      <w:r w:rsidR="00536996" w:rsidRPr="00D16622">
        <w:rPr>
          <w:rFonts w:ascii="Times New Roman" w:hAnsi="Times New Roman" w:cs="Times New Roman"/>
          <w:noProof/>
          <w:sz w:val="24"/>
          <w:szCs w:val="24"/>
        </w:rPr>
        <w:t xml:space="preserve">existing safeguards to protect prosecutorial autonomy </w:t>
      </w:r>
      <w:r w:rsidR="007102CC" w:rsidRPr="00D16622">
        <w:rPr>
          <w:rFonts w:ascii="Times New Roman" w:hAnsi="Times New Roman" w:cs="Times New Roman"/>
          <w:noProof/>
          <w:sz w:val="24"/>
          <w:szCs w:val="24"/>
        </w:rPr>
        <w:t xml:space="preserve">and judicial independence, </w:t>
      </w:r>
      <w:r w:rsidR="004A1CB6" w:rsidRPr="00D16622">
        <w:rPr>
          <w:rFonts w:ascii="Times New Roman" w:hAnsi="Times New Roman" w:cs="Times New Roman"/>
          <w:noProof/>
          <w:sz w:val="24"/>
          <w:szCs w:val="24"/>
        </w:rPr>
        <w:t>hamper</w:t>
      </w:r>
      <w:r w:rsidR="007102CC" w:rsidRPr="00D16622">
        <w:rPr>
          <w:rFonts w:ascii="Times New Roman" w:hAnsi="Times New Roman" w:cs="Times New Roman"/>
          <w:noProof/>
          <w:sz w:val="24"/>
          <w:szCs w:val="24"/>
        </w:rPr>
        <w:t>ing</w:t>
      </w:r>
      <w:r w:rsidR="004A1CB6" w:rsidRPr="00D16622">
        <w:rPr>
          <w:rFonts w:ascii="Times New Roman" w:hAnsi="Times New Roman" w:cs="Times New Roman"/>
          <w:noProof/>
          <w:sz w:val="24"/>
          <w:szCs w:val="24"/>
        </w:rPr>
        <w:t xml:space="preserve"> the implementation of the constitutional reform</w:t>
      </w:r>
      <w:r w:rsidR="009512EF" w:rsidRPr="00D16622">
        <w:rPr>
          <w:rFonts w:ascii="Times New Roman" w:hAnsi="Times New Roman" w:cs="Times New Roman"/>
          <w:noProof/>
          <w:sz w:val="24"/>
          <w:szCs w:val="24"/>
        </w:rPr>
        <w:t xml:space="preserve"> </w:t>
      </w:r>
      <w:r w:rsidR="0020111C" w:rsidRPr="00D16622">
        <w:rPr>
          <w:rFonts w:ascii="Times New Roman" w:hAnsi="Times New Roman" w:cs="Times New Roman"/>
          <w:noProof/>
          <w:sz w:val="24"/>
          <w:szCs w:val="24"/>
        </w:rPr>
        <w:t>of 2023</w:t>
      </w:r>
      <w:r w:rsidR="00EE6A2D" w:rsidRPr="00D16622">
        <w:rPr>
          <w:rFonts w:ascii="Times New Roman" w:hAnsi="Times New Roman" w:cs="Times New Roman"/>
          <w:noProof/>
          <w:sz w:val="24"/>
          <w:szCs w:val="24"/>
        </w:rPr>
        <w:t>;</w:t>
      </w:r>
      <w:r w:rsidR="00EE6A2D" w:rsidRPr="00D16622">
        <w:rPr>
          <w:rFonts w:ascii="Times New Roman" w:hAnsi="Times New Roman" w:cs="Times New Roman"/>
          <w:noProof/>
        </w:rPr>
        <w:t xml:space="preserve"> </w:t>
      </w:r>
      <w:r w:rsidR="00EE6A2D" w:rsidRPr="00D16622">
        <w:rPr>
          <w:rFonts w:ascii="Times New Roman" w:hAnsi="Times New Roman" w:cs="Times New Roman"/>
          <w:noProof/>
          <w:sz w:val="24"/>
          <w:szCs w:val="24"/>
        </w:rPr>
        <w:t>subsequently the Venice Commission confirmed that Serbia addressed the considerable part of its recommendations on these amendments</w:t>
      </w:r>
      <w:r w:rsidR="005B7BEB" w:rsidRPr="00D16622">
        <w:rPr>
          <w:rFonts w:ascii="Times New Roman" w:eastAsia="Times New Roman" w:hAnsi="Times New Roman" w:cs="Times New Roman"/>
          <w:noProof/>
          <w:sz w:val="24"/>
          <w:szCs w:val="24"/>
        </w:rPr>
        <w:t>.</w:t>
      </w:r>
    </w:p>
    <w:p w14:paraId="78A8D045" w14:textId="31735458" w:rsidR="001C46F9" w:rsidRPr="00D16622" w:rsidRDefault="001C46F9" w:rsidP="00693731">
      <w:pPr>
        <w:spacing w:after="120" w:line="240" w:lineRule="auto"/>
        <w:jc w:val="both"/>
        <w:rPr>
          <w:rFonts w:ascii="Times New Roman" w:hAnsi="Times New Roman" w:cs="Times New Roman"/>
          <w:noProof/>
        </w:rPr>
      </w:pPr>
      <w:r w:rsidRPr="00D16622">
        <w:rPr>
          <w:rFonts w:ascii="Times New Roman" w:hAnsi="Times New Roman" w:cs="Times New Roman"/>
          <w:noProof/>
          <w:sz w:val="24"/>
          <w:szCs w:val="24"/>
        </w:rPr>
        <w:t xml:space="preserve">At the same time, concerns regarding the Council for the Judiciary remain in </w:t>
      </w:r>
      <w:hyperlink r:id="rId53" w:history="1">
        <w:r w:rsidRPr="00D16622">
          <w:rPr>
            <w:rStyle w:val="Hyperlink"/>
            <w:rFonts w:cs="Times New Roman"/>
            <w:noProof/>
            <w:szCs w:val="24"/>
          </w:rPr>
          <w:t>Bulgaria</w:t>
        </w:r>
      </w:hyperlink>
      <w:r w:rsidRPr="00D16622">
        <w:rPr>
          <w:rFonts w:ascii="Times New Roman" w:hAnsi="Times New Roman" w:cs="Times New Roman"/>
          <w:noProof/>
          <w:sz w:val="24"/>
          <w:szCs w:val="24"/>
        </w:rPr>
        <w:t xml:space="preserve">, as no steps have been taken to address the long-standing issues with the composition and functioning of the Council. In </w:t>
      </w:r>
      <w:hyperlink r:id="rId54" w:history="1">
        <w:r w:rsidRPr="00D16622">
          <w:rPr>
            <w:rStyle w:val="Hyperlink"/>
            <w:rFonts w:cs="Times New Roman"/>
            <w:noProof/>
            <w:szCs w:val="24"/>
          </w:rPr>
          <w:t>Estonia</w:t>
        </w:r>
      </w:hyperlink>
      <w:r w:rsidRPr="00D16622">
        <w:rPr>
          <w:rFonts w:ascii="Times New Roman" w:hAnsi="Times New Roman" w:cs="Times New Roman"/>
          <w:noProof/>
          <w:sz w:val="24"/>
          <w:szCs w:val="24"/>
        </w:rPr>
        <w:t>, the</w:t>
      </w:r>
      <w:r w:rsidR="00DF41A9" w:rsidRPr="00D16622">
        <w:rPr>
          <w:rFonts w:ascii="Times New Roman" w:hAnsi="Times New Roman" w:cs="Times New Roman"/>
          <w:noProof/>
          <w:sz w:val="24"/>
          <w:szCs w:val="24"/>
        </w:rPr>
        <w:t xml:space="preserve"> Parliament adopted the</w:t>
      </w:r>
      <w:r w:rsidRPr="00D16622">
        <w:rPr>
          <w:rFonts w:ascii="Times New Roman" w:hAnsi="Times New Roman" w:cs="Times New Roman"/>
          <w:noProof/>
          <w:sz w:val="24"/>
          <w:szCs w:val="24"/>
        </w:rPr>
        <w:t xml:space="preserve"> reform of the Council, which </w:t>
      </w:r>
      <w:r w:rsidRPr="00D16622" w:rsidDel="00120FE0">
        <w:rPr>
          <w:rFonts w:ascii="Times New Roman" w:hAnsi="Times New Roman" w:cs="Times New Roman"/>
          <w:noProof/>
          <w:sz w:val="24"/>
          <w:szCs w:val="24"/>
        </w:rPr>
        <w:t>does not take account of</w:t>
      </w:r>
      <w:r w:rsidRPr="00D16622">
        <w:rPr>
          <w:rFonts w:ascii="Times New Roman" w:hAnsi="Times New Roman" w:cs="Times New Roman"/>
          <w:noProof/>
          <w:sz w:val="24"/>
          <w:szCs w:val="24"/>
        </w:rPr>
        <w:t xml:space="preserve"> European Standards. </w:t>
      </w:r>
      <w:r w:rsidR="00C95142" w:rsidRPr="00D16622">
        <w:rPr>
          <w:rFonts w:ascii="Times New Roman" w:hAnsi="Times New Roman" w:cs="Times New Roman"/>
          <w:noProof/>
          <w:sz w:val="24"/>
          <w:szCs w:val="24"/>
        </w:rPr>
        <w:t xml:space="preserve">In </w:t>
      </w:r>
      <w:hyperlink r:id="rId55" w:history="1">
        <w:r w:rsidR="00917ACA" w:rsidRPr="00D16622">
          <w:rPr>
            <w:rStyle w:val="Hyperlink"/>
            <w:rFonts w:cs="Times New Roman"/>
            <w:noProof/>
            <w:szCs w:val="24"/>
          </w:rPr>
          <w:t>Slovakia</w:t>
        </w:r>
      </w:hyperlink>
      <w:r w:rsidR="00A6641A" w:rsidRPr="00D16622">
        <w:rPr>
          <w:rFonts w:ascii="Times New Roman" w:hAnsi="Times New Roman" w:cs="Times New Roman"/>
          <w:noProof/>
          <w:sz w:val="24"/>
          <w:szCs w:val="24"/>
        </w:rPr>
        <w:t>, a</w:t>
      </w:r>
      <w:r w:rsidR="00C95142" w:rsidRPr="00D16622">
        <w:rPr>
          <w:rFonts w:ascii="Times New Roman" w:hAnsi="Times New Roman" w:cs="Times New Roman"/>
          <w:noProof/>
          <w:sz w:val="24"/>
          <w:szCs w:val="24"/>
        </w:rPr>
        <w:t xml:space="preserve"> draft amendment of the Constitution and the Judicial Council Act limiting the reasons for the dismissal of members of the Judicial Council is in the legislative process.</w:t>
      </w:r>
    </w:p>
    <w:p w14:paraId="7F4AD223" w14:textId="630FFFF7" w:rsidR="001C46F9" w:rsidRPr="00D16622" w:rsidRDefault="001C46F9" w:rsidP="001C46F9">
      <w:pPr>
        <w:spacing w:after="120" w:line="240" w:lineRule="auto"/>
        <w:jc w:val="both"/>
        <w:rPr>
          <w:rFonts w:ascii="Times New Roman" w:hAnsi="Times New Roman" w:cs="Times New Roman"/>
          <w:noProof/>
          <w:sz w:val="24"/>
          <w:szCs w:val="24"/>
          <w:lang w:val="bg-BG"/>
        </w:rPr>
      </w:pPr>
      <w:r w:rsidRPr="00D16622">
        <w:rPr>
          <w:rFonts w:ascii="Times New Roman" w:hAnsi="Times New Roman" w:cs="Times New Roman"/>
          <w:noProof/>
          <w:sz w:val="24"/>
          <w:szCs w:val="24"/>
        </w:rPr>
        <w:t>Procedures for appointing and dismissing judges are key for judicial independence and for public perceptions. The CJEU has set out that judicial independence requires that the conditions and rules governing judicial appointments must be sufficient to prevent reasonable doubts about whether judges are impervious to external factors</w:t>
      </w:r>
      <w:r w:rsidRPr="00471212">
        <w:rPr>
          <w:rStyle w:val="FootnoteReference"/>
          <w:noProof/>
        </w:rPr>
        <w:footnoteReference w:id="51"/>
      </w:r>
      <w:r w:rsidRPr="00D16622">
        <w:rPr>
          <w:rFonts w:ascii="Times New Roman" w:hAnsi="Times New Roman" w:cs="Times New Roman"/>
          <w:noProof/>
          <w:sz w:val="24"/>
          <w:szCs w:val="24"/>
        </w:rPr>
        <w:t xml:space="preserve">. In several Member States, efforts to improve judicial appointment procedures are ongoing, including as a follow up to the 2025 recommendations. </w:t>
      </w:r>
      <w:r w:rsidRPr="00D16622">
        <w:rPr>
          <w:rFonts w:ascii="Times New Roman" w:hAnsi="Times New Roman" w:cs="Times New Roman"/>
          <w:noProof/>
          <w:sz w:val="24"/>
          <w:szCs w:val="24"/>
          <w:lang w:val="en-IE"/>
        </w:rPr>
        <w:t xml:space="preserve">In </w:t>
      </w:r>
      <w:hyperlink r:id="rId56" w:history="1">
        <w:r w:rsidRPr="00D16622">
          <w:rPr>
            <w:rStyle w:val="Hyperlink"/>
            <w:rFonts w:cs="Times New Roman"/>
            <w:noProof/>
            <w:szCs w:val="24"/>
            <w:lang w:val="en-IE"/>
          </w:rPr>
          <w:t>Greece</w:t>
        </w:r>
      </w:hyperlink>
      <w:r w:rsidRPr="00D16622">
        <w:rPr>
          <w:rFonts w:ascii="Times New Roman" w:hAnsi="Times New Roman" w:cs="Times New Roman"/>
          <w:noProof/>
          <w:sz w:val="24"/>
          <w:szCs w:val="24"/>
          <w:lang w:val="en-IE"/>
        </w:rPr>
        <w:t xml:space="preserve">, appointments to the highest positions in the court system were made with the involvement of the judiciary. </w:t>
      </w:r>
      <w:r w:rsidRPr="00D16622">
        <w:rPr>
          <w:rFonts w:ascii="Times New Roman" w:hAnsi="Times New Roman" w:cs="Times New Roman"/>
          <w:noProof/>
          <w:sz w:val="24"/>
          <w:szCs w:val="24"/>
        </w:rPr>
        <w:t xml:space="preserve">In </w:t>
      </w:r>
      <w:hyperlink r:id="rId57" w:history="1">
        <w:r w:rsidRPr="00D16622">
          <w:rPr>
            <w:rStyle w:val="Hyperlink"/>
            <w:rFonts w:cs="Times New Roman"/>
            <w:noProof/>
            <w:szCs w:val="24"/>
          </w:rPr>
          <w:t>Slovenia</w:t>
        </w:r>
      </w:hyperlink>
      <w:r w:rsidRPr="00D16622">
        <w:rPr>
          <w:rFonts w:ascii="Times New Roman" w:hAnsi="Times New Roman" w:cs="Times New Roman"/>
          <w:noProof/>
          <w:sz w:val="24"/>
          <w:szCs w:val="24"/>
        </w:rPr>
        <w:t xml:space="preserve">, the new Judges Act transferred the power to appoint Supreme Court judges from Parliament to the Judicial Council. </w:t>
      </w:r>
      <w:r w:rsidRPr="00D16622">
        <w:rPr>
          <w:rFonts w:ascii="Times New Roman" w:eastAsia="Times New Roman" w:hAnsi="Times New Roman" w:cs="Times New Roman"/>
          <w:noProof/>
          <w:sz w:val="24"/>
          <w:szCs w:val="24"/>
          <w:lang w:val="en-IE"/>
        </w:rPr>
        <w:t>In</w:t>
      </w:r>
      <w:r w:rsidRPr="00D16622">
        <w:rPr>
          <w:rFonts w:ascii="Times New Roman" w:eastAsia="Times New Roman" w:hAnsi="Times New Roman" w:cs="Times New Roman"/>
          <w:b/>
          <w:bCs/>
          <w:noProof/>
          <w:sz w:val="24"/>
          <w:szCs w:val="24"/>
          <w:lang w:val="en-IE"/>
        </w:rPr>
        <w:t xml:space="preserve"> </w:t>
      </w:r>
      <w:bookmarkStart w:id="5" w:name="_Hlk233125489"/>
      <w:r w:rsidR="00625426" w:rsidRPr="00D16622">
        <w:rPr>
          <w:rFonts w:ascii="Times New Roman" w:eastAsia="Times New Roman" w:hAnsi="Times New Roman" w:cs="Times New Roman"/>
          <w:noProof/>
          <w:sz w:val="24"/>
          <w:szCs w:val="24"/>
          <w:lang w:val="en-IE"/>
        </w:rPr>
        <w:fldChar w:fldCharType="begin"/>
      </w:r>
      <w:r w:rsidR="00625426" w:rsidRPr="00D16622">
        <w:rPr>
          <w:rFonts w:ascii="Times New Roman" w:eastAsia="Times New Roman" w:hAnsi="Times New Roman" w:cs="Times New Roman"/>
          <w:noProof/>
          <w:sz w:val="24"/>
          <w:szCs w:val="24"/>
          <w:lang w:val="en-IE"/>
        </w:rPr>
        <w:instrText>HYPERLINK "https://commission.europa.eu/document/cb87d151-e0ef-4111-b772-84bc679c55c9_en"</w:instrText>
      </w:r>
      <w:r w:rsidR="00625426" w:rsidRPr="00D16622">
        <w:rPr>
          <w:rFonts w:ascii="Times New Roman" w:eastAsia="Times New Roman" w:hAnsi="Times New Roman" w:cs="Times New Roman"/>
          <w:noProof/>
          <w:sz w:val="24"/>
          <w:szCs w:val="24"/>
          <w:lang w:val="en-IE"/>
        </w:rPr>
        <w:fldChar w:fldCharType="separate"/>
      </w:r>
      <w:r w:rsidRPr="00D16622">
        <w:rPr>
          <w:rStyle w:val="Hyperlink"/>
          <w:rFonts w:eastAsia="Times New Roman" w:cs="Times New Roman"/>
          <w:noProof/>
          <w:szCs w:val="24"/>
          <w:lang w:val="en-IE"/>
        </w:rPr>
        <w:t>Latvia</w:t>
      </w:r>
      <w:r w:rsidR="00625426" w:rsidRPr="00D16622">
        <w:rPr>
          <w:rFonts w:ascii="Times New Roman" w:eastAsia="Times New Roman" w:hAnsi="Times New Roman" w:cs="Times New Roman"/>
          <w:noProof/>
          <w:sz w:val="24"/>
          <w:szCs w:val="24"/>
          <w:lang w:val="en-IE"/>
        </w:rPr>
        <w:fldChar w:fldCharType="end"/>
      </w:r>
      <w:bookmarkEnd w:id="5"/>
      <w:r w:rsidRPr="00D16622">
        <w:rPr>
          <w:rFonts w:ascii="Times New Roman" w:eastAsia="Times New Roman" w:hAnsi="Times New Roman" w:cs="Times New Roman"/>
          <w:noProof/>
          <w:sz w:val="24"/>
          <w:szCs w:val="24"/>
          <w:lang w:val="en-IE"/>
        </w:rPr>
        <w:t xml:space="preserve">, steps are being </w:t>
      </w:r>
      <w:r w:rsidRPr="00D16622" w:rsidDel="001C46F9">
        <w:rPr>
          <w:rFonts w:ascii="Times New Roman" w:eastAsia="Times New Roman" w:hAnsi="Times New Roman" w:cs="Times New Roman"/>
          <w:noProof/>
          <w:sz w:val="24"/>
          <w:szCs w:val="24"/>
          <w:lang w:val="en-IE"/>
        </w:rPr>
        <w:t>taken</w:t>
      </w:r>
      <w:r w:rsidRPr="00D16622">
        <w:rPr>
          <w:rFonts w:ascii="Times New Roman" w:eastAsia="Times New Roman" w:hAnsi="Times New Roman" w:cs="Times New Roman"/>
          <w:noProof/>
          <w:sz w:val="24"/>
          <w:szCs w:val="24"/>
          <w:lang w:val="en-IE"/>
        </w:rPr>
        <w:t xml:space="preserve"> to</w:t>
      </w:r>
      <w:r w:rsidRPr="00D16622" w:rsidDel="001C46F9">
        <w:rPr>
          <w:rFonts w:ascii="Times New Roman" w:eastAsia="Times New Roman" w:hAnsi="Times New Roman" w:cs="Times New Roman"/>
          <w:noProof/>
          <w:sz w:val="24"/>
          <w:szCs w:val="24"/>
          <w:lang w:val="en-IE"/>
        </w:rPr>
        <w:t xml:space="preserve"> </w:t>
      </w:r>
      <w:r w:rsidRPr="00D16622">
        <w:rPr>
          <w:rFonts w:ascii="Times New Roman" w:eastAsia="Times New Roman" w:hAnsi="Times New Roman" w:cs="Times New Roman"/>
          <w:noProof/>
          <w:sz w:val="24"/>
          <w:szCs w:val="24"/>
          <w:lang w:val="en-IE"/>
        </w:rPr>
        <w:t>introduce safeguards to protect the appointment procedure for judges of the Supreme Court from undue influence</w:t>
      </w:r>
      <w:r w:rsidR="0078345B" w:rsidRPr="00D16622">
        <w:rPr>
          <w:rFonts w:ascii="Times New Roman" w:eastAsia="Times New Roman" w:hAnsi="Times New Roman" w:cs="Times New Roman"/>
          <w:noProof/>
          <w:sz w:val="24"/>
          <w:szCs w:val="24"/>
          <w:lang w:val="en-IE"/>
        </w:rPr>
        <w:t xml:space="preserve">. </w:t>
      </w:r>
      <w:r w:rsidR="0025113F" w:rsidRPr="00D16622">
        <w:rPr>
          <w:rFonts w:ascii="Times New Roman" w:hAnsi="Times New Roman" w:cs="Times New Roman"/>
          <w:noProof/>
          <w:sz w:val="24"/>
          <w:szCs w:val="24"/>
        </w:rPr>
        <w:t xml:space="preserve">While there were no plans to change the nomination system for lay judges in </w:t>
      </w:r>
      <w:hyperlink r:id="rId58" w:history="1">
        <w:r w:rsidR="008A099D" w:rsidRPr="00D16622">
          <w:rPr>
            <w:rStyle w:val="Hyperlink"/>
            <w:rFonts w:cs="Times New Roman"/>
            <w:noProof/>
            <w:szCs w:val="24"/>
            <w:lang w:eastAsia="en-IE"/>
          </w:rPr>
          <w:t>Sweden</w:t>
        </w:r>
      </w:hyperlink>
      <w:r w:rsidR="0025113F" w:rsidRPr="00D16622">
        <w:rPr>
          <w:rFonts w:ascii="Times New Roman" w:hAnsi="Times New Roman" w:cs="Times New Roman"/>
          <w:noProof/>
          <w:sz w:val="24"/>
          <w:szCs w:val="24"/>
        </w:rPr>
        <w:t>, measures are being examined</w:t>
      </w:r>
      <w:r w:rsidR="00AA2BCE" w:rsidRPr="00D16622">
        <w:rPr>
          <w:rFonts w:ascii="Times New Roman" w:hAnsi="Times New Roman" w:cs="Times New Roman"/>
          <w:noProof/>
          <w:sz w:val="24"/>
          <w:szCs w:val="24"/>
        </w:rPr>
        <w:t xml:space="preserve"> by the Lay Judges Association</w:t>
      </w:r>
      <w:r w:rsidR="0025113F" w:rsidRPr="00D16622">
        <w:rPr>
          <w:rFonts w:ascii="Times New Roman" w:hAnsi="Times New Roman" w:cs="Times New Roman"/>
          <w:noProof/>
          <w:sz w:val="24"/>
          <w:szCs w:val="24"/>
        </w:rPr>
        <w:t xml:space="preserve"> to strengthen their functioning in the courts.</w:t>
      </w:r>
    </w:p>
    <w:p w14:paraId="1AC7A4B4" w14:textId="77DB812A" w:rsidR="004C05FE" w:rsidRPr="00D16622" w:rsidRDefault="001C46F9" w:rsidP="004C05FE">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In other Member States, reforms to judicial appointment procedures are progressing slowly</w:t>
      </w:r>
      <w:r w:rsidR="003A22B3" w:rsidRPr="00D16622">
        <w:rPr>
          <w:rFonts w:ascii="Times New Roman" w:hAnsi="Times New Roman" w:cs="Times New Roman"/>
          <w:noProof/>
          <w:sz w:val="24"/>
          <w:szCs w:val="24"/>
        </w:rPr>
        <w:t xml:space="preserve">, while </w:t>
      </w:r>
      <w:r w:rsidRPr="00D16622">
        <w:rPr>
          <w:rFonts w:ascii="Times New Roman" w:hAnsi="Times New Roman" w:cs="Times New Roman"/>
          <w:noProof/>
          <w:sz w:val="24"/>
          <w:szCs w:val="24"/>
        </w:rPr>
        <w:t xml:space="preserve">concerns remain on taking European standards </w:t>
      </w:r>
      <w:r w:rsidR="003A0535" w:rsidRPr="00D16622">
        <w:rPr>
          <w:rFonts w:ascii="Times New Roman" w:hAnsi="Times New Roman" w:cs="Times New Roman"/>
          <w:noProof/>
          <w:sz w:val="24"/>
          <w:szCs w:val="24"/>
        </w:rPr>
        <w:t xml:space="preserve">into account </w:t>
      </w:r>
      <w:r w:rsidRPr="00D16622">
        <w:rPr>
          <w:rFonts w:ascii="Times New Roman" w:hAnsi="Times New Roman" w:cs="Times New Roman"/>
          <w:noProof/>
          <w:sz w:val="24"/>
          <w:szCs w:val="24"/>
        </w:rPr>
        <w:t xml:space="preserve">on judicial appointments. In </w:t>
      </w:r>
      <w:hyperlink r:id="rId59" w:history="1">
        <w:r w:rsidRPr="00D16622">
          <w:rPr>
            <w:rStyle w:val="Hyperlink"/>
            <w:rFonts w:cs="Times New Roman"/>
            <w:noProof/>
            <w:szCs w:val="24"/>
          </w:rPr>
          <w:t>Malta</w:t>
        </w:r>
      </w:hyperlink>
      <w:r w:rsidRPr="00D16622">
        <w:rPr>
          <w:rFonts w:ascii="Times New Roman" w:hAnsi="Times New Roman" w:cs="Times New Roman"/>
          <w:noProof/>
          <w:sz w:val="24"/>
          <w:szCs w:val="24"/>
        </w:rPr>
        <w:t xml:space="preserve">, </w:t>
      </w:r>
      <w:r w:rsidR="00824681" w:rsidRPr="00D16622">
        <w:rPr>
          <w:rFonts w:ascii="Times New Roman" w:hAnsi="Times New Roman" w:cs="Times New Roman"/>
          <w:noProof/>
          <w:sz w:val="24"/>
          <w:szCs w:val="24"/>
        </w:rPr>
        <w:t xml:space="preserve">while political debate continued on the appointment of the Chief Justice, </w:t>
      </w:r>
      <w:r w:rsidR="00354993" w:rsidRPr="00D16622">
        <w:rPr>
          <w:rFonts w:ascii="Times New Roman" w:hAnsi="Times New Roman" w:cs="Times New Roman"/>
          <w:noProof/>
          <w:sz w:val="24"/>
          <w:szCs w:val="24"/>
        </w:rPr>
        <w:t xml:space="preserve">reforms </w:t>
      </w:r>
      <w:r w:rsidRPr="00D16622">
        <w:rPr>
          <w:rFonts w:ascii="Times New Roman" w:hAnsi="Times New Roman" w:cs="Times New Roman"/>
          <w:noProof/>
          <w:sz w:val="24"/>
          <w:szCs w:val="24"/>
        </w:rPr>
        <w:t xml:space="preserve">to involve the judiciary in the </w:t>
      </w:r>
      <w:r w:rsidR="00715B0E" w:rsidRPr="00D16622">
        <w:rPr>
          <w:rFonts w:ascii="Times New Roman" w:hAnsi="Times New Roman" w:cs="Times New Roman"/>
          <w:noProof/>
          <w:sz w:val="24"/>
          <w:szCs w:val="24"/>
        </w:rPr>
        <w:t>process</w:t>
      </w:r>
      <w:r w:rsidR="00B26BC6" w:rsidRPr="00D16622">
        <w:rPr>
          <w:rFonts w:ascii="Times New Roman" w:hAnsi="Times New Roman" w:cs="Times New Roman"/>
          <w:noProof/>
          <w:sz w:val="24"/>
          <w:szCs w:val="24"/>
        </w:rPr>
        <w:t xml:space="preserve"> are still pending</w:t>
      </w:r>
      <w:r w:rsidRPr="00D16622">
        <w:rPr>
          <w:rFonts w:ascii="Times New Roman" w:hAnsi="Times New Roman" w:cs="Times New Roman"/>
          <w:noProof/>
          <w:sz w:val="24"/>
          <w:szCs w:val="24"/>
        </w:rPr>
        <w:t xml:space="preserve">. In </w:t>
      </w:r>
      <w:hyperlink r:id="rId60" w:history="1">
        <w:r w:rsidR="00874BD7" w:rsidRPr="00D16622">
          <w:rPr>
            <w:rStyle w:val="Hyperlink"/>
            <w:rFonts w:cs="Times New Roman"/>
            <w:noProof/>
            <w:szCs w:val="24"/>
            <w:lang w:eastAsia="en-IE"/>
          </w:rPr>
          <w:t>Finland</w:t>
        </w:r>
      </w:hyperlink>
      <w:r w:rsidRPr="00D16622">
        <w:rPr>
          <w:rFonts w:ascii="Times New Roman" w:hAnsi="Times New Roman" w:cs="Times New Roman"/>
          <w:noProof/>
          <w:sz w:val="24"/>
          <w:szCs w:val="24"/>
        </w:rPr>
        <w:t xml:space="preserve">, limited steps were taken on the issue of the appointment of lay judges. </w:t>
      </w:r>
      <w:r w:rsidR="00E35F74" w:rsidRPr="00D16622">
        <w:rPr>
          <w:rFonts w:ascii="Times New Roman" w:hAnsi="Times New Roman" w:cs="Times New Roman"/>
          <w:noProof/>
          <w:sz w:val="24"/>
          <w:szCs w:val="24"/>
          <w:lang w:val="en-IE"/>
        </w:rPr>
        <w:t xml:space="preserve">In </w:t>
      </w:r>
      <w:hyperlink r:id="rId61" w:history="1">
        <w:r w:rsidR="00E35F74" w:rsidRPr="00D16622">
          <w:rPr>
            <w:rStyle w:val="Hyperlink"/>
            <w:rFonts w:cs="Times New Roman"/>
            <w:noProof/>
            <w:szCs w:val="24"/>
            <w:lang w:val="en-IE"/>
          </w:rPr>
          <w:t>Bulgaria</w:t>
        </w:r>
      </w:hyperlink>
      <w:r w:rsidR="00E35F74" w:rsidRPr="00D16622">
        <w:rPr>
          <w:rFonts w:ascii="Times New Roman" w:hAnsi="Times New Roman" w:cs="Times New Roman"/>
          <w:b/>
          <w:bCs/>
          <w:noProof/>
          <w:sz w:val="24"/>
          <w:szCs w:val="24"/>
          <w:lang w:val="en-IE"/>
        </w:rPr>
        <w:t xml:space="preserve">, </w:t>
      </w:r>
      <w:r w:rsidR="00E35F74" w:rsidRPr="00D16622">
        <w:rPr>
          <w:rFonts w:ascii="Times New Roman" w:hAnsi="Times New Roman" w:cs="Times New Roman"/>
          <w:noProof/>
          <w:sz w:val="24"/>
          <w:szCs w:val="24"/>
        </w:rPr>
        <w:t>the widespread use of secondments continues to raise concerns as it may have a negative effect on seconded magistrates faced with the risk of termination of their secondment.</w:t>
      </w:r>
      <w:r w:rsidR="00E0729B" w:rsidRPr="00D16622">
        <w:rPr>
          <w:rFonts w:ascii="Times New Roman" w:hAnsi="Times New Roman" w:cs="Times New Roman"/>
          <w:noProof/>
          <w:sz w:val="24"/>
          <w:szCs w:val="24"/>
        </w:rPr>
        <w:t xml:space="preserve"> </w:t>
      </w:r>
      <w:r w:rsidR="554852FC" w:rsidRPr="00D16622">
        <w:rPr>
          <w:rFonts w:ascii="Times New Roman" w:hAnsi="Times New Roman" w:cs="Times New Roman"/>
          <w:noProof/>
          <w:sz w:val="24"/>
          <w:szCs w:val="24"/>
        </w:rPr>
        <w:t>I</w:t>
      </w:r>
      <w:r w:rsidR="0014556F" w:rsidRPr="00D16622">
        <w:rPr>
          <w:rFonts w:ascii="Times New Roman" w:hAnsi="Times New Roman" w:cs="Times New Roman"/>
          <w:noProof/>
          <w:sz w:val="24"/>
          <w:szCs w:val="24"/>
        </w:rPr>
        <w:t xml:space="preserve">n </w:t>
      </w:r>
      <w:hyperlink r:id="rId62" w:history="1">
        <w:r w:rsidR="0014556F" w:rsidRPr="00D16622">
          <w:rPr>
            <w:rStyle w:val="Hyperlink"/>
            <w:rFonts w:cs="Times New Roman"/>
            <w:noProof/>
            <w:szCs w:val="24"/>
          </w:rPr>
          <w:t>Albania</w:t>
        </w:r>
      </w:hyperlink>
      <w:r w:rsidR="0014556F" w:rsidRPr="00D16622">
        <w:rPr>
          <w:rFonts w:ascii="Times New Roman" w:hAnsi="Times New Roman" w:cs="Times New Roman"/>
          <w:noProof/>
          <w:sz w:val="24"/>
          <w:szCs w:val="24"/>
        </w:rPr>
        <w:t xml:space="preserve">, </w:t>
      </w:r>
      <w:r w:rsidR="00556675" w:rsidRPr="00D16622">
        <w:rPr>
          <w:rFonts w:ascii="Times New Roman" w:hAnsi="Times New Roman" w:cs="Times New Roman"/>
          <w:noProof/>
          <w:sz w:val="24"/>
          <w:szCs w:val="24"/>
        </w:rPr>
        <w:t>the vetting process of all judges and prosecutors was fully completed following the finalisation of the appeal phase, further strengthening judicial independence, accountability and integrity across the justice sector.</w:t>
      </w:r>
      <w:r w:rsidR="004C05FE" w:rsidRPr="00D16622">
        <w:rPr>
          <w:rFonts w:ascii="Times New Roman" w:hAnsi="Times New Roman" w:cs="Times New Roman"/>
          <w:noProof/>
          <w:sz w:val="24"/>
          <w:szCs w:val="24"/>
        </w:rPr>
        <w:t xml:space="preserve"> </w:t>
      </w:r>
    </w:p>
    <w:p w14:paraId="70ECF27E" w14:textId="3EDF362A" w:rsidR="00393574" w:rsidRPr="00D16622" w:rsidRDefault="00A97C1E" w:rsidP="00E85CBC">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According to European standards, while criticising judicial decisions is a normal aspect of democratic discourse, the executive and legislative powers should avoid criticism that undermines the independence of or public confidence in the judiciary</w:t>
      </w:r>
      <w:r w:rsidR="00594616" w:rsidRPr="00D16622">
        <w:rPr>
          <w:rStyle w:val="FootnoteReference"/>
          <w:rFonts w:cs="Times New Roman"/>
          <w:noProof/>
        </w:rPr>
        <w:footnoteReference w:id="52"/>
      </w:r>
      <w:r w:rsidRPr="00D16622">
        <w:rPr>
          <w:rFonts w:ascii="Times New Roman" w:hAnsi="Times New Roman" w:cs="Times New Roman"/>
          <w:noProof/>
          <w:sz w:val="24"/>
          <w:szCs w:val="24"/>
        </w:rPr>
        <w:t xml:space="preserve">. </w:t>
      </w:r>
      <w:r w:rsidR="00A21B4A" w:rsidRPr="00D16622">
        <w:rPr>
          <w:rFonts w:ascii="Times New Roman" w:hAnsi="Times New Roman" w:cs="Times New Roman"/>
          <w:noProof/>
          <w:sz w:val="24"/>
          <w:szCs w:val="24"/>
        </w:rPr>
        <w:t>Challenges in this respect have been raised in both Member States and enlargement countries</w:t>
      </w:r>
      <w:r w:rsidR="00BA4F33" w:rsidRPr="00D16622">
        <w:rPr>
          <w:rFonts w:ascii="Times New Roman" w:hAnsi="Times New Roman" w:cs="Times New Roman"/>
          <w:noProof/>
          <w:sz w:val="24"/>
          <w:szCs w:val="24"/>
        </w:rPr>
        <w:t>.</w:t>
      </w:r>
      <w:r w:rsidRPr="00D16622">
        <w:rPr>
          <w:rFonts w:ascii="Times New Roman" w:hAnsi="Times New Roman" w:cs="Times New Roman"/>
          <w:noProof/>
        </w:rPr>
        <w:t xml:space="preserve"> </w:t>
      </w:r>
      <w:r w:rsidR="3E45B5D7" w:rsidRPr="00D16622">
        <w:rPr>
          <w:rFonts w:ascii="Times New Roman" w:hAnsi="Times New Roman" w:cs="Times New Roman"/>
          <w:noProof/>
          <w:sz w:val="24"/>
          <w:szCs w:val="24"/>
        </w:rPr>
        <w:t>I</w:t>
      </w:r>
      <w:r w:rsidR="00B33BBB" w:rsidRPr="00D16622">
        <w:rPr>
          <w:rFonts w:ascii="Times New Roman" w:hAnsi="Times New Roman" w:cs="Times New Roman"/>
          <w:noProof/>
          <w:sz w:val="24"/>
          <w:szCs w:val="24"/>
        </w:rPr>
        <w:t xml:space="preserve">n </w:t>
      </w:r>
      <w:hyperlink r:id="rId63" w:history="1">
        <w:r w:rsidR="00757A27" w:rsidRPr="00D16622">
          <w:rPr>
            <w:rStyle w:val="Hyperlink"/>
            <w:rFonts w:cs="Times New Roman"/>
            <w:noProof/>
            <w:szCs w:val="24"/>
          </w:rPr>
          <w:t>Albania</w:t>
        </w:r>
      </w:hyperlink>
      <w:r w:rsidR="00DA1708" w:rsidRPr="00D16622">
        <w:rPr>
          <w:rFonts w:ascii="Times New Roman" w:hAnsi="Times New Roman" w:cs="Times New Roman"/>
          <w:noProof/>
          <w:sz w:val="24"/>
          <w:szCs w:val="24"/>
        </w:rPr>
        <w:t>,</w:t>
      </w:r>
      <w:r w:rsidR="00B33BBB" w:rsidRPr="00D16622">
        <w:rPr>
          <w:rFonts w:ascii="Times New Roman" w:hAnsi="Times New Roman" w:cs="Times New Roman"/>
          <w:noProof/>
          <w:sz w:val="24"/>
          <w:szCs w:val="24"/>
        </w:rPr>
        <w:t xml:space="preserve"> </w:t>
      </w:r>
      <w:r w:rsidR="00AD73F3" w:rsidRPr="00D16622">
        <w:rPr>
          <w:rFonts w:ascii="Times New Roman" w:hAnsi="Times New Roman" w:cs="Times New Roman"/>
          <w:noProof/>
          <w:sz w:val="24"/>
          <w:szCs w:val="24"/>
        </w:rPr>
        <w:t>the judiciary remains resilient</w:t>
      </w:r>
      <w:r w:rsidR="00B33BBB" w:rsidRPr="00D16622">
        <w:rPr>
          <w:rFonts w:ascii="Times New Roman" w:hAnsi="Times New Roman" w:cs="Times New Roman"/>
          <w:noProof/>
          <w:sz w:val="24"/>
          <w:szCs w:val="24"/>
        </w:rPr>
        <w:t xml:space="preserve"> but</w:t>
      </w:r>
      <w:r w:rsidR="00AD73F3" w:rsidRPr="00D16622">
        <w:rPr>
          <w:rFonts w:ascii="Times New Roman" w:hAnsi="Times New Roman" w:cs="Times New Roman"/>
          <w:noProof/>
          <w:sz w:val="24"/>
          <w:szCs w:val="24"/>
        </w:rPr>
        <w:t xml:space="preserve"> attempts of undue influence on justice institutions and personal attacks on magistrates continued</w:t>
      </w:r>
      <w:r w:rsidR="00DF2E82" w:rsidRPr="00D16622">
        <w:rPr>
          <w:rFonts w:ascii="Times New Roman" w:hAnsi="Times New Roman" w:cs="Times New Roman"/>
          <w:noProof/>
          <w:sz w:val="24"/>
          <w:szCs w:val="24"/>
        </w:rPr>
        <w:t>.</w:t>
      </w:r>
      <w:r w:rsidR="002C7444" w:rsidRPr="00D16622">
        <w:rPr>
          <w:rFonts w:ascii="Times New Roman" w:eastAsia="Times New Roman" w:hAnsi="Times New Roman" w:cs="Times New Roman"/>
          <w:noProof/>
          <w:sz w:val="24"/>
          <w:szCs w:val="24"/>
        </w:rPr>
        <w:t xml:space="preserve"> </w:t>
      </w:r>
      <w:r w:rsidR="001F2A4F" w:rsidRPr="00D16622">
        <w:rPr>
          <w:rFonts w:ascii="Times New Roman" w:eastAsia="Times New Roman" w:hAnsi="Times New Roman" w:cs="Times New Roman"/>
          <w:noProof/>
          <w:sz w:val="24"/>
          <w:szCs w:val="24"/>
        </w:rPr>
        <w:t>I</w:t>
      </w:r>
      <w:r w:rsidR="001F2A4F" w:rsidRPr="00D16622">
        <w:rPr>
          <w:rFonts w:ascii="Times New Roman" w:hAnsi="Times New Roman" w:cs="Times New Roman"/>
          <w:noProof/>
          <w:sz w:val="24"/>
          <w:szCs w:val="24"/>
        </w:rPr>
        <w:t>n</w:t>
      </w:r>
      <w:r w:rsidR="001F2A4F" w:rsidRPr="00D16622">
        <w:rPr>
          <w:rFonts w:ascii="Times New Roman" w:hAnsi="Times New Roman" w:cs="Times New Roman"/>
          <w:b/>
          <w:bCs/>
          <w:noProof/>
          <w:sz w:val="24"/>
          <w:szCs w:val="24"/>
        </w:rPr>
        <w:t xml:space="preserve"> </w:t>
      </w:r>
      <w:hyperlink r:id="rId64" w:history="1">
        <w:r w:rsidR="001F2A4F" w:rsidRPr="00D16622">
          <w:rPr>
            <w:rStyle w:val="Hyperlink"/>
            <w:rFonts w:cs="Times New Roman"/>
            <w:noProof/>
            <w:szCs w:val="24"/>
          </w:rPr>
          <w:t>Montenegro</w:t>
        </w:r>
      </w:hyperlink>
      <w:r w:rsidR="001F2A4F" w:rsidRPr="00D16622">
        <w:rPr>
          <w:rFonts w:ascii="Times New Roman" w:hAnsi="Times New Roman" w:cs="Times New Roman"/>
          <w:noProof/>
          <w:sz w:val="24"/>
          <w:szCs w:val="24"/>
        </w:rPr>
        <w:t xml:space="preserve">, while the Judicial and Prosecutorial Council have an established reporting mechanism for instances of undue influence, </w:t>
      </w:r>
      <w:r w:rsidR="008A4E1E" w:rsidRPr="00D16622">
        <w:rPr>
          <w:rFonts w:ascii="Times New Roman" w:hAnsi="Times New Roman" w:cs="Times New Roman"/>
          <w:noProof/>
          <w:sz w:val="24"/>
          <w:szCs w:val="24"/>
        </w:rPr>
        <w:t>criticisms and attacks against prosecutorial authorities and their decisions have continued</w:t>
      </w:r>
      <w:r w:rsidR="001F2A4F" w:rsidRPr="00D16622">
        <w:rPr>
          <w:rFonts w:ascii="Times New Roman" w:hAnsi="Times New Roman" w:cs="Times New Roman"/>
          <w:noProof/>
          <w:sz w:val="24"/>
          <w:szCs w:val="24"/>
        </w:rPr>
        <w:t xml:space="preserve">. </w:t>
      </w:r>
      <w:r w:rsidR="002C7444" w:rsidRPr="00D16622">
        <w:rPr>
          <w:rFonts w:ascii="Times New Roman" w:eastAsia="Times New Roman" w:hAnsi="Times New Roman" w:cs="Times New Roman"/>
          <w:noProof/>
          <w:sz w:val="24"/>
          <w:szCs w:val="24"/>
        </w:rPr>
        <w:t xml:space="preserve">In </w:t>
      </w:r>
      <w:hyperlink r:id="rId65" w:history="1">
        <w:r w:rsidR="00B14DAD" w:rsidRPr="00D16622">
          <w:rPr>
            <w:rStyle w:val="Hyperlink"/>
            <w:rFonts w:cs="Times New Roman"/>
            <w:noProof/>
            <w:szCs w:val="24"/>
          </w:rPr>
          <w:t>Serbia</w:t>
        </w:r>
      </w:hyperlink>
      <w:r w:rsidR="002C7444" w:rsidRPr="00D16622">
        <w:rPr>
          <w:rFonts w:ascii="Times New Roman" w:eastAsia="Times New Roman" w:hAnsi="Times New Roman" w:cs="Times New Roman"/>
          <w:noProof/>
          <w:sz w:val="24"/>
          <w:szCs w:val="24"/>
        </w:rPr>
        <w:t xml:space="preserve">, political pressure on the judiciary and the prosecution increased significantly, with limited follow-up from </w:t>
      </w:r>
      <w:r w:rsidRPr="00D16622">
        <w:rPr>
          <w:rFonts w:ascii="Times New Roman" w:eastAsia="Times New Roman" w:hAnsi="Times New Roman" w:cs="Times New Roman"/>
          <w:noProof/>
          <w:sz w:val="24"/>
          <w:szCs w:val="24"/>
        </w:rPr>
        <w:t>state bodies</w:t>
      </w:r>
      <w:r w:rsidR="002C7444" w:rsidRPr="00D16622">
        <w:rPr>
          <w:rFonts w:ascii="Times New Roman" w:eastAsia="Times New Roman" w:hAnsi="Times New Roman" w:cs="Times New Roman"/>
          <w:noProof/>
          <w:sz w:val="24"/>
          <w:szCs w:val="24"/>
        </w:rPr>
        <w:t>.</w:t>
      </w:r>
    </w:p>
    <w:p w14:paraId="73CC000F" w14:textId="343CA7CA" w:rsidR="003F58CB" w:rsidRPr="00D16622" w:rsidRDefault="003F58CB" w:rsidP="00E85CBC">
      <w:pPr>
        <w:spacing w:after="120" w:line="240" w:lineRule="auto"/>
        <w:jc w:val="both"/>
        <w:rPr>
          <w:rFonts w:ascii="Times New Roman" w:hAnsi="Times New Roman" w:cs="Times New Roman"/>
          <w:i/>
          <w:iCs/>
          <w:noProof/>
          <w:sz w:val="24"/>
          <w:szCs w:val="24"/>
        </w:rPr>
      </w:pPr>
      <w:r w:rsidRPr="00D16622">
        <w:rPr>
          <w:rFonts w:ascii="Times New Roman" w:hAnsi="Times New Roman" w:cs="Times New Roman"/>
          <w:i/>
          <w:iCs/>
          <w:noProof/>
          <w:sz w:val="24"/>
          <w:szCs w:val="24"/>
        </w:rPr>
        <w:t>Autonomy and independence of the prosecution service</w:t>
      </w:r>
    </w:p>
    <w:p w14:paraId="0A403348" w14:textId="77777777" w:rsidR="00F45A46" w:rsidRPr="00D16622" w:rsidRDefault="00F45A46" w:rsidP="00F45A46">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While the structure of national prosecution services differs from one Member State to another, institutional safeguards are necessary to ensure the autonomy of the prosecution service, so that it can act without interference</w:t>
      </w:r>
      <w:r w:rsidRPr="00D16622">
        <w:rPr>
          <w:rStyle w:val="FootnoteReference"/>
          <w:rFonts w:cs="Times New Roman"/>
          <w:noProof/>
        </w:rPr>
        <w:footnoteReference w:id="53"/>
      </w:r>
      <w:r w:rsidRPr="00D16622">
        <w:rPr>
          <w:rFonts w:ascii="Times New Roman" w:hAnsi="Times New Roman" w:cs="Times New Roman"/>
          <w:noProof/>
          <w:sz w:val="24"/>
          <w:szCs w:val="24"/>
        </w:rPr>
        <w:t>. This autonomy is crucial for enforcing both national and European criminal laws.</w:t>
      </w:r>
    </w:p>
    <w:p w14:paraId="5BFBFF03" w14:textId="7F2172B5" w:rsidR="00F45A46" w:rsidRPr="00D16622" w:rsidRDefault="00F45A46" w:rsidP="00F45A46">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Reforms to strengthen institutional safeguards for the prosecution service </w:t>
      </w:r>
      <w:r w:rsidR="00FB4961" w:rsidRPr="00D16622">
        <w:rPr>
          <w:rFonts w:ascii="Times New Roman" w:hAnsi="Times New Roman" w:cs="Times New Roman"/>
          <w:noProof/>
          <w:sz w:val="24"/>
          <w:szCs w:val="24"/>
        </w:rPr>
        <w:t xml:space="preserve">continued </w:t>
      </w:r>
      <w:r w:rsidR="004667D8" w:rsidRPr="00D16622">
        <w:rPr>
          <w:rFonts w:ascii="Times New Roman" w:hAnsi="Times New Roman" w:cs="Times New Roman"/>
          <w:noProof/>
          <w:sz w:val="24"/>
          <w:szCs w:val="24"/>
        </w:rPr>
        <w:t xml:space="preserve">at varying speed </w:t>
      </w:r>
      <w:r w:rsidR="00FB4961" w:rsidRPr="00D16622">
        <w:rPr>
          <w:rFonts w:ascii="Times New Roman" w:hAnsi="Times New Roman" w:cs="Times New Roman"/>
          <w:noProof/>
          <w:sz w:val="24"/>
          <w:szCs w:val="24"/>
        </w:rPr>
        <w:t>in several Member States</w:t>
      </w:r>
      <w:r w:rsidRPr="00D16622">
        <w:rPr>
          <w:rFonts w:ascii="Times New Roman" w:hAnsi="Times New Roman" w:cs="Times New Roman"/>
          <w:noProof/>
          <w:sz w:val="24"/>
          <w:szCs w:val="24"/>
        </w:rPr>
        <w:t xml:space="preserve">. </w:t>
      </w:r>
      <w:r w:rsidRPr="00D16622">
        <w:rPr>
          <w:rFonts w:ascii="Times New Roman" w:hAnsi="Times New Roman" w:cs="Times New Roman"/>
          <w:noProof/>
          <w:sz w:val="24"/>
          <w:szCs w:val="24"/>
          <w:lang w:val="en-IE"/>
        </w:rPr>
        <w:t xml:space="preserve">In </w:t>
      </w:r>
      <w:hyperlink r:id="rId66" w:history="1">
        <w:r w:rsidRPr="00E67D35">
          <w:rPr>
            <w:rStyle w:val="Hyperlink"/>
            <w:noProof/>
          </w:rPr>
          <w:t>Bulgaria</w:t>
        </w:r>
      </w:hyperlink>
      <w:r w:rsidRPr="00D16622">
        <w:rPr>
          <w:rFonts w:ascii="Times New Roman" w:hAnsi="Times New Roman" w:cs="Times New Roman"/>
          <w:noProof/>
          <w:sz w:val="24"/>
          <w:szCs w:val="24"/>
          <w:lang w:val="en-IE"/>
        </w:rPr>
        <w:t xml:space="preserve">, Parliament adopted </w:t>
      </w:r>
      <w:r w:rsidR="00E36E89" w:rsidRPr="00D16622">
        <w:rPr>
          <w:rFonts w:ascii="Times New Roman" w:hAnsi="Times New Roman" w:cs="Times New Roman"/>
          <w:noProof/>
          <w:sz w:val="24"/>
          <w:szCs w:val="24"/>
          <w:lang w:val="en-IE"/>
        </w:rPr>
        <w:t>amendments to introduce automatic judicial review for prosecutorial decisions in case of termination and suspension of investigations for corruption-related crimes.</w:t>
      </w:r>
      <w:r w:rsidRPr="00D16622">
        <w:rPr>
          <w:rFonts w:ascii="Times New Roman" w:eastAsia="Times New Roman" w:hAnsi="Times New Roman" w:cs="Times New Roman"/>
          <w:noProof/>
          <w:sz w:val="24"/>
          <w:szCs w:val="24"/>
          <w:lang w:val="en-IE"/>
        </w:rPr>
        <w:t xml:space="preserve"> </w:t>
      </w:r>
      <w:r w:rsidRPr="00D16622">
        <w:rPr>
          <w:rFonts w:ascii="Times New Roman" w:hAnsi="Times New Roman" w:cs="Times New Roman"/>
          <w:noProof/>
          <w:sz w:val="24"/>
          <w:szCs w:val="24"/>
          <w:lang w:val="en-IE"/>
        </w:rPr>
        <w:t xml:space="preserve">Furthermore, a new </w:t>
      </w:r>
      <w:r w:rsidR="00F11C75" w:rsidRPr="00D16622">
        <w:rPr>
          <w:rFonts w:ascii="Times New Roman" w:hAnsi="Times New Roman" w:cs="Times New Roman"/>
          <w:noProof/>
          <w:sz w:val="24"/>
          <w:szCs w:val="24"/>
          <w:lang w:val="en-IE"/>
        </w:rPr>
        <w:t>law has been adopted</w:t>
      </w:r>
      <w:r w:rsidR="005C0531" w:rsidRPr="00D16622">
        <w:rPr>
          <w:rFonts w:ascii="Times New Roman" w:hAnsi="Times New Roman" w:cs="Times New Roman"/>
          <w:noProof/>
          <w:sz w:val="24"/>
          <w:szCs w:val="24"/>
          <w:lang w:val="en-IE"/>
        </w:rPr>
        <w:t xml:space="preserve"> to address procedural issues </w:t>
      </w:r>
      <w:r w:rsidR="00DE0D19" w:rsidRPr="00D16622">
        <w:rPr>
          <w:rFonts w:ascii="Times New Roman" w:hAnsi="Times New Roman" w:cs="Times New Roman"/>
          <w:noProof/>
          <w:sz w:val="24"/>
          <w:szCs w:val="24"/>
          <w:lang w:val="en-IE"/>
        </w:rPr>
        <w:t xml:space="preserve">still </w:t>
      </w:r>
      <w:r w:rsidR="005C0531" w:rsidRPr="00D16622">
        <w:rPr>
          <w:rFonts w:ascii="Times New Roman" w:hAnsi="Times New Roman" w:cs="Times New Roman"/>
          <w:noProof/>
          <w:sz w:val="24"/>
          <w:szCs w:val="24"/>
          <w:lang w:val="en-IE"/>
        </w:rPr>
        <w:t>affect</w:t>
      </w:r>
      <w:r w:rsidR="00DE0D19" w:rsidRPr="00D16622">
        <w:rPr>
          <w:rFonts w:ascii="Times New Roman" w:hAnsi="Times New Roman" w:cs="Times New Roman"/>
          <w:noProof/>
          <w:sz w:val="24"/>
          <w:szCs w:val="24"/>
          <w:lang w:val="en-IE"/>
        </w:rPr>
        <w:t>ing</w:t>
      </w:r>
      <w:r w:rsidR="005C0531" w:rsidRPr="00D16622">
        <w:rPr>
          <w:rFonts w:ascii="Times New Roman" w:hAnsi="Times New Roman" w:cs="Times New Roman"/>
          <w:noProof/>
          <w:sz w:val="24"/>
          <w:szCs w:val="24"/>
          <w:lang w:val="en-IE"/>
        </w:rPr>
        <w:t xml:space="preserve"> the full </w:t>
      </w:r>
      <w:r w:rsidR="002A1871" w:rsidRPr="00D16622">
        <w:rPr>
          <w:rFonts w:ascii="Times New Roman" w:hAnsi="Times New Roman" w:cs="Times New Roman"/>
          <w:noProof/>
          <w:sz w:val="24"/>
          <w:szCs w:val="24"/>
          <w:lang w:val="en-IE"/>
        </w:rPr>
        <w:t>operationalisation</w:t>
      </w:r>
      <w:r w:rsidR="005C0531" w:rsidRPr="00D16622">
        <w:rPr>
          <w:rFonts w:ascii="Times New Roman" w:hAnsi="Times New Roman" w:cs="Times New Roman"/>
          <w:noProof/>
          <w:sz w:val="24"/>
          <w:szCs w:val="24"/>
          <w:lang w:val="en-IE"/>
        </w:rPr>
        <w:t xml:space="preserve"> of the mechanism </w:t>
      </w:r>
      <w:r w:rsidR="00361B16" w:rsidRPr="00D16622">
        <w:rPr>
          <w:rFonts w:ascii="Times New Roman" w:hAnsi="Times New Roman" w:cs="Times New Roman"/>
          <w:noProof/>
          <w:sz w:val="24"/>
          <w:szCs w:val="24"/>
          <w:lang w:val="en-IE"/>
        </w:rPr>
        <w:t xml:space="preserve">for the effective accountability and criminal liability of the Prosecutor General, while </w:t>
      </w:r>
      <w:r w:rsidRPr="00D16622">
        <w:rPr>
          <w:rFonts w:ascii="Times New Roman" w:hAnsi="Times New Roman" w:cs="Times New Roman"/>
          <w:noProof/>
          <w:sz w:val="24"/>
          <w:szCs w:val="24"/>
          <w:lang w:val="en-IE"/>
        </w:rPr>
        <w:t xml:space="preserve">a new </w:t>
      </w:r>
      <w:r w:rsidRPr="00D16622">
        <w:rPr>
          <w:rFonts w:ascii="Times New Roman" w:hAnsi="Times New Roman" w:cs="Times New Roman"/>
          <w:i/>
          <w:iCs/>
          <w:noProof/>
          <w:sz w:val="24"/>
          <w:szCs w:val="24"/>
          <w:lang w:val="en-IE"/>
        </w:rPr>
        <w:t>ad hoc</w:t>
      </w:r>
      <w:r w:rsidRPr="00D16622">
        <w:rPr>
          <w:rFonts w:ascii="Times New Roman" w:hAnsi="Times New Roman" w:cs="Times New Roman"/>
          <w:noProof/>
          <w:sz w:val="24"/>
          <w:szCs w:val="24"/>
          <w:lang w:val="en-IE"/>
        </w:rPr>
        <w:t xml:space="preserve"> prosecutor for the investigation of the Prosecutor General was appointed. </w:t>
      </w:r>
      <w:r w:rsidRPr="00D16622">
        <w:rPr>
          <w:rFonts w:ascii="Times New Roman" w:eastAsia="Times New Roman" w:hAnsi="Times New Roman" w:cs="Times New Roman"/>
          <w:noProof/>
          <w:sz w:val="24"/>
          <w:szCs w:val="24"/>
          <w:lang w:val="en-IE"/>
        </w:rPr>
        <w:t xml:space="preserve">In </w:t>
      </w:r>
      <w:hyperlink r:id="rId67" w:history="1">
        <w:r w:rsidRPr="00D16622">
          <w:rPr>
            <w:rStyle w:val="Hyperlink"/>
            <w:rFonts w:eastAsia="Times New Roman" w:cs="Times New Roman"/>
            <w:noProof/>
            <w:szCs w:val="24"/>
            <w:lang w:val="en-IE"/>
          </w:rPr>
          <w:t>Spain</w:t>
        </w:r>
      </w:hyperlink>
      <w:r w:rsidRPr="00D16622">
        <w:rPr>
          <w:rFonts w:ascii="Times New Roman" w:eastAsia="Times New Roman" w:hAnsi="Times New Roman" w:cs="Times New Roman"/>
          <w:noProof/>
          <w:sz w:val="24"/>
          <w:szCs w:val="24"/>
          <w:lang w:val="en-IE"/>
        </w:rPr>
        <w:t>, a draft law to strengthen the statute of the Prosecutor-General</w:t>
      </w:r>
      <w:r w:rsidR="00C56A8B" w:rsidRPr="00D16622">
        <w:rPr>
          <w:rFonts w:ascii="Times New Roman" w:eastAsia="Times New Roman" w:hAnsi="Times New Roman" w:cs="Times New Roman"/>
          <w:noProof/>
          <w:sz w:val="24"/>
          <w:szCs w:val="24"/>
          <w:lang w:val="en-IE"/>
        </w:rPr>
        <w:t xml:space="preserve"> by</w:t>
      </w:r>
      <w:r w:rsidRPr="00D16622">
        <w:rPr>
          <w:rFonts w:ascii="Times New Roman" w:eastAsia="Times New Roman" w:hAnsi="Times New Roman" w:cs="Times New Roman"/>
          <w:noProof/>
          <w:sz w:val="24"/>
          <w:szCs w:val="24"/>
        </w:rPr>
        <w:t xml:space="preserve"> decoupling the term of office of the Prosecutor General from that of the Government,</w:t>
      </w:r>
      <w:r w:rsidRPr="00D16622">
        <w:rPr>
          <w:rFonts w:ascii="Times New Roman" w:eastAsia="Times New Roman" w:hAnsi="Times New Roman" w:cs="Times New Roman"/>
          <w:noProof/>
          <w:sz w:val="24"/>
          <w:szCs w:val="24"/>
          <w:lang w:val="en-IE"/>
        </w:rPr>
        <w:t xml:space="preserve"> is </w:t>
      </w:r>
      <w:r w:rsidR="0092107F" w:rsidRPr="00D16622">
        <w:rPr>
          <w:rFonts w:ascii="Times New Roman" w:eastAsia="Times New Roman" w:hAnsi="Times New Roman" w:cs="Times New Roman"/>
          <w:noProof/>
          <w:sz w:val="24"/>
          <w:szCs w:val="24"/>
          <w:lang w:val="en-IE"/>
        </w:rPr>
        <w:t>under discussion in</w:t>
      </w:r>
      <w:r w:rsidRPr="00D16622">
        <w:rPr>
          <w:rFonts w:ascii="Times New Roman" w:eastAsia="Times New Roman" w:hAnsi="Times New Roman" w:cs="Times New Roman"/>
          <w:noProof/>
          <w:sz w:val="24"/>
          <w:szCs w:val="24"/>
          <w:lang w:val="en-IE"/>
        </w:rPr>
        <w:t xml:space="preserve"> Parliament.</w:t>
      </w:r>
      <w:r w:rsidRPr="00D16622">
        <w:rPr>
          <w:rFonts w:ascii="Times New Roman" w:hAnsi="Times New Roman" w:cs="Times New Roman"/>
          <w:noProof/>
          <w:sz w:val="24"/>
          <w:szCs w:val="24"/>
          <w:lang w:val="en-IE"/>
        </w:rPr>
        <w:t xml:space="preserve"> In</w:t>
      </w:r>
      <w:r w:rsidRPr="00D16622">
        <w:rPr>
          <w:rFonts w:ascii="Times New Roman" w:hAnsi="Times New Roman" w:cs="Times New Roman"/>
          <w:noProof/>
          <w:sz w:val="24"/>
          <w:szCs w:val="24"/>
        </w:rPr>
        <w:t xml:space="preserve"> </w:t>
      </w:r>
      <w:hyperlink r:id="rId68" w:history="1">
        <w:r w:rsidRPr="00D16622">
          <w:rPr>
            <w:rStyle w:val="Hyperlink"/>
            <w:rFonts w:cs="Times New Roman"/>
            <w:noProof/>
            <w:szCs w:val="24"/>
          </w:rPr>
          <w:t>Cyprus</w:t>
        </w:r>
      </w:hyperlink>
      <w:r w:rsidRPr="00D16622">
        <w:rPr>
          <w:rFonts w:ascii="Times New Roman" w:hAnsi="Times New Roman" w:cs="Times New Roman"/>
          <w:noProof/>
          <w:sz w:val="24"/>
          <w:szCs w:val="24"/>
        </w:rPr>
        <w:t xml:space="preserve">, the </w:t>
      </w:r>
      <w:r w:rsidRPr="00D16622">
        <w:rPr>
          <w:rFonts w:ascii="Times New Roman" w:hAnsi="Times New Roman" w:cs="Times New Roman"/>
          <w:bCs/>
          <w:noProof/>
          <w:sz w:val="24"/>
          <w:szCs w:val="24"/>
        </w:rPr>
        <w:t xml:space="preserve">ongoing reform of the Law Office, which plans to establish the Office of the Public Prosecutor General and the introduction of an effective review of decisions not to prosecute or to discontinue proceedings, remains </w:t>
      </w:r>
      <w:r w:rsidR="003B7CAE" w:rsidRPr="00D16622">
        <w:rPr>
          <w:rFonts w:ascii="Times New Roman" w:hAnsi="Times New Roman" w:cs="Times New Roman"/>
          <w:bCs/>
          <w:noProof/>
          <w:sz w:val="24"/>
          <w:szCs w:val="24"/>
        </w:rPr>
        <w:t xml:space="preserve">under discussion </w:t>
      </w:r>
      <w:r w:rsidRPr="00D16622">
        <w:rPr>
          <w:rFonts w:ascii="Times New Roman" w:hAnsi="Times New Roman" w:cs="Times New Roman"/>
          <w:bCs/>
          <w:noProof/>
          <w:sz w:val="24"/>
          <w:szCs w:val="24"/>
        </w:rPr>
        <w:t xml:space="preserve">before Parliament. </w:t>
      </w:r>
      <w:r w:rsidR="00794DB1" w:rsidRPr="00D16622">
        <w:rPr>
          <w:rFonts w:ascii="Times New Roman" w:hAnsi="Times New Roman" w:cs="Times New Roman"/>
          <w:noProof/>
          <w:sz w:val="24"/>
          <w:szCs w:val="24"/>
        </w:rPr>
        <w:t xml:space="preserve">In </w:t>
      </w:r>
      <w:hyperlink r:id="rId69" w:history="1">
        <w:r w:rsidR="00794DB1" w:rsidRPr="00D16622">
          <w:rPr>
            <w:rStyle w:val="Hyperlink"/>
            <w:rFonts w:cs="Times New Roman"/>
            <w:noProof/>
            <w:szCs w:val="24"/>
            <w:lang w:eastAsia="en-IE"/>
          </w:rPr>
          <w:t>Austria</w:t>
        </w:r>
      </w:hyperlink>
      <w:r w:rsidR="00794DB1" w:rsidRPr="00D16622">
        <w:rPr>
          <w:rFonts w:ascii="Times New Roman" w:hAnsi="Times New Roman" w:cs="Times New Roman"/>
          <w:bCs/>
          <w:noProof/>
          <w:sz w:val="24"/>
          <w:szCs w:val="24"/>
        </w:rPr>
        <w:t xml:space="preserve">, the Government submitted a draft law to create a Federal Prosecution Office to public consultation, with the aim to separate the prosecution service from its current hierarchical subordination to the Ministry of Justice. </w:t>
      </w:r>
      <w:r w:rsidRPr="00D16622">
        <w:rPr>
          <w:rFonts w:ascii="Times New Roman" w:hAnsi="Times New Roman" w:cs="Times New Roman"/>
          <w:bCs/>
          <w:noProof/>
          <w:sz w:val="24"/>
          <w:szCs w:val="24"/>
        </w:rPr>
        <w:t xml:space="preserve">In </w:t>
      </w:r>
      <w:hyperlink r:id="rId70" w:history="1">
        <w:r w:rsidRPr="00D16622">
          <w:rPr>
            <w:rStyle w:val="Hyperlink"/>
            <w:rFonts w:cs="Times New Roman"/>
            <w:bCs/>
            <w:noProof/>
            <w:szCs w:val="24"/>
          </w:rPr>
          <w:t>Poland</w:t>
        </w:r>
      </w:hyperlink>
      <w:r w:rsidRPr="00D16622">
        <w:rPr>
          <w:rFonts w:ascii="Times New Roman" w:hAnsi="Times New Roman" w:cs="Times New Roman"/>
          <w:bCs/>
          <w:noProof/>
          <w:sz w:val="24"/>
          <w:szCs w:val="24"/>
        </w:rPr>
        <w:t xml:space="preserve">, </w:t>
      </w:r>
      <w:r w:rsidRPr="00D16622">
        <w:rPr>
          <w:rFonts w:ascii="Times New Roman" w:hAnsi="Times New Roman" w:cs="Times New Roman"/>
          <w:noProof/>
          <w:sz w:val="24"/>
          <w:szCs w:val="24"/>
        </w:rPr>
        <w:t xml:space="preserve">limited </w:t>
      </w:r>
      <w:r w:rsidR="00004919" w:rsidRPr="00D16622">
        <w:rPr>
          <w:rFonts w:ascii="Times New Roman" w:hAnsi="Times New Roman" w:cs="Times New Roman"/>
          <w:noProof/>
          <w:sz w:val="24"/>
          <w:szCs w:val="24"/>
        </w:rPr>
        <w:t>further</w:t>
      </w:r>
      <w:r w:rsidRPr="00D16622">
        <w:rPr>
          <w:rFonts w:ascii="Times New Roman" w:hAnsi="Times New Roman" w:cs="Times New Roman"/>
          <w:noProof/>
          <w:sz w:val="24"/>
          <w:szCs w:val="24"/>
        </w:rPr>
        <w:t xml:space="preserve"> steps have been taken to separate the office of the Minister of Justice from that of the Prosecutor General and to ensure functional independence of the prosecution service from the Government. </w:t>
      </w:r>
    </w:p>
    <w:p w14:paraId="6D72F638" w14:textId="7FE8B494" w:rsidR="00F45A46" w:rsidRPr="00D16622" w:rsidRDefault="00F45A46" w:rsidP="00F45A46">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Challenges have also been identified or remain in some areas. </w:t>
      </w:r>
      <w:r w:rsidRPr="00D16622">
        <w:rPr>
          <w:rFonts w:ascii="Times New Roman" w:hAnsi="Times New Roman" w:cs="Times New Roman"/>
          <w:noProof/>
          <w:sz w:val="24"/>
          <w:szCs w:val="24"/>
          <w:lang w:val="en-IE"/>
        </w:rPr>
        <w:t xml:space="preserve">In </w:t>
      </w:r>
      <w:hyperlink r:id="rId71" w:history="1">
        <w:r w:rsidR="00421F48" w:rsidRPr="00D16622">
          <w:rPr>
            <w:rStyle w:val="Hyperlink"/>
            <w:rFonts w:cs="Times New Roman"/>
            <w:noProof/>
            <w:szCs w:val="24"/>
          </w:rPr>
          <w:t>Slovakia</w:t>
        </w:r>
      </w:hyperlink>
      <w:r w:rsidRPr="00D16622">
        <w:rPr>
          <w:rFonts w:ascii="Times New Roman" w:hAnsi="Times New Roman" w:cs="Times New Roman"/>
          <w:noProof/>
          <w:sz w:val="24"/>
          <w:szCs w:val="24"/>
          <w:lang w:val="en-IE"/>
        </w:rPr>
        <w:t xml:space="preserve">, the legal framework concerning the power of the Prosecutor General to annul final decisions of lower-ranking prosecutors remained unchanged. </w:t>
      </w:r>
      <w:r w:rsidR="00A05D0D" w:rsidRPr="00D16622">
        <w:rPr>
          <w:rFonts w:ascii="Times New Roman" w:hAnsi="Times New Roman" w:cs="Times New Roman"/>
          <w:noProof/>
          <w:sz w:val="24"/>
          <w:szCs w:val="24"/>
          <w:lang w:val="en-IE"/>
        </w:rPr>
        <w:t xml:space="preserve">In </w:t>
      </w:r>
      <w:hyperlink r:id="rId72" w:history="1">
        <w:r w:rsidR="00AE28AE" w:rsidRPr="00D16622">
          <w:rPr>
            <w:rStyle w:val="Hyperlink"/>
            <w:rFonts w:eastAsia="Times New Roman" w:cs="Times New Roman"/>
            <w:noProof/>
            <w:szCs w:val="24"/>
            <w:lang w:val="en-IE"/>
          </w:rPr>
          <w:t>Hungary</w:t>
        </w:r>
      </w:hyperlink>
      <w:r w:rsidR="00A05D0D" w:rsidRPr="00D16622">
        <w:rPr>
          <w:rFonts w:ascii="Times New Roman" w:hAnsi="Times New Roman" w:cs="Times New Roman"/>
          <w:noProof/>
          <w:sz w:val="24"/>
          <w:szCs w:val="24"/>
          <w:lang w:val="en-IE"/>
        </w:rPr>
        <w:t>, the election procedure for the Prosecutor General, combined with the hierarchical structure of the prosecution service, gives rise to a risk of undue political interference in individual cases.</w:t>
      </w:r>
    </w:p>
    <w:p w14:paraId="5CBDB018" w14:textId="2A19FFC0" w:rsidR="0024612C" w:rsidRPr="00D16622" w:rsidRDefault="005B29A4" w:rsidP="00E85CBC">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In </w:t>
      </w:r>
      <w:hyperlink r:id="rId73" w:history="1">
        <w:r w:rsidR="006541E2" w:rsidRPr="00D16622">
          <w:rPr>
            <w:rStyle w:val="Hyperlink"/>
            <w:rFonts w:cs="Times New Roman"/>
            <w:noProof/>
            <w:szCs w:val="24"/>
          </w:rPr>
          <w:t>Montenegro</w:t>
        </w:r>
      </w:hyperlink>
      <w:r w:rsidRPr="00D16622">
        <w:rPr>
          <w:rFonts w:ascii="Times New Roman" w:hAnsi="Times New Roman" w:cs="Times New Roman"/>
          <w:noProof/>
          <w:sz w:val="24"/>
          <w:szCs w:val="24"/>
        </w:rPr>
        <w:t xml:space="preserve">, constitutional amendments aimed at strengthening the independence of the Judicial and Prosecutorial Councils have been adopted by the Government. </w:t>
      </w:r>
      <w:r w:rsidR="2D7B450B" w:rsidRPr="00D16622">
        <w:rPr>
          <w:rFonts w:ascii="Times New Roman" w:hAnsi="Times New Roman" w:cs="Times New Roman"/>
          <w:noProof/>
          <w:sz w:val="24"/>
          <w:szCs w:val="24"/>
        </w:rPr>
        <w:t>I</w:t>
      </w:r>
      <w:r w:rsidR="00556320" w:rsidRPr="00D16622">
        <w:rPr>
          <w:rFonts w:ascii="Times New Roman" w:hAnsi="Times New Roman" w:cs="Times New Roman"/>
          <w:noProof/>
          <w:sz w:val="24"/>
          <w:szCs w:val="24"/>
        </w:rPr>
        <w:t xml:space="preserve">n </w:t>
      </w:r>
      <w:hyperlink r:id="rId74" w:history="1">
        <w:r w:rsidR="00A1658E" w:rsidRPr="00D16622">
          <w:rPr>
            <w:rStyle w:val="Hyperlink"/>
            <w:rFonts w:cs="Times New Roman"/>
            <w:noProof/>
            <w:szCs w:val="24"/>
          </w:rPr>
          <w:t>North Macedonia</w:t>
        </w:r>
      </w:hyperlink>
      <w:r w:rsidR="00556320" w:rsidRPr="00D16622">
        <w:rPr>
          <w:rFonts w:ascii="Times New Roman" w:hAnsi="Times New Roman" w:cs="Times New Roman"/>
          <w:noProof/>
          <w:sz w:val="24"/>
          <w:szCs w:val="24"/>
        </w:rPr>
        <w:t xml:space="preserve">, </w:t>
      </w:r>
      <w:r w:rsidR="00556320" w:rsidRPr="00D16622" w:rsidDel="005B29A4">
        <w:rPr>
          <w:rFonts w:ascii="Times New Roman" w:hAnsi="Times New Roman" w:cs="Times New Roman"/>
          <w:noProof/>
          <w:sz w:val="24"/>
          <w:szCs w:val="24"/>
        </w:rPr>
        <w:t>t</w:t>
      </w:r>
      <w:r w:rsidR="000A25F9" w:rsidRPr="00D16622" w:rsidDel="005B29A4">
        <w:rPr>
          <w:rFonts w:ascii="Times New Roman" w:hAnsi="Times New Roman" w:cs="Times New Roman"/>
          <w:noProof/>
          <w:sz w:val="24"/>
          <w:szCs w:val="24"/>
        </w:rPr>
        <w:t xml:space="preserve">he </w:t>
      </w:r>
      <w:r w:rsidR="000A25F9" w:rsidRPr="00D16622">
        <w:rPr>
          <w:rFonts w:ascii="Times New Roman" w:hAnsi="Times New Roman" w:cs="Times New Roman"/>
          <w:noProof/>
          <w:sz w:val="24"/>
          <w:szCs w:val="24"/>
        </w:rPr>
        <w:t xml:space="preserve">Parliament adopted new amendments to the Law on the Council of Public Prosecutors to strengthen the autonomy of the prosecution </w:t>
      </w:r>
      <w:r w:rsidR="0024612C" w:rsidRPr="00D16622">
        <w:rPr>
          <w:rFonts w:ascii="Times New Roman" w:hAnsi="Times New Roman" w:cs="Times New Roman"/>
          <w:noProof/>
          <w:sz w:val="24"/>
          <w:szCs w:val="24"/>
        </w:rPr>
        <w:t>service</w:t>
      </w:r>
      <w:r w:rsidR="009A5862" w:rsidRPr="00D16622">
        <w:rPr>
          <w:rFonts w:ascii="Times New Roman" w:hAnsi="Times New Roman" w:cs="Times New Roman"/>
          <w:noProof/>
          <w:sz w:val="24"/>
          <w:szCs w:val="24"/>
        </w:rPr>
        <w:t>, but further revisions are needed</w:t>
      </w:r>
      <w:r w:rsidR="000055D3" w:rsidRPr="00D16622">
        <w:rPr>
          <w:rFonts w:ascii="Times New Roman" w:hAnsi="Times New Roman" w:cs="Times New Roman"/>
          <w:noProof/>
          <w:sz w:val="24"/>
          <w:szCs w:val="24"/>
        </w:rPr>
        <w:t>.</w:t>
      </w:r>
      <w:r w:rsidR="00784382" w:rsidRPr="00D16622">
        <w:rPr>
          <w:rFonts w:ascii="Times New Roman" w:hAnsi="Times New Roman" w:cs="Times New Roman"/>
          <w:noProof/>
          <w:sz w:val="24"/>
          <w:szCs w:val="24"/>
        </w:rPr>
        <w:t xml:space="preserve"> </w:t>
      </w:r>
      <w:r w:rsidR="00DF2E82" w:rsidRPr="00D16622">
        <w:rPr>
          <w:rFonts w:ascii="Times New Roman" w:hAnsi="Times New Roman" w:cs="Times New Roman"/>
          <w:noProof/>
          <w:sz w:val="24"/>
          <w:szCs w:val="24"/>
        </w:rPr>
        <w:t xml:space="preserve">In </w:t>
      </w:r>
      <w:hyperlink r:id="rId75" w:history="1">
        <w:r w:rsidR="00B14DAD" w:rsidRPr="00D16622">
          <w:rPr>
            <w:rStyle w:val="Hyperlink"/>
            <w:rFonts w:cs="Times New Roman"/>
            <w:noProof/>
            <w:szCs w:val="24"/>
          </w:rPr>
          <w:t>Serbia</w:t>
        </w:r>
      </w:hyperlink>
      <w:r w:rsidR="00DF2E82" w:rsidRPr="00D16622">
        <w:rPr>
          <w:rFonts w:ascii="Times New Roman" w:hAnsi="Times New Roman" w:cs="Times New Roman"/>
          <w:noProof/>
          <w:sz w:val="24"/>
          <w:szCs w:val="24"/>
        </w:rPr>
        <w:t>, c</w:t>
      </w:r>
      <w:r w:rsidR="00AE1E1A" w:rsidRPr="00D16622">
        <w:rPr>
          <w:rFonts w:ascii="Times New Roman" w:hAnsi="Times New Roman" w:cs="Times New Roman"/>
          <w:noProof/>
          <w:sz w:val="24"/>
          <w:szCs w:val="24"/>
        </w:rPr>
        <w:t xml:space="preserve">oncerns regarding prosecutorial autonomy </w:t>
      </w:r>
      <w:r w:rsidR="00832382" w:rsidRPr="00D16622">
        <w:rPr>
          <w:rFonts w:ascii="Times New Roman" w:eastAsia="Times New Roman" w:hAnsi="Times New Roman" w:cs="Times New Roman"/>
          <w:noProof/>
          <w:sz w:val="24"/>
          <w:szCs w:val="24"/>
        </w:rPr>
        <w:t>remain and the effectiveness and confidentiality of criminal investigations are hampered by shortcomings in law and practice.</w:t>
      </w:r>
      <w:r w:rsidR="00164B61" w:rsidRPr="00D16622">
        <w:rPr>
          <w:rFonts w:ascii="Times New Roman" w:hAnsi="Times New Roman" w:cs="Times New Roman"/>
          <w:noProof/>
          <w:sz w:val="24"/>
          <w:szCs w:val="24"/>
        </w:rPr>
        <w:t xml:space="preserve"> </w:t>
      </w:r>
    </w:p>
    <w:p w14:paraId="3B6A381C" w14:textId="50EBE26D" w:rsidR="003F58CB" w:rsidRPr="00D16622" w:rsidRDefault="003F58CB" w:rsidP="00E85CBC">
      <w:pPr>
        <w:spacing w:after="120" w:line="240" w:lineRule="auto"/>
        <w:jc w:val="both"/>
        <w:rPr>
          <w:rFonts w:ascii="Times New Roman" w:hAnsi="Times New Roman" w:cs="Times New Roman"/>
          <w:i/>
          <w:iCs/>
          <w:noProof/>
          <w:sz w:val="24"/>
          <w:szCs w:val="24"/>
        </w:rPr>
      </w:pPr>
      <w:r w:rsidRPr="00D16622">
        <w:rPr>
          <w:rFonts w:ascii="Times New Roman" w:hAnsi="Times New Roman" w:cs="Times New Roman"/>
          <w:i/>
          <w:iCs/>
          <w:noProof/>
          <w:sz w:val="24"/>
          <w:szCs w:val="24"/>
        </w:rPr>
        <w:t>Ensuring accountability and safeguarding independence in disciplinary procedures</w:t>
      </w:r>
    </w:p>
    <w:p w14:paraId="431394F8" w14:textId="60BA3F27" w:rsidR="00B42DF8" w:rsidRPr="00D16622" w:rsidRDefault="001224F4" w:rsidP="00B42DF8">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As confirmed by CJEU caselaw,</w:t>
      </w:r>
      <w:r w:rsidR="00B42DF8" w:rsidRPr="00D16622" w:rsidDel="001224F4">
        <w:rPr>
          <w:rFonts w:ascii="Times New Roman" w:hAnsi="Times New Roman" w:cs="Times New Roman"/>
          <w:noProof/>
          <w:sz w:val="24"/>
          <w:szCs w:val="24"/>
        </w:rPr>
        <w:t xml:space="preserve"> </w:t>
      </w:r>
      <w:r w:rsidR="00B42DF8" w:rsidRPr="00D16622">
        <w:rPr>
          <w:rFonts w:ascii="Times New Roman" w:hAnsi="Times New Roman" w:cs="Times New Roman"/>
          <w:noProof/>
          <w:sz w:val="24"/>
          <w:szCs w:val="24"/>
        </w:rPr>
        <w:t>disciplinary procedures must not be used as a form of political control over the judiciary</w:t>
      </w:r>
      <w:r w:rsidR="00B42DF8" w:rsidRPr="00D16622">
        <w:rPr>
          <w:rStyle w:val="FootnoteReference"/>
          <w:rFonts w:cs="Times New Roman"/>
          <w:noProof/>
        </w:rPr>
        <w:footnoteReference w:id="54"/>
      </w:r>
      <w:r w:rsidR="00B42DF8" w:rsidRPr="00D16622">
        <w:rPr>
          <w:rFonts w:ascii="Times New Roman" w:hAnsi="Times New Roman" w:cs="Times New Roman"/>
          <w:noProof/>
          <w:sz w:val="24"/>
          <w:szCs w:val="24"/>
        </w:rPr>
        <w:t xml:space="preserve">. Safeguards </w:t>
      </w:r>
      <w:r w:rsidRPr="00D16622">
        <w:rPr>
          <w:rFonts w:ascii="Times New Roman" w:hAnsi="Times New Roman" w:cs="Times New Roman"/>
          <w:noProof/>
          <w:sz w:val="24"/>
          <w:szCs w:val="24"/>
        </w:rPr>
        <w:t xml:space="preserve">must </w:t>
      </w:r>
      <w:r w:rsidR="00B42DF8" w:rsidRPr="00D16622">
        <w:rPr>
          <w:rFonts w:ascii="Times New Roman" w:hAnsi="Times New Roman" w:cs="Times New Roman"/>
          <w:noProof/>
          <w:sz w:val="24"/>
          <w:szCs w:val="24"/>
        </w:rPr>
        <w:t xml:space="preserve">include clear rules that define what constitutes a disciplinary offence and the </w:t>
      </w:r>
      <w:r w:rsidR="3128877F" w:rsidRPr="00D16622">
        <w:rPr>
          <w:rFonts w:ascii="Times New Roman" w:hAnsi="Times New Roman" w:cs="Times New Roman"/>
          <w:noProof/>
          <w:sz w:val="24"/>
          <w:szCs w:val="24"/>
        </w:rPr>
        <w:t xml:space="preserve">applicable </w:t>
      </w:r>
      <w:r w:rsidR="00B42DF8" w:rsidRPr="00D16622">
        <w:rPr>
          <w:rFonts w:ascii="Times New Roman" w:hAnsi="Times New Roman" w:cs="Times New Roman"/>
          <w:noProof/>
          <w:sz w:val="24"/>
          <w:szCs w:val="24"/>
        </w:rPr>
        <w:t xml:space="preserve">penalties. Disciplinary proceedings should be conducted by an independent body, respect the right of defence, and be </w:t>
      </w:r>
      <w:r w:rsidR="00C970A0" w:rsidRPr="00D16622">
        <w:rPr>
          <w:rFonts w:ascii="Times New Roman" w:hAnsi="Times New Roman" w:cs="Times New Roman"/>
          <w:noProof/>
          <w:sz w:val="24"/>
          <w:szCs w:val="24"/>
        </w:rPr>
        <w:t xml:space="preserve">subject </w:t>
      </w:r>
      <w:r w:rsidR="00B42DF8" w:rsidRPr="00D16622">
        <w:rPr>
          <w:rFonts w:ascii="Times New Roman" w:hAnsi="Times New Roman" w:cs="Times New Roman"/>
          <w:noProof/>
          <w:sz w:val="24"/>
          <w:szCs w:val="24"/>
        </w:rPr>
        <w:t>to challenge in court</w:t>
      </w:r>
      <w:r w:rsidR="00B42DF8" w:rsidRPr="00D16622">
        <w:rPr>
          <w:rStyle w:val="FootnoteReference"/>
          <w:rFonts w:cs="Times New Roman"/>
          <w:noProof/>
        </w:rPr>
        <w:footnoteReference w:id="55"/>
      </w:r>
      <w:r w:rsidR="00B42DF8" w:rsidRPr="00D16622">
        <w:rPr>
          <w:rFonts w:ascii="Times New Roman" w:hAnsi="Times New Roman" w:cs="Times New Roman"/>
          <w:noProof/>
          <w:sz w:val="24"/>
          <w:szCs w:val="24"/>
        </w:rPr>
        <w:t>.</w:t>
      </w:r>
    </w:p>
    <w:p w14:paraId="6146CE60" w14:textId="0B547169" w:rsidR="00B42DF8" w:rsidRPr="00D16622" w:rsidRDefault="00B42DF8" w:rsidP="00B42DF8">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Several Member States</w:t>
      </w:r>
      <w:r w:rsidRPr="00D16622" w:rsidDel="00392FCE">
        <w:rPr>
          <w:rFonts w:ascii="Times New Roman" w:hAnsi="Times New Roman" w:cs="Times New Roman"/>
          <w:noProof/>
          <w:sz w:val="24"/>
          <w:szCs w:val="24"/>
        </w:rPr>
        <w:t xml:space="preserve"> </w:t>
      </w:r>
      <w:r w:rsidR="00392FCE" w:rsidRPr="00D16622">
        <w:rPr>
          <w:rFonts w:ascii="Times New Roman" w:hAnsi="Times New Roman" w:cs="Times New Roman"/>
          <w:noProof/>
          <w:sz w:val="24"/>
          <w:szCs w:val="24"/>
        </w:rPr>
        <w:t xml:space="preserve">strengthened </w:t>
      </w:r>
      <w:r w:rsidRPr="00D16622">
        <w:rPr>
          <w:rFonts w:ascii="Times New Roman" w:hAnsi="Times New Roman" w:cs="Times New Roman"/>
          <w:noProof/>
          <w:sz w:val="24"/>
          <w:szCs w:val="24"/>
        </w:rPr>
        <w:t xml:space="preserve">the safeguards in disciplinary proceedings. </w:t>
      </w:r>
      <w:r w:rsidRPr="00D16622">
        <w:rPr>
          <w:rFonts w:ascii="Times New Roman" w:eastAsia="Times New Roman" w:hAnsi="Times New Roman" w:cs="Times New Roman"/>
          <w:noProof/>
          <w:sz w:val="24"/>
          <w:szCs w:val="24"/>
          <w:lang w:val="en-IE"/>
        </w:rPr>
        <w:t xml:space="preserve">In </w:t>
      </w:r>
      <w:hyperlink r:id="rId76" w:history="1">
        <w:r w:rsidRPr="00D16622">
          <w:rPr>
            <w:rStyle w:val="Hyperlink"/>
            <w:rFonts w:eastAsia="Times New Roman" w:cs="Times New Roman"/>
            <w:noProof/>
            <w:szCs w:val="24"/>
            <w:lang w:val="en-IE"/>
          </w:rPr>
          <w:t>Czechia</w:t>
        </w:r>
      </w:hyperlink>
      <w:r w:rsidRPr="00D16622">
        <w:rPr>
          <w:rFonts w:ascii="Times New Roman" w:eastAsia="Times New Roman" w:hAnsi="Times New Roman" w:cs="Times New Roman"/>
          <w:noProof/>
          <w:sz w:val="24"/>
          <w:szCs w:val="24"/>
          <w:lang w:val="en-IE"/>
        </w:rPr>
        <w:t xml:space="preserve">, the new two-instance disciplinary procedure for judges, prosecutors and bailiffs is reported to function well. </w:t>
      </w:r>
      <w:r w:rsidRPr="00D16622">
        <w:rPr>
          <w:rFonts w:ascii="Times New Roman" w:hAnsi="Times New Roman" w:cs="Times New Roman"/>
          <w:noProof/>
          <w:sz w:val="24"/>
          <w:szCs w:val="24"/>
        </w:rPr>
        <w:t xml:space="preserve">In </w:t>
      </w:r>
      <w:hyperlink r:id="rId77" w:history="1">
        <w:r w:rsidR="006812EC" w:rsidRPr="00D16622">
          <w:rPr>
            <w:rStyle w:val="Hyperlink"/>
            <w:rFonts w:cs="Times New Roman"/>
            <w:noProof/>
            <w:szCs w:val="24"/>
          </w:rPr>
          <w:t>Slovenia</w:t>
        </w:r>
      </w:hyperlink>
      <w:r w:rsidRPr="00D16622">
        <w:rPr>
          <w:rFonts w:ascii="Times New Roman" w:hAnsi="Times New Roman" w:cs="Times New Roman"/>
          <w:noProof/>
          <w:sz w:val="24"/>
          <w:szCs w:val="24"/>
        </w:rPr>
        <w:t>, the amendments to the Judicial Council Act and a new Judges Act overhauled the disciplinary framework for judges</w:t>
      </w:r>
      <w:r w:rsidR="001E0B9F" w:rsidRPr="00D16622">
        <w:rPr>
          <w:rFonts w:ascii="Times New Roman" w:hAnsi="Times New Roman" w:cs="Times New Roman"/>
          <w:noProof/>
          <w:sz w:val="24"/>
          <w:szCs w:val="24"/>
        </w:rPr>
        <w:t>, with more precise definitions and procedural changes</w:t>
      </w:r>
      <w:r w:rsidRPr="00D16622">
        <w:rPr>
          <w:rFonts w:ascii="Times New Roman" w:hAnsi="Times New Roman" w:cs="Times New Roman"/>
          <w:noProof/>
          <w:sz w:val="24"/>
          <w:szCs w:val="24"/>
        </w:rPr>
        <w:t xml:space="preserve">. </w:t>
      </w:r>
    </w:p>
    <w:p w14:paraId="69B9B603" w14:textId="3A3E9F46" w:rsidR="0027780E" w:rsidRPr="00D16622" w:rsidRDefault="00B42DF8" w:rsidP="0027780E">
      <w:pPr>
        <w:spacing w:after="120" w:line="240" w:lineRule="auto"/>
        <w:jc w:val="both"/>
        <w:rPr>
          <w:rFonts w:ascii="Times New Roman" w:eastAsia="Times New Roman" w:hAnsi="Times New Roman" w:cs="Times New Roman"/>
          <w:noProof/>
          <w:sz w:val="24"/>
          <w:szCs w:val="24"/>
        </w:rPr>
      </w:pPr>
      <w:r w:rsidRPr="00D16622">
        <w:rPr>
          <w:rFonts w:ascii="Times New Roman" w:hAnsi="Times New Roman" w:cs="Times New Roman"/>
          <w:noProof/>
          <w:sz w:val="24"/>
          <w:szCs w:val="24"/>
        </w:rPr>
        <w:t xml:space="preserve">In some Member States, disciplinary </w:t>
      </w:r>
      <w:r w:rsidR="00D86E4A" w:rsidRPr="00D16622">
        <w:rPr>
          <w:rFonts w:ascii="Times New Roman" w:hAnsi="Times New Roman" w:cs="Times New Roman"/>
          <w:noProof/>
          <w:sz w:val="24"/>
          <w:szCs w:val="24"/>
        </w:rPr>
        <w:t xml:space="preserve">actions </w:t>
      </w:r>
      <w:r w:rsidR="00FD3E9D" w:rsidRPr="00D16622">
        <w:rPr>
          <w:rFonts w:ascii="Times New Roman" w:hAnsi="Times New Roman" w:cs="Times New Roman"/>
          <w:noProof/>
          <w:sz w:val="24"/>
          <w:szCs w:val="24"/>
        </w:rPr>
        <w:t xml:space="preserve">concerning </w:t>
      </w:r>
      <w:r w:rsidRPr="00D16622">
        <w:rPr>
          <w:rFonts w:ascii="Times New Roman" w:hAnsi="Times New Roman" w:cs="Times New Roman"/>
          <w:noProof/>
          <w:sz w:val="24"/>
          <w:szCs w:val="24"/>
        </w:rPr>
        <w:t>judges present various challenges. In</w:t>
      </w:r>
      <w:r w:rsidRPr="00D16622">
        <w:rPr>
          <w:rFonts w:ascii="Times New Roman" w:hAnsi="Times New Roman" w:cs="Times New Roman"/>
          <w:b/>
          <w:bCs/>
          <w:noProof/>
          <w:sz w:val="24"/>
          <w:szCs w:val="24"/>
        </w:rPr>
        <w:t xml:space="preserve"> </w:t>
      </w:r>
      <w:hyperlink r:id="rId78" w:history="1">
        <w:r w:rsidRPr="00D16622">
          <w:rPr>
            <w:rStyle w:val="Hyperlink"/>
            <w:rFonts w:cs="Times New Roman"/>
            <w:noProof/>
            <w:szCs w:val="24"/>
          </w:rPr>
          <w:t>Romania</w:t>
        </w:r>
      </w:hyperlink>
      <w:r w:rsidRPr="00D16622">
        <w:rPr>
          <w:rFonts w:ascii="Times New Roman" w:hAnsi="Times New Roman" w:cs="Times New Roman"/>
          <w:noProof/>
          <w:sz w:val="24"/>
          <w:szCs w:val="24"/>
        </w:rPr>
        <w:t xml:space="preserve">, </w:t>
      </w:r>
      <w:r w:rsidR="0087636D" w:rsidRPr="00D16622">
        <w:rPr>
          <w:rFonts w:ascii="Times New Roman" w:hAnsi="Times New Roman" w:cs="Times New Roman"/>
          <w:noProof/>
          <w:sz w:val="24"/>
          <w:szCs w:val="24"/>
        </w:rPr>
        <w:t xml:space="preserve">some </w:t>
      </w:r>
      <w:r w:rsidRPr="00D16622">
        <w:rPr>
          <w:rFonts w:ascii="Times New Roman" w:hAnsi="Times New Roman" w:cs="Times New Roman"/>
          <w:noProof/>
          <w:sz w:val="24"/>
          <w:szCs w:val="24"/>
        </w:rPr>
        <w:t>magistrates continued f</w:t>
      </w:r>
      <w:r w:rsidR="00471A00" w:rsidRPr="00D16622">
        <w:rPr>
          <w:rFonts w:ascii="Times New Roman" w:hAnsi="Times New Roman" w:cs="Times New Roman"/>
          <w:noProof/>
          <w:sz w:val="24"/>
          <w:szCs w:val="24"/>
        </w:rPr>
        <w:t>eeling</w:t>
      </w:r>
      <w:r w:rsidR="0087636D" w:rsidRPr="00D16622">
        <w:rPr>
          <w:rFonts w:ascii="Times New Roman" w:hAnsi="Times New Roman" w:cs="Times New Roman"/>
          <w:noProof/>
          <w:sz w:val="24"/>
          <w:szCs w:val="24"/>
        </w:rPr>
        <w:t xml:space="preserve"> undue</w:t>
      </w:r>
      <w:r w:rsidRPr="00D16622">
        <w:rPr>
          <w:rFonts w:ascii="Times New Roman" w:hAnsi="Times New Roman" w:cs="Times New Roman"/>
          <w:noProof/>
          <w:sz w:val="24"/>
          <w:szCs w:val="24"/>
        </w:rPr>
        <w:t xml:space="preserve"> pressure and their</w:t>
      </w:r>
      <w:r w:rsidR="00024443" w:rsidRPr="00D16622">
        <w:rPr>
          <w:rFonts w:ascii="Times New Roman" w:hAnsi="Times New Roman" w:cs="Times New Roman"/>
          <w:noProof/>
          <w:sz w:val="24"/>
          <w:szCs w:val="24"/>
        </w:rPr>
        <w:t xml:space="preserve"> professional</w:t>
      </w:r>
      <w:r w:rsidRPr="00D16622">
        <w:rPr>
          <w:rFonts w:ascii="Times New Roman" w:hAnsi="Times New Roman" w:cs="Times New Roman"/>
          <w:noProof/>
          <w:sz w:val="24"/>
          <w:szCs w:val="24"/>
        </w:rPr>
        <w:t xml:space="preserve"> associations issued public statements demanding an end to disciplinary pressure on magistrates exercising their right to free speech.</w:t>
      </w:r>
      <w:r w:rsidR="00114BA6" w:rsidRPr="00D16622">
        <w:rPr>
          <w:rFonts w:ascii="Times New Roman" w:hAnsi="Times New Roman" w:cs="Times New Roman"/>
          <w:noProof/>
          <w:sz w:val="24"/>
          <w:szCs w:val="24"/>
        </w:rPr>
        <w:t xml:space="preserve"> </w:t>
      </w:r>
      <w:r w:rsidRPr="00D16622">
        <w:rPr>
          <w:rFonts w:ascii="Times New Roman" w:hAnsi="Times New Roman" w:cs="Times New Roman"/>
          <w:noProof/>
          <w:sz w:val="24"/>
          <w:szCs w:val="24"/>
        </w:rPr>
        <w:t>In addition, judges were recused by the High Court of Cassation and Justice because of their intention to refer questions to the Court of Justice of the European Union.</w:t>
      </w:r>
      <w:r w:rsidRPr="00D16622">
        <w:rPr>
          <w:rFonts w:ascii="Times New Roman" w:eastAsia="Times New Roman" w:hAnsi="Times New Roman" w:cs="Times New Roman"/>
          <w:noProof/>
          <w:sz w:val="24"/>
          <w:szCs w:val="24"/>
          <w:lang w:val="en-IE"/>
        </w:rPr>
        <w:t xml:space="preserve"> In </w:t>
      </w:r>
      <w:hyperlink r:id="rId79" w:history="1">
        <w:r w:rsidR="00421F48" w:rsidRPr="00D16622">
          <w:rPr>
            <w:rStyle w:val="Hyperlink"/>
            <w:rFonts w:cs="Times New Roman"/>
            <w:noProof/>
            <w:szCs w:val="24"/>
          </w:rPr>
          <w:t>Slovakia</w:t>
        </w:r>
      </w:hyperlink>
      <w:r w:rsidRPr="00D16622">
        <w:rPr>
          <w:rFonts w:ascii="Times New Roman" w:eastAsia="Times New Roman" w:hAnsi="Times New Roman" w:cs="Times New Roman"/>
          <w:noProof/>
          <w:sz w:val="24"/>
          <w:szCs w:val="24"/>
          <w:lang w:val="en-IE"/>
        </w:rPr>
        <w:t>, the reform of the disciplinary proceedings for judges, prosecutors, bailiffs and notaries, increasing the Judicial Council’s powers</w:t>
      </w:r>
      <w:r w:rsidR="7361FB15" w:rsidRPr="00D16622">
        <w:rPr>
          <w:rFonts w:ascii="Times New Roman" w:eastAsia="Times New Roman" w:hAnsi="Times New Roman" w:cs="Times New Roman"/>
          <w:noProof/>
          <w:sz w:val="24"/>
          <w:szCs w:val="24"/>
          <w:lang w:val="en-IE"/>
        </w:rPr>
        <w:t xml:space="preserve"> over the judiciary</w:t>
      </w:r>
      <w:r w:rsidRPr="00D16622">
        <w:rPr>
          <w:rFonts w:ascii="Times New Roman" w:eastAsia="Times New Roman" w:hAnsi="Times New Roman" w:cs="Times New Roman"/>
          <w:noProof/>
          <w:sz w:val="24"/>
          <w:szCs w:val="24"/>
          <w:lang w:val="en-IE"/>
        </w:rPr>
        <w:t xml:space="preserve">, is subject to constitutional review. </w:t>
      </w:r>
    </w:p>
    <w:p w14:paraId="14196467" w14:textId="2A2A5945" w:rsidR="003F58CB" w:rsidRPr="00D16622" w:rsidRDefault="003F58CB" w:rsidP="00E85CBC">
      <w:pPr>
        <w:spacing w:after="120" w:line="240" w:lineRule="auto"/>
        <w:jc w:val="both"/>
        <w:rPr>
          <w:rFonts w:ascii="Times New Roman" w:hAnsi="Times New Roman" w:cs="Times New Roman"/>
          <w:i/>
          <w:iCs/>
          <w:noProof/>
          <w:sz w:val="24"/>
          <w:szCs w:val="24"/>
        </w:rPr>
      </w:pPr>
      <w:r w:rsidRPr="00D16622">
        <w:rPr>
          <w:rFonts w:ascii="Times New Roman" w:hAnsi="Times New Roman" w:cs="Times New Roman"/>
          <w:i/>
          <w:iCs/>
          <w:noProof/>
          <w:sz w:val="24"/>
          <w:szCs w:val="24"/>
        </w:rPr>
        <w:t>Efforts to improve the quality and efficiency of justice</w:t>
      </w:r>
    </w:p>
    <w:p w14:paraId="141F1226" w14:textId="2728E997" w:rsidR="00452ADE" w:rsidRPr="00D16622" w:rsidRDefault="0032295D" w:rsidP="00D415B8">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T</w:t>
      </w:r>
      <w:r w:rsidR="00D415B8" w:rsidRPr="00D16622">
        <w:rPr>
          <w:rFonts w:ascii="Times New Roman" w:hAnsi="Times New Roman" w:cs="Times New Roman"/>
          <w:noProof/>
          <w:sz w:val="24"/>
          <w:szCs w:val="24"/>
        </w:rPr>
        <w:t xml:space="preserve">he justice system </w:t>
      </w:r>
      <w:r w:rsidRPr="00D16622">
        <w:rPr>
          <w:rFonts w:ascii="Times New Roman" w:hAnsi="Times New Roman" w:cs="Times New Roman"/>
          <w:noProof/>
          <w:sz w:val="24"/>
          <w:szCs w:val="24"/>
        </w:rPr>
        <w:t>needs sufficient resources</w:t>
      </w:r>
      <w:r w:rsidR="00D415B8" w:rsidRPr="00D16622">
        <w:rPr>
          <w:rFonts w:ascii="Times New Roman" w:hAnsi="Times New Roman" w:cs="Times New Roman"/>
          <w:noProof/>
          <w:sz w:val="24"/>
          <w:szCs w:val="24"/>
        </w:rPr>
        <w:t xml:space="preserve"> to work effectively. This includes </w:t>
      </w:r>
      <w:r w:rsidRPr="00D16622">
        <w:rPr>
          <w:rFonts w:ascii="Times New Roman" w:hAnsi="Times New Roman" w:cs="Times New Roman"/>
          <w:noProof/>
          <w:sz w:val="24"/>
          <w:szCs w:val="24"/>
        </w:rPr>
        <w:t xml:space="preserve">making </w:t>
      </w:r>
      <w:r w:rsidR="00D415B8" w:rsidRPr="00D16622">
        <w:rPr>
          <w:rFonts w:ascii="Times New Roman" w:hAnsi="Times New Roman" w:cs="Times New Roman"/>
          <w:noProof/>
          <w:sz w:val="24"/>
          <w:szCs w:val="24"/>
        </w:rPr>
        <w:t xml:space="preserve">the necessary investments in physical and technical infrastructure and </w:t>
      </w:r>
      <w:r w:rsidR="003124AF" w:rsidRPr="00D16622">
        <w:rPr>
          <w:rFonts w:ascii="Times New Roman" w:hAnsi="Times New Roman" w:cs="Times New Roman"/>
          <w:noProof/>
          <w:sz w:val="24"/>
          <w:szCs w:val="24"/>
        </w:rPr>
        <w:t xml:space="preserve">ensuring </w:t>
      </w:r>
      <w:r w:rsidR="00D415B8" w:rsidRPr="00D16622">
        <w:rPr>
          <w:rFonts w:ascii="Times New Roman" w:hAnsi="Times New Roman" w:cs="Times New Roman"/>
          <w:noProof/>
          <w:sz w:val="24"/>
          <w:szCs w:val="24"/>
        </w:rPr>
        <w:t>well qualified, trained and adequately paid staff. Member States have continued to invest in their justice systems, often despite a restrictive budgetary context</w:t>
      </w:r>
      <w:r w:rsidR="007B6F21" w:rsidRPr="00D16622">
        <w:rPr>
          <w:rFonts w:ascii="Times New Roman" w:hAnsi="Times New Roman" w:cs="Times New Roman"/>
          <w:noProof/>
          <w:sz w:val="24"/>
          <w:szCs w:val="24"/>
        </w:rPr>
        <w:t>,</w:t>
      </w:r>
      <w:r w:rsidR="007847C0" w:rsidRPr="00D16622">
        <w:rPr>
          <w:rFonts w:ascii="Times New Roman" w:hAnsi="Times New Roman" w:cs="Times New Roman"/>
          <w:noProof/>
          <w:sz w:val="24"/>
          <w:szCs w:val="24"/>
        </w:rPr>
        <w:t xml:space="preserve"> in several cases </w:t>
      </w:r>
      <w:r w:rsidR="00E320E6" w:rsidRPr="00D16622">
        <w:rPr>
          <w:rFonts w:ascii="Times New Roman" w:hAnsi="Times New Roman" w:cs="Times New Roman"/>
          <w:noProof/>
          <w:sz w:val="24"/>
          <w:szCs w:val="24"/>
        </w:rPr>
        <w:t>with EU</w:t>
      </w:r>
      <w:r w:rsidR="000B7537" w:rsidRPr="00D16622">
        <w:rPr>
          <w:rFonts w:ascii="Times New Roman" w:hAnsi="Times New Roman" w:cs="Times New Roman"/>
          <w:noProof/>
          <w:sz w:val="24"/>
          <w:szCs w:val="24"/>
        </w:rPr>
        <w:t xml:space="preserve"> support </w:t>
      </w:r>
      <w:r w:rsidR="00E320E6" w:rsidRPr="00D16622">
        <w:rPr>
          <w:rFonts w:ascii="Times New Roman" w:hAnsi="Times New Roman" w:cs="Times New Roman"/>
          <w:noProof/>
          <w:sz w:val="24"/>
          <w:szCs w:val="24"/>
        </w:rPr>
        <w:t>via their</w:t>
      </w:r>
      <w:r w:rsidR="006E0B8C" w:rsidRPr="00D16622">
        <w:rPr>
          <w:rFonts w:ascii="Times New Roman" w:hAnsi="Times New Roman" w:cs="Times New Roman"/>
          <w:noProof/>
          <w:sz w:val="24"/>
          <w:szCs w:val="24"/>
        </w:rPr>
        <w:t xml:space="preserve"> </w:t>
      </w:r>
      <w:r w:rsidR="000B7537" w:rsidRPr="00D16622">
        <w:rPr>
          <w:rFonts w:ascii="Times New Roman" w:hAnsi="Times New Roman" w:cs="Times New Roman"/>
          <w:noProof/>
          <w:sz w:val="24"/>
          <w:szCs w:val="24"/>
        </w:rPr>
        <w:t>Recovery and Resilience Plans</w:t>
      </w:r>
      <w:r w:rsidR="00D415B8" w:rsidRPr="00D16622">
        <w:rPr>
          <w:rFonts w:ascii="Times New Roman" w:hAnsi="Times New Roman" w:cs="Times New Roman"/>
          <w:noProof/>
          <w:sz w:val="24"/>
          <w:szCs w:val="24"/>
        </w:rPr>
        <w:t xml:space="preserve">. </w:t>
      </w:r>
    </w:p>
    <w:p w14:paraId="39307035" w14:textId="3E9DDB6D" w:rsidR="00D415B8" w:rsidRPr="00D16622" w:rsidRDefault="00D415B8" w:rsidP="00D415B8">
      <w:pPr>
        <w:spacing w:after="120" w:line="240" w:lineRule="auto"/>
        <w:jc w:val="both"/>
        <w:rPr>
          <w:rFonts w:ascii="Times New Roman" w:eastAsia="Times New Roman" w:hAnsi="Times New Roman" w:cs="Times New Roman"/>
          <w:noProof/>
          <w:sz w:val="24"/>
          <w:szCs w:val="24"/>
          <w:lang w:val="en-IE"/>
        </w:rPr>
      </w:pPr>
      <w:bookmarkStart w:id="6" w:name="_Hlk233985205"/>
      <w:r w:rsidRPr="00D16622">
        <w:rPr>
          <w:rFonts w:ascii="Times New Roman" w:eastAsia="Times New Roman" w:hAnsi="Times New Roman" w:cs="Times New Roman"/>
          <w:noProof/>
          <w:sz w:val="24"/>
          <w:szCs w:val="24"/>
          <w:lang w:val="en-IE"/>
        </w:rPr>
        <w:t xml:space="preserve">In </w:t>
      </w:r>
      <w:hyperlink r:id="rId80" w:history="1">
        <w:r w:rsidRPr="00D16622">
          <w:rPr>
            <w:rStyle w:val="Hyperlink"/>
            <w:rFonts w:eastAsia="Times New Roman" w:cs="Times New Roman"/>
            <w:noProof/>
            <w:szCs w:val="24"/>
            <w:lang w:val="en-IE"/>
          </w:rPr>
          <w:t>Germany</w:t>
        </w:r>
      </w:hyperlink>
      <w:r w:rsidRPr="00D16622">
        <w:rPr>
          <w:rFonts w:ascii="Times New Roman" w:eastAsia="Times New Roman" w:hAnsi="Times New Roman" w:cs="Times New Roman"/>
          <w:noProof/>
          <w:sz w:val="24"/>
          <w:szCs w:val="24"/>
          <w:lang w:val="en-IE"/>
        </w:rPr>
        <w:t xml:space="preserve">, with the new Pact for the Rule of Law and a joint campaign to attract qualified personnel, </w:t>
      </w:r>
      <w:r w:rsidR="002919A5" w:rsidRPr="00D16622">
        <w:rPr>
          <w:rFonts w:ascii="Times New Roman" w:eastAsia="Times New Roman" w:hAnsi="Times New Roman" w:cs="Times New Roman"/>
          <w:noProof/>
          <w:sz w:val="24"/>
          <w:szCs w:val="24"/>
          <w:lang w:val="en-IE"/>
        </w:rPr>
        <w:t xml:space="preserve">significant </w:t>
      </w:r>
      <w:r w:rsidRPr="00D16622">
        <w:rPr>
          <w:rFonts w:ascii="Times New Roman" w:eastAsia="Times New Roman" w:hAnsi="Times New Roman" w:cs="Times New Roman"/>
          <w:noProof/>
          <w:sz w:val="24"/>
          <w:szCs w:val="24"/>
          <w:lang w:val="en-IE"/>
        </w:rPr>
        <w:t>steps have been taken to increase resources of the judiciary and address recruitment challenges.</w:t>
      </w:r>
      <w:r w:rsidRPr="00D16622">
        <w:rPr>
          <w:rFonts w:ascii="Times New Roman" w:eastAsia="Times New Roman" w:hAnsi="Times New Roman" w:cs="Times New Roman"/>
          <w:noProof/>
          <w:sz w:val="24"/>
          <w:szCs w:val="24"/>
          <w:lang w:eastAsia="fr-FR"/>
        </w:rPr>
        <w:t xml:space="preserve"> </w:t>
      </w:r>
      <w:bookmarkEnd w:id="6"/>
      <w:r w:rsidRPr="00D16622">
        <w:rPr>
          <w:rFonts w:ascii="Times New Roman" w:eastAsia="Times New Roman" w:hAnsi="Times New Roman" w:cs="Times New Roman"/>
          <w:noProof/>
          <w:sz w:val="24"/>
          <w:szCs w:val="24"/>
          <w:lang w:eastAsia="fr-FR"/>
        </w:rPr>
        <w:t xml:space="preserve">In </w:t>
      </w:r>
      <w:hyperlink r:id="rId81" w:history="1">
        <w:r w:rsidRPr="00D16622">
          <w:rPr>
            <w:rStyle w:val="Hyperlink"/>
            <w:rFonts w:eastAsia="Times New Roman" w:cs="Times New Roman"/>
            <w:noProof/>
            <w:szCs w:val="24"/>
            <w:lang w:eastAsia="fr-FR"/>
          </w:rPr>
          <w:t>Belgium</w:t>
        </w:r>
      </w:hyperlink>
      <w:r w:rsidRPr="00D16622">
        <w:rPr>
          <w:rFonts w:ascii="Times New Roman" w:eastAsia="Times New Roman" w:hAnsi="Times New Roman" w:cs="Times New Roman"/>
          <w:b/>
          <w:bCs/>
          <w:noProof/>
          <w:sz w:val="24"/>
          <w:szCs w:val="24"/>
          <w:lang w:eastAsia="fr-FR"/>
        </w:rPr>
        <w:t>,</w:t>
      </w:r>
      <w:r w:rsidRPr="00D16622">
        <w:rPr>
          <w:rFonts w:ascii="Times New Roman" w:eastAsia="Times New Roman" w:hAnsi="Times New Roman" w:cs="Times New Roman"/>
          <w:noProof/>
          <w:sz w:val="24"/>
          <w:szCs w:val="24"/>
          <w:lang w:eastAsia="fr-FR"/>
        </w:rPr>
        <w:t xml:space="preserve"> the Parliament adopted a law to make positions in the judiciary more attractive by aligning employment conditions more closely with those of civil servants outside the judiciary. In the </w:t>
      </w:r>
      <w:hyperlink r:id="rId82" w:history="1">
        <w:r w:rsidR="002C61F5" w:rsidRPr="00D16622">
          <w:rPr>
            <w:rStyle w:val="Hyperlink"/>
            <w:rFonts w:eastAsia="Times New Roman" w:cs="Times New Roman"/>
            <w:noProof/>
            <w:szCs w:val="24"/>
          </w:rPr>
          <w:t>Netherlands</w:t>
        </w:r>
      </w:hyperlink>
      <w:r w:rsidRPr="00D16622">
        <w:rPr>
          <w:rFonts w:ascii="Times New Roman" w:eastAsia="Times New Roman" w:hAnsi="Times New Roman" w:cs="Times New Roman"/>
          <w:noProof/>
          <w:sz w:val="24"/>
          <w:szCs w:val="24"/>
          <w:lang w:eastAsia="fr-FR"/>
        </w:rPr>
        <w:t xml:space="preserve">, the judiciary will receive </w:t>
      </w:r>
      <w:r w:rsidR="00592BFE" w:rsidRPr="00D16622">
        <w:rPr>
          <w:rFonts w:ascii="Times New Roman" w:eastAsia="Times New Roman" w:hAnsi="Times New Roman" w:cs="Times New Roman"/>
          <w:noProof/>
          <w:sz w:val="24"/>
          <w:szCs w:val="24"/>
          <w:lang w:eastAsia="fr-FR"/>
        </w:rPr>
        <w:t>increased allocations</w:t>
      </w:r>
      <w:r w:rsidRPr="00D16622">
        <w:rPr>
          <w:rFonts w:ascii="Times New Roman" w:eastAsia="Times New Roman" w:hAnsi="Times New Roman" w:cs="Times New Roman"/>
          <w:noProof/>
          <w:sz w:val="24"/>
          <w:szCs w:val="24"/>
          <w:lang w:eastAsia="fr-FR"/>
        </w:rPr>
        <w:t xml:space="preserve"> as of 2027 to improve working conditions in the justice system and to address staff shortages.</w:t>
      </w:r>
      <w:r w:rsidRPr="00D16622">
        <w:rPr>
          <w:rFonts w:ascii="Times New Roman" w:eastAsia="Times New Roman" w:hAnsi="Times New Roman" w:cs="Times New Roman"/>
          <w:noProof/>
          <w:sz w:val="24"/>
          <w:szCs w:val="24"/>
          <w:lang w:val="en-IE"/>
        </w:rPr>
        <w:t xml:space="preserve"> </w:t>
      </w:r>
      <w:r w:rsidRPr="00D16622">
        <w:rPr>
          <w:rFonts w:ascii="Times New Roman" w:hAnsi="Times New Roman" w:cs="Times New Roman"/>
          <w:bCs/>
          <w:noProof/>
          <w:sz w:val="24"/>
          <w:szCs w:val="24"/>
        </w:rPr>
        <w:t xml:space="preserve">In </w:t>
      </w:r>
      <w:hyperlink r:id="rId83" w:history="1">
        <w:r w:rsidRPr="00D16622">
          <w:rPr>
            <w:rStyle w:val="Hyperlink"/>
            <w:rFonts w:cs="Times New Roman"/>
            <w:bCs/>
            <w:noProof/>
            <w:szCs w:val="24"/>
          </w:rPr>
          <w:t>Greece</w:t>
        </w:r>
      </w:hyperlink>
      <w:r w:rsidRPr="00D16622">
        <w:rPr>
          <w:rFonts w:ascii="Times New Roman" w:hAnsi="Times New Roman" w:cs="Times New Roman"/>
          <w:bCs/>
          <w:noProof/>
          <w:sz w:val="24"/>
          <w:szCs w:val="24"/>
        </w:rPr>
        <w:t xml:space="preserve">, </w:t>
      </w:r>
      <w:r w:rsidR="003F3426" w:rsidRPr="00D16622">
        <w:rPr>
          <w:rFonts w:ascii="Times New Roman" w:hAnsi="Times New Roman" w:cs="Times New Roman"/>
          <w:bCs/>
          <w:noProof/>
          <w:sz w:val="24"/>
          <w:szCs w:val="24"/>
        </w:rPr>
        <w:t>the</w:t>
      </w:r>
      <w:r w:rsidRPr="00D16622">
        <w:rPr>
          <w:rFonts w:ascii="Times New Roman" w:hAnsi="Times New Roman" w:cs="Times New Roman"/>
          <w:bCs/>
          <w:noProof/>
          <w:sz w:val="24"/>
          <w:szCs w:val="24"/>
        </w:rPr>
        <w:t xml:space="preserve"> recruitment of prosecutors aim</w:t>
      </w:r>
      <w:r w:rsidR="003F3426" w:rsidRPr="00D16622">
        <w:rPr>
          <w:rFonts w:ascii="Times New Roman" w:hAnsi="Times New Roman" w:cs="Times New Roman"/>
          <w:bCs/>
          <w:noProof/>
          <w:sz w:val="24"/>
          <w:szCs w:val="24"/>
        </w:rPr>
        <w:t>s</w:t>
      </w:r>
      <w:r w:rsidRPr="00D16622">
        <w:rPr>
          <w:rFonts w:ascii="Times New Roman" w:hAnsi="Times New Roman" w:cs="Times New Roman"/>
          <w:bCs/>
          <w:noProof/>
          <w:sz w:val="24"/>
          <w:szCs w:val="24"/>
        </w:rPr>
        <w:t xml:space="preserve"> to address </w:t>
      </w:r>
      <w:r w:rsidR="003F3426" w:rsidRPr="00D16622">
        <w:rPr>
          <w:rFonts w:ascii="Times New Roman" w:hAnsi="Times New Roman" w:cs="Times New Roman"/>
          <w:bCs/>
          <w:noProof/>
          <w:sz w:val="24"/>
          <w:szCs w:val="24"/>
        </w:rPr>
        <w:t>staff shortages</w:t>
      </w:r>
      <w:r w:rsidRPr="00D16622">
        <w:rPr>
          <w:rFonts w:ascii="Times New Roman" w:hAnsi="Times New Roman" w:cs="Times New Roman"/>
          <w:bCs/>
          <w:noProof/>
          <w:sz w:val="24"/>
          <w:szCs w:val="24"/>
        </w:rPr>
        <w:t xml:space="preserve">. </w:t>
      </w:r>
      <w:r w:rsidRPr="00D16622">
        <w:rPr>
          <w:rFonts w:ascii="Times New Roman" w:eastAsia="Times New Roman" w:hAnsi="Times New Roman" w:cs="Times New Roman"/>
          <w:noProof/>
          <w:sz w:val="24"/>
          <w:szCs w:val="24"/>
          <w:lang w:val="en-IE"/>
        </w:rPr>
        <w:t>However, adequate resources remain a</w:t>
      </w:r>
      <w:r w:rsidR="00DA7209" w:rsidRPr="00D16622">
        <w:rPr>
          <w:rFonts w:ascii="Times New Roman" w:eastAsia="Times New Roman" w:hAnsi="Times New Roman" w:cs="Times New Roman"/>
          <w:noProof/>
          <w:sz w:val="24"/>
          <w:szCs w:val="24"/>
          <w:lang w:val="en-IE"/>
        </w:rPr>
        <w:t xml:space="preserve"> recurrent</w:t>
      </w:r>
      <w:r w:rsidRPr="00D16622">
        <w:rPr>
          <w:rFonts w:ascii="Times New Roman" w:eastAsia="Times New Roman" w:hAnsi="Times New Roman" w:cs="Times New Roman"/>
          <w:noProof/>
          <w:sz w:val="24"/>
          <w:szCs w:val="24"/>
          <w:lang w:val="en-IE"/>
        </w:rPr>
        <w:t xml:space="preserve"> challenge</w:t>
      </w:r>
      <w:r w:rsidR="00F4361A" w:rsidRPr="00D16622">
        <w:rPr>
          <w:rFonts w:ascii="Times New Roman" w:eastAsia="Times New Roman" w:hAnsi="Times New Roman" w:cs="Times New Roman"/>
          <w:noProof/>
          <w:sz w:val="24"/>
          <w:szCs w:val="24"/>
          <w:lang w:val="en-IE"/>
        </w:rPr>
        <w:t>; f</w:t>
      </w:r>
      <w:r w:rsidRPr="00D16622">
        <w:rPr>
          <w:rFonts w:ascii="Times New Roman" w:eastAsia="Times New Roman" w:hAnsi="Times New Roman" w:cs="Times New Roman"/>
          <w:noProof/>
          <w:sz w:val="24"/>
          <w:szCs w:val="24"/>
          <w:lang w:val="en-IE"/>
        </w:rPr>
        <w:t xml:space="preserve">or example in </w:t>
      </w:r>
      <w:hyperlink r:id="rId84" w:history="1">
        <w:r w:rsidR="009F1189" w:rsidRPr="00D16622">
          <w:rPr>
            <w:rStyle w:val="Hyperlink"/>
            <w:rFonts w:cs="Times New Roman"/>
            <w:noProof/>
            <w:szCs w:val="24"/>
          </w:rPr>
          <w:t>Portugal</w:t>
        </w:r>
      </w:hyperlink>
      <w:r w:rsidRPr="00D16622">
        <w:rPr>
          <w:rFonts w:ascii="Times New Roman" w:eastAsia="Times New Roman" w:hAnsi="Times New Roman" w:cs="Times New Roman"/>
          <w:noProof/>
          <w:sz w:val="24"/>
          <w:szCs w:val="24"/>
          <w:lang w:val="en-IE"/>
        </w:rPr>
        <w:t xml:space="preserve">, </w:t>
      </w:r>
      <w:r w:rsidR="00495C15" w:rsidRPr="00D16622">
        <w:rPr>
          <w:rFonts w:ascii="Times New Roman" w:eastAsia="Times New Roman" w:hAnsi="Times New Roman" w:cs="Times New Roman"/>
          <w:noProof/>
          <w:sz w:val="24"/>
          <w:szCs w:val="24"/>
          <w:lang w:val="en-IE"/>
        </w:rPr>
        <w:t xml:space="preserve">recruitments </w:t>
      </w:r>
      <w:r w:rsidR="00405E51" w:rsidRPr="00D16622">
        <w:rPr>
          <w:rFonts w:ascii="Times New Roman" w:eastAsia="Times New Roman" w:hAnsi="Times New Roman" w:cs="Times New Roman"/>
          <w:noProof/>
          <w:sz w:val="24"/>
          <w:szCs w:val="24"/>
          <w:lang w:val="en-IE"/>
        </w:rPr>
        <w:t xml:space="preserve">for judicial and </w:t>
      </w:r>
      <w:r w:rsidR="001E7A89" w:rsidRPr="00D16622">
        <w:rPr>
          <w:rFonts w:ascii="Times New Roman" w:eastAsia="Times New Roman" w:hAnsi="Times New Roman" w:cs="Times New Roman"/>
          <w:noProof/>
          <w:sz w:val="24"/>
          <w:szCs w:val="24"/>
          <w:lang w:val="en-IE"/>
        </w:rPr>
        <w:t xml:space="preserve">prosecutorial </w:t>
      </w:r>
      <w:r w:rsidR="00437F4D" w:rsidRPr="00D16622">
        <w:rPr>
          <w:rFonts w:ascii="Times New Roman" w:eastAsia="Times New Roman" w:hAnsi="Times New Roman" w:cs="Times New Roman"/>
          <w:noProof/>
          <w:sz w:val="24"/>
          <w:szCs w:val="24"/>
          <w:lang w:val="en-IE"/>
        </w:rPr>
        <w:t>posts are underway but</w:t>
      </w:r>
      <w:r w:rsidRPr="00D16622">
        <w:rPr>
          <w:rFonts w:ascii="Times New Roman" w:eastAsia="Times New Roman" w:hAnsi="Times New Roman" w:cs="Times New Roman"/>
          <w:noProof/>
          <w:sz w:val="24"/>
          <w:szCs w:val="24"/>
          <w:lang w:val="en-IE"/>
        </w:rPr>
        <w:t xml:space="preserve"> concerns remain regarding the shortage of judicial clerks and the deteriorating conditions and security in court and prosecution premises. </w:t>
      </w:r>
      <w:r w:rsidR="00771D75" w:rsidRPr="00D16622">
        <w:rPr>
          <w:rFonts w:ascii="Times New Roman" w:eastAsia="Times New Roman" w:hAnsi="Times New Roman" w:cs="Times New Roman"/>
          <w:noProof/>
          <w:sz w:val="24"/>
          <w:szCs w:val="24"/>
          <w:lang w:val="en-IE"/>
        </w:rPr>
        <w:t xml:space="preserve">In </w:t>
      </w:r>
      <w:hyperlink r:id="rId85" w:history="1">
        <w:r w:rsidR="00771D75" w:rsidRPr="00D16622">
          <w:rPr>
            <w:rStyle w:val="Hyperlink"/>
            <w:rFonts w:eastAsia="Times New Roman" w:cs="Times New Roman"/>
            <w:noProof/>
            <w:szCs w:val="24"/>
            <w:lang w:val="en-IE"/>
          </w:rPr>
          <w:t>Estonia</w:t>
        </w:r>
      </w:hyperlink>
      <w:r w:rsidR="00771D75" w:rsidRPr="00D16622">
        <w:rPr>
          <w:rFonts w:ascii="Times New Roman" w:eastAsia="Times New Roman" w:hAnsi="Times New Roman" w:cs="Times New Roman"/>
          <w:noProof/>
          <w:sz w:val="24"/>
          <w:szCs w:val="24"/>
          <w:lang w:val="en-IE"/>
        </w:rPr>
        <w:t xml:space="preserve">, the workload within the judiciary remains a challenge, </w:t>
      </w:r>
      <w:r w:rsidR="00582FD4" w:rsidRPr="00D16622">
        <w:rPr>
          <w:rFonts w:ascii="Times New Roman" w:eastAsia="Times New Roman" w:hAnsi="Times New Roman" w:cs="Times New Roman"/>
          <w:noProof/>
          <w:sz w:val="24"/>
          <w:szCs w:val="24"/>
          <w:lang w:val="en-IE"/>
        </w:rPr>
        <w:t>while competitions to fill in</w:t>
      </w:r>
      <w:r w:rsidR="00771D75" w:rsidRPr="00D16622">
        <w:rPr>
          <w:rFonts w:ascii="Times New Roman" w:eastAsia="Times New Roman" w:hAnsi="Times New Roman" w:cs="Times New Roman"/>
          <w:noProof/>
          <w:sz w:val="24"/>
          <w:szCs w:val="24"/>
          <w:lang w:val="en-IE"/>
        </w:rPr>
        <w:t xml:space="preserve"> vacancies </w:t>
      </w:r>
      <w:r w:rsidR="00F84554" w:rsidRPr="00D16622">
        <w:rPr>
          <w:rFonts w:ascii="Times New Roman" w:eastAsia="Times New Roman" w:hAnsi="Times New Roman" w:cs="Times New Roman"/>
          <w:noProof/>
          <w:sz w:val="24"/>
          <w:szCs w:val="24"/>
          <w:lang w:val="en-IE"/>
        </w:rPr>
        <w:t>have been announced</w:t>
      </w:r>
      <w:r w:rsidR="00771D75" w:rsidRPr="00D16622">
        <w:rPr>
          <w:rFonts w:ascii="Times New Roman" w:eastAsia="Times New Roman" w:hAnsi="Times New Roman" w:cs="Times New Roman"/>
          <w:noProof/>
          <w:sz w:val="24"/>
          <w:szCs w:val="24"/>
          <w:lang w:val="en-IE"/>
        </w:rPr>
        <w:t>.</w:t>
      </w:r>
      <w:r w:rsidR="00771D75" w:rsidRPr="00D16622" w:rsidDel="00E123EF">
        <w:rPr>
          <w:rFonts w:ascii="Times New Roman" w:eastAsia="Times New Roman" w:hAnsi="Times New Roman" w:cs="Times New Roman"/>
          <w:noProof/>
          <w:sz w:val="24"/>
          <w:szCs w:val="24"/>
          <w:lang w:val="en-IE"/>
        </w:rPr>
        <w:t xml:space="preserve"> </w:t>
      </w:r>
    </w:p>
    <w:p w14:paraId="47D24774" w14:textId="77777777" w:rsidR="00F873AE" w:rsidRPr="00D16622" w:rsidRDefault="00D415B8" w:rsidP="00D415B8">
      <w:pPr>
        <w:spacing w:after="120" w:line="240" w:lineRule="auto"/>
        <w:jc w:val="both"/>
        <w:rPr>
          <w:rFonts w:ascii="Times New Roman" w:eastAsia="Times New Roman" w:hAnsi="Times New Roman" w:cs="Times New Roman"/>
          <w:noProof/>
          <w:sz w:val="24"/>
          <w:szCs w:val="24"/>
          <w:lang w:val="en-IE"/>
        </w:rPr>
      </w:pPr>
      <w:r w:rsidRPr="00D16622">
        <w:rPr>
          <w:rFonts w:ascii="Times New Roman" w:eastAsia="Times New Roman" w:hAnsi="Times New Roman" w:cs="Times New Roman"/>
          <w:noProof/>
          <w:sz w:val="24"/>
          <w:szCs w:val="24"/>
        </w:rPr>
        <w:t xml:space="preserve">The level of </w:t>
      </w:r>
      <w:r w:rsidR="00E07EF0" w:rsidRPr="00D16622">
        <w:rPr>
          <w:rFonts w:ascii="Times New Roman" w:eastAsia="Times New Roman" w:hAnsi="Times New Roman" w:cs="Times New Roman"/>
          <w:noProof/>
          <w:sz w:val="24"/>
          <w:szCs w:val="24"/>
        </w:rPr>
        <w:t xml:space="preserve">judges’ </w:t>
      </w:r>
      <w:r w:rsidRPr="00D16622">
        <w:rPr>
          <w:rFonts w:ascii="Times New Roman" w:eastAsia="Times New Roman" w:hAnsi="Times New Roman" w:cs="Times New Roman"/>
          <w:noProof/>
          <w:sz w:val="24"/>
          <w:szCs w:val="24"/>
        </w:rPr>
        <w:t xml:space="preserve">remuneration </w:t>
      </w:r>
      <w:r w:rsidR="00E07EF0" w:rsidRPr="00D16622">
        <w:rPr>
          <w:rFonts w:ascii="Times New Roman" w:eastAsia="Times New Roman" w:hAnsi="Times New Roman" w:cs="Times New Roman"/>
          <w:noProof/>
          <w:sz w:val="24"/>
          <w:szCs w:val="24"/>
        </w:rPr>
        <w:t>can impact judicial independence and is also</w:t>
      </w:r>
      <w:r w:rsidR="00617E3E" w:rsidRPr="00D16622">
        <w:rPr>
          <w:rFonts w:ascii="Times New Roman" w:eastAsia="Times New Roman" w:hAnsi="Times New Roman" w:cs="Times New Roman"/>
          <w:noProof/>
          <w:sz w:val="24"/>
          <w:szCs w:val="24"/>
        </w:rPr>
        <w:t xml:space="preserve"> relevant to</w:t>
      </w:r>
      <w:r w:rsidR="00617E3E" w:rsidRPr="00D16622" w:rsidDel="00E123EF">
        <w:rPr>
          <w:rFonts w:ascii="Times New Roman" w:eastAsia="Times New Roman" w:hAnsi="Times New Roman" w:cs="Times New Roman"/>
          <w:noProof/>
          <w:sz w:val="24"/>
          <w:szCs w:val="24"/>
        </w:rPr>
        <w:t xml:space="preserve"> </w:t>
      </w:r>
      <w:r w:rsidRPr="00D16622">
        <w:rPr>
          <w:rFonts w:ascii="Times New Roman" w:eastAsia="Times New Roman" w:hAnsi="Times New Roman" w:cs="Times New Roman"/>
          <w:noProof/>
          <w:sz w:val="24"/>
          <w:szCs w:val="24"/>
        </w:rPr>
        <w:t>the attractiveness of the judicial profession</w:t>
      </w:r>
      <w:r w:rsidRPr="00D16622">
        <w:rPr>
          <w:rStyle w:val="FootnoteReference"/>
          <w:rFonts w:cs="Times New Roman"/>
          <w:noProof/>
        </w:rPr>
        <w:footnoteReference w:id="56"/>
      </w:r>
      <w:r w:rsidRPr="00D16622">
        <w:rPr>
          <w:rFonts w:ascii="Times New Roman" w:eastAsia="Times New Roman" w:hAnsi="Times New Roman" w:cs="Times New Roman"/>
          <w:noProof/>
          <w:sz w:val="24"/>
          <w:szCs w:val="24"/>
        </w:rPr>
        <w:t xml:space="preserve">. </w:t>
      </w:r>
      <w:r w:rsidRPr="00D16622">
        <w:rPr>
          <w:rFonts w:ascii="Times New Roman" w:hAnsi="Times New Roman" w:cs="Times New Roman"/>
          <w:noProof/>
          <w:sz w:val="24"/>
          <w:szCs w:val="24"/>
          <w:lang w:val="en-IE"/>
        </w:rPr>
        <w:t xml:space="preserve">In </w:t>
      </w:r>
      <w:hyperlink r:id="rId86" w:history="1">
        <w:r w:rsidR="008A099D" w:rsidRPr="00D16622">
          <w:rPr>
            <w:rStyle w:val="Hyperlink"/>
            <w:rFonts w:cs="Times New Roman"/>
            <w:noProof/>
            <w:szCs w:val="24"/>
            <w:lang w:eastAsia="en-IE"/>
          </w:rPr>
          <w:t>Sweden</w:t>
        </w:r>
      </w:hyperlink>
      <w:r w:rsidRPr="00D16622">
        <w:rPr>
          <w:rFonts w:ascii="Times New Roman" w:hAnsi="Times New Roman" w:cs="Times New Roman"/>
          <w:noProof/>
          <w:sz w:val="24"/>
          <w:szCs w:val="24"/>
          <w:lang w:val="en-IE"/>
        </w:rPr>
        <w:t>, t</w:t>
      </w:r>
      <w:r w:rsidRPr="00D16622">
        <w:rPr>
          <w:rFonts w:ascii="Times New Roman" w:eastAsia="Times New Roman" w:hAnsi="Times New Roman" w:cs="Times New Roman"/>
          <w:noProof/>
          <w:sz w:val="24"/>
          <w:szCs w:val="24"/>
          <w:lang w:val="en-IE"/>
        </w:rPr>
        <w:t xml:space="preserve">he National Courts Administration and the judges’ trade union agreed on a new collective agreement, clarifying existing safeguards and introducing additional measures to support judicial independence with regard to the judges’ salary system. </w:t>
      </w:r>
      <w:r w:rsidR="00E86D6C" w:rsidRPr="00D16622">
        <w:rPr>
          <w:rFonts w:ascii="Times New Roman" w:eastAsia="Times New Roman" w:hAnsi="Times New Roman" w:cs="Times New Roman"/>
          <w:noProof/>
          <w:sz w:val="24"/>
          <w:szCs w:val="24"/>
          <w:lang w:val="en-IE"/>
        </w:rPr>
        <w:t xml:space="preserve">In </w:t>
      </w:r>
      <w:hyperlink r:id="rId87" w:history="1">
        <w:r w:rsidR="00E86D6C" w:rsidRPr="00D16622">
          <w:rPr>
            <w:rStyle w:val="Hyperlink"/>
            <w:rFonts w:cs="Times New Roman"/>
            <w:noProof/>
            <w:szCs w:val="24"/>
          </w:rPr>
          <w:t>Hungary</w:t>
        </w:r>
      </w:hyperlink>
      <w:r w:rsidR="00E86D6C" w:rsidRPr="00D16622">
        <w:rPr>
          <w:rFonts w:ascii="Times New Roman" w:eastAsia="Times New Roman" w:hAnsi="Times New Roman" w:cs="Times New Roman"/>
          <w:noProof/>
          <w:sz w:val="24"/>
          <w:szCs w:val="24"/>
          <w:lang w:val="en-IE"/>
        </w:rPr>
        <w:t>, salaries in the justice system have been increased further, while no measures have been taken to ensure that such increases are carried out in a structured way.</w:t>
      </w:r>
      <w:r w:rsidR="00BF1D80" w:rsidRPr="00D16622">
        <w:rPr>
          <w:rFonts w:ascii="Times New Roman" w:eastAsia="Times New Roman" w:hAnsi="Times New Roman" w:cs="Times New Roman"/>
          <w:noProof/>
          <w:sz w:val="24"/>
          <w:szCs w:val="24"/>
          <w:lang w:val="en-IE"/>
        </w:rPr>
        <w:t xml:space="preserve"> </w:t>
      </w:r>
    </w:p>
    <w:p w14:paraId="40306822" w14:textId="4BC16736" w:rsidR="00D415B8" w:rsidRPr="00D16622" w:rsidRDefault="00555592" w:rsidP="00D415B8">
      <w:pPr>
        <w:spacing w:after="120" w:line="240" w:lineRule="auto"/>
        <w:jc w:val="both"/>
        <w:rPr>
          <w:rFonts w:ascii="Times New Roman" w:eastAsia="Times New Roman" w:hAnsi="Times New Roman" w:cs="Times New Roman"/>
          <w:noProof/>
          <w:sz w:val="24"/>
          <w:szCs w:val="24"/>
          <w:lang w:val="en-IE"/>
        </w:rPr>
      </w:pPr>
      <w:r w:rsidRPr="00D16622">
        <w:rPr>
          <w:rFonts w:ascii="Times New Roman" w:hAnsi="Times New Roman" w:cs="Times New Roman"/>
          <w:noProof/>
          <w:sz w:val="24"/>
          <w:szCs w:val="24"/>
        </w:rPr>
        <w:t>Digitalisation</w:t>
      </w:r>
      <w:r w:rsidR="00D415B8" w:rsidRPr="00D16622">
        <w:rPr>
          <w:rFonts w:ascii="Times New Roman" w:hAnsi="Times New Roman" w:cs="Times New Roman"/>
          <w:noProof/>
          <w:sz w:val="24"/>
          <w:szCs w:val="24"/>
        </w:rPr>
        <w:t xml:space="preserve"> can strengthen Member States’ justice systems and make them more accessible, efficient, resilient and ready to face current and future challenges. Digitalisation initiatives have continued to advance in </w:t>
      </w:r>
      <w:hyperlink r:id="rId88" w:history="1">
        <w:r w:rsidR="00D415B8" w:rsidRPr="00D16622">
          <w:rPr>
            <w:rStyle w:val="Hyperlink"/>
            <w:rFonts w:cs="Times New Roman"/>
            <w:noProof/>
            <w:szCs w:val="24"/>
          </w:rPr>
          <w:t>Ireland</w:t>
        </w:r>
      </w:hyperlink>
      <w:r w:rsidR="00D415B8" w:rsidRPr="00D16622">
        <w:rPr>
          <w:rFonts w:ascii="Times New Roman" w:hAnsi="Times New Roman" w:cs="Times New Roman"/>
          <w:noProof/>
          <w:sz w:val="24"/>
          <w:szCs w:val="24"/>
        </w:rPr>
        <w:t xml:space="preserve">, </w:t>
      </w:r>
      <w:hyperlink r:id="rId89" w:history="1">
        <w:r w:rsidR="00D415B8" w:rsidRPr="00D16622">
          <w:rPr>
            <w:rStyle w:val="Hyperlink"/>
            <w:rFonts w:eastAsia="Times New Roman" w:cs="Times New Roman"/>
            <w:noProof/>
            <w:szCs w:val="24"/>
            <w:lang w:val="en-IE"/>
          </w:rPr>
          <w:t>Greece</w:t>
        </w:r>
      </w:hyperlink>
      <w:r w:rsidR="00D415B8" w:rsidRPr="00D16622">
        <w:rPr>
          <w:rFonts w:ascii="Times New Roman" w:eastAsia="Times New Roman" w:hAnsi="Times New Roman" w:cs="Times New Roman"/>
          <w:noProof/>
          <w:sz w:val="24"/>
          <w:szCs w:val="24"/>
          <w:lang w:val="en-IE"/>
        </w:rPr>
        <w:t xml:space="preserve">, </w:t>
      </w:r>
      <w:hyperlink r:id="rId90" w:history="1">
        <w:r w:rsidR="00BE6F0E" w:rsidRPr="00D16622">
          <w:rPr>
            <w:rStyle w:val="Hyperlink"/>
            <w:rFonts w:cs="Times New Roman"/>
            <w:noProof/>
            <w:szCs w:val="24"/>
            <w:lang w:eastAsia="en-IE"/>
          </w:rPr>
          <w:t>Luxembourg</w:t>
        </w:r>
      </w:hyperlink>
      <w:r w:rsidR="00BE6F0E" w:rsidRPr="00D16622">
        <w:rPr>
          <w:rFonts w:ascii="Times New Roman" w:hAnsi="Times New Roman" w:cs="Times New Roman"/>
          <w:noProof/>
          <w:sz w:val="24"/>
          <w:szCs w:val="24"/>
          <w:lang w:eastAsia="en-IE"/>
        </w:rPr>
        <w:t>,</w:t>
      </w:r>
      <w:r w:rsidR="00D415B8" w:rsidRPr="00D16622">
        <w:rPr>
          <w:rFonts w:ascii="Times New Roman" w:eastAsia="Times New Roman" w:hAnsi="Times New Roman" w:cs="Times New Roman"/>
          <w:noProof/>
          <w:sz w:val="24"/>
          <w:szCs w:val="24"/>
          <w:lang w:val="en-IE"/>
        </w:rPr>
        <w:t xml:space="preserve"> </w:t>
      </w:r>
      <w:hyperlink r:id="rId91" w:history="1">
        <w:r w:rsidR="00D415B8" w:rsidRPr="00D16622" w:rsidDel="00686032">
          <w:rPr>
            <w:rStyle w:val="Hyperlink"/>
            <w:rFonts w:cs="Times New Roman"/>
            <w:noProof/>
            <w:szCs w:val="24"/>
          </w:rPr>
          <w:t>France</w:t>
        </w:r>
      </w:hyperlink>
      <w:r w:rsidR="00D415B8" w:rsidRPr="00D16622">
        <w:rPr>
          <w:rFonts w:ascii="Times New Roman" w:hAnsi="Times New Roman" w:cs="Times New Roman"/>
          <w:noProof/>
          <w:sz w:val="24"/>
          <w:szCs w:val="24"/>
        </w:rPr>
        <w:t>,</w:t>
      </w:r>
      <w:r w:rsidR="00D415B8" w:rsidRPr="00D16622">
        <w:rPr>
          <w:rFonts w:ascii="Times New Roman" w:eastAsia="Times New Roman" w:hAnsi="Times New Roman" w:cs="Times New Roman"/>
          <w:noProof/>
          <w:sz w:val="24"/>
          <w:szCs w:val="24"/>
          <w:lang w:val="en-IE"/>
        </w:rPr>
        <w:t xml:space="preserve"> </w:t>
      </w:r>
      <w:hyperlink r:id="rId92" w:history="1">
        <w:r w:rsidR="006812EC" w:rsidRPr="00D16622">
          <w:rPr>
            <w:rStyle w:val="Hyperlink"/>
            <w:rFonts w:cs="Times New Roman"/>
            <w:noProof/>
            <w:szCs w:val="24"/>
          </w:rPr>
          <w:t>Slovenia</w:t>
        </w:r>
      </w:hyperlink>
      <w:r w:rsidR="006812EC" w:rsidRPr="00D16622">
        <w:rPr>
          <w:rFonts w:ascii="Times New Roman" w:hAnsi="Times New Roman" w:cs="Times New Roman"/>
          <w:noProof/>
          <w:sz w:val="24"/>
          <w:szCs w:val="24"/>
        </w:rPr>
        <w:t xml:space="preserve"> </w:t>
      </w:r>
      <w:r w:rsidR="00D415B8" w:rsidRPr="00D16622">
        <w:rPr>
          <w:rFonts w:ascii="Times New Roman" w:eastAsia="Times New Roman" w:hAnsi="Times New Roman" w:cs="Times New Roman"/>
          <w:noProof/>
          <w:sz w:val="24"/>
          <w:szCs w:val="24"/>
          <w:lang w:val="en-IE"/>
        </w:rPr>
        <w:t xml:space="preserve">and </w:t>
      </w:r>
      <w:hyperlink r:id="rId93" w:history="1">
        <w:r w:rsidR="00D415B8" w:rsidRPr="00D16622">
          <w:rPr>
            <w:rStyle w:val="Hyperlink"/>
            <w:rFonts w:eastAsia="Times New Roman" w:cs="Times New Roman"/>
            <w:noProof/>
            <w:szCs w:val="24"/>
            <w:lang w:val="en-IE"/>
          </w:rPr>
          <w:t>Estonia</w:t>
        </w:r>
      </w:hyperlink>
      <w:r w:rsidR="00D415B8" w:rsidRPr="00D16622">
        <w:rPr>
          <w:rFonts w:ascii="Times New Roman" w:eastAsia="Times New Roman" w:hAnsi="Times New Roman" w:cs="Times New Roman"/>
          <w:noProof/>
          <w:sz w:val="24"/>
          <w:szCs w:val="24"/>
          <w:lang w:val="en-IE"/>
        </w:rPr>
        <w:t xml:space="preserve">. In </w:t>
      </w:r>
      <w:hyperlink r:id="rId94" w:history="1">
        <w:r w:rsidR="00C65B1A" w:rsidRPr="00D16622">
          <w:rPr>
            <w:rStyle w:val="Hyperlink"/>
            <w:rFonts w:eastAsia="Times New Roman" w:cs="Times New Roman"/>
            <w:noProof/>
            <w:szCs w:val="24"/>
            <w:lang w:val="en-IE"/>
          </w:rPr>
          <w:t>Belgium</w:t>
        </w:r>
      </w:hyperlink>
      <w:r w:rsidR="00C65B1A" w:rsidRPr="00D16622">
        <w:rPr>
          <w:rFonts w:ascii="Times New Roman" w:eastAsia="Times New Roman" w:hAnsi="Times New Roman" w:cs="Times New Roman"/>
          <w:noProof/>
          <w:sz w:val="24"/>
          <w:szCs w:val="24"/>
          <w:lang w:val="en-IE"/>
        </w:rPr>
        <w:t>,</w:t>
      </w:r>
      <w:r w:rsidR="00D415B8" w:rsidRPr="00D16622">
        <w:rPr>
          <w:rFonts w:ascii="Times New Roman" w:eastAsia="Times New Roman" w:hAnsi="Times New Roman" w:cs="Times New Roman"/>
          <w:noProof/>
          <w:sz w:val="24"/>
          <w:szCs w:val="24"/>
          <w:lang w:val="en-IE"/>
        </w:rPr>
        <w:t xml:space="preserve"> </w:t>
      </w:r>
      <w:hyperlink r:id="rId95" w:history="1">
        <w:r w:rsidR="00D415B8" w:rsidRPr="00D16622">
          <w:rPr>
            <w:rStyle w:val="Hyperlink"/>
            <w:rFonts w:eastAsia="Times New Roman" w:cs="Times New Roman"/>
            <w:noProof/>
            <w:szCs w:val="24"/>
            <w:lang w:val="en-IE"/>
          </w:rPr>
          <w:t>Bulgaria</w:t>
        </w:r>
      </w:hyperlink>
      <w:r w:rsidR="00D415B8" w:rsidRPr="00D16622">
        <w:rPr>
          <w:rFonts w:ascii="Times New Roman" w:eastAsia="Times New Roman" w:hAnsi="Times New Roman" w:cs="Times New Roman"/>
          <w:noProof/>
          <w:sz w:val="24"/>
          <w:szCs w:val="24"/>
          <w:lang w:val="en-IE"/>
        </w:rPr>
        <w:t xml:space="preserve">, </w:t>
      </w:r>
      <w:hyperlink r:id="rId96" w:history="1">
        <w:r w:rsidR="006A4A3C" w:rsidRPr="00D16622">
          <w:rPr>
            <w:rStyle w:val="Hyperlink"/>
            <w:rFonts w:cs="Times New Roman"/>
            <w:noProof/>
            <w:szCs w:val="24"/>
            <w:lang w:eastAsia="en-IE"/>
          </w:rPr>
          <w:t>Croatia</w:t>
        </w:r>
      </w:hyperlink>
      <w:r w:rsidR="00D415B8" w:rsidRPr="00D16622">
        <w:rPr>
          <w:rFonts w:ascii="Times New Roman" w:eastAsia="Times New Roman" w:hAnsi="Times New Roman" w:cs="Times New Roman"/>
          <w:noProof/>
          <w:sz w:val="24"/>
          <w:szCs w:val="24"/>
          <w:lang w:val="en-IE"/>
        </w:rPr>
        <w:t xml:space="preserve">, </w:t>
      </w:r>
      <w:hyperlink r:id="rId97" w:history="1">
        <w:r w:rsidR="00E42119" w:rsidRPr="00D16622">
          <w:rPr>
            <w:rStyle w:val="Hyperlink"/>
            <w:rFonts w:eastAsia="Times New Roman" w:cs="Times New Roman"/>
            <w:noProof/>
            <w:szCs w:val="24"/>
            <w:lang w:val="en-IE"/>
          </w:rPr>
          <w:t>Germany</w:t>
        </w:r>
      </w:hyperlink>
      <w:r w:rsidR="00E42119" w:rsidRPr="00D16622">
        <w:rPr>
          <w:rFonts w:ascii="Times New Roman" w:eastAsia="Times New Roman" w:hAnsi="Times New Roman" w:cs="Times New Roman"/>
          <w:noProof/>
          <w:sz w:val="24"/>
          <w:szCs w:val="24"/>
          <w:lang w:val="en-IE"/>
        </w:rPr>
        <w:t>,</w:t>
      </w:r>
      <w:r w:rsidR="00D415B8" w:rsidRPr="00D16622">
        <w:rPr>
          <w:rFonts w:ascii="Times New Roman" w:eastAsia="Times New Roman" w:hAnsi="Times New Roman" w:cs="Times New Roman"/>
          <w:noProof/>
          <w:sz w:val="24"/>
          <w:szCs w:val="24"/>
          <w:lang w:val="en-IE"/>
        </w:rPr>
        <w:t xml:space="preserve"> </w:t>
      </w:r>
      <w:hyperlink r:id="rId98" w:history="1">
        <w:r w:rsidR="00D415B8" w:rsidRPr="00D16622">
          <w:rPr>
            <w:rStyle w:val="Hyperlink"/>
            <w:rFonts w:eastAsia="Times New Roman" w:cs="Times New Roman"/>
            <w:noProof/>
            <w:szCs w:val="24"/>
            <w:lang w:val="en-IE"/>
          </w:rPr>
          <w:t>Italy</w:t>
        </w:r>
      </w:hyperlink>
      <w:r w:rsidR="000F7611" w:rsidRPr="00D16622">
        <w:rPr>
          <w:rFonts w:ascii="Times New Roman" w:hAnsi="Times New Roman" w:cs="Times New Roman"/>
          <w:noProof/>
        </w:rPr>
        <w:t xml:space="preserve">, </w:t>
      </w:r>
      <w:hyperlink r:id="rId99" w:history="1">
        <w:r w:rsidR="000F7611" w:rsidRPr="00D16622">
          <w:rPr>
            <w:rStyle w:val="Hyperlink"/>
            <w:rFonts w:cs="Times New Roman"/>
            <w:noProof/>
            <w:szCs w:val="24"/>
            <w:lang w:val="en-IE"/>
          </w:rPr>
          <w:t>Portugal</w:t>
        </w:r>
        <w:r w:rsidR="000F7611" w:rsidRPr="00D16622">
          <w:rPr>
            <w:rStyle w:val="Hyperlink"/>
            <w:rFonts w:cs="Times New Roman"/>
            <w:noProof/>
          </w:rPr>
          <w:t xml:space="preserve"> </w:t>
        </w:r>
      </w:hyperlink>
      <w:r w:rsidR="00D415B8" w:rsidRPr="00D16622">
        <w:rPr>
          <w:rFonts w:ascii="Times New Roman" w:eastAsia="Times New Roman" w:hAnsi="Times New Roman" w:cs="Times New Roman"/>
          <w:noProof/>
          <w:sz w:val="24"/>
          <w:szCs w:val="24"/>
          <w:lang w:val="en-IE"/>
        </w:rPr>
        <w:t xml:space="preserve">and </w:t>
      </w:r>
      <w:hyperlink r:id="rId100" w:history="1">
        <w:r w:rsidR="00874BD7" w:rsidRPr="00D16622">
          <w:rPr>
            <w:rStyle w:val="Hyperlink"/>
            <w:rFonts w:cs="Times New Roman"/>
            <w:noProof/>
            <w:szCs w:val="24"/>
            <w:lang w:eastAsia="en-IE"/>
          </w:rPr>
          <w:t>Finland</w:t>
        </w:r>
      </w:hyperlink>
      <w:r w:rsidR="00D415B8" w:rsidRPr="00D16622">
        <w:rPr>
          <w:rFonts w:ascii="Times New Roman" w:eastAsia="Times New Roman" w:hAnsi="Times New Roman" w:cs="Times New Roman"/>
          <w:noProof/>
          <w:sz w:val="24"/>
          <w:szCs w:val="24"/>
          <w:lang w:val="en-IE"/>
        </w:rPr>
        <w:t>,</w:t>
      </w:r>
      <w:r w:rsidR="00D415B8" w:rsidRPr="00D16622">
        <w:rPr>
          <w:rFonts w:ascii="Times New Roman" w:eastAsia="Times New Roman" w:hAnsi="Times New Roman" w:cs="Times New Roman"/>
          <w:b/>
          <w:bCs/>
          <w:noProof/>
          <w:sz w:val="24"/>
          <w:szCs w:val="24"/>
          <w:lang w:val="en-IE"/>
        </w:rPr>
        <w:t xml:space="preserve"> </w:t>
      </w:r>
      <w:r w:rsidR="00D415B8" w:rsidRPr="00D16622">
        <w:rPr>
          <w:rFonts w:ascii="Times New Roman" w:eastAsia="Times New Roman" w:hAnsi="Times New Roman" w:cs="Times New Roman"/>
          <w:noProof/>
          <w:sz w:val="24"/>
          <w:szCs w:val="24"/>
          <w:lang w:val="en-IE"/>
        </w:rPr>
        <w:t xml:space="preserve">while projects to improve the level of digitalisation are advancing, some gaps and challenges still remain. However, in some Member States, implementation is still lagging. In </w:t>
      </w:r>
      <w:hyperlink r:id="rId101" w:history="1">
        <w:r w:rsidR="00D415B8" w:rsidRPr="00D16622">
          <w:rPr>
            <w:rStyle w:val="Hyperlink"/>
            <w:rFonts w:eastAsia="Times New Roman" w:cs="Times New Roman"/>
            <w:noProof/>
            <w:szCs w:val="24"/>
            <w:lang w:val="en-IE"/>
          </w:rPr>
          <w:t>Czechia</w:t>
        </w:r>
      </w:hyperlink>
      <w:r w:rsidR="00D415B8" w:rsidRPr="00D16622">
        <w:rPr>
          <w:rFonts w:ascii="Times New Roman" w:eastAsia="Times New Roman" w:hAnsi="Times New Roman" w:cs="Times New Roman"/>
          <w:b/>
          <w:bCs/>
          <w:noProof/>
          <w:sz w:val="24"/>
          <w:szCs w:val="24"/>
          <w:lang w:val="en-IE"/>
        </w:rPr>
        <w:t xml:space="preserve">, </w:t>
      </w:r>
      <w:r w:rsidR="00D415B8" w:rsidRPr="00D16622">
        <w:rPr>
          <w:rFonts w:ascii="Times New Roman" w:eastAsia="Times New Roman" w:hAnsi="Times New Roman" w:cs="Times New Roman"/>
          <w:noProof/>
          <w:sz w:val="24"/>
          <w:szCs w:val="24"/>
          <w:lang w:val="en-IE"/>
        </w:rPr>
        <w:t xml:space="preserve">efforts to digitalise the justice system continued to face delays, with stakeholders noting the lack of interoperability between systems for different courts and </w:t>
      </w:r>
      <w:r w:rsidR="002C06D6" w:rsidRPr="00D16622">
        <w:rPr>
          <w:rFonts w:ascii="Times New Roman" w:eastAsia="Times New Roman" w:hAnsi="Times New Roman" w:cs="Times New Roman"/>
          <w:noProof/>
          <w:sz w:val="24"/>
          <w:szCs w:val="24"/>
          <w:lang w:val="en-IE"/>
        </w:rPr>
        <w:t xml:space="preserve">the often </w:t>
      </w:r>
      <w:r w:rsidR="00D415B8" w:rsidRPr="00D16622">
        <w:rPr>
          <w:rFonts w:ascii="Times New Roman" w:eastAsia="Times New Roman" w:hAnsi="Times New Roman" w:cs="Times New Roman"/>
          <w:noProof/>
          <w:sz w:val="24"/>
          <w:szCs w:val="24"/>
          <w:lang w:val="en-IE"/>
        </w:rPr>
        <w:t xml:space="preserve">incomplete or inconsistent publication of judicial decisions online. In </w:t>
      </w:r>
      <w:hyperlink r:id="rId102" w:history="1">
        <w:r w:rsidR="00775307" w:rsidRPr="00D16622">
          <w:rPr>
            <w:rStyle w:val="Hyperlink"/>
            <w:rFonts w:cs="Times New Roman"/>
            <w:noProof/>
            <w:szCs w:val="24"/>
          </w:rPr>
          <w:t>Malta</w:t>
        </w:r>
      </w:hyperlink>
      <w:r w:rsidR="00D415B8" w:rsidRPr="00D16622">
        <w:rPr>
          <w:rFonts w:ascii="Times New Roman" w:eastAsia="Times New Roman" w:hAnsi="Times New Roman" w:cs="Times New Roman"/>
          <w:noProof/>
          <w:sz w:val="24"/>
          <w:szCs w:val="24"/>
          <w:lang w:val="en-IE"/>
        </w:rPr>
        <w:t xml:space="preserve">, investments in the digitalisation of justice are advancing </w:t>
      </w:r>
      <w:r w:rsidR="001570FD" w:rsidRPr="00D16622">
        <w:rPr>
          <w:rFonts w:ascii="Times New Roman" w:eastAsia="Times New Roman" w:hAnsi="Times New Roman" w:cs="Times New Roman"/>
          <w:noProof/>
          <w:sz w:val="24"/>
          <w:szCs w:val="24"/>
          <w:lang w:val="en-IE"/>
        </w:rPr>
        <w:t>at a limited pace</w:t>
      </w:r>
      <w:r w:rsidR="00D415B8" w:rsidRPr="00D16622">
        <w:rPr>
          <w:rFonts w:ascii="Times New Roman" w:eastAsia="Times New Roman" w:hAnsi="Times New Roman" w:cs="Times New Roman"/>
          <w:noProof/>
          <w:sz w:val="24"/>
          <w:szCs w:val="24"/>
          <w:lang w:val="en-IE"/>
        </w:rPr>
        <w:t xml:space="preserve">, and a number of systems </w:t>
      </w:r>
      <w:r w:rsidR="0031044F" w:rsidRPr="00D16622">
        <w:rPr>
          <w:rFonts w:ascii="Times New Roman" w:eastAsia="Times New Roman" w:hAnsi="Times New Roman" w:cs="Times New Roman"/>
          <w:noProof/>
          <w:sz w:val="24"/>
          <w:szCs w:val="24"/>
          <w:lang w:val="en-IE"/>
        </w:rPr>
        <w:t xml:space="preserve">are still </w:t>
      </w:r>
      <w:r w:rsidR="00BF71B6" w:rsidRPr="00D16622">
        <w:rPr>
          <w:rFonts w:ascii="Times New Roman" w:eastAsia="Times New Roman" w:hAnsi="Times New Roman" w:cs="Times New Roman"/>
          <w:noProof/>
          <w:sz w:val="24"/>
          <w:szCs w:val="24"/>
          <w:lang w:val="en-IE"/>
        </w:rPr>
        <w:t xml:space="preserve">to be </w:t>
      </w:r>
      <w:r w:rsidR="0031044F" w:rsidRPr="00D16622">
        <w:rPr>
          <w:rFonts w:ascii="Times New Roman" w:eastAsia="Times New Roman" w:hAnsi="Times New Roman" w:cs="Times New Roman"/>
          <w:noProof/>
          <w:sz w:val="24"/>
          <w:szCs w:val="24"/>
          <w:lang w:val="en-IE"/>
        </w:rPr>
        <w:t>implemented</w:t>
      </w:r>
      <w:r w:rsidR="00D415B8" w:rsidRPr="00D16622">
        <w:rPr>
          <w:rFonts w:ascii="Times New Roman" w:eastAsia="Times New Roman" w:hAnsi="Times New Roman" w:cs="Times New Roman"/>
          <w:noProof/>
          <w:sz w:val="24"/>
          <w:szCs w:val="24"/>
          <w:lang w:val="en-IE"/>
        </w:rPr>
        <w:t xml:space="preserve">. </w:t>
      </w:r>
      <w:r w:rsidR="00FA7B17" w:rsidRPr="00D16622">
        <w:rPr>
          <w:rFonts w:ascii="Times New Roman" w:eastAsia="Times New Roman" w:hAnsi="Times New Roman" w:cs="Times New Roman"/>
          <w:noProof/>
          <w:sz w:val="24"/>
          <w:szCs w:val="24"/>
          <w:lang w:val="en-IE"/>
        </w:rPr>
        <w:t xml:space="preserve">In </w:t>
      </w:r>
      <w:hyperlink r:id="rId103" w:history="1">
        <w:r w:rsidR="002A1EEF" w:rsidRPr="00D16622">
          <w:rPr>
            <w:rStyle w:val="Hyperlink"/>
            <w:rFonts w:cs="Times New Roman"/>
            <w:noProof/>
            <w:szCs w:val="24"/>
            <w:lang w:val="en-IE"/>
          </w:rPr>
          <w:t>Spain</w:t>
        </w:r>
      </w:hyperlink>
      <w:r w:rsidR="00FA7B17" w:rsidRPr="00D16622">
        <w:rPr>
          <w:rFonts w:ascii="Times New Roman" w:eastAsia="Times New Roman" w:hAnsi="Times New Roman" w:cs="Times New Roman"/>
          <w:noProof/>
          <w:sz w:val="24"/>
          <w:szCs w:val="24"/>
          <w:lang w:val="en-IE"/>
        </w:rPr>
        <w:t>, work to further enhance the high level of digitalisation of justice continued, while the limited interoperability between national and regional case management systems remains a challenge.</w:t>
      </w:r>
    </w:p>
    <w:p w14:paraId="625B83BC" w14:textId="39413200" w:rsidR="001C76EC" w:rsidRPr="00D16622" w:rsidRDefault="00CA0078" w:rsidP="00E9273B">
      <w:pPr>
        <w:spacing w:after="120" w:line="240" w:lineRule="auto"/>
        <w:jc w:val="both"/>
        <w:rPr>
          <w:rFonts w:ascii="Times New Roman" w:hAnsi="Times New Roman" w:cs="Times New Roman"/>
          <w:noProof/>
          <w:sz w:val="24"/>
          <w:szCs w:val="24"/>
        </w:rPr>
      </w:pPr>
      <w:hyperlink r:id="rId104" w:history="1">
        <w:r w:rsidR="00757A27" w:rsidRPr="00D16622">
          <w:rPr>
            <w:rStyle w:val="Hyperlink"/>
            <w:rFonts w:cs="Times New Roman"/>
            <w:noProof/>
            <w:szCs w:val="24"/>
          </w:rPr>
          <w:t>Albania</w:t>
        </w:r>
      </w:hyperlink>
      <w:r w:rsidR="009A7494" w:rsidRPr="00D16622">
        <w:rPr>
          <w:rFonts w:ascii="Times New Roman" w:hAnsi="Times New Roman" w:cs="Times New Roman"/>
          <w:b/>
          <w:bCs/>
          <w:noProof/>
          <w:sz w:val="24"/>
          <w:szCs w:val="24"/>
        </w:rPr>
        <w:t>,</w:t>
      </w:r>
      <w:r w:rsidR="001B3183" w:rsidRPr="00D16622">
        <w:rPr>
          <w:rFonts w:ascii="Times New Roman" w:hAnsi="Times New Roman" w:cs="Times New Roman"/>
          <w:noProof/>
          <w:sz w:val="24"/>
          <w:szCs w:val="24"/>
        </w:rPr>
        <w:t xml:space="preserve"> </w:t>
      </w:r>
      <w:hyperlink r:id="rId105" w:history="1">
        <w:r w:rsidR="006541E2" w:rsidRPr="00D16622">
          <w:rPr>
            <w:rStyle w:val="Hyperlink"/>
            <w:rFonts w:cs="Times New Roman"/>
            <w:noProof/>
            <w:szCs w:val="24"/>
          </w:rPr>
          <w:t>Montenegro</w:t>
        </w:r>
      </w:hyperlink>
      <w:r w:rsidR="006541E2" w:rsidRPr="00D16622">
        <w:rPr>
          <w:rFonts w:ascii="Times New Roman" w:hAnsi="Times New Roman" w:cs="Times New Roman"/>
          <w:noProof/>
          <w:sz w:val="24"/>
          <w:szCs w:val="24"/>
        </w:rPr>
        <w:t xml:space="preserve"> </w:t>
      </w:r>
      <w:r w:rsidR="009A7494" w:rsidRPr="00D16622">
        <w:rPr>
          <w:rFonts w:ascii="Times New Roman" w:hAnsi="Times New Roman" w:cs="Times New Roman"/>
          <w:noProof/>
          <w:sz w:val="24"/>
          <w:szCs w:val="24"/>
        </w:rPr>
        <w:t xml:space="preserve">and </w:t>
      </w:r>
      <w:hyperlink r:id="rId106" w:history="1">
        <w:r w:rsidR="00A1658E" w:rsidRPr="00D16622">
          <w:rPr>
            <w:rStyle w:val="Hyperlink"/>
            <w:rFonts w:cs="Times New Roman"/>
            <w:noProof/>
            <w:szCs w:val="24"/>
          </w:rPr>
          <w:t>North Macedonia</w:t>
        </w:r>
      </w:hyperlink>
      <w:r w:rsidR="009A7494" w:rsidRPr="00D16622">
        <w:rPr>
          <w:rFonts w:ascii="Times New Roman" w:hAnsi="Times New Roman" w:cs="Times New Roman"/>
          <w:b/>
          <w:bCs/>
          <w:noProof/>
          <w:sz w:val="24"/>
          <w:szCs w:val="24"/>
        </w:rPr>
        <w:t xml:space="preserve"> </w:t>
      </w:r>
      <w:r w:rsidR="009A7494" w:rsidRPr="00D16622">
        <w:rPr>
          <w:rFonts w:ascii="Times New Roman" w:hAnsi="Times New Roman" w:cs="Times New Roman"/>
          <w:noProof/>
          <w:sz w:val="24"/>
          <w:szCs w:val="24"/>
        </w:rPr>
        <w:t xml:space="preserve">face </w:t>
      </w:r>
      <w:r w:rsidR="00BA49AF" w:rsidRPr="00D16622">
        <w:rPr>
          <w:rFonts w:ascii="Times New Roman" w:hAnsi="Times New Roman" w:cs="Times New Roman"/>
          <w:noProof/>
          <w:sz w:val="24"/>
          <w:szCs w:val="24"/>
        </w:rPr>
        <w:t xml:space="preserve">continued </w:t>
      </w:r>
      <w:r w:rsidR="009A7494" w:rsidRPr="00D16622">
        <w:rPr>
          <w:rFonts w:ascii="Times New Roman" w:hAnsi="Times New Roman" w:cs="Times New Roman"/>
          <w:noProof/>
          <w:sz w:val="24"/>
          <w:szCs w:val="24"/>
        </w:rPr>
        <w:t xml:space="preserve">challenges </w:t>
      </w:r>
      <w:r w:rsidR="00D419AA" w:rsidRPr="00D16622">
        <w:rPr>
          <w:rFonts w:ascii="Times New Roman" w:hAnsi="Times New Roman" w:cs="Times New Roman"/>
          <w:noProof/>
          <w:sz w:val="24"/>
          <w:szCs w:val="24"/>
        </w:rPr>
        <w:t>with</w:t>
      </w:r>
      <w:r w:rsidR="00D426EA" w:rsidRPr="00D16622">
        <w:rPr>
          <w:rFonts w:ascii="Times New Roman" w:hAnsi="Times New Roman" w:cs="Times New Roman"/>
          <w:noProof/>
          <w:sz w:val="24"/>
          <w:szCs w:val="24"/>
        </w:rPr>
        <w:t xml:space="preserve"> ensuring sufficient human resources</w:t>
      </w:r>
      <w:r w:rsidR="000C4F18" w:rsidRPr="00D16622">
        <w:rPr>
          <w:rFonts w:ascii="Times New Roman" w:hAnsi="Times New Roman" w:cs="Times New Roman"/>
          <w:noProof/>
          <w:sz w:val="24"/>
          <w:szCs w:val="24"/>
        </w:rPr>
        <w:t xml:space="preserve"> </w:t>
      </w:r>
      <w:r w:rsidR="0062376C" w:rsidRPr="00D16622">
        <w:rPr>
          <w:rFonts w:ascii="Times New Roman" w:hAnsi="Times New Roman" w:cs="Times New Roman"/>
          <w:noProof/>
          <w:sz w:val="24"/>
          <w:szCs w:val="24"/>
        </w:rPr>
        <w:t>in</w:t>
      </w:r>
      <w:r w:rsidR="000C4F18" w:rsidRPr="00D16622">
        <w:rPr>
          <w:rFonts w:ascii="Times New Roman" w:hAnsi="Times New Roman" w:cs="Times New Roman"/>
          <w:noProof/>
          <w:sz w:val="24"/>
          <w:szCs w:val="24"/>
        </w:rPr>
        <w:t xml:space="preserve"> the judiciary</w:t>
      </w:r>
      <w:r w:rsidR="00D426EA" w:rsidRPr="00D16622">
        <w:rPr>
          <w:rFonts w:ascii="Times New Roman" w:hAnsi="Times New Roman" w:cs="Times New Roman"/>
          <w:noProof/>
          <w:sz w:val="24"/>
          <w:szCs w:val="24"/>
        </w:rPr>
        <w:t>.</w:t>
      </w:r>
      <w:r w:rsidR="001C76EC" w:rsidRPr="00D16622">
        <w:rPr>
          <w:rFonts w:ascii="Times New Roman" w:hAnsi="Times New Roman" w:cs="Times New Roman"/>
          <w:noProof/>
          <w:sz w:val="24"/>
          <w:szCs w:val="24"/>
        </w:rPr>
        <w:t xml:space="preserve"> </w:t>
      </w:r>
      <w:r w:rsidR="00693B1F" w:rsidRPr="00D16622">
        <w:rPr>
          <w:rFonts w:ascii="Times New Roman" w:eastAsia="Times New Roman" w:hAnsi="Times New Roman" w:cs="Times New Roman"/>
          <w:noProof/>
          <w:sz w:val="24"/>
          <w:szCs w:val="24"/>
        </w:rPr>
        <w:t>I</w:t>
      </w:r>
      <w:r w:rsidR="001C76EC" w:rsidRPr="00D16622">
        <w:rPr>
          <w:rFonts w:ascii="Times New Roman" w:hAnsi="Times New Roman" w:cs="Times New Roman"/>
          <w:noProof/>
          <w:sz w:val="24"/>
          <w:szCs w:val="24"/>
        </w:rPr>
        <w:t xml:space="preserve">n </w:t>
      </w:r>
      <w:hyperlink r:id="rId107" w:history="1">
        <w:r w:rsidR="00B14DAD" w:rsidRPr="00D16622">
          <w:rPr>
            <w:rStyle w:val="Hyperlink"/>
            <w:rFonts w:cs="Times New Roman"/>
            <w:noProof/>
            <w:szCs w:val="24"/>
          </w:rPr>
          <w:t>Serbia</w:t>
        </w:r>
      </w:hyperlink>
      <w:r w:rsidR="0062376C" w:rsidRPr="00D16622">
        <w:rPr>
          <w:rFonts w:ascii="Times New Roman" w:hAnsi="Times New Roman" w:cs="Times New Roman"/>
          <w:noProof/>
          <w:sz w:val="24"/>
          <w:szCs w:val="24"/>
        </w:rPr>
        <w:t>,</w:t>
      </w:r>
      <w:r w:rsidR="00E9273B" w:rsidRPr="00D16622">
        <w:rPr>
          <w:rFonts w:ascii="Times New Roman" w:hAnsi="Times New Roman" w:cs="Times New Roman"/>
          <w:noProof/>
          <w:sz w:val="24"/>
          <w:szCs w:val="24"/>
        </w:rPr>
        <w:t xml:space="preserve"> the implementation of the IT solution for the new prosecutorial case management system is ongoing</w:t>
      </w:r>
      <w:r w:rsidR="0080377B" w:rsidRPr="00D16622">
        <w:rPr>
          <w:rFonts w:ascii="Times New Roman" w:hAnsi="Times New Roman" w:cs="Times New Roman"/>
          <w:noProof/>
          <w:sz w:val="24"/>
          <w:szCs w:val="24"/>
        </w:rPr>
        <w:t>.</w:t>
      </w:r>
    </w:p>
    <w:p w14:paraId="6A48356F" w14:textId="3AD4C487" w:rsidR="00A74378" w:rsidRPr="00D16622" w:rsidRDefault="00A74378" w:rsidP="00A74378">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An efficient justice system manages its caseload and backlog of cases and delivers its decisions without undue delay. </w:t>
      </w:r>
      <w:r w:rsidR="0042770B" w:rsidRPr="00D16622">
        <w:rPr>
          <w:rFonts w:ascii="Times New Roman" w:hAnsi="Times New Roman" w:cs="Times New Roman"/>
          <w:noProof/>
          <w:sz w:val="24"/>
          <w:szCs w:val="24"/>
        </w:rPr>
        <w:t>This is</w:t>
      </w:r>
      <w:r w:rsidRPr="00D16622">
        <w:rPr>
          <w:rFonts w:ascii="Times New Roman" w:hAnsi="Times New Roman" w:cs="Times New Roman"/>
          <w:noProof/>
          <w:sz w:val="24"/>
          <w:szCs w:val="24"/>
        </w:rPr>
        <w:t xml:space="preserve"> essential for the protection of rights, legal certainty and public confidence. </w:t>
      </w:r>
      <w:r w:rsidR="00A86BAC" w:rsidRPr="00D16622">
        <w:rPr>
          <w:rFonts w:ascii="Times New Roman" w:hAnsi="Times New Roman" w:cs="Times New Roman"/>
          <w:noProof/>
          <w:sz w:val="24"/>
          <w:szCs w:val="24"/>
        </w:rPr>
        <w:t>E</w:t>
      </w:r>
      <w:r w:rsidRPr="00D16622">
        <w:rPr>
          <w:rFonts w:ascii="Times New Roman" w:hAnsi="Times New Roman" w:cs="Times New Roman"/>
          <w:noProof/>
          <w:sz w:val="24"/>
          <w:szCs w:val="24"/>
        </w:rPr>
        <w:t xml:space="preserve">xcessively lengthy judicial proceedings and case backlogs may also negatively affect the business environment. In some Member States, measures are being implemented to improve efficiency. In </w:t>
      </w:r>
      <w:hyperlink r:id="rId108" w:history="1">
        <w:r w:rsidR="006A4A3C" w:rsidRPr="00D16622">
          <w:rPr>
            <w:rStyle w:val="Hyperlink"/>
            <w:rFonts w:cs="Times New Roman"/>
            <w:noProof/>
            <w:szCs w:val="24"/>
            <w:lang w:eastAsia="en-IE"/>
          </w:rPr>
          <w:t>Croatia</w:t>
        </w:r>
      </w:hyperlink>
      <w:r w:rsidRPr="00D16622">
        <w:rPr>
          <w:rFonts w:ascii="Times New Roman" w:hAnsi="Times New Roman" w:cs="Times New Roman"/>
          <w:noProof/>
          <w:sz w:val="24"/>
          <w:szCs w:val="24"/>
        </w:rPr>
        <w:t xml:space="preserve">, some steps have been made to improve the efficiency of justice, while </w:t>
      </w:r>
      <w:r w:rsidRPr="00D16622">
        <w:rPr>
          <w:rFonts w:ascii="Times New Roman" w:eastAsia="Times New Roman" w:hAnsi="Times New Roman" w:cs="Times New Roman"/>
          <w:noProof/>
          <w:sz w:val="24"/>
          <w:szCs w:val="24"/>
          <w:lang w:eastAsia="fr-FR"/>
        </w:rPr>
        <w:t>backlogs and length of proceedings continue to be a serious concern.</w:t>
      </w:r>
      <w:r w:rsidR="00EA2801" w:rsidRPr="00D16622">
        <w:rPr>
          <w:rFonts w:ascii="Times New Roman" w:hAnsi="Times New Roman" w:cs="Times New Roman"/>
          <w:noProof/>
          <w:sz w:val="24"/>
          <w:szCs w:val="24"/>
          <w:lang w:val="en-IE"/>
        </w:rPr>
        <w:t xml:space="preserve"> </w:t>
      </w:r>
      <w:r w:rsidRPr="00D16622">
        <w:rPr>
          <w:rFonts w:ascii="Times New Roman" w:hAnsi="Times New Roman" w:cs="Times New Roman"/>
          <w:noProof/>
          <w:sz w:val="24"/>
          <w:szCs w:val="24"/>
          <w:lang w:val="en-IE"/>
        </w:rPr>
        <w:t xml:space="preserve">In </w:t>
      </w:r>
      <w:hyperlink r:id="rId109" w:history="1">
        <w:r w:rsidRPr="00D16622">
          <w:rPr>
            <w:rStyle w:val="Hyperlink"/>
            <w:rFonts w:cs="Times New Roman"/>
            <w:noProof/>
            <w:szCs w:val="24"/>
            <w:lang w:val="en-IE"/>
          </w:rPr>
          <w:t>Greece</w:t>
        </w:r>
      </w:hyperlink>
      <w:r w:rsidRPr="00D16622">
        <w:rPr>
          <w:rFonts w:ascii="Times New Roman" w:hAnsi="Times New Roman" w:cs="Times New Roman"/>
          <w:noProof/>
          <w:sz w:val="24"/>
          <w:szCs w:val="24"/>
          <w:lang w:val="en-IE"/>
        </w:rPr>
        <w:t xml:space="preserve">, </w:t>
      </w:r>
      <w:r w:rsidR="00601CE2" w:rsidRPr="00D16622">
        <w:rPr>
          <w:rFonts w:ascii="Times New Roman" w:hAnsi="Times New Roman" w:cs="Times New Roman"/>
          <w:noProof/>
          <w:sz w:val="24"/>
          <w:szCs w:val="24"/>
          <w:lang w:val="en-IE"/>
        </w:rPr>
        <w:t>efforts to decongest civil courts and reduce delays include transferring non-litigious cases to lawyers and notaries, the digital publication of wills and revisions to the Code of Civil Procedure</w:t>
      </w:r>
      <w:r w:rsidRPr="00D16622">
        <w:rPr>
          <w:rFonts w:ascii="Times New Roman" w:hAnsi="Times New Roman" w:cs="Times New Roman"/>
          <w:noProof/>
          <w:sz w:val="24"/>
          <w:szCs w:val="24"/>
          <w:lang w:val="en-IE"/>
        </w:rPr>
        <w:t xml:space="preserve">. In </w:t>
      </w:r>
      <w:hyperlink r:id="rId110" w:history="1">
        <w:r w:rsidRPr="00D16622">
          <w:rPr>
            <w:rStyle w:val="Hyperlink"/>
            <w:rFonts w:cs="Times New Roman"/>
            <w:noProof/>
            <w:szCs w:val="24"/>
            <w:lang w:val="en-IE"/>
          </w:rPr>
          <w:t>Spain</w:t>
        </w:r>
      </w:hyperlink>
      <w:r w:rsidRPr="00D16622">
        <w:rPr>
          <w:rFonts w:ascii="Times New Roman" w:hAnsi="Times New Roman" w:cs="Times New Roman"/>
          <w:noProof/>
          <w:sz w:val="24"/>
          <w:szCs w:val="24"/>
          <w:lang w:val="en-IE"/>
        </w:rPr>
        <w:t xml:space="preserve">, the implementation of the new law on the efficiency of justice is already showing positive results, although there are challenges linked to resources and consistency of implementation across regions. </w:t>
      </w:r>
      <w:r w:rsidRPr="00D16622">
        <w:rPr>
          <w:rFonts w:ascii="Times New Roman" w:hAnsi="Times New Roman" w:cs="Times New Roman"/>
          <w:noProof/>
          <w:sz w:val="24"/>
          <w:szCs w:val="24"/>
        </w:rPr>
        <w:t xml:space="preserve">In </w:t>
      </w:r>
      <w:hyperlink r:id="rId111" w:history="1">
        <w:r w:rsidRPr="00D16622">
          <w:rPr>
            <w:rStyle w:val="Hyperlink"/>
            <w:rFonts w:cs="Times New Roman"/>
            <w:noProof/>
            <w:szCs w:val="24"/>
          </w:rPr>
          <w:t>France</w:t>
        </w:r>
      </w:hyperlink>
      <w:r w:rsidRPr="00D16622">
        <w:rPr>
          <w:rFonts w:ascii="Times New Roman" w:hAnsi="Times New Roman" w:cs="Times New Roman"/>
          <w:noProof/>
          <w:sz w:val="24"/>
          <w:szCs w:val="24"/>
        </w:rPr>
        <w:t xml:space="preserve">, reforms are being considered to improve the efficiency of the justice system, </w:t>
      </w:r>
      <w:r w:rsidRPr="00D16622">
        <w:rPr>
          <w:rFonts w:ascii="Times New Roman" w:hAnsi="Times New Roman" w:cs="Times New Roman"/>
          <w:noProof/>
          <w:sz w:val="24"/>
          <w:szCs w:val="24"/>
          <w:lang w:val="en-IE"/>
        </w:rPr>
        <w:t xml:space="preserve">while </w:t>
      </w:r>
      <w:r w:rsidRPr="00D16622">
        <w:rPr>
          <w:rFonts w:ascii="Times New Roman" w:hAnsi="Times New Roman" w:cs="Times New Roman"/>
          <w:noProof/>
          <w:sz w:val="24"/>
          <w:szCs w:val="24"/>
        </w:rPr>
        <w:t>stakeholders</w:t>
      </w:r>
      <w:r w:rsidR="001F5D1E" w:rsidRPr="00D16622">
        <w:rPr>
          <w:rFonts w:ascii="Times New Roman" w:hAnsi="Times New Roman" w:cs="Times New Roman"/>
          <w:noProof/>
          <w:sz w:val="24"/>
          <w:szCs w:val="24"/>
        </w:rPr>
        <w:t xml:space="preserve"> </w:t>
      </w:r>
      <w:r w:rsidRPr="00D16622">
        <w:rPr>
          <w:rFonts w:ascii="Times New Roman" w:hAnsi="Times New Roman" w:cs="Times New Roman"/>
          <w:noProof/>
          <w:sz w:val="24"/>
          <w:szCs w:val="24"/>
        </w:rPr>
        <w:t>express concerns that these may amount to a restriction of the right to appeal.</w:t>
      </w:r>
    </w:p>
    <w:p w14:paraId="6F36DBA8" w14:textId="7105E4D9" w:rsidR="00A74378" w:rsidRPr="00D16622" w:rsidRDefault="00A74378" w:rsidP="00A74378">
      <w:pPr>
        <w:spacing w:after="120" w:line="240" w:lineRule="auto"/>
        <w:jc w:val="both"/>
        <w:rPr>
          <w:rFonts w:ascii="Times New Roman" w:hAnsi="Times New Roman" w:cs="Times New Roman"/>
          <w:noProof/>
          <w:sz w:val="24"/>
          <w:szCs w:val="24"/>
          <w:lang w:val="en-IE"/>
        </w:rPr>
      </w:pPr>
      <w:r w:rsidRPr="00D16622">
        <w:rPr>
          <w:rFonts w:ascii="Times New Roman" w:hAnsi="Times New Roman" w:cs="Times New Roman"/>
          <w:noProof/>
          <w:sz w:val="24"/>
          <w:szCs w:val="24"/>
          <w:lang w:val="en-IE"/>
        </w:rPr>
        <w:t xml:space="preserve">While improvements were registered in </w:t>
      </w:r>
      <w:r w:rsidR="003F10C9" w:rsidRPr="00D16622">
        <w:rPr>
          <w:rFonts w:ascii="Times New Roman" w:hAnsi="Times New Roman" w:cs="Times New Roman"/>
          <w:noProof/>
          <w:sz w:val="24"/>
          <w:szCs w:val="24"/>
          <w:lang w:val="en-IE"/>
        </w:rPr>
        <w:t>some</w:t>
      </w:r>
      <w:r w:rsidRPr="00D16622">
        <w:rPr>
          <w:rFonts w:ascii="Times New Roman" w:hAnsi="Times New Roman" w:cs="Times New Roman"/>
          <w:noProof/>
          <w:sz w:val="24"/>
          <w:szCs w:val="24"/>
          <w:lang w:val="en-IE"/>
        </w:rPr>
        <w:t xml:space="preserve"> Members States</w:t>
      </w:r>
      <w:r w:rsidR="00DF50CE" w:rsidRPr="00D16622">
        <w:rPr>
          <w:rFonts w:ascii="Times New Roman" w:hAnsi="Times New Roman" w:cs="Times New Roman"/>
          <w:noProof/>
          <w:sz w:val="24"/>
          <w:szCs w:val="24"/>
          <w:lang w:val="en-IE"/>
        </w:rPr>
        <w:t xml:space="preserve"> as regards the length of court proceedings</w:t>
      </w:r>
      <w:r w:rsidRPr="00D16622">
        <w:rPr>
          <w:rFonts w:ascii="Times New Roman" w:hAnsi="Times New Roman" w:cs="Times New Roman"/>
          <w:noProof/>
          <w:sz w:val="24"/>
          <w:szCs w:val="24"/>
          <w:lang w:val="en-IE"/>
        </w:rPr>
        <w:t>, such as</w:t>
      </w:r>
      <w:r w:rsidR="00DF50CE" w:rsidRPr="00D16622">
        <w:rPr>
          <w:rFonts w:ascii="Times New Roman" w:hAnsi="Times New Roman" w:cs="Times New Roman"/>
          <w:noProof/>
          <w:sz w:val="24"/>
          <w:szCs w:val="24"/>
          <w:lang w:val="en-IE"/>
        </w:rPr>
        <w:t xml:space="preserve"> in</w:t>
      </w:r>
      <w:r w:rsidRPr="00D16622">
        <w:rPr>
          <w:rFonts w:ascii="Times New Roman" w:hAnsi="Times New Roman" w:cs="Times New Roman"/>
          <w:noProof/>
          <w:sz w:val="24"/>
          <w:szCs w:val="24"/>
          <w:lang w:val="en-IE"/>
        </w:rPr>
        <w:t xml:space="preserve"> </w:t>
      </w:r>
      <w:hyperlink r:id="rId112">
        <w:r w:rsidR="006E659B" w:rsidRPr="00D16622">
          <w:rPr>
            <w:rStyle w:val="Hyperlink"/>
            <w:rFonts w:cs="Times New Roman"/>
            <w:noProof/>
            <w:szCs w:val="24"/>
          </w:rPr>
          <w:t>Romania</w:t>
        </w:r>
      </w:hyperlink>
      <w:r w:rsidRPr="00D16622">
        <w:rPr>
          <w:rFonts w:ascii="Times New Roman" w:hAnsi="Times New Roman" w:cs="Times New Roman"/>
          <w:b/>
          <w:bCs/>
          <w:noProof/>
          <w:sz w:val="24"/>
          <w:szCs w:val="24"/>
          <w:lang w:val="en-IE"/>
        </w:rPr>
        <w:t xml:space="preserve">, </w:t>
      </w:r>
      <w:r w:rsidRPr="00D16622">
        <w:rPr>
          <w:rFonts w:ascii="Times New Roman" w:hAnsi="Times New Roman" w:cs="Times New Roman"/>
          <w:noProof/>
          <w:sz w:val="24"/>
          <w:szCs w:val="24"/>
          <w:lang w:val="en-IE"/>
        </w:rPr>
        <w:t>long-standing challenges persist in other Member States.</w:t>
      </w:r>
      <w:r w:rsidRPr="00D16622">
        <w:rPr>
          <w:rFonts w:ascii="Times New Roman" w:eastAsia="Times New Roman" w:hAnsi="Times New Roman" w:cs="Times New Roman"/>
          <w:noProof/>
          <w:sz w:val="24"/>
          <w:szCs w:val="24"/>
          <w:lang w:val="en-IE"/>
        </w:rPr>
        <w:t xml:space="preserve"> In </w:t>
      </w:r>
      <w:hyperlink r:id="rId113">
        <w:r w:rsidRPr="00D16622">
          <w:rPr>
            <w:rStyle w:val="Hyperlink"/>
            <w:rFonts w:eastAsia="Times New Roman" w:cs="Times New Roman"/>
            <w:noProof/>
            <w:szCs w:val="24"/>
            <w:lang w:val="en-IE"/>
          </w:rPr>
          <w:t>Belgium</w:t>
        </w:r>
      </w:hyperlink>
      <w:r w:rsidRPr="00D16622" w:rsidDel="007A6CE6">
        <w:rPr>
          <w:rFonts w:ascii="Times New Roman" w:hAnsi="Times New Roman" w:cs="Times New Roman"/>
          <w:noProof/>
        </w:rPr>
        <w:t xml:space="preserve"> </w:t>
      </w:r>
      <w:r w:rsidR="00DC3323" w:rsidRPr="00D16622">
        <w:rPr>
          <w:rFonts w:ascii="Times New Roman" w:hAnsi="Times New Roman" w:cs="Times New Roman"/>
          <w:noProof/>
          <w:sz w:val="24"/>
          <w:szCs w:val="24"/>
          <w:lang w:val="en-IE"/>
        </w:rPr>
        <w:t xml:space="preserve">and </w:t>
      </w:r>
      <w:hyperlink r:id="rId114" w:history="1">
        <w:r w:rsidR="00DC3323" w:rsidRPr="00D16622">
          <w:rPr>
            <w:rStyle w:val="Hyperlink"/>
            <w:rFonts w:cs="Times New Roman"/>
            <w:noProof/>
            <w:szCs w:val="24"/>
            <w:lang w:val="en-IE"/>
          </w:rPr>
          <w:t>Portugal</w:t>
        </w:r>
      </w:hyperlink>
      <w:r w:rsidRPr="00D16622">
        <w:rPr>
          <w:rFonts w:ascii="Times New Roman" w:eastAsia="Times New Roman" w:hAnsi="Times New Roman" w:cs="Times New Roman"/>
          <w:noProof/>
          <w:sz w:val="24"/>
          <w:szCs w:val="24"/>
          <w:lang w:val="en-IE"/>
        </w:rPr>
        <w:t xml:space="preserve">, </w:t>
      </w:r>
      <w:r w:rsidR="121887BF" w:rsidRPr="00D16622">
        <w:rPr>
          <w:rFonts w:ascii="Times New Roman" w:eastAsia="Times New Roman" w:hAnsi="Times New Roman" w:cs="Times New Roman"/>
          <w:noProof/>
          <w:sz w:val="24"/>
          <w:szCs w:val="24"/>
          <w:lang w:val="en-IE"/>
        </w:rPr>
        <w:t xml:space="preserve">measures </w:t>
      </w:r>
      <w:r w:rsidRPr="00D16622">
        <w:rPr>
          <w:rFonts w:ascii="Times New Roman" w:eastAsia="Times New Roman" w:hAnsi="Times New Roman" w:cs="Times New Roman"/>
          <w:noProof/>
          <w:sz w:val="24"/>
          <w:szCs w:val="24"/>
          <w:lang w:val="en-IE"/>
        </w:rPr>
        <w:t xml:space="preserve">to expedite court procedures are still pending. In </w:t>
      </w:r>
      <w:hyperlink r:id="rId115">
        <w:r w:rsidR="00F377A5" w:rsidRPr="00D16622">
          <w:rPr>
            <w:rStyle w:val="Hyperlink"/>
            <w:rFonts w:eastAsia="Times New Roman" w:cs="Times New Roman"/>
            <w:noProof/>
            <w:szCs w:val="24"/>
            <w:lang w:val="en-IE"/>
          </w:rPr>
          <w:t>Italy</w:t>
        </w:r>
      </w:hyperlink>
      <w:r w:rsidRPr="00D16622">
        <w:rPr>
          <w:rFonts w:ascii="Times New Roman" w:eastAsia="Times New Roman" w:hAnsi="Times New Roman" w:cs="Times New Roman"/>
          <w:noProof/>
          <w:sz w:val="24"/>
          <w:szCs w:val="24"/>
          <w:lang w:val="en-IE"/>
        </w:rPr>
        <w:t>, while the positive trend in reduction of the disposition time continued, the length of judicial proceedings remains a serious issue.</w:t>
      </w:r>
    </w:p>
    <w:p w14:paraId="2695B14C" w14:textId="4797A64D" w:rsidR="00A74378" w:rsidRPr="00D16622" w:rsidRDefault="74977D4D" w:rsidP="00A74378">
      <w:pPr>
        <w:spacing w:after="120" w:line="240" w:lineRule="auto"/>
        <w:jc w:val="both"/>
        <w:rPr>
          <w:rFonts w:ascii="Times New Roman" w:eastAsia="Times New Roman" w:hAnsi="Times New Roman" w:cs="Times New Roman"/>
          <w:noProof/>
          <w:sz w:val="24"/>
          <w:szCs w:val="24"/>
          <w:lang w:val="en-IE"/>
        </w:rPr>
      </w:pPr>
      <w:r w:rsidRPr="00D16622">
        <w:rPr>
          <w:rFonts w:ascii="Times New Roman" w:eastAsia="Times New Roman" w:hAnsi="Times New Roman" w:cs="Times New Roman"/>
          <w:noProof/>
          <w:sz w:val="24"/>
          <w:szCs w:val="24"/>
        </w:rPr>
        <w:t>I</w:t>
      </w:r>
      <w:r w:rsidR="00A74378" w:rsidRPr="00D16622">
        <w:rPr>
          <w:rFonts w:ascii="Times New Roman" w:eastAsia="Times New Roman" w:hAnsi="Times New Roman" w:cs="Times New Roman"/>
          <w:noProof/>
          <w:sz w:val="24"/>
          <w:szCs w:val="24"/>
        </w:rPr>
        <w:t xml:space="preserve">n </w:t>
      </w:r>
      <w:hyperlink r:id="rId116" w:history="1">
        <w:r w:rsidR="00A1658E" w:rsidRPr="00D16622">
          <w:rPr>
            <w:rStyle w:val="Hyperlink"/>
            <w:rFonts w:cs="Times New Roman"/>
            <w:noProof/>
            <w:szCs w:val="24"/>
          </w:rPr>
          <w:t>North Macedonia</w:t>
        </w:r>
      </w:hyperlink>
      <w:r w:rsidR="00A74378" w:rsidRPr="00D16622">
        <w:rPr>
          <w:rFonts w:ascii="Times New Roman" w:hAnsi="Times New Roman" w:cs="Times New Roman"/>
          <w:noProof/>
          <w:sz w:val="24"/>
          <w:szCs w:val="24"/>
        </w:rPr>
        <w:t>,</w:t>
      </w:r>
      <w:r w:rsidR="00A74378" w:rsidRPr="00D16622">
        <w:rPr>
          <w:rFonts w:ascii="Times New Roman" w:eastAsia="Times New Roman" w:hAnsi="Times New Roman" w:cs="Times New Roman"/>
          <w:noProof/>
          <w:sz w:val="24"/>
          <w:szCs w:val="24"/>
        </w:rPr>
        <w:t xml:space="preserve"> the efficiency of the justice system continued to decline, as the duration of proceedings increased in almost all case categories, with the exception of criminal cases. </w:t>
      </w:r>
      <w:r w:rsidR="00A74378" w:rsidRPr="00D16622">
        <w:rPr>
          <w:rFonts w:ascii="Times New Roman" w:eastAsia="Times New Roman" w:hAnsi="Times New Roman" w:cs="Times New Roman"/>
          <w:noProof/>
          <w:sz w:val="24"/>
          <w:szCs w:val="24"/>
          <w:lang w:val="en-IE"/>
        </w:rPr>
        <w:t xml:space="preserve">In </w:t>
      </w:r>
      <w:hyperlink r:id="rId117" w:history="1">
        <w:r w:rsidR="00B14DAD" w:rsidRPr="00D16622">
          <w:rPr>
            <w:rStyle w:val="Hyperlink"/>
            <w:rFonts w:cs="Times New Roman"/>
            <w:noProof/>
            <w:szCs w:val="24"/>
          </w:rPr>
          <w:t>Serbia</w:t>
        </w:r>
      </w:hyperlink>
      <w:r w:rsidR="00A74378" w:rsidRPr="00D16622">
        <w:rPr>
          <w:rFonts w:ascii="Times New Roman" w:eastAsia="Times New Roman" w:hAnsi="Times New Roman" w:cs="Times New Roman"/>
          <w:noProof/>
          <w:sz w:val="24"/>
          <w:szCs w:val="24"/>
          <w:lang w:val="en-IE"/>
        </w:rPr>
        <w:t>,</w:t>
      </w:r>
      <w:r w:rsidR="00A74378" w:rsidRPr="00D16622">
        <w:rPr>
          <w:rFonts w:ascii="Times New Roman" w:eastAsia="Times New Roman" w:hAnsi="Times New Roman" w:cs="Times New Roman"/>
          <w:b/>
          <w:bCs/>
          <w:noProof/>
          <w:sz w:val="24"/>
          <w:szCs w:val="24"/>
          <w:lang w:val="en-IE"/>
        </w:rPr>
        <w:t xml:space="preserve"> </w:t>
      </w:r>
      <w:r w:rsidR="00A74378" w:rsidRPr="00D16622">
        <w:rPr>
          <w:rFonts w:ascii="Times New Roman" w:eastAsia="Times New Roman" w:hAnsi="Times New Roman" w:cs="Times New Roman"/>
          <w:noProof/>
          <w:sz w:val="24"/>
          <w:szCs w:val="24"/>
          <w:lang w:val="en-IE"/>
        </w:rPr>
        <w:t>the efficiency of the justice system in civil and commercial cases remains stable, but there is a negative trend in criminal cases</w:t>
      </w:r>
      <w:r w:rsidR="00483578" w:rsidRPr="00D16622">
        <w:rPr>
          <w:rFonts w:ascii="Times New Roman" w:eastAsia="Times New Roman" w:hAnsi="Times New Roman" w:cs="Times New Roman"/>
          <w:noProof/>
          <w:sz w:val="24"/>
          <w:szCs w:val="24"/>
          <w:lang w:val="en-IE"/>
        </w:rPr>
        <w:t xml:space="preserve"> </w:t>
      </w:r>
      <w:r w:rsidR="00B84D7F" w:rsidRPr="00D16622">
        <w:rPr>
          <w:rFonts w:ascii="Times New Roman" w:eastAsia="Times New Roman" w:hAnsi="Times New Roman" w:cs="Times New Roman"/>
          <w:noProof/>
          <w:sz w:val="24"/>
          <w:szCs w:val="24"/>
          <w:lang w:val="en-IE"/>
        </w:rPr>
        <w:t>and</w:t>
      </w:r>
      <w:r w:rsidR="00A74378" w:rsidRPr="00D16622">
        <w:rPr>
          <w:rFonts w:ascii="Times New Roman" w:eastAsia="Times New Roman" w:hAnsi="Times New Roman" w:cs="Times New Roman"/>
          <w:noProof/>
          <w:sz w:val="24"/>
          <w:szCs w:val="24"/>
          <w:lang w:val="en-IE"/>
        </w:rPr>
        <w:t xml:space="preserve"> serious challenges in handling of administrative cases and constitutional complaints have not been addressed.</w:t>
      </w:r>
    </w:p>
    <w:p w14:paraId="4599DE9D" w14:textId="705A7941" w:rsidR="003F58CB" w:rsidRPr="00D16622" w:rsidRDefault="003F58CB" w:rsidP="00E85CBC">
      <w:pPr>
        <w:spacing w:after="120" w:line="240" w:lineRule="auto"/>
        <w:jc w:val="both"/>
        <w:rPr>
          <w:rFonts w:ascii="Times New Roman" w:hAnsi="Times New Roman" w:cs="Times New Roman"/>
          <w:i/>
          <w:iCs/>
          <w:noProof/>
          <w:sz w:val="24"/>
          <w:szCs w:val="24"/>
        </w:rPr>
      </w:pPr>
      <w:r w:rsidRPr="00D16622">
        <w:rPr>
          <w:rFonts w:ascii="Times New Roman" w:hAnsi="Times New Roman" w:cs="Times New Roman"/>
          <w:i/>
          <w:iCs/>
          <w:noProof/>
          <w:sz w:val="24"/>
          <w:szCs w:val="24"/>
        </w:rPr>
        <w:t>Access to justice and the role of lawyers in the justice system</w:t>
      </w:r>
    </w:p>
    <w:p w14:paraId="28D69D0A" w14:textId="42CAA105" w:rsidR="0058593E" w:rsidRPr="00D16622" w:rsidRDefault="0058593E" w:rsidP="0058593E">
      <w:pPr>
        <w:spacing w:after="120" w:line="240" w:lineRule="auto"/>
        <w:jc w:val="both"/>
        <w:rPr>
          <w:rFonts w:ascii="Times New Roman" w:hAnsi="Times New Roman" w:cs="Times New Roman"/>
          <w:iCs/>
          <w:noProof/>
          <w:sz w:val="24"/>
          <w:szCs w:val="24"/>
          <w:lang w:val="en-IE" w:eastAsia="en-IE"/>
        </w:rPr>
      </w:pPr>
      <w:r w:rsidRPr="00D16622">
        <w:rPr>
          <w:rFonts w:ascii="Times New Roman" w:hAnsi="Times New Roman" w:cs="Times New Roman"/>
          <w:noProof/>
          <w:sz w:val="24"/>
          <w:szCs w:val="24"/>
        </w:rPr>
        <w:t>Lawyers, bar associations, public notaries and other legal profession</w:t>
      </w:r>
      <w:r w:rsidR="00B47242" w:rsidRPr="00D16622">
        <w:rPr>
          <w:rFonts w:ascii="Times New Roman" w:hAnsi="Times New Roman" w:cs="Times New Roman"/>
          <w:noProof/>
          <w:sz w:val="24"/>
          <w:szCs w:val="24"/>
        </w:rPr>
        <w:t>al</w:t>
      </w:r>
      <w:r w:rsidRPr="00D16622">
        <w:rPr>
          <w:rFonts w:ascii="Times New Roman" w:hAnsi="Times New Roman" w:cs="Times New Roman"/>
          <w:noProof/>
          <w:sz w:val="24"/>
          <w:szCs w:val="24"/>
        </w:rPr>
        <w:t>s</w:t>
      </w:r>
      <w:r w:rsidR="00B47242" w:rsidRPr="00D16622">
        <w:rPr>
          <w:rFonts w:ascii="Times New Roman" w:hAnsi="Times New Roman" w:cs="Times New Roman"/>
          <w:noProof/>
          <w:sz w:val="24"/>
          <w:szCs w:val="24"/>
        </w:rPr>
        <w:t xml:space="preserve"> are essential to</w:t>
      </w:r>
      <w:r w:rsidR="005A312B" w:rsidRPr="00D16622">
        <w:rPr>
          <w:rFonts w:ascii="Times New Roman" w:hAnsi="Times New Roman" w:cs="Times New Roman"/>
          <w:noProof/>
          <w:sz w:val="24"/>
          <w:szCs w:val="24"/>
        </w:rPr>
        <w:t xml:space="preserve"> the effective functioning of</w:t>
      </w:r>
      <w:r w:rsidRPr="00D16622">
        <w:rPr>
          <w:rFonts w:ascii="Times New Roman" w:hAnsi="Times New Roman" w:cs="Times New Roman"/>
          <w:noProof/>
          <w:sz w:val="24"/>
          <w:szCs w:val="24"/>
        </w:rPr>
        <w:t xml:space="preserve"> the rule of law. As recognised by the CJEU, legal professional privilege and the confidentiality of lawyer-client communications constitute general principles of EU law, closely linked to the rights of the defence and the proper administration of justice</w:t>
      </w:r>
      <w:r w:rsidRPr="00D16622">
        <w:rPr>
          <w:rStyle w:val="FootnoteReference"/>
          <w:rFonts w:cs="Times New Roman"/>
          <w:noProof/>
        </w:rPr>
        <w:footnoteReference w:id="57"/>
      </w:r>
      <w:r w:rsidRPr="00D16622">
        <w:rPr>
          <w:rFonts w:ascii="Times New Roman" w:hAnsi="Times New Roman" w:cs="Times New Roman"/>
          <w:noProof/>
          <w:sz w:val="24"/>
          <w:szCs w:val="24"/>
        </w:rPr>
        <w:t>. In 2025, the Council of Europe adopted the European Convention on the Profession of Lawyer which, for the first time, codifies safeguards aimed at ensuring that lawyers can act independently of the executive and other undue influences</w:t>
      </w:r>
      <w:r w:rsidRPr="00D16622">
        <w:rPr>
          <w:rStyle w:val="FootnoteReference"/>
          <w:rFonts w:cs="Times New Roman"/>
          <w:noProof/>
        </w:rPr>
        <w:footnoteReference w:id="58"/>
      </w:r>
      <w:r w:rsidRPr="00D16622">
        <w:rPr>
          <w:rFonts w:ascii="Times New Roman" w:hAnsi="Times New Roman" w:cs="Times New Roman"/>
          <w:noProof/>
          <w:sz w:val="24"/>
          <w:szCs w:val="24"/>
        </w:rPr>
        <w:t xml:space="preserve">. </w:t>
      </w:r>
    </w:p>
    <w:p w14:paraId="4C534FE4" w14:textId="67BCACC0" w:rsidR="0058593E" w:rsidRPr="00D16622" w:rsidRDefault="0058593E" w:rsidP="0058593E">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While the independence of lawyers in the EU is generally ensured, allowing lawyers to freely pursue their activities of advising and representing their clients, challenges persist.</w:t>
      </w:r>
      <w:r w:rsidRPr="00D16622">
        <w:rPr>
          <w:rFonts w:ascii="Times New Roman" w:hAnsi="Times New Roman" w:cs="Times New Roman"/>
          <w:b/>
          <w:bCs/>
          <w:noProof/>
          <w:sz w:val="24"/>
          <w:szCs w:val="24"/>
        </w:rPr>
        <w:t xml:space="preserve"> </w:t>
      </w:r>
      <w:r w:rsidR="00C041FE" w:rsidRPr="00D16622">
        <w:rPr>
          <w:rFonts w:ascii="Times New Roman" w:hAnsi="Times New Roman" w:cs="Times New Roman"/>
          <w:noProof/>
          <w:sz w:val="24"/>
          <w:szCs w:val="24"/>
        </w:rPr>
        <w:t xml:space="preserve">In </w:t>
      </w:r>
      <w:hyperlink r:id="rId118" w:history="1">
        <w:r w:rsidRPr="00D16622">
          <w:rPr>
            <w:rStyle w:val="Hyperlink"/>
            <w:rFonts w:cs="Times New Roman"/>
            <w:noProof/>
            <w:szCs w:val="24"/>
          </w:rPr>
          <w:t>Belgi</w:t>
        </w:r>
        <w:r w:rsidR="00C041FE" w:rsidRPr="00D16622">
          <w:rPr>
            <w:rStyle w:val="Hyperlink"/>
            <w:rFonts w:cs="Times New Roman"/>
            <w:noProof/>
            <w:szCs w:val="24"/>
          </w:rPr>
          <w:t>um</w:t>
        </w:r>
      </w:hyperlink>
      <w:r w:rsidR="00C041FE" w:rsidRPr="00D16622">
        <w:rPr>
          <w:rFonts w:ascii="Times New Roman" w:hAnsi="Times New Roman" w:cs="Times New Roman"/>
          <w:noProof/>
          <w:sz w:val="24"/>
          <w:szCs w:val="24"/>
        </w:rPr>
        <w:t>,</w:t>
      </w:r>
      <w:r w:rsidRPr="00D16622">
        <w:rPr>
          <w:rFonts w:ascii="Times New Roman" w:hAnsi="Times New Roman" w:cs="Times New Roman"/>
          <w:noProof/>
          <w:sz w:val="24"/>
          <w:szCs w:val="24"/>
        </w:rPr>
        <w:t xml:space="preserve"> lawyers continue to call for additional procedural safeguards to protect their independence and legal professional privilege.</w:t>
      </w:r>
      <w:r w:rsidRPr="00D16622">
        <w:rPr>
          <w:rFonts w:ascii="Times New Roman" w:eastAsia="Times New Roman" w:hAnsi="Times New Roman" w:cs="Times New Roman"/>
          <w:noProof/>
          <w:sz w:val="24"/>
          <w:szCs w:val="24"/>
        </w:rPr>
        <w:t xml:space="preserve"> </w:t>
      </w:r>
      <w:r w:rsidR="00832C2B" w:rsidRPr="00D16622">
        <w:rPr>
          <w:rFonts w:ascii="Times New Roman" w:eastAsia="Times New Roman" w:hAnsi="Times New Roman" w:cs="Times New Roman"/>
          <w:noProof/>
          <w:sz w:val="24"/>
          <w:szCs w:val="24"/>
        </w:rPr>
        <w:t>I</w:t>
      </w:r>
      <w:r w:rsidRPr="00D16622">
        <w:rPr>
          <w:rFonts w:ascii="Times New Roman" w:eastAsia="Times New Roman" w:hAnsi="Times New Roman" w:cs="Times New Roman"/>
          <w:noProof/>
          <w:sz w:val="24"/>
          <w:szCs w:val="24"/>
        </w:rPr>
        <w:t>n</w:t>
      </w:r>
      <w:r w:rsidRPr="00D16622">
        <w:rPr>
          <w:rFonts w:ascii="Times New Roman" w:hAnsi="Times New Roman" w:cs="Times New Roman"/>
          <w:noProof/>
          <w:sz w:val="24"/>
          <w:szCs w:val="24"/>
        </w:rPr>
        <w:t xml:space="preserve"> the </w:t>
      </w:r>
      <w:hyperlink r:id="rId119" w:history="1">
        <w:r w:rsidR="002C61F5" w:rsidRPr="00D16622">
          <w:rPr>
            <w:rStyle w:val="Hyperlink"/>
            <w:rFonts w:eastAsia="Times New Roman" w:cs="Times New Roman"/>
            <w:noProof/>
            <w:szCs w:val="24"/>
          </w:rPr>
          <w:t>Netherlands</w:t>
        </w:r>
      </w:hyperlink>
      <w:r w:rsidR="00A87088" w:rsidRPr="00D16622">
        <w:rPr>
          <w:rFonts w:ascii="Times New Roman" w:hAnsi="Times New Roman" w:cs="Times New Roman"/>
          <w:noProof/>
          <w:sz w:val="24"/>
          <w:szCs w:val="24"/>
        </w:rPr>
        <w:t>,</w:t>
      </w:r>
      <w:r w:rsidRPr="00D16622">
        <w:rPr>
          <w:rFonts w:ascii="Times New Roman" w:hAnsi="Times New Roman" w:cs="Times New Roman"/>
          <w:noProof/>
          <w:sz w:val="24"/>
          <w:szCs w:val="24"/>
        </w:rPr>
        <w:t xml:space="preserve"> </w:t>
      </w:r>
      <w:r w:rsidR="00DD4112" w:rsidRPr="00D16622">
        <w:rPr>
          <w:rFonts w:ascii="Times New Roman" w:hAnsi="Times New Roman" w:cs="Times New Roman"/>
          <w:noProof/>
          <w:sz w:val="24"/>
          <w:szCs w:val="24"/>
        </w:rPr>
        <w:t>changes were made to the regime of</w:t>
      </w:r>
      <w:r w:rsidR="00775AF9" w:rsidRPr="00D16622">
        <w:rPr>
          <w:rFonts w:ascii="Times New Roman" w:hAnsi="Times New Roman" w:cs="Times New Roman"/>
          <w:noProof/>
          <w:sz w:val="24"/>
          <w:szCs w:val="24"/>
        </w:rPr>
        <w:t xml:space="preserve"> visual supervision of lawyer-client conversations </w:t>
      </w:r>
      <w:r w:rsidR="00592574" w:rsidRPr="00D16622">
        <w:rPr>
          <w:rFonts w:ascii="Times New Roman" w:hAnsi="Times New Roman" w:cs="Times New Roman"/>
          <w:noProof/>
          <w:sz w:val="24"/>
          <w:szCs w:val="24"/>
        </w:rPr>
        <w:t>in high-security prisons</w:t>
      </w:r>
      <w:r w:rsidR="00800FED" w:rsidRPr="00D16622">
        <w:rPr>
          <w:rFonts w:ascii="Times New Roman" w:hAnsi="Times New Roman" w:cs="Times New Roman"/>
          <w:noProof/>
          <w:sz w:val="24"/>
          <w:szCs w:val="24"/>
        </w:rPr>
        <w:t>, amid concerns by</w:t>
      </w:r>
      <w:r w:rsidR="00592574" w:rsidRPr="00D16622">
        <w:rPr>
          <w:rFonts w:ascii="Times New Roman" w:hAnsi="Times New Roman" w:cs="Times New Roman"/>
          <w:noProof/>
          <w:sz w:val="24"/>
          <w:szCs w:val="24"/>
        </w:rPr>
        <w:t xml:space="preserve"> </w:t>
      </w:r>
      <w:r w:rsidRPr="00D16622">
        <w:rPr>
          <w:rFonts w:ascii="Times New Roman" w:hAnsi="Times New Roman" w:cs="Times New Roman"/>
          <w:noProof/>
          <w:sz w:val="24"/>
          <w:szCs w:val="24"/>
        </w:rPr>
        <w:t xml:space="preserve">lawyers. </w:t>
      </w:r>
    </w:p>
    <w:p w14:paraId="332CADB4" w14:textId="1BA7BBA2" w:rsidR="0058593E" w:rsidRPr="00D16622" w:rsidRDefault="0058593E" w:rsidP="0058593E">
      <w:pPr>
        <w:spacing w:after="120" w:line="240" w:lineRule="auto"/>
        <w:jc w:val="both"/>
        <w:rPr>
          <w:rFonts w:ascii="Times New Roman" w:eastAsia="Times New Roman" w:hAnsi="Times New Roman" w:cs="Times New Roman"/>
          <w:noProof/>
          <w:sz w:val="24"/>
          <w:szCs w:val="24"/>
        </w:rPr>
      </w:pPr>
      <w:r w:rsidRPr="00D16622">
        <w:rPr>
          <w:rFonts w:ascii="Times New Roman" w:hAnsi="Times New Roman" w:cs="Times New Roman"/>
          <w:noProof/>
          <w:sz w:val="24"/>
          <w:szCs w:val="24"/>
        </w:rPr>
        <w:t>The availability of legal aid and the level of court fees have a major impact on access to justice. In several Member States, steps are being taken to improve the legal aid system,</w:t>
      </w:r>
      <w:r w:rsidR="00635420" w:rsidRPr="00D16622">
        <w:rPr>
          <w:rFonts w:ascii="Times New Roman" w:hAnsi="Times New Roman" w:cs="Times New Roman"/>
          <w:noProof/>
          <w:sz w:val="24"/>
          <w:szCs w:val="24"/>
        </w:rPr>
        <w:t xml:space="preserve"> such as in</w:t>
      </w:r>
      <w:r w:rsidRPr="00D16622">
        <w:rPr>
          <w:rFonts w:ascii="Times New Roman" w:hAnsi="Times New Roman" w:cs="Times New Roman"/>
          <w:noProof/>
          <w:sz w:val="24"/>
          <w:szCs w:val="24"/>
        </w:rPr>
        <w:t xml:space="preserve"> </w:t>
      </w:r>
      <w:hyperlink r:id="rId120" w:history="1">
        <w:r w:rsidR="00625426" w:rsidRPr="00D16622">
          <w:rPr>
            <w:rStyle w:val="Hyperlink"/>
            <w:rFonts w:eastAsia="Times New Roman" w:cs="Times New Roman"/>
            <w:noProof/>
            <w:szCs w:val="24"/>
            <w:lang w:val="en-IE"/>
          </w:rPr>
          <w:t>Latvia</w:t>
        </w:r>
      </w:hyperlink>
      <w:r w:rsidRPr="00D16622">
        <w:rPr>
          <w:rFonts w:ascii="Times New Roman" w:hAnsi="Times New Roman" w:cs="Times New Roman"/>
          <w:noProof/>
          <w:sz w:val="24"/>
          <w:szCs w:val="24"/>
        </w:rPr>
        <w:t xml:space="preserve">, where </w:t>
      </w:r>
      <w:r w:rsidR="00807EC2" w:rsidRPr="00D16622">
        <w:rPr>
          <w:rFonts w:ascii="Times New Roman" w:hAnsi="Times New Roman" w:cs="Times New Roman"/>
          <w:noProof/>
          <w:sz w:val="24"/>
          <w:szCs w:val="24"/>
        </w:rPr>
        <w:t xml:space="preserve">access to </w:t>
      </w:r>
      <w:r w:rsidRPr="00D16622">
        <w:rPr>
          <w:rFonts w:ascii="Times New Roman" w:eastAsia="Times New Roman" w:hAnsi="Times New Roman" w:cs="Times New Roman"/>
          <w:noProof/>
          <w:sz w:val="24"/>
          <w:szCs w:val="24"/>
        </w:rPr>
        <w:t xml:space="preserve">legal aid in proceedings before the Constitutional Court </w:t>
      </w:r>
      <w:r w:rsidR="58E4F62F" w:rsidRPr="00D16622">
        <w:rPr>
          <w:rFonts w:ascii="Times New Roman" w:eastAsia="Times New Roman" w:hAnsi="Times New Roman" w:cs="Times New Roman"/>
          <w:noProof/>
          <w:sz w:val="24"/>
          <w:szCs w:val="24"/>
        </w:rPr>
        <w:t>was</w:t>
      </w:r>
      <w:r w:rsidRPr="00D16622">
        <w:rPr>
          <w:rFonts w:ascii="Times New Roman" w:eastAsia="Times New Roman" w:hAnsi="Times New Roman" w:cs="Times New Roman"/>
          <w:noProof/>
          <w:sz w:val="24"/>
          <w:szCs w:val="24"/>
        </w:rPr>
        <w:t xml:space="preserve"> expanded</w:t>
      </w:r>
      <w:r w:rsidRPr="00D16622">
        <w:rPr>
          <w:rFonts w:ascii="Times New Roman" w:hAnsi="Times New Roman" w:cs="Times New Roman"/>
          <w:noProof/>
          <w:sz w:val="24"/>
          <w:szCs w:val="24"/>
        </w:rPr>
        <w:t xml:space="preserve">. </w:t>
      </w:r>
      <w:r w:rsidR="000F24AE" w:rsidRPr="00D16622">
        <w:rPr>
          <w:rFonts w:ascii="Times New Roman" w:hAnsi="Times New Roman" w:cs="Times New Roman"/>
          <w:noProof/>
          <w:sz w:val="24"/>
          <w:szCs w:val="24"/>
        </w:rPr>
        <w:t>I</w:t>
      </w:r>
      <w:r w:rsidR="003076FE" w:rsidRPr="00D16622">
        <w:rPr>
          <w:rFonts w:ascii="Times New Roman" w:hAnsi="Times New Roman" w:cs="Times New Roman"/>
          <w:noProof/>
          <w:sz w:val="24"/>
          <w:szCs w:val="24"/>
        </w:rPr>
        <w:t xml:space="preserve">n </w:t>
      </w:r>
      <w:hyperlink r:id="rId121" w:history="1">
        <w:r w:rsidR="003076FE" w:rsidRPr="00D16622">
          <w:rPr>
            <w:rStyle w:val="Hyperlink"/>
            <w:rFonts w:cs="Times New Roman"/>
            <w:noProof/>
            <w:szCs w:val="24"/>
          </w:rPr>
          <w:t>Denmark</w:t>
        </w:r>
      </w:hyperlink>
      <w:r w:rsidR="003076FE" w:rsidRPr="00D16622">
        <w:rPr>
          <w:rFonts w:ascii="Times New Roman" w:hAnsi="Times New Roman" w:cs="Times New Roman"/>
          <w:noProof/>
          <w:sz w:val="24"/>
          <w:szCs w:val="24"/>
        </w:rPr>
        <w:t>, the Judicial Council continued its work on the review of the legal aid system, and</w:t>
      </w:r>
      <w:r w:rsidR="001F24C9" w:rsidRPr="00D16622">
        <w:rPr>
          <w:rFonts w:ascii="Times New Roman" w:hAnsi="Times New Roman" w:cs="Times New Roman"/>
          <w:noProof/>
          <w:sz w:val="24"/>
          <w:szCs w:val="24"/>
        </w:rPr>
        <w:t xml:space="preserve"> i</w:t>
      </w:r>
      <w:r w:rsidRPr="00D16622">
        <w:rPr>
          <w:rFonts w:ascii="Times New Roman" w:hAnsi="Times New Roman" w:cs="Times New Roman"/>
          <w:noProof/>
          <w:sz w:val="24"/>
          <w:szCs w:val="24"/>
        </w:rPr>
        <w:t xml:space="preserve">n </w:t>
      </w:r>
      <w:hyperlink r:id="rId122" w:history="1">
        <w:r w:rsidRPr="00D16622">
          <w:rPr>
            <w:rStyle w:val="Hyperlink"/>
            <w:rFonts w:cs="Times New Roman"/>
            <w:noProof/>
            <w:szCs w:val="24"/>
          </w:rPr>
          <w:t>Ireland</w:t>
        </w:r>
      </w:hyperlink>
      <w:r w:rsidRPr="00D16622">
        <w:rPr>
          <w:rFonts w:ascii="Times New Roman" w:hAnsi="Times New Roman" w:cs="Times New Roman"/>
          <w:noProof/>
          <w:sz w:val="24"/>
          <w:szCs w:val="24"/>
        </w:rPr>
        <w:t xml:space="preserve">, further steps have been taken to reduce the costs of litigation with the </w:t>
      </w:r>
      <w:r w:rsidR="00FB76B4" w:rsidRPr="00D16622">
        <w:rPr>
          <w:rFonts w:ascii="Times New Roman" w:hAnsi="Times New Roman" w:cs="Times New Roman"/>
          <w:noProof/>
          <w:sz w:val="24"/>
          <w:szCs w:val="24"/>
        </w:rPr>
        <w:t xml:space="preserve">ongoing </w:t>
      </w:r>
      <w:r w:rsidRPr="00D16622">
        <w:rPr>
          <w:rFonts w:ascii="Times New Roman" w:hAnsi="Times New Roman" w:cs="Times New Roman"/>
          <w:noProof/>
          <w:sz w:val="24"/>
          <w:szCs w:val="24"/>
        </w:rPr>
        <w:t>drafting of the Civil Reform Bill</w:t>
      </w:r>
      <w:r w:rsidR="00FB76B4" w:rsidRPr="00D16622">
        <w:rPr>
          <w:rFonts w:ascii="Times New Roman" w:hAnsi="Times New Roman" w:cs="Times New Roman"/>
          <w:noProof/>
          <w:sz w:val="24"/>
          <w:szCs w:val="24"/>
        </w:rPr>
        <w:t xml:space="preserve">, </w:t>
      </w:r>
      <w:r w:rsidRPr="00D16622">
        <w:rPr>
          <w:rFonts w:ascii="Times New Roman" w:hAnsi="Times New Roman" w:cs="Times New Roman"/>
          <w:noProof/>
          <w:sz w:val="24"/>
          <w:szCs w:val="24"/>
        </w:rPr>
        <w:t xml:space="preserve">while a review of the Civil Legal Aid scheme was published and reform of the Criminal Legal Aid system is planned. In </w:t>
      </w:r>
      <w:hyperlink r:id="rId123" w:history="1">
        <w:r w:rsidRPr="00D16622">
          <w:rPr>
            <w:rStyle w:val="Hyperlink"/>
            <w:rFonts w:cs="Times New Roman"/>
            <w:noProof/>
            <w:szCs w:val="24"/>
          </w:rPr>
          <w:t>Bulgaria</w:t>
        </w:r>
      </w:hyperlink>
      <w:r w:rsidRPr="00D16622">
        <w:rPr>
          <w:rFonts w:ascii="Times New Roman" w:hAnsi="Times New Roman" w:cs="Times New Roman"/>
          <w:noProof/>
          <w:sz w:val="24"/>
          <w:szCs w:val="24"/>
        </w:rPr>
        <w:t xml:space="preserve">, amendments to the legal aid rules increased the remuneration for lawyers. </w:t>
      </w:r>
      <w:r w:rsidR="00261508" w:rsidRPr="00D16622">
        <w:rPr>
          <w:rFonts w:ascii="Times New Roman" w:hAnsi="Times New Roman" w:cs="Times New Roman"/>
          <w:noProof/>
          <w:sz w:val="24"/>
          <w:szCs w:val="24"/>
        </w:rPr>
        <w:t>Meanwhile</w:t>
      </w:r>
      <w:r w:rsidRPr="00D16622">
        <w:rPr>
          <w:rFonts w:ascii="Times New Roman" w:hAnsi="Times New Roman" w:cs="Times New Roman"/>
          <w:noProof/>
          <w:sz w:val="24"/>
          <w:szCs w:val="24"/>
        </w:rPr>
        <w:t>, i</w:t>
      </w:r>
      <w:r w:rsidRPr="00D16622">
        <w:rPr>
          <w:rFonts w:ascii="Times New Roman" w:eastAsia="Times New Roman" w:hAnsi="Times New Roman" w:cs="Times New Roman"/>
          <w:noProof/>
          <w:sz w:val="24"/>
          <w:szCs w:val="24"/>
        </w:rPr>
        <w:t xml:space="preserve">n </w:t>
      </w:r>
      <w:hyperlink r:id="rId124" w:history="1">
        <w:r w:rsidRPr="00D16622">
          <w:rPr>
            <w:rStyle w:val="Hyperlink"/>
            <w:rFonts w:eastAsia="Times New Roman" w:cs="Times New Roman"/>
            <w:noProof/>
            <w:szCs w:val="24"/>
          </w:rPr>
          <w:t>Lithuania</w:t>
        </w:r>
      </w:hyperlink>
      <w:r w:rsidRPr="00D16622">
        <w:rPr>
          <w:rFonts w:ascii="Times New Roman" w:eastAsia="Times New Roman" w:hAnsi="Times New Roman" w:cs="Times New Roman"/>
          <w:noProof/>
          <w:sz w:val="24"/>
          <w:szCs w:val="24"/>
        </w:rPr>
        <w:t xml:space="preserve">, discussions on the level of remuneration of legal aid providers were suspended </w:t>
      </w:r>
      <w:r w:rsidR="00DE60A2" w:rsidRPr="00D16622">
        <w:rPr>
          <w:rFonts w:ascii="Times New Roman" w:eastAsia="Times New Roman" w:hAnsi="Times New Roman" w:cs="Times New Roman"/>
          <w:noProof/>
          <w:sz w:val="24"/>
          <w:szCs w:val="24"/>
        </w:rPr>
        <w:t xml:space="preserve">in 2026 </w:t>
      </w:r>
      <w:r w:rsidRPr="00D16622">
        <w:rPr>
          <w:rFonts w:ascii="Times New Roman" w:eastAsia="Times New Roman" w:hAnsi="Times New Roman" w:cs="Times New Roman"/>
          <w:noProof/>
          <w:sz w:val="24"/>
          <w:szCs w:val="24"/>
        </w:rPr>
        <w:t xml:space="preserve">and the envisaged </w:t>
      </w:r>
      <w:r w:rsidR="00D0089D" w:rsidRPr="00D16622">
        <w:rPr>
          <w:rFonts w:ascii="Times New Roman" w:eastAsia="Times New Roman" w:hAnsi="Times New Roman" w:cs="Times New Roman"/>
          <w:noProof/>
          <w:sz w:val="24"/>
          <w:szCs w:val="24"/>
        </w:rPr>
        <w:t>new features of the Legal Aid Information System</w:t>
      </w:r>
      <w:r w:rsidR="001A2755" w:rsidRPr="00D16622">
        <w:rPr>
          <w:rFonts w:ascii="Times New Roman" w:eastAsia="Times New Roman" w:hAnsi="Times New Roman" w:cs="Times New Roman"/>
          <w:noProof/>
          <w:sz w:val="24"/>
          <w:szCs w:val="24"/>
        </w:rPr>
        <w:t xml:space="preserve"> </w:t>
      </w:r>
      <w:r w:rsidRPr="00D16622">
        <w:rPr>
          <w:rFonts w:ascii="Times New Roman" w:eastAsia="Times New Roman" w:hAnsi="Times New Roman" w:cs="Times New Roman"/>
          <w:noProof/>
          <w:sz w:val="24"/>
          <w:szCs w:val="24"/>
        </w:rPr>
        <w:t xml:space="preserve">to reduce the administrative burden for legal aid providers </w:t>
      </w:r>
      <w:r w:rsidR="001A2755" w:rsidRPr="00D16622">
        <w:rPr>
          <w:rFonts w:ascii="Times New Roman" w:eastAsia="Times New Roman" w:hAnsi="Times New Roman" w:cs="Times New Roman"/>
          <w:noProof/>
          <w:sz w:val="24"/>
          <w:szCs w:val="24"/>
        </w:rPr>
        <w:t>are planned for this year</w:t>
      </w:r>
      <w:r w:rsidRPr="00D16622">
        <w:rPr>
          <w:rFonts w:ascii="Times New Roman" w:eastAsia="Times New Roman" w:hAnsi="Times New Roman" w:cs="Times New Roman"/>
          <w:noProof/>
          <w:sz w:val="24"/>
          <w:szCs w:val="24"/>
        </w:rPr>
        <w:t>.</w:t>
      </w:r>
    </w:p>
    <w:p w14:paraId="3C7C03A5" w14:textId="0A91B40A" w:rsidR="00145A2C" w:rsidRPr="00D16622" w:rsidRDefault="00756699" w:rsidP="00EE0398">
      <w:pPr>
        <w:keepNext/>
        <w:spacing w:after="120" w:line="240" w:lineRule="auto"/>
        <w:jc w:val="both"/>
        <w:rPr>
          <w:rFonts w:ascii="Times New Roman" w:hAnsi="Times New Roman" w:cs="Times New Roman"/>
          <w:b/>
          <w:i/>
          <w:noProof/>
          <w:sz w:val="24"/>
          <w:szCs w:val="24"/>
        </w:rPr>
      </w:pPr>
      <w:r w:rsidRPr="00D16622">
        <w:rPr>
          <w:rFonts w:ascii="Times New Roman" w:hAnsi="Times New Roman" w:cs="Times New Roman"/>
          <w:b/>
          <w:i/>
          <w:noProof/>
          <w:sz w:val="24"/>
          <w:szCs w:val="24"/>
        </w:rPr>
        <w:t>3</w:t>
      </w:r>
      <w:r w:rsidR="00D656A3" w:rsidRPr="00D16622">
        <w:rPr>
          <w:rFonts w:ascii="Times New Roman" w:hAnsi="Times New Roman" w:cs="Times New Roman"/>
          <w:b/>
          <w:i/>
          <w:noProof/>
          <w:sz w:val="24"/>
          <w:szCs w:val="24"/>
        </w:rPr>
        <w:t xml:space="preserve">.2 </w:t>
      </w:r>
      <w:r w:rsidR="00BB03D0" w:rsidRPr="00D16622">
        <w:rPr>
          <w:rFonts w:ascii="Times New Roman" w:hAnsi="Times New Roman" w:cs="Times New Roman"/>
          <w:b/>
          <w:i/>
          <w:noProof/>
          <w:sz w:val="24"/>
          <w:szCs w:val="24"/>
        </w:rPr>
        <w:tab/>
      </w:r>
      <w:r w:rsidR="00D656A3" w:rsidRPr="00D16622">
        <w:rPr>
          <w:rFonts w:ascii="Times New Roman" w:hAnsi="Times New Roman" w:cs="Times New Roman"/>
          <w:b/>
          <w:i/>
          <w:noProof/>
          <w:sz w:val="24"/>
          <w:szCs w:val="24"/>
        </w:rPr>
        <w:t xml:space="preserve">Anti-corruption framework </w:t>
      </w:r>
    </w:p>
    <w:p w14:paraId="4959FAE2" w14:textId="389AD847" w:rsidR="00FD39BB" w:rsidRPr="00D16622" w:rsidRDefault="00FD39BB" w:rsidP="004A0C93">
      <w:pPr>
        <w:spacing w:after="120" w:line="240" w:lineRule="auto"/>
        <w:jc w:val="both"/>
        <w:rPr>
          <w:rFonts w:ascii="Times New Roman" w:hAnsi="Times New Roman" w:cs="Times New Roman"/>
          <w:b/>
          <w:bCs/>
          <w:iCs/>
          <w:noProof/>
          <w:sz w:val="24"/>
          <w:szCs w:val="24"/>
        </w:rPr>
      </w:pPr>
      <w:r w:rsidRPr="00D16622">
        <w:rPr>
          <w:rFonts w:ascii="Times New Roman" w:hAnsi="Times New Roman" w:cs="Times New Roman"/>
          <w:iCs/>
          <w:noProof/>
          <w:sz w:val="24"/>
          <w:szCs w:val="24"/>
        </w:rPr>
        <w:t>Corruption undermines security</w:t>
      </w:r>
      <w:r w:rsidR="00A35186" w:rsidRPr="00D16622">
        <w:rPr>
          <w:rFonts w:ascii="Times New Roman" w:hAnsi="Times New Roman" w:cs="Times New Roman"/>
          <w:iCs/>
          <w:noProof/>
          <w:sz w:val="24"/>
          <w:szCs w:val="24"/>
        </w:rPr>
        <w:t>, fair competition</w:t>
      </w:r>
      <w:r w:rsidRPr="00D16622">
        <w:rPr>
          <w:rFonts w:ascii="Times New Roman" w:hAnsi="Times New Roman" w:cs="Times New Roman"/>
          <w:iCs/>
          <w:noProof/>
          <w:sz w:val="24"/>
          <w:szCs w:val="24"/>
        </w:rPr>
        <w:t xml:space="preserve"> and </w:t>
      </w:r>
      <w:r w:rsidR="00A35186" w:rsidRPr="00D16622">
        <w:rPr>
          <w:rFonts w:ascii="Times New Roman" w:hAnsi="Times New Roman" w:cs="Times New Roman"/>
          <w:iCs/>
          <w:noProof/>
          <w:sz w:val="24"/>
          <w:szCs w:val="24"/>
        </w:rPr>
        <w:t>prosperity</w:t>
      </w:r>
      <w:r w:rsidRPr="00D16622">
        <w:rPr>
          <w:rFonts w:ascii="Times New Roman" w:hAnsi="Times New Roman" w:cs="Times New Roman"/>
          <w:iCs/>
          <w:noProof/>
          <w:sz w:val="24"/>
          <w:szCs w:val="24"/>
        </w:rPr>
        <w:t>, weakens the quality of public services, distorts public resource allocation and erodes people’s trust in democracy, public institutions and the rule of law.</w:t>
      </w:r>
      <w:r w:rsidR="00BC4E7E" w:rsidRPr="00D16622">
        <w:rPr>
          <w:rFonts w:ascii="Times New Roman" w:hAnsi="Times New Roman" w:cs="Times New Roman"/>
          <w:iCs/>
          <w:noProof/>
          <w:sz w:val="24"/>
          <w:szCs w:val="24"/>
        </w:rPr>
        <w:t xml:space="preserve"> It is often linked to other crimes, </w:t>
      </w:r>
      <w:r w:rsidR="00ED3EB1" w:rsidRPr="00D16622">
        <w:rPr>
          <w:rFonts w:ascii="Times New Roman" w:hAnsi="Times New Roman" w:cs="Times New Roman"/>
          <w:iCs/>
          <w:noProof/>
          <w:sz w:val="24"/>
          <w:szCs w:val="24"/>
        </w:rPr>
        <w:t xml:space="preserve">including </w:t>
      </w:r>
      <w:r w:rsidR="00BC4E7E" w:rsidRPr="00D16622">
        <w:rPr>
          <w:rFonts w:ascii="Times New Roman" w:hAnsi="Times New Roman" w:cs="Times New Roman"/>
          <w:iCs/>
          <w:noProof/>
          <w:sz w:val="24"/>
          <w:szCs w:val="24"/>
        </w:rPr>
        <w:t>money laundering</w:t>
      </w:r>
      <w:r w:rsidR="001A0053" w:rsidRPr="00D16622">
        <w:rPr>
          <w:rFonts w:ascii="Times New Roman" w:hAnsi="Times New Roman" w:cs="Times New Roman"/>
          <w:iCs/>
          <w:noProof/>
          <w:sz w:val="24"/>
          <w:szCs w:val="24"/>
        </w:rPr>
        <w:t xml:space="preserve"> and drugs trafficking,</w:t>
      </w:r>
      <w:r w:rsidR="007F2DF6" w:rsidRPr="00D16622">
        <w:rPr>
          <w:rFonts w:ascii="Times New Roman" w:hAnsi="Times New Roman" w:cs="Times New Roman"/>
          <w:iCs/>
          <w:noProof/>
          <w:sz w:val="24"/>
          <w:szCs w:val="24"/>
        </w:rPr>
        <w:t xml:space="preserve"> and </w:t>
      </w:r>
      <w:r w:rsidR="009946D9" w:rsidRPr="00D16622">
        <w:rPr>
          <w:rFonts w:ascii="Times New Roman" w:hAnsi="Times New Roman" w:cs="Times New Roman"/>
          <w:iCs/>
          <w:noProof/>
          <w:sz w:val="24"/>
          <w:szCs w:val="24"/>
        </w:rPr>
        <w:t>i</w:t>
      </w:r>
      <w:r w:rsidR="00705D0C" w:rsidRPr="00D16622">
        <w:rPr>
          <w:rFonts w:ascii="Times New Roman" w:hAnsi="Times New Roman" w:cs="Times New Roman"/>
          <w:iCs/>
          <w:noProof/>
          <w:sz w:val="24"/>
          <w:szCs w:val="24"/>
        </w:rPr>
        <w:t xml:space="preserve">t is one of the main tools used by organised crime groups to infiltrate and influence </w:t>
      </w:r>
      <w:r w:rsidR="00F253EE" w:rsidRPr="00D16622">
        <w:rPr>
          <w:rFonts w:ascii="Times New Roman" w:hAnsi="Times New Roman" w:cs="Times New Roman"/>
          <w:iCs/>
          <w:noProof/>
          <w:sz w:val="24"/>
          <w:szCs w:val="24"/>
        </w:rPr>
        <w:t xml:space="preserve">institutions and </w:t>
      </w:r>
      <w:r w:rsidR="00705D0C" w:rsidRPr="00D16622">
        <w:rPr>
          <w:rFonts w:ascii="Times New Roman" w:hAnsi="Times New Roman" w:cs="Times New Roman"/>
          <w:iCs/>
          <w:noProof/>
          <w:sz w:val="24"/>
          <w:szCs w:val="24"/>
        </w:rPr>
        <w:t>legitimate businesses</w:t>
      </w:r>
      <w:r w:rsidR="00BC4E7E" w:rsidRPr="00D16622">
        <w:rPr>
          <w:rFonts w:ascii="Times New Roman" w:hAnsi="Times New Roman" w:cs="Times New Roman"/>
          <w:iCs/>
          <w:noProof/>
          <w:sz w:val="24"/>
          <w:szCs w:val="24"/>
        </w:rPr>
        <w:t>.</w:t>
      </w:r>
      <w:r w:rsidR="009E7068" w:rsidRPr="00D16622">
        <w:rPr>
          <w:rFonts w:ascii="Times New Roman" w:hAnsi="Times New Roman" w:cs="Times New Roman"/>
          <w:iCs/>
          <w:noProof/>
          <w:sz w:val="24"/>
          <w:szCs w:val="24"/>
        </w:rPr>
        <w:t xml:space="preserve"> A comprehensive approach to fighting corruption relies on a combination of preventive and </w:t>
      </w:r>
      <w:r w:rsidR="00F74D1B" w:rsidRPr="00D16622">
        <w:rPr>
          <w:rFonts w:ascii="Times New Roman" w:hAnsi="Times New Roman" w:cs="Times New Roman"/>
          <w:iCs/>
          <w:noProof/>
          <w:sz w:val="24"/>
          <w:szCs w:val="24"/>
        </w:rPr>
        <w:t xml:space="preserve">repressive </w:t>
      </w:r>
      <w:r w:rsidR="009E7068" w:rsidRPr="00D16622">
        <w:rPr>
          <w:rFonts w:ascii="Times New Roman" w:hAnsi="Times New Roman" w:cs="Times New Roman"/>
          <w:iCs/>
          <w:noProof/>
          <w:sz w:val="24"/>
          <w:szCs w:val="24"/>
        </w:rPr>
        <w:t>measures in a robust legal and institutional framework, with effective investigations and prosecutions.</w:t>
      </w:r>
    </w:p>
    <w:p w14:paraId="0326811B" w14:textId="41DEE9C8" w:rsidR="006F43AF" w:rsidRPr="00D16622" w:rsidRDefault="006F43AF" w:rsidP="006F43AF">
      <w:pPr>
        <w:spacing w:after="120" w:line="240" w:lineRule="auto"/>
        <w:jc w:val="both"/>
        <w:rPr>
          <w:rFonts w:ascii="Times New Roman" w:hAnsi="Times New Roman" w:cs="Times New Roman"/>
          <w:i/>
          <w:noProof/>
          <w:sz w:val="24"/>
          <w:szCs w:val="24"/>
        </w:rPr>
      </w:pPr>
      <w:r w:rsidRPr="00D16622">
        <w:rPr>
          <w:rFonts w:ascii="Times New Roman" w:hAnsi="Times New Roman" w:cs="Times New Roman"/>
          <w:i/>
          <w:noProof/>
          <w:sz w:val="24"/>
          <w:szCs w:val="24"/>
        </w:rPr>
        <w:t>Corruption perceptions across the EU</w:t>
      </w:r>
      <w:r w:rsidRPr="00D16622" w:rsidDel="00E123EF">
        <w:rPr>
          <w:rFonts w:ascii="Times New Roman" w:hAnsi="Times New Roman" w:cs="Times New Roman"/>
          <w:i/>
          <w:noProof/>
          <w:sz w:val="24"/>
          <w:szCs w:val="24"/>
        </w:rPr>
        <w:t xml:space="preserve"> </w:t>
      </w:r>
    </w:p>
    <w:p w14:paraId="68F2F456" w14:textId="1435CFE0" w:rsidR="008F67B5" w:rsidRPr="00D16622" w:rsidRDefault="008F67B5" w:rsidP="008F67B5">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The results of the </w:t>
      </w:r>
      <w:hyperlink r:id="rId125" w:history="1">
        <w:r w:rsidRPr="00D16622">
          <w:rPr>
            <w:rStyle w:val="Hyperlink"/>
            <w:rFonts w:cs="Times New Roman"/>
            <w:noProof/>
            <w:szCs w:val="24"/>
          </w:rPr>
          <w:t>Corruption Perceptions Index</w:t>
        </w:r>
      </w:hyperlink>
      <w:r w:rsidRPr="00D16622">
        <w:rPr>
          <w:rFonts w:ascii="Times New Roman" w:hAnsi="Times New Roman" w:cs="Times New Roman"/>
          <w:noProof/>
          <w:sz w:val="24"/>
          <w:szCs w:val="24"/>
        </w:rPr>
        <w:t xml:space="preserve"> consistently show that </w:t>
      </w:r>
      <w:r w:rsidR="009D7F9E" w:rsidRPr="00D16622">
        <w:rPr>
          <w:rFonts w:ascii="Times New Roman" w:hAnsi="Times New Roman" w:cs="Times New Roman"/>
          <w:noProof/>
          <w:sz w:val="24"/>
          <w:szCs w:val="24"/>
        </w:rPr>
        <w:t xml:space="preserve">eight </w:t>
      </w:r>
      <w:r w:rsidRPr="00D16622">
        <w:rPr>
          <w:rFonts w:ascii="Times New Roman" w:hAnsi="Times New Roman" w:cs="Times New Roman"/>
          <w:noProof/>
          <w:sz w:val="24"/>
          <w:szCs w:val="24"/>
        </w:rPr>
        <w:t>of the 20 countries ranking best internationally are EU Member States</w:t>
      </w:r>
      <w:r w:rsidRPr="00D16622">
        <w:rPr>
          <w:rStyle w:val="FootnoteReference"/>
          <w:rFonts w:cs="Times New Roman"/>
          <w:noProof/>
        </w:rPr>
        <w:footnoteReference w:id="59"/>
      </w:r>
      <w:r w:rsidR="003B5E69" w:rsidRPr="00D16622">
        <w:rPr>
          <w:rFonts w:ascii="Times New Roman" w:hAnsi="Times New Roman" w:cs="Times New Roman"/>
          <w:noProof/>
          <w:sz w:val="24"/>
          <w:szCs w:val="24"/>
        </w:rPr>
        <w:t>, while</w:t>
      </w:r>
      <w:r w:rsidRPr="00D16622">
        <w:rPr>
          <w:rFonts w:ascii="Times New Roman" w:hAnsi="Times New Roman" w:cs="Times New Roman"/>
          <w:noProof/>
          <w:sz w:val="24"/>
          <w:szCs w:val="24"/>
        </w:rPr>
        <w:t xml:space="preserve"> differences remain</w:t>
      </w:r>
      <w:r w:rsidRPr="00D16622">
        <w:rPr>
          <w:rStyle w:val="FootnoteReference"/>
          <w:rFonts w:cs="Times New Roman"/>
          <w:noProof/>
        </w:rPr>
        <w:footnoteReference w:id="60"/>
      </w:r>
      <w:r w:rsidRPr="00D16622">
        <w:rPr>
          <w:rFonts w:ascii="Times New Roman" w:hAnsi="Times New Roman" w:cs="Times New Roman"/>
          <w:noProof/>
          <w:sz w:val="24"/>
          <w:szCs w:val="24"/>
        </w:rPr>
        <w:t>. Enlargement partners score below the average in this ranking</w:t>
      </w:r>
      <w:r w:rsidRPr="00D16622">
        <w:rPr>
          <w:rStyle w:val="FootnoteReference"/>
          <w:rFonts w:cs="Times New Roman"/>
          <w:noProof/>
        </w:rPr>
        <w:footnoteReference w:id="61"/>
      </w:r>
      <w:r w:rsidRPr="00D16622">
        <w:rPr>
          <w:rFonts w:ascii="Times New Roman" w:hAnsi="Times New Roman" w:cs="Times New Roman"/>
          <w:noProof/>
          <w:sz w:val="24"/>
          <w:szCs w:val="24"/>
        </w:rPr>
        <w:t xml:space="preserve">. The 2026 Eurobarometer surveys on corruption show that corruption remains a serious concern for citizens and businesses in the EU. About </w:t>
      </w:r>
      <w:r w:rsidR="00D07E07" w:rsidRPr="00D16622">
        <w:rPr>
          <w:rFonts w:ascii="Times New Roman" w:hAnsi="Times New Roman" w:cs="Times New Roman"/>
          <w:noProof/>
          <w:sz w:val="24"/>
          <w:szCs w:val="24"/>
        </w:rPr>
        <w:t>seven</w:t>
      </w:r>
      <w:r w:rsidRPr="00D16622">
        <w:rPr>
          <w:rFonts w:ascii="Times New Roman" w:hAnsi="Times New Roman" w:cs="Times New Roman"/>
          <w:noProof/>
          <w:sz w:val="24"/>
          <w:szCs w:val="24"/>
        </w:rPr>
        <w:t xml:space="preserve"> in </w:t>
      </w:r>
      <w:r w:rsidR="00D07E07" w:rsidRPr="00D16622">
        <w:rPr>
          <w:rFonts w:ascii="Times New Roman" w:hAnsi="Times New Roman" w:cs="Times New Roman"/>
          <w:noProof/>
          <w:sz w:val="24"/>
          <w:szCs w:val="24"/>
        </w:rPr>
        <w:t xml:space="preserve">ten </w:t>
      </w:r>
      <w:r w:rsidRPr="00D16622">
        <w:rPr>
          <w:rFonts w:ascii="Times New Roman" w:hAnsi="Times New Roman" w:cs="Times New Roman"/>
          <w:noProof/>
          <w:sz w:val="24"/>
          <w:szCs w:val="24"/>
        </w:rPr>
        <w:t xml:space="preserve">Europeans (71%) believe that corruption is widespread in their country and almost </w:t>
      </w:r>
      <w:r w:rsidR="00D07E07" w:rsidRPr="00D16622">
        <w:rPr>
          <w:rFonts w:ascii="Times New Roman" w:hAnsi="Times New Roman" w:cs="Times New Roman"/>
          <w:noProof/>
          <w:sz w:val="24"/>
          <w:szCs w:val="24"/>
        </w:rPr>
        <w:t>five</w:t>
      </w:r>
      <w:r w:rsidRPr="00D16622">
        <w:rPr>
          <w:rFonts w:ascii="Times New Roman" w:hAnsi="Times New Roman" w:cs="Times New Roman"/>
          <w:noProof/>
          <w:sz w:val="24"/>
          <w:szCs w:val="24"/>
        </w:rPr>
        <w:t xml:space="preserve"> in </w:t>
      </w:r>
      <w:r w:rsidR="00D07E07" w:rsidRPr="00D16622">
        <w:rPr>
          <w:rFonts w:ascii="Times New Roman" w:hAnsi="Times New Roman" w:cs="Times New Roman"/>
          <w:noProof/>
          <w:sz w:val="24"/>
          <w:szCs w:val="24"/>
        </w:rPr>
        <w:t xml:space="preserve">ten </w:t>
      </w:r>
      <w:r w:rsidRPr="00D16622">
        <w:rPr>
          <w:rFonts w:ascii="Times New Roman" w:hAnsi="Times New Roman" w:cs="Times New Roman"/>
          <w:noProof/>
          <w:sz w:val="24"/>
          <w:szCs w:val="24"/>
        </w:rPr>
        <w:t>Europeans (48%) consider that the level of corruption has increased in their country. Only 35% of citizens think that their government’s efforts to combat corruption are effective. Similarly, most European companies (</w:t>
      </w:r>
      <w:r w:rsidR="00E1504A" w:rsidRPr="00D16622">
        <w:rPr>
          <w:rFonts w:ascii="Times New Roman" w:hAnsi="Times New Roman" w:cs="Times New Roman"/>
          <w:noProof/>
          <w:sz w:val="24"/>
          <w:szCs w:val="24"/>
        </w:rPr>
        <w:t>65</w:t>
      </w:r>
      <w:r w:rsidRPr="00D16622">
        <w:rPr>
          <w:rFonts w:ascii="Times New Roman" w:hAnsi="Times New Roman" w:cs="Times New Roman"/>
          <w:noProof/>
          <w:sz w:val="24"/>
          <w:szCs w:val="24"/>
        </w:rPr>
        <w:t>%) consider that the problem of corruption is widespread in their country and only about half (</w:t>
      </w:r>
      <w:r w:rsidR="00AD6EFD" w:rsidRPr="00D16622">
        <w:rPr>
          <w:rFonts w:ascii="Times New Roman" w:hAnsi="Times New Roman" w:cs="Times New Roman"/>
          <w:noProof/>
          <w:sz w:val="24"/>
          <w:szCs w:val="24"/>
        </w:rPr>
        <w:t>53</w:t>
      </w:r>
      <w:r w:rsidRPr="00D16622">
        <w:rPr>
          <w:rFonts w:ascii="Times New Roman" w:hAnsi="Times New Roman" w:cs="Times New Roman"/>
          <w:noProof/>
          <w:sz w:val="24"/>
          <w:szCs w:val="24"/>
        </w:rPr>
        <w:t>%) consider it likely for corrupt people or businesses to be caught or reported to the police or prosecutors</w:t>
      </w:r>
      <w:r w:rsidR="00504EE2" w:rsidRPr="00D16622">
        <w:rPr>
          <w:rFonts w:ascii="Times New Roman" w:hAnsi="Times New Roman" w:cs="Times New Roman"/>
          <w:noProof/>
          <w:sz w:val="24"/>
          <w:szCs w:val="24"/>
        </w:rPr>
        <w:t>.</w:t>
      </w:r>
    </w:p>
    <w:p w14:paraId="0D239090" w14:textId="41506125" w:rsidR="005004DA" w:rsidRPr="00D16622" w:rsidRDefault="006A66A8" w:rsidP="006F43AF">
      <w:pPr>
        <w:spacing w:after="120" w:line="240" w:lineRule="auto"/>
        <w:jc w:val="both"/>
        <w:rPr>
          <w:rFonts w:ascii="Times New Roman" w:hAnsi="Times New Roman" w:cs="Times New Roman"/>
          <w:i/>
          <w:noProof/>
          <w:sz w:val="24"/>
          <w:szCs w:val="24"/>
        </w:rPr>
      </w:pPr>
      <w:r w:rsidRPr="00D16622">
        <w:rPr>
          <w:rFonts w:ascii="Times New Roman" w:hAnsi="Times New Roman" w:cs="Times New Roman"/>
          <w:i/>
          <w:noProof/>
          <w:sz w:val="24"/>
          <w:szCs w:val="24"/>
        </w:rPr>
        <w:t>Strengthening the</w:t>
      </w:r>
      <w:r w:rsidR="005004DA" w:rsidRPr="00D16622">
        <w:rPr>
          <w:rFonts w:ascii="Times New Roman" w:hAnsi="Times New Roman" w:cs="Times New Roman"/>
          <w:i/>
          <w:noProof/>
          <w:sz w:val="24"/>
          <w:szCs w:val="24"/>
        </w:rPr>
        <w:t xml:space="preserve"> </w:t>
      </w:r>
      <w:r w:rsidR="00275E65" w:rsidRPr="00D16622">
        <w:rPr>
          <w:rFonts w:ascii="Times New Roman" w:hAnsi="Times New Roman" w:cs="Times New Roman"/>
          <w:i/>
          <w:noProof/>
          <w:sz w:val="24"/>
          <w:szCs w:val="24"/>
        </w:rPr>
        <w:t xml:space="preserve">strategic and </w:t>
      </w:r>
      <w:r w:rsidR="005004DA" w:rsidRPr="00D16622">
        <w:rPr>
          <w:rFonts w:ascii="Times New Roman" w:hAnsi="Times New Roman" w:cs="Times New Roman"/>
          <w:i/>
          <w:noProof/>
          <w:sz w:val="24"/>
          <w:szCs w:val="24"/>
        </w:rPr>
        <w:t>legal framework to combat corruption and the capacity of institutions</w:t>
      </w:r>
    </w:p>
    <w:p w14:paraId="2E30094C" w14:textId="18A38724" w:rsidR="00275E65" w:rsidRPr="00D16622" w:rsidRDefault="00275E65" w:rsidP="00275E65">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The importance of having effective and coordinated anti-corruption policies is recognised in international law</w:t>
      </w:r>
      <w:r w:rsidRPr="00D16622">
        <w:rPr>
          <w:rStyle w:val="FootnoteReference"/>
          <w:rFonts w:cs="Times New Roman"/>
          <w:noProof/>
        </w:rPr>
        <w:footnoteReference w:id="62"/>
      </w:r>
      <w:r w:rsidRPr="00D16622">
        <w:rPr>
          <w:rFonts w:ascii="Times New Roman" w:hAnsi="Times New Roman" w:cs="Times New Roman"/>
          <w:noProof/>
          <w:sz w:val="24"/>
          <w:szCs w:val="24"/>
        </w:rPr>
        <w:t>. National strategies help Member States take a comprehensive and coherent approach, integrating anti-corruption efforts across all relevant policy sectors. With the Anti-Corruption Directive, their adoption will become mandatory by June 2029. Almost all Member States and the enlargement countries currently have national anti-corruption strategies in place and are in the process of implementing them</w:t>
      </w:r>
      <w:r w:rsidRPr="00D16622">
        <w:rPr>
          <w:rStyle w:val="FootnoteReference"/>
          <w:rFonts w:cs="Times New Roman"/>
          <w:noProof/>
        </w:rPr>
        <w:footnoteReference w:id="63"/>
      </w:r>
      <w:r w:rsidRPr="00D16622">
        <w:rPr>
          <w:rFonts w:ascii="Times New Roman" w:hAnsi="Times New Roman" w:cs="Times New Roman"/>
          <w:noProof/>
          <w:sz w:val="24"/>
          <w:szCs w:val="24"/>
        </w:rPr>
        <w:t>.</w:t>
      </w:r>
      <w:r w:rsidRPr="00D16622">
        <w:rPr>
          <w:rFonts w:ascii="Times New Roman" w:hAnsi="Times New Roman" w:cs="Times New Roman"/>
          <w:b/>
          <w:bCs/>
          <w:noProof/>
          <w:sz w:val="24"/>
          <w:szCs w:val="24"/>
        </w:rPr>
        <w:t xml:space="preserve"> </w:t>
      </w:r>
      <w:hyperlink r:id="rId126" w:history="1">
        <w:r w:rsidR="003C3F1B" w:rsidRPr="00D16622">
          <w:rPr>
            <w:rStyle w:val="Hyperlink"/>
            <w:rFonts w:cs="Times New Roman"/>
            <w:bCs/>
            <w:noProof/>
            <w:szCs w:val="24"/>
          </w:rPr>
          <w:t>Ireland</w:t>
        </w:r>
      </w:hyperlink>
      <w:r w:rsidR="003C3F1B" w:rsidRPr="00D16622">
        <w:rPr>
          <w:rFonts w:ascii="Times New Roman" w:hAnsi="Times New Roman" w:cs="Times New Roman"/>
          <w:noProof/>
        </w:rPr>
        <w:t xml:space="preserve"> </w:t>
      </w:r>
      <w:r w:rsidR="009A47F4" w:rsidRPr="00D16622">
        <w:rPr>
          <w:rFonts w:ascii="Times New Roman" w:hAnsi="Times New Roman" w:cs="Times New Roman"/>
          <w:noProof/>
          <w:sz w:val="24"/>
          <w:szCs w:val="24"/>
        </w:rPr>
        <w:t xml:space="preserve">adopted its first anti-corruption strategy, </w:t>
      </w:r>
      <w:hyperlink r:id="rId127" w:history="1">
        <w:r w:rsidR="009A47F4" w:rsidRPr="00D16622">
          <w:rPr>
            <w:rStyle w:val="Hyperlink"/>
            <w:rFonts w:eastAsia="Times New Roman" w:cs="Times New Roman"/>
            <w:noProof/>
            <w:szCs w:val="24"/>
            <w:lang w:val="en-IE"/>
          </w:rPr>
          <w:t>Italy</w:t>
        </w:r>
      </w:hyperlink>
      <w:r w:rsidR="009A47F4" w:rsidRPr="00D16622">
        <w:rPr>
          <w:rFonts w:ascii="Times New Roman" w:hAnsi="Times New Roman" w:cs="Times New Roman"/>
          <w:noProof/>
        </w:rPr>
        <w:t xml:space="preserve"> </w:t>
      </w:r>
      <w:r w:rsidR="009A47F4" w:rsidRPr="00D16622">
        <w:rPr>
          <w:rFonts w:ascii="Times New Roman" w:hAnsi="Times New Roman" w:cs="Times New Roman"/>
          <w:noProof/>
          <w:sz w:val="24"/>
          <w:szCs w:val="24"/>
        </w:rPr>
        <w:t xml:space="preserve">a </w:t>
      </w:r>
      <w:r w:rsidR="00E4761C" w:rsidRPr="00D16622">
        <w:rPr>
          <w:rFonts w:ascii="Times New Roman" w:hAnsi="Times New Roman" w:cs="Times New Roman"/>
          <w:noProof/>
          <w:sz w:val="24"/>
          <w:szCs w:val="24"/>
        </w:rPr>
        <w:t>new</w:t>
      </w:r>
      <w:r w:rsidR="001768AA" w:rsidRPr="00D16622">
        <w:rPr>
          <w:rFonts w:ascii="Times New Roman" w:hAnsi="Times New Roman" w:cs="Times New Roman"/>
          <w:noProof/>
          <w:sz w:val="24"/>
          <w:szCs w:val="24"/>
        </w:rPr>
        <w:t xml:space="preserve"> </w:t>
      </w:r>
      <w:r w:rsidR="003D1E8E" w:rsidRPr="00D16622">
        <w:rPr>
          <w:rFonts w:ascii="Times New Roman" w:hAnsi="Times New Roman" w:cs="Times New Roman"/>
          <w:noProof/>
          <w:sz w:val="24"/>
          <w:szCs w:val="24"/>
        </w:rPr>
        <w:t>one</w:t>
      </w:r>
      <w:r w:rsidR="000D0D2A" w:rsidRPr="00D16622">
        <w:rPr>
          <w:rFonts w:ascii="Times New Roman" w:hAnsi="Times New Roman" w:cs="Times New Roman"/>
          <w:noProof/>
          <w:sz w:val="24"/>
          <w:szCs w:val="24"/>
        </w:rPr>
        <w:t>, and</w:t>
      </w:r>
      <w:r w:rsidRPr="00D16622">
        <w:rPr>
          <w:rFonts w:ascii="Times New Roman" w:hAnsi="Times New Roman" w:cs="Times New Roman"/>
          <w:noProof/>
          <w:sz w:val="24"/>
          <w:szCs w:val="24"/>
        </w:rPr>
        <w:t xml:space="preserve"> </w:t>
      </w:r>
      <w:hyperlink r:id="rId128" w:history="1">
        <w:r w:rsidR="000D0D2A" w:rsidRPr="00D16622">
          <w:rPr>
            <w:rStyle w:val="Hyperlink"/>
            <w:rFonts w:cs="Times New Roman"/>
            <w:noProof/>
            <w:szCs w:val="24"/>
          </w:rPr>
          <w:t>Spain</w:t>
        </w:r>
      </w:hyperlink>
      <w:r w:rsidR="000D0D2A" w:rsidRPr="00D16622">
        <w:rPr>
          <w:rFonts w:ascii="Times New Roman" w:hAnsi="Times New Roman" w:cs="Times New Roman"/>
          <w:noProof/>
          <w:sz w:val="24"/>
          <w:szCs w:val="24"/>
        </w:rPr>
        <w:t xml:space="preserve"> its first State Anti-Corruption Plan</w:t>
      </w:r>
      <w:r w:rsidRPr="00D16622">
        <w:rPr>
          <w:rFonts w:ascii="Times New Roman" w:hAnsi="Times New Roman" w:cs="Times New Roman"/>
          <w:noProof/>
          <w:sz w:val="24"/>
          <w:szCs w:val="24"/>
        </w:rPr>
        <w:t>.</w:t>
      </w:r>
    </w:p>
    <w:p w14:paraId="0D5D169B" w14:textId="7B62FEA5" w:rsidR="008A6876" w:rsidRPr="00D16622" w:rsidRDefault="00755605" w:rsidP="008A6876">
      <w:pPr>
        <w:spacing w:after="120" w:line="240" w:lineRule="auto"/>
        <w:jc w:val="both"/>
        <w:rPr>
          <w:rFonts w:ascii="Times New Roman" w:hAnsi="Times New Roman" w:cs="Times New Roman"/>
          <w:iCs/>
          <w:noProof/>
          <w:sz w:val="24"/>
          <w:szCs w:val="24"/>
        </w:rPr>
      </w:pPr>
      <w:r w:rsidRPr="00D16622">
        <w:rPr>
          <w:rFonts w:ascii="Times New Roman" w:hAnsi="Times New Roman" w:cs="Times New Roman"/>
          <w:iCs/>
          <w:noProof/>
          <w:sz w:val="24"/>
          <w:szCs w:val="24"/>
        </w:rPr>
        <w:t xml:space="preserve">Tackling </w:t>
      </w:r>
      <w:r w:rsidR="008A6876" w:rsidRPr="00D16622">
        <w:rPr>
          <w:rFonts w:ascii="Times New Roman" w:hAnsi="Times New Roman" w:cs="Times New Roman"/>
          <w:iCs/>
          <w:noProof/>
          <w:sz w:val="24"/>
          <w:szCs w:val="24"/>
        </w:rPr>
        <w:t xml:space="preserve">corruption </w:t>
      </w:r>
      <w:r w:rsidRPr="00D16622">
        <w:rPr>
          <w:rFonts w:ascii="Times New Roman" w:hAnsi="Times New Roman" w:cs="Times New Roman"/>
          <w:iCs/>
          <w:noProof/>
          <w:sz w:val="24"/>
          <w:szCs w:val="24"/>
        </w:rPr>
        <w:t xml:space="preserve">effectively </w:t>
      </w:r>
      <w:r w:rsidR="002859F4" w:rsidRPr="00D16622">
        <w:rPr>
          <w:rFonts w:ascii="Times New Roman" w:hAnsi="Times New Roman" w:cs="Times New Roman"/>
          <w:iCs/>
          <w:noProof/>
          <w:sz w:val="24"/>
          <w:szCs w:val="24"/>
        </w:rPr>
        <w:t>requires both</w:t>
      </w:r>
      <w:r w:rsidR="008A6876" w:rsidRPr="00D16622">
        <w:rPr>
          <w:rFonts w:ascii="Times New Roman" w:hAnsi="Times New Roman" w:cs="Times New Roman"/>
          <w:iCs/>
          <w:noProof/>
          <w:sz w:val="24"/>
          <w:szCs w:val="24"/>
        </w:rPr>
        <w:t xml:space="preserve"> a strong legal framework and independent</w:t>
      </w:r>
      <w:r w:rsidRPr="00D16622">
        <w:rPr>
          <w:rFonts w:ascii="Times New Roman" w:hAnsi="Times New Roman" w:cs="Times New Roman"/>
          <w:iCs/>
          <w:noProof/>
          <w:sz w:val="24"/>
          <w:szCs w:val="24"/>
        </w:rPr>
        <w:t xml:space="preserve"> bodies</w:t>
      </w:r>
      <w:r w:rsidR="000C4570" w:rsidRPr="00D16622">
        <w:rPr>
          <w:rFonts w:ascii="Times New Roman" w:hAnsi="Times New Roman" w:cs="Times New Roman"/>
          <w:iCs/>
          <w:noProof/>
          <w:sz w:val="24"/>
          <w:szCs w:val="24"/>
        </w:rPr>
        <w:t xml:space="preserve"> to enforce it</w:t>
      </w:r>
      <w:r w:rsidR="008A6876" w:rsidRPr="00D16622">
        <w:rPr>
          <w:rFonts w:ascii="Times New Roman" w:hAnsi="Times New Roman" w:cs="Times New Roman"/>
          <w:iCs/>
          <w:noProof/>
          <w:sz w:val="24"/>
          <w:szCs w:val="24"/>
        </w:rPr>
        <w:t xml:space="preserve">. </w:t>
      </w:r>
      <w:r w:rsidR="00CE7061" w:rsidRPr="00D16622">
        <w:rPr>
          <w:rFonts w:ascii="Times New Roman" w:hAnsi="Times New Roman" w:cs="Times New Roman"/>
          <w:iCs/>
          <w:noProof/>
          <w:sz w:val="24"/>
          <w:szCs w:val="24"/>
        </w:rPr>
        <w:t>Overall</w:t>
      </w:r>
      <w:r w:rsidR="008A6876" w:rsidRPr="00D16622">
        <w:rPr>
          <w:rFonts w:ascii="Times New Roman" w:hAnsi="Times New Roman" w:cs="Times New Roman"/>
          <w:iCs/>
          <w:noProof/>
          <w:sz w:val="24"/>
          <w:szCs w:val="24"/>
        </w:rPr>
        <w:t xml:space="preserve">, the legal frameworks in Member States and the enlargement countries covered by this Report are </w:t>
      </w:r>
      <w:r w:rsidR="00CE7061" w:rsidRPr="00D16622">
        <w:rPr>
          <w:rFonts w:ascii="Times New Roman" w:hAnsi="Times New Roman" w:cs="Times New Roman"/>
          <w:iCs/>
          <w:noProof/>
          <w:sz w:val="24"/>
          <w:szCs w:val="24"/>
        </w:rPr>
        <w:t>well developed</w:t>
      </w:r>
      <w:r w:rsidR="00F71608" w:rsidRPr="00D16622">
        <w:rPr>
          <w:rFonts w:ascii="Times New Roman" w:hAnsi="Times New Roman" w:cs="Times New Roman"/>
          <w:iCs/>
          <w:noProof/>
          <w:sz w:val="24"/>
          <w:szCs w:val="24"/>
        </w:rPr>
        <w:t>,</w:t>
      </w:r>
      <w:r w:rsidR="008A6876" w:rsidRPr="00D16622">
        <w:rPr>
          <w:rFonts w:ascii="Times New Roman" w:hAnsi="Times New Roman" w:cs="Times New Roman"/>
          <w:iCs/>
          <w:noProof/>
          <w:sz w:val="24"/>
          <w:szCs w:val="24"/>
        </w:rPr>
        <w:t xml:space="preserve"> </w:t>
      </w:r>
      <w:r w:rsidR="000C4570" w:rsidRPr="00D16622">
        <w:rPr>
          <w:rFonts w:ascii="Times New Roman" w:hAnsi="Times New Roman" w:cs="Times New Roman"/>
          <w:iCs/>
          <w:noProof/>
          <w:sz w:val="24"/>
          <w:szCs w:val="24"/>
        </w:rPr>
        <w:t xml:space="preserve">with efforts underway </w:t>
      </w:r>
      <w:r w:rsidR="00EE19A7" w:rsidRPr="00D16622">
        <w:rPr>
          <w:rFonts w:ascii="Times New Roman" w:hAnsi="Times New Roman" w:cs="Times New Roman"/>
          <w:iCs/>
          <w:noProof/>
          <w:sz w:val="24"/>
          <w:szCs w:val="24"/>
        </w:rPr>
        <w:t xml:space="preserve">or planned to address </w:t>
      </w:r>
      <w:r w:rsidR="008A6876" w:rsidRPr="00D16622">
        <w:rPr>
          <w:rFonts w:ascii="Times New Roman" w:hAnsi="Times New Roman" w:cs="Times New Roman"/>
          <w:iCs/>
          <w:noProof/>
          <w:sz w:val="24"/>
          <w:szCs w:val="24"/>
        </w:rPr>
        <w:t xml:space="preserve">specific gaps. The transposition of the Anti-corruption Directive </w:t>
      </w:r>
      <w:r w:rsidR="00462952" w:rsidRPr="00D16622">
        <w:rPr>
          <w:rFonts w:ascii="Times New Roman" w:hAnsi="Times New Roman" w:cs="Times New Roman"/>
          <w:iCs/>
          <w:noProof/>
          <w:sz w:val="24"/>
          <w:szCs w:val="24"/>
        </w:rPr>
        <w:t xml:space="preserve">in national legislation </w:t>
      </w:r>
      <w:r w:rsidR="008A6876" w:rsidRPr="00D16622">
        <w:rPr>
          <w:rFonts w:ascii="Times New Roman" w:hAnsi="Times New Roman" w:cs="Times New Roman"/>
          <w:iCs/>
          <w:noProof/>
          <w:sz w:val="24"/>
          <w:szCs w:val="24"/>
        </w:rPr>
        <w:t xml:space="preserve">provides a further opportunity to Member States to strengthen </w:t>
      </w:r>
      <w:r w:rsidR="00462952" w:rsidRPr="00D16622">
        <w:rPr>
          <w:rFonts w:ascii="Times New Roman" w:hAnsi="Times New Roman" w:cs="Times New Roman"/>
          <w:iCs/>
          <w:noProof/>
          <w:sz w:val="24"/>
          <w:szCs w:val="24"/>
        </w:rPr>
        <w:t xml:space="preserve">and harmonise </w:t>
      </w:r>
      <w:r w:rsidR="008A6876" w:rsidRPr="00D16622">
        <w:rPr>
          <w:rFonts w:ascii="Times New Roman" w:hAnsi="Times New Roman" w:cs="Times New Roman"/>
          <w:iCs/>
          <w:noProof/>
          <w:sz w:val="24"/>
          <w:szCs w:val="24"/>
        </w:rPr>
        <w:t>their</w:t>
      </w:r>
      <w:r w:rsidR="00462952" w:rsidRPr="00D16622">
        <w:rPr>
          <w:rFonts w:ascii="Times New Roman" w:hAnsi="Times New Roman" w:cs="Times New Roman"/>
          <w:iCs/>
          <w:noProof/>
          <w:sz w:val="24"/>
          <w:szCs w:val="24"/>
        </w:rPr>
        <w:t xml:space="preserve"> legal</w:t>
      </w:r>
      <w:r w:rsidR="008A6876" w:rsidRPr="00D16622">
        <w:rPr>
          <w:rFonts w:ascii="Times New Roman" w:hAnsi="Times New Roman" w:cs="Times New Roman"/>
          <w:iCs/>
          <w:noProof/>
          <w:sz w:val="24"/>
          <w:szCs w:val="24"/>
        </w:rPr>
        <w:t xml:space="preserve"> frameworks. </w:t>
      </w:r>
    </w:p>
    <w:p w14:paraId="4738EF88" w14:textId="22F88DB3" w:rsidR="008A6876" w:rsidRPr="00D16622" w:rsidRDefault="008A6876" w:rsidP="008A6876">
      <w:pPr>
        <w:spacing w:after="120" w:line="240" w:lineRule="auto"/>
        <w:jc w:val="both"/>
        <w:rPr>
          <w:rFonts w:ascii="Times New Roman" w:hAnsi="Times New Roman" w:cs="Times New Roman"/>
          <w:iCs/>
          <w:noProof/>
          <w:sz w:val="24"/>
          <w:szCs w:val="24"/>
        </w:rPr>
      </w:pPr>
      <w:r w:rsidRPr="00D16622">
        <w:rPr>
          <w:rFonts w:ascii="Times New Roman" w:hAnsi="Times New Roman" w:cs="Times New Roman"/>
          <w:iCs/>
          <w:noProof/>
          <w:sz w:val="24"/>
          <w:szCs w:val="24"/>
        </w:rPr>
        <w:t xml:space="preserve">Several Member States have taken forward criminal law reforms to strengthen the fight against corruption. In </w:t>
      </w:r>
      <w:hyperlink r:id="rId129" w:history="1">
        <w:r w:rsidR="008A099D" w:rsidRPr="00D16622">
          <w:rPr>
            <w:rStyle w:val="Hyperlink"/>
            <w:rFonts w:cs="Times New Roman"/>
            <w:noProof/>
            <w:szCs w:val="24"/>
            <w:lang w:eastAsia="en-IE"/>
          </w:rPr>
          <w:t>Sweden</w:t>
        </w:r>
      </w:hyperlink>
      <w:r w:rsidR="003E583B" w:rsidRPr="00D16622">
        <w:rPr>
          <w:rFonts w:ascii="Times New Roman" w:hAnsi="Times New Roman" w:cs="Times New Roman"/>
          <w:bCs/>
          <w:noProof/>
          <w:sz w:val="24"/>
          <w:szCs w:val="24"/>
        </w:rPr>
        <w:t>,</w:t>
      </w:r>
      <w:r w:rsidRPr="00D16622">
        <w:rPr>
          <w:rFonts w:ascii="Times New Roman" w:hAnsi="Times New Roman" w:cs="Times New Roman"/>
          <w:noProof/>
          <w:sz w:val="24"/>
          <w:szCs w:val="24"/>
        </w:rPr>
        <w:t xml:space="preserve"> </w:t>
      </w:r>
      <w:r w:rsidRPr="00D16622">
        <w:rPr>
          <w:rFonts w:ascii="Times New Roman" w:hAnsi="Times New Roman" w:cs="Times New Roman"/>
          <w:iCs/>
          <w:noProof/>
          <w:sz w:val="24"/>
          <w:szCs w:val="24"/>
        </w:rPr>
        <w:t>the</w:t>
      </w:r>
      <w:r w:rsidR="00300A98" w:rsidRPr="00D16622">
        <w:rPr>
          <w:rFonts w:ascii="Times New Roman" w:hAnsi="Times New Roman" w:cs="Times New Roman"/>
          <w:iCs/>
          <w:noProof/>
          <w:sz w:val="24"/>
          <w:szCs w:val="24"/>
        </w:rPr>
        <w:t xml:space="preserve"> government proposed further legislative </w:t>
      </w:r>
      <w:r w:rsidR="00BB2313" w:rsidRPr="00D16622">
        <w:rPr>
          <w:rFonts w:ascii="Times New Roman" w:hAnsi="Times New Roman" w:cs="Times New Roman"/>
          <w:iCs/>
          <w:noProof/>
          <w:sz w:val="24"/>
          <w:szCs w:val="24"/>
        </w:rPr>
        <w:t>reforms to strengthen the</w:t>
      </w:r>
      <w:r w:rsidRPr="00D16622">
        <w:rPr>
          <w:rFonts w:ascii="Times New Roman" w:hAnsi="Times New Roman" w:cs="Times New Roman"/>
          <w:iCs/>
          <w:noProof/>
          <w:sz w:val="24"/>
          <w:szCs w:val="24"/>
        </w:rPr>
        <w:t xml:space="preserve"> criminal </w:t>
      </w:r>
      <w:r w:rsidR="001F32B0" w:rsidRPr="00D16622">
        <w:rPr>
          <w:rFonts w:ascii="Times New Roman" w:hAnsi="Times New Roman" w:cs="Times New Roman"/>
          <w:iCs/>
          <w:noProof/>
          <w:sz w:val="24"/>
          <w:szCs w:val="24"/>
        </w:rPr>
        <w:t>justice</w:t>
      </w:r>
      <w:r w:rsidRPr="00D16622">
        <w:rPr>
          <w:rFonts w:ascii="Times New Roman" w:hAnsi="Times New Roman" w:cs="Times New Roman"/>
          <w:iCs/>
          <w:noProof/>
          <w:sz w:val="24"/>
          <w:szCs w:val="24"/>
        </w:rPr>
        <w:t xml:space="preserve"> framework </w:t>
      </w:r>
      <w:r w:rsidR="0061457A" w:rsidRPr="00D16622">
        <w:rPr>
          <w:rFonts w:ascii="Times New Roman" w:hAnsi="Times New Roman" w:cs="Times New Roman"/>
          <w:iCs/>
          <w:noProof/>
          <w:sz w:val="24"/>
          <w:szCs w:val="24"/>
        </w:rPr>
        <w:t>and improve accountability for</w:t>
      </w:r>
      <w:r w:rsidRPr="00D16622">
        <w:rPr>
          <w:rFonts w:ascii="Times New Roman" w:hAnsi="Times New Roman" w:cs="Times New Roman"/>
          <w:iCs/>
          <w:noProof/>
          <w:sz w:val="24"/>
          <w:szCs w:val="24"/>
        </w:rPr>
        <w:t xml:space="preserve"> corruption</w:t>
      </w:r>
      <w:r w:rsidR="0061457A" w:rsidRPr="00D16622">
        <w:rPr>
          <w:rFonts w:ascii="Times New Roman" w:hAnsi="Times New Roman" w:cs="Times New Roman"/>
          <w:iCs/>
          <w:noProof/>
          <w:sz w:val="24"/>
          <w:szCs w:val="24"/>
        </w:rPr>
        <w:t xml:space="preserve"> in line with international recommendations</w:t>
      </w:r>
      <w:r w:rsidRPr="00D16622">
        <w:rPr>
          <w:rFonts w:ascii="Times New Roman" w:hAnsi="Times New Roman" w:cs="Times New Roman"/>
          <w:iCs/>
          <w:noProof/>
          <w:sz w:val="24"/>
          <w:szCs w:val="24"/>
        </w:rPr>
        <w:t xml:space="preserve">. In </w:t>
      </w:r>
      <w:hyperlink r:id="rId130" w:history="1">
        <w:r w:rsidRPr="00D16622">
          <w:rPr>
            <w:rStyle w:val="Hyperlink"/>
            <w:rFonts w:cs="Times New Roman"/>
            <w:bCs/>
            <w:noProof/>
            <w:szCs w:val="24"/>
          </w:rPr>
          <w:t>Spain</w:t>
        </w:r>
      </w:hyperlink>
      <w:r w:rsidRPr="00D16622">
        <w:rPr>
          <w:rFonts w:ascii="Times New Roman" w:hAnsi="Times New Roman" w:cs="Times New Roman"/>
          <w:iCs/>
          <w:noProof/>
          <w:sz w:val="24"/>
          <w:szCs w:val="24"/>
        </w:rPr>
        <w:t>,</w:t>
      </w:r>
      <w:r w:rsidRPr="00D16622" w:rsidDel="002F702D">
        <w:rPr>
          <w:rFonts w:ascii="Times New Roman" w:hAnsi="Times New Roman" w:cs="Times New Roman"/>
          <w:iCs/>
          <w:noProof/>
          <w:sz w:val="24"/>
          <w:szCs w:val="24"/>
        </w:rPr>
        <w:t xml:space="preserve"> </w:t>
      </w:r>
      <w:r w:rsidRPr="00D16622">
        <w:rPr>
          <w:rFonts w:ascii="Times New Roman" w:hAnsi="Times New Roman" w:cs="Times New Roman"/>
          <w:iCs/>
          <w:noProof/>
          <w:sz w:val="24"/>
          <w:szCs w:val="24"/>
        </w:rPr>
        <w:t>the revision of the Code of Criminal Procedure with a view to</w:t>
      </w:r>
      <w:r w:rsidRPr="00D16622" w:rsidDel="00B05B82">
        <w:rPr>
          <w:rFonts w:ascii="Times New Roman" w:hAnsi="Times New Roman" w:cs="Times New Roman"/>
          <w:iCs/>
          <w:noProof/>
          <w:sz w:val="24"/>
          <w:szCs w:val="24"/>
        </w:rPr>
        <w:t xml:space="preserve"> </w:t>
      </w:r>
      <w:r w:rsidR="00AB3EFB" w:rsidRPr="00D16622">
        <w:rPr>
          <w:rFonts w:ascii="Times New Roman" w:hAnsi="Times New Roman" w:cs="Times New Roman"/>
          <w:iCs/>
          <w:noProof/>
          <w:sz w:val="24"/>
          <w:szCs w:val="24"/>
        </w:rPr>
        <w:t>make the criminal procedure more effective</w:t>
      </w:r>
      <w:r w:rsidR="00E63C71" w:rsidRPr="00D16622">
        <w:rPr>
          <w:rFonts w:ascii="Times New Roman" w:hAnsi="Times New Roman" w:cs="Times New Roman"/>
          <w:iCs/>
          <w:noProof/>
          <w:sz w:val="24"/>
          <w:szCs w:val="24"/>
        </w:rPr>
        <w:t>,</w:t>
      </w:r>
      <w:r w:rsidR="002F702D" w:rsidRPr="00D16622">
        <w:rPr>
          <w:rFonts w:ascii="Times New Roman" w:hAnsi="Times New Roman" w:cs="Times New Roman"/>
          <w:iCs/>
          <w:noProof/>
          <w:sz w:val="24"/>
          <w:szCs w:val="24"/>
        </w:rPr>
        <w:t xml:space="preserve"> is under discussion in Parliament</w:t>
      </w:r>
      <w:r w:rsidRPr="00D16622">
        <w:rPr>
          <w:rFonts w:ascii="Times New Roman" w:hAnsi="Times New Roman" w:cs="Times New Roman"/>
          <w:iCs/>
          <w:noProof/>
          <w:sz w:val="24"/>
          <w:szCs w:val="24"/>
        </w:rPr>
        <w:t>.</w:t>
      </w:r>
      <w:r w:rsidRPr="00D16622">
        <w:rPr>
          <w:rFonts w:ascii="Times New Roman" w:hAnsi="Times New Roman" w:cs="Times New Roman"/>
          <w:noProof/>
          <w:sz w:val="24"/>
          <w:szCs w:val="24"/>
        </w:rPr>
        <w:t xml:space="preserve"> </w:t>
      </w:r>
      <w:hyperlink r:id="rId131" w:history="1">
        <w:r w:rsidRPr="00D16622">
          <w:rPr>
            <w:rStyle w:val="Hyperlink"/>
            <w:rFonts w:cs="Times New Roman"/>
            <w:bCs/>
            <w:noProof/>
            <w:szCs w:val="24"/>
          </w:rPr>
          <w:t>Bulgaria</w:t>
        </w:r>
      </w:hyperlink>
      <w:r w:rsidRPr="00D16622">
        <w:rPr>
          <w:rFonts w:ascii="Times New Roman" w:hAnsi="Times New Roman" w:cs="Times New Roman"/>
          <w:noProof/>
          <w:sz w:val="24"/>
          <w:szCs w:val="24"/>
        </w:rPr>
        <w:t xml:space="preserve"> adopted </w:t>
      </w:r>
      <w:r w:rsidRPr="00D16622">
        <w:rPr>
          <w:rFonts w:ascii="Times New Roman" w:hAnsi="Times New Roman" w:cs="Times New Roman"/>
          <w:iCs/>
          <w:noProof/>
          <w:sz w:val="24"/>
          <w:szCs w:val="24"/>
        </w:rPr>
        <w:t>several legislative amendments to implement international recommendations on foreign bribery.</w:t>
      </w:r>
    </w:p>
    <w:p w14:paraId="6E4A0939" w14:textId="37A2DB7C" w:rsidR="008A6876" w:rsidRPr="00D16622" w:rsidRDefault="004B4A30" w:rsidP="00223275">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In a few </w:t>
      </w:r>
      <w:r w:rsidR="00223275" w:rsidRPr="00D16622">
        <w:rPr>
          <w:rFonts w:ascii="Times New Roman" w:hAnsi="Times New Roman" w:cs="Times New Roman"/>
          <w:noProof/>
          <w:sz w:val="24"/>
          <w:szCs w:val="24"/>
        </w:rPr>
        <w:t>countries</w:t>
      </w:r>
      <w:r w:rsidRPr="00D16622">
        <w:rPr>
          <w:rFonts w:ascii="Times New Roman" w:hAnsi="Times New Roman" w:cs="Times New Roman"/>
          <w:noProof/>
          <w:sz w:val="24"/>
          <w:szCs w:val="24"/>
        </w:rPr>
        <w:t>, shor</w:t>
      </w:r>
      <w:r w:rsidR="00EA6CCF" w:rsidRPr="00D16622">
        <w:rPr>
          <w:rFonts w:ascii="Times New Roman" w:hAnsi="Times New Roman" w:cs="Times New Roman"/>
          <w:noProof/>
          <w:sz w:val="24"/>
          <w:szCs w:val="24"/>
        </w:rPr>
        <w:t xml:space="preserve">tcomings persist. </w:t>
      </w:r>
      <w:r w:rsidR="558E50BE" w:rsidRPr="00D16622">
        <w:rPr>
          <w:rFonts w:ascii="Times New Roman" w:hAnsi="Times New Roman" w:cs="Times New Roman"/>
          <w:noProof/>
          <w:sz w:val="24"/>
          <w:szCs w:val="24"/>
        </w:rPr>
        <w:t>I</w:t>
      </w:r>
      <w:r w:rsidR="008A6876" w:rsidRPr="00D16622">
        <w:rPr>
          <w:rFonts w:ascii="Times New Roman" w:hAnsi="Times New Roman" w:cs="Times New Roman"/>
          <w:noProof/>
          <w:sz w:val="24"/>
          <w:szCs w:val="24"/>
        </w:rPr>
        <w:t xml:space="preserve">n </w:t>
      </w:r>
      <w:hyperlink r:id="rId132" w:history="1">
        <w:r w:rsidR="00421F48" w:rsidRPr="00D16622">
          <w:rPr>
            <w:rStyle w:val="Hyperlink"/>
            <w:rFonts w:cs="Times New Roman"/>
            <w:noProof/>
            <w:szCs w:val="24"/>
          </w:rPr>
          <w:t>Slovakia</w:t>
        </w:r>
      </w:hyperlink>
      <w:r w:rsidR="008A6876" w:rsidRPr="00D16622">
        <w:rPr>
          <w:rFonts w:ascii="Times New Roman" w:hAnsi="Times New Roman" w:cs="Times New Roman"/>
          <w:noProof/>
          <w:sz w:val="24"/>
          <w:szCs w:val="24"/>
        </w:rPr>
        <w:t>,</w:t>
      </w:r>
      <w:r w:rsidR="008A6876" w:rsidRPr="00D16622">
        <w:rPr>
          <w:rFonts w:ascii="Times New Roman" w:hAnsi="Times New Roman" w:cs="Times New Roman"/>
          <w:noProof/>
          <w:sz w:val="24"/>
          <w:szCs w:val="24"/>
          <w:lang w:val="en-US"/>
        </w:rPr>
        <w:t xml:space="preserve"> </w:t>
      </w:r>
      <w:r w:rsidR="0004191D" w:rsidRPr="00D16622">
        <w:rPr>
          <w:rFonts w:ascii="Times New Roman" w:hAnsi="Times New Roman" w:cs="Times New Roman"/>
          <w:noProof/>
          <w:sz w:val="24"/>
          <w:szCs w:val="24"/>
          <w:lang w:val="en-US"/>
        </w:rPr>
        <w:t xml:space="preserve">while </w:t>
      </w:r>
      <w:r w:rsidR="008A6876" w:rsidRPr="00D16622">
        <w:rPr>
          <w:rFonts w:ascii="Times New Roman" w:hAnsi="Times New Roman" w:cs="Times New Roman"/>
          <w:noProof/>
          <w:sz w:val="24"/>
          <w:szCs w:val="24"/>
          <w:lang w:val="en-US"/>
        </w:rPr>
        <w:t xml:space="preserve">the 2024 criminal law reform was adjusted to ensure the protection of the EU’s financial interests and the Slovak government has engaged actively to this end, the criminal law and institutional reforms of 2024 still raise specific anti-corruption concerns and previously identified </w:t>
      </w:r>
      <w:r w:rsidR="008944E0" w:rsidRPr="00D16622">
        <w:rPr>
          <w:rFonts w:ascii="Times New Roman" w:hAnsi="Times New Roman" w:cs="Times New Roman"/>
          <w:noProof/>
          <w:sz w:val="24"/>
          <w:szCs w:val="24"/>
          <w:lang w:val="en-US"/>
        </w:rPr>
        <w:t xml:space="preserve">risks </w:t>
      </w:r>
      <w:r w:rsidR="00DF172A" w:rsidRPr="00D16622">
        <w:rPr>
          <w:rFonts w:ascii="Times New Roman" w:hAnsi="Times New Roman" w:cs="Times New Roman"/>
          <w:noProof/>
          <w:sz w:val="24"/>
          <w:szCs w:val="24"/>
          <w:lang w:val="en-US"/>
        </w:rPr>
        <w:t>con</w:t>
      </w:r>
      <w:r w:rsidR="008552DD" w:rsidRPr="00D16622">
        <w:rPr>
          <w:rFonts w:ascii="Times New Roman" w:hAnsi="Times New Roman" w:cs="Times New Roman"/>
          <w:noProof/>
          <w:sz w:val="24"/>
          <w:szCs w:val="24"/>
          <w:lang w:val="en-US"/>
        </w:rPr>
        <w:t xml:space="preserve">tinue to </w:t>
      </w:r>
      <w:r w:rsidR="000C4624" w:rsidRPr="00D16622">
        <w:rPr>
          <w:rFonts w:ascii="Times New Roman" w:hAnsi="Times New Roman" w:cs="Times New Roman"/>
          <w:noProof/>
          <w:sz w:val="24"/>
          <w:szCs w:val="24"/>
          <w:lang w:val="en-US"/>
        </w:rPr>
        <w:t>materiali</w:t>
      </w:r>
      <w:r w:rsidR="00784B87" w:rsidRPr="00D16622">
        <w:rPr>
          <w:rFonts w:ascii="Times New Roman" w:hAnsi="Times New Roman" w:cs="Times New Roman"/>
          <w:noProof/>
          <w:sz w:val="24"/>
          <w:szCs w:val="24"/>
          <w:lang w:val="en-US"/>
        </w:rPr>
        <w:t>s</w:t>
      </w:r>
      <w:r w:rsidR="000C4624" w:rsidRPr="00D16622">
        <w:rPr>
          <w:rFonts w:ascii="Times New Roman" w:hAnsi="Times New Roman" w:cs="Times New Roman"/>
          <w:noProof/>
          <w:sz w:val="24"/>
          <w:szCs w:val="24"/>
          <w:lang w:val="en-US"/>
        </w:rPr>
        <w:t>e.</w:t>
      </w:r>
      <w:r w:rsidR="008944E0" w:rsidRPr="00D16622">
        <w:rPr>
          <w:rFonts w:ascii="Times New Roman" w:hAnsi="Times New Roman" w:cs="Times New Roman"/>
          <w:noProof/>
          <w:sz w:val="24"/>
          <w:szCs w:val="24"/>
          <w:lang w:val="en-US"/>
        </w:rPr>
        <w:t xml:space="preserve"> </w:t>
      </w:r>
      <w:r w:rsidR="00223275" w:rsidRPr="00D16622">
        <w:rPr>
          <w:rFonts w:ascii="Times New Roman" w:hAnsi="Times New Roman" w:cs="Times New Roman"/>
          <w:noProof/>
          <w:sz w:val="24"/>
          <w:szCs w:val="24"/>
          <w:lang w:val="en-US"/>
        </w:rPr>
        <w:t xml:space="preserve">In </w:t>
      </w:r>
      <w:hyperlink r:id="rId133" w:history="1">
        <w:r w:rsidR="00A1658E" w:rsidRPr="00D16622">
          <w:rPr>
            <w:rStyle w:val="Hyperlink"/>
            <w:rFonts w:cs="Times New Roman"/>
            <w:noProof/>
            <w:szCs w:val="24"/>
          </w:rPr>
          <w:t>North Macedonia</w:t>
        </w:r>
      </w:hyperlink>
      <w:r w:rsidR="00223275" w:rsidRPr="00D16622">
        <w:rPr>
          <w:rFonts w:ascii="Times New Roman" w:hAnsi="Times New Roman" w:cs="Times New Roman"/>
          <w:noProof/>
          <w:sz w:val="24"/>
          <w:szCs w:val="24"/>
          <w:lang w:val="en-US"/>
        </w:rPr>
        <w:t>, amendments to the Criminal Code were adopted, which presented several shortcomings compared with the previous framework, while a comprehensive reform is in preparation.</w:t>
      </w:r>
    </w:p>
    <w:p w14:paraId="2950C13A" w14:textId="7C2E57F4" w:rsidR="008A6876" w:rsidRPr="00D16622" w:rsidRDefault="008A6876" w:rsidP="18046EA2">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Several Member States are taking steps to strengthen their anti-corruption institutions. In </w:t>
      </w:r>
      <w:hyperlink r:id="rId134" w:history="1">
        <w:r w:rsidRPr="00D16622">
          <w:rPr>
            <w:rStyle w:val="Hyperlink"/>
            <w:rFonts w:cs="Times New Roman"/>
            <w:noProof/>
            <w:szCs w:val="24"/>
          </w:rPr>
          <w:t>Belgium</w:t>
        </w:r>
      </w:hyperlink>
      <w:r w:rsidRPr="00D16622">
        <w:rPr>
          <w:rFonts w:ascii="Times New Roman" w:hAnsi="Times New Roman" w:cs="Times New Roman"/>
          <w:noProof/>
          <w:sz w:val="24"/>
          <w:szCs w:val="24"/>
        </w:rPr>
        <w:t xml:space="preserve">, </w:t>
      </w:r>
      <w:r w:rsidR="00B31A3F" w:rsidRPr="00D16622">
        <w:rPr>
          <w:rFonts w:ascii="Times New Roman" w:hAnsi="Times New Roman" w:cs="Times New Roman"/>
          <w:noProof/>
          <w:sz w:val="24"/>
          <w:szCs w:val="24"/>
        </w:rPr>
        <w:t>a legislative proposal to create a new section with earmarked resources within the federal prosecution service for investigating serious financial and economic crimes was tabled in Parliament</w:t>
      </w:r>
      <w:r w:rsidRPr="00D16622">
        <w:rPr>
          <w:rFonts w:ascii="Times New Roman" w:hAnsi="Times New Roman" w:cs="Times New Roman"/>
          <w:noProof/>
          <w:sz w:val="24"/>
          <w:szCs w:val="24"/>
        </w:rPr>
        <w:t xml:space="preserve">. </w:t>
      </w:r>
      <w:r w:rsidR="00AB15FA" w:rsidRPr="00D16622">
        <w:rPr>
          <w:rFonts w:ascii="Times New Roman" w:hAnsi="Times New Roman" w:cs="Times New Roman"/>
          <w:noProof/>
          <w:sz w:val="24"/>
          <w:szCs w:val="24"/>
        </w:rPr>
        <w:t xml:space="preserve">In </w:t>
      </w:r>
      <w:hyperlink r:id="rId135" w:history="1">
        <w:r w:rsidR="006032A2" w:rsidRPr="00D16622">
          <w:rPr>
            <w:rStyle w:val="Hyperlink"/>
            <w:rFonts w:cs="Times New Roman"/>
            <w:noProof/>
            <w:szCs w:val="24"/>
          </w:rPr>
          <w:t>Cyprus</w:t>
        </w:r>
      </w:hyperlink>
      <w:r w:rsidR="00AB15FA" w:rsidRPr="00D16622">
        <w:rPr>
          <w:rFonts w:ascii="Times New Roman" w:hAnsi="Times New Roman" w:cs="Times New Roman"/>
          <w:noProof/>
          <w:sz w:val="24"/>
          <w:szCs w:val="24"/>
        </w:rPr>
        <w:t xml:space="preserve">, the Independent Authority against Corruption has been strengthened with the adoption of new legislation </w:t>
      </w:r>
      <w:r w:rsidR="00A972BC" w:rsidRPr="00D16622">
        <w:rPr>
          <w:rFonts w:ascii="Times New Roman" w:hAnsi="Times New Roman" w:cs="Times New Roman"/>
          <w:noProof/>
          <w:sz w:val="24"/>
          <w:szCs w:val="24"/>
        </w:rPr>
        <w:t>on recruitment</w:t>
      </w:r>
      <w:r w:rsidR="00AB15FA" w:rsidRPr="00D16622">
        <w:rPr>
          <w:rFonts w:ascii="Times New Roman" w:hAnsi="Times New Roman" w:cs="Times New Roman"/>
          <w:noProof/>
          <w:sz w:val="24"/>
          <w:szCs w:val="24"/>
        </w:rPr>
        <w:t>.</w:t>
      </w:r>
      <w:r w:rsidR="00AB15FA" w:rsidRPr="00D16622">
        <w:rPr>
          <w:rFonts w:ascii="Times New Roman" w:hAnsi="Times New Roman" w:cs="Times New Roman"/>
          <w:noProof/>
          <w:sz w:val="24"/>
          <w:szCs w:val="24"/>
          <w:lang w:val="en-IE"/>
        </w:rPr>
        <w:t xml:space="preserve"> </w:t>
      </w:r>
      <w:hyperlink r:id="rId136" w:history="1">
        <w:r w:rsidRPr="00D16622">
          <w:rPr>
            <w:rStyle w:val="Hyperlink"/>
            <w:rFonts w:cs="Times New Roman"/>
            <w:noProof/>
            <w:szCs w:val="24"/>
          </w:rPr>
          <w:t>Spain</w:t>
        </w:r>
      </w:hyperlink>
      <w:r w:rsidRPr="00D16622">
        <w:rPr>
          <w:rFonts w:ascii="Times New Roman" w:hAnsi="Times New Roman" w:cs="Times New Roman"/>
          <w:noProof/>
          <w:sz w:val="24"/>
          <w:szCs w:val="24"/>
        </w:rPr>
        <w:t xml:space="preserve"> has launched the legislative process to set up the Independent Authority for Public Integrity as a central body for the prevention, supervision and prosecution of corruption. In </w:t>
      </w:r>
      <w:hyperlink r:id="rId137" w:history="1">
        <w:r w:rsidR="00625426" w:rsidRPr="00D16622">
          <w:rPr>
            <w:rStyle w:val="Hyperlink"/>
            <w:rFonts w:eastAsia="Times New Roman" w:cs="Times New Roman"/>
            <w:noProof/>
            <w:szCs w:val="24"/>
            <w:lang w:val="en-IE"/>
          </w:rPr>
          <w:t>Latvia</w:t>
        </w:r>
      </w:hyperlink>
      <w:r w:rsidRPr="00D16622">
        <w:rPr>
          <w:rFonts w:ascii="Times New Roman" w:hAnsi="Times New Roman" w:cs="Times New Roman"/>
          <w:noProof/>
          <w:sz w:val="24"/>
          <w:szCs w:val="24"/>
        </w:rPr>
        <w:t xml:space="preserve">, the </w:t>
      </w:r>
      <w:r w:rsidRPr="00D16622">
        <w:rPr>
          <w:rFonts w:ascii="Times New Roman" w:hAnsi="Times New Roman" w:cs="Times New Roman"/>
          <w:noProof/>
          <w:sz w:val="24"/>
          <w:szCs w:val="24"/>
          <w:lang w:val="en-US"/>
        </w:rPr>
        <w:t xml:space="preserve">competences of the Corruption Prevention and Combating Bureau have been strengthened with </w:t>
      </w:r>
      <w:r w:rsidR="4BB908C1" w:rsidRPr="00D16622">
        <w:rPr>
          <w:rFonts w:ascii="Times New Roman" w:hAnsi="Times New Roman" w:cs="Times New Roman"/>
          <w:noProof/>
          <w:sz w:val="24"/>
          <w:szCs w:val="24"/>
          <w:lang w:val="en-US"/>
        </w:rPr>
        <w:t xml:space="preserve">a </w:t>
      </w:r>
      <w:r w:rsidRPr="00D16622">
        <w:rPr>
          <w:rFonts w:ascii="Times New Roman" w:hAnsi="Times New Roman" w:cs="Times New Roman"/>
          <w:noProof/>
          <w:sz w:val="24"/>
          <w:szCs w:val="24"/>
          <w:lang w:val="en-US"/>
        </w:rPr>
        <w:t xml:space="preserve">view to </w:t>
      </w:r>
      <w:r w:rsidR="003D54F6" w:rsidRPr="00D16622">
        <w:rPr>
          <w:rFonts w:ascii="Times New Roman" w:hAnsi="Times New Roman" w:cs="Times New Roman"/>
          <w:noProof/>
          <w:sz w:val="24"/>
          <w:szCs w:val="24"/>
          <w:lang w:val="en-US"/>
        </w:rPr>
        <w:t xml:space="preserve">strengthening </w:t>
      </w:r>
      <w:r w:rsidRPr="00D16622">
        <w:rPr>
          <w:rFonts w:ascii="Times New Roman" w:hAnsi="Times New Roman" w:cs="Times New Roman"/>
          <w:noProof/>
          <w:sz w:val="24"/>
          <w:szCs w:val="24"/>
          <w:lang w:val="en-US"/>
        </w:rPr>
        <w:t>risk analysis</w:t>
      </w:r>
      <w:r w:rsidRPr="00D16622">
        <w:rPr>
          <w:rFonts w:ascii="Times New Roman" w:hAnsi="Times New Roman" w:cs="Times New Roman"/>
          <w:noProof/>
          <w:sz w:val="24"/>
          <w:szCs w:val="24"/>
        </w:rPr>
        <w:t>.</w:t>
      </w:r>
      <w:r w:rsidR="00916BF8" w:rsidRPr="00D16622">
        <w:rPr>
          <w:rFonts w:ascii="Times New Roman" w:hAnsi="Times New Roman" w:cs="Times New Roman"/>
          <w:noProof/>
          <w:sz w:val="24"/>
          <w:szCs w:val="24"/>
        </w:rPr>
        <w:t xml:space="preserve"> </w:t>
      </w:r>
      <w:hyperlink r:id="rId138" w:history="1">
        <w:r w:rsidR="00916BF8" w:rsidRPr="00D16622">
          <w:rPr>
            <w:rStyle w:val="Hyperlink"/>
            <w:rFonts w:cs="Times New Roman"/>
            <w:bCs/>
            <w:noProof/>
            <w:szCs w:val="24"/>
          </w:rPr>
          <w:t>Bulgaria</w:t>
        </w:r>
      </w:hyperlink>
      <w:r w:rsidR="00916BF8" w:rsidRPr="00D16622">
        <w:rPr>
          <w:rFonts w:ascii="Times New Roman" w:hAnsi="Times New Roman" w:cs="Times New Roman"/>
          <w:noProof/>
          <w:sz w:val="24"/>
          <w:szCs w:val="24"/>
        </w:rPr>
        <w:t xml:space="preserve"> adopted a new anti-corruption law re-establishing the A</w:t>
      </w:r>
      <w:r w:rsidR="00B636D4" w:rsidRPr="00D16622">
        <w:rPr>
          <w:rFonts w:ascii="Times New Roman" w:hAnsi="Times New Roman" w:cs="Times New Roman"/>
          <w:noProof/>
          <w:sz w:val="24"/>
          <w:szCs w:val="24"/>
        </w:rPr>
        <w:t>nti-</w:t>
      </w:r>
      <w:r w:rsidR="00916BF8" w:rsidRPr="00D16622">
        <w:rPr>
          <w:rFonts w:ascii="Times New Roman" w:hAnsi="Times New Roman" w:cs="Times New Roman"/>
          <w:noProof/>
          <w:sz w:val="24"/>
          <w:szCs w:val="24"/>
        </w:rPr>
        <w:t>C</w:t>
      </w:r>
      <w:r w:rsidR="00B636D4" w:rsidRPr="00D16622">
        <w:rPr>
          <w:rFonts w:ascii="Times New Roman" w:hAnsi="Times New Roman" w:cs="Times New Roman"/>
          <w:noProof/>
          <w:sz w:val="24"/>
          <w:szCs w:val="24"/>
        </w:rPr>
        <w:t xml:space="preserve">orruption </w:t>
      </w:r>
      <w:r w:rsidR="00916BF8" w:rsidRPr="00D16622">
        <w:rPr>
          <w:rFonts w:ascii="Times New Roman" w:hAnsi="Times New Roman" w:cs="Times New Roman"/>
          <w:noProof/>
          <w:sz w:val="24"/>
          <w:szCs w:val="24"/>
        </w:rPr>
        <w:t>C</w:t>
      </w:r>
      <w:r w:rsidR="00B636D4" w:rsidRPr="00D16622">
        <w:rPr>
          <w:rFonts w:ascii="Times New Roman" w:hAnsi="Times New Roman" w:cs="Times New Roman"/>
          <w:noProof/>
          <w:sz w:val="24"/>
          <w:szCs w:val="24"/>
        </w:rPr>
        <w:t>ommission</w:t>
      </w:r>
      <w:r w:rsidR="00916BF8" w:rsidRPr="00D16622">
        <w:rPr>
          <w:rFonts w:ascii="Times New Roman" w:hAnsi="Times New Roman" w:cs="Times New Roman"/>
          <w:noProof/>
          <w:sz w:val="24"/>
          <w:szCs w:val="24"/>
        </w:rPr>
        <w:t xml:space="preserve"> with stronger guarantees for its political independence.</w:t>
      </w:r>
      <w:r w:rsidR="00FB0D44" w:rsidRPr="00D16622">
        <w:rPr>
          <w:rFonts w:ascii="Times New Roman" w:hAnsi="Times New Roman" w:cs="Times New Roman"/>
          <w:noProof/>
          <w:sz w:val="24"/>
          <w:szCs w:val="24"/>
        </w:rPr>
        <w:t xml:space="preserve"> In </w:t>
      </w:r>
      <w:hyperlink r:id="rId139" w:history="1">
        <w:r w:rsidR="006A5633" w:rsidRPr="00D16622">
          <w:rPr>
            <w:rStyle w:val="Hyperlink"/>
            <w:rFonts w:eastAsia="Times New Roman" w:cs="Times New Roman"/>
            <w:noProof/>
            <w:szCs w:val="24"/>
            <w:lang w:val="en-IE"/>
          </w:rPr>
          <w:t>Hungary</w:t>
        </w:r>
      </w:hyperlink>
      <w:r w:rsidR="00FB0D44" w:rsidRPr="00D16622">
        <w:rPr>
          <w:rFonts w:ascii="Times New Roman" w:hAnsi="Times New Roman" w:cs="Times New Roman"/>
          <w:noProof/>
          <w:sz w:val="24"/>
          <w:szCs w:val="24"/>
        </w:rPr>
        <w:t xml:space="preserve">, new legislation </w:t>
      </w:r>
      <w:r w:rsidR="00F15AC5" w:rsidRPr="00D16622">
        <w:rPr>
          <w:rFonts w:ascii="Times New Roman" w:hAnsi="Times New Roman" w:cs="Times New Roman"/>
          <w:noProof/>
          <w:sz w:val="24"/>
          <w:szCs w:val="24"/>
        </w:rPr>
        <w:t xml:space="preserve">aims to </w:t>
      </w:r>
      <w:r w:rsidR="00A175AC" w:rsidRPr="00D16622">
        <w:rPr>
          <w:rFonts w:ascii="Times New Roman" w:hAnsi="Times New Roman" w:cs="Times New Roman"/>
          <w:noProof/>
          <w:sz w:val="24"/>
          <w:szCs w:val="24"/>
        </w:rPr>
        <w:t xml:space="preserve">reinforce the powers of the Integrity Authority and </w:t>
      </w:r>
      <w:r w:rsidR="00294049" w:rsidRPr="00D16622">
        <w:rPr>
          <w:rFonts w:ascii="Times New Roman" w:hAnsi="Times New Roman" w:cs="Times New Roman"/>
          <w:noProof/>
          <w:sz w:val="24"/>
          <w:szCs w:val="24"/>
        </w:rPr>
        <w:t xml:space="preserve">to </w:t>
      </w:r>
      <w:r w:rsidR="00A175AC" w:rsidRPr="00D16622">
        <w:rPr>
          <w:rFonts w:ascii="Times New Roman" w:hAnsi="Times New Roman" w:cs="Times New Roman"/>
          <w:noProof/>
          <w:sz w:val="24"/>
          <w:szCs w:val="24"/>
        </w:rPr>
        <w:t>ensure that it has access to data necessary for carrying out its work.</w:t>
      </w:r>
    </w:p>
    <w:p w14:paraId="1A1188BE" w14:textId="5D14A465" w:rsidR="008A6876" w:rsidRPr="00D16622" w:rsidRDefault="008A6876" w:rsidP="008A6876">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To tackle increasingly complex corruption cases, law enforcement, prosecutors, and the judiciary must be sufficiently specialised and well-resourced. In </w:t>
      </w:r>
      <w:hyperlink r:id="rId140" w:history="1">
        <w:r w:rsidRPr="00D16622">
          <w:rPr>
            <w:rStyle w:val="Hyperlink"/>
            <w:rFonts w:cs="Times New Roman"/>
            <w:bCs/>
            <w:noProof/>
            <w:szCs w:val="24"/>
          </w:rPr>
          <w:t>Spain</w:t>
        </w:r>
      </w:hyperlink>
      <w:r w:rsidRPr="00D16622">
        <w:rPr>
          <w:rFonts w:ascii="Times New Roman" w:hAnsi="Times New Roman" w:cs="Times New Roman"/>
          <w:noProof/>
          <w:sz w:val="24"/>
          <w:szCs w:val="24"/>
        </w:rPr>
        <w:t xml:space="preserve">, new judicial and prosecutorial posts were created to strengthen the handling of corruption cases. In </w:t>
      </w:r>
      <w:hyperlink r:id="rId141" w:history="1">
        <w:r w:rsidR="00775307" w:rsidRPr="00D16622">
          <w:rPr>
            <w:rStyle w:val="Hyperlink"/>
            <w:rFonts w:cs="Times New Roman"/>
            <w:noProof/>
            <w:szCs w:val="24"/>
          </w:rPr>
          <w:t>Malta</w:t>
        </w:r>
      </w:hyperlink>
      <w:r w:rsidRPr="00D16622">
        <w:rPr>
          <w:rFonts w:ascii="Times New Roman" w:hAnsi="Times New Roman" w:cs="Times New Roman"/>
          <w:noProof/>
          <w:sz w:val="24"/>
          <w:szCs w:val="24"/>
        </w:rPr>
        <w:t xml:space="preserve">, the Police and the Attorney General have further increased their human resources, while the capacity of the Permanent Commission against Corruption to effectively contribute to the investigation and prosecution of corruption cases remains limited. </w:t>
      </w:r>
      <w:r w:rsidR="009C381F" w:rsidRPr="00D16622">
        <w:rPr>
          <w:rFonts w:ascii="Times New Roman" w:hAnsi="Times New Roman" w:cs="Times New Roman"/>
          <w:noProof/>
          <w:sz w:val="24"/>
          <w:szCs w:val="24"/>
        </w:rPr>
        <w:t xml:space="preserve">Some challenges remain in a few Member States. </w:t>
      </w:r>
      <w:r w:rsidRPr="00D16622">
        <w:rPr>
          <w:rFonts w:ascii="Times New Roman" w:hAnsi="Times New Roman" w:cs="Times New Roman"/>
          <w:noProof/>
          <w:sz w:val="24"/>
          <w:szCs w:val="24"/>
        </w:rPr>
        <w:t xml:space="preserve">In </w:t>
      </w:r>
      <w:hyperlink r:id="rId142" w:history="1">
        <w:r w:rsidRPr="00D16622">
          <w:rPr>
            <w:rStyle w:val="Hyperlink"/>
            <w:rFonts w:cs="Times New Roman"/>
            <w:bCs/>
            <w:noProof/>
            <w:szCs w:val="24"/>
          </w:rPr>
          <w:t>Ireland</w:t>
        </w:r>
      </w:hyperlink>
      <w:r w:rsidRPr="00D16622">
        <w:rPr>
          <w:rFonts w:ascii="Times New Roman" w:hAnsi="Times New Roman" w:cs="Times New Roman"/>
          <w:noProof/>
          <w:sz w:val="24"/>
          <w:szCs w:val="24"/>
        </w:rPr>
        <w:t xml:space="preserve">, resource challenges remain for the investigation and prosecution of corruption offences. </w:t>
      </w:r>
      <w:r w:rsidR="009C381F" w:rsidRPr="00D16622">
        <w:rPr>
          <w:rFonts w:ascii="Times New Roman" w:hAnsi="Times New Roman" w:cs="Times New Roman"/>
          <w:noProof/>
          <w:sz w:val="24"/>
          <w:szCs w:val="24"/>
        </w:rPr>
        <w:t xml:space="preserve">In </w:t>
      </w:r>
      <w:hyperlink r:id="rId143" w:history="1">
        <w:r w:rsidR="00F86C9D" w:rsidRPr="00D16622">
          <w:rPr>
            <w:rStyle w:val="Hyperlink"/>
            <w:rFonts w:cs="Times New Roman"/>
            <w:noProof/>
            <w:szCs w:val="24"/>
            <w:lang w:eastAsia="en-IE"/>
          </w:rPr>
          <w:t>Austria</w:t>
        </w:r>
      </w:hyperlink>
      <w:r w:rsidR="009C381F" w:rsidRPr="00D16622">
        <w:rPr>
          <w:rFonts w:ascii="Times New Roman" w:hAnsi="Times New Roman" w:cs="Times New Roman"/>
          <w:noProof/>
          <w:sz w:val="24"/>
          <w:szCs w:val="24"/>
        </w:rPr>
        <w:t>, reporting obligations and the new rules on seizure of electronic devices are seen as a burden on prosecution services.</w:t>
      </w:r>
    </w:p>
    <w:p w14:paraId="2DB79D1E" w14:textId="70FF251B" w:rsidR="008A6876" w:rsidRPr="00D16622" w:rsidRDefault="008A6876" w:rsidP="008A6876">
      <w:pPr>
        <w:spacing w:after="120" w:line="240" w:lineRule="auto"/>
        <w:jc w:val="both"/>
        <w:rPr>
          <w:rFonts w:ascii="Times New Roman" w:hAnsi="Times New Roman" w:cs="Times New Roman"/>
          <w:noProof/>
          <w:sz w:val="24"/>
          <w:szCs w:val="24"/>
          <w:lang w:val="en-IE"/>
        </w:rPr>
      </w:pPr>
      <w:r w:rsidRPr="00D16622">
        <w:rPr>
          <w:rFonts w:ascii="Times New Roman" w:hAnsi="Times New Roman" w:cs="Times New Roman"/>
          <w:noProof/>
          <w:sz w:val="24"/>
          <w:szCs w:val="24"/>
        </w:rPr>
        <w:t>Close cooperation between law enforcement authorities and other agencies</w:t>
      </w:r>
      <w:r w:rsidR="00116A33" w:rsidRPr="00D16622">
        <w:rPr>
          <w:rStyle w:val="FootnoteReference"/>
          <w:rFonts w:cs="Times New Roman"/>
          <w:noProof/>
        </w:rPr>
        <w:footnoteReference w:id="64"/>
      </w:r>
      <w:r w:rsidR="003222D5" w:rsidRPr="00D16622">
        <w:rPr>
          <w:rFonts w:ascii="Times New Roman" w:hAnsi="Times New Roman" w:cs="Times New Roman"/>
          <w:noProof/>
          <w:sz w:val="24"/>
          <w:szCs w:val="24"/>
        </w:rPr>
        <w:t xml:space="preserve">, </w:t>
      </w:r>
      <w:r w:rsidR="00872B9D" w:rsidRPr="00D16622">
        <w:rPr>
          <w:rFonts w:ascii="Times New Roman" w:hAnsi="Times New Roman" w:cs="Times New Roman"/>
          <w:noProof/>
          <w:sz w:val="24"/>
          <w:szCs w:val="24"/>
        </w:rPr>
        <w:t>as well as</w:t>
      </w:r>
      <w:r w:rsidR="006D7E80" w:rsidRPr="00D16622">
        <w:rPr>
          <w:rFonts w:ascii="Times New Roman" w:hAnsi="Times New Roman" w:cs="Times New Roman"/>
          <w:noProof/>
          <w:sz w:val="24"/>
          <w:szCs w:val="24"/>
        </w:rPr>
        <w:t xml:space="preserve"> </w:t>
      </w:r>
      <w:r w:rsidRPr="00D16622">
        <w:rPr>
          <w:rFonts w:ascii="Times New Roman" w:hAnsi="Times New Roman" w:cs="Times New Roman"/>
          <w:noProof/>
          <w:sz w:val="24"/>
          <w:szCs w:val="24"/>
        </w:rPr>
        <w:t xml:space="preserve">access to </w:t>
      </w:r>
      <w:r w:rsidR="006D7E80" w:rsidRPr="00D16622">
        <w:rPr>
          <w:rFonts w:ascii="Times New Roman" w:hAnsi="Times New Roman" w:cs="Times New Roman"/>
          <w:noProof/>
          <w:sz w:val="24"/>
          <w:szCs w:val="24"/>
        </w:rPr>
        <w:t xml:space="preserve">and interconnection </w:t>
      </w:r>
      <w:r w:rsidR="00176E14" w:rsidRPr="00D16622">
        <w:rPr>
          <w:rFonts w:ascii="Times New Roman" w:hAnsi="Times New Roman" w:cs="Times New Roman"/>
          <w:noProof/>
          <w:sz w:val="24"/>
          <w:szCs w:val="24"/>
        </w:rPr>
        <w:t xml:space="preserve">between </w:t>
      </w:r>
      <w:r w:rsidRPr="00D16622">
        <w:rPr>
          <w:rFonts w:ascii="Times New Roman" w:hAnsi="Times New Roman" w:cs="Times New Roman"/>
          <w:noProof/>
          <w:sz w:val="24"/>
          <w:szCs w:val="24"/>
        </w:rPr>
        <w:t>information databases</w:t>
      </w:r>
      <w:r w:rsidR="00872B9D" w:rsidRPr="00D16622">
        <w:rPr>
          <w:rFonts w:ascii="Times New Roman" w:hAnsi="Times New Roman" w:cs="Times New Roman"/>
          <w:noProof/>
          <w:sz w:val="24"/>
          <w:szCs w:val="24"/>
        </w:rPr>
        <w:t>,</w:t>
      </w:r>
      <w:r w:rsidRPr="00D16622">
        <w:rPr>
          <w:rFonts w:ascii="Times New Roman" w:hAnsi="Times New Roman" w:cs="Times New Roman"/>
          <w:noProof/>
          <w:sz w:val="24"/>
          <w:szCs w:val="24"/>
        </w:rPr>
        <w:t xml:space="preserve"> </w:t>
      </w:r>
      <w:r w:rsidR="00176E14" w:rsidRPr="00D16622">
        <w:rPr>
          <w:rFonts w:ascii="Times New Roman" w:hAnsi="Times New Roman" w:cs="Times New Roman"/>
          <w:noProof/>
          <w:sz w:val="24"/>
          <w:szCs w:val="24"/>
        </w:rPr>
        <w:t>are crucial for</w:t>
      </w:r>
      <w:r w:rsidRPr="00D16622">
        <w:rPr>
          <w:rFonts w:ascii="Times New Roman" w:hAnsi="Times New Roman" w:cs="Times New Roman"/>
          <w:noProof/>
          <w:sz w:val="24"/>
          <w:szCs w:val="24"/>
        </w:rPr>
        <w:t xml:space="preserve"> an efficient fight against corruption. In </w:t>
      </w:r>
      <w:hyperlink r:id="rId144" w:history="1">
        <w:r w:rsidRPr="00D16622">
          <w:rPr>
            <w:rStyle w:val="Hyperlink"/>
            <w:rFonts w:cs="Times New Roman"/>
            <w:bCs/>
            <w:noProof/>
            <w:szCs w:val="24"/>
          </w:rPr>
          <w:t>Ireland</w:t>
        </w:r>
      </w:hyperlink>
      <w:r w:rsidRPr="00D16622">
        <w:rPr>
          <w:rFonts w:ascii="Times New Roman" w:hAnsi="Times New Roman" w:cs="Times New Roman"/>
          <w:noProof/>
          <w:sz w:val="24"/>
          <w:szCs w:val="24"/>
        </w:rPr>
        <w:t xml:space="preserve">, cooperation among responsible authorities functions well. </w:t>
      </w:r>
      <w:r w:rsidR="009E6332" w:rsidRPr="00D16622">
        <w:rPr>
          <w:rFonts w:ascii="Times New Roman" w:hAnsi="Times New Roman" w:cs="Times New Roman"/>
          <w:noProof/>
          <w:sz w:val="24"/>
          <w:szCs w:val="24"/>
          <w:lang w:val="en-IE"/>
        </w:rPr>
        <w:t xml:space="preserve">In </w:t>
      </w:r>
      <w:hyperlink r:id="rId145" w:history="1">
        <w:r w:rsidR="00874BD7" w:rsidRPr="00D16622">
          <w:rPr>
            <w:rStyle w:val="Hyperlink"/>
            <w:rFonts w:cs="Times New Roman"/>
            <w:noProof/>
            <w:szCs w:val="24"/>
            <w:lang w:eastAsia="en-IE"/>
          </w:rPr>
          <w:t>Finland</w:t>
        </w:r>
      </w:hyperlink>
      <w:r w:rsidR="009E6332" w:rsidRPr="00D16622">
        <w:rPr>
          <w:rFonts w:ascii="Times New Roman" w:hAnsi="Times New Roman" w:cs="Times New Roman"/>
          <w:noProof/>
          <w:sz w:val="24"/>
          <w:szCs w:val="24"/>
          <w:lang w:val="en-IE"/>
        </w:rPr>
        <w:t>, the National Bureau of Investigation, the Tax Authority and the Competition and Consumer Authority have strengthened their cooperation in the field of corruption prevention.</w:t>
      </w:r>
      <w:r w:rsidRPr="00D16622">
        <w:rPr>
          <w:rFonts w:ascii="Times New Roman" w:hAnsi="Times New Roman" w:cs="Times New Roman"/>
          <w:noProof/>
          <w:sz w:val="24"/>
          <w:szCs w:val="24"/>
          <w:lang w:val="bg-BG"/>
        </w:rPr>
        <w:t xml:space="preserve"> </w:t>
      </w:r>
    </w:p>
    <w:p w14:paraId="6C94DA0B" w14:textId="5A3C33A1" w:rsidR="00E51F44" w:rsidRPr="00D16622" w:rsidRDefault="008A6876" w:rsidP="00E51F44">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The cooperation between national authorities and the EPPO is reported to be overall good in the participating Member States</w:t>
      </w:r>
      <w:r w:rsidRPr="00D16622">
        <w:rPr>
          <w:rFonts w:ascii="Times New Roman" w:hAnsi="Times New Roman" w:cs="Times New Roman"/>
          <w:i/>
          <w:iCs/>
          <w:noProof/>
          <w:sz w:val="24"/>
          <w:szCs w:val="24"/>
          <w:lang w:val="en-IE"/>
        </w:rPr>
        <w:t xml:space="preserve">. </w:t>
      </w:r>
      <w:r w:rsidRPr="00D16622">
        <w:rPr>
          <w:rFonts w:ascii="Times New Roman" w:hAnsi="Times New Roman" w:cs="Times New Roman"/>
          <w:noProof/>
          <w:sz w:val="24"/>
          <w:szCs w:val="24"/>
        </w:rPr>
        <w:t xml:space="preserve">Furthermore, the EPPO is now fully operational in </w:t>
      </w:r>
      <w:hyperlink r:id="rId146" w:history="1">
        <w:r w:rsidR="00F55374" w:rsidRPr="00D16622">
          <w:rPr>
            <w:rStyle w:val="Hyperlink"/>
            <w:rFonts w:cs="Times New Roman"/>
            <w:bCs/>
            <w:noProof/>
            <w:szCs w:val="24"/>
          </w:rPr>
          <w:t>Poland</w:t>
        </w:r>
      </w:hyperlink>
      <w:r w:rsidR="00F55374" w:rsidRPr="00D16622">
        <w:rPr>
          <w:rFonts w:ascii="Times New Roman" w:hAnsi="Times New Roman" w:cs="Times New Roman"/>
          <w:noProof/>
          <w:sz w:val="24"/>
          <w:szCs w:val="24"/>
        </w:rPr>
        <w:t xml:space="preserve"> and </w:t>
      </w:r>
      <w:hyperlink r:id="rId147" w:history="1">
        <w:r w:rsidR="008A099D" w:rsidRPr="00D16622">
          <w:rPr>
            <w:rStyle w:val="Hyperlink"/>
            <w:rFonts w:cs="Times New Roman"/>
            <w:noProof/>
            <w:szCs w:val="24"/>
            <w:lang w:eastAsia="en-IE"/>
          </w:rPr>
          <w:t>Sweden</w:t>
        </w:r>
      </w:hyperlink>
      <w:r w:rsidR="008A099D" w:rsidRPr="00D16622">
        <w:rPr>
          <w:rFonts w:ascii="Times New Roman" w:hAnsi="Times New Roman" w:cs="Times New Roman"/>
          <w:noProof/>
          <w:sz w:val="24"/>
          <w:szCs w:val="24"/>
          <w:lang w:eastAsia="en-IE"/>
        </w:rPr>
        <w:t xml:space="preserve"> </w:t>
      </w:r>
      <w:r w:rsidRPr="00D16622">
        <w:rPr>
          <w:rFonts w:ascii="Times New Roman" w:hAnsi="Times New Roman" w:cs="Times New Roman"/>
          <w:noProof/>
          <w:sz w:val="24"/>
          <w:szCs w:val="24"/>
        </w:rPr>
        <w:t xml:space="preserve">to investigate and prosecute crimes affecting the financial interests of the Union. </w:t>
      </w:r>
      <w:r w:rsidR="00E51F44" w:rsidRPr="00D16622">
        <w:rPr>
          <w:rFonts w:ascii="Times New Roman" w:hAnsi="Times New Roman" w:cs="Times New Roman"/>
          <w:noProof/>
          <w:sz w:val="24"/>
          <w:szCs w:val="24"/>
        </w:rPr>
        <w:t xml:space="preserve">On 29 May 2026, </w:t>
      </w:r>
      <w:hyperlink r:id="rId148" w:history="1">
        <w:r w:rsidR="00067CDD" w:rsidRPr="00D16622">
          <w:rPr>
            <w:rStyle w:val="Hyperlink"/>
            <w:rFonts w:eastAsia="Times New Roman" w:cs="Times New Roman"/>
            <w:noProof/>
            <w:szCs w:val="24"/>
            <w:lang w:val="en-IE"/>
          </w:rPr>
          <w:t>Hungary</w:t>
        </w:r>
      </w:hyperlink>
      <w:r w:rsidR="00E51F44" w:rsidRPr="00D16622">
        <w:rPr>
          <w:rFonts w:ascii="Times New Roman" w:hAnsi="Times New Roman" w:cs="Times New Roman"/>
          <w:noProof/>
          <w:sz w:val="24"/>
          <w:szCs w:val="24"/>
        </w:rPr>
        <w:t xml:space="preserve"> notified its intention to participate in the enhanced cooperation on the European Public Prosecutor’s Office (EPPO) </w:t>
      </w:r>
      <w:r w:rsidR="00067CDD" w:rsidRPr="00D16622">
        <w:rPr>
          <w:rFonts w:ascii="Times New Roman" w:hAnsi="Times New Roman" w:cs="Times New Roman"/>
          <w:noProof/>
          <w:sz w:val="24"/>
          <w:szCs w:val="24"/>
        </w:rPr>
        <w:t>[</w:t>
      </w:r>
      <w:r w:rsidR="00E51F44" w:rsidRPr="00D16622">
        <w:rPr>
          <w:rFonts w:ascii="Times New Roman" w:hAnsi="Times New Roman" w:cs="Times New Roman"/>
          <w:noProof/>
          <w:sz w:val="24"/>
          <w:szCs w:val="24"/>
        </w:rPr>
        <w:t>and the Commission subsequently adopted a decision confirming Hungary’s participation</w:t>
      </w:r>
      <w:r w:rsidR="00067CDD" w:rsidRPr="00D16622">
        <w:rPr>
          <w:rFonts w:ascii="Times New Roman" w:hAnsi="Times New Roman" w:cs="Times New Roman"/>
          <w:noProof/>
          <w:sz w:val="24"/>
          <w:szCs w:val="24"/>
        </w:rPr>
        <w:t>].</w:t>
      </w:r>
    </w:p>
    <w:p w14:paraId="7813554C" w14:textId="59880BE4" w:rsidR="008A6876" w:rsidRPr="00D16622" w:rsidRDefault="008A6876" w:rsidP="008A6876">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In </w:t>
      </w:r>
      <w:hyperlink r:id="rId149" w:history="1">
        <w:r w:rsidRPr="00D16622">
          <w:rPr>
            <w:rStyle w:val="Hyperlink"/>
            <w:rFonts w:cs="Times New Roman"/>
            <w:bCs/>
            <w:noProof/>
            <w:szCs w:val="24"/>
          </w:rPr>
          <w:t>Ireland</w:t>
        </w:r>
      </w:hyperlink>
      <w:r w:rsidRPr="00D16622">
        <w:rPr>
          <w:rFonts w:ascii="Times New Roman" w:hAnsi="Times New Roman" w:cs="Times New Roman"/>
          <w:noProof/>
          <w:sz w:val="24"/>
          <w:szCs w:val="24"/>
        </w:rPr>
        <w:t>, the 2025 Programme for Government contains a commitment to sign up to the EPPO.</w:t>
      </w:r>
      <w:r w:rsidR="00F91A7B" w:rsidRPr="00D16622">
        <w:rPr>
          <w:rFonts w:ascii="Times New Roman" w:hAnsi="Times New Roman" w:cs="Times New Roman"/>
          <w:noProof/>
          <w:sz w:val="24"/>
          <w:szCs w:val="24"/>
        </w:rPr>
        <w:t xml:space="preserve"> </w:t>
      </w:r>
    </w:p>
    <w:p w14:paraId="6D5F9E07" w14:textId="0C33E03B" w:rsidR="00A747A7" w:rsidRPr="00D16622" w:rsidRDefault="2CA902E6" w:rsidP="758710DA">
      <w:pPr>
        <w:spacing w:after="120" w:line="240" w:lineRule="auto"/>
        <w:jc w:val="both"/>
        <w:rPr>
          <w:rFonts w:ascii="Times New Roman" w:hAnsi="Times New Roman" w:cs="Times New Roman"/>
          <w:i/>
          <w:iCs/>
          <w:noProof/>
          <w:sz w:val="24"/>
          <w:szCs w:val="24"/>
        </w:rPr>
      </w:pPr>
      <w:r w:rsidRPr="00D16622">
        <w:rPr>
          <w:rFonts w:ascii="Times New Roman" w:hAnsi="Times New Roman" w:cs="Times New Roman"/>
          <w:noProof/>
          <w:sz w:val="24"/>
          <w:szCs w:val="24"/>
        </w:rPr>
        <w:t>I</w:t>
      </w:r>
      <w:r w:rsidR="00A747A7" w:rsidRPr="00D16622">
        <w:rPr>
          <w:rFonts w:ascii="Times New Roman" w:hAnsi="Times New Roman" w:cs="Times New Roman"/>
          <w:noProof/>
          <w:sz w:val="24"/>
          <w:szCs w:val="24"/>
        </w:rPr>
        <w:t xml:space="preserve">n </w:t>
      </w:r>
      <w:hyperlink r:id="rId150" w:history="1">
        <w:r w:rsidR="00757A27" w:rsidRPr="00D16622">
          <w:rPr>
            <w:rStyle w:val="Hyperlink"/>
            <w:rFonts w:cs="Times New Roman"/>
            <w:noProof/>
            <w:szCs w:val="24"/>
          </w:rPr>
          <w:t>Albania</w:t>
        </w:r>
      </w:hyperlink>
      <w:r w:rsidR="00757A27" w:rsidRPr="00D16622">
        <w:rPr>
          <w:rFonts w:ascii="Times New Roman" w:hAnsi="Times New Roman" w:cs="Times New Roman"/>
          <w:noProof/>
          <w:sz w:val="24"/>
          <w:szCs w:val="24"/>
        </w:rPr>
        <w:t xml:space="preserve">, </w:t>
      </w:r>
      <w:r w:rsidR="00F81BBA" w:rsidRPr="00D16622">
        <w:rPr>
          <w:rFonts w:ascii="Times New Roman" w:hAnsi="Times New Roman" w:cs="Times New Roman"/>
          <w:noProof/>
          <w:sz w:val="24"/>
          <w:szCs w:val="24"/>
        </w:rPr>
        <w:t xml:space="preserve">the institutional framework for corruption prevention has improved but </w:t>
      </w:r>
      <w:r w:rsidR="004E7948" w:rsidRPr="00D16622">
        <w:rPr>
          <w:rFonts w:ascii="Times New Roman" w:hAnsi="Times New Roman" w:cs="Times New Roman"/>
          <w:noProof/>
          <w:sz w:val="24"/>
          <w:szCs w:val="24"/>
        </w:rPr>
        <w:t xml:space="preserve">coordination </w:t>
      </w:r>
      <w:r w:rsidR="003608D6" w:rsidRPr="00D16622">
        <w:rPr>
          <w:rFonts w:ascii="Times New Roman" w:hAnsi="Times New Roman" w:cs="Times New Roman"/>
          <w:noProof/>
          <w:sz w:val="24"/>
          <w:szCs w:val="24"/>
        </w:rPr>
        <w:t>between institutions in charge of corruption and</w:t>
      </w:r>
      <w:r w:rsidR="004E7948" w:rsidRPr="00D16622">
        <w:rPr>
          <w:rFonts w:ascii="Times New Roman" w:hAnsi="Times New Roman" w:cs="Times New Roman"/>
          <w:noProof/>
          <w:sz w:val="24"/>
          <w:szCs w:val="24"/>
        </w:rPr>
        <w:t xml:space="preserve"> law enforcement </w:t>
      </w:r>
      <w:r w:rsidR="00F83B73" w:rsidRPr="00D16622">
        <w:rPr>
          <w:rFonts w:ascii="Times New Roman" w:hAnsi="Times New Roman" w:cs="Times New Roman"/>
          <w:noProof/>
          <w:sz w:val="24"/>
          <w:szCs w:val="24"/>
        </w:rPr>
        <w:t>remains weak</w:t>
      </w:r>
      <w:r w:rsidR="000F7E04" w:rsidRPr="00D16622">
        <w:rPr>
          <w:rFonts w:ascii="Times New Roman" w:hAnsi="Times New Roman" w:cs="Times New Roman"/>
          <w:noProof/>
          <w:sz w:val="24"/>
          <w:szCs w:val="24"/>
        </w:rPr>
        <w:t>.</w:t>
      </w:r>
      <w:r w:rsidR="00EB271D" w:rsidRPr="00D16622">
        <w:rPr>
          <w:rFonts w:ascii="Times New Roman" w:hAnsi="Times New Roman" w:cs="Times New Roman"/>
          <w:noProof/>
          <w:sz w:val="24"/>
          <w:szCs w:val="24"/>
        </w:rPr>
        <w:t xml:space="preserve"> </w:t>
      </w:r>
      <w:r w:rsidR="0041521F" w:rsidRPr="00D16622">
        <w:rPr>
          <w:rFonts w:ascii="Times New Roman" w:hAnsi="Times New Roman" w:cs="Times New Roman"/>
          <w:noProof/>
          <w:sz w:val="24"/>
          <w:szCs w:val="24"/>
        </w:rPr>
        <w:t xml:space="preserve">In </w:t>
      </w:r>
      <w:hyperlink r:id="rId151" w:history="1">
        <w:r w:rsidR="006541E2" w:rsidRPr="00D16622">
          <w:rPr>
            <w:rStyle w:val="Hyperlink"/>
            <w:rFonts w:cs="Times New Roman"/>
            <w:noProof/>
            <w:szCs w:val="24"/>
          </w:rPr>
          <w:t>Montenegro</w:t>
        </w:r>
      </w:hyperlink>
      <w:r w:rsidR="004723AE" w:rsidRPr="00D16622">
        <w:rPr>
          <w:rFonts w:ascii="Times New Roman" w:hAnsi="Times New Roman" w:cs="Times New Roman"/>
          <w:noProof/>
          <w:sz w:val="24"/>
          <w:szCs w:val="24"/>
        </w:rPr>
        <w:t>, the effectiveness and coordination of law enforcement institutions in the area of corruption increased</w:t>
      </w:r>
      <w:r w:rsidR="0041521F" w:rsidRPr="00D16622">
        <w:rPr>
          <w:rFonts w:ascii="Times New Roman" w:hAnsi="Times New Roman" w:cs="Times New Roman"/>
          <w:noProof/>
          <w:sz w:val="24"/>
          <w:szCs w:val="24"/>
        </w:rPr>
        <w:t>.</w:t>
      </w:r>
      <w:r w:rsidR="009D4369" w:rsidRPr="00D16622">
        <w:rPr>
          <w:rFonts w:ascii="Times New Roman" w:hAnsi="Times New Roman" w:cs="Times New Roman"/>
          <w:noProof/>
          <w:sz w:val="24"/>
          <w:szCs w:val="24"/>
        </w:rPr>
        <w:t xml:space="preserve"> In </w:t>
      </w:r>
      <w:hyperlink r:id="rId152" w:history="1">
        <w:r w:rsidR="00B14DAD" w:rsidRPr="00D16622">
          <w:rPr>
            <w:rStyle w:val="Hyperlink"/>
            <w:rFonts w:cs="Times New Roman"/>
            <w:noProof/>
            <w:szCs w:val="24"/>
          </w:rPr>
          <w:t>Serbia</w:t>
        </w:r>
      </w:hyperlink>
      <w:r w:rsidR="009D4369" w:rsidRPr="00D16622">
        <w:rPr>
          <w:rFonts w:ascii="Times New Roman" w:hAnsi="Times New Roman" w:cs="Times New Roman"/>
          <w:noProof/>
          <w:sz w:val="24"/>
          <w:szCs w:val="24"/>
        </w:rPr>
        <w:t xml:space="preserve">, there are concerns about the obstacles and attempts of undue influence </w:t>
      </w:r>
      <w:r w:rsidR="00867E1D" w:rsidRPr="00D16622">
        <w:rPr>
          <w:rFonts w:ascii="Times New Roman" w:hAnsi="Times New Roman" w:cs="Times New Roman"/>
          <w:noProof/>
          <w:sz w:val="24"/>
          <w:szCs w:val="24"/>
        </w:rPr>
        <w:t xml:space="preserve">to </w:t>
      </w:r>
      <w:r w:rsidR="009D4369" w:rsidRPr="00D16622">
        <w:rPr>
          <w:rFonts w:ascii="Times New Roman" w:hAnsi="Times New Roman" w:cs="Times New Roman"/>
          <w:noProof/>
          <w:sz w:val="24"/>
          <w:szCs w:val="24"/>
        </w:rPr>
        <w:t>the effective functioning of the Prosecutor’s Office for Organised Crime.</w:t>
      </w:r>
    </w:p>
    <w:p w14:paraId="7C3E6E33" w14:textId="46306D9D" w:rsidR="00AA2FF8" w:rsidRPr="00D16622" w:rsidRDefault="000833FB" w:rsidP="006F43AF">
      <w:pPr>
        <w:spacing w:after="120" w:line="240" w:lineRule="auto"/>
        <w:jc w:val="both"/>
        <w:rPr>
          <w:rFonts w:ascii="Times New Roman" w:hAnsi="Times New Roman" w:cs="Times New Roman"/>
          <w:i/>
          <w:noProof/>
          <w:sz w:val="24"/>
          <w:szCs w:val="24"/>
        </w:rPr>
      </w:pPr>
      <w:r w:rsidRPr="00D16622">
        <w:rPr>
          <w:rFonts w:ascii="Times New Roman" w:hAnsi="Times New Roman" w:cs="Times New Roman"/>
          <w:i/>
          <w:noProof/>
          <w:sz w:val="24"/>
          <w:szCs w:val="24"/>
        </w:rPr>
        <w:t xml:space="preserve">Removing </w:t>
      </w:r>
      <w:r w:rsidR="00EF03AB" w:rsidRPr="00D16622">
        <w:rPr>
          <w:rFonts w:ascii="Times New Roman" w:hAnsi="Times New Roman" w:cs="Times New Roman"/>
          <w:i/>
          <w:noProof/>
          <w:sz w:val="24"/>
          <w:szCs w:val="24"/>
        </w:rPr>
        <w:t xml:space="preserve">obstacles to </w:t>
      </w:r>
      <w:r w:rsidR="006F43AF" w:rsidRPr="00D16622">
        <w:rPr>
          <w:rFonts w:ascii="Times New Roman" w:hAnsi="Times New Roman" w:cs="Times New Roman"/>
          <w:i/>
          <w:noProof/>
          <w:sz w:val="24"/>
          <w:szCs w:val="24"/>
        </w:rPr>
        <w:t>criminal investigations</w:t>
      </w:r>
      <w:r w:rsidR="00EF03AB" w:rsidRPr="00D16622">
        <w:rPr>
          <w:rFonts w:ascii="Times New Roman" w:hAnsi="Times New Roman" w:cs="Times New Roman"/>
          <w:i/>
          <w:noProof/>
          <w:sz w:val="24"/>
          <w:szCs w:val="24"/>
        </w:rPr>
        <w:t xml:space="preserve"> and</w:t>
      </w:r>
      <w:r w:rsidR="006F43AF" w:rsidRPr="00D16622">
        <w:rPr>
          <w:rFonts w:ascii="Times New Roman" w:hAnsi="Times New Roman" w:cs="Times New Roman"/>
          <w:i/>
          <w:noProof/>
          <w:sz w:val="24"/>
          <w:szCs w:val="24"/>
        </w:rPr>
        <w:t xml:space="preserve"> prosecutions and </w:t>
      </w:r>
      <w:r w:rsidR="008531D7" w:rsidRPr="00D16622">
        <w:rPr>
          <w:rFonts w:ascii="Times New Roman" w:hAnsi="Times New Roman" w:cs="Times New Roman"/>
          <w:i/>
          <w:noProof/>
          <w:sz w:val="24"/>
          <w:szCs w:val="24"/>
        </w:rPr>
        <w:t>improving the track record for high-level corruption</w:t>
      </w:r>
    </w:p>
    <w:p w14:paraId="050EF667" w14:textId="2B1E4B7A" w:rsidR="0095031F" w:rsidRPr="00D16622" w:rsidRDefault="00842091" w:rsidP="0095031F">
      <w:pPr>
        <w:spacing w:after="120" w:line="240" w:lineRule="auto"/>
        <w:jc w:val="both"/>
        <w:rPr>
          <w:rFonts w:ascii="Times New Roman" w:hAnsi="Times New Roman" w:cs="Times New Roman"/>
          <w:iCs/>
          <w:noProof/>
          <w:sz w:val="24"/>
          <w:szCs w:val="24"/>
        </w:rPr>
      </w:pPr>
      <w:r w:rsidRPr="00D16622">
        <w:rPr>
          <w:rFonts w:ascii="Times New Roman" w:hAnsi="Times New Roman" w:cs="Times New Roman"/>
          <w:iCs/>
          <w:noProof/>
          <w:sz w:val="24"/>
          <w:szCs w:val="24"/>
        </w:rPr>
        <w:t xml:space="preserve">The effective investigation and prosecution of corruption </w:t>
      </w:r>
      <w:r w:rsidR="00767722" w:rsidRPr="00D16622">
        <w:rPr>
          <w:rFonts w:ascii="Times New Roman" w:hAnsi="Times New Roman" w:cs="Times New Roman"/>
          <w:iCs/>
          <w:noProof/>
          <w:sz w:val="24"/>
          <w:szCs w:val="24"/>
        </w:rPr>
        <w:t>is</w:t>
      </w:r>
      <w:r w:rsidRPr="00D16622">
        <w:rPr>
          <w:rFonts w:ascii="Times New Roman" w:hAnsi="Times New Roman" w:cs="Times New Roman"/>
          <w:iCs/>
          <w:noProof/>
          <w:sz w:val="24"/>
          <w:szCs w:val="24"/>
        </w:rPr>
        <w:t xml:space="preserve"> essential to ensuring accountability and maintaining public confidence in the rule of law. </w:t>
      </w:r>
      <w:r w:rsidR="0095031F" w:rsidRPr="00D16622">
        <w:rPr>
          <w:rFonts w:ascii="Times New Roman" w:hAnsi="Times New Roman" w:cs="Times New Roman"/>
          <w:iCs/>
          <w:noProof/>
          <w:sz w:val="24"/>
          <w:szCs w:val="24"/>
        </w:rPr>
        <w:t>According to the Special Eurobarometer on citizens’ attitudes towards corruption, around two thirds of Europeans (69%) believe that high-level corruption cases are not pursued sufficiently. The effective investigation and prosecution of corruption can be hindered by legal shortcomings, such as unclear or burdensome procedures to lift immunities or short time limitation periods.</w:t>
      </w:r>
      <w:r w:rsidR="0095031F" w:rsidRPr="00D16622">
        <w:rPr>
          <w:rFonts w:ascii="Times New Roman" w:eastAsia="Times New Roman" w:hAnsi="Times New Roman" w:cs="Times New Roman"/>
          <w:noProof/>
          <w:sz w:val="24"/>
          <w:szCs w:val="24"/>
          <w:lang w:val="en-IE"/>
        </w:rPr>
        <w:t xml:space="preserve"> </w:t>
      </w:r>
      <w:r w:rsidR="0095031F" w:rsidRPr="00D16622">
        <w:rPr>
          <w:rFonts w:ascii="Times New Roman" w:hAnsi="Times New Roman" w:cs="Times New Roman"/>
          <w:iCs/>
          <w:noProof/>
          <w:sz w:val="24"/>
          <w:szCs w:val="24"/>
          <w:lang w:val="en-IE"/>
        </w:rPr>
        <w:t xml:space="preserve">These obstacles </w:t>
      </w:r>
      <w:r w:rsidR="0007713B" w:rsidRPr="00D16622">
        <w:rPr>
          <w:rFonts w:ascii="Times New Roman" w:hAnsi="Times New Roman" w:cs="Times New Roman"/>
          <w:iCs/>
          <w:noProof/>
          <w:sz w:val="24"/>
          <w:szCs w:val="24"/>
          <w:lang w:val="en-IE"/>
        </w:rPr>
        <w:t>are</w:t>
      </w:r>
      <w:r w:rsidR="0095031F" w:rsidRPr="00D16622">
        <w:rPr>
          <w:rFonts w:ascii="Times New Roman" w:hAnsi="Times New Roman" w:cs="Times New Roman"/>
          <w:iCs/>
          <w:noProof/>
          <w:sz w:val="24"/>
          <w:szCs w:val="24"/>
          <w:lang w:val="en-IE"/>
        </w:rPr>
        <w:t xml:space="preserve"> particularly </w:t>
      </w:r>
      <w:r w:rsidR="0007713B" w:rsidRPr="00D16622">
        <w:rPr>
          <w:rFonts w:ascii="Times New Roman" w:hAnsi="Times New Roman" w:cs="Times New Roman"/>
          <w:iCs/>
          <w:noProof/>
          <w:sz w:val="24"/>
          <w:szCs w:val="24"/>
          <w:lang w:val="en-IE"/>
        </w:rPr>
        <w:t xml:space="preserve">problematic </w:t>
      </w:r>
      <w:r w:rsidR="0095031F" w:rsidRPr="00D16622">
        <w:rPr>
          <w:rFonts w:ascii="Times New Roman" w:hAnsi="Times New Roman" w:cs="Times New Roman"/>
          <w:iCs/>
          <w:noProof/>
          <w:sz w:val="24"/>
          <w:szCs w:val="24"/>
          <w:lang w:val="en-IE"/>
        </w:rPr>
        <w:t>for complex corruption cases</w:t>
      </w:r>
      <w:r w:rsidR="0007713B" w:rsidRPr="00D16622">
        <w:rPr>
          <w:rFonts w:ascii="Times New Roman" w:hAnsi="Times New Roman" w:cs="Times New Roman"/>
          <w:iCs/>
          <w:noProof/>
          <w:sz w:val="24"/>
          <w:szCs w:val="24"/>
          <w:lang w:val="en-IE"/>
        </w:rPr>
        <w:t>, where they may lead to delays and undermine effective enforcement</w:t>
      </w:r>
      <w:r w:rsidR="0095031F" w:rsidRPr="00D16622">
        <w:rPr>
          <w:rFonts w:ascii="Times New Roman" w:hAnsi="Times New Roman" w:cs="Times New Roman"/>
          <w:iCs/>
          <w:noProof/>
          <w:sz w:val="24"/>
          <w:szCs w:val="24"/>
        </w:rPr>
        <w:t xml:space="preserve">. </w:t>
      </w:r>
    </w:p>
    <w:p w14:paraId="2A0F79B4" w14:textId="23A874B1" w:rsidR="0095031F" w:rsidRPr="00D16622" w:rsidRDefault="00C41231" w:rsidP="0095031F">
      <w:pPr>
        <w:spacing w:after="120" w:line="240" w:lineRule="auto"/>
        <w:jc w:val="both"/>
        <w:rPr>
          <w:rFonts w:ascii="Times New Roman" w:hAnsi="Times New Roman" w:cs="Times New Roman"/>
          <w:noProof/>
          <w:sz w:val="24"/>
          <w:szCs w:val="24"/>
        </w:rPr>
      </w:pPr>
      <w:r w:rsidRPr="00D16622">
        <w:rPr>
          <w:rFonts w:ascii="Times New Roman" w:hAnsi="Times New Roman" w:cs="Times New Roman"/>
          <w:iCs/>
          <w:noProof/>
          <w:sz w:val="24"/>
          <w:szCs w:val="24"/>
        </w:rPr>
        <w:t>S</w:t>
      </w:r>
      <w:r w:rsidR="00885C2B" w:rsidRPr="00D16622">
        <w:rPr>
          <w:rFonts w:ascii="Times New Roman" w:hAnsi="Times New Roman" w:cs="Times New Roman"/>
          <w:iCs/>
          <w:noProof/>
          <w:sz w:val="24"/>
          <w:szCs w:val="24"/>
        </w:rPr>
        <w:t>everal</w:t>
      </w:r>
      <w:r w:rsidR="0095031F" w:rsidRPr="00D16622" w:rsidDel="007679C9">
        <w:rPr>
          <w:rFonts w:ascii="Times New Roman" w:hAnsi="Times New Roman" w:cs="Times New Roman"/>
          <w:iCs/>
          <w:noProof/>
          <w:sz w:val="24"/>
          <w:szCs w:val="24"/>
        </w:rPr>
        <w:t xml:space="preserve"> Member States</w:t>
      </w:r>
      <w:r w:rsidRPr="00D16622">
        <w:rPr>
          <w:rFonts w:ascii="Times New Roman" w:hAnsi="Times New Roman" w:cs="Times New Roman"/>
          <w:iCs/>
          <w:noProof/>
          <w:sz w:val="24"/>
          <w:szCs w:val="24"/>
        </w:rPr>
        <w:t xml:space="preserve"> have strengthened</w:t>
      </w:r>
      <w:r w:rsidR="007112B5" w:rsidRPr="00D16622">
        <w:rPr>
          <w:rFonts w:ascii="Times New Roman" w:hAnsi="Times New Roman" w:cs="Times New Roman"/>
          <w:iCs/>
          <w:noProof/>
          <w:sz w:val="24"/>
          <w:szCs w:val="24"/>
        </w:rPr>
        <w:t xml:space="preserve"> efforts to ensure a more effective investigation and prosecution of corruption offences</w:t>
      </w:r>
      <w:r w:rsidR="00B40F83" w:rsidRPr="00D16622">
        <w:rPr>
          <w:rFonts w:ascii="Times New Roman" w:hAnsi="Times New Roman" w:cs="Times New Roman"/>
          <w:iCs/>
          <w:noProof/>
          <w:sz w:val="24"/>
          <w:szCs w:val="24"/>
        </w:rPr>
        <w:t>, including by allocating additional resources</w:t>
      </w:r>
      <w:r w:rsidR="0095031F" w:rsidRPr="00D16622" w:rsidDel="007679C9">
        <w:rPr>
          <w:rFonts w:ascii="Times New Roman" w:hAnsi="Times New Roman" w:cs="Times New Roman"/>
          <w:iCs/>
          <w:noProof/>
          <w:sz w:val="24"/>
          <w:szCs w:val="24"/>
        </w:rPr>
        <w:t xml:space="preserve">. </w:t>
      </w:r>
      <w:r w:rsidR="0095031F" w:rsidRPr="00D16622">
        <w:rPr>
          <w:rFonts w:ascii="Times New Roman" w:hAnsi="Times New Roman" w:cs="Times New Roman"/>
          <w:noProof/>
          <w:sz w:val="24"/>
          <w:szCs w:val="24"/>
        </w:rPr>
        <w:t xml:space="preserve">In </w:t>
      </w:r>
      <w:hyperlink r:id="rId153" w:history="1">
        <w:r w:rsidR="0095031F" w:rsidRPr="00D16622">
          <w:rPr>
            <w:rStyle w:val="Hyperlink"/>
            <w:rFonts w:cs="Times New Roman"/>
            <w:bCs/>
            <w:noProof/>
            <w:szCs w:val="24"/>
          </w:rPr>
          <w:t>France</w:t>
        </w:r>
      </w:hyperlink>
      <w:r w:rsidR="0095031F" w:rsidRPr="00D16622">
        <w:rPr>
          <w:rFonts w:ascii="Times New Roman" w:hAnsi="Times New Roman" w:cs="Times New Roman"/>
          <w:noProof/>
          <w:sz w:val="24"/>
          <w:szCs w:val="24"/>
        </w:rPr>
        <w:t>,</w:t>
      </w:r>
      <w:r w:rsidR="0095031F" w:rsidRPr="00D16622" w:rsidDel="007679C9">
        <w:rPr>
          <w:rFonts w:ascii="Times New Roman" w:hAnsi="Times New Roman" w:cs="Times New Roman"/>
          <w:iCs/>
          <w:noProof/>
          <w:sz w:val="24"/>
          <w:szCs w:val="24"/>
        </w:rPr>
        <w:t xml:space="preserve"> efforts to prosecute corruption </w:t>
      </w:r>
      <w:r w:rsidR="008B3523" w:rsidRPr="00D16622">
        <w:rPr>
          <w:rFonts w:ascii="Times New Roman" w:hAnsi="Times New Roman" w:cs="Times New Roman"/>
          <w:iCs/>
          <w:noProof/>
          <w:sz w:val="24"/>
          <w:szCs w:val="24"/>
        </w:rPr>
        <w:t>are being reinforced</w:t>
      </w:r>
      <w:r w:rsidR="0095031F" w:rsidRPr="00D16622" w:rsidDel="007679C9">
        <w:rPr>
          <w:rFonts w:ascii="Times New Roman" w:hAnsi="Times New Roman" w:cs="Times New Roman"/>
          <w:iCs/>
          <w:noProof/>
          <w:sz w:val="24"/>
          <w:szCs w:val="24"/>
        </w:rPr>
        <w:t>, including</w:t>
      </w:r>
      <w:r w:rsidR="00CE2FFC" w:rsidRPr="00D16622">
        <w:rPr>
          <w:rFonts w:ascii="Times New Roman" w:hAnsi="Times New Roman" w:cs="Times New Roman"/>
          <w:iCs/>
          <w:noProof/>
          <w:sz w:val="24"/>
          <w:szCs w:val="24"/>
        </w:rPr>
        <w:t xml:space="preserve"> in</w:t>
      </w:r>
      <w:r w:rsidR="0095031F" w:rsidRPr="00D16622" w:rsidDel="007679C9">
        <w:rPr>
          <w:rFonts w:ascii="Times New Roman" w:hAnsi="Times New Roman" w:cs="Times New Roman"/>
          <w:iCs/>
          <w:noProof/>
          <w:sz w:val="24"/>
          <w:szCs w:val="24"/>
        </w:rPr>
        <w:t xml:space="preserve"> high-level cases, with additional human resources allocated to investigation authorities, and new legislative tools in place. </w:t>
      </w:r>
      <w:r w:rsidR="0095031F" w:rsidRPr="00D16622">
        <w:rPr>
          <w:rFonts w:ascii="Times New Roman" w:hAnsi="Times New Roman" w:cs="Times New Roman"/>
          <w:iCs/>
          <w:noProof/>
          <w:sz w:val="24"/>
          <w:szCs w:val="24"/>
        </w:rPr>
        <w:t xml:space="preserve">Human resources in </w:t>
      </w:r>
      <w:r w:rsidR="00CA78BD" w:rsidRPr="00D16622">
        <w:rPr>
          <w:rFonts w:ascii="Times New Roman" w:hAnsi="Times New Roman" w:cs="Times New Roman"/>
          <w:iCs/>
          <w:noProof/>
          <w:sz w:val="24"/>
          <w:szCs w:val="24"/>
        </w:rPr>
        <w:t xml:space="preserve">services </w:t>
      </w:r>
      <w:r w:rsidR="004D533D" w:rsidRPr="00D16622">
        <w:rPr>
          <w:rFonts w:ascii="Times New Roman" w:hAnsi="Times New Roman" w:cs="Times New Roman"/>
          <w:iCs/>
          <w:noProof/>
          <w:sz w:val="24"/>
          <w:szCs w:val="24"/>
        </w:rPr>
        <w:t>working on anti-corruption</w:t>
      </w:r>
      <w:r w:rsidR="0095031F" w:rsidRPr="00D16622">
        <w:rPr>
          <w:rFonts w:ascii="Times New Roman" w:hAnsi="Times New Roman" w:cs="Times New Roman"/>
          <w:iCs/>
          <w:noProof/>
          <w:sz w:val="24"/>
          <w:szCs w:val="24"/>
        </w:rPr>
        <w:t xml:space="preserve"> significantly increased in </w:t>
      </w:r>
      <w:hyperlink r:id="rId154" w:history="1">
        <w:r w:rsidR="00362750" w:rsidRPr="00D16622">
          <w:rPr>
            <w:rStyle w:val="Hyperlink"/>
            <w:rFonts w:cs="Times New Roman"/>
            <w:noProof/>
            <w:szCs w:val="24"/>
            <w:lang w:eastAsia="en-IE"/>
          </w:rPr>
          <w:t>Luxembourg</w:t>
        </w:r>
      </w:hyperlink>
      <w:r w:rsidR="0095031F" w:rsidRPr="00D16622">
        <w:rPr>
          <w:rFonts w:ascii="Times New Roman" w:hAnsi="Times New Roman" w:cs="Times New Roman"/>
          <w:iCs/>
          <w:noProof/>
          <w:sz w:val="24"/>
          <w:szCs w:val="24"/>
        </w:rPr>
        <w:t>.</w:t>
      </w:r>
      <w:r w:rsidR="00D95C30" w:rsidRPr="00D16622">
        <w:rPr>
          <w:rFonts w:ascii="Times New Roman" w:hAnsi="Times New Roman" w:cs="Times New Roman"/>
          <w:iCs/>
          <w:noProof/>
          <w:sz w:val="24"/>
          <w:szCs w:val="24"/>
        </w:rPr>
        <w:t xml:space="preserve"> In</w:t>
      </w:r>
      <w:r w:rsidR="0095031F" w:rsidRPr="00D16622">
        <w:rPr>
          <w:rFonts w:ascii="Times New Roman" w:hAnsi="Times New Roman" w:cs="Times New Roman"/>
          <w:iCs/>
          <w:noProof/>
          <w:sz w:val="24"/>
          <w:szCs w:val="24"/>
        </w:rPr>
        <w:t xml:space="preserve"> </w:t>
      </w:r>
      <w:hyperlink r:id="rId155" w:history="1">
        <w:r w:rsidR="006A4A3C" w:rsidRPr="00D16622">
          <w:rPr>
            <w:rStyle w:val="Hyperlink"/>
            <w:rFonts w:cs="Times New Roman"/>
            <w:noProof/>
            <w:szCs w:val="24"/>
            <w:lang w:eastAsia="en-IE"/>
          </w:rPr>
          <w:t>Croatia</w:t>
        </w:r>
      </w:hyperlink>
      <w:r w:rsidR="00D95C30" w:rsidRPr="00D16622">
        <w:rPr>
          <w:rFonts w:ascii="Times New Roman" w:hAnsi="Times New Roman" w:cs="Times New Roman"/>
          <w:bCs/>
          <w:noProof/>
          <w:sz w:val="24"/>
          <w:szCs w:val="24"/>
        </w:rPr>
        <w:t>, several laws were revised, including the Law on the Office for the Suppression of Corruption and Organised Crime, and institutional changes were introduced to achieve greater efficiency in corruption investigations and prosecutions</w:t>
      </w:r>
      <w:r w:rsidR="0095031F" w:rsidRPr="00D16622">
        <w:rPr>
          <w:rFonts w:ascii="Times New Roman" w:hAnsi="Times New Roman" w:cs="Times New Roman"/>
          <w:noProof/>
          <w:sz w:val="24"/>
          <w:szCs w:val="24"/>
        </w:rPr>
        <w:t>.</w:t>
      </w:r>
      <w:r w:rsidR="00B94C9C" w:rsidRPr="00D16622">
        <w:rPr>
          <w:rFonts w:ascii="Times New Roman" w:hAnsi="Times New Roman" w:cs="Times New Roman"/>
          <w:iCs/>
          <w:noProof/>
          <w:sz w:val="24"/>
          <w:szCs w:val="24"/>
        </w:rPr>
        <w:t xml:space="preserve"> </w:t>
      </w:r>
    </w:p>
    <w:p w14:paraId="2EBCAF48" w14:textId="34C8CFFF" w:rsidR="0095031F" w:rsidRPr="00D16622" w:rsidRDefault="00DC72D4" w:rsidP="0095031F">
      <w:pPr>
        <w:spacing w:after="120" w:line="240" w:lineRule="auto"/>
        <w:jc w:val="both"/>
        <w:rPr>
          <w:rFonts w:ascii="Times New Roman" w:hAnsi="Times New Roman" w:cs="Times New Roman"/>
          <w:iCs/>
          <w:noProof/>
          <w:sz w:val="24"/>
          <w:szCs w:val="24"/>
        </w:rPr>
      </w:pPr>
      <w:r w:rsidRPr="00D16622">
        <w:rPr>
          <w:rFonts w:ascii="Times New Roman" w:hAnsi="Times New Roman" w:cs="Times New Roman"/>
          <w:noProof/>
          <w:sz w:val="24"/>
          <w:szCs w:val="24"/>
        </w:rPr>
        <w:t>In other Member States,</w:t>
      </w:r>
      <w:r w:rsidR="009D38F9" w:rsidRPr="00D16622">
        <w:rPr>
          <w:rFonts w:ascii="Times New Roman" w:hAnsi="Times New Roman" w:cs="Times New Roman"/>
          <w:noProof/>
          <w:sz w:val="24"/>
          <w:szCs w:val="24"/>
        </w:rPr>
        <w:t xml:space="preserve"> </w:t>
      </w:r>
      <w:r w:rsidR="0072029C" w:rsidRPr="00D16622">
        <w:rPr>
          <w:rFonts w:ascii="Times New Roman" w:hAnsi="Times New Roman" w:cs="Times New Roman"/>
          <w:noProof/>
          <w:sz w:val="24"/>
          <w:szCs w:val="24"/>
        </w:rPr>
        <w:t xml:space="preserve">there are some obstacles to the effective </w:t>
      </w:r>
      <w:r w:rsidR="00B94C9C" w:rsidRPr="00D16622">
        <w:rPr>
          <w:rFonts w:ascii="Times New Roman" w:hAnsi="Times New Roman" w:cs="Times New Roman"/>
          <w:noProof/>
          <w:sz w:val="24"/>
          <w:szCs w:val="24"/>
        </w:rPr>
        <w:t>investigations and prosecution of corruption</w:t>
      </w:r>
      <w:r w:rsidR="00EF70E1" w:rsidRPr="00D16622">
        <w:rPr>
          <w:rFonts w:ascii="Times New Roman" w:hAnsi="Times New Roman" w:cs="Times New Roman"/>
          <w:noProof/>
          <w:sz w:val="24"/>
          <w:szCs w:val="24"/>
        </w:rPr>
        <w:t>, in particular as regards high-level cases</w:t>
      </w:r>
      <w:r w:rsidR="00B94C9C" w:rsidRPr="00D16622">
        <w:rPr>
          <w:rFonts w:ascii="Times New Roman" w:hAnsi="Times New Roman" w:cs="Times New Roman"/>
          <w:noProof/>
          <w:sz w:val="24"/>
          <w:szCs w:val="24"/>
        </w:rPr>
        <w:t>.</w:t>
      </w:r>
      <w:r w:rsidRPr="00D16622">
        <w:rPr>
          <w:rFonts w:ascii="Times New Roman" w:hAnsi="Times New Roman" w:cs="Times New Roman"/>
          <w:noProof/>
          <w:sz w:val="24"/>
          <w:szCs w:val="24"/>
        </w:rPr>
        <w:t xml:space="preserve"> </w:t>
      </w:r>
      <w:r w:rsidR="0095031F" w:rsidRPr="00D16622">
        <w:rPr>
          <w:rFonts w:ascii="Times New Roman" w:hAnsi="Times New Roman" w:cs="Times New Roman"/>
          <w:noProof/>
          <w:sz w:val="24"/>
          <w:szCs w:val="24"/>
        </w:rPr>
        <w:t xml:space="preserve">In </w:t>
      </w:r>
      <w:hyperlink r:id="rId156" w:history="1">
        <w:r w:rsidR="00775307" w:rsidRPr="00D16622">
          <w:rPr>
            <w:rStyle w:val="Hyperlink"/>
            <w:rFonts w:cs="Times New Roman"/>
            <w:noProof/>
            <w:szCs w:val="24"/>
          </w:rPr>
          <w:t>Malta</w:t>
        </w:r>
      </w:hyperlink>
      <w:r w:rsidR="0095031F" w:rsidRPr="00D16622">
        <w:rPr>
          <w:rFonts w:ascii="Times New Roman" w:hAnsi="Times New Roman" w:cs="Times New Roman"/>
          <w:b/>
          <w:bCs/>
          <w:noProof/>
          <w:sz w:val="24"/>
          <w:szCs w:val="24"/>
        </w:rPr>
        <w:t>,</w:t>
      </w:r>
      <w:r w:rsidR="0095031F" w:rsidRPr="00D16622">
        <w:rPr>
          <w:rFonts w:ascii="Times New Roman" w:hAnsi="Times New Roman" w:cs="Times New Roman"/>
          <w:b/>
          <w:bCs/>
          <w:iCs/>
          <w:noProof/>
          <w:sz w:val="24"/>
          <w:szCs w:val="24"/>
        </w:rPr>
        <w:t xml:space="preserve"> </w:t>
      </w:r>
      <w:r w:rsidR="0095031F" w:rsidRPr="00D16622">
        <w:rPr>
          <w:rFonts w:ascii="Times New Roman" w:hAnsi="Times New Roman" w:cs="Times New Roman"/>
          <w:iCs/>
          <w:noProof/>
          <w:sz w:val="24"/>
          <w:szCs w:val="24"/>
        </w:rPr>
        <w:t>new investigations and prosecutions were opened</w:t>
      </w:r>
      <w:r w:rsidR="009621AF" w:rsidRPr="00D16622">
        <w:rPr>
          <w:rFonts w:ascii="Times New Roman" w:hAnsi="Times New Roman" w:cs="Times New Roman"/>
          <w:iCs/>
          <w:noProof/>
          <w:sz w:val="24"/>
          <w:szCs w:val="24"/>
        </w:rPr>
        <w:t xml:space="preserve"> and efforts continue to increase investigative capacity</w:t>
      </w:r>
      <w:r w:rsidR="0095031F" w:rsidRPr="00D16622">
        <w:rPr>
          <w:rFonts w:ascii="Times New Roman" w:hAnsi="Times New Roman" w:cs="Times New Roman"/>
          <w:iCs/>
          <w:noProof/>
          <w:sz w:val="24"/>
          <w:szCs w:val="24"/>
        </w:rPr>
        <w:t xml:space="preserve">, </w:t>
      </w:r>
      <w:r w:rsidR="000025A5" w:rsidRPr="00D16622">
        <w:rPr>
          <w:rFonts w:ascii="Times New Roman" w:hAnsi="Times New Roman" w:cs="Times New Roman"/>
          <w:iCs/>
          <w:noProof/>
          <w:sz w:val="24"/>
          <w:szCs w:val="24"/>
        </w:rPr>
        <w:t xml:space="preserve">while </w:t>
      </w:r>
      <w:r w:rsidR="006F56D8" w:rsidRPr="00D16622">
        <w:rPr>
          <w:rFonts w:ascii="Times New Roman" w:hAnsi="Times New Roman" w:cs="Times New Roman"/>
          <w:iCs/>
          <w:noProof/>
          <w:sz w:val="24"/>
          <w:szCs w:val="24"/>
        </w:rPr>
        <w:t xml:space="preserve">a robust track record </w:t>
      </w:r>
      <w:r w:rsidR="0095031F" w:rsidRPr="00D16622">
        <w:rPr>
          <w:rFonts w:ascii="Times New Roman" w:hAnsi="Times New Roman" w:cs="Times New Roman"/>
          <w:iCs/>
          <w:noProof/>
          <w:sz w:val="24"/>
          <w:szCs w:val="24"/>
        </w:rPr>
        <w:t xml:space="preserve">of final judgements in corruption cases remains </w:t>
      </w:r>
      <w:r w:rsidR="003E4956" w:rsidRPr="00D16622">
        <w:rPr>
          <w:rFonts w:ascii="Times New Roman" w:hAnsi="Times New Roman" w:cs="Times New Roman"/>
          <w:iCs/>
          <w:noProof/>
          <w:sz w:val="24"/>
          <w:szCs w:val="24"/>
        </w:rPr>
        <w:t>to be achieved</w:t>
      </w:r>
      <w:r w:rsidR="0095031F" w:rsidRPr="00D16622">
        <w:rPr>
          <w:rFonts w:ascii="Times New Roman" w:hAnsi="Times New Roman" w:cs="Times New Roman"/>
          <w:iCs/>
          <w:noProof/>
          <w:sz w:val="24"/>
          <w:szCs w:val="24"/>
        </w:rPr>
        <w:t xml:space="preserve">. </w:t>
      </w:r>
      <w:r w:rsidR="0095031F" w:rsidRPr="00D16622">
        <w:rPr>
          <w:rFonts w:ascii="Times New Roman" w:hAnsi="Times New Roman" w:cs="Times New Roman"/>
          <w:noProof/>
          <w:sz w:val="24"/>
          <w:szCs w:val="24"/>
        </w:rPr>
        <w:t xml:space="preserve">In </w:t>
      </w:r>
      <w:hyperlink r:id="rId157" w:history="1">
        <w:r w:rsidR="006E659B" w:rsidRPr="00D16622">
          <w:rPr>
            <w:rStyle w:val="Hyperlink"/>
            <w:rFonts w:cs="Times New Roman"/>
            <w:noProof/>
            <w:szCs w:val="24"/>
          </w:rPr>
          <w:t>Romania</w:t>
        </w:r>
      </w:hyperlink>
      <w:r w:rsidR="0095031F" w:rsidRPr="00D16622">
        <w:rPr>
          <w:rFonts w:ascii="Times New Roman" w:hAnsi="Times New Roman" w:cs="Times New Roman"/>
          <w:noProof/>
          <w:sz w:val="24"/>
          <w:szCs w:val="24"/>
        </w:rPr>
        <w:t xml:space="preserve">, </w:t>
      </w:r>
      <w:r w:rsidR="0095031F" w:rsidRPr="00D16622">
        <w:rPr>
          <w:rFonts w:ascii="Times New Roman" w:hAnsi="Times New Roman" w:cs="Times New Roman"/>
          <w:iCs/>
          <w:noProof/>
          <w:sz w:val="24"/>
          <w:szCs w:val="24"/>
        </w:rPr>
        <w:t xml:space="preserve">the </w:t>
      </w:r>
      <w:r w:rsidR="00403076" w:rsidRPr="00D16622">
        <w:rPr>
          <w:rFonts w:ascii="Times New Roman" w:hAnsi="Times New Roman" w:cs="Times New Roman"/>
          <w:iCs/>
          <w:noProof/>
          <w:sz w:val="24"/>
          <w:szCs w:val="24"/>
        </w:rPr>
        <w:t>track record in prosecuting</w:t>
      </w:r>
      <w:r w:rsidR="008C78F3" w:rsidRPr="00D16622">
        <w:rPr>
          <w:rFonts w:ascii="Times New Roman" w:hAnsi="Times New Roman" w:cs="Times New Roman"/>
          <w:iCs/>
          <w:noProof/>
          <w:sz w:val="24"/>
          <w:szCs w:val="24"/>
        </w:rPr>
        <w:t xml:space="preserve"> both petty and high-level</w:t>
      </w:r>
      <w:r w:rsidR="00403076" w:rsidRPr="00D16622">
        <w:rPr>
          <w:rFonts w:ascii="Times New Roman" w:hAnsi="Times New Roman" w:cs="Times New Roman"/>
          <w:iCs/>
          <w:noProof/>
          <w:sz w:val="24"/>
          <w:szCs w:val="24"/>
        </w:rPr>
        <w:t xml:space="preserve"> corruption has been </w:t>
      </w:r>
      <w:r w:rsidR="0095031F" w:rsidRPr="00D16622">
        <w:rPr>
          <w:rFonts w:ascii="Times New Roman" w:hAnsi="Times New Roman" w:cs="Times New Roman"/>
          <w:iCs/>
          <w:noProof/>
          <w:sz w:val="24"/>
          <w:szCs w:val="24"/>
        </w:rPr>
        <w:t>maintaine</w:t>
      </w:r>
      <w:r w:rsidR="00132739" w:rsidRPr="00D16622">
        <w:rPr>
          <w:rFonts w:ascii="Times New Roman" w:hAnsi="Times New Roman" w:cs="Times New Roman"/>
          <w:iCs/>
          <w:noProof/>
          <w:sz w:val="24"/>
          <w:szCs w:val="24"/>
        </w:rPr>
        <w:t>d</w:t>
      </w:r>
      <w:r w:rsidR="0095031F" w:rsidRPr="00D16622">
        <w:rPr>
          <w:rFonts w:ascii="Times New Roman" w:hAnsi="Times New Roman" w:cs="Times New Roman"/>
          <w:iCs/>
          <w:noProof/>
          <w:sz w:val="24"/>
          <w:szCs w:val="24"/>
        </w:rPr>
        <w:t xml:space="preserve">, </w:t>
      </w:r>
      <w:r w:rsidR="00101DC6" w:rsidRPr="00D16622">
        <w:rPr>
          <w:rFonts w:ascii="Times New Roman" w:hAnsi="Times New Roman" w:cs="Times New Roman"/>
          <w:iCs/>
          <w:noProof/>
          <w:sz w:val="24"/>
          <w:szCs w:val="24"/>
        </w:rPr>
        <w:t xml:space="preserve">while </w:t>
      </w:r>
      <w:r w:rsidR="0071006C" w:rsidRPr="00D16622">
        <w:rPr>
          <w:rFonts w:ascii="Times New Roman" w:hAnsi="Times New Roman" w:cs="Times New Roman"/>
          <w:iCs/>
          <w:noProof/>
          <w:sz w:val="24"/>
          <w:szCs w:val="24"/>
        </w:rPr>
        <w:t>lower courts have continued to close corruption cases and annul convictions, including in high level ones, following rulings by the High Court of Cassation and Justice on the statute of limitations.</w:t>
      </w:r>
      <w:r w:rsidR="0095031F" w:rsidRPr="00D16622" w:rsidDel="007679C9">
        <w:rPr>
          <w:rFonts w:ascii="Times New Roman" w:hAnsi="Times New Roman" w:cs="Times New Roman"/>
          <w:iCs/>
          <w:noProof/>
          <w:sz w:val="24"/>
          <w:szCs w:val="24"/>
        </w:rPr>
        <w:t xml:space="preserve"> </w:t>
      </w:r>
      <w:hyperlink r:id="rId158" w:history="1">
        <w:r w:rsidR="0095031F" w:rsidRPr="00D16622">
          <w:rPr>
            <w:rStyle w:val="Hyperlink"/>
            <w:rFonts w:cs="Times New Roman"/>
            <w:bCs/>
            <w:noProof/>
            <w:szCs w:val="24"/>
          </w:rPr>
          <w:t>Bulgaria</w:t>
        </w:r>
      </w:hyperlink>
      <w:r w:rsidR="0095031F" w:rsidRPr="00D16622">
        <w:rPr>
          <w:rFonts w:ascii="Times New Roman" w:hAnsi="Times New Roman" w:cs="Times New Roman"/>
          <w:iCs/>
          <w:noProof/>
          <w:sz w:val="24"/>
          <w:szCs w:val="24"/>
        </w:rPr>
        <w:t xml:space="preserve"> and </w:t>
      </w:r>
      <w:hyperlink r:id="rId159" w:history="1">
        <w:r w:rsidR="0042684E" w:rsidRPr="00D16622">
          <w:rPr>
            <w:rStyle w:val="Hyperlink"/>
            <w:rFonts w:cs="Times New Roman"/>
            <w:noProof/>
            <w:szCs w:val="24"/>
          </w:rPr>
          <w:t>Hungary</w:t>
        </w:r>
      </w:hyperlink>
      <w:r w:rsidR="0042684E" w:rsidRPr="00D16622">
        <w:rPr>
          <w:rFonts w:ascii="Times New Roman" w:hAnsi="Times New Roman" w:cs="Times New Roman"/>
          <w:noProof/>
          <w:sz w:val="24"/>
          <w:szCs w:val="24"/>
        </w:rPr>
        <w:t xml:space="preserve"> </w:t>
      </w:r>
      <w:r w:rsidR="0095031F" w:rsidRPr="00D16622">
        <w:rPr>
          <w:rFonts w:ascii="Times New Roman" w:hAnsi="Times New Roman" w:cs="Times New Roman"/>
          <w:iCs/>
          <w:noProof/>
          <w:sz w:val="24"/>
          <w:szCs w:val="24"/>
        </w:rPr>
        <w:t xml:space="preserve">are yet to demonstrate a solid track record of investigations, prosecutions and final convictions in high-level corruption. </w:t>
      </w:r>
      <w:r w:rsidR="0095031F" w:rsidRPr="00D16622">
        <w:rPr>
          <w:rFonts w:ascii="Times New Roman" w:hAnsi="Times New Roman" w:cs="Times New Roman"/>
          <w:noProof/>
          <w:sz w:val="24"/>
          <w:szCs w:val="24"/>
        </w:rPr>
        <w:t xml:space="preserve">In </w:t>
      </w:r>
      <w:hyperlink r:id="rId160" w:history="1">
        <w:r w:rsidR="00421F48" w:rsidRPr="00D16622">
          <w:rPr>
            <w:rStyle w:val="Hyperlink"/>
            <w:rFonts w:cs="Times New Roman"/>
            <w:noProof/>
            <w:szCs w:val="24"/>
          </w:rPr>
          <w:t>Slovakia</w:t>
        </w:r>
      </w:hyperlink>
      <w:r w:rsidR="0095031F" w:rsidRPr="00D16622">
        <w:rPr>
          <w:rFonts w:ascii="Times New Roman" w:hAnsi="Times New Roman" w:cs="Times New Roman"/>
          <w:noProof/>
          <w:sz w:val="24"/>
          <w:szCs w:val="24"/>
        </w:rPr>
        <w:t>, the capacity to detect, investigate and prosecute high-level corruption has further deteriorated, with the numbers of corruption cases detected and prosecuted showing a sharp decline.</w:t>
      </w:r>
    </w:p>
    <w:p w14:paraId="05C6E26A" w14:textId="1FA453E6" w:rsidR="00AA2FF8" w:rsidRPr="00D16622" w:rsidRDefault="7668D876" w:rsidP="758710DA">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In</w:t>
      </w:r>
      <w:r w:rsidR="00002097" w:rsidRPr="00D16622">
        <w:rPr>
          <w:rFonts w:ascii="Times New Roman" w:hAnsi="Times New Roman" w:cs="Times New Roman"/>
          <w:noProof/>
          <w:sz w:val="24"/>
          <w:szCs w:val="24"/>
        </w:rPr>
        <w:t xml:space="preserve"> </w:t>
      </w:r>
      <w:hyperlink r:id="rId161" w:history="1">
        <w:r w:rsidR="00757A27" w:rsidRPr="00D16622">
          <w:rPr>
            <w:rStyle w:val="Hyperlink"/>
            <w:rFonts w:cs="Times New Roman"/>
            <w:noProof/>
            <w:szCs w:val="24"/>
          </w:rPr>
          <w:t>Albania</w:t>
        </w:r>
      </w:hyperlink>
      <w:r w:rsidR="00D52DBB" w:rsidRPr="00D16622">
        <w:rPr>
          <w:rFonts w:ascii="Times New Roman" w:hAnsi="Times New Roman" w:cs="Times New Roman"/>
          <w:noProof/>
          <w:sz w:val="24"/>
          <w:szCs w:val="24"/>
        </w:rPr>
        <w:t>,</w:t>
      </w:r>
      <w:r w:rsidR="00002097" w:rsidRPr="00D16622">
        <w:rPr>
          <w:rFonts w:ascii="Times New Roman" w:hAnsi="Times New Roman" w:cs="Times New Roman"/>
          <w:noProof/>
          <w:sz w:val="24"/>
          <w:szCs w:val="24"/>
        </w:rPr>
        <w:t xml:space="preserve"> </w:t>
      </w:r>
      <w:r w:rsidR="007547DF" w:rsidRPr="00D16622">
        <w:rPr>
          <w:rFonts w:ascii="Times New Roman" w:hAnsi="Times New Roman" w:cs="Times New Roman"/>
          <w:noProof/>
          <w:sz w:val="24"/>
          <w:szCs w:val="24"/>
        </w:rPr>
        <w:t>the Special Anti-Corruption Structure (SPAK) has continued to deliver positive results in fighting high-level corruption and building a solid track record of investigations, prosecutions and convictions.</w:t>
      </w:r>
      <w:r w:rsidR="00832A12" w:rsidRPr="00D16622">
        <w:rPr>
          <w:rFonts w:ascii="Times New Roman" w:hAnsi="Times New Roman" w:cs="Times New Roman"/>
          <w:noProof/>
          <w:sz w:val="24"/>
          <w:szCs w:val="24"/>
        </w:rPr>
        <w:t xml:space="preserve"> </w:t>
      </w:r>
      <w:r w:rsidR="00F63368" w:rsidRPr="00D16622">
        <w:rPr>
          <w:rFonts w:ascii="Times New Roman" w:hAnsi="Times New Roman" w:cs="Times New Roman"/>
          <w:noProof/>
          <w:sz w:val="24"/>
          <w:szCs w:val="24"/>
        </w:rPr>
        <w:t xml:space="preserve">In </w:t>
      </w:r>
      <w:hyperlink r:id="rId162" w:history="1">
        <w:r w:rsidR="00A1658E" w:rsidRPr="00D16622">
          <w:rPr>
            <w:rStyle w:val="Hyperlink"/>
            <w:rFonts w:cs="Times New Roman"/>
            <w:noProof/>
            <w:szCs w:val="24"/>
          </w:rPr>
          <w:t>North Macedonia</w:t>
        </w:r>
      </w:hyperlink>
      <w:r w:rsidR="00F63368" w:rsidRPr="00D16622">
        <w:rPr>
          <w:rFonts w:ascii="Times New Roman" w:hAnsi="Times New Roman" w:cs="Times New Roman"/>
          <w:noProof/>
          <w:sz w:val="24"/>
          <w:szCs w:val="24"/>
        </w:rPr>
        <w:t>, despite recent efforts to investigate and prosecute corruption, delays in court proceedings</w:t>
      </w:r>
      <w:r w:rsidR="003077F3" w:rsidRPr="00D16622">
        <w:rPr>
          <w:rFonts w:ascii="Times New Roman" w:hAnsi="Times New Roman" w:cs="Times New Roman"/>
          <w:noProof/>
          <w:sz w:val="24"/>
          <w:szCs w:val="24"/>
        </w:rPr>
        <w:t>, infrequent final convictions,</w:t>
      </w:r>
      <w:r w:rsidR="00F63368" w:rsidRPr="00D16622">
        <w:rPr>
          <w:rFonts w:ascii="Times New Roman" w:hAnsi="Times New Roman" w:cs="Times New Roman"/>
          <w:noProof/>
          <w:sz w:val="24"/>
          <w:szCs w:val="24"/>
        </w:rPr>
        <w:t xml:space="preserve"> and limited resources continue to impede the development of a strong track-record of high-level corruption cases.</w:t>
      </w:r>
      <w:r w:rsidR="008D0AAD" w:rsidRPr="00D16622">
        <w:rPr>
          <w:rFonts w:ascii="Times New Roman" w:hAnsi="Times New Roman" w:cs="Times New Roman"/>
          <w:noProof/>
        </w:rPr>
        <w:t xml:space="preserve"> </w:t>
      </w:r>
      <w:r w:rsidR="008D0AAD" w:rsidRPr="00D16622">
        <w:rPr>
          <w:rFonts w:ascii="Times New Roman" w:hAnsi="Times New Roman" w:cs="Times New Roman"/>
          <w:noProof/>
          <w:sz w:val="24"/>
          <w:szCs w:val="24"/>
        </w:rPr>
        <w:t xml:space="preserve">In </w:t>
      </w:r>
      <w:hyperlink r:id="rId163" w:history="1">
        <w:r w:rsidR="006541E2" w:rsidRPr="00D16622">
          <w:rPr>
            <w:rStyle w:val="Hyperlink"/>
            <w:rFonts w:cs="Times New Roman"/>
            <w:noProof/>
            <w:szCs w:val="24"/>
          </w:rPr>
          <w:t>Montenegro</w:t>
        </w:r>
      </w:hyperlink>
      <w:r w:rsidR="008D0AAD" w:rsidRPr="00D16622">
        <w:rPr>
          <w:rFonts w:ascii="Times New Roman" w:hAnsi="Times New Roman" w:cs="Times New Roman"/>
          <w:noProof/>
          <w:sz w:val="24"/>
          <w:szCs w:val="24"/>
        </w:rPr>
        <w:t xml:space="preserve">, the </w:t>
      </w:r>
      <w:r w:rsidR="00CA1E5C" w:rsidRPr="00D16622">
        <w:rPr>
          <w:rFonts w:ascii="Times New Roman" w:hAnsi="Times New Roman" w:cs="Times New Roman"/>
          <w:noProof/>
          <w:sz w:val="24"/>
          <w:szCs w:val="24"/>
          <w:lang w:val="en-US"/>
        </w:rPr>
        <w:t xml:space="preserve">number of final rulings and convictions </w:t>
      </w:r>
      <w:r w:rsidR="008D0AAD" w:rsidRPr="00D16622">
        <w:rPr>
          <w:rFonts w:ascii="Times New Roman" w:hAnsi="Times New Roman" w:cs="Times New Roman"/>
          <w:noProof/>
          <w:sz w:val="24"/>
          <w:szCs w:val="24"/>
        </w:rPr>
        <w:t xml:space="preserve">in cases of high-level corruption </w:t>
      </w:r>
      <w:r w:rsidR="001F47FF" w:rsidRPr="00D16622">
        <w:rPr>
          <w:rFonts w:ascii="Times New Roman" w:hAnsi="Times New Roman" w:cs="Times New Roman"/>
          <w:noProof/>
          <w:sz w:val="24"/>
          <w:szCs w:val="24"/>
        </w:rPr>
        <w:t>has increased</w:t>
      </w:r>
      <w:r w:rsidR="008D0AAD" w:rsidRPr="00D16622">
        <w:rPr>
          <w:rFonts w:ascii="Times New Roman" w:hAnsi="Times New Roman" w:cs="Times New Roman"/>
          <w:noProof/>
          <w:sz w:val="24"/>
          <w:szCs w:val="24"/>
        </w:rPr>
        <w:t>.</w:t>
      </w:r>
      <w:r w:rsidR="002B73D6" w:rsidRPr="00D16622">
        <w:rPr>
          <w:rFonts w:ascii="Times New Roman" w:hAnsi="Times New Roman" w:cs="Times New Roman"/>
          <w:noProof/>
          <w:sz w:val="24"/>
          <w:szCs w:val="24"/>
        </w:rPr>
        <w:t xml:space="preserve"> </w:t>
      </w:r>
      <w:r w:rsidR="003D74F0" w:rsidRPr="00D16622">
        <w:rPr>
          <w:rFonts w:ascii="Times New Roman" w:hAnsi="Times New Roman" w:cs="Times New Roman"/>
          <w:noProof/>
          <w:sz w:val="24"/>
          <w:szCs w:val="24"/>
        </w:rPr>
        <w:t xml:space="preserve">In </w:t>
      </w:r>
      <w:hyperlink r:id="rId164" w:history="1">
        <w:r w:rsidR="00B14DAD" w:rsidRPr="00D16622">
          <w:rPr>
            <w:rStyle w:val="Hyperlink"/>
            <w:rFonts w:cs="Times New Roman"/>
            <w:noProof/>
            <w:szCs w:val="24"/>
          </w:rPr>
          <w:t>Serbia</w:t>
        </w:r>
      </w:hyperlink>
      <w:r w:rsidR="003D74F0" w:rsidRPr="00D16622">
        <w:rPr>
          <w:rFonts w:ascii="Times New Roman" w:hAnsi="Times New Roman" w:cs="Times New Roman"/>
          <w:noProof/>
          <w:sz w:val="24"/>
          <w:szCs w:val="24"/>
        </w:rPr>
        <w:t>, challenges remain in establishing a robust track record of investigations, indictments and final convictions in high-level corruption.</w:t>
      </w:r>
    </w:p>
    <w:p w14:paraId="6C844A8C" w14:textId="2BEB1CBE" w:rsidR="006F43AF" w:rsidRPr="00D16622" w:rsidRDefault="00AA2FF8" w:rsidP="006F43AF">
      <w:pPr>
        <w:spacing w:after="120" w:line="240" w:lineRule="auto"/>
        <w:jc w:val="both"/>
        <w:rPr>
          <w:rFonts w:ascii="Times New Roman" w:hAnsi="Times New Roman" w:cs="Times New Roman"/>
          <w:i/>
          <w:noProof/>
          <w:sz w:val="24"/>
          <w:szCs w:val="24"/>
        </w:rPr>
      </w:pPr>
      <w:r w:rsidRPr="00D16622">
        <w:rPr>
          <w:rFonts w:ascii="Times New Roman" w:hAnsi="Times New Roman" w:cs="Times New Roman"/>
          <w:i/>
          <w:noProof/>
          <w:sz w:val="24"/>
          <w:szCs w:val="24"/>
        </w:rPr>
        <w:t>Fighting corruption as an enabler of organised crime</w:t>
      </w:r>
      <w:r w:rsidR="006F43AF" w:rsidRPr="00D16622">
        <w:rPr>
          <w:rFonts w:ascii="Times New Roman" w:hAnsi="Times New Roman" w:cs="Times New Roman"/>
          <w:i/>
          <w:noProof/>
          <w:sz w:val="24"/>
          <w:szCs w:val="24"/>
        </w:rPr>
        <w:t xml:space="preserve"> </w:t>
      </w:r>
    </w:p>
    <w:p w14:paraId="3F4EEF52" w14:textId="7E336E46" w:rsidR="00E54DAA" w:rsidRPr="00D16622" w:rsidRDefault="00E54DAA" w:rsidP="00D3308D">
      <w:pPr>
        <w:spacing w:after="120" w:line="240" w:lineRule="auto"/>
        <w:jc w:val="both"/>
        <w:rPr>
          <w:rFonts w:ascii="Times New Roman" w:hAnsi="Times New Roman" w:cs="Times New Roman"/>
          <w:iCs/>
          <w:noProof/>
          <w:sz w:val="24"/>
          <w:szCs w:val="24"/>
        </w:rPr>
      </w:pPr>
      <w:r w:rsidRPr="00D16622">
        <w:rPr>
          <w:rFonts w:ascii="Times New Roman" w:hAnsi="Times New Roman" w:cs="Times New Roman"/>
          <w:iCs/>
          <w:noProof/>
          <w:sz w:val="24"/>
          <w:szCs w:val="24"/>
        </w:rPr>
        <w:t xml:space="preserve">Organised criminals exploit corruption to further their goals, undermining both public and private </w:t>
      </w:r>
      <w:r w:rsidR="00D0124E" w:rsidRPr="00D16622">
        <w:rPr>
          <w:rFonts w:ascii="Times New Roman" w:hAnsi="Times New Roman" w:cs="Times New Roman"/>
          <w:iCs/>
          <w:noProof/>
          <w:sz w:val="24"/>
          <w:szCs w:val="24"/>
        </w:rPr>
        <w:t>institutions</w:t>
      </w:r>
      <w:r w:rsidRPr="00D16622">
        <w:rPr>
          <w:rFonts w:ascii="Times New Roman" w:hAnsi="Times New Roman" w:cs="Times New Roman"/>
          <w:iCs/>
          <w:noProof/>
          <w:sz w:val="24"/>
          <w:szCs w:val="24"/>
        </w:rPr>
        <w:t>. Countering the risks of organised crime infiltrating or exerting improper influence over the public sector remains a key priority for multiple Member States.</w:t>
      </w:r>
      <w:r w:rsidR="00DE3B92" w:rsidRPr="00D16622">
        <w:rPr>
          <w:rFonts w:ascii="Times New Roman" w:hAnsi="Times New Roman" w:cs="Times New Roman"/>
          <w:iCs/>
          <w:noProof/>
          <w:sz w:val="24"/>
          <w:szCs w:val="24"/>
        </w:rPr>
        <w:t xml:space="preserve"> </w:t>
      </w:r>
      <w:r w:rsidR="00333F2B" w:rsidRPr="00D16622">
        <w:rPr>
          <w:rFonts w:ascii="Times New Roman" w:hAnsi="Times New Roman" w:cs="Times New Roman"/>
          <w:iCs/>
          <w:noProof/>
          <w:sz w:val="24"/>
          <w:szCs w:val="24"/>
        </w:rPr>
        <w:t xml:space="preserve">In </w:t>
      </w:r>
      <w:hyperlink r:id="rId165" w:history="1">
        <w:r w:rsidR="008A099D" w:rsidRPr="00D16622">
          <w:rPr>
            <w:rStyle w:val="Hyperlink"/>
            <w:rFonts w:cs="Times New Roman"/>
            <w:noProof/>
            <w:szCs w:val="24"/>
            <w:lang w:eastAsia="en-IE"/>
          </w:rPr>
          <w:t>Sweden</w:t>
        </w:r>
      </w:hyperlink>
      <w:r w:rsidR="00333F2B" w:rsidRPr="00D16622">
        <w:rPr>
          <w:rFonts w:ascii="Times New Roman" w:hAnsi="Times New Roman" w:cs="Times New Roman"/>
          <w:iCs/>
          <w:noProof/>
          <w:sz w:val="24"/>
          <w:szCs w:val="24"/>
        </w:rPr>
        <w:t xml:space="preserve">, </w:t>
      </w:r>
      <w:r w:rsidR="00E2370E" w:rsidRPr="00D16622">
        <w:rPr>
          <w:rFonts w:ascii="Times New Roman" w:hAnsi="Times New Roman" w:cs="Times New Roman"/>
          <w:iCs/>
          <w:noProof/>
          <w:sz w:val="24"/>
          <w:szCs w:val="24"/>
        </w:rPr>
        <w:t xml:space="preserve">the growing threat of </w:t>
      </w:r>
      <w:r w:rsidR="000E7B1C" w:rsidRPr="00D16622">
        <w:rPr>
          <w:rFonts w:ascii="Times New Roman" w:hAnsi="Times New Roman" w:cs="Times New Roman"/>
          <w:iCs/>
          <w:noProof/>
          <w:sz w:val="24"/>
          <w:szCs w:val="24"/>
        </w:rPr>
        <w:t xml:space="preserve">organised crime </w:t>
      </w:r>
      <w:r w:rsidR="00333F2B" w:rsidRPr="00D16622">
        <w:rPr>
          <w:rFonts w:ascii="Times New Roman" w:hAnsi="Times New Roman" w:cs="Times New Roman"/>
          <w:iCs/>
          <w:noProof/>
          <w:sz w:val="24"/>
          <w:szCs w:val="24"/>
        </w:rPr>
        <w:t>infiltrati</w:t>
      </w:r>
      <w:r w:rsidR="000E7B1C" w:rsidRPr="00D16622">
        <w:rPr>
          <w:rFonts w:ascii="Times New Roman" w:hAnsi="Times New Roman" w:cs="Times New Roman"/>
          <w:iCs/>
          <w:noProof/>
          <w:sz w:val="24"/>
          <w:szCs w:val="24"/>
        </w:rPr>
        <w:t>ng</w:t>
      </w:r>
      <w:r w:rsidR="00333F2B" w:rsidRPr="00D16622">
        <w:rPr>
          <w:rFonts w:ascii="Times New Roman" w:hAnsi="Times New Roman" w:cs="Times New Roman"/>
          <w:iCs/>
          <w:noProof/>
          <w:sz w:val="24"/>
          <w:szCs w:val="24"/>
        </w:rPr>
        <w:t xml:space="preserve"> public services through corrupt practices has led to the adoption of a number of measures</w:t>
      </w:r>
      <w:r w:rsidR="000F6293" w:rsidRPr="00D16622">
        <w:rPr>
          <w:rFonts w:ascii="Times New Roman" w:hAnsi="Times New Roman" w:cs="Times New Roman"/>
          <w:iCs/>
          <w:noProof/>
          <w:sz w:val="24"/>
          <w:szCs w:val="24"/>
        </w:rPr>
        <w:t xml:space="preserve">, including </w:t>
      </w:r>
      <w:r w:rsidR="00877735" w:rsidRPr="00D16622">
        <w:rPr>
          <w:rFonts w:ascii="Times New Roman" w:hAnsi="Times New Roman" w:cs="Times New Roman"/>
          <w:iCs/>
          <w:noProof/>
          <w:sz w:val="24"/>
          <w:szCs w:val="24"/>
        </w:rPr>
        <w:t>new obligations for municipalities and regions to protect politicians from threats and violence</w:t>
      </w:r>
      <w:r w:rsidR="00333F2B" w:rsidRPr="00D16622">
        <w:rPr>
          <w:rFonts w:ascii="Times New Roman" w:hAnsi="Times New Roman" w:cs="Times New Roman"/>
          <w:iCs/>
          <w:noProof/>
          <w:sz w:val="24"/>
          <w:szCs w:val="24"/>
        </w:rPr>
        <w:t>.</w:t>
      </w:r>
      <w:r w:rsidR="0098187A" w:rsidRPr="00D16622">
        <w:rPr>
          <w:rFonts w:ascii="Times New Roman" w:hAnsi="Times New Roman" w:cs="Times New Roman"/>
          <w:iCs/>
          <w:noProof/>
          <w:sz w:val="24"/>
          <w:szCs w:val="24"/>
        </w:rPr>
        <w:t xml:space="preserve"> </w:t>
      </w:r>
      <w:r w:rsidR="0051618A" w:rsidRPr="00D16622">
        <w:rPr>
          <w:rFonts w:ascii="Times New Roman" w:hAnsi="Times New Roman" w:cs="Times New Roman"/>
          <w:iCs/>
          <w:noProof/>
          <w:sz w:val="24"/>
          <w:szCs w:val="24"/>
        </w:rPr>
        <w:t xml:space="preserve">In the </w:t>
      </w:r>
      <w:hyperlink r:id="rId166" w:history="1">
        <w:r w:rsidR="002C61F5" w:rsidRPr="00D16622">
          <w:rPr>
            <w:rStyle w:val="Hyperlink"/>
            <w:rFonts w:eastAsia="Times New Roman" w:cs="Times New Roman"/>
            <w:noProof/>
            <w:szCs w:val="24"/>
          </w:rPr>
          <w:t>Netherlands</w:t>
        </w:r>
      </w:hyperlink>
      <w:r w:rsidR="0051618A" w:rsidRPr="00D16622">
        <w:rPr>
          <w:rFonts w:ascii="Times New Roman" w:hAnsi="Times New Roman" w:cs="Times New Roman"/>
          <w:iCs/>
          <w:noProof/>
          <w:sz w:val="24"/>
          <w:szCs w:val="24"/>
        </w:rPr>
        <w:t>, the fight against corruption linked to organised crime remains an important priority</w:t>
      </w:r>
      <w:r w:rsidR="00675B0F" w:rsidRPr="00D16622">
        <w:rPr>
          <w:rFonts w:ascii="Times New Roman" w:hAnsi="Times New Roman" w:cs="Times New Roman"/>
          <w:iCs/>
          <w:noProof/>
          <w:sz w:val="24"/>
          <w:szCs w:val="24"/>
        </w:rPr>
        <w:t>, with a national risk assessment on corruption risks linked to subversive organised crime published in March 2026</w:t>
      </w:r>
      <w:r w:rsidR="00D3308D" w:rsidRPr="00D16622">
        <w:rPr>
          <w:rFonts w:ascii="Times New Roman" w:hAnsi="Times New Roman" w:cs="Times New Roman"/>
          <w:iCs/>
          <w:noProof/>
          <w:sz w:val="24"/>
          <w:szCs w:val="24"/>
        </w:rPr>
        <w:t>.</w:t>
      </w:r>
      <w:r w:rsidR="00742623" w:rsidRPr="00D16622">
        <w:rPr>
          <w:rFonts w:ascii="Times New Roman" w:hAnsi="Times New Roman" w:cs="Times New Roman"/>
          <w:iCs/>
          <w:noProof/>
          <w:sz w:val="24"/>
          <w:szCs w:val="24"/>
        </w:rPr>
        <w:t xml:space="preserve"> In </w:t>
      </w:r>
      <w:hyperlink r:id="rId167" w:history="1">
        <w:r w:rsidR="00742623" w:rsidRPr="00D16622">
          <w:rPr>
            <w:rStyle w:val="Hyperlink"/>
            <w:rFonts w:cs="Times New Roman"/>
            <w:iCs/>
            <w:noProof/>
            <w:szCs w:val="24"/>
          </w:rPr>
          <w:t>France</w:t>
        </w:r>
      </w:hyperlink>
      <w:r w:rsidR="00742623" w:rsidRPr="00D16622">
        <w:rPr>
          <w:rFonts w:ascii="Times New Roman" w:hAnsi="Times New Roman" w:cs="Times New Roman"/>
          <w:iCs/>
          <w:noProof/>
          <w:sz w:val="24"/>
          <w:szCs w:val="24"/>
        </w:rPr>
        <w:t xml:space="preserve">, </w:t>
      </w:r>
      <w:r w:rsidR="00E30F15" w:rsidRPr="00D16622">
        <w:rPr>
          <w:rFonts w:ascii="Times New Roman" w:hAnsi="Times New Roman" w:cs="Times New Roman"/>
          <w:iCs/>
          <w:noProof/>
          <w:sz w:val="24"/>
          <w:szCs w:val="24"/>
        </w:rPr>
        <w:t>a l</w:t>
      </w:r>
      <w:r w:rsidR="00742623" w:rsidRPr="00D16622">
        <w:rPr>
          <w:rFonts w:ascii="Times New Roman" w:hAnsi="Times New Roman" w:cs="Times New Roman"/>
          <w:iCs/>
          <w:noProof/>
          <w:sz w:val="24"/>
          <w:szCs w:val="24"/>
        </w:rPr>
        <w:t xml:space="preserve">aw that introduced several measures aimed at reinforcing the fight against corruption when linked to organised crime </w:t>
      </w:r>
      <w:r w:rsidR="00331ECE" w:rsidRPr="00D16622">
        <w:rPr>
          <w:rFonts w:ascii="Times New Roman" w:hAnsi="Times New Roman" w:cs="Times New Roman"/>
          <w:iCs/>
          <w:noProof/>
          <w:sz w:val="24"/>
          <w:szCs w:val="24"/>
        </w:rPr>
        <w:t>is being implemented</w:t>
      </w:r>
      <w:r w:rsidR="001A6B72" w:rsidRPr="00D16622">
        <w:rPr>
          <w:rFonts w:ascii="Times New Roman" w:hAnsi="Times New Roman" w:cs="Times New Roman"/>
          <w:iCs/>
          <w:noProof/>
          <w:sz w:val="24"/>
          <w:szCs w:val="24"/>
        </w:rPr>
        <w:t>.</w:t>
      </w:r>
    </w:p>
    <w:p w14:paraId="729CED93" w14:textId="77777777" w:rsidR="00F73D30" w:rsidRPr="00D16622" w:rsidRDefault="006F43AF" w:rsidP="006F43AF">
      <w:pPr>
        <w:spacing w:after="120" w:line="240" w:lineRule="auto"/>
        <w:jc w:val="both"/>
        <w:rPr>
          <w:rFonts w:ascii="Times New Roman" w:hAnsi="Times New Roman" w:cs="Times New Roman"/>
          <w:i/>
          <w:noProof/>
          <w:sz w:val="24"/>
          <w:szCs w:val="24"/>
        </w:rPr>
      </w:pPr>
      <w:r w:rsidRPr="00D16622">
        <w:rPr>
          <w:rFonts w:ascii="Times New Roman" w:hAnsi="Times New Roman" w:cs="Times New Roman"/>
          <w:i/>
          <w:noProof/>
          <w:sz w:val="24"/>
          <w:szCs w:val="24"/>
        </w:rPr>
        <w:t xml:space="preserve">Strengthening the corruption prevention and integrity framework </w:t>
      </w:r>
    </w:p>
    <w:p w14:paraId="5E52F5F6" w14:textId="114C3F74" w:rsidR="00E97548" w:rsidRPr="00D16622" w:rsidRDefault="00E7017E" w:rsidP="00836A27">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Preventing corruption starts with strong institutions that operate with integrity, transparency and accountability</w:t>
      </w:r>
      <w:r w:rsidR="00F10A16" w:rsidRPr="00D16622">
        <w:rPr>
          <w:rFonts w:ascii="Times New Roman" w:hAnsi="Times New Roman" w:cs="Times New Roman"/>
          <w:noProof/>
          <w:sz w:val="24"/>
          <w:szCs w:val="24"/>
        </w:rPr>
        <w:t>.</w:t>
      </w:r>
      <w:r w:rsidR="003731AD" w:rsidRPr="00D16622">
        <w:rPr>
          <w:rFonts w:ascii="Times New Roman" w:hAnsi="Times New Roman" w:cs="Times New Roman"/>
          <w:noProof/>
          <w:sz w:val="24"/>
          <w:szCs w:val="24"/>
        </w:rPr>
        <w:t xml:space="preserve"> </w:t>
      </w:r>
      <w:r w:rsidR="00A7088A" w:rsidRPr="00D16622">
        <w:rPr>
          <w:rFonts w:ascii="Times New Roman" w:hAnsi="Times New Roman" w:cs="Times New Roman"/>
          <w:noProof/>
          <w:sz w:val="24"/>
          <w:szCs w:val="24"/>
        </w:rPr>
        <w:t>In this context, enhancing transparency, ethics and integrity in public authorities is essential to combat corruption, alongside targeted measures on conflicts of interest, lobbying and revolving doors.</w:t>
      </w:r>
    </w:p>
    <w:p w14:paraId="5D2289E4" w14:textId="28CD6AE7" w:rsidR="006738FD" w:rsidRPr="00D16622" w:rsidRDefault="00A6573D" w:rsidP="00A6573D">
      <w:pPr>
        <w:pStyle w:val="ListParagraph"/>
        <w:numPr>
          <w:ilvl w:val="0"/>
          <w:numId w:val="45"/>
        </w:numPr>
        <w:spacing w:after="120" w:line="240" w:lineRule="auto"/>
        <w:jc w:val="both"/>
        <w:rPr>
          <w:rFonts w:ascii="Times New Roman" w:hAnsi="Times New Roman" w:cs="Times New Roman"/>
          <w:i/>
          <w:noProof/>
          <w:sz w:val="24"/>
          <w:szCs w:val="24"/>
        </w:rPr>
      </w:pPr>
      <w:r w:rsidRPr="00D16622">
        <w:rPr>
          <w:rFonts w:ascii="Times New Roman" w:hAnsi="Times New Roman" w:cs="Times New Roman"/>
          <w:i/>
          <w:noProof/>
          <w:sz w:val="24"/>
          <w:szCs w:val="24"/>
        </w:rPr>
        <w:t xml:space="preserve">Preventing </w:t>
      </w:r>
      <w:r w:rsidR="006F43AF" w:rsidRPr="00D16622">
        <w:rPr>
          <w:rFonts w:ascii="Times New Roman" w:hAnsi="Times New Roman" w:cs="Times New Roman"/>
          <w:i/>
          <w:noProof/>
          <w:sz w:val="24"/>
          <w:szCs w:val="24"/>
        </w:rPr>
        <w:t>conflicts of interest</w:t>
      </w:r>
    </w:p>
    <w:p w14:paraId="7F6E60D8" w14:textId="148B1EA5" w:rsidR="006738FD" w:rsidRPr="00D16622" w:rsidRDefault="006738FD" w:rsidP="006738FD">
      <w:pPr>
        <w:spacing w:after="120" w:line="240" w:lineRule="auto"/>
        <w:jc w:val="both"/>
        <w:rPr>
          <w:rFonts w:ascii="Times New Roman" w:eastAsia="Times New Roman" w:hAnsi="Times New Roman" w:cs="Times New Roman"/>
          <w:noProof/>
          <w:sz w:val="24"/>
          <w:szCs w:val="24"/>
        </w:rPr>
      </w:pPr>
      <w:r w:rsidRPr="00D16622">
        <w:rPr>
          <w:rFonts w:ascii="Times New Roman" w:hAnsi="Times New Roman" w:cs="Times New Roman"/>
          <w:iCs/>
          <w:noProof/>
          <w:sz w:val="24"/>
          <w:szCs w:val="24"/>
        </w:rPr>
        <w:t xml:space="preserve">Conflicts of interest arise when a public official has a private or professional interest that could interfere </w:t>
      </w:r>
      <w:r w:rsidRPr="00D16622">
        <w:rPr>
          <w:rFonts w:ascii="Times New Roman" w:hAnsi="Times New Roman" w:cs="Times New Roman"/>
          <w:noProof/>
          <w:sz w:val="24"/>
          <w:szCs w:val="24"/>
        </w:rPr>
        <w:t>with</w:t>
      </w:r>
      <w:r w:rsidRPr="00D16622">
        <w:rPr>
          <w:rFonts w:ascii="Times New Roman" w:hAnsi="Times New Roman" w:cs="Times New Roman"/>
          <w:iCs/>
          <w:noProof/>
          <w:sz w:val="24"/>
          <w:szCs w:val="24"/>
        </w:rPr>
        <w:t xml:space="preserve"> the impartial and objective performance of their duties. </w:t>
      </w:r>
      <w:r w:rsidRPr="00D16622">
        <w:rPr>
          <w:rFonts w:ascii="Times New Roman" w:hAnsi="Times New Roman" w:cs="Times New Roman"/>
          <w:iCs/>
          <w:noProof/>
          <w:sz w:val="24"/>
          <w:szCs w:val="24"/>
          <w:lang w:val="en-IE"/>
        </w:rPr>
        <w:t xml:space="preserve">To prevent such </w:t>
      </w:r>
      <w:r w:rsidR="00EA7B1A" w:rsidRPr="00D16622">
        <w:rPr>
          <w:rFonts w:ascii="Times New Roman" w:hAnsi="Times New Roman" w:cs="Times New Roman"/>
          <w:iCs/>
          <w:noProof/>
          <w:sz w:val="24"/>
          <w:szCs w:val="24"/>
          <w:lang w:val="en-IE"/>
        </w:rPr>
        <w:t>situations</w:t>
      </w:r>
      <w:r w:rsidRPr="00D16622">
        <w:rPr>
          <w:rFonts w:ascii="Times New Roman" w:hAnsi="Times New Roman" w:cs="Times New Roman"/>
          <w:iCs/>
          <w:noProof/>
          <w:sz w:val="24"/>
          <w:szCs w:val="24"/>
          <w:lang w:val="en-IE"/>
        </w:rPr>
        <w:t xml:space="preserve">, most Member States have measures in place covering a wide range of elected and appointed public officials. </w:t>
      </w:r>
      <w:r w:rsidRPr="00D16622">
        <w:rPr>
          <w:rFonts w:ascii="Times New Roman" w:hAnsi="Times New Roman" w:cs="Times New Roman"/>
          <w:iCs/>
          <w:noProof/>
          <w:sz w:val="24"/>
          <w:szCs w:val="24"/>
        </w:rPr>
        <w:t>In some Member States, the integrity framework has been complemented with codes of conduct</w:t>
      </w:r>
      <w:r w:rsidR="001C09D4" w:rsidRPr="00D16622">
        <w:rPr>
          <w:rStyle w:val="FootnoteReference"/>
          <w:rFonts w:cs="Times New Roman"/>
          <w:noProof/>
        </w:rPr>
        <w:footnoteReference w:id="65"/>
      </w:r>
      <w:r w:rsidRPr="00D16622">
        <w:rPr>
          <w:rFonts w:ascii="Times New Roman" w:hAnsi="Times New Roman" w:cs="Times New Roman"/>
          <w:iCs/>
          <w:noProof/>
          <w:sz w:val="24"/>
          <w:szCs w:val="24"/>
        </w:rPr>
        <w:t xml:space="preserve"> and measures to prevent conflicts of interests. In</w:t>
      </w:r>
      <w:r w:rsidRPr="00D16622">
        <w:rPr>
          <w:rFonts w:ascii="Times New Roman" w:hAnsi="Times New Roman" w:cs="Times New Roman"/>
          <w:noProof/>
          <w:sz w:val="24"/>
          <w:szCs w:val="24"/>
        </w:rPr>
        <w:t xml:space="preserve"> </w:t>
      </w:r>
      <w:hyperlink r:id="rId168" w:history="1">
        <w:r w:rsidR="006032A2" w:rsidRPr="00D16622">
          <w:rPr>
            <w:rStyle w:val="Hyperlink"/>
            <w:rFonts w:cs="Times New Roman"/>
            <w:noProof/>
            <w:szCs w:val="24"/>
          </w:rPr>
          <w:t>Cyprus</w:t>
        </w:r>
      </w:hyperlink>
      <w:r w:rsidRPr="00D16622">
        <w:rPr>
          <w:rFonts w:ascii="Times New Roman" w:hAnsi="Times New Roman" w:cs="Times New Roman"/>
          <w:iCs/>
          <w:noProof/>
          <w:sz w:val="24"/>
          <w:szCs w:val="24"/>
        </w:rPr>
        <w:t>, a</w:t>
      </w:r>
      <w:r w:rsidRPr="00D16622">
        <w:rPr>
          <w:rFonts w:ascii="Times New Roman" w:hAnsi="Times New Roman" w:cs="Times New Roman"/>
          <w:b/>
          <w:noProof/>
          <w:sz w:val="24"/>
          <w:szCs w:val="24"/>
        </w:rPr>
        <w:t xml:space="preserve"> </w:t>
      </w:r>
      <w:r w:rsidRPr="00D16622">
        <w:rPr>
          <w:rFonts w:ascii="Times New Roman" w:hAnsi="Times New Roman" w:cs="Times New Roman"/>
          <w:iCs/>
          <w:noProof/>
          <w:sz w:val="24"/>
          <w:szCs w:val="24"/>
        </w:rPr>
        <w:t>comprehensive strategy for the integrity of persons entrusted with top executive functions is be</w:t>
      </w:r>
      <w:r w:rsidR="00FA0572" w:rsidRPr="00D16622">
        <w:rPr>
          <w:rFonts w:ascii="Times New Roman" w:hAnsi="Times New Roman" w:cs="Times New Roman"/>
          <w:iCs/>
          <w:noProof/>
          <w:sz w:val="24"/>
          <w:szCs w:val="24"/>
        </w:rPr>
        <w:t>ing</w:t>
      </w:r>
      <w:r w:rsidRPr="00D16622">
        <w:rPr>
          <w:rFonts w:ascii="Times New Roman" w:hAnsi="Times New Roman" w:cs="Times New Roman"/>
          <w:iCs/>
          <w:noProof/>
          <w:sz w:val="24"/>
          <w:szCs w:val="24"/>
        </w:rPr>
        <w:t xml:space="preserve"> prepared.</w:t>
      </w:r>
      <w:r w:rsidRPr="00D16622">
        <w:rPr>
          <w:rFonts w:ascii="Times New Roman" w:hAnsi="Times New Roman" w:cs="Times New Roman"/>
          <w:iCs/>
          <w:noProof/>
          <w:sz w:val="24"/>
          <w:szCs w:val="24"/>
          <w:lang w:val="en-IE"/>
        </w:rPr>
        <w:t xml:space="preserve"> </w:t>
      </w:r>
      <w:r w:rsidRPr="00D16622">
        <w:rPr>
          <w:rFonts w:ascii="Times New Roman" w:hAnsi="Times New Roman" w:cs="Times New Roman"/>
          <w:noProof/>
          <w:sz w:val="24"/>
          <w:szCs w:val="24"/>
          <w:lang w:val="en-US"/>
        </w:rPr>
        <w:t>In</w:t>
      </w:r>
      <w:r w:rsidRPr="00D16622">
        <w:rPr>
          <w:rFonts w:ascii="Times New Roman" w:hAnsi="Times New Roman" w:cs="Times New Roman"/>
          <w:noProof/>
          <w:sz w:val="24"/>
          <w:szCs w:val="24"/>
        </w:rPr>
        <w:t xml:space="preserve"> </w:t>
      </w:r>
      <w:hyperlink r:id="rId169" w:history="1">
        <w:r w:rsidR="00421F48" w:rsidRPr="00D16622">
          <w:rPr>
            <w:rStyle w:val="Hyperlink"/>
            <w:rFonts w:cs="Times New Roman"/>
            <w:noProof/>
            <w:szCs w:val="24"/>
          </w:rPr>
          <w:t>Slovakia</w:t>
        </w:r>
      </w:hyperlink>
      <w:r w:rsidRPr="00D16622">
        <w:rPr>
          <w:rFonts w:ascii="Times New Roman" w:hAnsi="Times New Roman" w:cs="Times New Roman"/>
          <w:noProof/>
          <w:sz w:val="24"/>
          <w:szCs w:val="24"/>
          <w:lang w:val="en-US"/>
        </w:rPr>
        <w:t>,</w:t>
      </w:r>
      <w:r w:rsidRPr="00D16622">
        <w:rPr>
          <w:rFonts w:ascii="Times New Roman" w:hAnsi="Times New Roman" w:cs="Times New Roman"/>
          <w:b/>
          <w:bCs/>
          <w:iCs/>
          <w:noProof/>
          <w:sz w:val="24"/>
          <w:szCs w:val="24"/>
          <w:lang w:val="en-US"/>
        </w:rPr>
        <w:t xml:space="preserve"> </w:t>
      </w:r>
      <w:r w:rsidRPr="00D16622">
        <w:rPr>
          <w:rFonts w:ascii="Times New Roman" w:hAnsi="Times New Roman" w:cs="Times New Roman"/>
          <w:iCs/>
          <w:noProof/>
          <w:sz w:val="24"/>
          <w:szCs w:val="24"/>
          <w:lang w:val="en-US"/>
        </w:rPr>
        <w:t xml:space="preserve">a Code of Conduct for persons </w:t>
      </w:r>
      <w:r w:rsidR="00A95D4D" w:rsidRPr="00D16622">
        <w:rPr>
          <w:rFonts w:ascii="Times New Roman" w:hAnsi="Times New Roman" w:cs="Times New Roman"/>
          <w:iCs/>
          <w:noProof/>
          <w:sz w:val="24"/>
          <w:szCs w:val="24"/>
          <w:lang w:val="en-US"/>
        </w:rPr>
        <w:t xml:space="preserve">with top </w:t>
      </w:r>
      <w:r w:rsidRPr="00D16622">
        <w:rPr>
          <w:rFonts w:ascii="Times New Roman" w:hAnsi="Times New Roman" w:cs="Times New Roman"/>
          <w:iCs/>
          <w:noProof/>
          <w:sz w:val="24"/>
          <w:szCs w:val="24"/>
          <w:lang w:val="en-US"/>
        </w:rPr>
        <w:t xml:space="preserve">functions </w:t>
      </w:r>
      <w:r w:rsidR="00992599" w:rsidRPr="00D16622">
        <w:rPr>
          <w:rFonts w:ascii="Times New Roman" w:hAnsi="Times New Roman" w:cs="Times New Roman"/>
          <w:iCs/>
          <w:noProof/>
          <w:sz w:val="24"/>
          <w:szCs w:val="24"/>
          <w:lang w:val="en-US"/>
        </w:rPr>
        <w:t>was</w:t>
      </w:r>
      <w:r w:rsidRPr="00D16622">
        <w:rPr>
          <w:rFonts w:ascii="Times New Roman" w:hAnsi="Times New Roman" w:cs="Times New Roman"/>
          <w:iCs/>
          <w:noProof/>
          <w:sz w:val="24"/>
          <w:szCs w:val="24"/>
          <w:lang w:val="en-US"/>
        </w:rPr>
        <w:t xml:space="preserve"> </w:t>
      </w:r>
      <w:r w:rsidRPr="00D16622">
        <w:rPr>
          <w:rFonts w:ascii="Times New Roman" w:hAnsi="Times New Roman" w:cs="Times New Roman"/>
          <w:noProof/>
          <w:sz w:val="24"/>
          <w:szCs w:val="24"/>
          <w:lang w:val="en-US"/>
        </w:rPr>
        <w:t>adopted</w:t>
      </w:r>
      <w:r w:rsidRPr="00D16622">
        <w:rPr>
          <w:rFonts w:ascii="Times New Roman" w:hAnsi="Times New Roman" w:cs="Times New Roman"/>
          <w:iCs/>
          <w:noProof/>
          <w:sz w:val="24"/>
          <w:szCs w:val="24"/>
          <w:lang w:val="en-US"/>
        </w:rPr>
        <w:t xml:space="preserve"> in </w:t>
      </w:r>
      <w:r w:rsidRPr="00D16622">
        <w:rPr>
          <w:rFonts w:ascii="Times New Roman" w:hAnsi="Times New Roman" w:cs="Times New Roman"/>
          <w:noProof/>
          <w:sz w:val="24"/>
          <w:szCs w:val="24"/>
          <w:lang w:val="en-US"/>
        </w:rPr>
        <w:t xml:space="preserve">August </w:t>
      </w:r>
      <w:r w:rsidRPr="00D16622">
        <w:rPr>
          <w:rFonts w:ascii="Times New Roman" w:hAnsi="Times New Roman" w:cs="Times New Roman"/>
          <w:iCs/>
          <w:noProof/>
          <w:sz w:val="24"/>
          <w:szCs w:val="24"/>
          <w:lang w:val="en-US"/>
        </w:rPr>
        <w:t xml:space="preserve">2025. </w:t>
      </w:r>
      <w:r w:rsidRPr="00D16622">
        <w:rPr>
          <w:rFonts w:ascii="Times New Roman" w:hAnsi="Times New Roman" w:cs="Times New Roman"/>
          <w:iCs/>
          <w:noProof/>
          <w:sz w:val="24"/>
          <w:szCs w:val="24"/>
        </w:rPr>
        <w:t xml:space="preserve">In </w:t>
      </w:r>
      <w:hyperlink r:id="rId170" w:history="1">
        <w:r w:rsidRPr="00D16622">
          <w:rPr>
            <w:rStyle w:val="Hyperlink"/>
            <w:rFonts w:cs="Times New Roman"/>
            <w:bCs/>
            <w:noProof/>
            <w:szCs w:val="24"/>
          </w:rPr>
          <w:t>Spain</w:t>
        </w:r>
      </w:hyperlink>
      <w:r w:rsidRPr="00D16622">
        <w:rPr>
          <w:rFonts w:ascii="Times New Roman" w:hAnsi="Times New Roman" w:cs="Times New Roman"/>
          <w:iCs/>
          <w:noProof/>
          <w:sz w:val="24"/>
          <w:szCs w:val="24"/>
        </w:rPr>
        <w:t>, legislation has been prepared to reinforce the Council for Transparency and Good Governance and to establish a comprehensive regime for the prevention of conflicts of interest in the public sector.</w:t>
      </w:r>
      <w:r w:rsidRPr="00D16622">
        <w:rPr>
          <w:rFonts w:ascii="Times New Roman" w:hAnsi="Times New Roman" w:cs="Times New Roman"/>
          <w:noProof/>
          <w:sz w:val="24"/>
          <w:szCs w:val="24"/>
        </w:rPr>
        <w:t xml:space="preserve"> </w:t>
      </w:r>
      <w:r w:rsidR="00B71D51" w:rsidRPr="00D16622">
        <w:rPr>
          <w:rFonts w:ascii="Times New Roman" w:hAnsi="Times New Roman" w:cs="Times New Roman"/>
          <w:iCs/>
          <w:noProof/>
          <w:sz w:val="24"/>
          <w:szCs w:val="24"/>
        </w:rPr>
        <w:t>I</w:t>
      </w:r>
      <w:r w:rsidRPr="00D16622">
        <w:rPr>
          <w:rFonts w:ascii="Times New Roman" w:hAnsi="Times New Roman" w:cs="Times New Roman"/>
          <w:noProof/>
          <w:sz w:val="24"/>
          <w:szCs w:val="24"/>
        </w:rPr>
        <w:t xml:space="preserve">n </w:t>
      </w:r>
      <w:hyperlink r:id="rId171" w:history="1">
        <w:r w:rsidRPr="00D16622">
          <w:rPr>
            <w:rStyle w:val="Hyperlink"/>
            <w:rFonts w:cs="Times New Roman"/>
            <w:bCs/>
            <w:noProof/>
            <w:szCs w:val="24"/>
          </w:rPr>
          <w:t>Bulgaria</w:t>
        </w:r>
      </w:hyperlink>
      <w:r w:rsidRPr="00D16622">
        <w:rPr>
          <w:rFonts w:ascii="Times New Roman" w:hAnsi="Times New Roman" w:cs="Times New Roman"/>
          <w:noProof/>
          <w:sz w:val="24"/>
          <w:szCs w:val="24"/>
        </w:rPr>
        <w:t>,</w:t>
      </w:r>
      <w:r w:rsidRPr="00D16622">
        <w:rPr>
          <w:rFonts w:ascii="Times New Roman" w:hAnsi="Times New Roman" w:cs="Times New Roman"/>
          <w:iCs/>
          <w:noProof/>
          <w:sz w:val="24"/>
          <w:szCs w:val="24"/>
        </w:rPr>
        <w:t xml:space="preserve"> further measures have been taken to strengthen integrity in the police and the judiciary, including revised codes of ethics. </w:t>
      </w:r>
      <w:r w:rsidR="008C2F40" w:rsidRPr="00D16622">
        <w:rPr>
          <w:rFonts w:ascii="Times New Roman" w:hAnsi="Times New Roman" w:cs="Times New Roman"/>
          <w:iCs/>
          <w:noProof/>
          <w:sz w:val="24"/>
          <w:szCs w:val="24"/>
        </w:rPr>
        <w:t>As regards enlargement countries, i</w:t>
      </w:r>
      <w:r w:rsidRPr="00D16622">
        <w:rPr>
          <w:rFonts w:ascii="Times New Roman" w:eastAsia="Times New Roman" w:hAnsi="Times New Roman" w:cs="Times New Roman"/>
          <w:noProof/>
          <w:sz w:val="24"/>
          <w:szCs w:val="24"/>
          <w:lang w:val="en-IE"/>
        </w:rPr>
        <w:t xml:space="preserve">n </w:t>
      </w:r>
      <w:hyperlink r:id="rId172" w:history="1">
        <w:r w:rsidR="00757A27" w:rsidRPr="00D16622">
          <w:rPr>
            <w:rStyle w:val="Hyperlink"/>
            <w:rFonts w:cs="Times New Roman"/>
            <w:noProof/>
            <w:szCs w:val="24"/>
          </w:rPr>
          <w:t>Albania</w:t>
        </w:r>
      </w:hyperlink>
      <w:r w:rsidRPr="00D16622">
        <w:rPr>
          <w:rFonts w:ascii="Times New Roman" w:eastAsia="Times New Roman" w:hAnsi="Times New Roman" w:cs="Times New Roman"/>
          <w:noProof/>
          <w:sz w:val="24"/>
          <w:szCs w:val="24"/>
          <w:lang w:val="en-IE"/>
        </w:rPr>
        <w:t>, legislation on conflicts of interests</w:t>
      </w:r>
      <w:r w:rsidR="00C26683" w:rsidRPr="00D16622">
        <w:rPr>
          <w:rFonts w:ascii="Times New Roman" w:eastAsia="Times New Roman" w:hAnsi="Times New Roman" w:cs="Times New Roman"/>
          <w:noProof/>
          <w:sz w:val="24"/>
          <w:szCs w:val="24"/>
          <w:lang w:val="en-IE"/>
        </w:rPr>
        <w:t xml:space="preserve"> was</w:t>
      </w:r>
      <w:r w:rsidRPr="00D16622">
        <w:rPr>
          <w:rFonts w:ascii="Times New Roman" w:eastAsia="Times New Roman" w:hAnsi="Times New Roman" w:cs="Times New Roman"/>
          <w:noProof/>
          <w:sz w:val="24"/>
          <w:szCs w:val="24"/>
          <w:lang w:val="en-IE"/>
        </w:rPr>
        <w:t xml:space="preserve"> revised to align it with European </w:t>
      </w:r>
      <w:r w:rsidR="00D2161E" w:rsidRPr="00D16622">
        <w:rPr>
          <w:rFonts w:ascii="Times New Roman" w:eastAsia="Times New Roman" w:hAnsi="Times New Roman" w:cs="Times New Roman"/>
          <w:noProof/>
          <w:sz w:val="24"/>
          <w:szCs w:val="24"/>
          <w:lang w:val="en-IE"/>
        </w:rPr>
        <w:t>s</w:t>
      </w:r>
      <w:r w:rsidRPr="00D16622">
        <w:rPr>
          <w:rFonts w:ascii="Times New Roman" w:eastAsia="Times New Roman" w:hAnsi="Times New Roman" w:cs="Times New Roman"/>
          <w:noProof/>
          <w:sz w:val="24"/>
          <w:szCs w:val="24"/>
          <w:lang w:val="en-IE"/>
        </w:rPr>
        <w:t xml:space="preserve">tandards and EU </w:t>
      </w:r>
      <w:r w:rsidRPr="00D16622">
        <w:rPr>
          <w:rFonts w:ascii="Times New Roman" w:eastAsia="Times New Roman" w:hAnsi="Times New Roman" w:cs="Times New Roman"/>
          <w:i/>
          <w:noProof/>
          <w:sz w:val="24"/>
          <w:szCs w:val="24"/>
          <w:lang w:val="en-IE"/>
        </w:rPr>
        <w:t>acquis</w:t>
      </w:r>
      <w:r w:rsidRPr="00D16622">
        <w:rPr>
          <w:rFonts w:ascii="Times New Roman" w:eastAsia="Times New Roman" w:hAnsi="Times New Roman" w:cs="Times New Roman"/>
          <w:noProof/>
          <w:sz w:val="24"/>
          <w:szCs w:val="24"/>
          <w:lang w:val="en-IE"/>
        </w:rPr>
        <w:t>.</w:t>
      </w:r>
    </w:p>
    <w:p w14:paraId="0E3215D5" w14:textId="0FEDF3DB" w:rsidR="00F578AD" w:rsidRPr="00D16622" w:rsidRDefault="0023601F" w:rsidP="18046EA2">
      <w:pPr>
        <w:spacing w:after="120" w:line="240" w:lineRule="auto"/>
        <w:jc w:val="both"/>
        <w:rPr>
          <w:rFonts w:ascii="Times New Roman" w:hAnsi="Times New Roman" w:cs="Times New Roman"/>
          <w:i/>
          <w:iCs/>
          <w:noProof/>
          <w:sz w:val="24"/>
          <w:szCs w:val="24"/>
        </w:rPr>
      </w:pPr>
      <w:r w:rsidRPr="00D16622">
        <w:rPr>
          <w:rFonts w:ascii="Times New Roman" w:hAnsi="Times New Roman" w:cs="Times New Roman"/>
          <w:noProof/>
          <w:sz w:val="24"/>
          <w:szCs w:val="24"/>
        </w:rPr>
        <w:t>Meanwhile,</w:t>
      </w:r>
      <w:r w:rsidR="006738FD" w:rsidRPr="00D16622">
        <w:rPr>
          <w:rFonts w:ascii="Times New Roman" w:hAnsi="Times New Roman" w:cs="Times New Roman"/>
          <w:noProof/>
          <w:sz w:val="24"/>
          <w:szCs w:val="24"/>
        </w:rPr>
        <w:t xml:space="preserve"> shortcomings remain </w:t>
      </w:r>
      <w:r w:rsidRPr="00D16622">
        <w:rPr>
          <w:rFonts w:ascii="Times New Roman" w:hAnsi="Times New Roman" w:cs="Times New Roman"/>
          <w:noProof/>
          <w:sz w:val="24"/>
          <w:szCs w:val="24"/>
        </w:rPr>
        <w:t xml:space="preserve">in some Member States </w:t>
      </w:r>
      <w:r w:rsidR="006738FD" w:rsidRPr="00D16622">
        <w:rPr>
          <w:rFonts w:ascii="Times New Roman" w:hAnsi="Times New Roman" w:cs="Times New Roman"/>
          <w:noProof/>
          <w:sz w:val="24"/>
          <w:szCs w:val="24"/>
        </w:rPr>
        <w:t xml:space="preserve">as rules on conflicts of interest are incomplete or reforms have been stalled. </w:t>
      </w:r>
      <w:r w:rsidR="006738FD" w:rsidRPr="00D16622">
        <w:rPr>
          <w:rFonts w:ascii="Times New Roman" w:hAnsi="Times New Roman" w:cs="Times New Roman"/>
          <w:noProof/>
          <w:sz w:val="24"/>
          <w:szCs w:val="24"/>
          <w:lang w:val="en-IE"/>
        </w:rPr>
        <w:t>In</w:t>
      </w:r>
      <w:r w:rsidR="006738FD" w:rsidRPr="00D16622">
        <w:rPr>
          <w:rFonts w:ascii="Times New Roman" w:hAnsi="Times New Roman" w:cs="Times New Roman"/>
          <w:noProof/>
          <w:sz w:val="24"/>
          <w:szCs w:val="24"/>
        </w:rPr>
        <w:t xml:space="preserve"> </w:t>
      </w:r>
      <w:hyperlink r:id="rId173" w:history="1">
        <w:r w:rsidR="006738FD" w:rsidRPr="00D16622">
          <w:rPr>
            <w:rStyle w:val="Hyperlink"/>
            <w:rFonts w:cs="Times New Roman"/>
            <w:noProof/>
            <w:szCs w:val="24"/>
          </w:rPr>
          <w:t>Czechia</w:t>
        </w:r>
      </w:hyperlink>
      <w:r w:rsidR="006738FD" w:rsidRPr="00D16622">
        <w:rPr>
          <w:rFonts w:ascii="Times New Roman" w:hAnsi="Times New Roman" w:cs="Times New Roman"/>
          <w:noProof/>
          <w:sz w:val="24"/>
          <w:szCs w:val="24"/>
          <w:lang w:val="en-IE"/>
        </w:rPr>
        <w:t xml:space="preserve">, after the Constitutional Court declared </w:t>
      </w:r>
      <w:r w:rsidR="00BE1FA4" w:rsidRPr="00D16622">
        <w:rPr>
          <w:rFonts w:ascii="Times New Roman" w:hAnsi="Times New Roman" w:cs="Times New Roman"/>
          <w:noProof/>
          <w:sz w:val="24"/>
          <w:szCs w:val="24"/>
          <w:lang w:val="en-IE"/>
        </w:rPr>
        <w:t xml:space="preserve">amendments </w:t>
      </w:r>
      <w:r w:rsidR="00576177" w:rsidRPr="00D16622">
        <w:rPr>
          <w:rFonts w:ascii="Times New Roman" w:hAnsi="Times New Roman" w:cs="Times New Roman"/>
          <w:noProof/>
          <w:sz w:val="24"/>
          <w:szCs w:val="24"/>
          <w:lang w:val="en-IE"/>
        </w:rPr>
        <w:t xml:space="preserve">to the </w:t>
      </w:r>
      <w:r w:rsidR="006738FD" w:rsidRPr="00D16622">
        <w:rPr>
          <w:rFonts w:ascii="Times New Roman" w:hAnsi="Times New Roman" w:cs="Times New Roman"/>
          <w:noProof/>
          <w:sz w:val="24"/>
          <w:szCs w:val="24"/>
          <w:lang w:val="en-IE"/>
        </w:rPr>
        <w:t xml:space="preserve">legislation on conflicts of interests unconstitutional for procedural reasons, no steps were taken to reinitiate </w:t>
      </w:r>
      <w:r w:rsidR="4C862999" w:rsidRPr="00D16622">
        <w:rPr>
          <w:rFonts w:ascii="Times New Roman" w:hAnsi="Times New Roman" w:cs="Times New Roman"/>
          <w:noProof/>
          <w:sz w:val="24"/>
          <w:szCs w:val="24"/>
          <w:lang w:val="en-IE"/>
        </w:rPr>
        <w:t xml:space="preserve">the </w:t>
      </w:r>
      <w:r w:rsidR="006738FD" w:rsidRPr="00D16622">
        <w:rPr>
          <w:rFonts w:ascii="Times New Roman" w:hAnsi="Times New Roman" w:cs="Times New Roman"/>
          <w:noProof/>
          <w:sz w:val="24"/>
          <w:szCs w:val="24"/>
          <w:lang w:val="en-IE"/>
        </w:rPr>
        <w:t>revision of this legislation.</w:t>
      </w:r>
      <w:r w:rsidR="00B8627B" w:rsidRPr="00D16622">
        <w:rPr>
          <w:rFonts w:ascii="Times New Roman" w:hAnsi="Times New Roman" w:cs="Times New Roman"/>
          <w:noProof/>
          <w:sz w:val="24"/>
          <w:szCs w:val="24"/>
          <w:lang w:val="en-IE"/>
        </w:rPr>
        <w:t xml:space="preserve"> </w:t>
      </w:r>
      <w:r w:rsidR="006738FD" w:rsidRPr="00D16622">
        <w:rPr>
          <w:rFonts w:ascii="Times New Roman" w:hAnsi="Times New Roman" w:cs="Times New Roman"/>
          <w:noProof/>
          <w:sz w:val="24"/>
          <w:szCs w:val="24"/>
          <w:lang w:val="en-IE"/>
        </w:rPr>
        <w:t>In</w:t>
      </w:r>
      <w:r w:rsidR="006738FD" w:rsidRPr="00D16622">
        <w:rPr>
          <w:rFonts w:ascii="Times New Roman" w:hAnsi="Times New Roman" w:cs="Times New Roman"/>
          <w:noProof/>
          <w:sz w:val="24"/>
          <w:szCs w:val="24"/>
        </w:rPr>
        <w:t xml:space="preserve"> </w:t>
      </w:r>
      <w:hyperlink r:id="rId174" w:history="1">
        <w:r w:rsidR="00775307" w:rsidRPr="00D16622">
          <w:rPr>
            <w:rStyle w:val="Hyperlink"/>
            <w:rFonts w:cs="Times New Roman"/>
            <w:noProof/>
            <w:szCs w:val="24"/>
          </w:rPr>
          <w:t>Malta</w:t>
        </w:r>
      </w:hyperlink>
      <w:r w:rsidR="006738FD" w:rsidRPr="00D16622">
        <w:rPr>
          <w:rFonts w:ascii="Times New Roman" w:hAnsi="Times New Roman" w:cs="Times New Roman"/>
          <w:noProof/>
          <w:sz w:val="24"/>
          <w:szCs w:val="24"/>
          <w:lang w:val="en-IE"/>
        </w:rPr>
        <w:t xml:space="preserve">, measures are in place to prevent and manage conflicts of interest in the public administration, but </w:t>
      </w:r>
      <w:r w:rsidR="00BF0475" w:rsidRPr="00D16622">
        <w:rPr>
          <w:rFonts w:ascii="Times New Roman" w:hAnsi="Times New Roman" w:cs="Times New Roman"/>
          <w:noProof/>
          <w:sz w:val="24"/>
          <w:szCs w:val="24"/>
          <w:lang w:val="en-IE"/>
        </w:rPr>
        <w:t xml:space="preserve">stakeholders consider that </w:t>
      </w:r>
      <w:r w:rsidR="006738FD" w:rsidRPr="00D16622">
        <w:rPr>
          <w:rFonts w:ascii="Times New Roman" w:hAnsi="Times New Roman" w:cs="Times New Roman"/>
          <w:noProof/>
          <w:sz w:val="24"/>
          <w:szCs w:val="24"/>
          <w:lang w:val="en-IE"/>
        </w:rPr>
        <w:t xml:space="preserve">they lack </w:t>
      </w:r>
      <w:r w:rsidR="006738FD" w:rsidRPr="00D16622">
        <w:rPr>
          <w:rFonts w:ascii="Times New Roman" w:hAnsi="Times New Roman" w:cs="Times New Roman"/>
          <w:noProof/>
          <w:sz w:val="24"/>
          <w:szCs w:val="24"/>
        </w:rPr>
        <w:t>sufficient verification mechanisms</w:t>
      </w:r>
      <w:r w:rsidR="006738FD" w:rsidRPr="00D16622">
        <w:rPr>
          <w:rFonts w:ascii="Times New Roman" w:hAnsi="Times New Roman" w:cs="Times New Roman"/>
          <w:noProof/>
          <w:sz w:val="24"/>
          <w:szCs w:val="24"/>
          <w:lang w:val="en-IE"/>
        </w:rPr>
        <w:t xml:space="preserve">. In </w:t>
      </w:r>
      <w:hyperlink r:id="rId175" w:history="1">
        <w:r w:rsidR="006738FD" w:rsidRPr="00D16622">
          <w:rPr>
            <w:rStyle w:val="Hyperlink"/>
            <w:rFonts w:cs="Times New Roman"/>
            <w:noProof/>
            <w:szCs w:val="24"/>
            <w:lang w:val="en-IE"/>
          </w:rPr>
          <w:t>Ireland</w:t>
        </w:r>
      </w:hyperlink>
      <w:r w:rsidR="006738FD" w:rsidRPr="00D16622">
        <w:rPr>
          <w:rFonts w:ascii="Times New Roman" w:hAnsi="Times New Roman" w:cs="Times New Roman"/>
          <w:noProof/>
          <w:sz w:val="24"/>
          <w:szCs w:val="24"/>
          <w:lang w:val="en-IE"/>
        </w:rPr>
        <w:t xml:space="preserve">, the ‘Ethics Reform Bill’ is still under preparation. In </w:t>
      </w:r>
      <w:hyperlink r:id="rId176" w:history="1">
        <w:r w:rsidR="00F377A5" w:rsidRPr="00D16622">
          <w:rPr>
            <w:rStyle w:val="Hyperlink"/>
            <w:rFonts w:eastAsia="Times New Roman" w:cs="Times New Roman"/>
            <w:noProof/>
            <w:szCs w:val="24"/>
            <w:lang w:val="en-IE"/>
          </w:rPr>
          <w:t>Italy</w:t>
        </w:r>
      </w:hyperlink>
      <w:r w:rsidR="006738FD" w:rsidRPr="00D16622">
        <w:rPr>
          <w:rFonts w:ascii="Times New Roman" w:hAnsi="Times New Roman" w:cs="Times New Roman"/>
          <w:noProof/>
          <w:sz w:val="24"/>
          <w:szCs w:val="24"/>
          <w:lang w:val="en-IE"/>
        </w:rPr>
        <w:t xml:space="preserve">, a draft law on conflicts of interest remains pending. </w:t>
      </w:r>
    </w:p>
    <w:p w14:paraId="46200A42" w14:textId="77777777" w:rsidR="00432439" w:rsidRPr="00D16622" w:rsidRDefault="00F578AD" w:rsidP="00F42C41">
      <w:pPr>
        <w:pStyle w:val="ListParagraph"/>
        <w:numPr>
          <w:ilvl w:val="0"/>
          <w:numId w:val="45"/>
        </w:numPr>
        <w:spacing w:after="120" w:line="240" w:lineRule="auto"/>
        <w:jc w:val="both"/>
        <w:rPr>
          <w:rFonts w:ascii="Times New Roman" w:hAnsi="Times New Roman" w:cs="Times New Roman"/>
          <w:iCs/>
          <w:noProof/>
          <w:sz w:val="24"/>
          <w:szCs w:val="24"/>
        </w:rPr>
      </w:pPr>
      <w:r w:rsidRPr="00D16622">
        <w:rPr>
          <w:rFonts w:ascii="Times New Roman" w:hAnsi="Times New Roman" w:cs="Times New Roman"/>
          <w:i/>
          <w:noProof/>
          <w:sz w:val="24"/>
          <w:szCs w:val="24"/>
        </w:rPr>
        <w:t>L</w:t>
      </w:r>
      <w:r w:rsidR="006F43AF" w:rsidRPr="00D16622">
        <w:rPr>
          <w:rFonts w:ascii="Times New Roman" w:hAnsi="Times New Roman" w:cs="Times New Roman"/>
          <w:i/>
          <w:noProof/>
          <w:sz w:val="24"/>
          <w:szCs w:val="24"/>
        </w:rPr>
        <w:t xml:space="preserve">obbying and revolving doors </w:t>
      </w:r>
    </w:p>
    <w:p w14:paraId="3762F21C" w14:textId="52352702" w:rsidR="00A25E58" w:rsidRPr="00D16622" w:rsidRDefault="00622154" w:rsidP="00432439">
      <w:pPr>
        <w:spacing w:after="120" w:line="240" w:lineRule="auto"/>
        <w:jc w:val="both"/>
        <w:rPr>
          <w:rFonts w:ascii="Times New Roman" w:hAnsi="Times New Roman" w:cs="Times New Roman"/>
          <w:iCs/>
          <w:noProof/>
          <w:sz w:val="24"/>
          <w:szCs w:val="24"/>
        </w:rPr>
      </w:pPr>
      <w:r w:rsidRPr="00D16622">
        <w:rPr>
          <w:rFonts w:ascii="Times New Roman" w:hAnsi="Times New Roman" w:cs="Times New Roman"/>
          <w:iCs/>
          <w:noProof/>
          <w:sz w:val="24"/>
          <w:szCs w:val="24"/>
        </w:rPr>
        <w:t>Lobbying can play a legitimate role in policy development</w:t>
      </w:r>
      <w:r w:rsidR="00321CE6" w:rsidRPr="00D16622">
        <w:rPr>
          <w:rFonts w:ascii="Times New Roman" w:hAnsi="Times New Roman" w:cs="Times New Roman"/>
          <w:iCs/>
          <w:noProof/>
          <w:sz w:val="24"/>
          <w:szCs w:val="24"/>
        </w:rPr>
        <w:t xml:space="preserve"> by contributing with expertise and perspectives to public decision-making.</w:t>
      </w:r>
      <w:r w:rsidR="005477EF" w:rsidRPr="00D16622">
        <w:rPr>
          <w:rFonts w:ascii="Times New Roman" w:hAnsi="Times New Roman" w:cs="Times New Roman"/>
          <w:iCs/>
          <w:noProof/>
          <w:sz w:val="24"/>
          <w:szCs w:val="24"/>
        </w:rPr>
        <w:t xml:space="preserve"> To</w:t>
      </w:r>
      <w:r w:rsidRPr="00D16622">
        <w:rPr>
          <w:rFonts w:ascii="Times New Roman" w:hAnsi="Times New Roman" w:cs="Times New Roman"/>
          <w:iCs/>
          <w:noProof/>
          <w:sz w:val="24"/>
          <w:szCs w:val="24"/>
        </w:rPr>
        <w:t xml:space="preserve"> </w:t>
      </w:r>
      <w:r w:rsidR="005477EF" w:rsidRPr="00D16622">
        <w:rPr>
          <w:rFonts w:ascii="Times New Roman" w:hAnsi="Times New Roman" w:cs="Times New Roman"/>
          <w:iCs/>
          <w:noProof/>
          <w:sz w:val="24"/>
          <w:szCs w:val="24"/>
        </w:rPr>
        <w:t xml:space="preserve">ensure accountability, support inclusive decision-making, and prevent undue or covert influence, </w:t>
      </w:r>
      <w:r w:rsidRPr="00D16622">
        <w:rPr>
          <w:rFonts w:ascii="Times New Roman" w:hAnsi="Times New Roman" w:cs="Times New Roman"/>
          <w:iCs/>
          <w:noProof/>
          <w:sz w:val="24"/>
          <w:szCs w:val="24"/>
        </w:rPr>
        <w:t xml:space="preserve">this </w:t>
      </w:r>
      <w:r w:rsidR="005477EF" w:rsidRPr="00D16622">
        <w:rPr>
          <w:rFonts w:ascii="Times New Roman" w:hAnsi="Times New Roman" w:cs="Times New Roman"/>
          <w:iCs/>
          <w:noProof/>
          <w:sz w:val="24"/>
          <w:szCs w:val="24"/>
        </w:rPr>
        <w:t xml:space="preserve">must be accompanied with </w:t>
      </w:r>
      <w:r w:rsidRPr="00D16622">
        <w:rPr>
          <w:rFonts w:ascii="Times New Roman" w:hAnsi="Times New Roman" w:cs="Times New Roman"/>
          <w:iCs/>
          <w:noProof/>
          <w:sz w:val="24"/>
          <w:szCs w:val="24"/>
        </w:rPr>
        <w:t>strong transparency and integrity safeguards</w:t>
      </w:r>
      <w:r w:rsidR="00A25E58" w:rsidRPr="00D16622">
        <w:rPr>
          <w:rStyle w:val="FootnoteReference"/>
          <w:rFonts w:cs="Times New Roman"/>
          <w:noProof/>
        </w:rPr>
        <w:footnoteReference w:id="66"/>
      </w:r>
      <w:r w:rsidR="00A25E58" w:rsidRPr="00D16622">
        <w:rPr>
          <w:rFonts w:ascii="Times New Roman" w:hAnsi="Times New Roman" w:cs="Times New Roman"/>
          <w:iCs/>
          <w:noProof/>
          <w:sz w:val="24"/>
          <w:szCs w:val="24"/>
        </w:rPr>
        <w:t xml:space="preserve">. </w:t>
      </w:r>
    </w:p>
    <w:p w14:paraId="69EEE394" w14:textId="28F24AFB" w:rsidR="00A25E58" w:rsidRPr="00D16622" w:rsidRDefault="00A25E58" w:rsidP="00A25E58">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lang w:val="en-IE"/>
        </w:rPr>
        <w:t>Developments in these areas continued, as some Member States revised their lobbying transparency rules</w:t>
      </w:r>
      <w:r w:rsidRPr="00D16622">
        <w:rPr>
          <w:rFonts w:ascii="Times New Roman" w:hAnsi="Times New Roman" w:cs="Times New Roman"/>
          <w:noProof/>
          <w:sz w:val="24"/>
          <w:szCs w:val="24"/>
        </w:rPr>
        <w:t xml:space="preserve">, established or extended transparency registries </w:t>
      </w:r>
      <w:r w:rsidR="007E093B" w:rsidRPr="00D16622">
        <w:rPr>
          <w:rFonts w:ascii="Times New Roman" w:hAnsi="Times New Roman" w:cs="Times New Roman"/>
          <w:noProof/>
          <w:sz w:val="24"/>
          <w:szCs w:val="24"/>
        </w:rPr>
        <w:t xml:space="preserve">and </w:t>
      </w:r>
      <w:r w:rsidRPr="00D16622">
        <w:rPr>
          <w:rFonts w:ascii="Times New Roman" w:hAnsi="Times New Roman" w:cs="Times New Roman"/>
          <w:noProof/>
          <w:sz w:val="24"/>
          <w:szCs w:val="24"/>
        </w:rPr>
        <w:t xml:space="preserve">are preparing new </w:t>
      </w:r>
      <w:r w:rsidRPr="00D16622">
        <w:rPr>
          <w:rFonts w:ascii="Times New Roman" w:hAnsi="Times New Roman" w:cs="Times New Roman"/>
          <w:iCs/>
          <w:noProof/>
          <w:sz w:val="24"/>
          <w:szCs w:val="24"/>
          <w:lang w:val="en-IE"/>
        </w:rPr>
        <w:t>legislation</w:t>
      </w:r>
      <w:r w:rsidRPr="00D16622">
        <w:rPr>
          <w:rFonts w:ascii="Times New Roman" w:hAnsi="Times New Roman" w:cs="Times New Roman"/>
          <w:noProof/>
          <w:sz w:val="24"/>
          <w:szCs w:val="24"/>
        </w:rPr>
        <w:t xml:space="preserve">. In </w:t>
      </w:r>
      <w:hyperlink r:id="rId177" w:history="1">
        <w:r w:rsidRPr="00D16622">
          <w:rPr>
            <w:rStyle w:val="Hyperlink"/>
            <w:rFonts w:cs="Times New Roman"/>
            <w:bCs/>
            <w:noProof/>
            <w:szCs w:val="24"/>
          </w:rPr>
          <w:t>Czechia</w:t>
        </w:r>
      </w:hyperlink>
      <w:r w:rsidRPr="00D16622">
        <w:rPr>
          <w:rFonts w:ascii="Times New Roman" w:hAnsi="Times New Roman" w:cs="Times New Roman"/>
          <w:noProof/>
          <w:sz w:val="24"/>
          <w:szCs w:val="24"/>
        </w:rPr>
        <w:t>, implementation of the legislation on lobbying, which entered into force in July 2025 and includes a transparency register</w:t>
      </w:r>
      <w:r w:rsidR="003D1200" w:rsidRPr="00D16622">
        <w:rPr>
          <w:rFonts w:ascii="Times New Roman" w:hAnsi="Times New Roman" w:cs="Times New Roman"/>
          <w:noProof/>
          <w:sz w:val="24"/>
          <w:szCs w:val="24"/>
        </w:rPr>
        <w:t>,</w:t>
      </w:r>
      <w:r w:rsidRPr="00D16622">
        <w:rPr>
          <w:rFonts w:ascii="Times New Roman" w:hAnsi="Times New Roman" w:cs="Times New Roman"/>
          <w:noProof/>
          <w:sz w:val="24"/>
          <w:szCs w:val="24"/>
        </w:rPr>
        <w:t xml:space="preserve"> is on track. In </w:t>
      </w:r>
      <w:hyperlink r:id="rId178" w:history="1">
        <w:r w:rsidR="00362750" w:rsidRPr="00D16622">
          <w:rPr>
            <w:rStyle w:val="Hyperlink"/>
            <w:rFonts w:cs="Times New Roman"/>
            <w:noProof/>
            <w:szCs w:val="24"/>
            <w:lang w:eastAsia="en-IE"/>
          </w:rPr>
          <w:t>Luxembourg</w:t>
        </w:r>
      </w:hyperlink>
      <w:r w:rsidRPr="00D16622">
        <w:rPr>
          <w:rFonts w:ascii="Times New Roman" w:hAnsi="Times New Roman" w:cs="Times New Roman"/>
          <w:noProof/>
          <w:sz w:val="24"/>
          <w:szCs w:val="24"/>
        </w:rPr>
        <w:t xml:space="preserve">, the rules on lobbying extending the obligation to register a meeting to the Members of Parliament </w:t>
      </w:r>
      <w:r w:rsidR="007222BC" w:rsidRPr="00D16622">
        <w:rPr>
          <w:rFonts w:ascii="Times New Roman" w:hAnsi="Times New Roman" w:cs="Times New Roman"/>
          <w:noProof/>
          <w:sz w:val="24"/>
          <w:szCs w:val="24"/>
        </w:rPr>
        <w:t>became applicable</w:t>
      </w:r>
      <w:r w:rsidRPr="00D16622">
        <w:rPr>
          <w:rFonts w:ascii="Times New Roman" w:hAnsi="Times New Roman" w:cs="Times New Roman"/>
          <w:noProof/>
          <w:sz w:val="24"/>
          <w:szCs w:val="24"/>
        </w:rPr>
        <w:t xml:space="preserve"> in September</w:t>
      </w:r>
      <w:r w:rsidR="00BB2087" w:rsidRPr="00D16622">
        <w:rPr>
          <w:rFonts w:ascii="Times New Roman" w:hAnsi="Times New Roman" w:cs="Times New Roman"/>
          <w:noProof/>
          <w:sz w:val="24"/>
          <w:szCs w:val="24"/>
        </w:rPr>
        <w:t xml:space="preserve"> 2025</w:t>
      </w:r>
      <w:r w:rsidRPr="00D16622">
        <w:rPr>
          <w:rFonts w:ascii="Times New Roman" w:hAnsi="Times New Roman" w:cs="Times New Roman"/>
          <w:noProof/>
          <w:sz w:val="24"/>
          <w:szCs w:val="24"/>
        </w:rPr>
        <w:t xml:space="preserve">. In </w:t>
      </w:r>
      <w:hyperlink r:id="rId179" w:history="1">
        <w:r w:rsidR="009F1189" w:rsidRPr="00D16622">
          <w:rPr>
            <w:rStyle w:val="Hyperlink"/>
            <w:rFonts w:cs="Times New Roman"/>
            <w:noProof/>
            <w:szCs w:val="24"/>
          </w:rPr>
          <w:t>Portugal</w:t>
        </w:r>
      </w:hyperlink>
      <w:r w:rsidRPr="00D16622">
        <w:rPr>
          <w:rFonts w:ascii="Times New Roman" w:hAnsi="Times New Roman" w:cs="Times New Roman"/>
          <w:noProof/>
          <w:sz w:val="24"/>
          <w:szCs w:val="24"/>
        </w:rPr>
        <w:t>, a new law on lobbying was adopted</w:t>
      </w:r>
      <w:r w:rsidR="00210517" w:rsidRPr="00D16622">
        <w:rPr>
          <w:rFonts w:ascii="Times New Roman" w:hAnsi="Times New Roman" w:cs="Times New Roman"/>
          <w:noProof/>
          <w:sz w:val="24"/>
          <w:szCs w:val="24"/>
        </w:rPr>
        <w:t>,</w:t>
      </w:r>
      <w:r w:rsidRPr="00D16622">
        <w:rPr>
          <w:rFonts w:ascii="Times New Roman" w:hAnsi="Times New Roman" w:cs="Times New Roman"/>
          <w:noProof/>
          <w:sz w:val="24"/>
          <w:szCs w:val="24"/>
        </w:rPr>
        <w:t xml:space="preserve"> while </w:t>
      </w:r>
      <w:r w:rsidR="00B37C27" w:rsidRPr="00D16622">
        <w:rPr>
          <w:rFonts w:ascii="Times New Roman" w:hAnsi="Times New Roman" w:cs="Times New Roman"/>
          <w:noProof/>
          <w:sz w:val="24"/>
          <w:szCs w:val="24"/>
        </w:rPr>
        <w:t xml:space="preserve">a </w:t>
      </w:r>
      <w:r w:rsidRPr="00D16622">
        <w:rPr>
          <w:rFonts w:ascii="Times New Roman" w:hAnsi="Times New Roman" w:cs="Times New Roman"/>
          <w:noProof/>
          <w:sz w:val="24"/>
          <w:szCs w:val="24"/>
        </w:rPr>
        <w:t>lobbying registry</w:t>
      </w:r>
      <w:r w:rsidR="00210517" w:rsidRPr="00D16622">
        <w:rPr>
          <w:rFonts w:ascii="Times New Roman" w:hAnsi="Times New Roman" w:cs="Times New Roman"/>
          <w:noProof/>
          <w:sz w:val="24"/>
          <w:szCs w:val="24"/>
        </w:rPr>
        <w:t xml:space="preserve"> </w:t>
      </w:r>
      <w:r w:rsidR="00780777" w:rsidRPr="00D16622">
        <w:rPr>
          <w:rFonts w:ascii="Times New Roman" w:hAnsi="Times New Roman" w:cs="Times New Roman"/>
          <w:noProof/>
          <w:sz w:val="24"/>
          <w:szCs w:val="24"/>
        </w:rPr>
        <w:t>still needs</w:t>
      </w:r>
      <w:r w:rsidR="00210517" w:rsidRPr="00D16622">
        <w:rPr>
          <w:rFonts w:ascii="Times New Roman" w:hAnsi="Times New Roman" w:cs="Times New Roman"/>
          <w:noProof/>
          <w:sz w:val="24"/>
          <w:szCs w:val="24"/>
        </w:rPr>
        <w:t xml:space="preserve"> to be set up</w:t>
      </w:r>
      <w:r w:rsidRPr="00D16622">
        <w:rPr>
          <w:rFonts w:ascii="Times New Roman" w:hAnsi="Times New Roman" w:cs="Times New Roman"/>
          <w:noProof/>
          <w:sz w:val="24"/>
          <w:szCs w:val="24"/>
        </w:rPr>
        <w:t xml:space="preserve">. In </w:t>
      </w:r>
      <w:hyperlink r:id="rId180" w:history="1">
        <w:r w:rsidR="008A099D" w:rsidRPr="00D16622">
          <w:rPr>
            <w:rStyle w:val="Hyperlink"/>
            <w:rFonts w:cs="Times New Roman"/>
            <w:noProof/>
            <w:szCs w:val="24"/>
            <w:lang w:eastAsia="en-IE"/>
          </w:rPr>
          <w:t>Sweden</w:t>
        </w:r>
      </w:hyperlink>
      <w:r w:rsidRPr="00D16622">
        <w:rPr>
          <w:rFonts w:ascii="Times New Roman" w:hAnsi="Times New Roman" w:cs="Times New Roman"/>
          <w:noProof/>
          <w:sz w:val="24"/>
          <w:szCs w:val="24"/>
        </w:rPr>
        <w:t xml:space="preserve">, </w:t>
      </w:r>
      <w:r w:rsidR="00683C76" w:rsidRPr="00D16622">
        <w:rPr>
          <w:rFonts w:ascii="Times New Roman" w:hAnsi="Times New Roman" w:cs="Times New Roman"/>
          <w:noProof/>
          <w:sz w:val="24"/>
          <w:szCs w:val="24"/>
        </w:rPr>
        <w:t>legislation</w:t>
      </w:r>
      <w:r w:rsidRPr="00D16622">
        <w:rPr>
          <w:rFonts w:ascii="Times New Roman" w:hAnsi="Times New Roman" w:cs="Times New Roman"/>
          <w:noProof/>
          <w:sz w:val="24"/>
          <w:szCs w:val="24"/>
        </w:rPr>
        <w:t xml:space="preserve"> providing for an obligation for lobbyists to register and disclose their contacts with political decision-makers</w:t>
      </w:r>
      <w:r w:rsidR="00683C76" w:rsidRPr="00D16622">
        <w:rPr>
          <w:rFonts w:ascii="Times New Roman" w:hAnsi="Times New Roman" w:cs="Times New Roman"/>
          <w:noProof/>
          <w:sz w:val="24"/>
          <w:szCs w:val="24"/>
        </w:rPr>
        <w:t xml:space="preserve"> was adopted</w:t>
      </w:r>
      <w:r w:rsidRPr="00D16622">
        <w:rPr>
          <w:rFonts w:ascii="Times New Roman" w:hAnsi="Times New Roman" w:cs="Times New Roman"/>
          <w:noProof/>
          <w:sz w:val="24"/>
          <w:szCs w:val="24"/>
        </w:rPr>
        <w:t xml:space="preserve">. In </w:t>
      </w:r>
      <w:hyperlink r:id="rId181" w:history="1">
        <w:r w:rsidR="006E659B" w:rsidRPr="00D16622">
          <w:rPr>
            <w:rStyle w:val="Hyperlink"/>
            <w:rFonts w:cs="Times New Roman"/>
            <w:noProof/>
            <w:szCs w:val="24"/>
          </w:rPr>
          <w:t>Romania</w:t>
        </w:r>
      </w:hyperlink>
      <w:r w:rsidRPr="00D16622">
        <w:rPr>
          <w:rFonts w:ascii="Times New Roman" w:hAnsi="Times New Roman" w:cs="Times New Roman"/>
          <w:noProof/>
          <w:sz w:val="24"/>
          <w:szCs w:val="24"/>
        </w:rPr>
        <w:t>, n</w:t>
      </w:r>
      <w:r w:rsidRPr="00D16622">
        <w:rPr>
          <w:rFonts w:ascii="Times New Roman" w:hAnsi="Times New Roman" w:cs="Times New Roman"/>
          <w:noProof/>
          <w:sz w:val="24"/>
          <w:szCs w:val="24"/>
          <w:lang w:val="en-IE"/>
        </w:rPr>
        <w:t xml:space="preserve">ew rules on lobbying for Members of Parliament have been introduced. </w:t>
      </w:r>
    </w:p>
    <w:p w14:paraId="0C9D8294" w14:textId="17EB0B1C" w:rsidR="00A25E58" w:rsidRPr="00D16622" w:rsidRDefault="00A03AEE" w:rsidP="00A25E58">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In some Member States, the absence of comprehensive lobbying rules, or weaknesses in enforcing existing rules, is considered a key area for improvement. </w:t>
      </w:r>
      <w:r w:rsidR="00A25E58" w:rsidRPr="00D16622">
        <w:rPr>
          <w:rFonts w:ascii="Times New Roman" w:hAnsi="Times New Roman" w:cs="Times New Roman"/>
          <w:noProof/>
          <w:sz w:val="24"/>
          <w:szCs w:val="24"/>
        </w:rPr>
        <w:t xml:space="preserve">In </w:t>
      </w:r>
      <w:hyperlink r:id="rId182" w:history="1">
        <w:r w:rsidR="00A25E58" w:rsidRPr="00D16622">
          <w:rPr>
            <w:rStyle w:val="Hyperlink"/>
            <w:rFonts w:cs="Times New Roman"/>
            <w:noProof/>
            <w:szCs w:val="24"/>
          </w:rPr>
          <w:t>France</w:t>
        </w:r>
      </w:hyperlink>
      <w:r w:rsidR="00A25E58" w:rsidRPr="00D16622">
        <w:rPr>
          <w:rFonts w:ascii="Times New Roman" w:hAnsi="Times New Roman" w:cs="Times New Roman"/>
          <w:noProof/>
          <w:sz w:val="24"/>
          <w:szCs w:val="24"/>
        </w:rPr>
        <w:t xml:space="preserve">, disclosure requirements continue to apply to lobbyists only and not to officials at top-executive level. In </w:t>
      </w:r>
      <w:hyperlink r:id="rId183" w:history="1">
        <w:r w:rsidR="00F86C9D" w:rsidRPr="00D16622">
          <w:rPr>
            <w:rStyle w:val="Hyperlink"/>
            <w:rFonts w:cs="Times New Roman"/>
            <w:bCs/>
            <w:noProof/>
            <w:szCs w:val="24"/>
          </w:rPr>
          <w:t>Poland</w:t>
        </w:r>
      </w:hyperlink>
      <w:r w:rsidR="00A25E58" w:rsidRPr="00D16622">
        <w:rPr>
          <w:rFonts w:ascii="Times New Roman" w:hAnsi="Times New Roman" w:cs="Times New Roman"/>
          <w:bCs/>
          <w:noProof/>
          <w:sz w:val="24"/>
          <w:szCs w:val="24"/>
        </w:rPr>
        <w:t xml:space="preserve">, </w:t>
      </w:r>
      <w:hyperlink r:id="rId184" w:history="1">
        <w:r w:rsidR="00F86C9D" w:rsidRPr="00D16622">
          <w:rPr>
            <w:rStyle w:val="Hyperlink"/>
            <w:rFonts w:cs="Times New Roman"/>
            <w:bCs/>
            <w:noProof/>
            <w:szCs w:val="24"/>
            <w:lang w:eastAsia="en-IE"/>
          </w:rPr>
          <w:t>Austria</w:t>
        </w:r>
      </w:hyperlink>
      <w:r w:rsidR="00A25E58" w:rsidRPr="00D16622">
        <w:rPr>
          <w:rFonts w:ascii="Times New Roman" w:hAnsi="Times New Roman" w:cs="Times New Roman"/>
          <w:bCs/>
          <w:noProof/>
          <w:sz w:val="24"/>
          <w:szCs w:val="24"/>
        </w:rPr>
        <w:t xml:space="preserve">, </w:t>
      </w:r>
      <w:hyperlink r:id="rId185" w:history="1">
        <w:r w:rsidR="00A25E58" w:rsidRPr="00D16622">
          <w:rPr>
            <w:rStyle w:val="Hyperlink"/>
            <w:rFonts w:cs="Times New Roman"/>
            <w:bCs/>
            <w:noProof/>
            <w:szCs w:val="24"/>
          </w:rPr>
          <w:t>Belgium</w:t>
        </w:r>
      </w:hyperlink>
      <w:r w:rsidR="00A25E58" w:rsidRPr="00D16622">
        <w:rPr>
          <w:rFonts w:ascii="Times New Roman" w:hAnsi="Times New Roman" w:cs="Times New Roman"/>
          <w:bCs/>
          <w:noProof/>
          <w:sz w:val="24"/>
          <w:szCs w:val="24"/>
        </w:rPr>
        <w:t xml:space="preserve">, </w:t>
      </w:r>
      <w:hyperlink r:id="rId186" w:history="1">
        <w:r w:rsidR="00A25E58" w:rsidRPr="00D16622">
          <w:rPr>
            <w:rStyle w:val="Hyperlink"/>
            <w:rFonts w:cs="Times New Roman"/>
            <w:bCs/>
            <w:noProof/>
            <w:szCs w:val="24"/>
          </w:rPr>
          <w:t>Denmark</w:t>
        </w:r>
      </w:hyperlink>
      <w:r w:rsidR="00A25E58" w:rsidRPr="00D16622">
        <w:rPr>
          <w:rFonts w:ascii="Times New Roman" w:hAnsi="Times New Roman" w:cs="Times New Roman"/>
          <w:bCs/>
          <w:noProof/>
          <w:sz w:val="24"/>
          <w:szCs w:val="24"/>
        </w:rPr>
        <w:t xml:space="preserve"> and </w:t>
      </w:r>
      <w:hyperlink r:id="rId187" w:history="1">
        <w:r w:rsidR="00775307" w:rsidRPr="00D16622">
          <w:rPr>
            <w:rStyle w:val="Hyperlink"/>
            <w:rFonts w:cs="Times New Roman"/>
            <w:bCs/>
            <w:noProof/>
            <w:szCs w:val="24"/>
          </w:rPr>
          <w:t>Malta</w:t>
        </w:r>
      </w:hyperlink>
      <w:r w:rsidR="00A25E58" w:rsidRPr="00D16622">
        <w:rPr>
          <w:rFonts w:ascii="Times New Roman" w:hAnsi="Times New Roman" w:cs="Times New Roman"/>
          <w:bCs/>
          <w:noProof/>
          <w:sz w:val="24"/>
          <w:szCs w:val="24"/>
        </w:rPr>
        <w:t>,</w:t>
      </w:r>
      <w:r w:rsidR="00A25E58" w:rsidRPr="00D16622">
        <w:rPr>
          <w:rFonts w:ascii="Times New Roman" w:hAnsi="Times New Roman" w:cs="Times New Roman"/>
          <w:noProof/>
          <w:sz w:val="24"/>
          <w:szCs w:val="24"/>
        </w:rPr>
        <w:t xml:space="preserve"> there were no further steps to strengthen lobbying rules. In </w:t>
      </w:r>
      <w:hyperlink r:id="rId188" w:history="1">
        <w:r w:rsidR="00A25E58" w:rsidRPr="00D16622">
          <w:rPr>
            <w:rStyle w:val="Hyperlink"/>
            <w:rFonts w:cs="Times New Roman"/>
            <w:bCs/>
            <w:noProof/>
            <w:szCs w:val="24"/>
          </w:rPr>
          <w:t>Spain</w:t>
        </w:r>
      </w:hyperlink>
      <w:r w:rsidR="00A25E58" w:rsidRPr="00D16622">
        <w:rPr>
          <w:rFonts w:ascii="Times New Roman" w:hAnsi="Times New Roman" w:cs="Times New Roman"/>
          <w:noProof/>
          <w:sz w:val="24"/>
          <w:szCs w:val="24"/>
        </w:rPr>
        <w:t xml:space="preserve">, the draft law to regulate lobbying is still pending parliamentary adoption. In </w:t>
      </w:r>
      <w:hyperlink r:id="rId189" w:history="1">
        <w:r w:rsidR="006A4A3C" w:rsidRPr="00D16622">
          <w:rPr>
            <w:rStyle w:val="Hyperlink"/>
            <w:rFonts w:cs="Times New Roman"/>
            <w:noProof/>
            <w:szCs w:val="24"/>
            <w:lang w:eastAsia="en-IE"/>
          </w:rPr>
          <w:t>Croatia</w:t>
        </w:r>
      </w:hyperlink>
      <w:r w:rsidR="00A25E58" w:rsidRPr="00D16622">
        <w:rPr>
          <w:rFonts w:ascii="Times New Roman" w:hAnsi="Times New Roman" w:cs="Times New Roman"/>
          <w:noProof/>
          <w:sz w:val="24"/>
          <w:szCs w:val="24"/>
        </w:rPr>
        <w:t xml:space="preserve">, the </w:t>
      </w:r>
      <w:r w:rsidR="00BE7C4F" w:rsidRPr="00D16622">
        <w:rPr>
          <w:rFonts w:ascii="Times New Roman" w:hAnsi="Times New Roman" w:cs="Times New Roman"/>
          <w:noProof/>
          <w:sz w:val="24"/>
          <w:szCs w:val="24"/>
        </w:rPr>
        <w:t>resources for</w:t>
      </w:r>
      <w:r w:rsidR="00A25E58" w:rsidRPr="00D16622">
        <w:rPr>
          <w:rFonts w:ascii="Times New Roman" w:hAnsi="Times New Roman" w:cs="Times New Roman"/>
          <w:noProof/>
          <w:sz w:val="24"/>
          <w:szCs w:val="24"/>
        </w:rPr>
        <w:t xml:space="preserve"> lobbying oversight </w:t>
      </w:r>
      <w:r w:rsidR="00BE7C4F" w:rsidRPr="00D16622">
        <w:rPr>
          <w:rFonts w:ascii="Times New Roman" w:hAnsi="Times New Roman" w:cs="Times New Roman"/>
          <w:noProof/>
          <w:sz w:val="24"/>
          <w:szCs w:val="24"/>
        </w:rPr>
        <w:t xml:space="preserve">have been increased, but challenges remain, including </w:t>
      </w:r>
      <w:r w:rsidR="00E93BE0" w:rsidRPr="00D16622">
        <w:rPr>
          <w:rFonts w:ascii="Times New Roman" w:hAnsi="Times New Roman" w:cs="Times New Roman"/>
          <w:noProof/>
          <w:sz w:val="24"/>
          <w:szCs w:val="24"/>
        </w:rPr>
        <w:t>on</w:t>
      </w:r>
      <w:r w:rsidR="00112097" w:rsidRPr="00D16622">
        <w:rPr>
          <w:rFonts w:ascii="Times New Roman" w:hAnsi="Times New Roman" w:cs="Times New Roman"/>
          <w:noProof/>
          <w:sz w:val="24"/>
          <w:szCs w:val="24"/>
        </w:rPr>
        <w:t xml:space="preserve"> lobbying register</w:t>
      </w:r>
      <w:r w:rsidR="00E93BE0" w:rsidRPr="00D16622">
        <w:rPr>
          <w:rFonts w:ascii="Times New Roman" w:hAnsi="Times New Roman" w:cs="Times New Roman"/>
          <w:noProof/>
          <w:sz w:val="24"/>
          <w:szCs w:val="24"/>
        </w:rPr>
        <w:t xml:space="preserve"> information</w:t>
      </w:r>
      <w:r w:rsidR="00A25E58" w:rsidRPr="00D16622">
        <w:rPr>
          <w:rFonts w:ascii="Times New Roman" w:hAnsi="Times New Roman" w:cs="Times New Roman"/>
          <w:noProof/>
          <w:sz w:val="24"/>
          <w:szCs w:val="24"/>
        </w:rPr>
        <w:t xml:space="preserve">. </w:t>
      </w:r>
      <w:r>
        <w:rPr>
          <w:rFonts w:ascii="Times New Roman" w:hAnsi="Times New Roman" w:cs="Times New Roman"/>
          <w:noProof/>
          <w:sz w:val="24"/>
          <w:szCs w:val="24"/>
        </w:rPr>
        <w:t>I</w:t>
      </w:r>
      <w:r w:rsidR="00A25E58" w:rsidRPr="00D16622">
        <w:rPr>
          <w:rFonts w:ascii="Times New Roman" w:hAnsi="Times New Roman" w:cs="Times New Roman"/>
          <w:noProof/>
          <w:sz w:val="24"/>
          <w:szCs w:val="24"/>
        </w:rPr>
        <w:t xml:space="preserve">n </w:t>
      </w:r>
      <w:hyperlink r:id="rId190" w:history="1">
        <w:r w:rsidR="00A25E58" w:rsidRPr="00D16622">
          <w:rPr>
            <w:rStyle w:val="Hyperlink"/>
            <w:rFonts w:cs="Times New Roman"/>
            <w:bCs/>
            <w:noProof/>
            <w:szCs w:val="24"/>
          </w:rPr>
          <w:t>Greece</w:t>
        </w:r>
      </w:hyperlink>
      <w:r w:rsidR="00A25E58" w:rsidRPr="00D16622">
        <w:rPr>
          <w:rFonts w:ascii="Times New Roman" w:hAnsi="Times New Roman" w:cs="Times New Roman"/>
          <w:noProof/>
          <w:sz w:val="24"/>
          <w:szCs w:val="24"/>
        </w:rPr>
        <w:t xml:space="preserve">, </w:t>
      </w:r>
      <w:r>
        <w:rPr>
          <w:rFonts w:ascii="Times New Roman" w:hAnsi="Times New Roman" w:cs="Times New Roman"/>
          <w:noProof/>
          <w:sz w:val="24"/>
          <w:szCs w:val="24"/>
        </w:rPr>
        <w:t xml:space="preserve">while implementation measures and awareness-raising activities are ongoing, no legislative changes have been </w:t>
      </w:r>
      <w:r w:rsidR="00A25E58" w:rsidRPr="00D16622">
        <w:rPr>
          <w:rFonts w:ascii="Times New Roman" w:hAnsi="Times New Roman" w:cs="Times New Roman"/>
          <w:noProof/>
          <w:sz w:val="24"/>
          <w:szCs w:val="24"/>
        </w:rPr>
        <w:t>in</w:t>
      </w:r>
      <w:r>
        <w:rPr>
          <w:rFonts w:ascii="Times New Roman" w:hAnsi="Times New Roman" w:cs="Times New Roman"/>
          <w:noProof/>
          <w:sz w:val="24"/>
          <w:szCs w:val="24"/>
        </w:rPr>
        <w:t>troduced regarding</w:t>
      </w:r>
      <w:r w:rsidR="00A25E58" w:rsidRPr="00D16622">
        <w:rPr>
          <w:rFonts w:ascii="Times New Roman" w:hAnsi="Times New Roman" w:cs="Times New Roman"/>
          <w:noProof/>
          <w:sz w:val="24"/>
          <w:szCs w:val="24"/>
        </w:rPr>
        <w:t xml:space="preserve"> the definition of </w:t>
      </w:r>
      <w:r w:rsidR="00A565A7" w:rsidRPr="00A565A7">
        <w:rPr>
          <w:rFonts w:ascii="Times New Roman" w:hAnsi="Times New Roman" w:cs="Times New Roman"/>
          <w:noProof/>
          <w:sz w:val="24"/>
          <w:szCs w:val="24"/>
        </w:rPr>
        <w:t>lobbyist</w:t>
      </w:r>
      <w:r>
        <w:rPr>
          <w:rFonts w:ascii="Times New Roman" w:hAnsi="Times New Roman" w:cs="Times New Roman"/>
          <w:noProof/>
          <w:sz w:val="24"/>
          <w:szCs w:val="24"/>
        </w:rPr>
        <w:t>s</w:t>
      </w:r>
      <w:r w:rsidR="00A565A7" w:rsidRPr="00A565A7">
        <w:rPr>
          <w:rFonts w:ascii="Times New Roman" w:hAnsi="Times New Roman" w:cs="Times New Roman"/>
          <w:noProof/>
          <w:sz w:val="24"/>
          <w:szCs w:val="24"/>
        </w:rPr>
        <w:t xml:space="preserve"> and </w:t>
      </w:r>
      <w:r>
        <w:rPr>
          <w:rFonts w:ascii="Times New Roman" w:hAnsi="Times New Roman" w:cs="Times New Roman"/>
          <w:noProof/>
          <w:sz w:val="24"/>
          <w:szCs w:val="24"/>
        </w:rPr>
        <w:t>the number of registered lobbyists remains low</w:t>
      </w:r>
      <w:r w:rsidR="00A25E58" w:rsidRPr="00D16622">
        <w:rPr>
          <w:rFonts w:ascii="Times New Roman" w:hAnsi="Times New Roman" w:cs="Times New Roman"/>
          <w:noProof/>
          <w:sz w:val="24"/>
          <w:szCs w:val="24"/>
        </w:rPr>
        <w:t xml:space="preserve">. In </w:t>
      </w:r>
      <w:hyperlink r:id="rId191" w:history="1">
        <w:r w:rsidR="006032A2" w:rsidRPr="00D16622">
          <w:rPr>
            <w:rStyle w:val="Hyperlink"/>
            <w:rFonts w:cs="Times New Roman"/>
            <w:noProof/>
            <w:szCs w:val="24"/>
          </w:rPr>
          <w:t>Cyprus</w:t>
        </w:r>
      </w:hyperlink>
      <w:r w:rsidR="00A25E58" w:rsidRPr="00D16622">
        <w:rPr>
          <w:rFonts w:ascii="Times New Roman" w:hAnsi="Times New Roman" w:cs="Times New Roman"/>
          <w:noProof/>
          <w:sz w:val="24"/>
          <w:szCs w:val="24"/>
        </w:rPr>
        <w:t>, the monitoring of the law on lobbying is being strengthened.</w:t>
      </w:r>
      <w:r w:rsidR="00E123EF" w:rsidRPr="00D16622">
        <w:rPr>
          <w:rFonts w:ascii="Times New Roman" w:hAnsi="Times New Roman" w:cs="Times New Roman"/>
          <w:noProof/>
          <w:sz w:val="24"/>
          <w:szCs w:val="24"/>
        </w:rPr>
        <w:t xml:space="preserve"> </w:t>
      </w:r>
      <w:r w:rsidR="00A25E58" w:rsidRPr="00D16622">
        <w:rPr>
          <w:rFonts w:ascii="Times New Roman" w:hAnsi="Times New Roman" w:cs="Times New Roman"/>
          <w:noProof/>
          <w:sz w:val="24"/>
          <w:szCs w:val="24"/>
        </w:rPr>
        <w:t xml:space="preserve">While initial steps in preparing a draft law have been taken, lobbying remains unregulated in </w:t>
      </w:r>
      <w:hyperlink r:id="rId192" w:history="1">
        <w:r w:rsidR="00421F48" w:rsidRPr="00D16622">
          <w:rPr>
            <w:rStyle w:val="Hyperlink"/>
            <w:rFonts w:cs="Times New Roman"/>
            <w:noProof/>
            <w:szCs w:val="24"/>
          </w:rPr>
          <w:t>Slovakia</w:t>
        </w:r>
      </w:hyperlink>
      <w:r w:rsidR="00A25E58" w:rsidRPr="00D16622">
        <w:rPr>
          <w:rFonts w:ascii="Times New Roman" w:hAnsi="Times New Roman" w:cs="Times New Roman"/>
          <w:noProof/>
          <w:sz w:val="24"/>
          <w:szCs w:val="24"/>
        </w:rPr>
        <w:t>.</w:t>
      </w:r>
    </w:p>
    <w:p w14:paraId="11A72B21" w14:textId="1E004DB4" w:rsidR="00A25E58" w:rsidRPr="00D16622" w:rsidRDefault="00C9356B" w:rsidP="00A25E58">
      <w:pPr>
        <w:spacing w:after="120" w:line="240" w:lineRule="auto"/>
        <w:jc w:val="both"/>
        <w:rPr>
          <w:rFonts w:ascii="Times New Roman" w:hAnsi="Times New Roman" w:cs="Times New Roman"/>
          <w:noProof/>
          <w:sz w:val="24"/>
          <w:szCs w:val="24"/>
          <w:lang w:val="en-IE"/>
        </w:rPr>
      </w:pPr>
      <w:r w:rsidRPr="00D16622">
        <w:rPr>
          <w:rFonts w:ascii="Times New Roman" w:hAnsi="Times New Roman" w:cs="Times New Roman"/>
          <w:noProof/>
          <w:sz w:val="24"/>
          <w:szCs w:val="24"/>
        </w:rPr>
        <w:t>Rules governing ‘revolving doors’ between public and private sector roles remain a key area of focus. Several Member States are considering stricter post-employment restrictions and longer cooling-off periods to strengthen enforcement and reduce risks of conflicts of interest</w:t>
      </w:r>
      <w:r w:rsidR="00A25E58" w:rsidRPr="00D16622">
        <w:rPr>
          <w:rFonts w:ascii="Times New Roman" w:hAnsi="Times New Roman" w:cs="Times New Roman"/>
          <w:iCs/>
          <w:noProof/>
          <w:sz w:val="24"/>
          <w:szCs w:val="24"/>
        </w:rPr>
        <w:t>.</w:t>
      </w:r>
      <w:r w:rsidR="00A25E58" w:rsidRPr="00D16622">
        <w:rPr>
          <w:rFonts w:ascii="Times New Roman" w:hAnsi="Times New Roman" w:cs="Times New Roman"/>
          <w:noProof/>
          <w:sz w:val="24"/>
          <w:szCs w:val="24"/>
        </w:rPr>
        <w:t xml:space="preserve"> In the </w:t>
      </w:r>
      <w:hyperlink r:id="rId193" w:history="1">
        <w:r w:rsidR="002C61F5" w:rsidRPr="00D16622">
          <w:rPr>
            <w:rStyle w:val="Hyperlink"/>
            <w:rFonts w:eastAsia="Times New Roman" w:cs="Times New Roman"/>
            <w:noProof/>
            <w:szCs w:val="24"/>
          </w:rPr>
          <w:t>Netherlands</w:t>
        </w:r>
      </w:hyperlink>
      <w:r w:rsidR="00A25E58" w:rsidRPr="00D16622">
        <w:rPr>
          <w:rFonts w:ascii="Times New Roman" w:hAnsi="Times New Roman" w:cs="Times New Roman"/>
          <w:noProof/>
          <w:sz w:val="24"/>
          <w:szCs w:val="24"/>
        </w:rPr>
        <w:t xml:space="preserve">, revised rules on revolving doors for ministers and state secretaries entered into force and are being applied. In </w:t>
      </w:r>
      <w:hyperlink r:id="rId194" w:history="1">
        <w:r w:rsidR="006032A2" w:rsidRPr="00D16622">
          <w:rPr>
            <w:rStyle w:val="Hyperlink"/>
            <w:rFonts w:cs="Times New Roman"/>
            <w:noProof/>
            <w:szCs w:val="24"/>
          </w:rPr>
          <w:t>Cyprus</w:t>
        </w:r>
      </w:hyperlink>
      <w:r w:rsidR="00A25E58" w:rsidRPr="00D16622">
        <w:rPr>
          <w:rFonts w:ascii="Times New Roman" w:hAnsi="Times New Roman" w:cs="Times New Roman"/>
          <w:noProof/>
          <w:sz w:val="24"/>
          <w:szCs w:val="24"/>
        </w:rPr>
        <w:t xml:space="preserve">, initiatives are underway to expand the </w:t>
      </w:r>
      <w:r w:rsidR="006A5E51" w:rsidRPr="00D16622">
        <w:rPr>
          <w:rFonts w:ascii="Times New Roman" w:hAnsi="Times New Roman" w:cs="Times New Roman"/>
          <w:noProof/>
          <w:sz w:val="24"/>
          <w:szCs w:val="24"/>
        </w:rPr>
        <w:t>categories of persons subject to oversight</w:t>
      </w:r>
      <w:r w:rsidR="002E3AA2" w:rsidRPr="00D16622">
        <w:rPr>
          <w:rFonts w:ascii="Times New Roman" w:hAnsi="Times New Roman" w:cs="Times New Roman"/>
          <w:noProof/>
          <w:sz w:val="24"/>
          <w:szCs w:val="24"/>
        </w:rPr>
        <w:t xml:space="preserve"> </w:t>
      </w:r>
      <w:r w:rsidR="00EE38CD" w:rsidRPr="00D16622">
        <w:rPr>
          <w:rFonts w:ascii="Times New Roman" w:hAnsi="Times New Roman" w:cs="Times New Roman"/>
          <w:noProof/>
          <w:sz w:val="24"/>
          <w:szCs w:val="24"/>
        </w:rPr>
        <w:t>after employment</w:t>
      </w:r>
      <w:r w:rsidR="00A25E58" w:rsidRPr="00D16622">
        <w:rPr>
          <w:rFonts w:ascii="Times New Roman" w:hAnsi="Times New Roman" w:cs="Times New Roman"/>
          <w:noProof/>
          <w:sz w:val="24"/>
          <w:szCs w:val="24"/>
        </w:rPr>
        <w:t xml:space="preserve">. </w:t>
      </w:r>
      <w:r w:rsidR="00B65EAB" w:rsidRPr="00D16622">
        <w:rPr>
          <w:rFonts w:ascii="Times New Roman" w:hAnsi="Times New Roman" w:cs="Times New Roman"/>
          <w:noProof/>
          <w:sz w:val="24"/>
          <w:szCs w:val="24"/>
        </w:rPr>
        <w:t xml:space="preserve">In </w:t>
      </w:r>
      <w:hyperlink r:id="rId195" w:history="1">
        <w:r w:rsidR="006E659B" w:rsidRPr="00D16622">
          <w:rPr>
            <w:rStyle w:val="Hyperlink"/>
            <w:rFonts w:cs="Times New Roman"/>
            <w:noProof/>
            <w:szCs w:val="24"/>
          </w:rPr>
          <w:t>Romania</w:t>
        </w:r>
      </w:hyperlink>
      <w:r w:rsidR="00B65EAB" w:rsidRPr="00D16622">
        <w:rPr>
          <w:rFonts w:ascii="Times New Roman" w:hAnsi="Times New Roman" w:cs="Times New Roman"/>
          <w:noProof/>
          <w:sz w:val="24"/>
          <w:szCs w:val="24"/>
        </w:rPr>
        <w:t xml:space="preserve">, </w:t>
      </w:r>
      <w:r w:rsidR="00B65EAB" w:rsidRPr="00D16622">
        <w:rPr>
          <w:rFonts w:ascii="Times New Roman" w:hAnsi="Times New Roman" w:cs="Times New Roman"/>
          <w:noProof/>
          <w:sz w:val="24"/>
          <w:szCs w:val="24"/>
          <w:lang w:val="en-IE"/>
        </w:rPr>
        <w:t xml:space="preserve">new legislation on revolving doors was adopted, including pre- and post-employment restrictions on a wide range of public officials, and a new Code of Ethics for the government </w:t>
      </w:r>
      <w:r w:rsidR="004811C8" w:rsidRPr="00D16622">
        <w:rPr>
          <w:rFonts w:ascii="Times New Roman" w:hAnsi="Times New Roman" w:cs="Times New Roman"/>
          <w:noProof/>
          <w:sz w:val="24"/>
          <w:szCs w:val="24"/>
          <w:lang w:val="en-IE"/>
        </w:rPr>
        <w:t>is being implemented</w:t>
      </w:r>
      <w:r w:rsidR="00B65EAB" w:rsidRPr="00D16622">
        <w:rPr>
          <w:rFonts w:ascii="Times New Roman" w:hAnsi="Times New Roman" w:cs="Times New Roman"/>
          <w:noProof/>
          <w:sz w:val="24"/>
          <w:szCs w:val="24"/>
          <w:lang w:val="en-IE"/>
        </w:rPr>
        <w:t xml:space="preserve">. </w:t>
      </w:r>
      <w:r w:rsidR="00A25E58" w:rsidRPr="00D16622">
        <w:rPr>
          <w:rFonts w:ascii="Times New Roman" w:hAnsi="Times New Roman" w:cs="Times New Roman"/>
          <w:noProof/>
          <w:sz w:val="24"/>
          <w:szCs w:val="24"/>
        </w:rPr>
        <w:t xml:space="preserve">In other Member States, discussions have not advanced. </w:t>
      </w:r>
      <w:r w:rsidR="008D3982" w:rsidRPr="00D16622">
        <w:rPr>
          <w:rFonts w:ascii="Times New Roman" w:hAnsi="Times New Roman" w:cs="Times New Roman"/>
          <w:noProof/>
          <w:sz w:val="24"/>
          <w:szCs w:val="24"/>
          <w:lang w:val="en-IE"/>
        </w:rPr>
        <w:t>In</w:t>
      </w:r>
      <w:r w:rsidR="008D3982" w:rsidRPr="00D16622">
        <w:rPr>
          <w:rFonts w:ascii="Times New Roman" w:hAnsi="Times New Roman" w:cs="Times New Roman"/>
          <w:noProof/>
          <w:sz w:val="24"/>
          <w:szCs w:val="24"/>
        </w:rPr>
        <w:t xml:space="preserve"> </w:t>
      </w:r>
      <w:hyperlink r:id="rId196" w:history="1">
        <w:r w:rsidR="008D3982" w:rsidRPr="00D16622">
          <w:rPr>
            <w:rStyle w:val="Hyperlink"/>
            <w:rFonts w:cs="Times New Roman"/>
            <w:bCs/>
            <w:noProof/>
            <w:szCs w:val="24"/>
          </w:rPr>
          <w:t>Czechia</w:t>
        </w:r>
      </w:hyperlink>
      <w:r w:rsidR="008D3982" w:rsidRPr="00D16622">
        <w:rPr>
          <w:rFonts w:ascii="Times New Roman" w:hAnsi="Times New Roman" w:cs="Times New Roman"/>
          <w:noProof/>
          <w:sz w:val="24"/>
          <w:szCs w:val="24"/>
        </w:rPr>
        <w:t xml:space="preserve">, technical work on a possible future revision of rules on revolving doors </w:t>
      </w:r>
      <w:r w:rsidR="00592CA9" w:rsidRPr="00D16622">
        <w:rPr>
          <w:rFonts w:ascii="Times New Roman" w:hAnsi="Times New Roman" w:cs="Times New Roman"/>
          <w:noProof/>
          <w:sz w:val="24"/>
          <w:szCs w:val="24"/>
        </w:rPr>
        <w:t>continues</w:t>
      </w:r>
      <w:r w:rsidR="008D3982" w:rsidRPr="00D16622">
        <w:rPr>
          <w:rFonts w:ascii="Times New Roman" w:hAnsi="Times New Roman" w:cs="Times New Roman"/>
          <w:noProof/>
          <w:sz w:val="24"/>
          <w:szCs w:val="24"/>
        </w:rPr>
        <w:t xml:space="preserve">. </w:t>
      </w:r>
      <w:r w:rsidR="00A25E58" w:rsidRPr="00D16622">
        <w:rPr>
          <w:rFonts w:ascii="Times New Roman" w:hAnsi="Times New Roman" w:cs="Times New Roman"/>
          <w:noProof/>
          <w:sz w:val="24"/>
          <w:szCs w:val="24"/>
        </w:rPr>
        <w:t xml:space="preserve">In </w:t>
      </w:r>
      <w:hyperlink r:id="rId197" w:history="1">
        <w:r w:rsidR="008A099D" w:rsidRPr="00D16622">
          <w:rPr>
            <w:rStyle w:val="Hyperlink"/>
            <w:rFonts w:cs="Times New Roman"/>
            <w:noProof/>
            <w:szCs w:val="24"/>
            <w:lang w:eastAsia="en-IE"/>
          </w:rPr>
          <w:t>Sweden</w:t>
        </w:r>
      </w:hyperlink>
      <w:r w:rsidR="00A25E58" w:rsidRPr="00D16622">
        <w:rPr>
          <w:rFonts w:ascii="Times New Roman" w:hAnsi="Times New Roman" w:cs="Times New Roman"/>
          <w:noProof/>
          <w:sz w:val="24"/>
          <w:szCs w:val="24"/>
        </w:rPr>
        <w:t xml:space="preserve">, there has been no </w:t>
      </w:r>
      <w:r w:rsidR="007E0487" w:rsidRPr="00D16622">
        <w:rPr>
          <w:rFonts w:ascii="Times New Roman" w:hAnsi="Times New Roman" w:cs="Times New Roman"/>
          <w:noProof/>
          <w:sz w:val="24"/>
          <w:szCs w:val="24"/>
        </w:rPr>
        <w:t>proposal to change</w:t>
      </w:r>
      <w:r w:rsidR="00A25E58" w:rsidRPr="00D16622">
        <w:rPr>
          <w:rFonts w:ascii="Times New Roman" w:hAnsi="Times New Roman" w:cs="Times New Roman"/>
          <w:noProof/>
          <w:sz w:val="24"/>
          <w:szCs w:val="24"/>
        </w:rPr>
        <w:t xml:space="preserve"> the rules on revolving doors</w:t>
      </w:r>
      <w:r w:rsidR="00D13111" w:rsidRPr="00D16622">
        <w:rPr>
          <w:rFonts w:ascii="Times New Roman" w:hAnsi="Times New Roman" w:cs="Times New Roman"/>
          <w:noProof/>
          <w:sz w:val="24"/>
          <w:szCs w:val="24"/>
        </w:rPr>
        <w:t>, and there are no plans to introduce rules on ‘revolving doors’ for ministers i</w:t>
      </w:r>
      <w:r w:rsidR="00A25E58" w:rsidRPr="00D16622">
        <w:rPr>
          <w:rFonts w:ascii="Times New Roman" w:hAnsi="Times New Roman" w:cs="Times New Roman"/>
          <w:noProof/>
          <w:sz w:val="24"/>
          <w:szCs w:val="24"/>
        </w:rPr>
        <w:t xml:space="preserve">n </w:t>
      </w:r>
      <w:hyperlink r:id="rId198" w:history="1">
        <w:r w:rsidR="00A25E58" w:rsidRPr="00D16622">
          <w:rPr>
            <w:rStyle w:val="Hyperlink"/>
            <w:rFonts w:cs="Times New Roman"/>
            <w:bCs/>
            <w:noProof/>
            <w:szCs w:val="24"/>
          </w:rPr>
          <w:t>Denmark</w:t>
        </w:r>
      </w:hyperlink>
      <w:r w:rsidR="00A25E58" w:rsidRPr="00D16622">
        <w:rPr>
          <w:rFonts w:ascii="Times New Roman" w:hAnsi="Times New Roman" w:cs="Times New Roman"/>
          <w:noProof/>
          <w:sz w:val="24"/>
          <w:szCs w:val="24"/>
        </w:rPr>
        <w:t xml:space="preserve">. </w:t>
      </w:r>
    </w:p>
    <w:p w14:paraId="56FFF7C0" w14:textId="77777777" w:rsidR="00F578AD" w:rsidRPr="00D16622" w:rsidRDefault="00F578AD" w:rsidP="00A6573D">
      <w:pPr>
        <w:pStyle w:val="ListParagraph"/>
        <w:numPr>
          <w:ilvl w:val="0"/>
          <w:numId w:val="45"/>
        </w:numPr>
        <w:spacing w:after="120" w:line="240" w:lineRule="auto"/>
        <w:jc w:val="both"/>
        <w:rPr>
          <w:rFonts w:ascii="Times New Roman" w:hAnsi="Times New Roman" w:cs="Times New Roman"/>
          <w:i/>
          <w:noProof/>
          <w:sz w:val="24"/>
          <w:szCs w:val="24"/>
        </w:rPr>
      </w:pPr>
      <w:r w:rsidRPr="00D16622">
        <w:rPr>
          <w:rFonts w:ascii="Times New Roman" w:hAnsi="Times New Roman" w:cs="Times New Roman"/>
          <w:i/>
          <w:noProof/>
          <w:sz w:val="24"/>
          <w:szCs w:val="24"/>
        </w:rPr>
        <w:t>A</w:t>
      </w:r>
      <w:r w:rsidR="006F43AF" w:rsidRPr="00D16622">
        <w:rPr>
          <w:rFonts w:ascii="Times New Roman" w:hAnsi="Times New Roman" w:cs="Times New Roman"/>
          <w:i/>
          <w:noProof/>
          <w:sz w:val="24"/>
          <w:szCs w:val="24"/>
        </w:rPr>
        <w:t>sset and interest disclosure</w:t>
      </w:r>
    </w:p>
    <w:p w14:paraId="7810F02E" w14:textId="3347A779" w:rsidR="0090599C" w:rsidRPr="00D16622" w:rsidRDefault="00740440" w:rsidP="00740440">
      <w:pPr>
        <w:spacing w:after="120" w:line="240" w:lineRule="auto"/>
        <w:jc w:val="both"/>
        <w:rPr>
          <w:rFonts w:ascii="Times New Roman" w:hAnsi="Times New Roman" w:cs="Times New Roman"/>
          <w:iCs/>
          <w:noProof/>
          <w:sz w:val="24"/>
          <w:szCs w:val="24"/>
        </w:rPr>
      </w:pPr>
      <w:r w:rsidRPr="00D16622">
        <w:rPr>
          <w:rFonts w:ascii="Times New Roman" w:hAnsi="Times New Roman" w:cs="Times New Roman"/>
          <w:iCs/>
          <w:noProof/>
          <w:sz w:val="24"/>
          <w:szCs w:val="24"/>
          <w:lang w:val="en-IE"/>
        </w:rPr>
        <w:t>Asset and interest declarations by</w:t>
      </w:r>
      <w:r w:rsidRPr="00D16622">
        <w:rPr>
          <w:rFonts w:ascii="Times New Roman" w:hAnsi="Times New Roman" w:cs="Times New Roman"/>
          <w:noProof/>
          <w:sz w:val="24"/>
          <w:szCs w:val="24"/>
          <w:lang w:val="en-IE"/>
        </w:rPr>
        <w:t xml:space="preserve"> public officials </w:t>
      </w:r>
      <w:r w:rsidR="000F3E6E" w:rsidRPr="00D16622">
        <w:rPr>
          <w:rFonts w:ascii="Times New Roman" w:hAnsi="Times New Roman" w:cs="Times New Roman"/>
          <w:iCs/>
          <w:noProof/>
          <w:sz w:val="24"/>
          <w:szCs w:val="24"/>
          <w:lang w:val="en-IE"/>
        </w:rPr>
        <w:t>enhance</w:t>
      </w:r>
      <w:r w:rsidRPr="00D16622">
        <w:rPr>
          <w:rFonts w:ascii="Times New Roman" w:hAnsi="Times New Roman" w:cs="Times New Roman"/>
          <w:noProof/>
          <w:sz w:val="24"/>
          <w:szCs w:val="24"/>
          <w:lang w:val="en-IE"/>
        </w:rPr>
        <w:t xml:space="preserve"> transparency and accountability </w:t>
      </w:r>
      <w:r w:rsidRPr="00D16622">
        <w:rPr>
          <w:rFonts w:ascii="Times New Roman" w:hAnsi="Times New Roman" w:cs="Times New Roman"/>
          <w:iCs/>
          <w:noProof/>
          <w:sz w:val="24"/>
          <w:szCs w:val="24"/>
          <w:lang w:val="en-IE"/>
        </w:rPr>
        <w:t xml:space="preserve">and </w:t>
      </w:r>
      <w:r w:rsidR="00D274F3" w:rsidRPr="00D16622">
        <w:rPr>
          <w:rFonts w:ascii="Times New Roman" w:hAnsi="Times New Roman" w:cs="Times New Roman"/>
          <w:noProof/>
          <w:sz w:val="24"/>
          <w:szCs w:val="24"/>
          <w:lang w:val="en-IE"/>
        </w:rPr>
        <w:t xml:space="preserve">help </w:t>
      </w:r>
      <w:r w:rsidRPr="00D16622">
        <w:rPr>
          <w:rFonts w:ascii="Times New Roman" w:hAnsi="Times New Roman" w:cs="Times New Roman"/>
          <w:iCs/>
          <w:noProof/>
          <w:sz w:val="24"/>
          <w:szCs w:val="24"/>
          <w:lang w:val="en-IE"/>
        </w:rPr>
        <w:t>promote integrity and prevent corruption</w:t>
      </w:r>
      <w:r w:rsidRPr="00D16622">
        <w:rPr>
          <w:rFonts w:ascii="Times New Roman" w:hAnsi="Times New Roman" w:cs="Times New Roman"/>
          <w:iCs/>
          <w:noProof/>
          <w:sz w:val="24"/>
          <w:szCs w:val="24"/>
        </w:rPr>
        <w:t xml:space="preserve">. </w:t>
      </w:r>
      <w:r w:rsidR="00D274F3" w:rsidRPr="00D16622">
        <w:rPr>
          <w:rFonts w:ascii="Times New Roman" w:hAnsi="Times New Roman" w:cs="Times New Roman"/>
          <w:iCs/>
          <w:noProof/>
          <w:sz w:val="24"/>
          <w:szCs w:val="24"/>
        </w:rPr>
        <w:t>E</w:t>
      </w:r>
      <w:r w:rsidRPr="00D16622">
        <w:rPr>
          <w:rFonts w:ascii="Times New Roman" w:hAnsi="Times New Roman" w:cs="Times New Roman"/>
          <w:iCs/>
          <w:noProof/>
          <w:sz w:val="24"/>
          <w:szCs w:val="24"/>
        </w:rPr>
        <w:t>ffective disclosure and verification system</w:t>
      </w:r>
      <w:r w:rsidR="00D274F3" w:rsidRPr="00D16622">
        <w:rPr>
          <w:rFonts w:ascii="Times New Roman" w:hAnsi="Times New Roman" w:cs="Times New Roman"/>
          <w:iCs/>
          <w:noProof/>
          <w:sz w:val="24"/>
          <w:szCs w:val="24"/>
        </w:rPr>
        <w:t>s</w:t>
      </w:r>
      <w:r w:rsidRPr="00D16622">
        <w:rPr>
          <w:rFonts w:ascii="Times New Roman" w:hAnsi="Times New Roman" w:cs="Times New Roman"/>
          <w:iCs/>
          <w:noProof/>
          <w:sz w:val="24"/>
          <w:szCs w:val="24"/>
        </w:rPr>
        <w:t xml:space="preserve"> can facilitate the detection of conflicts of interests, incompatibilities and corruption. However, Member States </w:t>
      </w:r>
      <w:r w:rsidR="00D274F3" w:rsidRPr="00D16622">
        <w:rPr>
          <w:rFonts w:ascii="Times New Roman" w:hAnsi="Times New Roman" w:cs="Times New Roman"/>
          <w:iCs/>
          <w:noProof/>
          <w:sz w:val="24"/>
          <w:szCs w:val="24"/>
        </w:rPr>
        <w:t>vary</w:t>
      </w:r>
      <w:r w:rsidRPr="00D16622">
        <w:rPr>
          <w:rFonts w:ascii="Times New Roman" w:hAnsi="Times New Roman" w:cs="Times New Roman"/>
          <w:iCs/>
          <w:noProof/>
          <w:sz w:val="24"/>
          <w:szCs w:val="24"/>
        </w:rPr>
        <w:t xml:space="preserve"> in the scope, transparency</w:t>
      </w:r>
      <w:r w:rsidR="00D274F3" w:rsidRPr="00D16622">
        <w:rPr>
          <w:rFonts w:ascii="Times New Roman" w:hAnsi="Times New Roman" w:cs="Times New Roman"/>
          <w:iCs/>
          <w:noProof/>
          <w:sz w:val="24"/>
          <w:szCs w:val="24"/>
        </w:rPr>
        <w:t xml:space="preserve">, </w:t>
      </w:r>
      <w:r w:rsidRPr="00D16622">
        <w:rPr>
          <w:rFonts w:ascii="Times New Roman" w:hAnsi="Times New Roman" w:cs="Times New Roman"/>
          <w:iCs/>
          <w:noProof/>
          <w:sz w:val="24"/>
          <w:szCs w:val="24"/>
        </w:rPr>
        <w:t>accessibility</w:t>
      </w:r>
      <w:r w:rsidR="00D274F3" w:rsidRPr="00D16622">
        <w:rPr>
          <w:rFonts w:ascii="Times New Roman" w:hAnsi="Times New Roman" w:cs="Times New Roman"/>
          <w:iCs/>
          <w:noProof/>
          <w:sz w:val="24"/>
          <w:szCs w:val="24"/>
        </w:rPr>
        <w:t>, verification and enforcement of such disclosures</w:t>
      </w:r>
      <w:r w:rsidR="00D22674" w:rsidRPr="00D16622">
        <w:rPr>
          <w:rFonts w:ascii="Times New Roman" w:hAnsi="Times New Roman" w:cs="Times New Roman"/>
          <w:iCs/>
          <w:noProof/>
          <w:sz w:val="24"/>
          <w:szCs w:val="24"/>
        </w:rPr>
        <w:t>.</w:t>
      </w:r>
    </w:p>
    <w:p w14:paraId="7F65E19F" w14:textId="242D1368" w:rsidR="00740440" w:rsidRPr="00D16622" w:rsidRDefault="00740440" w:rsidP="00740440">
      <w:pPr>
        <w:spacing w:after="120" w:line="240" w:lineRule="auto"/>
        <w:jc w:val="both"/>
        <w:rPr>
          <w:rFonts w:ascii="Times New Roman" w:hAnsi="Times New Roman" w:cs="Times New Roman"/>
          <w:noProof/>
          <w:sz w:val="24"/>
          <w:szCs w:val="24"/>
        </w:rPr>
      </w:pPr>
      <w:r w:rsidRPr="00D16622">
        <w:rPr>
          <w:rFonts w:ascii="Times New Roman" w:hAnsi="Times New Roman" w:cs="Times New Roman"/>
          <w:iCs/>
          <w:noProof/>
          <w:sz w:val="24"/>
          <w:szCs w:val="24"/>
        </w:rPr>
        <w:t>Positive developments are taking place in some Member States</w:t>
      </w:r>
      <w:r w:rsidRPr="00D16622">
        <w:rPr>
          <w:rFonts w:ascii="Times New Roman" w:hAnsi="Times New Roman" w:cs="Times New Roman"/>
          <w:iCs/>
          <w:noProof/>
          <w:sz w:val="24"/>
          <w:szCs w:val="24"/>
          <w:lang w:val="en-IE"/>
        </w:rPr>
        <w:t xml:space="preserve">. The </w:t>
      </w:r>
      <w:hyperlink r:id="rId199" w:history="1">
        <w:r w:rsidR="002C61F5" w:rsidRPr="00D16622">
          <w:rPr>
            <w:rStyle w:val="Hyperlink"/>
            <w:rFonts w:eastAsia="Times New Roman" w:cs="Times New Roman"/>
            <w:noProof/>
            <w:szCs w:val="24"/>
          </w:rPr>
          <w:t>Netherlands</w:t>
        </w:r>
      </w:hyperlink>
      <w:r w:rsidR="002C61F5" w:rsidRPr="00D16622">
        <w:rPr>
          <w:rFonts w:ascii="Times New Roman" w:eastAsia="Times New Roman" w:hAnsi="Times New Roman" w:cs="Times New Roman"/>
          <w:noProof/>
          <w:sz w:val="24"/>
          <w:szCs w:val="24"/>
        </w:rPr>
        <w:t xml:space="preserve"> </w:t>
      </w:r>
      <w:r w:rsidRPr="00D16622">
        <w:rPr>
          <w:rFonts w:ascii="Times New Roman" w:hAnsi="Times New Roman" w:cs="Times New Roman"/>
          <w:iCs/>
          <w:noProof/>
          <w:sz w:val="24"/>
          <w:szCs w:val="24"/>
        </w:rPr>
        <w:t xml:space="preserve">issued </w:t>
      </w:r>
      <w:r w:rsidRPr="00D16622">
        <w:rPr>
          <w:rFonts w:ascii="Times New Roman" w:hAnsi="Times New Roman" w:cs="Times New Roman"/>
          <w:noProof/>
          <w:sz w:val="24"/>
          <w:szCs w:val="24"/>
        </w:rPr>
        <w:t>updated</w:t>
      </w:r>
      <w:r w:rsidRPr="00D16622">
        <w:rPr>
          <w:rFonts w:ascii="Times New Roman" w:hAnsi="Times New Roman" w:cs="Times New Roman"/>
          <w:iCs/>
          <w:noProof/>
          <w:sz w:val="24"/>
          <w:szCs w:val="24"/>
        </w:rPr>
        <w:t xml:space="preserve"> guidance on the asset and interest declaration regime of ministers and state secretaries. </w:t>
      </w:r>
      <w:r w:rsidR="00F12B69" w:rsidRPr="00D16622">
        <w:rPr>
          <w:rFonts w:ascii="Times New Roman" w:hAnsi="Times New Roman" w:cs="Times New Roman"/>
          <w:noProof/>
          <w:sz w:val="24"/>
          <w:szCs w:val="24"/>
        </w:rPr>
        <w:t xml:space="preserve">In </w:t>
      </w:r>
      <w:hyperlink r:id="rId200" w:history="1">
        <w:r w:rsidR="006A4A3C" w:rsidRPr="00D16622">
          <w:rPr>
            <w:rStyle w:val="Hyperlink"/>
            <w:rFonts w:cs="Times New Roman"/>
            <w:noProof/>
            <w:szCs w:val="24"/>
            <w:lang w:eastAsia="en-IE"/>
          </w:rPr>
          <w:t>Croatia</w:t>
        </w:r>
      </w:hyperlink>
      <w:r w:rsidR="006A4A3C" w:rsidRPr="00D16622">
        <w:rPr>
          <w:rFonts w:ascii="Times New Roman" w:hAnsi="Times New Roman" w:cs="Times New Roman"/>
          <w:noProof/>
          <w:sz w:val="24"/>
          <w:szCs w:val="24"/>
          <w:lang w:eastAsia="en-IE"/>
        </w:rPr>
        <w:t xml:space="preserve"> </w:t>
      </w:r>
      <w:r w:rsidR="00F12B69" w:rsidRPr="00D16622">
        <w:rPr>
          <w:rFonts w:ascii="Times New Roman" w:hAnsi="Times New Roman" w:cs="Times New Roman"/>
          <w:bCs/>
          <w:noProof/>
          <w:sz w:val="24"/>
          <w:szCs w:val="24"/>
        </w:rPr>
        <w:t xml:space="preserve">and </w:t>
      </w:r>
      <w:hyperlink r:id="rId201" w:history="1">
        <w:r w:rsidR="00F12B69" w:rsidRPr="00D16622">
          <w:rPr>
            <w:rStyle w:val="Hyperlink"/>
            <w:rFonts w:cs="Times New Roman"/>
            <w:bCs/>
            <w:noProof/>
            <w:szCs w:val="24"/>
          </w:rPr>
          <w:t>Greece</w:t>
        </w:r>
      </w:hyperlink>
      <w:r w:rsidR="00F12B69" w:rsidRPr="00D16622">
        <w:rPr>
          <w:rFonts w:ascii="Times New Roman" w:hAnsi="Times New Roman" w:cs="Times New Roman"/>
          <w:noProof/>
          <w:sz w:val="24"/>
          <w:szCs w:val="24"/>
        </w:rPr>
        <w:t>,</w:t>
      </w:r>
      <w:r w:rsidR="00F12B69" w:rsidRPr="00D16622" w:rsidDel="000B1453">
        <w:rPr>
          <w:rFonts w:ascii="Times New Roman" w:hAnsi="Times New Roman" w:cs="Times New Roman"/>
          <w:iCs/>
          <w:noProof/>
          <w:sz w:val="24"/>
          <w:szCs w:val="24"/>
        </w:rPr>
        <w:t xml:space="preserve"> </w:t>
      </w:r>
      <w:r w:rsidR="00F8258D" w:rsidRPr="00D16622">
        <w:rPr>
          <w:rFonts w:ascii="Times New Roman" w:hAnsi="Times New Roman" w:cs="Times New Roman"/>
          <w:iCs/>
          <w:noProof/>
          <w:sz w:val="24"/>
          <w:szCs w:val="24"/>
        </w:rPr>
        <w:t xml:space="preserve">steps have been taken to digitalise </w:t>
      </w:r>
      <w:r w:rsidR="00F12B69" w:rsidRPr="00D16622">
        <w:rPr>
          <w:rFonts w:ascii="Times New Roman" w:hAnsi="Times New Roman" w:cs="Times New Roman"/>
          <w:iCs/>
          <w:noProof/>
          <w:sz w:val="24"/>
          <w:szCs w:val="24"/>
        </w:rPr>
        <w:t>the asset declaration system</w:t>
      </w:r>
      <w:r w:rsidR="0064110F" w:rsidRPr="00D16622">
        <w:rPr>
          <w:rFonts w:ascii="Times New Roman" w:hAnsi="Times New Roman" w:cs="Times New Roman"/>
          <w:iCs/>
          <w:noProof/>
          <w:sz w:val="24"/>
          <w:szCs w:val="24"/>
        </w:rPr>
        <w:t>s</w:t>
      </w:r>
      <w:r w:rsidR="00F12B69" w:rsidRPr="00D16622">
        <w:rPr>
          <w:rFonts w:ascii="Times New Roman" w:hAnsi="Times New Roman" w:cs="Times New Roman"/>
          <w:iCs/>
          <w:noProof/>
          <w:sz w:val="24"/>
          <w:szCs w:val="24"/>
        </w:rPr>
        <w:t xml:space="preserve">. </w:t>
      </w:r>
    </w:p>
    <w:p w14:paraId="34D06A53" w14:textId="1D910F0F" w:rsidR="00F578AD" w:rsidRPr="00D16622" w:rsidRDefault="00740440" w:rsidP="758710DA">
      <w:pPr>
        <w:spacing w:after="120" w:line="240" w:lineRule="auto"/>
        <w:jc w:val="both"/>
        <w:rPr>
          <w:rFonts w:ascii="Times New Roman" w:hAnsi="Times New Roman" w:cs="Times New Roman"/>
          <w:i/>
          <w:iCs/>
          <w:noProof/>
          <w:sz w:val="24"/>
          <w:szCs w:val="24"/>
        </w:rPr>
      </w:pPr>
      <w:r w:rsidRPr="00D16622">
        <w:rPr>
          <w:rFonts w:ascii="Times New Roman" w:hAnsi="Times New Roman" w:cs="Times New Roman"/>
          <w:noProof/>
          <w:sz w:val="24"/>
          <w:szCs w:val="24"/>
        </w:rPr>
        <w:t xml:space="preserve">In other Member States, challenges remain. In </w:t>
      </w:r>
      <w:hyperlink r:id="rId202" w:history="1">
        <w:r w:rsidRPr="00D16622">
          <w:rPr>
            <w:rStyle w:val="Hyperlink"/>
            <w:rFonts w:cs="Times New Roman"/>
            <w:noProof/>
            <w:szCs w:val="24"/>
          </w:rPr>
          <w:t>Spain</w:t>
        </w:r>
      </w:hyperlink>
      <w:r w:rsidRPr="00D16622">
        <w:rPr>
          <w:rFonts w:ascii="Times New Roman" w:hAnsi="Times New Roman" w:cs="Times New Roman"/>
          <w:noProof/>
          <w:sz w:val="24"/>
          <w:szCs w:val="24"/>
        </w:rPr>
        <w:t xml:space="preserve">, </w:t>
      </w:r>
      <w:r w:rsidR="00194B9C" w:rsidRPr="00D16622">
        <w:rPr>
          <w:rFonts w:ascii="Times New Roman" w:hAnsi="Times New Roman" w:cs="Times New Roman"/>
          <w:noProof/>
          <w:sz w:val="24"/>
          <w:szCs w:val="24"/>
        </w:rPr>
        <w:t>the</w:t>
      </w:r>
      <w:r w:rsidRPr="00D16622">
        <w:rPr>
          <w:rFonts w:ascii="Times New Roman" w:hAnsi="Times New Roman" w:cs="Times New Roman"/>
          <w:noProof/>
          <w:sz w:val="24"/>
          <w:szCs w:val="24"/>
        </w:rPr>
        <w:t xml:space="preserve"> reform of the Parliament’s Rules of Procedure to strengthen penalties for the failure to submit asset declarations or for providing false or incomplete information has not been carried out yet. In </w:t>
      </w:r>
      <w:hyperlink r:id="rId203" w:history="1">
        <w:r w:rsidR="00F86C9D" w:rsidRPr="00D16622">
          <w:rPr>
            <w:rStyle w:val="Hyperlink"/>
            <w:rFonts w:cs="Times New Roman"/>
            <w:bCs/>
            <w:noProof/>
            <w:szCs w:val="24"/>
          </w:rPr>
          <w:t>Poland</w:t>
        </w:r>
      </w:hyperlink>
      <w:r w:rsidRPr="00D16622">
        <w:rPr>
          <w:rFonts w:ascii="Times New Roman" w:hAnsi="Times New Roman" w:cs="Times New Roman"/>
          <w:noProof/>
          <w:sz w:val="24"/>
          <w:szCs w:val="24"/>
        </w:rPr>
        <w:t xml:space="preserve">, most asset declarations of Government officials and members of Parliament are still filled out by hand and in a variety of formats, which the Government announced </w:t>
      </w:r>
      <w:r w:rsidR="00A05502" w:rsidRPr="00D16622">
        <w:rPr>
          <w:rFonts w:ascii="Times New Roman" w:hAnsi="Times New Roman" w:cs="Times New Roman"/>
          <w:noProof/>
          <w:sz w:val="24"/>
          <w:szCs w:val="24"/>
        </w:rPr>
        <w:t>it would</w:t>
      </w:r>
      <w:r w:rsidRPr="00D16622">
        <w:rPr>
          <w:rFonts w:ascii="Times New Roman" w:hAnsi="Times New Roman" w:cs="Times New Roman"/>
          <w:noProof/>
          <w:sz w:val="24"/>
          <w:szCs w:val="24"/>
        </w:rPr>
        <w:t xml:space="preserve"> address now as a priority, including the creation of a standardised online system. In </w:t>
      </w:r>
      <w:hyperlink r:id="rId204" w:history="1">
        <w:r w:rsidR="00775307" w:rsidRPr="00D16622">
          <w:rPr>
            <w:rStyle w:val="Hyperlink"/>
            <w:rFonts w:cs="Times New Roman"/>
            <w:noProof/>
            <w:szCs w:val="24"/>
          </w:rPr>
          <w:t>Malta</w:t>
        </w:r>
      </w:hyperlink>
      <w:r w:rsidRPr="00D16622">
        <w:rPr>
          <w:rFonts w:ascii="Times New Roman" w:hAnsi="Times New Roman" w:cs="Times New Roman"/>
          <w:noProof/>
          <w:sz w:val="24"/>
          <w:szCs w:val="24"/>
        </w:rPr>
        <w:t>,</w:t>
      </w:r>
      <w:r w:rsidR="006F4280" w:rsidRPr="00D16622">
        <w:rPr>
          <w:rFonts w:ascii="Times New Roman" w:hAnsi="Times New Roman" w:cs="Times New Roman"/>
          <w:noProof/>
          <w:sz w:val="24"/>
          <w:szCs w:val="24"/>
        </w:rPr>
        <w:t xml:space="preserve"> a reform of</w:t>
      </w:r>
      <w:r w:rsidRPr="00D16622">
        <w:rPr>
          <w:rFonts w:ascii="Times New Roman" w:hAnsi="Times New Roman" w:cs="Times New Roman"/>
          <w:noProof/>
          <w:sz w:val="24"/>
          <w:szCs w:val="24"/>
        </w:rPr>
        <w:t xml:space="preserve"> the asset </w:t>
      </w:r>
      <w:r w:rsidR="00554549" w:rsidRPr="00D16622">
        <w:rPr>
          <w:rFonts w:ascii="Times New Roman" w:hAnsi="Times New Roman" w:cs="Times New Roman"/>
          <w:noProof/>
          <w:sz w:val="24"/>
          <w:szCs w:val="24"/>
        </w:rPr>
        <w:t xml:space="preserve">and interest </w:t>
      </w:r>
      <w:r w:rsidRPr="00D16622">
        <w:rPr>
          <w:rFonts w:ascii="Times New Roman" w:hAnsi="Times New Roman" w:cs="Times New Roman"/>
          <w:noProof/>
          <w:sz w:val="24"/>
          <w:szCs w:val="24"/>
        </w:rPr>
        <w:t>declaration</w:t>
      </w:r>
      <w:r w:rsidR="00554549" w:rsidRPr="00D16622">
        <w:rPr>
          <w:rFonts w:ascii="Times New Roman" w:hAnsi="Times New Roman" w:cs="Times New Roman"/>
          <w:noProof/>
          <w:sz w:val="24"/>
          <w:szCs w:val="24"/>
        </w:rPr>
        <w:t xml:space="preserve"> system for Members of Parliament and</w:t>
      </w:r>
      <w:r w:rsidRPr="00D16622">
        <w:rPr>
          <w:rFonts w:ascii="Times New Roman" w:hAnsi="Times New Roman" w:cs="Times New Roman"/>
          <w:noProof/>
          <w:sz w:val="24"/>
          <w:szCs w:val="24"/>
        </w:rPr>
        <w:t xml:space="preserve"> Ministers </w:t>
      </w:r>
      <w:r w:rsidR="00554549" w:rsidRPr="00D16622">
        <w:rPr>
          <w:rFonts w:ascii="Times New Roman" w:hAnsi="Times New Roman" w:cs="Times New Roman"/>
          <w:noProof/>
          <w:sz w:val="24"/>
          <w:szCs w:val="24"/>
        </w:rPr>
        <w:t>remains outstanding</w:t>
      </w:r>
      <w:r w:rsidRPr="00D16622">
        <w:rPr>
          <w:rFonts w:ascii="Times New Roman" w:hAnsi="Times New Roman" w:cs="Times New Roman"/>
          <w:noProof/>
          <w:sz w:val="24"/>
          <w:szCs w:val="24"/>
        </w:rPr>
        <w:t xml:space="preserve">. </w:t>
      </w:r>
      <w:r w:rsidRPr="00D16622">
        <w:rPr>
          <w:rFonts w:ascii="Times New Roman" w:hAnsi="Times New Roman" w:cs="Times New Roman"/>
          <w:noProof/>
          <w:sz w:val="24"/>
          <w:szCs w:val="24"/>
          <w:lang w:val="en-IE"/>
        </w:rPr>
        <w:t>While the Transparency Entity is fully operational and has been reinforced</w:t>
      </w:r>
      <w:r w:rsidR="001C1A54" w:rsidRPr="00D16622">
        <w:rPr>
          <w:rFonts w:ascii="Times New Roman" w:hAnsi="Times New Roman" w:cs="Times New Roman"/>
          <w:noProof/>
          <w:sz w:val="24"/>
          <w:szCs w:val="24"/>
          <w:lang w:val="en-IE"/>
        </w:rPr>
        <w:t xml:space="preserve"> in </w:t>
      </w:r>
      <w:hyperlink r:id="rId205" w:history="1">
        <w:r w:rsidR="009F1189" w:rsidRPr="00D16622">
          <w:rPr>
            <w:rStyle w:val="Hyperlink"/>
            <w:rFonts w:cs="Times New Roman"/>
            <w:noProof/>
            <w:szCs w:val="24"/>
          </w:rPr>
          <w:t>Portugal</w:t>
        </w:r>
      </w:hyperlink>
      <w:r w:rsidRPr="00D16622">
        <w:rPr>
          <w:rFonts w:ascii="Times New Roman" w:hAnsi="Times New Roman" w:cs="Times New Roman"/>
          <w:noProof/>
          <w:sz w:val="24"/>
          <w:szCs w:val="24"/>
          <w:lang w:val="en-IE"/>
        </w:rPr>
        <w:t xml:space="preserve">, it is facing a backlog in verifying asset declarations following a surge of submissions after recent elections. </w:t>
      </w:r>
      <w:r w:rsidR="00233CD4" w:rsidRPr="00D16622">
        <w:rPr>
          <w:rFonts w:ascii="Times New Roman" w:hAnsi="Times New Roman" w:cs="Times New Roman"/>
          <w:noProof/>
          <w:sz w:val="24"/>
          <w:szCs w:val="24"/>
          <w:lang w:val="en-IE"/>
        </w:rPr>
        <w:t xml:space="preserve">In </w:t>
      </w:r>
      <w:hyperlink r:id="rId206">
        <w:r w:rsidR="00233CD4" w:rsidRPr="00D16622">
          <w:rPr>
            <w:rStyle w:val="Hyperlink"/>
            <w:rFonts w:cs="Times New Roman"/>
            <w:noProof/>
            <w:szCs w:val="24"/>
          </w:rPr>
          <w:t>Romania</w:t>
        </w:r>
      </w:hyperlink>
      <w:r w:rsidR="00233CD4" w:rsidRPr="00D16622">
        <w:rPr>
          <w:rFonts w:ascii="Times New Roman" w:hAnsi="Times New Roman" w:cs="Times New Roman"/>
          <w:noProof/>
          <w:sz w:val="24"/>
          <w:szCs w:val="24"/>
          <w:lang w:val="en-IE"/>
        </w:rPr>
        <w:t xml:space="preserve">, a broad legislative proposal </w:t>
      </w:r>
      <w:r w:rsidR="00233CD4" w:rsidRPr="00D16622">
        <w:rPr>
          <w:rFonts w:ascii="Times New Roman" w:eastAsia="Times New Roman" w:hAnsi="Times New Roman" w:cs="Times New Roman"/>
          <w:noProof/>
          <w:sz w:val="24"/>
          <w:szCs w:val="24"/>
          <w:lang w:val="en-IE"/>
        </w:rPr>
        <w:t xml:space="preserve">on asset declarations </w:t>
      </w:r>
      <w:r w:rsidR="00233CD4" w:rsidRPr="00D16622">
        <w:rPr>
          <w:rFonts w:ascii="Times New Roman" w:hAnsi="Times New Roman" w:cs="Times New Roman"/>
          <w:noProof/>
          <w:sz w:val="24"/>
          <w:szCs w:val="24"/>
          <w:lang w:val="en-IE"/>
        </w:rPr>
        <w:t xml:space="preserve">submitted by the National Integrity Agency is currently </w:t>
      </w:r>
      <w:r w:rsidR="00233CD4" w:rsidRPr="00D16622">
        <w:rPr>
          <w:rFonts w:ascii="Times New Roman" w:eastAsia="Times New Roman" w:hAnsi="Times New Roman" w:cs="Times New Roman"/>
          <w:noProof/>
          <w:sz w:val="24"/>
          <w:szCs w:val="24"/>
          <w:lang w:val="en-IE"/>
        </w:rPr>
        <w:t xml:space="preserve">under discussion. </w:t>
      </w:r>
      <w:r w:rsidR="14BE04A9" w:rsidRPr="00D16622">
        <w:rPr>
          <w:rFonts w:ascii="Times New Roman" w:hAnsi="Times New Roman" w:cs="Times New Roman"/>
          <w:noProof/>
          <w:sz w:val="24"/>
          <w:szCs w:val="24"/>
          <w:lang w:val="en-IE"/>
        </w:rPr>
        <w:t>I</w:t>
      </w:r>
      <w:r w:rsidRPr="00D16622">
        <w:rPr>
          <w:rFonts w:ascii="Times New Roman" w:eastAsia="Times New Roman" w:hAnsi="Times New Roman" w:cs="Times New Roman"/>
          <w:noProof/>
          <w:sz w:val="24"/>
          <w:szCs w:val="24"/>
          <w:lang w:val="en-IE"/>
        </w:rPr>
        <w:t xml:space="preserve">n </w:t>
      </w:r>
      <w:hyperlink r:id="rId207" w:history="1">
        <w:r w:rsidR="00B14DAD" w:rsidRPr="00D16622">
          <w:rPr>
            <w:rStyle w:val="Hyperlink"/>
            <w:rFonts w:cs="Times New Roman"/>
            <w:noProof/>
            <w:szCs w:val="24"/>
          </w:rPr>
          <w:t>Serbia</w:t>
        </w:r>
      </w:hyperlink>
      <w:r w:rsidR="005D0F2C" w:rsidRPr="00D16622">
        <w:rPr>
          <w:rFonts w:ascii="Times New Roman" w:eastAsia="Times New Roman" w:hAnsi="Times New Roman" w:cs="Times New Roman"/>
          <w:b/>
          <w:bCs/>
          <w:noProof/>
          <w:sz w:val="24"/>
          <w:szCs w:val="24"/>
          <w:lang w:val="en-IE"/>
        </w:rPr>
        <w:t>,</w:t>
      </w:r>
      <w:r w:rsidRPr="00D16622">
        <w:rPr>
          <w:rFonts w:ascii="Times New Roman" w:eastAsia="Times New Roman" w:hAnsi="Times New Roman" w:cs="Times New Roman"/>
          <w:noProof/>
          <w:sz w:val="24"/>
          <w:szCs w:val="24"/>
          <w:lang w:val="en-IE"/>
        </w:rPr>
        <w:t xml:space="preserve"> weaknesses persist regarding the verification and enforcement of asset declarations and conflicts of interest.</w:t>
      </w:r>
    </w:p>
    <w:p w14:paraId="2D526703" w14:textId="267F621F" w:rsidR="00DE7FEA" w:rsidRPr="00D16622" w:rsidRDefault="00F578AD" w:rsidP="00A6573D">
      <w:pPr>
        <w:pStyle w:val="ListParagraph"/>
        <w:numPr>
          <w:ilvl w:val="0"/>
          <w:numId w:val="45"/>
        </w:numPr>
        <w:spacing w:after="120" w:line="240" w:lineRule="auto"/>
        <w:jc w:val="both"/>
        <w:rPr>
          <w:rFonts w:ascii="Times New Roman" w:hAnsi="Times New Roman" w:cs="Times New Roman"/>
          <w:i/>
          <w:noProof/>
          <w:sz w:val="24"/>
          <w:szCs w:val="24"/>
        </w:rPr>
      </w:pPr>
      <w:r w:rsidRPr="00D16622">
        <w:rPr>
          <w:rFonts w:ascii="Times New Roman" w:hAnsi="Times New Roman" w:cs="Times New Roman"/>
          <w:i/>
          <w:noProof/>
          <w:sz w:val="24"/>
          <w:szCs w:val="24"/>
        </w:rPr>
        <w:t>W</w:t>
      </w:r>
      <w:r w:rsidR="006F43AF" w:rsidRPr="00D16622">
        <w:rPr>
          <w:rFonts w:ascii="Times New Roman" w:hAnsi="Times New Roman" w:cs="Times New Roman"/>
          <w:i/>
          <w:noProof/>
          <w:sz w:val="24"/>
          <w:szCs w:val="24"/>
        </w:rPr>
        <w:t>histleblower protection</w:t>
      </w:r>
      <w:r w:rsidR="00374E7E" w:rsidRPr="00D16622">
        <w:rPr>
          <w:rFonts w:ascii="Times New Roman" w:hAnsi="Times New Roman" w:cs="Times New Roman"/>
          <w:i/>
          <w:noProof/>
          <w:sz w:val="24"/>
          <w:szCs w:val="24"/>
        </w:rPr>
        <w:t xml:space="preserve"> and reporting of corruption</w:t>
      </w:r>
    </w:p>
    <w:p w14:paraId="053E5C51" w14:textId="0DBAF927" w:rsidR="00F02516" w:rsidRPr="00D16622" w:rsidRDefault="00313F46" w:rsidP="00837310">
      <w:pPr>
        <w:spacing w:after="120" w:line="240" w:lineRule="auto"/>
        <w:jc w:val="both"/>
        <w:rPr>
          <w:rFonts w:ascii="Times New Roman" w:hAnsi="Times New Roman" w:cs="Times New Roman"/>
          <w:noProof/>
          <w:sz w:val="24"/>
          <w:szCs w:val="24"/>
          <w:lang w:val="en-IE"/>
        </w:rPr>
      </w:pPr>
      <w:r w:rsidRPr="00D16622">
        <w:rPr>
          <w:rFonts w:ascii="Times New Roman" w:hAnsi="Times New Roman" w:cs="Times New Roman"/>
          <w:noProof/>
          <w:sz w:val="24"/>
          <w:szCs w:val="24"/>
        </w:rPr>
        <w:t xml:space="preserve">Whistleblowers play a vital role in helping uncover corruption and other wrongdoing that might otherwise remain hidden. Ensuring that </w:t>
      </w:r>
      <w:r w:rsidR="009F258E" w:rsidRPr="00D16622">
        <w:rPr>
          <w:rFonts w:ascii="Times New Roman" w:hAnsi="Times New Roman" w:cs="Times New Roman"/>
          <w:noProof/>
          <w:sz w:val="24"/>
          <w:szCs w:val="24"/>
        </w:rPr>
        <w:t xml:space="preserve">they </w:t>
      </w:r>
      <w:r w:rsidR="00C33F9C" w:rsidRPr="00D16622">
        <w:rPr>
          <w:rFonts w:ascii="Times New Roman" w:hAnsi="Times New Roman" w:cs="Times New Roman"/>
          <w:noProof/>
          <w:sz w:val="24"/>
          <w:szCs w:val="24"/>
        </w:rPr>
        <w:t>can report</w:t>
      </w:r>
      <w:r w:rsidRPr="00D16622">
        <w:rPr>
          <w:rFonts w:ascii="Times New Roman" w:hAnsi="Times New Roman" w:cs="Times New Roman"/>
          <w:noProof/>
          <w:sz w:val="24"/>
          <w:szCs w:val="24"/>
        </w:rPr>
        <w:t xml:space="preserve"> safely and without fear of retaliation is therefore important. </w:t>
      </w:r>
      <w:r w:rsidR="00C44348" w:rsidRPr="00D16622">
        <w:rPr>
          <w:rFonts w:ascii="Times New Roman" w:hAnsi="Times New Roman" w:cs="Times New Roman"/>
          <w:noProof/>
          <w:sz w:val="24"/>
          <w:szCs w:val="24"/>
        </w:rPr>
        <w:t xml:space="preserve">All Member States have transposed </w:t>
      </w:r>
      <w:r w:rsidR="00F02516" w:rsidRPr="00D16622">
        <w:rPr>
          <w:rFonts w:ascii="Times New Roman" w:hAnsi="Times New Roman" w:cs="Times New Roman"/>
          <w:noProof/>
          <w:sz w:val="24"/>
          <w:szCs w:val="24"/>
        </w:rPr>
        <w:t xml:space="preserve">the </w:t>
      </w:r>
      <w:r w:rsidR="00533520" w:rsidRPr="00D16622">
        <w:rPr>
          <w:rFonts w:ascii="Times New Roman" w:hAnsi="Times New Roman" w:cs="Times New Roman"/>
          <w:noProof/>
          <w:sz w:val="24"/>
          <w:szCs w:val="24"/>
        </w:rPr>
        <w:t xml:space="preserve">core </w:t>
      </w:r>
      <w:r w:rsidR="00C44348" w:rsidRPr="00D16622">
        <w:rPr>
          <w:rFonts w:ascii="Times New Roman" w:hAnsi="Times New Roman" w:cs="Times New Roman"/>
          <w:noProof/>
          <w:sz w:val="24"/>
          <w:szCs w:val="24"/>
        </w:rPr>
        <w:t>provisions</w:t>
      </w:r>
      <w:r w:rsidR="00F02516" w:rsidRPr="00D16622">
        <w:rPr>
          <w:rFonts w:ascii="Times New Roman" w:hAnsi="Times New Roman" w:cs="Times New Roman"/>
          <w:noProof/>
          <w:sz w:val="24"/>
          <w:szCs w:val="24"/>
        </w:rPr>
        <w:t xml:space="preserve"> of the</w:t>
      </w:r>
      <w:r w:rsidR="00533520" w:rsidRPr="00D16622">
        <w:rPr>
          <w:rFonts w:ascii="Times New Roman" w:hAnsi="Times New Roman" w:cs="Times New Roman"/>
          <w:noProof/>
          <w:sz w:val="24"/>
          <w:szCs w:val="24"/>
        </w:rPr>
        <w:t xml:space="preserve"> EU Directive on whistleblower protection</w:t>
      </w:r>
      <w:r w:rsidR="00C345B4" w:rsidRPr="00D16622">
        <w:rPr>
          <w:rFonts w:ascii="Times New Roman" w:hAnsi="Times New Roman" w:cs="Times New Roman"/>
          <w:noProof/>
          <w:sz w:val="24"/>
          <w:szCs w:val="24"/>
        </w:rPr>
        <w:t>,</w:t>
      </w:r>
      <w:r w:rsidR="00BE5E88" w:rsidRPr="00D16622">
        <w:rPr>
          <w:rFonts w:ascii="Times New Roman" w:hAnsi="Times New Roman" w:cs="Times New Roman"/>
          <w:noProof/>
          <w:sz w:val="24"/>
          <w:szCs w:val="24"/>
        </w:rPr>
        <w:t xml:space="preserve"> and most have extended protection beyond EU law to cover additional areas</w:t>
      </w:r>
      <w:r w:rsidR="00533520" w:rsidRPr="00D16622">
        <w:rPr>
          <w:rFonts w:ascii="Times New Roman" w:hAnsi="Times New Roman" w:cs="Times New Roman"/>
          <w:noProof/>
          <w:sz w:val="24"/>
          <w:szCs w:val="24"/>
        </w:rPr>
        <w:t>. However, gaps</w:t>
      </w:r>
      <w:r w:rsidR="00C44348" w:rsidRPr="00D16622">
        <w:rPr>
          <w:rFonts w:ascii="Times New Roman" w:hAnsi="Times New Roman" w:cs="Times New Roman"/>
          <w:noProof/>
          <w:sz w:val="24"/>
          <w:szCs w:val="24"/>
        </w:rPr>
        <w:t xml:space="preserve"> remain in some Members States</w:t>
      </w:r>
      <w:r w:rsidR="00533520" w:rsidRPr="00D16622">
        <w:rPr>
          <w:rFonts w:ascii="Times New Roman" w:hAnsi="Times New Roman" w:cs="Times New Roman"/>
          <w:noProof/>
          <w:sz w:val="24"/>
          <w:szCs w:val="24"/>
        </w:rPr>
        <w:t xml:space="preserve"> regarding</w:t>
      </w:r>
      <w:r w:rsidR="00C44348" w:rsidRPr="00D16622">
        <w:rPr>
          <w:rFonts w:ascii="Times New Roman" w:hAnsi="Times New Roman" w:cs="Times New Roman"/>
          <w:noProof/>
          <w:sz w:val="24"/>
          <w:szCs w:val="24"/>
        </w:rPr>
        <w:t xml:space="preserve"> </w:t>
      </w:r>
      <w:r w:rsidR="009A5716" w:rsidRPr="00D16622">
        <w:rPr>
          <w:rFonts w:ascii="Times New Roman" w:hAnsi="Times New Roman" w:cs="Times New Roman"/>
          <w:noProof/>
          <w:sz w:val="24"/>
          <w:szCs w:val="24"/>
        </w:rPr>
        <w:t xml:space="preserve">the </w:t>
      </w:r>
      <w:r w:rsidR="00C44348" w:rsidRPr="00D16622">
        <w:rPr>
          <w:rFonts w:ascii="Times New Roman" w:hAnsi="Times New Roman" w:cs="Times New Roman"/>
          <w:noProof/>
          <w:sz w:val="24"/>
          <w:szCs w:val="24"/>
        </w:rPr>
        <w:t>scope, conditions for protection and protection against retaliation</w:t>
      </w:r>
      <w:r w:rsidR="00C44348" w:rsidRPr="00D16622">
        <w:rPr>
          <w:rStyle w:val="FootnoteReference"/>
          <w:rFonts w:cs="Times New Roman"/>
          <w:noProof/>
        </w:rPr>
        <w:footnoteReference w:id="67"/>
      </w:r>
      <w:r w:rsidR="00C44348" w:rsidRPr="00D16622">
        <w:rPr>
          <w:rFonts w:ascii="Times New Roman" w:hAnsi="Times New Roman" w:cs="Times New Roman"/>
          <w:noProof/>
          <w:sz w:val="24"/>
          <w:szCs w:val="24"/>
        </w:rPr>
        <w:t xml:space="preserve">. </w:t>
      </w:r>
      <w:r w:rsidR="00810623" w:rsidRPr="00D16622">
        <w:rPr>
          <w:rFonts w:ascii="Times New Roman" w:hAnsi="Times New Roman" w:cs="Times New Roman"/>
          <w:noProof/>
          <w:sz w:val="24"/>
          <w:szCs w:val="24"/>
        </w:rPr>
        <w:t>T</w:t>
      </w:r>
      <w:r w:rsidR="00C44348" w:rsidRPr="00D16622">
        <w:rPr>
          <w:rFonts w:ascii="Times New Roman" w:hAnsi="Times New Roman" w:cs="Times New Roman"/>
          <w:noProof/>
          <w:sz w:val="24"/>
          <w:szCs w:val="24"/>
        </w:rPr>
        <w:t>he Anti-</w:t>
      </w:r>
      <w:r w:rsidR="00995A2B" w:rsidRPr="00D16622">
        <w:rPr>
          <w:rFonts w:ascii="Times New Roman" w:hAnsi="Times New Roman" w:cs="Times New Roman"/>
          <w:noProof/>
          <w:sz w:val="24"/>
          <w:szCs w:val="24"/>
        </w:rPr>
        <w:t>C</w:t>
      </w:r>
      <w:r w:rsidR="00C44348" w:rsidRPr="00D16622">
        <w:rPr>
          <w:rFonts w:ascii="Times New Roman" w:hAnsi="Times New Roman" w:cs="Times New Roman"/>
          <w:noProof/>
          <w:sz w:val="24"/>
          <w:szCs w:val="24"/>
        </w:rPr>
        <w:t xml:space="preserve">orruption Directive requires that whistleblower protection applies to persons reporting corruption offences. </w:t>
      </w:r>
    </w:p>
    <w:p w14:paraId="4FBF32B3" w14:textId="41F31189" w:rsidR="00C44348" w:rsidRPr="00D16622" w:rsidRDefault="000F423F" w:rsidP="00837310">
      <w:pPr>
        <w:spacing w:after="120" w:line="240" w:lineRule="auto"/>
        <w:jc w:val="both"/>
        <w:rPr>
          <w:rFonts w:ascii="Times New Roman" w:hAnsi="Times New Roman" w:cs="Times New Roman"/>
          <w:iCs/>
          <w:noProof/>
          <w:sz w:val="24"/>
          <w:szCs w:val="24"/>
        </w:rPr>
      </w:pPr>
      <w:r w:rsidRPr="00D16622">
        <w:rPr>
          <w:rFonts w:ascii="Times New Roman" w:hAnsi="Times New Roman" w:cs="Times New Roman"/>
          <w:iCs/>
          <w:noProof/>
          <w:sz w:val="24"/>
          <w:szCs w:val="24"/>
          <w:lang w:val="en-IE"/>
        </w:rPr>
        <w:t xml:space="preserve">Whistleblowers make increasing use of the available reporting channels in several Member States, showing </w:t>
      </w:r>
      <w:r w:rsidR="00D54174" w:rsidRPr="00D16622">
        <w:rPr>
          <w:rFonts w:ascii="Times New Roman" w:hAnsi="Times New Roman" w:cs="Times New Roman"/>
          <w:iCs/>
          <w:noProof/>
          <w:sz w:val="24"/>
          <w:szCs w:val="24"/>
          <w:lang w:val="en-IE"/>
        </w:rPr>
        <w:t xml:space="preserve">that an effective protection system can encourage reporting. Many Member States are also </w:t>
      </w:r>
      <w:r w:rsidR="00855FA8" w:rsidRPr="00D16622">
        <w:rPr>
          <w:rFonts w:ascii="Times New Roman" w:hAnsi="Times New Roman" w:cs="Times New Roman"/>
          <w:iCs/>
          <w:noProof/>
          <w:sz w:val="24"/>
          <w:szCs w:val="24"/>
          <w:lang w:val="en-IE"/>
        </w:rPr>
        <w:t xml:space="preserve">taking measures to increase awareness and amend rules </w:t>
      </w:r>
      <w:r w:rsidR="0095757E" w:rsidRPr="00D16622">
        <w:rPr>
          <w:rFonts w:ascii="Times New Roman" w:hAnsi="Times New Roman" w:cs="Times New Roman"/>
          <w:iCs/>
          <w:noProof/>
          <w:sz w:val="24"/>
          <w:szCs w:val="24"/>
          <w:lang w:val="en-IE"/>
        </w:rPr>
        <w:t xml:space="preserve">to strengthen the framework </w:t>
      </w:r>
      <w:r w:rsidR="00855FA8" w:rsidRPr="00D16622">
        <w:rPr>
          <w:rFonts w:ascii="Times New Roman" w:hAnsi="Times New Roman" w:cs="Times New Roman"/>
          <w:iCs/>
          <w:noProof/>
          <w:sz w:val="24"/>
          <w:szCs w:val="24"/>
          <w:lang w:val="en-IE"/>
        </w:rPr>
        <w:t>where needed.</w:t>
      </w:r>
      <w:r w:rsidRPr="00D16622">
        <w:rPr>
          <w:rFonts w:ascii="Times New Roman" w:hAnsi="Times New Roman" w:cs="Times New Roman"/>
          <w:iCs/>
          <w:noProof/>
          <w:sz w:val="24"/>
          <w:szCs w:val="24"/>
          <w:lang w:val="en-IE"/>
        </w:rPr>
        <w:t xml:space="preserve"> </w:t>
      </w:r>
      <w:r w:rsidR="00C44348" w:rsidRPr="00D16622">
        <w:rPr>
          <w:rFonts w:ascii="Times New Roman" w:hAnsi="Times New Roman" w:cs="Times New Roman"/>
          <w:iCs/>
          <w:noProof/>
          <w:sz w:val="24"/>
          <w:szCs w:val="24"/>
          <w:lang w:val="en-IE"/>
        </w:rPr>
        <w:t xml:space="preserve">In </w:t>
      </w:r>
      <w:hyperlink r:id="rId208" w:history="1">
        <w:r w:rsidR="00C44348" w:rsidRPr="00D16622">
          <w:rPr>
            <w:rStyle w:val="Hyperlink"/>
            <w:rFonts w:cs="Times New Roman"/>
            <w:bCs/>
            <w:noProof/>
            <w:szCs w:val="24"/>
            <w:lang w:val="en-IE"/>
          </w:rPr>
          <w:t>Denmark</w:t>
        </w:r>
      </w:hyperlink>
      <w:r w:rsidR="00855FA8" w:rsidRPr="00D16622">
        <w:rPr>
          <w:rFonts w:ascii="Times New Roman" w:hAnsi="Times New Roman" w:cs="Times New Roman"/>
          <w:bCs/>
          <w:noProof/>
          <w:sz w:val="24"/>
          <w:szCs w:val="24"/>
          <w:lang w:val="en-IE"/>
        </w:rPr>
        <w:t>,</w:t>
      </w:r>
      <w:r w:rsidR="00855FA8" w:rsidRPr="00D16622">
        <w:rPr>
          <w:rFonts w:ascii="Times New Roman" w:hAnsi="Times New Roman" w:cs="Times New Roman"/>
          <w:b/>
          <w:noProof/>
          <w:sz w:val="24"/>
          <w:szCs w:val="24"/>
          <w:lang w:val="en-IE"/>
        </w:rPr>
        <w:t xml:space="preserve"> </w:t>
      </w:r>
      <w:hyperlink r:id="rId209" w:history="1">
        <w:r w:rsidR="00C44385" w:rsidRPr="00D16622">
          <w:rPr>
            <w:rStyle w:val="Hyperlink"/>
            <w:rFonts w:eastAsia="Times New Roman" w:cs="Times New Roman"/>
            <w:noProof/>
            <w:szCs w:val="24"/>
          </w:rPr>
          <w:t>Lithuania</w:t>
        </w:r>
      </w:hyperlink>
      <w:r w:rsidR="00C44348" w:rsidRPr="00D16622">
        <w:rPr>
          <w:rFonts w:ascii="Times New Roman" w:hAnsi="Times New Roman" w:cs="Times New Roman"/>
          <w:noProof/>
          <w:sz w:val="24"/>
          <w:szCs w:val="24"/>
          <w:lang w:val="en-IE"/>
        </w:rPr>
        <w:t>,</w:t>
      </w:r>
      <w:r w:rsidR="00855FA8" w:rsidRPr="00D16622">
        <w:rPr>
          <w:rFonts w:ascii="Times New Roman" w:hAnsi="Times New Roman" w:cs="Times New Roman"/>
          <w:noProof/>
          <w:sz w:val="24"/>
          <w:szCs w:val="24"/>
          <w:lang w:val="en-IE"/>
        </w:rPr>
        <w:t xml:space="preserve"> and </w:t>
      </w:r>
      <w:hyperlink r:id="rId210" w:history="1">
        <w:r w:rsidR="006812EC" w:rsidRPr="00D16622">
          <w:rPr>
            <w:rStyle w:val="Hyperlink"/>
            <w:rFonts w:cs="Times New Roman"/>
            <w:noProof/>
            <w:szCs w:val="24"/>
          </w:rPr>
          <w:t>Slovenia</w:t>
        </w:r>
      </w:hyperlink>
      <w:r w:rsidR="00855FA8" w:rsidRPr="00D16622">
        <w:rPr>
          <w:rFonts w:ascii="Times New Roman" w:hAnsi="Times New Roman" w:cs="Times New Roman"/>
          <w:noProof/>
          <w:sz w:val="24"/>
          <w:szCs w:val="24"/>
          <w:lang w:val="en-IE"/>
        </w:rPr>
        <w:t>,</w:t>
      </w:r>
      <w:r w:rsidR="00C44348" w:rsidRPr="00D16622">
        <w:rPr>
          <w:rFonts w:ascii="Times New Roman" w:hAnsi="Times New Roman" w:cs="Times New Roman"/>
          <w:iCs/>
          <w:noProof/>
          <w:sz w:val="24"/>
          <w:szCs w:val="24"/>
          <w:lang w:val="en-IE"/>
        </w:rPr>
        <w:t xml:space="preserve"> the number of whistleblowing reports continues to rise, and the authorities</w:t>
      </w:r>
      <w:r w:rsidR="006D1253" w:rsidRPr="00D16622">
        <w:rPr>
          <w:rFonts w:ascii="Times New Roman" w:hAnsi="Times New Roman" w:cs="Times New Roman"/>
          <w:iCs/>
          <w:noProof/>
          <w:sz w:val="24"/>
          <w:szCs w:val="24"/>
          <w:lang w:val="en-IE"/>
        </w:rPr>
        <w:t xml:space="preserve"> </w:t>
      </w:r>
      <w:r w:rsidR="0099620A" w:rsidRPr="00D16622">
        <w:rPr>
          <w:rFonts w:ascii="Times New Roman" w:hAnsi="Times New Roman" w:cs="Times New Roman"/>
          <w:iCs/>
          <w:noProof/>
          <w:sz w:val="24"/>
          <w:szCs w:val="24"/>
          <w:lang w:val="en-IE"/>
        </w:rPr>
        <w:t xml:space="preserve">report </w:t>
      </w:r>
      <w:r w:rsidR="00C44348" w:rsidRPr="00D16622">
        <w:rPr>
          <w:rFonts w:ascii="Times New Roman" w:hAnsi="Times New Roman" w:cs="Times New Roman"/>
          <w:iCs/>
          <w:noProof/>
          <w:sz w:val="24"/>
          <w:szCs w:val="24"/>
          <w:lang w:val="en-IE"/>
        </w:rPr>
        <w:t>that the implementation of whistleblowing rules is on the right track.</w:t>
      </w:r>
      <w:r w:rsidR="00C44348" w:rsidRPr="00D16622">
        <w:rPr>
          <w:rFonts w:ascii="Times New Roman" w:hAnsi="Times New Roman" w:cs="Times New Roman"/>
          <w:iCs/>
          <w:noProof/>
          <w:sz w:val="24"/>
          <w:szCs w:val="24"/>
        </w:rPr>
        <w:t xml:space="preserve"> In </w:t>
      </w:r>
      <w:hyperlink r:id="rId211" w:history="1">
        <w:r w:rsidR="006E659B" w:rsidRPr="00D16622">
          <w:rPr>
            <w:rStyle w:val="Hyperlink"/>
            <w:rFonts w:cs="Times New Roman"/>
            <w:noProof/>
            <w:szCs w:val="24"/>
          </w:rPr>
          <w:t>Romania</w:t>
        </w:r>
      </w:hyperlink>
      <w:r w:rsidR="00C44348" w:rsidRPr="00D16622">
        <w:rPr>
          <w:rFonts w:ascii="Times New Roman" w:hAnsi="Times New Roman" w:cs="Times New Roman"/>
          <w:iCs/>
          <w:noProof/>
          <w:sz w:val="24"/>
          <w:szCs w:val="24"/>
        </w:rPr>
        <w:t xml:space="preserve">, an IT </w:t>
      </w:r>
      <w:r w:rsidR="00C44348" w:rsidRPr="00D16622">
        <w:rPr>
          <w:rFonts w:ascii="Times New Roman" w:hAnsi="Times New Roman" w:cs="Times New Roman"/>
          <w:iCs/>
          <w:noProof/>
          <w:sz w:val="24"/>
          <w:szCs w:val="24"/>
          <w:lang w:val="en-IE"/>
        </w:rPr>
        <w:t>system is being developed to receive and manage whistleblower reports, with the aim of increasing efficiency and the communication workflow.</w:t>
      </w:r>
      <w:r w:rsidR="00C44348" w:rsidRPr="00D16622">
        <w:rPr>
          <w:rFonts w:ascii="Times New Roman" w:hAnsi="Times New Roman" w:cs="Times New Roman"/>
          <w:iCs/>
          <w:noProof/>
          <w:sz w:val="24"/>
          <w:szCs w:val="24"/>
        </w:rPr>
        <w:t xml:space="preserve"> </w:t>
      </w:r>
      <w:r w:rsidR="00C44348" w:rsidRPr="00D16622">
        <w:rPr>
          <w:rFonts w:ascii="Times New Roman" w:hAnsi="Times New Roman" w:cs="Times New Roman"/>
          <w:noProof/>
          <w:sz w:val="24"/>
          <w:szCs w:val="24"/>
        </w:rPr>
        <w:t xml:space="preserve">In </w:t>
      </w:r>
      <w:hyperlink r:id="rId212" w:history="1">
        <w:r w:rsidR="00C44348" w:rsidRPr="00D16622">
          <w:rPr>
            <w:rStyle w:val="Hyperlink"/>
            <w:rFonts w:cs="Times New Roman"/>
            <w:bCs/>
            <w:noProof/>
            <w:szCs w:val="24"/>
          </w:rPr>
          <w:t>Spain</w:t>
        </w:r>
      </w:hyperlink>
      <w:r w:rsidR="00C44348" w:rsidRPr="00D16622">
        <w:rPr>
          <w:rFonts w:ascii="Times New Roman" w:hAnsi="Times New Roman" w:cs="Times New Roman"/>
          <w:noProof/>
          <w:sz w:val="24"/>
          <w:szCs w:val="24"/>
        </w:rPr>
        <w:t xml:space="preserve">, </w:t>
      </w:r>
      <w:r w:rsidR="00535352" w:rsidRPr="00D16622">
        <w:rPr>
          <w:rFonts w:ascii="Times New Roman" w:hAnsi="Times New Roman" w:cs="Times New Roman"/>
          <w:noProof/>
          <w:sz w:val="24"/>
          <w:szCs w:val="24"/>
        </w:rPr>
        <w:t>an independent authority tasked with the protection of whistleblowers</w:t>
      </w:r>
      <w:r w:rsidR="00C44348" w:rsidRPr="00D16622">
        <w:rPr>
          <w:rFonts w:ascii="Times New Roman" w:hAnsi="Times New Roman" w:cs="Times New Roman"/>
          <w:noProof/>
          <w:sz w:val="24"/>
          <w:szCs w:val="24"/>
        </w:rPr>
        <w:t xml:space="preserve"> started operating. In </w:t>
      </w:r>
      <w:hyperlink r:id="rId213" w:history="1">
        <w:r w:rsidR="00C44348" w:rsidRPr="00D16622">
          <w:rPr>
            <w:rStyle w:val="Hyperlink"/>
            <w:rFonts w:cs="Times New Roman"/>
            <w:bCs/>
            <w:noProof/>
            <w:szCs w:val="24"/>
          </w:rPr>
          <w:t>Ireland</w:t>
        </w:r>
      </w:hyperlink>
      <w:r w:rsidR="00C44348" w:rsidRPr="00D16622">
        <w:rPr>
          <w:rFonts w:ascii="Times New Roman" w:hAnsi="Times New Roman" w:cs="Times New Roman"/>
          <w:noProof/>
          <w:sz w:val="24"/>
          <w:szCs w:val="24"/>
        </w:rPr>
        <w:t xml:space="preserve">, the statutory review of the Protected Disclosures Act is starting in 2026, with a public consultation to gather evidence on whistleblower experience. </w:t>
      </w:r>
    </w:p>
    <w:p w14:paraId="7508D3B7" w14:textId="47E6D8E1" w:rsidR="00C44348" w:rsidRPr="00D16622" w:rsidRDefault="007520A6" w:rsidP="00837310">
      <w:pPr>
        <w:spacing w:after="120" w:line="240" w:lineRule="auto"/>
        <w:jc w:val="both"/>
        <w:rPr>
          <w:rFonts w:ascii="Times New Roman" w:hAnsi="Times New Roman" w:cs="Times New Roman"/>
          <w:iCs/>
          <w:noProof/>
          <w:sz w:val="24"/>
          <w:szCs w:val="24"/>
        </w:rPr>
      </w:pPr>
      <w:r w:rsidRPr="00D16622">
        <w:rPr>
          <w:rFonts w:ascii="Times New Roman" w:hAnsi="Times New Roman" w:cs="Times New Roman"/>
          <w:iCs/>
          <w:noProof/>
          <w:sz w:val="24"/>
          <w:szCs w:val="24"/>
        </w:rPr>
        <w:t>Nonetheless</w:t>
      </w:r>
      <w:r w:rsidR="00C44348" w:rsidRPr="00D16622">
        <w:rPr>
          <w:rFonts w:ascii="Times New Roman" w:hAnsi="Times New Roman" w:cs="Times New Roman"/>
          <w:iCs/>
          <w:noProof/>
          <w:sz w:val="24"/>
          <w:szCs w:val="24"/>
        </w:rPr>
        <w:t xml:space="preserve">, obstacles </w:t>
      </w:r>
      <w:r w:rsidRPr="00D16622">
        <w:rPr>
          <w:rFonts w:ascii="Times New Roman" w:hAnsi="Times New Roman" w:cs="Times New Roman"/>
          <w:iCs/>
          <w:noProof/>
          <w:sz w:val="24"/>
          <w:szCs w:val="24"/>
        </w:rPr>
        <w:t xml:space="preserve">remain in practice with regard </w:t>
      </w:r>
      <w:r w:rsidR="00C44348" w:rsidRPr="00D16622">
        <w:rPr>
          <w:rFonts w:ascii="Times New Roman" w:hAnsi="Times New Roman" w:cs="Times New Roman"/>
          <w:iCs/>
          <w:noProof/>
          <w:sz w:val="24"/>
          <w:szCs w:val="24"/>
        </w:rPr>
        <w:t xml:space="preserve">to reporting corruption cases. According to the Special Eurobarometer on citizens’ attitudes towards corruption, 31% of </w:t>
      </w:r>
      <w:r w:rsidR="00C44348" w:rsidRPr="00D16622">
        <w:rPr>
          <w:rFonts w:ascii="Times New Roman" w:hAnsi="Times New Roman" w:cs="Times New Roman"/>
          <w:iCs/>
          <w:noProof/>
          <w:sz w:val="24"/>
          <w:szCs w:val="24"/>
          <w:lang w:val="en-IE"/>
        </w:rPr>
        <w:t>Europeans</w:t>
      </w:r>
      <w:r w:rsidR="00C44348" w:rsidRPr="00D16622">
        <w:rPr>
          <w:rFonts w:ascii="Times New Roman" w:hAnsi="Times New Roman" w:cs="Times New Roman"/>
          <w:iCs/>
          <w:noProof/>
          <w:sz w:val="24"/>
          <w:szCs w:val="24"/>
        </w:rPr>
        <w:t xml:space="preserve"> think that those reporting a case of corruption are not protected from retaliation and 29% of Europeans believe that cases of corruption are not reported because reporting would not be followed up and punished. To overcome reluctance, Member States </w:t>
      </w:r>
      <w:r w:rsidR="00C44348" w:rsidRPr="00D16622" w:rsidDel="00955385">
        <w:rPr>
          <w:rFonts w:ascii="Times New Roman" w:hAnsi="Times New Roman" w:cs="Times New Roman"/>
          <w:iCs/>
          <w:noProof/>
          <w:sz w:val="24"/>
          <w:szCs w:val="24"/>
        </w:rPr>
        <w:t>are</w:t>
      </w:r>
      <w:r w:rsidR="006D6155" w:rsidRPr="00D16622">
        <w:rPr>
          <w:rFonts w:ascii="Times New Roman" w:hAnsi="Times New Roman" w:cs="Times New Roman"/>
          <w:iCs/>
          <w:noProof/>
          <w:sz w:val="24"/>
          <w:szCs w:val="24"/>
        </w:rPr>
        <w:t xml:space="preserve"> </w:t>
      </w:r>
      <w:r w:rsidR="00955385" w:rsidRPr="00D16622">
        <w:rPr>
          <w:rFonts w:ascii="Times New Roman" w:hAnsi="Times New Roman" w:cs="Times New Roman"/>
          <w:iCs/>
          <w:noProof/>
          <w:sz w:val="24"/>
          <w:szCs w:val="24"/>
        </w:rPr>
        <w:t xml:space="preserve">introducing </w:t>
      </w:r>
      <w:r w:rsidR="00910633" w:rsidRPr="00D16622">
        <w:rPr>
          <w:rFonts w:ascii="Times New Roman" w:hAnsi="Times New Roman" w:cs="Times New Roman"/>
          <w:iCs/>
          <w:noProof/>
          <w:sz w:val="24"/>
          <w:szCs w:val="24"/>
        </w:rPr>
        <w:t>awareness</w:t>
      </w:r>
      <w:r w:rsidR="00955385" w:rsidRPr="00D16622">
        <w:rPr>
          <w:rFonts w:ascii="Times New Roman" w:hAnsi="Times New Roman" w:cs="Times New Roman"/>
          <w:iCs/>
          <w:noProof/>
          <w:sz w:val="24"/>
          <w:szCs w:val="24"/>
        </w:rPr>
        <w:t>-raising and guidance</w:t>
      </w:r>
      <w:r w:rsidR="00C44348" w:rsidRPr="00D16622">
        <w:rPr>
          <w:rFonts w:ascii="Times New Roman" w:hAnsi="Times New Roman" w:cs="Times New Roman"/>
          <w:iCs/>
          <w:noProof/>
          <w:sz w:val="24"/>
          <w:szCs w:val="24"/>
        </w:rPr>
        <w:t xml:space="preserve"> tools. </w:t>
      </w:r>
      <w:r w:rsidR="00C44348" w:rsidRPr="00D16622">
        <w:rPr>
          <w:rFonts w:ascii="Times New Roman" w:hAnsi="Times New Roman" w:cs="Times New Roman"/>
          <w:noProof/>
          <w:sz w:val="24"/>
          <w:szCs w:val="24"/>
        </w:rPr>
        <w:t xml:space="preserve">For example, in </w:t>
      </w:r>
      <w:hyperlink r:id="rId214" w:history="1">
        <w:r w:rsidR="006E659B" w:rsidRPr="00D16622">
          <w:rPr>
            <w:rStyle w:val="Hyperlink"/>
            <w:rFonts w:cs="Times New Roman"/>
            <w:noProof/>
            <w:szCs w:val="24"/>
          </w:rPr>
          <w:t>Romania</w:t>
        </w:r>
      </w:hyperlink>
      <w:r w:rsidR="00C44348" w:rsidRPr="00D16622">
        <w:rPr>
          <w:rFonts w:ascii="Times New Roman" w:hAnsi="Times New Roman" w:cs="Times New Roman"/>
          <w:noProof/>
          <w:sz w:val="24"/>
          <w:szCs w:val="24"/>
        </w:rPr>
        <w:t xml:space="preserve">, </w:t>
      </w:r>
      <w:r w:rsidR="00C44348" w:rsidRPr="00D16622">
        <w:rPr>
          <w:rFonts w:ascii="Times New Roman" w:hAnsi="Times New Roman" w:cs="Times New Roman"/>
          <w:noProof/>
          <w:sz w:val="24"/>
          <w:szCs w:val="24"/>
          <w:lang w:val="en-IE"/>
        </w:rPr>
        <w:t xml:space="preserve">training sessions were held for public and private entities </w:t>
      </w:r>
      <w:r w:rsidR="00C44348" w:rsidRPr="00D16622">
        <w:rPr>
          <w:rFonts w:ascii="Times New Roman" w:hAnsi="Times New Roman" w:cs="Times New Roman"/>
          <w:noProof/>
          <w:sz w:val="24"/>
          <w:szCs w:val="24"/>
          <w:lang w:val="en-US"/>
        </w:rPr>
        <w:t>covering both internal and external reporting channels</w:t>
      </w:r>
      <w:r w:rsidR="00A7730C" w:rsidRPr="00D16622">
        <w:rPr>
          <w:rFonts w:ascii="Times New Roman" w:hAnsi="Times New Roman" w:cs="Times New Roman"/>
          <w:noProof/>
          <w:sz w:val="24"/>
          <w:szCs w:val="24"/>
          <w:lang w:val="en-US"/>
        </w:rPr>
        <w:t>.</w:t>
      </w:r>
      <w:r w:rsidR="00C44348" w:rsidRPr="00D16622">
        <w:rPr>
          <w:rFonts w:ascii="Times New Roman" w:hAnsi="Times New Roman" w:cs="Times New Roman"/>
          <w:noProof/>
          <w:sz w:val="24"/>
          <w:szCs w:val="24"/>
        </w:rPr>
        <w:t xml:space="preserve"> </w:t>
      </w:r>
    </w:p>
    <w:p w14:paraId="11DF71F7" w14:textId="22A18427" w:rsidR="006F43AF" w:rsidRPr="00D16622" w:rsidRDefault="00DE7FEA" w:rsidP="00A6573D">
      <w:pPr>
        <w:pStyle w:val="ListParagraph"/>
        <w:numPr>
          <w:ilvl w:val="0"/>
          <w:numId w:val="45"/>
        </w:numPr>
        <w:spacing w:after="120" w:line="240" w:lineRule="auto"/>
        <w:jc w:val="both"/>
        <w:rPr>
          <w:rFonts w:ascii="Times New Roman" w:hAnsi="Times New Roman" w:cs="Times New Roman"/>
          <w:i/>
          <w:noProof/>
          <w:sz w:val="24"/>
          <w:szCs w:val="24"/>
        </w:rPr>
      </w:pPr>
      <w:r w:rsidRPr="00D16622">
        <w:rPr>
          <w:rFonts w:ascii="Times New Roman" w:hAnsi="Times New Roman" w:cs="Times New Roman"/>
          <w:i/>
          <w:noProof/>
          <w:sz w:val="24"/>
          <w:szCs w:val="24"/>
        </w:rPr>
        <w:t>P</w:t>
      </w:r>
      <w:r w:rsidR="006F43AF" w:rsidRPr="00D16622">
        <w:rPr>
          <w:rFonts w:ascii="Times New Roman" w:hAnsi="Times New Roman" w:cs="Times New Roman"/>
          <w:i/>
          <w:noProof/>
          <w:sz w:val="24"/>
          <w:szCs w:val="24"/>
        </w:rPr>
        <w:t xml:space="preserve">olitical party and political campaign financing </w:t>
      </w:r>
    </w:p>
    <w:p w14:paraId="2EB731B5" w14:textId="7C3DA4CA" w:rsidR="00F05639" w:rsidRPr="00D16622" w:rsidRDefault="00F05639" w:rsidP="00F05639">
      <w:pPr>
        <w:spacing w:after="120" w:line="240" w:lineRule="auto"/>
        <w:jc w:val="both"/>
        <w:rPr>
          <w:rFonts w:ascii="Times New Roman" w:hAnsi="Times New Roman" w:cs="Times New Roman"/>
          <w:iCs/>
          <w:noProof/>
          <w:sz w:val="24"/>
          <w:szCs w:val="24"/>
        </w:rPr>
      </w:pPr>
      <w:r w:rsidRPr="00D16622">
        <w:rPr>
          <w:rFonts w:ascii="Times New Roman" w:hAnsi="Times New Roman" w:cs="Times New Roman"/>
          <w:iCs/>
          <w:noProof/>
          <w:sz w:val="24"/>
          <w:szCs w:val="24"/>
        </w:rPr>
        <w:t xml:space="preserve">Transparency in political party financing </w:t>
      </w:r>
      <w:r w:rsidR="00CE14A6" w:rsidRPr="00D16622">
        <w:rPr>
          <w:rFonts w:ascii="Times New Roman" w:hAnsi="Times New Roman" w:cs="Times New Roman"/>
          <w:iCs/>
          <w:noProof/>
          <w:sz w:val="24"/>
          <w:szCs w:val="24"/>
        </w:rPr>
        <w:t>is essential to</w:t>
      </w:r>
      <w:r w:rsidR="007C2707" w:rsidRPr="00D16622">
        <w:rPr>
          <w:rFonts w:ascii="Times New Roman" w:hAnsi="Times New Roman" w:cs="Times New Roman"/>
          <w:iCs/>
          <w:noProof/>
          <w:sz w:val="24"/>
          <w:szCs w:val="24"/>
        </w:rPr>
        <w:t xml:space="preserve"> protecting the integrity of democratic processes,</w:t>
      </w:r>
      <w:r w:rsidR="00CE14A6" w:rsidRPr="00D16622">
        <w:rPr>
          <w:rFonts w:ascii="Times New Roman" w:hAnsi="Times New Roman" w:cs="Times New Roman"/>
          <w:iCs/>
          <w:noProof/>
          <w:sz w:val="24"/>
          <w:szCs w:val="24"/>
        </w:rPr>
        <w:t xml:space="preserve"> </w:t>
      </w:r>
      <w:r w:rsidRPr="00D16622">
        <w:rPr>
          <w:rFonts w:ascii="Times New Roman" w:hAnsi="Times New Roman" w:cs="Times New Roman"/>
          <w:iCs/>
          <w:noProof/>
          <w:sz w:val="24"/>
          <w:szCs w:val="24"/>
        </w:rPr>
        <w:t>preventin</w:t>
      </w:r>
      <w:r w:rsidR="007C2707" w:rsidRPr="00D16622">
        <w:rPr>
          <w:rFonts w:ascii="Times New Roman" w:hAnsi="Times New Roman" w:cs="Times New Roman"/>
          <w:iCs/>
          <w:noProof/>
          <w:sz w:val="24"/>
          <w:szCs w:val="24"/>
        </w:rPr>
        <w:t xml:space="preserve">g </w:t>
      </w:r>
      <w:r w:rsidRPr="00D16622">
        <w:rPr>
          <w:rFonts w:ascii="Times New Roman" w:hAnsi="Times New Roman" w:cs="Times New Roman"/>
          <w:iCs/>
          <w:noProof/>
          <w:sz w:val="24"/>
          <w:szCs w:val="24"/>
        </w:rPr>
        <w:t>undue influence</w:t>
      </w:r>
      <w:r w:rsidR="00BF7624" w:rsidRPr="00D16622">
        <w:rPr>
          <w:rFonts w:ascii="Times New Roman" w:hAnsi="Times New Roman" w:cs="Times New Roman"/>
          <w:iCs/>
          <w:noProof/>
          <w:sz w:val="24"/>
          <w:szCs w:val="24"/>
        </w:rPr>
        <w:t xml:space="preserve"> and ensuring </w:t>
      </w:r>
      <w:r w:rsidRPr="00D16622">
        <w:rPr>
          <w:rFonts w:ascii="Times New Roman" w:hAnsi="Times New Roman" w:cs="Times New Roman"/>
          <w:iCs/>
          <w:noProof/>
          <w:sz w:val="24"/>
          <w:szCs w:val="24"/>
        </w:rPr>
        <w:t>democratic accountability</w:t>
      </w:r>
      <w:r w:rsidRPr="00D16622">
        <w:rPr>
          <w:rStyle w:val="FootnoteReference"/>
          <w:rFonts w:cs="Times New Roman"/>
          <w:noProof/>
        </w:rPr>
        <w:footnoteReference w:id="68"/>
      </w:r>
      <w:r w:rsidRPr="00D16622">
        <w:rPr>
          <w:rFonts w:ascii="Times New Roman" w:hAnsi="Times New Roman" w:cs="Times New Roman"/>
          <w:iCs/>
          <w:noProof/>
          <w:sz w:val="24"/>
          <w:szCs w:val="24"/>
        </w:rPr>
        <w:t xml:space="preserve">. </w:t>
      </w:r>
    </w:p>
    <w:p w14:paraId="44FAC1B9" w14:textId="430463BB" w:rsidR="00F05639" w:rsidRPr="00D16622" w:rsidRDefault="00F05639" w:rsidP="00F05639">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Several Member States have adopted or are considering reforms to increase transparency and </w:t>
      </w:r>
      <w:r w:rsidRPr="00D16622">
        <w:rPr>
          <w:rFonts w:ascii="Times New Roman" w:hAnsi="Times New Roman" w:cs="Times New Roman"/>
          <w:iCs/>
          <w:noProof/>
          <w:sz w:val="24"/>
          <w:szCs w:val="24"/>
        </w:rPr>
        <w:t>oversight</w:t>
      </w:r>
      <w:r w:rsidR="00623002" w:rsidRPr="00D16622">
        <w:rPr>
          <w:rFonts w:ascii="Times New Roman" w:hAnsi="Times New Roman" w:cs="Times New Roman"/>
          <w:noProof/>
          <w:sz w:val="24"/>
          <w:szCs w:val="24"/>
        </w:rPr>
        <w:t>.</w:t>
      </w:r>
      <w:r w:rsidRPr="00D16622" w:rsidDel="00A90206">
        <w:rPr>
          <w:rFonts w:ascii="Times New Roman" w:hAnsi="Times New Roman" w:cs="Times New Roman"/>
          <w:noProof/>
          <w:sz w:val="24"/>
          <w:szCs w:val="24"/>
        </w:rPr>
        <w:t xml:space="preserve"> </w:t>
      </w:r>
      <w:r w:rsidRPr="00D16622">
        <w:rPr>
          <w:rFonts w:ascii="Times New Roman" w:hAnsi="Times New Roman" w:cs="Times New Roman"/>
          <w:noProof/>
          <w:sz w:val="24"/>
          <w:szCs w:val="24"/>
        </w:rPr>
        <w:t xml:space="preserve">In </w:t>
      </w:r>
      <w:hyperlink r:id="rId215" w:history="1">
        <w:r w:rsidRPr="00D16622">
          <w:rPr>
            <w:rStyle w:val="Hyperlink"/>
            <w:rFonts w:cs="Times New Roman"/>
            <w:noProof/>
            <w:szCs w:val="24"/>
          </w:rPr>
          <w:t>Estonia</w:t>
        </w:r>
      </w:hyperlink>
      <w:r w:rsidRPr="00D16622">
        <w:rPr>
          <w:rFonts w:ascii="Times New Roman" w:hAnsi="Times New Roman" w:cs="Times New Roman"/>
          <w:noProof/>
          <w:sz w:val="24"/>
          <w:szCs w:val="24"/>
        </w:rPr>
        <w:t xml:space="preserve">, </w:t>
      </w:r>
      <w:r w:rsidR="00F871E0" w:rsidRPr="00D16622">
        <w:rPr>
          <w:rFonts w:ascii="Times New Roman" w:hAnsi="Times New Roman" w:cs="Times New Roman"/>
          <w:noProof/>
          <w:sz w:val="24"/>
          <w:szCs w:val="24"/>
          <w:lang w:val="en-IE"/>
        </w:rPr>
        <w:t xml:space="preserve">a </w:t>
      </w:r>
      <w:r w:rsidRPr="00D16622">
        <w:rPr>
          <w:rFonts w:ascii="Times New Roman" w:hAnsi="Times New Roman" w:cs="Times New Roman"/>
          <w:noProof/>
          <w:sz w:val="24"/>
          <w:szCs w:val="24"/>
          <w:lang w:val="en-IE"/>
        </w:rPr>
        <w:t xml:space="preserve">reform of the political party financing framework </w:t>
      </w:r>
      <w:r w:rsidR="00C97D2A" w:rsidRPr="00D16622">
        <w:rPr>
          <w:rFonts w:ascii="Times New Roman" w:hAnsi="Times New Roman" w:cs="Times New Roman"/>
          <w:noProof/>
          <w:sz w:val="24"/>
          <w:szCs w:val="24"/>
          <w:lang w:val="en-IE"/>
        </w:rPr>
        <w:t>entered into force</w:t>
      </w:r>
      <w:r w:rsidRPr="00D16622">
        <w:rPr>
          <w:rFonts w:ascii="Times New Roman" w:hAnsi="Times New Roman" w:cs="Times New Roman"/>
          <w:noProof/>
          <w:sz w:val="24"/>
          <w:szCs w:val="24"/>
        </w:rPr>
        <w:t xml:space="preserve">. In </w:t>
      </w:r>
      <w:hyperlink r:id="rId216" w:history="1">
        <w:r w:rsidR="008A099D" w:rsidRPr="00D16622">
          <w:rPr>
            <w:rStyle w:val="Hyperlink"/>
            <w:rFonts w:cs="Times New Roman"/>
            <w:noProof/>
            <w:szCs w:val="24"/>
            <w:lang w:eastAsia="en-IE"/>
          </w:rPr>
          <w:t>Sweden</w:t>
        </w:r>
      </w:hyperlink>
      <w:r w:rsidRPr="00D16622">
        <w:rPr>
          <w:rFonts w:ascii="Times New Roman" w:hAnsi="Times New Roman" w:cs="Times New Roman"/>
          <w:noProof/>
          <w:sz w:val="24"/>
          <w:szCs w:val="24"/>
        </w:rPr>
        <w:t xml:space="preserve">, </w:t>
      </w:r>
      <w:r w:rsidR="00EA6BE6" w:rsidRPr="00D16622">
        <w:rPr>
          <w:rFonts w:ascii="Times New Roman" w:hAnsi="Times New Roman" w:cs="Times New Roman"/>
          <w:noProof/>
          <w:sz w:val="24"/>
          <w:szCs w:val="24"/>
        </w:rPr>
        <w:t>recently adopted legislation</w:t>
      </w:r>
      <w:r w:rsidRPr="00D16622">
        <w:rPr>
          <w:rFonts w:ascii="Times New Roman" w:hAnsi="Times New Roman" w:cs="Times New Roman"/>
          <w:noProof/>
          <w:sz w:val="24"/>
          <w:szCs w:val="24"/>
        </w:rPr>
        <w:t xml:space="preserve"> strengthens the rules on political party financing, aligning </w:t>
      </w:r>
      <w:r w:rsidR="00F871E0" w:rsidRPr="00D16622">
        <w:rPr>
          <w:rFonts w:ascii="Times New Roman" w:hAnsi="Times New Roman" w:cs="Times New Roman"/>
          <w:noProof/>
          <w:sz w:val="24"/>
          <w:szCs w:val="24"/>
        </w:rPr>
        <w:t>them</w:t>
      </w:r>
      <w:r w:rsidRPr="00D16622">
        <w:rPr>
          <w:rFonts w:ascii="Times New Roman" w:hAnsi="Times New Roman" w:cs="Times New Roman"/>
          <w:noProof/>
          <w:sz w:val="24"/>
          <w:szCs w:val="24"/>
        </w:rPr>
        <w:t xml:space="preserve"> </w:t>
      </w:r>
      <w:r w:rsidR="00975E21" w:rsidRPr="00D16622">
        <w:rPr>
          <w:rFonts w:ascii="Times New Roman" w:hAnsi="Times New Roman" w:cs="Times New Roman"/>
          <w:noProof/>
          <w:sz w:val="24"/>
          <w:szCs w:val="24"/>
        </w:rPr>
        <w:t xml:space="preserve">to </w:t>
      </w:r>
      <w:r w:rsidRPr="00D16622">
        <w:rPr>
          <w:rFonts w:ascii="Times New Roman" w:hAnsi="Times New Roman" w:cs="Times New Roman"/>
          <w:noProof/>
          <w:sz w:val="24"/>
          <w:szCs w:val="24"/>
        </w:rPr>
        <w:t xml:space="preserve">international standards and recommendations. </w:t>
      </w:r>
      <w:r w:rsidRPr="00D16622">
        <w:rPr>
          <w:rFonts w:ascii="Times New Roman" w:hAnsi="Times New Roman" w:cs="Times New Roman"/>
          <w:noProof/>
          <w:sz w:val="24"/>
          <w:szCs w:val="24"/>
          <w:lang w:val="en-IE"/>
        </w:rPr>
        <w:t xml:space="preserve">The new competence of the Court of Audit in auditing political party financial statements have increased transparency </w:t>
      </w:r>
      <w:r w:rsidR="00ED7A4E" w:rsidRPr="00D16622">
        <w:rPr>
          <w:rFonts w:ascii="Times New Roman" w:hAnsi="Times New Roman" w:cs="Times New Roman"/>
          <w:noProof/>
          <w:sz w:val="24"/>
          <w:szCs w:val="24"/>
          <w:lang w:val="en-IE"/>
        </w:rPr>
        <w:t xml:space="preserve">and accountability </w:t>
      </w:r>
      <w:r w:rsidRPr="00D16622">
        <w:rPr>
          <w:rFonts w:ascii="Times New Roman" w:hAnsi="Times New Roman" w:cs="Times New Roman"/>
          <w:noProof/>
          <w:sz w:val="24"/>
          <w:szCs w:val="24"/>
          <w:lang w:val="en-IE"/>
        </w:rPr>
        <w:t xml:space="preserve">of party financing in </w:t>
      </w:r>
      <w:hyperlink r:id="rId217" w:history="1">
        <w:r w:rsidR="00F86C9D" w:rsidRPr="00D16622">
          <w:rPr>
            <w:rStyle w:val="Hyperlink"/>
            <w:rFonts w:cs="Times New Roman"/>
            <w:noProof/>
            <w:szCs w:val="24"/>
            <w:lang w:eastAsia="en-IE"/>
          </w:rPr>
          <w:t>Austria</w:t>
        </w:r>
      </w:hyperlink>
      <w:r w:rsidRPr="00D16622">
        <w:rPr>
          <w:rFonts w:ascii="Times New Roman" w:hAnsi="Times New Roman" w:cs="Times New Roman"/>
          <w:noProof/>
          <w:sz w:val="24"/>
          <w:szCs w:val="24"/>
          <w:lang w:val="en-IE"/>
        </w:rPr>
        <w:t xml:space="preserve">. While a broader reform of the rules on private funding of political parties </w:t>
      </w:r>
      <w:r w:rsidR="00180EE6" w:rsidRPr="00D16622">
        <w:rPr>
          <w:rFonts w:ascii="Times New Roman" w:hAnsi="Times New Roman" w:cs="Times New Roman"/>
          <w:noProof/>
          <w:sz w:val="24"/>
          <w:szCs w:val="24"/>
          <w:lang w:val="en-IE"/>
        </w:rPr>
        <w:t>remains to be</w:t>
      </w:r>
      <w:r w:rsidR="006A7BB7" w:rsidRPr="00D16622">
        <w:rPr>
          <w:rFonts w:ascii="Times New Roman" w:hAnsi="Times New Roman" w:cs="Times New Roman"/>
          <w:noProof/>
          <w:sz w:val="24"/>
          <w:szCs w:val="24"/>
          <w:lang w:val="en-IE"/>
        </w:rPr>
        <w:t xml:space="preserve"> completed</w:t>
      </w:r>
      <w:r w:rsidRPr="00D16622">
        <w:rPr>
          <w:rFonts w:ascii="Times New Roman" w:hAnsi="Times New Roman" w:cs="Times New Roman"/>
          <w:noProof/>
          <w:sz w:val="24"/>
          <w:szCs w:val="24"/>
          <w:lang w:val="en-IE"/>
        </w:rPr>
        <w:t xml:space="preserve"> in </w:t>
      </w:r>
      <w:hyperlink r:id="rId218" w:history="1">
        <w:r w:rsidRPr="00D16622">
          <w:rPr>
            <w:rStyle w:val="Hyperlink"/>
            <w:rFonts w:cs="Times New Roman"/>
            <w:bCs/>
            <w:noProof/>
            <w:szCs w:val="24"/>
            <w:lang w:val="en-IE"/>
          </w:rPr>
          <w:t>Denmark</w:t>
        </w:r>
      </w:hyperlink>
      <w:r w:rsidRPr="00D16622">
        <w:rPr>
          <w:rFonts w:ascii="Times New Roman" w:hAnsi="Times New Roman" w:cs="Times New Roman"/>
          <w:noProof/>
          <w:sz w:val="24"/>
          <w:szCs w:val="24"/>
          <w:lang w:val="en-IE"/>
        </w:rPr>
        <w:t>,</w:t>
      </w:r>
      <w:r w:rsidR="00180EE6" w:rsidRPr="00D16622">
        <w:rPr>
          <w:rFonts w:ascii="Times New Roman" w:hAnsi="Times New Roman" w:cs="Times New Roman"/>
          <w:noProof/>
          <w:sz w:val="24"/>
          <w:szCs w:val="24"/>
          <w:lang w:val="en-IE"/>
        </w:rPr>
        <w:t xml:space="preserve"> new</w:t>
      </w:r>
      <w:r w:rsidRPr="00D16622">
        <w:rPr>
          <w:rFonts w:ascii="Times New Roman" w:hAnsi="Times New Roman" w:cs="Times New Roman"/>
          <w:noProof/>
          <w:sz w:val="24"/>
          <w:szCs w:val="24"/>
          <w:lang w:val="en-IE"/>
        </w:rPr>
        <w:t xml:space="preserve"> rules have been adopted </w:t>
      </w:r>
      <w:r w:rsidR="003D7CEA" w:rsidRPr="00D16622">
        <w:rPr>
          <w:rFonts w:ascii="Times New Roman" w:hAnsi="Times New Roman" w:cs="Times New Roman"/>
          <w:noProof/>
          <w:sz w:val="24"/>
          <w:szCs w:val="24"/>
          <w:lang w:val="en-IE"/>
        </w:rPr>
        <w:t>to ban donations from abroad to</w:t>
      </w:r>
      <w:r w:rsidRPr="00D16622">
        <w:rPr>
          <w:rFonts w:ascii="Times New Roman" w:hAnsi="Times New Roman" w:cs="Times New Roman"/>
          <w:noProof/>
          <w:sz w:val="24"/>
          <w:szCs w:val="24"/>
          <w:lang w:val="en-IE"/>
        </w:rPr>
        <w:t xml:space="preserve"> political parties. In </w:t>
      </w:r>
      <w:hyperlink r:id="rId219" w:history="1">
        <w:r w:rsidR="00362750" w:rsidRPr="00D16622">
          <w:rPr>
            <w:rStyle w:val="Hyperlink"/>
            <w:rFonts w:cs="Times New Roman"/>
            <w:noProof/>
            <w:szCs w:val="24"/>
            <w:lang w:eastAsia="en-IE"/>
          </w:rPr>
          <w:t>Luxembourg</w:t>
        </w:r>
      </w:hyperlink>
      <w:r w:rsidRPr="00D16622">
        <w:rPr>
          <w:rFonts w:ascii="Times New Roman" w:hAnsi="Times New Roman" w:cs="Times New Roman"/>
          <w:noProof/>
          <w:sz w:val="24"/>
          <w:szCs w:val="24"/>
          <w:lang w:val="en-IE"/>
        </w:rPr>
        <w:t>, n</w:t>
      </w:r>
      <w:r w:rsidRPr="00D16622">
        <w:rPr>
          <w:rFonts w:ascii="Times New Roman" w:hAnsi="Times New Roman" w:cs="Times New Roman"/>
          <w:noProof/>
          <w:sz w:val="24"/>
          <w:szCs w:val="24"/>
        </w:rPr>
        <w:t xml:space="preserve">ew rules have been adopted to strengthen the control over the use of financial resources by the political groups and independent Members at the Parliament. </w:t>
      </w:r>
    </w:p>
    <w:p w14:paraId="4423CC13" w14:textId="32A5318A" w:rsidR="006F43AF" w:rsidRPr="00D16622" w:rsidRDefault="008B3286" w:rsidP="758710DA">
      <w:pPr>
        <w:spacing w:after="120" w:line="240" w:lineRule="auto"/>
        <w:jc w:val="both"/>
        <w:rPr>
          <w:rFonts w:ascii="Times New Roman" w:hAnsi="Times New Roman" w:cs="Times New Roman"/>
          <w:noProof/>
          <w:sz w:val="24"/>
          <w:szCs w:val="24"/>
        </w:rPr>
      </w:pPr>
      <w:r w:rsidRPr="00D16622">
        <w:rPr>
          <w:rFonts w:ascii="Times New Roman" w:eastAsia="Times New Roman" w:hAnsi="Times New Roman" w:cs="Times New Roman"/>
          <w:noProof/>
          <w:sz w:val="24"/>
          <w:szCs w:val="24"/>
        </w:rPr>
        <w:t xml:space="preserve">In </w:t>
      </w:r>
      <w:hyperlink r:id="rId220" w:history="1">
        <w:r w:rsidRPr="00D16622">
          <w:rPr>
            <w:rStyle w:val="Hyperlink"/>
            <w:rFonts w:eastAsia="Times New Roman" w:cs="Times New Roman"/>
            <w:noProof/>
            <w:szCs w:val="24"/>
          </w:rPr>
          <w:t>Albania</w:t>
        </w:r>
      </w:hyperlink>
      <w:r w:rsidRPr="00D16622">
        <w:rPr>
          <w:rFonts w:ascii="Times New Roman" w:eastAsia="Times New Roman" w:hAnsi="Times New Roman" w:cs="Times New Roman"/>
          <w:noProof/>
          <w:sz w:val="24"/>
          <w:szCs w:val="24"/>
        </w:rPr>
        <w:t xml:space="preserve">, a Special Parliamentary Committee has been established to work on electoral reform, including the revisions to the legal framework on political party financing. </w:t>
      </w:r>
      <w:r w:rsidR="71ABEEEF" w:rsidRPr="00D16622">
        <w:rPr>
          <w:rFonts w:ascii="Times New Roman" w:hAnsi="Times New Roman" w:cs="Times New Roman"/>
          <w:noProof/>
          <w:sz w:val="24"/>
          <w:szCs w:val="24"/>
        </w:rPr>
        <w:t>I</w:t>
      </w:r>
      <w:r w:rsidR="008A4DE3" w:rsidRPr="00D16622">
        <w:rPr>
          <w:rFonts w:ascii="Times New Roman" w:hAnsi="Times New Roman" w:cs="Times New Roman"/>
          <w:noProof/>
          <w:sz w:val="24"/>
          <w:szCs w:val="24"/>
        </w:rPr>
        <w:t xml:space="preserve">n </w:t>
      </w:r>
      <w:hyperlink r:id="rId221" w:history="1">
        <w:r w:rsidR="006541E2" w:rsidRPr="00D16622">
          <w:rPr>
            <w:rStyle w:val="Hyperlink"/>
            <w:rFonts w:cs="Times New Roman"/>
            <w:noProof/>
            <w:szCs w:val="24"/>
          </w:rPr>
          <w:t>Montenegro</w:t>
        </w:r>
      </w:hyperlink>
      <w:r w:rsidR="006541E2" w:rsidRPr="00D16622">
        <w:rPr>
          <w:rFonts w:ascii="Times New Roman" w:hAnsi="Times New Roman" w:cs="Times New Roman"/>
          <w:noProof/>
          <w:sz w:val="24"/>
          <w:szCs w:val="24"/>
        </w:rPr>
        <w:t xml:space="preserve">, </w:t>
      </w:r>
      <w:r w:rsidR="008A4DE3" w:rsidRPr="00D16622">
        <w:rPr>
          <w:rFonts w:ascii="Times New Roman" w:hAnsi="Times New Roman" w:cs="Times New Roman"/>
          <w:noProof/>
          <w:sz w:val="24"/>
          <w:szCs w:val="24"/>
        </w:rPr>
        <w:t>the legal framework regulating political parties’ funding remains to be aligned with OSCE/ODIHR and GRECO recommendations to increase transparency and control of political parties’ spending.</w:t>
      </w:r>
      <w:r w:rsidR="008C2C73" w:rsidRPr="00D16622">
        <w:rPr>
          <w:rFonts w:ascii="Times New Roman" w:hAnsi="Times New Roman" w:cs="Times New Roman"/>
          <w:noProof/>
          <w:sz w:val="24"/>
          <w:szCs w:val="24"/>
        </w:rPr>
        <w:t xml:space="preserve"> </w:t>
      </w:r>
      <w:r w:rsidR="008C2C73" w:rsidRPr="00D16622">
        <w:rPr>
          <w:rFonts w:ascii="Times New Roman" w:eastAsia="Times New Roman" w:hAnsi="Times New Roman" w:cs="Times New Roman"/>
          <w:noProof/>
          <w:sz w:val="24"/>
          <w:szCs w:val="24"/>
        </w:rPr>
        <w:t xml:space="preserve">In </w:t>
      </w:r>
      <w:hyperlink r:id="rId222" w:history="1">
        <w:r w:rsidR="00A1658E" w:rsidRPr="00D16622">
          <w:rPr>
            <w:rStyle w:val="Hyperlink"/>
            <w:rFonts w:cs="Times New Roman"/>
            <w:noProof/>
            <w:szCs w:val="24"/>
          </w:rPr>
          <w:t>North Macedonia</w:t>
        </w:r>
      </w:hyperlink>
      <w:r w:rsidR="008C2C73" w:rsidRPr="00D16622">
        <w:rPr>
          <w:rFonts w:ascii="Times New Roman" w:eastAsia="Times New Roman" w:hAnsi="Times New Roman" w:cs="Times New Roman"/>
          <w:noProof/>
          <w:sz w:val="24"/>
          <w:szCs w:val="24"/>
        </w:rPr>
        <w:t>, the effective oversight of campaigns and political party financing continues to be affected by inadequate legislation and a lack of resources.</w:t>
      </w:r>
      <w:r w:rsidR="0003634A" w:rsidRPr="00D16622">
        <w:rPr>
          <w:rFonts w:ascii="Times New Roman" w:eastAsia="Times New Roman" w:hAnsi="Times New Roman" w:cs="Times New Roman"/>
          <w:noProof/>
          <w:sz w:val="24"/>
          <w:szCs w:val="24"/>
        </w:rPr>
        <w:t xml:space="preserve"> </w:t>
      </w:r>
    </w:p>
    <w:p w14:paraId="324C0F90" w14:textId="260EF9F0" w:rsidR="00E55A7C" w:rsidRPr="00D16622" w:rsidRDefault="00CC1DF9" w:rsidP="006F43AF">
      <w:pPr>
        <w:spacing w:after="120" w:line="240" w:lineRule="auto"/>
        <w:jc w:val="both"/>
        <w:rPr>
          <w:rFonts w:ascii="Times New Roman" w:hAnsi="Times New Roman" w:cs="Times New Roman"/>
          <w:i/>
          <w:noProof/>
          <w:sz w:val="24"/>
          <w:szCs w:val="24"/>
        </w:rPr>
      </w:pPr>
      <w:r w:rsidRPr="00D16622">
        <w:rPr>
          <w:rFonts w:ascii="Times New Roman" w:hAnsi="Times New Roman" w:cs="Times New Roman"/>
          <w:i/>
          <w:noProof/>
          <w:sz w:val="24"/>
          <w:szCs w:val="24"/>
        </w:rPr>
        <w:t>C</w:t>
      </w:r>
      <w:r w:rsidR="006F43AF" w:rsidRPr="00D16622">
        <w:rPr>
          <w:rFonts w:ascii="Times New Roman" w:hAnsi="Times New Roman" w:cs="Times New Roman"/>
          <w:i/>
          <w:noProof/>
          <w:sz w:val="24"/>
          <w:szCs w:val="24"/>
        </w:rPr>
        <w:t>ountering corruption in high-risk areas</w:t>
      </w:r>
      <w:r w:rsidR="006F43AF" w:rsidRPr="00D16622" w:rsidDel="00E123EF">
        <w:rPr>
          <w:rFonts w:ascii="Times New Roman" w:hAnsi="Times New Roman" w:cs="Times New Roman"/>
          <w:i/>
          <w:noProof/>
          <w:sz w:val="24"/>
          <w:szCs w:val="24"/>
        </w:rPr>
        <w:t xml:space="preserve"> </w:t>
      </w:r>
    </w:p>
    <w:p w14:paraId="6AF1F4E6" w14:textId="64C55AB7" w:rsidR="00180EF2" w:rsidRPr="00D16622" w:rsidRDefault="00757DD8" w:rsidP="00180EF2">
      <w:pPr>
        <w:spacing w:after="120" w:line="240" w:lineRule="auto"/>
        <w:jc w:val="both"/>
        <w:rPr>
          <w:rFonts w:ascii="Times New Roman" w:hAnsi="Times New Roman" w:cs="Times New Roman"/>
          <w:iCs/>
          <w:noProof/>
          <w:sz w:val="24"/>
          <w:szCs w:val="24"/>
          <w:lang w:val="en-IE"/>
        </w:rPr>
      </w:pPr>
      <w:r w:rsidRPr="00D16622">
        <w:rPr>
          <w:rFonts w:ascii="Times New Roman" w:hAnsi="Times New Roman" w:cs="Times New Roman"/>
          <w:iCs/>
          <w:noProof/>
          <w:sz w:val="24"/>
          <w:szCs w:val="24"/>
        </w:rPr>
        <w:t>While c</w:t>
      </w:r>
      <w:r w:rsidR="00180EF2" w:rsidRPr="00D16622">
        <w:rPr>
          <w:rFonts w:ascii="Times New Roman" w:hAnsi="Times New Roman" w:cs="Times New Roman"/>
          <w:iCs/>
          <w:noProof/>
          <w:sz w:val="24"/>
          <w:szCs w:val="24"/>
        </w:rPr>
        <w:t xml:space="preserve">orruption can affect </w:t>
      </w:r>
      <w:r w:rsidR="0005462F" w:rsidRPr="00D16622">
        <w:rPr>
          <w:rFonts w:ascii="Times New Roman" w:hAnsi="Times New Roman" w:cs="Times New Roman"/>
          <w:iCs/>
          <w:noProof/>
          <w:sz w:val="24"/>
          <w:szCs w:val="24"/>
        </w:rPr>
        <w:t xml:space="preserve">all </w:t>
      </w:r>
      <w:r w:rsidR="00180EF2" w:rsidRPr="00D16622">
        <w:rPr>
          <w:rFonts w:ascii="Times New Roman" w:hAnsi="Times New Roman" w:cs="Times New Roman"/>
          <w:iCs/>
          <w:noProof/>
          <w:sz w:val="24"/>
          <w:szCs w:val="24"/>
        </w:rPr>
        <w:t>area</w:t>
      </w:r>
      <w:r w:rsidR="0005462F" w:rsidRPr="00D16622">
        <w:rPr>
          <w:rFonts w:ascii="Times New Roman" w:hAnsi="Times New Roman" w:cs="Times New Roman"/>
          <w:iCs/>
          <w:noProof/>
          <w:sz w:val="24"/>
          <w:szCs w:val="24"/>
        </w:rPr>
        <w:t>s</w:t>
      </w:r>
      <w:r w:rsidR="00180EF2" w:rsidRPr="00D16622">
        <w:rPr>
          <w:rFonts w:ascii="Times New Roman" w:hAnsi="Times New Roman" w:cs="Times New Roman"/>
          <w:iCs/>
          <w:noProof/>
          <w:sz w:val="24"/>
          <w:szCs w:val="24"/>
        </w:rPr>
        <w:t xml:space="preserve"> of public life, </w:t>
      </w:r>
      <w:r w:rsidR="0005462F" w:rsidRPr="00D16622">
        <w:rPr>
          <w:rFonts w:ascii="Times New Roman" w:hAnsi="Times New Roman" w:cs="Times New Roman"/>
          <w:iCs/>
          <w:noProof/>
          <w:sz w:val="24"/>
          <w:szCs w:val="24"/>
        </w:rPr>
        <w:t xml:space="preserve">certain </w:t>
      </w:r>
      <w:r w:rsidR="00180EF2" w:rsidRPr="00D16622">
        <w:rPr>
          <w:rFonts w:ascii="Times New Roman" w:hAnsi="Times New Roman" w:cs="Times New Roman"/>
          <w:iCs/>
          <w:noProof/>
          <w:sz w:val="24"/>
          <w:szCs w:val="24"/>
        </w:rPr>
        <w:t xml:space="preserve">sectors </w:t>
      </w:r>
      <w:r w:rsidR="00146F0C" w:rsidRPr="00D16622">
        <w:rPr>
          <w:rFonts w:ascii="Times New Roman" w:hAnsi="Times New Roman" w:cs="Times New Roman"/>
          <w:iCs/>
          <w:noProof/>
          <w:sz w:val="24"/>
          <w:szCs w:val="24"/>
        </w:rPr>
        <w:t>are particularly exposed due to the scale of public spending, the complexity of decision-making or the discretionary powers involved</w:t>
      </w:r>
      <w:r w:rsidR="00180EF2" w:rsidRPr="00D16622">
        <w:rPr>
          <w:rFonts w:ascii="Times New Roman" w:hAnsi="Times New Roman" w:cs="Times New Roman"/>
          <w:iCs/>
          <w:noProof/>
          <w:sz w:val="24"/>
          <w:szCs w:val="24"/>
        </w:rPr>
        <w:t xml:space="preserve">. </w:t>
      </w:r>
      <w:r w:rsidR="00C40F08" w:rsidRPr="00D16622">
        <w:rPr>
          <w:rFonts w:ascii="Times New Roman" w:hAnsi="Times New Roman" w:cs="Times New Roman"/>
          <w:iCs/>
          <w:noProof/>
          <w:sz w:val="24"/>
          <w:szCs w:val="24"/>
        </w:rPr>
        <w:t>Public procurement, h</w:t>
      </w:r>
      <w:r w:rsidR="00180EF2" w:rsidRPr="00D16622">
        <w:rPr>
          <w:rFonts w:ascii="Times New Roman" w:hAnsi="Times New Roman" w:cs="Times New Roman"/>
          <w:iCs/>
          <w:noProof/>
          <w:sz w:val="24"/>
          <w:szCs w:val="24"/>
        </w:rPr>
        <w:t xml:space="preserve">ealthcare, energy, environment, urban planning, and construction </w:t>
      </w:r>
      <w:r w:rsidR="00EA28A6" w:rsidRPr="00D16622">
        <w:rPr>
          <w:rFonts w:ascii="Times New Roman" w:hAnsi="Times New Roman" w:cs="Times New Roman"/>
          <w:iCs/>
          <w:noProof/>
          <w:sz w:val="24"/>
          <w:szCs w:val="24"/>
        </w:rPr>
        <w:t xml:space="preserve">remain among the </w:t>
      </w:r>
      <w:r w:rsidR="00C40F08" w:rsidRPr="00D16622">
        <w:rPr>
          <w:rFonts w:ascii="Times New Roman" w:hAnsi="Times New Roman" w:cs="Times New Roman"/>
          <w:iCs/>
          <w:noProof/>
          <w:sz w:val="24"/>
          <w:szCs w:val="24"/>
        </w:rPr>
        <w:t>areas</w:t>
      </w:r>
      <w:r w:rsidR="00EA28A6" w:rsidRPr="00D16622">
        <w:rPr>
          <w:rFonts w:ascii="Times New Roman" w:hAnsi="Times New Roman" w:cs="Times New Roman"/>
          <w:iCs/>
          <w:noProof/>
          <w:sz w:val="24"/>
          <w:szCs w:val="24"/>
        </w:rPr>
        <w:t xml:space="preserve"> most vulnerable to corruption risks</w:t>
      </w:r>
      <w:r w:rsidR="00180EF2" w:rsidRPr="00D16622">
        <w:rPr>
          <w:rFonts w:ascii="Times New Roman" w:hAnsi="Times New Roman" w:cs="Times New Roman"/>
          <w:iCs/>
          <w:noProof/>
          <w:sz w:val="24"/>
          <w:szCs w:val="24"/>
        </w:rPr>
        <w:t xml:space="preserve">. </w:t>
      </w:r>
      <w:r w:rsidR="001D1918" w:rsidRPr="00D16622">
        <w:rPr>
          <w:rFonts w:ascii="Times New Roman" w:hAnsi="Times New Roman" w:cs="Times New Roman"/>
          <w:iCs/>
          <w:noProof/>
          <w:sz w:val="24"/>
          <w:szCs w:val="24"/>
        </w:rPr>
        <w:t xml:space="preserve">Enhanced </w:t>
      </w:r>
      <w:r w:rsidR="00C40F08" w:rsidRPr="00D16622">
        <w:rPr>
          <w:rFonts w:ascii="Times New Roman" w:hAnsi="Times New Roman" w:cs="Times New Roman"/>
          <w:iCs/>
          <w:noProof/>
          <w:sz w:val="24"/>
          <w:szCs w:val="24"/>
        </w:rPr>
        <w:t>vigilance</w:t>
      </w:r>
      <w:r w:rsidR="001D1918" w:rsidRPr="00D16622">
        <w:rPr>
          <w:rFonts w:ascii="Times New Roman" w:hAnsi="Times New Roman" w:cs="Times New Roman"/>
          <w:iCs/>
          <w:noProof/>
          <w:sz w:val="24"/>
          <w:szCs w:val="24"/>
        </w:rPr>
        <w:t xml:space="preserve"> </w:t>
      </w:r>
      <w:r w:rsidR="0005462F" w:rsidRPr="00D16622">
        <w:rPr>
          <w:rFonts w:ascii="Times New Roman" w:hAnsi="Times New Roman" w:cs="Times New Roman"/>
          <w:iCs/>
          <w:noProof/>
          <w:sz w:val="24"/>
          <w:szCs w:val="24"/>
        </w:rPr>
        <w:t>is also needed in a</w:t>
      </w:r>
      <w:r w:rsidR="00180EF2" w:rsidRPr="00D16622">
        <w:rPr>
          <w:rFonts w:ascii="Times New Roman" w:hAnsi="Times New Roman" w:cs="Times New Roman"/>
          <w:iCs/>
          <w:noProof/>
          <w:sz w:val="24"/>
          <w:szCs w:val="24"/>
        </w:rPr>
        <w:t xml:space="preserve">reas </w:t>
      </w:r>
      <w:r w:rsidR="0005462F" w:rsidRPr="00D16622">
        <w:rPr>
          <w:rFonts w:ascii="Times New Roman" w:hAnsi="Times New Roman" w:cs="Times New Roman"/>
          <w:iCs/>
          <w:noProof/>
          <w:sz w:val="24"/>
          <w:szCs w:val="24"/>
        </w:rPr>
        <w:t>with</w:t>
      </w:r>
      <w:r w:rsidR="00180EF2" w:rsidRPr="00D16622">
        <w:rPr>
          <w:rFonts w:ascii="Times New Roman" w:hAnsi="Times New Roman" w:cs="Times New Roman"/>
          <w:iCs/>
          <w:noProof/>
          <w:sz w:val="24"/>
          <w:szCs w:val="24"/>
        </w:rPr>
        <w:t xml:space="preserve"> rapid</w:t>
      </w:r>
      <w:r w:rsidR="0005462F" w:rsidRPr="00D16622">
        <w:rPr>
          <w:rFonts w:ascii="Times New Roman" w:hAnsi="Times New Roman" w:cs="Times New Roman"/>
          <w:iCs/>
          <w:noProof/>
          <w:sz w:val="24"/>
          <w:szCs w:val="24"/>
        </w:rPr>
        <w:t>ly</w:t>
      </w:r>
      <w:r w:rsidR="00180EF2" w:rsidRPr="00D16622">
        <w:rPr>
          <w:rFonts w:ascii="Times New Roman" w:hAnsi="Times New Roman" w:cs="Times New Roman"/>
          <w:iCs/>
          <w:noProof/>
          <w:sz w:val="24"/>
          <w:szCs w:val="24"/>
        </w:rPr>
        <w:t xml:space="preserve"> increas</w:t>
      </w:r>
      <w:r w:rsidR="0005462F" w:rsidRPr="00D16622">
        <w:rPr>
          <w:rFonts w:ascii="Times New Roman" w:hAnsi="Times New Roman" w:cs="Times New Roman"/>
          <w:iCs/>
          <w:noProof/>
          <w:sz w:val="24"/>
          <w:szCs w:val="24"/>
        </w:rPr>
        <w:t>ing</w:t>
      </w:r>
      <w:r w:rsidR="00180EF2" w:rsidRPr="00D16622">
        <w:rPr>
          <w:rFonts w:ascii="Times New Roman" w:hAnsi="Times New Roman" w:cs="Times New Roman"/>
          <w:iCs/>
          <w:noProof/>
          <w:sz w:val="24"/>
          <w:szCs w:val="24"/>
        </w:rPr>
        <w:t xml:space="preserve"> public expenditure or </w:t>
      </w:r>
      <w:r w:rsidR="0005462F" w:rsidRPr="00D16622">
        <w:rPr>
          <w:rFonts w:ascii="Times New Roman" w:hAnsi="Times New Roman" w:cs="Times New Roman"/>
          <w:iCs/>
          <w:noProof/>
          <w:sz w:val="24"/>
          <w:szCs w:val="24"/>
        </w:rPr>
        <w:t xml:space="preserve">fast-track </w:t>
      </w:r>
      <w:r w:rsidR="00180EF2" w:rsidRPr="00D16622">
        <w:rPr>
          <w:rFonts w:ascii="Times New Roman" w:hAnsi="Times New Roman" w:cs="Times New Roman"/>
          <w:iCs/>
          <w:noProof/>
          <w:sz w:val="24"/>
          <w:szCs w:val="24"/>
        </w:rPr>
        <w:t>procedures, such as defence procurement.</w:t>
      </w:r>
      <w:r w:rsidR="000301DE" w:rsidRPr="00D16622">
        <w:rPr>
          <w:rFonts w:ascii="Times New Roman" w:hAnsi="Times New Roman" w:cs="Times New Roman"/>
          <w:iCs/>
          <w:noProof/>
          <w:sz w:val="24"/>
          <w:szCs w:val="24"/>
        </w:rPr>
        <w:t xml:space="preserve"> </w:t>
      </w:r>
      <w:r w:rsidR="008B273B" w:rsidRPr="00D16622">
        <w:rPr>
          <w:rFonts w:ascii="Times New Roman" w:hAnsi="Times New Roman" w:cs="Times New Roman"/>
          <w:iCs/>
          <w:noProof/>
          <w:sz w:val="24"/>
          <w:szCs w:val="24"/>
          <w:lang w:val="en-US"/>
        </w:rPr>
        <w:t xml:space="preserve">The Commission </w:t>
      </w:r>
      <w:r w:rsidR="00F71968" w:rsidRPr="00D16622">
        <w:rPr>
          <w:rFonts w:ascii="Times New Roman" w:hAnsi="Times New Roman" w:cs="Times New Roman"/>
          <w:iCs/>
          <w:noProof/>
          <w:sz w:val="24"/>
          <w:szCs w:val="24"/>
          <w:lang w:val="en-US"/>
        </w:rPr>
        <w:t>has published</w:t>
      </w:r>
      <w:r w:rsidR="008B273B" w:rsidRPr="00D16622">
        <w:rPr>
          <w:rFonts w:ascii="Times New Roman" w:hAnsi="Times New Roman" w:cs="Times New Roman"/>
          <w:iCs/>
          <w:noProof/>
          <w:sz w:val="24"/>
          <w:szCs w:val="24"/>
          <w:lang w:val="en-US"/>
        </w:rPr>
        <w:t xml:space="preserve"> a </w:t>
      </w:r>
      <w:hyperlink r:id="rId223" w:history="1">
        <w:r>
          <w:rPr>
            <w:rStyle w:val="Hyperlink"/>
            <w:rFonts w:cs="Times New Roman"/>
            <w:iCs/>
            <w:noProof/>
            <w:szCs w:val="24"/>
            <w:lang w:val="en-US"/>
          </w:rPr>
          <w:t>study</w:t>
        </w:r>
      </w:hyperlink>
      <w:r w:rsidR="008B273B" w:rsidRPr="00D16622">
        <w:rPr>
          <w:rFonts w:ascii="Times New Roman" w:hAnsi="Times New Roman" w:cs="Times New Roman"/>
          <w:iCs/>
          <w:noProof/>
          <w:sz w:val="24"/>
          <w:szCs w:val="24"/>
          <w:lang w:val="en-US"/>
        </w:rPr>
        <w:t xml:space="preserve"> on high-risk areas for corruption</w:t>
      </w:r>
      <w:r w:rsidR="00AF4DB9" w:rsidRPr="00D16622">
        <w:rPr>
          <w:rFonts w:ascii="Times New Roman" w:hAnsi="Times New Roman" w:cs="Times New Roman"/>
          <w:iCs/>
          <w:noProof/>
          <w:sz w:val="24"/>
          <w:szCs w:val="24"/>
        </w:rPr>
        <w:t>.</w:t>
      </w:r>
      <w:r w:rsidR="00180EF2" w:rsidRPr="00D16622">
        <w:rPr>
          <w:rFonts w:ascii="Times New Roman" w:hAnsi="Times New Roman" w:cs="Times New Roman"/>
          <w:iCs/>
          <w:noProof/>
          <w:sz w:val="24"/>
          <w:szCs w:val="24"/>
        </w:rPr>
        <w:t xml:space="preserve"> </w:t>
      </w:r>
    </w:p>
    <w:p w14:paraId="5F4D0833" w14:textId="0FFA71DD" w:rsidR="00180EF2" w:rsidRPr="00D16622" w:rsidRDefault="00180EF2" w:rsidP="00180EF2">
      <w:pPr>
        <w:spacing w:after="120" w:line="240" w:lineRule="auto"/>
        <w:jc w:val="both"/>
        <w:rPr>
          <w:rFonts w:ascii="Times New Roman" w:hAnsi="Times New Roman" w:cs="Times New Roman"/>
          <w:iCs/>
          <w:noProof/>
          <w:sz w:val="24"/>
          <w:szCs w:val="24"/>
        </w:rPr>
      </w:pPr>
      <w:r w:rsidRPr="00D16622">
        <w:rPr>
          <w:rFonts w:ascii="Times New Roman" w:hAnsi="Times New Roman" w:cs="Times New Roman"/>
          <w:iCs/>
          <w:noProof/>
          <w:sz w:val="24"/>
          <w:szCs w:val="24"/>
        </w:rPr>
        <w:t xml:space="preserve">Member States are taking </w:t>
      </w:r>
      <w:r w:rsidR="00BD1B32" w:rsidRPr="00D16622">
        <w:rPr>
          <w:rFonts w:ascii="Times New Roman" w:hAnsi="Times New Roman" w:cs="Times New Roman"/>
          <w:iCs/>
          <w:noProof/>
          <w:sz w:val="24"/>
          <w:szCs w:val="24"/>
        </w:rPr>
        <w:t xml:space="preserve">steps </w:t>
      </w:r>
      <w:r w:rsidRPr="00D16622">
        <w:rPr>
          <w:rFonts w:ascii="Times New Roman" w:hAnsi="Times New Roman" w:cs="Times New Roman"/>
          <w:iCs/>
          <w:noProof/>
          <w:sz w:val="24"/>
          <w:szCs w:val="24"/>
        </w:rPr>
        <w:t xml:space="preserve">to </w:t>
      </w:r>
      <w:r w:rsidR="00F20C92" w:rsidRPr="00D16622">
        <w:rPr>
          <w:rFonts w:ascii="Times New Roman" w:hAnsi="Times New Roman" w:cs="Times New Roman"/>
          <w:iCs/>
          <w:noProof/>
          <w:sz w:val="24"/>
          <w:szCs w:val="24"/>
        </w:rPr>
        <w:t>reduce</w:t>
      </w:r>
      <w:r w:rsidRPr="00D16622">
        <w:rPr>
          <w:rFonts w:ascii="Times New Roman" w:hAnsi="Times New Roman" w:cs="Times New Roman"/>
          <w:iCs/>
          <w:noProof/>
          <w:sz w:val="24"/>
          <w:szCs w:val="24"/>
        </w:rPr>
        <w:t xml:space="preserve"> corruption risks in high-risk areas, including</w:t>
      </w:r>
      <w:r w:rsidRPr="00D16622">
        <w:rPr>
          <w:rFonts w:ascii="Times New Roman" w:hAnsi="Times New Roman" w:cs="Times New Roman"/>
          <w:noProof/>
          <w:sz w:val="24"/>
          <w:szCs w:val="24"/>
        </w:rPr>
        <w:t xml:space="preserve"> in </w:t>
      </w:r>
      <w:r w:rsidRPr="00D16622">
        <w:rPr>
          <w:rFonts w:ascii="Times New Roman" w:hAnsi="Times New Roman" w:cs="Times New Roman"/>
          <w:iCs/>
          <w:noProof/>
          <w:sz w:val="24"/>
          <w:szCs w:val="24"/>
        </w:rPr>
        <w:t>public procurement</w:t>
      </w:r>
      <w:r w:rsidR="00CF7AEC" w:rsidRPr="00D16622">
        <w:rPr>
          <w:rFonts w:ascii="Times New Roman" w:hAnsi="Times New Roman" w:cs="Times New Roman"/>
          <w:iCs/>
          <w:noProof/>
          <w:sz w:val="24"/>
          <w:szCs w:val="24"/>
        </w:rPr>
        <w:t>. In</w:t>
      </w:r>
      <w:r w:rsidRPr="00D16622">
        <w:rPr>
          <w:rFonts w:ascii="Times New Roman" w:hAnsi="Times New Roman" w:cs="Times New Roman"/>
          <w:iCs/>
          <w:noProof/>
          <w:sz w:val="24"/>
          <w:szCs w:val="24"/>
          <w:lang w:val="en-IE"/>
        </w:rPr>
        <w:t xml:space="preserve"> </w:t>
      </w:r>
      <w:hyperlink r:id="rId224" w:history="1">
        <w:r w:rsidR="00F377A5" w:rsidRPr="00D16622">
          <w:rPr>
            <w:rStyle w:val="Hyperlink"/>
            <w:rFonts w:eastAsia="Times New Roman" w:cs="Times New Roman"/>
            <w:noProof/>
            <w:szCs w:val="24"/>
            <w:lang w:val="en-IE"/>
          </w:rPr>
          <w:t>Italy</w:t>
        </w:r>
      </w:hyperlink>
      <w:r w:rsidRPr="00D16622">
        <w:rPr>
          <w:rFonts w:ascii="Times New Roman" w:hAnsi="Times New Roman" w:cs="Times New Roman"/>
          <w:iCs/>
          <w:noProof/>
          <w:sz w:val="24"/>
          <w:szCs w:val="24"/>
          <w:lang w:val="en-IE"/>
        </w:rPr>
        <w:t xml:space="preserve">, the national anti-corruption authority launched a digital portal </w:t>
      </w:r>
      <w:r w:rsidR="00AC7212" w:rsidRPr="00D16622">
        <w:rPr>
          <w:rFonts w:ascii="Times New Roman" w:hAnsi="Times New Roman" w:cs="Times New Roman"/>
          <w:iCs/>
          <w:noProof/>
          <w:sz w:val="24"/>
          <w:szCs w:val="24"/>
          <w:lang w:val="en-IE"/>
        </w:rPr>
        <w:t xml:space="preserve">increasing </w:t>
      </w:r>
      <w:r w:rsidRPr="00D16622">
        <w:rPr>
          <w:rFonts w:ascii="Times New Roman" w:hAnsi="Times New Roman" w:cs="Times New Roman"/>
          <w:iCs/>
          <w:noProof/>
          <w:sz w:val="24"/>
          <w:szCs w:val="24"/>
          <w:lang w:val="en-IE"/>
        </w:rPr>
        <w:t>the transparency of public procurement procedures</w:t>
      </w:r>
      <w:r w:rsidR="00590D99" w:rsidRPr="00D16622">
        <w:rPr>
          <w:rFonts w:ascii="Times New Roman" w:hAnsi="Times New Roman" w:cs="Times New Roman"/>
          <w:iCs/>
          <w:noProof/>
          <w:sz w:val="24"/>
          <w:szCs w:val="24"/>
          <w:lang w:val="en-IE"/>
        </w:rPr>
        <w:t>, which remains a high-risk area</w:t>
      </w:r>
      <w:r w:rsidRPr="00D16622">
        <w:rPr>
          <w:rFonts w:ascii="Times New Roman" w:hAnsi="Times New Roman" w:cs="Times New Roman"/>
          <w:iCs/>
          <w:noProof/>
          <w:sz w:val="24"/>
          <w:szCs w:val="24"/>
          <w:lang w:val="en-IE"/>
        </w:rPr>
        <w:t xml:space="preserve">. </w:t>
      </w:r>
      <w:r w:rsidRPr="00D16622">
        <w:rPr>
          <w:rFonts w:ascii="Times New Roman" w:hAnsi="Times New Roman" w:cs="Times New Roman"/>
          <w:noProof/>
          <w:sz w:val="24"/>
          <w:szCs w:val="24"/>
        </w:rPr>
        <w:t xml:space="preserve">In </w:t>
      </w:r>
      <w:hyperlink r:id="rId225" w:history="1">
        <w:r w:rsidRPr="00D16622">
          <w:rPr>
            <w:rStyle w:val="Hyperlink"/>
            <w:rFonts w:cs="Times New Roman"/>
            <w:bCs/>
            <w:noProof/>
            <w:szCs w:val="24"/>
          </w:rPr>
          <w:t>Bulgaria</w:t>
        </w:r>
      </w:hyperlink>
      <w:r w:rsidRPr="00D16622">
        <w:rPr>
          <w:rFonts w:ascii="Times New Roman" w:hAnsi="Times New Roman" w:cs="Times New Roman"/>
          <w:noProof/>
          <w:sz w:val="24"/>
          <w:szCs w:val="24"/>
        </w:rPr>
        <w:t xml:space="preserve">, </w:t>
      </w:r>
      <w:r w:rsidRPr="00D16622">
        <w:rPr>
          <w:rFonts w:ascii="Times New Roman" w:hAnsi="Times New Roman" w:cs="Times New Roman"/>
          <w:iCs/>
          <w:noProof/>
          <w:sz w:val="24"/>
          <w:szCs w:val="24"/>
        </w:rPr>
        <w:t xml:space="preserve">to increase transparency of public procurement, the Ministry of Finance launched a database covering nearly 7 000 active tenders for a total amount of over EUR 30 billion. In </w:t>
      </w:r>
      <w:hyperlink r:id="rId226" w:history="1">
        <w:r w:rsidR="00874BD7" w:rsidRPr="00D16622">
          <w:rPr>
            <w:rStyle w:val="Hyperlink"/>
            <w:rFonts w:cs="Times New Roman"/>
            <w:noProof/>
            <w:szCs w:val="24"/>
            <w:lang w:eastAsia="en-IE"/>
          </w:rPr>
          <w:t>Finland</w:t>
        </w:r>
      </w:hyperlink>
      <w:r w:rsidRPr="00D16622">
        <w:rPr>
          <w:rFonts w:ascii="Times New Roman" w:hAnsi="Times New Roman" w:cs="Times New Roman"/>
          <w:iCs/>
          <w:noProof/>
          <w:sz w:val="24"/>
          <w:szCs w:val="24"/>
        </w:rPr>
        <w:t>, amendments to the Act on Public Procurement were submitted to Parliament in February 2026, establishing new grounds for exclusion and improving supervision and transparency.</w:t>
      </w:r>
      <w:r w:rsidR="00A300FC" w:rsidRPr="00D16622">
        <w:rPr>
          <w:rFonts w:ascii="Times New Roman" w:hAnsi="Times New Roman" w:cs="Times New Roman"/>
          <w:iCs/>
          <w:noProof/>
          <w:sz w:val="24"/>
          <w:szCs w:val="24"/>
        </w:rPr>
        <w:t xml:space="preserve"> Member States have also introduced mitigating measures in other risk areas,</w:t>
      </w:r>
      <w:r w:rsidR="00A300FC" w:rsidRPr="00D16622">
        <w:rPr>
          <w:rFonts w:ascii="Times New Roman" w:hAnsi="Times New Roman" w:cs="Times New Roman"/>
          <w:b/>
          <w:bCs/>
          <w:iCs/>
          <w:noProof/>
          <w:sz w:val="24"/>
          <w:szCs w:val="24"/>
        </w:rPr>
        <w:t xml:space="preserve"> </w:t>
      </w:r>
      <w:r w:rsidR="00A300FC" w:rsidRPr="00D16622">
        <w:rPr>
          <w:rFonts w:ascii="Times New Roman" w:hAnsi="Times New Roman" w:cs="Times New Roman"/>
          <w:iCs/>
          <w:noProof/>
          <w:sz w:val="24"/>
          <w:szCs w:val="24"/>
        </w:rPr>
        <w:t xml:space="preserve">such as </w:t>
      </w:r>
      <w:hyperlink r:id="rId227" w:history="1">
        <w:r w:rsidR="00A45397" w:rsidRPr="00D16622">
          <w:rPr>
            <w:rStyle w:val="Hyperlink"/>
            <w:rFonts w:cs="Times New Roman"/>
            <w:noProof/>
            <w:szCs w:val="24"/>
            <w:lang w:eastAsia="en-IE"/>
          </w:rPr>
          <w:t>Croatia</w:t>
        </w:r>
      </w:hyperlink>
      <w:r w:rsidR="00A45397" w:rsidRPr="00D16622">
        <w:rPr>
          <w:rFonts w:ascii="Times New Roman" w:hAnsi="Times New Roman" w:cs="Times New Roman"/>
          <w:noProof/>
        </w:rPr>
        <w:t xml:space="preserve"> </w:t>
      </w:r>
      <w:r w:rsidR="00A300FC" w:rsidRPr="00D16622">
        <w:rPr>
          <w:rFonts w:ascii="Times New Roman" w:hAnsi="Times New Roman" w:cs="Times New Roman"/>
          <w:iCs/>
          <w:noProof/>
          <w:sz w:val="24"/>
          <w:szCs w:val="24"/>
        </w:rPr>
        <w:t>with its new Law on Foreign Investments, mandating integrity and corruption conviction checks of investors of sectors deemed critical.</w:t>
      </w:r>
    </w:p>
    <w:p w14:paraId="2940750E" w14:textId="4AE8DC15" w:rsidR="00180EF2" w:rsidRPr="00D16622" w:rsidRDefault="5C487B39" w:rsidP="00180EF2">
      <w:pPr>
        <w:spacing w:after="120" w:line="240" w:lineRule="auto"/>
        <w:jc w:val="both"/>
        <w:rPr>
          <w:rFonts w:ascii="Times New Roman" w:hAnsi="Times New Roman" w:cs="Times New Roman"/>
          <w:noProof/>
          <w:sz w:val="24"/>
          <w:szCs w:val="24"/>
          <w:lang w:val="en-IE"/>
        </w:rPr>
      </w:pPr>
      <w:r w:rsidRPr="00D16622">
        <w:rPr>
          <w:rFonts w:ascii="Times New Roman" w:eastAsia="Times New Roman" w:hAnsi="Times New Roman" w:cs="Times New Roman"/>
          <w:noProof/>
          <w:sz w:val="24"/>
          <w:szCs w:val="24"/>
          <w:lang w:val="en-IE"/>
        </w:rPr>
        <w:t>I</w:t>
      </w:r>
      <w:r w:rsidR="00180EF2" w:rsidRPr="00D16622">
        <w:rPr>
          <w:rFonts w:ascii="Times New Roman" w:eastAsia="Times New Roman" w:hAnsi="Times New Roman" w:cs="Times New Roman"/>
          <w:noProof/>
          <w:sz w:val="24"/>
          <w:szCs w:val="24"/>
          <w:lang w:val="en-IE"/>
        </w:rPr>
        <w:t xml:space="preserve">n </w:t>
      </w:r>
      <w:hyperlink r:id="rId228" w:history="1">
        <w:r w:rsidR="00931338" w:rsidRPr="00D16622">
          <w:rPr>
            <w:rStyle w:val="Hyperlink"/>
            <w:rFonts w:cs="Times New Roman"/>
            <w:noProof/>
            <w:szCs w:val="24"/>
          </w:rPr>
          <w:t>Montenegro</w:t>
        </w:r>
      </w:hyperlink>
      <w:r w:rsidR="00180EF2" w:rsidRPr="00D16622">
        <w:rPr>
          <w:rFonts w:ascii="Times New Roman" w:hAnsi="Times New Roman" w:cs="Times New Roman"/>
          <w:noProof/>
          <w:sz w:val="24"/>
          <w:szCs w:val="24"/>
        </w:rPr>
        <w:t xml:space="preserve">, </w:t>
      </w:r>
      <w:r w:rsidR="00180EF2" w:rsidRPr="00D16622">
        <w:rPr>
          <w:rFonts w:ascii="Times New Roman" w:hAnsi="Times New Roman" w:cs="Times New Roman"/>
          <w:noProof/>
          <w:sz w:val="24"/>
          <w:szCs w:val="24"/>
          <w:lang w:val="en-IE"/>
        </w:rPr>
        <w:t xml:space="preserve">measures addressing risk areas in public procurement have been enhanced through the introduction of e-procurement tools, while the </w:t>
      </w:r>
      <w:r w:rsidR="00F66299" w:rsidRPr="00D16622">
        <w:rPr>
          <w:rFonts w:ascii="Times New Roman" w:hAnsi="Times New Roman" w:cs="Times New Roman"/>
          <w:noProof/>
          <w:sz w:val="24"/>
          <w:szCs w:val="24"/>
          <w:lang w:val="en-IE"/>
        </w:rPr>
        <w:t>monitoring</w:t>
      </w:r>
      <w:r w:rsidR="00180EF2" w:rsidRPr="00D16622">
        <w:rPr>
          <w:rFonts w:ascii="Times New Roman" w:hAnsi="Times New Roman" w:cs="Times New Roman"/>
          <w:noProof/>
          <w:sz w:val="24"/>
          <w:szCs w:val="24"/>
          <w:lang w:val="en-IE"/>
        </w:rPr>
        <w:t xml:space="preserve"> of measures addressing corruption in high-risk areas </w:t>
      </w:r>
      <w:r w:rsidR="00456BD7" w:rsidRPr="00D16622">
        <w:rPr>
          <w:rFonts w:ascii="Times New Roman" w:hAnsi="Times New Roman" w:cs="Times New Roman"/>
          <w:noProof/>
          <w:sz w:val="24"/>
          <w:szCs w:val="24"/>
          <w:lang w:val="en-IE"/>
        </w:rPr>
        <w:t xml:space="preserve">is hampered by lack of relevant </w:t>
      </w:r>
      <w:r w:rsidR="00180EF2" w:rsidRPr="00D16622">
        <w:rPr>
          <w:rFonts w:ascii="Times New Roman" w:hAnsi="Times New Roman" w:cs="Times New Roman"/>
          <w:noProof/>
          <w:sz w:val="24"/>
          <w:szCs w:val="24"/>
          <w:lang w:val="en-IE"/>
        </w:rPr>
        <w:t xml:space="preserve">data. </w:t>
      </w:r>
      <w:r w:rsidR="00180EF2" w:rsidRPr="00D16622">
        <w:rPr>
          <w:rFonts w:ascii="Times New Roman" w:eastAsia="Times New Roman" w:hAnsi="Times New Roman" w:cs="Times New Roman"/>
          <w:noProof/>
          <w:sz w:val="24"/>
          <w:szCs w:val="24"/>
          <w:lang w:val="en-IE"/>
        </w:rPr>
        <w:t xml:space="preserve">In </w:t>
      </w:r>
      <w:hyperlink r:id="rId229" w:history="1">
        <w:r w:rsidR="00B14DAD" w:rsidRPr="00D16622">
          <w:rPr>
            <w:rStyle w:val="Hyperlink"/>
            <w:rFonts w:cs="Times New Roman"/>
            <w:noProof/>
            <w:szCs w:val="24"/>
          </w:rPr>
          <w:t>Serbia</w:t>
        </w:r>
      </w:hyperlink>
      <w:r w:rsidR="00180EF2" w:rsidRPr="00D16622">
        <w:rPr>
          <w:rFonts w:ascii="Times New Roman" w:eastAsia="Times New Roman" w:hAnsi="Times New Roman" w:cs="Times New Roman"/>
          <w:noProof/>
          <w:sz w:val="24"/>
          <w:szCs w:val="24"/>
          <w:lang w:val="en-IE"/>
        </w:rPr>
        <w:t>, exemptions to the Law on public procurement continue to be widely used, circumventing anti-corruption safeguards, and oversight remains weak.</w:t>
      </w:r>
    </w:p>
    <w:p w14:paraId="4B6B5948" w14:textId="1F1D6865" w:rsidR="00F46FCC" w:rsidRPr="00D16622" w:rsidRDefault="00863558" w:rsidP="00133C48">
      <w:pPr>
        <w:spacing w:before="240" w:after="120" w:line="240" w:lineRule="auto"/>
        <w:jc w:val="both"/>
        <w:rPr>
          <w:rFonts w:ascii="Times New Roman" w:hAnsi="Times New Roman" w:cs="Times New Roman"/>
          <w:b/>
          <w:bCs/>
          <w:i/>
          <w:iCs/>
          <w:noProof/>
          <w:sz w:val="24"/>
          <w:szCs w:val="24"/>
        </w:rPr>
      </w:pPr>
      <w:r w:rsidRPr="00D16622">
        <w:rPr>
          <w:rFonts w:ascii="Times New Roman" w:hAnsi="Times New Roman" w:cs="Times New Roman"/>
          <w:b/>
          <w:bCs/>
          <w:i/>
          <w:iCs/>
          <w:noProof/>
          <w:sz w:val="24"/>
          <w:szCs w:val="24"/>
        </w:rPr>
        <w:t>3</w:t>
      </w:r>
      <w:r w:rsidR="00F46FCC" w:rsidRPr="00D16622">
        <w:rPr>
          <w:rFonts w:ascii="Times New Roman" w:hAnsi="Times New Roman" w:cs="Times New Roman"/>
          <w:b/>
          <w:bCs/>
          <w:i/>
          <w:iCs/>
          <w:noProof/>
          <w:sz w:val="24"/>
          <w:szCs w:val="24"/>
        </w:rPr>
        <w:t>.3</w:t>
      </w:r>
      <w:r w:rsidR="00F46FCC" w:rsidRPr="00D16622">
        <w:rPr>
          <w:rFonts w:ascii="Times New Roman" w:hAnsi="Times New Roman" w:cs="Times New Roman"/>
          <w:b/>
          <w:bCs/>
          <w:i/>
          <w:iCs/>
          <w:noProof/>
          <w:sz w:val="24"/>
          <w:szCs w:val="24"/>
        </w:rPr>
        <w:tab/>
        <w:t xml:space="preserve">Media pluralism and media freedom </w:t>
      </w:r>
    </w:p>
    <w:p w14:paraId="2A7CDE5B" w14:textId="532BC2E7" w:rsidR="00DD5B53" w:rsidRPr="00D16622" w:rsidRDefault="005D5770" w:rsidP="747801D4">
      <w:pPr>
        <w:spacing w:after="120" w:line="240" w:lineRule="auto"/>
        <w:jc w:val="both"/>
        <w:rPr>
          <w:rFonts w:ascii="Times New Roman" w:hAnsi="Times New Roman" w:cs="Times New Roman"/>
          <w:noProof/>
          <w:sz w:val="24"/>
          <w:szCs w:val="24"/>
          <w:lang w:val="en-IE"/>
        </w:rPr>
      </w:pPr>
      <w:bookmarkStart w:id="7" w:name="_Hlk233628185"/>
      <w:r w:rsidRPr="00D16622">
        <w:rPr>
          <w:rFonts w:ascii="Times New Roman" w:hAnsi="Times New Roman" w:cs="Times New Roman"/>
          <w:noProof/>
          <w:sz w:val="24"/>
          <w:szCs w:val="24"/>
          <w:lang w:val="en-IE"/>
        </w:rPr>
        <w:t xml:space="preserve">Media freedom and pluralism are </w:t>
      </w:r>
      <w:r w:rsidR="00A96CAA" w:rsidRPr="00D16622">
        <w:rPr>
          <w:rFonts w:ascii="Times New Roman" w:hAnsi="Times New Roman" w:cs="Times New Roman"/>
          <w:noProof/>
          <w:sz w:val="24"/>
          <w:szCs w:val="24"/>
          <w:lang w:val="en-IE"/>
        </w:rPr>
        <w:t>fundamental</w:t>
      </w:r>
      <w:r w:rsidRPr="00D16622">
        <w:rPr>
          <w:rFonts w:ascii="Times New Roman" w:hAnsi="Times New Roman" w:cs="Times New Roman"/>
          <w:noProof/>
          <w:sz w:val="24"/>
          <w:szCs w:val="24"/>
          <w:lang w:val="en-IE"/>
        </w:rPr>
        <w:t xml:space="preserve"> </w:t>
      </w:r>
      <w:r w:rsidR="00286280" w:rsidRPr="00D16622">
        <w:rPr>
          <w:rFonts w:ascii="Times New Roman" w:hAnsi="Times New Roman" w:cs="Times New Roman"/>
          <w:noProof/>
          <w:sz w:val="24"/>
          <w:szCs w:val="24"/>
          <w:lang w:val="en-IE"/>
        </w:rPr>
        <w:t xml:space="preserve">aspects of </w:t>
      </w:r>
      <w:r w:rsidRPr="00D16622">
        <w:rPr>
          <w:rFonts w:ascii="Times New Roman" w:hAnsi="Times New Roman" w:cs="Times New Roman"/>
          <w:noProof/>
          <w:sz w:val="24"/>
          <w:szCs w:val="24"/>
          <w:lang w:val="en-IE"/>
        </w:rPr>
        <w:t>the rule of law</w:t>
      </w:r>
      <w:r w:rsidR="00286280" w:rsidRPr="00D16622">
        <w:rPr>
          <w:rFonts w:ascii="Times New Roman" w:hAnsi="Times New Roman" w:cs="Times New Roman"/>
          <w:noProof/>
          <w:sz w:val="24"/>
          <w:szCs w:val="24"/>
          <w:lang w:val="en-IE"/>
        </w:rPr>
        <w:t>, as</w:t>
      </w:r>
      <w:r w:rsidR="00C41A2F" w:rsidRPr="00D16622">
        <w:rPr>
          <w:rFonts w:ascii="Times New Roman" w:hAnsi="Times New Roman" w:cs="Times New Roman"/>
          <w:noProof/>
          <w:sz w:val="24"/>
          <w:szCs w:val="24"/>
          <w:lang w:val="en-IE"/>
        </w:rPr>
        <w:t xml:space="preserve"> </w:t>
      </w:r>
      <w:r w:rsidR="00286280" w:rsidRPr="00D16622">
        <w:rPr>
          <w:rFonts w:ascii="Times New Roman" w:hAnsi="Times New Roman" w:cs="Times New Roman"/>
          <w:noProof/>
          <w:sz w:val="24"/>
          <w:szCs w:val="24"/>
          <w:lang w:val="en-IE"/>
        </w:rPr>
        <w:t>i</w:t>
      </w:r>
      <w:r w:rsidRPr="00D16622">
        <w:rPr>
          <w:rFonts w:ascii="Times New Roman" w:hAnsi="Times New Roman" w:cs="Times New Roman"/>
          <w:noProof/>
          <w:sz w:val="24"/>
          <w:szCs w:val="24"/>
          <w:lang w:val="en-IE"/>
        </w:rPr>
        <w:t xml:space="preserve">ndependent media help hold power to account and ensure the free flow of information and opinions. Political or state pressure can </w:t>
      </w:r>
      <w:r w:rsidR="009172A9" w:rsidRPr="00D16622">
        <w:rPr>
          <w:rFonts w:ascii="Times New Roman" w:hAnsi="Times New Roman" w:cs="Times New Roman"/>
          <w:noProof/>
          <w:sz w:val="24"/>
          <w:szCs w:val="24"/>
          <w:lang w:val="en-IE"/>
        </w:rPr>
        <w:t>weaken</w:t>
      </w:r>
      <w:r w:rsidRPr="00D16622">
        <w:rPr>
          <w:rFonts w:ascii="Times New Roman" w:hAnsi="Times New Roman" w:cs="Times New Roman"/>
          <w:noProof/>
          <w:sz w:val="24"/>
          <w:szCs w:val="24"/>
          <w:lang w:val="en-IE"/>
        </w:rPr>
        <w:t xml:space="preserve"> this freedom and limit access to information. </w:t>
      </w:r>
      <w:r w:rsidR="0035729F" w:rsidRPr="00D16622">
        <w:rPr>
          <w:rFonts w:ascii="Times New Roman" w:hAnsi="Times New Roman" w:cs="Times New Roman"/>
          <w:noProof/>
          <w:sz w:val="24"/>
          <w:szCs w:val="24"/>
          <w:lang w:val="en-IE"/>
        </w:rPr>
        <w:t>A</w:t>
      </w:r>
      <w:r w:rsidRPr="00D16622">
        <w:rPr>
          <w:rFonts w:ascii="Times New Roman" w:hAnsi="Times New Roman" w:cs="Times New Roman"/>
          <w:noProof/>
          <w:sz w:val="24"/>
          <w:szCs w:val="24"/>
          <w:lang w:val="en-IE"/>
        </w:rPr>
        <w:t>ttacks on journalists</w:t>
      </w:r>
      <w:r w:rsidR="0035729F" w:rsidRPr="00D16622">
        <w:rPr>
          <w:rFonts w:ascii="Times New Roman" w:hAnsi="Times New Roman" w:cs="Times New Roman"/>
          <w:noProof/>
          <w:sz w:val="24"/>
          <w:szCs w:val="24"/>
          <w:lang w:val="en-IE"/>
        </w:rPr>
        <w:t xml:space="preserve"> and impunity for such crimes </w:t>
      </w:r>
      <w:r w:rsidRPr="00D16622">
        <w:rPr>
          <w:rFonts w:ascii="Times New Roman" w:hAnsi="Times New Roman" w:cs="Times New Roman"/>
          <w:noProof/>
          <w:sz w:val="24"/>
          <w:szCs w:val="24"/>
          <w:lang w:val="en-IE"/>
        </w:rPr>
        <w:t>often coincide with a broader decline in rule of law standards.</w:t>
      </w:r>
      <w:r w:rsidR="004F559A" w:rsidRPr="00D16622">
        <w:rPr>
          <w:rFonts w:ascii="Times New Roman" w:hAnsi="Times New Roman" w:cs="Times New Roman"/>
          <w:noProof/>
          <w:sz w:val="24"/>
          <w:szCs w:val="24"/>
          <w:lang w:val="en-IE"/>
        </w:rPr>
        <w:t xml:space="preserve"> </w:t>
      </w:r>
      <w:r w:rsidR="00CF74E6" w:rsidRPr="00D16622">
        <w:rPr>
          <w:rFonts w:ascii="Times New Roman" w:hAnsi="Times New Roman" w:cs="Times New Roman"/>
          <w:noProof/>
          <w:sz w:val="24"/>
          <w:szCs w:val="24"/>
        </w:rPr>
        <w:t>The entry into force of the EMFA and implementation of anti-SLAPP legislation are important milestones in this regard, as they</w:t>
      </w:r>
      <w:r w:rsidR="003C7DA7" w:rsidRPr="00D16622">
        <w:rPr>
          <w:rFonts w:ascii="Times New Roman" w:hAnsi="Times New Roman" w:cs="Times New Roman"/>
          <w:noProof/>
          <w:sz w:val="24"/>
          <w:szCs w:val="24"/>
        </w:rPr>
        <w:t xml:space="preserve"> provide enhanced safeguards for media independence and protection against abusive litigation</w:t>
      </w:r>
      <w:r w:rsidR="004F559A" w:rsidRPr="00D16622">
        <w:rPr>
          <w:rFonts w:ascii="Times New Roman" w:hAnsi="Times New Roman" w:cs="Times New Roman"/>
          <w:noProof/>
          <w:sz w:val="24"/>
          <w:szCs w:val="24"/>
        </w:rPr>
        <w:t>.</w:t>
      </w:r>
      <w:r w:rsidR="00AE4357" w:rsidRPr="00D16622">
        <w:rPr>
          <w:rFonts w:ascii="Times New Roman" w:hAnsi="Times New Roman" w:cs="Times New Roman"/>
          <w:noProof/>
          <w:sz w:val="24"/>
          <w:szCs w:val="24"/>
        </w:rPr>
        <w:t xml:space="preserve"> </w:t>
      </w:r>
      <w:r w:rsidR="001F32BF" w:rsidRPr="00D16622">
        <w:rPr>
          <w:rFonts w:ascii="Times New Roman" w:hAnsi="Times New Roman" w:cs="Times New Roman"/>
          <w:noProof/>
          <w:sz w:val="24"/>
          <w:szCs w:val="24"/>
        </w:rPr>
        <w:t>Media freedom organisations have expressed growing concerns about the state of media freedom</w:t>
      </w:r>
      <w:r w:rsidR="00F87656" w:rsidRPr="00D16622">
        <w:rPr>
          <w:rFonts w:ascii="Times New Roman" w:hAnsi="Times New Roman" w:cs="Times New Roman"/>
          <w:noProof/>
          <w:sz w:val="24"/>
          <w:szCs w:val="24"/>
        </w:rPr>
        <w:t xml:space="preserve">, although the overall situation in the EU remains </w:t>
      </w:r>
      <w:r w:rsidR="006D61D1" w:rsidRPr="00D16622">
        <w:rPr>
          <w:rFonts w:ascii="Times New Roman" w:hAnsi="Times New Roman" w:cs="Times New Roman"/>
          <w:noProof/>
          <w:sz w:val="24"/>
          <w:szCs w:val="24"/>
        </w:rPr>
        <w:t>broadly positive</w:t>
      </w:r>
      <w:r w:rsidR="000F2A79" w:rsidRPr="00D16622">
        <w:rPr>
          <w:rStyle w:val="FootnoteReference"/>
          <w:rFonts w:cs="Times New Roman"/>
          <w:noProof/>
        </w:rPr>
        <w:footnoteReference w:id="69"/>
      </w:r>
      <w:r w:rsidR="000F2A79" w:rsidRPr="00D16622">
        <w:rPr>
          <w:rFonts w:ascii="Times New Roman" w:hAnsi="Times New Roman" w:cs="Times New Roman"/>
          <w:noProof/>
        </w:rPr>
        <w:t>.</w:t>
      </w:r>
      <w:r w:rsidR="004F559A" w:rsidRPr="00D16622">
        <w:rPr>
          <w:rFonts w:ascii="Times New Roman" w:hAnsi="Times New Roman" w:cs="Times New Roman"/>
          <w:noProof/>
        </w:rPr>
        <w:t xml:space="preserve"> </w:t>
      </w:r>
    </w:p>
    <w:bookmarkEnd w:id="7"/>
    <w:p w14:paraId="7921B295" w14:textId="62422ED4" w:rsidR="005F1A7C" w:rsidRPr="00D16622" w:rsidRDefault="005F1A7C" w:rsidP="747801D4">
      <w:pPr>
        <w:spacing w:after="120" w:line="240" w:lineRule="auto"/>
        <w:jc w:val="both"/>
        <w:rPr>
          <w:rFonts w:ascii="Times New Roman" w:hAnsi="Times New Roman" w:cs="Times New Roman"/>
          <w:i/>
          <w:iCs/>
          <w:noProof/>
          <w:sz w:val="24"/>
          <w:szCs w:val="24"/>
          <w:lang w:val="en-IE"/>
        </w:rPr>
      </w:pPr>
      <w:r w:rsidRPr="00D16622">
        <w:rPr>
          <w:rFonts w:ascii="Times New Roman" w:hAnsi="Times New Roman" w:cs="Times New Roman"/>
          <w:i/>
          <w:iCs/>
          <w:noProof/>
          <w:sz w:val="24"/>
          <w:szCs w:val="24"/>
          <w:lang w:val="en-IE"/>
        </w:rPr>
        <w:t>Monitoring risks to media freedom and pluralism</w:t>
      </w:r>
    </w:p>
    <w:p w14:paraId="79AC2E9F" w14:textId="75F7FFA9" w:rsidR="005F1A7C" w:rsidRPr="00D16622" w:rsidRDefault="00B428C0" w:rsidP="747801D4">
      <w:pPr>
        <w:spacing w:after="120" w:line="240" w:lineRule="auto"/>
        <w:jc w:val="both"/>
        <w:rPr>
          <w:rFonts w:ascii="Times New Roman" w:hAnsi="Times New Roman" w:cs="Times New Roman"/>
          <w:noProof/>
          <w:sz w:val="24"/>
          <w:szCs w:val="24"/>
          <w:lang w:val="en-US"/>
        </w:rPr>
      </w:pPr>
      <w:r w:rsidRPr="00D16622">
        <w:rPr>
          <w:rFonts w:ascii="Times New Roman" w:hAnsi="Times New Roman" w:cs="Times New Roman"/>
          <w:noProof/>
          <w:sz w:val="24"/>
          <w:szCs w:val="24"/>
          <w:lang w:val="en-US"/>
        </w:rPr>
        <w:t>The 2026 Media Pluralism Monitor</w:t>
      </w:r>
      <w:r w:rsidRPr="00D16622">
        <w:rPr>
          <w:rStyle w:val="FootnoteReference"/>
          <w:rFonts w:cs="Times New Roman"/>
          <w:noProof/>
        </w:rPr>
        <w:footnoteReference w:id="70"/>
      </w:r>
      <w:r w:rsidRPr="00D16622">
        <w:rPr>
          <w:rFonts w:ascii="Times New Roman" w:hAnsi="Times New Roman" w:cs="Times New Roman"/>
          <w:noProof/>
          <w:sz w:val="24"/>
          <w:szCs w:val="24"/>
          <w:lang w:val="en-US"/>
        </w:rPr>
        <w:t xml:space="preserve"> highlights persistent as well as relatively new risks to media pluralism across the EU, especially due to concentration of media ownership, the growing market </w:t>
      </w:r>
      <w:r w:rsidR="767FBCEC" w:rsidRPr="00D16622">
        <w:rPr>
          <w:rFonts w:ascii="Times New Roman" w:hAnsi="Times New Roman" w:cs="Times New Roman"/>
          <w:noProof/>
          <w:sz w:val="24"/>
          <w:szCs w:val="24"/>
          <w:lang w:val="en-US"/>
        </w:rPr>
        <w:t xml:space="preserve">share </w:t>
      </w:r>
      <w:r w:rsidRPr="00D16622">
        <w:rPr>
          <w:rFonts w:ascii="Times New Roman" w:hAnsi="Times New Roman" w:cs="Times New Roman"/>
          <w:noProof/>
          <w:sz w:val="24"/>
          <w:szCs w:val="24"/>
          <w:lang w:val="en-US"/>
        </w:rPr>
        <w:t xml:space="preserve">of digital intermediaries, and the evolving disruption of editorial media in the AI era. The Monitor finds that editorial independence remains fragile in some countries, while the media sector continues to struggle economically, with declining numbers of journalists, poor working conditions in some countries, and weak business models despite attempts at innovation. In several countries, public service media continue to face political interference in management appointments and financing. </w:t>
      </w:r>
    </w:p>
    <w:p w14:paraId="4CD71817" w14:textId="5612CE30" w:rsidR="00071325" w:rsidRPr="00D16622" w:rsidRDefault="002265D7" w:rsidP="747801D4">
      <w:pPr>
        <w:spacing w:after="120" w:line="240" w:lineRule="auto"/>
        <w:jc w:val="both"/>
        <w:rPr>
          <w:rFonts w:ascii="Times New Roman" w:hAnsi="Times New Roman" w:cs="Times New Roman"/>
          <w:i/>
          <w:iCs/>
          <w:noProof/>
          <w:sz w:val="24"/>
          <w:szCs w:val="24"/>
          <w:lang w:val="en-IE"/>
        </w:rPr>
      </w:pPr>
      <w:r w:rsidRPr="00D16622">
        <w:rPr>
          <w:rFonts w:ascii="Times New Roman" w:hAnsi="Times New Roman" w:cs="Times New Roman"/>
          <w:i/>
          <w:iCs/>
          <w:noProof/>
          <w:sz w:val="24"/>
          <w:szCs w:val="24"/>
          <w:lang w:val="en-IE"/>
        </w:rPr>
        <w:t>Strengthening the independent functioning of media regulators</w:t>
      </w:r>
    </w:p>
    <w:p w14:paraId="0872A867" w14:textId="426518AF" w:rsidR="00901A8F" w:rsidRPr="00D16622" w:rsidRDefault="00BA18E9" w:rsidP="00901A8F">
      <w:pPr>
        <w:spacing w:after="120" w:line="240" w:lineRule="auto"/>
        <w:jc w:val="both"/>
        <w:rPr>
          <w:rFonts w:ascii="Times New Roman" w:hAnsi="Times New Roman" w:cs="Times New Roman"/>
          <w:noProof/>
          <w:sz w:val="24"/>
          <w:szCs w:val="24"/>
          <w:lang w:val="en-IE"/>
        </w:rPr>
      </w:pPr>
      <w:r w:rsidRPr="00D16622">
        <w:rPr>
          <w:rFonts w:ascii="Times New Roman" w:hAnsi="Times New Roman" w:cs="Times New Roman"/>
          <w:noProof/>
          <w:sz w:val="24"/>
          <w:szCs w:val="24"/>
          <w:lang w:val="en-IE"/>
        </w:rPr>
        <w:t>I</w:t>
      </w:r>
      <w:r w:rsidR="00901A8F" w:rsidRPr="00D16622">
        <w:rPr>
          <w:rFonts w:ascii="Times New Roman" w:hAnsi="Times New Roman" w:cs="Times New Roman"/>
          <w:noProof/>
          <w:sz w:val="24"/>
          <w:szCs w:val="24"/>
          <w:lang w:val="en-IE"/>
        </w:rPr>
        <w:t>ndependent national media regulators</w:t>
      </w:r>
      <w:r w:rsidR="00FB2F24" w:rsidRPr="00D16622">
        <w:rPr>
          <w:rFonts w:ascii="Times New Roman" w:hAnsi="Times New Roman" w:cs="Times New Roman"/>
          <w:noProof/>
          <w:sz w:val="24"/>
          <w:szCs w:val="24"/>
          <w:lang w:val="en-IE"/>
        </w:rPr>
        <w:t xml:space="preserve"> are essential for protecting media pluralism and must act</w:t>
      </w:r>
      <w:r w:rsidR="00901A8F" w:rsidRPr="00D16622">
        <w:rPr>
          <w:rFonts w:ascii="Times New Roman" w:hAnsi="Times New Roman" w:cs="Times New Roman"/>
          <w:noProof/>
          <w:sz w:val="24"/>
          <w:szCs w:val="24"/>
          <w:lang w:val="en-IE"/>
        </w:rPr>
        <w:t xml:space="preserve"> impartially and transparently. All Member States have legislation </w:t>
      </w:r>
      <w:r w:rsidR="00FB2F24" w:rsidRPr="00D16622">
        <w:rPr>
          <w:rFonts w:ascii="Times New Roman" w:hAnsi="Times New Roman" w:cs="Times New Roman"/>
          <w:noProof/>
          <w:sz w:val="24"/>
          <w:szCs w:val="24"/>
          <w:lang w:val="en-IE"/>
        </w:rPr>
        <w:t xml:space="preserve">setting out their powers and safeguards for </w:t>
      </w:r>
      <w:r w:rsidR="00901A8F" w:rsidRPr="00D16622">
        <w:rPr>
          <w:rFonts w:ascii="Times New Roman" w:hAnsi="Times New Roman" w:cs="Times New Roman"/>
          <w:noProof/>
          <w:sz w:val="24"/>
          <w:szCs w:val="24"/>
          <w:lang w:val="en-IE"/>
        </w:rPr>
        <w:t xml:space="preserve">independence. </w:t>
      </w:r>
      <w:r w:rsidR="00E311DC" w:rsidRPr="00D16622">
        <w:rPr>
          <w:rFonts w:ascii="Times New Roman" w:hAnsi="Times New Roman" w:cs="Times New Roman"/>
          <w:noProof/>
          <w:sz w:val="24"/>
          <w:szCs w:val="24"/>
          <w:lang w:val="en-IE"/>
        </w:rPr>
        <w:t>T</w:t>
      </w:r>
      <w:r w:rsidR="00901A8F" w:rsidRPr="00D16622">
        <w:rPr>
          <w:rFonts w:ascii="Times New Roman" w:hAnsi="Times New Roman" w:cs="Times New Roman"/>
          <w:noProof/>
          <w:sz w:val="24"/>
          <w:szCs w:val="24"/>
          <w:lang w:val="en-IE"/>
        </w:rPr>
        <w:t xml:space="preserve">he </w:t>
      </w:r>
      <w:hyperlink r:id="rId230" w:history="1">
        <w:r w:rsidR="00901A8F" w:rsidRPr="00D16622">
          <w:rPr>
            <w:rStyle w:val="Hyperlink"/>
            <w:rFonts w:cs="Times New Roman"/>
            <w:noProof/>
            <w:szCs w:val="24"/>
            <w:lang w:val="en-IE"/>
          </w:rPr>
          <w:t>Audiovisual Media Services Directive (AVMSD)</w:t>
        </w:r>
      </w:hyperlink>
      <w:r w:rsidR="00901A8F" w:rsidRPr="00D16622">
        <w:rPr>
          <w:rFonts w:ascii="Times New Roman" w:hAnsi="Times New Roman" w:cs="Times New Roman"/>
          <w:noProof/>
          <w:sz w:val="24"/>
          <w:szCs w:val="24"/>
          <w:lang w:val="en-IE"/>
        </w:rPr>
        <w:t xml:space="preserve"> and </w:t>
      </w:r>
      <w:r w:rsidR="00C010E7" w:rsidRPr="00D16622">
        <w:rPr>
          <w:rFonts w:ascii="Times New Roman" w:hAnsi="Times New Roman" w:cs="Times New Roman"/>
          <w:noProof/>
          <w:sz w:val="24"/>
          <w:szCs w:val="24"/>
          <w:lang w:val="en-IE"/>
        </w:rPr>
        <w:t xml:space="preserve">the </w:t>
      </w:r>
      <w:r w:rsidR="00901A8F" w:rsidRPr="00D16622">
        <w:rPr>
          <w:rFonts w:ascii="Times New Roman" w:hAnsi="Times New Roman" w:cs="Times New Roman"/>
          <w:noProof/>
          <w:sz w:val="24"/>
          <w:szCs w:val="24"/>
          <w:lang w:val="en-IE"/>
        </w:rPr>
        <w:t xml:space="preserve">EMFA </w:t>
      </w:r>
      <w:r w:rsidR="000B1C79" w:rsidRPr="00D16622">
        <w:rPr>
          <w:rFonts w:ascii="Times New Roman" w:hAnsi="Times New Roman" w:cs="Times New Roman"/>
          <w:noProof/>
          <w:sz w:val="24"/>
          <w:szCs w:val="24"/>
          <w:lang w:val="en-IE"/>
        </w:rPr>
        <w:t xml:space="preserve">require </w:t>
      </w:r>
      <w:r w:rsidR="0071384F" w:rsidRPr="00D16622">
        <w:rPr>
          <w:rFonts w:ascii="Times New Roman" w:hAnsi="Times New Roman" w:cs="Times New Roman"/>
          <w:noProof/>
          <w:sz w:val="24"/>
          <w:szCs w:val="24"/>
          <w:lang w:val="en-IE"/>
        </w:rPr>
        <w:t xml:space="preserve">regulators to be independent from the government, impartial, transparent and accountable, with </w:t>
      </w:r>
      <w:r w:rsidR="00901A8F" w:rsidRPr="00D16622">
        <w:rPr>
          <w:rFonts w:ascii="Times New Roman" w:hAnsi="Times New Roman" w:cs="Times New Roman"/>
          <w:noProof/>
          <w:sz w:val="24"/>
          <w:szCs w:val="24"/>
          <w:lang w:val="en-IE"/>
        </w:rPr>
        <w:t xml:space="preserve">adequate resources, </w:t>
      </w:r>
      <w:r w:rsidR="0071384F" w:rsidRPr="00D16622">
        <w:rPr>
          <w:rFonts w:ascii="Times New Roman" w:hAnsi="Times New Roman" w:cs="Times New Roman"/>
          <w:noProof/>
          <w:sz w:val="24"/>
          <w:szCs w:val="24"/>
          <w:lang w:val="en-IE"/>
        </w:rPr>
        <w:t>clear procedures</w:t>
      </w:r>
      <w:r w:rsidR="00901A8F" w:rsidRPr="00D16622">
        <w:rPr>
          <w:rFonts w:ascii="Times New Roman" w:hAnsi="Times New Roman" w:cs="Times New Roman"/>
          <w:noProof/>
          <w:sz w:val="24"/>
          <w:szCs w:val="24"/>
          <w:lang w:val="en-IE"/>
        </w:rPr>
        <w:t xml:space="preserve"> for appointment and dismissal, and effective appeal mechanisms. </w:t>
      </w:r>
    </w:p>
    <w:p w14:paraId="31B33EAD" w14:textId="6EAD246F" w:rsidR="00901A8F" w:rsidRPr="00D16622" w:rsidRDefault="00901A8F" w:rsidP="00901A8F">
      <w:pPr>
        <w:spacing w:after="120" w:line="240" w:lineRule="auto"/>
        <w:jc w:val="both"/>
        <w:rPr>
          <w:rFonts w:ascii="Times New Roman" w:hAnsi="Times New Roman" w:cs="Times New Roman"/>
          <w:noProof/>
          <w:sz w:val="24"/>
          <w:szCs w:val="24"/>
          <w:lang w:val="en-IE"/>
        </w:rPr>
      </w:pPr>
      <w:r w:rsidRPr="00D16622">
        <w:rPr>
          <w:rFonts w:ascii="Times New Roman" w:hAnsi="Times New Roman" w:cs="Times New Roman"/>
          <w:noProof/>
          <w:sz w:val="24"/>
          <w:szCs w:val="24"/>
          <w:lang w:val="en-IE"/>
        </w:rPr>
        <w:t xml:space="preserve">The tasks, competences and resources of several national media regulators have been or are being expanded and increased, </w:t>
      </w:r>
      <w:r w:rsidR="00B90C67" w:rsidRPr="00D16622">
        <w:rPr>
          <w:rFonts w:ascii="Times New Roman" w:hAnsi="Times New Roman" w:cs="Times New Roman"/>
          <w:noProof/>
          <w:sz w:val="24"/>
          <w:szCs w:val="24"/>
          <w:lang w:val="en-IE"/>
        </w:rPr>
        <w:t>also</w:t>
      </w:r>
      <w:r w:rsidRPr="00D16622">
        <w:rPr>
          <w:rFonts w:ascii="Times New Roman" w:hAnsi="Times New Roman" w:cs="Times New Roman"/>
          <w:noProof/>
          <w:sz w:val="24"/>
          <w:szCs w:val="24"/>
          <w:lang w:val="en-IE"/>
        </w:rPr>
        <w:t xml:space="preserve"> </w:t>
      </w:r>
      <w:r w:rsidR="006C2C54" w:rsidRPr="00D16622">
        <w:rPr>
          <w:rFonts w:ascii="Times New Roman" w:hAnsi="Times New Roman" w:cs="Times New Roman"/>
          <w:noProof/>
          <w:sz w:val="24"/>
          <w:szCs w:val="24"/>
          <w:lang w:val="en-IE"/>
        </w:rPr>
        <w:t xml:space="preserve">in view of </w:t>
      </w:r>
      <w:r w:rsidRPr="00D16622">
        <w:rPr>
          <w:rFonts w:ascii="Times New Roman" w:hAnsi="Times New Roman" w:cs="Times New Roman"/>
          <w:noProof/>
          <w:sz w:val="24"/>
          <w:szCs w:val="24"/>
          <w:lang w:val="en-IE"/>
        </w:rPr>
        <w:t>comply</w:t>
      </w:r>
      <w:r w:rsidR="006C2C54" w:rsidRPr="00D16622">
        <w:rPr>
          <w:rFonts w:ascii="Times New Roman" w:hAnsi="Times New Roman" w:cs="Times New Roman"/>
          <w:noProof/>
          <w:sz w:val="24"/>
          <w:szCs w:val="24"/>
          <w:lang w:val="en-IE"/>
        </w:rPr>
        <w:t>ing</w:t>
      </w:r>
      <w:r w:rsidRPr="00D16622">
        <w:rPr>
          <w:rFonts w:ascii="Times New Roman" w:hAnsi="Times New Roman" w:cs="Times New Roman"/>
          <w:noProof/>
          <w:sz w:val="24"/>
          <w:szCs w:val="24"/>
          <w:lang w:val="en-IE"/>
        </w:rPr>
        <w:t xml:space="preserve"> with </w:t>
      </w:r>
      <w:r w:rsidR="00C010E7" w:rsidRPr="00D16622">
        <w:rPr>
          <w:rFonts w:ascii="Times New Roman" w:hAnsi="Times New Roman" w:cs="Times New Roman"/>
          <w:noProof/>
          <w:sz w:val="24"/>
          <w:szCs w:val="24"/>
          <w:lang w:val="en-IE"/>
        </w:rPr>
        <w:t xml:space="preserve">the </w:t>
      </w:r>
      <w:r w:rsidRPr="00D16622">
        <w:rPr>
          <w:rFonts w:ascii="Times New Roman" w:hAnsi="Times New Roman" w:cs="Times New Roman"/>
          <w:noProof/>
          <w:sz w:val="24"/>
          <w:szCs w:val="24"/>
          <w:lang w:val="en-IE"/>
        </w:rPr>
        <w:t xml:space="preserve">EMFA </w:t>
      </w:r>
      <w:r w:rsidR="006C2C54" w:rsidRPr="00D16622">
        <w:rPr>
          <w:rFonts w:ascii="Times New Roman" w:hAnsi="Times New Roman" w:cs="Times New Roman"/>
          <w:noProof/>
          <w:sz w:val="24"/>
          <w:szCs w:val="24"/>
          <w:lang w:val="en-IE"/>
        </w:rPr>
        <w:t>and</w:t>
      </w:r>
      <w:r w:rsidRPr="00D16622">
        <w:rPr>
          <w:rFonts w:ascii="Times New Roman" w:hAnsi="Times New Roman" w:cs="Times New Roman"/>
          <w:noProof/>
          <w:sz w:val="24"/>
          <w:szCs w:val="24"/>
          <w:lang w:val="en-IE"/>
        </w:rPr>
        <w:t xml:space="preserve"> the </w:t>
      </w:r>
      <w:hyperlink r:id="rId231" w:history="1">
        <w:r w:rsidRPr="00D16622">
          <w:rPr>
            <w:rStyle w:val="Hyperlink"/>
            <w:rFonts w:cs="Times New Roman"/>
            <w:noProof/>
            <w:szCs w:val="24"/>
            <w:lang w:val="en-IE"/>
          </w:rPr>
          <w:t>EU Digital Services Act (DSA)</w:t>
        </w:r>
      </w:hyperlink>
      <w:r w:rsidRPr="00D16622">
        <w:rPr>
          <w:rFonts w:ascii="Times New Roman" w:hAnsi="Times New Roman" w:cs="Times New Roman"/>
          <w:noProof/>
          <w:sz w:val="24"/>
          <w:szCs w:val="24"/>
          <w:lang w:val="en-IE"/>
        </w:rPr>
        <w:t xml:space="preserve">. Since the publication of the 2025 </w:t>
      </w:r>
      <w:r w:rsidR="006C2C54" w:rsidRPr="00D16622">
        <w:rPr>
          <w:rFonts w:ascii="Times New Roman" w:hAnsi="Times New Roman" w:cs="Times New Roman"/>
          <w:noProof/>
          <w:sz w:val="24"/>
          <w:szCs w:val="24"/>
          <w:lang w:val="en-IE"/>
        </w:rPr>
        <w:t>R</w:t>
      </w:r>
      <w:r w:rsidRPr="00D16622">
        <w:rPr>
          <w:rFonts w:ascii="Times New Roman" w:hAnsi="Times New Roman" w:cs="Times New Roman"/>
          <w:noProof/>
          <w:sz w:val="24"/>
          <w:szCs w:val="24"/>
          <w:lang w:val="en-IE"/>
        </w:rPr>
        <w:t xml:space="preserve">ule of </w:t>
      </w:r>
      <w:r w:rsidR="006C2C54" w:rsidRPr="00D16622">
        <w:rPr>
          <w:rFonts w:ascii="Times New Roman" w:hAnsi="Times New Roman" w:cs="Times New Roman"/>
          <w:noProof/>
          <w:sz w:val="24"/>
          <w:szCs w:val="24"/>
          <w:lang w:val="en-IE"/>
        </w:rPr>
        <w:t>L</w:t>
      </w:r>
      <w:r w:rsidRPr="00D16622">
        <w:rPr>
          <w:rFonts w:ascii="Times New Roman" w:hAnsi="Times New Roman" w:cs="Times New Roman"/>
          <w:noProof/>
          <w:sz w:val="24"/>
          <w:szCs w:val="24"/>
          <w:lang w:val="en-IE"/>
        </w:rPr>
        <w:t xml:space="preserve">aw report, in </w:t>
      </w:r>
      <w:hyperlink r:id="rId232" w:history="1">
        <w:r w:rsidR="006032A2" w:rsidRPr="00D16622">
          <w:rPr>
            <w:rStyle w:val="Hyperlink"/>
            <w:rFonts w:cs="Times New Roman"/>
            <w:noProof/>
            <w:szCs w:val="24"/>
          </w:rPr>
          <w:t>Cyprus</w:t>
        </w:r>
      </w:hyperlink>
      <w:r w:rsidRPr="00D16622">
        <w:rPr>
          <w:rFonts w:ascii="Times New Roman" w:hAnsi="Times New Roman" w:cs="Times New Roman"/>
          <w:noProof/>
          <w:sz w:val="24"/>
          <w:szCs w:val="24"/>
          <w:lang w:val="en-IE"/>
        </w:rPr>
        <w:t xml:space="preserve">, </w:t>
      </w:r>
      <w:hyperlink r:id="rId233" w:history="1">
        <w:r w:rsidRPr="00D16622">
          <w:rPr>
            <w:rStyle w:val="Hyperlink"/>
            <w:rFonts w:cs="Times New Roman"/>
            <w:noProof/>
            <w:szCs w:val="24"/>
            <w:lang w:val="en-IE"/>
          </w:rPr>
          <w:t>Denmark</w:t>
        </w:r>
      </w:hyperlink>
      <w:r w:rsidRPr="00D16622">
        <w:rPr>
          <w:rFonts w:ascii="Times New Roman" w:hAnsi="Times New Roman" w:cs="Times New Roman"/>
          <w:noProof/>
          <w:sz w:val="24"/>
          <w:szCs w:val="24"/>
          <w:lang w:val="en-IE"/>
        </w:rPr>
        <w:t xml:space="preserve">, </w:t>
      </w:r>
      <w:hyperlink r:id="rId234" w:history="1">
        <w:r w:rsidR="00F377A5" w:rsidRPr="00D16622">
          <w:rPr>
            <w:rStyle w:val="Hyperlink"/>
            <w:rFonts w:eastAsia="Times New Roman" w:cs="Times New Roman"/>
            <w:noProof/>
            <w:szCs w:val="24"/>
            <w:lang w:val="en-IE"/>
          </w:rPr>
          <w:t>Italy</w:t>
        </w:r>
      </w:hyperlink>
      <w:r w:rsidRPr="00D16622">
        <w:rPr>
          <w:rFonts w:ascii="Times New Roman" w:hAnsi="Times New Roman" w:cs="Times New Roman"/>
          <w:noProof/>
          <w:sz w:val="24"/>
          <w:szCs w:val="24"/>
          <w:lang w:val="en-IE"/>
        </w:rPr>
        <w:t xml:space="preserve">, </w:t>
      </w:r>
      <w:hyperlink r:id="rId235" w:history="1">
        <w:r w:rsidR="008A099D" w:rsidRPr="00D16622">
          <w:rPr>
            <w:rStyle w:val="Hyperlink"/>
            <w:rFonts w:cs="Times New Roman"/>
            <w:noProof/>
            <w:szCs w:val="24"/>
            <w:lang w:eastAsia="en-IE"/>
          </w:rPr>
          <w:t>Sweden</w:t>
        </w:r>
      </w:hyperlink>
      <w:r w:rsidR="00BB463B" w:rsidRPr="00D16622">
        <w:rPr>
          <w:rFonts w:ascii="Times New Roman" w:hAnsi="Times New Roman" w:cs="Times New Roman"/>
          <w:noProof/>
        </w:rPr>
        <w:t xml:space="preserve"> </w:t>
      </w:r>
      <w:r w:rsidRPr="00D16622">
        <w:rPr>
          <w:rFonts w:ascii="Times New Roman" w:hAnsi="Times New Roman" w:cs="Times New Roman"/>
          <w:noProof/>
          <w:sz w:val="24"/>
          <w:szCs w:val="24"/>
          <w:lang w:val="en-IE"/>
        </w:rPr>
        <w:t xml:space="preserve">and </w:t>
      </w:r>
      <w:hyperlink r:id="rId236" w:history="1">
        <w:r w:rsidR="009F1189" w:rsidRPr="00D16622">
          <w:rPr>
            <w:rStyle w:val="Hyperlink"/>
            <w:rFonts w:cs="Times New Roman"/>
            <w:noProof/>
            <w:szCs w:val="24"/>
          </w:rPr>
          <w:t>Portugal</w:t>
        </w:r>
      </w:hyperlink>
      <w:r w:rsidR="006C2C54" w:rsidRPr="00D16622">
        <w:rPr>
          <w:rFonts w:ascii="Times New Roman" w:hAnsi="Times New Roman" w:cs="Times New Roman"/>
          <w:noProof/>
          <w:sz w:val="24"/>
          <w:szCs w:val="24"/>
          <w:lang w:val="en-IE"/>
        </w:rPr>
        <w:t>,</w:t>
      </w:r>
      <w:r w:rsidRPr="00D16622">
        <w:rPr>
          <w:rFonts w:ascii="Times New Roman" w:hAnsi="Times New Roman" w:cs="Times New Roman"/>
          <w:noProof/>
          <w:sz w:val="24"/>
          <w:szCs w:val="24"/>
          <w:lang w:val="en-IE"/>
        </w:rPr>
        <w:t xml:space="preserve"> the regulators’ financial resources have increased, their financial situation has stabilised</w:t>
      </w:r>
      <w:r w:rsidR="006C2C54" w:rsidRPr="00D16622">
        <w:rPr>
          <w:rFonts w:ascii="Times New Roman" w:hAnsi="Times New Roman" w:cs="Times New Roman"/>
          <w:noProof/>
          <w:sz w:val="24"/>
          <w:szCs w:val="24"/>
          <w:lang w:val="en-IE"/>
        </w:rPr>
        <w:t>,</w:t>
      </w:r>
      <w:r w:rsidRPr="00D16622">
        <w:rPr>
          <w:rFonts w:ascii="Times New Roman" w:hAnsi="Times New Roman" w:cs="Times New Roman"/>
          <w:noProof/>
          <w:sz w:val="24"/>
          <w:szCs w:val="24"/>
          <w:lang w:val="en-IE"/>
        </w:rPr>
        <w:t xml:space="preserve"> or their financial autonomy has been reinforced. In </w:t>
      </w:r>
      <w:hyperlink r:id="rId237" w:history="1">
        <w:r w:rsidRPr="00D16622">
          <w:rPr>
            <w:rStyle w:val="Hyperlink"/>
            <w:rFonts w:cs="Times New Roman"/>
            <w:bCs/>
            <w:noProof/>
            <w:szCs w:val="24"/>
            <w:lang w:val="en-IE"/>
          </w:rPr>
          <w:t>Ireland</w:t>
        </w:r>
      </w:hyperlink>
      <w:r w:rsidRPr="00D16622">
        <w:rPr>
          <w:rFonts w:ascii="Times New Roman" w:hAnsi="Times New Roman" w:cs="Times New Roman"/>
          <w:noProof/>
          <w:sz w:val="24"/>
          <w:szCs w:val="24"/>
          <w:lang w:val="en-IE"/>
        </w:rPr>
        <w:t xml:space="preserve">, </w:t>
      </w:r>
      <w:hyperlink r:id="rId238" w:history="1">
        <w:r w:rsidR="00625426" w:rsidRPr="00D16622">
          <w:rPr>
            <w:rStyle w:val="Hyperlink"/>
            <w:rFonts w:eastAsia="Times New Roman" w:cs="Times New Roman"/>
            <w:noProof/>
            <w:szCs w:val="24"/>
            <w:lang w:val="en-IE"/>
          </w:rPr>
          <w:t>Latvia</w:t>
        </w:r>
      </w:hyperlink>
      <w:r w:rsidRPr="00D16622">
        <w:rPr>
          <w:rFonts w:ascii="Times New Roman" w:hAnsi="Times New Roman" w:cs="Times New Roman"/>
          <w:noProof/>
          <w:sz w:val="24"/>
          <w:szCs w:val="24"/>
          <w:lang w:val="en-IE"/>
        </w:rPr>
        <w:t xml:space="preserve"> and </w:t>
      </w:r>
      <w:hyperlink r:id="rId239" w:history="1">
        <w:r w:rsidRPr="00D16622">
          <w:rPr>
            <w:rStyle w:val="Hyperlink"/>
            <w:rFonts w:cs="Times New Roman"/>
            <w:bCs/>
            <w:noProof/>
            <w:szCs w:val="24"/>
            <w:lang w:val="en-IE"/>
          </w:rPr>
          <w:t>Greece</w:t>
        </w:r>
      </w:hyperlink>
      <w:r w:rsidRPr="00D16622">
        <w:rPr>
          <w:rFonts w:ascii="Times New Roman" w:hAnsi="Times New Roman" w:cs="Times New Roman"/>
          <w:noProof/>
          <w:sz w:val="24"/>
          <w:szCs w:val="24"/>
          <w:lang w:val="en-IE"/>
        </w:rPr>
        <w:t xml:space="preserve">, there have been staff </w:t>
      </w:r>
      <w:r w:rsidR="00676847" w:rsidRPr="00D16622">
        <w:rPr>
          <w:rFonts w:ascii="Times New Roman" w:hAnsi="Times New Roman" w:cs="Times New Roman"/>
          <w:noProof/>
          <w:sz w:val="24"/>
          <w:szCs w:val="24"/>
          <w:lang w:val="en-IE"/>
        </w:rPr>
        <w:t>increases</w:t>
      </w:r>
      <w:r w:rsidRPr="00D16622">
        <w:rPr>
          <w:rFonts w:ascii="Times New Roman" w:hAnsi="Times New Roman" w:cs="Times New Roman"/>
          <w:noProof/>
          <w:sz w:val="24"/>
          <w:szCs w:val="24"/>
          <w:lang w:val="en-IE"/>
        </w:rPr>
        <w:t xml:space="preserve">. Regulators have been </w:t>
      </w:r>
      <w:r w:rsidR="006C2C54" w:rsidRPr="00D16622">
        <w:rPr>
          <w:rFonts w:ascii="Times New Roman" w:hAnsi="Times New Roman" w:cs="Times New Roman"/>
          <w:noProof/>
          <w:sz w:val="24"/>
          <w:szCs w:val="24"/>
          <w:lang w:val="en-IE"/>
        </w:rPr>
        <w:t xml:space="preserve">given </w:t>
      </w:r>
      <w:r w:rsidRPr="00D16622">
        <w:rPr>
          <w:rFonts w:ascii="Times New Roman" w:hAnsi="Times New Roman" w:cs="Times New Roman"/>
          <w:noProof/>
          <w:sz w:val="24"/>
          <w:szCs w:val="24"/>
          <w:lang w:val="en-IE"/>
        </w:rPr>
        <w:t xml:space="preserve">new monitoring or oversight tasks in </w:t>
      </w:r>
      <w:hyperlink r:id="rId240" w:history="1">
        <w:r w:rsidRPr="00D16622">
          <w:rPr>
            <w:rStyle w:val="Hyperlink"/>
            <w:rFonts w:cs="Times New Roman"/>
            <w:noProof/>
            <w:szCs w:val="24"/>
            <w:lang w:val="en-IE"/>
          </w:rPr>
          <w:t>Denmark</w:t>
        </w:r>
      </w:hyperlink>
      <w:r w:rsidRPr="00D16622">
        <w:rPr>
          <w:rFonts w:ascii="Times New Roman" w:hAnsi="Times New Roman" w:cs="Times New Roman"/>
          <w:noProof/>
          <w:sz w:val="24"/>
          <w:szCs w:val="24"/>
          <w:lang w:val="en-IE"/>
        </w:rPr>
        <w:t xml:space="preserve">, </w:t>
      </w:r>
      <w:hyperlink r:id="rId241" w:history="1">
        <w:r w:rsidR="006A4A3C" w:rsidRPr="00D16622">
          <w:rPr>
            <w:rStyle w:val="Hyperlink"/>
            <w:rFonts w:cs="Times New Roman"/>
            <w:noProof/>
            <w:szCs w:val="24"/>
            <w:lang w:eastAsia="en-IE"/>
          </w:rPr>
          <w:t>Croatia</w:t>
        </w:r>
      </w:hyperlink>
      <w:r w:rsidRPr="00D16622">
        <w:rPr>
          <w:rFonts w:ascii="Times New Roman" w:hAnsi="Times New Roman" w:cs="Times New Roman"/>
          <w:noProof/>
          <w:sz w:val="24"/>
          <w:szCs w:val="24"/>
          <w:lang w:val="en-IE"/>
        </w:rPr>
        <w:t xml:space="preserve">, </w:t>
      </w:r>
      <w:hyperlink r:id="rId242" w:history="1">
        <w:r w:rsidRPr="00D16622">
          <w:rPr>
            <w:rStyle w:val="Hyperlink"/>
            <w:rFonts w:cs="Times New Roman"/>
            <w:noProof/>
            <w:szCs w:val="24"/>
            <w:lang w:val="en-IE"/>
          </w:rPr>
          <w:t>Ireland</w:t>
        </w:r>
      </w:hyperlink>
      <w:r w:rsidRPr="00D16622">
        <w:rPr>
          <w:rFonts w:ascii="Times New Roman" w:hAnsi="Times New Roman" w:cs="Times New Roman"/>
          <w:noProof/>
          <w:sz w:val="24"/>
          <w:szCs w:val="24"/>
          <w:lang w:val="en-IE"/>
        </w:rPr>
        <w:t xml:space="preserve">, </w:t>
      </w:r>
      <w:hyperlink r:id="rId243" w:history="1">
        <w:r w:rsidR="00C44385" w:rsidRPr="00D16622">
          <w:rPr>
            <w:rStyle w:val="Hyperlink"/>
            <w:rFonts w:eastAsia="Times New Roman" w:cs="Times New Roman"/>
            <w:noProof/>
            <w:szCs w:val="24"/>
          </w:rPr>
          <w:t>Lithuania</w:t>
        </w:r>
      </w:hyperlink>
      <w:r w:rsidRPr="00D16622">
        <w:rPr>
          <w:rFonts w:ascii="Times New Roman" w:hAnsi="Times New Roman" w:cs="Times New Roman"/>
          <w:noProof/>
          <w:sz w:val="24"/>
          <w:szCs w:val="24"/>
          <w:lang w:val="en-IE"/>
        </w:rPr>
        <w:t xml:space="preserve">, </w:t>
      </w:r>
      <w:hyperlink r:id="rId244" w:history="1">
        <w:r w:rsidRPr="00D16622">
          <w:rPr>
            <w:rStyle w:val="Hyperlink"/>
            <w:rFonts w:cs="Times New Roman"/>
            <w:noProof/>
            <w:szCs w:val="24"/>
            <w:lang w:val="en-IE"/>
          </w:rPr>
          <w:t>Germany</w:t>
        </w:r>
      </w:hyperlink>
      <w:r w:rsidRPr="00D16622">
        <w:rPr>
          <w:rFonts w:ascii="Times New Roman" w:hAnsi="Times New Roman" w:cs="Times New Roman"/>
          <w:noProof/>
          <w:sz w:val="24"/>
          <w:szCs w:val="24"/>
          <w:lang w:val="en-IE"/>
        </w:rPr>
        <w:t xml:space="preserve">, </w:t>
      </w:r>
      <w:hyperlink r:id="rId245" w:history="1">
        <w:r w:rsidRPr="00D16622">
          <w:rPr>
            <w:rStyle w:val="Hyperlink"/>
            <w:rFonts w:cs="Times New Roman"/>
            <w:noProof/>
            <w:szCs w:val="24"/>
            <w:lang w:val="en-IE"/>
          </w:rPr>
          <w:t>Greece</w:t>
        </w:r>
      </w:hyperlink>
      <w:r w:rsidRPr="00D16622">
        <w:rPr>
          <w:rFonts w:ascii="Times New Roman" w:hAnsi="Times New Roman" w:cs="Times New Roman"/>
          <w:noProof/>
          <w:sz w:val="24"/>
          <w:szCs w:val="24"/>
          <w:lang w:val="en-IE"/>
        </w:rPr>
        <w:t xml:space="preserve">, </w:t>
      </w:r>
      <w:hyperlink r:id="rId246" w:history="1">
        <w:r w:rsidR="00874BD7" w:rsidRPr="00D16622">
          <w:rPr>
            <w:rStyle w:val="Hyperlink"/>
            <w:rFonts w:cs="Times New Roman"/>
            <w:noProof/>
            <w:szCs w:val="24"/>
            <w:lang w:eastAsia="en-IE"/>
          </w:rPr>
          <w:t>Finland</w:t>
        </w:r>
      </w:hyperlink>
      <w:r w:rsidRPr="00D16622">
        <w:rPr>
          <w:rFonts w:ascii="Times New Roman" w:hAnsi="Times New Roman" w:cs="Times New Roman"/>
          <w:noProof/>
          <w:sz w:val="24"/>
          <w:szCs w:val="24"/>
          <w:lang w:val="en-IE"/>
        </w:rPr>
        <w:t xml:space="preserve">, </w:t>
      </w:r>
      <w:hyperlink r:id="rId247" w:history="1">
        <w:r w:rsidRPr="00D16622">
          <w:rPr>
            <w:rStyle w:val="Hyperlink"/>
            <w:rFonts w:cs="Times New Roman"/>
            <w:noProof/>
            <w:szCs w:val="24"/>
            <w:lang w:val="en-IE"/>
          </w:rPr>
          <w:t>France</w:t>
        </w:r>
      </w:hyperlink>
      <w:r w:rsidRPr="00D16622">
        <w:rPr>
          <w:rFonts w:ascii="Times New Roman" w:hAnsi="Times New Roman" w:cs="Times New Roman"/>
          <w:noProof/>
          <w:sz w:val="24"/>
          <w:szCs w:val="24"/>
          <w:lang w:val="en-IE"/>
        </w:rPr>
        <w:t xml:space="preserve">, </w:t>
      </w:r>
      <w:hyperlink r:id="rId248" w:history="1">
        <w:r w:rsidR="008A099D" w:rsidRPr="00D16622">
          <w:rPr>
            <w:rStyle w:val="Hyperlink"/>
            <w:rFonts w:cs="Times New Roman"/>
            <w:noProof/>
            <w:szCs w:val="24"/>
            <w:lang w:eastAsia="en-IE"/>
          </w:rPr>
          <w:t>Sweden</w:t>
        </w:r>
      </w:hyperlink>
      <w:r w:rsidRPr="00D16622">
        <w:rPr>
          <w:rFonts w:ascii="Times New Roman" w:hAnsi="Times New Roman" w:cs="Times New Roman"/>
          <w:noProof/>
          <w:sz w:val="24"/>
          <w:szCs w:val="24"/>
          <w:lang w:val="en-IE"/>
        </w:rPr>
        <w:t xml:space="preserve">, </w:t>
      </w:r>
      <w:hyperlink r:id="rId249" w:history="1">
        <w:r w:rsidRPr="00D16622">
          <w:rPr>
            <w:rStyle w:val="Hyperlink"/>
            <w:rFonts w:cs="Times New Roman"/>
            <w:noProof/>
            <w:szCs w:val="24"/>
            <w:lang w:val="en-IE"/>
          </w:rPr>
          <w:t>Belgium</w:t>
        </w:r>
      </w:hyperlink>
      <w:r w:rsidR="00A5186F" w:rsidRPr="00D16622">
        <w:rPr>
          <w:rFonts w:ascii="Times New Roman" w:hAnsi="Times New Roman" w:cs="Times New Roman"/>
          <w:noProof/>
          <w:sz w:val="24"/>
          <w:szCs w:val="24"/>
        </w:rPr>
        <w:t>,</w:t>
      </w:r>
      <w:r w:rsidR="00A5186F" w:rsidRPr="00D16622">
        <w:rPr>
          <w:rFonts w:ascii="Times New Roman" w:hAnsi="Times New Roman" w:cs="Times New Roman"/>
          <w:noProof/>
        </w:rPr>
        <w:t xml:space="preserve"> </w:t>
      </w:r>
      <w:hyperlink r:id="rId250">
        <w:r w:rsidR="00A5186F" w:rsidRPr="00D16622">
          <w:rPr>
            <w:rStyle w:val="Hyperlink"/>
            <w:rFonts w:cs="Times New Roman"/>
            <w:noProof/>
            <w:szCs w:val="24"/>
            <w:lang w:eastAsia="en-IE"/>
          </w:rPr>
          <w:t>Austria</w:t>
        </w:r>
      </w:hyperlink>
      <w:r w:rsidRPr="00D16622">
        <w:rPr>
          <w:rFonts w:ascii="Times New Roman" w:hAnsi="Times New Roman" w:cs="Times New Roman"/>
          <w:noProof/>
          <w:sz w:val="24"/>
          <w:szCs w:val="24"/>
          <w:lang w:val="en-IE"/>
        </w:rPr>
        <w:t xml:space="preserve"> and </w:t>
      </w:r>
      <w:hyperlink r:id="rId251" w:history="1">
        <w:r w:rsidR="00775307" w:rsidRPr="00D16622">
          <w:rPr>
            <w:rStyle w:val="Hyperlink"/>
            <w:rFonts w:cs="Times New Roman"/>
            <w:noProof/>
            <w:szCs w:val="24"/>
          </w:rPr>
          <w:t>Malta</w:t>
        </w:r>
      </w:hyperlink>
      <w:r w:rsidRPr="00D16622">
        <w:rPr>
          <w:rFonts w:ascii="Times New Roman" w:hAnsi="Times New Roman" w:cs="Times New Roman"/>
          <w:noProof/>
          <w:sz w:val="24"/>
          <w:szCs w:val="24"/>
          <w:lang w:val="en-IE"/>
        </w:rPr>
        <w:t xml:space="preserve">. </w:t>
      </w:r>
      <w:r w:rsidR="006F3E61" w:rsidRPr="00D16622">
        <w:rPr>
          <w:rFonts w:ascii="Times New Roman" w:hAnsi="Times New Roman" w:cs="Times New Roman"/>
          <w:noProof/>
          <w:sz w:val="24"/>
          <w:szCs w:val="24"/>
        </w:rPr>
        <w:t xml:space="preserve">In June, </w:t>
      </w:r>
      <w:hyperlink r:id="rId252">
        <w:r w:rsidR="006F3E61" w:rsidRPr="00D16622">
          <w:rPr>
            <w:rStyle w:val="Hyperlink"/>
            <w:rFonts w:cs="Times New Roman"/>
            <w:noProof/>
            <w:szCs w:val="24"/>
          </w:rPr>
          <w:t>Hungary</w:t>
        </w:r>
      </w:hyperlink>
      <w:r w:rsidR="006F3E61" w:rsidRPr="00D16622">
        <w:rPr>
          <w:rFonts w:ascii="Times New Roman" w:hAnsi="Times New Roman" w:cs="Times New Roman"/>
          <w:noProof/>
        </w:rPr>
        <w:t xml:space="preserve"> </w:t>
      </w:r>
      <w:r w:rsidR="006F3E61" w:rsidRPr="00D16622">
        <w:rPr>
          <w:rFonts w:ascii="Times New Roman" w:hAnsi="Times New Roman" w:cs="Times New Roman"/>
          <w:noProof/>
          <w:sz w:val="24"/>
          <w:szCs w:val="24"/>
        </w:rPr>
        <w:t xml:space="preserve">introduced a reform impacting various aspects of the regulator’s governance, financing and supervisory role. </w:t>
      </w:r>
      <w:r w:rsidRPr="00D16622">
        <w:rPr>
          <w:rFonts w:ascii="Times New Roman" w:hAnsi="Times New Roman" w:cs="Times New Roman"/>
          <w:noProof/>
          <w:sz w:val="24"/>
          <w:szCs w:val="24"/>
          <w:lang w:val="en-IE"/>
        </w:rPr>
        <w:t xml:space="preserve">Reforms are ongoing in </w:t>
      </w:r>
      <w:hyperlink r:id="rId253" w:history="1">
        <w:r w:rsidRPr="00D16622">
          <w:rPr>
            <w:rStyle w:val="Hyperlink"/>
            <w:rFonts w:cs="Times New Roman"/>
            <w:noProof/>
            <w:szCs w:val="24"/>
            <w:lang w:val="en-IE"/>
          </w:rPr>
          <w:t>Spain</w:t>
        </w:r>
      </w:hyperlink>
      <w:r w:rsidRPr="00D16622">
        <w:rPr>
          <w:rFonts w:ascii="Times New Roman" w:hAnsi="Times New Roman" w:cs="Times New Roman"/>
          <w:noProof/>
          <w:sz w:val="24"/>
          <w:szCs w:val="24"/>
          <w:lang w:val="en-IE"/>
        </w:rPr>
        <w:t xml:space="preserve">, </w:t>
      </w:r>
      <w:hyperlink r:id="rId254" w:history="1">
        <w:r w:rsidR="00362750" w:rsidRPr="00D16622">
          <w:rPr>
            <w:rStyle w:val="Hyperlink"/>
            <w:rFonts w:cs="Times New Roman"/>
            <w:noProof/>
            <w:szCs w:val="24"/>
            <w:lang w:eastAsia="en-IE"/>
          </w:rPr>
          <w:t>Luxembourg</w:t>
        </w:r>
      </w:hyperlink>
      <w:r w:rsidRPr="00D16622">
        <w:rPr>
          <w:rFonts w:ascii="Times New Roman" w:hAnsi="Times New Roman" w:cs="Times New Roman"/>
          <w:noProof/>
          <w:sz w:val="24"/>
          <w:szCs w:val="24"/>
          <w:lang w:val="en-IE"/>
        </w:rPr>
        <w:t xml:space="preserve">, </w:t>
      </w:r>
      <w:hyperlink r:id="rId255" w:history="1">
        <w:r w:rsidR="00F86C9D" w:rsidRPr="00D16622">
          <w:rPr>
            <w:rStyle w:val="Hyperlink"/>
            <w:rFonts w:cs="Times New Roman"/>
            <w:noProof/>
            <w:szCs w:val="24"/>
          </w:rPr>
          <w:t>Poland</w:t>
        </w:r>
      </w:hyperlink>
      <w:r w:rsidR="00F86C9D" w:rsidRPr="00D16622">
        <w:rPr>
          <w:rFonts w:ascii="Times New Roman" w:hAnsi="Times New Roman" w:cs="Times New Roman"/>
          <w:noProof/>
          <w:sz w:val="24"/>
          <w:szCs w:val="24"/>
        </w:rPr>
        <w:t xml:space="preserve"> </w:t>
      </w:r>
      <w:r w:rsidRPr="00D16622">
        <w:rPr>
          <w:rFonts w:ascii="Times New Roman" w:hAnsi="Times New Roman" w:cs="Times New Roman"/>
          <w:noProof/>
          <w:sz w:val="24"/>
          <w:szCs w:val="24"/>
          <w:lang w:val="en-IE"/>
        </w:rPr>
        <w:t xml:space="preserve">and </w:t>
      </w:r>
      <w:hyperlink r:id="rId256" w:history="1">
        <w:r w:rsidRPr="00D16622">
          <w:rPr>
            <w:rStyle w:val="Hyperlink"/>
            <w:rFonts w:cs="Times New Roman"/>
            <w:noProof/>
            <w:szCs w:val="24"/>
            <w:lang w:val="en-IE"/>
          </w:rPr>
          <w:t>Czechia</w:t>
        </w:r>
      </w:hyperlink>
      <w:r w:rsidRPr="00D16622">
        <w:rPr>
          <w:rFonts w:ascii="Times New Roman" w:hAnsi="Times New Roman" w:cs="Times New Roman"/>
          <w:noProof/>
          <w:sz w:val="24"/>
          <w:szCs w:val="24"/>
          <w:lang w:val="en-IE"/>
        </w:rPr>
        <w:t xml:space="preserve">. </w:t>
      </w:r>
      <w:r w:rsidR="00F25291" w:rsidRPr="00D16622">
        <w:rPr>
          <w:rFonts w:ascii="Times New Roman" w:hAnsi="Times New Roman" w:cs="Times New Roman"/>
          <w:noProof/>
          <w:sz w:val="24"/>
          <w:szCs w:val="24"/>
          <w:lang w:val="en-IE"/>
        </w:rPr>
        <w:t xml:space="preserve">In </w:t>
      </w:r>
      <w:hyperlink r:id="rId257" w:history="1">
        <w:r w:rsidR="00421F48" w:rsidRPr="00D16622">
          <w:rPr>
            <w:rStyle w:val="Hyperlink"/>
            <w:rFonts w:cs="Times New Roman"/>
            <w:noProof/>
            <w:szCs w:val="24"/>
          </w:rPr>
          <w:t>Slovakia</w:t>
        </w:r>
      </w:hyperlink>
      <w:r w:rsidR="00F25291" w:rsidRPr="00D16622">
        <w:rPr>
          <w:rFonts w:ascii="Times New Roman" w:hAnsi="Times New Roman" w:cs="Times New Roman"/>
          <w:noProof/>
          <w:sz w:val="24"/>
          <w:szCs w:val="24"/>
          <w:lang w:val="en-IE"/>
        </w:rPr>
        <w:t>, w</w:t>
      </w:r>
      <w:r w:rsidR="00CD500A" w:rsidRPr="00D16622">
        <w:rPr>
          <w:rStyle w:val="cf01"/>
          <w:rFonts w:ascii="Times New Roman" w:hAnsi="Times New Roman" w:cs="Times New Roman"/>
          <w:noProof/>
          <w:sz w:val="24"/>
          <w:szCs w:val="24"/>
        </w:rPr>
        <w:t xml:space="preserve">hile </w:t>
      </w:r>
      <w:r w:rsidR="00742EE6" w:rsidRPr="00D16622">
        <w:rPr>
          <w:rStyle w:val="cf01"/>
          <w:rFonts w:ascii="Times New Roman" w:hAnsi="Times New Roman" w:cs="Times New Roman"/>
          <w:noProof/>
          <w:sz w:val="24"/>
          <w:szCs w:val="24"/>
        </w:rPr>
        <w:t>the adopted</w:t>
      </w:r>
      <w:r w:rsidR="00CD500A" w:rsidRPr="00D16622">
        <w:rPr>
          <w:rStyle w:val="cf01"/>
          <w:rFonts w:ascii="Times New Roman" w:hAnsi="Times New Roman" w:cs="Times New Roman"/>
          <w:noProof/>
          <w:sz w:val="24"/>
          <w:szCs w:val="24"/>
        </w:rPr>
        <w:t xml:space="preserve"> amendments to the Act on Media Services have expanded the competences of the national media regulator, </w:t>
      </w:r>
      <w:r w:rsidR="007C03C5" w:rsidRPr="00D16622">
        <w:rPr>
          <w:rStyle w:val="cf01"/>
          <w:rFonts w:ascii="Times New Roman" w:hAnsi="Times New Roman" w:cs="Times New Roman"/>
          <w:noProof/>
          <w:sz w:val="24"/>
          <w:szCs w:val="24"/>
        </w:rPr>
        <w:t>concerns have been raise</w:t>
      </w:r>
      <w:r w:rsidR="006E60E1" w:rsidRPr="00D16622">
        <w:rPr>
          <w:rStyle w:val="cf01"/>
          <w:rFonts w:ascii="Times New Roman" w:hAnsi="Times New Roman" w:cs="Times New Roman"/>
          <w:noProof/>
          <w:sz w:val="24"/>
          <w:szCs w:val="24"/>
        </w:rPr>
        <w:t xml:space="preserve">d about the impact </w:t>
      </w:r>
      <w:r w:rsidR="0077637C" w:rsidRPr="00D16622">
        <w:rPr>
          <w:rStyle w:val="cf01"/>
          <w:rFonts w:ascii="Times New Roman" w:hAnsi="Times New Roman" w:cs="Times New Roman"/>
          <w:noProof/>
          <w:sz w:val="24"/>
          <w:szCs w:val="24"/>
        </w:rPr>
        <w:t xml:space="preserve">of some new pending amendments </w:t>
      </w:r>
      <w:r w:rsidR="00836408" w:rsidRPr="00D16622">
        <w:rPr>
          <w:rStyle w:val="cf01"/>
          <w:rFonts w:ascii="Times New Roman" w:hAnsi="Times New Roman" w:cs="Times New Roman"/>
          <w:noProof/>
          <w:sz w:val="24"/>
          <w:szCs w:val="24"/>
        </w:rPr>
        <w:t>on the</w:t>
      </w:r>
      <w:r w:rsidR="007C5594" w:rsidRPr="00D16622">
        <w:rPr>
          <w:rStyle w:val="cf01"/>
          <w:rFonts w:ascii="Times New Roman" w:hAnsi="Times New Roman" w:cs="Times New Roman"/>
          <w:noProof/>
          <w:sz w:val="24"/>
          <w:szCs w:val="24"/>
        </w:rPr>
        <w:t xml:space="preserve"> regulator’s</w:t>
      </w:r>
      <w:r w:rsidR="00836408" w:rsidRPr="00D16622">
        <w:rPr>
          <w:rStyle w:val="cf01"/>
          <w:rFonts w:ascii="Times New Roman" w:hAnsi="Times New Roman" w:cs="Times New Roman"/>
          <w:noProof/>
          <w:sz w:val="24"/>
          <w:szCs w:val="24"/>
        </w:rPr>
        <w:t xml:space="preserve"> </w:t>
      </w:r>
      <w:r w:rsidR="00CD500A" w:rsidRPr="00D16622">
        <w:rPr>
          <w:rStyle w:val="cf01"/>
          <w:rFonts w:ascii="Times New Roman" w:hAnsi="Times New Roman" w:cs="Times New Roman"/>
          <w:noProof/>
          <w:sz w:val="24"/>
          <w:szCs w:val="24"/>
        </w:rPr>
        <w:t>independence.</w:t>
      </w:r>
    </w:p>
    <w:p w14:paraId="5EF58453" w14:textId="1D3DABA9" w:rsidR="008D7572" w:rsidRPr="00D16622" w:rsidRDefault="7FEC2350" w:rsidP="747801D4">
      <w:pPr>
        <w:spacing w:after="120" w:line="240" w:lineRule="auto"/>
        <w:jc w:val="both"/>
        <w:rPr>
          <w:rFonts w:ascii="Times New Roman" w:hAnsi="Times New Roman" w:cs="Times New Roman"/>
          <w:noProof/>
          <w:sz w:val="24"/>
          <w:szCs w:val="24"/>
          <w:lang w:val="en-IE"/>
        </w:rPr>
      </w:pPr>
      <w:r w:rsidRPr="00D16622">
        <w:rPr>
          <w:rFonts w:ascii="Times New Roman" w:hAnsi="Times New Roman" w:cs="Times New Roman"/>
          <w:noProof/>
          <w:sz w:val="24"/>
          <w:szCs w:val="24"/>
          <w:lang w:val="en-IE"/>
        </w:rPr>
        <w:t>I</w:t>
      </w:r>
      <w:r w:rsidR="008D7572" w:rsidRPr="00D16622">
        <w:rPr>
          <w:rFonts w:ascii="Times New Roman" w:hAnsi="Times New Roman" w:cs="Times New Roman"/>
          <w:noProof/>
          <w:sz w:val="24"/>
          <w:szCs w:val="24"/>
          <w:lang w:val="en-IE"/>
        </w:rPr>
        <w:t xml:space="preserve">n </w:t>
      </w:r>
      <w:hyperlink r:id="rId258" w:history="1">
        <w:r w:rsidR="00A1658E" w:rsidRPr="00D16622">
          <w:rPr>
            <w:rStyle w:val="Hyperlink"/>
            <w:rFonts w:cs="Times New Roman"/>
            <w:noProof/>
            <w:szCs w:val="24"/>
          </w:rPr>
          <w:t>North Macedonia</w:t>
        </w:r>
      </w:hyperlink>
      <w:r w:rsidR="00A1658E" w:rsidRPr="00D16622">
        <w:rPr>
          <w:rFonts w:ascii="Times New Roman" w:hAnsi="Times New Roman" w:cs="Times New Roman"/>
          <w:noProof/>
          <w:sz w:val="24"/>
          <w:szCs w:val="24"/>
        </w:rPr>
        <w:t xml:space="preserve">, </w:t>
      </w:r>
      <w:r w:rsidR="008D7572" w:rsidRPr="00D16622">
        <w:rPr>
          <w:rFonts w:ascii="Times New Roman" w:hAnsi="Times New Roman" w:cs="Times New Roman"/>
          <w:noProof/>
          <w:sz w:val="24"/>
          <w:szCs w:val="24"/>
          <w:lang w:val="en-IE"/>
        </w:rPr>
        <w:t>appointments of the new members of the Council of the Agency for Audio and Audiovisual Media Services were made, while concerns regarding the financial independence of the Agency persist.</w:t>
      </w:r>
      <w:r w:rsidR="00F23B32" w:rsidRPr="00D16622">
        <w:rPr>
          <w:rFonts w:ascii="Times New Roman" w:hAnsi="Times New Roman" w:cs="Times New Roman"/>
          <w:noProof/>
          <w:kern w:val="2"/>
          <w:lang w:val="en-IE"/>
          <w14:ligatures w14:val="standardContextual"/>
        </w:rPr>
        <w:t xml:space="preserve"> </w:t>
      </w:r>
    </w:p>
    <w:p w14:paraId="4F6A3569" w14:textId="6C72E2E5" w:rsidR="002265D7" w:rsidRPr="00D16622" w:rsidRDefault="002265D7" w:rsidP="747801D4">
      <w:pPr>
        <w:spacing w:after="120" w:line="240" w:lineRule="auto"/>
        <w:jc w:val="both"/>
        <w:rPr>
          <w:rFonts w:ascii="Times New Roman" w:hAnsi="Times New Roman" w:cs="Times New Roman"/>
          <w:i/>
          <w:iCs/>
          <w:noProof/>
          <w:sz w:val="24"/>
          <w:szCs w:val="24"/>
          <w:lang w:val="en-IE"/>
        </w:rPr>
      </w:pPr>
      <w:r w:rsidRPr="00D16622">
        <w:rPr>
          <w:rFonts w:ascii="Times New Roman" w:hAnsi="Times New Roman" w:cs="Times New Roman"/>
          <w:i/>
          <w:iCs/>
          <w:noProof/>
          <w:sz w:val="24"/>
          <w:szCs w:val="24"/>
          <w:lang w:val="en-IE"/>
        </w:rPr>
        <w:t>Increasing the transparency of media ownership</w:t>
      </w:r>
    </w:p>
    <w:p w14:paraId="6461F758" w14:textId="44D56701" w:rsidR="00891DFC" w:rsidRPr="00D16622" w:rsidRDefault="008E7A3F" w:rsidP="747801D4">
      <w:pPr>
        <w:spacing w:after="120" w:line="240" w:lineRule="auto"/>
        <w:jc w:val="both"/>
        <w:rPr>
          <w:rFonts w:ascii="Times New Roman" w:hAnsi="Times New Roman" w:cs="Times New Roman"/>
          <w:iCs/>
          <w:noProof/>
          <w:sz w:val="24"/>
          <w:szCs w:val="24"/>
        </w:rPr>
      </w:pPr>
      <w:r w:rsidRPr="00D16622">
        <w:rPr>
          <w:rFonts w:ascii="Times New Roman" w:hAnsi="Times New Roman" w:cs="Times New Roman"/>
          <w:iCs/>
          <w:noProof/>
          <w:sz w:val="24"/>
          <w:szCs w:val="24"/>
        </w:rPr>
        <w:t>The public availability of i</w:t>
      </w:r>
      <w:r w:rsidR="007204DF" w:rsidRPr="00D16622">
        <w:rPr>
          <w:rFonts w:ascii="Times New Roman" w:hAnsi="Times New Roman" w:cs="Times New Roman"/>
          <w:iCs/>
          <w:noProof/>
          <w:sz w:val="24"/>
          <w:szCs w:val="24"/>
        </w:rPr>
        <w:t xml:space="preserve">nformation concerning the </w:t>
      </w:r>
      <w:r w:rsidR="009322CF" w:rsidRPr="00D16622">
        <w:rPr>
          <w:rFonts w:ascii="Times New Roman" w:hAnsi="Times New Roman" w:cs="Times New Roman"/>
          <w:iCs/>
          <w:noProof/>
          <w:sz w:val="24"/>
          <w:szCs w:val="24"/>
        </w:rPr>
        <w:t xml:space="preserve">media </w:t>
      </w:r>
      <w:r w:rsidR="007204DF" w:rsidRPr="00D16622">
        <w:rPr>
          <w:rFonts w:ascii="Times New Roman" w:hAnsi="Times New Roman" w:cs="Times New Roman"/>
          <w:iCs/>
          <w:noProof/>
          <w:sz w:val="24"/>
          <w:szCs w:val="24"/>
        </w:rPr>
        <w:t xml:space="preserve">ownership structure </w:t>
      </w:r>
      <w:r w:rsidR="0014167C" w:rsidRPr="00D16622">
        <w:rPr>
          <w:rFonts w:ascii="Times New Roman" w:hAnsi="Times New Roman" w:cs="Times New Roman"/>
          <w:iCs/>
          <w:noProof/>
          <w:sz w:val="24"/>
          <w:szCs w:val="24"/>
        </w:rPr>
        <w:t>enables</w:t>
      </w:r>
      <w:r w:rsidR="003B28CC" w:rsidRPr="00D16622">
        <w:rPr>
          <w:rFonts w:ascii="Times New Roman" w:hAnsi="Times New Roman" w:cs="Times New Roman"/>
          <w:iCs/>
          <w:noProof/>
          <w:sz w:val="24"/>
          <w:szCs w:val="24"/>
        </w:rPr>
        <w:t xml:space="preserve"> users to make informed judgements about the information they consume</w:t>
      </w:r>
      <w:r w:rsidR="00B4411F" w:rsidRPr="00D16622">
        <w:rPr>
          <w:rFonts w:ascii="Times New Roman" w:hAnsi="Times New Roman" w:cs="Times New Roman"/>
          <w:iCs/>
          <w:noProof/>
          <w:sz w:val="24"/>
          <w:szCs w:val="24"/>
        </w:rPr>
        <w:t xml:space="preserve">, </w:t>
      </w:r>
      <w:r w:rsidR="0001028C" w:rsidRPr="00D16622">
        <w:rPr>
          <w:rFonts w:ascii="Times New Roman" w:hAnsi="Times New Roman" w:cs="Times New Roman"/>
          <w:iCs/>
          <w:noProof/>
          <w:sz w:val="24"/>
          <w:szCs w:val="24"/>
        </w:rPr>
        <w:t>especially</w:t>
      </w:r>
      <w:r w:rsidR="00B4411F" w:rsidRPr="00D16622">
        <w:rPr>
          <w:rFonts w:ascii="Times New Roman" w:hAnsi="Times New Roman" w:cs="Times New Roman"/>
          <w:iCs/>
          <w:noProof/>
          <w:sz w:val="24"/>
          <w:szCs w:val="24"/>
        </w:rPr>
        <w:t xml:space="preserve"> </w:t>
      </w:r>
      <w:r w:rsidR="008F2322" w:rsidRPr="00D16622">
        <w:rPr>
          <w:rFonts w:ascii="Times New Roman" w:hAnsi="Times New Roman" w:cs="Times New Roman"/>
          <w:iCs/>
          <w:noProof/>
          <w:sz w:val="24"/>
          <w:szCs w:val="24"/>
        </w:rPr>
        <w:t>when</w:t>
      </w:r>
      <w:r w:rsidR="003B28CC" w:rsidRPr="00D16622">
        <w:rPr>
          <w:rFonts w:ascii="Times New Roman" w:hAnsi="Times New Roman" w:cs="Times New Roman"/>
          <w:iCs/>
          <w:noProof/>
          <w:sz w:val="24"/>
          <w:szCs w:val="24"/>
        </w:rPr>
        <w:t xml:space="preserve"> </w:t>
      </w:r>
      <w:r w:rsidR="007204DF" w:rsidRPr="00D16622">
        <w:rPr>
          <w:rFonts w:ascii="Times New Roman" w:hAnsi="Times New Roman" w:cs="Times New Roman"/>
          <w:iCs/>
          <w:noProof/>
          <w:sz w:val="24"/>
          <w:szCs w:val="24"/>
        </w:rPr>
        <w:t>ownership</w:t>
      </w:r>
      <w:r w:rsidR="00597761" w:rsidRPr="00D16622">
        <w:rPr>
          <w:rFonts w:ascii="Times New Roman" w:hAnsi="Times New Roman" w:cs="Times New Roman"/>
          <w:iCs/>
          <w:noProof/>
          <w:sz w:val="24"/>
          <w:szCs w:val="24"/>
        </w:rPr>
        <w:t xml:space="preserve"> </w:t>
      </w:r>
      <w:r w:rsidR="008F2322" w:rsidRPr="00D16622">
        <w:rPr>
          <w:rFonts w:ascii="Times New Roman" w:hAnsi="Times New Roman" w:cs="Times New Roman"/>
          <w:iCs/>
          <w:noProof/>
          <w:sz w:val="24"/>
          <w:szCs w:val="24"/>
        </w:rPr>
        <w:t>entails</w:t>
      </w:r>
      <w:r w:rsidR="007204DF" w:rsidRPr="00D16622">
        <w:rPr>
          <w:rFonts w:ascii="Times New Roman" w:hAnsi="Times New Roman" w:cs="Times New Roman"/>
          <w:iCs/>
          <w:noProof/>
          <w:sz w:val="24"/>
          <w:szCs w:val="24"/>
        </w:rPr>
        <w:t xml:space="preserve"> control of, or significant influence over</w:t>
      </w:r>
      <w:r w:rsidR="00286E97" w:rsidRPr="00D16622">
        <w:rPr>
          <w:rFonts w:ascii="Times New Roman" w:hAnsi="Times New Roman" w:cs="Times New Roman"/>
          <w:iCs/>
          <w:noProof/>
          <w:sz w:val="24"/>
          <w:szCs w:val="24"/>
        </w:rPr>
        <w:t>,</w:t>
      </w:r>
      <w:r w:rsidR="007204DF" w:rsidRPr="00D16622">
        <w:rPr>
          <w:rFonts w:ascii="Times New Roman" w:hAnsi="Times New Roman" w:cs="Times New Roman"/>
          <w:iCs/>
          <w:noProof/>
          <w:sz w:val="24"/>
          <w:szCs w:val="24"/>
        </w:rPr>
        <w:t xml:space="preserve"> editorial lines and decision-making</w:t>
      </w:r>
      <w:r w:rsidR="003B28CC" w:rsidRPr="00D16622">
        <w:rPr>
          <w:rFonts w:ascii="Times New Roman" w:hAnsi="Times New Roman" w:cs="Times New Roman"/>
          <w:iCs/>
          <w:noProof/>
          <w:sz w:val="24"/>
          <w:szCs w:val="24"/>
        </w:rPr>
        <w:t>.</w:t>
      </w:r>
      <w:r w:rsidR="007204DF" w:rsidRPr="00D16622">
        <w:rPr>
          <w:rFonts w:ascii="Times New Roman" w:hAnsi="Times New Roman" w:cs="Times New Roman"/>
          <w:iCs/>
          <w:noProof/>
          <w:sz w:val="24"/>
          <w:szCs w:val="24"/>
        </w:rPr>
        <w:t xml:space="preserve"> </w:t>
      </w:r>
    </w:p>
    <w:p w14:paraId="535632D6" w14:textId="124BEDA9" w:rsidR="00D064D1" w:rsidRPr="00D16622" w:rsidRDefault="00D064D1" w:rsidP="747801D4">
      <w:pPr>
        <w:spacing w:after="120" w:line="240" w:lineRule="auto"/>
        <w:jc w:val="both"/>
        <w:rPr>
          <w:rFonts w:ascii="Times New Roman" w:hAnsi="Times New Roman" w:cs="Times New Roman"/>
          <w:iCs/>
          <w:noProof/>
          <w:sz w:val="24"/>
          <w:szCs w:val="24"/>
        </w:rPr>
      </w:pPr>
      <w:r w:rsidRPr="00D16622">
        <w:rPr>
          <w:rFonts w:ascii="Times New Roman" w:hAnsi="Times New Roman" w:cs="Times New Roman"/>
          <w:iCs/>
          <w:noProof/>
          <w:sz w:val="24"/>
          <w:szCs w:val="24"/>
        </w:rPr>
        <w:t xml:space="preserve">In </w:t>
      </w:r>
      <w:hyperlink r:id="rId259" w:history="1">
        <w:r w:rsidRPr="00D16622">
          <w:rPr>
            <w:rStyle w:val="Hyperlink"/>
            <w:rFonts w:cs="Times New Roman"/>
            <w:bCs/>
            <w:noProof/>
            <w:szCs w:val="24"/>
          </w:rPr>
          <w:t>France</w:t>
        </w:r>
      </w:hyperlink>
      <w:r w:rsidRPr="00D16622">
        <w:rPr>
          <w:rFonts w:ascii="Times New Roman" w:hAnsi="Times New Roman" w:cs="Times New Roman"/>
          <w:iCs/>
          <w:noProof/>
          <w:sz w:val="24"/>
          <w:szCs w:val="24"/>
        </w:rPr>
        <w:t xml:space="preserve">, a </w:t>
      </w:r>
      <w:r w:rsidR="00995324" w:rsidRPr="00D16622">
        <w:rPr>
          <w:rFonts w:ascii="Times New Roman" w:hAnsi="Times New Roman" w:cs="Times New Roman"/>
          <w:iCs/>
          <w:noProof/>
          <w:sz w:val="24"/>
          <w:szCs w:val="24"/>
        </w:rPr>
        <w:t>preliminary</w:t>
      </w:r>
      <w:r w:rsidRPr="00D16622">
        <w:rPr>
          <w:rFonts w:ascii="Times New Roman" w:hAnsi="Times New Roman" w:cs="Times New Roman"/>
          <w:iCs/>
          <w:noProof/>
          <w:sz w:val="24"/>
          <w:szCs w:val="24"/>
        </w:rPr>
        <w:t xml:space="preserve"> national media ownership database set up by the regulator awaits the adoption of implementing rules. In </w:t>
      </w:r>
      <w:hyperlink r:id="rId260" w:history="1">
        <w:r w:rsidR="00775307" w:rsidRPr="00D16622">
          <w:rPr>
            <w:rStyle w:val="Hyperlink"/>
            <w:rFonts w:cs="Times New Roman"/>
            <w:noProof/>
            <w:szCs w:val="24"/>
          </w:rPr>
          <w:t>Malta</w:t>
        </w:r>
      </w:hyperlink>
      <w:r w:rsidRPr="00D16622">
        <w:rPr>
          <w:rFonts w:ascii="Times New Roman" w:hAnsi="Times New Roman" w:cs="Times New Roman"/>
          <w:iCs/>
          <w:noProof/>
          <w:sz w:val="24"/>
          <w:szCs w:val="24"/>
        </w:rPr>
        <w:t xml:space="preserve">, newly adopted legislation has tasked the regulator with the development and maintenance of a media ownership database. In </w:t>
      </w:r>
      <w:hyperlink r:id="rId261" w:history="1">
        <w:r w:rsidR="006812EC" w:rsidRPr="00D16622">
          <w:rPr>
            <w:rStyle w:val="Hyperlink"/>
            <w:rFonts w:cs="Times New Roman"/>
            <w:noProof/>
            <w:szCs w:val="24"/>
          </w:rPr>
          <w:t>Slovenia</w:t>
        </w:r>
      </w:hyperlink>
      <w:r w:rsidRPr="00D16622">
        <w:rPr>
          <w:rFonts w:ascii="Times New Roman" w:hAnsi="Times New Roman" w:cs="Times New Roman"/>
          <w:iCs/>
          <w:noProof/>
          <w:sz w:val="24"/>
          <w:szCs w:val="24"/>
        </w:rPr>
        <w:t xml:space="preserve">, </w:t>
      </w:r>
      <w:r w:rsidR="00BB08C5" w:rsidRPr="00D16622">
        <w:rPr>
          <w:rFonts w:ascii="Times New Roman" w:hAnsi="Times New Roman" w:cs="Times New Roman"/>
          <w:iCs/>
          <w:noProof/>
          <w:sz w:val="24"/>
          <w:szCs w:val="24"/>
        </w:rPr>
        <w:t xml:space="preserve">recent legislation </w:t>
      </w:r>
      <w:r w:rsidR="00786743" w:rsidRPr="00D16622">
        <w:rPr>
          <w:rFonts w:ascii="Times New Roman" w:hAnsi="Times New Roman" w:cs="Times New Roman"/>
          <w:iCs/>
          <w:noProof/>
          <w:sz w:val="24"/>
          <w:szCs w:val="24"/>
        </w:rPr>
        <w:t xml:space="preserve">provides for </w:t>
      </w:r>
      <w:r w:rsidR="00DC0B18" w:rsidRPr="00D16622">
        <w:rPr>
          <w:rFonts w:ascii="Times New Roman" w:hAnsi="Times New Roman" w:cs="Times New Roman"/>
          <w:iCs/>
          <w:noProof/>
          <w:sz w:val="24"/>
          <w:szCs w:val="24"/>
        </w:rPr>
        <w:t>creating</w:t>
      </w:r>
      <w:r w:rsidRPr="00D16622">
        <w:rPr>
          <w:rFonts w:ascii="Times New Roman" w:hAnsi="Times New Roman" w:cs="Times New Roman"/>
          <w:iCs/>
          <w:noProof/>
          <w:sz w:val="24"/>
          <w:szCs w:val="24"/>
        </w:rPr>
        <w:t xml:space="preserve"> a new ownership database. Reforms are in the pipeline or are awaiting adoption in </w:t>
      </w:r>
      <w:hyperlink r:id="rId262" w:history="1">
        <w:r w:rsidRPr="00D16622">
          <w:rPr>
            <w:rStyle w:val="Hyperlink"/>
            <w:rFonts w:cs="Times New Roman"/>
            <w:bCs/>
            <w:noProof/>
            <w:szCs w:val="24"/>
          </w:rPr>
          <w:t>Bulgaria</w:t>
        </w:r>
      </w:hyperlink>
      <w:r w:rsidRPr="00D16622">
        <w:rPr>
          <w:rFonts w:ascii="Times New Roman" w:hAnsi="Times New Roman" w:cs="Times New Roman"/>
          <w:iCs/>
          <w:noProof/>
          <w:sz w:val="24"/>
          <w:szCs w:val="24"/>
        </w:rPr>
        <w:t xml:space="preserve">, </w:t>
      </w:r>
      <w:hyperlink r:id="rId263" w:history="1">
        <w:r w:rsidR="006032A2" w:rsidRPr="00D16622">
          <w:rPr>
            <w:rStyle w:val="Hyperlink"/>
            <w:rFonts w:cs="Times New Roman"/>
            <w:noProof/>
            <w:szCs w:val="24"/>
          </w:rPr>
          <w:t>Cyprus</w:t>
        </w:r>
      </w:hyperlink>
      <w:r w:rsidRPr="00D16622">
        <w:rPr>
          <w:rFonts w:ascii="Times New Roman" w:hAnsi="Times New Roman" w:cs="Times New Roman"/>
          <w:iCs/>
          <w:noProof/>
          <w:sz w:val="24"/>
          <w:szCs w:val="24"/>
        </w:rPr>
        <w:t xml:space="preserve">, </w:t>
      </w:r>
      <w:hyperlink r:id="rId264" w:history="1">
        <w:r w:rsidRPr="00D16622">
          <w:rPr>
            <w:rStyle w:val="Hyperlink"/>
            <w:rFonts w:cs="Times New Roman"/>
            <w:bCs/>
            <w:noProof/>
            <w:szCs w:val="24"/>
          </w:rPr>
          <w:t>Ireland</w:t>
        </w:r>
      </w:hyperlink>
      <w:r w:rsidRPr="00D16622">
        <w:rPr>
          <w:rFonts w:ascii="Times New Roman" w:hAnsi="Times New Roman" w:cs="Times New Roman"/>
          <w:iCs/>
          <w:noProof/>
          <w:sz w:val="24"/>
          <w:szCs w:val="24"/>
        </w:rPr>
        <w:t xml:space="preserve">, </w:t>
      </w:r>
      <w:hyperlink r:id="rId265" w:history="1">
        <w:r w:rsidR="00C44385" w:rsidRPr="00D16622">
          <w:rPr>
            <w:rStyle w:val="Hyperlink"/>
            <w:rFonts w:eastAsia="Times New Roman" w:cs="Times New Roman"/>
            <w:noProof/>
            <w:szCs w:val="24"/>
          </w:rPr>
          <w:t>Lithuania</w:t>
        </w:r>
      </w:hyperlink>
      <w:r w:rsidRPr="00D16622">
        <w:rPr>
          <w:rFonts w:ascii="Times New Roman" w:hAnsi="Times New Roman" w:cs="Times New Roman"/>
          <w:iCs/>
          <w:noProof/>
          <w:sz w:val="24"/>
          <w:szCs w:val="24"/>
        </w:rPr>
        <w:t xml:space="preserve">, </w:t>
      </w:r>
      <w:hyperlink r:id="rId266" w:history="1">
        <w:r w:rsidRPr="00D16622">
          <w:rPr>
            <w:rStyle w:val="Hyperlink"/>
            <w:rFonts w:cs="Times New Roman"/>
            <w:bCs/>
            <w:noProof/>
            <w:szCs w:val="24"/>
          </w:rPr>
          <w:t>Spain</w:t>
        </w:r>
      </w:hyperlink>
      <w:r w:rsidRPr="00D16622">
        <w:rPr>
          <w:rFonts w:ascii="Times New Roman" w:hAnsi="Times New Roman" w:cs="Times New Roman"/>
          <w:iCs/>
          <w:noProof/>
          <w:sz w:val="24"/>
          <w:szCs w:val="24"/>
        </w:rPr>
        <w:t xml:space="preserve"> and </w:t>
      </w:r>
      <w:hyperlink r:id="rId267" w:history="1">
        <w:r w:rsidR="009F1189" w:rsidRPr="00D16622">
          <w:rPr>
            <w:rStyle w:val="Hyperlink"/>
            <w:rFonts w:cs="Times New Roman"/>
            <w:noProof/>
            <w:szCs w:val="24"/>
          </w:rPr>
          <w:t>Portugal</w:t>
        </w:r>
      </w:hyperlink>
      <w:r w:rsidRPr="00D16622">
        <w:rPr>
          <w:rFonts w:ascii="Times New Roman" w:hAnsi="Times New Roman" w:cs="Times New Roman"/>
          <w:iCs/>
          <w:noProof/>
          <w:sz w:val="24"/>
          <w:szCs w:val="24"/>
        </w:rPr>
        <w:t xml:space="preserve">. </w:t>
      </w:r>
      <w:r w:rsidR="001415AF" w:rsidRPr="00D16622">
        <w:rPr>
          <w:rFonts w:ascii="Times New Roman" w:hAnsi="Times New Roman" w:cs="Times New Roman"/>
          <w:iCs/>
          <w:noProof/>
          <w:sz w:val="24"/>
          <w:szCs w:val="24"/>
        </w:rPr>
        <w:t>Pending the adoption of draft legislation, s</w:t>
      </w:r>
      <w:r w:rsidR="00A459D1" w:rsidRPr="00D16622">
        <w:rPr>
          <w:rFonts w:ascii="Times New Roman" w:hAnsi="Times New Roman" w:cs="Times New Roman"/>
          <w:iCs/>
          <w:noProof/>
          <w:sz w:val="24"/>
          <w:szCs w:val="24"/>
        </w:rPr>
        <w:t>ignificant c</w:t>
      </w:r>
      <w:r w:rsidRPr="00D16622">
        <w:rPr>
          <w:rFonts w:ascii="Times New Roman" w:hAnsi="Times New Roman" w:cs="Times New Roman"/>
          <w:iCs/>
          <w:noProof/>
          <w:sz w:val="24"/>
          <w:szCs w:val="24"/>
        </w:rPr>
        <w:t>hallenges regarding transparency of media ownership persist in</w:t>
      </w:r>
      <w:r w:rsidR="00AD67B4" w:rsidRPr="00D16622">
        <w:rPr>
          <w:rFonts w:ascii="Times New Roman" w:hAnsi="Times New Roman" w:cs="Times New Roman"/>
          <w:iCs/>
          <w:noProof/>
          <w:sz w:val="24"/>
          <w:szCs w:val="24"/>
        </w:rPr>
        <w:t xml:space="preserve"> </w:t>
      </w:r>
      <w:hyperlink r:id="rId268" w:history="1">
        <w:r w:rsidR="00AD67B4" w:rsidRPr="00D16622">
          <w:rPr>
            <w:rStyle w:val="Hyperlink"/>
            <w:rFonts w:cs="Times New Roman"/>
            <w:bCs/>
            <w:noProof/>
            <w:szCs w:val="24"/>
          </w:rPr>
          <w:t>Czechia</w:t>
        </w:r>
      </w:hyperlink>
      <w:r w:rsidR="00AD67B4" w:rsidRPr="00D16622">
        <w:rPr>
          <w:rFonts w:ascii="Times New Roman" w:hAnsi="Times New Roman" w:cs="Times New Roman"/>
          <w:iCs/>
          <w:noProof/>
          <w:sz w:val="24"/>
          <w:szCs w:val="24"/>
        </w:rPr>
        <w:t>.</w:t>
      </w:r>
      <w:r w:rsidR="00355188" w:rsidRPr="00D16622">
        <w:rPr>
          <w:rFonts w:ascii="Times New Roman" w:hAnsi="Times New Roman" w:cs="Times New Roman"/>
          <w:iCs/>
          <w:noProof/>
          <w:sz w:val="24"/>
          <w:szCs w:val="24"/>
        </w:rPr>
        <w:t xml:space="preserve"> </w:t>
      </w:r>
    </w:p>
    <w:p w14:paraId="06EAC90C" w14:textId="3ED129AA" w:rsidR="00E701AB" w:rsidRPr="00D16622" w:rsidRDefault="3CDA677A" w:rsidP="003D5FB5">
      <w:pPr>
        <w:spacing w:after="120" w:line="240" w:lineRule="auto"/>
        <w:jc w:val="both"/>
        <w:rPr>
          <w:rFonts w:ascii="Times New Roman" w:hAnsi="Times New Roman" w:cs="Times New Roman"/>
          <w:noProof/>
          <w:sz w:val="24"/>
          <w:szCs w:val="24"/>
          <w:lang w:val="en-IE"/>
        </w:rPr>
      </w:pPr>
      <w:r w:rsidRPr="00D16622">
        <w:rPr>
          <w:rFonts w:ascii="Times New Roman" w:hAnsi="Times New Roman" w:cs="Times New Roman"/>
          <w:noProof/>
          <w:sz w:val="24"/>
          <w:szCs w:val="24"/>
        </w:rPr>
        <w:t>I</w:t>
      </w:r>
      <w:r w:rsidR="00396ECE" w:rsidRPr="00D16622">
        <w:rPr>
          <w:rFonts w:ascii="Times New Roman" w:hAnsi="Times New Roman" w:cs="Times New Roman"/>
          <w:noProof/>
          <w:sz w:val="24"/>
          <w:szCs w:val="24"/>
        </w:rPr>
        <w:t xml:space="preserve">n </w:t>
      </w:r>
      <w:hyperlink r:id="rId269" w:history="1">
        <w:r w:rsidR="00931338" w:rsidRPr="00D16622">
          <w:rPr>
            <w:rStyle w:val="Hyperlink"/>
            <w:rFonts w:cs="Times New Roman"/>
            <w:noProof/>
            <w:szCs w:val="24"/>
          </w:rPr>
          <w:t>Montenegro</w:t>
        </w:r>
      </w:hyperlink>
      <w:r w:rsidR="00CC6F03" w:rsidRPr="00D16622">
        <w:rPr>
          <w:rFonts w:ascii="Times New Roman" w:hAnsi="Times New Roman" w:cs="Times New Roman"/>
          <w:noProof/>
          <w:sz w:val="24"/>
          <w:szCs w:val="24"/>
        </w:rPr>
        <w:t xml:space="preserve">, </w:t>
      </w:r>
      <w:r w:rsidR="003D5FB5" w:rsidRPr="00D16622">
        <w:rPr>
          <w:rFonts w:ascii="Times New Roman" w:hAnsi="Times New Roman" w:cs="Times New Roman"/>
          <w:noProof/>
          <w:sz w:val="24"/>
          <w:szCs w:val="24"/>
        </w:rPr>
        <w:t xml:space="preserve">transparency of media ownership has improved </w:t>
      </w:r>
      <w:r w:rsidR="00B82E12" w:rsidRPr="00D16622">
        <w:rPr>
          <w:rFonts w:ascii="Times New Roman" w:hAnsi="Times New Roman" w:cs="Times New Roman"/>
          <w:noProof/>
          <w:sz w:val="24"/>
          <w:szCs w:val="24"/>
        </w:rPr>
        <w:t>alongside increasing concerns about the influence of media outlets owned by companies based in Serbia</w:t>
      </w:r>
      <w:r w:rsidR="00CC6F03" w:rsidRPr="00D16622">
        <w:rPr>
          <w:rFonts w:ascii="Times New Roman" w:hAnsi="Times New Roman" w:cs="Times New Roman"/>
          <w:noProof/>
          <w:sz w:val="24"/>
          <w:szCs w:val="24"/>
        </w:rPr>
        <w:t>.</w:t>
      </w:r>
      <w:r w:rsidR="001C4712" w:rsidRPr="00D16622">
        <w:rPr>
          <w:rFonts w:ascii="Times New Roman" w:hAnsi="Times New Roman" w:cs="Times New Roman"/>
          <w:noProof/>
          <w:sz w:val="24"/>
          <w:szCs w:val="24"/>
        </w:rPr>
        <w:t xml:space="preserve"> In </w:t>
      </w:r>
      <w:hyperlink r:id="rId270" w:history="1">
        <w:r w:rsidR="00B14DAD" w:rsidRPr="00D16622">
          <w:rPr>
            <w:rStyle w:val="Hyperlink"/>
            <w:rFonts w:cs="Times New Roman"/>
            <w:noProof/>
            <w:szCs w:val="24"/>
          </w:rPr>
          <w:t>Serbia</w:t>
        </w:r>
      </w:hyperlink>
      <w:r w:rsidR="001C4712" w:rsidRPr="00D16622">
        <w:rPr>
          <w:rFonts w:ascii="Times New Roman" w:hAnsi="Times New Roman" w:cs="Times New Roman"/>
          <w:noProof/>
          <w:sz w:val="24"/>
          <w:szCs w:val="24"/>
        </w:rPr>
        <w:t xml:space="preserve">, against a backdrop of further media market concentration, political and economic influence </w:t>
      </w:r>
      <w:r w:rsidR="00895D06" w:rsidRPr="00D16622">
        <w:rPr>
          <w:rFonts w:ascii="Times New Roman" w:hAnsi="Times New Roman" w:cs="Times New Roman"/>
          <w:noProof/>
          <w:sz w:val="24"/>
          <w:szCs w:val="24"/>
        </w:rPr>
        <w:t xml:space="preserve">on </w:t>
      </w:r>
      <w:r w:rsidR="001C4712" w:rsidRPr="00D16622">
        <w:rPr>
          <w:rFonts w:ascii="Times New Roman" w:hAnsi="Times New Roman" w:cs="Times New Roman"/>
          <w:noProof/>
          <w:sz w:val="24"/>
          <w:szCs w:val="24"/>
        </w:rPr>
        <w:t xml:space="preserve">the media, including </w:t>
      </w:r>
      <w:r w:rsidR="00E9544C" w:rsidRPr="00D16622">
        <w:rPr>
          <w:rFonts w:ascii="Times New Roman" w:hAnsi="Times New Roman" w:cs="Times New Roman"/>
          <w:noProof/>
          <w:sz w:val="24"/>
          <w:szCs w:val="24"/>
        </w:rPr>
        <w:t xml:space="preserve">on </w:t>
      </w:r>
      <w:r w:rsidR="001C4712" w:rsidRPr="00D16622">
        <w:rPr>
          <w:rFonts w:ascii="Times New Roman" w:hAnsi="Times New Roman" w:cs="Times New Roman"/>
          <w:noProof/>
          <w:sz w:val="24"/>
          <w:szCs w:val="24"/>
        </w:rPr>
        <w:t xml:space="preserve">editorial policy, is a cause </w:t>
      </w:r>
      <w:r w:rsidR="005A7E6D" w:rsidRPr="00D16622">
        <w:rPr>
          <w:rFonts w:ascii="Times New Roman" w:hAnsi="Times New Roman" w:cs="Times New Roman"/>
          <w:noProof/>
          <w:sz w:val="24"/>
          <w:szCs w:val="24"/>
        </w:rPr>
        <w:t>of serious</w:t>
      </w:r>
      <w:r w:rsidR="001C4712" w:rsidRPr="00D16622">
        <w:rPr>
          <w:rFonts w:ascii="Times New Roman" w:hAnsi="Times New Roman" w:cs="Times New Roman"/>
          <w:noProof/>
          <w:sz w:val="24"/>
          <w:szCs w:val="24"/>
        </w:rPr>
        <w:t xml:space="preserve"> concern.</w:t>
      </w:r>
    </w:p>
    <w:p w14:paraId="06E7B797" w14:textId="726126E6" w:rsidR="00E701AB" w:rsidRPr="00D16622" w:rsidRDefault="00E701AB" w:rsidP="747801D4">
      <w:pPr>
        <w:spacing w:after="120" w:line="240" w:lineRule="auto"/>
        <w:jc w:val="both"/>
        <w:rPr>
          <w:rFonts w:ascii="Times New Roman" w:hAnsi="Times New Roman" w:cs="Times New Roman"/>
          <w:i/>
          <w:iCs/>
          <w:noProof/>
          <w:sz w:val="24"/>
          <w:szCs w:val="24"/>
          <w:lang w:val="en-IE"/>
        </w:rPr>
      </w:pPr>
      <w:r w:rsidRPr="00D16622">
        <w:rPr>
          <w:rFonts w:ascii="Times New Roman" w:hAnsi="Times New Roman" w:cs="Times New Roman"/>
          <w:i/>
          <w:iCs/>
          <w:noProof/>
          <w:sz w:val="24"/>
          <w:szCs w:val="24"/>
          <w:lang w:val="en-IE"/>
        </w:rPr>
        <w:t>Safeguarding media from political pressure and undue influence</w:t>
      </w:r>
    </w:p>
    <w:p w14:paraId="6D389AF7" w14:textId="59DF0260" w:rsidR="00E701AB" w:rsidRPr="00D16622" w:rsidRDefault="005444E7" w:rsidP="747801D4">
      <w:pPr>
        <w:spacing w:after="120" w:line="240" w:lineRule="auto"/>
        <w:jc w:val="both"/>
        <w:rPr>
          <w:rFonts w:ascii="Times New Roman" w:hAnsi="Times New Roman" w:cs="Times New Roman"/>
          <w:noProof/>
          <w:sz w:val="24"/>
          <w:szCs w:val="24"/>
          <w:lang w:val="en-IE"/>
        </w:rPr>
      </w:pPr>
      <w:r w:rsidRPr="00D16622">
        <w:rPr>
          <w:rFonts w:ascii="Times New Roman" w:hAnsi="Times New Roman" w:cs="Times New Roman"/>
          <w:noProof/>
          <w:sz w:val="24"/>
          <w:szCs w:val="24"/>
          <w:lang w:val="en-IE"/>
        </w:rPr>
        <w:t xml:space="preserve">Media independence can be undermined in </w:t>
      </w:r>
      <w:r w:rsidR="00D51279" w:rsidRPr="00D16622">
        <w:rPr>
          <w:rFonts w:ascii="Times New Roman" w:hAnsi="Times New Roman" w:cs="Times New Roman"/>
          <w:noProof/>
          <w:sz w:val="24"/>
          <w:szCs w:val="24"/>
          <w:lang w:val="en-IE"/>
        </w:rPr>
        <w:t>several</w:t>
      </w:r>
      <w:r w:rsidRPr="00D16622">
        <w:rPr>
          <w:rFonts w:ascii="Times New Roman" w:hAnsi="Times New Roman" w:cs="Times New Roman"/>
          <w:noProof/>
          <w:sz w:val="24"/>
          <w:szCs w:val="24"/>
          <w:lang w:val="en-IE"/>
        </w:rPr>
        <w:t xml:space="preserve"> ways</w:t>
      </w:r>
      <w:r w:rsidR="00EB61D6" w:rsidRPr="00D16622">
        <w:rPr>
          <w:rFonts w:ascii="Times New Roman" w:hAnsi="Times New Roman" w:cs="Times New Roman"/>
          <w:noProof/>
          <w:sz w:val="24"/>
          <w:szCs w:val="24"/>
          <w:lang w:val="en-IE"/>
        </w:rPr>
        <w:t xml:space="preserve">, including by undue political influence and pressure. </w:t>
      </w:r>
      <w:r w:rsidR="00521A73" w:rsidRPr="00D16622">
        <w:rPr>
          <w:rFonts w:ascii="Times New Roman" w:hAnsi="Times New Roman" w:cs="Times New Roman"/>
          <w:noProof/>
          <w:sz w:val="24"/>
          <w:szCs w:val="24"/>
          <w:lang w:val="en-IE"/>
        </w:rPr>
        <w:t>Such situations are covered</w:t>
      </w:r>
      <w:r w:rsidRPr="00D16622">
        <w:rPr>
          <w:rFonts w:ascii="Times New Roman" w:hAnsi="Times New Roman" w:cs="Times New Roman"/>
          <w:noProof/>
          <w:sz w:val="24"/>
          <w:szCs w:val="24"/>
          <w:lang w:val="en-IE"/>
        </w:rPr>
        <w:t xml:space="preserve"> by </w:t>
      </w:r>
      <w:r w:rsidR="006168A5" w:rsidRPr="00D16622">
        <w:rPr>
          <w:rFonts w:ascii="Times New Roman" w:hAnsi="Times New Roman" w:cs="Times New Roman"/>
          <w:noProof/>
          <w:sz w:val="24"/>
          <w:szCs w:val="24"/>
          <w:lang w:val="en-IE"/>
        </w:rPr>
        <w:t xml:space="preserve">the </w:t>
      </w:r>
      <w:r w:rsidR="00521A73" w:rsidRPr="00D16622">
        <w:rPr>
          <w:rFonts w:ascii="Times New Roman" w:hAnsi="Times New Roman" w:cs="Times New Roman"/>
          <w:noProof/>
          <w:sz w:val="24"/>
          <w:szCs w:val="24"/>
          <w:lang w:val="en-IE"/>
        </w:rPr>
        <w:t>EMFA,</w:t>
      </w:r>
      <w:r w:rsidRPr="00D16622">
        <w:rPr>
          <w:rFonts w:ascii="Times New Roman" w:hAnsi="Times New Roman" w:cs="Times New Roman"/>
          <w:noProof/>
          <w:sz w:val="24"/>
          <w:szCs w:val="24"/>
          <w:lang w:val="en-IE"/>
        </w:rPr>
        <w:t xml:space="preserve"> which provides a framework to safeguard the editorial independence, to limit the excesses of political interference and to create a transparent framework for the allocation of state resources to the media. Safeguards against politicisation of the public service media and transparent rules on the allocation of state advertising </w:t>
      </w:r>
      <w:r w:rsidR="00521A73" w:rsidRPr="00D16622">
        <w:rPr>
          <w:rFonts w:ascii="Times New Roman" w:hAnsi="Times New Roman" w:cs="Times New Roman"/>
          <w:noProof/>
          <w:sz w:val="24"/>
          <w:szCs w:val="24"/>
          <w:lang w:val="en-IE"/>
        </w:rPr>
        <w:t xml:space="preserve">are </w:t>
      </w:r>
      <w:r w:rsidR="00EC3B80" w:rsidRPr="00D16622">
        <w:rPr>
          <w:rFonts w:ascii="Times New Roman" w:hAnsi="Times New Roman" w:cs="Times New Roman"/>
          <w:noProof/>
          <w:sz w:val="24"/>
          <w:szCs w:val="24"/>
          <w:lang w:val="en-IE"/>
        </w:rPr>
        <w:t xml:space="preserve">two fundamental </w:t>
      </w:r>
      <w:r w:rsidR="00B06506" w:rsidRPr="00D16622">
        <w:rPr>
          <w:rFonts w:ascii="Times New Roman" w:hAnsi="Times New Roman" w:cs="Times New Roman"/>
          <w:noProof/>
          <w:sz w:val="24"/>
          <w:szCs w:val="24"/>
          <w:lang w:val="en-IE"/>
        </w:rPr>
        <w:t>elements</w:t>
      </w:r>
      <w:r w:rsidRPr="00D16622">
        <w:rPr>
          <w:rFonts w:ascii="Times New Roman" w:hAnsi="Times New Roman" w:cs="Times New Roman"/>
          <w:noProof/>
          <w:sz w:val="24"/>
          <w:szCs w:val="24"/>
          <w:lang w:val="en-IE"/>
        </w:rPr>
        <w:t xml:space="preserve"> of this framework.</w:t>
      </w:r>
    </w:p>
    <w:p w14:paraId="7FA32C45" w14:textId="4142B03E" w:rsidR="00570E2F" w:rsidRPr="00D16622" w:rsidRDefault="00D04FBB" w:rsidP="747801D4">
      <w:pPr>
        <w:spacing w:after="120" w:line="240" w:lineRule="auto"/>
        <w:jc w:val="both"/>
        <w:rPr>
          <w:rFonts w:ascii="Times New Roman" w:hAnsi="Times New Roman" w:cs="Times New Roman"/>
          <w:i/>
          <w:iCs/>
          <w:noProof/>
          <w:sz w:val="24"/>
          <w:szCs w:val="24"/>
          <w:lang w:val="en-IE"/>
        </w:rPr>
      </w:pPr>
      <w:r w:rsidRPr="00D16622">
        <w:rPr>
          <w:rFonts w:ascii="Times New Roman" w:hAnsi="Times New Roman" w:cs="Times New Roman"/>
          <w:i/>
          <w:iCs/>
          <w:noProof/>
          <w:sz w:val="24"/>
          <w:szCs w:val="24"/>
          <w:lang w:val="en-IE"/>
        </w:rPr>
        <w:t>Ensuring transparent and fair s</w:t>
      </w:r>
      <w:r w:rsidR="00570E2F" w:rsidRPr="00D16622">
        <w:rPr>
          <w:rFonts w:ascii="Times New Roman" w:hAnsi="Times New Roman" w:cs="Times New Roman"/>
          <w:i/>
          <w:iCs/>
          <w:noProof/>
          <w:sz w:val="24"/>
          <w:szCs w:val="24"/>
          <w:lang w:val="en-IE"/>
        </w:rPr>
        <w:t xml:space="preserve">tate advertising </w:t>
      </w:r>
    </w:p>
    <w:p w14:paraId="1A126669" w14:textId="79384615" w:rsidR="00DA1C94" w:rsidRPr="00D16622" w:rsidRDefault="00DA1C94" w:rsidP="747801D4">
      <w:pPr>
        <w:spacing w:after="120" w:line="240" w:lineRule="auto"/>
        <w:jc w:val="both"/>
        <w:rPr>
          <w:rFonts w:ascii="Times New Roman" w:hAnsi="Times New Roman" w:cs="Times New Roman"/>
          <w:noProof/>
          <w:sz w:val="24"/>
          <w:szCs w:val="24"/>
          <w:lang w:val="en-IE"/>
        </w:rPr>
      </w:pPr>
      <w:r w:rsidRPr="00D16622">
        <w:rPr>
          <w:rFonts w:ascii="Times New Roman" w:hAnsi="Times New Roman" w:cs="Times New Roman"/>
          <w:noProof/>
          <w:sz w:val="24"/>
          <w:szCs w:val="24"/>
          <w:lang w:val="en-IE"/>
        </w:rPr>
        <w:t>State advertising includes any use of the state budget, by public authorities or entities at all levels, for advertising and campaigns. If such resources are allocated non-transparently or unfairly, they can be used as levers for political influence.</w:t>
      </w:r>
      <w:r w:rsidR="006168A5" w:rsidRPr="00D16622">
        <w:rPr>
          <w:rFonts w:ascii="Times New Roman" w:hAnsi="Times New Roman" w:cs="Times New Roman"/>
          <w:noProof/>
          <w:sz w:val="24"/>
          <w:szCs w:val="24"/>
          <w:lang w:val="en-IE"/>
        </w:rPr>
        <w:t xml:space="preserve"> The</w:t>
      </w:r>
      <w:r w:rsidRPr="00D16622">
        <w:rPr>
          <w:rFonts w:ascii="Times New Roman" w:hAnsi="Times New Roman" w:cs="Times New Roman"/>
          <w:noProof/>
          <w:sz w:val="24"/>
          <w:szCs w:val="24"/>
          <w:lang w:val="en-IE"/>
        </w:rPr>
        <w:t xml:space="preserve"> EMFA addresses this issue by setting out requirements for allocation criteria and procedures and mandates that public authorities disclose the amounts </w:t>
      </w:r>
      <w:r w:rsidR="00366840" w:rsidRPr="00D16622">
        <w:rPr>
          <w:rFonts w:ascii="Times New Roman" w:hAnsi="Times New Roman" w:cs="Times New Roman"/>
          <w:noProof/>
          <w:sz w:val="24"/>
          <w:szCs w:val="24"/>
          <w:lang w:val="en-IE"/>
        </w:rPr>
        <w:t>paid annually to media service providers</w:t>
      </w:r>
      <w:r w:rsidR="00366840" w:rsidRPr="00D16622">
        <w:rPr>
          <w:rStyle w:val="FootnoteReference"/>
          <w:rFonts w:cs="Times New Roman"/>
          <w:noProof/>
        </w:rPr>
        <w:footnoteReference w:id="71"/>
      </w:r>
      <w:r w:rsidRPr="00D16622">
        <w:rPr>
          <w:rFonts w:ascii="Times New Roman" w:hAnsi="Times New Roman" w:cs="Times New Roman"/>
          <w:noProof/>
          <w:sz w:val="24"/>
          <w:szCs w:val="24"/>
          <w:lang w:val="en-IE"/>
        </w:rPr>
        <w:t xml:space="preserve">. </w:t>
      </w:r>
    </w:p>
    <w:p w14:paraId="24BA1DE9" w14:textId="492FCF5F" w:rsidR="00FA3295" w:rsidRPr="00D16622" w:rsidRDefault="00FA3295" w:rsidP="00FA3295">
      <w:pPr>
        <w:spacing w:after="120" w:line="240" w:lineRule="auto"/>
        <w:jc w:val="both"/>
        <w:rPr>
          <w:rFonts w:ascii="Times New Roman" w:hAnsi="Times New Roman" w:cs="Times New Roman"/>
          <w:noProof/>
          <w:sz w:val="24"/>
          <w:szCs w:val="24"/>
          <w:lang w:val="en-IE"/>
        </w:rPr>
      </w:pPr>
      <w:r w:rsidRPr="00D16622">
        <w:rPr>
          <w:rFonts w:ascii="Times New Roman" w:hAnsi="Times New Roman" w:cs="Times New Roman"/>
          <w:noProof/>
          <w:sz w:val="24"/>
          <w:szCs w:val="24"/>
          <w:lang w:val="en-IE"/>
        </w:rPr>
        <w:t xml:space="preserve">Since the publication of the 2025 Report, legislation to specifically address </w:t>
      </w:r>
      <w:r w:rsidR="00D84FEF" w:rsidRPr="00D16622">
        <w:rPr>
          <w:rFonts w:ascii="Times New Roman" w:hAnsi="Times New Roman" w:cs="Times New Roman"/>
          <w:noProof/>
          <w:sz w:val="24"/>
          <w:szCs w:val="24"/>
          <w:lang w:val="en-IE"/>
        </w:rPr>
        <w:t>the</w:t>
      </w:r>
      <w:r w:rsidRPr="00D16622">
        <w:rPr>
          <w:rFonts w:ascii="Times New Roman" w:hAnsi="Times New Roman" w:cs="Times New Roman"/>
          <w:noProof/>
          <w:sz w:val="24"/>
          <w:szCs w:val="24"/>
          <w:lang w:val="en-IE"/>
        </w:rPr>
        <w:t xml:space="preserve"> issue</w:t>
      </w:r>
      <w:r w:rsidR="00D84FEF" w:rsidRPr="00D16622">
        <w:rPr>
          <w:rFonts w:ascii="Times New Roman" w:hAnsi="Times New Roman" w:cs="Times New Roman"/>
          <w:noProof/>
          <w:sz w:val="24"/>
          <w:szCs w:val="24"/>
          <w:lang w:val="en-IE"/>
        </w:rPr>
        <w:t xml:space="preserve"> of state advertising</w:t>
      </w:r>
      <w:r w:rsidRPr="00D16622">
        <w:rPr>
          <w:rFonts w:ascii="Times New Roman" w:hAnsi="Times New Roman" w:cs="Times New Roman"/>
          <w:noProof/>
          <w:sz w:val="24"/>
          <w:szCs w:val="24"/>
          <w:lang w:val="en-IE"/>
        </w:rPr>
        <w:t xml:space="preserve"> has been adopted in </w:t>
      </w:r>
      <w:hyperlink r:id="rId271">
        <w:r w:rsidR="006A4A3C" w:rsidRPr="00D16622">
          <w:rPr>
            <w:rStyle w:val="Hyperlink"/>
            <w:rFonts w:cs="Times New Roman"/>
            <w:noProof/>
            <w:szCs w:val="24"/>
            <w:lang w:eastAsia="en-IE"/>
          </w:rPr>
          <w:t>Croatia</w:t>
        </w:r>
      </w:hyperlink>
      <w:r w:rsidRPr="00D16622">
        <w:rPr>
          <w:rFonts w:ascii="Times New Roman" w:hAnsi="Times New Roman" w:cs="Times New Roman"/>
          <w:noProof/>
          <w:sz w:val="24"/>
          <w:szCs w:val="24"/>
          <w:lang w:val="en-IE"/>
        </w:rPr>
        <w:t xml:space="preserve">, </w:t>
      </w:r>
      <w:hyperlink r:id="rId272">
        <w:r w:rsidR="00421F48" w:rsidRPr="00D16622">
          <w:rPr>
            <w:rStyle w:val="Hyperlink"/>
            <w:rFonts w:cs="Times New Roman"/>
            <w:noProof/>
            <w:szCs w:val="24"/>
          </w:rPr>
          <w:t>Slovakia</w:t>
        </w:r>
      </w:hyperlink>
      <w:r w:rsidRPr="00D16622">
        <w:rPr>
          <w:rFonts w:ascii="Times New Roman" w:hAnsi="Times New Roman" w:cs="Times New Roman"/>
          <w:noProof/>
          <w:sz w:val="24"/>
          <w:szCs w:val="24"/>
          <w:lang w:val="en-IE"/>
        </w:rPr>
        <w:t xml:space="preserve">, </w:t>
      </w:r>
      <w:hyperlink r:id="rId273">
        <w:r w:rsidRPr="00D16622">
          <w:rPr>
            <w:rStyle w:val="Hyperlink"/>
            <w:rFonts w:cs="Times New Roman"/>
            <w:noProof/>
            <w:szCs w:val="24"/>
            <w:lang w:val="en-IE"/>
          </w:rPr>
          <w:t>Greece</w:t>
        </w:r>
      </w:hyperlink>
      <w:r w:rsidRPr="00D16622">
        <w:rPr>
          <w:rFonts w:ascii="Times New Roman" w:hAnsi="Times New Roman" w:cs="Times New Roman"/>
          <w:noProof/>
          <w:sz w:val="24"/>
          <w:szCs w:val="24"/>
          <w:lang w:val="en-IE"/>
        </w:rPr>
        <w:t xml:space="preserve">, </w:t>
      </w:r>
      <w:hyperlink r:id="rId274">
        <w:r w:rsidR="00775307" w:rsidRPr="00D16622">
          <w:rPr>
            <w:rStyle w:val="Hyperlink"/>
            <w:rFonts w:cs="Times New Roman"/>
            <w:noProof/>
            <w:szCs w:val="24"/>
          </w:rPr>
          <w:t>Malta</w:t>
        </w:r>
      </w:hyperlink>
      <w:r w:rsidR="00775307" w:rsidRPr="00D16622">
        <w:rPr>
          <w:rFonts w:ascii="Times New Roman" w:hAnsi="Times New Roman" w:cs="Times New Roman"/>
          <w:noProof/>
          <w:sz w:val="24"/>
          <w:szCs w:val="24"/>
        </w:rPr>
        <w:t xml:space="preserve">, </w:t>
      </w:r>
      <w:hyperlink r:id="rId275">
        <w:r w:rsidR="00355A19" w:rsidRPr="00D16622">
          <w:rPr>
            <w:rStyle w:val="Hyperlink"/>
            <w:rFonts w:cs="Times New Roman"/>
            <w:noProof/>
            <w:szCs w:val="24"/>
            <w:lang w:val="en-IE"/>
          </w:rPr>
          <w:t>Latvia</w:t>
        </w:r>
      </w:hyperlink>
      <w:r w:rsidR="00355A19" w:rsidRPr="00D16622">
        <w:rPr>
          <w:rFonts w:ascii="Times New Roman" w:hAnsi="Times New Roman" w:cs="Times New Roman"/>
          <w:noProof/>
          <w:sz w:val="24"/>
          <w:szCs w:val="24"/>
        </w:rPr>
        <w:t xml:space="preserve"> </w:t>
      </w:r>
      <w:r w:rsidRPr="00D16622">
        <w:rPr>
          <w:rFonts w:ascii="Times New Roman" w:hAnsi="Times New Roman" w:cs="Times New Roman"/>
          <w:noProof/>
          <w:sz w:val="24"/>
          <w:szCs w:val="24"/>
          <w:lang w:val="en-IE"/>
        </w:rPr>
        <w:t xml:space="preserve">and </w:t>
      </w:r>
      <w:hyperlink r:id="rId276">
        <w:r w:rsidR="006812EC" w:rsidRPr="00D16622">
          <w:rPr>
            <w:rStyle w:val="Hyperlink"/>
            <w:rFonts w:cs="Times New Roman"/>
            <w:noProof/>
            <w:szCs w:val="24"/>
          </w:rPr>
          <w:t>Slovenia</w:t>
        </w:r>
      </w:hyperlink>
      <w:r w:rsidRPr="00D16622">
        <w:rPr>
          <w:rFonts w:ascii="Times New Roman" w:hAnsi="Times New Roman" w:cs="Times New Roman"/>
          <w:noProof/>
          <w:sz w:val="24"/>
          <w:szCs w:val="24"/>
          <w:lang w:val="en-IE"/>
        </w:rPr>
        <w:t xml:space="preserve">. Draft legislation to regulate the matter is in preparation in </w:t>
      </w:r>
      <w:hyperlink r:id="rId277">
        <w:r w:rsidRPr="00D16622">
          <w:rPr>
            <w:rStyle w:val="Hyperlink"/>
            <w:rFonts w:cs="Times New Roman"/>
            <w:noProof/>
            <w:szCs w:val="24"/>
            <w:lang w:val="en-IE"/>
          </w:rPr>
          <w:t>Bulgaria</w:t>
        </w:r>
      </w:hyperlink>
      <w:r w:rsidRPr="00D16622">
        <w:rPr>
          <w:rFonts w:ascii="Times New Roman" w:hAnsi="Times New Roman" w:cs="Times New Roman"/>
          <w:noProof/>
          <w:sz w:val="24"/>
          <w:szCs w:val="24"/>
          <w:lang w:val="en-IE"/>
        </w:rPr>
        <w:t xml:space="preserve">, </w:t>
      </w:r>
      <w:hyperlink r:id="rId278">
        <w:r w:rsidR="006032A2" w:rsidRPr="00D16622">
          <w:rPr>
            <w:rStyle w:val="Hyperlink"/>
            <w:rFonts w:cs="Times New Roman"/>
            <w:noProof/>
            <w:szCs w:val="24"/>
          </w:rPr>
          <w:t>Cyprus</w:t>
        </w:r>
      </w:hyperlink>
      <w:r w:rsidRPr="00D16622">
        <w:rPr>
          <w:rFonts w:ascii="Times New Roman" w:hAnsi="Times New Roman" w:cs="Times New Roman"/>
          <w:noProof/>
          <w:sz w:val="24"/>
          <w:szCs w:val="24"/>
          <w:lang w:val="en-IE"/>
        </w:rPr>
        <w:t xml:space="preserve">, </w:t>
      </w:r>
      <w:hyperlink r:id="rId279">
        <w:r w:rsidRPr="00D16622">
          <w:rPr>
            <w:rStyle w:val="Hyperlink"/>
            <w:rFonts w:cs="Times New Roman"/>
            <w:noProof/>
            <w:szCs w:val="24"/>
            <w:lang w:val="en-IE"/>
          </w:rPr>
          <w:t>Ireland</w:t>
        </w:r>
      </w:hyperlink>
      <w:r w:rsidRPr="00D16622">
        <w:rPr>
          <w:rFonts w:ascii="Times New Roman" w:hAnsi="Times New Roman" w:cs="Times New Roman"/>
          <w:noProof/>
          <w:sz w:val="24"/>
          <w:szCs w:val="24"/>
          <w:lang w:val="en-IE"/>
        </w:rPr>
        <w:t xml:space="preserve">, </w:t>
      </w:r>
      <w:hyperlink r:id="rId280" w:history="1"/>
      <w:hyperlink r:id="rId281">
        <w:r w:rsidRPr="00D16622">
          <w:rPr>
            <w:rStyle w:val="Hyperlink"/>
            <w:rFonts w:cs="Times New Roman"/>
            <w:noProof/>
            <w:szCs w:val="24"/>
            <w:lang w:val="en-IE"/>
          </w:rPr>
          <w:t>Spain</w:t>
        </w:r>
      </w:hyperlink>
      <w:r w:rsidRPr="00D16622">
        <w:rPr>
          <w:rFonts w:ascii="Times New Roman" w:hAnsi="Times New Roman" w:cs="Times New Roman"/>
          <w:noProof/>
          <w:sz w:val="24"/>
          <w:szCs w:val="24"/>
          <w:lang w:val="en-IE"/>
        </w:rPr>
        <w:t xml:space="preserve">, </w:t>
      </w:r>
      <w:hyperlink r:id="rId282">
        <w:r w:rsidRPr="00D16622">
          <w:rPr>
            <w:rStyle w:val="Hyperlink"/>
            <w:rFonts w:cs="Times New Roman"/>
            <w:noProof/>
            <w:szCs w:val="24"/>
            <w:lang w:val="en-IE"/>
          </w:rPr>
          <w:t>Czechia</w:t>
        </w:r>
      </w:hyperlink>
      <w:r w:rsidRPr="00D16622">
        <w:rPr>
          <w:rFonts w:ascii="Times New Roman" w:hAnsi="Times New Roman" w:cs="Times New Roman"/>
          <w:noProof/>
          <w:sz w:val="24"/>
          <w:szCs w:val="24"/>
          <w:lang w:val="en-IE"/>
        </w:rPr>
        <w:t xml:space="preserve"> and</w:t>
      </w:r>
      <w:r w:rsidRPr="00D16622">
        <w:rPr>
          <w:rFonts w:ascii="Times New Roman" w:hAnsi="Times New Roman" w:cs="Times New Roman"/>
          <w:b/>
          <w:bCs/>
          <w:noProof/>
          <w:sz w:val="24"/>
          <w:szCs w:val="24"/>
          <w:lang w:val="en-IE"/>
        </w:rPr>
        <w:t xml:space="preserve"> </w:t>
      </w:r>
      <w:hyperlink r:id="rId283">
        <w:r w:rsidR="009F1189" w:rsidRPr="00D16622">
          <w:rPr>
            <w:rStyle w:val="Hyperlink"/>
            <w:rFonts w:cs="Times New Roman"/>
            <w:noProof/>
            <w:szCs w:val="24"/>
          </w:rPr>
          <w:t>Portugal</w:t>
        </w:r>
      </w:hyperlink>
      <w:r w:rsidRPr="00D16622">
        <w:rPr>
          <w:rFonts w:ascii="Times New Roman" w:hAnsi="Times New Roman" w:cs="Times New Roman"/>
          <w:noProof/>
          <w:sz w:val="24"/>
          <w:szCs w:val="24"/>
          <w:lang w:val="en-IE"/>
        </w:rPr>
        <w:t xml:space="preserve">. </w:t>
      </w:r>
      <w:r w:rsidR="006821F9" w:rsidRPr="00D16622">
        <w:rPr>
          <w:rFonts w:ascii="Times New Roman" w:hAnsi="Times New Roman" w:cs="Times New Roman"/>
          <w:noProof/>
          <w:sz w:val="24"/>
          <w:szCs w:val="24"/>
          <w:lang w:val="en-IE"/>
        </w:rPr>
        <w:t>Transparency and fairness in</w:t>
      </w:r>
      <w:r w:rsidRPr="00D16622">
        <w:rPr>
          <w:rFonts w:ascii="Times New Roman" w:hAnsi="Times New Roman" w:cs="Times New Roman"/>
          <w:noProof/>
          <w:sz w:val="24"/>
          <w:szCs w:val="24"/>
          <w:lang w:val="en-IE"/>
        </w:rPr>
        <w:t xml:space="preserve"> the distribution of state advertising to media outlets </w:t>
      </w:r>
      <w:r w:rsidR="00BD7C71" w:rsidRPr="00D16622">
        <w:rPr>
          <w:rFonts w:ascii="Times New Roman" w:hAnsi="Times New Roman" w:cs="Times New Roman"/>
          <w:noProof/>
          <w:sz w:val="24"/>
          <w:szCs w:val="24"/>
          <w:lang w:val="en-IE"/>
        </w:rPr>
        <w:t>has not yet been addressed</w:t>
      </w:r>
      <w:r w:rsidR="002126A5" w:rsidRPr="00D16622">
        <w:rPr>
          <w:rFonts w:ascii="Times New Roman" w:hAnsi="Times New Roman" w:cs="Times New Roman"/>
          <w:noProof/>
          <w:sz w:val="24"/>
          <w:szCs w:val="24"/>
          <w:lang w:val="en-IE"/>
        </w:rPr>
        <w:t xml:space="preserve"> </w:t>
      </w:r>
      <w:r w:rsidRPr="00D16622">
        <w:rPr>
          <w:rFonts w:ascii="Times New Roman" w:hAnsi="Times New Roman" w:cs="Times New Roman"/>
          <w:noProof/>
          <w:sz w:val="24"/>
          <w:szCs w:val="24"/>
          <w:lang w:val="en-IE"/>
        </w:rPr>
        <w:t xml:space="preserve">in </w:t>
      </w:r>
      <w:hyperlink r:id="rId284">
        <w:r w:rsidR="0042684E" w:rsidRPr="00D16622">
          <w:rPr>
            <w:rStyle w:val="Hyperlink"/>
            <w:rFonts w:cs="Times New Roman"/>
            <w:noProof/>
            <w:szCs w:val="24"/>
          </w:rPr>
          <w:t>Hungary</w:t>
        </w:r>
      </w:hyperlink>
      <w:r w:rsidRPr="00D16622">
        <w:rPr>
          <w:rFonts w:ascii="Times New Roman" w:hAnsi="Times New Roman" w:cs="Times New Roman"/>
          <w:noProof/>
          <w:sz w:val="24"/>
          <w:szCs w:val="24"/>
          <w:lang w:val="en-IE"/>
        </w:rPr>
        <w:t xml:space="preserve">. In </w:t>
      </w:r>
      <w:hyperlink r:id="rId285">
        <w:r w:rsidR="006E659B" w:rsidRPr="00D16622">
          <w:rPr>
            <w:rStyle w:val="Hyperlink"/>
            <w:rFonts w:cs="Times New Roman"/>
            <w:noProof/>
            <w:szCs w:val="24"/>
          </w:rPr>
          <w:t>Romania</w:t>
        </w:r>
      </w:hyperlink>
      <w:r w:rsidRPr="00D16622">
        <w:rPr>
          <w:rFonts w:ascii="Times New Roman" w:hAnsi="Times New Roman" w:cs="Times New Roman"/>
          <w:noProof/>
          <w:sz w:val="24"/>
          <w:szCs w:val="24"/>
          <w:lang w:val="en-IE"/>
        </w:rPr>
        <w:t xml:space="preserve">, </w:t>
      </w:r>
      <w:r w:rsidR="00F94367" w:rsidRPr="00D16622">
        <w:rPr>
          <w:rFonts w:ascii="Times New Roman" w:hAnsi="Times New Roman" w:cs="Times New Roman"/>
          <w:noProof/>
          <w:sz w:val="24"/>
          <w:szCs w:val="24"/>
          <w:lang w:val="en-IE"/>
        </w:rPr>
        <w:t xml:space="preserve">certain practices related to </w:t>
      </w:r>
      <w:r w:rsidRPr="00D16622">
        <w:rPr>
          <w:rFonts w:ascii="Times New Roman" w:hAnsi="Times New Roman" w:cs="Times New Roman"/>
          <w:noProof/>
          <w:sz w:val="24"/>
          <w:szCs w:val="24"/>
          <w:lang w:val="en-IE"/>
        </w:rPr>
        <w:t>the financing of private media by political parties and state authorities</w:t>
      </w:r>
      <w:r w:rsidR="29B19502" w:rsidRPr="00D16622">
        <w:rPr>
          <w:rFonts w:ascii="Times New Roman" w:hAnsi="Times New Roman" w:cs="Times New Roman"/>
          <w:noProof/>
          <w:sz w:val="24"/>
          <w:szCs w:val="24"/>
          <w:lang w:val="en-IE"/>
        </w:rPr>
        <w:t xml:space="preserve"> remains an issue</w:t>
      </w:r>
      <w:r w:rsidRPr="00D16622">
        <w:rPr>
          <w:rFonts w:ascii="Times New Roman" w:hAnsi="Times New Roman" w:cs="Times New Roman"/>
          <w:noProof/>
          <w:sz w:val="24"/>
          <w:szCs w:val="24"/>
          <w:lang w:val="en-IE"/>
        </w:rPr>
        <w:t xml:space="preserve">. </w:t>
      </w:r>
    </w:p>
    <w:p w14:paraId="3D8826DC" w14:textId="325841F9" w:rsidR="003A0A85" w:rsidRPr="00D16622" w:rsidRDefault="4DDFA742" w:rsidP="747801D4">
      <w:pPr>
        <w:spacing w:after="120" w:line="240" w:lineRule="auto"/>
        <w:jc w:val="both"/>
        <w:rPr>
          <w:rFonts w:ascii="Times New Roman" w:hAnsi="Times New Roman" w:cs="Times New Roman"/>
          <w:noProof/>
          <w:sz w:val="24"/>
          <w:szCs w:val="24"/>
          <w:lang w:val="en-IE"/>
        </w:rPr>
      </w:pPr>
      <w:r w:rsidRPr="00D16622">
        <w:rPr>
          <w:rFonts w:ascii="Times New Roman" w:hAnsi="Times New Roman" w:cs="Times New Roman"/>
          <w:noProof/>
          <w:sz w:val="24"/>
          <w:szCs w:val="24"/>
          <w:lang w:val="en-IE"/>
        </w:rPr>
        <w:t>E</w:t>
      </w:r>
      <w:r w:rsidR="003A0A85" w:rsidRPr="00D16622">
        <w:rPr>
          <w:rFonts w:ascii="Times New Roman" w:hAnsi="Times New Roman" w:cs="Times New Roman"/>
          <w:noProof/>
          <w:sz w:val="24"/>
          <w:szCs w:val="24"/>
          <w:lang w:val="en-IE"/>
        </w:rPr>
        <w:t xml:space="preserve">fforts are ongoing </w:t>
      </w:r>
      <w:r w:rsidR="00D96C62" w:rsidRPr="00D16622">
        <w:rPr>
          <w:rFonts w:ascii="Times New Roman" w:hAnsi="Times New Roman" w:cs="Times New Roman"/>
          <w:noProof/>
          <w:sz w:val="24"/>
          <w:szCs w:val="24"/>
          <w:lang w:val="en-IE"/>
        </w:rPr>
        <w:t>in</w:t>
      </w:r>
      <w:r w:rsidR="00D96C62" w:rsidRPr="00D16622">
        <w:rPr>
          <w:rFonts w:ascii="Times New Roman" w:hAnsi="Times New Roman" w:cs="Times New Roman"/>
          <w:b/>
          <w:bCs/>
          <w:noProof/>
          <w:sz w:val="24"/>
          <w:szCs w:val="24"/>
          <w:lang w:val="en-IE"/>
        </w:rPr>
        <w:t xml:space="preserve"> </w:t>
      </w:r>
      <w:hyperlink r:id="rId286" w:history="1">
        <w:r w:rsidR="00A1658E" w:rsidRPr="00D16622">
          <w:rPr>
            <w:rStyle w:val="Hyperlink"/>
            <w:rFonts w:cs="Times New Roman"/>
            <w:noProof/>
            <w:szCs w:val="24"/>
          </w:rPr>
          <w:t>North Macedonia</w:t>
        </w:r>
      </w:hyperlink>
      <w:r w:rsidR="00D96C62" w:rsidRPr="00D16622">
        <w:rPr>
          <w:rFonts w:ascii="Times New Roman" w:hAnsi="Times New Roman" w:cs="Times New Roman"/>
          <w:noProof/>
          <w:sz w:val="24"/>
          <w:szCs w:val="24"/>
          <w:lang w:val="en-IE"/>
        </w:rPr>
        <w:t xml:space="preserve"> </w:t>
      </w:r>
      <w:r w:rsidR="003A0A85" w:rsidRPr="00D16622">
        <w:rPr>
          <w:rFonts w:ascii="Times New Roman" w:hAnsi="Times New Roman" w:cs="Times New Roman"/>
          <w:noProof/>
          <w:sz w:val="24"/>
          <w:szCs w:val="24"/>
          <w:lang w:val="en-IE"/>
        </w:rPr>
        <w:t>to modernise the Public Service Broadcaster, although challenges persist due to limited administrative autonomy and irregular funding.</w:t>
      </w:r>
      <w:r w:rsidR="00192ECA" w:rsidRPr="00D16622">
        <w:rPr>
          <w:rFonts w:ascii="Times New Roman" w:hAnsi="Times New Roman" w:cs="Times New Roman"/>
          <w:noProof/>
          <w:sz w:val="24"/>
          <w:szCs w:val="24"/>
          <w:lang w:val="en-IE"/>
        </w:rPr>
        <w:t xml:space="preserve"> In </w:t>
      </w:r>
      <w:hyperlink r:id="rId287" w:history="1">
        <w:r w:rsidR="00757A27" w:rsidRPr="00D16622">
          <w:rPr>
            <w:rStyle w:val="Hyperlink"/>
            <w:rFonts w:cs="Times New Roman"/>
            <w:noProof/>
            <w:szCs w:val="24"/>
          </w:rPr>
          <w:t>Albania</w:t>
        </w:r>
      </w:hyperlink>
      <w:r w:rsidR="00192ECA" w:rsidRPr="00D16622">
        <w:rPr>
          <w:rFonts w:ascii="Times New Roman" w:hAnsi="Times New Roman" w:cs="Times New Roman"/>
          <w:noProof/>
          <w:sz w:val="24"/>
          <w:szCs w:val="24"/>
          <w:lang w:val="en-IE"/>
        </w:rPr>
        <w:t>, shortcomings in terms of fair allocation of state advertising and other state resources remain.</w:t>
      </w:r>
    </w:p>
    <w:p w14:paraId="50630575" w14:textId="7A9CEB34" w:rsidR="00570E2F" w:rsidRPr="00D16622" w:rsidRDefault="000823FC" w:rsidP="747801D4">
      <w:pPr>
        <w:spacing w:after="120" w:line="240" w:lineRule="auto"/>
        <w:jc w:val="both"/>
        <w:rPr>
          <w:rFonts w:ascii="Times New Roman" w:hAnsi="Times New Roman" w:cs="Times New Roman"/>
          <w:i/>
          <w:iCs/>
          <w:noProof/>
          <w:sz w:val="24"/>
          <w:szCs w:val="24"/>
          <w:lang w:val="en-IE"/>
        </w:rPr>
      </w:pPr>
      <w:r w:rsidRPr="00D16622">
        <w:rPr>
          <w:rFonts w:ascii="Times New Roman" w:hAnsi="Times New Roman" w:cs="Times New Roman"/>
          <w:i/>
          <w:iCs/>
          <w:noProof/>
          <w:sz w:val="24"/>
          <w:szCs w:val="24"/>
          <w:lang w:val="en-IE"/>
        </w:rPr>
        <w:t>Safeguarding the</w:t>
      </w:r>
      <w:r w:rsidR="00D57445" w:rsidRPr="00D16622">
        <w:rPr>
          <w:rFonts w:ascii="Times New Roman" w:hAnsi="Times New Roman" w:cs="Times New Roman"/>
          <w:i/>
          <w:iCs/>
          <w:noProof/>
          <w:sz w:val="24"/>
          <w:szCs w:val="24"/>
          <w:lang w:val="en-IE"/>
        </w:rPr>
        <w:t xml:space="preserve"> independent functioning of p</w:t>
      </w:r>
      <w:r w:rsidR="00570E2F" w:rsidRPr="00D16622">
        <w:rPr>
          <w:rFonts w:ascii="Times New Roman" w:hAnsi="Times New Roman" w:cs="Times New Roman"/>
          <w:i/>
          <w:iCs/>
          <w:noProof/>
          <w:sz w:val="24"/>
          <w:szCs w:val="24"/>
          <w:lang w:val="en-IE"/>
        </w:rPr>
        <w:t>ublic service media</w:t>
      </w:r>
    </w:p>
    <w:p w14:paraId="14976458" w14:textId="43E662A9" w:rsidR="00497577" w:rsidRPr="00D16622" w:rsidRDefault="00C74AD9" w:rsidP="747801D4">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Each Member State is responsible for funding its public service media in full respect </w:t>
      </w:r>
      <w:r w:rsidR="004F7F7B" w:rsidRPr="00D16622">
        <w:rPr>
          <w:rFonts w:ascii="Times New Roman" w:hAnsi="Times New Roman" w:cs="Times New Roman"/>
          <w:noProof/>
          <w:sz w:val="24"/>
          <w:szCs w:val="24"/>
        </w:rPr>
        <w:t xml:space="preserve">of </w:t>
      </w:r>
      <w:r w:rsidRPr="00D16622">
        <w:rPr>
          <w:rFonts w:ascii="Times New Roman" w:hAnsi="Times New Roman" w:cs="Times New Roman"/>
          <w:noProof/>
          <w:sz w:val="24"/>
          <w:szCs w:val="24"/>
        </w:rPr>
        <w:t>EU trade and competition rules</w:t>
      </w:r>
      <w:r w:rsidRPr="00D16622">
        <w:rPr>
          <w:rStyle w:val="FootnoteReference"/>
          <w:rFonts w:cs="Times New Roman"/>
          <w:noProof/>
        </w:rPr>
        <w:footnoteReference w:id="72"/>
      </w:r>
      <w:r w:rsidRPr="00D16622">
        <w:rPr>
          <w:rFonts w:ascii="Times New Roman" w:hAnsi="Times New Roman" w:cs="Times New Roman"/>
          <w:noProof/>
          <w:sz w:val="24"/>
          <w:szCs w:val="24"/>
        </w:rPr>
        <w:t xml:space="preserve">. When functioning optimally, public service media providers ensure that citizens and businesses have access to diverse content offering, including quality information. Consequently, </w:t>
      </w:r>
      <w:r w:rsidR="006F0553" w:rsidRPr="00D16622">
        <w:rPr>
          <w:rFonts w:ascii="Times New Roman" w:hAnsi="Times New Roman" w:cs="Times New Roman"/>
          <w:noProof/>
          <w:sz w:val="24"/>
          <w:szCs w:val="24"/>
        </w:rPr>
        <w:t xml:space="preserve">the </w:t>
      </w:r>
      <w:r w:rsidRPr="00D16622">
        <w:rPr>
          <w:rFonts w:ascii="Times New Roman" w:hAnsi="Times New Roman" w:cs="Times New Roman"/>
          <w:noProof/>
          <w:sz w:val="24"/>
          <w:szCs w:val="24"/>
        </w:rPr>
        <w:t>EMFA establishes a set of safeguards for the independent functioning of public service media providers, namely adequate, sustainable and predictable financial resources and transparency in the appointing and dismissal of management.</w:t>
      </w:r>
      <w:r w:rsidRPr="00D16622" w:rsidDel="00E123EF">
        <w:rPr>
          <w:rFonts w:ascii="Times New Roman" w:hAnsi="Times New Roman" w:cs="Times New Roman"/>
          <w:noProof/>
          <w:sz w:val="24"/>
          <w:szCs w:val="24"/>
        </w:rPr>
        <w:t xml:space="preserve"> </w:t>
      </w:r>
    </w:p>
    <w:p w14:paraId="70A79D45" w14:textId="31EFE7AB" w:rsidR="00D90C7E" w:rsidRPr="00D16622" w:rsidRDefault="00D90C7E" w:rsidP="00D90C7E">
      <w:pPr>
        <w:spacing w:after="120" w:line="240" w:lineRule="auto"/>
        <w:jc w:val="both"/>
        <w:rPr>
          <w:rFonts w:ascii="Times New Roman" w:hAnsi="Times New Roman" w:cs="Times New Roman"/>
          <w:noProof/>
          <w:sz w:val="24"/>
          <w:szCs w:val="24"/>
          <w:lang w:val="en-IE"/>
        </w:rPr>
      </w:pPr>
      <w:r w:rsidRPr="00D16622">
        <w:rPr>
          <w:rFonts w:ascii="Times New Roman" w:hAnsi="Times New Roman" w:cs="Times New Roman"/>
          <w:noProof/>
          <w:sz w:val="24"/>
          <w:szCs w:val="24"/>
          <w:lang w:val="en-IE"/>
        </w:rPr>
        <w:t xml:space="preserve">Various and diverse reforms aimed at strengthening the independence of national public service broadcasters have been adopted or put in place in many countries. </w:t>
      </w:r>
      <w:r w:rsidR="00210247" w:rsidRPr="00D16622">
        <w:rPr>
          <w:rFonts w:ascii="Times New Roman" w:hAnsi="Times New Roman" w:cs="Times New Roman"/>
          <w:noProof/>
          <w:sz w:val="24"/>
          <w:szCs w:val="24"/>
          <w:lang w:val="en-IE"/>
        </w:rPr>
        <w:t xml:space="preserve">This is the case in </w:t>
      </w:r>
      <w:hyperlink r:id="rId288" w:history="1">
        <w:r w:rsidR="008A099D" w:rsidRPr="00D16622">
          <w:rPr>
            <w:rStyle w:val="Hyperlink"/>
            <w:rFonts w:cs="Times New Roman"/>
            <w:noProof/>
            <w:szCs w:val="24"/>
            <w:lang w:eastAsia="en-IE"/>
          </w:rPr>
          <w:t>Sweden</w:t>
        </w:r>
      </w:hyperlink>
      <w:r w:rsidR="00210247" w:rsidRPr="00D16622">
        <w:rPr>
          <w:rFonts w:ascii="Times New Roman" w:hAnsi="Times New Roman" w:cs="Times New Roman"/>
          <w:noProof/>
          <w:sz w:val="24"/>
          <w:szCs w:val="24"/>
          <w:lang w:val="en-IE"/>
        </w:rPr>
        <w:t xml:space="preserve"> and </w:t>
      </w:r>
      <w:hyperlink r:id="rId289" w:history="1">
        <w:r w:rsidR="00874BD7" w:rsidRPr="00D16622">
          <w:rPr>
            <w:rStyle w:val="Hyperlink"/>
            <w:rFonts w:cs="Times New Roman"/>
            <w:noProof/>
            <w:szCs w:val="24"/>
            <w:lang w:eastAsia="en-IE"/>
          </w:rPr>
          <w:t>Finland</w:t>
        </w:r>
      </w:hyperlink>
      <w:r w:rsidR="00210247" w:rsidRPr="00D16622">
        <w:rPr>
          <w:rFonts w:ascii="Times New Roman" w:hAnsi="Times New Roman" w:cs="Times New Roman"/>
          <w:noProof/>
          <w:sz w:val="24"/>
          <w:szCs w:val="24"/>
          <w:lang w:val="en-IE"/>
        </w:rPr>
        <w:t>.</w:t>
      </w:r>
      <w:r w:rsidRPr="00D16622">
        <w:rPr>
          <w:rFonts w:ascii="Times New Roman" w:hAnsi="Times New Roman" w:cs="Times New Roman"/>
          <w:b/>
          <w:bCs/>
          <w:noProof/>
          <w:sz w:val="24"/>
          <w:szCs w:val="24"/>
          <w:lang w:val="en-IE"/>
        </w:rPr>
        <w:t xml:space="preserve"> </w:t>
      </w:r>
      <w:hyperlink r:id="rId290" w:history="1">
        <w:r w:rsidRPr="00D16622">
          <w:rPr>
            <w:rStyle w:val="Hyperlink"/>
            <w:rFonts w:cs="Times New Roman"/>
            <w:noProof/>
            <w:szCs w:val="24"/>
            <w:lang w:val="en-IE"/>
          </w:rPr>
          <w:t>Denmark</w:t>
        </w:r>
      </w:hyperlink>
      <w:r w:rsidRPr="00D16622">
        <w:rPr>
          <w:rFonts w:ascii="Times New Roman" w:hAnsi="Times New Roman" w:cs="Times New Roman"/>
          <w:noProof/>
          <w:sz w:val="24"/>
          <w:szCs w:val="24"/>
          <w:lang w:val="en-IE"/>
        </w:rPr>
        <w:t xml:space="preserve"> has introduced a new model for the appointment of the board of public radio. </w:t>
      </w:r>
      <w:hyperlink r:id="rId291" w:history="1">
        <w:r w:rsidRPr="00D16622">
          <w:rPr>
            <w:rStyle w:val="Hyperlink"/>
            <w:rFonts w:cs="Times New Roman"/>
            <w:noProof/>
            <w:szCs w:val="24"/>
            <w:lang w:val="en-IE"/>
          </w:rPr>
          <w:t>Germany</w:t>
        </w:r>
      </w:hyperlink>
      <w:r w:rsidRPr="00D16622">
        <w:rPr>
          <w:rFonts w:ascii="Times New Roman" w:hAnsi="Times New Roman" w:cs="Times New Roman"/>
          <w:noProof/>
          <w:sz w:val="24"/>
          <w:szCs w:val="24"/>
          <w:lang w:val="en-IE"/>
        </w:rPr>
        <w:t xml:space="preserve"> and </w:t>
      </w:r>
      <w:hyperlink r:id="rId292" w:history="1">
        <w:r w:rsidRPr="00D16622">
          <w:rPr>
            <w:rStyle w:val="Hyperlink"/>
            <w:rFonts w:cs="Times New Roman"/>
            <w:noProof/>
            <w:szCs w:val="24"/>
            <w:lang w:val="en-IE"/>
          </w:rPr>
          <w:t>Greece</w:t>
        </w:r>
      </w:hyperlink>
      <w:r w:rsidRPr="00D16622">
        <w:rPr>
          <w:rFonts w:ascii="Times New Roman" w:hAnsi="Times New Roman" w:cs="Times New Roman"/>
          <w:noProof/>
          <w:sz w:val="24"/>
          <w:szCs w:val="24"/>
          <w:lang w:val="en-IE"/>
        </w:rPr>
        <w:t xml:space="preserve"> have adopted reforms aimed at modernis</w:t>
      </w:r>
      <w:r w:rsidR="58C16E9A" w:rsidRPr="00D16622">
        <w:rPr>
          <w:rFonts w:ascii="Times New Roman" w:hAnsi="Times New Roman" w:cs="Times New Roman"/>
          <w:noProof/>
          <w:sz w:val="24"/>
          <w:szCs w:val="24"/>
          <w:lang w:val="en-IE"/>
        </w:rPr>
        <w:t>ing</w:t>
      </w:r>
      <w:r w:rsidRPr="00D16622">
        <w:rPr>
          <w:rFonts w:ascii="Times New Roman" w:hAnsi="Times New Roman" w:cs="Times New Roman"/>
          <w:noProof/>
          <w:sz w:val="24"/>
          <w:szCs w:val="24"/>
          <w:lang w:val="en-IE"/>
        </w:rPr>
        <w:t xml:space="preserve"> the structure of public service broadcasters. </w:t>
      </w:r>
      <w:hyperlink r:id="rId293" w:history="1">
        <w:r w:rsidR="00775307" w:rsidRPr="00D16622">
          <w:rPr>
            <w:rStyle w:val="Hyperlink"/>
            <w:rFonts w:cs="Times New Roman"/>
            <w:noProof/>
            <w:szCs w:val="24"/>
          </w:rPr>
          <w:t>Malta</w:t>
        </w:r>
      </w:hyperlink>
      <w:r w:rsidR="00775307" w:rsidRPr="00D16622">
        <w:rPr>
          <w:rFonts w:ascii="Times New Roman" w:hAnsi="Times New Roman" w:cs="Times New Roman"/>
          <w:noProof/>
          <w:sz w:val="24"/>
          <w:szCs w:val="24"/>
        </w:rPr>
        <w:t xml:space="preserve"> </w:t>
      </w:r>
      <w:r w:rsidRPr="00D16622">
        <w:rPr>
          <w:rFonts w:ascii="Times New Roman" w:hAnsi="Times New Roman" w:cs="Times New Roman"/>
          <w:noProof/>
          <w:sz w:val="24"/>
          <w:szCs w:val="24"/>
          <w:lang w:val="en-IE"/>
        </w:rPr>
        <w:t xml:space="preserve">has introduced new safeguards in relation to appointment of the CEO of the public broadcaster. </w:t>
      </w:r>
    </w:p>
    <w:p w14:paraId="694962AA" w14:textId="305CACB5" w:rsidR="00D90C7E" w:rsidRPr="00D16622" w:rsidRDefault="00D90C7E" w:rsidP="00D90C7E">
      <w:pPr>
        <w:spacing w:after="120" w:line="240" w:lineRule="auto"/>
        <w:jc w:val="both"/>
        <w:rPr>
          <w:rFonts w:ascii="Times New Roman" w:hAnsi="Times New Roman" w:cs="Times New Roman"/>
          <w:noProof/>
          <w:sz w:val="24"/>
          <w:szCs w:val="24"/>
          <w:lang w:val="en-IE"/>
        </w:rPr>
      </w:pPr>
      <w:r w:rsidRPr="00D16622">
        <w:rPr>
          <w:rFonts w:ascii="Times New Roman" w:hAnsi="Times New Roman" w:cs="Times New Roman"/>
          <w:noProof/>
          <w:sz w:val="24"/>
          <w:szCs w:val="24"/>
          <w:lang w:val="en-IE"/>
        </w:rPr>
        <w:t>Reforms</w:t>
      </w:r>
      <w:r w:rsidR="00D07E88" w:rsidRPr="00D16622">
        <w:rPr>
          <w:rFonts w:ascii="Times New Roman" w:hAnsi="Times New Roman" w:cs="Times New Roman"/>
          <w:noProof/>
          <w:sz w:val="24"/>
          <w:szCs w:val="24"/>
          <w:lang w:val="en-IE"/>
        </w:rPr>
        <w:t xml:space="preserve"> on the governance of public service broadcasters</w:t>
      </w:r>
      <w:r w:rsidRPr="00D16622">
        <w:rPr>
          <w:rFonts w:ascii="Times New Roman" w:hAnsi="Times New Roman" w:cs="Times New Roman"/>
          <w:noProof/>
          <w:sz w:val="24"/>
          <w:szCs w:val="24"/>
          <w:lang w:val="en-IE"/>
        </w:rPr>
        <w:t xml:space="preserve"> are ongoing or are in various stages of preparation in </w:t>
      </w:r>
      <w:hyperlink r:id="rId294" w:history="1">
        <w:r w:rsidRPr="00D16622">
          <w:rPr>
            <w:rStyle w:val="Hyperlink"/>
            <w:rFonts w:cs="Times New Roman"/>
            <w:noProof/>
            <w:szCs w:val="24"/>
            <w:lang w:val="en-IE"/>
          </w:rPr>
          <w:t>Bulgaria</w:t>
        </w:r>
      </w:hyperlink>
      <w:r w:rsidRPr="00D16622">
        <w:rPr>
          <w:rFonts w:ascii="Times New Roman" w:hAnsi="Times New Roman" w:cs="Times New Roman"/>
          <w:noProof/>
          <w:sz w:val="24"/>
          <w:szCs w:val="24"/>
          <w:lang w:val="en-IE"/>
        </w:rPr>
        <w:t xml:space="preserve">, </w:t>
      </w:r>
      <w:hyperlink r:id="rId295" w:history="1">
        <w:r w:rsidR="006A4A3C" w:rsidRPr="00D16622">
          <w:rPr>
            <w:rStyle w:val="Hyperlink"/>
            <w:rFonts w:cs="Times New Roman"/>
            <w:noProof/>
            <w:szCs w:val="24"/>
            <w:lang w:eastAsia="en-IE"/>
          </w:rPr>
          <w:t>Croatia</w:t>
        </w:r>
      </w:hyperlink>
      <w:r w:rsidRPr="00D16622">
        <w:rPr>
          <w:rFonts w:ascii="Times New Roman" w:hAnsi="Times New Roman" w:cs="Times New Roman"/>
          <w:noProof/>
          <w:sz w:val="24"/>
          <w:szCs w:val="24"/>
          <w:lang w:val="en-IE"/>
        </w:rPr>
        <w:t xml:space="preserve">, </w:t>
      </w:r>
      <w:hyperlink r:id="rId296" w:history="1">
        <w:r w:rsidRPr="00D16622">
          <w:rPr>
            <w:rStyle w:val="Hyperlink"/>
            <w:rFonts w:cs="Times New Roman"/>
            <w:noProof/>
            <w:szCs w:val="24"/>
            <w:lang w:val="en-IE"/>
          </w:rPr>
          <w:t>Ireland</w:t>
        </w:r>
      </w:hyperlink>
      <w:r w:rsidRPr="00D16622">
        <w:rPr>
          <w:rFonts w:ascii="Times New Roman" w:hAnsi="Times New Roman" w:cs="Times New Roman"/>
          <w:noProof/>
          <w:sz w:val="24"/>
          <w:szCs w:val="24"/>
          <w:lang w:val="en-IE"/>
        </w:rPr>
        <w:t xml:space="preserve">, </w:t>
      </w:r>
      <w:hyperlink r:id="rId297" w:history="1">
        <w:r w:rsidR="00F377A5" w:rsidRPr="00D16622">
          <w:rPr>
            <w:rStyle w:val="Hyperlink"/>
            <w:rFonts w:eastAsia="Times New Roman" w:cs="Times New Roman"/>
            <w:noProof/>
            <w:szCs w:val="24"/>
            <w:lang w:val="en-IE"/>
          </w:rPr>
          <w:t>Italy</w:t>
        </w:r>
      </w:hyperlink>
      <w:r w:rsidRPr="00D16622">
        <w:rPr>
          <w:rFonts w:ascii="Times New Roman" w:hAnsi="Times New Roman" w:cs="Times New Roman"/>
          <w:noProof/>
          <w:sz w:val="24"/>
          <w:szCs w:val="24"/>
          <w:lang w:val="en-IE"/>
        </w:rPr>
        <w:t xml:space="preserve">, </w:t>
      </w:r>
      <w:hyperlink r:id="rId298" w:history="1">
        <w:r w:rsidR="006812EC" w:rsidRPr="00D16622">
          <w:rPr>
            <w:rStyle w:val="Hyperlink"/>
            <w:rFonts w:cs="Times New Roman"/>
            <w:noProof/>
            <w:szCs w:val="24"/>
          </w:rPr>
          <w:t>Slovenia</w:t>
        </w:r>
      </w:hyperlink>
      <w:r w:rsidRPr="00D16622">
        <w:rPr>
          <w:rFonts w:ascii="Times New Roman" w:hAnsi="Times New Roman" w:cs="Times New Roman"/>
          <w:noProof/>
          <w:sz w:val="24"/>
          <w:szCs w:val="24"/>
          <w:lang w:val="en-IE"/>
        </w:rPr>
        <w:t xml:space="preserve">, </w:t>
      </w:r>
      <w:hyperlink r:id="rId299" w:history="1">
        <w:r w:rsidRPr="00D16622">
          <w:rPr>
            <w:rStyle w:val="Hyperlink"/>
            <w:rFonts w:cs="Times New Roman"/>
            <w:noProof/>
            <w:szCs w:val="24"/>
            <w:lang w:val="en-IE"/>
          </w:rPr>
          <w:t>Estonia</w:t>
        </w:r>
      </w:hyperlink>
      <w:r w:rsidRPr="00D16622">
        <w:rPr>
          <w:rFonts w:ascii="Times New Roman" w:hAnsi="Times New Roman" w:cs="Times New Roman"/>
          <w:noProof/>
          <w:sz w:val="24"/>
          <w:szCs w:val="24"/>
          <w:lang w:val="en-IE"/>
        </w:rPr>
        <w:t xml:space="preserve">, </w:t>
      </w:r>
      <w:hyperlink r:id="rId300" w:history="1">
        <w:r w:rsidRPr="00D16622">
          <w:rPr>
            <w:rStyle w:val="Hyperlink"/>
            <w:rFonts w:cs="Times New Roman"/>
            <w:noProof/>
            <w:szCs w:val="24"/>
            <w:lang w:val="en-IE"/>
          </w:rPr>
          <w:t>France</w:t>
        </w:r>
      </w:hyperlink>
      <w:r w:rsidRPr="00D16622">
        <w:rPr>
          <w:rFonts w:ascii="Times New Roman" w:hAnsi="Times New Roman" w:cs="Times New Roman"/>
          <w:noProof/>
          <w:sz w:val="24"/>
          <w:szCs w:val="24"/>
          <w:lang w:val="en-IE"/>
        </w:rPr>
        <w:t xml:space="preserve">, </w:t>
      </w:r>
      <w:hyperlink r:id="rId301" w:history="1">
        <w:r w:rsidR="00F86C9D" w:rsidRPr="00D16622">
          <w:rPr>
            <w:rStyle w:val="Hyperlink"/>
            <w:rFonts w:cs="Times New Roman"/>
            <w:noProof/>
            <w:szCs w:val="24"/>
          </w:rPr>
          <w:t>Poland</w:t>
        </w:r>
      </w:hyperlink>
      <w:r w:rsidRPr="00D16622">
        <w:rPr>
          <w:rFonts w:ascii="Times New Roman" w:hAnsi="Times New Roman" w:cs="Times New Roman"/>
          <w:noProof/>
          <w:sz w:val="24"/>
          <w:szCs w:val="24"/>
          <w:lang w:val="en-IE"/>
        </w:rPr>
        <w:t xml:space="preserve">, the </w:t>
      </w:r>
      <w:hyperlink r:id="rId302" w:history="1">
        <w:r w:rsidR="002C61F5" w:rsidRPr="00D16622">
          <w:rPr>
            <w:rStyle w:val="Hyperlink"/>
            <w:rFonts w:eastAsia="Times New Roman" w:cs="Times New Roman"/>
            <w:noProof/>
            <w:szCs w:val="24"/>
          </w:rPr>
          <w:t>Netherlands</w:t>
        </w:r>
      </w:hyperlink>
      <w:r w:rsidRPr="00D16622">
        <w:rPr>
          <w:rFonts w:ascii="Times New Roman" w:hAnsi="Times New Roman" w:cs="Times New Roman"/>
          <w:noProof/>
          <w:sz w:val="24"/>
          <w:szCs w:val="24"/>
          <w:lang w:val="en-IE"/>
        </w:rPr>
        <w:t xml:space="preserve">, </w:t>
      </w:r>
      <w:hyperlink r:id="rId303" w:history="1">
        <w:r w:rsidR="009F1189" w:rsidRPr="00D16622">
          <w:rPr>
            <w:rStyle w:val="Hyperlink"/>
            <w:rFonts w:cs="Times New Roman"/>
            <w:noProof/>
            <w:szCs w:val="24"/>
          </w:rPr>
          <w:t>Portugal</w:t>
        </w:r>
      </w:hyperlink>
      <w:r w:rsidR="006E1BB0" w:rsidRPr="00D16622">
        <w:rPr>
          <w:rFonts w:ascii="Times New Roman" w:hAnsi="Times New Roman" w:cs="Times New Roman"/>
          <w:noProof/>
        </w:rPr>
        <w:t xml:space="preserve"> </w:t>
      </w:r>
      <w:r w:rsidRPr="00D16622">
        <w:rPr>
          <w:rFonts w:ascii="Times New Roman" w:hAnsi="Times New Roman" w:cs="Times New Roman"/>
          <w:noProof/>
          <w:sz w:val="24"/>
          <w:szCs w:val="24"/>
          <w:lang w:val="en-IE"/>
        </w:rPr>
        <w:t xml:space="preserve">and </w:t>
      </w:r>
      <w:hyperlink r:id="rId304" w:history="1">
        <w:r w:rsidR="006032A2" w:rsidRPr="00D16622">
          <w:rPr>
            <w:rStyle w:val="Hyperlink"/>
            <w:rFonts w:cs="Times New Roman"/>
            <w:noProof/>
            <w:szCs w:val="24"/>
          </w:rPr>
          <w:t>Cyprus</w:t>
        </w:r>
      </w:hyperlink>
      <w:r w:rsidRPr="00D16622">
        <w:rPr>
          <w:rFonts w:ascii="Times New Roman" w:hAnsi="Times New Roman" w:cs="Times New Roman"/>
          <w:bCs/>
          <w:noProof/>
          <w:sz w:val="24"/>
          <w:szCs w:val="24"/>
          <w:lang w:val="en-IE"/>
        </w:rPr>
        <w:t>.</w:t>
      </w:r>
      <w:r w:rsidRPr="00D16622">
        <w:rPr>
          <w:rFonts w:ascii="Times New Roman" w:hAnsi="Times New Roman" w:cs="Times New Roman"/>
          <w:noProof/>
          <w:sz w:val="24"/>
          <w:szCs w:val="24"/>
          <w:lang w:val="en-IE"/>
        </w:rPr>
        <w:t xml:space="preserve"> </w:t>
      </w:r>
      <w:r w:rsidR="006E1BB0" w:rsidRPr="00D16622">
        <w:rPr>
          <w:rFonts w:ascii="Times New Roman" w:hAnsi="Times New Roman" w:cs="Times New Roman"/>
          <w:noProof/>
          <w:sz w:val="24"/>
          <w:szCs w:val="24"/>
          <w:lang w:val="en-IE"/>
        </w:rPr>
        <w:t xml:space="preserve">In June, </w:t>
      </w:r>
      <w:hyperlink r:id="rId305" w:history="1">
        <w:r w:rsidR="006E1BB0" w:rsidRPr="00D16622">
          <w:rPr>
            <w:rStyle w:val="Hyperlink"/>
            <w:rFonts w:cs="Times New Roman"/>
            <w:noProof/>
            <w:szCs w:val="24"/>
          </w:rPr>
          <w:t>Hungary</w:t>
        </w:r>
      </w:hyperlink>
      <w:r w:rsidR="006E1BB0" w:rsidRPr="00D16622">
        <w:rPr>
          <w:rFonts w:ascii="Times New Roman" w:hAnsi="Times New Roman" w:cs="Times New Roman"/>
          <w:noProof/>
          <w:sz w:val="24"/>
          <w:szCs w:val="24"/>
        </w:rPr>
        <w:t xml:space="preserve"> adopted a wide-ranging reform. </w:t>
      </w:r>
      <w:r w:rsidRPr="00D16622">
        <w:rPr>
          <w:rFonts w:ascii="Times New Roman" w:hAnsi="Times New Roman" w:cs="Times New Roman"/>
          <w:noProof/>
          <w:sz w:val="24"/>
          <w:szCs w:val="24"/>
          <w:lang w:val="en-IE"/>
        </w:rPr>
        <w:t xml:space="preserve">Concerns </w:t>
      </w:r>
      <w:r w:rsidR="00F97846" w:rsidRPr="00D16622">
        <w:rPr>
          <w:rFonts w:ascii="Times New Roman" w:hAnsi="Times New Roman" w:cs="Times New Roman"/>
          <w:noProof/>
          <w:sz w:val="24"/>
          <w:szCs w:val="24"/>
          <w:lang w:val="en-IE"/>
        </w:rPr>
        <w:t xml:space="preserve">by stakeholders </w:t>
      </w:r>
      <w:r w:rsidRPr="00D16622">
        <w:rPr>
          <w:rFonts w:ascii="Times New Roman" w:hAnsi="Times New Roman" w:cs="Times New Roman"/>
          <w:noProof/>
          <w:sz w:val="24"/>
          <w:szCs w:val="24"/>
          <w:lang w:val="en-IE"/>
        </w:rPr>
        <w:t xml:space="preserve">persist in </w:t>
      </w:r>
      <w:hyperlink r:id="rId306" w:history="1">
        <w:r w:rsidR="00421F48" w:rsidRPr="00D16622">
          <w:rPr>
            <w:rStyle w:val="Hyperlink"/>
            <w:rFonts w:cs="Times New Roman"/>
            <w:noProof/>
            <w:szCs w:val="24"/>
          </w:rPr>
          <w:t>Slovakia</w:t>
        </w:r>
      </w:hyperlink>
      <w:r w:rsidR="00421F48" w:rsidRPr="00D16622">
        <w:rPr>
          <w:rFonts w:ascii="Times New Roman" w:hAnsi="Times New Roman" w:cs="Times New Roman"/>
          <w:noProof/>
          <w:sz w:val="24"/>
          <w:szCs w:val="24"/>
        </w:rPr>
        <w:t xml:space="preserve"> </w:t>
      </w:r>
      <w:r w:rsidRPr="00D16622">
        <w:rPr>
          <w:rFonts w:ascii="Times New Roman" w:hAnsi="Times New Roman" w:cs="Times New Roman"/>
          <w:noProof/>
          <w:sz w:val="24"/>
          <w:szCs w:val="24"/>
          <w:lang w:val="en-IE"/>
        </w:rPr>
        <w:t>with regard to the law of July 2024 dissolving the public broadcaster and establishing a new entity</w:t>
      </w:r>
      <w:r w:rsidR="00850DFD" w:rsidRPr="00D16622">
        <w:rPr>
          <w:rFonts w:ascii="Times New Roman" w:hAnsi="Times New Roman" w:cs="Times New Roman"/>
          <w:noProof/>
          <w:sz w:val="24"/>
          <w:szCs w:val="24"/>
          <w:lang w:val="en-IE"/>
        </w:rPr>
        <w:t>,</w:t>
      </w:r>
      <w:r w:rsidRPr="00D16622">
        <w:rPr>
          <w:rFonts w:ascii="Times New Roman" w:hAnsi="Times New Roman" w:cs="Times New Roman"/>
          <w:noProof/>
          <w:sz w:val="24"/>
          <w:szCs w:val="24"/>
          <w:lang w:val="en-IE"/>
        </w:rPr>
        <w:t xml:space="preserve"> while proposal</w:t>
      </w:r>
      <w:r w:rsidR="00722970" w:rsidRPr="00D16622">
        <w:rPr>
          <w:rFonts w:ascii="Times New Roman" w:hAnsi="Times New Roman" w:cs="Times New Roman"/>
          <w:noProof/>
          <w:sz w:val="24"/>
          <w:szCs w:val="24"/>
          <w:lang w:val="en-IE"/>
        </w:rPr>
        <w:t>s</w:t>
      </w:r>
      <w:r w:rsidRPr="00D16622">
        <w:rPr>
          <w:rFonts w:ascii="Times New Roman" w:hAnsi="Times New Roman" w:cs="Times New Roman"/>
          <w:noProof/>
          <w:sz w:val="24"/>
          <w:szCs w:val="24"/>
          <w:lang w:val="en-IE"/>
        </w:rPr>
        <w:t xml:space="preserve"> to re-open the </w:t>
      </w:r>
      <w:r w:rsidR="00423E2D" w:rsidRPr="00D16622">
        <w:rPr>
          <w:rFonts w:ascii="Times New Roman" w:hAnsi="Times New Roman" w:cs="Times New Roman"/>
          <w:noProof/>
          <w:sz w:val="24"/>
          <w:szCs w:val="24"/>
          <w:lang w:val="en-IE"/>
        </w:rPr>
        <w:t xml:space="preserve">governance and </w:t>
      </w:r>
      <w:r w:rsidRPr="00D16622">
        <w:rPr>
          <w:rFonts w:ascii="Times New Roman" w:hAnsi="Times New Roman" w:cs="Times New Roman"/>
          <w:noProof/>
          <w:sz w:val="24"/>
          <w:szCs w:val="24"/>
          <w:lang w:val="en-IE"/>
        </w:rPr>
        <w:t xml:space="preserve">financing of public service media has raised concerns in </w:t>
      </w:r>
      <w:hyperlink r:id="rId307" w:history="1">
        <w:r w:rsidRPr="00D16622">
          <w:rPr>
            <w:rStyle w:val="Hyperlink"/>
            <w:rFonts w:cs="Times New Roman"/>
            <w:bCs/>
            <w:noProof/>
            <w:szCs w:val="24"/>
            <w:lang w:val="en-IE"/>
          </w:rPr>
          <w:t>Czechia</w:t>
        </w:r>
      </w:hyperlink>
      <w:r w:rsidR="005B7A27" w:rsidRPr="00D16622">
        <w:rPr>
          <w:rFonts w:ascii="Times New Roman" w:hAnsi="Times New Roman" w:cs="Times New Roman"/>
          <w:noProof/>
          <w:sz w:val="24"/>
          <w:szCs w:val="24"/>
          <w:lang w:val="en-IE"/>
        </w:rPr>
        <w:t xml:space="preserve"> and </w:t>
      </w:r>
      <w:hyperlink r:id="rId308" w:history="1">
        <w:r w:rsidR="00A1103E" w:rsidRPr="00D16622">
          <w:rPr>
            <w:rStyle w:val="Hyperlink"/>
            <w:rFonts w:eastAsia="Times New Roman" w:cs="Times New Roman"/>
            <w:noProof/>
            <w:szCs w:val="24"/>
          </w:rPr>
          <w:t>Lithuania</w:t>
        </w:r>
      </w:hyperlink>
      <w:r w:rsidRPr="00D16622">
        <w:rPr>
          <w:rFonts w:ascii="Times New Roman" w:hAnsi="Times New Roman" w:cs="Times New Roman"/>
          <w:noProof/>
          <w:sz w:val="24"/>
          <w:szCs w:val="24"/>
          <w:lang w:val="en-IE"/>
        </w:rPr>
        <w:t xml:space="preserve">. </w:t>
      </w:r>
      <w:r w:rsidR="00100486" w:rsidRPr="00D16622">
        <w:rPr>
          <w:rFonts w:ascii="Times New Roman" w:hAnsi="Times New Roman" w:cs="Times New Roman"/>
          <w:noProof/>
          <w:sz w:val="24"/>
          <w:szCs w:val="24"/>
          <w:lang w:val="en-IE"/>
        </w:rPr>
        <w:t>Initial steps have been taken on the reform to enhance</w:t>
      </w:r>
      <w:r w:rsidRPr="00D16622">
        <w:rPr>
          <w:rFonts w:ascii="Times New Roman" w:hAnsi="Times New Roman" w:cs="Times New Roman"/>
          <w:noProof/>
          <w:sz w:val="24"/>
          <w:szCs w:val="24"/>
          <w:lang w:val="en-IE"/>
        </w:rPr>
        <w:t xml:space="preserve"> the independent governance and editorial independence of public service media in </w:t>
      </w:r>
      <w:hyperlink r:id="rId309" w:history="1">
        <w:r w:rsidR="006E659B" w:rsidRPr="00D16622">
          <w:rPr>
            <w:rStyle w:val="Hyperlink"/>
            <w:rFonts w:cs="Times New Roman"/>
            <w:noProof/>
            <w:szCs w:val="24"/>
          </w:rPr>
          <w:t>Romania</w:t>
        </w:r>
      </w:hyperlink>
      <w:r w:rsidRPr="00D16622">
        <w:rPr>
          <w:rFonts w:ascii="Times New Roman" w:hAnsi="Times New Roman" w:cs="Times New Roman"/>
          <w:noProof/>
          <w:sz w:val="24"/>
          <w:szCs w:val="24"/>
          <w:lang w:val="en-IE"/>
        </w:rPr>
        <w:t xml:space="preserve">. </w:t>
      </w:r>
    </w:p>
    <w:p w14:paraId="5C7EB5CE" w14:textId="63A38587" w:rsidR="00D90C7E" w:rsidRPr="00D16622" w:rsidRDefault="00527E60" w:rsidP="747801D4">
      <w:pPr>
        <w:spacing w:after="120" w:line="240" w:lineRule="auto"/>
        <w:jc w:val="both"/>
        <w:rPr>
          <w:rFonts w:ascii="Times New Roman" w:hAnsi="Times New Roman" w:cs="Times New Roman"/>
          <w:noProof/>
          <w:sz w:val="24"/>
          <w:szCs w:val="24"/>
          <w:lang w:val="en-IE"/>
        </w:rPr>
      </w:pPr>
      <w:r w:rsidRPr="00D16622">
        <w:rPr>
          <w:rFonts w:ascii="Times New Roman" w:hAnsi="Times New Roman" w:cs="Times New Roman"/>
          <w:noProof/>
          <w:sz w:val="24"/>
          <w:szCs w:val="24"/>
          <w:lang w:val="en-IE"/>
        </w:rPr>
        <w:t xml:space="preserve">Among enlargement countries, concerns </w:t>
      </w:r>
      <w:r w:rsidR="00867ADE" w:rsidRPr="00D16622">
        <w:rPr>
          <w:rFonts w:ascii="Times New Roman" w:hAnsi="Times New Roman" w:cs="Times New Roman"/>
          <w:noProof/>
          <w:sz w:val="24"/>
          <w:szCs w:val="24"/>
          <w:lang w:val="en-IE"/>
        </w:rPr>
        <w:t>regarding</w:t>
      </w:r>
      <w:r w:rsidRPr="00D16622">
        <w:rPr>
          <w:rFonts w:ascii="Times New Roman" w:hAnsi="Times New Roman" w:cs="Times New Roman"/>
          <w:noProof/>
          <w:sz w:val="24"/>
          <w:szCs w:val="24"/>
          <w:lang w:val="en-IE"/>
        </w:rPr>
        <w:t xml:space="preserve"> the independence </w:t>
      </w:r>
      <w:r w:rsidR="00867ADE" w:rsidRPr="00D16622">
        <w:rPr>
          <w:rFonts w:ascii="Times New Roman" w:hAnsi="Times New Roman" w:cs="Times New Roman"/>
          <w:noProof/>
          <w:sz w:val="24"/>
          <w:szCs w:val="24"/>
        </w:rPr>
        <w:t>or editorial autonomy</w:t>
      </w:r>
      <w:r w:rsidRPr="00D16622">
        <w:rPr>
          <w:rFonts w:ascii="Times New Roman" w:hAnsi="Times New Roman" w:cs="Times New Roman"/>
          <w:noProof/>
          <w:sz w:val="24"/>
          <w:szCs w:val="24"/>
          <w:lang w:val="en-IE"/>
        </w:rPr>
        <w:t xml:space="preserve"> of the public broadcaster have </w:t>
      </w:r>
      <w:r w:rsidR="00EF7ABC" w:rsidRPr="00D16622">
        <w:rPr>
          <w:rFonts w:ascii="Times New Roman" w:hAnsi="Times New Roman" w:cs="Times New Roman"/>
          <w:noProof/>
          <w:sz w:val="24"/>
          <w:szCs w:val="24"/>
          <w:lang w:val="en-IE"/>
        </w:rPr>
        <w:t xml:space="preserve">persisted in </w:t>
      </w:r>
      <w:hyperlink r:id="rId310" w:history="1">
        <w:r w:rsidR="00B14DAD" w:rsidRPr="00D16622">
          <w:rPr>
            <w:rStyle w:val="Hyperlink"/>
            <w:rFonts w:cs="Times New Roman"/>
            <w:noProof/>
            <w:szCs w:val="24"/>
          </w:rPr>
          <w:t>Serbia</w:t>
        </w:r>
      </w:hyperlink>
      <w:r w:rsidR="00B14DAD" w:rsidRPr="00D16622">
        <w:rPr>
          <w:rFonts w:ascii="Times New Roman" w:hAnsi="Times New Roman" w:cs="Times New Roman"/>
          <w:noProof/>
          <w:sz w:val="24"/>
          <w:szCs w:val="24"/>
        </w:rPr>
        <w:t xml:space="preserve"> </w:t>
      </w:r>
      <w:r w:rsidR="00EF7ABC" w:rsidRPr="00D16622">
        <w:rPr>
          <w:rFonts w:ascii="Times New Roman" w:hAnsi="Times New Roman" w:cs="Times New Roman"/>
          <w:noProof/>
          <w:sz w:val="24"/>
          <w:szCs w:val="24"/>
          <w:lang w:val="en-IE"/>
        </w:rPr>
        <w:t xml:space="preserve">and </w:t>
      </w:r>
      <w:r w:rsidRPr="00D16622">
        <w:rPr>
          <w:rFonts w:ascii="Times New Roman" w:hAnsi="Times New Roman" w:cs="Times New Roman"/>
          <w:noProof/>
          <w:sz w:val="24"/>
          <w:szCs w:val="24"/>
          <w:lang w:val="en-IE"/>
        </w:rPr>
        <w:t xml:space="preserve">in </w:t>
      </w:r>
      <w:hyperlink r:id="rId311" w:history="1">
        <w:r w:rsidR="00757A27" w:rsidRPr="00D16622">
          <w:rPr>
            <w:rStyle w:val="Hyperlink"/>
            <w:rFonts w:cs="Times New Roman"/>
            <w:noProof/>
            <w:szCs w:val="24"/>
          </w:rPr>
          <w:t>Albania</w:t>
        </w:r>
      </w:hyperlink>
      <w:r w:rsidRPr="00D16622">
        <w:rPr>
          <w:rFonts w:ascii="Times New Roman" w:hAnsi="Times New Roman" w:cs="Times New Roman"/>
          <w:noProof/>
          <w:sz w:val="24"/>
          <w:szCs w:val="24"/>
          <w:lang w:val="en-IE"/>
        </w:rPr>
        <w:t>.</w:t>
      </w:r>
    </w:p>
    <w:p w14:paraId="6433BCD9" w14:textId="1B6EAC68" w:rsidR="00E701AB" w:rsidRPr="00D16622" w:rsidRDefault="009729D1" w:rsidP="747801D4">
      <w:pPr>
        <w:spacing w:after="120" w:line="240" w:lineRule="auto"/>
        <w:jc w:val="both"/>
        <w:rPr>
          <w:rFonts w:ascii="Times New Roman" w:hAnsi="Times New Roman" w:cs="Times New Roman"/>
          <w:i/>
          <w:iCs/>
          <w:noProof/>
          <w:sz w:val="24"/>
          <w:szCs w:val="24"/>
          <w:lang w:val="en-IE"/>
        </w:rPr>
      </w:pPr>
      <w:r w:rsidRPr="00D16622">
        <w:rPr>
          <w:rFonts w:ascii="Times New Roman" w:hAnsi="Times New Roman" w:cs="Times New Roman"/>
          <w:i/>
          <w:iCs/>
          <w:noProof/>
          <w:sz w:val="24"/>
          <w:szCs w:val="24"/>
          <w:lang w:val="en-IE"/>
        </w:rPr>
        <w:t>Ensuring a</w:t>
      </w:r>
      <w:r w:rsidR="00DD15FF" w:rsidRPr="00D16622">
        <w:rPr>
          <w:rFonts w:ascii="Times New Roman" w:hAnsi="Times New Roman" w:cs="Times New Roman"/>
          <w:i/>
          <w:iCs/>
          <w:noProof/>
          <w:sz w:val="24"/>
          <w:szCs w:val="24"/>
          <w:lang w:val="en-IE"/>
        </w:rPr>
        <w:t>ccess to information</w:t>
      </w:r>
    </w:p>
    <w:p w14:paraId="78CFF06E" w14:textId="7ECABA6C" w:rsidR="00B15198" w:rsidRPr="00D16622" w:rsidRDefault="00D228BF" w:rsidP="747801D4">
      <w:pPr>
        <w:spacing w:after="120" w:line="240" w:lineRule="auto"/>
        <w:jc w:val="both"/>
        <w:rPr>
          <w:rFonts w:ascii="Times New Roman" w:hAnsi="Times New Roman" w:cs="Times New Roman"/>
          <w:noProof/>
          <w:sz w:val="24"/>
          <w:szCs w:val="24"/>
          <w:lang w:val="en-IE"/>
        </w:rPr>
      </w:pPr>
      <w:r w:rsidRPr="00D16622">
        <w:rPr>
          <w:rFonts w:ascii="Times New Roman" w:hAnsi="Times New Roman" w:cs="Times New Roman"/>
          <w:noProof/>
          <w:sz w:val="24"/>
          <w:szCs w:val="24"/>
          <w:lang w:val="en-IE"/>
        </w:rPr>
        <w:t xml:space="preserve">The right to access information from public authorities enables journalists to carry out their investigative work. It is also an important transparency and accountability tool for civil society and citizens. Legislative reforms </w:t>
      </w:r>
      <w:r w:rsidR="00A26466" w:rsidRPr="00D16622">
        <w:rPr>
          <w:rFonts w:ascii="Times New Roman" w:hAnsi="Times New Roman" w:cs="Times New Roman"/>
          <w:noProof/>
          <w:sz w:val="24"/>
          <w:szCs w:val="24"/>
          <w:lang w:val="en-IE"/>
        </w:rPr>
        <w:t>have been</w:t>
      </w:r>
      <w:r w:rsidRPr="00D16622">
        <w:rPr>
          <w:rFonts w:ascii="Times New Roman" w:hAnsi="Times New Roman" w:cs="Times New Roman"/>
          <w:noProof/>
          <w:sz w:val="24"/>
          <w:szCs w:val="24"/>
          <w:lang w:val="en-IE"/>
        </w:rPr>
        <w:t xml:space="preserve"> adopted in </w:t>
      </w:r>
      <w:hyperlink r:id="rId312" w:history="1">
        <w:r w:rsidR="00C44385" w:rsidRPr="00D16622">
          <w:rPr>
            <w:rStyle w:val="Hyperlink"/>
            <w:rFonts w:eastAsia="Times New Roman" w:cs="Times New Roman"/>
            <w:noProof/>
            <w:szCs w:val="24"/>
          </w:rPr>
          <w:t>Lithuania</w:t>
        </w:r>
      </w:hyperlink>
      <w:hyperlink r:id="rId313" w:history="1"/>
      <w:r w:rsidR="000E0B02" w:rsidRPr="00D16622">
        <w:rPr>
          <w:rFonts w:ascii="Times New Roman" w:hAnsi="Times New Roman" w:cs="Times New Roman"/>
          <w:noProof/>
          <w:sz w:val="24"/>
          <w:szCs w:val="24"/>
          <w:lang w:val="en-IE"/>
        </w:rPr>
        <w:t xml:space="preserve"> and entered into force in </w:t>
      </w:r>
      <w:hyperlink r:id="rId314" w:history="1">
        <w:r w:rsidR="00F86C9D" w:rsidRPr="00D16622">
          <w:rPr>
            <w:rStyle w:val="Hyperlink"/>
            <w:rFonts w:cs="Times New Roman"/>
            <w:noProof/>
            <w:szCs w:val="24"/>
            <w:lang w:eastAsia="en-IE"/>
          </w:rPr>
          <w:t>Austria</w:t>
        </w:r>
      </w:hyperlink>
      <w:r w:rsidR="001320FF" w:rsidRPr="00D16622">
        <w:rPr>
          <w:rFonts w:ascii="Times New Roman" w:hAnsi="Times New Roman" w:cs="Times New Roman"/>
          <w:noProof/>
        </w:rPr>
        <w:t xml:space="preserve"> </w:t>
      </w:r>
      <w:r w:rsidR="001320FF" w:rsidRPr="00D16622">
        <w:rPr>
          <w:rFonts w:ascii="Times New Roman" w:hAnsi="Times New Roman" w:cs="Times New Roman"/>
          <w:noProof/>
          <w:sz w:val="24"/>
          <w:szCs w:val="24"/>
        </w:rPr>
        <w:t xml:space="preserve">and </w:t>
      </w:r>
      <w:hyperlink r:id="rId315" w:history="1">
        <w:r w:rsidR="001320FF" w:rsidRPr="00D16622">
          <w:rPr>
            <w:rStyle w:val="Hyperlink"/>
            <w:rFonts w:cs="Times New Roman"/>
            <w:noProof/>
            <w:szCs w:val="24"/>
          </w:rPr>
          <w:t>Estonia</w:t>
        </w:r>
      </w:hyperlink>
      <w:r w:rsidR="000E0B02" w:rsidRPr="00D16622">
        <w:rPr>
          <w:rFonts w:ascii="Times New Roman" w:hAnsi="Times New Roman" w:cs="Times New Roman"/>
          <w:noProof/>
          <w:sz w:val="24"/>
          <w:szCs w:val="24"/>
          <w:lang w:val="en-IE"/>
        </w:rPr>
        <w:t>,</w:t>
      </w:r>
      <w:r w:rsidRPr="00D16622">
        <w:rPr>
          <w:rFonts w:ascii="Times New Roman" w:hAnsi="Times New Roman" w:cs="Times New Roman"/>
          <w:noProof/>
          <w:sz w:val="24"/>
          <w:szCs w:val="24"/>
          <w:lang w:val="en-IE"/>
        </w:rPr>
        <w:t xml:space="preserve"> while reforms establishing new</w:t>
      </w:r>
      <w:r w:rsidR="00F827D0">
        <w:rPr>
          <w:rFonts w:ascii="Times New Roman" w:hAnsi="Times New Roman" w:cs="Times New Roman"/>
          <w:noProof/>
          <w:sz w:val="24"/>
          <w:szCs w:val="24"/>
          <w:lang w:val="en-IE"/>
        </w:rPr>
        <w:t xml:space="preserve"> </w:t>
      </w:r>
      <w:r w:rsidR="009F6AE7">
        <w:rPr>
          <w:rFonts w:ascii="Times New Roman" w:hAnsi="Times New Roman" w:cs="Times New Roman"/>
          <w:noProof/>
          <w:sz w:val="24"/>
          <w:szCs w:val="24"/>
          <w:lang w:val="en-IE"/>
        </w:rPr>
        <w:t>requirement</w:t>
      </w:r>
      <w:r w:rsidR="00E56A19">
        <w:rPr>
          <w:rFonts w:ascii="Times New Roman" w:hAnsi="Times New Roman" w:cs="Times New Roman"/>
          <w:noProof/>
          <w:sz w:val="24"/>
          <w:szCs w:val="24"/>
          <w:lang w:val="en-IE"/>
        </w:rPr>
        <w:t xml:space="preserve">s </w:t>
      </w:r>
      <w:r w:rsidRPr="00D16622">
        <w:rPr>
          <w:rFonts w:ascii="Times New Roman" w:hAnsi="Times New Roman" w:cs="Times New Roman"/>
          <w:noProof/>
          <w:sz w:val="24"/>
          <w:szCs w:val="24"/>
          <w:lang w:val="en-IE"/>
        </w:rPr>
        <w:t>for access to document requests have raised stakeholder</w:t>
      </w:r>
      <w:r w:rsidR="00FF7969" w:rsidRPr="00D16622">
        <w:rPr>
          <w:rFonts w:ascii="Times New Roman" w:hAnsi="Times New Roman" w:cs="Times New Roman"/>
          <w:noProof/>
          <w:sz w:val="24"/>
          <w:szCs w:val="24"/>
          <w:lang w:val="en-IE"/>
        </w:rPr>
        <w:t>s</w:t>
      </w:r>
      <w:r w:rsidRPr="00D16622">
        <w:rPr>
          <w:rFonts w:ascii="Times New Roman" w:hAnsi="Times New Roman" w:cs="Times New Roman"/>
          <w:noProof/>
          <w:sz w:val="24"/>
          <w:szCs w:val="24"/>
          <w:lang w:val="en-IE"/>
        </w:rPr>
        <w:t xml:space="preserve"> concerns in </w:t>
      </w:r>
      <w:hyperlink r:id="rId316" w:history="1">
        <w:r w:rsidRPr="00D16622">
          <w:rPr>
            <w:rStyle w:val="Hyperlink"/>
            <w:rFonts w:cs="Times New Roman"/>
            <w:bCs/>
            <w:noProof/>
            <w:szCs w:val="24"/>
            <w:lang w:val="en-IE"/>
          </w:rPr>
          <w:t>Greece</w:t>
        </w:r>
      </w:hyperlink>
      <w:r w:rsidRPr="00D16622">
        <w:rPr>
          <w:rFonts w:ascii="Times New Roman" w:hAnsi="Times New Roman" w:cs="Times New Roman"/>
          <w:noProof/>
          <w:sz w:val="24"/>
          <w:szCs w:val="24"/>
          <w:lang w:val="en-IE"/>
        </w:rPr>
        <w:t xml:space="preserve">. The access to documents regime is under review in </w:t>
      </w:r>
      <w:hyperlink r:id="rId317" w:history="1">
        <w:r w:rsidR="00915198" w:rsidRPr="00D16622">
          <w:rPr>
            <w:rStyle w:val="Hyperlink"/>
            <w:rFonts w:cs="Times New Roman"/>
            <w:noProof/>
            <w:szCs w:val="24"/>
            <w:lang w:eastAsia="en-IE"/>
          </w:rPr>
          <w:t>Finland</w:t>
        </w:r>
      </w:hyperlink>
      <w:r w:rsidRPr="00D16622">
        <w:rPr>
          <w:rFonts w:ascii="Times New Roman" w:hAnsi="Times New Roman" w:cs="Times New Roman"/>
          <w:bCs/>
          <w:noProof/>
          <w:sz w:val="24"/>
          <w:szCs w:val="24"/>
          <w:lang w:val="en-IE"/>
        </w:rPr>
        <w:t>,</w:t>
      </w:r>
      <w:r w:rsidR="00C36612" w:rsidRPr="00D16622">
        <w:rPr>
          <w:rFonts w:ascii="Times New Roman" w:hAnsi="Times New Roman" w:cs="Times New Roman"/>
          <w:bCs/>
          <w:noProof/>
          <w:sz w:val="24"/>
          <w:szCs w:val="24"/>
          <w:lang w:val="en-IE"/>
        </w:rPr>
        <w:t xml:space="preserve"> </w:t>
      </w:r>
      <w:hyperlink r:id="rId318" w:history="1">
        <w:r w:rsidR="00C36612" w:rsidRPr="00D16622">
          <w:rPr>
            <w:rStyle w:val="Hyperlink"/>
            <w:rFonts w:cs="Times New Roman"/>
            <w:bCs/>
            <w:noProof/>
            <w:szCs w:val="24"/>
            <w:lang w:val="en-IE"/>
          </w:rPr>
          <w:t>Denmark</w:t>
        </w:r>
      </w:hyperlink>
      <w:r w:rsidR="00C36612" w:rsidRPr="00D16622">
        <w:rPr>
          <w:rFonts w:ascii="Times New Roman" w:hAnsi="Times New Roman" w:cs="Times New Roman"/>
          <w:bCs/>
          <w:noProof/>
          <w:sz w:val="24"/>
          <w:szCs w:val="24"/>
          <w:lang w:val="en-IE"/>
        </w:rPr>
        <w:t>,</w:t>
      </w:r>
      <w:r w:rsidRPr="00D16622">
        <w:rPr>
          <w:rFonts w:ascii="Times New Roman" w:hAnsi="Times New Roman" w:cs="Times New Roman"/>
          <w:bCs/>
          <w:noProof/>
          <w:sz w:val="24"/>
          <w:szCs w:val="24"/>
          <w:lang w:val="en-IE"/>
        </w:rPr>
        <w:t xml:space="preserve"> </w:t>
      </w:r>
      <w:hyperlink r:id="rId319" w:history="1">
        <w:r w:rsidR="00362750" w:rsidRPr="00D16622">
          <w:rPr>
            <w:rStyle w:val="Hyperlink"/>
            <w:rFonts w:cs="Times New Roman"/>
            <w:bCs/>
            <w:noProof/>
            <w:szCs w:val="24"/>
            <w:lang w:eastAsia="en-IE"/>
          </w:rPr>
          <w:t>Luxembourg</w:t>
        </w:r>
      </w:hyperlink>
      <w:r w:rsidR="00362750" w:rsidRPr="00D16622">
        <w:rPr>
          <w:rFonts w:ascii="Times New Roman" w:hAnsi="Times New Roman" w:cs="Times New Roman"/>
          <w:bCs/>
          <w:noProof/>
          <w:sz w:val="24"/>
          <w:szCs w:val="24"/>
          <w:lang w:eastAsia="en-IE"/>
        </w:rPr>
        <w:t xml:space="preserve"> </w:t>
      </w:r>
      <w:r w:rsidRPr="00D16622">
        <w:rPr>
          <w:rFonts w:ascii="Times New Roman" w:hAnsi="Times New Roman" w:cs="Times New Roman"/>
          <w:bCs/>
          <w:noProof/>
          <w:sz w:val="24"/>
          <w:szCs w:val="24"/>
          <w:lang w:val="en-IE"/>
        </w:rPr>
        <w:t xml:space="preserve">and the </w:t>
      </w:r>
      <w:hyperlink r:id="rId320" w:history="1">
        <w:r w:rsidR="002C61F5" w:rsidRPr="00D16622">
          <w:rPr>
            <w:rStyle w:val="Hyperlink"/>
            <w:rFonts w:eastAsia="Times New Roman" w:cs="Times New Roman"/>
            <w:bCs/>
            <w:noProof/>
            <w:szCs w:val="24"/>
          </w:rPr>
          <w:t>Netherlands</w:t>
        </w:r>
      </w:hyperlink>
      <w:r w:rsidRPr="00D16622">
        <w:rPr>
          <w:rFonts w:ascii="Times New Roman" w:hAnsi="Times New Roman" w:cs="Times New Roman"/>
          <w:bCs/>
          <w:noProof/>
          <w:sz w:val="24"/>
          <w:szCs w:val="24"/>
          <w:lang w:val="en-IE"/>
        </w:rPr>
        <w:t>.</w:t>
      </w:r>
      <w:r w:rsidR="00E123EF" w:rsidRPr="00D16622">
        <w:rPr>
          <w:rFonts w:ascii="Times New Roman" w:hAnsi="Times New Roman" w:cs="Times New Roman"/>
          <w:noProof/>
          <w:sz w:val="24"/>
          <w:szCs w:val="24"/>
          <w:lang w:val="en-IE"/>
        </w:rPr>
        <w:t xml:space="preserve"> </w:t>
      </w:r>
    </w:p>
    <w:p w14:paraId="6C1F2ED9" w14:textId="40EC7173" w:rsidR="000D02F0" w:rsidRPr="00D16622" w:rsidRDefault="7E30CC83" w:rsidP="747801D4">
      <w:pPr>
        <w:spacing w:after="120" w:line="240" w:lineRule="auto"/>
        <w:jc w:val="both"/>
        <w:rPr>
          <w:rFonts w:ascii="Times New Roman" w:hAnsi="Times New Roman" w:cs="Times New Roman"/>
          <w:noProof/>
          <w:sz w:val="24"/>
          <w:szCs w:val="24"/>
          <w:lang w:val="en-IE"/>
        </w:rPr>
      </w:pPr>
      <w:r w:rsidRPr="00D16622">
        <w:rPr>
          <w:rFonts w:ascii="Times New Roman" w:hAnsi="Times New Roman" w:cs="Times New Roman"/>
          <w:noProof/>
          <w:sz w:val="24"/>
          <w:szCs w:val="24"/>
          <w:lang w:val="en-IE"/>
        </w:rPr>
        <w:t>I</w:t>
      </w:r>
      <w:r w:rsidR="00D25034" w:rsidRPr="00D16622">
        <w:rPr>
          <w:rFonts w:ascii="Times New Roman" w:hAnsi="Times New Roman" w:cs="Times New Roman"/>
          <w:noProof/>
          <w:sz w:val="24"/>
          <w:szCs w:val="24"/>
          <w:lang w:val="en-IE"/>
        </w:rPr>
        <w:t xml:space="preserve">n </w:t>
      </w:r>
      <w:hyperlink r:id="rId321" w:history="1">
        <w:r w:rsidR="00931338" w:rsidRPr="00D16622">
          <w:rPr>
            <w:rStyle w:val="Hyperlink"/>
            <w:rFonts w:cs="Times New Roman"/>
            <w:noProof/>
            <w:szCs w:val="24"/>
          </w:rPr>
          <w:t>Montenegro</w:t>
        </w:r>
      </w:hyperlink>
      <w:r w:rsidR="00D25034" w:rsidRPr="00D16622">
        <w:rPr>
          <w:rFonts w:ascii="Times New Roman" w:hAnsi="Times New Roman" w:cs="Times New Roman"/>
          <w:noProof/>
          <w:sz w:val="24"/>
          <w:szCs w:val="24"/>
          <w:lang w:val="en-IE"/>
        </w:rPr>
        <w:t>,</w:t>
      </w:r>
      <w:r w:rsidR="00D25034" w:rsidRPr="00D16622">
        <w:rPr>
          <w:rFonts w:ascii="Times New Roman" w:hAnsi="Times New Roman" w:cs="Times New Roman"/>
          <w:noProof/>
        </w:rPr>
        <w:t xml:space="preserve"> </w:t>
      </w:r>
      <w:r w:rsidR="00C40B7E" w:rsidRPr="00D16622">
        <w:rPr>
          <w:rFonts w:ascii="Times New Roman" w:hAnsi="Times New Roman" w:cs="Times New Roman"/>
          <w:noProof/>
          <w:sz w:val="24"/>
          <w:szCs w:val="24"/>
          <w:lang w:val="en-IE"/>
        </w:rPr>
        <w:t>new</w:t>
      </w:r>
      <w:r w:rsidR="00C40B7E" w:rsidRPr="00D16622">
        <w:rPr>
          <w:rFonts w:ascii="Times New Roman" w:hAnsi="Times New Roman" w:cs="Times New Roman"/>
          <w:noProof/>
        </w:rPr>
        <w:t xml:space="preserve"> </w:t>
      </w:r>
      <w:r w:rsidR="00C40B7E" w:rsidRPr="00D16622">
        <w:rPr>
          <w:rFonts w:ascii="Times New Roman" w:hAnsi="Times New Roman" w:cs="Times New Roman"/>
          <w:noProof/>
          <w:sz w:val="24"/>
          <w:szCs w:val="24"/>
          <w:lang w:val="en-IE"/>
        </w:rPr>
        <w:t>amendments to the Law on Free Access to Information were adopted in December 2025, however challenges persist in its enforcement</w:t>
      </w:r>
      <w:r w:rsidR="00D25034" w:rsidRPr="00D16622">
        <w:rPr>
          <w:rFonts w:ascii="Times New Roman" w:hAnsi="Times New Roman" w:cs="Times New Roman"/>
          <w:noProof/>
          <w:sz w:val="24"/>
          <w:szCs w:val="24"/>
          <w:lang w:val="en-IE"/>
        </w:rPr>
        <w:t>.</w:t>
      </w:r>
    </w:p>
    <w:p w14:paraId="38E414BF" w14:textId="413EBE9B" w:rsidR="00B15198" w:rsidRPr="00D16622" w:rsidRDefault="00B15198" w:rsidP="747801D4">
      <w:pPr>
        <w:spacing w:after="120" w:line="240" w:lineRule="auto"/>
        <w:jc w:val="both"/>
        <w:rPr>
          <w:rFonts w:ascii="Times New Roman" w:hAnsi="Times New Roman" w:cs="Times New Roman"/>
          <w:i/>
          <w:iCs/>
          <w:noProof/>
          <w:sz w:val="24"/>
          <w:szCs w:val="24"/>
          <w:lang w:val="en-IE"/>
        </w:rPr>
      </w:pPr>
      <w:r w:rsidRPr="00D16622">
        <w:rPr>
          <w:rFonts w:ascii="Times New Roman" w:hAnsi="Times New Roman" w:cs="Times New Roman"/>
          <w:i/>
          <w:iCs/>
          <w:noProof/>
          <w:sz w:val="24"/>
          <w:szCs w:val="24"/>
          <w:lang w:val="en-IE"/>
        </w:rPr>
        <w:t>Improving the safety and protection of journalists and addressing legal threats and abusive court proceedings against public participation</w:t>
      </w:r>
    </w:p>
    <w:p w14:paraId="3F9F979F" w14:textId="5C182CF7" w:rsidR="00F5154B" w:rsidRPr="00D16622" w:rsidRDefault="002724CC" w:rsidP="000B695D">
      <w:pPr>
        <w:spacing w:after="120" w:line="240" w:lineRule="auto"/>
        <w:jc w:val="both"/>
        <w:rPr>
          <w:rFonts w:ascii="Times New Roman" w:hAnsi="Times New Roman" w:cs="Times New Roman"/>
          <w:iCs/>
          <w:noProof/>
          <w:sz w:val="24"/>
          <w:szCs w:val="24"/>
          <w:lang w:val="en-IE"/>
        </w:rPr>
      </w:pPr>
      <w:r w:rsidRPr="00D16622">
        <w:rPr>
          <w:rFonts w:ascii="Times New Roman" w:hAnsi="Times New Roman" w:cs="Times New Roman"/>
          <w:iCs/>
          <w:noProof/>
          <w:sz w:val="24"/>
          <w:szCs w:val="24"/>
        </w:rPr>
        <w:t>Intimidation and pressure undermine the environment in which journalists work</w:t>
      </w:r>
      <w:r w:rsidR="00D83BF5" w:rsidRPr="00D16622">
        <w:rPr>
          <w:rFonts w:ascii="Times New Roman" w:hAnsi="Times New Roman" w:cs="Times New Roman"/>
          <w:iCs/>
          <w:noProof/>
          <w:sz w:val="24"/>
          <w:szCs w:val="24"/>
        </w:rPr>
        <w:t>, and e</w:t>
      </w:r>
      <w:r w:rsidRPr="00D16622">
        <w:rPr>
          <w:rFonts w:ascii="Times New Roman" w:hAnsi="Times New Roman" w:cs="Times New Roman"/>
          <w:iCs/>
          <w:noProof/>
          <w:sz w:val="24"/>
          <w:szCs w:val="24"/>
        </w:rPr>
        <w:t>nsuring their protection and safety is essential to safeguarding media freedom and a free and pluralistic media environment</w:t>
      </w:r>
      <w:r w:rsidR="000B695D" w:rsidRPr="00D16622">
        <w:rPr>
          <w:rFonts w:ascii="Times New Roman" w:hAnsi="Times New Roman" w:cs="Times New Roman"/>
          <w:iCs/>
          <w:noProof/>
          <w:sz w:val="24"/>
          <w:szCs w:val="24"/>
        </w:rPr>
        <w:t>.</w:t>
      </w:r>
      <w:r w:rsidR="000B695D" w:rsidRPr="00D16622">
        <w:rPr>
          <w:rFonts w:ascii="Times New Roman" w:hAnsi="Times New Roman" w:cs="Times New Roman"/>
          <w:iCs/>
          <w:noProof/>
          <w:sz w:val="24"/>
          <w:szCs w:val="24"/>
          <w:lang w:val="en-IE"/>
        </w:rPr>
        <w:t xml:space="preserve"> </w:t>
      </w:r>
      <w:r w:rsidR="006152C9" w:rsidRPr="00D16622">
        <w:rPr>
          <w:rFonts w:ascii="Times New Roman" w:hAnsi="Times New Roman" w:cs="Times New Roman"/>
          <w:iCs/>
          <w:noProof/>
          <w:sz w:val="24"/>
          <w:szCs w:val="24"/>
          <w:lang w:val="en-IE"/>
        </w:rPr>
        <w:t>With a view to improve the safety of journalists, s</w:t>
      </w:r>
      <w:r w:rsidR="00F5154B" w:rsidRPr="00D16622">
        <w:rPr>
          <w:rFonts w:ascii="Times New Roman" w:hAnsi="Times New Roman" w:cs="Times New Roman"/>
          <w:iCs/>
          <w:noProof/>
          <w:sz w:val="24"/>
          <w:szCs w:val="24"/>
          <w:lang w:val="en-IE"/>
        </w:rPr>
        <w:t>everal Member States and enlargement countries have adopted dedicated Action Plans and have taken steps to set up dedicated support structures</w:t>
      </w:r>
      <w:r w:rsidR="003B1B91" w:rsidRPr="00D16622">
        <w:rPr>
          <w:rStyle w:val="FootnoteReference"/>
          <w:rFonts w:cs="Times New Roman"/>
          <w:iCs/>
          <w:noProof/>
        </w:rPr>
        <w:footnoteReference w:id="73"/>
      </w:r>
      <w:r w:rsidR="00F5154B" w:rsidRPr="00D16622">
        <w:rPr>
          <w:rFonts w:ascii="Times New Roman" w:hAnsi="Times New Roman" w:cs="Times New Roman"/>
          <w:iCs/>
          <w:noProof/>
          <w:sz w:val="24"/>
          <w:szCs w:val="24"/>
          <w:lang w:val="en-IE"/>
        </w:rPr>
        <w:t xml:space="preserve">. </w:t>
      </w:r>
      <w:r w:rsidR="0055664C" w:rsidRPr="00D16622">
        <w:rPr>
          <w:rFonts w:ascii="Times New Roman" w:hAnsi="Times New Roman" w:cs="Times New Roman"/>
          <w:iCs/>
          <w:noProof/>
          <w:sz w:val="24"/>
          <w:szCs w:val="24"/>
          <w:lang w:val="en-IE"/>
        </w:rPr>
        <w:t>For example</w:t>
      </w:r>
      <w:r w:rsidR="00F5154B" w:rsidRPr="00D16622">
        <w:rPr>
          <w:rFonts w:ascii="Times New Roman" w:hAnsi="Times New Roman" w:cs="Times New Roman"/>
          <w:iCs/>
          <w:noProof/>
          <w:sz w:val="24"/>
          <w:szCs w:val="24"/>
          <w:lang w:val="en-IE"/>
        </w:rPr>
        <w:t xml:space="preserve">, </w:t>
      </w:r>
      <w:hyperlink r:id="rId322" w:history="1">
        <w:r w:rsidR="00F5154B" w:rsidRPr="00D16622">
          <w:rPr>
            <w:rStyle w:val="Hyperlink"/>
            <w:rFonts w:cs="Times New Roman"/>
            <w:bCs/>
            <w:noProof/>
            <w:szCs w:val="24"/>
            <w:lang w:val="en-IE"/>
          </w:rPr>
          <w:t>Denmark</w:t>
        </w:r>
      </w:hyperlink>
      <w:r w:rsidR="00F5154B" w:rsidRPr="00D16622">
        <w:rPr>
          <w:rFonts w:ascii="Times New Roman" w:hAnsi="Times New Roman" w:cs="Times New Roman"/>
          <w:noProof/>
          <w:sz w:val="24"/>
          <w:szCs w:val="24"/>
          <w:lang w:val="en-IE"/>
        </w:rPr>
        <w:t xml:space="preserve">, </w:t>
      </w:r>
      <w:hyperlink r:id="rId323" w:history="1">
        <w:r w:rsidR="006A4A3C" w:rsidRPr="00D16622">
          <w:rPr>
            <w:rStyle w:val="Hyperlink"/>
            <w:rFonts w:cs="Times New Roman"/>
            <w:noProof/>
            <w:szCs w:val="24"/>
            <w:lang w:eastAsia="en-IE"/>
          </w:rPr>
          <w:t>Croatia</w:t>
        </w:r>
      </w:hyperlink>
      <w:r w:rsidR="00F5154B" w:rsidRPr="00D16622">
        <w:rPr>
          <w:rFonts w:ascii="Times New Roman" w:hAnsi="Times New Roman" w:cs="Times New Roman"/>
          <w:noProof/>
          <w:sz w:val="24"/>
          <w:szCs w:val="24"/>
          <w:lang w:val="en-IE"/>
        </w:rPr>
        <w:t xml:space="preserve">, </w:t>
      </w:r>
      <w:r w:rsidR="00FE7C41" w:rsidRPr="00D16622">
        <w:rPr>
          <w:rFonts w:ascii="Times New Roman" w:hAnsi="Times New Roman" w:cs="Times New Roman"/>
          <w:noProof/>
          <w:sz w:val="24"/>
          <w:szCs w:val="24"/>
          <w:lang w:val="en-IE"/>
        </w:rPr>
        <w:t xml:space="preserve">and </w:t>
      </w:r>
      <w:hyperlink r:id="rId324" w:history="1">
        <w:r w:rsidR="00625426" w:rsidRPr="00D16622">
          <w:rPr>
            <w:rStyle w:val="Hyperlink"/>
            <w:rFonts w:eastAsia="Times New Roman" w:cs="Times New Roman"/>
            <w:noProof/>
            <w:szCs w:val="24"/>
            <w:lang w:val="en-IE"/>
          </w:rPr>
          <w:t>Latvia</w:t>
        </w:r>
      </w:hyperlink>
      <w:r w:rsidR="00625426" w:rsidRPr="00D16622">
        <w:rPr>
          <w:rFonts w:ascii="Times New Roman" w:eastAsia="Times New Roman" w:hAnsi="Times New Roman" w:cs="Times New Roman"/>
          <w:noProof/>
          <w:sz w:val="24"/>
          <w:szCs w:val="24"/>
          <w:lang w:val="en-IE"/>
        </w:rPr>
        <w:t xml:space="preserve"> </w:t>
      </w:r>
      <w:r w:rsidR="00F5154B" w:rsidRPr="00D16622">
        <w:rPr>
          <w:rFonts w:ascii="Times New Roman" w:hAnsi="Times New Roman" w:cs="Times New Roman"/>
          <w:iCs/>
          <w:noProof/>
          <w:sz w:val="24"/>
          <w:szCs w:val="24"/>
          <w:lang w:val="en-IE"/>
        </w:rPr>
        <w:t>have adopted Action Plans</w:t>
      </w:r>
      <w:r w:rsidR="003B1B91" w:rsidRPr="00D16622">
        <w:rPr>
          <w:rFonts w:ascii="Times New Roman" w:hAnsi="Times New Roman" w:cs="Times New Roman"/>
          <w:iCs/>
          <w:noProof/>
          <w:sz w:val="24"/>
          <w:szCs w:val="24"/>
          <w:lang w:val="en-IE"/>
        </w:rPr>
        <w:t>,</w:t>
      </w:r>
      <w:r w:rsidR="00F5154B" w:rsidRPr="00D16622">
        <w:rPr>
          <w:rFonts w:ascii="Times New Roman" w:hAnsi="Times New Roman" w:cs="Times New Roman"/>
          <w:iCs/>
          <w:noProof/>
          <w:sz w:val="24"/>
          <w:szCs w:val="24"/>
          <w:lang w:val="en-IE"/>
        </w:rPr>
        <w:t xml:space="preserve"> while </w:t>
      </w:r>
      <w:hyperlink r:id="rId325" w:history="1">
        <w:r w:rsidR="00362750" w:rsidRPr="00D16622">
          <w:rPr>
            <w:rStyle w:val="Hyperlink"/>
            <w:rFonts w:cs="Times New Roman"/>
            <w:noProof/>
            <w:szCs w:val="24"/>
            <w:lang w:eastAsia="en-IE"/>
          </w:rPr>
          <w:t>Luxembourg</w:t>
        </w:r>
      </w:hyperlink>
      <w:r w:rsidR="00362750" w:rsidRPr="00D16622">
        <w:rPr>
          <w:rFonts w:ascii="Times New Roman" w:hAnsi="Times New Roman" w:cs="Times New Roman"/>
          <w:noProof/>
          <w:sz w:val="24"/>
          <w:szCs w:val="24"/>
          <w:lang w:eastAsia="en-IE"/>
        </w:rPr>
        <w:t xml:space="preserve"> </w:t>
      </w:r>
      <w:r w:rsidR="00F5154B" w:rsidRPr="00D16622">
        <w:rPr>
          <w:rFonts w:ascii="Times New Roman" w:hAnsi="Times New Roman" w:cs="Times New Roman"/>
          <w:iCs/>
          <w:noProof/>
          <w:sz w:val="24"/>
          <w:szCs w:val="24"/>
          <w:lang w:val="en-IE"/>
        </w:rPr>
        <w:t xml:space="preserve">and </w:t>
      </w:r>
      <w:hyperlink r:id="rId326" w:history="1">
        <w:r w:rsidR="009F1189" w:rsidRPr="00D16622">
          <w:rPr>
            <w:rStyle w:val="Hyperlink"/>
            <w:rFonts w:cs="Times New Roman"/>
            <w:noProof/>
            <w:szCs w:val="24"/>
          </w:rPr>
          <w:t>Portugal</w:t>
        </w:r>
      </w:hyperlink>
      <w:r w:rsidR="009F1189" w:rsidRPr="00D16622">
        <w:rPr>
          <w:rFonts w:ascii="Times New Roman" w:hAnsi="Times New Roman" w:cs="Times New Roman"/>
          <w:noProof/>
          <w:sz w:val="24"/>
          <w:szCs w:val="24"/>
        </w:rPr>
        <w:t xml:space="preserve"> </w:t>
      </w:r>
      <w:r w:rsidR="00F5154B" w:rsidRPr="00D16622">
        <w:rPr>
          <w:rFonts w:ascii="Times New Roman" w:hAnsi="Times New Roman" w:cs="Times New Roman"/>
          <w:iCs/>
          <w:noProof/>
          <w:sz w:val="24"/>
          <w:szCs w:val="24"/>
          <w:lang w:val="en-IE"/>
        </w:rPr>
        <w:t xml:space="preserve">have taken measures under previously adopted action plans. </w:t>
      </w:r>
    </w:p>
    <w:p w14:paraId="2DB6D60E" w14:textId="4401FA0A" w:rsidR="00475A57" w:rsidRPr="00D16622" w:rsidRDefault="00CA0078" w:rsidP="00F5154B">
      <w:pPr>
        <w:spacing w:after="120" w:line="240" w:lineRule="auto"/>
        <w:jc w:val="both"/>
        <w:rPr>
          <w:rFonts w:ascii="Times New Roman" w:hAnsi="Times New Roman" w:cs="Times New Roman"/>
          <w:iCs/>
          <w:noProof/>
          <w:sz w:val="24"/>
          <w:szCs w:val="24"/>
          <w:lang w:val="en-IE"/>
        </w:rPr>
      </w:pPr>
      <w:hyperlink r:id="rId327" w:history="1">
        <w:r w:rsidR="00475A57" w:rsidRPr="00D16622">
          <w:rPr>
            <w:rStyle w:val="Hyperlink"/>
            <w:rFonts w:cs="Times New Roman"/>
            <w:bCs/>
            <w:noProof/>
            <w:szCs w:val="24"/>
            <w:lang w:val="en-IE"/>
          </w:rPr>
          <w:t>Germany</w:t>
        </w:r>
      </w:hyperlink>
      <w:r w:rsidR="00C37FD7" w:rsidRPr="00D16622">
        <w:rPr>
          <w:rFonts w:ascii="Times New Roman" w:hAnsi="Times New Roman" w:cs="Times New Roman"/>
          <w:b/>
          <w:noProof/>
          <w:sz w:val="24"/>
          <w:szCs w:val="24"/>
          <w:lang w:val="en-IE"/>
        </w:rPr>
        <w:t xml:space="preserve"> </w:t>
      </w:r>
      <w:r w:rsidR="00C37FD7" w:rsidRPr="00D16622">
        <w:rPr>
          <w:rFonts w:ascii="Times New Roman" w:hAnsi="Times New Roman" w:cs="Times New Roman"/>
          <w:bCs/>
          <w:noProof/>
          <w:sz w:val="24"/>
          <w:szCs w:val="24"/>
          <w:lang w:val="en-IE"/>
        </w:rPr>
        <w:t>and</w:t>
      </w:r>
      <w:r w:rsidR="00C37FD7" w:rsidRPr="00D16622">
        <w:rPr>
          <w:rFonts w:ascii="Times New Roman" w:hAnsi="Times New Roman" w:cs="Times New Roman"/>
          <w:b/>
          <w:noProof/>
          <w:sz w:val="24"/>
          <w:szCs w:val="24"/>
          <w:lang w:val="en-IE"/>
        </w:rPr>
        <w:t xml:space="preserve"> </w:t>
      </w:r>
      <w:hyperlink r:id="rId328" w:history="1">
        <w:r w:rsidR="00475A57" w:rsidRPr="00D16622">
          <w:rPr>
            <w:rStyle w:val="Hyperlink"/>
            <w:rFonts w:cs="Times New Roman"/>
            <w:bCs/>
            <w:noProof/>
            <w:szCs w:val="24"/>
            <w:lang w:val="en-IE"/>
          </w:rPr>
          <w:t>Greece</w:t>
        </w:r>
      </w:hyperlink>
      <w:r w:rsidR="00475A57" w:rsidRPr="00D16622">
        <w:rPr>
          <w:rFonts w:ascii="Times New Roman" w:hAnsi="Times New Roman" w:cs="Times New Roman"/>
          <w:b/>
          <w:noProof/>
          <w:sz w:val="24"/>
          <w:szCs w:val="24"/>
          <w:lang w:val="en-IE"/>
        </w:rPr>
        <w:t xml:space="preserve"> </w:t>
      </w:r>
      <w:r w:rsidR="00475A57" w:rsidRPr="00D16622">
        <w:rPr>
          <w:rFonts w:ascii="Times New Roman" w:hAnsi="Times New Roman" w:cs="Times New Roman"/>
          <w:iCs/>
          <w:noProof/>
          <w:sz w:val="24"/>
          <w:szCs w:val="24"/>
          <w:lang w:val="en-IE"/>
        </w:rPr>
        <w:t xml:space="preserve">have </w:t>
      </w:r>
      <w:r w:rsidR="00370A29" w:rsidRPr="00D16622">
        <w:rPr>
          <w:rFonts w:ascii="Times New Roman" w:hAnsi="Times New Roman" w:cs="Times New Roman"/>
          <w:iCs/>
          <w:noProof/>
          <w:sz w:val="24"/>
          <w:szCs w:val="24"/>
          <w:lang w:val="en-IE"/>
        </w:rPr>
        <w:t xml:space="preserve">increased </w:t>
      </w:r>
      <w:r w:rsidR="00475A57" w:rsidRPr="00D16622">
        <w:rPr>
          <w:rFonts w:ascii="Times New Roman" w:hAnsi="Times New Roman" w:cs="Times New Roman"/>
          <w:iCs/>
          <w:noProof/>
          <w:sz w:val="24"/>
          <w:szCs w:val="24"/>
          <w:lang w:val="en-IE"/>
        </w:rPr>
        <w:t xml:space="preserve">the capacity of or have set up training programmes for law enforcement. </w:t>
      </w:r>
      <w:hyperlink r:id="rId329" w:history="1">
        <w:r w:rsidR="00475A57" w:rsidRPr="00D16622">
          <w:rPr>
            <w:rStyle w:val="Hyperlink"/>
            <w:rFonts w:cs="Times New Roman"/>
            <w:bCs/>
            <w:noProof/>
            <w:szCs w:val="24"/>
            <w:lang w:val="en-IE"/>
          </w:rPr>
          <w:t>Bulgaria</w:t>
        </w:r>
      </w:hyperlink>
      <w:r w:rsidR="00475A57" w:rsidRPr="00D16622">
        <w:rPr>
          <w:rFonts w:ascii="Times New Roman" w:hAnsi="Times New Roman" w:cs="Times New Roman"/>
          <w:iCs/>
          <w:noProof/>
          <w:sz w:val="24"/>
          <w:szCs w:val="24"/>
          <w:lang w:val="en-IE"/>
        </w:rPr>
        <w:t xml:space="preserve"> has adopted guidelines for the handling of online harassment cases targeting journalists. Draft amendments have been tabled in </w:t>
      </w:r>
      <w:hyperlink r:id="rId330" w:history="1">
        <w:r w:rsidR="00F377A5" w:rsidRPr="00D16622">
          <w:rPr>
            <w:rStyle w:val="Hyperlink"/>
            <w:rFonts w:eastAsia="Times New Roman" w:cs="Times New Roman"/>
            <w:noProof/>
            <w:szCs w:val="24"/>
            <w:lang w:val="en-IE"/>
          </w:rPr>
          <w:t>Italy</w:t>
        </w:r>
      </w:hyperlink>
      <w:r w:rsidR="00F377A5" w:rsidRPr="00D16622">
        <w:rPr>
          <w:rFonts w:ascii="Times New Roman" w:eastAsia="Times New Roman" w:hAnsi="Times New Roman" w:cs="Times New Roman"/>
          <w:noProof/>
          <w:sz w:val="24"/>
          <w:szCs w:val="24"/>
          <w:lang w:val="en-IE"/>
        </w:rPr>
        <w:t xml:space="preserve"> </w:t>
      </w:r>
      <w:r w:rsidR="00475A57" w:rsidRPr="00D16622">
        <w:rPr>
          <w:rFonts w:ascii="Times New Roman" w:hAnsi="Times New Roman" w:cs="Times New Roman"/>
          <w:iCs/>
          <w:noProof/>
          <w:sz w:val="24"/>
          <w:szCs w:val="24"/>
          <w:lang w:val="en-IE"/>
        </w:rPr>
        <w:t>to introduce specific aggravating circumstances for crimes against professional journalists</w:t>
      </w:r>
      <w:r w:rsidR="00C93B5E" w:rsidRPr="00D16622">
        <w:rPr>
          <w:rFonts w:ascii="Times New Roman" w:hAnsi="Times New Roman" w:cs="Times New Roman"/>
          <w:iCs/>
          <w:noProof/>
          <w:sz w:val="24"/>
          <w:szCs w:val="24"/>
          <w:lang w:val="en-IE"/>
        </w:rPr>
        <w:t>.</w:t>
      </w:r>
      <w:r w:rsidR="00475A57" w:rsidRPr="00D16622">
        <w:rPr>
          <w:rFonts w:ascii="Times New Roman" w:hAnsi="Times New Roman" w:cs="Times New Roman"/>
          <w:iCs/>
          <w:noProof/>
          <w:sz w:val="24"/>
          <w:szCs w:val="24"/>
          <w:lang w:val="en-IE"/>
        </w:rPr>
        <w:t xml:space="preserve"> </w:t>
      </w:r>
      <w:r w:rsidR="007D0641" w:rsidRPr="00D16622">
        <w:rPr>
          <w:rFonts w:ascii="Times New Roman" w:hAnsi="Times New Roman" w:cs="Times New Roman"/>
          <w:iCs/>
          <w:noProof/>
          <w:sz w:val="24"/>
          <w:szCs w:val="24"/>
          <w:lang w:val="en-IE"/>
        </w:rPr>
        <w:t>R</w:t>
      </w:r>
      <w:r w:rsidR="00475A57" w:rsidRPr="00D16622">
        <w:rPr>
          <w:rFonts w:ascii="Times New Roman" w:hAnsi="Times New Roman" w:cs="Times New Roman"/>
          <w:iCs/>
          <w:noProof/>
          <w:sz w:val="24"/>
          <w:szCs w:val="24"/>
          <w:lang w:val="en-IE"/>
        </w:rPr>
        <w:t>eforms</w:t>
      </w:r>
      <w:r w:rsidR="007D0641" w:rsidRPr="00D16622">
        <w:rPr>
          <w:rFonts w:ascii="Times New Roman" w:hAnsi="Times New Roman" w:cs="Times New Roman"/>
          <w:iCs/>
          <w:noProof/>
          <w:sz w:val="24"/>
          <w:szCs w:val="24"/>
          <w:lang w:val="en-IE"/>
        </w:rPr>
        <w:t xml:space="preserve"> to </w:t>
      </w:r>
      <w:r w:rsidR="00172395" w:rsidRPr="00D16622">
        <w:rPr>
          <w:rFonts w:ascii="Times New Roman" w:hAnsi="Times New Roman" w:cs="Times New Roman"/>
          <w:iCs/>
          <w:noProof/>
          <w:sz w:val="24"/>
          <w:szCs w:val="24"/>
          <w:lang w:val="en-IE"/>
        </w:rPr>
        <w:t>improve</w:t>
      </w:r>
      <w:r w:rsidR="007D0641" w:rsidRPr="00D16622">
        <w:rPr>
          <w:rFonts w:ascii="Times New Roman" w:hAnsi="Times New Roman" w:cs="Times New Roman"/>
          <w:iCs/>
          <w:noProof/>
          <w:sz w:val="24"/>
          <w:szCs w:val="24"/>
          <w:lang w:val="en-IE"/>
        </w:rPr>
        <w:t xml:space="preserve"> the protection of journalists remain pending in</w:t>
      </w:r>
      <w:r w:rsidR="00475A57" w:rsidRPr="00D16622">
        <w:rPr>
          <w:rFonts w:ascii="Times New Roman" w:hAnsi="Times New Roman" w:cs="Times New Roman"/>
          <w:iCs/>
          <w:noProof/>
          <w:sz w:val="24"/>
          <w:szCs w:val="24"/>
          <w:lang w:val="en-IE"/>
        </w:rPr>
        <w:t xml:space="preserve"> </w:t>
      </w:r>
      <w:hyperlink r:id="rId331" w:history="1">
        <w:r w:rsidR="00775307" w:rsidRPr="00D16622">
          <w:rPr>
            <w:rStyle w:val="Hyperlink"/>
            <w:rFonts w:cs="Times New Roman"/>
            <w:noProof/>
            <w:szCs w:val="24"/>
          </w:rPr>
          <w:t>Malta</w:t>
        </w:r>
      </w:hyperlink>
      <w:r w:rsidR="00775307" w:rsidRPr="00D16622">
        <w:rPr>
          <w:rFonts w:ascii="Times New Roman" w:hAnsi="Times New Roman" w:cs="Times New Roman"/>
          <w:noProof/>
          <w:sz w:val="24"/>
          <w:szCs w:val="24"/>
        </w:rPr>
        <w:t xml:space="preserve"> </w:t>
      </w:r>
      <w:r w:rsidR="007D0641" w:rsidRPr="00D16622">
        <w:rPr>
          <w:rFonts w:ascii="Times New Roman" w:hAnsi="Times New Roman" w:cs="Times New Roman"/>
          <w:iCs/>
          <w:noProof/>
          <w:sz w:val="24"/>
          <w:szCs w:val="24"/>
          <w:lang w:val="en-IE"/>
        </w:rPr>
        <w:t xml:space="preserve">and </w:t>
      </w:r>
      <w:hyperlink r:id="rId332" w:history="1">
        <w:r w:rsidR="00421F48" w:rsidRPr="00D16622">
          <w:rPr>
            <w:rStyle w:val="Hyperlink"/>
            <w:rFonts w:cs="Times New Roman"/>
            <w:noProof/>
            <w:szCs w:val="24"/>
          </w:rPr>
          <w:t>Slovakia</w:t>
        </w:r>
      </w:hyperlink>
      <w:r w:rsidR="007D0641" w:rsidRPr="00D16622">
        <w:rPr>
          <w:rFonts w:ascii="Times New Roman" w:hAnsi="Times New Roman" w:cs="Times New Roman"/>
          <w:iCs/>
          <w:noProof/>
          <w:sz w:val="24"/>
          <w:szCs w:val="24"/>
          <w:lang w:val="en-IE"/>
        </w:rPr>
        <w:t>.</w:t>
      </w:r>
    </w:p>
    <w:p w14:paraId="32D115D8" w14:textId="77290F46" w:rsidR="0057688C" w:rsidRPr="00D16622" w:rsidRDefault="00577CD1" w:rsidP="00B15198">
      <w:pPr>
        <w:spacing w:after="120" w:line="240" w:lineRule="auto"/>
        <w:jc w:val="both"/>
        <w:rPr>
          <w:rFonts w:ascii="Times New Roman" w:hAnsi="Times New Roman" w:cs="Times New Roman"/>
          <w:noProof/>
          <w:sz w:val="24"/>
          <w:szCs w:val="24"/>
          <w:lang w:val="en-IE"/>
        </w:rPr>
      </w:pPr>
      <w:r w:rsidRPr="00D16622">
        <w:rPr>
          <w:rFonts w:ascii="Times New Roman" w:hAnsi="Times New Roman" w:cs="Times New Roman"/>
          <w:noProof/>
          <w:sz w:val="24"/>
          <w:szCs w:val="24"/>
        </w:rPr>
        <w:t>Strategic lawsuits against public participation (SLAPPs) are a particular form of harassment</w:t>
      </w:r>
      <w:r w:rsidR="008B0347" w:rsidRPr="00D16622">
        <w:rPr>
          <w:rFonts w:ascii="Times New Roman" w:hAnsi="Times New Roman" w:cs="Times New Roman"/>
          <w:noProof/>
          <w:sz w:val="24"/>
          <w:szCs w:val="24"/>
        </w:rPr>
        <w:t xml:space="preserve"> which</w:t>
      </w:r>
      <w:r w:rsidRPr="00D16622">
        <w:rPr>
          <w:rFonts w:ascii="Times New Roman" w:hAnsi="Times New Roman" w:cs="Times New Roman"/>
          <w:noProof/>
          <w:sz w:val="24"/>
          <w:szCs w:val="24"/>
        </w:rPr>
        <w:t xml:space="preserve"> aim</w:t>
      </w:r>
      <w:r w:rsidR="008B0347" w:rsidRPr="00D16622">
        <w:rPr>
          <w:rFonts w:ascii="Times New Roman" w:hAnsi="Times New Roman" w:cs="Times New Roman"/>
          <w:noProof/>
          <w:sz w:val="24"/>
          <w:szCs w:val="24"/>
        </w:rPr>
        <w:t xml:space="preserve"> at</w:t>
      </w:r>
      <w:r w:rsidRPr="00D16622">
        <w:rPr>
          <w:rFonts w:ascii="Times New Roman" w:hAnsi="Times New Roman" w:cs="Times New Roman"/>
          <w:noProof/>
          <w:sz w:val="24"/>
          <w:szCs w:val="24"/>
        </w:rPr>
        <w:t xml:space="preserve"> creating a chilling effect on media freedom and freedom of expression.</w:t>
      </w:r>
      <w:r w:rsidR="002D0590" w:rsidRPr="00D16622">
        <w:rPr>
          <w:rFonts w:ascii="Times New Roman" w:hAnsi="Times New Roman" w:cs="Times New Roman"/>
          <w:noProof/>
          <w:sz w:val="24"/>
          <w:szCs w:val="24"/>
        </w:rPr>
        <w:t xml:space="preserve"> </w:t>
      </w:r>
      <w:r w:rsidR="006C04A4" w:rsidRPr="00D16622">
        <w:rPr>
          <w:rFonts w:ascii="Times New Roman" w:hAnsi="Times New Roman" w:cs="Times New Roman"/>
          <w:noProof/>
          <w:sz w:val="24"/>
          <w:szCs w:val="24"/>
          <w:lang w:val="en-IE"/>
        </w:rPr>
        <w:t xml:space="preserve">Since the publication of the 2025 </w:t>
      </w:r>
      <w:r w:rsidR="00103510" w:rsidRPr="00D16622">
        <w:rPr>
          <w:rFonts w:ascii="Times New Roman" w:hAnsi="Times New Roman" w:cs="Times New Roman"/>
          <w:noProof/>
          <w:sz w:val="24"/>
          <w:szCs w:val="24"/>
          <w:lang w:val="en-IE"/>
        </w:rPr>
        <w:t>R</w:t>
      </w:r>
      <w:r w:rsidR="006C04A4" w:rsidRPr="00D16622">
        <w:rPr>
          <w:rFonts w:ascii="Times New Roman" w:hAnsi="Times New Roman" w:cs="Times New Roman"/>
          <w:noProof/>
          <w:sz w:val="24"/>
          <w:szCs w:val="24"/>
          <w:lang w:val="en-IE"/>
        </w:rPr>
        <w:t xml:space="preserve">eport, </w:t>
      </w:r>
      <w:r w:rsidR="006270B8" w:rsidRPr="00D16622">
        <w:rPr>
          <w:rFonts w:ascii="Times New Roman" w:hAnsi="Times New Roman" w:cs="Times New Roman"/>
          <w:noProof/>
          <w:sz w:val="24"/>
          <w:szCs w:val="24"/>
          <w:lang w:val="en-IE"/>
        </w:rPr>
        <w:t xml:space="preserve">the requirements set in </w:t>
      </w:r>
      <w:r w:rsidR="006270B8" w:rsidRPr="00D16622">
        <w:rPr>
          <w:rFonts w:ascii="Times New Roman" w:hAnsi="Times New Roman" w:cs="Times New Roman"/>
          <w:noProof/>
          <w:sz w:val="24"/>
          <w:szCs w:val="24"/>
        </w:rPr>
        <w:t xml:space="preserve">EU legislation and the dedicated Recommendation issued by the Commission on SLAPP have helped stimulate further steps in national legislation, as </w:t>
      </w:r>
      <w:r w:rsidR="000C2E2C" w:rsidRPr="00D16622">
        <w:rPr>
          <w:rFonts w:ascii="Times New Roman" w:hAnsi="Times New Roman" w:cs="Times New Roman"/>
          <w:noProof/>
          <w:sz w:val="24"/>
          <w:szCs w:val="24"/>
          <w:lang w:val="en-IE"/>
        </w:rPr>
        <w:t>anti-SLAPP legislation has been adopted in</w:t>
      </w:r>
      <w:r w:rsidR="00252DEC" w:rsidRPr="00D16622">
        <w:rPr>
          <w:rFonts w:ascii="Times New Roman" w:hAnsi="Times New Roman" w:cs="Times New Roman"/>
          <w:noProof/>
          <w:sz w:val="24"/>
          <w:szCs w:val="24"/>
          <w:lang w:val="en-IE"/>
        </w:rPr>
        <w:t xml:space="preserve"> </w:t>
      </w:r>
      <w:hyperlink r:id="rId333" w:history="1">
        <w:r w:rsidR="00252DEC" w:rsidRPr="00D16622">
          <w:rPr>
            <w:rStyle w:val="Hyperlink"/>
            <w:rFonts w:cs="Times New Roman"/>
            <w:noProof/>
            <w:szCs w:val="24"/>
          </w:rPr>
          <w:t>Belgium</w:t>
        </w:r>
      </w:hyperlink>
      <w:r w:rsidR="00252DEC" w:rsidRPr="00D16622">
        <w:rPr>
          <w:rFonts w:ascii="Times New Roman" w:hAnsi="Times New Roman" w:cs="Times New Roman"/>
          <w:noProof/>
          <w:sz w:val="24"/>
          <w:szCs w:val="24"/>
        </w:rPr>
        <w:t>,</w:t>
      </w:r>
      <w:r w:rsidR="000C2E2C" w:rsidRPr="00D16622">
        <w:rPr>
          <w:rFonts w:ascii="Times New Roman" w:hAnsi="Times New Roman" w:cs="Times New Roman"/>
          <w:noProof/>
          <w:sz w:val="24"/>
          <w:szCs w:val="24"/>
          <w:lang w:val="en-IE"/>
        </w:rPr>
        <w:t xml:space="preserve"> </w:t>
      </w:r>
      <w:hyperlink r:id="rId334" w:history="1">
        <w:r w:rsidR="006032A2" w:rsidRPr="00D16622">
          <w:rPr>
            <w:rStyle w:val="Hyperlink"/>
            <w:rFonts w:cs="Times New Roman"/>
            <w:noProof/>
            <w:szCs w:val="24"/>
          </w:rPr>
          <w:t>Cyprus</w:t>
        </w:r>
      </w:hyperlink>
      <w:r w:rsidR="006C04A4" w:rsidRPr="00D16622">
        <w:rPr>
          <w:rFonts w:ascii="Times New Roman" w:hAnsi="Times New Roman" w:cs="Times New Roman"/>
          <w:noProof/>
          <w:sz w:val="24"/>
          <w:szCs w:val="24"/>
          <w:lang w:val="en-IE"/>
        </w:rPr>
        <w:t xml:space="preserve">, </w:t>
      </w:r>
      <w:hyperlink r:id="rId335" w:history="1">
        <w:r w:rsidR="00EB31AD" w:rsidRPr="00D16622">
          <w:rPr>
            <w:rStyle w:val="Hyperlink"/>
            <w:rFonts w:cs="Times New Roman"/>
            <w:noProof/>
            <w:szCs w:val="24"/>
            <w:lang w:val="en-IE"/>
          </w:rPr>
          <w:t>Estonia</w:t>
        </w:r>
      </w:hyperlink>
      <w:r w:rsidR="00EB31AD" w:rsidRPr="00D16622">
        <w:rPr>
          <w:rFonts w:ascii="Times New Roman" w:hAnsi="Times New Roman" w:cs="Times New Roman"/>
          <w:noProof/>
          <w:sz w:val="24"/>
          <w:szCs w:val="24"/>
        </w:rPr>
        <w:t xml:space="preserve">, </w:t>
      </w:r>
      <w:hyperlink r:id="rId336" w:history="1">
        <w:r w:rsidR="00C44385" w:rsidRPr="00D16622">
          <w:rPr>
            <w:rStyle w:val="Hyperlink"/>
            <w:rFonts w:eastAsia="Times New Roman" w:cs="Times New Roman"/>
            <w:noProof/>
            <w:szCs w:val="24"/>
          </w:rPr>
          <w:t>Lithuania</w:t>
        </w:r>
      </w:hyperlink>
      <w:r w:rsidR="006C04A4" w:rsidRPr="00D16622">
        <w:rPr>
          <w:rFonts w:ascii="Times New Roman" w:hAnsi="Times New Roman" w:cs="Times New Roman"/>
          <w:noProof/>
          <w:sz w:val="24"/>
          <w:szCs w:val="24"/>
          <w:lang w:val="en-IE"/>
        </w:rPr>
        <w:t xml:space="preserve">, </w:t>
      </w:r>
      <w:hyperlink r:id="rId337" w:history="1">
        <w:r w:rsidR="00625426" w:rsidRPr="00D16622">
          <w:rPr>
            <w:rStyle w:val="Hyperlink"/>
            <w:rFonts w:eastAsia="Times New Roman" w:cs="Times New Roman"/>
            <w:noProof/>
            <w:szCs w:val="24"/>
            <w:lang w:val="en-IE"/>
          </w:rPr>
          <w:t>Latvia</w:t>
        </w:r>
      </w:hyperlink>
      <w:r w:rsidR="3B03D2A6" w:rsidRPr="00D16622">
        <w:rPr>
          <w:rFonts w:ascii="Times New Roman" w:hAnsi="Times New Roman" w:cs="Times New Roman"/>
          <w:noProof/>
          <w:sz w:val="24"/>
          <w:szCs w:val="24"/>
          <w:lang w:val="en-IE"/>
        </w:rPr>
        <w:t>,</w:t>
      </w:r>
      <w:r w:rsidR="16933B4F" w:rsidRPr="00D16622">
        <w:rPr>
          <w:rFonts w:ascii="Times New Roman" w:hAnsi="Times New Roman" w:cs="Times New Roman"/>
          <w:noProof/>
          <w:sz w:val="24"/>
          <w:szCs w:val="24"/>
          <w:lang w:val="en-IE"/>
        </w:rPr>
        <w:t xml:space="preserve"> </w:t>
      </w:r>
      <w:hyperlink r:id="rId338" w:history="1">
        <w:r w:rsidR="00C47F0F" w:rsidRPr="00D16622">
          <w:rPr>
            <w:rStyle w:val="Hyperlink"/>
            <w:rFonts w:cs="Times New Roman"/>
            <w:noProof/>
            <w:szCs w:val="24"/>
            <w:lang w:eastAsia="en-IE"/>
          </w:rPr>
          <w:t>Finland</w:t>
        </w:r>
      </w:hyperlink>
      <w:r w:rsidR="006C04A4" w:rsidRPr="00D16622">
        <w:rPr>
          <w:rFonts w:ascii="Times New Roman" w:hAnsi="Times New Roman" w:cs="Times New Roman"/>
          <w:noProof/>
          <w:sz w:val="24"/>
          <w:szCs w:val="24"/>
          <w:lang w:val="en-IE"/>
        </w:rPr>
        <w:t xml:space="preserve">, </w:t>
      </w:r>
      <w:hyperlink r:id="rId339" w:history="1">
        <w:r w:rsidR="006C04A4" w:rsidRPr="00D16622">
          <w:rPr>
            <w:rStyle w:val="Hyperlink"/>
            <w:rFonts w:cs="Times New Roman"/>
            <w:noProof/>
            <w:szCs w:val="24"/>
            <w:lang w:val="en-IE"/>
          </w:rPr>
          <w:t>France</w:t>
        </w:r>
      </w:hyperlink>
      <w:r w:rsidR="006C04A4" w:rsidRPr="00D16622">
        <w:rPr>
          <w:rFonts w:ascii="Times New Roman" w:hAnsi="Times New Roman" w:cs="Times New Roman"/>
          <w:noProof/>
          <w:sz w:val="24"/>
          <w:szCs w:val="24"/>
          <w:lang w:val="en-IE"/>
        </w:rPr>
        <w:t xml:space="preserve">, </w:t>
      </w:r>
      <w:hyperlink r:id="rId340" w:history="1">
        <w:r w:rsidR="00EB31AD" w:rsidRPr="00D16622">
          <w:rPr>
            <w:rStyle w:val="Hyperlink"/>
            <w:rFonts w:cs="Times New Roman"/>
            <w:noProof/>
            <w:szCs w:val="24"/>
          </w:rPr>
          <w:t>Poland</w:t>
        </w:r>
      </w:hyperlink>
      <w:r w:rsidR="00EB31AD" w:rsidRPr="00D16622">
        <w:rPr>
          <w:rFonts w:ascii="Times New Roman" w:hAnsi="Times New Roman" w:cs="Times New Roman"/>
          <w:noProof/>
          <w:sz w:val="24"/>
          <w:szCs w:val="24"/>
          <w:lang w:val="en-IE"/>
        </w:rPr>
        <w:t xml:space="preserve">, </w:t>
      </w:r>
      <w:hyperlink r:id="rId341" w:history="1">
        <w:r w:rsidR="008A099D" w:rsidRPr="00D16622">
          <w:rPr>
            <w:rStyle w:val="Hyperlink"/>
            <w:rFonts w:cs="Times New Roman"/>
            <w:noProof/>
            <w:szCs w:val="24"/>
            <w:lang w:eastAsia="en-IE"/>
          </w:rPr>
          <w:t>Sweden</w:t>
        </w:r>
      </w:hyperlink>
      <w:r w:rsidR="008A099D" w:rsidRPr="00D16622">
        <w:rPr>
          <w:rFonts w:ascii="Times New Roman" w:hAnsi="Times New Roman" w:cs="Times New Roman"/>
          <w:noProof/>
          <w:sz w:val="24"/>
          <w:szCs w:val="24"/>
          <w:lang w:eastAsia="en-IE"/>
        </w:rPr>
        <w:t xml:space="preserve"> </w:t>
      </w:r>
      <w:r w:rsidR="006C04A4" w:rsidRPr="00D16622">
        <w:rPr>
          <w:rFonts w:ascii="Times New Roman" w:hAnsi="Times New Roman" w:cs="Times New Roman"/>
          <w:noProof/>
          <w:sz w:val="24"/>
          <w:szCs w:val="24"/>
          <w:lang w:val="en-IE"/>
        </w:rPr>
        <w:t xml:space="preserve">and </w:t>
      </w:r>
      <w:hyperlink r:id="rId342" w:history="1">
        <w:r w:rsidR="008062E4" w:rsidRPr="00D16622">
          <w:rPr>
            <w:rStyle w:val="Hyperlink"/>
            <w:rFonts w:cs="Times New Roman"/>
            <w:noProof/>
            <w:szCs w:val="24"/>
          </w:rPr>
          <w:t>Slovenia</w:t>
        </w:r>
      </w:hyperlink>
      <w:r w:rsidR="00A70456" w:rsidRPr="00D16622">
        <w:rPr>
          <w:rFonts w:ascii="Times New Roman" w:hAnsi="Times New Roman" w:cs="Times New Roman"/>
          <w:noProof/>
          <w:sz w:val="24"/>
          <w:szCs w:val="24"/>
          <w:lang w:val="en-IE"/>
        </w:rPr>
        <w:t xml:space="preserve">. Several other Member States have </w:t>
      </w:r>
      <w:r w:rsidR="006C04A4" w:rsidRPr="00D16622">
        <w:rPr>
          <w:rFonts w:ascii="Times New Roman" w:hAnsi="Times New Roman" w:cs="Times New Roman"/>
          <w:noProof/>
          <w:sz w:val="24"/>
          <w:szCs w:val="24"/>
          <w:lang w:val="en-IE"/>
        </w:rPr>
        <w:t xml:space="preserve">legislation is in various stages of preparation. </w:t>
      </w:r>
    </w:p>
    <w:p w14:paraId="0A27FD49" w14:textId="0684CEDA" w:rsidR="00DD15FF" w:rsidRPr="00D16622" w:rsidRDefault="781FC107" w:rsidP="758710DA">
      <w:pPr>
        <w:spacing w:after="120" w:line="240" w:lineRule="auto"/>
        <w:jc w:val="both"/>
        <w:rPr>
          <w:rFonts w:ascii="Times New Roman" w:hAnsi="Times New Roman" w:cs="Times New Roman"/>
          <w:i/>
          <w:iCs/>
          <w:noProof/>
          <w:sz w:val="24"/>
          <w:szCs w:val="24"/>
          <w:lang w:val="en-IE"/>
        </w:rPr>
      </w:pPr>
      <w:r w:rsidRPr="00D16622">
        <w:rPr>
          <w:rFonts w:ascii="Times New Roman" w:hAnsi="Times New Roman" w:cs="Times New Roman"/>
          <w:noProof/>
          <w:sz w:val="24"/>
          <w:szCs w:val="24"/>
        </w:rPr>
        <w:t>I</w:t>
      </w:r>
      <w:r w:rsidR="0057688C" w:rsidRPr="00D16622">
        <w:rPr>
          <w:rFonts w:ascii="Times New Roman" w:hAnsi="Times New Roman" w:cs="Times New Roman"/>
          <w:noProof/>
          <w:sz w:val="24"/>
          <w:szCs w:val="24"/>
        </w:rPr>
        <w:t xml:space="preserve">n </w:t>
      </w:r>
      <w:hyperlink r:id="rId343" w:history="1">
        <w:r w:rsidR="00757A27" w:rsidRPr="00D16622">
          <w:rPr>
            <w:rStyle w:val="Hyperlink"/>
            <w:rFonts w:cs="Times New Roman"/>
            <w:noProof/>
            <w:szCs w:val="24"/>
          </w:rPr>
          <w:t>Albania</w:t>
        </w:r>
      </w:hyperlink>
      <w:r w:rsidR="00757A27" w:rsidRPr="00D16622">
        <w:rPr>
          <w:rFonts w:ascii="Times New Roman" w:hAnsi="Times New Roman" w:cs="Times New Roman"/>
          <w:noProof/>
          <w:sz w:val="24"/>
          <w:szCs w:val="24"/>
        </w:rPr>
        <w:t xml:space="preserve">, </w:t>
      </w:r>
      <w:r w:rsidR="0057688C" w:rsidRPr="00D16622">
        <w:rPr>
          <w:rFonts w:ascii="Times New Roman" w:hAnsi="Times New Roman" w:cs="Times New Roman"/>
          <w:noProof/>
          <w:sz w:val="24"/>
          <w:szCs w:val="24"/>
        </w:rPr>
        <w:t xml:space="preserve">cases of verbal and physical threats, smear campaign and </w:t>
      </w:r>
      <w:r w:rsidR="00F72BA3" w:rsidRPr="00D16622">
        <w:rPr>
          <w:rFonts w:ascii="Times New Roman" w:hAnsi="Times New Roman" w:cs="Times New Roman"/>
          <w:noProof/>
          <w:sz w:val="24"/>
          <w:szCs w:val="24"/>
        </w:rPr>
        <w:t>the use of SLAPPs</w:t>
      </w:r>
      <w:r w:rsidR="0057688C" w:rsidRPr="00D16622">
        <w:rPr>
          <w:rFonts w:ascii="Times New Roman" w:hAnsi="Times New Roman" w:cs="Times New Roman"/>
          <w:noProof/>
          <w:sz w:val="24"/>
          <w:szCs w:val="24"/>
        </w:rPr>
        <w:t xml:space="preserve"> targeting journalists continued.</w:t>
      </w:r>
      <w:r w:rsidR="00704B6E" w:rsidRPr="00D16622">
        <w:rPr>
          <w:rFonts w:ascii="Times New Roman" w:hAnsi="Times New Roman" w:cs="Times New Roman"/>
          <w:noProof/>
          <w:sz w:val="24"/>
          <w:szCs w:val="24"/>
        </w:rPr>
        <w:t xml:space="preserve"> In </w:t>
      </w:r>
      <w:hyperlink r:id="rId344" w:history="1">
        <w:r w:rsidR="00931338" w:rsidRPr="00D16622">
          <w:rPr>
            <w:rStyle w:val="Hyperlink"/>
            <w:rFonts w:cs="Times New Roman"/>
            <w:noProof/>
            <w:szCs w:val="24"/>
          </w:rPr>
          <w:t>Montenegro</w:t>
        </w:r>
      </w:hyperlink>
      <w:r w:rsidR="00704B6E" w:rsidRPr="00D16622">
        <w:rPr>
          <w:rFonts w:ascii="Times New Roman" w:hAnsi="Times New Roman" w:cs="Times New Roman"/>
          <w:noProof/>
          <w:sz w:val="24"/>
          <w:szCs w:val="24"/>
        </w:rPr>
        <w:t xml:space="preserve">, the authorities continue efforts to apply </w:t>
      </w:r>
      <w:r w:rsidR="00A6322E" w:rsidRPr="00D16622">
        <w:rPr>
          <w:rFonts w:ascii="Times New Roman" w:hAnsi="Times New Roman" w:cs="Times New Roman"/>
          <w:noProof/>
          <w:sz w:val="24"/>
          <w:szCs w:val="24"/>
        </w:rPr>
        <w:t xml:space="preserve">a </w:t>
      </w:r>
      <w:r w:rsidR="00704B6E" w:rsidRPr="00D16622">
        <w:rPr>
          <w:rFonts w:ascii="Times New Roman" w:hAnsi="Times New Roman" w:cs="Times New Roman"/>
          <w:noProof/>
          <w:sz w:val="24"/>
          <w:szCs w:val="24"/>
        </w:rPr>
        <w:t>zero-tolerance policy to violence against journalists</w:t>
      </w:r>
      <w:r w:rsidR="004A567C" w:rsidRPr="00D16622">
        <w:rPr>
          <w:rFonts w:ascii="Times New Roman" w:hAnsi="Times New Roman" w:cs="Times New Roman"/>
          <w:noProof/>
          <w:sz w:val="24"/>
          <w:szCs w:val="24"/>
        </w:rPr>
        <w:t xml:space="preserve">, </w:t>
      </w:r>
      <w:r w:rsidR="007D73D7" w:rsidRPr="00D16622">
        <w:rPr>
          <w:rFonts w:ascii="Times New Roman" w:hAnsi="Times New Roman" w:cs="Times New Roman"/>
          <w:noProof/>
          <w:sz w:val="24"/>
          <w:szCs w:val="24"/>
        </w:rPr>
        <w:t>while isolated incidents of attacks occur</w:t>
      </w:r>
      <w:r w:rsidR="00704B6E" w:rsidRPr="00D16622">
        <w:rPr>
          <w:rFonts w:ascii="Times New Roman" w:hAnsi="Times New Roman" w:cs="Times New Roman"/>
          <w:noProof/>
          <w:sz w:val="24"/>
          <w:szCs w:val="24"/>
        </w:rPr>
        <w:t xml:space="preserve">. In </w:t>
      </w:r>
      <w:hyperlink r:id="rId345" w:history="1">
        <w:r w:rsidR="00B14DAD" w:rsidRPr="00D16622">
          <w:rPr>
            <w:rStyle w:val="Hyperlink"/>
            <w:rFonts w:cs="Times New Roman"/>
            <w:noProof/>
            <w:szCs w:val="24"/>
          </w:rPr>
          <w:t>Serbia</w:t>
        </w:r>
      </w:hyperlink>
      <w:r w:rsidR="00704B6E" w:rsidRPr="00D16622">
        <w:rPr>
          <w:rFonts w:ascii="Times New Roman" w:hAnsi="Times New Roman" w:cs="Times New Roman"/>
          <w:noProof/>
          <w:sz w:val="24"/>
          <w:szCs w:val="24"/>
        </w:rPr>
        <w:t>, the safety of journalists</w:t>
      </w:r>
      <w:r w:rsidR="00293BE5" w:rsidRPr="00D16622">
        <w:rPr>
          <w:rFonts w:ascii="Times New Roman" w:hAnsi="Times New Roman" w:cs="Times New Roman"/>
          <w:noProof/>
          <w:sz w:val="24"/>
          <w:szCs w:val="24"/>
        </w:rPr>
        <w:t xml:space="preserve"> has</w:t>
      </w:r>
      <w:r w:rsidR="00704B6E" w:rsidRPr="00D16622">
        <w:rPr>
          <w:rFonts w:ascii="Times New Roman" w:hAnsi="Times New Roman" w:cs="Times New Roman"/>
          <w:noProof/>
          <w:sz w:val="24"/>
          <w:szCs w:val="24"/>
        </w:rPr>
        <w:t xml:space="preserve"> further deteriorated</w:t>
      </w:r>
      <w:r w:rsidR="00293BE5" w:rsidRPr="00D16622">
        <w:rPr>
          <w:rFonts w:ascii="Times New Roman" w:hAnsi="Times New Roman" w:cs="Times New Roman"/>
          <w:noProof/>
          <w:sz w:val="24"/>
          <w:szCs w:val="24"/>
        </w:rPr>
        <w:t xml:space="preserve">, </w:t>
      </w:r>
      <w:r w:rsidR="00FB4D9B" w:rsidRPr="00D16622">
        <w:rPr>
          <w:rFonts w:ascii="Times New Roman" w:hAnsi="Times New Roman" w:cs="Times New Roman"/>
          <w:noProof/>
          <w:sz w:val="24"/>
          <w:szCs w:val="24"/>
        </w:rPr>
        <w:t>with an increase in cases of physical attacks, threats, intimidation and hate speech</w:t>
      </w:r>
      <w:r w:rsidR="00704B6E" w:rsidRPr="00D16622">
        <w:rPr>
          <w:rFonts w:ascii="Times New Roman" w:hAnsi="Times New Roman" w:cs="Times New Roman"/>
          <w:noProof/>
          <w:sz w:val="24"/>
          <w:szCs w:val="24"/>
        </w:rPr>
        <w:t>.</w:t>
      </w:r>
    </w:p>
    <w:p w14:paraId="201486FF" w14:textId="5D01ACB0" w:rsidR="00746F3F" w:rsidRPr="00D16622" w:rsidRDefault="00863558" w:rsidP="00D02DC8">
      <w:pPr>
        <w:spacing w:before="240" w:after="120" w:line="240" w:lineRule="auto"/>
        <w:jc w:val="both"/>
        <w:rPr>
          <w:rFonts w:ascii="Times New Roman" w:hAnsi="Times New Roman" w:cs="Times New Roman"/>
          <w:b/>
          <w:i/>
          <w:noProof/>
          <w:sz w:val="24"/>
          <w:szCs w:val="24"/>
        </w:rPr>
      </w:pPr>
      <w:r w:rsidRPr="00D16622">
        <w:rPr>
          <w:rFonts w:ascii="Times New Roman" w:hAnsi="Times New Roman" w:cs="Times New Roman"/>
          <w:b/>
          <w:bCs/>
          <w:i/>
          <w:iCs/>
          <w:noProof/>
          <w:sz w:val="24"/>
          <w:szCs w:val="24"/>
        </w:rPr>
        <w:t>3</w:t>
      </w:r>
      <w:r w:rsidR="00746F3F" w:rsidRPr="00D16622">
        <w:rPr>
          <w:rFonts w:ascii="Times New Roman" w:hAnsi="Times New Roman" w:cs="Times New Roman"/>
          <w:b/>
          <w:bCs/>
          <w:i/>
          <w:iCs/>
          <w:noProof/>
          <w:sz w:val="24"/>
          <w:szCs w:val="24"/>
        </w:rPr>
        <w:t>.4</w:t>
      </w:r>
      <w:r w:rsidR="00746F3F" w:rsidRPr="00D16622">
        <w:rPr>
          <w:rFonts w:ascii="Times New Roman" w:hAnsi="Times New Roman" w:cs="Times New Roman"/>
          <w:b/>
          <w:bCs/>
          <w:i/>
          <w:iCs/>
          <w:noProof/>
          <w:sz w:val="24"/>
          <w:szCs w:val="24"/>
        </w:rPr>
        <w:tab/>
        <w:t xml:space="preserve">Other institutional issues linked to checks and balances </w:t>
      </w:r>
    </w:p>
    <w:p w14:paraId="6D0FB06F" w14:textId="224107D4" w:rsidR="00F76FE8" w:rsidRPr="00D16622" w:rsidRDefault="001476DD" w:rsidP="001476DD">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A </w:t>
      </w:r>
      <w:r w:rsidR="00E637A6" w:rsidRPr="00D16622">
        <w:rPr>
          <w:rFonts w:ascii="Times New Roman" w:hAnsi="Times New Roman" w:cs="Times New Roman"/>
          <w:noProof/>
          <w:sz w:val="24"/>
          <w:szCs w:val="24"/>
        </w:rPr>
        <w:t>robust</w:t>
      </w:r>
      <w:r w:rsidRPr="00D16622">
        <w:rPr>
          <w:rFonts w:ascii="Times New Roman" w:hAnsi="Times New Roman" w:cs="Times New Roman"/>
          <w:noProof/>
          <w:sz w:val="24"/>
          <w:szCs w:val="24"/>
        </w:rPr>
        <w:t xml:space="preserve"> system of checks and balances </w:t>
      </w:r>
      <w:r w:rsidR="00F76FE8" w:rsidRPr="00D16622">
        <w:rPr>
          <w:rFonts w:ascii="Times New Roman" w:hAnsi="Times New Roman" w:cs="Times New Roman"/>
          <w:noProof/>
          <w:sz w:val="24"/>
          <w:szCs w:val="24"/>
        </w:rPr>
        <w:t>is a cornerstone of the rule of law. By ensuring that public authorities remain subject to effective oversight and accountability, it helps prevent the concentration of power, safeguards fundamental rights and strengthens democratic resilience.</w:t>
      </w:r>
    </w:p>
    <w:p w14:paraId="650475A8" w14:textId="406A394C" w:rsidR="001476DD" w:rsidRPr="00D16622" w:rsidRDefault="001476DD" w:rsidP="001476DD">
      <w:pPr>
        <w:spacing w:after="120" w:line="240" w:lineRule="auto"/>
        <w:jc w:val="both"/>
        <w:rPr>
          <w:rFonts w:ascii="Times New Roman" w:hAnsi="Times New Roman" w:cs="Times New Roman"/>
          <w:i/>
          <w:iCs/>
          <w:noProof/>
          <w:sz w:val="24"/>
          <w:szCs w:val="24"/>
        </w:rPr>
      </w:pPr>
      <w:r w:rsidRPr="00D16622">
        <w:rPr>
          <w:rFonts w:ascii="Times New Roman" w:hAnsi="Times New Roman" w:cs="Times New Roman"/>
          <w:i/>
          <w:iCs/>
          <w:noProof/>
          <w:sz w:val="24"/>
          <w:szCs w:val="24"/>
        </w:rPr>
        <w:t>Constitutional reforms and debates impacting on institutional checks and balances</w:t>
      </w:r>
      <w:r w:rsidRPr="00D16622" w:rsidDel="00E123EF">
        <w:rPr>
          <w:rFonts w:ascii="Times New Roman" w:hAnsi="Times New Roman" w:cs="Times New Roman"/>
          <w:i/>
          <w:iCs/>
          <w:noProof/>
          <w:sz w:val="24"/>
          <w:szCs w:val="24"/>
        </w:rPr>
        <w:t xml:space="preserve"> </w:t>
      </w:r>
    </w:p>
    <w:p w14:paraId="77229235" w14:textId="1F5CDE84" w:rsidR="001476DD" w:rsidRPr="00D16622" w:rsidRDefault="001476DD" w:rsidP="001476DD">
      <w:pPr>
        <w:spacing w:after="120" w:line="240" w:lineRule="auto"/>
        <w:jc w:val="both"/>
        <w:rPr>
          <w:rFonts w:ascii="Times New Roman" w:hAnsi="Times New Roman" w:cs="Times New Roman"/>
          <w:noProof/>
          <w:sz w:val="24"/>
          <w:szCs w:val="24"/>
        </w:rPr>
      </w:pPr>
      <w:r w:rsidRPr="00D16622">
        <w:rPr>
          <w:rFonts w:ascii="Times New Roman" w:hAnsi="Times New Roman" w:cs="Times New Roman"/>
          <w:iCs/>
          <w:noProof/>
          <w:sz w:val="24"/>
          <w:szCs w:val="24"/>
        </w:rPr>
        <w:t xml:space="preserve">In some Member States, steps to reinforce the constitutional system of checks and balances are ongoing. </w:t>
      </w:r>
      <w:r w:rsidRPr="00D16622">
        <w:rPr>
          <w:rFonts w:ascii="Times New Roman" w:hAnsi="Times New Roman" w:cs="Times New Roman"/>
          <w:noProof/>
          <w:sz w:val="24"/>
          <w:szCs w:val="24"/>
        </w:rPr>
        <w:t xml:space="preserve">In the </w:t>
      </w:r>
      <w:hyperlink r:id="rId346" w:history="1">
        <w:r w:rsidR="002C61F5" w:rsidRPr="00D16622">
          <w:rPr>
            <w:rStyle w:val="Hyperlink"/>
            <w:rFonts w:eastAsia="Times New Roman" w:cs="Times New Roman"/>
            <w:noProof/>
            <w:szCs w:val="24"/>
          </w:rPr>
          <w:t>Netherlands</w:t>
        </w:r>
      </w:hyperlink>
      <w:r w:rsidR="002C61F5" w:rsidRPr="00D16622">
        <w:rPr>
          <w:rFonts w:ascii="Times New Roman" w:eastAsia="Times New Roman" w:hAnsi="Times New Roman" w:cs="Times New Roman"/>
          <w:noProof/>
          <w:sz w:val="24"/>
          <w:szCs w:val="24"/>
        </w:rPr>
        <w:t xml:space="preserve"> </w:t>
      </w:r>
      <w:r w:rsidR="00612D6D" w:rsidRPr="00D16622">
        <w:rPr>
          <w:rFonts w:ascii="Times New Roman" w:hAnsi="Times New Roman" w:cs="Times New Roman"/>
          <w:noProof/>
          <w:sz w:val="24"/>
          <w:szCs w:val="24"/>
        </w:rPr>
        <w:t>the Government has announced proposals to</w:t>
      </w:r>
      <w:r w:rsidRPr="00D16622">
        <w:rPr>
          <w:rFonts w:ascii="Times New Roman" w:hAnsi="Times New Roman" w:cs="Times New Roman"/>
          <w:noProof/>
          <w:sz w:val="24"/>
          <w:szCs w:val="24"/>
        </w:rPr>
        <w:t xml:space="preserve"> mak</w:t>
      </w:r>
      <w:r w:rsidR="00612D6D" w:rsidRPr="00D16622">
        <w:rPr>
          <w:rFonts w:ascii="Times New Roman" w:hAnsi="Times New Roman" w:cs="Times New Roman"/>
          <w:noProof/>
          <w:sz w:val="24"/>
          <w:szCs w:val="24"/>
        </w:rPr>
        <w:t>e</w:t>
      </w:r>
      <w:r w:rsidRPr="00D16622">
        <w:rPr>
          <w:rFonts w:ascii="Times New Roman" w:hAnsi="Times New Roman" w:cs="Times New Roman"/>
          <w:noProof/>
          <w:sz w:val="24"/>
          <w:szCs w:val="24"/>
        </w:rPr>
        <w:t xml:space="preserve"> it possible for judges to review laws against </w:t>
      </w:r>
      <w:r w:rsidR="000A7C29" w:rsidRPr="00D16622">
        <w:rPr>
          <w:rFonts w:ascii="Times New Roman" w:hAnsi="Times New Roman" w:cs="Times New Roman"/>
          <w:noProof/>
          <w:sz w:val="24"/>
          <w:szCs w:val="24"/>
        </w:rPr>
        <w:t xml:space="preserve">“classic” </w:t>
      </w:r>
      <w:r w:rsidRPr="00D16622">
        <w:rPr>
          <w:rFonts w:ascii="Times New Roman" w:hAnsi="Times New Roman" w:cs="Times New Roman"/>
          <w:noProof/>
          <w:sz w:val="24"/>
          <w:szCs w:val="24"/>
        </w:rPr>
        <w:t xml:space="preserve">fundamental rights enshrined in the constitution. In </w:t>
      </w:r>
      <w:hyperlink r:id="rId347" w:history="1">
        <w:r w:rsidR="008A099D" w:rsidRPr="00D16622">
          <w:rPr>
            <w:rStyle w:val="Hyperlink"/>
            <w:rFonts w:cs="Times New Roman"/>
            <w:noProof/>
            <w:szCs w:val="24"/>
            <w:lang w:eastAsia="en-IE"/>
          </w:rPr>
          <w:t>Sweden</w:t>
        </w:r>
      </w:hyperlink>
      <w:r w:rsidRPr="00D16622">
        <w:rPr>
          <w:rFonts w:ascii="Times New Roman" w:hAnsi="Times New Roman" w:cs="Times New Roman"/>
          <w:bCs/>
          <w:noProof/>
          <w:sz w:val="24"/>
          <w:szCs w:val="24"/>
        </w:rPr>
        <w:t xml:space="preserve">, </w:t>
      </w:r>
      <w:r w:rsidRPr="00D16622">
        <w:rPr>
          <w:rFonts w:ascii="Times New Roman" w:hAnsi="Times New Roman" w:cs="Times New Roman"/>
          <w:noProof/>
          <w:sz w:val="24"/>
          <w:szCs w:val="24"/>
        </w:rPr>
        <w:t>work is progressing on legislative amendments to the Constitution</w:t>
      </w:r>
      <w:r w:rsidR="00CD1CF4" w:rsidRPr="00D16622">
        <w:rPr>
          <w:rFonts w:ascii="Times New Roman" w:hAnsi="Times New Roman" w:cs="Times New Roman"/>
          <w:noProof/>
          <w:sz w:val="24"/>
          <w:szCs w:val="24"/>
        </w:rPr>
        <w:t>,</w:t>
      </w:r>
      <w:r w:rsidRPr="00D16622">
        <w:rPr>
          <w:rFonts w:ascii="Times New Roman" w:hAnsi="Times New Roman" w:cs="Times New Roman"/>
          <w:noProof/>
          <w:sz w:val="24"/>
          <w:szCs w:val="24"/>
        </w:rPr>
        <w:t xml:space="preserve"> </w:t>
      </w:r>
      <w:r w:rsidR="00670C6A" w:rsidRPr="00D16622">
        <w:rPr>
          <w:rFonts w:ascii="Times New Roman" w:hAnsi="Times New Roman" w:cs="Times New Roman"/>
          <w:noProof/>
          <w:sz w:val="24"/>
          <w:szCs w:val="24"/>
        </w:rPr>
        <w:t>which</w:t>
      </w:r>
      <w:r w:rsidR="00723E1F" w:rsidRPr="00D16622">
        <w:rPr>
          <w:rFonts w:ascii="Times New Roman" w:hAnsi="Times New Roman" w:cs="Times New Roman"/>
          <w:noProof/>
          <w:sz w:val="24"/>
          <w:szCs w:val="24"/>
        </w:rPr>
        <w:t xml:space="preserve"> is aimed at providing a framework to better deal with</w:t>
      </w:r>
      <w:r w:rsidR="00670C6A" w:rsidRPr="00D16622">
        <w:rPr>
          <w:rFonts w:ascii="Times New Roman" w:hAnsi="Times New Roman" w:cs="Times New Roman"/>
          <w:noProof/>
          <w:sz w:val="24"/>
          <w:szCs w:val="24"/>
        </w:rPr>
        <w:t xml:space="preserve"> </w:t>
      </w:r>
      <w:r w:rsidRPr="00D16622">
        <w:rPr>
          <w:rFonts w:ascii="Times New Roman" w:hAnsi="Times New Roman" w:cs="Times New Roman"/>
          <w:noProof/>
          <w:sz w:val="24"/>
          <w:szCs w:val="24"/>
        </w:rPr>
        <w:t>serious crises.</w:t>
      </w:r>
    </w:p>
    <w:p w14:paraId="044FF5D7" w14:textId="1293F8E5" w:rsidR="001476DD" w:rsidRPr="00D16622" w:rsidRDefault="001476DD" w:rsidP="001476DD">
      <w:pPr>
        <w:spacing w:after="120" w:line="240" w:lineRule="auto"/>
        <w:jc w:val="both"/>
        <w:rPr>
          <w:rFonts w:ascii="Times New Roman" w:hAnsi="Times New Roman" w:cs="Times New Roman"/>
          <w:noProof/>
          <w:sz w:val="24"/>
          <w:szCs w:val="24"/>
        </w:rPr>
      </w:pPr>
      <w:r w:rsidRPr="00D16622">
        <w:rPr>
          <w:rFonts w:ascii="Times New Roman" w:hAnsi="Times New Roman" w:cs="Times New Roman"/>
          <w:iCs/>
          <w:noProof/>
          <w:sz w:val="24"/>
          <w:szCs w:val="24"/>
        </w:rPr>
        <w:t xml:space="preserve">Even when a Member State </w:t>
      </w:r>
      <w:r w:rsidR="009039BB" w:rsidRPr="00D16622">
        <w:rPr>
          <w:rFonts w:ascii="Times New Roman" w:hAnsi="Times New Roman" w:cs="Times New Roman"/>
          <w:iCs/>
          <w:noProof/>
          <w:sz w:val="24"/>
          <w:szCs w:val="24"/>
        </w:rPr>
        <w:t xml:space="preserve">exercises its national competence to </w:t>
      </w:r>
      <w:r w:rsidRPr="00D16622">
        <w:rPr>
          <w:rFonts w:ascii="Times New Roman" w:hAnsi="Times New Roman" w:cs="Times New Roman"/>
          <w:iCs/>
          <w:noProof/>
          <w:sz w:val="24"/>
          <w:szCs w:val="24"/>
        </w:rPr>
        <w:t xml:space="preserve">amend its constitution, </w:t>
      </w:r>
      <w:r w:rsidR="002D4A04" w:rsidRPr="00D16622">
        <w:rPr>
          <w:rFonts w:ascii="Times New Roman" w:hAnsi="Times New Roman" w:cs="Times New Roman"/>
          <w:iCs/>
          <w:noProof/>
          <w:sz w:val="24"/>
          <w:szCs w:val="24"/>
        </w:rPr>
        <w:t>it</w:t>
      </w:r>
      <w:r w:rsidRPr="00D16622">
        <w:rPr>
          <w:rFonts w:ascii="Times New Roman" w:hAnsi="Times New Roman" w:cs="Times New Roman"/>
          <w:iCs/>
          <w:noProof/>
          <w:sz w:val="24"/>
          <w:szCs w:val="24"/>
        </w:rPr>
        <w:t xml:space="preserve"> cannot circumvent the need to comply with fundamental principles of Union law. In </w:t>
      </w:r>
      <w:hyperlink r:id="rId348" w:history="1">
        <w:r w:rsidR="00421F48" w:rsidRPr="00D16622">
          <w:rPr>
            <w:rStyle w:val="Hyperlink"/>
            <w:rFonts w:cs="Times New Roman"/>
            <w:noProof/>
            <w:szCs w:val="24"/>
          </w:rPr>
          <w:t>Slovakia</w:t>
        </w:r>
      </w:hyperlink>
      <w:r w:rsidRPr="00D16622">
        <w:rPr>
          <w:rFonts w:ascii="Times New Roman" w:hAnsi="Times New Roman" w:cs="Times New Roman"/>
          <w:iCs/>
          <w:noProof/>
          <w:sz w:val="24"/>
          <w:szCs w:val="24"/>
        </w:rPr>
        <w:t xml:space="preserve">, </w:t>
      </w:r>
      <w:r w:rsidR="000E34E0" w:rsidRPr="00D16622">
        <w:rPr>
          <w:rFonts w:ascii="Times New Roman" w:hAnsi="Times New Roman" w:cs="Times New Roman"/>
          <w:iCs/>
          <w:noProof/>
          <w:sz w:val="24"/>
          <w:szCs w:val="24"/>
        </w:rPr>
        <w:t>certain</w:t>
      </w:r>
      <w:r w:rsidRPr="00D16622">
        <w:rPr>
          <w:rFonts w:ascii="Times New Roman" w:hAnsi="Times New Roman" w:cs="Times New Roman"/>
          <w:iCs/>
          <w:noProof/>
          <w:sz w:val="24"/>
          <w:szCs w:val="24"/>
        </w:rPr>
        <w:t xml:space="preserve"> amendments to the Constitution adopted in September 2025</w:t>
      </w:r>
      <w:r w:rsidR="008262CC" w:rsidRPr="00D16622">
        <w:rPr>
          <w:rFonts w:ascii="Times New Roman" w:hAnsi="Times New Roman" w:cs="Times New Roman"/>
          <w:iCs/>
          <w:noProof/>
          <w:sz w:val="24"/>
          <w:szCs w:val="24"/>
        </w:rPr>
        <w:t xml:space="preserve"> are </w:t>
      </w:r>
      <w:r w:rsidRPr="00D16622">
        <w:rPr>
          <w:rFonts w:ascii="Times New Roman" w:hAnsi="Times New Roman" w:cs="Times New Roman"/>
          <w:iCs/>
          <w:noProof/>
          <w:sz w:val="24"/>
          <w:szCs w:val="24"/>
        </w:rPr>
        <w:t>raising concerns related to the principle of primacy of EU law</w:t>
      </w:r>
      <w:r w:rsidR="007F30E9" w:rsidRPr="00D16622">
        <w:rPr>
          <w:rStyle w:val="FootnoteReference"/>
          <w:rFonts w:cs="Times New Roman"/>
          <w:noProof/>
        </w:rPr>
        <w:footnoteReference w:id="74"/>
      </w:r>
      <w:r w:rsidRPr="00D16622">
        <w:rPr>
          <w:rFonts w:ascii="Times New Roman" w:hAnsi="Times New Roman" w:cs="Times New Roman"/>
          <w:iCs/>
          <w:noProof/>
          <w:sz w:val="24"/>
          <w:szCs w:val="24"/>
        </w:rPr>
        <w:t>.</w:t>
      </w:r>
    </w:p>
    <w:p w14:paraId="0A96F2E1" w14:textId="77777777" w:rsidR="001476DD" w:rsidRPr="00D16622" w:rsidRDefault="001476DD" w:rsidP="001476DD">
      <w:pPr>
        <w:spacing w:after="120" w:line="240" w:lineRule="auto"/>
        <w:jc w:val="both"/>
        <w:rPr>
          <w:rFonts w:ascii="Times New Roman" w:hAnsi="Times New Roman" w:cs="Times New Roman"/>
          <w:i/>
          <w:iCs/>
          <w:noProof/>
          <w:sz w:val="24"/>
          <w:szCs w:val="24"/>
        </w:rPr>
      </w:pPr>
      <w:r w:rsidRPr="00D16622">
        <w:rPr>
          <w:rFonts w:ascii="Times New Roman" w:hAnsi="Times New Roman" w:cs="Times New Roman"/>
          <w:i/>
          <w:iCs/>
          <w:noProof/>
          <w:sz w:val="24"/>
          <w:szCs w:val="24"/>
        </w:rPr>
        <w:t xml:space="preserve">The inclusiveness, quality and transparency of the law-making process </w:t>
      </w:r>
    </w:p>
    <w:p w14:paraId="5BF056F0" w14:textId="33E14087" w:rsidR="001476DD" w:rsidRPr="00D16622" w:rsidRDefault="00302FF9" w:rsidP="001476DD">
      <w:pPr>
        <w:spacing w:after="120" w:line="240" w:lineRule="auto"/>
        <w:jc w:val="both"/>
        <w:rPr>
          <w:rFonts w:ascii="Times New Roman" w:hAnsi="Times New Roman" w:cs="Times New Roman"/>
          <w:noProof/>
          <w:sz w:val="24"/>
          <w:szCs w:val="24"/>
          <w:lang w:val="en-IE"/>
        </w:rPr>
      </w:pPr>
      <w:r w:rsidRPr="00D16622">
        <w:rPr>
          <w:rFonts w:ascii="Times New Roman" w:hAnsi="Times New Roman" w:cs="Times New Roman"/>
          <w:noProof/>
          <w:sz w:val="24"/>
          <w:szCs w:val="24"/>
        </w:rPr>
        <w:t>The rule of law requires laws to be enacted through a transparent, accountable, democratic, and pluralistic process that supports legal certainty and legislative quality</w:t>
      </w:r>
      <w:r w:rsidR="00C210B1" w:rsidRPr="00D16622">
        <w:rPr>
          <w:rStyle w:val="FootnoteReference"/>
          <w:rFonts w:cs="Times New Roman"/>
          <w:noProof/>
        </w:rPr>
        <w:footnoteReference w:id="75"/>
      </w:r>
      <w:r w:rsidRPr="00D16622">
        <w:rPr>
          <w:rFonts w:ascii="Times New Roman" w:hAnsi="Times New Roman" w:cs="Times New Roman"/>
          <w:noProof/>
          <w:sz w:val="24"/>
          <w:szCs w:val="24"/>
        </w:rPr>
        <w:t xml:space="preserve">. </w:t>
      </w:r>
      <w:r w:rsidR="001476DD" w:rsidRPr="00D16622">
        <w:rPr>
          <w:rFonts w:ascii="Times New Roman" w:hAnsi="Times New Roman" w:cs="Times New Roman"/>
          <w:noProof/>
          <w:sz w:val="24"/>
          <w:szCs w:val="24"/>
        </w:rPr>
        <w:t>Several Member States are taking steps to improve the consultation of stakeholders in the legislative process.</w:t>
      </w:r>
      <w:r w:rsidR="001476DD" w:rsidRPr="00D16622">
        <w:rPr>
          <w:rFonts w:ascii="Times New Roman" w:hAnsi="Times New Roman" w:cs="Times New Roman"/>
          <w:noProof/>
          <w:sz w:val="24"/>
          <w:szCs w:val="24"/>
          <w:lang w:val="en-IE"/>
        </w:rPr>
        <w:t xml:space="preserve"> In </w:t>
      </w:r>
      <w:hyperlink r:id="rId349" w:history="1">
        <w:r w:rsidR="006032A2" w:rsidRPr="00D16622">
          <w:rPr>
            <w:rStyle w:val="Hyperlink"/>
            <w:rFonts w:cs="Times New Roman"/>
            <w:noProof/>
            <w:szCs w:val="24"/>
          </w:rPr>
          <w:t>Cyprus</w:t>
        </w:r>
      </w:hyperlink>
      <w:r w:rsidR="001476DD" w:rsidRPr="00D16622">
        <w:rPr>
          <w:rFonts w:ascii="Times New Roman" w:hAnsi="Times New Roman" w:cs="Times New Roman"/>
          <w:noProof/>
          <w:sz w:val="24"/>
          <w:szCs w:val="24"/>
          <w:lang w:val="en-IE"/>
        </w:rPr>
        <w:t xml:space="preserve">, </w:t>
      </w:r>
      <w:r w:rsidR="001476DD" w:rsidRPr="00D16622">
        <w:rPr>
          <w:rFonts w:ascii="Times New Roman" w:hAnsi="Times New Roman" w:cs="Times New Roman"/>
          <w:bCs/>
          <w:noProof/>
          <w:sz w:val="24"/>
          <w:szCs w:val="24"/>
        </w:rPr>
        <w:t xml:space="preserve">substantial steps have been taken to enhance public participation in decision-making, including with the adoption of the bill on Citizens’ Legislative Initiative, empowering citizens to propose policies through </w:t>
      </w:r>
      <w:r w:rsidR="001476DD" w:rsidRPr="00D16622">
        <w:rPr>
          <w:rFonts w:ascii="Times New Roman" w:hAnsi="Times New Roman" w:cs="Times New Roman"/>
          <w:bCs/>
          <w:noProof/>
          <w:sz w:val="24"/>
          <w:szCs w:val="24"/>
          <w:lang w:val="en-IE"/>
        </w:rPr>
        <w:t>a formal mechanism.</w:t>
      </w:r>
      <w:r w:rsidR="001476DD" w:rsidRPr="00D16622">
        <w:rPr>
          <w:rFonts w:ascii="Times New Roman" w:hAnsi="Times New Roman" w:cs="Times New Roman"/>
          <w:noProof/>
          <w:sz w:val="24"/>
          <w:szCs w:val="24"/>
        </w:rPr>
        <w:t xml:space="preserve"> </w:t>
      </w:r>
      <w:r w:rsidR="001476DD" w:rsidRPr="00D16622">
        <w:rPr>
          <w:rFonts w:ascii="Times New Roman" w:eastAsia="Times New Roman" w:hAnsi="Times New Roman" w:cs="Times New Roman"/>
          <w:noProof/>
          <w:sz w:val="24"/>
          <w:szCs w:val="24"/>
        </w:rPr>
        <w:t xml:space="preserve">In </w:t>
      </w:r>
      <w:hyperlink r:id="rId350" w:history="1">
        <w:r w:rsidR="009F1189" w:rsidRPr="00D16622">
          <w:rPr>
            <w:rStyle w:val="Hyperlink"/>
            <w:rFonts w:cs="Times New Roman"/>
            <w:noProof/>
            <w:szCs w:val="24"/>
          </w:rPr>
          <w:t>Portugal</w:t>
        </w:r>
      </w:hyperlink>
      <w:r w:rsidR="001476DD" w:rsidRPr="00D16622">
        <w:rPr>
          <w:rFonts w:ascii="Times New Roman" w:eastAsia="Times New Roman" w:hAnsi="Times New Roman" w:cs="Times New Roman"/>
          <w:noProof/>
          <w:sz w:val="24"/>
          <w:szCs w:val="24"/>
        </w:rPr>
        <w:t xml:space="preserve">, steps are being taken to improve the transparency of law-making, as new measures are being implemented by Parliament and the Government’s work on a ‘legislative footprint’ system continues. </w:t>
      </w:r>
      <w:r w:rsidR="001476DD" w:rsidRPr="00D16622">
        <w:rPr>
          <w:rFonts w:ascii="Times New Roman" w:hAnsi="Times New Roman" w:cs="Times New Roman"/>
          <w:noProof/>
          <w:sz w:val="24"/>
          <w:szCs w:val="24"/>
        </w:rPr>
        <w:t xml:space="preserve">In </w:t>
      </w:r>
      <w:hyperlink r:id="rId351" w:history="1">
        <w:r w:rsidR="006E659B" w:rsidRPr="00D16622">
          <w:rPr>
            <w:rStyle w:val="Hyperlink"/>
            <w:rFonts w:cs="Times New Roman"/>
            <w:noProof/>
            <w:szCs w:val="24"/>
          </w:rPr>
          <w:t>Romania</w:t>
        </w:r>
      </w:hyperlink>
      <w:r w:rsidR="001476DD" w:rsidRPr="00D16622">
        <w:rPr>
          <w:rFonts w:ascii="Times New Roman" w:hAnsi="Times New Roman" w:cs="Times New Roman"/>
          <w:noProof/>
          <w:sz w:val="24"/>
          <w:szCs w:val="24"/>
        </w:rPr>
        <w:t>, some further progress has been made</w:t>
      </w:r>
      <w:r w:rsidR="00E3274E" w:rsidRPr="00D16622">
        <w:rPr>
          <w:rFonts w:ascii="Times New Roman" w:hAnsi="Times New Roman" w:cs="Times New Roman"/>
          <w:noProof/>
          <w:sz w:val="24"/>
          <w:szCs w:val="24"/>
        </w:rPr>
        <w:t xml:space="preserve"> to address</w:t>
      </w:r>
      <w:r w:rsidR="001476DD" w:rsidRPr="00D16622">
        <w:rPr>
          <w:rFonts w:ascii="Times New Roman" w:hAnsi="Times New Roman" w:cs="Times New Roman"/>
          <w:noProof/>
          <w:sz w:val="24"/>
          <w:szCs w:val="24"/>
        </w:rPr>
        <w:t xml:space="preserve"> the frequent use of government emergency ordinances and effective public consultations, while a number of shortcomings remain in practice. </w:t>
      </w:r>
      <w:r w:rsidR="001476DD" w:rsidRPr="00D16622">
        <w:rPr>
          <w:rFonts w:ascii="Times New Roman" w:hAnsi="Times New Roman" w:cs="Times New Roman"/>
          <w:bCs/>
          <w:noProof/>
          <w:sz w:val="24"/>
          <w:szCs w:val="24"/>
          <w:lang w:val="en-IE"/>
        </w:rPr>
        <w:t xml:space="preserve">In </w:t>
      </w:r>
      <w:hyperlink r:id="rId352" w:history="1">
        <w:r w:rsidR="001476DD" w:rsidRPr="00D16622">
          <w:rPr>
            <w:rStyle w:val="Hyperlink"/>
            <w:rFonts w:cs="Times New Roman"/>
            <w:bCs/>
            <w:noProof/>
            <w:szCs w:val="24"/>
            <w:lang w:val="en-IE"/>
          </w:rPr>
          <w:t>Greece</w:t>
        </w:r>
      </w:hyperlink>
      <w:r w:rsidR="001476DD" w:rsidRPr="00D16622">
        <w:rPr>
          <w:rFonts w:ascii="Times New Roman" w:hAnsi="Times New Roman" w:cs="Times New Roman"/>
          <w:bCs/>
          <w:noProof/>
          <w:sz w:val="24"/>
          <w:szCs w:val="24"/>
          <w:lang w:val="en-IE"/>
        </w:rPr>
        <w:t xml:space="preserve">, the quality of the legislative process shows improvements, yet challenges persist, including frequent legislative changes. </w:t>
      </w:r>
    </w:p>
    <w:p w14:paraId="2E440DAE" w14:textId="72D861D3" w:rsidR="001476DD" w:rsidRPr="00D16622" w:rsidRDefault="001476DD" w:rsidP="001476DD">
      <w:pPr>
        <w:spacing w:after="120" w:line="240" w:lineRule="auto"/>
        <w:jc w:val="both"/>
        <w:rPr>
          <w:rFonts w:ascii="Times New Roman" w:hAnsi="Times New Roman" w:cs="Times New Roman"/>
          <w:noProof/>
          <w:sz w:val="24"/>
          <w:szCs w:val="24"/>
          <w:lang w:val="en-IE"/>
        </w:rPr>
      </w:pPr>
      <w:r w:rsidRPr="00D16622">
        <w:rPr>
          <w:rFonts w:ascii="Times New Roman" w:hAnsi="Times New Roman" w:cs="Times New Roman"/>
          <w:noProof/>
          <w:sz w:val="24"/>
          <w:szCs w:val="24"/>
        </w:rPr>
        <w:t>However, in other Member States, shortcomings remain about the involvement of stakeholders in the legislative process and have shown deterioration</w:t>
      </w:r>
      <w:r w:rsidR="00217275" w:rsidRPr="00D16622">
        <w:rPr>
          <w:rFonts w:ascii="Times New Roman" w:hAnsi="Times New Roman" w:cs="Times New Roman"/>
          <w:noProof/>
          <w:sz w:val="24"/>
          <w:szCs w:val="24"/>
        </w:rPr>
        <w:t xml:space="preserve"> in certain instances</w:t>
      </w:r>
      <w:r w:rsidRPr="00D16622">
        <w:rPr>
          <w:rFonts w:ascii="Times New Roman" w:hAnsi="Times New Roman" w:cs="Times New Roman"/>
          <w:noProof/>
          <w:sz w:val="24"/>
          <w:szCs w:val="24"/>
        </w:rPr>
        <w:t xml:space="preserve">. This includes concerns over the excessive use of emergency procedures. </w:t>
      </w:r>
      <w:r w:rsidRPr="00D16622">
        <w:rPr>
          <w:rFonts w:ascii="Times New Roman" w:hAnsi="Times New Roman" w:cs="Times New Roman"/>
          <w:noProof/>
          <w:sz w:val="24"/>
          <w:szCs w:val="24"/>
          <w:lang w:val="en-IE"/>
        </w:rPr>
        <w:t xml:space="preserve">In </w:t>
      </w:r>
      <w:hyperlink r:id="rId353" w:history="1">
        <w:r w:rsidRPr="00D16622">
          <w:rPr>
            <w:rStyle w:val="Hyperlink"/>
            <w:rFonts w:cs="Times New Roman"/>
            <w:noProof/>
            <w:szCs w:val="24"/>
            <w:lang w:val="en-IE"/>
          </w:rPr>
          <w:t>Bulgaria</w:t>
        </w:r>
      </w:hyperlink>
      <w:r w:rsidRPr="00D16622">
        <w:rPr>
          <w:rFonts w:ascii="Times New Roman" w:hAnsi="Times New Roman" w:cs="Times New Roman"/>
          <w:noProof/>
          <w:sz w:val="24"/>
          <w:szCs w:val="24"/>
          <w:lang w:val="en-IE"/>
        </w:rPr>
        <w:t xml:space="preserve">, problems over the practical implementation of rules for law-making continue, and concerns regarding the quality of the legislative process persist. In </w:t>
      </w:r>
      <w:hyperlink r:id="rId354" w:history="1">
        <w:r w:rsidRPr="00D16622">
          <w:rPr>
            <w:rStyle w:val="Hyperlink"/>
            <w:rFonts w:cs="Times New Roman"/>
            <w:noProof/>
            <w:szCs w:val="24"/>
            <w:lang w:val="en-IE"/>
          </w:rPr>
          <w:t>Czechia</w:t>
        </w:r>
      </w:hyperlink>
      <w:r w:rsidRPr="00D16622">
        <w:rPr>
          <w:rFonts w:ascii="Times New Roman" w:hAnsi="Times New Roman" w:cs="Times New Roman"/>
          <w:noProof/>
          <w:sz w:val="24"/>
          <w:szCs w:val="24"/>
          <w:lang w:val="en-IE"/>
        </w:rPr>
        <w:t xml:space="preserve">, accelerated legislative procedures, circumvention of public engagement and inter-department review continue to impact the quality of the legislative process, with stakeholders raising concerns with regard to the circumvention of public participation in acts of significant importance. In </w:t>
      </w:r>
      <w:hyperlink r:id="rId355" w:history="1">
        <w:r w:rsidR="00421F48" w:rsidRPr="00D16622">
          <w:rPr>
            <w:rStyle w:val="Hyperlink"/>
            <w:rFonts w:cs="Times New Roman"/>
            <w:noProof/>
            <w:szCs w:val="24"/>
          </w:rPr>
          <w:t>Slovakia</w:t>
        </w:r>
      </w:hyperlink>
      <w:r w:rsidRPr="00D16622">
        <w:rPr>
          <w:rFonts w:ascii="Times New Roman" w:hAnsi="Times New Roman" w:cs="Times New Roman"/>
          <w:noProof/>
          <w:sz w:val="24"/>
          <w:szCs w:val="24"/>
          <w:lang w:val="en-IE"/>
        </w:rPr>
        <w:t xml:space="preserve">, the lawmaking process continues to raise concerns due to insufficient public consultation and stakeholder involvement and frequent use of fast-track procedures, </w:t>
      </w:r>
      <w:r w:rsidR="00740899" w:rsidRPr="00D16622">
        <w:rPr>
          <w:rFonts w:ascii="Times New Roman" w:hAnsi="Times New Roman" w:cs="Times New Roman"/>
          <w:noProof/>
          <w:sz w:val="24"/>
          <w:szCs w:val="24"/>
          <w:lang w:val="en-IE"/>
        </w:rPr>
        <w:t xml:space="preserve">including </w:t>
      </w:r>
      <w:r w:rsidRPr="00D16622">
        <w:rPr>
          <w:rFonts w:ascii="Times New Roman" w:hAnsi="Times New Roman" w:cs="Times New Roman"/>
          <w:noProof/>
          <w:sz w:val="24"/>
          <w:szCs w:val="24"/>
          <w:lang w:val="en-IE"/>
        </w:rPr>
        <w:t xml:space="preserve">for </w:t>
      </w:r>
      <w:r w:rsidR="00BC648B" w:rsidRPr="00D16622">
        <w:rPr>
          <w:rFonts w:ascii="Times New Roman" w:hAnsi="Times New Roman" w:cs="Times New Roman"/>
          <w:noProof/>
          <w:sz w:val="24"/>
          <w:szCs w:val="24"/>
          <w:lang w:val="en-IE"/>
        </w:rPr>
        <w:t xml:space="preserve">high impact </w:t>
      </w:r>
      <w:r w:rsidRPr="00D16622">
        <w:rPr>
          <w:rFonts w:ascii="Times New Roman" w:hAnsi="Times New Roman" w:cs="Times New Roman"/>
          <w:noProof/>
          <w:sz w:val="24"/>
          <w:szCs w:val="24"/>
          <w:lang w:val="en-IE"/>
        </w:rPr>
        <w:t>legislation.</w:t>
      </w:r>
      <w:r w:rsidR="00BF5B93" w:rsidRPr="00D16622">
        <w:rPr>
          <w:rFonts w:ascii="Times New Roman" w:hAnsi="Times New Roman" w:cs="Times New Roman"/>
          <w:noProof/>
          <w:sz w:val="24"/>
          <w:szCs w:val="24"/>
          <w:lang w:val="en-IE"/>
        </w:rPr>
        <w:t xml:space="preserve"> </w:t>
      </w:r>
    </w:p>
    <w:p w14:paraId="03CD938C" w14:textId="4A5E9339" w:rsidR="001476DD" w:rsidRPr="00D16622" w:rsidRDefault="54DDA15A" w:rsidP="001476DD">
      <w:pPr>
        <w:spacing w:after="120" w:line="240" w:lineRule="auto"/>
        <w:jc w:val="both"/>
        <w:rPr>
          <w:rFonts w:ascii="Times New Roman" w:hAnsi="Times New Roman" w:cs="Times New Roman"/>
          <w:noProof/>
          <w:sz w:val="24"/>
          <w:szCs w:val="24"/>
        </w:rPr>
      </w:pPr>
      <w:r w:rsidRPr="00D16622">
        <w:rPr>
          <w:rFonts w:ascii="Times New Roman" w:eastAsia="Times New Roman" w:hAnsi="Times New Roman" w:cs="Times New Roman"/>
          <w:noProof/>
          <w:sz w:val="24"/>
          <w:szCs w:val="24"/>
        </w:rPr>
        <w:t>I</w:t>
      </w:r>
      <w:r w:rsidR="001476DD" w:rsidRPr="00D16622">
        <w:rPr>
          <w:rFonts w:ascii="Times New Roman" w:eastAsia="Times New Roman" w:hAnsi="Times New Roman" w:cs="Times New Roman"/>
          <w:noProof/>
          <w:sz w:val="24"/>
          <w:szCs w:val="24"/>
        </w:rPr>
        <w:t xml:space="preserve">n </w:t>
      </w:r>
      <w:hyperlink r:id="rId356" w:history="1">
        <w:r w:rsidR="00757A27" w:rsidRPr="00D16622">
          <w:rPr>
            <w:rStyle w:val="Hyperlink"/>
            <w:rFonts w:cs="Times New Roman"/>
            <w:noProof/>
            <w:szCs w:val="24"/>
          </w:rPr>
          <w:t>Albania</w:t>
        </w:r>
      </w:hyperlink>
      <w:r w:rsidR="001476DD" w:rsidRPr="00D16622">
        <w:rPr>
          <w:rFonts w:ascii="Times New Roman" w:eastAsia="Times New Roman" w:hAnsi="Times New Roman" w:cs="Times New Roman"/>
          <w:noProof/>
          <w:sz w:val="24"/>
          <w:szCs w:val="24"/>
        </w:rPr>
        <w:t>, concerns remain regarding the quality of the legislative process, including the consistent application of evidence-based policymaking</w:t>
      </w:r>
      <w:r w:rsidR="001734DB" w:rsidRPr="00D16622">
        <w:rPr>
          <w:rFonts w:ascii="Times New Roman" w:eastAsia="Times New Roman" w:hAnsi="Times New Roman" w:cs="Times New Roman"/>
          <w:noProof/>
          <w:sz w:val="24"/>
          <w:szCs w:val="24"/>
        </w:rPr>
        <w:t xml:space="preserve"> and the effectiveness of public consultations</w:t>
      </w:r>
      <w:r w:rsidR="001476DD" w:rsidRPr="00D16622">
        <w:rPr>
          <w:rFonts w:ascii="Times New Roman" w:eastAsia="Times New Roman" w:hAnsi="Times New Roman" w:cs="Times New Roman"/>
          <w:noProof/>
          <w:sz w:val="24"/>
          <w:szCs w:val="24"/>
        </w:rPr>
        <w:t xml:space="preserve">. In </w:t>
      </w:r>
      <w:hyperlink r:id="rId357" w:history="1">
        <w:r w:rsidR="00A1658E" w:rsidRPr="00D16622">
          <w:rPr>
            <w:rStyle w:val="Hyperlink"/>
            <w:rFonts w:cs="Times New Roman"/>
            <w:noProof/>
            <w:szCs w:val="24"/>
          </w:rPr>
          <w:t>North Macedonia</w:t>
        </w:r>
      </w:hyperlink>
      <w:r w:rsidR="001476DD" w:rsidRPr="00D16622">
        <w:rPr>
          <w:rFonts w:ascii="Times New Roman" w:hAnsi="Times New Roman" w:cs="Times New Roman"/>
          <w:noProof/>
          <w:sz w:val="24"/>
          <w:szCs w:val="24"/>
        </w:rPr>
        <w:t xml:space="preserve">, </w:t>
      </w:r>
      <w:r w:rsidR="001476DD" w:rsidRPr="00D16622">
        <w:rPr>
          <w:rFonts w:ascii="Times New Roman" w:eastAsia="Times New Roman" w:hAnsi="Times New Roman" w:cs="Times New Roman"/>
          <w:noProof/>
          <w:sz w:val="24"/>
          <w:szCs w:val="24"/>
        </w:rPr>
        <w:t xml:space="preserve">the Parliament continued implementing its Rules of Procedure and improved its efficiency, while a significant number of laws were adopted under a shortened legislative procedure. </w:t>
      </w:r>
      <w:r w:rsidR="00012211" w:rsidRPr="00D16622">
        <w:rPr>
          <w:rFonts w:ascii="Times New Roman" w:eastAsia="Times New Roman" w:hAnsi="Times New Roman" w:cs="Times New Roman"/>
          <w:noProof/>
          <w:sz w:val="24"/>
          <w:szCs w:val="24"/>
        </w:rPr>
        <w:t>E</w:t>
      </w:r>
      <w:r w:rsidR="001476DD" w:rsidRPr="00D16622">
        <w:rPr>
          <w:rFonts w:ascii="Times New Roman" w:eastAsia="Times New Roman" w:hAnsi="Times New Roman" w:cs="Times New Roman"/>
          <w:noProof/>
          <w:sz w:val="24"/>
          <w:szCs w:val="24"/>
        </w:rPr>
        <w:t xml:space="preserve">fforts were made to address shortcomings concerning evidence-based policy planning. In </w:t>
      </w:r>
      <w:hyperlink r:id="rId358" w:history="1">
        <w:r w:rsidR="00641FC4" w:rsidRPr="00D16622">
          <w:rPr>
            <w:rStyle w:val="Hyperlink"/>
            <w:rFonts w:cs="Times New Roman"/>
            <w:noProof/>
            <w:szCs w:val="24"/>
          </w:rPr>
          <w:t>Serbia</w:t>
        </w:r>
      </w:hyperlink>
      <w:r w:rsidR="001476DD" w:rsidRPr="00D16622">
        <w:rPr>
          <w:rFonts w:ascii="Times New Roman" w:eastAsia="Times New Roman" w:hAnsi="Times New Roman" w:cs="Times New Roman"/>
          <w:noProof/>
          <w:sz w:val="24"/>
          <w:szCs w:val="24"/>
        </w:rPr>
        <w:t xml:space="preserve">, the </w:t>
      </w:r>
      <w:r w:rsidR="001521F8" w:rsidRPr="00D16622">
        <w:rPr>
          <w:rFonts w:ascii="Times New Roman" w:eastAsia="Times New Roman" w:hAnsi="Times New Roman" w:cs="Times New Roman"/>
          <w:noProof/>
          <w:sz w:val="24"/>
          <w:szCs w:val="24"/>
        </w:rPr>
        <w:t>legal framework for public consultations and its enforcement has deteriorated</w:t>
      </w:r>
      <w:r w:rsidR="00E511AC" w:rsidRPr="00D16622">
        <w:rPr>
          <w:rFonts w:ascii="Times New Roman" w:eastAsia="Times New Roman" w:hAnsi="Times New Roman" w:cs="Times New Roman"/>
          <w:noProof/>
          <w:sz w:val="24"/>
          <w:szCs w:val="24"/>
        </w:rPr>
        <w:t>, with lowered standards and a decrease in the number of consultations</w:t>
      </w:r>
      <w:r w:rsidR="001476DD" w:rsidRPr="00D16622">
        <w:rPr>
          <w:rFonts w:ascii="Times New Roman" w:eastAsia="Times New Roman" w:hAnsi="Times New Roman" w:cs="Times New Roman"/>
          <w:noProof/>
          <w:sz w:val="24"/>
          <w:szCs w:val="24"/>
        </w:rPr>
        <w:t>.</w:t>
      </w:r>
    </w:p>
    <w:p w14:paraId="00A21258" w14:textId="6A236AE4" w:rsidR="001476DD" w:rsidRPr="00D16622" w:rsidRDefault="001476DD" w:rsidP="001476DD">
      <w:pPr>
        <w:spacing w:after="120" w:line="240" w:lineRule="auto"/>
        <w:jc w:val="both"/>
        <w:rPr>
          <w:rFonts w:ascii="Times New Roman" w:hAnsi="Times New Roman" w:cs="Times New Roman"/>
          <w:i/>
          <w:iCs/>
          <w:noProof/>
          <w:sz w:val="24"/>
          <w:szCs w:val="24"/>
        </w:rPr>
      </w:pPr>
      <w:r w:rsidRPr="00D16622">
        <w:rPr>
          <w:rFonts w:ascii="Times New Roman" w:hAnsi="Times New Roman" w:cs="Times New Roman"/>
          <w:i/>
          <w:iCs/>
          <w:noProof/>
          <w:sz w:val="24"/>
          <w:szCs w:val="24"/>
        </w:rPr>
        <w:t>Significant developments on Supreme and Constitutional Courts in the checks and balances</w:t>
      </w:r>
    </w:p>
    <w:p w14:paraId="64A65B16" w14:textId="41FED17A" w:rsidR="001476DD" w:rsidRPr="00D16622" w:rsidRDefault="00550967" w:rsidP="001476DD">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As key actors within systems of checks and balances, c</w:t>
      </w:r>
      <w:r w:rsidR="00706485" w:rsidRPr="00D16622">
        <w:rPr>
          <w:rFonts w:ascii="Times New Roman" w:hAnsi="Times New Roman" w:cs="Times New Roman"/>
          <w:noProof/>
          <w:sz w:val="24"/>
          <w:szCs w:val="24"/>
        </w:rPr>
        <w:t xml:space="preserve">onstitutional jurisdictions </w:t>
      </w:r>
      <w:r w:rsidR="00B5294E" w:rsidRPr="00D16622">
        <w:rPr>
          <w:rFonts w:ascii="Times New Roman" w:hAnsi="Times New Roman" w:cs="Times New Roman"/>
          <w:noProof/>
          <w:sz w:val="24"/>
          <w:szCs w:val="24"/>
        </w:rPr>
        <w:t xml:space="preserve">contribute significantly to </w:t>
      </w:r>
      <w:r w:rsidR="00706485" w:rsidRPr="00D16622">
        <w:rPr>
          <w:rFonts w:ascii="Times New Roman" w:hAnsi="Times New Roman" w:cs="Times New Roman"/>
          <w:noProof/>
          <w:sz w:val="24"/>
          <w:szCs w:val="24"/>
        </w:rPr>
        <w:t>the effective application of EU law</w:t>
      </w:r>
      <w:r w:rsidR="006E797B" w:rsidRPr="00D16622">
        <w:rPr>
          <w:rFonts w:ascii="Times New Roman" w:hAnsi="Times New Roman" w:cs="Times New Roman"/>
          <w:noProof/>
          <w:sz w:val="24"/>
          <w:szCs w:val="24"/>
        </w:rPr>
        <w:t xml:space="preserve"> and</w:t>
      </w:r>
      <w:r w:rsidR="00706485" w:rsidRPr="00D16622">
        <w:rPr>
          <w:rFonts w:ascii="Times New Roman" w:hAnsi="Times New Roman" w:cs="Times New Roman"/>
          <w:noProof/>
          <w:sz w:val="24"/>
          <w:szCs w:val="24"/>
        </w:rPr>
        <w:t xml:space="preserve"> the integrity of the EU legal orde</w:t>
      </w:r>
      <w:r w:rsidR="006E797B" w:rsidRPr="00D16622">
        <w:rPr>
          <w:rFonts w:ascii="Times New Roman" w:hAnsi="Times New Roman" w:cs="Times New Roman"/>
          <w:noProof/>
          <w:sz w:val="24"/>
          <w:szCs w:val="24"/>
        </w:rPr>
        <w:t>r</w:t>
      </w:r>
      <w:r w:rsidR="00706485" w:rsidRPr="00D16622">
        <w:rPr>
          <w:rFonts w:ascii="Times New Roman" w:hAnsi="Times New Roman" w:cs="Times New Roman"/>
          <w:noProof/>
          <w:sz w:val="24"/>
          <w:szCs w:val="24"/>
        </w:rPr>
        <w:t xml:space="preserve">. While Member States retain competence over the establishment, composition, and functioning of these bodies, they must exercise that competence in accordance with EU law and </w:t>
      </w:r>
      <w:r w:rsidR="00B81C42" w:rsidRPr="00D16622">
        <w:rPr>
          <w:rFonts w:ascii="Times New Roman" w:hAnsi="Times New Roman" w:cs="Times New Roman"/>
          <w:noProof/>
          <w:sz w:val="24"/>
          <w:szCs w:val="24"/>
        </w:rPr>
        <w:t>European</w:t>
      </w:r>
      <w:r w:rsidR="00706485" w:rsidRPr="00D16622">
        <w:rPr>
          <w:rFonts w:ascii="Times New Roman" w:hAnsi="Times New Roman" w:cs="Times New Roman"/>
          <w:noProof/>
          <w:sz w:val="24"/>
          <w:szCs w:val="24"/>
        </w:rPr>
        <w:t xml:space="preserve"> values. </w:t>
      </w:r>
      <w:r w:rsidR="001476DD" w:rsidRPr="00D16622">
        <w:rPr>
          <w:rFonts w:ascii="Times New Roman" w:hAnsi="Times New Roman" w:cs="Times New Roman"/>
          <w:noProof/>
          <w:sz w:val="24"/>
          <w:szCs w:val="24"/>
        </w:rPr>
        <w:t xml:space="preserve">Constitutional Courts also often deliver rulings that have important implications for the overall system of checks and balances. </w:t>
      </w:r>
    </w:p>
    <w:p w14:paraId="5D013FC5" w14:textId="49332E7D" w:rsidR="001476DD" w:rsidRPr="00D16622" w:rsidRDefault="001476DD" w:rsidP="001476DD">
      <w:pPr>
        <w:spacing w:after="120" w:line="240" w:lineRule="auto"/>
        <w:jc w:val="both"/>
        <w:rPr>
          <w:rFonts w:ascii="Times New Roman" w:hAnsi="Times New Roman" w:cs="Times New Roman"/>
          <w:noProof/>
          <w:sz w:val="24"/>
          <w:szCs w:val="24"/>
          <w:lang w:val="en-IE"/>
        </w:rPr>
      </w:pPr>
      <w:r w:rsidRPr="00D16622">
        <w:rPr>
          <w:rFonts w:ascii="Times New Roman" w:hAnsi="Times New Roman" w:cs="Times New Roman"/>
          <w:noProof/>
          <w:sz w:val="24"/>
          <w:szCs w:val="24"/>
        </w:rPr>
        <w:t xml:space="preserve">In </w:t>
      </w:r>
      <w:hyperlink r:id="rId359" w:history="1">
        <w:r w:rsidR="00DB53E0" w:rsidRPr="00D16622">
          <w:rPr>
            <w:rStyle w:val="Hyperlink"/>
            <w:rFonts w:eastAsia="Times New Roman" w:cs="Times New Roman"/>
            <w:noProof/>
            <w:szCs w:val="24"/>
            <w:lang w:val="en-IE"/>
          </w:rPr>
          <w:t>Latvia</w:t>
        </w:r>
      </w:hyperlink>
      <w:r w:rsidRPr="00D16622">
        <w:rPr>
          <w:rFonts w:ascii="Times New Roman" w:hAnsi="Times New Roman" w:cs="Times New Roman"/>
          <w:noProof/>
          <w:sz w:val="24"/>
          <w:szCs w:val="24"/>
        </w:rPr>
        <w:t>, c</w:t>
      </w:r>
      <w:r w:rsidRPr="00D16622">
        <w:rPr>
          <w:rFonts w:ascii="Times New Roman" w:eastAsia="Times New Roman" w:hAnsi="Times New Roman" w:cs="Times New Roman"/>
          <w:noProof/>
          <w:sz w:val="24"/>
          <w:szCs w:val="24"/>
        </w:rPr>
        <w:t>onsiderations are ongoing regarding possible amendments to the Law on the Constitutional Court, including measures to further safeguard the independence of judges of the Constitutional Court</w:t>
      </w:r>
      <w:r w:rsidRPr="00D16622">
        <w:rPr>
          <w:rFonts w:ascii="Times New Roman" w:eastAsia="Times New Roman" w:hAnsi="Times New Roman" w:cs="Times New Roman"/>
          <w:noProof/>
          <w:sz w:val="24"/>
          <w:szCs w:val="24"/>
          <w:lang w:val="en-IE"/>
        </w:rPr>
        <w:t xml:space="preserve">. </w:t>
      </w:r>
    </w:p>
    <w:p w14:paraId="13F859A3" w14:textId="1799781B" w:rsidR="001476DD" w:rsidRPr="00D16622" w:rsidRDefault="001476DD" w:rsidP="001476DD">
      <w:pPr>
        <w:spacing w:after="0" w:line="240" w:lineRule="auto"/>
        <w:jc w:val="both"/>
        <w:rPr>
          <w:rFonts w:ascii="Times New Roman" w:hAnsi="Times New Roman" w:cs="Times New Roman"/>
          <w:noProof/>
          <w:sz w:val="24"/>
          <w:szCs w:val="24"/>
        </w:rPr>
      </w:pPr>
      <w:r w:rsidRPr="00D16622">
        <w:rPr>
          <w:rFonts w:ascii="Times New Roman" w:eastAsia="Times New Roman" w:hAnsi="Times New Roman" w:cs="Times New Roman"/>
          <w:noProof/>
          <w:sz w:val="24"/>
          <w:szCs w:val="24"/>
          <w:lang w:val="en-IE"/>
        </w:rPr>
        <w:t xml:space="preserve">As regards enlargement countries, </w:t>
      </w:r>
      <w:r w:rsidR="00DD15D8" w:rsidRPr="00D16622">
        <w:rPr>
          <w:rFonts w:ascii="Times New Roman" w:hAnsi="Times New Roman" w:cs="Times New Roman"/>
          <w:noProof/>
          <w:sz w:val="24"/>
          <w:szCs w:val="24"/>
        </w:rPr>
        <w:t>i</w:t>
      </w:r>
      <w:r w:rsidRPr="00D16622">
        <w:rPr>
          <w:rFonts w:ascii="Times New Roman" w:hAnsi="Times New Roman" w:cs="Times New Roman"/>
          <w:noProof/>
          <w:sz w:val="24"/>
          <w:szCs w:val="24"/>
        </w:rPr>
        <w:t xml:space="preserve">n </w:t>
      </w:r>
      <w:hyperlink r:id="rId360" w:history="1">
        <w:r w:rsidR="00931338" w:rsidRPr="00D16622">
          <w:rPr>
            <w:rStyle w:val="Hyperlink"/>
            <w:rFonts w:cs="Times New Roman"/>
            <w:noProof/>
            <w:szCs w:val="24"/>
          </w:rPr>
          <w:t>Montenegro</w:t>
        </w:r>
      </w:hyperlink>
      <w:r w:rsidRPr="00D16622">
        <w:rPr>
          <w:rFonts w:ascii="Times New Roman" w:hAnsi="Times New Roman" w:cs="Times New Roman"/>
          <w:noProof/>
          <w:sz w:val="24"/>
          <w:szCs w:val="24"/>
        </w:rPr>
        <w:t>, two judges were appointed to the Constitutional Court, improving its functioning and efficiency, while full composition remains to be achieved.</w:t>
      </w:r>
    </w:p>
    <w:p w14:paraId="12A9199C" w14:textId="77777777" w:rsidR="00E40B03" w:rsidRPr="00D16622" w:rsidRDefault="00E40B03" w:rsidP="001476DD">
      <w:pPr>
        <w:spacing w:after="0" w:line="240" w:lineRule="auto"/>
        <w:jc w:val="both"/>
        <w:rPr>
          <w:rFonts w:ascii="Times New Roman" w:hAnsi="Times New Roman" w:cs="Times New Roman"/>
          <w:noProof/>
          <w:sz w:val="24"/>
          <w:szCs w:val="24"/>
        </w:rPr>
      </w:pPr>
    </w:p>
    <w:p w14:paraId="69A3B2A2" w14:textId="02385A02" w:rsidR="001476DD" w:rsidRPr="00D16622" w:rsidRDefault="001476DD" w:rsidP="001476DD">
      <w:pPr>
        <w:spacing w:after="120" w:line="240" w:lineRule="auto"/>
        <w:jc w:val="both"/>
        <w:rPr>
          <w:rFonts w:ascii="Times New Roman" w:hAnsi="Times New Roman" w:cs="Times New Roman"/>
          <w:i/>
          <w:iCs/>
          <w:noProof/>
          <w:sz w:val="24"/>
          <w:szCs w:val="24"/>
        </w:rPr>
      </w:pPr>
      <w:r w:rsidRPr="00D16622">
        <w:rPr>
          <w:rFonts w:ascii="Times New Roman" w:hAnsi="Times New Roman" w:cs="Times New Roman"/>
          <w:i/>
          <w:iCs/>
          <w:noProof/>
          <w:sz w:val="24"/>
          <w:szCs w:val="24"/>
        </w:rPr>
        <w:t>Ombudspersons, National Human Rights Institutions and other independent authorities</w:t>
      </w:r>
    </w:p>
    <w:p w14:paraId="4808E67D" w14:textId="702C0249" w:rsidR="001476DD" w:rsidRPr="00D16622" w:rsidRDefault="00EE2440" w:rsidP="001476DD">
      <w:pPr>
        <w:spacing w:after="120" w:line="240" w:lineRule="auto"/>
        <w:jc w:val="both"/>
        <w:rPr>
          <w:rFonts w:ascii="Times New Roman" w:hAnsi="Times New Roman" w:cs="Times New Roman"/>
          <w:noProof/>
          <w:sz w:val="24"/>
          <w:szCs w:val="24"/>
          <w:lang w:val="en-IE"/>
        </w:rPr>
      </w:pPr>
      <w:r w:rsidRPr="00D16622">
        <w:rPr>
          <w:rFonts w:ascii="Times New Roman" w:hAnsi="Times New Roman" w:cs="Times New Roman"/>
          <w:noProof/>
          <w:sz w:val="24"/>
          <w:szCs w:val="24"/>
        </w:rPr>
        <w:t>By providing independent oversight and accountability, n</w:t>
      </w:r>
      <w:r w:rsidR="001476DD" w:rsidRPr="00D16622">
        <w:rPr>
          <w:rFonts w:ascii="Times New Roman" w:hAnsi="Times New Roman" w:cs="Times New Roman"/>
          <w:noProof/>
          <w:sz w:val="24"/>
          <w:szCs w:val="24"/>
        </w:rPr>
        <w:t>ational human rights institutions (NHRIs)</w:t>
      </w:r>
      <w:r w:rsidR="001476DD" w:rsidRPr="00D16622">
        <w:rPr>
          <w:rStyle w:val="FootnoteReference"/>
          <w:rFonts w:cs="Times New Roman"/>
          <w:noProof/>
        </w:rPr>
        <w:footnoteReference w:id="76"/>
      </w:r>
      <w:r w:rsidR="001476DD" w:rsidRPr="00D16622">
        <w:rPr>
          <w:rFonts w:ascii="Times New Roman" w:hAnsi="Times New Roman" w:cs="Times New Roman"/>
          <w:noProof/>
          <w:sz w:val="24"/>
          <w:szCs w:val="24"/>
        </w:rPr>
        <w:t>, Ombudspersons</w:t>
      </w:r>
      <w:r w:rsidR="001476DD" w:rsidRPr="00D16622">
        <w:rPr>
          <w:rStyle w:val="FootnoteReference"/>
          <w:rFonts w:cs="Times New Roman"/>
          <w:noProof/>
        </w:rPr>
        <w:footnoteReference w:id="77"/>
      </w:r>
      <w:r w:rsidR="001476DD" w:rsidRPr="00D16622">
        <w:rPr>
          <w:rFonts w:ascii="Times New Roman" w:hAnsi="Times New Roman" w:cs="Times New Roman"/>
          <w:noProof/>
          <w:sz w:val="24"/>
          <w:szCs w:val="24"/>
        </w:rPr>
        <w:t>, equality bodies</w:t>
      </w:r>
      <w:r w:rsidR="001476DD" w:rsidRPr="00D16622">
        <w:rPr>
          <w:rStyle w:val="FootnoteReference"/>
          <w:rFonts w:cs="Times New Roman"/>
          <w:noProof/>
        </w:rPr>
        <w:footnoteReference w:id="78"/>
      </w:r>
      <w:r w:rsidR="001476DD" w:rsidRPr="00D16622">
        <w:rPr>
          <w:rFonts w:ascii="Times New Roman" w:hAnsi="Times New Roman" w:cs="Times New Roman"/>
          <w:noProof/>
          <w:sz w:val="24"/>
          <w:szCs w:val="24"/>
        </w:rPr>
        <w:t xml:space="preserve"> and other independent authorities</w:t>
      </w:r>
      <w:r w:rsidR="000A1571" w:rsidRPr="00D16622">
        <w:rPr>
          <w:rFonts w:ascii="Times New Roman" w:hAnsi="Times New Roman" w:cs="Times New Roman"/>
          <w:noProof/>
          <w:sz w:val="24"/>
          <w:szCs w:val="24"/>
        </w:rPr>
        <w:t xml:space="preserve"> play a crucial role in upholding the rule of law and strengthening the system of checks and balances.</w:t>
      </w:r>
      <w:r w:rsidR="001476DD" w:rsidRPr="00D16622">
        <w:rPr>
          <w:rFonts w:ascii="Times New Roman" w:hAnsi="Times New Roman" w:cs="Times New Roman"/>
          <w:noProof/>
          <w:sz w:val="24"/>
          <w:szCs w:val="24"/>
        </w:rPr>
        <w:t xml:space="preserve"> In some Member States, efforts are ongoing to strengthen these institutions.</w:t>
      </w:r>
      <w:r w:rsidR="001476DD" w:rsidRPr="00D16622">
        <w:rPr>
          <w:rFonts w:ascii="Times New Roman" w:hAnsi="Times New Roman" w:cs="Times New Roman"/>
          <w:noProof/>
          <w:sz w:val="24"/>
          <w:szCs w:val="24"/>
          <w:lang w:val="en-IE"/>
        </w:rPr>
        <w:t xml:space="preserve"> In </w:t>
      </w:r>
      <w:hyperlink r:id="rId361" w:history="1">
        <w:r w:rsidR="001476DD" w:rsidRPr="00D16622">
          <w:rPr>
            <w:rStyle w:val="Hyperlink"/>
            <w:rFonts w:cs="Times New Roman"/>
            <w:noProof/>
            <w:szCs w:val="24"/>
            <w:lang w:val="en-IE"/>
          </w:rPr>
          <w:t>Czechia</w:t>
        </w:r>
      </w:hyperlink>
      <w:r w:rsidR="001476DD" w:rsidRPr="00D16622">
        <w:rPr>
          <w:rFonts w:ascii="Times New Roman" w:hAnsi="Times New Roman" w:cs="Times New Roman"/>
          <w:b/>
          <w:bCs/>
          <w:noProof/>
          <w:sz w:val="24"/>
          <w:szCs w:val="24"/>
          <w:lang w:val="en-IE"/>
        </w:rPr>
        <w:t xml:space="preserve">, </w:t>
      </w:r>
      <w:r w:rsidR="001476DD" w:rsidRPr="00D16622">
        <w:rPr>
          <w:rFonts w:ascii="Times New Roman" w:hAnsi="Times New Roman" w:cs="Times New Roman"/>
          <w:noProof/>
          <w:sz w:val="24"/>
          <w:szCs w:val="24"/>
          <w:lang w:val="en-IE"/>
        </w:rPr>
        <w:t>implementation of the amendments to the Ombudsman Act establishing a National Human Rights Institution is ongoing.</w:t>
      </w:r>
      <w:r w:rsidR="001476DD" w:rsidRPr="00D16622">
        <w:rPr>
          <w:rFonts w:ascii="Times New Roman" w:hAnsi="Times New Roman" w:cs="Times New Roman"/>
          <w:noProof/>
          <w:sz w:val="24"/>
          <w:szCs w:val="24"/>
        </w:rPr>
        <w:t xml:space="preserve"> In </w:t>
      </w:r>
      <w:hyperlink r:id="rId362" w:history="1">
        <w:r w:rsidR="006A4A3C" w:rsidRPr="00D16622">
          <w:rPr>
            <w:rStyle w:val="Hyperlink"/>
            <w:rFonts w:cs="Times New Roman"/>
            <w:noProof/>
            <w:szCs w:val="24"/>
            <w:lang w:eastAsia="en-IE"/>
          </w:rPr>
          <w:t>Croatia</w:t>
        </w:r>
      </w:hyperlink>
      <w:r w:rsidR="001476DD" w:rsidRPr="00D16622">
        <w:rPr>
          <w:rFonts w:ascii="Times New Roman" w:hAnsi="Times New Roman" w:cs="Times New Roman"/>
          <w:noProof/>
          <w:sz w:val="24"/>
          <w:szCs w:val="24"/>
        </w:rPr>
        <w:t xml:space="preserve">, Governmental authorities further improved the implementation of recommendations by the Ombudsperson. </w:t>
      </w:r>
    </w:p>
    <w:p w14:paraId="187F29FF" w14:textId="0FA51754" w:rsidR="001476DD" w:rsidRPr="00D16622" w:rsidRDefault="001476DD" w:rsidP="001476DD">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In other Member States, NHRIs, Ombudspersons and other independent institutions continue</w:t>
      </w:r>
      <w:r w:rsidR="00CC5516" w:rsidRPr="00D16622">
        <w:rPr>
          <w:rFonts w:ascii="Times New Roman" w:hAnsi="Times New Roman" w:cs="Times New Roman"/>
          <w:noProof/>
          <w:sz w:val="24"/>
          <w:szCs w:val="24"/>
        </w:rPr>
        <w:t>d</w:t>
      </w:r>
      <w:r w:rsidRPr="00D16622">
        <w:rPr>
          <w:rFonts w:ascii="Times New Roman" w:hAnsi="Times New Roman" w:cs="Times New Roman"/>
          <w:noProof/>
          <w:sz w:val="24"/>
          <w:szCs w:val="24"/>
        </w:rPr>
        <w:t xml:space="preserve"> to face challenges</w:t>
      </w:r>
      <w:r w:rsidR="003B1A8F" w:rsidRPr="00D16622">
        <w:rPr>
          <w:rFonts w:ascii="Times New Roman" w:hAnsi="Times New Roman" w:cs="Times New Roman"/>
          <w:noProof/>
          <w:sz w:val="24"/>
          <w:szCs w:val="24"/>
        </w:rPr>
        <w:t>, including as regards resources</w:t>
      </w:r>
      <w:r w:rsidRPr="00D16622">
        <w:rPr>
          <w:rFonts w:ascii="Times New Roman" w:hAnsi="Times New Roman" w:cs="Times New Roman"/>
          <w:noProof/>
          <w:sz w:val="24"/>
          <w:szCs w:val="24"/>
        </w:rPr>
        <w:t xml:space="preserve">. </w:t>
      </w:r>
      <w:r w:rsidRPr="00D16622">
        <w:rPr>
          <w:rFonts w:ascii="Times New Roman" w:hAnsi="Times New Roman" w:cs="Times New Roman"/>
          <w:noProof/>
          <w:sz w:val="24"/>
          <w:szCs w:val="24"/>
          <w:lang w:val="en-IE"/>
        </w:rPr>
        <w:t xml:space="preserve">In </w:t>
      </w:r>
      <w:hyperlink r:id="rId363" w:history="1">
        <w:r w:rsidR="009F1189" w:rsidRPr="00D16622">
          <w:rPr>
            <w:rStyle w:val="Hyperlink"/>
            <w:rFonts w:cs="Times New Roman"/>
            <w:noProof/>
            <w:szCs w:val="24"/>
          </w:rPr>
          <w:t>Portugal</w:t>
        </w:r>
      </w:hyperlink>
      <w:r w:rsidRPr="00D16622">
        <w:rPr>
          <w:rFonts w:ascii="Times New Roman" w:hAnsi="Times New Roman" w:cs="Times New Roman"/>
          <w:noProof/>
          <w:sz w:val="24"/>
          <w:szCs w:val="24"/>
          <w:lang w:val="en-IE"/>
        </w:rPr>
        <w:t xml:space="preserve">, </w:t>
      </w:r>
      <w:r w:rsidR="00F57CA6" w:rsidRPr="00D16622">
        <w:rPr>
          <w:rFonts w:ascii="Times New Roman" w:hAnsi="Times New Roman" w:cs="Times New Roman"/>
          <w:noProof/>
          <w:sz w:val="24"/>
          <w:szCs w:val="24"/>
          <w:lang w:val="en-IE"/>
        </w:rPr>
        <w:t>a new</w:t>
      </w:r>
      <w:r w:rsidRPr="00D16622">
        <w:rPr>
          <w:rFonts w:ascii="Times New Roman" w:hAnsi="Times New Roman" w:cs="Times New Roman"/>
          <w:noProof/>
          <w:sz w:val="24"/>
          <w:szCs w:val="24"/>
          <w:lang w:val="en-IE"/>
        </w:rPr>
        <w:t xml:space="preserve"> Ombudsperson </w:t>
      </w:r>
      <w:r w:rsidR="00F57CA6" w:rsidRPr="00D16622">
        <w:rPr>
          <w:rFonts w:ascii="Times New Roman" w:hAnsi="Times New Roman" w:cs="Times New Roman"/>
          <w:noProof/>
          <w:sz w:val="24"/>
          <w:szCs w:val="24"/>
          <w:lang w:val="en-IE"/>
        </w:rPr>
        <w:t xml:space="preserve">was appointed in </w:t>
      </w:r>
      <w:r w:rsidRPr="00D16622">
        <w:rPr>
          <w:rFonts w:ascii="Times New Roman" w:hAnsi="Times New Roman" w:cs="Times New Roman"/>
          <w:noProof/>
          <w:sz w:val="24"/>
          <w:szCs w:val="24"/>
          <w:lang w:val="en-IE"/>
        </w:rPr>
        <w:t>Ju</w:t>
      </w:r>
      <w:r w:rsidR="00F57CA6" w:rsidRPr="00D16622">
        <w:rPr>
          <w:rFonts w:ascii="Times New Roman" w:hAnsi="Times New Roman" w:cs="Times New Roman"/>
          <w:noProof/>
          <w:sz w:val="24"/>
          <w:szCs w:val="24"/>
          <w:lang w:val="en-IE"/>
        </w:rPr>
        <w:t>ly</w:t>
      </w:r>
      <w:r w:rsidRPr="00D16622">
        <w:rPr>
          <w:rFonts w:ascii="Times New Roman" w:hAnsi="Times New Roman" w:cs="Times New Roman"/>
          <w:noProof/>
          <w:sz w:val="24"/>
          <w:szCs w:val="24"/>
          <w:lang w:val="en-IE"/>
        </w:rPr>
        <w:t xml:space="preserve"> 202</w:t>
      </w:r>
      <w:r w:rsidR="00F57CA6" w:rsidRPr="00D16622">
        <w:rPr>
          <w:rFonts w:ascii="Times New Roman" w:hAnsi="Times New Roman" w:cs="Times New Roman"/>
          <w:noProof/>
          <w:sz w:val="24"/>
          <w:szCs w:val="24"/>
          <w:lang w:val="en-IE"/>
        </w:rPr>
        <w:t>6</w:t>
      </w:r>
      <w:r w:rsidRPr="00D16622">
        <w:rPr>
          <w:rFonts w:ascii="Times New Roman" w:hAnsi="Times New Roman" w:cs="Times New Roman"/>
          <w:noProof/>
          <w:sz w:val="24"/>
          <w:szCs w:val="24"/>
          <w:lang w:val="en-IE"/>
        </w:rPr>
        <w:t>, following delays in the appointment procedure in the Parliament.</w:t>
      </w:r>
      <w:r w:rsidRPr="00D16622">
        <w:rPr>
          <w:rFonts w:ascii="Times New Roman" w:hAnsi="Times New Roman" w:cs="Times New Roman"/>
          <w:noProof/>
          <w:sz w:val="24"/>
          <w:szCs w:val="24"/>
        </w:rPr>
        <w:t xml:space="preserve"> </w:t>
      </w:r>
      <w:r w:rsidR="00C92EB6" w:rsidRPr="00D16622">
        <w:rPr>
          <w:rFonts w:ascii="Times New Roman" w:hAnsi="Times New Roman" w:cs="Times New Roman"/>
          <w:noProof/>
          <w:sz w:val="24"/>
          <w:szCs w:val="24"/>
          <w:lang w:val="en-IE"/>
        </w:rPr>
        <w:t xml:space="preserve">In </w:t>
      </w:r>
      <w:hyperlink r:id="rId364" w:history="1">
        <w:r w:rsidR="00C92EB6" w:rsidRPr="00D16622">
          <w:rPr>
            <w:rStyle w:val="Hyperlink"/>
            <w:rFonts w:cs="Times New Roman"/>
            <w:noProof/>
            <w:szCs w:val="24"/>
            <w:lang w:val="en-IE"/>
          </w:rPr>
          <w:t>Estonia</w:t>
        </w:r>
      </w:hyperlink>
      <w:r w:rsidR="00C92EB6" w:rsidRPr="00D16622">
        <w:rPr>
          <w:rFonts w:ascii="Times New Roman" w:hAnsi="Times New Roman" w:cs="Times New Roman"/>
          <w:noProof/>
          <w:sz w:val="24"/>
          <w:szCs w:val="24"/>
          <w:lang w:val="en-IE"/>
        </w:rPr>
        <w:t>, some independent authorities have received more tasks, while additional resources have not been allocated.</w:t>
      </w:r>
    </w:p>
    <w:p w14:paraId="617AD448" w14:textId="3E3B2688" w:rsidR="001476DD" w:rsidRPr="00D16622" w:rsidRDefault="168AA840" w:rsidP="001476DD">
      <w:pPr>
        <w:spacing w:after="120" w:line="240" w:lineRule="auto"/>
        <w:jc w:val="both"/>
        <w:rPr>
          <w:rFonts w:ascii="Times New Roman" w:hAnsi="Times New Roman" w:cs="Times New Roman"/>
          <w:noProof/>
          <w:sz w:val="24"/>
          <w:szCs w:val="24"/>
        </w:rPr>
      </w:pPr>
      <w:r w:rsidRPr="00D16622">
        <w:rPr>
          <w:rFonts w:ascii="Times New Roman" w:eastAsia="Times New Roman" w:hAnsi="Times New Roman" w:cs="Times New Roman"/>
          <w:noProof/>
          <w:sz w:val="24"/>
          <w:szCs w:val="24"/>
        </w:rPr>
        <w:t>I</w:t>
      </w:r>
      <w:r w:rsidR="001476DD" w:rsidRPr="00D16622">
        <w:rPr>
          <w:rFonts w:ascii="Times New Roman" w:eastAsia="Times New Roman" w:hAnsi="Times New Roman" w:cs="Times New Roman"/>
          <w:noProof/>
          <w:sz w:val="24"/>
          <w:szCs w:val="24"/>
        </w:rPr>
        <w:t xml:space="preserve">n </w:t>
      </w:r>
      <w:hyperlink r:id="rId365" w:history="1">
        <w:r w:rsidR="00757A27" w:rsidRPr="00D16622">
          <w:rPr>
            <w:rStyle w:val="Hyperlink"/>
            <w:rFonts w:cs="Times New Roman"/>
            <w:noProof/>
            <w:szCs w:val="24"/>
          </w:rPr>
          <w:t>Albania</w:t>
        </w:r>
      </w:hyperlink>
      <w:r w:rsidR="001476DD" w:rsidRPr="00D16622">
        <w:rPr>
          <w:rFonts w:ascii="Times New Roman" w:eastAsia="Times New Roman" w:hAnsi="Times New Roman" w:cs="Times New Roman"/>
          <w:noProof/>
          <w:sz w:val="24"/>
          <w:szCs w:val="24"/>
        </w:rPr>
        <w:t xml:space="preserve">, a new Ombudsperson and a new Commissioner for Protection against Discrimination (CPD) were appointed, with both institutions facing persisting </w:t>
      </w:r>
      <w:r w:rsidR="00980607" w:rsidRPr="00D16622">
        <w:rPr>
          <w:rFonts w:ascii="Times New Roman" w:eastAsia="Times New Roman" w:hAnsi="Times New Roman" w:cs="Times New Roman"/>
          <w:noProof/>
          <w:sz w:val="24"/>
          <w:szCs w:val="24"/>
        </w:rPr>
        <w:t xml:space="preserve">shortages in </w:t>
      </w:r>
      <w:r w:rsidR="001476DD" w:rsidRPr="00D16622">
        <w:rPr>
          <w:rFonts w:ascii="Times New Roman" w:eastAsia="Times New Roman" w:hAnsi="Times New Roman" w:cs="Times New Roman"/>
          <w:noProof/>
          <w:sz w:val="24"/>
          <w:szCs w:val="24"/>
        </w:rPr>
        <w:t xml:space="preserve">human and financial </w:t>
      </w:r>
      <w:r w:rsidR="00980607" w:rsidRPr="00D16622">
        <w:rPr>
          <w:rFonts w:ascii="Times New Roman" w:eastAsia="Times New Roman" w:hAnsi="Times New Roman" w:cs="Times New Roman"/>
          <w:noProof/>
          <w:sz w:val="24"/>
          <w:szCs w:val="24"/>
        </w:rPr>
        <w:t>resources</w:t>
      </w:r>
      <w:r w:rsidR="001476DD" w:rsidRPr="00D16622">
        <w:rPr>
          <w:rFonts w:ascii="Times New Roman" w:eastAsia="Times New Roman" w:hAnsi="Times New Roman" w:cs="Times New Roman"/>
          <w:noProof/>
          <w:sz w:val="24"/>
          <w:szCs w:val="24"/>
        </w:rPr>
        <w:t xml:space="preserve">. In </w:t>
      </w:r>
      <w:hyperlink r:id="rId366" w:history="1">
        <w:r w:rsidR="00A1658E" w:rsidRPr="00D16622">
          <w:rPr>
            <w:rStyle w:val="Hyperlink"/>
            <w:rFonts w:cs="Times New Roman"/>
            <w:noProof/>
            <w:szCs w:val="24"/>
          </w:rPr>
          <w:t>North Macedonia</w:t>
        </w:r>
      </w:hyperlink>
      <w:r w:rsidR="001476DD" w:rsidRPr="00D16622">
        <w:rPr>
          <w:rFonts w:ascii="Times New Roman" w:eastAsia="Times New Roman" w:hAnsi="Times New Roman" w:cs="Times New Roman"/>
          <w:noProof/>
          <w:sz w:val="24"/>
          <w:szCs w:val="24"/>
        </w:rPr>
        <w:t xml:space="preserve">, </w:t>
      </w:r>
      <w:r w:rsidR="003B3602" w:rsidRPr="00D16622">
        <w:rPr>
          <w:rFonts w:ascii="Times New Roman" w:eastAsia="Times New Roman" w:hAnsi="Times New Roman" w:cs="Times New Roman"/>
          <w:noProof/>
          <w:sz w:val="24"/>
          <w:szCs w:val="24"/>
        </w:rPr>
        <w:t>the Parliament made several appointments to independent institutions, although concerns remain about merit-based selection procedures</w:t>
      </w:r>
      <w:r w:rsidR="001476DD" w:rsidRPr="00D16622">
        <w:rPr>
          <w:rFonts w:ascii="Times New Roman" w:eastAsia="Times New Roman" w:hAnsi="Times New Roman" w:cs="Times New Roman"/>
          <w:noProof/>
          <w:sz w:val="24"/>
          <w:szCs w:val="24"/>
        </w:rPr>
        <w:t xml:space="preserve">. In </w:t>
      </w:r>
      <w:hyperlink r:id="rId367" w:history="1">
        <w:r w:rsidR="00641FC4" w:rsidRPr="00D16622">
          <w:rPr>
            <w:rStyle w:val="Hyperlink"/>
            <w:rFonts w:cs="Times New Roman"/>
            <w:noProof/>
            <w:szCs w:val="24"/>
          </w:rPr>
          <w:t>Serbia</w:t>
        </w:r>
      </w:hyperlink>
      <w:r w:rsidR="001476DD" w:rsidRPr="00D16622">
        <w:rPr>
          <w:rFonts w:ascii="Times New Roman" w:eastAsia="Times New Roman" w:hAnsi="Times New Roman" w:cs="Times New Roman"/>
          <w:noProof/>
          <w:sz w:val="24"/>
          <w:szCs w:val="24"/>
        </w:rPr>
        <w:t>, most independent bodies working in the area of fundamental rights continued to face resource constraints and the follow-up to their recommendations remained inconsistent.</w:t>
      </w:r>
    </w:p>
    <w:p w14:paraId="402EB449" w14:textId="3A5B8F4E" w:rsidR="001476DD" w:rsidRPr="00D16622" w:rsidRDefault="20FD73CE" w:rsidP="001476DD">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T</w:t>
      </w:r>
      <w:r w:rsidR="001476DD" w:rsidRPr="00D16622">
        <w:rPr>
          <w:rFonts w:ascii="Times New Roman" w:hAnsi="Times New Roman" w:cs="Times New Roman"/>
          <w:noProof/>
          <w:sz w:val="24"/>
          <w:szCs w:val="24"/>
        </w:rPr>
        <w:t>hree Member States have not yet established a</w:t>
      </w:r>
      <w:r w:rsidR="00945895" w:rsidRPr="00D16622">
        <w:rPr>
          <w:rFonts w:ascii="Times New Roman" w:hAnsi="Times New Roman" w:cs="Times New Roman"/>
          <w:noProof/>
          <w:sz w:val="24"/>
          <w:szCs w:val="24"/>
        </w:rPr>
        <w:t xml:space="preserve"> </w:t>
      </w:r>
      <w:r w:rsidR="001476DD" w:rsidRPr="00D16622">
        <w:rPr>
          <w:rFonts w:ascii="Times New Roman" w:hAnsi="Times New Roman" w:cs="Times New Roman"/>
          <w:noProof/>
          <w:sz w:val="24"/>
          <w:szCs w:val="24"/>
        </w:rPr>
        <w:t>n</w:t>
      </w:r>
      <w:r w:rsidR="00945895" w:rsidRPr="00D16622">
        <w:rPr>
          <w:rFonts w:ascii="Times New Roman" w:hAnsi="Times New Roman" w:cs="Times New Roman"/>
          <w:noProof/>
          <w:sz w:val="24"/>
          <w:szCs w:val="24"/>
        </w:rPr>
        <w:t>ational human rights institution accredited according to</w:t>
      </w:r>
      <w:r w:rsidR="001476DD" w:rsidRPr="00D16622">
        <w:rPr>
          <w:rFonts w:ascii="Times New Roman" w:hAnsi="Times New Roman" w:cs="Times New Roman"/>
          <w:noProof/>
          <w:sz w:val="24"/>
          <w:szCs w:val="24"/>
        </w:rPr>
        <w:t xml:space="preserve"> the UN Paris Principles</w:t>
      </w:r>
      <w:r w:rsidR="09741224" w:rsidRPr="00D16622">
        <w:rPr>
          <w:rFonts w:ascii="Times New Roman" w:hAnsi="Times New Roman" w:cs="Times New Roman"/>
          <w:noProof/>
          <w:sz w:val="24"/>
          <w:szCs w:val="24"/>
        </w:rPr>
        <w:t>.</w:t>
      </w:r>
      <w:r w:rsidR="001476DD" w:rsidRPr="00D16622">
        <w:rPr>
          <w:rFonts w:ascii="Times New Roman" w:hAnsi="Times New Roman" w:cs="Times New Roman"/>
          <w:noProof/>
          <w:sz w:val="24"/>
          <w:szCs w:val="24"/>
        </w:rPr>
        <w:t xml:space="preserve"> </w:t>
      </w:r>
      <w:r w:rsidR="34BDE0B1" w:rsidRPr="00D16622">
        <w:rPr>
          <w:rFonts w:ascii="Times New Roman" w:hAnsi="Times New Roman" w:cs="Times New Roman"/>
          <w:noProof/>
          <w:sz w:val="24"/>
          <w:szCs w:val="24"/>
        </w:rPr>
        <w:t>I</w:t>
      </w:r>
      <w:r w:rsidR="001476DD" w:rsidRPr="00D16622">
        <w:rPr>
          <w:rFonts w:ascii="Times New Roman" w:hAnsi="Times New Roman" w:cs="Times New Roman"/>
          <w:noProof/>
          <w:sz w:val="24"/>
          <w:szCs w:val="24"/>
        </w:rPr>
        <w:t xml:space="preserve">n </w:t>
      </w:r>
      <w:hyperlink r:id="rId368" w:history="1">
        <w:r w:rsidR="006E659B" w:rsidRPr="00D16622">
          <w:rPr>
            <w:rStyle w:val="Hyperlink"/>
            <w:rFonts w:cs="Times New Roman"/>
            <w:noProof/>
            <w:szCs w:val="24"/>
          </w:rPr>
          <w:t>Romania</w:t>
        </w:r>
      </w:hyperlink>
      <w:r w:rsidR="001476DD" w:rsidRPr="00D16622">
        <w:rPr>
          <w:rFonts w:ascii="Times New Roman" w:hAnsi="Times New Roman" w:cs="Times New Roman"/>
          <w:noProof/>
          <w:sz w:val="24"/>
          <w:szCs w:val="24"/>
        </w:rPr>
        <w:t xml:space="preserve">, a final decision is pending regarding the accreditation of National Human Rights Institutions. In </w:t>
      </w:r>
      <w:hyperlink r:id="rId369" w:history="1">
        <w:r w:rsidR="00F377A5" w:rsidRPr="00D16622">
          <w:rPr>
            <w:rStyle w:val="Hyperlink"/>
            <w:rFonts w:eastAsia="Times New Roman" w:cs="Times New Roman"/>
            <w:noProof/>
            <w:szCs w:val="24"/>
            <w:lang w:val="en-IE"/>
          </w:rPr>
          <w:t>Italy</w:t>
        </w:r>
      </w:hyperlink>
      <w:r w:rsidR="00F377A5" w:rsidRPr="00D16622">
        <w:rPr>
          <w:rFonts w:ascii="Times New Roman" w:eastAsia="Times New Roman" w:hAnsi="Times New Roman" w:cs="Times New Roman"/>
          <w:noProof/>
          <w:sz w:val="24"/>
          <w:szCs w:val="24"/>
          <w:lang w:val="en-IE"/>
        </w:rPr>
        <w:t xml:space="preserve"> </w:t>
      </w:r>
      <w:r w:rsidR="001476DD" w:rsidRPr="00D16622">
        <w:rPr>
          <w:rFonts w:ascii="Times New Roman" w:hAnsi="Times New Roman" w:cs="Times New Roman"/>
          <w:noProof/>
          <w:sz w:val="24"/>
          <w:szCs w:val="24"/>
        </w:rPr>
        <w:t xml:space="preserve">and </w:t>
      </w:r>
      <w:hyperlink r:id="rId370" w:history="1">
        <w:r w:rsidR="00775307" w:rsidRPr="00D16622">
          <w:rPr>
            <w:rStyle w:val="Hyperlink"/>
            <w:rFonts w:cs="Times New Roman"/>
            <w:noProof/>
            <w:szCs w:val="24"/>
          </w:rPr>
          <w:t>Malta</w:t>
        </w:r>
      </w:hyperlink>
      <w:r w:rsidR="001476DD" w:rsidRPr="00D16622">
        <w:rPr>
          <w:rFonts w:ascii="Times New Roman" w:hAnsi="Times New Roman" w:cs="Times New Roman"/>
          <w:noProof/>
          <w:sz w:val="24"/>
          <w:szCs w:val="24"/>
        </w:rPr>
        <w:t xml:space="preserve">, </w:t>
      </w:r>
      <w:r w:rsidR="0046491B" w:rsidRPr="00D16622">
        <w:rPr>
          <w:rFonts w:ascii="Times New Roman" w:hAnsi="Times New Roman" w:cs="Times New Roman"/>
          <w:noProof/>
          <w:sz w:val="24"/>
          <w:szCs w:val="24"/>
        </w:rPr>
        <w:t>only initial preparatory steps were</w:t>
      </w:r>
      <w:r w:rsidR="001476DD" w:rsidRPr="00D16622">
        <w:rPr>
          <w:rFonts w:ascii="Times New Roman" w:hAnsi="Times New Roman" w:cs="Times New Roman"/>
          <w:noProof/>
          <w:sz w:val="24"/>
          <w:szCs w:val="24"/>
        </w:rPr>
        <w:t xml:space="preserve"> made towards the establishment of a National Human Rights Institution.</w:t>
      </w:r>
    </w:p>
    <w:p w14:paraId="5AC71E19" w14:textId="77777777" w:rsidR="001476DD" w:rsidRPr="00D16622" w:rsidRDefault="001476DD" w:rsidP="001476DD">
      <w:pPr>
        <w:spacing w:after="120" w:line="240" w:lineRule="auto"/>
        <w:jc w:val="both"/>
        <w:rPr>
          <w:rFonts w:ascii="Times New Roman" w:hAnsi="Times New Roman" w:cs="Times New Roman"/>
          <w:i/>
          <w:iCs/>
          <w:noProof/>
          <w:sz w:val="24"/>
          <w:szCs w:val="24"/>
        </w:rPr>
      </w:pPr>
      <w:r w:rsidRPr="00D16622">
        <w:rPr>
          <w:rFonts w:ascii="Times New Roman" w:hAnsi="Times New Roman" w:cs="Times New Roman"/>
          <w:i/>
          <w:iCs/>
          <w:noProof/>
          <w:sz w:val="24"/>
          <w:szCs w:val="24"/>
        </w:rPr>
        <w:t xml:space="preserve">Implementation of judgments by the European Court of Human Rights and national courts </w:t>
      </w:r>
    </w:p>
    <w:p w14:paraId="23DA8D29" w14:textId="18BB520A" w:rsidR="001476DD" w:rsidRPr="00D16622" w:rsidRDefault="002C78AB" w:rsidP="001476DD">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Since 2022, the country chapters have included information on the implementation of leading judgments </w:t>
      </w:r>
      <w:r w:rsidR="00373374" w:rsidRPr="00D16622">
        <w:rPr>
          <w:rFonts w:ascii="Times New Roman" w:hAnsi="Times New Roman" w:cs="Times New Roman"/>
          <w:noProof/>
          <w:sz w:val="24"/>
          <w:szCs w:val="24"/>
        </w:rPr>
        <w:t xml:space="preserve">of the </w:t>
      </w:r>
      <w:r w:rsidR="00A739F3" w:rsidRPr="00D16622">
        <w:rPr>
          <w:rFonts w:ascii="Times New Roman" w:hAnsi="Times New Roman" w:cs="Times New Roman"/>
          <w:noProof/>
          <w:sz w:val="24"/>
          <w:szCs w:val="24"/>
        </w:rPr>
        <w:t>European Court of Human Rights (E</w:t>
      </w:r>
      <w:r w:rsidR="00290DC3" w:rsidRPr="00D16622">
        <w:rPr>
          <w:rFonts w:ascii="Times New Roman" w:hAnsi="Times New Roman" w:cs="Times New Roman"/>
          <w:noProof/>
          <w:sz w:val="24"/>
          <w:szCs w:val="24"/>
        </w:rPr>
        <w:t>CtHR)</w:t>
      </w:r>
      <w:r w:rsidR="00A739F3" w:rsidRPr="00D16622">
        <w:rPr>
          <w:rFonts w:ascii="Times New Roman" w:hAnsi="Times New Roman" w:cs="Times New Roman"/>
          <w:noProof/>
          <w:sz w:val="24"/>
          <w:szCs w:val="24"/>
        </w:rPr>
        <w:t>,</w:t>
      </w:r>
      <w:r w:rsidR="00A739F3" w:rsidRPr="00D16622" w:rsidDel="00E123EF">
        <w:rPr>
          <w:rFonts w:ascii="Times New Roman" w:hAnsi="Times New Roman" w:cs="Times New Roman"/>
          <w:noProof/>
          <w:sz w:val="24"/>
          <w:szCs w:val="24"/>
        </w:rPr>
        <w:t xml:space="preserve"> </w:t>
      </w:r>
      <w:r w:rsidRPr="00D16622">
        <w:rPr>
          <w:rFonts w:ascii="Times New Roman" w:hAnsi="Times New Roman" w:cs="Times New Roman"/>
          <w:noProof/>
          <w:sz w:val="24"/>
          <w:szCs w:val="24"/>
        </w:rPr>
        <w:t>an important indicator of the functioning of the rule of law</w:t>
      </w:r>
      <w:r w:rsidRPr="00D16622" w:rsidDel="002C3B7F">
        <w:rPr>
          <w:rFonts w:ascii="Times New Roman" w:hAnsi="Times New Roman" w:cs="Times New Roman"/>
          <w:noProof/>
          <w:sz w:val="24"/>
          <w:szCs w:val="24"/>
        </w:rPr>
        <w:t>.</w:t>
      </w:r>
      <w:r w:rsidR="001476DD" w:rsidRPr="00D16622">
        <w:rPr>
          <w:rFonts w:ascii="Times New Roman" w:hAnsi="Times New Roman" w:cs="Times New Roman"/>
          <w:noProof/>
          <w:sz w:val="24"/>
          <w:szCs w:val="24"/>
        </w:rPr>
        <w:t xml:space="preserve"> Results vary between Member States. Across the EU, around 43.9% of leading judgments of the ECtHR relating to the Member States from the last ten years are yet to be implemented, a slight improvement compared to last year</w:t>
      </w:r>
      <w:r w:rsidR="001476DD" w:rsidRPr="00D16622">
        <w:rPr>
          <w:rStyle w:val="FootnoteReference"/>
          <w:rFonts w:cs="Times New Roman"/>
          <w:noProof/>
          <w:sz w:val="24"/>
          <w:szCs w:val="24"/>
        </w:rPr>
        <w:footnoteReference w:id="79"/>
      </w:r>
      <w:r w:rsidR="001476DD" w:rsidRPr="00D16622">
        <w:rPr>
          <w:rFonts w:ascii="Times New Roman" w:hAnsi="Times New Roman" w:cs="Times New Roman"/>
          <w:noProof/>
          <w:sz w:val="24"/>
          <w:szCs w:val="24"/>
        </w:rPr>
        <w:t xml:space="preserve">. </w:t>
      </w:r>
    </w:p>
    <w:p w14:paraId="12661CD6" w14:textId="2AC5B5DF" w:rsidR="001476DD" w:rsidRPr="00D16622" w:rsidRDefault="001476DD" w:rsidP="001476DD">
      <w:pPr>
        <w:spacing w:after="120" w:line="240" w:lineRule="auto"/>
        <w:jc w:val="both"/>
        <w:rPr>
          <w:rFonts w:ascii="Times New Roman" w:eastAsia="Times New Roman" w:hAnsi="Times New Roman" w:cs="Times New Roman"/>
          <w:noProof/>
          <w:sz w:val="24"/>
          <w:szCs w:val="24"/>
        </w:rPr>
      </w:pPr>
      <w:r w:rsidRPr="00D16622">
        <w:rPr>
          <w:rFonts w:ascii="Times New Roman" w:hAnsi="Times New Roman" w:cs="Times New Roman"/>
          <w:noProof/>
          <w:sz w:val="24"/>
          <w:szCs w:val="24"/>
        </w:rPr>
        <w:t xml:space="preserve">In </w:t>
      </w:r>
      <w:hyperlink r:id="rId371" w:history="1">
        <w:r w:rsidRPr="00D16622">
          <w:rPr>
            <w:rStyle w:val="Hyperlink"/>
            <w:rFonts w:cs="Times New Roman"/>
            <w:noProof/>
            <w:szCs w:val="24"/>
          </w:rPr>
          <w:t>Belgium</w:t>
        </w:r>
      </w:hyperlink>
      <w:r w:rsidRPr="00D16622">
        <w:rPr>
          <w:rFonts w:ascii="Times New Roman" w:hAnsi="Times New Roman" w:cs="Times New Roman"/>
          <w:noProof/>
          <w:sz w:val="24"/>
          <w:szCs w:val="24"/>
        </w:rPr>
        <w:t xml:space="preserve">, compliance by public authorities with final rulings of national courts and the European Court of Human Rights remains an issue. In </w:t>
      </w:r>
      <w:hyperlink r:id="rId372" w:history="1">
        <w:r w:rsidRPr="00D16622">
          <w:rPr>
            <w:rStyle w:val="Hyperlink"/>
            <w:rFonts w:cs="Times New Roman"/>
            <w:bCs/>
            <w:noProof/>
            <w:szCs w:val="24"/>
          </w:rPr>
          <w:t>Greece</w:t>
        </w:r>
      </w:hyperlink>
      <w:r w:rsidRPr="00D16622">
        <w:rPr>
          <w:rFonts w:ascii="Times New Roman" w:hAnsi="Times New Roman" w:cs="Times New Roman"/>
          <w:noProof/>
          <w:sz w:val="24"/>
          <w:szCs w:val="24"/>
        </w:rPr>
        <w:t xml:space="preserve">, reforms seek to target the administration’s delays in enforcing final judgments. In </w:t>
      </w:r>
      <w:hyperlink r:id="rId373" w:history="1">
        <w:r w:rsidR="006032A2" w:rsidRPr="00D16622">
          <w:rPr>
            <w:rStyle w:val="Hyperlink"/>
            <w:rFonts w:cs="Times New Roman"/>
            <w:noProof/>
            <w:szCs w:val="24"/>
          </w:rPr>
          <w:t>Cyprus</w:t>
        </w:r>
      </w:hyperlink>
      <w:r w:rsidRPr="00D16622">
        <w:rPr>
          <w:rFonts w:ascii="Times New Roman" w:hAnsi="Times New Roman" w:cs="Times New Roman"/>
          <w:noProof/>
          <w:sz w:val="24"/>
          <w:szCs w:val="24"/>
        </w:rPr>
        <w:t xml:space="preserve">, </w:t>
      </w:r>
      <w:r w:rsidRPr="00D16622">
        <w:rPr>
          <w:rFonts w:ascii="Times New Roman" w:eastAsia="Times New Roman" w:hAnsi="Times New Roman" w:cs="Times New Roman"/>
          <w:noProof/>
          <w:sz w:val="24"/>
          <w:szCs w:val="24"/>
        </w:rPr>
        <w:t>efforts to remove legal obstacles in enforcing court judgments have not advanced.</w:t>
      </w:r>
    </w:p>
    <w:p w14:paraId="726D0765" w14:textId="7BA681D5" w:rsidR="001476DD" w:rsidRPr="00D16622" w:rsidRDefault="001476DD" w:rsidP="001476DD">
      <w:pPr>
        <w:spacing w:after="120" w:line="240" w:lineRule="auto"/>
        <w:jc w:val="both"/>
        <w:rPr>
          <w:rFonts w:ascii="Times New Roman" w:hAnsi="Times New Roman" w:cs="Times New Roman"/>
          <w:i/>
          <w:iCs/>
          <w:noProof/>
          <w:sz w:val="24"/>
          <w:szCs w:val="24"/>
        </w:rPr>
      </w:pPr>
      <w:r w:rsidRPr="00D16622">
        <w:rPr>
          <w:rFonts w:ascii="Times New Roman" w:hAnsi="Times New Roman" w:cs="Times New Roman"/>
          <w:i/>
          <w:iCs/>
          <w:noProof/>
          <w:sz w:val="24"/>
          <w:szCs w:val="24"/>
        </w:rPr>
        <w:t xml:space="preserve">Enabling framework for civil society </w:t>
      </w:r>
    </w:p>
    <w:p w14:paraId="5BC19CBC" w14:textId="678455A5" w:rsidR="001476DD" w:rsidRPr="00D16622" w:rsidRDefault="000D4869" w:rsidP="001476DD">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Civil society organisations and human rights defenders are essential to the protection and promotion of EU values. They act as watchdogs, </w:t>
      </w:r>
      <w:r w:rsidR="00F477C3" w:rsidRPr="00D16622">
        <w:rPr>
          <w:rFonts w:ascii="Times New Roman" w:hAnsi="Times New Roman" w:cs="Times New Roman"/>
          <w:noProof/>
          <w:sz w:val="24"/>
          <w:szCs w:val="24"/>
        </w:rPr>
        <w:t xml:space="preserve">drawing </w:t>
      </w:r>
      <w:r w:rsidRPr="00D16622">
        <w:rPr>
          <w:rFonts w:ascii="Times New Roman" w:hAnsi="Times New Roman" w:cs="Times New Roman"/>
          <w:noProof/>
          <w:sz w:val="24"/>
          <w:szCs w:val="24"/>
        </w:rPr>
        <w:t>attention to threats to the rule of law, fostering democratic principles, and helping to ensure accountability of those exercising public power.</w:t>
      </w:r>
      <w:r w:rsidR="00273FEE" w:rsidRPr="00D16622">
        <w:rPr>
          <w:rFonts w:ascii="Times New Roman" w:hAnsi="Times New Roman" w:cs="Times New Roman"/>
          <w:noProof/>
          <w:sz w:val="24"/>
          <w:szCs w:val="24"/>
        </w:rPr>
        <w:t xml:space="preserve"> </w:t>
      </w:r>
      <w:r w:rsidR="001476DD" w:rsidRPr="00D16622">
        <w:rPr>
          <w:rFonts w:ascii="Times New Roman" w:hAnsi="Times New Roman" w:cs="Times New Roman"/>
          <w:noProof/>
          <w:sz w:val="24"/>
          <w:szCs w:val="24"/>
        </w:rPr>
        <w:t>The</w:t>
      </w:r>
      <w:r w:rsidR="00635128" w:rsidRPr="00D16622">
        <w:rPr>
          <w:rFonts w:ascii="Times New Roman" w:hAnsi="Times New Roman" w:cs="Times New Roman"/>
          <w:noProof/>
          <w:sz w:val="24"/>
          <w:szCs w:val="24"/>
        </w:rPr>
        <w:t xml:space="preserve"> Commission is </w:t>
      </w:r>
      <w:r w:rsidR="00D47474" w:rsidRPr="00D16622">
        <w:rPr>
          <w:rFonts w:ascii="Times New Roman" w:hAnsi="Times New Roman" w:cs="Times New Roman"/>
          <w:noProof/>
          <w:sz w:val="24"/>
          <w:szCs w:val="24"/>
        </w:rPr>
        <w:t>supporting</w:t>
      </w:r>
      <w:r w:rsidR="00635128" w:rsidRPr="00D16622">
        <w:rPr>
          <w:rFonts w:ascii="Times New Roman" w:hAnsi="Times New Roman" w:cs="Times New Roman"/>
          <w:noProof/>
          <w:sz w:val="24"/>
          <w:szCs w:val="24"/>
        </w:rPr>
        <w:t xml:space="preserve"> Member State</w:t>
      </w:r>
      <w:r w:rsidR="00D47474" w:rsidRPr="00D16622">
        <w:rPr>
          <w:rFonts w:ascii="Times New Roman" w:hAnsi="Times New Roman" w:cs="Times New Roman"/>
          <w:noProof/>
          <w:sz w:val="24"/>
          <w:szCs w:val="24"/>
        </w:rPr>
        <w:t xml:space="preserve"> efforts</w:t>
      </w:r>
      <w:r w:rsidR="00CC30AE" w:rsidRPr="00D16622">
        <w:rPr>
          <w:rFonts w:ascii="Times New Roman" w:hAnsi="Times New Roman" w:cs="Times New Roman"/>
          <w:noProof/>
          <w:sz w:val="24"/>
          <w:szCs w:val="24"/>
        </w:rPr>
        <w:t xml:space="preserve"> to promote a thriving civic space</w:t>
      </w:r>
      <w:r w:rsidR="00A54479" w:rsidRPr="00D16622">
        <w:rPr>
          <w:rFonts w:ascii="Times New Roman" w:hAnsi="Times New Roman" w:cs="Times New Roman"/>
          <w:noProof/>
          <w:sz w:val="24"/>
          <w:szCs w:val="24"/>
        </w:rPr>
        <w:t xml:space="preserve"> as part of </w:t>
      </w:r>
      <w:r w:rsidR="00EC790F" w:rsidRPr="00D16622">
        <w:rPr>
          <w:rFonts w:ascii="Times New Roman" w:hAnsi="Times New Roman" w:cs="Times New Roman"/>
          <w:noProof/>
          <w:sz w:val="24"/>
          <w:szCs w:val="24"/>
        </w:rPr>
        <w:t>the</w:t>
      </w:r>
      <w:r w:rsidR="00A54479" w:rsidRPr="00D16622">
        <w:rPr>
          <w:rFonts w:ascii="Times New Roman" w:hAnsi="Times New Roman" w:cs="Times New Roman"/>
          <w:noProof/>
          <w:sz w:val="24"/>
          <w:szCs w:val="24"/>
        </w:rPr>
        <w:t xml:space="preserve"> implement</w:t>
      </w:r>
      <w:r w:rsidR="00EC790F" w:rsidRPr="00D16622">
        <w:rPr>
          <w:rFonts w:ascii="Times New Roman" w:hAnsi="Times New Roman" w:cs="Times New Roman"/>
          <w:noProof/>
          <w:sz w:val="24"/>
          <w:szCs w:val="24"/>
        </w:rPr>
        <w:t>ation of</w:t>
      </w:r>
      <w:r w:rsidR="00A54479" w:rsidRPr="00D16622">
        <w:rPr>
          <w:rFonts w:ascii="Times New Roman" w:hAnsi="Times New Roman" w:cs="Times New Roman"/>
          <w:noProof/>
          <w:sz w:val="24"/>
          <w:szCs w:val="24"/>
        </w:rPr>
        <w:t xml:space="preserve"> the</w:t>
      </w:r>
      <w:r w:rsidR="00984AEB" w:rsidRPr="00D16622">
        <w:rPr>
          <w:rFonts w:ascii="Times New Roman" w:hAnsi="Times New Roman" w:cs="Times New Roman"/>
          <w:noProof/>
          <w:sz w:val="24"/>
          <w:szCs w:val="24"/>
        </w:rPr>
        <w:t xml:space="preserve"> </w:t>
      </w:r>
      <w:hyperlink r:id="rId374" w:history="1">
        <w:r w:rsidR="00984AEB" w:rsidRPr="00D16622">
          <w:rPr>
            <w:rStyle w:val="Hyperlink"/>
            <w:rFonts w:cs="Times New Roman"/>
            <w:bCs/>
            <w:noProof/>
            <w:szCs w:val="24"/>
          </w:rPr>
          <w:t>EU</w:t>
        </w:r>
        <w:r w:rsidR="001476DD" w:rsidRPr="00D16622">
          <w:rPr>
            <w:rStyle w:val="Hyperlink"/>
            <w:rFonts w:cs="Times New Roman"/>
            <w:bCs/>
            <w:noProof/>
            <w:szCs w:val="24"/>
          </w:rPr>
          <w:t xml:space="preserve"> Strategy for Civil Society</w:t>
        </w:r>
      </w:hyperlink>
      <w:r w:rsidR="001476DD" w:rsidRPr="00D16622">
        <w:rPr>
          <w:rFonts w:ascii="Times New Roman" w:hAnsi="Times New Roman" w:cs="Times New Roman"/>
          <w:noProof/>
          <w:sz w:val="24"/>
          <w:szCs w:val="24"/>
        </w:rPr>
        <w:t xml:space="preserve"> </w:t>
      </w:r>
      <w:r w:rsidR="00257893" w:rsidRPr="00D16622">
        <w:rPr>
          <w:rFonts w:ascii="Times New Roman" w:hAnsi="Times New Roman" w:cs="Times New Roman"/>
          <w:noProof/>
          <w:sz w:val="24"/>
          <w:szCs w:val="24"/>
        </w:rPr>
        <w:t>and</w:t>
      </w:r>
      <w:r w:rsidR="001476DD" w:rsidRPr="00D16622">
        <w:rPr>
          <w:rFonts w:ascii="Times New Roman" w:hAnsi="Times New Roman" w:cs="Times New Roman"/>
          <w:noProof/>
          <w:sz w:val="24"/>
          <w:szCs w:val="24"/>
        </w:rPr>
        <w:t xml:space="preserve"> the </w:t>
      </w:r>
      <w:hyperlink r:id="rId375" w:history="1">
        <w:r w:rsidR="001476DD" w:rsidRPr="00D16622">
          <w:rPr>
            <w:rStyle w:val="Hyperlink"/>
            <w:rFonts w:cs="Times New Roman"/>
            <w:noProof/>
            <w:szCs w:val="24"/>
          </w:rPr>
          <w:t>2023 Recommendation on civic participation</w:t>
        </w:r>
      </w:hyperlink>
      <w:r w:rsidR="001476DD" w:rsidRPr="00D16622">
        <w:rPr>
          <w:rFonts w:ascii="Times New Roman" w:hAnsi="Times New Roman" w:cs="Times New Roman"/>
          <w:noProof/>
          <w:sz w:val="24"/>
          <w:szCs w:val="24"/>
        </w:rPr>
        <w:t>.</w:t>
      </w:r>
    </w:p>
    <w:p w14:paraId="5FB93969" w14:textId="6D29ED46" w:rsidR="00B4111A" w:rsidRPr="00D16622" w:rsidRDefault="0078279A" w:rsidP="001476DD">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An</w:t>
      </w:r>
      <w:r w:rsidR="00FD11E5" w:rsidRPr="00D16622">
        <w:rPr>
          <w:rFonts w:ascii="Times New Roman" w:hAnsi="Times New Roman" w:cs="Times New Roman"/>
          <w:noProof/>
          <w:sz w:val="24"/>
          <w:szCs w:val="24"/>
        </w:rPr>
        <w:t xml:space="preserve"> enabling and supportive framework for civil society exists</w:t>
      </w:r>
      <w:r w:rsidRPr="00D16622">
        <w:rPr>
          <w:rFonts w:ascii="Times New Roman" w:hAnsi="Times New Roman" w:cs="Times New Roman"/>
          <w:noProof/>
          <w:sz w:val="24"/>
          <w:szCs w:val="24"/>
        </w:rPr>
        <w:t xml:space="preserve"> in many Member States</w:t>
      </w:r>
      <w:r w:rsidR="00C67889" w:rsidRPr="00D16622">
        <w:rPr>
          <w:rFonts w:ascii="Times New Roman" w:hAnsi="Times New Roman" w:cs="Times New Roman"/>
          <w:noProof/>
          <w:sz w:val="24"/>
          <w:szCs w:val="24"/>
        </w:rPr>
        <w:t xml:space="preserve">. Efforts to further strengthen the environment for </w:t>
      </w:r>
      <w:r w:rsidR="00E81287" w:rsidRPr="00D16622">
        <w:rPr>
          <w:rFonts w:ascii="Times New Roman" w:hAnsi="Times New Roman" w:cs="Times New Roman"/>
          <w:noProof/>
          <w:sz w:val="24"/>
          <w:szCs w:val="24"/>
        </w:rPr>
        <w:t xml:space="preserve">civil society organisations continue in several </w:t>
      </w:r>
      <w:r w:rsidR="001476DD" w:rsidRPr="00D16622">
        <w:rPr>
          <w:rFonts w:ascii="Times New Roman" w:hAnsi="Times New Roman" w:cs="Times New Roman"/>
          <w:noProof/>
          <w:sz w:val="24"/>
          <w:szCs w:val="24"/>
        </w:rPr>
        <w:t>Member States</w:t>
      </w:r>
      <w:r w:rsidR="001476DD" w:rsidRPr="00D16622" w:rsidDel="00E81287">
        <w:rPr>
          <w:rFonts w:ascii="Times New Roman" w:hAnsi="Times New Roman" w:cs="Times New Roman"/>
          <w:noProof/>
          <w:sz w:val="24"/>
          <w:szCs w:val="24"/>
        </w:rPr>
        <w:t xml:space="preserve">, </w:t>
      </w:r>
      <w:r w:rsidR="001476DD" w:rsidRPr="00D16622">
        <w:rPr>
          <w:rFonts w:ascii="Times New Roman" w:hAnsi="Times New Roman" w:cs="Times New Roman"/>
          <w:noProof/>
          <w:sz w:val="24"/>
          <w:szCs w:val="24"/>
        </w:rPr>
        <w:t xml:space="preserve">though the degree of progress varies. In </w:t>
      </w:r>
      <w:hyperlink r:id="rId376" w:history="1">
        <w:r w:rsidR="001476DD" w:rsidRPr="00D16622">
          <w:rPr>
            <w:rStyle w:val="Hyperlink"/>
            <w:rFonts w:cs="Times New Roman"/>
            <w:noProof/>
            <w:szCs w:val="24"/>
          </w:rPr>
          <w:t>Estonia</w:t>
        </w:r>
      </w:hyperlink>
      <w:r w:rsidR="001476DD" w:rsidRPr="00D16622">
        <w:rPr>
          <w:rFonts w:ascii="Times New Roman" w:hAnsi="Times New Roman" w:cs="Times New Roman"/>
          <w:noProof/>
          <w:sz w:val="24"/>
          <w:szCs w:val="24"/>
        </w:rPr>
        <w:t xml:space="preserve">, the Strategic partnership funding programme for civil society organisations entered into force, which will allow the important source of funding for civil society organisations to continue and support the open civic space. Public authorities in </w:t>
      </w:r>
      <w:hyperlink r:id="rId377" w:history="1">
        <w:r w:rsidR="001476DD" w:rsidRPr="00D16622">
          <w:rPr>
            <w:rStyle w:val="Hyperlink"/>
            <w:rFonts w:cs="Times New Roman"/>
            <w:noProof/>
            <w:szCs w:val="24"/>
          </w:rPr>
          <w:t>France</w:t>
        </w:r>
      </w:hyperlink>
      <w:r w:rsidR="001476DD" w:rsidRPr="00D16622">
        <w:rPr>
          <w:rFonts w:ascii="Times New Roman" w:hAnsi="Times New Roman" w:cs="Times New Roman"/>
          <w:noProof/>
          <w:sz w:val="24"/>
          <w:szCs w:val="24"/>
        </w:rPr>
        <w:t xml:space="preserve"> continue to support civil society organisations, including through substantial public funding, </w:t>
      </w:r>
      <w:r w:rsidR="007C4629" w:rsidRPr="00D16622">
        <w:rPr>
          <w:rFonts w:ascii="Times New Roman" w:hAnsi="Times New Roman" w:cs="Times New Roman"/>
          <w:noProof/>
          <w:sz w:val="24"/>
          <w:szCs w:val="24"/>
        </w:rPr>
        <w:t xml:space="preserve">although </w:t>
      </w:r>
      <w:r w:rsidR="001476DD" w:rsidRPr="00D16622">
        <w:rPr>
          <w:rFonts w:ascii="Times New Roman" w:hAnsi="Times New Roman" w:cs="Times New Roman"/>
          <w:noProof/>
          <w:sz w:val="24"/>
          <w:szCs w:val="24"/>
        </w:rPr>
        <w:t>some organisations continue to face challenges to their operations.</w:t>
      </w:r>
    </w:p>
    <w:p w14:paraId="2DA6B9A1" w14:textId="663E6CBB" w:rsidR="001476DD" w:rsidRPr="00D16622" w:rsidRDefault="00B4111A" w:rsidP="001476DD">
      <w:pPr>
        <w:spacing w:after="120" w:line="240" w:lineRule="auto"/>
        <w:jc w:val="both"/>
        <w:rPr>
          <w:rFonts w:ascii="Times New Roman" w:hAnsi="Times New Roman" w:cs="Times New Roman"/>
          <w:noProof/>
          <w:sz w:val="24"/>
          <w:szCs w:val="24"/>
          <w:lang w:val="en-IE"/>
        </w:rPr>
      </w:pPr>
      <w:r w:rsidRPr="00D16622">
        <w:rPr>
          <w:rFonts w:ascii="Times New Roman" w:hAnsi="Times New Roman" w:cs="Times New Roman"/>
          <w:noProof/>
          <w:sz w:val="24"/>
          <w:szCs w:val="24"/>
        </w:rPr>
        <w:t xml:space="preserve">In certain Member States, </w:t>
      </w:r>
      <w:r w:rsidR="002D2E39" w:rsidRPr="00D16622">
        <w:rPr>
          <w:rFonts w:ascii="Times New Roman" w:hAnsi="Times New Roman" w:cs="Times New Roman"/>
          <w:noProof/>
          <w:sz w:val="24"/>
          <w:szCs w:val="24"/>
        </w:rPr>
        <w:t>measures affecting civil society organisations have been withdrawn or repealed</w:t>
      </w:r>
      <w:r w:rsidR="00C208E7" w:rsidRPr="00D16622">
        <w:rPr>
          <w:rFonts w:ascii="Times New Roman" w:hAnsi="Times New Roman" w:cs="Times New Roman"/>
          <w:noProof/>
          <w:sz w:val="24"/>
          <w:szCs w:val="24"/>
        </w:rPr>
        <w:t xml:space="preserve">. </w:t>
      </w:r>
      <w:r w:rsidR="00C208E7" w:rsidRPr="00D16622">
        <w:rPr>
          <w:rFonts w:ascii="Times New Roman" w:hAnsi="Times New Roman" w:cs="Times New Roman"/>
          <w:noProof/>
          <w:sz w:val="24"/>
          <w:szCs w:val="24"/>
          <w:lang w:val="en-IE"/>
        </w:rPr>
        <w:t xml:space="preserve">In the </w:t>
      </w:r>
      <w:hyperlink r:id="rId378" w:history="1">
        <w:r w:rsidR="002C61F5" w:rsidRPr="00D16622">
          <w:rPr>
            <w:rStyle w:val="Hyperlink"/>
            <w:rFonts w:eastAsia="Times New Roman" w:cs="Times New Roman"/>
            <w:noProof/>
            <w:szCs w:val="24"/>
          </w:rPr>
          <w:t>Netherlands</w:t>
        </w:r>
      </w:hyperlink>
      <w:r w:rsidR="00C208E7" w:rsidRPr="00D16622">
        <w:rPr>
          <w:rFonts w:ascii="Times New Roman" w:hAnsi="Times New Roman" w:cs="Times New Roman"/>
          <w:noProof/>
          <w:sz w:val="24"/>
          <w:szCs w:val="24"/>
          <w:lang w:val="en-IE"/>
        </w:rPr>
        <w:t xml:space="preserve">, the Senate rejected the Law on transparency of CSOs, which had been criticised by CSOs, charitable organisations and the NIHR. In </w:t>
      </w:r>
      <w:hyperlink r:id="rId379" w:history="1">
        <w:r w:rsidR="0042684E" w:rsidRPr="00D16622">
          <w:rPr>
            <w:rStyle w:val="Hyperlink"/>
            <w:rFonts w:cs="Times New Roman"/>
            <w:noProof/>
            <w:szCs w:val="24"/>
          </w:rPr>
          <w:t>Hungary</w:t>
        </w:r>
      </w:hyperlink>
      <w:r w:rsidR="00185CD0" w:rsidRPr="00D16622">
        <w:rPr>
          <w:rFonts w:ascii="Times New Roman" w:hAnsi="Times New Roman" w:cs="Times New Roman"/>
          <w:noProof/>
          <w:sz w:val="24"/>
          <w:szCs w:val="24"/>
          <w:lang w:val="en-IE"/>
        </w:rPr>
        <w:t xml:space="preserve">, </w:t>
      </w:r>
      <w:r w:rsidR="003F01FF" w:rsidRPr="00D16622">
        <w:rPr>
          <w:rFonts w:ascii="Times New Roman" w:hAnsi="Times New Roman" w:cs="Times New Roman"/>
          <w:noProof/>
          <w:sz w:val="24"/>
          <w:szCs w:val="24"/>
          <w:lang w:val="en-IE"/>
        </w:rPr>
        <w:t>a constitutional amendment and a law abolishing Sovereignty Protection Office have been adopted and the draft law ‘on transparency in public life’, tabled on 13 May 2025, is no longer pending before the National Assembly</w:t>
      </w:r>
      <w:r w:rsidR="00AC14C0" w:rsidRPr="00D16622">
        <w:rPr>
          <w:rFonts w:ascii="Times New Roman" w:hAnsi="Times New Roman" w:cs="Times New Roman"/>
          <w:noProof/>
          <w:sz w:val="24"/>
          <w:szCs w:val="24"/>
          <w:lang w:val="en-IE"/>
        </w:rPr>
        <w:t>.</w:t>
      </w:r>
    </w:p>
    <w:p w14:paraId="702C2D74" w14:textId="15FF888A" w:rsidR="001476DD" w:rsidRPr="00D16622" w:rsidRDefault="009D7E21" w:rsidP="001476DD">
      <w:pPr>
        <w:spacing w:after="120" w:line="240" w:lineRule="auto"/>
        <w:jc w:val="both"/>
        <w:rPr>
          <w:rFonts w:ascii="Times New Roman" w:hAnsi="Times New Roman" w:cs="Times New Roman"/>
          <w:noProof/>
          <w:sz w:val="24"/>
          <w:szCs w:val="24"/>
        </w:rPr>
      </w:pPr>
      <w:r w:rsidRPr="00D16622">
        <w:rPr>
          <w:rFonts w:ascii="Times New Roman" w:eastAsia="Times New Roman" w:hAnsi="Times New Roman" w:cs="Times New Roman"/>
          <w:noProof/>
          <w:sz w:val="24"/>
          <w:szCs w:val="20"/>
          <w:lang w:eastAsia="en-GB"/>
        </w:rPr>
        <w:t xml:space="preserve">A thriving civic space requires an enabling legal, administrative, and regulatory environment, where CSOs are supported and empowered, and where they are protected and can operate freely. </w:t>
      </w:r>
      <w:r w:rsidR="00094FE9" w:rsidRPr="00D16622">
        <w:rPr>
          <w:rFonts w:ascii="Times New Roman" w:hAnsi="Times New Roman" w:cs="Times New Roman"/>
          <w:noProof/>
          <w:sz w:val="24"/>
          <w:szCs w:val="24"/>
        </w:rPr>
        <w:t>R</w:t>
      </w:r>
      <w:r w:rsidR="001476DD" w:rsidRPr="00D16622">
        <w:rPr>
          <w:rFonts w:ascii="Times New Roman" w:hAnsi="Times New Roman" w:cs="Times New Roman"/>
          <w:noProof/>
          <w:sz w:val="24"/>
          <w:szCs w:val="24"/>
        </w:rPr>
        <w:t>estrictions on civil society actors</w:t>
      </w:r>
      <w:r w:rsidR="00804D63" w:rsidRPr="00D16622">
        <w:rPr>
          <w:rFonts w:ascii="Times New Roman" w:hAnsi="Times New Roman" w:cs="Times New Roman"/>
          <w:noProof/>
          <w:sz w:val="24"/>
          <w:szCs w:val="24"/>
        </w:rPr>
        <w:t xml:space="preserve">, including </w:t>
      </w:r>
      <w:r w:rsidR="0019650A" w:rsidRPr="00D16622">
        <w:rPr>
          <w:rFonts w:ascii="Times New Roman" w:hAnsi="Times New Roman" w:cs="Times New Roman"/>
          <w:noProof/>
          <w:sz w:val="24"/>
          <w:szCs w:val="24"/>
        </w:rPr>
        <w:t xml:space="preserve">obstacles to </w:t>
      </w:r>
      <w:r w:rsidR="0004688E" w:rsidRPr="00D16622">
        <w:rPr>
          <w:rFonts w:ascii="Times New Roman" w:hAnsi="Times New Roman" w:cs="Times New Roman"/>
          <w:noProof/>
          <w:sz w:val="24"/>
          <w:szCs w:val="24"/>
        </w:rPr>
        <w:t xml:space="preserve">funding, </w:t>
      </w:r>
      <w:r w:rsidR="00DF10B4" w:rsidRPr="00D16622">
        <w:rPr>
          <w:rFonts w:ascii="Times New Roman" w:hAnsi="Times New Roman" w:cs="Times New Roman"/>
          <w:noProof/>
          <w:sz w:val="24"/>
          <w:szCs w:val="24"/>
        </w:rPr>
        <w:t>peaceful assembly,</w:t>
      </w:r>
      <w:r w:rsidR="0004688E" w:rsidRPr="00D16622">
        <w:rPr>
          <w:rFonts w:ascii="Times New Roman" w:hAnsi="Times New Roman" w:cs="Times New Roman"/>
          <w:noProof/>
          <w:sz w:val="24"/>
          <w:szCs w:val="24"/>
        </w:rPr>
        <w:t xml:space="preserve"> </w:t>
      </w:r>
      <w:r w:rsidR="0019650A" w:rsidRPr="00D16622">
        <w:rPr>
          <w:rFonts w:ascii="Times New Roman" w:hAnsi="Times New Roman" w:cs="Times New Roman"/>
          <w:noProof/>
          <w:sz w:val="24"/>
          <w:szCs w:val="24"/>
        </w:rPr>
        <w:t xml:space="preserve">and burdensome </w:t>
      </w:r>
      <w:r w:rsidR="00E65D16" w:rsidRPr="00D16622">
        <w:rPr>
          <w:rFonts w:ascii="Times New Roman" w:hAnsi="Times New Roman" w:cs="Times New Roman"/>
          <w:noProof/>
          <w:sz w:val="24"/>
          <w:szCs w:val="24"/>
        </w:rPr>
        <w:t>reporting</w:t>
      </w:r>
      <w:r w:rsidR="0019650A" w:rsidRPr="00D16622">
        <w:rPr>
          <w:rFonts w:ascii="Times New Roman" w:hAnsi="Times New Roman" w:cs="Times New Roman"/>
          <w:noProof/>
          <w:sz w:val="24"/>
          <w:szCs w:val="24"/>
        </w:rPr>
        <w:t xml:space="preserve"> </w:t>
      </w:r>
      <w:r w:rsidR="00E65D16" w:rsidRPr="00D16622">
        <w:rPr>
          <w:rFonts w:ascii="Times New Roman" w:hAnsi="Times New Roman" w:cs="Times New Roman"/>
          <w:noProof/>
          <w:sz w:val="24"/>
          <w:szCs w:val="24"/>
        </w:rPr>
        <w:t>requirements</w:t>
      </w:r>
      <w:r w:rsidR="00094FE9" w:rsidRPr="00D16622">
        <w:rPr>
          <w:rFonts w:ascii="Times New Roman" w:hAnsi="Times New Roman" w:cs="Times New Roman"/>
          <w:noProof/>
          <w:sz w:val="24"/>
          <w:szCs w:val="24"/>
        </w:rPr>
        <w:t xml:space="preserve"> were noted </w:t>
      </w:r>
      <w:r w:rsidR="00961879" w:rsidRPr="00D16622">
        <w:rPr>
          <w:rFonts w:ascii="Times New Roman" w:hAnsi="Times New Roman" w:cs="Times New Roman"/>
          <w:noProof/>
          <w:sz w:val="24"/>
          <w:szCs w:val="24"/>
        </w:rPr>
        <w:t>by civil society organisations in a number of Member States</w:t>
      </w:r>
      <w:r w:rsidR="001476DD" w:rsidRPr="00D16622">
        <w:rPr>
          <w:rStyle w:val="FootnoteReference"/>
          <w:rFonts w:cs="Times New Roman"/>
          <w:noProof/>
        </w:rPr>
        <w:footnoteReference w:id="80"/>
      </w:r>
      <w:r w:rsidR="001476DD" w:rsidRPr="00D16622">
        <w:rPr>
          <w:rFonts w:ascii="Times New Roman" w:hAnsi="Times New Roman" w:cs="Times New Roman"/>
          <w:noProof/>
          <w:sz w:val="24"/>
          <w:szCs w:val="24"/>
        </w:rPr>
        <w:t xml:space="preserve">. In </w:t>
      </w:r>
      <w:hyperlink r:id="rId380" w:history="1">
        <w:r w:rsidR="001476DD" w:rsidRPr="00D16622">
          <w:rPr>
            <w:rStyle w:val="Hyperlink"/>
            <w:rFonts w:cs="Times New Roman"/>
            <w:noProof/>
            <w:szCs w:val="24"/>
          </w:rPr>
          <w:t>Czechia</w:t>
        </w:r>
      </w:hyperlink>
      <w:r w:rsidR="001476DD" w:rsidRPr="00D16622">
        <w:rPr>
          <w:rFonts w:ascii="Times New Roman" w:hAnsi="Times New Roman" w:cs="Times New Roman"/>
          <w:noProof/>
          <w:sz w:val="24"/>
          <w:szCs w:val="24"/>
        </w:rPr>
        <w:t>,</w:t>
      </w:r>
      <w:r w:rsidR="001476DD" w:rsidRPr="00D16622">
        <w:rPr>
          <w:rFonts w:ascii="Times New Roman" w:hAnsi="Times New Roman" w:cs="Times New Roman"/>
          <w:b/>
          <w:bCs/>
          <w:noProof/>
          <w:sz w:val="24"/>
          <w:szCs w:val="24"/>
        </w:rPr>
        <w:t xml:space="preserve"> </w:t>
      </w:r>
      <w:r w:rsidR="001476DD" w:rsidRPr="00D16622">
        <w:rPr>
          <w:rFonts w:ascii="Times New Roman" w:hAnsi="Times New Roman" w:cs="Times New Roman"/>
          <w:noProof/>
          <w:sz w:val="24"/>
          <w:szCs w:val="24"/>
        </w:rPr>
        <w:t xml:space="preserve">public funding for </w:t>
      </w:r>
      <w:r w:rsidR="001D35E2" w:rsidRPr="00D16622">
        <w:rPr>
          <w:rFonts w:ascii="Times New Roman" w:hAnsi="Times New Roman" w:cs="Times New Roman"/>
          <w:noProof/>
          <w:sz w:val="24"/>
          <w:szCs w:val="24"/>
        </w:rPr>
        <w:t xml:space="preserve">this </w:t>
      </w:r>
      <w:r w:rsidR="001476DD" w:rsidRPr="00D16622">
        <w:rPr>
          <w:rFonts w:ascii="Times New Roman" w:hAnsi="Times New Roman" w:cs="Times New Roman"/>
          <w:noProof/>
          <w:sz w:val="24"/>
          <w:szCs w:val="24"/>
        </w:rPr>
        <w:t xml:space="preserve">sector </w:t>
      </w:r>
      <w:r w:rsidR="00573B5F" w:rsidRPr="00D16622">
        <w:rPr>
          <w:rFonts w:ascii="Times New Roman" w:hAnsi="Times New Roman" w:cs="Times New Roman"/>
          <w:noProof/>
          <w:sz w:val="24"/>
          <w:szCs w:val="24"/>
        </w:rPr>
        <w:t xml:space="preserve">has </w:t>
      </w:r>
      <w:r w:rsidR="001476DD" w:rsidRPr="00D16622">
        <w:rPr>
          <w:rFonts w:ascii="Times New Roman" w:hAnsi="Times New Roman" w:cs="Times New Roman"/>
          <w:noProof/>
          <w:sz w:val="24"/>
          <w:szCs w:val="24"/>
        </w:rPr>
        <w:t xml:space="preserve">been considerably reduced. </w:t>
      </w:r>
      <w:r w:rsidR="001476DD" w:rsidRPr="00D16622">
        <w:rPr>
          <w:rFonts w:ascii="Times New Roman" w:hAnsi="Times New Roman" w:cs="Times New Roman"/>
          <w:noProof/>
          <w:sz w:val="24"/>
          <w:szCs w:val="24"/>
          <w:lang w:val="en-IE"/>
        </w:rPr>
        <w:t xml:space="preserve">In </w:t>
      </w:r>
      <w:hyperlink r:id="rId381" w:history="1">
        <w:r w:rsidR="001476DD" w:rsidRPr="00D16622">
          <w:rPr>
            <w:rStyle w:val="Hyperlink"/>
            <w:rFonts w:cs="Times New Roman"/>
            <w:noProof/>
            <w:szCs w:val="24"/>
            <w:lang w:val="en-IE"/>
          </w:rPr>
          <w:t>Germany</w:t>
        </w:r>
      </w:hyperlink>
      <w:r w:rsidR="001476DD" w:rsidRPr="00D16622">
        <w:rPr>
          <w:rFonts w:ascii="Times New Roman" w:hAnsi="Times New Roman" w:cs="Times New Roman"/>
          <w:noProof/>
          <w:sz w:val="24"/>
          <w:szCs w:val="24"/>
          <w:lang w:val="en-IE"/>
        </w:rPr>
        <w:t xml:space="preserve">, no steps were taken to adapt the tax-exempt status of non-profit organisations, and civil society organisations continue to face challenges as regards their operation and access to funding. </w:t>
      </w:r>
      <w:r w:rsidR="001476DD" w:rsidRPr="00D16622">
        <w:rPr>
          <w:rFonts w:ascii="Times New Roman" w:hAnsi="Times New Roman" w:cs="Times New Roman"/>
          <w:iCs/>
          <w:noProof/>
          <w:sz w:val="24"/>
          <w:szCs w:val="24"/>
        </w:rPr>
        <w:t xml:space="preserve">In </w:t>
      </w:r>
      <w:hyperlink r:id="rId382" w:history="1">
        <w:r w:rsidR="00F377A5" w:rsidRPr="00D16622">
          <w:rPr>
            <w:rStyle w:val="Hyperlink"/>
            <w:rFonts w:eastAsia="Times New Roman" w:cs="Times New Roman"/>
            <w:noProof/>
            <w:szCs w:val="24"/>
            <w:lang w:val="en-IE"/>
          </w:rPr>
          <w:t>Italy</w:t>
        </w:r>
      </w:hyperlink>
      <w:r w:rsidR="001476DD" w:rsidRPr="00D16622">
        <w:rPr>
          <w:rFonts w:ascii="Times New Roman" w:hAnsi="Times New Roman" w:cs="Times New Roman"/>
          <w:iCs/>
          <w:noProof/>
          <w:sz w:val="24"/>
          <w:szCs w:val="24"/>
        </w:rPr>
        <w:t xml:space="preserve">, </w:t>
      </w:r>
      <w:r>
        <w:rPr>
          <w:rFonts w:ascii="Times New Roman" w:hAnsi="Times New Roman" w:cs="Times New Roman"/>
          <w:iCs/>
          <w:noProof/>
          <w:sz w:val="24"/>
          <w:szCs w:val="24"/>
        </w:rPr>
        <w:t xml:space="preserve">as regards new legislation aimed at strengthening internal security, </w:t>
      </w:r>
      <w:r w:rsidR="001476DD" w:rsidRPr="00D16622">
        <w:rPr>
          <w:rFonts w:ascii="Times New Roman" w:hAnsi="Times New Roman" w:cs="Times New Roman"/>
          <w:iCs/>
          <w:noProof/>
          <w:sz w:val="24"/>
          <w:szCs w:val="24"/>
        </w:rPr>
        <w:t>stakeholders rais</w:t>
      </w:r>
      <w:r w:rsidR="00AE29B6" w:rsidRPr="00D16622">
        <w:rPr>
          <w:rFonts w:ascii="Times New Roman" w:hAnsi="Times New Roman" w:cs="Times New Roman"/>
          <w:iCs/>
          <w:noProof/>
          <w:sz w:val="24"/>
          <w:szCs w:val="24"/>
        </w:rPr>
        <w:t>ed</w:t>
      </w:r>
      <w:r w:rsidR="001476DD" w:rsidRPr="00D16622">
        <w:rPr>
          <w:rFonts w:ascii="Times New Roman" w:hAnsi="Times New Roman" w:cs="Times New Roman"/>
          <w:iCs/>
          <w:noProof/>
          <w:sz w:val="24"/>
          <w:szCs w:val="24"/>
        </w:rPr>
        <w:t xml:space="preserve"> concern</w:t>
      </w:r>
      <w:r w:rsidR="00B93D87" w:rsidRPr="00D16622">
        <w:rPr>
          <w:rFonts w:ascii="Times New Roman" w:hAnsi="Times New Roman" w:cs="Times New Roman"/>
          <w:iCs/>
          <w:noProof/>
          <w:sz w:val="24"/>
          <w:szCs w:val="24"/>
        </w:rPr>
        <w:t>s</w:t>
      </w:r>
      <w:r w:rsidR="001476DD" w:rsidRPr="00D16622">
        <w:rPr>
          <w:rFonts w:ascii="Times New Roman" w:hAnsi="Times New Roman" w:cs="Times New Roman"/>
          <w:iCs/>
          <w:noProof/>
          <w:sz w:val="24"/>
          <w:szCs w:val="24"/>
        </w:rPr>
        <w:t xml:space="preserve"> about </w:t>
      </w:r>
      <w:r w:rsidR="00AE29B6" w:rsidRPr="00D16622">
        <w:rPr>
          <w:rFonts w:ascii="Times New Roman" w:hAnsi="Times New Roman" w:cs="Times New Roman"/>
          <w:iCs/>
          <w:noProof/>
          <w:sz w:val="24"/>
          <w:szCs w:val="24"/>
        </w:rPr>
        <w:t xml:space="preserve">developments related to restrictions to the right to protest </w:t>
      </w:r>
      <w:r w:rsidR="00684C3E" w:rsidRPr="00D16622">
        <w:rPr>
          <w:rFonts w:ascii="Times New Roman" w:hAnsi="Times New Roman" w:cs="Times New Roman"/>
          <w:iCs/>
          <w:noProof/>
          <w:sz w:val="24"/>
          <w:szCs w:val="24"/>
        </w:rPr>
        <w:t xml:space="preserve">and </w:t>
      </w:r>
      <w:r w:rsidR="001476DD" w:rsidRPr="00D16622">
        <w:rPr>
          <w:rFonts w:ascii="Times New Roman" w:hAnsi="Times New Roman" w:cs="Times New Roman"/>
          <w:iCs/>
          <w:noProof/>
          <w:sz w:val="24"/>
          <w:szCs w:val="24"/>
        </w:rPr>
        <w:t>their possible impact on civic space and the exercise of fundamental rights and freedoms.</w:t>
      </w:r>
      <w:r w:rsidR="001476DD" w:rsidRPr="00D16622">
        <w:rPr>
          <w:rFonts w:ascii="Times New Roman" w:hAnsi="Times New Roman" w:cs="Times New Roman"/>
          <w:noProof/>
          <w:sz w:val="24"/>
          <w:szCs w:val="24"/>
        </w:rPr>
        <w:t xml:space="preserve"> </w:t>
      </w:r>
      <w:r w:rsidR="00580BE7" w:rsidRPr="00D16622">
        <w:rPr>
          <w:rFonts w:ascii="Times New Roman" w:hAnsi="Times New Roman" w:cs="Times New Roman"/>
          <w:noProof/>
          <w:sz w:val="24"/>
          <w:szCs w:val="24"/>
          <w:lang w:val="en-IE"/>
        </w:rPr>
        <w:t xml:space="preserve">While the Sovereignty Protection Office has been abolished in </w:t>
      </w:r>
      <w:hyperlink r:id="rId383" w:history="1">
        <w:r w:rsidR="00580BE7" w:rsidRPr="00D16622">
          <w:rPr>
            <w:rStyle w:val="Hyperlink"/>
            <w:rFonts w:cs="Times New Roman"/>
            <w:noProof/>
            <w:szCs w:val="24"/>
          </w:rPr>
          <w:t>Hungary</w:t>
        </w:r>
      </w:hyperlink>
      <w:r w:rsidR="00580BE7" w:rsidRPr="00D16622">
        <w:rPr>
          <w:rFonts w:ascii="Times New Roman" w:hAnsi="Times New Roman" w:cs="Times New Roman"/>
          <w:noProof/>
          <w:sz w:val="24"/>
          <w:szCs w:val="24"/>
          <w:lang w:val="en-IE"/>
        </w:rPr>
        <w:t xml:space="preserve">, some obstacles hindering the work of independent civil society organisations </w:t>
      </w:r>
      <w:r w:rsidR="00531257" w:rsidRPr="00D16622">
        <w:rPr>
          <w:rFonts w:ascii="Times New Roman" w:hAnsi="Times New Roman" w:cs="Times New Roman"/>
          <w:noProof/>
          <w:sz w:val="24"/>
          <w:szCs w:val="24"/>
          <w:lang w:val="en-IE"/>
        </w:rPr>
        <w:t>have yet to be removed</w:t>
      </w:r>
      <w:r w:rsidR="00580BE7" w:rsidRPr="00D16622">
        <w:rPr>
          <w:rFonts w:ascii="Times New Roman" w:hAnsi="Times New Roman" w:cs="Times New Roman"/>
          <w:noProof/>
          <w:sz w:val="24"/>
          <w:szCs w:val="24"/>
          <w:lang w:val="en-IE"/>
        </w:rPr>
        <w:t>.</w:t>
      </w:r>
    </w:p>
    <w:p w14:paraId="7557263C" w14:textId="5351455F" w:rsidR="00267CE1" w:rsidRPr="00D16622" w:rsidRDefault="001476DD" w:rsidP="00267CE1">
      <w:pPr>
        <w:spacing w:after="120" w:line="240" w:lineRule="auto"/>
        <w:jc w:val="both"/>
        <w:rPr>
          <w:rFonts w:ascii="Times New Roman" w:hAnsi="Times New Roman" w:cs="Times New Roman"/>
          <w:noProof/>
          <w:sz w:val="24"/>
          <w:szCs w:val="24"/>
          <w:lang w:val="en-IE"/>
        </w:rPr>
      </w:pPr>
      <w:r w:rsidRPr="00D16622">
        <w:rPr>
          <w:rFonts w:ascii="Times New Roman" w:hAnsi="Times New Roman" w:cs="Times New Roman"/>
          <w:noProof/>
          <w:sz w:val="24"/>
          <w:szCs w:val="24"/>
        </w:rPr>
        <w:t xml:space="preserve">Negative narratives, physical and verbal attacks and political pressure </w:t>
      </w:r>
      <w:r w:rsidR="00E4673A" w:rsidRPr="00D16622">
        <w:rPr>
          <w:rFonts w:ascii="Times New Roman" w:hAnsi="Times New Roman" w:cs="Times New Roman"/>
          <w:noProof/>
          <w:sz w:val="24"/>
          <w:szCs w:val="24"/>
        </w:rPr>
        <w:t>have continued to be reported as a particular challenge in some Member States</w:t>
      </w:r>
      <w:r w:rsidRPr="00D16622">
        <w:rPr>
          <w:rFonts w:ascii="Times New Roman" w:hAnsi="Times New Roman" w:cs="Times New Roman"/>
          <w:noProof/>
          <w:sz w:val="24"/>
          <w:szCs w:val="24"/>
        </w:rPr>
        <w:t xml:space="preserve">. In </w:t>
      </w:r>
      <w:hyperlink r:id="rId384" w:history="1">
        <w:r w:rsidR="006E659B" w:rsidRPr="00D16622">
          <w:rPr>
            <w:rStyle w:val="Hyperlink"/>
            <w:rFonts w:cs="Times New Roman"/>
            <w:noProof/>
            <w:szCs w:val="24"/>
          </w:rPr>
          <w:t>Romania</w:t>
        </w:r>
      </w:hyperlink>
      <w:r w:rsidRPr="00D16622">
        <w:rPr>
          <w:rFonts w:ascii="Times New Roman" w:hAnsi="Times New Roman" w:cs="Times New Roman"/>
          <w:noProof/>
          <w:sz w:val="24"/>
          <w:szCs w:val="24"/>
        </w:rPr>
        <w:t xml:space="preserve">, CSOs report increasing restrictions to their work. In </w:t>
      </w:r>
      <w:hyperlink r:id="rId385" w:history="1">
        <w:r w:rsidR="00421F48" w:rsidRPr="00D16622">
          <w:rPr>
            <w:rStyle w:val="Hyperlink"/>
            <w:rFonts w:cs="Times New Roman"/>
            <w:noProof/>
            <w:szCs w:val="24"/>
          </w:rPr>
          <w:t>Slovakia</w:t>
        </w:r>
      </w:hyperlink>
      <w:r w:rsidRPr="00D16622">
        <w:rPr>
          <w:rFonts w:ascii="Times New Roman" w:hAnsi="Times New Roman" w:cs="Times New Roman"/>
          <w:noProof/>
          <w:sz w:val="24"/>
          <w:szCs w:val="24"/>
        </w:rPr>
        <w:t xml:space="preserve">, </w:t>
      </w:r>
      <w:r w:rsidR="00621AB6" w:rsidRPr="00D16622">
        <w:rPr>
          <w:rFonts w:ascii="Times New Roman" w:hAnsi="Times New Roman" w:cs="Times New Roman"/>
          <w:noProof/>
          <w:sz w:val="24"/>
          <w:szCs w:val="24"/>
        </w:rPr>
        <w:t xml:space="preserve">while amendments to the NGO law which were deemed to create additional administrative burden on civil society organisations were declared unconstitutional, </w:t>
      </w:r>
      <w:r w:rsidRPr="00D16622">
        <w:rPr>
          <w:rFonts w:ascii="Times New Roman" w:hAnsi="Times New Roman" w:cs="Times New Roman"/>
          <w:noProof/>
          <w:sz w:val="24"/>
          <w:szCs w:val="24"/>
        </w:rPr>
        <w:t>the civil society environment continues to face pressure</w:t>
      </w:r>
      <w:r w:rsidRPr="00D16622">
        <w:rPr>
          <w:rFonts w:ascii="Times New Roman" w:hAnsi="Times New Roman" w:cs="Times New Roman"/>
          <w:noProof/>
          <w:sz w:val="24"/>
          <w:szCs w:val="24"/>
          <w:lang w:val="en-IE"/>
        </w:rPr>
        <w:t>.</w:t>
      </w:r>
      <w:r w:rsidR="00267CE1" w:rsidRPr="00D16622">
        <w:rPr>
          <w:rFonts w:ascii="Times New Roman" w:hAnsi="Times New Roman" w:cs="Times New Roman"/>
          <w:noProof/>
          <w:sz w:val="24"/>
          <w:szCs w:val="24"/>
          <w:lang w:val="en-IE"/>
        </w:rPr>
        <w:t xml:space="preserve"> </w:t>
      </w:r>
    </w:p>
    <w:p w14:paraId="461D725D" w14:textId="1E71BB41" w:rsidR="008B3656" w:rsidRPr="00D16622" w:rsidRDefault="4F063212" w:rsidP="001476DD">
      <w:pPr>
        <w:spacing w:after="120" w:line="240" w:lineRule="auto"/>
        <w:jc w:val="both"/>
        <w:rPr>
          <w:rFonts w:ascii="Times New Roman" w:eastAsia="Times New Roman" w:hAnsi="Times New Roman" w:cs="Times New Roman"/>
          <w:noProof/>
          <w:color w:val="000000" w:themeColor="text1"/>
          <w:sz w:val="24"/>
          <w:szCs w:val="24"/>
          <w:lang w:val="en-IE"/>
        </w:rPr>
      </w:pPr>
      <w:r w:rsidRPr="00D16622">
        <w:rPr>
          <w:rFonts w:ascii="Times New Roman" w:hAnsi="Times New Roman" w:cs="Times New Roman"/>
          <w:noProof/>
          <w:sz w:val="24"/>
          <w:szCs w:val="24"/>
          <w:lang w:val="en-IE"/>
        </w:rPr>
        <w:t>I</w:t>
      </w:r>
      <w:r w:rsidR="001476DD" w:rsidRPr="00D16622">
        <w:rPr>
          <w:rFonts w:ascii="Times New Roman" w:hAnsi="Times New Roman" w:cs="Times New Roman"/>
          <w:noProof/>
          <w:sz w:val="24"/>
          <w:szCs w:val="24"/>
          <w:lang w:val="en-IE"/>
        </w:rPr>
        <w:t xml:space="preserve">n </w:t>
      </w:r>
      <w:hyperlink r:id="rId386" w:history="1">
        <w:r w:rsidR="00757A27" w:rsidRPr="00D16622">
          <w:rPr>
            <w:rStyle w:val="Hyperlink"/>
            <w:rFonts w:cs="Times New Roman"/>
            <w:noProof/>
            <w:szCs w:val="24"/>
          </w:rPr>
          <w:t>Albania</w:t>
        </w:r>
      </w:hyperlink>
      <w:r w:rsidR="00757A27" w:rsidRPr="00D16622">
        <w:rPr>
          <w:rFonts w:ascii="Times New Roman" w:hAnsi="Times New Roman" w:cs="Times New Roman"/>
          <w:noProof/>
          <w:sz w:val="24"/>
          <w:szCs w:val="24"/>
        </w:rPr>
        <w:t xml:space="preserve">, </w:t>
      </w:r>
      <w:r w:rsidR="001476DD" w:rsidRPr="00D16622">
        <w:rPr>
          <w:rFonts w:ascii="Times New Roman" w:hAnsi="Times New Roman" w:cs="Times New Roman"/>
          <w:noProof/>
          <w:sz w:val="24"/>
          <w:szCs w:val="24"/>
          <w:lang w:val="en-IE"/>
        </w:rPr>
        <w:t>civil society organisations operate freely but continue to face challenges, such as discreditation, limited transparency in policymaking</w:t>
      </w:r>
      <w:r w:rsidR="0092144E" w:rsidRPr="00D16622">
        <w:rPr>
          <w:rFonts w:ascii="Times New Roman" w:hAnsi="Times New Roman" w:cs="Times New Roman"/>
          <w:noProof/>
          <w:sz w:val="24"/>
          <w:szCs w:val="24"/>
          <w:lang w:val="en-IE"/>
        </w:rPr>
        <w:t xml:space="preserve"> </w:t>
      </w:r>
      <w:r w:rsidR="001476DD" w:rsidRPr="00D16622">
        <w:rPr>
          <w:rFonts w:ascii="Times New Roman" w:hAnsi="Times New Roman" w:cs="Times New Roman"/>
          <w:noProof/>
          <w:sz w:val="24"/>
          <w:szCs w:val="24"/>
          <w:lang w:val="en-IE"/>
        </w:rPr>
        <w:t xml:space="preserve">and financial sustainability constraints. </w:t>
      </w:r>
      <w:r w:rsidR="001476DD" w:rsidRPr="00D16622">
        <w:rPr>
          <w:rFonts w:ascii="Times New Roman" w:hAnsi="Times New Roman" w:cs="Times New Roman"/>
          <w:noProof/>
          <w:sz w:val="24"/>
          <w:szCs w:val="24"/>
        </w:rPr>
        <w:t xml:space="preserve">In </w:t>
      </w:r>
      <w:hyperlink r:id="rId387" w:history="1">
        <w:r w:rsidR="00931338" w:rsidRPr="00D16622">
          <w:rPr>
            <w:rStyle w:val="Hyperlink"/>
            <w:rFonts w:cs="Times New Roman"/>
            <w:noProof/>
            <w:szCs w:val="24"/>
          </w:rPr>
          <w:t>Montenegro</w:t>
        </w:r>
      </w:hyperlink>
      <w:r w:rsidR="001476DD" w:rsidRPr="00D16622">
        <w:rPr>
          <w:rFonts w:ascii="Times New Roman" w:hAnsi="Times New Roman" w:cs="Times New Roman"/>
          <w:noProof/>
          <w:sz w:val="24"/>
          <w:szCs w:val="24"/>
        </w:rPr>
        <w:t xml:space="preserve">, </w:t>
      </w:r>
      <w:bookmarkStart w:id="8" w:name="_Hlk223187100"/>
      <w:r w:rsidR="00D5481C" w:rsidRPr="00D16622">
        <w:rPr>
          <w:rFonts w:ascii="Times New Roman" w:hAnsi="Times New Roman" w:cs="Times New Roman"/>
          <w:noProof/>
          <w:sz w:val="24"/>
          <w:szCs w:val="24"/>
        </w:rPr>
        <w:t xml:space="preserve">the authorities </w:t>
      </w:r>
      <w:r w:rsidR="00CB7BD8" w:rsidRPr="00D16622">
        <w:rPr>
          <w:rFonts w:ascii="Times New Roman" w:hAnsi="Times New Roman" w:cs="Times New Roman"/>
          <w:noProof/>
          <w:sz w:val="24"/>
          <w:szCs w:val="24"/>
        </w:rPr>
        <w:t xml:space="preserve">have committed to align national </w:t>
      </w:r>
      <w:r w:rsidR="002129A0" w:rsidRPr="00D16622">
        <w:rPr>
          <w:rFonts w:ascii="Times New Roman" w:hAnsi="Times New Roman" w:cs="Times New Roman"/>
          <w:noProof/>
          <w:sz w:val="24"/>
          <w:szCs w:val="24"/>
        </w:rPr>
        <w:t>legislation</w:t>
      </w:r>
      <w:r w:rsidR="00CB7BD8" w:rsidRPr="00D16622">
        <w:rPr>
          <w:rFonts w:ascii="Times New Roman" w:hAnsi="Times New Roman" w:cs="Times New Roman"/>
          <w:noProof/>
          <w:sz w:val="24"/>
          <w:szCs w:val="24"/>
        </w:rPr>
        <w:t xml:space="preserve"> with the EU acquis within the established framework for inclusive legislative processes</w:t>
      </w:r>
      <w:r w:rsidR="001476DD" w:rsidRPr="00D16622">
        <w:rPr>
          <w:rFonts w:ascii="Times New Roman" w:hAnsi="Times New Roman" w:cs="Times New Roman"/>
          <w:noProof/>
          <w:sz w:val="24"/>
          <w:szCs w:val="24"/>
        </w:rPr>
        <w:t xml:space="preserve">, while </w:t>
      </w:r>
      <w:r w:rsidR="00E73A70" w:rsidRPr="00D16622">
        <w:rPr>
          <w:rFonts w:ascii="Times New Roman" w:hAnsi="Times New Roman" w:cs="Times New Roman"/>
          <w:noProof/>
          <w:sz w:val="24"/>
          <w:szCs w:val="24"/>
        </w:rPr>
        <w:t xml:space="preserve">challenges </w:t>
      </w:r>
      <w:r w:rsidR="00382D38" w:rsidRPr="00D16622">
        <w:rPr>
          <w:rFonts w:ascii="Times New Roman" w:hAnsi="Times New Roman" w:cs="Times New Roman"/>
          <w:noProof/>
          <w:sz w:val="24"/>
          <w:szCs w:val="24"/>
        </w:rPr>
        <w:t>persist in legislative planning and effectiveness of public consultations.</w:t>
      </w:r>
      <w:r w:rsidR="001476DD" w:rsidRPr="00D16622">
        <w:rPr>
          <w:rFonts w:ascii="Times New Roman" w:hAnsi="Times New Roman" w:cs="Times New Roman"/>
          <w:noProof/>
          <w:sz w:val="24"/>
          <w:szCs w:val="24"/>
        </w:rPr>
        <w:t xml:space="preserve"> </w:t>
      </w:r>
      <w:bookmarkEnd w:id="8"/>
      <w:r w:rsidR="001476DD" w:rsidRPr="00D16622">
        <w:rPr>
          <w:rFonts w:ascii="Times New Roman" w:eastAsia="Times New Roman" w:hAnsi="Times New Roman" w:cs="Times New Roman"/>
          <w:noProof/>
          <w:sz w:val="24"/>
          <w:szCs w:val="24"/>
        </w:rPr>
        <w:t xml:space="preserve">In </w:t>
      </w:r>
      <w:hyperlink r:id="rId388" w:history="1">
        <w:r w:rsidR="00A1658E" w:rsidRPr="00D16622">
          <w:rPr>
            <w:rStyle w:val="Hyperlink"/>
            <w:rFonts w:cs="Times New Roman"/>
            <w:noProof/>
            <w:szCs w:val="24"/>
          </w:rPr>
          <w:t>North Macedonia</w:t>
        </w:r>
      </w:hyperlink>
      <w:r w:rsidR="001476DD" w:rsidRPr="00D16622">
        <w:rPr>
          <w:rFonts w:ascii="Times New Roman" w:eastAsia="Times New Roman" w:hAnsi="Times New Roman" w:cs="Times New Roman"/>
          <w:noProof/>
          <w:sz w:val="24"/>
          <w:szCs w:val="24"/>
        </w:rPr>
        <w:t>, the Government continued its efforts to strengthen cooperation with civil society organisations, while challenges</w:t>
      </w:r>
      <w:r w:rsidR="00F07399" w:rsidRPr="00D16622">
        <w:rPr>
          <w:rFonts w:ascii="Times New Roman" w:eastAsia="Times New Roman" w:hAnsi="Times New Roman" w:cs="Times New Roman"/>
          <w:noProof/>
          <w:sz w:val="24"/>
          <w:szCs w:val="24"/>
        </w:rPr>
        <w:t xml:space="preserve"> related to funding for CSOs remain</w:t>
      </w:r>
      <w:r w:rsidR="001476DD" w:rsidRPr="00D16622">
        <w:rPr>
          <w:rFonts w:ascii="Times New Roman" w:eastAsia="Times New Roman" w:hAnsi="Times New Roman" w:cs="Times New Roman"/>
          <w:noProof/>
          <w:sz w:val="24"/>
          <w:szCs w:val="24"/>
        </w:rPr>
        <w:t xml:space="preserve">. </w:t>
      </w:r>
      <w:r w:rsidR="001476DD" w:rsidRPr="00D16622">
        <w:rPr>
          <w:rFonts w:ascii="Times New Roman" w:eastAsia="Times New Roman" w:hAnsi="Times New Roman" w:cs="Times New Roman"/>
          <w:noProof/>
          <w:sz w:val="24"/>
          <w:szCs w:val="24"/>
          <w:lang w:val="en-IE"/>
        </w:rPr>
        <w:t xml:space="preserve">In </w:t>
      </w:r>
      <w:hyperlink r:id="rId389" w:history="1">
        <w:r w:rsidR="00641FC4" w:rsidRPr="00D16622">
          <w:rPr>
            <w:rStyle w:val="Hyperlink"/>
            <w:rFonts w:cs="Times New Roman"/>
            <w:noProof/>
            <w:szCs w:val="24"/>
          </w:rPr>
          <w:t>Serbia</w:t>
        </w:r>
      </w:hyperlink>
      <w:r w:rsidR="007F435A" w:rsidRPr="00D16622">
        <w:rPr>
          <w:rFonts w:ascii="Times New Roman" w:eastAsia="Times New Roman" w:hAnsi="Times New Roman" w:cs="Times New Roman"/>
          <w:b/>
          <w:bCs/>
          <w:noProof/>
          <w:sz w:val="24"/>
          <w:szCs w:val="24"/>
          <w:lang w:val="en-IE"/>
        </w:rPr>
        <w:t>,</w:t>
      </w:r>
      <w:r w:rsidR="001476DD" w:rsidRPr="00D16622">
        <w:rPr>
          <w:rFonts w:ascii="Times New Roman" w:eastAsia="Times New Roman" w:hAnsi="Times New Roman" w:cs="Times New Roman"/>
          <w:noProof/>
          <w:sz w:val="24"/>
          <w:szCs w:val="24"/>
          <w:lang w:val="en-IE"/>
        </w:rPr>
        <w:t xml:space="preserve"> civil society organisations have been subject to </w:t>
      </w:r>
      <w:r w:rsidR="001476DD" w:rsidRPr="00D16622">
        <w:rPr>
          <w:rFonts w:ascii="Times New Roman" w:eastAsia="Times New Roman" w:hAnsi="Times New Roman" w:cs="Times New Roman"/>
          <w:noProof/>
          <w:color w:val="000000" w:themeColor="text1"/>
          <w:sz w:val="24"/>
          <w:szCs w:val="24"/>
          <w:lang w:val="en-IE"/>
        </w:rPr>
        <w:t>increasing pressure</w:t>
      </w:r>
      <w:r w:rsidR="0003353E" w:rsidRPr="00D16622">
        <w:rPr>
          <w:rFonts w:ascii="Times New Roman" w:eastAsia="Times New Roman" w:hAnsi="Times New Roman" w:cs="Times New Roman"/>
          <w:noProof/>
          <w:color w:val="000000" w:themeColor="text1"/>
          <w:sz w:val="24"/>
          <w:szCs w:val="24"/>
          <w:lang w:val="en-IE"/>
        </w:rPr>
        <w:t xml:space="preserve">, </w:t>
      </w:r>
      <w:r w:rsidR="001476DD" w:rsidRPr="00D16622">
        <w:rPr>
          <w:rFonts w:ascii="Times New Roman" w:eastAsia="Times New Roman" w:hAnsi="Times New Roman" w:cs="Times New Roman"/>
          <w:noProof/>
          <w:color w:val="000000" w:themeColor="text1"/>
          <w:sz w:val="24"/>
          <w:szCs w:val="24"/>
          <w:lang w:val="en-IE"/>
        </w:rPr>
        <w:t>attacks</w:t>
      </w:r>
      <w:r w:rsidR="009102E0" w:rsidRPr="00D16622">
        <w:rPr>
          <w:rFonts w:ascii="Times New Roman" w:eastAsia="Times New Roman" w:hAnsi="Times New Roman" w:cs="Times New Roman"/>
          <w:noProof/>
          <w:color w:val="000000" w:themeColor="text1"/>
          <w:sz w:val="24"/>
          <w:szCs w:val="24"/>
          <w:lang w:val="en-IE"/>
        </w:rPr>
        <w:t xml:space="preserve"> and intimidation, including by high-level officials, and reported cases of excessive use of force by the police against protesters have not led to convictions so far.</w:t>
      </w:r>
    </w:p>
    <w:p w14:paraId="196D3D51" w14:textId="6130E3A3" w:rsidR="001476DD" w:rsidRPr="00D16622" w:rsidRDefault="001476DD" w:rsidP="001476DD">
      <w:pPr>
        <w:spacing w:after="120" w:line="240" w:lineRule="auto"/>
        <w:jc w:val="both"/>
        <w:rPr>
          <w:rFonts w:ascii="Times New Roman" w:hAnsi="Times New Roman" w:cs="Times New Roman"/>
          <w:i/>
          <w:iCs/>
          <w:noProof/>
          <w:sz w:val="24"/>
          <w:szCs w:val="24"/>
        </w:rPr>
      </w:pPr>
      <w:r w:rsidRPr="00D16622">
        <w:rPr>
          <w:rFonts w:ascii="Times New Roman" w:hAnsi="Times New Roman" w:cs="Times New Roman"/>
          <w:i/>
          <w:iCs/>
          <w:noProof/>
          <w:sz w:val="24"/>
          <w:szCs w:val="24"/>
        </w:rPr>
        <w:t>National checks and balances in the use of intrusive surveillance software (“spyware”)</w:t>
      </w:r>
    </w:p>
    <w:p w14:paraId="0ED5FAF6" w14:textId="0B3EBE65" w:rsidR="001476DD" w:rsidRPr="00D16622" w:rsidRDefault="00F15BBC" w:rsidP="00C41A2F">
      <w:pPr>
        <w:spacing w:line="240" w:lineRule="auto"/>
        <w:jc w:val="both"/>
        <w:rPr>
          <w:rFonts w:ascii="Times New Roman" w:hAnsi="Times New Roman" w:cs="Times New Roman"/>
          <w:noProof/>
          <w:sz w:val="24"/>
          <w:szCs w:val="24"/>
        </w:rPr>
      </w:pPr>
      <w:r w:rsidRPr="00D16622">
        <w:rPr>
          <w:rFonts w:ascii="Times New Roman" w:eastAsia="Times New Roman" w:hAnsi="Times New Roman" w:cs="Times New Roman"/>
          <w:noProof/>
          <w:sz w:val="24"/>
          <w:szCs w:val="24"/>
        </w:rPr>
        <w:t>Any attempt to illegally access the data of citizens, including journalists, civil society representatives and political opponents is unacceptable and it is the responsibility of national authorities to carry out the necessary investigations.</w:t>
      </w:r>
      <w:r w:rsidRPr="00D16622">
        <w:rPr>
          <w:rFonts w:ascii="Times New Roman" w:hAnsi="Times New Roman" w:cs="Times New Roman"/>
          <w:noProof/>
          <w:sz w:val="24"/>
          <w:szCs w:val="24"/>
        </w:rPr>
        <w:t xml:space="preserve"> </w:t>
      </w:r>
      <w:r w:rsidR="001D6F54" w:rsidRPr="00D16622">
        <w:rPr>
          <w:rFonts w:ascii="Times New Roman" w:hAnsi="Times New Roman" w:cs="Times New Roman"/>
          <w:noProof/>
          <w:sz w:val="24"/>
          <w:szCs w:val="24"/>
        </w:rPr>
        <w:t>However, e</w:t>
      </w:r>
      <w:r w:rsidR="00F6595C" w:rsidRPr="00D16622">
        <w:rPr>
          <w:rFonts w:ascii="Times New Roman" w:hAnsi="Times New Roman" w:cs="Times New Roman"/>
          <w:noProof/>
          <w:sz w:val="24"/>
          <w:szCs w:val="24"/>
        </w:rPr>
        <w:t xml:space="preserve">ven where the use of spyware is </w:t>
      </w:r>
      <w:r w:rsidR="001C419B" w:rsidRPr="00D16622">
        <w:rPr>
          <w:rFonts w:ascii="Times New Roman" w:hAnsi="Times New Roman" w:cs="Times New Roman"/>
          <w:noProof/>
          <w:sz w:val="24"/>
          <w:szCs w:val="24"/>
        </w:rPr>
        <w:t>legally</w:t>
      </w:r>
      <w:r w:rsidR="00F6595C" w:rsidRPr="00D16622">
        <w:rPr>
          <w:rFonts w:ascii="Times New Roman" w:hAnsi="Times New Roman" w:cs="Times New Roman"/>
          <w:noProof/>
          <w:sz w:val="24"/>
          <w:szCs w:val="24"/>
        </w:rPr>
        <w:t xml:space="preserve"> </w:t>
      </w:r>
      <w:r w:rsidR="00764D4A" w:rsidRPr="00D16622">
        <w:rPr>
          <w:rFonts w:ascii="Times New Roman" w:hAnsi="Times New Roman" w:cs="Times New Roman"/>
          <w:noProof/>
          <w:sz w:val="24"/>
          <w:szCs w:val="24"/>
        </w:rPr>
        <w:t>carried out in accordance with</w:t>
      </w:r>
      <w:r w:rsidR="001D2D8E" w:rsidRPr="00D16622">
        <w:rPr>
          <w:rFonts w:ascii="Times New Roman" w:hAnsi="Times New Roman" w:cs="Times New Roman"/>
          <w:noProof/>
          <w:sz w:val="24"/>
          <w:szCs w:val="24"/>
        </w:rPr>
        <w:t xml:space="preserve"> </w:t>
      </w:r>
      <w:r w:rsidR="00F6595C" w:rsidRPr="00D16622">
        <w:rPr>
          <w:rFonts w:ascii="Times New Roman" w:hAnsi="Times New Roman" w:cs="Times New Roman"/>
          <w:noProof/>
          <w:sz w:val="24"/>
          <w:szCs w:val="24"/>
        </w:rPr>
        <w:t xml:space="preserve">national security </w:t>
      </w:r>
      <w:r w:rsidR="00764D4A" w:rsidRPr="00D16622">
        <w:rPr>
          <w:rFonts w:ascii="Times New Roman" w:hAnsi="Times New Roman" w:cs="Times New Roman"/>
          <w:noProof/>
          <w:sz w:val="24"/>
          <w:szCs w:val="24"/>
        </w:rPr>
        <w:t xml:space="preserve">requirements </w:t>
      </w:r>
      <w:r w:rsidR="00F6595C" w:rsidRPr="00D16622">
        <w:rPr>
          <w:rFonts w:ascii="Times New Roman" w:hAnsi="Times New Roman" w:cs="Times New Roman"/>
          <w:noProof/>
          <w:sz w:val="24"/>
          <w:szCs w:val="24"/>
        </w:rPr>
        <w:t xml:space="preserve">and falls outside the scope of EU law, robust national safeguards remain essential to prevent abuse and ensure accountability. </w:t>
      </w:r>
      <w:r w:rsidR="00124EF9" w:rsidRPr="00D16622">
        <w:rPr>
          <w:rFonts w:ascii="Times New Roman" w:hAnsi="Times New Roman" w:cs="Times New Roman"/>
          <w:noProof/>
          <w:sz w:val="24"/>
          <w:szCs w:val="24"/>
        </w:rPr>
        <w:t>F</w:t>
      </w:r>
      <w:r w:rsidR="00F6595C" w:rsidRPr="00D16622">
        <w:rPr>
          <w:rFonts w:ascii="Times New Roman" w:hAnsi="Times New Roman" w:cs="Times New Roman"/>
          <w:noProof/>
          <w:sz w:val="24"/>
          <w:szCs w:val="24"/>
        </w:rPr>
        <w:t>undamental rights, including data protection, freedom of expression, the freedom to receive and impart information, and the rights to an effective remedy and a fair trial</w:t>
      </w:r>
      <w:r w:rsidR="003D5701" w:rsidRPr="00D16622">
        <w:rPr>
          <w:rFonts w:ascii="Times New Roman" w:hAnsi="Times New Roman" w:cs="Times New Roman"/>
          <w:noProof/>
          <w:sz w:val="24"/>
          <w:szCs w:val="24"/>
        </w:rPr>
        <w:t xml:space="preserve"> need to be respected</w:t>
      </w:r>
      <w:r w:rsidR="00F6595C" w:rsidRPr="00D16622">
        <w:rPr>
          <w:rFonts w:ascii="Times New Roman" w:hAnsi="Times New Roman" w:cs="Times New Roman"/>
          <w:noProof/>
          <w:sz w:val="24"/>
          <w:szCs w:val="24"/>
        </w:rPr>
        <w:t>. Where spyware is deployed for law enforcement purposes,</w:t>
      </w:r>
      <w:r w:rsidR="00106E0F" w:rsidRPr="00D16622">
        <w:rPr>
          <w:rFonts w:ascii="Times New Roman" w:hAnsi="Times New Roman" w:cs="Times New Roman"/>
          <w:noProof/>
          <w:sz w:val="24"/>
          <w:szCs w:val="24"/>
        </w:rPr>
        <w:t xml:space="preserve"> or deployed </w:t>
      </w:r>
      <w:r w:rsidR="00F77A7B" w:rsidRPr="00D16622">
        <w:rPr>
          <w:rFonts w:ascii="Times New Roman" w:hAnsi="Times New Roman" w:cs="Times New Roman"/>
          <w:noProof/>
          <w:sz w:val="24"/>
          <w:szCs w:val="24"/>
        </w:rPr>
        <w:t>by private entities for national security purposes</w:t>
      </w:r>
      <w:r w:rsidR="00DA0767" w:rsidRPr="00D16622">
        <w:rPr>
          <w:rFonts w:ascii="Times New Roman" w:hAnsi="Times New Roman" w:cs="Times New Roman"/>
          <w:noProof/>
          <w:sz w:val="24"/>
          <w:szCs w:val="24"/>
        </w:rPr>
        <w:t>,</w:t>
      </w:r>
      <w:r w:rsidR="00F6595C" w:rsidRPr="00D16622">
        <w:rPr>
          <w:rFonts w:ascii="Times New Roman" w:hAnsi="Times New Roman" w:cs="Times New Roman"/>
          <w:noProof/>
          <w:sz w:val="24"/>
          <w:szCs w:val="24"/>
        </w:rPr>
        <w:t xml:space="preserve"> EU data protection legislation provides a comprehensive framework of safeguards and oversight</w:t>
      </w:r>
      <w:r w:rsidR="001476DD" w:rsidRPr="00D16622">
        <w:rPr>
          <w:rStyle w:val="FootnoteReference"/>
          <w:rFonts w:cs="Times New Roman"/>
          <w:noProof/>
        </w:rPr>
        <w:footnoteReference w:id="81"/>
      </w:r>
      <w:r w:rsidR="001476DD" w:rsidRPr="00D16622">
        <w:rPr>
          <w:rFonts w:ascii="Times New Roman" w:hAnsi="Times New Roman" w:cs="Times New Roman"/>
          <w:noProof/>
          <w:sz w:val="24"/>
          <w:szCs w:val="24"/>
        </w:rPr>
        <w:t>.</w:t>
      </w:r>
      <w:r w:rsidR="001915AE" w:rsidRPr="00D16622">
        <w:rPr>
          <w:rFonts w:ascii="Times New Roman" w:hAnsi="Times New Roman" w:cs="Times New Roman"/>
          <w:noProof/>
          <w:sz w:val="24"/>
          <w:szCs w:val="24"/>
        </w:rPr>
        <w:t xml:space="preserve"> When EU data protection law is not applicable, the E</w:t>
      </w:r>
      <w:r w:rsidR="008F3B5E" w:rsidRPr="00D16622">
        <w:rPr>
          <w:rFonts w:ascii="Times New Roman" w:hAnsi="Times New Roman" w:cs="Times New Roman"/>
          <w:noProof/>
          <w:sz w:val="24"/>
          <w:szCs w:val="24"/>
        </w:rPr>
        <w:t>u</w:t>
      </w:r>
      <w:r w:rsidR="001915AE" w:rsidRPr="00D16622">
        <w:rPr>
          <w:rFonts w:ascii="Times New Roman" w:hAnsi="Times New Roman" w:cs="Times New Roman"/>
          <w:noProof/>
          <w:sz w:val="24"/>
          <w:szCs w:val="24"/>
        </w:rPr>
        <w:t>r</w:t>
      </w:r>
      <w:r w:rsidR="008F3B5E" w:rsidRPr="00D16622">
        <w:rPr>
          <w:rFonts w:ascii="Times New Roman" w:hAnsi="Times New Roman" w:cs="Times New Roman"/>
          <w:noProof/>
          <w:sz w:val="24"/>
          <w:szCs w:val="24"/>
        </w:rPr>
        <w:t>o</w:t>
      </w:r>
      <w:r w:rsidR="001915AE" w:rsidRPr="00D16622">
        <w:rPr>
          <w:rFonts w:ascii="Times New Roman" w:hAnsi="Times New Roman" w:cs="Times New Roman"/>
          <w:noProof/>
          <w:sz w:val="24"/>
          <w:szCs w:val="24"/>
        </w:rPr>
        <w:t>p</w:t>
      </w:r>
      <w:r w:rsidR="008F3B5E" w:rsidRPr="00D16622">
        <w:rPr>
          <w:rFonts w:ascii="Times New Roman" w:hAnsi="Times New Roman" w:cs="Times New Roman"/>
          <w:noProof/>
          <w:sz w:val="24"/>
          <w:szCs w:val="24"/>
        </w:rPr>
        <w:t>e</w:t>
      </w:r>
      <w:r w:rsidR="001915AE" w:rsidRPr="00D16622">
        <w:rPr>
          <w:rFonts w:ascii="Times New Roman" w:hAnsi="Times New Roman" w:cs="Times New Roman"/>
          <w:noProof/>
          <w:sz w:val="24"/>
          <w:szCs w:val="24"/>
        </w:rPr>
        <w:t>an Convention on Human Rights remains applicable.</w:t>
      </w:r>
    </w:p>
    <w:p w14:paraId="42095B20" w14:textId="71D8663E" w:rsidR="001476DD" w:rsidRPr="00D16622" w:rsidRDefault="005D7400" w:rsidP="001476DD">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The 2026 Rule of Law Report </w:t>
      </w:r>
      <w:r w:rsidR="003C13C9" w:rsidRPr="00D16622">
        <w:rPr>
          <w:rFonts w:ascii="Times New Roman" w:hAnsi="Times New Roman" w:cs="Times New Roman"/>
          <w:noProof/>
          <w:sz w:val="24"/>
          <w:szCs w:val="24"/>
        </w:rPr>
        <w:t>continues to report on developments in this area</w:t>
      </w:r>
      <w:r w:rsidRPr="00D16622">
        <w:rPr>
          <w:rFonts w:ascii="Times New Roman" w:hAnsi="Times New Roman" w:cs="Times New Roman"/>
          <w:noProof/>
          <w:sz w:val="24"/>
          <w:szCs w:val="24"/>
        </w:rPr>
        <w:t>, with allegations of illegal spyware use placing national checks and balances in the spotlight.</w:t>
      </w:r>
      <w:r w:rsidR="001409C8" w:rsidRPr="00D16622">
        <w:rPr>
          <w:rFonts w:ascii="Times New Roman" w:hAnsi="Times New Roman" w:cs="Times New Roman"/>
          <w:noProof/>
          <w:sz w:val="24"/>
          <w:szCs w:val="24"/>
        </w:rPr>
        <w:t xml:space="preserve"> </w:t>
      </w:r>
      <w:r w:rsidR="001476DD" w:rsidRPr="00D16622">
        <w:rPr>
          <w:rFonts w:ascii="Times New Roman" w:hAnsi="Times New Roman" w:cs="Times New Roman"/>
          <w:noProof/>
          <w:sz w:val="24"/>
          <w:szCs w:val="24"/>
        </w:rPr>
        <w:t xml:space="preserve">In </w:t>
      </w:r>
      <w:hyperlink r:id="rId390" w:history="1">
        <w:r w:rsidR="001476DD" w:rsidRPr="00D16622">
          <w:rPr>
            <w:rStyle w:val="Hyperlink"/>
            <w:rFonts w:cs="Times New Roman"/>
            <w:noProof/>
            <w:szCs w:val="24"/>
          </w:rPr>
          <w:t>Greece</w:t>
        </w:r>
      </w:hyperlink>
      <w:r w:rsidR="001476DD" w:rsidRPr="00D16622">
        <w:rPr>
          <w:rFonts w:ascii="Times New Roman" w:hAnsi="Times New Roman" w:cs="Times New Roman"/>
          <w:noProof/>
          <w:sz w:val="24"/>
          <w:szCs w:val="24"/>
        </w:rPr>
        <w:t xml:space="preserve">, judicial scrutiny of certain aspects of the use of spyware continues. In </w:t>
      </w:r>
      <w:hyperlink r:id="rId391" w:history="1">
        <w:r w:rsidR="00F377A5" w:rsidRPr="00D16622">
          <w:rPr>
            <w:rStyle w:val="Hyperlink"/>
            <w:rFonts w:eastAsia="Times New Roman" w:cs="Times New Roman"/>
            <w:noProof/>
            <w:szCs w:val="24"/>
            <w:lang w:val="en-IE"/>
          </w:rPr>
          <w:t>Italy</w:t>
        </w:r>
      </w:hyperlink>
      <w:r w:rsidR="001476DD" w:rsidRPr="00D16622">
        <w:rPr>
          <w:rFonts w:ascii="Times New Roman" w:hAnsi="Times New Roman" w:cs="Times New Roman"/>
          <w:noProof/>
          <w:sz w:val="24"/>
          <w:szCs w:val="24"/>
        </w:rPr>
        <w:t xml:space="preserve">, investigations continue on the Paragon spyware case, </w:t>
      </w:r>
      <w:r w:rsidR="3F2DC102" w:rsidRPr="00D16622">
        <w:rPr>
          <w:rFonts w:ascii="Times New Roman" w:hAnsi="Times New Roman" w:cs="Times New Roman"/>
          <w:noProof/>
          <w:sz w:val="24"/>
          <w:szCs w:val="24"/>
        </w:rPr>
        <w:t>including to identify those</w:t>
      </w:r>
      <w:r w:rsidR="001476DD" w:rsidRPr="00D16622">
        <w:rPr>
          <w:rFonts w:ascii="Times New Roman" w:hAnsi="Times New Roman" w:cs="Times New Roman"/>
          <w:noProof/>
          <w:sz w:val="24"/>
          <w:szCs w:val="24"/>
        </w:rPr>
        <w:t xml:space="preserve"> responsible for the use of the spyware against Italian journalists</w:t>
      </w:r>
      <w:r>
        <w:rPr>
          <w:rFonts w:ascii="Times New Roman" w:hAnsi="Times New Roman" w:cs="Times New Roman"/>
          <w:noProof/>
          <w:sz w:val="24"/>
          <w:szCs w:val="24"/>
        </w:rPr>
        <w:t>, after the prosecutors' offices found no evidence of operations by the Italian intelligence services targeting journalists through the spyware</w:t>
      </w:r>
      <w:r w:rsidR="001476DD" w:rsidRPr="00D16622">
        <w:rPr>
          <w:rFonts w:ascii="Times New Roman" w:hAnsi="Times New Roman" w:cs="Times New Roman"/>
          <w:noProof/>
          <w:sz w:val="24"/>
          <w:szCs w:val="24"/>
        </w:rPr>
        <w:t xml:space="preserve">. </w:t>
      </w:r>
      <w:r w:rsidR="00C860BD" w:rsidRPr="00D16622">
        <w:rPr>
          <w:rFonts w:ascii="Times New Roman" w:hAnsi="Times New Roman" w:cs="Times New Roman"/>
          <w:noProof/>
          <w:sz w:val="24"/>
          <w:szCs w:val="24"/>
        </w:rPr>
        <w:t xml:space="preserve">In </w:t>
      </w:r>
      <w:hyperlink r:id="rId392" w:history="1">
        <w:r w:rsidR="00C860BD" w:rsidRPr="00D16622">
          <w:rPr>
            <w:rStyle w:val="Hyperlink"/>
            <w:rFonts w:cs="Times New Roman"/>
            <w:noProof/>
            <w:szCs w:val="24"/>
          </w:rPr>
          <w:t>Hungary</w:t>
        </w:r>
      </w:hyperlink>
      <w:r w:rsidR="00C860BD" w:rsidRPr="00D16622">
        <w:rPr>
          <w:rFonts w:ascii="Times New Roman" w:hAnsi="Times New Roman" w:cs="Times New Roman"/>
          <w:noProof/>
          <w:sz w:val="24"/>
          <w:szCs w:val="24"/>
        </w:rPr>
        <w:t>, the absence of procedural safeguards and effective oversight in the event of secret surveillance measures remains a concern.</w:t>
      </w:r>
      <w:r w:rsidR="00C860BD" w:rsidRPr="00D16622" w:rsidDel="00C860BD">
        <w:rPr>
          <w:rFonts w:ascii="Times New Roman" w:hAnsi="Times New Roman" w:cs="Times New Roman"/>
          <w:noProof/>
          <w:sz w:val="24"/>
          <w:szCs w:val="24"/>
          <w:lang w:val="en-IE"/>
        </w:rPr>
        <w:t xml:space="preserve"> </w:t>
      </w:r>
    </w:p>
    <w:p w14:paraId="2DDD69A8" w14:textId="411CBBB6" w:rsidR="00F63A1F" w:rsidRPr="00D16622" w:rsidRDefault="00071325" w:rsidP="004779DA">
      <w:pPr>
        <w:spacing w:after="120" w:line="240" w:lineRule="auto"/>
        <w:jc w:val="both"/>
        <w:rPr>
          <w:rFonts w:ascii="Times New Roman" w:hAnsi="Times New Roman" w:cs="Times New Roman"/>
          <w:b/>
          <w:bCs/>
          <w:i/>
          <w:iCs/>
          <w:noProof/>
          <w:sz w:val="24"/>
          <w:szCs w:val="24"/>
        </w:rPr>
      </w:pPr>
      <w:r w:rsidRPr="00D16622">
        <w:rPr>
          <w:rFonts w:ascii="Times New Roman" w:hAnsi="Times New Roman" w:cs="Times New Roman"/>
          <w:noProof/>
          <w:sz w:val="24"/>
          <w:szCs w:val="24"/>
        </w:rPr>
        <w:t xml:space="preserve"> </w:t>
      </w:r>
      <w:r w:rsidR="00F63A1F" w:rsidRPr="00D16622">
        <w:rPr>
          <w:rFonts w:ascii="Times New Roman" w:hAnsi="Times New Roman" w:cs="Times New Roman"/>
          <w:b/>
          <w:bCs/>
          <w:i/>
          <w:iCs/>
          <w:noProof/>
          <w:sz w:val="24"/>
          <w:szCs w:val="24"/>
        </w:rPr>
        <w:t>4.5</w:t>
      </w:r>
      <w:r w:rsidR="00F63A1F" w:rsidRPr="00D16622">
        <w:rPr>
          <w:rFonts w:ascii="Times New Roman" w:hAnsi="Times New Roman" w:cs="Times New Roman"/>
          <w:b/>
          <w:bCs/>
          <w:i/>
          <w:iCs/>
          <w:noProof/>
          <w:sz w:val="24"/>
          <w:szCs w:val="24"/>
        </w:rPr>
        <w:tab/>
        <w:t xml:space="preserve">Single </w:t>
      </w:r>
      <w:r w:rsidR="00A2396A" w:rsidRPr="00D16622">
        <w:rPr>
          <w:rFonts w:ascii="Times New Roman" w:hAnsi="Times New Roman" w:cs="Times New Roman"/>
          <w:b/>
          <w:bCs/>
          <w:i/>
          <w:iCs/>
          <w:noProof/>
          <w:sz w:val="24"/>
          <w:szCs w:val="24"/>
        </w:rPr>
        <w:t>M</w:t>
      </w:r>
      <w:r w:rsidR="00F63A1F" w:rsidRPr="00D16622">
        <w:rPr>
          <w:rFonts w:ascii="Times New Roman" w:hAnsi="Times New Roman" w:cs="Times New Roman"/>
          <w:b/>
          <w:bCs/>
          <w:i/>
          <w:iCs/>
          <w:noProof/>
          <w:sz w:val="24"/>
          <w:szCs w:val="24"/>
        </w:rPr>
        <w:t>arket</w:t>
      </w:r>
      <w:r w:rsidR="00F63A1F" w:rsidRPr="00D16622">
        <w:rPr>
          <w:rFonts w:ascii="Times New Roman" w:hAnsi="Times New Roman" w:cs="Times New Roman"/>
          <w:b/>
          <w:bCs/>
          <w:noProof/>
          <w:sz w:val="18"/>
          <w:szCs w:val="18"/>
        </w:rPr>
        <w:t xml:space="preserve"> </w:t>
      </w:r>
      <w:r w:rsidR="00F63A1F" w:rsidRPr="00D16622">
        <w:rPr>
          <w:rFonts w:ascii="Times New Roman" w:hAnsi="Times New Roman" w:cs="Times New Roman"/>
          <w:b/>
          <w:bCs/>
          <w:i/>
          <w:iCs/>
          <w:noProof/>
          <w:sz w:val="24"/>
          <w:szCs w:val="24"/>
        </w:rPr>
        <w:t>aspects across the four pillars</w:t>
      </w:r>
    </w:p>
    <w:p w14:paraId="1B7DB7B4" w14:textId="43EFA76A" w:rsidR="00126F75" w:rsidRPr="00D16622" w:rsidRDefault="00413FFF" w:rsidP="00126F75">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Effective justice systems, strong safeguards against corruption, legal certainty, and inclusive, evidence-based legislation are essential foundations for a thriving economy. They influence the business environment and investment choices, underpin the smooth operation of the Single Market, and support sustainable economic growth and job creation.</w:t>
      </w:r>
      <w:r w:rsidR="00AB1857" w:rsidRPr="00D16622">
        <w:rPr>
          <w:rFonts w:ascii="Times New Roman" w:hAnsi="Times New Roman" w:cs="Times New Roman"/>
          <w:noProof/>
          <w:sz w:val="24"/>
          <w:szCs w:val="24"/>
        </w:rPr>
        <w:t xml:space="preserve"> The 2026 Rule of Law Report </w:t>
      </w:r>
      <w:r w:rsidR="008045AB" w:rsidRPr="00D16622">
        <w:rPr>
          <w:rFonts w:ascii="Times New Roman" w:hAnsi="Times New Roman" w:cs="Times New Roman"/>
          <w:noProof/>
          <w:sz w:val="24"/>
          <w:szCs w:val="24"/>
        </w:rPr>
        <w:t>continues</w:t>
      </w:r>
      <w:r w:rsidR="00AB1857" w:rsidRPr="00D16622">
        <w:rPr>
          <w:rFonts w:ascii="Times New Roman" w:hAnsi="Times New Roman" w:cs="Times New Roman"/>
          <w:noProof/>
          <w:sz w:val="24"/>
          <w:szCs w:val="24"/>
        </w:rPr>
        <w:t xml:space="preserve"> the assessment of developments regarding the </w:t>
      </w:r>
      <w:r w:rsidR="00336C7F" w:rsidRPr="00D16622">
        <w:rPr>
          <w:rFonts w:ascii="Times New Roman" w:hAnsi="Times New Roman" w:cs="Times New Roman"/>
          <w:noProof/>
          <w:sz w:val="24"/>
          <w:szCs w:val="24"/>
        </w:rPr>
        <w:t>S</w:t>
      </w:r>
      <w:r w:rsidR="00AB1857" w:rsidRPr="00D16622">
        <w:rPr>
          <w:rFonts w:ascii="Times New Roman" w:hAnsi="Times New Roman" w:cs="Times New Roman"/>
          <w:noProof/>
          <w:sz w:val="24"/>
          <w:szCs w:val="24"/>
        </w:rPr>
        <w:t xml:space="preserve">ingle </w:t>
      </w:r>
      <w:r w:rsidR="00336C7F" w:rsidRPr="00D16622">
        <w:rPr>
          <w:rFonts w:ascii="Times New Roman" w:hAnsi="Times New Roman" w:cs="Times New Roman"/>
          <w:noProof/>
          <w:sz w:val="24"/>
          <w:szCs w:val="24"/>
        </w:rPr>
        <w:t>M</w:t>
      </w:r>
      <w:r w:rsidR="00AB1857" w:rsidRPr="00D16622">
        <w:rPr>
          <w:rFonts w:ascii="Times New Roman" w:hAnsi="Times New Roman" w:cs="Times New Roman"/>
          <w:noProof/>
          <w:sz w:val="24"/>
          <w:szCs w:val="24"/>
        </w:rPr>
        <w:t xml:space="preserve">arket dimension initiated in the 2025 Rule of Law Report, drawing further on the inputs from business stakeholders and examining </w:t>
      </w:r>
      <w:r w:rsidR="009B7465" w:rsidRPr="00D16622">
        <w:rPr>
          <w:rFonts w:ascii="Times New Roman" w:hAnsi="Times New Roman" w:cs="Times New Roman"/>
          <w:noProof/>
          <w:sz w:val="24"/>
          <w:szCs w:val="24"/>
        </w:rPr>
        <w:t xml:space="preserve">in more depth </w:t>
      </w:r>
      <w:r w:rsidR="00AB1857" w:rsidRPr="00D16622">
        <w:rPr>
          <w:rFonts w:ascii="Times New Roman" w:hAnsi="Times New Roman" w:cs="Times New Roman"/>
          <w:noProof/>
          <w:sz w:val="24"/>
          <w:szCs w:val="24"/>
        </w:rPr>
        <w:t xml:space="preserve">issues such as the work of independent regulatory authorities. </w:t>
      </w:r>
    </w:p>
    <w:p w14:paraId="40FD2F5C" w14:textId="5AB6C629" w:rsidR="00126F75" w:rsidRPr="00D16622" w:rsidRDefault="006C1A81" w:rsidP="00126F75">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Drawing on Eurobarometer data also presented in the </w:t>
      </w:r>
      <w:hyperlink r:id="rId393" w:history="1">
        <w:r w:rsidRPr="00D16622">
          <w:rPr>
            <w:rStyle w:val="Hyperlink"/>
            <w:rFonts w:cs="Times New Roman"/>
            <w:noProof/>
            <w:szCs w:val="24"/>
          </w:rPr>
          <w:t>2026 EU Justice Scoreboard</w:t>
        </w:r>
      </w:hyperlink>
      <w:r w:rsidRPr="00D16622">
        <w:rPr>
          <w:rFonts w:ascii="Times New Roman" w:hAnsi="Times New Roman" w:cs="Times New Roman"/>
          <w:noProof/>
          <w:sz w:val="24"/>
          <w:szCs w:val="24"/>
        </w:rPr>
        <w:t xml:space="preserve">, each country chapter reports on companies’ perceptions of the independence of public procurement and national competition authorities. The independence of these authorities is crucial to the functioning of the Single Market. </w:t>
      </w:r>
      <w:r w:rsidR="00126F75" w:rsidRPr="00D16622">
        <w:rPr>
          <w:rFonts w:ascii="Times New Roman" w:hAnsi="Times New Roman" w:cs="Times New Roman"/>
          <w:noProof/>
          <w:sz w:val="24"/>
          <w:szCs w:val="24"/>
        </w:rPr>
        <w:t xml:space="preserve">As regards first-instance public procurement review bodies, the level of perceived independence is highest for </w:t>
      </w:r>
      <w:hyperlink r:id="rId394" w:history="1">
        <w:r w:rsidR="00C47F0F" w:rsidRPr="00D16622">
          <w:rPr>
            <w:rStyle w:val="Hyperlink"/>
            <w:rFonts w:cs="Times New Roman"/>
            <w:noProof/>
            <w:szCs w:val="24"/>
            <w:lang w:eastAsia="en-IE"/>
          </w:rPr>
          <w:t>Finland</w:t>
        </w:r>
      </w:hyperlink>
      <w:r w:rsidR="00184CD4" w:rsidRPr="00D16622">
        <w:rPr>
          <w:rFonts w:ascii="Times New Roman" w:hAnsi="Times New Roman" w:cs="Times New Roman"/>
          <w:noProof/>
          <w:sz w:val="24"/>
          <w:szCs w:val="24"/>
          <w:lang w:eastAsia="en-IE"/>
        </w:rPr>
        <w:t xml:space="preserve">, </w:t>
      </w:r>
      <w:hyperlink r:id="rId395" w:history="1">
        <w:r w:rsidR="008A099D" w:rsidRPr="00D16622">
          <w:rPr>
            <w:rStyle w:val="Hyperlink"/>
            <w:rFonts w:cs="Times New Roman"/>
            <w:noProof/>
            <w:szCs w:val="24"/>
            <w:lang w:eastAsia="en-IE"/>
          </w:rPr>
          <w:t>Sweden</w:t>
        </w:r>
      </w:hyperlink>
      <w:r w:rsidR="00184CD4" w:rsidRPr="00D16622">
        <w:rPr>
          <w:rFonts w:ascii="Times New Roman" w:hAnsi="Times New Roman" w:cs="Times New Roman"/>
          <w:noProof/>
        </w:rPr>
        <w:t xml:space="preserve"> </w:t>
      </w:r>
      <w:r w:rsidR="00184CD4" w:rsidRPr="00D16622">
        <w:rPr>
          <w:rFonts w:ascii="Times New Roman" w:hAnsi="Times New Roman" w:cs="Times New Roman"/>
          <w:noProof/>
          <w:sz w:val="24"/>
          <w:szCs w:val="24"/>
        </w:rPr>
        <w:t xml:space="preserve">and </w:t>
      </w:r>
      <w:hyperlink r:id="rId396" w:history="1">
        <w:r w:rsidR="00184CD4" w:rsidRPr="00D16622">
          <w:rPr>
            <w:rStyle w:val="Hyperlink"/>
            <w:rFonts w:cs="Times New Roman"/>
            <w:noProof/>
            <w:szCs w:val="24"/>
            <w:lang w:eastAsia="en-IE"/>
          </w:rPr>
          <w:t>Luxembourg</w:t>
        </w:r>
      </w:hyperlink>
      <w:r w:rsidR="00126F75" w:rsidRPr="00D16622">
        <w:rPr>
          <w:rFonts w:ascii="Times New Roman" w:hAnsi="Times New Roman" w:cs="Times New Roman"/>
          <w:noProof/>
          <w:sz w:val="24"/>
          <w:szCs w:val="24"/>
        </w:rPr>
        <w:t xml:space="preserve">, and lowest for </w:t>
      </w:r>
      <w:hyperlink r:id="rId397" w:history="1">
        <w:r w:rsidR="00126F75" w:rsidRPr="00D16622">
          <w:rPr>
            <w:rStyle w:val="Hyperlink"/>
            <w:rFonts w:cs="Times New Roman"/>
            <w:bCs/>
            <w:noProof/>
            <w:szCs w:val="24"/>
          </w:rPr>
          <w:t>Bulgaria</w:t>
        </w:r>
      </w:hyperlink>
      <w:r w:rsidR="00126F75" w:rsidRPr="00D16622">
        <w:rPr>
          <w:rFonts w:ascii="Times New Roman" w:hAnsi="Times New Roman" w:cs="Times New Roman"/>
          <w:b/>
          <w:noProof/>
          <w:sz w:val="24"/>
          <w:szCs w:val="24"/>
        </w:rPr>
        <w:t xml:space="preserve">, </w:t>
      </w:r>
      <w:hyperlink r:id="rId398" w:history="1">
        <w:r w:rsidR="00126F75" w:rsidRPr="00D16622">
          <w:rPr>
            <w:rStyle w:val="Hyperlink"/>
            <w:rFonts w:cs="Times New Roman"/>
            <w:bCs/>
            <w:noProof/>
            <w:szCs w:val="24"/>
          </w:rPr>
          <w:t>Greece</w:t>
        </w:r>
      </w:hyperlink>
      <w:r w:rsidR="00126F75" w:rsidRPr="00D16622">
        <w:rPr>
          <w:rFonts w:ascii="Times New Roman" w:hAnsi="Times New Roman" w:cs="Times New Roman"/>
          <w:b/>
          <w:noProof/>
          <w:sz w:val="24"/>
          <w:szCs w:val="24"/>
        </w:rPr>
        <w:t xml:space="preserve"> </w:t>
      </w:r>
      <w:r w:rsidR="00126F75" w:rsidRPr="00D16622">
        <w:rPr>
          <w:rFonts w:ascii="Times New Roman" w:hAnsi="Times New Roman" w:cs="Times New Roman"/>
          <w:noProof/>
          <w:sz w:val="24"/>
          <w:szCs w:val="24"/>
        </w:rPr>
        <w:t>and</w:t>
      </w:r>
      <w:r w:rsidR="00126F75" w:rsidRPr="00D16622">
        <w:rPr>
          <w:rFonts w:ascii="Times New Roman" w:hAnsi="Times New Roman" w:cs="Times New Roman"/>
          <w:b/>
          <w:noProof/>
          <w:sz w:val="24"/>
          <w:szCs w:val="24"/>
        </w:rPr>
        <w:t xml:space="preserve"> </w:t>
      </w:r>
      <w:hyperlink r:id="rId399" w:history="1">
        <w:r w:rsidR="0042684E" w:rsidRPr="00D16622">
          <w:rPr>
            <w:rStyle w:val="Hyperlink"/>
            <w:rFonts w:cs="Times New Roman"/>
            <w:noProof/>
            <w:szCs w:val="24"/>
          </w:rPr>
          <w:t>Hungary</w:t>
        </w:r>
      </w:hyperlink>
      <w:r w:rsidR="00126F75" w:rsidRPr="00D16622">
        <w:rPr>
          <w:rFonts w:ascii="Times New Roman" w:hAnsi="Times New Roman" w:cs="Times New Roman"/>
          <w:noProof/>
          <w:sz w:val="24"/>
          <w:szCs w:val="24"/>
        </w:rPr>
        <w:t xml:space="preserve">. For national competition authorities, the level of perceived independence is highest for </w:t>
      </w:r>
      <w:hyperlink r:id="rId400" w:history="1">
        <w:r w:rsidR="008807A0" w:rsidRPr="00D16622">
          <w:rPr>
            <w:rStyle w:val="Hyperlink"/>
            <w:rFonts w:cs="Times New Roman"/>
            <w:noProof/>
            <w:szCs w:val="24"/>
            <w:lang w:eastAsia="en-IE"/>
          </w:rPr>
          <w:t>Finland</w:t>
        </w:r>
      </w:hyperlink>
      <w:r w:rsidR="008807A0" w:rsidRPr="00D16622">
        <w:rPr>
          <w:rFonts w:ascii="Times New Roman" w:hAnsi="Times New Roman" w:cs="Times New Roman"/>
          <w:noProof/>
          <w:sz w:val="24"/>
          <w:szCs w:val="24"/>
          <w:lang w:eastAsia="en-IE"/>
        </w:rPr>
        <w:t xml:space="preserve">, </w:t>
      </w:r>
      <w:hyperlink r:id="rId401" w:history="1">
        <w:r w:rsidR="008807A0" w:rsidRPr="00D16622">
          <w:rPr>
            <w:rStyle w:val="Hyperlink"/>
            <w:rFonts w:cs="Times New Roman"/>
            <w:noProof/>
            <w:szCs w:val="24"/>
            <w:lang w:eastAsia="en-IE"/>
          </w:rPr>
          <w:t>Sweden</w:t>
        </w:r>
      </w:hyperlink>
      <w:r w:rsidR="008807A0" w:rsidRPr="00D16622">
        <w:rPr>
          <w:rFonts w:ascii="Times New Roman" w:hAnsi="Times New Roman" w:cs="Times New Roman"/>
          <w:noProof/>
          <w:sz w:val="24"/>
          <w:szCs w:val="24"/>
        </w:rPr>
        <w:t xml:space="preserve">, </w:t>
      </w:r>
      <w:hyperlink r:id="rId402" w:history="1">
        <w:r w:rsidR="00126F75" w:rsidRPr="00D16622">
          <w:rPr>
            <w:rStyle w:val="Hyperlink"/>
            <w:rFonts w:cs="Times New Roman"/>
            <w:noProof/>
            <w:szCs w:val="24"/>
          </w:rPr>
          <w:t>Denmark</w:t>
        </w:r>
      </w:hyperlink>
      <w:r w:rsidR="008807A0" w:rsidRPr="00D16622">
        <w:rPr>
          <w:rFonts w:ascii="Times New Roman" w:hAnsi="Times New Roman" w:cs="Times New Roman"/>
          <w:noProof/>
          <w:sz w:val="24"/>
          <w:szCs w:val="24"/>
        </w:rPr>
        <w:t xml:space="preserve"> and</w:t>
      </w:r>
      <w:r w:rsidR="00126F75" w:rsidRPr="00D16622">
        <w:rPr>
          <w:rFonts w:ascii="Times New Roman" w:hAnsi="Times New Roman" w:cs="Times New Roman"/>
          <w:noProof/>
          <w:sz w:val="24"/>
          <w:szCs w:val="24"/>
        </w:rPr>
        <w:t xml:space="preserve"> </w:t>
      </w:r>
      <w:hyperlink r:id="rId403" w:history="1">
        <w:r w:rsidR="00126F75" w:rsidRPr="00D16622">
          <w:rPr>
            <w:rStyle w:val="Hyperlink"/>
            <w:rFonts w:cs="Times New Roman"/>
            <w:bCs/>
            <w:noProof/>
            <w:szCs w:val="24"/>
          </w:rPr>
          <w:t>Ireland</w:t>
        </w:r>
      </w:hyperlink>
      <w:r w:rsidR="00126F75" w:rsidRPr="00D16622">
        <w:rPr>
          <w:rFonts w:ascii="Times New Roman" w:hAnsi="Times New Roman" w:cs="Times New Roman"/>
          <w:noProof/>
          <w:sz w:val="24"/>
          <w:szCs w:val="24"/>
        </w:rPr>
        <w:t xml:space="preserve">, and lowest for </w:t>
      </w:r>
      <w:hyperlink r:id="rId404" w:history="1">
        <w:r w:rsidR="00126F75" w:rsidRPr="00D16622">
          <w:rPr>
            <w:rStyle w:val="Hyperlink"/>
            <w:rFonts w:cs="Times New Roman"/>
            <w:bCs/>
            <w:noProof/>
            <w:szCs w:val="24"/>
          </w:rPr>
          <w:t>Bulgaria</w:t>
        </w:r>
      </w:hyperlink>
      <w:r w:rsidR="00126F75" w:rsidRPr="00D16622">
        <w:rPr>
          <w:rFonts w:ascii="Times New Roman" w:hAnsi="Times New Roman" w:cs="Times New Roman"/>
          <w:noProof/>
          <w:sz w:val="24"/>
          <w:szCs w:val="24"/>
        </w:rPr>
        <w:t xml:space="preserve">, </w:t>
      </w:r>
      <w:hyperlink r:id="rId405" w:history="1">
        <w:r w:rsidR="00126F75" w:rsidRPr="00D16622">
          <w:rPr>
            <w:rStyle w:val="Hyperlink"/>
            <w:rFonts w:cs="Times New Roman"/>
            <w:bCs/>
            <w:noProof/>
            <w:szCs w:val="24"/>
          </w:rPr>
          <w:t>Greece</w:t>
        </w:r>
      </w:hyperlink>
      <w:r w:rsidR="00126F75" w:rsidRPr="00D16622">
        <w:rPr>
          <w:rFonts w:ascii="Times New Roman" w:hAnsi="Times New Roman" w:cs="Times New Roman"/>
          <w:b/>
          <w:noProof/>
          <w:sz w:val="24"/>
          <w:szCs w:val="24"/>
        </w:rPr>
        <w:t xml:space="preserve"> </w:t>
      </w:r>
      <w:r w:rsidR="00126F75" w:rsidRPr="00D16622">
        <w:rPr>
          <w:rFonts w:ascii="Times New Roman" w:hAnsi="Times New Roman" w:cs="Times New Roman"/>
          <w:noProof/>
          <w:sz w:val="24"/>
          <w:szCs w:val="24"/>
        </w:rPr>
        <w:t>and</w:t>
      </w:r>
      <w:r w:rsidR="00126F75" w:rsidRPr="00D16622">
        <w:rPr>
          <w:rFonts w:ascii="Times New Roman" w:hAnsi="Times New Roman" w:cs="Times New Roman"/>
          <w:b/>
          <w:noProof/>
          <w:sz w:val="24"/>
          <w:szCs w:val="24"/>
        </w:rPr>
        <w:t xml:space="preserve"> </w:t>
      </w:r>
      <w:hyperlink r:id="rId406" w:history="1">
        <w:r w:rsidR="0042684E" w:rsidRPr="00D16622">
          <w:rPr>
            <w:rStyle w:val="Hyperlink"/>
            <w:rFonts w:cs="Times New Roman"/>
            <w:noProof/>
            <w:szCs w:val="24"/>
          </w:rPr>
          <w:t>Hungary</w:t>
        </w:r>
      </w:hyperlink>
      <w:r w:rsidR="00126F75" w:rsidRPr="00D16622">
        <w:rPr>
          <w:rFonts w:ascii="Times New Roman" w:hAnsi="Times New Roman" w:cs="Times New Roman"/>
          <w:noProof/>
          <w:sz w:val="24"/>
          <w:szCs w:val="24"/>
        </w:rPr>
        <w:t>.</w:t>
      </w:r>
      <w:r w:rsidR="00126F75" w:rsidRPr="00D16622" w:rsidDel="00E123EF">
        <w:rPr>
          <w:rFonts w:ascii="Times New Roman" w:hAnsi="Times New Roman" w:cs="Times New Roman"/>
          <w:noProof/>
          <w:sz w:val="24"/>
          <w:szCs w:val="24"/>
        </w:rPr>
        <w:t xml:space="preserve"> </w:t>
      </w:r>
    </w:p>
    <w:p w14:paraId="4C0EB463" w14:textId="0B083CF4" w:rsidR="00126F75" w:rsidRPr="00D16622" w:rsidRDefault="00126F75" w:rsidP="00126F75">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As for the perceived </w:t>
      </w:r>
      <w:r w:rsidR="000B2A56" w:rsidRPr="00D16622">
        <w:rPr>
          <w:rFonts w:ascii="Times New Roman" w:hAnsi="Times New Roman" w:cs="Times New Roman"/>
          <w:noProof/>
          <w:sz w:val="24"/>
          <w:szCs w:val="24"/>
        </w:rPr>
        <w:t xml:space="preserve">effectiveness </w:t>
      </w:r>
      <w:r w:rsidRPr="00D16622">
        <w:rPr>
          <w:rFonts w:ascii="Times New Roman" w:hAnsi="Times New Roman" w:cs="Times New Roman"/>
          <w:noProof/>
          <w:sz w:val="24"/>
          <w:szCs w:val="24"/>
        </w:rPr>
        <w:t xml:space="preserve">of investment protection, over two thirds of the surveyed companies expressed confidence in </w:t>
      </w:r>
      <w:hyperlink r:id="rId407" w:history="1">
        <w:r w:rsidRPr="00D16622">
          <w:rPr>
            <w:rStyle w:val="Hyperlink"/>
            <w:rFonts w:cs="Times New Roman"/>
            <w:noProof/>
            <w:szCs w:val="24"/>
          </w:rPr>
          <w:t>Denmark</w:t>
        </w:r>
      </w:hyperlink>
      <w:r w:rsidRPr="00D16622">
        <w:rPr>
          <w:rFonts w:ascii="Times New Roman" w:hAnsi="Times New Roman" w:cs="Times New Roman"/>
          <w:noProof/>
          <w:sz w:val="24"/>
          <w:szCs w:val="24"/>
        </w:rPr>
        <w:t xml:space="preserve">, </w:t>
      </w:r>
      <w:hyperlink r:id="rId408" w:history="1">
        <w:r w:rsidRPr="00D16622">
          <w:rPr>
            <w:rStyle w:val="Hyperlink"/>
            <w:rFonts w:cs="Times New Roman"/>
            <w:noProof/>
            <w:szCs w:val="24"/>
          </w:rPr>
          <w:t>Ireland</w:t>
        </w:r>
      </w:hyperlink>
      <w:r w:rsidRPr="00D16622">
        <w:rPr>
          <w:rFonts w:ascii="Times New Roman" w:hAnsi="Times New Roman" w:cs="Times New Roman"/>
          <w:noProof/>
          <w:sz w:val="24"/>
          <w:szCs w:val="24"/>
        </w:rPr>
        <w:t xml:space="preserve">, </w:t>
      </w:r>
      <w:hyperlink r:id="rId409" w:history="1">
        <w:r w:rsidR="00362750" w:rsidRPr="00D16622">
          <w:rPr>
            <w:rStyle w:val="Hyperlink"/>
            <w:rFonts w:cs="Times New Roman"/>
            <w:noProof/>
            <w:szCs w:val="24"/>
            <w:lang w:eastAsia="en-IE"/>
          </w:rPr>
          <w:t>Luxembourg</w:t>
        </w:r>
      </w:hyperlink>
      <w:r w:rsidRPr="00D16622">
        <w:rPr>
          <w:rFonts w:ascii="Times New Roman" w:hAnsi="Times New Roman" w:cs="Times New Roman"/>
          <w:noProof/>
          <w:sz w:val="24"/>
          <w:szCs w:val="24"/>
        </w:rPr>
        <w:t xml:space="preserve">, </w:t>
      </w:r>
      <w:hyperlink r:id="rId410" w:history="1">
        <w:r w:rsidR="00775307" w:rsidRPr="00D16622">
          <w:rPr>
            <w:rStyle w:val="Hyperlink"/>
            <w:rFonts w:cs="Times New Roman"/>
            <w:noProof/>
            <w:szCs w:val="24"/>
          </w:rPr>
          <w:t>Malta</w:t>
        </w:r>
      </w:hyperlink>
      <w:r w:rsidRPr="00D16622">
        <w:rPr>
          <w:rFonts w:ascii="Times New Roman" w:hAnsi="Times New Roman" w:cs="Times New Roman"/>
          <w:noProof/>
          <w:sz w:val="24"/>
          <w:szCs w:val="24"/>
        </w:rPr>
        <w:t xml:space="preserve">, the </w:t>
      </w:r>
      <w:hyperlink r:id="rId411" w:history="1">
        <w:r w:rsidR="002C61F5" w:rsidRPr="00D16622">
          <w:rPr>
            <w:rStyle w:val="Hyperlink"/>
            <w:rFonts w:eastAsia="Times New Roman" w:cs="Times New Roman"/>
            <w:noProof/>
            <w:szCs w:val="24"/>
          </w:rPr>
          <w:t>Netherlands</w:t>
        </w:r>
      </w:hyperlink>
      <w:r w:rsidRPr="00D16622">
        <w:rPr>
          <w:rFonts w:ascii="Times New Roman" w:hAnsi="Times New Roman" w:cs="Times New Roman"/>
          <w:noProof/>
          <w:sz w:val="24"/>
          <w:szCs w:val="24"/>
        </w:rPr>
        <w:t xml:space="preserve">, </w:t>
      </w:r>
      <w:hyperlink r:id="rId412" w:history="1">
        <w:r w:rsidR="00F86C9D" w:rsidRPr="00D16622">
          <w:rPr>
            <w:rStyle w:val="Hyperlink"/>
            <w:rFonts w:cs="Times New Roman"/>
            <w:noProof/>
            <w:szCs w:val="24"/>
            <w:lang w:eastAsia="en-IE"/>
          </w:rPr>
          <w:t>Austria</w:t>
        </w:r>
      </w:hyperlink>
      <w:r w:rsidRPr="00D16622">
        <w:rPr>
          <w:rFonts w:ascii="Times New Roman" w:hAnsi="Times New Roman" w:cs="Times New Roman"/>
          <w:noProof/>
          <w:sz w:val="24"/>
          <w:szCs w:val="24"/>
        </w:rPr>
        <w:t xml:space="preserve">, </w:t>
      </w:r>
      <w:hyperlink r:id="rId413" w:history="1">
        <w:r w:rsidR="008062E4" w:rsidRPr="00D16622">
          <w:rPr>
            <w:rStyle w:val="Hyperlink"/>
            <w:rFonts w:cs="Times New Roman"/>
            <w:noProof/>
            <w:szCs w:val="24"/>
          </w:rPr>
          <w:t>Slovenia</w:t>
        </w:r>
      </w:hyperlink>
      <w:r w:rsidRPr="00D16622">
        <w:rPr>
          <w:rFonts w:ascii="Times New Roman" w:hAnsi="Times New Roman" w:cs="Times New Roman"/>
          <w:noProof/>
          <w:sz w:val="24"/>
          <w:szCs w:val="24"/>
        </w:rPr>
        <w:t xml:space="preserve">, </w:t>
      </w:r>
      <w:hyperlink r:id="rId414" w:history="1">
        <w:r w:rsidR="00C47F0F" w:rsidRPr="00D16622">
          <w:rPr>
            <w:rStyle w:val="Hyperlink"/>
            <w:rFonts w:cs="Times New Roman"/>
            <w:noProof/>
            <w:szCs w:val="24"/>
            <w:lang w:eastAsia="en-IE"/>
          </w:rPr>
          <w:t>Finland</w:t>
        </w:r>
      </w:hyperlink>
      <w:r w:rsidR="00C47F0F" w:rsidRPr="00D16622">
        <w:rPr>
          <w:rFonts w:ascii="Times New Roman" w:hAnsi="Times New Roman" w:cs="Times New Roman"/>
          <w:noProof/>
          <w:sz w:val="24"/>
          <w:szCs w:val="24"/>
          <w:lang w:eastAsia="en-IE"/>
        </w:rPr>
        <w:t xml:space="preserve"> </w:t>
      </w:r>
      <w:r w:rsidRPr="00D16622">
        <w:rPr>
          <w:rFonts w:ascii="Times New Roman" w:hAnsi="Times New Roman" w:cs="Times New Roman"/>
          <w:noProof/>
          <w:sz w:val="24"/>
          <w:szCs w:val="24"/>
        </w:rPr>
        <w:t xml:space="preserve">and </w:t>
      </w:r>
      <w:hyperlink r:id="rId415" w:history="1">
        <w:r w:rsidR="008A099D" w:rsidRPr="00D16622">
          <w:rPr>
            <w:rStyle w:val="Hyperlink"/>
            <w:rFonts w:cs="Times New Roman"/>
            <w:noProof/>
            <w:szCs w:val="24"/>
            <w:lang w:eastAsia="en-IE"/>
          </w:rPr>
          <w:t>Sweden</w:t>
        </w:r>
      </w:hyperlink>
      <w:r w:rsidRPr="00D16622">
        <w:rPr>
          <w:rFonts w:ascii="Times New Roman" w:hAnsi="Times New Roman" w:cs="Times New Roman"/>
          <w:noProof/>
          <w:sz w:val="24"/>
          <w:szCs w:val="24"/>
        </w:rPr>
        <w:t xml:space="preserve">, while less than a third expressed confidence in </w:t>
      </w:r>
      <w:hyperlink r:id="rId416" w:history="1">
        <w:r w:rsidRPr="00D16622">
          <w:rPr>
            <w:rStyle w:val="Hyperlink"/>
            <w:rFonts w:cs="Times New Roman"/>
            <w:noProof/>
            <w:szCs w:val="24"/>
          </w:rPr>
          <w:t>Greece</w:t>
        </w:r>
      </w:hyperlink>
      <w:r w:rsidRPr="00D16622">
        <w:rPr>
          <w:rFonts w:ascii="Times New Roman" w:hAnsi="Times New Roman" w:cs="Times New Roman"/>
          <w:noProof/>
          <w:sz w:val="24"/>
          <w:szCs w:val="24"/>
        </w:rPr>
        <w:t xml:space="preserve"> and </w:t>
      </w:r>
      <w:hyperlink r:id="rId417" w:history="1">
        <w:r w:rsidR="00F86C9D" w:rsidRPr="00D16622">
          <w:rPr>
            <w:rStyle w:val="Hyperlink"/>
            <w:rFonts w:cs="Times New Roman"/>
            <w:bCs/>
            <w:noProof/>
            <w:szCs w:val="24"/>
          </w:rPr>
          <w:t>Poland</w:t>
        </w:r>
      </w:hyperlink>
      <w:r w:rsidRPr="00D16622">
        <w:rPr>
          <w:rFonts w:ascii="Times New Roman" w:hAnsi="Times New Roman" w:cs="Times New Roman"/>
          <w:noProof/>
          <w:sz w:val="24"/>
          <w:szCs w:val="24"/>
        </w:rPr>
        <w:t xml:space="preserve">. </w:t>
      </w:r>
      <w:r w:rsidR="002E5850" w:rsidRPr="00D16622">
        <w:rPr>
          <w:rFonts w:ascii="Times New Roman" w:hAnsi="Times New Roman" w:cs="Times New Roman"/>
          <w:noProof/>
          <w:sz w:val="24"/>
          <w:szCs w:val="24"/>
        </w:rPr>
        <w:t xml:space="preserve">More than </w:t>
      </w:r>
      <w:r w:rsidR="004973D3" w:rsidRPr="00D16622">
        <w:rPr>
          <w:rFonts w:ascii="Times New Roman" w:hAnsi="Times New Roman" w:cs="Times New Roman"/>
          <w:noProof/>
          <w:sz w:val="24"/>
          <w:szCs w:val="24"/>
        </w:rPr>
        <w:t>two thirds</w:t>
      </w:r>
      <w:r w:rsidR="00BC1E52" w:rsidRPr="00D16622">
        <w:rPr>
          <w:rFonts w:ascii="Times New Roman" w:hAnsi="Times New Roman" w:cs="Times New Roman"/>
          <w:noProof/>
          <w:sz w:val="24"/>
          <w:szCs w:val="24"/>
        </w:rPr>
        <w:t xml:space="preserve"> </w:t>
      </w:r>
      <w:r w:rsidRPr="00D16622">
        <w:rPr>
          <w:rFonts w:ascii="Times New Roman" w:hAnsi="Times New Roman" w:cs="Times New Roman"/>
          <w:noProof/>
          <w:sz w:val="24"/>
          <w:szCs w:val="24"/>
        </w:rPr>
        <w:t>of companies in</w:t>
      </w:r>
      <w:r w:rsidR="00C92075" w:rsidRPr="00D16622">
        <w:rPr>
          <w:rFonts w:ascii="Times New Roman" w:hAnsi="Times New Roman" w:cs="Times New Roman"/>
          <w:noProof/>
          <w:sz w:val="24"/>
          <w:szCs w:val="24"/>
        </w:rPr>
        <w:t xml:space="preserve"> </w:t>
      </w:r>
      <w:hyperlink r:id="rId418" w:history="1">
        <w:r w:rsidR="00C92075" w:rsidRPr="00D16622">
          <w:rPr>
            <w:rStyle w:val="Hyperlink"/>
            <w:rFonts w:cs="Times New Roman"/>
            <w:noProof/>
            <w:szCs w:val="24"/>
          </w:rPr>
          <w:t>Albania</w:t>
        </w:r>
      </w:hyperlink>
      <w:r w:rsidR="00C92075" w:rsidRPr="00D16622">
        <w:rPr>
          <w:rFonts w:ascii="Times New Roman" w:hAnsi="Times New Roman" w:cs="Times New Roman"/>
          <w:noProof/>
          <w:sz w:val="24"/>
          <w:szCs w:val="24"/>
        </w:rPr>
        <w:t xml:space="preserve"> express confidence in investment protection, </w:t>
      </w:r>
      <w:r w:rsidR="007754E0" w:rsidRPr="00D16622">
        <w:rPr>
          <w:rFonts w:ascii="Times New Roman" w:hAnsi="Times New Roman" w:cs="Times New Roman"/>
          <w:noProof/>
          <w:sz w:val="24"/>
          <w:szCs w:val="24"/>
        </w:rPr>
        <w:t>more than half</w:t>
      </w:r>
      <w:r w:rsidRPr="00D16622">
        <w:rPr>
          <w:rFonts w:ascii="Times New Roman" w:hAnsi="Times New Roman" w:cs="Times New Roman"/>
          <w:noProof/>
          <w:sz w:val="24"/>
          <w:szCs w:val="24"/>
        </w:rPr>
        <w:t xml:space="preserve"> in </w:t>
      </w:r>
      <w:hyperlink r:id="rId419" w:history="1">
        <w:r w:rsidR="00931338" w:rsidRPr="00D16622">
          <w:rPr>
            <w:rStyle w:val="Hyperlink"/>
            <w:rFonts w:cs="Times New Roman"/>
            <w:noProof/>
            <w:szCs w:val="24"/>
          </w:rPr>
          <w:t>Montenegro</w:t>
        </w:r>
      </w:hyperlink>
      <w:r w:rsidR="00931338" w:rsidRPr="00D16622">
        <w:rPr>
          <w:rFonts w:ascii="Times New Roman" w:hAnsi="Times New Roman" w:cs="Times New Roman"/>
          <w:noProof/>
          <w:sz w:val="24"/>
          <w:szCs w:val="24"/>
        </w:rPr>
        <w:t xml:space="preserve"> </w:t>
      </w:r>
      <w:r w:rsidRPr="00D16622">
        <w:rPr>
          <w:rFonts w:ascii="Times New Roman" w:hAnsi="Times New Roman" w:cs="Times New Roman"/>
          <w:noProof/>
          <w:sz w:val="24"/>
          <w:szCs w:val="24"/>
        </w:rPr>
        <w:t xml:space="preserve">and </w:t>
      </w:r>
      <w:hyperlink r:id="rId420" w:history="1">
        <w:r w:rsidR="00641FC4" w:rsidRPr="00D16622">
          <w:rPr>
            <w:rStyle w:val="Hyperlink"/>
            <w:rFonts w:cs="Times New Roman"/>
            <w:noProof/>
            <w:szCs w:val="24"/>
          </w:rPr>
          <w:t>Serbia</w:t>
        </w:r>
      </w:hyperlink>
      <w:r w:rsidR="006804A9" w:rsidRPr="00D16622">
        <w:rPr>
          <w:rFonts w:ascii="Times New Roman" w:hAnsi="Times New Roman" w:cs="Times New Roman"/>
          <w:noProof/>
          <w:sz w:val="24"/>
          <w:szCs w:val="24"/>
        </w:rPr>
        <w:t>,</w:t>
      </w:r>
      <w:r w:rsidR="00EF6269" w:rsidRPr="00D16622">
        <w:rPr>
          <w:rFonts w:ascii="Times New Roman" w:hAnsi="Times New Roman" w:cs="Times New Roman"/>
          <w:noProof/>
          <w:sz w:val="24"/>
          <w:szCs w:val="24"/>
        </w:rPr>
        <w:t xml:space="preserve"> </w:t>
      </w:r>
      <w:r w:rsidR="00BC7870" w:rsidRPr="00D16622">
        <w:rPr>
          <w:rFonts w:ascii="Times New Roman" w:hAnsi="Times New Roman" w:cs="Times New Roman"/>
          <w:noProof/>
          <w:sz w:val="24"/>
          <w:szCs w:val="24"/>
        </w:rPr>
        <w:t xml:space="preserve">and </w:t>
      </w:r>
      <w:r w:rsidR="00EF6269" w:rsidRPr="00D16622">
        <w:rPr>
          <w:rFonts w:ascii="Times New Roman" w:hAnsi="Times New Roman" w:cs="Times New Roman"/>
          <w:noProof/>
          <w:sz w:val="24"/>
          <w:szCs w:val="24"/>
        </w:rPr>
        <w:t xml:space="preserve">less than half </w:t>
      </w:r>
      <w:r w:rsidR="00666E69" w:rsidRPr="00D16622">
        <w:rPr>
          <w:rFonts w:ascii="Times New Roman" w:hAnsi="Times New Roman" w:cs="Times New Roman"/>
          <w:noProof/>
          <w:sz w:val="24"/>
          <w:szCs w:val="24"/>
        </w:rPr>
        <w:t xml:space="preserve">in </w:t>
      </w:r>
      <w:hyperlink r:id="rId421" w:history="1">
        <w:r w:rsidR="00A1658E" w:rsidRPr="00D16622">
          <w:rPr>
            <w:rStyle w:val="Hyperlink"/>
            <w:rFonts w:cs="Times New Roman"/>
            <w:noProof/>
            <w:szCs w:val="24"/>
          </w:rPr>
          <w:t>North Macedonia</w:t>
        </w:r>
      </w:hyperlink>
      <w:r w:rsidRPr="00D16622">
        <w:rPr>
          <w:rFonts w:ascii="Times New Roman" w:hAnsi="Times New Roman" w:cs="Times New Roman"/>
          <w:noProof/>
          <w:sz w:val="24"/>
          <w:szCs w:val="24"/>
        </w:rPr>
        <w:t xml:space="preserve">. </w:t>
      </w:r>
    </w:p>
    <w:p w14:paraId="6B2B1D3E" w14:textId="7015AC2F" w:rsidR="00126F75" w:rsidRPr="00D16622" w:rsidRDefault="00126F75" w:rsidP="00126F75">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As regards the</w:t>
      </w:r>
      <w:r w:rsidRPr="00D16622">
        <w:rPr>
          <w:rFonts w:ascii="Times New Roman" w:hAnsi="Times New Roman" w:cs="Times New Roman"/>
          <w:b/>
          <w:i/>
          <w:noProof/>
          <w:sz w:val="24"/>
          <w:szCs w:val="24"/>
        </w:rPr>
        <w:t xml:space="preserve"> functioning</w:t>
      </w:r>
      <w:r w:rsidRPr="00D16622">
        <w:rPr>
          <w:rFonts w:ascii="Times New Roman" w:hAnsi="Times New Roman" w:cs="Times New Roman"/>
          <w:noProof/>
          <w:sz w:val="24"/>
          <w:szCs w:val="24"/>
        </w:rPr>
        <w:t xml:space="preserve"> </w:t>
      </w:r>
      <w:r w:rsidRPr="00D16622">
        <w:rPr>
          <w:rFonts w:ascii="Times New Roman" w:hAnsi="Times New Roman" w:cs="Times New Roman"/>
          <w:b/>
          <w:i/>
          <w:noProof/>
          <w:sz w:val="24"/>
          <w:szCs w:val="24"/>
        </w:rPr>
        <w:t>of the justice system</w:t>
      </w:r>
      <w:r w:rsidRPr="00D16622">
        <w:rPr>
          <w:rFonts w:ascii="Times New Roman" w:hAnsi="Times New Roman" w:cs="Times New Roman"/>
          <w:noProof/>
          <w:sz w:val="24"/>
          <w:szCs w:val="24"/>
        </w:rPr>
        <w:t>,</w:t>
      </w:r>
      <w:r w:rsidR="00E720AE" w:rsidRPr="00D16622">
        <w:rPr>
          <w:rFonts w:ascii="Times New Roman" w:hAnsi="Times New Roman" w:cs="Times New Roman"/>
          <w:noProof/>
          <w:sz w:val="24"/>
          <w:szCs w:val="24"/>
        </w:rPr>
        <w:t xml:space="preserve"> </w:t>
      </w:r>
      <w:r w:rsidR="004F7596" w:rsidRPr="00D16622">
        <w:rPr>
          <w:rFonts w:ascii="Times New Roman" w:hAnsi="Times New Roman" w:cs="Times New Roman"/>
          <w:noProof/>
          <w:sz w:val="24"/>
          <w:szCs w:val="24"/>
        </w:rPr>
        <w:t>a</w:t>
      </w:r>
      <w:r w:rsidR="001E4EE3" w:rsidRPr="00D16622">
        <w:rPr>
          <w:rFonts w:ascii="Times New Roman" w:hAnsi="Times New Roman" w:cs="Times New Roman"/>
          <w:noProof/>
          <w:sz w:val="24"/>
          <w:szCs w:val="24"/>
        </w:rPr>
        <w:t>n</w:t>
      </w:r>
      <w:r w:rsidR="004F7596" w:rsidRPr="00D16622">
        <w:rPr>
          <w:rFonts w:ascii="Times New Roman" w:hAnsi="Times New Roman" w:cs="Times New Roman"/>
          <w:noProof/>
          <w:sz w:val="24"/>
          <w:szCs w:val="24"/>
        </w:rPr>
        <w:t xml:space="preserve"> </w:t>
      </w:r>
      <w:r w:rsidR="001E4EE3" w:rsidRPr="00D16622">
        <w:rPr>
          <w:rFonts w:ascii="Times New Roman" w:hAnsi="Times New Roman" w:cs="Times New Roman"/>
          <w:noProof/>
          <w:sz w:val="24"/>
          <w:szCs w:val="24"/>
        </w:rPr>
        <w:t>important</w:t>
      </w:r>
      <w:r w:rsidR="004F7596" w:rsidRPr="00D16622">
        <w:rPr>
          <w:rFonts w:ascii="Times New Roman" w:hAnsi="Times New Roman" w:cs="Times New Roman"/>
          <w:noProof/>
          <w:sz w:val="24"/>
          <w:szCs w:val="24"/>
        </w:rPr>
        <w:t xml:space="preserve"> consideration </w:t>
      </w:r>
      <w:r w:rsidRPr="00D16622">
        <w:rPr>
          <w:rFonts w:ascii="Times New Roman" w:hAnsi="Times New Roman" w:cs="Times New Roman"/>
          <w:noProof/>
          <w:sz w:val="24"/>
          <w:szCs w:val="24"/>
        </w:rPr>
        <w:t xml:space="preserve">from a Single Market perspective is the </w:t>
      </w:r>
      <w:r w:rsidR="00D52668" w:rsidRPr="00D16622">
        <w:rPr>
          <w:rFonts w:ascii="Times New Roman" w:hAnsi="Times New Roman" w:cs="Times New Roman"/>
          <w:noProof/>
          <w:sz w:val="24"/>
          <w:szCs w:val="24"/>
        </w:rPr>
        <w:t>availability of specialised</w:t>
      </w:r>
      <w:r w:rsidRPr="00D16622">
        <w:rPr>
          <w:rFonts w:ascii="Times New Roman" w:hAnsi="Times New Roman" w:cs="Times New Roman"/>
          <w:noProof/>
          <w:sz w:val="24"/>
          <w:szCs w:val="24"/>
        </w:rPr>
        <w:t xml:space="preserve"> courts and judges to </w:t>
      </w:r>
      <w:r w:rsidR="00B247BB" w:rsidRPr="00D16622">
        <w:rPr>
          <w:rFonts w:ascii="Times New Roman" w:hAnsi="Times New Roman" w:cs="Times New Roman"/>
          <w:noProof/>
          <w:sz w:val="24"/>
          <w:szCs w:val="24"/>
        </w:rPr>
        <w:t>deal with</w:t>
      </w:r>
      <w:r w:rsidRPr="00D16622">
        <w:rPr>
          <w:rFonts w:ascii="Times New Roman" w:hAnsi="Times New Roman" w:cs="Times New Roman"/>
          <w:noProof/>
          <w:sz w:val="24"/>
          <w:szCs w:val="24"/>
        </w:rPr>
        <w:t xml:space="preserve"> commercial </w:t>
      </w:r>
      <w:r w:rsidR="00B247BB" w:rsidRPr="00D16622">
        <w:rPr>
          <w:rFonts w:ascii="Times New Roman" w:hAnsi="Times New Roman" w:cs="Times New Roman"/>
          <w:noProof/>
          <w:sz w:val="24"/>
          <w:szCs w:val="24"/>
        </w:rPr>
        <w:t>disputes</w:t>
      </w:r>
      <w:r w:rsidRPr="00D16622">
        <w:rPr>
          <w:rFonts w:ascii="Times New Roman" w:hAnsi="Times New Roman" w:cs="Times New Roman"/>
          <w:noProof/>
          <w:sz w:val="24"/>
          <w:szCs w:val="24"/>
        </w:rPr>
        <w:t>, including high-value cross-border cases.</w:t>
      </w:r>
      <w:r w:rsidRPr="00D16622">
        <w:rPr>
          <w:rFonts w:ascii="Times New Roman" w:hAnsi="Times New Roman" w:cs="Times New Roman"/>
          <w:noProof/>
          <w:sz w:val="24"/>
          <w:szCs w:val="24"/>
          <w:lang w:val="bg-BG"/>
        </w:rPr>
        <w:t xml:space="preserve"> </w:t>
      </w:r>
      <w:r w:rsidRPr="00D16622">
        <w:rPr>
          <w:rFonts w:ascii="Times New Roman" w:hAnsi="Times New Roman" w:cs="Times New Roman"/>
          <w:noProof/>
          <w:sz w:val="24"/>
          <w:szCs w:val="24"/>
          <w:lang w:val="en-US"/>
        </w:rPr>
        <w:t>As the 2026 EU Justice Scoreboard shows</w:t>
      </w:r>
      <w:r w:rsidRPr="00D16622">
        <w:rPr>
          <w:rStyle w:val="FootnoteReference"/>
          <w:rFonts w:cs="Times New Roman"/>
          <w:noProof/>
        </w:rPr>
        <w:footnoteReference w:id="82"/>
      </w:r>
      <w:r w:rsidRPr="00D16622">
        <w:rPr>
          <w:rFonts w:ascii="Times New Roman" w:hAnsi="Times New Roman" w:cs="Times New Roman"/>
          <w:noProof/>
          <w:sz w:val="24"/>
          <w:szCs w:val="24"/>
          <w:lang w:val="en-US"/>
        </w:rPr>
        <w:t>, in</w:t>
      </w:r>
      <w:r w:rsidRPr="00D16622">
        <w:rPr>
          <w:rFonts w:ascii="Times New Roman" w:hAnsi="Times New Roman" w:cs="Times New Roman"/>
          <w:noProof/>
          <w:sz w:val="24"/>
          <w:szCs w:val="24"/>
          <w:lang w:val="en-IE"/>
        </w:rPr>
        <w:t xml:space="preserve"> four Member States there are only specialised commercial courts, in nine Member States there are only specialised commercial chambers within the ordinary courts, and in other four Member States there are only specialised judges within ordinary courts. In the remaining 10 Member States there are combinations of the previous three categories, and in one of them all three possibilities exist, although on different levels and for different cases.</w:t>
      </w:r>
      <w:r w:rsidRPr="00D16622">
        <w:rPr>
          <w:rFonts w:ascii="Times New Roman" w:hAnsi="Times New Roman" w:cs="Times New Roman"/>
          <w:noProof/>
          <w:sz w:val="24"/>
          <w:szCs w:val="24"/>
          <w:lang w:val="en-US"/>
        </w:rPr>
        <w:t xml:space="preserve"> </w:t>
      </w:r>
      <w:r w:rsidRPr="00D16622">
        <w:rPr>
          <w:rFonts w:ascii="Times New Roman" w:hAnsi="Times New Roman" w:cs="Times New Roman"/>
          <w:noProof/>
          <w:sz w:val="24"/>
          <w:szCs w:val="24"/>
        </w:rPr>
        <w:t xml:space="preserve">In </w:t>
      </w:r>
      <w:hyperlink r:id="rId422" w:history="1">
        <w:r w:rsidRPr="00D16622">
          <w:rPr>
            <w:rStyle w:val="Hyperlink"/>
            <w:rFonts w:cs="Times New Roman"/>
            <w:noProof/>
            <w:szCs w:val="24"/>
          </w:rPr>
          <w:t>Germany</w:t>
        </w:r>
      </w:hyperlink>
      <w:r w:rsidRPr="00D16622">
        <w:rPr>
          <w:rFonts w:ascii="Times New Roman" w:hAnsi="Times New Roman" w:cs="Times New Roman"/>
          <w:noProof/>
          <w:sz w:val="24"/>
          <w:szCs w:val="24"/>
        </w:rPr>
        <w:t xml:space="preserve">, specialised commercial courts and chambers have </w:t>
      </w:r>
      <w:r w:rsidR="007F1A45" w:rsidRPr="00D16622">
        <w:rPr>
          <w:rFonts w:ascii="Times New Roman" w:hAnsi="Times New Roman" w:cs="Times New Roman"/>
          <w:noProof/>
          <w:sz w:val="24"/>
          <w:szCs w:val="24"/>
        </w:rPr>
        <w:t>become operational</w:t>
      </w:r>
      <w:r w:rsidRPr="00D16622">
        <w:rPr>
          <w:rFonts w:ascii="Times New Roman" w:hAnsi="Times New Roman" w:cs="Times New Roman"/>
          <w:noProof/>
          <w:sz w:val="24"/>
          <w:szCs w:val="24"/>
        </w:rPr>
        <w:t xml:space="preserve"> in over half of the </w:t>
      </w:r>
      <w:r w:rsidRPr="00D16622">
        <w:rPr>
          <w:rFonts w:ascii="Times New Roman" w:hAnsi="Times New Roman" w:cs="Times New Roman"/>
          <w:i/>
          <w:noProof/>
          <w:sz w:val="24"/>
          <w:szCs w:val="24"/>
        </w:rPr>
        <w:t>Länder</w:t>
      </w:r>
      <w:r w:rsidRPr="00D16622">
        <w:rPr>
          <w:rFonts w:ascii="Times New Roman" w:hAnsi="Times New Roman" w:cs="Times New Roman"/>
          <w:noProof/>
          <w:sz w:val="24"/>
          <w:szCs w:val="24"/>
        </w:rPr>
        <w:t xml:space="preserve">. In </w:t>
      </w:r>
      <w:hyperlink r:id="rId423" w:history="1">
        <w:r w:rsidR="006032A2" w:rsidRPr="00D16622">
          <w:rPr>
            <w:rStyle w:val="Hyperlink"/>
            <w:rFonts w:cs="Times New Roman"/>
            <w:noProof/>
            <w:szCs w:val="24"/>
          </w:rPr>
          <w:t>Cyprus</w:t>
        </w:r>
      </w:hyperlink>
      <w:r w:rsidRPr="00D16622">
        <w:rPr>
          <w:rFonts w:ascii="Times New Roman" w:hAnsi="Times New Roman" w:cs="Times New Roman"/>
          <w:noProof/>
          <w:sz w:val="24"/>
          <w:szCs w:val="24"/>
        </w:rPr>
        <w:t>, the prolonged delay in making the Commercial Court operational continues to raise serious concerns among the business community.</w:t>
      </w:r>
    </w:p>
    <w:p w14:paraId="700DC736" w14:textId="50CA2937" w:rsidR="00126F75" w:rsidRPr="00D16622" w:rsidRDefault="00126F75" w:rsidP="00126F75">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Businesses benefit from the availability of alternative dispute resolution, </w:t>
      </w:r>
      <w:r w:rsidR="00312E92" w:rsidRPr="00D16622">
        <w:rPr>
          <w:rFonts w:ascii="Times New Roman" w:hAnsi="Times New Roman" w:cs="Times New Roman"/>
          <w:noProof/>
          <w:sz w:val="24"/>
          <w:szCs w:val="24"/>
        </w:rPr>
        <w:t>not least because</w:t>
      </w:r>
      <w:r w:rsidR="00991859" w:rsidRPr="00D16622">
        <w:rPr>
          <w:rFonts w:ascii="Times New Roman" w:hAnsi="Times New Roman" w:cs="Times New Roman"/>
          <w:noProof/>
          <w:sz w:val="24"/>
          <w:szCs w:val="24"/>
        </w:rPr>
        <w:t xml:space="preserve"> </w:t>
      </w:r>
      <w:r w:rsidRPr="00D16622">
        <w:rPr>
          <w:rFonts w:ascii="Times New Roman" w:hAnsi="Times New Roman" w:cs="Times New Roman"/>
          <w:noProof/>
          <w:sz w:val="24"/>
          <w:szCs w:val="24"/>
        </w:rPr>
        <w:t xml:space="preserve">costs of litigation can present an obstacle to them. In </w:t>
      </w:r>
      <w:hyperlink r:id="rId424" w:history="1">
        <w:r w:rsidR="00F377A5" w:rsidRPr="00D16622">
          <w:rPr>
            <w:rStyle w:val="Hyperlink"/>
            <w:rFonts w:eastAsia="Times New Roman" w:cs="Times New Roman"/>
            <w:noProof/>
            <w:szCs w:val="24"/>
            <w:lang w:val="en-IE"/>
          </w:rPr>
          <w:t>Italy</w:t>
        </w:r>
      </w:hyperlink>
      <w:r w:rsidRPr="00D16622">
        <w:rPr>
          <w:rFonts w:ascii="Times New Roman" w:hAnsi="Times New Roman" w:cs="Times New Roman"/>
          <w:noProof/>
          <w:sz w:val="24"/>
          <w:szCs w:val="24"/>
        </w:rPr>
        <w:t>, business stakeholders highlight the potential of mediation to contribute effectively to reducing litigation and call for further measures to promote its uptake. The court fee system</w:t>
      </w:r>
      <w:r w:rsidR="00765033" w:rsidRPr="00D16622">
        <w:rPr>
          <w:rFonts w:ascii="Times New Roman" w:hAnsi="Times New Roman" w:cs="Times New Roman"/>
          <w:noProof/>
          <w:sz w:val="24"/>
          <w:szCs w:val="24"/>
        </w:rPr>
        <w:t xml:space="preserve"> at ordinary courts</w:t>
      </w:r>
      <w:r w:rsidR="00D73E89" w:rsidRPr="00D16622">
        <w:rPr>
          <w:rFonts w:ascii="Times New Roman" w:hAnsi="Times New Roman" w:cs="Times New Roman"/>
          <w:noProof/>
          <w:sz w:val="24"/>
          <w:szCs w:val="24"/>
        </w:rPr>
        <w:t xml:space="preserve"> </w:t>
      </w:r>
      <w:r w:rsidRPr="00D16622">
        <w:rPr>
          <w:rFonts w:ascii="Times New Roman" w:hAnsi="Times New Roman" w:cs="Times New Roman"/>
          <w:noProof/>
          <w:sz w:val="24"/>
          <w:szCs w:val="24"/>
        </w:rPr>
        <w:t xml:space="preserve">in </w:t>
      </w:r>
      <w:hyperlink r:id="rId425" w:history="1">
        <w:r w:rsidR="00F86C9D" w:rsidRPr="00D16622">
          <w:rPr>
            <w:rStyle w:val="Hyperlink"/>
            <w:rFonts w:cs="Times New Roman"/>
            <w:noProof/>
            <w:szCs w:val="24"/>
            <w:lang w:eastAsia="en-IE"/>
          </w:rPr>
          <w:t>Austria</w:t>
        </w:r>
      </w:hyperlink>
      <w:r w:rsidR="00F86C9D" w:rsidRPr="00D16622">
        <w:rPr>
          <w:rFonts w:ascii="Times New Roman" w:hAnsi="Times New Roman" w:cs="Times New Roman"/>
          <w:noProof/>
          <w:sz w:val="24"/>
          <w:szCs w:val="24"/>
          <w:lang w:eastAsia="en-IE"/>
        </w:rPr>
        <w:t xml:space="preserve"> </w:t>
      </w:r>
      <w:r w:rsidRPr="00D16622">
        <w:rPr>
          <w:rFonts w:ascii="Times New Roman" w:hAnsi="Times New Roman" w:cs="Times New Roman"/>
          <w:noProof/>
          <w:sz w:val="24"/>
          <w:szCs w:val="24"/>
        </w:rPr>
        <w:t>continues to present challenges for access to justice, including for businesses, notably due to the absence of a cap on court fees.</w:t>
      </w:r>
    </w:p>
    <w:p w14:paraId="5BA04DD7" w14:textId="1629C382" w:rsidR="00126F75" w:rsidRPr="00D16622" w:rsidRDefault="00126F75" w:rsidP="00126F75">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Finally, </w:t>
      </w:r>
      <w:r w:rsidR="00216A12" w:rsidRPr="00D16622">
        <w:rPr>
          <w:rFonts w:ascii="Times New Roman" w:hAnsi="Times New Roman" w:cs="Times New Roman"/>
          <w:noProof/>
          <w:sz w:val="24"/>
          <w:szCs w:val="24"/>
        </w:rPr>
        <w:t xml:space="preserve">shortcomings in the efficiency of </w:t>
      </w:r>
      <w:r w:rsidR="0066168E" w:rsidRPr="00D16622">
        <w:rPr>
          <w:rFonts w:ascii="Times New Roman" w:hAnsi="Times New Roman" w:cs="Times New Roman"/>
          <w:noProof/>
          <w:sz w:val="24"/>
          <w:szCs w:val="24"/>
        </w:rPr>
        <w:t>justice</w:t>
      </w:r>
      <w:r w:rsidR="00216A12" w:rsidRPr="00D16622">
        <w:rPr>
          <w:rFonts w:ascii="Times New Roman" w:hAnsi="Times New Roman" w:cs="Times New Roman"/>
          <w:noProof/>
          <w:sz w:val="24"/>
          <w:szCs w:val="24"/>
        </w:rPr>
        <w:t xml:space="preserve"> systems can undermine the business environment, as investors and companies require timely dispute resolution to make informed investment decisions. </w:t>
      </w:r>
      <w:r w:rsidRPr="00D16622">
        <w:rPr>
          <w:rFonts w:ascii="Times New Roman" w:hAnsi="Times New Roman" w:cs="Times New Roman"/>
          <w:noProof/>
          <w:sz w:val="24"/>
          <w:szCs w:val="24"/>
        </w:rPr>
        <w:t xml:space="preserve">In </w:t>
      </w:r>
      <w:hyperlink r:id="rId426" w:history="1">
        <w:r w:rsidR="00775307" w:rsidRPr="00D16622">
          <w:rPr>
            <w:rStyle w:val="Hyperlink"/>
            <w:rFonts w:cs="Times New Roman"/>
            <w:noProof/>
            <w:szCs w:val="24"/>
          </w:rPr>
          <w:t>Malta</w:t>
        </w:r>
      </w:hyperlink>
      <w:r w:rsidRPr="00D16622">
        <w:rPr>
          <w:rFonts w:ascii="Times New Roman" w:hAnsi="Times New Roman" w:cs="Times New Roman"/>
          <w:noProof/>
          <w:sz w:val="24"/>
          <w:szCs w:val="24"/>
        </w:rPr>
        <w:t xml:space="preserve">, delays and inadequate efficiency of courts are a concern for business confidence. </w:t>
      </w:r>
      <w:r w:rsidR="00357E3D" w:rsidRPr="00D16622">
        <w:rPr>
          <w:rFonts w:ascii="Times New Roman" w:hAnsi="Times New Roman" w:cs="Times New Roman"/>
          <w:noProof/>
          <w:sz w:val="24"/>
          <w:szCs w:val="24"/>
        </w:rPr>
        <w:t xml:space="preserve">While the number of court employees has increased, </w:t>
      </w:r>
      <w:r w:rsidR="00105F0A" w:rsidRPr="00D16622">
        <w:rPr>
          <w:rFonts w:ascii="Times New Roman" w:hAnsi="Times New Roman" w:cs="Times New Roman"/>
          <w:noProof/>
          <w:sz w:val="24"/>
          <w:szCs w:val="24"/>
        </w:rPr>
        <w:t xml:space="preserve">stakeholders acknowledge </w:t>
      </w:r>
      <w:r w:rsidRPr="00D16622">
        <w:rPr>
          <w:rFonts w:ascii="Times New Roman" w:hAnsi="Times New Roman" w:cs="Times New Roman"/>
          <w:noProof/>
          <w:sz w:val="24"/>
          <w:szCs w:val="24"/>
        </w:rPr>
        <w:t xml:space="preserve">shortages of judicial and administrative staff as a </w:t>
      </w:r>
      <w:r w:rsidR="008173C3" w:rsidRPr="00D16622">
        <w:rPr>
          <w:rFonts w:ascii="Times New Roman" w:hAnsi="Times New Roman" w:cs="Times New Roman"/>
          <w:noProof/>
          <w:sz w:val="24"/>
          <w:szCs w:val="24"/>
        </w:rPr>
        <w:t>factor</w:t>
      </w:r>
      <w:r w:rsidRPr="00D16622">
        <w:rPr>
          <w:rFonts w:ascii="Times New Roman" w:hAnsi="Times New Roman" w:cs="Times New Roman"/>
          <w:noProof/>
          <w:sz w:val="24"/>
          <w:szCs w:val="24"/>
        </w:rPr>
        <w:t xml:space="preserve"> of delays in courts, </w:t>
      </w:r>
      <w:r w:rsidR="00137E84" w:rsidRPr="00D16622">
        <w:rPr>
          <w:rFonts w:ascii="Times New Roman" w:hAnsi="Times New Roman" w:cs="Times New Roman"/>
          <w:noProof/>
          <w:sz w:val="24"/>
          <w:szCs w:val="24"/>
        </w:rPr>
        <w:t xml:space="preserve">potentially </w:t>
      </w:r>
      <w:r w:rsidR="00282DDD" w:rsidRPr="00D16622">
        <w:rPr>
          <w:rFonts w:ascii="Times New Roman" w:hAnsi="Times New Roman" w:cs="Times New Roman"/>
          <w:noProof/>
          <w:sz w:val="24"/>
          <w:szCs w:val="24"/>
        </w:rPr>
        <w:t>also affecting</w:t>
      </w:r>
      <w:r w:rsidRPr="00D16622">
        <w:rPr>
          <w:rFonts w:ascii="Times New Roman" w:hAnsi="Times New Roman" w:cs="Times New Roman"/>
          <w:noProof/>
          <w:sz w:val="24"/>
          <w:szCs w:val="24"/>
        </w:rPr>
        <w:t xml:space="preserve"> legal certainty and economic activities.</w:t>
      </w:r>
      <w:r w:rsidR="00AC62B1" w:rsidRPr="00D16622">
        <w:rPr>
          <w:rFonts w:ascii="Times New Roman" w:hAnsi="Times New Roman" w:cs="Times New Roman"/>
          <w:noProof/>
          <w:sz w:val="24"/>
          <w:szCs w:val="24"/>
        </w:rPr>
        <w:t xml:space="preserve"> </w:t>
      </w:r>
      <w:r w:rsidR="00AC62B1" w:rsidRPr="00D16622">
        <w:rPr>
          <w:rFonts w:ascii="Times New Roman" w:eastAsia="Times New Roman" w:hAnsi="Times New Roman" w:cs="Times New Roman"/>
          <w:noProof/>
          <w:sz w:val="24"/>
          <w:szCs w:val="24"/>
          <w:lang w:val="en-IE"/>
        </w:rPr>
        <w:t xml:space="preserve">In </w:t>
      </w:r>
      <w:hyperlink r:id="rId427" w:history="1">
        <w:r w:rsidR="00F377A5" w:rsidRPr="00D16622">
          <w:rPr>
            <w:rStyle w:val="Hyperlink"/>
            <w:rFonts w:eastAsia="Times New Roman" w:cs="Times New Roman"/>
            <w:noProof/>
            <w:szCs w:val="24"/>
            <w:lang w:val="en-IE"/>
          </w:rPr>
          <w:t>Italy</w:t>
        </w:r>
      </w:hyperlink>
      <w:r w:rsidR="00AC62B1" w:rsidRPr="00D16622">
        <w:rPr>
          <w:rFonts w:ascii="Times New Roman" w:eastAsia="Times New Roman" w:hAnsi="Times New Roman" w:cs="Times New Roman"/>
          <w:noProof/>
          <w:sz w:val="24"/>
          <w:szCs w:val="24"/>
          <w:lang w:val="en-IE"/>
        </w:rPr>
        <w:t xml:space="preserve">, </w:t>
      </w:r>
      <w:r w:rsidR="00B62B14" w:rsidRPr="00D16622">
        <w:rPr>
          <w:rFonts w:ascii="Times New Roman" w:hAnsi="Times New Roman" w:cs="Times New Roman"/>
          <w:noProof/>
          <w:sz w:val="24"/>
          <w:szCs w:val="24"/>
        </w:rPr>
        <w:t>stakeholders, including business representatives</w:t>
      </w:r>
      <w:r w:rsidR="00D2269A" w:rsidRPr="00D16622">
        <w:rPr>
          <w:rFonts w:ascii="Times New Roman" w:hAnsi="Times New Roman" w:cs="Times New Roman"/>
          <w:noProof/>
          <w:sz w:val="24"/>
          <w:szCs w:val="24"/>
        </w:rPr>
        <w:t>,</w:t>
      </w:r>
      <w:r w:rsidR="00B62B14" w:rsidRPr="00D16622">
        <w:rPr>
          <w:rFonts w:ascii="Times New Roman" w:eastAsia="Times New Roman" w:hAnsi="Times New Roman" w:cs="Times New Roman"/>
          <w:noProof/>
          <w:sz w:val="24"/>
          <w:szCs w:val="24"/>
          <w:lang w:val="en-IE"/>
        </w:rPr>
        <w:t xml:space="preserve"> </w:t>
      </w:r>
      <w:r w:rsidR="00EB1CDE" w:rsidRPr="00D16622">
        <w:rPr>
          <w:rFonts w:ascii="Times New Roman" w:eastAsia="Times New Roman" w:hAnsi="Times New Roman" w:cs="Times New Roman"/>
          <w:noProof/>
          <w:sz w:val="24"/>
          <w:szCs w:val="24"/>
          <w:lang w:val="en-IE"/>
        </w:rPr>
        <w:t>acknowledg</w:t>
      </w:r>
      <w:r w:rsidR="00B62B14" w:rsidRPr="00D16622">
        <w:rPr>
          <w:rFonts w:ascii="Times New Roman" w:eastAsia="Times New Roman" w:hAnsi="Times New Roman" w:cs="Times New Roman"/>
          <w:noProof/>
          <w:sz w:val="24"/>
          <w:szCs w:val="24"/>
          <w:lang w:val="en-IE"/>
        </w:rPr>
        <w:t>e</w:t>
      </w:r>
      <w:r w:rsidR="00EB1CDE" w:rsidRPr="00D16622">
        <w:rPr>
          <w:rFonts w:ascii="Times New Roman" w:eastAsia="Times New Roman" w:hAnsi="Times New Roman" w:cs="Times New Roman"/>
          <w:noProof/>
          <w:sz w:val="24"/>
          <w:szCs w:val="24"/>
          <w:lang w:val="en-IE"/>
        </w:rPr>
        <w:t xml:space="preserve"> progress made with </w:t>
      </w:r>
      <w:r w:rsidR="00AC62B1" w:rsidRPr="00D16622">
        <w:rPr>
          <w:rFonts w:ascii="Times New Roman" w:eastAsia="Times New Roman" w:hAnsi="Times New Roman" w:cs="Times New Roman"/>
          <w:noProof/>
          <w:sz w:val="24"/>
          <w:szCs w:val="24"/>
          <w:lang w:val="en-IE"/>
        </w:rPr>
        <w:t>recruit</w:t>
      </w:r>
      <w:r w:rsidR="00441AD8" w:rsidRPr="00D16622">
        <w:rPr>
          <w:rFonts w:ascii="Times New Roman" w:eastAsia="Times New Roman" w:hAnsi="Times New Roman" w:cs="Times New Roman"/>
          <w:noProof/>
          <w:sz w:val="24"/>
          <w:szCs w:val="24"/>
          <w:lang w:val="en-IE"/>
        </w:rPr>
        <w:t>ing</w:t>
      </w:r>
      <w:r w:rsidR="00AC62B1" w:rsidRPr="00D16622">
        <w:rPr>
          <w:rFonts w:ascii="Times New Roman" w:eastAsia="Times New Roman" w:hAnsi="Times New Roman" w:cs="Times New Roman"/>
          <w:noProof/>
          <w:sz w:val="24"/>
          <w:szCs w:val="24"/>
          <w:lang w:val="en-IE"/>
        </w:rPr>
        <w:t xml:space="preserve"> magistrates and administrative court staff </w:t>
      </w:r>
      <w:r w:rsidR="00EB7801" w:rsidRPr="00D16622">
        <w:rPr>
          <w:rFonts w:ascii="Times New Roman" w:eastAsia="Times New Roman" w:hAnsi="Times New Roman" w:cs="Times New Roman"/>
          <w:noProof/>
          <w:sz w:val="24"/>
          <w:szCs w:val="24"/>
          <w:lang w:val="en-IE"/>
        </w:rPr>
        <w:t xml:space="preserve">e.g. </w:t>
      </w:r>
      <w:r w:rsidR="0067703C" w:rsidRPr="00D16622">
        <w:rPr>
          <w:rFonts w:ascii="Times New Roman" w:eastAsia="Times New Roman" w:hAnsi="Times New Roman" w:cs="Times New Roman"/>
          <w:noProof/>
          <w:sz w:val="24"/>
          <w:szCs w:val="24"/>
          <w:lang w:val="en-IE"/>
        </w:rPr>
        <w:t>through the launch of competitions to permanently recruit</w:t>
      </w:r>
      <w:r w:rsidR="00AC62B1" w:rsidRPr="00D16622">
        <w:rPr>
          <w:rFonts w:ascii="Times New Roman" w:eastAsia="Times New Roman" w:hAnsi="Times New Roman" w:cs="Times New Roman"/>
          <w:noProof/>
          <w:sz w:val="24"/>
          <w:szCs w:val="24"/>
          <w:lang w:val="en-IE"/>
        </w:rPr>
        <w:t xml:space="preserve"> court clerks</w:t>
      </w:r>
      <w:r w:rsidR="00ED01E6" w:rsidRPr="00D16622">
        <w:rPr>
          <w:rFonts w:ascii="Times New Roman" w:eastAsia="Times New Roman" w:hAnsi="Times New Roman" w:cs="Times New Roman"/>
          <w:noProof/>
          <w:sz w:val="24"/>
          <w:szCs w:val="24"/>
          <w:lang w:val="en-IE"/>
        </w:rPr>
        <w:t xml:space="preserve">, </w:t>
      </w:r>
      <w:r w:rsidR="00B62B14" w:rsidRPr="00D16622">
        <w:rPr>
          <w:rFonts w:ascii="Times New Roman" w:eastAsia="Times New Roman" w:hAnsi="Times New Roman" w:cs="Times New Roman"/>
          <w:noProof/>
          <w:sz w:val="24"/>
          <w:szCs w:val="24"/>
          <w:lang w:val="en-IE"/>
        </w:rPr>
        <w:t>but</w:t>
      </w:r>
      <w:r w:rsidR="00AC62B1" w:rsidRPr="00D16622">
        <w:rPr>
          <w:rFonts w:ascii="Times New Roman" w:hAnsi="Times New Roman" w:cs="Times New Roman"/>
          <w:noProof/>
          <w:sz w:val="24"/>
          <w:szCs w:val="24"/>
        </w:rPr>
        <w:t xml:space="preserve"> concur that continued efforts </w:t>
      </w:r>
      <w:r w:rsidR="00FF3486" w:rsidRPr="00D16622">
        <w:rPr>
          <w:rFonts w:ascii="Times New Roman" w:hAnsi="Times New Roman" w:cs="Times New Roman"/>
          <w:noProof/>
          <w:sz w:val="24"/>
          <w:szCs w:val="24"/>
        </w:rPr>
        <w:t xml:space="preserve">to fill vacancies </w:t>
      </w:r>
      <w:r w:rsidR="00AC62B1" w:rsidRPr="00D16622">
        <w:rPr>
          <w:rFonts w:ascii="Times New Roman" w:hAnsi="Times New Roman" w:cs="Times New Roman"/>
          <w:noProof/>
          <w:sz w:val="24"/>
          <w:szCs w:val="24"/>
        </w:rPr>
        <w:t>are needed to improve the efficiency of justice.</w:t>
      </w:r>
      <w:r w:rsidRPr="00D16622">
        <w:rPr>
          <w:rFonts w:ascii="Times New Roman" w:hAnsi="Times New Roman" w:cs="Times New Roman"/>
          <w:noProof/>
          <w:sz w:val="24"/>
          <w:szCs w:val="24"/>
        </w:rPr>
        <w:t xml:space="preserve"> In </w:t>
      </w:r>
      <w:hyperlink r:id="rId428" w:history="1">
        <w:r w:rsidR="009F1189" w:rsidRPr="00D16622">
          <w:rPr>
            <w:rStyle w:val="Hyperlink"/>
            <w:rFonts w:cs="Times New Roman"/>
            <w:noProof/>
            <w:szCs w:val="24"/>
          </w:rPr>
          <w:t>Portugal</w:t>
        </w:r>
      </w:hyperlink>
      <w:r w:rsidRPr="00D16622">
        <w:rPr>
          <w:rFonts w:ascii="Times New Roman" w:hAnsi="Times New Roman" w:cs="Times New Roman"/>
          <w:noProof/>
          <w:sz w:val="24"/>
          <w:szCs w:val="24"/>
        </w:rPr>
        <w:t xml:space="preserve">, stakeholders continue to flag efficiency shortcomings in the justice system, especially </w:t>
      </w:r>
      <w:r w:rsidR="00177DE3" w:rsidRPr="00D16622">
        <w:rPr>
          <w:rFonts w:ascii="Times New Roman" w:hAnsi="Times New Roman" w:cs="Times New Roman"/>
          <w:noProof/>
          <w:sz w:val="24"/>
          <w:szCs w:val="24"/>
        </w:rPr>
        <w:t xml:space="preserve">the deteriorating efficiency of </w:t>
      </w:r>
      <w:r w:rsidRPr="00D16622">
        <w:rPr>
          <w:rFonts w:ascii="Times New Roman" w:hAnsi="Times New Roman" w:cs="Times New Roman"/>
          <w:noProof/>
          <w:sz w:val="24"/>
          <w:szCs w:val="24"/>
        </w:rPr>
        <w:t>Administrative and Tax Courts, as a long-term obstacle to investment and the business environment.</w:t>
      </w:r>
    </w:p>
    <w:p w14:paraId="67643C3D" w14:textId="2A09C2B1" w:rsidR="00126F75" w:rsidRPr="00D16622" w:rsidRDefault="003E7C3A" w:rsidP="00126F75">
      <w:pPr>
        <w:spacing w:after="120" w:line="240" w:lineRule="auto"/>
        <w:jc w:val="both"/>
        <w:rPr>
          <w:rFonts w:ascii="Times New Roman" w:hAnsi="Times New Roman" w:cs="Times New Roman"/>
          <w:noProof/>
          <w:sz w:val="24"/>
          <w:szCs w:val="24"/>
        </w:rPr>
      </w:pPr>
      <w:r w:rsidRPr="00D16622">
        <w:rPr>
          <w:rFonts w:ascii="Times New Roman" w:hAnsi="Times New Roman" w:cs="Times New Roman"/>
          <w:b/>
          <w:i/>
          <w:noProof/>
          <w:sz w:val="24"/>
          <w:szCs w:val="24"/>
        </w:rPr>
        <w:t>Corruption</w:t>
      </w:r>
      <w:r w:rsidRPr="00D16622">
        <w:rPr>
          <w:rFonts w:ascii="Times New Roman" w:hAnsi="Times New Roman" w:cs="Times New Roman"/>
          <w:noProof/>
          <w:sz w:val="24"/>
          <w:szCs w:val="24"/>
        </w:rPr>
        <w:t xml:space="preserve"> distort</w:t>
      </w:r>
      <w:r w:rsidR="00631D34" w:rsidRPr="00D16622">
        <w:rPr>
          <w:rFonts w:ascii="Times New Roman" w:hAnsi="Times New Roman" w:cs="Times New Roman"/>
          <w:noProof/>
          <w:sz w:val="24"/>
          <w:szCs w:val="24"/>
        </w:rPr>
        <w:t>s</w:t>
      </w:r>
      <w:r w:rsidRPr="00D16622">
        <w:rPr>
          <w:rFonts w:ascii="Times New Roman" w:hAnsi="Times New Roman" w:cs="Times New Roman"/>
          <w:noProof/>
          <w:sz w:val="24"/>
          <w:szCs w:val="24"/>
        </w:rPr>
        <w:t xml:space="preserve"> competition and undermine</w:t>
      </w:r>
      <w:r w:rsidR="00631D34" w:rsidRPr="00D16622">
        <w:rPr>
          <w:rFonts w:ascii="Times New Roman" w:hAnsi="Times New Roman" w:cs="Times New Roman"/>
          <w:noProof/>
          <w:sz w:val="24"/>
          <w:szCs w:val="24"/>
        </w:rPr>
        <w:t>s</w:t>
      </w:r>
      <w:r w:rsidRPr="00D16622">
        <w:rPr>
          <w:rFonts w:ascii="Times New Roman" w:hAnsi="Times New Roman" w:cs="Times New Roman"/>
          <w:noProof/>
          <w:sz w:val="24"/>
          <w:szCs w:val="24"/>
        </w:rPr>
        <w:t xml:space="preserve"> trust in public authorities, thereby affecting the proper functioning of the Single Market and conditions</w:t>
      </w:r>
      <w:r w:rsidR="00FE70A7" w:rsidRPr="00D16622">
        <w:rPr>
          <w:rFonts w:ascii="Times New Roman" w:hAnsi="Times New Roman" w:cs="Times New Roman"/>
          <w:noProof/>
          <w:sz w:val="24"/>
          <w:szCs w:val="24"/>
        </w:rPr>
        <w:t xml:space="preserve"> to do business</w:t>
      </w:r>
      <w:r w:rsidRPr="00D16622">
        <w:rPr>
          <w:rFonts w:ascii="Times New Roman" w:hAnsi="Times New Roman" w:cs="Times New Roman"/>
          <w:noProof/>
          <w:sz w:val="24"/>
          <w:szCs w:val="24"/>
        </w:rPr>
        <w:t>.</w:t>
      </w:r>
      <w:r w:rsidR="00126F75" w:rsidRPr="00D16622">
        <w:rPr>
          <w:rFonts w:ascii="Times New Roman" w:hAnsi="Times New Roman" w:cs="Times New Roman"/>
          <w:b/>
          <w:noProof/>
          <w:sz w:val="24"/>
          <w:szCs w:val="24"/>
          <w:lang w:val="en-IE"/>
        </w:rPr>
        <w:t xml:space="preserve"> </w:t>
      </w:r>
      <w:r w:rsidR="00FD1D69" w:rsidRPr="00D16622">
        <w:rPr>
          <w:rFonts w:ascii="Times New Roman" w:hAnsi="Times New Roman" w:cs="Times New Roman"/>
          <w:bCs/>
          <w:noProof/>
          <w:sz w:val="24"/>
          <w:szCs w:val="24"/>
        </w:rPr>
        <w:t>This is particularly relevant in public procurement, where several</w:t>
      </w:r>
      <w:r w:rsidR="005321D8" w:rsidRPr="00D16622">
        <w:rPr>
          <w:rFonts w:ascii="Times New Roman" w:hAnsi="Times New Roman" w:cs="Times New Roman"/>
          <w:noProof/>
          <w:sz w:val="24"/>
          <w:szCs w:val="24"/>
        </w:rPr>
        <w:t xml:space="preserve"> Member States are </w:t>
      </w:r>
      <w:r w:rsidR="00FD1D69" w:rsidRPr="00D16622">
        <w:rPr>
          <w:rFonts w:ascii="Times New Roman" w:hAnsi="Times New Roman" w:cs="Times New Roman"/>
          <w:bCs/>
          <w:noProof/>
          <w:sz w:val="24"/>
          <w:szCs w:val="24"/>
        </w:rPr>
        <w:t>strengthening transparency and integrity measures.</w:t>
      </w:r>
      <w:r w:rsidR="005321D8" w:rsidRPr="00D16622">
        <w:rPr>
          <w:rFonts w:ascii="Times New Roman" w:hAnsi="Times New Roman" w:cs="Times New Roman"/>
          <w:b/>
          <w:noProof/>
          <w:sz w:val="24"/>
          <w:szCs w:val="24"/>
          <w:lang w:val="en-IE"/>
        </w:rPr>
        <w:t xml:space="preserve"> </w:t>
      </w:r>
      <w:hyperlink r:id="rId429" w:history="1">
        <w:r w:rsidR="00126F75" w:rsidRPr="00D16622">
          <w:rPr>
            <w:rStyle w:val="Hyperlink"/>
            <w:rFonts w:cs="Times New Roman"/>
            <w:bCs/>
            <w:noProof/>
            <w:szCs w:val="24"/>
            <w:lang w:val="en-IE"/>
          </w:rPr>
          <w:t>Greece</w:t>
        </w:r>
      </w:hyperlink>
      <w:r w:rsidR="00126F75" w:rsidRPr="00D16622">
        <w:rPr>
          <w:rFonts w:ascii="Times New Roman" w:hAnsi="Times New Roman" w:cs="Times New Roman"/>
          <w:noProof/>
          <w:sz w:val="24"/>
          <w:szCs w:val="24"/>
          <w:lang w:val="en-IE"/>
        </w:rPr>
        <w:t xml:space="preserve"> introduced a system of training and certification for civil servants handling public procurement, hired additional staff for the public procurement supervisory authority and established a register of public procurement professionals, aiming</w:t>
      </w:r>
      <w:r w:rsidR="00126F75" w:rsidRPr="00D16622" w:rsidDel="00364DFD">
        <w:rPr>
          <w:rFonts w:ascii="Times New Roman" w:hAnsi="Times New Roman" w:cs="Times New Roman"/>
          <w:noProof/>
          <w:sz w:val="24"/>
          <w:szCs w:val="24"/>
          <w:lang w:val="en-IE"/>
        </w:rPr>
        <w:t xml:space="preserve"> to </w:t>
      </w:r>
      <w:r w:rsidR="00126F75" w:rsidRPr="00D16622">
        <w:rPr>
          <w:rFonts w:ascii="Times New Roman" w:hAnsi="Times New Roman" w:cs="Times New Roman"/>
          <w:noProof/>
          <w:sz w:val="24"/>
          <w:szCs w:val="24"/>
          <w:lang w:val="en-IE"/>
        </w:rPr>
        <w:t xml:space="preserve">strengthen the professionalisation, integrity and accountability of officials involved in public procurement. In </w:t>
      </w:r>
      <w:hyperlink r:id="rId430" w:history="1">
        <w:r w:rsidR="006032A2" w:rsidRPr="00D16622">
          <w:rPr>
            <w:rStyle w:val="Hyperlink"/>
            <w:rFonts w:cs="Times New Roman"/>
            <w:noProof/>
            <w:szCs w:val="24"/>
          </w:rPr>
          <w:t>Cyprus</w:t>
        </w:r>
      </w:hyperlink>
      <w:r w:rsidR="00126F75" w:rsidRPr="00D16622">
        <w:rPr>
          <w:rFonts w:ascii="Times New Roman" w:hAnsi="Times New Roman" w:cs="Times New Roman"/>
          <w:noProof/>
        </w:rPr>
        <w:t xml:space="preserve">, </w:t>
      </w:r>
      <w:r w:rsidR="00126F75" w:rsidRPr="00D16622">
        <w:rPr>
          <w:rFonts w:ascii="Times New Roman" w:hAnsi="Times New Roman" w:cs="Times New Roman"/>
          <w:noProof/>
          <w:sz w:val="24"/>
          <w:szCs w:val="24"/>
          <w:lang w:val="en-IE"/>
        </w:rPr>
        <w:t xml:space="preserve">a new e-procurement platform became operational and provides end-to-end visibility and supports audit authorities in their work, while significantly strengthening transparency and accountability. In </w:t>
      </w:r>
      <w:hyperlink r:id="rId431" w:history="1">
        <w:r w:rsidR="008062E4" w:rsidRPr="00D16622">
          <w:rPr>
            <w:rStyle w:val="Hyperlink"/>
            <w:rFonts w:cs="Times New Roman"/>
            <w:noProof/>
            <w:szCs w:val="24"/>
          </w:rPr>
          <w:t>Slovenia</w:t>
        </w:r>
      </w:hyperlink>
      <w:r w:rsidR="00126F75" w:rsidRPr="00D16622">
        <w:rPr>
          <w:rFonts w:ascii="Times New Roman" w:hAnsi="Times New Roman" w:cs="Times New Roman"/>
          <w:noProof/>
          <w:sz w:val="24"/>
          <w:szCs w:val="24"/>
          <w:lang w:val="en-IE"/>
        </w:rPr>
        <w:t>, t</w:t>
      </w:r>
      <w:r w:rsidR="00126F75" w:rsidRPr="00D16622">
        <w:rPr>
          <w:rFonts w:ascii="Times New Roman" w:hAnsi="Times New Roman" w:cs="Times New Roman"/>
          <w:noProof/>
          <w:sz w:val="24"/>
          <w:szCs w:val="24"/>
        </w:rPr>
        <w:t xml:space="preserve">he Ministry of Public Administration continued to implement two multi-year action plans </w:t>
      </w:r>
      <w:r w:rsidR="00A63E9F" w:rsidRPr="00D16622">
        <w:rPr>
          <w:rFonts w:ascii="Times New Roman" w:hAnsi="Times New Roman" w:cs="Times New Roman"/>
          <w:noProof/>
          <w:sz w:val="24"/>
          <w:szCs w:val="24"/>
        </w:rPr>
        <w:t xml:space="preserve">on </w:t>
      </w:r>
      <w:r w:rsidR="00A63E9F" w:rsidRPr="00D16622">
        <w:rPr>
          <w:rFonts w:ascii="Times New Roman" w:hAnsi="Times New Roman" w:cs="Times New Roman"/>
          <w:noProof/>
          <w:sz w:val="24"/>
          <w:szCs w:val="24"/>
          <w:lang w:val="en-US"/>
        </w:rPr>
        <w:t>public procurement,</w:t>
      </w:r>
      <w:r w:rsidR="00126F75" w:rsidRPr="00D16622">
        <w:rPr>
          <w:rFonts w:ascii="Times New Roman" w:hAnsi="Times New Roman" w:cs="Times New Roman"/>
          <w:noProof/>
          <w:sz w:val="24"/>
          <w:szCs w:val="24"/>
          <w:lang w:val="en-US"/>
        </w:rPr>
        <w:t xml:space="preserve"> </w:t>
      </w:r>
      <w:r w:rsidR="00126F75" w:rsidRPr="00D16622">
        <w:rPr>
          <w:rFonts w:ascii="Times New Roman" w:hAnsi="Times New Roman" w:cs="Times New Roman"/>
          <w:noProof/>
          <w:sz w:val="24"/>
          <w:szCs w:val="24"/>
        </w:rPr>
        <w:t xml:space="preserve">which aim to increase transparency, professionalisation and analytics and upgrade e-procurement capabilities. </w:t>
      </w:r>
      <w:r w:rsidR="00126F75" w:rsidRPr="00D16622">
        <w:rPr>
          <w:rFonts w:ascii="Times New Roman" w:hAnsi="Times New Roman" w:cs="Times New Roman"/>
          <w:noProof/>
          <w:sz w:val="24"/>
          <w:szCs w:val="24"/>
          <w:lang w:val="en-IE"/>
        </w:rPr>
        <w:t xml:space="preserve">In </w:t>
      </w:r>
      <w:hyperlink r:id="rId432" w:history="1">
        <w:r w:rsidR="00F86C9D" w:rsidRPr="00D16622">
          <w:rPr>
            <w:rStyle w:val="Hyperlink"/>
            <w:rFonts w:cs="Times New Roman"/>
            <w:noProof/>
            <w:szCs w:val="24"/>
            <w:lang w:eastAsia="en-IE"/>
          </w:rPr>
          <w:t>Austria</w:t>
        </w:r>
      </w:hyperlink>
      <w:r w:rsidR="00126F75" w:rsidRPr="00D16622">
        <w:rPr>
          <w:rFonts w:ascii="Times New Roman" w:hAnsi="Times New Roman" w:cs="Times New Roman"/>
          <w:noProof/>
          <w:sz w:val="24"/>
          <w:szCs w:val="24"/>
          <w:lang w:val="en-IE"/>
        </w:rPr>
        <w:t xml:space="preserve">, Ministries responsible for public procurement introduced </w:t>
      </w:r>
      <w:r w:rsidR="00126F75" w:rsidRPr="00D16622" w:rsidDel="002945E0">
        <w:rPr>
          <w:rFonts w:ascii="Times New Roman" w:hAnsi="Times New Roman" w:cs="Times New Roman"/>
          <w:noProof/>
          <w:sz w:val="24"/>
          <w:szCs w:val="24"/>
          <w:lang w:val="en-IE"/>
        </w:rPr>
        <w:t>organisation</w:t>
      </w:r>
      <w:r w:rsidR="00FB2FD9" w:rsidRPr="00D16622" w:rsidDel="002945E0">
        <w:rPr>
          <w:rFonts w:ascii="Times New Roman" w:hAnsi="Times New Roman" w:cs="Times New Roman"/>
          <w:noProof/>
          <w:sz w:val="24"/>
          <w:szCs w:val="24"/>
          <w:lang w:val="en-IE"/>
        </w:rPr>
        <w:t>al</w:t>
      </w:r>
      <w:r w:rsidR="00126F75" w:rsidRPr="00D16622">
        <w:rPr>
          <w:rFonts w:ascii="Times New Roman" w:hAnsi="Times New Roman" w:cs="Times New Roman"/>
          <w:noProof/>
          <w:sz w:val="24"/>
          <w:szCs w:val="24"/>
          <w:lang w:val="en-IE"/>
        </w:rPr>
        <w:t xml:space="preserve"> measures </w:t>
      </w:r>
      <w:r w:rsidR="00126F75" w:rsidRPr="00D16622" w:rsidDel="00817B2F">
        <w:rPr>
          <w:rFonts w:ascii="Times New Roman" w:hAnsi="Times New Roman" w:cs="Times New Roman"/>
          <w:noProof/>
          <w:sz w:val="24"/>
          <w:szCs w:val="24"/>
          <w:lang w:val="en-IE"/>
        </w:rPr>
        <w:t xml:space="preserve">as well as internal audits </w:t>
      </w:r>
      <w:r w:rsidR="00126F75" w:rsidRPr="00D16622">
        <w:rPr>
          <w:rFonts w:ascii="Times New Roman" w:hAnsi="Times New Roman" w:cs="Times New Roman"/>
          <w:noProof/>
          <w:sz w:val="24"/>
          <w:szCs w:val="24"/>
          <w:lang w:val="en-IE"/>
        </w:rPr>
        <w:t xml:space="preserve">to address corruption risks. </w:t>
      </w:r>
    </w:p>
    <w:p w14:paraId="1AC102BE" w14:textId="04B5C391" w:rsidR="007D3BFB" w:rsidRPr="00D16622" w:rsidRDefault="007C0C88" w:rsidP="4D708594">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C</w:t>
      </w:r>
      <w:r w:rsidR="007D3BFB" w:rsidRPr="00D16622">
        <w:rPr>
          <w:rFonts w:ascii="Times New Roman" w:hAnsi="Times New Roman" w:cs="Times New Roman"/>
          <w:noProof/>
          <w:sz w:val="24"/>
          <w:szCs w:val="24"/>
        </w:rPr>
        <w:t xml:space="preserve">lear and transparent rules </w:t>
      </w:r>
      <w:r w:rsidRPr="00D16622">
        <w:rPr>
          <w:rFonts w:ascii="Times New Roman" w:hAnsi="Times New Roman" w:cs="Times New Roman"/>
          <w:noProof/>
          <w:sz w:val="24"/>
          <w:szCs w:val="24"/>
        </w:rPr>
        <w:t xml:space="preserve">governing the </w:t>
      </w:r>
      <w:r w:rsidRPr="00D16622">
        <w:rPr>
          <w:rFonts w:ascii="Times New Roman" w:hAnsi="Times New Roman" w:cs="Times New Roman"/>
          <w:b/>
          <w:bCs/>
          <w:i/>
          <w:iCs/>
          <w:noProof/>
          <w:sz w:val="24"/>
          <w:szCs w:val="24"/>
        </w:rPr>
        <w:t>media</w:t>
      </w:r>
      <w:r w:rsidRPr="00D16622">
        <w:rPr>
          <w:rFonts w:ascii="Times New Roman" w:hAnsi="Times New Roman" w:cs="Times New Roman"/>
          <w:noProof/>
          <w:sz w:val="24"/>
          <w:szCs w:val="24"/>
        </w:rPr>
        <w:t xml:space="preserve"> landscape</w:t>
      </w:r>
      <w:r w:rsidR="007D3BFB" w:rsidRPr="00D16622">
        <w:rPr>
          <w:rFonts w:ascii="Times New Roman" w:hAnsi="Times New Roman" w:cs="Times New Roman"/>
          <w:noProof/>
          <w:sz w:val="24"/>
          <w:szCs w:val="24"/>
        </w:rPr>
        <w:t xml:space="preserve"> </w:t>
      </w:r>
      <w:r w:rsidRPr="00D16622">
        <w:rPr>
          <w:rFonts w:ascii="Times New Roman" w:hAnsi="Times New Roman" w:cs="Times New Roman"/>
          <w:noProof/>
          <w:sz w:val="24"/>
          <w:szCs w:val="24"/>
        </w:rPr>
        <w:t>are crucial both for protecting</w:t>
      </w:r>
      <w:r w:rsidR="007D3BFB" w:rsidRPr="00D16622">
        <w:rPr>
          <w:rFonts w:ascii="Times New Roman" w:hAnsi="Times New Roman" w:cs="Times New Roman"/>
          <w:noProof/>
          <w:sz w:val="24"/>
          <w:szCs w:val="24"/>
        </w:rPr>
        <w:t xml:space="preserve"> the integrity of our democratic space </w:t>
      </w:r>
      <w:r w:rsidRPr="00D16622">
        <w:rPr>
          <w:rFonts w:ascii="Times New Roman" w:hAnsi="Times New Roman" w:cs="Times New Roman"/>
          <w:noProof/>
          <w:sz w:val="24"/>
          <w:szCs w:val="24"/>
        </w:rPr>
        <w:t xml:space="preserve">and for supporting the </w:t>
      </w:r>
      <w:r w:rsidR="007D3BFB" w:rsidRPr="00D16622">
        <w:rPr>
          <w:rFonts w:ascii="Times New Roman" w:hAnsi="Times New Roman" w:cs="Times New Roman"/>
          <w:noProof/>
          <w:sz w:val="24"/>
          <w:szCs w:val="24"/>
        </w:rPr>
        <w:t xml:space="preserve">Single Market </w:t>
      </w:r>
      <w:r w:rsidRPr="00D16622">
        <w:rPr>
          <w:rFonts w:ascii="Times New Roman" w:hAnsi="Times New Roman" w:cs="Times New Roman"/>
          <w:noProof/>
          <w:sz w:val="24"/>
          <w:szCs w:val="24"/>
        </w:rPr>
        <w:t>through fair competition for</w:t>
      </w:r>
      <w:r w:rsidR="007D3BFB" w:rsidRPr="00D16622">
        <w:rPr>
          <w:rFonts w:ascii="Times New Roman" w:hAnsi="Times New Roman" w:cs="Times New Roman"/>
          <w:noProof/>
          <w:sz w:val="24"/>
          <w:szCs w:val="24"/>
        </w:rPr>
        <w:t xml:space="preserve"> media service providers. </w:t>
      </w:r>
      <w:r w:rsidRPr="00D16622">
        <w:rPr>
          <w:rFonts w:ascii="Times New Roman" w:hAnsi="Times New Roman" w:cs="Times New Roman"/>
          <w:noProof/>
          <w:sz w:val="24"/>
          <w:szCs w:val="24"/>
        </w:rPr>
        <w:t>The media sector</w:t>
      </w:r>
      <w:r w:rsidR="007D3BFB" w:rsidRPr="00D16622">
        <w:rPr>
          <w:rFonts w:ascii="Times New Roman" w:hAnsi="Times New Roman" w:cs="Times New Roman"/>
          <w:noProof/>
          <w:sz w:val="24"/>
          <w:szCs w:val="24"/>
        </w:rPr>
        <w:t xml:space="preserve"> </w:t>
      </w:r>
      <w:r w:rsidR="00501A9C" w:rsidRPr="00D16622">
        <w:rPr>
          <w:rFonts w:ascii="Times New Roman" w:hAnsi="Times New Roman" w:cs="Times New Roman"/>
          <w:noProof/>
          <w:sz w:val="24"/>
          <w:szCs w:val="24"/>
        </w:rPr>
        <w:t>faces e</w:t>
      </w:r>
      <w:r w:rsidR="007D3BFB" w:rsidRPr="00D16622">
        <w:rPr>
          <w:rFonts w:ascii="Times New Roman" w:hAnsi="Times New Roman" w:cs="Times New Roman"/>
          <w:noProof/>
          <w:sz w:val="24"/>
          <w:szCs w:val="24"/>
        </w:rPr>
        <w:t xml:space="preserve">conomic challenges </w:t>
      </w:r>
      <w:r w:rsidR="00501A9C" w:rsidRPr="00D16622">
        <w:rPr>
          <w:rFonts w:ascii="Times New Roman" w:hAnsi="Times New Roman" w:cs="Times New Roman"/>
          <w:noProof/>
          <w:sz w:val="24"/>
          <w:szCs w:val="24"/>
        </w:rPr>
        <w:t>that reflect a wider global trend</w:t>
      </w:r>
      <w:r w:rsidR="007D3BFB" w:rsidRPr="00D16622">
        <w:rPr>
          <w:rFonts w:ascii="Times New Roman" w:hAnsi="Times New Roman" w:cs="Times New Roman"/>
          <w:noProof/>
          <w:sz w:val="24"/>
          <w:szCs w:val="24"/>
        </w:rPr>
        <w:t>. In</w:t>
      </w:r>
      <w:r w:rsidR="00501A9C" w:rsidRPr="00D16622">
        <w:rPr>
          <w:rFonts w:ascii="Times New Roman" w:hAnsi="Times New Roman" w:cs="Times New Roman"/>
          <w:noProof/>
          <w:sz w:val="24"/>
          <w:szCs w:val="24"/>
        </w:rPr>
        <w:t xml:space="preserve"> </w:t>
      </w:r>
      <w:r w:rsidR="00A1267F" w:rsidRPr="00D16622">
        <w:rPr>
          <w:rFonts w:ascii="Times New Roman" w:hAnsi="Times New Roman" w:cs="Times New Roman"/>
          <w:noProof/>
          <w:sz w:val="24"/>
          <w:szCs w:val="24"/>
        </w:rPr>
        <w:t>that regard,</w:t>
      </w:r>
      <w:r w:rsidR="007D3BFB" w:rsidRPr="00D16622">
        <w:rPr>
          <w:rFonts w:ascii="Times New Roman" w:hAnsi="Times New Roman" w:cs="Times New Roman"/>
          <w:noProof/>
          <w:sz w:val="24"/>
          <w:szCs w:val="24"/>
        </w:rPr>
        <w:t xml:space="preserve"> transparency of media ownership</w:t>
      </w:r>
      <w:r w:rsidR="00A1267F" w:rsidRPr="00D16622">
        <w:rPr>
          <w:rFonts w:ascii="Times New Roman" w:hAnsi="Times New Roman" w:cs="Times New Roman"/>
          <w:noProof/>
          <w:sz w:val="24"/>
          <w:szCs w:val="24"/>
        </w:rPr>
        <w:t>,</w:t>
      </w:r>
      <w:r w:rsidR="007D3BFB" w:rsidRPr="00D16622">
        <w:rPr>
          <w:rFonts w:ascii="Times New Roman" w:hAnsi="Times New Roman" w:cs="Times New Roman"/>
          <w:noProof/>
          <w:sz w:val="24"/>
          <w:szCs w:val="24"/>
        </w:rPr>
        <w:t xml:space="preserve"> the fair and transparent allocation of state advertising to media entities, </w:t>
      </w:r>
      <w:r w:rsidR="00A1267F" w:rsidRPr="00D16622">
        <w:rPr>
          <w:rFonts w:ascii="Times New Roman" w:hAnsi="Times New Roman" w:cs="Times New Roman"/>
          <w:noProof/>
          <w:sz w:val="24"/>
          <w:szCs w:val="24"/>
        </w:rPr>
        <w:t xml:space="preserve">and </w:t>
      </w:r>
      <w:r w:rsidR="007D3BFB" w:rsidRPr="00D16622">
        <w:rPr>
          <w:rFonts w:ascii="Times New Roman" w:hAnsi="Times New Roman" w:cs="Times New Roman"/>
          <w:noProof/>
          <w:sz w:val="24"/>
          <w:szCs w:val="24"/>
        </w:rPr>
        <w:t xml:space="preserve">transparent funding schemes to support the media industry </w:t>
      </w:r>
      <w:r w:rsidR="00A1267F" w:rsidRPr="00D16622">
        <w:rPr>
          <w:rFonts w:ascii="Times New Roman" w:hAnsi="Times New Roman" w:cs="Times New Roman"/>
          <w:noProof/>
          <w:sz w:val="24"/>
          <w:szCs w:val="24"/>
        </w:rPr>
        <w:t>all play an important role</w:t>
      </w:r>
      <w:r w:rsidR="00AD72A1" w:rsidRPr="00D16622">
        <w:rPr>
          <w:rFonts w:ascii="Times New Roman" w:hAnsi="Times New Roman" w:cs="Times New Roman"/>
          <w:noProof/>
          <w:sz w:val="24"/>
          <w:szCs w:val="24"/>
        </w:rPr>
        <w:t>.</w:t>
      </w:r>
      <w:r w:rsidR="007D3BFB" w:rsidRPr="00D16622">
        <w:rPr>
          <w:rFonts w:ascii="Times New Roman" w:hAnsi="Times New Roman" w:cs="Times New Roman"/>
          <w:b/>
          <w:bCs/>
          <w:noProof/>
          <w:sz w:val="24"/>
          <w:szCs w:val="24"/>
        </w:rPr>
        <w:t xml:space="preserve"> </w:t>
      </w:r>
      <w:r w:rsidR="00DB3775" w:rsidRPr="00D16622">
        <w:rPr>
          <w:rFonts w:ascii="Times New Roman" w:hAnsi="Times New Roman" w:cs="Times New Roman"/>
          <w:noProof/>
          <w:sz w:val="24"/>
          <w:szCs w:val="24"/>
        </w:rPr>
        <w:t xml:space="preserve">The </w:t>
      </w:r>
      <w:r w:rsidR="00B44FE6" w:rsidRPr="00D16622">
        <w:rPr>
          <w:rFonts w:ascii="Times New Roman" w:hAnsi="Times New Roman" w:cs="Times New Roman"/>
          <w:noProof/>
          <w:sz w:val="24"/>
          <w:szCs w:val="24"/>
        </w:rPr>
        <w:t>EMFA</w:t>
      </w:r>
      <w:r w:rsidR="00DB3775" w:rsidRPr="00D16622">
        <w:rPr>
          <w:rFonts w:ascii="Times New Roman" w:hAnsi="Times New Roman" w:cs="Times New Roman"/>
          <w:noProof/>
          <w:sz w:val="24"/>
          <w:szCs w:val="24"/>
        </w:rPr>
        <w:t xml:space="preserve"> is anchored in the fact that independent media services play a unique role in the </w:t>
      </w:r>
      <w:r w:rsidR="005F2650" w:rsidRPr="00D16622">
        <w:rPr>
          <w:rFonts w:ascii="Times New Roman" w:hAnsi="Times New Roman" w:cs="Times New Roman"/>
          <w:noProof/>
          <w:sz w:val="24"/>
          <w:szCs w:val="24"/>
        </w:rPr>
        <w:t>Single Market</w:t>
      </w:r>
      <w:r w:rsidR="00DB3775" w:rsidRPr="00D16622">
        <w:rPr>
          <w:rFonts w:ascii="Times New Roman" w:hAnsi="Times New Roman" w:cs="Times New Roman"/>
          <w:noProof/>
          <w:sz w:val="24"/>
          <w:szCs w:val="24"/>
        </w:rPr>
        <w:t xml:space="preserve">, representing a fast-changing and economically important sector while simultaneously acting as public watchdogs. </w:t>
      </w:r>
      <w:r w:rsidR="0025587B" w:rsidRPr="00D16622">
        <w:rPr>
          <w:rFonts w:ascii="Times New Roman" w:hAnsi="Times New Roman" w:cs="Times New Roman"/>
          <w:noProof/>
          <w:sz w:val="24"/>
          <w:szCs w:val="24"/>
        </w:rPr>
        <w:t xml:space="preserve">In this context, several new developments have further intensified these challenges. </w:t>
      </w:r>
      <w:r w:rsidR="00F17E6F" w:rsidRPr="00D16622">
        <w:rPr>
          <w:rFonts w:ascii="Times New Roman" w:hAnsi="Times New Roman" w:cs="Times New Roman"/>
          <w:noProof/>
          <w:sz w:val="24"/>
          <w:szCs w:val="24"/>
        </w:rPr>
        <w:t xml:space="preserve">Over recent years, structural challenges have emerged in the media sector that may </w:t>
      </w:r>
      <w:r w:rsidR="00794ECA" w:rsidRPr="00D16622">
        <w:rPr>
          <w:rFonts w:ascii="Times New Roman" w:hAnsi="Times New Roman" w:cs="Times New Roman"/>
          <w:noProof/>
          <w:sz w:val="24"/>
          <w:szCs w:val="24"/>
        </w:rPr>
        <w:t>impact</w:t>
      </w:r>
      <w:r w:rsidR="00F17E6F" w:rsidRPr="00D16622">
        <w:rPr>
          <w:rFonts w:ascii="Times New Roman" w:hAnsi="Times New Roman" w:cs="Times New Roman"/>
          <w:noProof/>
          <w:sz w:val="24"/>
          <w:szCs w:val="24"/>
        </w:rPr>
        <w:t xml:space="preserve"> media freedom and pluralism globally. These include reliance on digital platforms, algorithm-driven distribution, declining and uneven advertising revenues, foreign information manipulation and interference, and the impact of AI. The EMFA introduces annual monitoring of risks and developments in the media market, </w:t>
      </w:r>
      <w:r w:rsidR="00723E3F" w:rsidRPr="00D16622">
        <w:rPr>
          <w:rFonts w:ascii="Times New Roman" w:hAnsi="Times New Roman" w:cs="Times New Roman"/>
          <w:noProof/>
          <w:sz w:val="24"/>
          <w:szCs w:val="24"/>
          <w:lang w:val="en-IE"/>
        </w:rPr>
        <w:t>including several of these challenges</w:t>
      </w:r>
      <w:r w:rsidR="00F17E6F" w:rsidRPr="00D16622">
        <w:rPr>
          <w:rFonts w:ascii="Times New Roman" w:hAnsi="Times New Roman" w:cs="Times New Roman"/>
          <w:noProof/>
          <w:sz w:val="24"/>
          <w:szCs w:val="24"/>
        </w:rPr>
        <w:t xml:space="preserve">. </w:t>
      </w:r>
      <w:r w:rsidR="00DB3775" w:rsidRPr="00D16622">
        <w:rPr>
          <w:rFonts w:ascii="Times New Roman" w:hAnsi="Times New Roman" w:cs="Times New Roman"/>
          <w:noProof/>
          <w:sz w:val="24"/>
          <w:szCs w:val="24"/>
        </w:rPr>
        <w:t>Member States’ alignment with</w:t>
      </w:r>
      <w:r w:rsidR="00193F6D" w:rsidRPr="00D16622">
        <w:rPr>
          <w:rFonts w:ascii="Times New Roman" w:hAnsi="Times New Roman" w:cs="Times New Roman"/>
          <w:noProof/>
          <w:sz w:val="24"/>
          <w:szCs w:val="24"/>
        </w:rPr>
        <w:t xml:space="preserve"> the</w:t>
      </w:r>
      <w:r w:rsidR="00DB3775" w:rsidRPr="00D16622">
        <w:rPr>
          <w:rFonts w:ascii="Times New Roman" w:hAnsi="Times New Roman" w:cs="Times New Roman"/>
          <w:noProof/>
          <w:sz w:val="24"/>
          <w:szCs w:val="24"/>
        </w:rPr>
        <w:t xml:space="preserve"> EMFA is fundamental for ensuring the growth and sustainability of this crucial sector.</w:t>
      </w:r>
      <w:r w:rsidR="000C5DB2" w:rsidRPr="00D16622">
        <w:rPr>
          <w:rFonts w:ascii="Times New Roman" w:hAnsi="Times New Roman" w:cs="Times New Roman"/>
          <w:noProof/>
          <w:sz w:val="24"/>
          <w:szCs w:val="24"/>
        </w:rPr>
        <w:t xml:space="preserve"> </w:t>
      </w:r>
      <w:r w:rsidR="000C5DB2" w:rsidRPr="00D16622">
        <w:rPr>
          <w:rFonts w:ascii="Times New Roman" w:hAnsi="Times New Roman" w:cs="Times New Roman"/>
          <w:iCs/>
          <w:noProof/>
          <w:sz w:val="24"/>
          <w:szCs w:val="24"/>
        </w:rPr>
        <w:t xml:space="preserve">In </w:t>
      </w:r>
      <w:hyperlink r:id="rId433" w:history="1">
        <w:r w:rsidR="000C5DB2" w:rsidRPr="00D16622">
          <w:rPr>
            <w:rStyle w:val="Hyperlink"/>
            <w:rFonts w:cs="Times New Roman"/>
            <w:iCs/>
            <w:noProof/>
            <w:szCs w:val="24"/>
          </w:rPr>
          <w:t>Greece</w:t>
        </w:r>
      </w:hyperlink>
      <w:r w:rsidR="000C5DB2" w:rsidRPr="00D16622">
        <w:rPr>
          <w:rFonts w:ascii="Times New Roman" w:hAnsi="Times New Roman" w:cs="Times New Roman"/>
          <w:iCs/>
          <w:noProof/>
          <w:sz w:val="24"/>
          <w:szCs w:val="24"/>
        </w:rPr>
        <w:t xml:space="preserve">, financial support measures notably for local and regional media were launched by the Government and a long-term State aid plan is being </w:t>
      </w:r>
      <w:r w:rsidR="000938D3" w:rsidRPr="00D16622">
        <w:rPr>
          <w:rFonts w:ascii="Times New Roman" w:hAnsi="Times New Roman" w:cs="Times New Roman"/>
          <w:iCs/>
          <w:noProof/>
          <w:sz w:val="24"/>
          <w:szCs w:val="24"/>
        </w:rPr>
        <w:t xml:space="preserve">implemented </w:t>
      </w:r>
      <w:r w:rsidR="000C5DB2" w:rsidRPr="00D16622">
        <w:rPr>
          <w:rFonts w:ascii="Times New Roman" w:hAnsi="Times New Roman" w:cs="Times New Roman"/>
          <w:iCs/>
          <w:noProof/>
          <w:sz w:val="24"/>
          <w:szCs w:val="24"/>
        </w:rPr>
        <w:t xml:space="preserve">to support the sector’s digital transition. In </w:t>
      </w:r>
      <w:hyperlink r:id="rId434" w:history="1">
        <w:r w:rsidR="00F86C9D" w:rsidRPr="00D16622">
          <w:rPr>
            <w:rStyle w:val="Hyperlink"/>
            <w:rFonts w:cs="Times New Roman"/>
            <w:noProof/>
            <w:szCs w:val="24"/>
            <w:lang w:eastAsia="en-IE"/>
          </w:rPr>
          <w:t>Austria</w:t>
        </w:r>
      </w:hyperlink>
      <w:r w:rsidR="000C5DB2" w:rsidRPr="00D16622">
        <w:rPr>
          <w:rFonts w:ascii="Times New Roman" w:hAnsi="Times New Roman" w:cs="Times New Roman"/>
          <w:iCs/>
          <w:noProof/>
          <w:sz w:val="24"/>
          <w:szCs w:val="24"/>
        </w:rPr>
        <w:t xml:space="preserve">, detailed guidelines regarding the interpretation and application of the public procurement requirements for the fair distribution of state advertising were adopted. In </w:t>
      </w:r>
      <w:hyperlink r:id="rId435" w:history="1">
        <w:r w:rsidR="000C5DB2" w:rsidRPr="00D16622">
          <w:rPr>
            <w:rStyle w:val="Hyperlink"/>
            <w:rFonts w:cs="Times New Roman"/>
            <w:iCs/>
            <w:noProof/>
            <w:szCs w:val="24"/>
          </w:rPr>
          <w:t>Ireland</w:t>
        </w:r>
      </w:hyperlink>
      <w:r w:rsidR="000C5DB2" w:rsidRPr="00D16622">
        <w:rPr>
          <w:rFonts w:ascii="Times New Roman" w:hAnsi="Times New Roman" w:cs="Times New Roman"/>
          <w:iCs/>
          <w:noProof/>
          <w:sz w:val="24"/>
          <w:szCs w:val="24"/>
        </w:rPr>
        <w:t>, a new bill will provide the Media Fund – which has supported three journalism schemes and a digital transformation scheme – with a legislative framework.</w:t>
      </w:r>
    </w:p>
    <w:p w14:paraId="2CA83B07" w14:textId="02739DE1" w:rsidR="00126F75" w:rsidRPr="00D16622" w:rsidRDefault="79D53295" w:rsidP="00126F75">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Effective </w:t>
      </w:r>
      <w:r w:rsidRPr="00D16622">
        <w:rPr>
          <w:rFonts w:ascii="Times New Roman" w:hAnsi="Times New Roman" w:cs="Times New Roman"/>
          <w:b/>
          <w:bCs/>
          <w:noProof/>
          <w:sz w:val="24"/>
          <w:szCs w:val="24"/>
        </w:rPr>
        <w:t>checks and balances</w:t>
      </w:r>
      <w:r w:rsidRPr="00D16622">
        <w:rPr>
          <w:rFonts w:ascii="Times New Roman" w:hAnsi="Times New Roman" w:cs="Times New Roman"/>
          <w:noProof/>
          <w:sz w:val="24"/>
          <w:szCs w:val="24"/>
        </w:rPr>
        <w:t xml:space="preserve"> promote legal certainty and regulatory predictability, enabling businesses to operate in a stable and foreseeable environment.</w:t>
      </w:r>
      <w:r w:rsidR="42A739C2" w:rsidRPr="00D16622">
        <w:rPr>
          <w:rFonts w:ascii="Times New Roman" w:hAnsi="Times New Roman" w:cs="Times New Roman"/>
          <w:noProof/>
          <w:sz w:val="24"/>
          <w:szCs w:val="24"/>
        </w:rPr>
        <w:t xml:space="preserve"> </w:t>
      </w:r>
      <w:r w:rsidR="00126F75" w:rsidRPr="00D16622">
        <w:rPr>
          <w:rFonts w:ascii="Times New Roman" w:hAnsi="Times New Roman" w:cs="Times New Roman"/>
          <w:noProof/>
          <w:sz w:val="24"/>
          <w:szCs w:val="24"/>
        </w:rPr>
        <w:t xml:space="preserve">In </w:t>
      </w:r>
      <w:hyperlink r:id="rId436" w:history="1">
        <w:r w:rsidR="00085E66" w:rsidRPr="00D16622">
          <w:rPr>
            <w:rStyle w:val="Hyperlink"/>
            <w:rFonts w:cs="Times New Roman"/>
            <w:noProof/>
            <w:szCs w:val="24"/>
          </w:rPr>
          <w:t>France</w:t>
        </w:r>
      </w:hyperlink>
      <w:r w:rsidR="00126F75" w:rsidRPr="00D16622">
        <w:rPr>
          <w:rFonts w:ascii="Times New Roman" w:hAnsi="Times New Roman" w:cs="Times New Roman"/>
          <w:noProof/>
          <w:sz w:val="24"/>
          <w:szCs w:val="24"/>
        </w:rPr>
        <w:t>, a law was adopted to simplify the life of businesses</w:t>
      </w:r>
      <w:r w:rsidR="03609602" w:rsidRPr="00D16622">
        <w:rPr>
          <w:rFonts w:ascii="Times New Roman" w:hAnsi="Times New Roman" w:cs="Times New Roman"/>
          <w:noProof/>
          <w:sz w:val="24"/>
          <w:szCs w:val="24"/>
        </w:rPr>
        <w:t xml:space="preserve"> following</w:t>
      </w:r>
      <w:r w:rsidR="00126F75" w:rsidRPr="00D16622">
        <w:rPr>
          <w:rFonts w:ascii="Times New Roman" w:hAnsi="Times New Roman" w:cs="Times New Roman"/>
          <w:noProof/>
          <w:sz w:val="24"/>
          <w:szCs w:val="24"/>
        </w:rPr>
        <w:t xml:space="preserve"> a broad consultation. In </w:t>
      </w:r>
      <w:hyperlink r:id="rId437" w:history="1">
        <w:r w:rsidR="00F377A5" w:rsidRPr="00D16622">
          <w:rPr>
            <w:rStyle w:val="Hyperlink"/>
            <w:rFonts w:eastAsia="Times New Roman" w:cs="Times New Roman"/>
            <w:noProof/>
            <w:szCs w:val="24"/>
            <w:lang w:val="en-IE"/>
          </w:rPr>
          <w:t>Italy</w:t>
        </w:r>
      </w:hyperlink>
      <w:r w:rsidR="00126F75" w:rsidRPr="00D16622">
        <w:rPr>
          <w:rFonts w:ascii="Times New Roman" w:hAnsi="Times New Roman" w:cs="Times New Roman"/>
          <w:noProof/>
          <w:sz w:val="24"/>
          <w:szCs w:val="24"/>
        </w:rPr>
        <w:t xml:space="preserve">, business stakeholders welcomed </w:t>
      </w:r>
      <w:r w:rsidR="443E0ACC" w:rsidRPr="00D16622">
        <w:rPr>
          <w:rFonts w:ascii="Times New Roman" w:hAnsi="Times New Roman" w:cs="Times New Roman"/>
          <w:noProof/>
          <w:sz w:val="24"/>
          <w:szCs w:val="24"/>
        </w:rPr>
        <w:t>a</w:t>
      </w:r>
      <w:r w:rsidR="00126F75" w:rsidRPr="00D16622">
        <w:rPr>
          <w:rFonts w:ascii="Times New Roman" w:hAnsi="Times New Roman" w:cs="Times New Roman"/>
          <w:noProof/>
          <w:sz w:val="24"/>
          <w:szCs w:val="24"/>
        </w:rPr>
        <w:t xml:space="preserve"> law adopted in November 2025</w:t>
      </w:r>
      <w:r w:rsidR="192EEDE4" w:rsidRPr="00D16622">
        <w:rPr>
          <w:rFonts w:ascii="Times New Roman" w:hAnsi="Times New Roman" w:cs="Times New Roman"/>
          <w:noProof/>
          <w:sz w:val="24"/>
          <w:szCs w:val="24"/>
        </w:rPr>
        <w:t xml:space="preserve"> which aimed to achieve regulatory simplification</w:t>
      </w:r>
      <w:r w:rsidR="00126F75" w:rsidRPr="00D16622">
        <w:rPr>
          <w:rFonts w:ascii="Times New Roman" w:hAnsi="Times New Roman" w:cs="Times New Roman"/>
          <w:noProof/>
          <w:sz w:val="24"/>
          <w:szCs w:val="24"/>
        </w:rPr>
        <w:t xml:space="preserve">. In </w:t>
      </w:r>
      <w:hyperlink r:id="rId438" w:history="1">
        <w:r w:rsidR="00467CDF" w:rsidRPr="00D16622">
          <w:rPr>
            <w:rStyle w:val="Hyperlink"/>
            <w:rFonts w:cs="Times New Roman"/>
            <w:noProof/>
            <w:szCs w:val="24"/>
          </w:rPr>
          <w:t>Romania</w:t>
        </w:r>
      </w:hyperlink>
      <w:r w:rsidR="00126F75" w:rsidRPr="00D16622">
        <w:rPr>
          <w:rFonts w:ascii="Times New Roman" w:hAnsi="Times New Roman" w:cs="Times New Roman"/>
          <w:noProof/>
          <w:sz w:val="24"/>
          <w:szCs w:val="24"/>
        </w:rPr>
        <w:t>, legislative unpredictability</w:t>
      </w:r>
      <w:r w:rsidR="350EED7D" w:rsidRPr="00D16622">
        <w:rPr>
          <w:rFonts w:ascii="Times New Roman" w:hAnsi="Times New Roman" w:cs="Times New Roman"/>
          <w:noProof/>
          <w:sz w:val="24"/>
          <w:szCs w:val="24"/>
        </w:rPr>
        <w:t>, driven by frequent amendments to legislation and a large number of draft laws pending in Parliament,</w:t>
      </w:r>
      <w:r w:rsidR="00E24D00" w:rsidRPr="00D16622" w:rsidDel="350EED7D">
        <w:rPr>
          <w:rFonts w:ascii="Times New Roman" w:hAnsi="Times New Roman" w:cs="Times New Roman"/>
          <w:noProof/>
          <w:sz w:val="24"/>
          <w:szCs w:val="24"/>
        </w:rPr>
        <w:t xml:space="preserve"> </w:t>
      </w:r>
      <w:r w:rsidR="00126F75" w:rsidRPr="00D16622">
        <w:rPr>
          <w:rFonts w:ascii="Times New Roman" w:hAnsi="Times New Roman" w:cs="Times New Roman"/>
          <w:noProof/>
          <w:sz w:val="24"/>
          <w:szCs w:val="24"/>
        </w:rPr>
        <w:t xml:space="preserve">remain primary concerns for businesses and CSOs. In </w:t>
      </w:r>
      <w:hyperlink r:id="rId439" w:history="1">
        <w:r w:rsidR="00775307" w:rsidRPr="00D16622">
          <w:rPr>
            <w:rStyle w:val="Hyperlink"/>
            <w:rFonts w:cs="Times New Roman"/>
            <w:noProof/>
            <w:szCs w:val="24"/>
          </w:rPr>
          <w:t>Malta</w:t>
        </w:r>
      </w:hyperlink>
      <w:r w:rsidR="00126F75" w:rsidRPr="00D16622">
        <w:rPr>
          <w:rFonts w:ascii="Times New Roman" w:hAnsi="Times New Roman" w:cs="Times New Roman"/>
          <w:noProof/>
          <w:sz w:val="24"/>
          <w:szCs w:val="24"/>
        </w:rPr>
        <w:t xml:space="preserve">, frequent legislative changes and ad hoc executive measures continue to challenge legal stability and predictability, which can affect the business environment. In </w:t>
      </w:r>
      <w:hyperlink r:id="rId440" w:history="1">
        <w:r w:rsidR="006032A2" w:rsidRPr="00D16622">
          <w:rPr>
            <w:rStyle w:val="Hyperlink"/>
            <w:rFonts w:cs="Times New Roman"/>
            <w:noProof/>
            <w:szCs w:val="24"/>
          </w:rPr>
          <w:t>Cyprus</w:t>
        </w:r>
      </w:hyperlink>
      <w:r w:rsidR="00126F75" w:rsidRPr="00D16622">
        <w:rPr>
          <w:rFonts w:ascii="Times New Roman" w:hAnsi="Times New Roman" w:cs="Times New Roman"/>
          <w:noProof/>
          <w:sz w:val="24"/>
          <w:szCs w:val="24"/>
        </w:rPr>
        <w:t>, businesses continue to see challenges in the quality of law-making and the need to streamline legislation.</w:t>
      </w:r>
    </w:p>
    <w:p w14:paraId="391367FE" w14:textId="31378D44" w:rsidR="00133C48" w:rsidRPr="00D16622" w:rsidRDefault="39F0F6AD" w:rsidP="44FD8903">
      <w:pPr>
        <w:pStyle w:val="ListParagraph"/>
        <w:numPr>
          <w:ilvl w:val="0"/>
          <w:numId w:val="1"/>
        </w:numPr>
        <w:spacing w:after="120" w:line="240" w:lineRule="auto"/>
        <w:rPr>
          <w:rFonts w:ascii="Times New Roman" w:hAnsi="Times New Roman" w:cs="Times New Roman"/>
          <w:b/>
          <w:bCs/>
          <w:noProof/>
          <w:sz w:val="24"/>
          <w:szCs w:val="24"/>
        </w:rPr>
      </w:pPr>
      <w:r w:rsidRPr="00D16622">
        <w:rPr>
          <w:rFonts w:ascii="Times New Roman" w:hAnsi="Times New Roman" w:cs="Times New Roman"/>
          <w:b/>
          <w:bCs/>
          <w:noProof/>
          <w:sz w:val="24"/>
          <w:szCs w:val="24"/>
        </w:rPr>
        <w:t>CONCLUSION</w:t>
      </w:r>
    </w:p>
    <w:p w14:paraId="0A2DC841" w14:textId="11C199F4" w:rsidR="00C56068" w:rsidRPr="00D16622" w:rsidRDefault="00C56068" w:rsidP="00435161">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This year’s Rule of Law Report confirms that the annual rule of law cycle continues to provide a</w:t>
      </w:r>
      <w:r w:rsidR="00DA3FE4" w:rsidRPr="00D16622">
        <w:rPr>
          <w:rFonts w:ascii="Times New Roman" w:hAnsi="Times New Roman" w:cs="Times New Roman"/>
          <w:noProof/>
          <w:sz w:val="24"/>
          <w:szCs w:val="24"/>
        </w:rPr>
        <w:t>n important</w:t>
      </w:r>
      <w:r w:rsidRPr="00D16622">
        <w:rPr>
          <w:rFonts w:ascii="Times New Roman" w:hAnsi="Times New Roman" w:cs="Times New Roman"/>
          <w:noProof/>
          <w:sz w:val="24"/>
          <w:szCs w:val="24"/>
        </w:rPr>
        <w:t xml:space="preserve"> stimulus for reform across Member States</w:t>
      </w:r>
      <w:r w:rsidR="00440AEE" w:rsidRPr="00D16622">
        <w:rPr>
          <w:rFonts w:ascii="Times New Roman" w:hAnsi="Times New Roman" w:cs="Times New Roman"/>
          <w:noProof/>
          <w:sz w:val="24"/>
          <w:szCs w:val="24"/>
        </w:rPr>
        <w:t>, to the benefit of citizens and businesses alike</w:t>
      </w:r>
      <w:r w:rsidRPr="00D16622">
        <w:rPr>
          <w:rFonts w:ascii="Times New Roman" w:hAnsi="Times New Roman" w:cs="Times New Roman"/>
          <w:noProof/>
          <w:sz w:val="24"/>
          <w:szCs w:val="24"/>
        </w:rPr>
        <w:t xml:space="preserve">. Overall, developments point to a broadly positive trajectory, </w:t>
      </w:r>
      <w:r w:rsidR="009F7951" w:rsidRPr="00D16622">
        <w:rPr>
          <w:rFonts w:ascii="Times New Roman" w:hAnsi="Times New Roman" w:cs="Times New Roman"/>
          <w:noProof/>
          <w:sz w:val="24"/>
          <w:szCs w:val="24"/>
        </w:rPr>
        <w:t xml:space="preserve">with marked improvements </w:t>
      </w:r>
      <w:r w:rsidR="00644BCE" w:rsidRPr="00D16622">
        <w:rPr>
          <w:rFonts w:ascii="Times New Roman" w:hAnsi="Times New Roman" w:cs="Times New Roman"/>
          <w:noProof/>
          <w:sz w:val="24"/>
          <w:szCs w:val="24"/>
        </w:rPr>
        <w:t xml:space="preserve">and important reforms completed or underway </w:t>
      </w:r>
      <w:r w:rsidR="00BB6A62" w:rsidRPr="00D16622">
        <w:rPr>
          <w:rFonts w:ascii="Times New Roman" w:hAnsi="Times New Roman" w:cs="Times New Roman"/>
          <w:noProof/>
          <w:sz w:val="24"/>
          <w:szCs w:val="24"/>
        </w:rPr>
        <w:t>in</w:t>
      </w:r>
      <w:r w:rsidR="00DA3FE4" w:rsidRPr="00D16622">
        <w:rPr>
          <w:rFonts w:ascii="Times New Roman" w:hAnsi="Times New Roman" w:cs="Times New Roman"/>
          <w:noProof/>
          <w:sz w:val="24"/>
          <w:szCs w:val="24"/>
        </w:rPr>
        <w:t xml:space="preserve"> all the four areas monitored, </w:t>
      </w:r>
      <w:r w:rsidRPr="00D16622">
        <w:rPr>
          <w:rFonts w:ascii="Times New Roman" w:hAnsi="Times New Roman" w:cs="Times New Roman"/>
          <w:noProof/>
          <w:sz w:val="24"/>
          <w:szCs w:val="24"/>
        </w:rPr>
        <w:t xml:space="preserve">even if </w:t>
      </w:r>
      <w:r w:rsidR="00B84CC9" w:rsidRPr="00D16622">
        <w:rPr>
          <w:rFonts w:ascii="Times New Roman" w:hAnsi="Times New Roman" w:cs="Times New Roman"/>
          <w:noProof/>
          <w:sz w:val="24"/>
          <w:szCs w:val="24"/>
        </w:rPr>
        <w:t xml:space="preserve">the picture </w:t>
      </w:r>
      <w:r w:rsidRPr="00D16622">
        <w:rPr>
          <w:rFonts w:ascii="Times New Roman" w:hAnsi="Times New Roman" w:cs="Times New Roman"/>
          <w:noProof/>
          <w:sz w:val="24"/>
          <w:szCs w:val="24"/>
        </w:rPr>
        <w:t>remains uneven</w:t>
      </w:r>
      <w:r w:rsidR="00B84CC9" w:rsidRPr="00D16622">
        <w:rPr>
          <w:rFonts w:ascii="Times New Roman" w:hAnsi="Times New Roman" w:cs="Times New Roman"/>
          <w:noProof/>
          <w:sz w:val="24"/>
          <w:szCs w:val="24"/>
        </w:rPr>
        <w:t xml:space="preserve"> across Member States and policy areas</w:t>
      </w:r>
      <w:r w:rsidR="00467B15" w:rsidRPr="00D16622">
        <w:rPr>
          <w:rFonts w:ascii="Times New Roman" w:hAnsi="Times New Roman" w:cs="Times New Roman"/>
          <w:noProof/>
          <w:sz w:val="24"/>
          <w:szCs w:val="24"/>
        </w:rPr>
        <w:t>, with some challenges persisting</w:t>
      </w:r>
      <w:r w:rsidRPr="00D16622">
        <w:rPr>
          <w:rFonts w:ascii="Times New Roman" w:hAnsi="Times New Roman" w:cs="Times New Roman"/>
          <w:noProof/>
          <w:sz w:val="24"/>
          <w:szCs w:val="24"/>
        </w:rPr>
        <w:t xml:space="preserve">. Engagement with the process remains strong, as reflected in the substantial number of 2025 recommendations </w:t>
      </w:r>
      <w:r w:rsidR="00735CAF" w:rsidRPr="00D16622">
        <w:rPr>
          <w:rFonts w:ascii="Times New Roman" w:hAnsi="Times New Roman" w:cs="Times New Roman"/>
          <w:noProof/>
          <w:sz w:val="24"/>
          <w:szCs w:val="24"/>
        </w:rPr>
        <w:t>where there is progress</w:t>
      </w:r>
      <w:r w:rsidRPr="00D16622">
        <w:rPr>
          <w:rFonts w:ascii="Times New Roman" w:hAnsi="Times New Roman" w:cs="Times New Roman"/>
          <w:noProof/>
          <w:sz w:val="24"/>
          <w:szCs w:val="24"/>
        </w:rPr>
        <w:t>.</w:t>
      </w:r>
    </w:p>
    <w:p w14:paraId="19681798" w14:textId="3684C8F9" w:rsidR="00C56068" w:rsidRPr="00D16622" w:rsidRDefault="00C56068" w:rsidP="00435161">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 xml:space="preserve">Looking ahead, </w:t>
      </w:r>
      <w:r w:rsidR="00430636" w:rsidRPr="00D16622">
        <w:rPr>
          <w:rFonts w:ascii="Times New Roman" w:hAnsi="Times New Roman" w:cs="Times New Roman"/>
          <w:noProof/>
          <w:sz w:val="24"/>
          <w:szCs w:val="24"/>
        </w:rPr>
        <w:t xml:space="preserve">the Commission </w:t>
      </w:r>
      <w:r w:rsidR="006B1D32" w:rsidRPr="00D16622">
        <w:rPr>
          <w:rFonts w:ascii="Times New Roman" w:hAnsi="Times New Roman" w:cs="Times New Roman"/>
          <w:noProof/>
          <w:sz w:val="24"/>
          <w:szCs w:val="24"/>
        </w:rPr>
        <w:t xml:space="preserve">believes that </w:t>
      </w:r>
      <w:r w:rsidRPr="00D16622">
        <w:rPr>
          <w:rFonts w:ascii="Times New Roman" w:hAnsi="Times New Roman" w:cs="Times New Roman"/>
          <w:noProof/>
          <w:sz w:val="24"/>
          <w:szCs w:val="24"/>
        </w:rPr>
        <w:t xml:space="preserve">the Report and its recommendations </w:t>
      </w:r>
      <w:r w:rsidR="002971AF" w:rsidRPr="00D16622">
        <w:rPr>
          <w:rFonts w:ascii="Times New Roman" w:hAnsi="Times New Roman" w:cs="Times New Roman"/>
          <w:noProof/>
          <w:sz w:val="24"/>
          <w:szCs w:val="24"/>
        </w:rPr>
        <w:t xml:space="preserve">should play </w:t>
      </w:r>
      <w:r w:rsidRPr="00D16622">
        <w:rPr>
          <w:rFonts w:ascii="Times New Roman" w:hAnsi="Times New Roman" w:cs="Times New Roman"/>
          <w:noProof/>
          <w:sz w:val="24"/>
          <w:szCs w:val="24"/>
        </w:rPr>
        <w:t xml:space="preserve">an important role </w:t>
      </w:r>
      <w:r w:rsidR="00430636" w:rsidRPr="00D16622">
        <w:rPr>
          <w:rFonts w:ascii="Times New Roman" w:hAnsi="Times New Roman" w:cs="Times New Roman"/>
          <w:noProof/>
          <w:sz w:val="24"/>
          <w:szCs w:val="24"/>
        </w:rPr>
        <w:t>under</w:t>
      </w:r>
      <w:r w:rsidRPr="00D16622" w:rsidDel="00430636">
        <w:rPr>
          <w:rFonts w:ascii="Times New Roman" w:hAnsi="Times New Roman" w:cs="Times New Roman"/>
          <w:noProof/>
          <w:sz w:val="24"/>
          <w:szCs w:val="24"/>
        </w:rPr>
        <w:t xml:space="preserve"> </w:t>
      </w:r>
      <w:r w:rsidRPr="00D16622">
        <w:rPr>
          <w:rFonts w:ascii="Times New Roman" w:hAnsi="Times New Roman" w:cs="Times New Roman"/>
          <w:noProof/>
          <w:sz w:val="24"/>
          <w:szCs w:val="24"/>
        </w:rPr>
        <w:t xml:space="preserve">the next long-term EU budget, </w:t>
      </w:r>
      <w:r w:rsidR="002971AF" w:rsidRPr="00D16622">
        <w:rPr>
          <w:rFonts w:ascii="Times New Roman" w:hAnsi="Times New Roman" w:cs="Times New Roman"/>
          <w:noProof/>
          <w:sz w:val="24"/>
          <w:szCs w:val="24"/>
        </w:rPr>
        <w:t>helping ensure that</w:t>
      </w:r>
      <w:r w:rsidRPr="00D16622">
        <w:rPr>
          <w:rFonts w:ascii="Times New Roman" w:hAnsi="Times New Roman" w:cs="Times New Roman"/>
          <w:noProof/>
          <w:sz w:val="24"/>
          <w:szCs w:val="24"/>
        </w:rPr>
        <w:t xml:space="preserve"> strong safeguards </w:t>
      </w:r>
      <w:r w:rsidR="002971AF" w:rsidRPr="00D16622">
        <w:rPr>
          <w:rFonts w:ascii="Times New Roman" w:hAnsi="Times New Roman" w:cs="Times New Roman"/>
          <w:noProof/>
          <w:sz w:val="24"/>
          <w:szCs w:val="24"/>
        </w:rPr>
        <w:t xml:space="preserve">are in place </w:t>
      </w:r>
      <w:r w:rsidRPr="00D16622">
        <w:rPr>
          <w:rFonts w:ascii="Times New Roman" w:hAnsi="Times New Roman" w:cs="Times New Roman"/>
          <w:noProof/>
          <w:sz w:val="24"/>
          <w:szCs w:val="24"/>
        </w:rPr>
        <w:t xml:space="preserve">for the protection of the Union’s financial interests and </w:t>
      </w:r>
      <w:r w:rsidR="002971AF" w:rsidRPr="00D16622">
        <w:rPr>
          <w:rFonts w:ascii="Times New Roman" w:hAnsi="Times New Roman" w:cs="Times New Roman"/>
          <w:noProof/>
          <w:sz w:val="24"/>
          <w:szCs w:val="24"/>
        </w:rPr>
        <w:t>underpin</w:t>
      </w:r>
      <w:r w:rsidR="00430636" w:rsidRPr="00D16622">
        <w:rPr>
          <w:rFonts w:ascii="Times New Roman" w:hAnsi="Times New Roman" w:cs="Times New Roman"/>
          <w:noProof/>
          <w:sz w:val="24"/>
          <w:szCs w:val="24"/>
        </w:rPr>
        <w:t xml:space="preserve"> </w:t>
      </w:r>
      <w:r w:rsidRPr="00D16622">
        <w:rPr>
          <w:rFonts w:ascii="Times New Roman" w:hAnsi="Times New Roman" w:cs="Times New Roman"/>
          <w:noProof/>
          <w:sz w:val="24"/>
          <w:szCs w:val="24"/>
        </w:rPr>
        <w:t>investments and reforms that help promote and strengthen the rule of law.</w:t>
      </w:r>
      <w:r w:rsidR="00E86ED6" w:rsidRPr="00D16622">
        <w:rPr>
          <w:rFonts w:ascii="Times New Roman" w:hAnsi="Times New Roman" w:cs="Times New Roman"/>
          <w:noProof/>
          <w:sz w:val="24"/>
          <w:szCs w:val="24"/>
        </w:rPr>
        <w:t xml:space="preserve"> </w:t>
      </w:r>
      <w:r w:rsidR="002971AF" w:rsidRPr="00D16622">
        <w:rPr>
          <w:rFonts w:ascii="Times New Roman" w:hAnsi="Times New Roman" w:cs="Times New Roman"/>
          <w:noProof/>
          <w:sz w:val="24"/>
          <w:szCs w:val="24"/>
        </w:rPr>
        <w:t>E</w:t>
      </w:r>
      <w:r w:rsidRPr="00D16622">
        <w:rPr>
          <w:rFonts w:ascii="Times New Roman" w:hAnsi="Times New Roman" w:cs="Times New Roman"/>
          <w:noProof/>
          <w:sz w:val="24"/>
          <w:szCs w:val="24"/>
        </w:rPr>
        <w:t>qual</w:t>
      </w:r>
      <w:r w:rsidR="002971AF" w:rsidRPr="00D16622">
        <w:rPr>
          <w:rFonts w:ascii="Times New Roman" w:hAnsi="Times New Roman" w:cs="Times New Roman"/>
          <w:noProof/>
          <w:sz w:val="24"/>
          <w:szCs w:val="24"/>
        </w:rPr>
        <w:t xml:space="preserve"> and fair</w:t>
      </w:r>
      <w:r w:rsidRPr="00D16622">
        <w:rPr>
          <w:rFonts w:ascii="Times New Roman" w:hAnsi="Times New Roman" w:cs="Times New Roman"/>
          <w:noProof/>
          <w:sz w:val="24"/>
          <w:szCs w:val="24"/>
        </w:rPr>
        <w:t xml:space="preserve"> treatment </w:t>
      </w:r>
      <w:r w:rsidR="002971AF" w:rsidRPr="00D16622">
        <w:rPr>
          <w:rFonts w:ascii="Times New Roman" w:hAnsi="Times New Roman" w:cs="Times New Roman"/>
          <w:noProof/>
          <w:sz w:val="24"/>
          <w:szCs w:val="24"/>
        </w:rPr>
        <w:t xml:space="preserve">of </w:t>
      </w:r>
      <w:r w:rsidRPr="00D16622">
        <w:rPr>
          <w:rFonts w:ascii="Times New Roman" w:hAnsi="Times New Roman" w:cs="Times New Roman"/>
          <w:noProof/>
          <w:sz w:val="24"/>
          <w:szCs w:val="24"/>
        </w:rPr>
        <w:t xml:space="preserve">Member States, </w:t>
      </w:r>
      <w:r w:rsidR="006C7663" w:rsidRPr="00D16622">
        <w:rPr>
          <w:rFonts w:ascii="Times New Roman" w:hAnsi="Times New Roman" w:cs="Times New Roman"/>
          <w:noProof/>
          <w:sz w:val="24"/>
          <w:szCs w:val="24"/>
        </w:rPr>
        <w:t xml:space="preserve">a clear and </w:t>
      </w:r>
      <w:r w:rsidRPr="00D16622">
        <w:rPr>
          <w:rFonts w:ascii="Times New Roman" w:hAnsi="Times New Roman" w:cs="Times New Roman"/>
          <w:noProof/>
          <w:sz w:val="24"/>
          <w:szCs w:val="24"/>
        </w:rPr>
        <w:t>consistent application of EU standards, and a dialogue-based</w:t>
      </w:r>
      <w:r w:rsidR="006C7663" w:rsidRPr="00D16622">
        <w:rPr>
          <w:rFonts w:ascii="Times New Roman" w:hAnsi="Times New Roman" w:cs="Times New Roman"/>
          <w:noProof/>
          <w:sz w:val="24"/>
          <w:szCs w:val="24"/>
        </w:rPr>
        <w:t xml:space="preserve"> process are the underlying principles of the Rule of Law Report</w:t>
      </w:r>
      <w:r w:rsidRPr="00D16622">
        <w:rPr>
          <w:rFonts w:ascii="Times New Roman" w:hAnsi="Times New Roman" w:cs="Times New Roman"/>
          <w:noProof/>
          <w:sz w:val="24"/>
          <w:szCs w:val="24"/>
        </w:rPr>
        <w:t xml:space="preserve"> </w:t>
      </w:r>
      <w:r w:rsidR="00B861DC" w:rsidRPr="00D16622">
        <w:rPr>
          <w:rFonts w:ascii="Times New Roman" w:hAnsi="Times New Roman" w:cs="Times New Roman"/>
          <w:noProof/>
          <w:sz w:val="24"/>
          <w:szCs w:val="24"/>
        </w:rPr>
        <w:t xml:space="preserve">that </w:t>
      </w:r>
      <w:r w:rsidRPr="00D16622">
        <w:rPr>
          <w:rFonts w:ascii="Times New Roman" w:hAnsi="Times New Roman" w:cs="Times New Roman"/>
          <w:noProof/>
          <w:sz w:val="24"/>
          <w:szCs w:val="24"/>
        </w:rPr>
        <w:t>will continue to guide the Commission’s work</w:t>
      </w:r>
      <w:r w:rsidR="00B861DC" w:rsidRPr="00D16622">
        <w:rPr>
          <w:rFonts w:ascii="Times New Roman" w:hAnsi="Times New Roman" w:cs="Times New Roman"/>
          <w:noProof/>
          <w:sz w:val="24"/>
          <w:szCs w:val="24"/>
        </w:rPr>
        <w:t xml:space="preserve"> with Member States</w:t>
      </w:r>
      <w:r w:rsidRPr="00D16622">
        <w:rPr>
          <w:rFonts w:ascii="Times New Roman" w:hAnsi="Times New Roman" w:cs="Times New Roman"/>
          <w:noProof/>
          <w:sz w:val="24"/>
          <w:szCs w:val="24"/>
        </w:rPr>
        <w:t>.</w:t>
      </w:r>
    </w:p>
    <w:p w14:paraId="495DDB9D" w14:textId="32091615" w:rsidR="00C56068" w:rsidRPr="00D16622" w:rsidRDefault="00C56068" w:rsidP="00435161">
      <w:pPr>
        <w:spacing w:after="120" w:line="240" w:lineRule="auto"/>
        <w:jc w:val="both"/>
        <w:rPr>
          <w:rFonts w:ascii="Times New Roman" w:hAnsi="Times New Roman" w:cs="Times New Roman"/>
          <w:noProof/>
          <w:sz w:val="24"/>
          <w:szCs w:val="24"/>
        </w:rPr>
      </w:pPr>
      <w:r w:rsidRPr="00D16622">
        <w:rPr>
          <w:rFonts w:ascii="Times New Roman" w:hAnsi="Times New Roman" w:cs="Times New Roman"/>
          <w:noProof/>
          <w:sz w:val="24"/>
          <w:szCs w:val="24"/>
        </w:rPr>
        <w:t>The Commission will continue to stay closely engaged with the European Parliament and the Council in the annual cycle. It invites the Council and the European Parliament to continue general and country-specific debates based on the Report. The Commission remains committed to supporting Member States in the implementation of this year’s recommendations and to working together with all relevant stakeholders to safeguard and strengthen the Union’s core values.</w:t>
      </w:r>
    </w:p>
    <w:p w14:paraId="614D5EB0" w14:textId="3D8F4545" w:rsidR="00AC364C" w:rsidRPr="00D16622" w:rsidRDefault="00AC364C" w:rsidP="00133C48">
      <w:pPr>
        <w:spacing w:after="120" w:line="240" w:lineRule="auto"/>
        <w:rPr>
          <w:rFonts w:ascii="Times New Roman" w:hAnsi="Times New Roman" w:cs="Times New Roman"/>
          <w:bCs/>
          <w:noProof/>
          <w:sz w:val="24"/>
          <w:szCs w:val="24"/>
        </w:rPr>
      </w:pPr>
    </w:p>
    <w:sectPr w:rsidR="00AC364C" w:rsidRPr="00D16622" w:rsidSect="00195FA2">
      <w:headerReference w:type="even" r:id="rId441"/>
      <w:headerReference w:type="default" r:id="rId442"/>
      <w:footerReference w:type="even" r:id="rId443"/>
      <w:footerReference w:type="default" r:id="rId444"/>
      <w:headerReference w:type="first" r:id="rId445"/>
      <w:footerReference w:type="first" r:id="rId446"/>
      <w:pgSz w:w="11906" w:h="16838"/>
      <w:pgMar w:top="1440" w:right="1440" w:bottom="1440" w:left="1440"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7CD8E3" w14:textId="77777777" w:rsidR="00A77BA2" w:rsidRDefault="00A77BA2" w:rsidP="00CB4D3D">
      <w:pPr>
        <w:spacing w:after="0" w:line="240" w:lineRule="auto"/>
      </w:pPr>
      <w:r>
        <w:separator/>
      </w:r>
    </w:p>
  </w:endnote>
  <w:endnote w:type="continuationSeparator" w:id="0">
    <w:p w14:paraId="79C9E666" w14:textId="77777777" w:rsidR="00A77BA2" w:rsidRDefault="00A77BA2" w:rsidP="00CB4D3D">
      <w:pPr>
        <w:spacing w:after="0" w:line="240" w:lineRule="auto"/>
      </w:pPr>
      <w:r>
        <w:continuationSeparator/>
      </w:r>
    </w:p>
  </w:endnote>
  <w:endnote w:type="continuationNotice" w:id="1">
    <w:p w14:paraId="6DE8E358" w14:textId="77777777" w:rsidR="00A77BA2" w:rsidRDefault="00A77B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E4478" w14:textId="215E8CA6" w:rsidR="00CA0078" w:rsidRPr="00CA0078" w:rsidRDefault="00CA0078" w:rsidP="00CA0078">
    <w:pPr>
      <w:pStyle w:val="FooterCoverPage"/>
      <w:rPr>
        <w:rFonts w:ascii="Arial" w:hAnsi="Arial" w:cs="Arial"/>
        <w:b/>
        <w:sz w:val="48"/>
      </w:rPr>
    </w:pPr>
    <w:r w:rsidRPr="00CA0078">
      <w:rPr>
        <w:rFonts w:ascii="Arial" w:hAnsi="Arial" w:cs="Arial"/>
        <w:b/>
        <w:sz w:val="48"/>
      </w:rPr>
      <w:t>EN</w:t>
    </w:r>
    <w:r w:rsidRPr="00CA0078">
      <w:rPr>
        <w:rFonts w:ascii="Arial" w:hAnsi="Arial" w:cs="Arial"/>
        <w:b/>
        <w:sz w:val="48"/>
      </w:rPr>
      <w:tab/>
    </w:r>
    <w:r w:rsidRPr="00CA0078">
      <w:rPr>
        <w:rFonts w:ascii="Arial" w:hAnsi="Arial" w:cs="Arial"/>
        <w:b/>
        <w:sz w:val="48"/>
      </w:rPr>
      <w:tab/>
    </w:r>
    <w:r w:rsidRPr="00CA0078">
      <w:tab/>
    </w:r>
    <w:r w:rsidRPr="00CA007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C6EF7" w14:textId="5196F6B3" w:rsidR="00CA0078" w:rsidRPr="00CA0078" w:rsidRDefault="00CA0078" w:rsidP="00CA0078">
    <w:pPr>
      <w:pStyle w:val="FooterCoverPage"/>
      <w:rPr>
        <w:rFonts w:ascii="Arial" w:hAnsi="Arial" w:cs="Arial"/>
        <w:b/>
        <w:sz w:val="48"/>
      </w:rPr>
    </w:pPr>
    <w:r w:rsidRPr="00CA0078">
      <w:rPr>
        <w:rFonts w:ascii="Arial" w:hAnsi="Arial" w:cs="Arial"/>
        <w:b/>
        <w:sz w:val="48"/>
      </w:rPr>
      <w:t>EN</w:t>
    </w:r>
    <w:r w:rsidRPr="00CA0078">
      <w:rPr>
        <w:rFonts w:ascii="Arial" w:hAnsi="Arial" w:cs="Arial"/>
        <w:b/>
        <w:sz w:val="48"/>
      </w:rPr>
      <w:tab/>
    </w:r>
    <w:r w:rsidRPr="00CA0078">
      <w:rPr>
        <w:rFonts w:ascii="Arial" w:hAnsi="Arial" w:cs="Arial"/>
        <w:b/>
        <w:sz w:val="48"/>
      </w:rPr>
      <w:tab/>
    </w:r>
    <w:r w:rsidRPr="00CA0078">
      <w:tab/>
    </w:r>
    <w:r w:rsidRPr="00CA007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EA55C" w14:textId="77777777" w:rsidR="00CA0078" w:rsidRPr="00CA0078" w:rsidRDefault="00CA0078" w:rsidP="00CA007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A91C2" w14:textId="77777777" w:rsidR="00754AAD" w:rsidRDefault="00754AA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1587307"/>
      <w:docPartObj>
        <w:docPartGallery w:val="Page Numbers (Bottom of Page)"/>
        <w:docPartUnique/>
      </w:docPartObj>
    </w:sdtPr>
    <w:sdtEndPr>
      <w:rPr>
        <w:rFonts w:ascii="Times New Roman" w:hAnsi="Times New Roman" w:cs="Times New Roman"/>
        <w:noProof/>
      </w:rPr>
    </w:sdtEndPr>
    <w:sdtContent>
      <w:p w14:paraId="10825C1D" w14:textId="30A22A23" w:rsidR="00990C4C" w:rsidRPr="00A611D9" w:rsidRDefault="00D80966">
        <w:pPr>
          <w:pStyle w:val="Footer"/>
          <w:jc w:val="center"/>
          <w:rPr>
            <w:rFonts w:ascii="Times New Roman" w:hAnsi="Times New Roman" w:cs="Times New Roman"/>
          </w:rPr>
        </w:pPr>
        <w:r w:rsidRPr="00FC606F">
          <w:rPr>
            <w:rFonts w:ascii="Times New Roman" w:hAnsi="Times New Roman" w:cs="Times New Roman"/>
          </w:rPr>
          <w:fldChar w:fldCharType="begin"/>
        </w:r>
        <w:r w:rsidRPr="00FC606F">
          <w:rPr>
            <w:rFonts w:ascii="Times New Roman" w:hAnsi="Times New Roman" w:cs="Times New Roman"/>
          </w:rPr>
          <w:instrText xml:space="preserve"> PAGE   \* MERGEFORMAT </w:instrText>
        </w:r>
        <w:r w:rsidRPr="00FC606F">
          <w:rPr>
            <w:rFonts w:ascii="Times New Roman" w:hAnsi="Times New Roman" w:cs="Times New Roman"/>
          </w:rPr>
          <w:fldChar w:fldCharType="separate"/>
        </w:r>
        <w:r w:rsidR="00CA0078">
          <w:rPr>
            <w:rFonts w:ascii="Times New Roman" w:hAnsi="Times New Roman" w:cs="Times New Roman"/>
            <w:noProof/>
          </w:rPr>
          <w:t>4</w:t>
        </w:r>
        <w:r w:rsidRPr="00FC606F">
          <w:rPr>
            <w:rFonts w:ascii="Times New Roman" w:hAnsi="Times New Roman" w:cs="Times New Roman"/>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117556663"/>
      <w:docPartObj>
        <w:docPartGallery w:val="Page Numbers (Bottom of Page)"/>
        <w:docPartUnique/>
      </w:docPartObj>
    </w:sdtPr>
    <w:sdtEndPr>
      <w:rPr>
        <w:noProof/>
      </w:rPr>
    </w:sdtEndPr>
    <w:sdtContent>
      <w:p w14:paraId="1E9A2DFA" w14:textId="68743C85" w:rsidR="00195FA2" w:rsidRPr="003F1AC4" w:rsidRDefault="00195FA2">
        <w:pPr>
          <w:pStyle w:val="Footer"/>
          <w:jc w:val="center"/>
          <w:rPr>
            <w:rFonts w:ascii="Times New Roman" w:hAnsi="Times New Roman" w:cs="Times New Roman"/>
          </w:rPr>
        </w:pPr>
        <w:r w:rsidRPr="003F1AC4">
          <w:rPr>
            <w:rFonts w:ascii="Times New Roman" w:hAnsi="Times New Roman" w:cs="Times New Roman"/>
          </w:rPr>
          <w:fldChar w:fldCharType="begin"/>
        </w:r>
        <w:r w:rsidRPr="003F1AC4">
          <w:rPr>
            <w:rFonts w:ascii="Times New Roman" w:hAnsi="Times New Roman" w:cs="Times New Roman"/>
          </w:rPr>
          <w:instrText xml:space="preserve"> PAGE   \* MERGEFORMAT </w:instrText>
        </w:r>
        <w:r w:rsidRPr="003F1AC4">
          <w:rPr>
            <w:rFonts w:ascii="Times New Roman" w:hAnsi="Times New Roman" w:cs="Times New Roman"/>
          </w:rPr>
          <w:fldChar w:fldCharType="separate"/>
        </w:r>
        <w:r w:rsidR="00CA0078">
          <w:rPr>
            <w:rFonts w:ascii="Times New Roman" w:hAnsi="Times New Roman" w:cs="Times New Roman"/>
            <w:noProof/>
          </w:rPr>
          <w:t>1</w:t>
        </w:r>
        <w:r w:rsidRPr="003F1AC4">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396A96" w14:textId="77777777" w:rsidR="00A77BA2" w:rsidRDefault="00A77BA2" w:rsidP="00CB4D3D">
      <w:pPr>
        <w:spacing w:after="0" w:line="240" w:lineRule="auto"/>
      </w:pPr>
      <w:r>
        <w:separator/>
      </w:r>
    </w:p>
  </w:footnote>
  <w:footnote w:type="continuationSeparator" w:id="0">
    <w:p w14:paraId="4F86837F" w14:textId="77777777" w:rsidR="00A77BA2" w:rsidRDefault="00A77BA2" w:rsidP="00CB4D3D">
      <w:pPr>
        <w:spacing w:after="0" w:line="240" w:lineRule="auto"/>
      </w:pPr>
      <w:r>
        <w:continuationSeparator/>
      </w:r>
    </w:p>
  </w:footnote>
  <w:footnote w:type="continuationNotice" w:id="1">
    <w:p w14:paraId="3032C175" w14:textId="77777777" w:rsidR="00A77BA2" w:rsidRDefault="00A77BA2">
      <w:pPr>
        <w:spacing w:after="0" w:line="240" w:lineRule="auto"/>
      </w:pPr>
    </w:p>
  </w:footnote>
  <w:footnote w:id="2">
    <w:p w14:paraId="6419EEA8" w14:textId="71554358" w:rsidR="005A4E46" w:rsidRPr="004D60FB" w:rsidRDefault="005A4E46">
      <w:pPr>
        <w:pStyle w:val="FootnoteText"/>
        <w:rPr>
          <w:lang w:val="en-IE"/>
        </w:rPr>
      </w:pPr>
      <w:r w:rsidRPr="004D60FB">
        <w:rPr>
          <w:rStyle w:val="FootnoteReference"/>
        </w:rPr>
        <w:footnoteRef/>
      </w:r>
      <w:r w:rsidRPr="004D60FB">
        <w:t xml:space="preserve"> </w:t>
      </w:r>
      <w:r w:rsidRPr="004D60FB">
        <w:rPr>
          <w:lang w:val="en-IE"/>
        </w:rPr>
        <w:tab/>
        <w:t>In Flash Eurobarometer 569 “Challenges and priorities in the EU”, of September 2025, Europeans identified respect for democracy, human rights, and the rule of law as the EU’s main strengths (36%).</w:t>
      </w:r>
    </w:p>
  </w:footnote>
  <w:footnote w:id="3">
    <w:p w14:paraId="309E74A6" w14:textId="14B3DCE3" w:rsidR="00CC3521" w:rsidRPr="004D60FB" w:rsidRDefault="00CC3521" w:rsidP="00CC3521">
      <w:pPr>
        <w:pStyle w:val="FootnoteRoLReport"/>
      </w:pPr>
      <w:r w:rsidRPr="004D60FB">
        <w:rPr>
          <w:rStyle w:val="FootnoteReference"/>
        </w:rPr>
        <w:footnoteRef/>
      </w:r>
      <w:r w:rsidRPr="004D60FB">
        <w:t xml:space="preserve"> </w:t>
      </w:r>
      <w:r w:rsidRPr="004D60FB">
        <w:tab/>
        <w:t xml:space="preserve">Since 2024, the report </w:t>
      </w:r>
      <w:r w:rsidR="002B3C3B" w:rsidRPr="004D60FB">
        <w:t xml:space="preserve">has </w:t>
      </w:r>
      <w:r w:rsidRPr="004D60FB">
        <w:t>cover</w:t>
      </w:r>
      <w:r w:rsidR="002B3C3B" w:rsidRPr="004D60FB">
        <w:t>ed</w:t>
      </w:r>
      <w:r w:rsidRPr="004D60FB">
        <w:t xml:space="preserve"> Albania, Montenegro, North Macedonia and Serbia. The selection reflects the progress made in their respective accession process or advancement </w:t>
      </w:r>
      <w:r w:rsidR="002B3C3B" w:rsidRPr="004D60FB">
        <w:t>in</w:t>
      </w:r>
      <w:r w:rsidRPr="004D60FB">
        <w:t xml:space="preserve"> their level of preparedness on rule of law.</w:t>
      </w:r>
    </w:p>
  </w:footnote>
  <w:footnote w:id="4">
    <w:p w14:paraId="49EDD4C7" w14:textId="763A456E" w:rsidR="00CC3521" w:rsidRPr="004D60FB" w:rsidRDefault="00CC3521" w:rsidP="00CC3521">
      <w:pPr>
        <w:pStyle w:val="FootnoteText"/>
      </w:pPr>
      <w:r w:rsidRPr="004D60FB">
        <w:rPr>
          <w:rStyle w:val="FootnoteReference"/>
        </w:rPr>
        <w:footnoteRef/>
      </w:r>
      <w:r w:rsidRPr="004D60FB">
        <w:t xml:space="preserve"> </w:t>
      </w:r>
      <w:r w:rsidRPr="004D60FB">
        <w:tab/>
      </w:r>
      <w:r w:rsidR="006549BB" w:rsidRPr="00D03A4C">
        <w:t>4</w:t>
      </w:r>
      <w:r w:rsidR="009A2693" w:rsidRPr="00D03A4C">
        <w:t>7</w:t>
      </w:r>
      <w:r w:rsidRPr="00D03A4C">
        <w:t xml:space="preserve">% of </w:t>
      </w:r>
      <w:r w:rsidR="002B3C3B" w:rsidRPr="00D03A4C">
        <w:t xml:space="preserve">the </w:t>
      </w:r>
      <w:r w:rsidRPr="00D03A4C">
        <w:t xml:space="preserve">recommendations issued in the </w:t>
      </w:r>
      <w:r w:rsidR="00A604C4" w:rsidRPr="00D03A4C">
        <w:t>2025</w:t>
      </w:r>
      <w:r w:rsidRPr="00D03A4C">
        <w:t xml:space="preserve"> Rule of Law Report </w:t>
      </w:r>
      <w:r w:rsidR="002B3C3B" w:rsidRPr="00D03A4C">
        <w:t xml:space="preserve">have been </w:t>
      </w:r>
      <w:r w:rsidRPr="00D03A4C">
        <w:t>fully or partially implemented</w:t>
      </w:r>
      <w:r w:rsidRPr="004D60FB">
        <w:t>.</w:t>
      </w:r>
    </w:p>
  </w:footnote>
  <w:footnote w:id="5">
    <w:p w14:paraId="4408B347" w14:textId="77777777" w:rsidR="00A8767E" w:rsidRPr="004D60FB" w:rsidRDefault="00A8767E" w:rsidP="00A8767E">
      <w:pPr>
        <w:pStyle w:val="FootnoteText"/>
      </w:pPr>
      <w:r w:rsidRPr="004D60FB">
        <w:rPr>
          <w:rStyle w:val="FootnoteReference"/>
        </w:rPr>
        <w:footnoteRef/>
      </w:r>
      <w:r w:rsidRPr="004D60FB">
        <w:t xml:space="preserve"> </w:t>
      </w:r>
      <w:r w:rsidRPr="004D60FB">
        <w:tab/>
        <w:t>Regulation (EU, Euratom) 2020/2092 of the European Parliament and of the Council of 16 December 2020 on a general regime of conditionality for the protection of the Union budget.</w:t>
      </w:r>
    </w:p>
  </w:footnote>
  <w:footnote w:id="6">
    <w:p w14:paraId="1CD29498" w14:textId="77777777" w:rsidR="00CC3521" w:rsidRPr="004D60FB" w:rsidRDefault="00CC3521" w:rsidP="00CC3521">
      <w:pPr>
        <w:pStyle w:val="FootnoteText"/>
        <w:rPr>
          <w:lang w:val="en-IE"/>
        </w:rPr>
      </w:pPr>
      <w:r w:rsidRPr="004D60FB">
        <w:rPr>
          <w:rStyle w:val="FootnoteReference"/>
        </w:rPr>
        <w:footnoteRef/>
      </w:r>
      <w:r w:rsidRPr="004D60FB">
        <w:t xml:space="preserve"> </w:t>
      </w:r>
      <w:r w:rsidRPr="004D60FB">
        <w:rPr>
          <w:lang w:val="en-IE"/>
        </w:rPr>
        <w:tab/>
        <w:t>COM(2025) 570 final.</w:t>
      </w:r>
    </w:p>
  </w:footnote>
  <w:footnote w:id="7">
    <w:p w14:paraId="67A0CAEE" w14:textId="028FDEFF" w:rsidR="0025786B" w:rsidRPr="004D60FB" w:rsidRDefault="0025786B" w:rsidP="0025786B">
      <w:pPr>
        <w:pStyle w:val="FootnoteText"/>
      </w:pPr>
      <w:r w:rsidRPr="004D60FB">
        <w:rPr>
          <w:rStyle w:val="FootnoteReference"/>
        </w:rPr>
        <w:footnoteRef/>
      </w:r>
      <w:r w:rsidRPr="004D60FB">
        <w:t xml:space="preserve"> </w:t>
      </w:r>
      <w:r w:rsidRPr="004D60FB">
        <w:tab/>
        <w:t xml:space="preserve">In addition to the Rule of Law toolbox, other instruments </w:t>
      </w:r>
      <w:r w:rsidR="00285C06" w:rsidRPr="004D60FB">
        <w:t>(</w:t>
      </w:r>
      <w:r w:rsidRPr="004D60FB">
        <w:t>described in</w:t>
      </w:r>
      <w:r w:rsidR="00285C06" w:rsidRPr="004D60FB">
        <w:t xml:space="preserve"> more detail below)</w:t>
      </w:r>
      <w:r w:rsidRPr="004D60FB">
        <w:t xml:space="preserve"> include the EU Justice Scoreboard, the European Semester, EU financial support for structural rule of law reforms and civil society, infringement procedures, the Article 7 TEU mechanism to address serious breaches of rule of law, Council’s annual structured rule of law dialogues, and budgetary safeguards under the current Multiannual Financial Framework. </w:t>
      </w:r>
    </w:p>
  </w:footnote>
  <w:footnote w:id="8">
    <w:p w14:paraId="13B588C4" w14:textId="22796031" w:rsidR="00901FD8" w:rsidRPr="004D60FB" w:rsidRDefault="00901FD8">
      <w:pPr>
        <w:pStyle w:val="FootnoteText"/>
        <w:rPr>
          <w:lang w:val="en-IE"/>
        </w:rPr>
      </w:pPr>
      <w:r w:rsidRPr="004D60FB">
        <w:rPr>
          <w:rStyle w:val="FootnoteReference"/>
        </w:rPr>
        <w:footnoteRef/>
      </w:r>
      <w:r w:rsidRPr="004D60FB">
        <w:t xml:space="preserve"> </w:t>
      </w:r>
      <w:r w:rsidRPr="004D60FB">
        <w:rPr>
          <w:lang w:val="en-IE"/>
        </w:rPr>
        <w:tab/>
        <w:t xml:space="preserve">Over </w:t>
      </w:r>
      <w:r w:rsidR="00CF758E" w:rsidRPr="004D60FB">
        <w:rPr>
          <w:lang w:val="en-IE"/>
        </w:rPr>
        <w:t>600</w:t>
      </w:r>
      <w:r w:rsidRPr="004D60FB">
        <w:rPr>
          <w:lang w:val="en-IE"/>
        </w:rPr>
        <w:t xml:space="preserve"> meetings were held to prepare this year’s Report.</w:t>
      </w:r>
    </w:p>
  </w:footnote>
  <w:footnote w:id="9">
    <w:p w14:paraId="306F84E1" w14:textId="51B5C5A0" w:rsidR="00D624D8" w:rsidRPr="004D60FB" w:rsidRDefault="00D624D8">
      <w:pPr>
        <w:pStyle w:val="FootnoteText"/>
      </w:pPr>
      <w:r w:rsidRPr="004D60FB">
        <w:rPr>
          <w:rStyle w:val="FootnoteReference"/>
        </w:rPr>
        <w:footnoteRef/>
      </w:r>
      <w:r w:rsidRPr="004D60FB">
        <w:t xml:space="preserve"> </w:t>
      </w:r>
      <w:r w:rsidRPr="004D60FB">
        <w:tab/>
      </w:r>
      <w:r w:rsidR="00285C06" w:rsidRPr="004D60FB">
        <w:t xml:space="preserve">One topic </w:t>
      </w:r>
      <w:r w:rsidR="00581C10" w:rsidRPr="004D60FB">
        <w:t xml:space="preserve">of </w:t>
      </w:r>
      <w:r w:rsidR="00285C06" w:rsidRPr="004D60FB">
        <w:t xml:space="preserve">the </w:t>
      </w:r>
      <w:r w:rsidR="00581C10" w:rsidRPr="004D60FB">
        <w:t xml:space="preserve">exchanges on good practices </w:t>
      </w:r>
      <w:r w:rsidR="00285C06" w:rsidRPr="004D60FB">
        <w:t xml:space="preserve">were </w:t>
      </w:r>
      <w:r w:rsidR="00581C10" w:rsidRPr="004D60FB">
        <w:t>initiatives at national level to raise awareness of the rule of law</w:t>
      </w:r>
      <w:r w:rsidR="00FF51AA" w:rsidRPr="004D60FB">
        <w:t xml:space="preserve"> and</w:t>
      </w:r>
      <w:r w:rsidR="00581C10" w:rsidRPr="004D60FB">
        <w:t xml:space="preserve"> to promote recruitment </w:t>
      </w:r>
      <w:r w:rsidR="00285C06" w:rsidRPr="004D60FB">
        <w:t xml:space="preserve">to </w:t>
      </w:r>
      <w:r w:rsidR="00581C10" w:rsidRPr="004D60FB">
        <w:t>the judiciary</w:t>
      </w:r>
      <w:r w:rsidR="00581C10" w:rsidRPr="004D60FB" w:rsidDel="00FF51AA">
        <w:t>.</w:t>
      </w:r>
    </w:p>
  </w:footnote>
  <w:footnote w:id="10">
    <w:p w14:paraId="5103A554" w14:textId="039E79D1" w:rsidR="00490F72" w:rsidRPr="004D60FB" w:rsidRDefault="00490F72" w:rsidP="00490F72">
      <w:pPr>
        <w:pStyle w:val="FootnoteText"/>
      </w:pPr>
      <w:r w:rsidRPr="004D60FB">
        <w:rPr>
          <w:rStyle w:val="FootnoteReference"/>
        </w:rPr>
        <w:footnoteRef/>
      </w:r>
      <w:r w:rsidRPr="004D60FB">
        <w:t xml:space="preserve"> </w:t>
      </w:r>
      <w:r w:rsidRPr="004D60FB">
        <w:tab/>
      </w:r>
      <w:r w:rsidR="00E471D3" w:rsidRPr="004D60FB">
        <w:t>T</w:t>
      </w:r>
      <w:r w:rsidRPr="004D60FB">
        <w:t xml:space="preserve">he General Affairs Council held a horizontal discussion on rule of law developments in September </w:t>
      </w:r>
      <w:r w:rsidR="008B24FF" w:rsidRPr="004D60FB">
        <w:t>2025</w:t>
      </w:r>
      <w:r w:rsidRPr="004D60FB">
        <w:t xml:space="preserve">, and country-specific discussions in November </w:t>
      </w:r>
      <w:r w:rsidR="008B24FF" w:rsidRPr="004D60FB">
        <w:t>2025</w:t>
      </w:r>
      <w:r w:rsidRPr="004D60FB">
        <w:t xml:space="preserve"> and January and May </w:t>
      </w:r>
      <w:r w:rsidR="008B24FF" w:rsidRPr="004D60FB">
        <w:t>2026</w:t>
      </w:r>
      <w:r w:rsidRPr="004D60FB">
        <w:t>.</w:t>
      </w:r>
    </w:p>
  </w:footnote>
  <w:footnote w:id="11">
    <w:p w14:paraId="05CF8F31" w14:textId="5CB8EC3E" w:rsidR="00AD4206" w:rsidRPr="004D60FB" w:rsidRDefault="00AD4206" w:rsidP="00AD4206">
      <w:pPr>
        <w:pStyle w:val="FootnoteText"/>
      </w:pPr>
      <w:r w:rsidRPr="004D60FB">
        <w:rPr>
          <w:rStyle w:val="FootnoteReference"/>
        </w:rPr>
        <w:footnoteRef/>
      </w:r>
      <w:r w:rsidRPr="004D60FB">
        <w:t xml:space="preserve"> </w:t>
      </w:r>
      <w:r w:rsidRPr="004D60FB">
        <w:tab/>
        <w:t xml:space="preserve">Ministers from Albania, Montenegro, North Macedonia, and Serbia attended an exchange of views on the rule of law situation in their countries at the General Affairs Council on </w:t>
      </w:r>
      <w:r w:rsidR="00734DBD" w:rsidRPr="004D60FB">
        <w:t>16</w:t>
      </w:r>
      <w:r w:rsidRPr="004D60FB">
        <w:t xml:space="preserve"> September </w:t>
      </w:r>
      <w:r w:rsidR="00734DBD" w:rsidRPr="004D60FB">
        <w:t>2025.</w:t>
      </w:r>
    </w:p>
  </w:footnote>
  <w:footnote w:id="12">
    <w:p w14:paraId="06B4F870" w14:textId="00312957" w:rsidR="00AD4206" w:rsidRPr="004D60FB" w:rsidRDefault="00AD4206" w:rsidP="00AD4206">
      <w:pPr>
        <w:pStyle w:val="FootnoteText"/>
      </w:pPr>
      <w:r w:rsidRPr="004D60FB">
        <w:rPr>
          <w:rStyle w:val="FootnoteReference"/>
        </w:rPr>
        <w:footnoteRef/>
      </w:r>
      <w:r w:rsidRPr="004D60FB">
        <w:t xml:space="preserve"> </w:t>
      </w:r>
      <w:r w:rsidRPr="004D60FB">
        <w:tab/>
      </w:r>
      <w:r w:rsidR="00F56877" w:rsidRPr="004D60FB">
        <w:t>In</w:t>
      </w:r>
      <w:r w:rsidR="00CB393E" w:rsidRPr="004D60FB" w:rsidDel="00F56877">
        <w:t xml:space="preserve"> </w:t>
      </w:r>
      <w:r w:rsidR="00CB393E" w:rsidRPr="004D60FB">
        <w:t>October 2025</w:t>
      </w:r>
      <w:r w:rsidR="00E471D3" w:rsidRPr="004D60FB">
        <w:t xml:space="preserve"> and March</w:t>
      </w:r>
      <w:r w:rsidR="00F56877" w:rsidRPr="004D60FB">
        <w:t xml:space="preserve"> 2026, the Justice Council discussed </w:t>
      </w:r>
      <w:r w:rsidR="00E471D3" w:rsidRPr="004D60FB">
        <w:t>political participation and l</w:t>
      </w:r>
      <w:r w:rsidR="00CB393E" w:rsidRPr="004D60FB">
        <w:t>awyers’ independence</w:t>
      </w:r>
      <w:r w:rsidR="00E471D3" w:rsidRPr="004D60FB">
        <w:t>.</w:t>
      </w:r>
    </w:p>
  </w:footnote>
  <w:footnote w:id="13">
    <w:p w14:paraId="349C8D94" w14:textId="3056A93F" w:rsidR="00BB75BD" w:rsidRPr="004D60FB" w:rsidRDefault="00BB75BD">
      <w:pPr>
        <w:pStyle w:val="FootnoteText"/>
      </w:pPr>
      <w:r w:rsidRPr="004D60FB">
        <w:rPr>
          <w:rStyle w:val="FootnoteReference"/>
        </w:rPr>
        <w:footnoteRef/>
      </w:r>
      <w:r w:rsidRPr="004D60FB">
        <w:t xml:space="preserve"> </w:t>
      </w:r>
      <w:r w:rsidR="001308E7" w:rsidRPr="004D60FB">
        <w:tab/>
      </w:r>
      <w:r w:rsidR="00955931" w:rsidRPr="00306EA9">
        <w:t xml:space="preserve">Declaration on the necessity of culture and media as a safeguard for our European democracies, </w:t>
      </w:r>
      <w:r w:rsidR="00A8241B" w:rsidRPr="00306EA9">
        <w:t xml:space="preserve">4 </w:t>
      </w:r>
      <w:r w:rsidR="007C05F6" w:rsidRPr="00306EA9">
        <w:t>November 2025</w:t>
      </w:r>
      <w:r w:rsidR="00A8241B" w:rsidRPr="00306EA9">
        <w:t>, available at:</w:t>
      </w:r>
      <w:r w:rsidR="00955931" w:rsidRPr="00306EA9" w:rsidDel="00E123EF">
        <w:t xml:space="preserve"> </w:t>
      </w:r>
      <w:hyperlink r:id="rId1" w:history="1">
        <w:r w:rsidR="00927F94" w:rsidRPr="00306EA9">
          <w:rPr>
            <w:rStyle w:val="Hyperlink"/>
            <w:sz w:val="20"/>
          </w:rPr>
          <w:t>declaration-on-the-necessity-of-culture-and-media.pdf</w:t>
        </w:r>
      </w:hyperlink>
    </w:p>
  </w:footnote>
  <w:footnote w:id="14">
    <w:p w14:paraId="2EDD7D6A" w14:textId="7505337A" w:rsidR="00600823" w:rsidRPr="004D60FB" w:rsidRDefault="00600823">
      <w:pPr>
        <w:pStyle w:val="FootnoteText"/>
        <w:rPr>
          <w:lang w:val="en-IE"/>
        </w:rPr>
      </w:pPr>
      <w:r w:rsidRPr="004D60FB">
        <w:rPr>
          <w:rStyle w:val="FootnoteReference"/>
        </w:rPr>
        <w:footnoteRef/>
      </w:r>
      <w:r w:rsidRPr="004D60FB">
        <w:t xml:space="preserve"> </w:t>
      </w:r>
      <w:r w:rsidRPr="004D60FB">
        <w:rPr>
          <w:lang w:val="en-IE"/>
        </w:rPr>
        <w:tab/>
      </w:r>
      <w:r w:rsidR="002C6F25" w:rsidRPr="004D60FB">
        <w:rPr>
          <w:lang w:val="en-IE"/>
        </w:rPr>
        <w:t>With Hungary</w:t>
      </w:r>
      <w:r w:rsidRPr="004D60FB">
        <w:rPr>
          <w:lang w:val="en-IE"/>
        </w:rPr>
        <w:t xml:space="preserve"> endors</w:t>
      </w:r>
      <w:r w:rsidR="002C6F25" w:rsidRPr="004D60FB">
        <w:rPr>
          <w:lang w:val="en-IE"/>
        </w:rPr>
        <w:t>ing</w:t>
      </w:r>
      <w:r w:rsidRPr="004D60FB">
        <w:rPr>
          <w:lang w:val="en-IE"/>
        </w:rPr>
        <w:t xml:space="preserve"> the Presidency conclusions</w:t>
      </w:r>
      <w:r w:rsidR="002C6F25" w:rsidRPr="004D60FB">
        <w:rPr>
          <w:lang w:val="en-IE"/>
        </w:rPr>
        <w:t>.</w:t>
      </w:r>
    </w:p>
  </w:footnote>
  <w:footnote w:id="15">
    <w:p w14:paraId="0E71D4F1" w14:textId="456B65B7" w:rsidR="00AC2AA8" w:rsidRPr="004D60FB" w:rsidRDefault="00AC2AA8" w:rsidP="00AC2AA8">
      <w:pPr>
        <w:pStyle w:val="FootnoteText"/>
      </w:pPr>
      <w:r w:rsidRPr="004D60FB">
        <w:rPr>
          <w:rStyle w:val="FootnoteReference"/>
        </w:rPr>
        <w:footnoteRef/>
      </w:r>
      <w:r w:rsidRPr="004D60FB">
        <w:t xml:space="preserve"> </w:t>
      </w:r>
      <w:r w:rsidRPr="004D60FB">
        <w:tab/>
      </w:r>
      <w:r w:rsidR="00725007" w:rsidRPr="004D60FB">
        <w:t xml:space="preserve">In November 2025, a national rule of law dialogue was organised in Czechia, on efficiency of the justice system. </w:t>
      </w:r>
      <w:r w:rsidR="00F41D07" w:rsidRPr="004D60FB">
        <w:t xml:space="preserve">In January 2026, a national rule of law dialogue </w:t>
      </w:r>
      <w:r w:rsidR="005B5FF2" w:rsidRPr="004D60FB">
        <w:t xml:space="preserve">on media freedom and pluralism </w:t>
      </w:r>
      <w:r w:rsidR="00F41D07" w:rsidRPr="004D60FB">
        <w:t xml:space="preserve">was organised in Croatia. </w:t>
      </w:r>
      <w:r w:rsidRPr="004D60FB">
        <w:t>For further information</w:t>
      </w:r>
      <w:r w:rsidR="00155A08" w:rsidRPr="004D60FB">
        <w:t xml:space="preserve"> on dialogues</w:t>
      </w:r>
      <w:r w:rsidRPr="00306EA9">
        <w:t xml:space="preserve">: </w:t>
      </w:r>
      <w:hyperlink r:id="rId2" w:history="1">
        <w:r w:rsidRPr="00306EA9">
          <w:rPr>
            <w:rStyle w:val="Hyperlink"/>
            <w:sz w:val="20"/>
          </w:rPr>
          <w:t>https://commission.europa.eu/strategy-and-policy/policies/justice-and-fundamental-rights/upholding-rule-law/rule-law/annual-rule-law-cycle/national-rule-law-dialogues_en</w:t>
        </w:r>
      </w:hyperlink>
      <w:r w:rsidRPr="00306EA9">
        <w:rPr>
          <w:sz w:val="22"/>
          <w:szCs w:val="22"/>
        </w:rPr>
        <w:t xml:space="preserve"> </w:t>
      </w:r>
    </w:p>
  </w:footnote>
  <w:footnote w:id="16">
    <w:p w14:paraId="450E5731" w14:textId="04B74E75" w:rsidR="00B91E64" w:rsidRPr="004D60FB" w:rsidRDefault="00B91E64">
      <w:pPr>
        <w:pStyle w:val="FootnoteText"/>
      </w:pPr>
      <w:r w:rsidRPr="004D60FB">
        <w:rPr>
          <w:rStyle w:val="FootnoteReference"/>
        </w:rPr>
        <w:footnoteRef/>
      </w:r>
      <w:r w:rsidRPr="004D60FB">
        <w:t xml:space="preserve"> </w:t>
      </w:r>
      <w:r w:rsidRPr="004D60FB">
        <w:tab/>
      </w:r>
      <w:r w:rsidR="00445F62" w:rsidRPr="004D60FB">
        <w:t>21</w:t>
      </w:r>
      <w:r w:rsidRPr="004D60FB">
        <w:t xml:space="preserve"> Member States committed to implement reforms and investments</w:t>
      </w:r>
      <w:r w:rsidR="00445F62" w:rsidRPr="004D60FB">
        <w:t xml:space="preserve"> </w:t>
      </w:r>
      <w:r w:rsidR="00970C68" w:rsidRPr="004D60FB">
        <w:t>related to</w:t>
      </w:r>
      <w:r w:rsidR="00445F62" w:rsidRPr="004D60FB">
        <w:t xml:space="preserve"> the rule of law: </w:t>
      </w:r>
      <w:r w:rsidR="00A94E3C" w:rsidRPr="004D60FB">
        <w:t>Belgium, Bulgaria, Czechia, Greece, Spain, Croatia, Italy, Cyprus, Latvia, Lithuania, Luxembourg, Hungary, Malta, Netherlands, Austria, Poland, Portugal, Romania, Slovenia, Slovakia and Finland.</w:t>
      </w:r>
      <w:r w:rsidRPr="004D60FB">
        <w:t xml:space="preserve"> </w:t>
      </w:r>
    </w:p>
  </w:footnote>
  <w:footnote w:id="17">
    <w:p w14:paraId="3501CE18" w14:textId="3406086D" w:rsidR="00F23D34" w:rsidRPr="004D60FB" w:rsidRDefault="00F23D34">
      <w:pPr>
        <w:pStyle w:val="FootnoteText"/>
        <w:rPr>
          <w:lang w:val="en-IE"/>
        </w:rPr>
      </w:pPr>
      <w:r w:rsidRPr="004D60FB">
        <w:rPr>
          <w:rStyle w:val="FootnoteReference"/>
        </w:rPr>
        <w:footnoteRef/>
      </w:r>
      <w:r w:rsidRPr="004D60FB">
        <w:t xml:space="preserve"> </w:t>
      </w:r>
      <w:r w:rsidR="006A0BDD" w:rsidRPr="004D60FB">
        <w:rPr>
          <w:lang w:val="en-IE"/>
        </w:rPr>
        <w:tab/>
        <w:t>Under the RRF Regulation, reforms and investments need to be implemented by 31 August 2026</w:t>
      </w:r>
      <w:r w:rsidR="005A3C7D" w:rsidRPr="004D60FB">
        <w:rPr>
          <w:lang w:val="en-IE"/>
        </w:rPr>
        <w:t xml:space="preserve"> and all payments must be executed by 31 December 2026</w:t>
      </w:r>
      <w:r w:rsidR="006A0BDD" w:rsidRPr="004D60FB">
        <w:rPr>
          <w:lang w:val="en-IE"/>
        </w:rPr>
        <w:t xml:space="preserve">. The Commission is assessing compliance with the agreed milestones </w:t>
      </w:r>
      <w:r w:rsidR="00AB52DF" w:rsidRPr="004D60FB">
        <w:rPr>
          <w:lang w:val="en-IE"/>
        </w:rPr>
        <w:t xml:space="preserve">upon the evidence submitted by Member States to support their payment requests. </w:t>
      </w:r>
      <w:r w:rsidR="005A3C7D" w:rsidRPr="004D60FB">
        <w:rPr>
          <w:lang w:val="en-IE"/>
        </w:rPr>
        <w:t xml:space="preserve">In line with the applicable Financing Agreements and Loan Agreements, </w:t>
      </w:r>
      <w:r w:rsidR="0000763C" w:rsidRPr="004D60FB">
        <w:rPr>
          <w:lang w:val="en-IE"/>
        </w:rPr>
        <w:t xml:space="preserve">Member States have until </w:t>
      </w:r>
      <w:r w:rsidR="005A3C7D" w:rsidRPr="004D60FB">
        <w:rPr>
          <w:lang w:val="en-IE"/>
        </w:rPr>
        <w:t>30 September 2026</w:t>
      </w:r>
      <w:r w:rsidR="0000763C" w:rsidRPr="004D60FB">
        <w:rPr>
          <w:lang w:val="en-IE"/>
        </w:rPr>
        <w:t xml:space="preserve"> to submit their remaining payment request</w:t>
      </w:r>
      <w:r w:rsidR="005A3C7D" w:rsidRPr="004D60FB">
        <w:rPr>
          <w:lang w:val="en-IE"/>
        </w:rPr>
        <w:t>s, following which</w:t>
      </w:r>
      <w:r w:rsidR="0000763C" w:rsidRPr="004D60FB">
        <w:rPr>
          <w:lang w:val="en-IE"/>
        </w:rPr>
        <w:t xml:space="preserve"> the Commission </w:t>
      </w:r>
      <w:r w:rsidR="005A3C7D" w:rsidRPr="004D60FB">
        <w:rPr>
          <w:lang w:val="en-IE"/>
        </w:rPr>
        <w:t>intends</w:t>
      </w:r>
      <w:r w:rsidR="0000763C" w:rsidRPr="004D60FB">
        <w:rPr>
          <w:lang w:val="en-IE"/>
        </w:rPr>
        <w:t xml:space="preserve"> to provide its </w:t>
      </w:r>
      <w:r w:rsidR="005A3C7D" w:rsidRPr="004D60FB">
        <w:rPr>
          <w:lang w:val="en-IE"/>
        </w:rPr>
        <w:t xml:space="preserve">preliminary </w:t>
      </w:r>
      <w:r w:rsidR="0000763C" w:rsidRPr="004D60FB">
        <w:rPr>
          <w:lang w:val="en-IE"/>
        </w:rPr>
        <w:t>assessment</w:t>
      </w:r>
      <w:r w:rsidR="005A3C7D" w:rsidRPr="004D60FB">
        <w:rPr>
          <w:lang w:val="en-IE"/>
        </w:rPr>
        <w:t xml:space="preserve"> of the fulfilment of the milestones and targets by 20 November 2026</w:t>
      </w:r>
      <w:r w:rsidR="0000763C" w:rsidRPr="004D60FB">
        <w:rPr>
          <w:lang w:val="en-IE"/>
        </w:rPr>
        <w:t>.</w:t>
      </w:r>
    </w:p>
  </w:footnote>
  <w:footnote w:id="18">
    <w:p w14:paraId="1B44B7D2" w14:textId="720A2106" w:rsidR="000C1877" w:rsidRPr="0009618B" w:rsidRDefault="000C1877">
      <w:pPr>
        <w:pStyle w:val="FootnoteText"/>
        <w:rPr>
          <w:lang w:val="en-IE"/>
        </w:rPr>
      </w:pPr>
      <w:r w:rsidRPr="004D60FB">
        <w:rPr>
          <w:rStyle w:val="FootnoteReference"/>
        </w:rPr>
        <w:footnoteRef/>
      </w:r>
      <w:r w:rsidRPr="004D60FB">
        <w:t xml:space="preserve"> </w:t>
      </w:r>
      <w:r w:rsidRPr="004D60FB">
        <w:tab/>
      </w:r>
      <w:r w:rsidR="000E05BD" w:rsidRPr="004D60FB">
        <w:t>I</w:t>
      </w:r>
      <w:r w:rsidR="0049419D" w:rsidRPr="004D60FB">
        <w:t>n addition to the s</w:t>
      </w:r>
      <w:r w:rsidRPr="004D60FB">
        <w:t xml:space="preserve">trong safeguards </w:t>
      </w:r>
      <w:r w:rsidR="0049419D" w:rsidRPr="004D60FB">
        <w:t xml:space="preserve">that </w:t>
      </w:r>
      <w:r w:rsidRPr="004D60FB">
        <w:t xml:space="preserve">protect the EU’s financial interests from risks related to breaches of the rule of law – in particular the </w:t>
      </w:r>
      <w:r w:rsidR="00455439" w:rsidRPr="004D60FB">
        <w:t>Regulation 2020/2092 of the European Parliament and of the Council of 16 December 2020 on a general regime of conditionality for the protection of the Union budget</w:t>
      </w:r>
      <w:r w:rsidRPr="004D60FB">
        <w:t>, which will continue to apply after the end of the current long-term EU budget.</w:t>
      </w:r>
      <w:r w:rsidR="0049419D" w:rsidRPr="004D60FB">
        <w:t xml:space="preserve"> </w:t>
      </w:r>
      <w:r w:rsidR="000E05BD" w:rsidRPr="004D60FB">
        <w:t>See also section 2.4.</w:t>
      </w:r>
    </w:p>
  </w:footnote>
  <w:footnote w:id="19">
    <w:p w14:paraId="5E8A9580" w14:textId="3B63AB11" w:rsidR="00DC3B1B" w:rsidRPr="004D60FB" w:rsidRDefault="00DC3B1B">
      <w:pPr>
        <w:pStyle w:val="FootnoteText"/>
      </w:pPr>
      <w:r w:rsidRPr="004D60FB">
        <w:rPr>
          <w:rStyle w:val="FootnoteReference"/>
        </w:rPr>
        <w:footnoteRef/>
      </w:r>
      <w:r w:rsidRPr="004D60FB">
        <w:t xml:space="preserve"> </w:t>
      </w:r>
      <w:r w:rsidRPr="004D60FB">
        <w:tab/>
      </w:r>
      <w:r w:rsidR="00B47105" w:rsidRPr="004D60FB">
        <w:t xml:space="preserve">Issues addressed in relevant </w:t>
      </w:r>
      <w:r w:rsidR="00A63644" w:rsidRPr="004D60FB">
        <w:t xml:space="preserve">European Semester </w:t>
      </w:r>
      <w:r w:rsidR="00BF5420" w:rsidRPr="004D60FB">
        <w:t>country-specific recommendations</w:t>
      </w:r>
      <w:r w:rsidR="00A63644" w:rsidRPr="004D60FB">
        <w:t xml:space="preserve"> </w:t>
      </w:r>
      <w:r w:rsidR="00B47105" w:rsidRPr="004D60FB">
        <w:t>include</w:t>
      </w:r>
      <w:r w:rsidR="0042394E" w:rsidRPr="004D60FB">
        <w:t xml:space="preserve"> improving judicial efficiency</w:t>
      </w:r>
      <w:r w:rsidR="00B47105" w:rsidRPr="004D60FB">
        <w:t xml:space="preserve"> and anti-corruption</w:t>
      </w:r>
      <w:r w:rsidR="002C109A" w:rsidRPr="004D60FB">
        <w:t xml:space="preserve"> measures</w:t>
      </w:r>
      <w:r w:rsidR="0042394E" w:rsidRPr="004D60FB">
        <w:t xml:space="preserve">. See </w:t>
      </w:r>
      <w:r w:rsidRPr="004D60FB">
        <w:t>Communication on the 2026 European Semester – Spring Package. COM(2026) 200 final.</w:t>
      </w:r>
    </w:p>
  </w:footnote>
  <w:footnote w:id="20">
    <w:p w14:paraId="5DF11310" w14:textId="54D02F35" w:rsidR="00E4785C" w:rsidRPr="004D60FB" w:rsidRDefault="00E4785C">
      <w:pPr>
        <w:pStyle w:val="FootnoteText"/>
      </w:pPr>
      <w:r w:rsidRPr="004D60FB">
        <w:rPr>
          <w:rStyle w:val="FootnoteReference"/>
        </w:rPr>
        <w:footnoteRef/>
      </w:r>
      <w:r w:rsidRPr="004D60FB">
        <w:t xml:space="preserve"> </w:t>
      </w:r>
      <w:r w:rsidR="00FF0923" w:rsidRPr="004D60FB">
        <w:tab/>
      </w:r>
      <w:r w:rsidRPr="004D60FB">
        <w:t>The Commission has proposed that when the conditions are not fulfilled, Member States nevertheless need to continue payments to final beneficiaries and amounts lost due to unresolved breaches may be reallocated to other</w:t>
      </w:r>
      <w:r>
        <w:t xml:space="preserve"> Union instruments or</w:t>
      </w:r>
      <w:r w:rsidRPr="004D60FB">
        <w:t xml:space="preserve"> programmes</w:t>
      </w:r>
      <w:r>
        <w:t xml:space="preserve"> implemented under direct or indirect management</w:t>
      </w:r>
      <w:r w:rsidRPr="004D60FB">
        <w:t>.</w:t>
      </w:r>
    </w:p>
  </w:footnote>
  <w:footnote w:id="21">
    <w:p w14:paraId="606E67F7" w14:textId="284D40F9" w:rsidR="00E243D0" w:rsidRPr="004D60FB" w:rsidRDefault="00E243D0" w:rsidP="00E243D0">
      <w:pPr>
        <w:pStyle w:val="FootnoteText"/>
      </w:pPr>
      <w:r w:rsidRPr="004D60FB">
        <w:rPr>
          <w:rStyle w:val="FootnoteReference"/>
        </w:rPr>
        <w:footnoteRef/>
      </w:r>
      <w:r w:rsidRPr="004D60FB">
        <w:t xml:space="preserve"> </w:t>
      </w:r>
      <w:r w:rsidRPr="004D60FB">
        <w:tab/>
        <w:t>The Commission opened an infringement procedure against Hungary with the adoption of a Letter of Formal Notice; it has also launched follow-up with several Member States through administrative or EU pilot dialogues</w:t>
      </w:r>
      <w:r w:rsidR="00FD581F" w:rsidRPr="004D60FB">
        <w:t>.</w:t>
      </w:r>
      <w:r w:rsidRPr="004D60FB">
        <w:t xml:space="preserve"> </w:t>
      </w:r>
    </w:p>
  </w:footnote>
  <w:footnote w:id="22">
    <w:p w14:paraId="1AFC71DE" w14:textId="661AE229" w:rsidR="00613158" w:rsidRPr="004D60FB" w:rsidRDefault="00613158">
      <w:pPr>
        <w:pStyle w:val="FootnoteText"/>
      </w:pPr>
      <w:r w:rsidRPr="004D60FB">
        <w:rPr>
          <w:rStyle w:val="FootnoteReference"/>
        </w:rPr>
        <w:footnoteRef/>
      </w:r>
      <w:r w:rsidRPr="004D60FB">
        <w:t xml:space="preserve"> </w:t>
      </w:r>
      <w:r w:rsidR="00E10CAA" w:rsidRPr="004D60FB">
        <w:tab/>
        <w:t>Article 20 of EMFA will start to apply from 8 May 2027.</w:t>
      </w:r>
    </w:p>
  </w:footnote>
  <w:footnote w:id="23">
    <w:p w14:paraId="5AB71CB8" w14:textId="25BD0545" w:rsidR="00D92FE2" w:rsidRPr="004D60FB" w:rsidRDefault="00D92FE2">
      <w:pPr>
        <w:pStyle w:val="FootnoteText"/>
        <w:rPr>
          <w:lang w:val="en-IE"/>
        </w:rPr>
      </w:pPr>
      <w:r w:rsidRPr="004D60FB">
        <w:rPr>
          <w:rStyle w:val="FootnoteReference"/>
        </w:rPr>
        <w:footnoteRef/>
      </w:r>
      <w:r w:rsidRPr="004D60FB">
        <w:t xml:space="preserve"> </w:t>
      </w:r>
      <w:r w:rsidRPr="004D60FB">
        <w:rPr>
          <w:lang w:val="en-IE"/>
        </w:rPr>
        <w:tab/>
        <w:t xml:space="preserve">At this stage, </w:t>
      </w:r>
      <w:r w:rsidR="004966A8" w:rsidRPr="004D60FB">
        <w:rPr>
          <w:lang w:val="en-IE"/>
        </w:rPr>
        <w:t>several</w:t>
      </w:r>
      <w:r w:rsidR="00CC413D" w:rsidRPr="004D60FB">
        <w:rPr>
          <w:lang w:val="en-IE"/>
        </w:rPr>
        <w:t xml:space="preserve"> </w:t>
      </w:r>
      <w:r w:rsidRPr="004D60FB">
        <w:rPr>
          <w:lang w:val="en-IE"/>
        </w:rPr>
        <w:t>Member States have notified the Commission of full transposition, though several others are at an advanced stage in the legislative process.</w:t>
      </w:r>
    </w:p>
  </w:footnote>
  <w:footnote w:id="24">
    <w:p w14:paraId="53F04FF2" w14:textId="77777777" w:rsidR="00A65CB8" w:rsidRPr="004D60FB" w:rsidRDefault="00A65CB8" w:rsidP="00A65CB8">
      <w:pPr>
        <w:pStyle w:val="FootnoteText"/>
        <w:rPr>
          <w:lang w:val="en-IE"/>
        </w:rPr>
      </w:pPr>
      <w:r w:rsidRPr="004D60FB">
        <w:rPr>
          <w:rStyle w:val="FootnoteReference"/>
        </w:rPr>
        <w:footnoteRef/>
      </w:r>
      <w:r w:rsidRPr="004D60FB">
        <w:t xml:space="preserve"> </w:t>
      </w:r>
      <w:r w:rsidRPr="004D60FB">
        <w:tab/>
        <w:t>Complementing the Directive, the 2022 anti-SLAPP Recommendation encourages Member States to develop a broader framework of protection measures covering also domestic cases and all areas of law as well as training, awareness-raising, support to victims and data collection.</w:t>
      </w:r>
    </w:p>
  </w:footnote>
  <w:footnote w:id="25">
    <w:p w14:paraId="622F3ABE" w14:textId="477FE446" w:rsidR="00D35A2E" w:rsidRPr="004D60FB" w:rsidRDefault="00D35A2E">
      <w:pPr>
        <w:pStyle w:val="FootnoteText"/>
      </w:pPr>
      <w:r w:rsidRPr="004D60FB">
        <w:rPr>
          <w:rStyle w:val="FootnoteReference"/>
        </w:rPr>
        <w:footnoteRef/>
      </w:r>
      <w:r w:rsidRPr="004D60FB">
        <w:t xml:space="preserve"> </w:t>
      </w:r>
      <w:r w:rsidRPr="004D60FB">
        <w:tab/>
      </w:r>
      <w:r w:rsidR="00E03304" w:rsidRPr="004D60FB">
        <w:t>Directive</w:t>
      </w:r>
      <w:r w:rsidR="002605E7" w:rsidRPr="004D60FB">
        <w:t xml:space="preserve"> </w:t>
      </w:r>
      <w:r w:rsidR="00464F45" w:rsidRPr="004D60FB">
        <w:t xml:space="preserve">2026/1021 </w:t>
      </w:r>
      <w:r w:rsidR="002605E7" w:rsidRPr="004D60FB">
        <w:t>of the European Parliament and of the Council</w:t>
      </w:r>
      <w:r w:rsidRPr="004D60FB">
        <w:t xml:space="preserve"> </w:t>
      </w:r>
      <w:r w:rsidR="002605E7" w:rsidRPr="004D60FB">
        <w:t>on combating corruption</w:t>
      </w:r>
      <w:r w:rsidR="00464F45" w:rsidRPr="004D60FB">
        <w:t>.</w:t>
      </w:r>
    </w:p>
  </w:footnote>
  <w:footnote w:id="26">
    <w:p w14:paraId="6F95364E" w14:textId="2C6F6B3C" w:rsidR="00C7157D" w:rsidRPr="004D60FB" w:rsidRDefault="00C7157D" w:rsidP="00C7157D">
      <w:pPr>
        <w:pStyle w:val="FootnoteText"/>
        <w:rPr>
          <w:lang w:val="en-IE"/>
        </w:rPr>
      </w:pPr>
      <w:r w:rsidRPr="004D60FB">
        <w:rPr>
          <w:rStyle w:val="FootnoteReference"/>
        </w:rPr>
        <w:footnoteRef/>
      </w:r>
      <w:r w:rsidRPr="004D60FB">
        <w:t xml:space="preserve"> </w:t>
      </w:r>
      <w:r w:rsidRPr="004D60FB">
        <w:tab/>
        <w:t xml:space="preserve">Two meetings took place in the reporting period, in October 2025 and June 2026. These discussions provided input for the preparation of the upcoming Anti-corruption Strategy. The Network brings together representatives of EU Member States, practitioners, civil society, international organisations, and EU institutions and agencies. </w:t>
      </w:r>
    </w:p>
  </w:footnote>
  <w:footnote w:id="27">
    <w:p w14:paraId="17983969" w14:textId="504250CF" w:rsidR="002C6547" w:rsidRPr="004D60FB" w:rsidRDefault="002C6547" w:rsidP="002C6547">
      <w:pPr>
        <w:pStyle w:val="FootnoteText"/>
      </w:pPr>
      <w:r w:rsidRPr="004D60FB">
        <w:rPr>
          <w:rStyle w:val="FootnoteReference"/>
        </w:rPr>
        <w:footnoteRef/>
      </w:r>
      <w:r w:rsidRPr="004D60FB">
        <w:t xml:space="preserve"> </w:t>
      </w:r>
      <w:r w:rsidRPr="004D60FB">
        <w:tab/>
      </w:r>
      <w:r w:rsidR="00E02CBD" w:rsidRPr="004D60FB">
        <w:t xml:space="preserve">These good practices were shared at the occasion of the meeting </w:t>
      </w:r>
      <w:r w:rsidRPr="004D60FB">
        <w:t>of the national contact points on the rule of law, 23 October 2025</w:t>
      </w:r>
      <w:r w:rsidR="00C1564B" w:rsidRPr="004D60FB">
        <w:t>.</w:t>
      </w:r>
    </w:p>
  </w:footnote>
  <w:footnote w:id="28">
    <w:p w14:paraId="06627717" w14:textId="48C3B788" w:rsidR="00BE1F0C" w:rsidRPr="004D60FB" w:rsidRDefault="00BE1F0C">
      <w:pPr>
        <w:pStyle w:val="FootnoteText"/>
      </w:pPr>
      <w:r w:rsidRPr="004D60FB">
        <w:rPr>
          <w:rStyle w:val="FootnoteReference"/>
        </w:rPr>
        <w:footnoteRef/>
      </w:r>
      <w:r w:rsidRPr="004D60FB">
        <w:t xml:space="preserve"> </w:t>
      </w:r>
      <w:r w:rsidRPr="004D60FB">
        <w:tab/>
        <w:t>These remain the cornerstone of accession negotiations, as emphasised by the revised enlargement methodology</w:t>
      </w:r>
      <w:r w:rsidR="0008264B" w:rsidRPr="004D60FB">
        <w:t xml:space="preserve"> as set out in</w:t>
      </w:r>
      <w:r w:rsidRPr="004D60FB">
        <w:t xml:space="preserve"> </w:t>
      </w:r>
      <w:r w:rsidR="0008264B" w:rsidRPr="004D60FB">
        <w:t>COM(2020) 57 final.</w:t>
      </w:r>
    </w:p>
  </w:footnote>
  <w:footnote w:id="29">
    <w:p w14:paraId="19486B42" w14:textId="4CFF65A4" w:rsidR="00117552" w:rsidRPr="004D60FB" w:rsidRDefault="00117552">
      <w:pPr>
        <w:pStyle w:val="FootnoteText"/>
      </w:pPr>
      <w:r w:rsidRPr="004D60FB">
        <w:rPr>
          <w:rStyle w:val="FootnoteReference"/>
        </w:rPr>
        <w:footnoteRef/>
      </w:r>
      <w:r w:rsidRPr="004D60FB">
        <w:t xml:space="preserve"> </w:t>
      </w:r>
      <w:r w:rsidRPr="004D60FB">
        <w:tab/>
        <w:t>Council of Europe European Commission for the efficiency of justice</w:t>
      </w:r>
      <w:r w:rsidR="00F673E8" w:rsidRPr="004D60FB">
        <w:t>.</w:t>
      </w:r>
    </w:p>
  </w:footnote>
  <w:footnote w:id="30">
    <w:p w14:paraId="0851E0A2" w14:textId="19F4CDCD" w:rsidR="009A26DA" w:rsidRPr="004D60FB" w:rsidRDefault="009A26DA">
      <w:pPr>
        <w:pStyle w:val="FootnoteText"/>
      </w:pPr>
      <w:r w:rsidRPr="004D60FB">
        <w:rPr>
          <w:rStyle w:val="FootnoteReference"/>
        </w:rPr>
        <w:footnoteRef/>
      </w:r>
      <w:r w:rsidRPr="004D60FB">
        <w:t xml:space="preserve"> </w:t>
      </w:r>
      <w:r w:rsidR="00F673E8" w:rsidRPr="004D60FB">
        <w:tab/>
      </w:r>
      <w:r w:rsidR="002845BD" w:rsidRPr="004D60FB">
        <w:t xml:space="preserve">The </w:t>
      </w:r>
      <w:r w:rsidR="00F673E8" w:rsidRPr="004D60FB">
        <w:t>Group of States against Corruption.</w:t>
      </w:r>
    </w:p>
  </w:footnote>
  <w:footnote w:id="31">
    <w:p w14:paraId="078CCA18" w14:textId="331B3B66" w:rsidR="009C5DE1" w:rsidRPr="004D60FB" w:rsidRDefault="009C5DE1">
      <w:pPr>
        <w:pStyle w:val="FootnoteText"/>
      </w:pPr>
      <w:r w:rsidRPr="004D60FB">
        <w:rPr>
          <w:rStyle w:val="FootnoteReference"/>
        </w:rPr>
        <w:footnoteRef/>
      </w:r>
      <w:r w:rsidRPr="004D60FB">
        <w:t xml:space="preserve"> </w:t>
      </w:r>
      <w:r w:rsidR="00052F22" w:rsidRPr="004D60FB">
        <w:tab/>
        <w:t xml:space="preserve">Judgment of </w:t>
      </w:r>
      <w:r w:rsidR="00860274" w:rsidRPr="004D60FB">
        <w:t xml:space="preserve">18 December </w:t>
      </w:r>
      <w:r w:rsidR="00EB7219" w:rsidRPr="004D60FB">
        <w:t>2025</w:t>
      </w:r>
      <w:r w:rsidR="00E309EB" w:rsidRPr="004D60FB">
        <w:t>, Case C</w:t>
      </w:r>
      <w:r w:rsidR="00A337BA" w:rsidRPr="004D60FB">
        <w:t xml:space="preserve">-448/23, </w:t>
      </w:r>
      <w:r w:rsidR="00487FCA" w:rsidRPr="004D60FB">
        <w:t xml:space="preserve">held that the Polish </w:t>
      </w:r>
      <w:r w:rsidR="00B57661" w:rsidRPr="004D60FB">
        <w:t>C</w:t>
      </w:r>
      <w:r w:rsidR="00487FCA" w:rsidRPr="004D60FB">
        <w:t xml:space="preserve">onstitutional </w:t>
      </w:r>
      <w:r w:rsidR="00B57661" w:rsidRPr="004D60FB">
        <w:t>Court had infringed the principle of effective judicial protection and disregarded the primacy, autonomy, effectiveness and uniform application of EU law</w:t>
      </w:r>
      <w:r w:rsidR="00553001" w:rsidRPr="004D60FB">
        <w:t>. The CJEU also held that the Polish Constitutional Court does not constitute and independent and impartial tribunal,</w:t>
      </w:r>
      <w:r w:rsidR="008C6134" w:rsidRPr="004D60FB">
        <w:t xml:space="preserve"> on account of serious irregularities vitiating the app</w:t>
      </w:r>
      <w:r w:rsidR="00F9338B" w:rsidRPr="004D60FB">
        <w:t xml:space="preserve">ointment of three of its judges </w:t>
      </w:r>
      <w:r w:rsidR="00D643B7" w:rsidRPr="004D60FB">
        <w:t xml:space="preserve">in December 2015 </w:t>
      </w:r>
      <w:r w:rsidR="00F9338B" w:rsidRPr="004D60FB">
        <w:t xml:space="preserve">and </w:t>
      </w:r>
      <w:r w:rsidR="00D643B7" w:rsidRPr="004D60FB">
        <w:t xml:space="preserve">of </w:t>
      </w:r>
      <w:r w:rsidR="00F9338B" w:rsidRPr="004D60FB">
        <w:t>its President</w:t>
      </w:r>
      <w:r w:rsidR="00D643B7" w:rsidRPr="004D60FB">
        <w:t xml:space="preserve"> in December 2016</w:t>
      </w:r>
      <w:r w:rsidR="00F9338B" w:rsidRPr="004D60FB">
        <w:t>.</w:t>
      </w:r>
    </w:p>
  </w:footnote>
  <w:footnote w:id="32">
    <w:p w14:paraId="5563FD8A" w14:textId="36C2920B" w:rsidR="00434FBD" w:rsidRPr="004D60FB" w:rsidRDefault="00434FBD" w:rsidP="001B6DE7">
      <w:pPr>
        <w:pStyle w:val="FootnoteText"/>
      </w:pPr>
      <w:r w:rsidRPr="004D60FB">
        <w:rPr>
          <w:rStyle w:val="FootnoteReference"/>
        </w:rPr>
        <w:footnoteRef/>
      </w:r>
      <w:r w:rsidRPr="004D60FB">
        <w:t xml:space="preserve"> </w:t>
      </w:r>
      <w:r w:rsidRPr="004D60FB">
        <w:tab/>
        <w:t xml:space="preserve">Judgment of </w:t>
      </w:r>
      <w:r w:rsidR="00873A79" w:rsidRPr="004D60FB">
        <w:t xml:space="preserve">24 March 2026, Case C-521/21, held that </w:t>
      </w:r>
      <w:r w:rsidR="001B6DE7" w:rsidRPr="004D60FB">
        <w:t>an irregularity committed during the appointment of a judge is not in itself sufficient to find that that judge is not independent</w:t>
      </w:r>
      <w:r w:rsidR="003545CD" w:rsidRPr="004D60FB">
        <w:t>.</w:t>
      </w:r>
    </w:p>
  </w:footnote>
  <w:footnote w:id="33">
    <w:p w14:paraId="39A08975" w14:textId="61698F9A" w:rsidR="00630FB6" w:rsidRPr="004D60FB" w:rsidRDefault="00630FB6" w:rsidP="00D80BE7">
      <w:pPr>
        <w:pStyle w:val="FootnoteText"/>
      </w:pPr>
      <w:r w:rsidRPr="004D60FB">
        <w:rPr>
          <w:rStyle w:val="FootnoteReference"/>
        </w:rPr>
        <w:footnoteRef/>
      </w:r>
      <w:r w:rsidRPr="004D60FB">
        <w:t xml:space="preserve"> </w:t>
      </w:r>
      <w:r w:rsidR="000257B6" w:rsidRPr="004D60FB">
        <w:tab/>
      </w:r>
      <w:r w:rsidR="00D84E8A" w:rsidRPr="004D60FB">
        <w:t xml:space="preserve">Judgment of 4 September, </w:t>
      </w:r>
      <w:r w:rsidR="00695E4A" w:rsidRPr="004D60FB">
        <w:t xml:space="preserve">Case C-225/22, held that </w:t>
      </w:r>
      <w:r w:rsidR="00D80BE7" w:rsidRPr="004D60FB">
        <w:t xml:space="preserve">a national court must consider </w:t>
      </w:r>
      <w:r w:rsidR="00901D34" w:rsidRPr="004D60FB">
        <w:t xml:space="preserve">as null and void </w:t>
      </w:r>
      <w:r w:rsidR="003E7F21" w:rsidRPr="004D60FB">
        <w:t xml:space="preserve">a decision by </w:t>
      </w:r>
      <w:r w:rsidR="00D80BE7" w:rsidRPr="004D60FB">
        <w:t>a higher court</w:t>
      </w:r>
      <w:r w:rsidR="00B33781" w:rsidRPr="004D60FB">
        <w:t xml:space="preserve"> of last instance</w:t>
      </w:r>
      <w:r w:rsidR="00D80BE7" w:rsidRPr="004D60FB">
        <w:t xml:space="preserve"> that does not </w:t>
      </w:r>
      <w:r w:rsidR="004D2F8B" w:rsidRPr="004D60FB">
        <w:t>satisfy conditions of</w:t>
      </w:r>
      <w:r w:rsidR="00D80BE7" w:rsidRPr="004D60FB">
        <w:t xml:space="preserve"> independen</w:t>
      </w:r>
      <w:r w:rsidR="004D2F8B" w:rsidRPr="004D60FB">
        <w:t>ce</w:t>
      </w:r>
      <w:r w:rsidR="00D80BE7" w:rsidRPr="004D60FB">
        <w:t xml:space="preserve"> and impartial</w:t>
      </w:r>
      <w:r w:rsidR="004D2F8B" w:rsidRPr="004D60FB">
        <w:t>ity established by EU law</w:t>
      </w:r>
      <w:r w:rsidR="00924416" w:rsidRPr="004D60FB">
        <w:t>, where that decision refers a case back to the lower court for re-examination and such a consequence is essential in view of the procedural situation at issue in order to ensure the primacy of EU law.</w:t>
      </w:r>
    </w:p>
  </w:footnote>
  <w:footnote w:id="34">
    <w:p w14:paraId="1E92E230" w14:textId="29B6FE75" w:rsidR="00935AA1" w:rsidRPr="004D60FB" w:rsidRDefault="00935AA1">
      <w:pPr>
        <w:pStyle w:val="FootnoteText"/>
      </w:pPr>
      <w:r w:rsidRPr="004D60FB">
        <w:rPr>
          <w:rStyle w:val="FootnoteReference"/>
        </w:rPr>
        <w:footnoteRef/>
      </w:r>
      <w:r w:rsidRPr="004D60FB">
        <w:t xml:space="preserve"> </w:t>
      </w:r>
      <w:r w:rsidRPr="004D60FB">
        <w:tab/>
        <w:t>Judgment of 21 April 2026, Case C-769/22</w:t>
      </w:r>
      <w:r w:rsidR="000D6EA2" w:rsidRPr="004D60FB">
        <w:t>.</w:t>
      </w:r>
    </w:p>
  </w:footnote>
  <w:footnote w:id="35">
    <w:p w14:paraId="1E37F843" w14:textId="059604CB" w:rsidR="00435D0B" w:rsidRPr="004D60FB" w:rsidRDefault="00435D0B">
      <w:pPr>
        <w:pStyle w:val="FootnoteText"/>
      </w:pPr>
      <w:r w:rsidRPr="004D60FB">
        <w:rPr>
          <w:rStyle w:val="FootnoteReference"/>
        </w:rPr>
        <w:footnoteRef/>
      </w:r>
      <w:r w:rsidRPr="004D60FB">
        <w:t xml:space="preserve"> </w:t>
      </w:r>
      <w:r w:rsidRPr="004D60FB">
        <w:tab/>
        <w:t>Political Guidelines for the next European Commission 2024-2029.</w:t>
      </w:r>
    </w:p>
  </w:footnote>
  <w:footnote w:id="36">
    <w:p w14:paraId="5076BE23" w14:textId="1B8D72C9" w:rsidR="004902FD" w:rsidRPr="004D60FB" w:rsidRDefault="004902FD" w:rsidP="004902FD">
      <w:pPr>
        <w:pStyle w:val="FootnoteText"/>
      </w:pPr>
      <w:r w:rsidRPr="004D60FB">
        <w:rPr>
          <w:rStyle w:val="FootnoteReference"/>
        </w:rPr>
        <w:footnoteRef/>
      </w:r>
      <w:r w:rsidRPr="004D60FB">
        <w:t xml:space="preserve"> </w:t>
      </w:r>
      <w:r w:rsidRPr="004D60FB">
        <w:tab/>
        <w:t xml:space="preserve">Regulation (EU) 2017/1939 (‘EPPO Regulation’) was adopted in October 2017 by 20 Member States under enhanced cooperation. Malta and </w:t>
      </w:r>
      <w:r w:rsidR="0022576A" w:rsidRPr="004D60FB">
        <w:t>t</w:t>
      </w:r>
      <w:r w:rsidRPr="004D60FB">
        <w:t xml:space="preserve">he Netherlands joined in 2018 and Poland and Sweden in 2024. </w:t>
      </w:r>
    </w:p>
  </w:footnote>
  <w:footnote w:id="37">
    <w:p w14:paraId="7E396298" w14:textId="1BD4DFF3" w:rsidR="003F6859" w:rsidRPr="004D60FB" w:rsidRDefault="003F6859" w:rsidP="003F6859">
      <w:pPr>
        <w:pStyle w:val="FootnoteText"/>
      </w:pPr>
      <w:r w:rsidRPr="004D60FB">
        <w:rPr>
          <w:rStyle w:val="FootnoteReference"/>
        </w:rPr>
        <w:footnoteRef/>
      </w:r>
      <w:r w:rsidRPr="004D60FB">
        <w:t xml:space="preserve"> </w:t>
      </w:r>
      <w:r w:rsidRPr="004D60FB">
        <w:tab/>
      </w:r>
      <w:r w:rsidRPr="004D60FB">
        <w:rPr>
          <w:lang w:val="en-US"/>
        </w:rPr>
        <w:t>Under Protocols No 21 and No 22 to the Treaties, Ireland and Denmark in principle do not take part in measures adopted in respect of the area of freedom, security and justice.</w:t>
      </w:r>
      <w:r w:rsidR="007C2306" w:rsidRPr="004D60FB">
        <w:t xml:space="preserve"> This is </w:t>
      </w:r>
      <w:r w:rsidR="007C2306" w:rsidRPr="004D60FB">
        <w:rPr>
          <w:lang w:val="en-US"/>
        </w:rPr>
        <w:t>without prejudice to the possibility for Ireland to notify its intention to the contrary under Article 4 of Protocol No 21.</w:t>
      </w:r>
    </w:p>
  </w:footnote>
  <w:footnote w:id="38">
    <w:p w14:paraId="0516E8F9" w14:textId="764663E6" w:rsidR="00935C28" w:rsidRPr="004D60FB" w:rsidRDefault="00935C28" w:rsidP="00935C28">
      <w:pPr>
        <w:pStyle w:val="FootnoteText"/>
        <w:rPr>
          <w:lang w:val="en-IE"/>
        </w:rPr>
      </w:pPr>
      <w:r w:rsidRPr="004D60FB">
        <w:rPr>
          <w:rStyle w:val="FootnoteReference"/>
        </w:rPr>
        <w:footnoteRef/>
      </w:r>
      <w:r w:rsidRPr="004D60FB">
        <w:t xml:space="preserve"> </w:t>
      </w:r>
      <w:r w:rsidR="004B4EFC" w:rsidRPr="004D60FB">
        <w:tab/>
      </w:r>
      <w:r w:rsidRPr="004D60FB">
        <w:t xml:space="preserve">Depending on the progress made on the various subparts of each recommendation, and whether the recommendations were carried through from the </w:t>
      </w:r>
      <w:r w:rsidR="0064067D" w:rsidRPr="004D60FB">
        <w:t xml:space="preserve">2025 </w:t>
      </w:r>
      <w:r w:rsidRPr="004D60FB">
        <w:t>report, the Commission concluded in each case using the following categories: no (further) progress, limited</w:t>
      </w:r>
      <w:r w:rsidR="0064067D" w:rsidRPr="004D60FB">
        <w:t xml:space="preserve"> (further)</w:t>
      </w:r>
      <w:r w:rsidRPr="004D60FB">
        <w:t xml:space="preserve"> progress, some (further) progress, significant</w:t>
      </w:r>
      <w:r w:rsidR="0064067D" w:rsidRPr="004D60FB">
        <w:t xml:space="preserve"> (further)</w:t>
      </w:r>
      <w:r w:rsidRPr="004D60FB">
        <w:t xml:space="preserve"> progress, and full implementation.</w:t>
      </w:r>
    </w:p>
  </w:footnote>
  <w:footnote w:id="39">
    <w:p w14:paraId="6122B4ED" w14:textId="3E488B56" w:rsidR="005C0142" w:rsidRPr="004D60FB" w:rsidRDefault="005C0142" w:rsidP="005C0142">
      <w:pPr>
        <w:pStyle w:val="FootnoteText"/>
      </w:pPr>
      <w:r w:rsidRPr="004D60FB">
        <w:rPr>
          <w:rStyle w:val="FootnoteReference"/>
        </w:rPr>
        <w:footnoteRef/>
      </w:r>
      <w:r w:rsidRPr="004D60FB">
        <w:t xml:space="preserve"> </w:t>
      </w:r>
      <w:r w:rsidR="004B4EFC" w:rsidRPr="004D60FB">
        <w:tab/>
      </w:r>
      <w:r w:rsidRPr="004D60FB">
        <w:t>The principles on the basis of which the recommendations were prepared are the same as previous years (see COM(2022) 500, p.3-4). The recommendations are without prejudice to any action proceedings the Commission may initiate under other legal instruments.</w:t>
      </w:r>
    </w:p>
  </w:footnote>
  <w:footnote w:id="40">
    <w:p w14:paraId="2B9E402D" w14:textId="42024B9B" w:rsidR="0090091B" w:rsidRPr="004D60FB" w:rsidRDefault="0090091B" w:rsidP="0090091B">
      <w:pPr>
        <w:pStyle w:val="FootnoteText"/>
        <w:rPr>
          <w:lang w:val="en-IE"/>
        </w:rPr>
      </w:pPr>
      <w:r w:rsidRPr="004D60FB">
        <w:rPr>
          <w:rStyle w:val="FootnoteReference"/>
        </w:rPr>
        <w:footnoteRef/>
      </w:r>
      <w:r w:rsidRPr="004D60FB">
        <w:t xml:space="preserve"> </w:t>
      </w:r>
      <w:r w:rsidR="004B4EFC" w:rsidRPr="004D60FB">
        <w:tab/>
      </w:r>
      <w:r w:rsidR="00847AD8" w:rsidRPr="004D60FB">
        <w:t xml:space="preserve">For example, </w:t>
      </w:r>
      <w:r w:rsidR="008C03BB" w:rsidRPr="004D60FB">
        <w:t>t</w:t>
      </w:r>
      <w:r w:rsidRPr="004D60FB">
        <w:t xml:space="preserve">he EU Justice Scoreboard provides comparative and reliable data on the efficiency, quality and independence of justice systems in the EU Member States. </w:t>
      </w:r>
      <w:r w:rsidR="004D10C3" w:rsidRPr="004D60FB">
        <w:t>It aims</w:t>
      </w:r>
      <w:r w:rsidRPr="004D60FB">
        <w:t xml:space="preserve"> to assist the EU and Member States improve the effectiveness of their national justice systems.</w:t>
      </w:r>
    </w:p>
  </w:footnote>
  <w:footnote w:id="41">
    <w:p w14:paraId="07FD9B46" w14:textId="74C070E5" w:rsidR="00C056E8" w:rsidRPr="004D60FB" w:rsidRDefault="00C056E8" w:rsidP="00C056E8">
      <w:pPr>
        <w:pStyle w:val="FootnoteText"/>
        <w:rPr>
          <w:lang w:val="en-IE"/>
        </w:rPr>
      </w:pPr>
      <w:r w:rsidRPr="004D60FB">
        <w:rPr>
          <w:rStyle w:val="FootnoteReference"/>
        </w:rPr>
        <w:footnoteRef/>
      </w:r>
      <w:r w:rsidRPr="004D60FB">
        <w:t xml:space="preserve"> </w:t>
      </w:r>
      <w:r w:rsidRPr="004D60FB">
        <w:tab/>
        <w:t xml:space="preserve">The sources used include written input received from Member States, contributions received during the targeted stakeholder consultation, information produced by international organisations such as the Council of Europe, the OECD and the UN, and the input provided during country visits. </w:t>
      </w:r>
      <w:r w:rsidR="00847AD8" w:rsidRPr="004D60FB">
        <w:t>Due consideration is given to information from the sources used, taking into account their reliability and relevance.</w:t>
      </w:r>
      <w:r w:rsidR="00EF3B91" w:rsidRPr="004D60FB">
        <w:t xml:space="preserve"> </w:t>
      </w:r>
      <w:r w:rsidRPr="004D60FB">
        <w:t>These sources inform the Commission’s assessment, but the Commission’s conclusions remain its own responsibility.</w:t>
      </w:r>
    </w:p>
  </w:footnote>
  <w:footnote w:id="42">
    <w:p w14:paraId="6B39707A" w14:textId="5F318874" w:rsidR="00DA6C31" w:rsidRPr="004D60FB" w:rsidRDefault="00DA6C31">
      <w:pPr>
        <w:pStyle w:val="FootnoteText"/>
        <w:rPr>
          <w:lang w:val="en-IE"/>
        </w:rPr>
      </w:pPr>
      <w:r w:rsidRPr="004D60FB">
        <w:rPr>
          <w:rStyle w:val="FootnoteReference"/>
        </w:rPr>
        <w:footnoteRef/>
      </w:r>
      <w:r w:rsidRPr="004D60FB">
        <w:t xml:space="preserve"> </w:t>
      </w:r>
      <w:r w:rsidR="004B4EFC" w:rsidRPr="004D60FB">
        <w:tab/>
      </w:r>
      <w:r w:rsidR="004B2CAC" w:rsidRPr="004D60FB">
        <w:t xml:space="preserve">Member States’ input can be found </w:t>
      </w:r>
      <w:r w:rsidR="008D5D8A" w:rsidRPr="004D60FB">
        <w:t>here</w:t>
      </w:r>
      <w:r w:rsidR="004455CC" w:rsidRPr="004D60FB">
        <w:t>:</w:t>
      </w:r>
      <w:r w:rsidR="00F04A7F" w:rsidRPr="004D60FB">
        <w:t xml:space="preserve"> </w:t>
      </w:r>
      <w:r w:rsidR="008038E0" w:rsidRPr="004D60FB">
        <w:t>https://commission.europa.eu/publications/2026-rule-law-report-input-member-states-and-enlargement-countries_en</w:t>
      </w:r>
      <w:r w:rsidR="00F04A7F" w:rsidRPr="004D60FB">
        <w:t>.</w:t>
      </w:r>
      <w:r w:rsidR="004B2CAC" w:rsidRPr="004D60FB">
        <w:t xml:space="preserve"> </w:t>
      </w:r>
      <w:r w:rsidRPr="004D60FB">
        <w:t>Information on the country visits can be found in the country chapters. During these country visits, held online</w:t>
      </w:r>
      <w:r w:rsidR="00911137" w:rsidRPr="004D60FB">
        <w:t xml:space="preserve"> and in person</w:t>
      </w:r>
      <w:r w:rsidRPr="004D60FB">
        <w:t>, the Commission spoke to Member States’ national authorities, including judicial and independent authorities, law enforcement, and other stakeholders, such as journalists’ associations and civil society.</w:t>
      </w:r>
    </w:p>
  </w:footnote>
  <w:footnote w:id="43">
    <w:p w14:paraId="242F654C" w14:textId="0A4CB25F" w:rsidR="00DA6C31" w:rsidRPr="004D60FB" w:rsidRDefault="00DA6C31">
      <w:pPr>
        <w:pStyle w:val="FootnoteText"/>
        <w:rPr>
          <w:lang w:val="en-IE"/>
        </w:rPr>
      </w:pPr>
      <w:r w:rsidRPr="004D60FB">
        <w:rPr>
          <w:rStyle w:val="FootnoteReference"/>
        </w:rPr>
        <w:footnoteRef/>
      </w:r>
      <w:r w:rsidRPr="004D60FB">
        <w:t xml:space="preserve"> </w:t>
      </w:r>
      <w:r w:rsidR="004B4EFC" w:rsidRPr="004D60FB">
        <w:tab/>
      </w:r>
      <w:r w:rsidRPr="004D60FB">
        <w:t xml:space="preserve">Stakeholder input can be found </w:t>
      </w:r>
      <w:r w:rsidR="00EA791E" w:rsidRPr="004D60FB">
        <w:rPr>
          <w:lang w:val="en-IE"/>
        </w:rPr>
        <w:t>here</w:t>
      </w:r>
      <w:r w:rsidR="00E51C02" w:rsidRPr="00306EA9">
        <w:rPr>
          <w:lang w:val="en-IE"/>
        </w:rPr>
        <w:t xml:space="preserve">: </w:t>
      </w:r>
      <w:hyperlink r:id="rId3" w:tgtFrame="_blank" w:history="1">
        <w:r w:rsidR="008038E0" w:rsidRPr="00306EA9">
          <w:rPr>
            <w:rStyle w:val="Hyperlink"/>
            <w:sz w:val="20"/>
          </w:rPr>
          <w:t>https://commission.europa.eu/publications/2026-rule-law-report-targeted-stakeholder-consultation_en</w:t>
        </w:r>
      </w:hyperlink>
      <w:r w:rsidRPr="00306EA9">
        <w:t>.</w:t>
      </w:r>
    </w:p>
  </w:footnote>
  <w:footnote w:id="44">
    <w:p w14:paraId="42B46798" w14:textId="6CEDBAB1" w:rsidR="00F04E82" w:rsidRPr="00306EA9" w:rsidRDefault="00F04E82">
      <w:pPr>
        <w:pStyle w:val="FootnoteText"/>
        <w:rPr>
          <w:lang w:val="en-IE"/>
        </w:rPr>
      </w:pPr>
      <w:r w:rsidRPr="004D60FB">
        <w:rPr>
          <w:rStyle w:val="FootnoteReference"/>
        </w:rPr>
        <w:footnoteRef/>
      </w:r>
      <w:r w:rsidRPr="004D60FB">
        <w:t xml:space="preserve"> </w:t>
      </w:r>
      <w:r w:rsidR="004B4EFC" w:rsidRPr="004D60FB">
        <w:tab/>
      </w:r>
      <w:r w:rsidRPr="00306EA9">
        <w:t>The Council of Europe input</w:t>
      </w:r>
      <w:r w:rsidR="00AD3A20" w:rsidRPr="00306EA9">
        <w:t xml:space="preserve"> to the Rule of Law Report</w:t>
      </w:r>
      <w:r w:rsidRPr="00306EA9">
        <w:t xml:space="preserve"> can be found </w:t>
      </w:r>
      <w:r w:rsidR="006F3E35" w:rsidRPr="00306EA9">
        <w:rPr>
          <w:lang w:val="en-IE"/>
        </w:rPr>
        <w:t>here</w:t>
      </w:r>
      <w:r w:rsidR="00E51C02" w:rsidRPr="00306EA9">
        <w:rPr>
          <w:lang w:val="en-IE"/>
        </w:rPr>
        <w:t xml:space="preserve">: </w:t>
      </w:r>
      <w:hyperlink r:id="rId4" w:history="1">
        <w:r w:rsidR="00171417" w:rsidRPr="00306EA9">
          <w:rPr>
            <w:rStyle w:val="Hyperlink"/>
            <w:sz w:val="20"/>
          </w:rPr>
          <w:t>https://commission.europa.eu/document/b2e4463e-772f-46d3-af7a-92658e1fe48e_en</w:t>
        </w:r>
      </w:hyperlink>
      <w:r w:rsidR="00171417" w:rsidRPr="00306EA9">
        <w:t>.</w:t>
      </w:r>
    </w:p>
  </w:footnote>
  <w:footnote w:id="45">
    <w:p w14:paraId="0FA1BAEA" w14:textId="77777777" w:rsidR="00DB5702" w:rsidRPr="004D60FB" w:rsidRDefault="00DB5702" w:rsidP="00DB5702">
      <w:pPr>
        <w:pStyle w:val="FootnoteText"/>
        <w:rPr>
          <w:lang w:val="en-US"/>
        </w:rPr>
      </w:pPr>
      <w:r w:rsidRPr="004D60FB">
        <w:rPr>
          <w:rStyle w:val="FootnoteReference"/>
        </w:rPr>
        <w:footnoteRef/>
      </w:r>
      <w:r w:rsidRPr="004D60FB">
        <w:t xml:space="preserve"> </w:t>
      </w:r>
      <w:r w:rsidRPr="004D60FB">
        <w:tab/>
        <w:t>Article 19 of the Treaty on European Union, and Article 47 of the Charter of Fundamental Rights</w:t>
      </w:r>
    </w:p>
  </w:footnote>
  <w:footnote w:id="46">
    <w:p w14:paraId="794719C3" w14:textId="77777777" w:rsidR="0084398F" w:rsidRPr="004D60FB" w:rsidRDefault="0084398F" w:rsidP="0084398F">
      <w:pPr>
        <w:pStyle w:val="FootnoteText"/>
        <w:rPr>
          <w:lang w:val="en-US"/>
        </w:rPr>
      </w:pPr>
      <w:r w:rsidRPr="004D60FB">
        <w:rPr>
          <w:rStyle w:val="FootnoteReference"/>
        </w:rPr>
        <w:footnoteRef/>
      </w:r>
      <w:r w:rsidRPr="004D60FB">
        <w:t xml:space="preserve"> </w:t>
      </w:r>
      <w:r w:rsidRPr="004D60FB">
        <w:tab/>
        <w:t>Such as the European Network of Councils for the Judiciary, the Network of the Presidents of the Supreme Judicial Courts of the EU, the Association of the Councils of State and Supreme Administrative Jurisdictions of the EU, the Council of Bars and Law Societies of Europe, and Council of Europe European Commission for the efficiency of justice (CEPEJ), the Network of Public Prosecutors or equivalent institutions at the Supreme Judicial Courts of the Member States of the European Union – the NADAL Network, and the Council of the Notariats of the European Union (CNUE).</w:t>
      </w:r>
    </w:p>
  </w:footnote>
  <w:footnote w:id="47">
    <w:p w14:paraId="5F8145D2" w14:textId="77777777" w:rsidR="00ED7A7B" w:rsidRPr="004D60FB" w:rsidRDefault="00ED7A7B" w:rsidP="00ED7A7B">
      <w:pPr>
        <w:pStyle w:val="FootnoteText"/>
      </w:pPr>
      <w:r w:rsidRPr="004D60FB">
        <w:rPr>
          <w:rStyle w:val="FootnoteReference"/>
        </w:rPr>
        <w:footnoteRef/>
      </w:r>
      <w:r w:rsidRPr="004D60FB">
        <w:t xml:space="preserve"> </w:t>
      </w:r>
      <w:r w:rsidRPr="004D60FB">
        <w:tab/>
        <w:t xml:space="preserve">2026 EU Justice Scoreboard, Figure 48. </w:t>
      </w:r>
    </w:p>
  </w:footnote>
  <w:footnote w:id="48">
    <w:p w14:paraId="7D607ABA" w14:textId="77777777" w:rsidR="00ED7A7B" w:rsidRPr="004D60FB" w:rsidRDefault="00ED7A7B" w:rsidP="00ED7A7B">
      <w:pPr>
        <w:pStyle w:val="FootnoteText"/>
        <w:rPr>
          <w:lang w:val="cs-CZ"/>
        </w:rPr>
      </w:pPr>
      <w:r w:rsidRPr="004D60FB">
        <w:rPr>
          <w:rStyle w:val="FootnoteReference"/>
        </w:rPr>
        <w:footnoteRef/>
      </w:r>
      <w:r w:rsidRPr="004D60FB">
        <w:t xml:space="preserve"> </w:t>
      </w:r>
      <w:r w:rsidRPr="004D60FB">
        <w:tab/>
        <w:t>2026 EU Justice Scoreboard, Figure 50.</w:t>
      </w:r>
    </w:p>
  </w:footnote>
  <w:footnote w:id="49">
    <w:p w14:paraId="7D69989A" w14:textId="05A31171" w:rsidR="001C46F9" w:rsidRPr="004D60FB" w:rsidRDefault="001C46F9" w:rsidP="001C46F9">
      <w:pPr>
        <w:pStyle w:val="FootnoteText"/>
        <w:rPr>
          <w:lang w:val="en-IE"/>
        </w:rPr>
      </w:pPr>
      <w:r w:rsidRPr="004D60FB">
        <w:rPr>
          <w:rStyle w:val="FootnoteReference"/>
        </w:rPr>
        <w:footnoteRef/>
      </w:r>
      <w:r w:rsidR="00E123EF" w:rsidRPr="004D60FB">
        <w:t xml:space="preserve"> </w:t>
      </w:r>
      <w:r w:rsidRPr="004D60FB">
        <w:rPr>
          <w:lang w:val="en-IE"/>
        </w:rPr>
        <w:tab/>
      </w:r>
      <w:r w:rsidRPr="004D60FB">
        <w:t xml:space="preserve">The CJEU has recognised that where a Council for the Judiciary participates in an appointment process involving political bodies, it can contribute to making that process more objective. See for example judgment of 2 March 2021, </w:t>
      </w:r>
      <w:r w:rsidR="00673380" w:rsidRPr="004D60FB">
        <w:t>Case C</w:t>
      </w:r>
      <w:r w:rsidR="002A6138" w:rsidRPr="004D60FB">
        <w:t xml:space="preserve">-824/18, </w:t>
      </w:r>
      <w:r w:rsidRPr="004D60FB">
        <w:t>AB and Others (Appointment of judges to the Supreme Court – Actions).</w:t>
      </w:r>
    </w:p>
  </w:footnote>
  <w:footnote w:id="50">
    <w:p w14:paraId="57103CF0" w14:textId="59A04A0F" w:rsidR="001C46F9" w:rsidRPr="004D60FB" w:rsidRDefault="001C46F9" w:rsidP="001C46F9">
      <w:pPr>
        <w:pStyle w:val="FootnoteText"/>
        <w:rPr>
          <w:lang w:val="en-IE"/>
        </w:rPr>
      </w:pPr>
      <w:r w:rsidRPr="004D60FB">
        <w:rPr>
          <w:rStyle w:val="FootnoteReference"/>
        </w:rPr>
        <w:footnoteRef/>
      </w:r>
      <w:r w:rsidR="00E123EF" w:rsidRPr="004D60FB">
        <w:t xml:space="preserve"> </w:t>
      </w:r>
      <w:r w:rsidRPr="004D60FB">
        <w:rPr>
          <w:lang w:val="en-IE"/>
        </w:rPr>
        <w:tab/>
      </w:r>
      <w:r w:rsidRPr="004D60FB">
        <w:t>See in particular Recommendation CM/Rec(2010)12 of the Council of Europe.</w:t>
      </w:r>
    </w:p>
  </w:footnote>
  <w:footnote w:id="51">
    <w:p w14:paraId="24FEA81E" w14:textId="0ADCDC9E" w:rsidR="001C46F9" w:rsidRPr="004D60FB" w:rsidRDefault="001C46F9" w:rsidP="001C46F9">
      <w:pPr>
        <w:pStyle w:val="FootnoteText"/>
        <w:rPr>
          <w:lang w:val="en-IE"/>
        </w:rPr>
      </w:pPr>
      <w:r w:rsidRPr="004D60FB">
        <w:rPr>
          <w:rStyle w:val="FootnoteReference"/>
        </w:rPr>
        <w:footnoteRef/>
      </w:r>
      <w:r w:rsidR="00E123EF" w:rsidRPr="004D60FB">
        <w:t xml:space="preserve"> </w:t>
      </w:r>
      <w:r w:rsidRPr="004D60FB">
        <w:rPr>
          <w:lang w:val="en-IE"/>
        </w:rPr>
        <w:tab/>
      </w:r>
      <w:r w:rsidRPr="004D60FB">
        <w:t>See judgments including those of 15 July 2021, C-791/19 Commission v Poland; of 20 April 2021, C-896/19 Repubblika and Il-Prim Ministru; and of 2 March 2021, C-824/18 AB and Others (Appointment of judges to the Supreme Court).</w:t>
      </w:r>
    </w:p>
  </w:footnote>
  <w:footnote w:id="52">
    <w:p w14:paraId="4A30D1B9" w14:textId="30E1B0D5" w:rsidR="00594616" w:rsidRPr="004D60FB" w:rsidRDefault="00594616">
      <w:pPr>
        <w:pStyle w:val="FootnoteText"/>
      </w:pPr>
      <w:r w:rsidRPr="004D60FB">
        <w:rPr>
          <w:rStyle w:val="FootnoteReference"/>
        </w:rPr>
        <w:footnoteRef/>
      </w:r>
      <w:r w:rsidRPr="004D60FB">
        <w:t xml:space="preserve"> </w:t>
      </w:r>
      <w:r w:rsidRPr="004D60FB">
        <w:tab/>
      </w:r>
      <w:r w:rsidR="00F62520" w:rsidRPr="004D60FB">
        <w:t xml:space="preserve">Council of Europe, </w:t>
      </w:r>
      <w:r w:rsidR="00E26393" w:rsidRPr="004D60FB">
        <w:t xml:space="preserve">Recommendation of the Committee of Ministers to member states on judges: independence, efficiency and responsibilities, 17 November 2010, CM/Rec(2010)12, </w:t>
      </w:r>
      <w:r w:rsidR="00F62520" w:rsidRPr="004D60FB">
        <w:t>para. 18</w:t>
      </w:r>
    </w:p>
  </w:footnote>
  <w:footnote w:id="53">
    <w:p w14:paraId="6E5CC444" w14:textId="77777777" w:rsidR="00F45A46" w:rsidRPr="004D60FB" w:rsidRDefault="00F45A46" w:rsidP="00F45A46">
      <w:pPr>
        <w:pStyle w:val="FootnoteText"/>
        <w:rPr>
          <w:lang w:val="en-US"/>
        </w:rPr>
      </w:pPr>
      <w:r w:rsidRPr="004D60FB">
        <w:rPr>
          <w:rStyle w:val="FootnoteReference"/>
        </w:rPr>
        <w:footnoteRef/>
      </w:r>
      <w:r w:rsidRPr="004D60FB">
        <w:t xml:space="preserve"> </w:t>
      </w:r>
      <w:r w:rsidRPr="004D60FB">
        <w:tab/>
        <w:t xml:space="preserve">See compilation of Venice Commission opinions and reports concerning prosecutors </w:t>
      </w:r>
      <w:hyperlink r:id="rId5" w:history="1">
        <w:r w:rsidRPr="00306EA9">
          <w:rPr>
            <w:rStyle w:val="Hyperlink"/>
            <w:sz w:val="20"/>
          </w:rPr>
          <w:t>https://www.venice.coe.int/webforms/documents/?pdf=CDL-PI(2022)023-e</w:t>
        </w:r>
      </w:hyperlink>
      <w:r w:rsidRPr="00306EA9">
        <w:rPr>
          <w:sz w:val="18"/>
          <w:szCs w:val="18"/>
        </w:rPr>
        <w:t xml:space="preserve"> </w:t>
      </w:r>
    </w:p>
  </w:footnote>
  <w:footnote w:id="54">
    <w:p w14:paraId="2261CCC8" w14:textId="6C4C9D7A" w:rsidR="00B42DF8" w:rsidRPr="004D60FB" w:rsidRDefault="00B42DF8" w:rsidP="00B42DF8">
      <w:pPr>
        <w:pStyle w:val="FootnoteText"/>
        <w:rPr>
          <w:b/>
          <w:bCs/>
          <w:lang w:val="en-IE"/>
        </w:rPr>
      </w:pPr>
      <w:r w:rsidRPr="004D60FB">
        <w:rPr>
          <w:rStyle w:val="FootnoteReference"/>
        </w:rPr>
        <w:footnoteRef/>
      </w:r>
      <w:r w:rsidR="00E123EF" w:rsidRPr="004D60FB">
        <w:t xml:space="preserve"> </w:t>
      </w:r>
      <w:r w:rsidRPr="004D60FB">
        <w:rPr>
          <w:lang w:val="en-IE"/>
        </w:rPr>
        <w:tab/>
      </w:r>
      <w:r w:rsidRPr="004D60FB">
        <w:t xml:space="preserve">The </w:t>
      </w:r>
      <w:r w:rsidR="000A34D1" w:rsidRPr="004D60FB">
        <w:t>CJEU</w:t>
      </w:r>
      <w:r w:rsidRPr="004D60FB">
        <w:t xml:space="preserve"> has recalled this principle in cases referring to the disciplinary chamber of the Polish Supreme Court (Judgment of 5 June 2023, C-204/21, </w:t>
      </w:r>
      <w:r w:rsidRPr="004D60FB">
        <w:rPr>
          <w:i/>
          <w:iCs/>
        </w:rPr>
        <w:t>Commission v Poland</w:t>
      </w:r>
      <w:r w:rsidRPr="004D60FB">
        <w:t xml:space="preserve">) and the Romanian Judicial Inspection (Judgments of 11 May 2023, case 817/21 </w:t>
      </w:r>
      <w:r w:rsidRPr="004D60FB">
        <w:rPr>
          <w:i/>
          <w:iCs/>
        </w:rPr>
        <w:t>Inspecţia Judiciară</w:t>
      </w:r>
      <w:r w:rsidRPr="004D60FB">
        <w:t xml:space="preserve">, and of 18 May 2021, C-83/19 etc </w:t>
      </w:r>
      <w:r w:rsidRPr="004D60FB">
        <w:rPr>
          <w:i/>
          <w:iCs/>
        </w:rPr>
        <w:t>Asociaţia 'Forumul Judecătorilor din România'</w:t>
      </w:r>
      <w:r w:rsidRPr="004D60FB">
        <w:t xml:space="preserve"> </w:t>
      </w:r>
      <w:r w:rsidRPr="004D60FB">
        <w:rPr>
          <w:i/>
          <w:iCs/>
        </w:rPr>
        <w:t>and Others v Inspecţia Judiciară and Others</w:t>
      </w:r>
      <w:r w:rsidRPr="004D60FB">
        <w:t>).</w:t>
      </w:r>
    </w:p>
  </w:footnote>
  <w:footnote w:id="55">
    <w:p w14:paraId="1CF9EB6D" w14:textId="3EB54635" w:rsidR="00B42DF8" w:rsidRPr="004D60FB" w:rsidRDefault="00B42DF8" w:rsidP="00B42DF8">
      <w:pPr>
        <w:pStyle w:val="FootnoteText"/>
        <w:rPr>
          <w:lang w:val="en-IE"/>
        </w:rPr>
      </w:pPr>
      <w:r w:rsidRPr="004D60FB">
        <w:rPr>
          <w:rStyle w:val="FootnoteReference"/>
        </w:rPr>
        <w:footnoteRef/>
      </w:r>
      <w:r w:rsidR="00E123EF" w:rsidRPr="004D60FB">
        <w:t xml:space="preserve"> </w:t>
      </w:r>
      <w:r w:rsidRPr="004D60FB">
        <w:rPr>
          <w:lang w:val="en-IE"/>
        </w:rPr>
        <w:tab/>
      </w:r>
      <w:r w:rsidRPr="004D60FB">
        <w:t xml:space="preserve">Judgment of 25 July 2018, </w:t>
      </w:r>
      <w:r w:rsidRPr="004D60FB">
        <w:rPr>
          <w:i/>
          <w:iCs/>
        </w:rPr>
        <w:t>LM</w:t>
      </w:r>
      <w:r w:rsidRPr="004D60FB">
        <w:t>, C-216/18 PPU, para. 67.</w:t>
      </w:r>
    </w:p>
  </w:footnote>
  <w:footnote w:id="56">
    <w:p w14:paraId="1C17C32F" w14:textId="373CDF08" w:rsidR="00D415B8" w:rsidRPr="004D60FB" w:rsidRDefault="00D415B8" w:rsidP="00D415B8">
      <w:pPr>
        <w:pStyle w:val="FootnoteText"/>
        <w:rPr>
          <w:lang w:val="en-US"/>
        </w:rPr>
      </w:pPr>
      <w:r w:rsidRPr="004D60FB">
        <w:rPr>
          <w:rStyle w:val="FootnoteReference"/>
        </w:rPr>
        <w:footnoteRef/>
      </w:r>
      <w:r w:rsidRPr="004D60FB">
        <w:t xml:space="preserve"> </w:t>
      </w:r>
      <w:r w:rsidRPr="004D60FB">
        <w:rPr>
          <w:lang w:val="en-US"/>
        </w:rPr>
        <w:tab/>
      </w:r>
      <w:r w:rsidRPr="004D60FB">
        <w:t>CJEU judgment of 25 February 2025 in joined cases C-146/23 and C-374/23 where the Court clarified that under Article 19(1) TEU, detailed rules for determining the remuneration of judges must be objective, foreseeable, stable, transparent and enshrined in law</w:t>
      </w:r>
      <w:r w:rsidR="001A1704" w:rsidRPr="004D60FB">
        <w:t>.</w:t>
      </w:r>
    </w:p>
  </w:footnote>
  <w:footnote w:id="57">
    <w:p w14:paraId="54109DFE" w14:textId="3EA2589F" w:rsidR="0058593E" w:rsidRPr="004D60FB" w:rsidRDefault="0058593E" w:rsidP="0058593E">
      <w:pPr>
        <w:pStyle w:val="FootnoteText"/>
        <w:rPr>
          <w:lang w:val="en-IE"/>
        </w:rPr>
      </w:pPr>
      <w:r w:rsidRPr="004D60FB">
        <w:rPr>
          <w:rStyle w:val="FootnoteReference"/>
        </w:rPr>
        <w:footnoteRef/>
      </w:r>
      <w:r w:rsidRPr="004D60FB">
        <w:t xml:space="preserve"> </w:t>
      </w:r>
      <w:r w:rsidRPr="004D60FB">
        <w:tab/>
        <w:t>Case C-155/79, AM &amp; S Europe Ltd v Commission, paras. 18–21; Case C-550/07 P, Akzo Nobel Chemicals and Akcros Chemicals v Commission, paras 42–46 and 54; Case C-694/20, Orde van Vlaamse Balies and Others, paras. 26–30 and 34–36</w:t>
      </w:r>
      <w:r w:rsidR="00631D4D" w:rsidRPr="004D60FB">
        <w:t>.</w:t>
      </w:r>
    </w:p>
  </w:footnote>
  <w:footnote w:id="58">
    <w:p w14:paraId="1C89FDAE" w14:textId="5C61B276" w:rsidR="0058593E" w:rsidRPr="004D60FB" w:rsidRDefault="0058593E" w:rsidP="0058593E">
      <w:pPr>
        <w:pStyle w:val="FootnoteText"/>
        <w:rPr>
          <w:lang w:val="en-IE"/>
        </w:rPr>
      </w:pPr>
      <w:r w:rsidRPr="004D60FB">
        <w:rPr>
          <w:rStyle w:val="FootnoteReference"/>
        </w:rPr>
        <w:footnoteRef/>
      </w:r>
      <w:r w:rsidRPr="004D60FB">
        <w:t xml:space="preserve"> </w:t>
      </w:r>
      <w:r w:rsidRPr="004D60FB">
        <w:rPr>
          <w:lang w:val="en-IE"/>
        </w:rPr>
        <w:tab/>
      </w:r>
      <w:r w:rsidRPr="004D60FB">
        <w:t xml:space="preserve">CM(2024)191-add1final. As of </w:t>
      </w:r>
      <w:r w:rsidR="00D16F90" w:rsidRPr="004D60FB">
        <w:t>June</w:t>
      </w:r>
      <w:r w:rsidRPr="004D60FB">
        <w:t xml:space="preserve"> 2026, </w:t>
      </w:r>
      <w:r w:rsidR="00D16F90" w:rsidRPr="004D60FB">
        <w:t>24</w:t>
      </w:r>
      <w:r w:rsidRPr="004D60FB">
        <w:t xml:space="preserve"> EU Member States had signed the Convention. </w:t>
      </w:r>
    </w:p>
  </w:footnote>
  <w:footnote w:id="59">
    <w:p w14:paraId="186E1C82" w14:textId="77821969" w:rsidR="008F67B5" w:rsidRPr="004D60FB" w:rsidRDefault="008F67B5" w:rsidP="008F67B5">
      <w:pPr>
        <w:pStyle w:val="FootnoteText"/>
      </w:pPr>
      <w:r w:rsidRPr="004D60FB">
        <w:rPr>
          <w:rStyle w:val="FootnoteReference"/>
        </w:rPr>
        <w:footnoteRef/>
      </w:r>
      <w:r w:rsidRPr="004D60FB">
        <w:t xml:space="preserve"> </w:t>
      </w:r>
      <w:r w:rsidRPr="004D60FB">
        <w:tab/>
        <w:t xml:space="preserve">8 Member States are in the top 20, as in the previous year. </w:t>
      </w:r>
      <w:r w:rsidR="00705ECE" w:rsidRPr="004D60FB">
        <w:t>Three</w:t>
      </w:r>
      <w:r w:rsidRPr="004D60FB">
        <w:t xml:space="preserve"> Member States (Denmark, Finland, and Sweden) score 80/100 or above on the index, with others (Luxembourg, the Netherlands, Germany, Estonia and Ireland) scoring above 70/100. </w:t>
      </w:r>
    </w:p>
  </w:footnote>
  <w:footnote w:id="60">
    <w:p w14:paraId="5348633E" w14:textId="52423C64" w:rsidR="008F67B5" w:rsidRPr="004D60FB" w:rsidRDefault="008F67B5" w:rsidP="008F67B5">
      <w:pPr>
        <w:pStyle w:val="FootnoteText"/>
      </w:pPr>
      <w:r w:rsidRPr="004D60FB">
        <w:rPr>
          <w:rStyle w:val="FootnoteReference"/>
        </w:rPr>
        <w:footnoteRef/>
      </w:r>
      <w:r w:rsidRPr="004D60FB">
        <w:t xml:space="preserve"> </w:t>
      </w:r>
      <w:r w:rsidRPr="004D60FB">
        <w:tab/>
        <w:t>Scores below 50 can be seen in Malta (49), Slovakia (48), Croatia (47), Romania (45), Bulgaria (40), and Hungary (40).</w:t>
      </w:r>
    </w:p>
  </w:footnote>
  <w:footnote w:id="61">
    <w:p w14:paraId="1B142E52" w14:textId="77777777" w:rsidR="008F67B5" w:rsidRPr="004D60FB" w:rsidRDefault="008F67B5" w:rsidP="008F67B5">
      <w:pPr>
        <w:pStyle w:val="FootnoteText"/>
      </w:pPr>
      <w:r w:rsidRPr="004D60FB">
        <w:rPr>
          <w:rStyle w:val="FootnoteReference"/>
        </w:rPr>
        <w:footnoteRef/>
      </w:r>
      <w:r w:rsidRPr="004D60FB">
        <w:t xml:space="preserve"> </w:t>
      </w:r>
      <w:r w:rsidRPr="004D60FB">
        <w:tab/>
        <w:t>Scores below 50 can be seen in Montenegro (46), North Macedonia (40), Albania (39) and Serbia (33).</w:t>
      </w:r>
    </w:p>
  </w:footnote>
  <w:footnote w:id="62">
    <w:p w14:paraId="7CE90C5C" w14:textId="77777777" w:rsidR="00275E65" w:rsidRPr="004D60FB" w:rsidRDefault="00275E65" w:rsidP="00275E65">
      <w:pPr>
        <w:pStyle w:val="FootnoteText"/>
      </w:pPr>
      <w:r w:rsidRPr="004D60FB">
        <w:rPr>
          <w:rStyle w:val="FootnoteReference"/>
        </w:rPr>
        <w:footnoteRef/>
      </w:r>
      <w:r w:rsidRPr="004D60FB">
        <w:t xml:space="preserve"> </w:t>
      </w:r>
      <w:r w:rsidRPr="004D60FB">
        <w:tab/>
        <w:t>Parties to the United Nations Convention against Corruption (UNCAC) are required, in accordance with the fundamental principles of their legal systems, to develop and implement or maintain effective, coordinated anti-corruption policies that promote the participation of society and reflect the principles of the rule of law, proper management of public affairs and public property, integrity, transparency and accountability. All Member States and the EU are parties. Notably, Directive (EU) 2026/1021 on combatting corruption requires that Member States have in place a national anti-corruption strategy by 1 June 2029 (art. 21).</w:t>
      </w:r>
    </w:p>
  </w:footnote>
  <w:footnote w:id="63">
    <w:p w14:paraId="138C2853" w14:textId="77777777" w:rsidR="00275E65" w:rsidRPr="004D60FB" w:rsidRDefault="00275E65" w:rsidP="00275E65">
      <w:pPr>
        <w:pStyle w:val="FootnoteText"/>
      </w:pPr>
      <w:r w:rsidRPr="004D60FB">
        <w:rPr>
          <w:rStyle w:val="FootnoteReference"/>
        </w:rPr>
        <w:footnoteRef/>
      </w:r>
      <w:r w:rsidRPr="004D60FB">
        <w:t xml:space="preserve"> </w:t>
      </w:r>
      <w:r w:rsidRPr="004D60FB">
        <w:tab/>
        <w:t xml:space="preserve">Currently 23 Member States have dedicated anti-corruption strategies or programmes; almost all others have anti-corruption components in other national strategies and action plans. </w:t>
      </w:r>
    </w:p>
  </w:footnote>
  <w:footnote w:id="64">
    <w:p w14:paraId="3CDB57DE" w14:textId="1CC9BDA8" w:rsidR="00116A33" w:rsidRPr="004D60FB" w:rsidRDefault="00116A33">
      <w:pPr>
        <w:pStyle w:val="FootnoteText"/>
        <w:rPr>
          <w:lang w:val="en-IE"/>
        </w:rPr>
      </w:pPr>
      <w:r w:rsidRPr="004D60FB">
        <w:rPr>
          <w:rStyle w:val="FootnoteReference"/>
        </w:rPr>
        <w:footnoteRef/>
      </w:r>
      <w:r w:rsidRPr="004D60FB">
        <w:t xml:space="preserve"> </w:t>
      </w:r>
      <w:r w:rsidRPr="004D60FB">
        <w:tab/>
        <w:t>Such as financial intelligence units and tax, audit, competition and other administrative authorities</w:t>
      </w:r>
      <w:r w:rsidR="00A1312A" w:rsidRPr="004D60FB">
        <w:t>.</w:t>
      </w:r>
    </w:p>
  </w:footnote>
  <w:footnote w:id="65">
    <w:p w14:paraId="680357AE" w14:textId="77777777" w:rsidR="001C09D4" w:rsidRPr="004D60FB" w:rsidRDefault="001C09D4" w:rsidP="001C09D4">
      <w:pPr>
        <w:pStyle w:val="FootnoteText"/>
      </w:pPr>
      <w:r w:rsidRPr="004D60FB">
        <w:rPr>
          <w:rStyle w:val="FootnoteReference"/>
        </w:rPr>
        <w:footnoteRef/>
      </w:r>
      <w:r w:rsidRPr="004D60FB">
        <w:rPr>
          <w:rStyle w:val="FootnoteReference"/>
        </w:rPr>
        <w:t xml:space="preserve"> </w:t>
      </w:r>
      <w:r w:rsidRPr="004D60FB">
        <w:tab/>
        <w:t>See Council of Europe, Recommendation Rec (2000)10 on codes of conduct for public officials.</w:t>
      </w:r>
    </w:p>
  </w:footnote>
  <w:footnote w:id="66">
    <w:p w14:paraId="552E4FC7" w14:textId="77777777" w:rsidR="00A25E58" w:rsidRPr="004D60FB" w:rsidRDefault="00A25E58" w:rsidP="00A25E58">
      <w:pPr>
        <w:pStyle w:val="FootnoteText"/>
      </w:pPr>
      <w:r w:rsidRPr="004D60FB">
        <w:rPr>
          <w:rStyle w:val="FootnoteReference"/>
        </w:rPr>
        <w:footnoteRef/>
      </w:r>
      <w:r w:rsidRPr="004D60FB">
        <w:t xml:space="preserve"> </w:t>
      </w:r>
      <w:r w:rsidRPr="004D60FB">
        <w:tab/>
        <w:t>In December 2023, the Commission proposed a Directive on interest representation carried out on behalf of third countries to establish high transparency and accountability standards in the internal market for interest representation activities, including lobbying, when coming from third country governments and to facilitate the provision of such activities across Member States (C/2023/8626).</w:t>
      </w:r>
    </w:p>
  </w:footnote>
  <w:footnote w:id="67">
    <w:p w14:paraId="6EAF19C0" w14:textId="77777777" w:rsidR="00C44348" w:rsidRPr="004D60FB" w:rsidRDefault="00C44348" w:rsidP="00C44348">
      <w:pPr>
        <w:pStyle w:val="FootnoteText"/>
      </w:pPr>
      <w:r w:rsidRPr="004D60FB">
        <w:rPr>
          <w:rStyle w:val="FootnoteReference"/>
        </w:rPr>
        <w:footnoteRef/>
      </w:r>
      <w:r w:rsidRPr="004D60FB">
        <w:t xml:space="preserve"> </w:t>
      </w:r>
      <w:r w:rsidRPr="004D60FB">
        <w:tab/>
        <w:t>See Commission’s Report on the implementation and application of Directive (EU) 2019/1937 of 3rd July 2024.</w:t>
      </w:r>
    </w:p>
  </w:footnote>
  <w:footnote w:id="68">
    <w:p w14:paraId="62E6AF4C" w14:textId="77777777" w:rsidR="00F05639" w:rsidRPr="004D60FB" w:rsidRDefault="00F05639" w:rsidP="00F05639">
      <w:pPr>
        <w:pStyle w:val="FootnoteText"/>
        <w:rPr>
          <w:lang w:val="en-IE"/>
        </w:rPr>
      </w:pPr>
      <w:r w:rsidRPr="004D60FB">
        <w:rPr>
          <w:rStyle w:val="FootnoteReference"/>
        </w:rPr>
        <w:footnoteRef/>
      </w:r>
      <w:r w:rsidRPr="004D60FB">
        <w:t xml:space="preserve"> </w:t>
      </w:r>
      <w:r w:rsidRPr="004D60FB">
        <w:rPr>
          <w:lang w:val="en-IE"/>
        </w:rPr>
        <w:tab/>
      </w:r>
      <w:r w:rsidRPr="004D60FB">
        <w:t>See also the Recommendation (EU) of 12 December 2023 on inclusive and resilient electoral processes in the Union and enhancing the European nature and efficient conduct of the elections to the European Parliament.</w:t>
      </w:r>
    </w:p>
  </w:footnote>
  <w:footnote w:id="69">
    <w:p w14:paraId="13871A1B" w14:textId="1CF20666" w:rsidR="000F2A79" w:rsidRPr="004D60FB" w:rsidRDefault="000F2A79">
      <w:pPr>
        <w:pStyle w:val="FootnoteText"/>
        <w:rPr>
          <w:lang w:val="en-IE"/>
        </w:rPr>
      </w:pPr>
      <w:r w:rsidRPr="004D60FB">
        <w:rPr>
          <w:rStyle w:val="FootnoteReference"/>
        </w:rPr>
        <w:footnoteRef/>
      </w:r>
      <w:r w:rsidRPr="004D60FB">
        <w:t xml:space="preserve"> </w:t>
      </w:r>
      <w:r w:rsidRPr="004D60FB">
        <w:tab/>
        <w:t>While Reporters Without Borders’ World Press Freedom Index registered its lowest average global score since its inception, the European Union-Balkans region retains first place globally, and eight EU Member States occupy eight of the top ten positions in the Index. See also Europe Press Freedom Report - On the Tipping Point: Press Freedom 2025.</w:t>
      </w:r>
    </w:p>
  </w:footnote>
  <w:footnote w:id="70">
    <w:p w14:paraId="28FF6761" w14:textId="71799050" w:rsidR="00B428C0" w:rsidRPr="004D60FB" w:rsidRDefault="00B428C0" w:rsidP="00B428C0">
      <w:pPr>
        <w:pStyle w:val="FootnoteText"/>
      </w:pPr>
      <w:r w:rsidRPr="004D60FB">
        <w:rPr>
          <w:rStyle w:val="FootnoteReference"/>
        </w:rPr>
        <w:footnoteRef/>
      </w:r>
      <w:r w:rsidRPr="004D60FB">
        <w:t xml:space="preserve"> </w:t>
      </w:r>
      <w:r w:rsidR="009B6BEF" w:rsidRPr="004D60FB">
        <w:tab/>
      </w:r>
      <w:r w:rsidRPr="004D60FB">
        <w:t>Implemented by the Centre for Media Pluralism and Media Freedom.</w:t>
      </w:r>
    </w:p>
  </w:footnote>
  <w:footnote w:id="71">
    <w:p w14:paraId="086DDB99" w14:textId="712ABACC" w:rsidR="00366840" w:rsidRPr="004D60FB" w:rsidRDefault="00366840">
      <w:pPr>
        <w:pStyle w:val="FootnoteText"/>
      </w:pPr>
      <w:r w:rsidRPr="004D60FB">
        <w:rPr>
          <w:rStyle w:val="FootnoteReference"/>
        </w:rPr>
        <w:footnoteRef/>
      </w:r>
      <w:r w:rsidRPr="004D60FB">
        <w:t xml:space="preserve"> </w:t>
      </w:r>
      <w:r w:rsidR="00B93A6C" w:rsidRPr="004D60FB">
        <w:tab/>
        <w:t xml:space="preserve">The EMFA and the Political Advertising Regulation 2024/900 operate in parallel. The Political Advertising Regulation increases the transparency of political advertising and </w:t>
      </w:r>
      <w:r w:rsidR="002D3733" w:rsidRPr="004D60FB">
        <w:t>strengthens</w:t>
      </w:r>
      <w:r w:rsidR="00B93A6C" w:rsidRPr="004D60FB">
        <w:t xml:space="preserve"> data protection rights </w:t>
      </w:r>
      <w:r w:rsidR="002D3733" w:rsidRPr="004D60FB">
        <w:t>when</w:t>
      </w:r>
      <w:r w:rsidR="00B93A6C" w:rsidRPr="004D60FB">
        <w:t xml:space="preserve"> political advertising</w:t>
      </w:r>
      <w:r w:rsidR="002D3733" w:rsidRPr="004D60FB">
        <w:t xml:space="preserve"> within its scope is targeted or delivered</w:t>
      </w:r>
      <w:r w:rsidR="00B93A6C" w:rsidRPr="004D60FB">
        <w:t xml:space="preserve">, </w:t>
      </w:r>
      <w:r w:rsidR="002D3733" w:rsidRPr="004D60FB">
        <w:t>including</w:t>
      </w:r>
      <w:r w:rsidR="00B93A6C" w:rsidRPr="004D60FB">
        <w:t xml:space="preserve"> by state authorities.</w:t>
      </w:r>
    </w:p>
  </w:footnote>
  <w:footnote w:id="72">
    <w:p w14:paraId="14F977E7" w14:textId="21E1A3C2" w:rsidR="00C74AD9" w:rsidRPr="004D60FB" w:rsidRDefault="00C74AD9">
      <w:pPr>
        <w:pStyle w:val="FootnoteText"/>
      </w:pPr>
      <w:r w:rsidRPr="004D60FB">
        <w:rPr>
          <w:rStyle w:val="FootnoteReference"/>
        </w:rPr>
        <w:footnoteRef/>
      </w:r>
      <w:r w:rsidRPr="004D60FB">
        <w:t xml:space="preserve"> </w:t>
      </w:r>
      <w:r w:rsidRPr="004D60FB">
        <w:tab/>
        <w:t xml:space="preserve">Protocol </w:t>
      </w:r>
      <w:r w:rsidR="00AC7609" w:rsidRPr="004D60FB">
        <w:t xml:space="preserve">No </w:t>
      </w:r>
      <w:r w:rsidRPr="004D60FB">
        <w:t>29 of the Treaties on the system of public broadcasting in the Member States.</w:t>
      </w:r>
    </w:p>
  </w:footnote>
  <w:footnote w:id="73">
    <w:p w14:paraId="7898603A" w14:textId="3EEA2FB2" w:rsidR="003B1B91" w:rsidRPr="004D60FB" w:rsidRDefault="003B1B91">
      <w:pPr>
        <w:pStyle w:val="FootnoteText"/>
      </w:pPr>
      <w:r w:rsidRPr="004D60FB">
        <w:rPr>
          <w:rStyle w:val="FootnoteReference"/>
        </w:rPr>
        <w:footnoteRef/>
      </w:r>
      <w:r w:rsidRPr="004D60FB">
        <w:t xml:space="preserve"> </w:t>
      </w:r>
      <w:r w:rsidRPr="004D60FB">
        <w:tab/>
        <w:t>In line with the Commission Recommendation of 16 September 2021 on the safety of journalists and other media professionals.</w:t>
      </w:r>
    </w:p>
  </w:footnote>
  <w:footnote w:id="74">
    <w:p w14:paraId="6701C1BB" w14:textId="28C81172" w:rsidR="007F30E9" w:rsidRPr="004D60FB" w:rsidRDefault="007F30E9">
      <w:pPr>
        <w:pStyle w:val="FootnoteText"/>
      </w:pPr>
      <w:r w:rsidRPr="004D60FB">
        <w:rPr>
          <w:rStyle w:val="FootnoteReference"/>
        </w:rPr>
        <w:footnoteRef/>
      </w:r>
      <w:r w:rsidRPr="004D60FB">
        <w:t xml:space="preserve"> </w:t>
      </w:r>
      <w:r w:rsidRPr="004D60FB">
        <w:tab/>
      </w:r>
      <w:r w:rsidR="002506F6" w:rsidRPr="004D60FB">
        <w:t>On 21 November 2025, the Commission opened an infringement procedure by sending a letter of formal notice to Slovakia for breaching fundamental principles of EU law, particularly the principles of primacy, autonomy, effectiveness and uniform application of EU law.</w:t>
      </w:r>
    </w:p>
  </w:footnote>
  <w:footnote w:id="75">
    <w:p w14:paraId="0E09242B" w14:textId="2E2C1910" w:rsidR="00C210B1" w:rsidRPr="004D60FB" w:rsidRDefault="00C210B1">
      <w:pPr>
        <w:pStyle w:val="FootnoteText"/>
      </w:pPr>
      <w:r w:rsidRPr="004D60FB">
        <w:rPr>
          <w:rStyle w:val="FootnoteReference"/>
        </w:rPr>
        <w:footnoteRef/>
      </w:r>
      <w:r w:rsidRPr="004D60FB">
        <w:t xml:space="preserve"> </w:t>
      </w:r>
      <w:r w:rsidR="00E90081" w:rsidRPr="004D60FB">
        <w:tab/>
      </w:r>
      <w:r w:rsidRPr="004D60FB">
        <w:t xml:space="preserve">The updated </w:t>
      </w:r>
      <w:r w:rsidR="007A73AB" w:rsidRPr="004D60FB">
        <w:t>Rule of Law Checklist of the Venice Commission</w:t>
      </w:r>
      <w:r w:rsidR="0082108C" w:rsidRPr="004D60FB">
        <w:t xml:space="preserve"> </w:t>
      </w:r>
      <w:r w:rsidR="00645B31" w:rsidRPr="004D60FB">
        <w:t xml:space="preserve">defines standards </w:t>
      </w:r>
      <w:r w:rsidR="00AF2463" w:rsidRPr="004D60FB">
        <w:t>related to law-making procedures</w:t>
      </w:r>
      <w:r w:rsidR="00104345" w:rsidRPr="004D60FB">
        <w:t xml:space="preserve">, emphasising </w:t>
      </w:r>
      <w:r w:rsidR="000C51CB" w:rsidRPr="004D60FB">
        <w:t xml:space="preserve">for example </w:t>
      </w:r>
      <w:r w:rsidR="00104345" w:rsidRPr="004D60FB">
        <w:t xml:space="preserve">that expedited </w:t>
      </w:r>
      <w:r w:rsidR="00103C5C" w:rsidRPr="004D60FB">
        <w:t xml:space="preserve">legislative </w:t>
      </w:r>
      <w:r w:rsidR="00104345" w:rsidRPr="004D60FB">
        <w:t xml:space="preserve">procedures </w:t>
      </w:r>
      <w:r w:rsidR="000C51CB" w:rsidRPr="004D60FB">
        <w:t xml:space="preserve">should be confined to exceptional </w:t>
      </w:r>
      <w:r w:rsidR="00C25889" w:rsidRPr="004D60FB">
        <w:t xml:space="preserve">situations or </w:t>
      </w:r>
      <w:r w:rsidR="000C51CB" w:rsidRPr="004D60FB">
        <w:t>circumstances.</w:t>
      </w:r>
      <w:r w:rsidR="003A6553" w:rsidRPr="004D60FB">
        <w:t xml:space="preserve"> </w:t>
      </w:r>
    </w:p>
  </w:footnote>
  <w:footnote w:id="76">
    <w:p w14:paraId="7BF9B775" w14:textId="77777777" w:rsidR="001476DD" w:rsidRPr="004D60FB" w:rsidRDefault="001476DD" w:rsidP="001476DD">
      <w:pPr>
        <w:pStyle w:val="FootnoteText"/>
        <w:rPr>
          <w:lang w:val="en-US"/>
        </w:rPr>
      </w:pPr>
      <w:r w:rsidRPr="004D60FB">
        <w:rPr>
          <w:rStyle w:val="FootnoteReference"/>
        </w:rPr>
        <w:footnoteRef/>
      </w:r>
      <w:r w:rsidRPr="004D60FB">
        <w:t xml:space="preserve"> </w:t>
      </w:r>
      <w:r w:rsidRPr="004D60FB">
        <w:tab/>
        <w:t xml:space="preserve">The UN </w:t>
      </w:r>
      <w:r w:rsidRPr="004D60FB">
        <w:rPr>
          <w:lang w:val="en-US"/>
        </w:rPr>
        <w:t>Paris</w:t>
      </w:r>
      <w:r w:rsidRPr="004D60FB">
        <w:t xml:space="preserve"> Principles, endorsed by the UN General Assembly in 1993 (Resolution A/RES/48/134), set out the main criteria that NHRIs are required to meet. NHRIs are periodically accredited before the Subcommittee on Accreditation of the Global Alliance of National Human Rights Institutions.</w:t>
      </w:r>
    </w:p>
  </w:footnote>
  <w:footnote w:id="77">
    <w:p w14:paraId="360005BB" w14:textId="77777777" w:rsidR="001476DD" w:rsidRPr="004D60FB" w:rsidRDefault="001476DD" w:rsidP="001476DD">
      <w:pPr>
        <w:pStyle w:val="FootnoteText"/>
        <w:rPr>
          <w:lang w:val="en-US"/>
        </w:rPr>
      </w:pPr>
      <w:r w:rsidRPr="004D60FB">
        <w:rPr>
          <w:rStyle w:val="FootnoteReference"/>
        </w:rPr>
        <w:footnoteRef/>
      </w:r>
      <w:r w:rsidRPr="004D60FB">
        <w:t xml:space="preserve"> </w:t>
      </w:r>
      <w:r w:rsidRPr="004D60FB">
        <w:tab/>
        <w:t xml:space="preserve">See the Venice Commission Principles for Ombudspersons. </w:t>
      </w:r>
    </w:p>
  </w:footnote>
  <w:footnote w:id="78">
    <w:p w14:paraId="39E8A516" w14:textId="5A1D4649" w:rsidR="001476DD" w:rsidRPr="004D60FB" w:rsidRDefault="001476DD" w:rsidP="001476DD">
      <w:pPr>
        <w:pStyle w:val="FootnoteText"/>
        <w:rPr>
          <w:lang w:val="en-US"/>
        </w:rPr>
      </w:pPr>
      <w:r w:rsidRPr="004D60FB">
        <w:rPr>
          <w:rStyle w:val="FootnoteReference"/>
        </w:rPr>
        <w:footnoteRef/>
      </w:r>
      <w:r w:rsidRPr="004D60FB">
        <w:t xml:space="preserve"> </w:t>
      </w:r>
      <w:r w:rsidRPr="004D60FB">
        <w:tab/>
        <w:t>Directive 2024/1500 of the European Parliament and of the Council and Council Directive 2024/1499.</w:t>
      </w:r>
      <w:r w:rsidRPr="004D60FB" w:rsidDel="00E123EF">
        <w:t xml:space="preserve"> </w:t>
      </w:r>
    </w:p>
  </w:footnote>
  <w:footnote w:id="79">
    <w:p w14:paraId="2D1201C7" w14:textId="77777777" w:rsidR="001476DD" w:rsidRPr="004D60FB" w:rsidRDefault="001476DD" w:rsidP="001476DD">
      <w:pPr>
        <w:pStyle w:val="FootnoteText"/>
        <w:rPr>
          <w:lang w:val="en-US"/>
        </w:rPr>
      </w:pPr>
      <w:r w:rsidRPr="004D60FB">
        <w:rPr>
          <w:rStyle w:val="FootnoteReference"/>
        </w:rPr>
        <w:footnoteRef/>
      </w:r>
      <w:r w:rsidRPr="004D60FB">
        <w:t xml:space="preserve"> </w:t>
      </w:r>
      <w:r w:rsidRPr="004D60FB">
        <w:tab/>
      </w:r>
      <w:r w:rsidRPr="004D60FB">
        <w:rPr>
          <w:lang w:val="en-US"/>
        </w:rPr>
        <w:t xml:space="preserve">In 2025, </w:t>
      </w:r>
      <w:r w:rsidRPr="004D60FB">
        <w:t>the</w:t>
      </w:r>
      <w:r w:rsidRPr="004D60FB">
        <w:rPr>
          <w:lang w:val="en-US"/>
        </w:rPr>
        <w:t xml:space="preserve"> figure was 45.7%. European Implementation Network (2026), written input. </w:t>
      </w:r>
    </w:p>
  </w:footnote>
  <w:footnote w:id="80">
    <w:p w14:paraId="3A847FD6" w14:textId="77AB3BEE" w:rsidR="001476DD" w:rsidRPr="004D60FB" w:rsidRDefault="001476DD" w:rsidP="001476DD">
      <w:pPr>
        <w:pStyle w:val="FootnoteText"/>
      </w:pPr>
      <w:r w:rsidRPr="004D60FB">
        <w:rPr>
          <w:rStyle w:val="FootnoteReference"/>
        </w:rPr>
        <w:footnoteRef/>
      </w:r>
      <w:r w:rsidRPr="004D60FB">
        <w:t xml:space="preserve"> </w:t>
      </w:r>
      <w:r w:rsidRPr="004D60FB">
        <w:rPr>
          <w:lang w:val="en-US"/>
        </w:rPr>
        <w:tab/>
        <w:t>Joint Civil Society Contribution on Civic Space to the 2026 Annual Rule of Law Report, p. 2. In 2025, the Civicus monitor downgraded three EU Member States from ‘narrowed’ to ‘obstructed’ and one of the enlargement countries covered in the Report from ‘obstructed’ to ‘repressed’.</w:t>
      </w:r>
      <w:r w:rsidR="00E123EF" w:rsidRPr="004D60FB">
        <w:rPr>
          <w:lang w:val="en-US"/>
        </w:rPr>
        <w:t xml:space="preserve"> </w:t>
      </w:r>
      <w:r w:rsidR="00F9436C" w:rsidRPr="004D60FB">
        <w:rPr>
          <w:lang w:val="en-US"/>
        </w:rPr>
        <w:t>Civicus</w:t>
      </w:r>
      <w:r w:rsidR="007D4A29" w:rsidRPr="004D60FB">
        <w:rPr>
          <w:lang w:val="en-US"/>
        </w:rPr>
        <w:t xml:space="preserve"> scores the state of civic freedoms on a scale of 0 to 100 and </w:t>
      </w:r>
      <w:r w:rsidR="00FF5E25" w:rsidRPr="004D60FB">
        <w:rPr>
          <w:lang w:val="en-US"/>
        </w:rPr>
        <w:t>rates</w:t>
      </w:r>
      <w:r w:rsidR="00735BA6" w:rsidRPr="004D60FB">
        <w:rPr>
          <w:lang w:val="en-US"/>
        </w:rPr>
        <w:t xml:space="preserve"> countries </w:t>
      </w:r>
      <w:r w:rsidR="00D32443" w:rsidRPr="004D60FB">
        <w:rPr>
          <w:lang w:val="en-US"/>
        </w:rPr>
        <w:t xml:space="preserve">based on their score </w:t>
      </w:r>
      <w:r w:rsidR="00FF5E25" w:rsidRPr="004D60FB">
        <w:rPr>
          <w:lang w:val="en-US"/>
        </w:rPr>
        <w:t>according to</w:t>
      </w:r>
      <w:r w:rsidR="00F9436C" w:rsidRPr="004D60FB">
        <w:rPr>
          <w:lang w:val="en-US"/>
        </w:rPr>
        <w:t xml:space="preserve"> a five-category scale defined as: open</w:t>
      </w:r>
      <w:r w:rsidR="00AE3DC8" w:rsidRPr="004D60FB">
        <w:rPr>
          <w:lang w:val="en-US"/>
        </w:rPr>
        <w:t xml:space="preserve"> (81-100)</w:t>
      </w:r>
      <w:r w:rsidR="00F9436C" w:rsidRPr="004D60FB">
        <w:rPr>
          <w:lang w:val="en-US"/>
        </w:rPr>
        <w:t>, narrowed</w:t>
      </w:r>
      <w:r w:rsidR="00AE3DC8" w:rsidRPr="004D60FB">
        <w:rPr>
          <w:lang w:val="en-US"/>
        </w:rPr>
        <w:t xml:space="preserve"> (61-80)</w:t>
      </w:r>
      <w:r w:rsidR="00F9436C" w:rsidRPr="004D60FB">
        <w:rPr>
          <w:lang w:val="en-US"/>
        </w:rPr>
        <w:t>, obstructed</w:t>
      </w:r>
      <w:r w:rsidR="00AE3DC8" w:rsidRPr="004D60FB">
        <w:rPr>
          <w:lang w:val="en-US"/>
        </w:rPr>
        <w:t xml:space="preserve"> (40-60)</w:t>
      </w:r>
      <w:r w:rsidR="00F9436C" w:rsidRPr="004D60FB">
        <w:rPr>
          <w:lang w:val="en-US"/>
        </w:rPr>
        <w:t xml:space="preserve">, repressed </w:t>
      </w:r>
      <w:r w:rsidR="00AE3DC8" w:rsidRPr="004D60FB">
        <w:rPr>
          <w:lang w:val="en-US"/>
        </w:rPr>
        <w:t>(21-39)</w:t>
      </w:r>
      <w:r w:rsidR="00F9436C" w:rsidRPr="004D60FB">
        <w:rPr>
          <w:lang w:val="en-US"/>
        </w:rPr>
        <w:t xml:space="preserve"> and closed</w:t>
      </w:r>
      <w:r w:rsidR="00AE3DC8" w:rsidRPr="004D60FB">
        <w:rPr>
          <w:lang w:val="en-US"/>
        </w:rPr>
        <w:t xml:space="preserve"> (0-20)</w:t>
      </w:r>
      <w:r w:rsidR="00F9436C" w:rsidRPr="004D60FB">
        <w:rPr>
          <w:lang w:val="en-US"/>
        </w:rPr>
        <w:t>.</w:t>
      </w:r>
    </w:p>
  </w:footnote>
  <w:footnote w:id="81">
    <w:p w14:paraId="29DC3EE8" w14:textId="04D56A25" w:rsidR="001476DD" w:rsidRPr="004D60FB" w:rsidRDefault="001476DD" w:rsidP="001476DD">
      <w:pPr>
        <w:pStyle w:val="FootnoteText"/>
        <w:rPr>
          <w:lang w:val="en-US"/>
        </w:rPr>
      </w:pPr>
      <w:r w:rsidRPr="004D60FB">
        <w:rPr>
          <w:rStyle w:val="FootnoteReference"/>
        </w:rPr>
        <w:footnoteRef/>
      </w:r>
      <w:r w:rsidRPr="004D60FB">
        <w:t xml:space="preserve"> </w:t>
      </w:r>
      <w:r w:rsidRPr="004D60FB">
        <w:tab/>
      </w:r>
      <w:r w:rsidR="001B289D" w:rsidRPr="004D60FB">
        <w:t>Venice Commission’s 2024 Report on a rule of law and human rights compliant regulation of spyware</w:t>
      </w:r>
      <w:r w:rsidR="00800B2C" w:rsidRPr="004D60FB">
        <w:t>.</w:t>
      </w:r>
      <w:r w:rsidRPr="004D60FB">
        <w:t xml:space="preserve"> </w:t>
      </w:r>
    </w:p>
  </w:footnote>
  <w:footnote w:id="82">
    <w:p w14:paraId="47956669" w14:textId="77777777" w:rsidR="00126F75" w:rsidRPr="001A48E5" w:rsidRDefault="00126F75" w:rsidP="00126F75">
      <w:pPr>
        <w:pStyle w:val="FootnoteText"/>
        <w:rPr>
          <w:lang w:val="fr-FR"/>
        </w:rPr>
      </w:pPr>
      <w:r w:rsidRPr="004D60FB">
        <w:rPr>
          <w:rStyle w:val="FootnoteReference"/>
        </w:rPr>
        <w:footnoteRef/>
      </w:r>
      <w:r w:rsidRPr="004D60FB">
        <w:rPr>
          <w:lang w:val="fr-FR"/>
        </w:rPr>
        <w:t xml:space="preserve"> </w:t>
      </w:r>
      <w:r w:rsidRPr="004D60FB">
        <w:rPr>
          <w:lang w:val="fr-FR"/>
        </w:rPr>
        <w:tab/>
        <w:t>Figure 65, 2026 EU Justice Scoreboard.</w:t>
      </w:r>
      <w:r w:rsidRPr="001A48E5">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CAD94" w14:textId="77777777" w:rsidR="00CA0078" w:rsidRPr="00CA0078" w:rsidRDefault="00CA0078" w:rsidP="00CA007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1248A" w14:textId="77777777" w:rsidR="00CA0078" w:rsidRPr="00CA0078" w:rsidRDefault="00CA0078" w:rsidP="00CA007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674AA" w14:textId="77777777" w:rsidR="00CA0078" w:rsidRPr="00CA0078" w:rsidRDefault="00CA0078" w:rsidP="00CA007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A0CCC" w14:textId="77777777" w:rsidR="00754AAD" w:rsidRDefault="00754AA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C7015" w14:textId="77777777" w:rsidR="00584EF4" w:rsidRDefault="00584EF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27695" w14:textId="77777777" w:rsidR="00754AAD" w:rsidRDefault="00754A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53E50"/>
    <w:multiLevelType w:val="hybridMultilevel"/>
    <w:tmpl w:val="8584A816"/>
    <w:lvl w:ilvl="0" w:tplc="B25040A6">
      <w:start w:val="1"/>
      <w:numFmt w:val="bullet"/>
      <w:lvlText w:val=""/>
      <w:lvlJc w:val="left"/>
      <w:pPr>
        <w:ind w:left="360" w:hanging="360"/>
      </w:pPr>
      <w:rPr>
        <w:rFonts w:ascii="Symbol" w:hAnsi="Symbol" w:hint="default"/>
      </w:rPr>
    </w:lvl>
    <w:lvl w:ilvl="1" w:tplc="AF5288E6">
      <w:start w:val="1"/>
      <w:numFmt w:val="bullet"/>
      <w:lvlText w:val="o"/>
      <w:lvlJc w:val="left"/>
      <w:pPr>
        <w:ind w:left="1080" w:hanging="360"/>
      </w:pPr>
      <w:rPr>
        <w:rFonts w:ascii="Courier New" w:hAnsi="Courier New" w:hint="default"/>
      </w:rPr>
    </w:lvl>
    <w:lvl w:ilvl="2" w:tplc="5188330C" w:tentative="1">
      <w:start w:val="1"/>
      <w:numFmt w:val="bullet"/>
      <w:lvlText w:val=""/>
      <w:lvlJc w:val="left"/>
      <w:pPr>
        <w:ind w:left="1800" w:hanging="360"/>
      </w:pPr>
      <w:rPr>
        <w:rFonts w:ascii="Wingdings" w:hAnsi="Wingdings" w:hint="default"/>
      </w:rPr>
    </w:lvl>
    <w:lvl w:ilvl="3" w:tplc="BC4E7C76" w:tentative="1">
      <w:start w:val="1"/>
      <w:numFmt w:val="bullet"/>
      <w:lvlText w:val=""/>
      <w:lvlJc w:val="left"/>
      <w:pPr>
        <w:ind w:left="2520" w:hanging="360"/>
      </w:pPr>
      <w:rPr>
        <w:rFonts w:ascii="Symbol" w:hAnsi="Symbol" w:hint="default"/>
      </w:rPr>
    </w:lvl>
    <w:lvl w:ilvl="4" w:tplc="4124852C" w:tentative="1">
      <w:start w:val="1"/>
      <w:numFmt w:val="bullet"/>
      <w:lvlText w:val="o"/>
      <w:lvlJc w:val="left"/>
      <w:pPr>
        <w:ind w:left="3240" w:hanging="360"/>
      </w:pPr>
      <w:rPr>
        <w:rFonts w:ascii="Courier New" w:hAnsi="Courier New" w:hint="default"/>
      </w:rPr>
    </w:lvl>
    <w:lvl w:ilvl="5" w:tplc="860632DE" w:tentative="1">
      <w:start w:val="1"/>
      <w:numFmt w:val="bullet"/>
      <w:lvlText w:val=""/>
      <w:lvlJc w:val="left"/>
      <w:pPr>
        <w:ind w:left="3960" w:hanging="360"/>
      </w:pPr>
      <w:rPr>
        <w:rFonts w:ascii="Wingdings" w:hAnsi="Wingdings" w:hint="default"/>
      </w:rPr>
    </w:lvl>
    <w:lvl w:ilvl="6" w:tplc="EB62C154" w:tentative="1">
      <w:start w:val="1"/>
      <w:numFmt w:val="bullet"/>
      <w:lvlText w:val=""/>
      <w:lvlJc w:val="left"/>
      <w:pPr>
        <w:ind w:left="4680" w:hanging="360"/>
      </w:pPr>
      <w:rPr>
        <w:rFonts w:ascii="Symbol" w:hAnsi="Symbol" w:hint="default"/>
      </w:rPr>
    </w:lvl>
    <w:lvl w:ilvl="7" w:tplc="467EBB4E" w:tentative="1">
      <w:start w:val="1"/>
      <w:numFmt w:val="bullet"/>
      <w:lvlText w:val="o"/>
      <w:lvlJc w:val="left"/>
      <w:pPr>
        <w:ind w:left="5400" w:hanging="360"/>
      </w:pPr>
      <w:rPr>
        <w:rFonts w:ascii="Courier New" w:hAnsi="Courier New" w:hint="default"/>
      </w:rPr>
    </w:lvl>
    <w:lvl w:ilvl="8" w:tplc="4AB2260C" w:tentative="1">
      <w:start w:val="1"/>
      <w:numFmt w:val="bullet"/>
      <w:lvlText w:val=""/>
      <w:lvlJc w:val="left"/>
      <w:pPr>
        <w:ind w:left="6120" w:hanging="360"/>
      </w:pPr>
      <w:rPr>
        <w:rFonts w:ascii="Wingdings" w:hAnsi="Wingdings" w:hint="default"/>
      </w:rPr>
    </w:lvl>
  </w:abstractNum>
  <w:abstractNum w:abstractNumId="1" w15:restartNumberingAfterBreak="0">
    <w:nsid w:val="04751E35"/>
    <w:multiLevelType w:val="hybridMultilevel"/>
    <w:tmpl w:val="A21EC31C"/>
    <w:lvl w:ilvl="0" w:tplc="3DF447D2">
      <w:start w:val="16"/>
      <w:numFmt w:val="bullet"/>
      <w:lvlText w:val="-"/>
      <w:lvlJc w:val="left"/>
      <w:pPr>
        <w:ind w:left="720" w:hanging="360"/>
      </w:pPr>
      <w:rPr>
        <w:rFonts w:ascii="Times New Roman" w:hAnsi="Times New Roman" w:hint="default"/>
      </w:rPr>
    </w:lvl>
    <w:lvl w:ilvl="1" w:tplc="CE7AC3DA" w:tentative="1">
      <w:start w:val="1"/>
      <w:numFmt w:val="bullet"/>
      <w:lvlText w:val="o"/>
      <w:lvlJc w:val="left"/>
      <w:pPr>
        <w:ind w:left="1440" w:hanging="360"/>
      </w:pPr>
      <w:rPr>
        <w:rFonts w:ascii="Courier New" w:hAnsi="Courier New" w:hint="default"/>
      </w:rPr>
    </w:lvl>
    <w:lvl w:ilvl="2" w:tplc="082CCE9E" w:tentative="1">
      <w:start w:val="1"/>
      <w:numFmt w:val="bullet"/>
      <w:lvlText w:val=""/>
      <w:lvlJc w:val="left"/>
      <w:pPr>
        <w:ind w:left="2160" w:hanging="360"/>
      </w:pPr>
      <w:rPr>
        <w:rFonts w:ascii="Wingdings" w:hAnsi="Wingdings" w:hint="default"/>
      </w:rPr>
    </w:lvl>
    <w:lvl w:ilvl="3" w:tplc="050E3FDC" w:tentative="1">
      <w:start w:val="1"/>
      <w:numFmt w:val="bullet"/>
      <w:lvlText w:val=""/>
      <w:lvlJc w:val="left"/>
      <w:pPr>
        <w:ind w:left="2880" w:hanging="360"/>
      </w:pPr>
      <w:rPr>
        <w:rFonts w:ascii="Symbol" w:hAnsi="Symbol" w:hint="default"/>
      </w:rPr>
    </w:lvl>
    <w:lvl w:ilvl="4" w:tplc="618C93A8" w:tentative="1">
      <w:start w:val="1"/>
      <w:numFmt w:val="bullet"/>
      <w:lvlText w:val="o"/>
      <w:lvlJc w:val="left"/>
      <w:pPr>
        <w:ind w:left="3600" w:hanging="360"/>
      </w:pPr>
      <w:rPr>
        <w:rFonts w:ascii="Courier New" w:hAnsi="Courier New" w:hint="default"/>
      </w:rPr>
    </w:lvl>
    <w:lvl w:ilvl="5" w:tplc="1876AA44" w:tentative="1">
      <w:start w:val="1"/>
      <w:numFmt w:val="bullet"/>
      <w:lvlText w:val=""/>
      <w:lvlJc w:val="left"/>
      <w:pPr>
        <w:ind w:left="4320" w:hanging="360"/>
      </w:pPr>
      <w:rPr>
        <w:rFonts w:ascii="Wingdings" w:hAnsi="Wingdings" w:hint="default"/>
      </w:rPr>
    </w:lvl>
    <w:lvl w:ilvl="6" w:tplc="911C4506" w:tentative="1">
      <w:start w:val="1"/>
      <w:numFmt w:val="bullet"/>
      <w:lvlText w:val=""/>
      <w:lvlJc w:val="left"/>
      <w:pPr>
        <w:ind w:left="5040" w:hanging="360"/>
      </w:pPr>
      <w:rPr>
        <w:rFonts w:ascii="Symbol" w:hAnsi="Symbol" w:hint="default"/>
      </w:rPr>
    </w:lvl>
    <w:lvl w:ilvl="7" w:tplc="4BFC5678" w:tentative="1">
      <w:start w:val="1"/>
      <w:numFmt w:val="bullet"/>
      <w:lvlText w:val="o"/>
      <w:lvlJc w:val="left"/>
      <w:pPr>
        <w:ind w:left="5760" w:hanging="360"/>
      </w:pPr>
      <w:rPr>
        <w:rFonts w:ascii="Courier New" w:hAnsi="Courier New" w:hint="default"/>
      </w:rPr>
    </w:lvl>
    <w:lvl w:ilvl="8" w:tplc="C854C0EE" w:tentative="1">
      <w:start w:val="1"/>
      <w:numFmt w:val="bullet"/>
      <w:lvlText w:val=""/>
      <w:lvlJc w:val="left"/>
      <w:pPr>
        <w:ind w:left="6480" w:hanging="360"/>
      </w:pPr>
      <w:rPr>
        <w:rFonts w:ascii="Wingdings" w:hAnsi="Wingdings" w:hint="default"/>
      </w:rPr>
    </w:lvl>
  </w:abstractNum>
  <w:abstractNum w:abstractNumId="2" w15:restartNumberingAfterBreak="0">
    <w:nsid w:val="07B01929"/>
    <w:multiLevelType w:val="multilevel"/>
    <w:tmpl w:val="F6C6C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143FE1"/>
    <w:multiLevelType w:val="hybridMultilevel"/>
    <w:tmpl w:val="1A9E671C"/>
    <w:lvl w:ilvl="0" w:tplc="E4C6100A">
      <w:start w:val="1"/>
      <w:numFmt w:val="bullet"/>
      <w:lvlText w:val=""/>
      <w:lvlJc w:val="left"/>
      <w:pPr>
        <w:ind w:left="360" w:hanging="360"/>
      </w:pPr>
      <w:rPr>
        <w:rFonts w:ascii="Symbol" w:hAnsi="Symbol" w:hint="default"/>
        <w:b w:val="0"/>
        <w:i w:val="0"/>
        <w:color w:val="auto"/>
        <w:sz w:val="28"/>
      </w:rPr>
    </w:lvl>
    <w:lvl w:ilvl="1" w:tplc="C72A3B88">
      <w:start w:val="1"/>
      <w:numFmt w:val="bullet"/>
      <w:pStyle w:val="Speakingsub-points"/>
      <w:lvlText w:val="o"/>
      <w:lvlJc w:val="left"/>
      <w:pPr>
        <w:ind w:left="928" w:hanging="360"/>
      </w:pPr>
      <w:rPr>
        <w:rFonts w:ascii="Courier New" w:hAnsi="Courier New" w:hint="default"/>
      </w:rPr>
    </w:lvl>
    <w:lvl w:ilvl="2" w:tplc="4BA443B2" w:tentative="1">
      <w:start w:val="1"/>
      <w:numFmt w:val="bullet"/>
      <w:lvlText w:val=""/>
      <w:lvlJc w:val="left"/>
      <w:pPr>
        <w:ind w:left="2282" w:hanging="360"/>
      </w:pPr>
      <w:rPr>
        <w:rFonts w:ascii="Wingdings" w:hAnsi="Wingdings" w:hint="default"/>
      </w:rPr>
    </w:lvl>
    <w:lvl w:ilvl="3" w:tplc="6FAC7E1E" w:tentative="1">
      <w:start w:val="1"/>
      <w:numFmt w:val="bullet"/>
      <w:lvlText w:val=""/>
      <w:lvlJc w:val="left"/>
      <w:pPr>
        <w:ind w:left="3002" w:hanging="360"/>
      </w:pPr>
      <w:rPr>
        <w:rFonts w:ascii="Symbol" w:hAnsi="Symbol" w:hint="default"/>
      </w:rPr>
    </w:lvl>
    <w:lvl w:ilvl="4" w:tplc="B0927A90" w:tentative="1">
      <w:start w:val="1"/>
      <w:numFmt w:val="bullet"/>
      <w:lvlText w:val="o"/>
      <w:lvlJc w:val="left"/>
      <w:pPr>
        <w:ind w:left="3722" w:hanging="360"/>
      </w:pPr>
      <w:rPr>
        <w:rFonts w:ascii="Courier New" w:hAnsi="Courier New" w:hint="default"/>
      </w:rPr>
    </w:lvl>
    <w:lvl w:ilvl="5" w:tplc="72103C1A" w:tentative="1">
      <w:start w:val="1"/>
      <w:numFmt w:val="bullet"/>
      <w:lvlText w:val=""/>
      <w:lvlJc w:val="left"/>
      <w:pPr>
        <w:ind w:left="4442" w:hanging="360"/>
      </w:pPr>
      <w:rPr>
        <w:rFonts w:ascii="Wingdings" w:hAnsi="Wingdings" w:hint="default"/>
      </w:rPr>
    </w:lvl>
    <w:lvl w:ilvl="6" w:tplc="FF1C67A8" w:tentative="1">
      <w:start w:val="1"/>
      <w:numFmt w:val="bullet"/>
      <w:lvlText w:val=""/>
      <w:lvlJc w:val="left"/>
      <w:pPr>
        <w:ind w:left="5162" w:hanging="360"/>
      </w:pPr>
      <w:rPr>
        <w:rFonts w:ascii="Symbol" w:hAnsi="Symbol" w:hint="default"/>
      </w:rPr>
    </w:lvl>
    <w:lvl w:ilvl="7" w:tplc="0282B184" w:tentative="1">
      <w:start w:val="1"/>
      <w:numFmt w:val="bullet"/>
      <w:lvlText w:val="o"/>
      <w:lvlJc w:val="left"/>
      <w:pPr>
        <w:ind w:left="5882" w:hanging="360"/>
      </w:pPr>
      <w:rPr>
        <w:rFonts w:ascii="Courier New" w:hAnsi="Courier New" w:hint="default"/>
      </w:rPr>
    </w:lvl>
    <w:lvl w:ilvl="8" w:tplc="BB2866B0" w:tentative="1">
      <w:start w:val="1"/>
      <w:numFmt w:val="bullet"/>
      <w:lvlText w:val=""/>
      <w:lvlJc w:val="left"/>
      <w:pPr>
        <w:ind w:left="6602" w:hanging="360"/>
      </w:pPr>
      <w:rPr>
        <w:rFonts w:ascii="Wingdings" w:hAnsi="Wingdings" w:hint="default"/>
      </w:rPr>
    </w:lvl>
  </w:abstractNum>
  <w:abstractNum w:abstractNumId="4" w15:restartNumberingAfterBreak="0">
    <w:nsid w:val="0E1C74B3"/>
    <w:multiLevelType w:val="multilevel"/>
    <w:tmpl w:val="7D466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141923"/>
    <w:multiLevelType w:val="hybridMultilevel"/>
    <w:tmpl w:val="16644174"/>
    <w:lvl w:ilvl="0" w:tplc="73749A46">
      <w:start w:val="1"/>
      <w:numFmt w:val="bullet"/>
      <w:lvlText w:val=""/>
      <w:lvlJc w:val="left"/>
      <w:pPr>
        <w:ind w:left="720" w:hanging="360"/>
      </w:pPr>
      <w:rPr>
        <w:rFonts w:ascii="Symbol" w:hAnsi="Symbol"/>
      </w:rPr>
    </w:lvl>
    <w:lvl w:ilvl="1" w:tplc="09F6A3E0">
      <w:start w:val="1"/>
      <w:numFmt w:val="bullet"/>
      <w:lvlText w:val=""/>
      <w:lvlJc w:val="left"/>
      <w:pPr>
        <w:ind w:left="720" w:hanging="360"/>
      </w:pPr>
      <w:rPr>
        <w:rFonts w:ascii="Symbol" w:hAnsi="Symbol"/>
      </w:rPr>
    </w:lvl>
    <w:lvl w:ilvl="2" w:tplc="548837E8">
      <w:start w:val="1"/>
      <w:numFmt w:val="bullet"/>
      <w:lvlText w:val=""/>
      <w:lvlJc w:val="left"/>
      <w:pPr>
        <w:ind w:left="720" w:hanging="360"/>
      </w:pPr>
      <w:rPr>
        <w:rFonts w:ascii="Symbol" w:hAnsi="Symbol"/>
      </w:rPr>
    </w:lvl>
    <w:lvl w:ilvl="3" w:tplc="2FBA79C8">
      <w:start w:val="1"/>
      <w:numFmt w:val="bullet"/>
      <w:lvlText w:val=""/>
      <w:lvlJc w:val="left"/>
      <w:pPr>
        <w:ind w:left="720" w:hanging="360"/>
      </w:pPr>
      <w:rPr>
        <w:rFonts w:ascii="Symbol" w:hAnsi="Symbol"/>
      </w:rPr>
    </w:lvl>
    <w:lvl w:ilvl="4" w:tplc="91784722">
      <w:start w:val="1"/>
      <w:numFmt w:val="bullet"/>
      <w:lvlText w:val=""/>
      <w:lvlJc w:val="left"/>
      <w:pPr>
        <w:ind w:left="720" w:hanging="360"/>
      </w:pPr>
      <w:rPr>
        <w:rFonts w:ascii="Symbol" w:hAnsi="Symbol"/>
      </w:rPr>
    </w:lvl>
    <w:lvl w:ilvl="5" w:tplc="784A14DC">
      <w:start w:val="1"/>
      <w:numFmt w:val="bullet"/>
      <w:lvlText w:val=""/>
      <w:lvlJc w:val="left"/>
      <w:pPr>
        <w:ind w:left="720" w:hanging="360"/>
      </w:pPr>
      <w:rPr>
        <w:rFonts w:ascii="Symbol" w:hAnsi="Symbol"/>
      </w:rPr>
    </w:lvl>
    <w:lvl w:ilvl="6" w:tplc="9C804AC0">
      <w:start w:val="1"/>
      <w:numFmt w:val="bullet"/>
      <w:lvlText w:val=""/>
      <w:lvlJc w:val="left"/>
      <w:pPr>
        <w:ind w:left="720" w:hanging="360"/>
      </w:pPr>
      <w:rPr>
        <w:rFonts w:ascii="Symbol" w:hAnsi="Symbol"/>
      </w:rPr>
    </w:lvl>
    <w:lvl w:ilvl="7" w:tplc="13087CC2">
      <w:start w:val="1"/>
      <w:numFmt w:val="bullet"/>
      <w:lvlText w:val=""/>
      <w:lvlJc w:val="left"/>
      <w:pPr>
        <w:ind w:left="720" w:hanging="360"/>
      </w:pPr>
      <w:rPr>
        <w:rFonts w:ascii="Symbol" w:hAnsi="Symbol"/>
      </w:rPr>
    </w:lvl>
    <w:lvl w:ilvl="8" w:tplc="AB56B7AE">
      <w:start w:val="1"/>
      <w:numFmt w:val="bullet"/>
      <w:lvlText w:val=""/>
      <w:lvlJc w:val="left"/>
      <w:pPr>
        <w:ind w:left="720" w:hanging="360"/>
      </w:pPr>
      <w:rPr>
        <w:rFonts w:ascii="Symbol" w:hAnsi="Symbol"/>
      </w:rPr>
    </w:lvl>
  </w:abstractNum>
  <w:abstractNum w:abstractNumId="6" w15:restartNumberingAfterBreak="0">
    <w:nsid w:val="123A6FDE"/>
    <w:multiLevelType w:val="multilevel"/>
    <w:tmpl w:val="DEB8C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996626"/>
    <w:multiLevelType w:val="hybridMultilevel"/>
    <w:tmpl w:val="167E1E8A"/>
    <w:lvl w:ilvl="0" w:tplc="3ABE0BB6">
      <w:start w:val="1"/>
      <w:numFmt w:val="bullet"/>
      <w:pStyle w:val="Briefinglist1"/>
      <w:lvlText w:val=""/>
      <w:lvlJc w:val="left"/>
      <w:pPr>
        <w:tabs>
          <w:tab w:val="num" w:pos="284"/>
        </w:tabs>
        <w:ind w:left="284" w:hanging="284"/>
      </w:pPr>
      <w:rPr>
        <w:rFonts w:ascii="Symbol" w:hAnsi="Symbol" w:hint="default"/>
        <w:b w:val="0"/>
        <w:i w:val="0"/>
        <w:color w:val="auto"/>
      </w:rPr>
    </w:lvl>
    <w:lvl w:ilvl="1" w:tplc="CA4EB26A">
      <w:start w:val="1"/>
      <w:numFmt w:val="bullet"/>
      <w:lvlText w:val="o"/>
      <w:lvlJc w:val="left"/>
      <w:pPr>
        <w:tabs>
          <w:tab w:val="num" w:pos="1440"/>
        </w:tabs>
        <w:ind w:left="1440" w:hanging="360"/>
      </w:pPr>
      <w:rPr>
        <w:rFonts w:ascii="Courier New" w:hAnsi="Courier New" w:hint="default"/>
      </w:rPr>
    </w:lvl>
    <w:lvl w:ilvl="2" w:tplc="FA787ECC" w:tentative="1">
      <w:start w:val="1"/>
      <w:numFmt w:val="bullet"/>
      <w:lvlText w:val=""/>
      <w:lvlJc w:val="left"/>
      <w:pPr>
        <w:tabs>
          <w:tab w:val="num" w:pos="2160"/>
        </w:tabs>
        <w:ind w:left="2160" w:hanging="360"/>
      </w:pPr>
      <w:rPr>
        <w:rFonts w:ascii="Wingdings" w:hAnsi="Wingdings" w:hint="default"/>
      </w:rPr>
    </w:lvl>
    <w:lvl w:ilvl="3" w:tplc="FF84220A" w:tentative="1">
      <w:start w:val="1"/>
      <w:numFmt w:val="bullet"/>
      <w:lvlText w:val=""/>
      <w:lvlJc w:val="left"/>
      <w:pPr>
        <w:tabs>
          <w:tab w:val="num" w:pos="2880"/>
        </w:tabs>
        <w:ind w:left="2880" w:hanging="360"/>
      </w:pPr>
      <w:rPr>
        <w:rFonts w:ascii="Symbol" w:hAnsi="Symbol" w:hint="default"/>
      </w:rPr>
    </w:lvl>
    <w:lvl w:ilvl="4" w:tplc="3DDA586A" w:tentative="1">
      <w:start w:val="1"/>
      <w:numFmt w:val="bullet"/>
      <w:lvlText w:val="o"/>
      <w:lvlJc w:val="left"/>
      <w:pPr>
        <w:tabs>
          <w:tab w:val="num" w:pos="3600"/>
        </w:tabs>
        <w:ind w:left="3600" w:hanging="360"/>
      </w:pPr>
      <w:rPr>
        <w:rFonts w:ascii="Courier New" w:hAnsi="Courier New" w:hint="default"/>
      </w:rPr>
    </w:lvl>
    <w:lvl w:ilvl="5" w:tplc="4E6044FC" w:tentative="1">
      <w:start w:val="1"/>
      <w:numFmt w:val="bullet"/>
      <w:lvlText w:val=""/>
      <w:lvlJc w:val="left"/>
      <w:pPr>
        <w:tabs>
          <w:tab w:val="num" w:pos="4320"/>
        </w:tabs>
        <w:ind w:left="4320" w:hanging="360"/>
      </w:pPr>
      <w:rPr>
        <w:rFonts w:ascii="Wingdings" w:hAnsi="Wingdings" w:hint="default"/>
      </w:rPr>
    </w:lvl>
    <w:lvl w:ilvl="6" w:tplc="0A6667A6" w:tentative="1">
      <w:start w:val="1"/>
      <w:numFmt w:val="bullet"/>
      <w:lvlText w:val=""/>
      <w:lvlJc w:val="left"/>
      <w:pPr>
        <w:tabs>
          <w:tab w:val="num" w:pos="5040"/>
        </w:tabs>
        <w:ind w:left="5040" w:hanging="360"/>
      </w:pPr>
      <w:rPr>
        <w:rFonts w:ascii="Symbol" w:hAnsi="Symbol" w:hint="default"/>
      </w:rPr>
    </w:lvl>
    <w:lvl w:ilvl="7" w:tplc="CEF04392" w:tentative="1">
      <w:start w:val="1"/>
      <w:numFmt w:val="bullet"/>
      <w:lvlText w:val="o"/>
      <w:lvlJc w:val="left"/>
      <w:pPr>
        <w:tabs>
          <w:tab w:val="num" w:pos="5760"/>
        </w:tabs>
        <w:ind w:left="5760" w:hanging="360"/>
      </w:pPr>
      <w:rPr>
        <w:rFonts w:ascii="Courier New" w:hAnsi="Courier New" w:hint="default"/>
      </w:rPr>
    </w:lvl>
    <w:lvl w:ilvl="8" w:tplc="C5889E1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650AE6"/>
    <w:multiLevelType w:val="hybridMultilevel"/>
    <w:tmpl w:val="810AD028"/>
    <w:lvl w:ilvl="0" w:tplc="026088EE">
      <w:start w:val="1"/>
      <w:numFmt w:val="decimal"/>
      <w:lvlText w:val="%1)"/>
      <w:lvlJc w:val="left"/>
      <w:pPr>
        <w:ind w:left="720" w:hanging="360"/>
      </w:pPr>
      <w:rPr>
        <w:rFonts w:hint="default"/>
        <w:i/>
        <w:i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5CC60C6"/>
    <w:multiLevelType w:val="hybridMultilevel"/>
    <w:tmpl w:val="A224E670"/>
    <w:lvl w:ilvl="0" w:tplc="77B4BDE2">
      <w:start w:val="1"/>
      <w:numFmt w:val="bullet"/>
      <w:lvlText w:val=""/>
      <w:lvlJc w:val="left"/>
      <w:pPr>
        <w:ind w:left="1080" w:hanging="360"/>
      </w:pPr>
      <w:rPr>
        <w:rFonts w:ascii="Symbol" w:hAnsi="Symbol" w:hint="default"/>
      </w:rPr>
    </w:lvl>
    <w:lvl w:ilvl="1" w:tplc="1E18C108" w:tentative="1">
      <w:start w:val="1"/>
      <w:numFmt w:val="bullet"/>
      <w:lvlText w:val="o"/>
      <w:lvlJc w:val="left"/>
      <w:pPr>
        <w:ind w:left="1800" w:hanging="360"/>
      </w:pPr>
      <w:rPr>
        <w:rFonts w:ascii="Courier New" w:hAnsi="Courier New" w:hint="default"/>
      </w:rPr>
    </w:lvl>
    <w:lvl w:ilvl="2" w:tplc="DFB261A0" w:tentative="1">
      <w:start w:val="1"/>
      <w:numFmt w:val="bullet"/>
      <w:lvlText w:val=""/>
      <w:lvlJc w:val="left"/>
      <w:pPr>
        <w:ind w:left="2520" w:hanging="360"/>
      </w:pPr>
      <w:rPr>
        <w:rFonts w:ascii="Wingdings" w:hAnsi="Wingdings" w:hint="default"/>
      </w:rPr>
    </w:lvl>
    <w:lvl w:ilvl="3" w:tplc="A8B47858" w:tentative="1">
      <w:start w:val="1"/>
      <w:numFmt w:val="bullet"/>
      <w:lvlText w:val=""/>
      <w:lvlJc w:val="left"/>
      <w:pPr>
        <w:ind w:left="3240" w:hanging="360"/>
      </w:pPr>
      <w:rPr>
        <w:rFonts w:ascii="Symbol" w:hAnsi="Symbol" w:hint="default"/>
      </w:rPr>
    </w:lvl>
    <w:lvl w:ilvl="4" w:tplc="566A912A" w:tentative="1">
      <w:start w:val="1"/>
      <w:numFmt w:val="bullet"/>
      <w:lvlText w:val="o"/>
      <w:lvlJc w:val="left"/>
      <w:pPr>
        <w:ind w:left="3960" w:hanging="360"/>
      </w:pPr>
      <w:rPr>
        <w:rFonts w:ascii="Courier New" w:hAnsi="Courier New" w:hint="default"/>
      </w:rPr>
    </w:lvl>
    <w:lvl w:ilvl="5" w:tplc="A0B4A264" w:tentative="1">
      <w:start w:val="1"/>
      <w:numFmt w:val="bullet"/>
      <w:lvlText w:val=""/>
      <w:lvlJc w:val="left"/>
      <w:pPr>
        <w:ind w:left="4680" w:hanging="360"/>
      </w:pPr>
      <w:rPr>
        <w:rFonts w:ascii="Wingdings" w:hAnsi="Wingdings" w:hint="default"/>
      </w:rPr>
    </w:lvl>
    <w:lvl w:ilvl="6" w:tplc="85ACBEAA" w:tentative="1">
      <w:start w:val="1"/>
      <w:numFmt w:val="bullet"/>
      <w:lvlText w:val=""/>
      <w:lvlJc w:val="left"/>
      <w:pPr>
        <w:ind w:left="5400" w:hanging="360"/>
      </w:pPr>
      <w:rPr>
        <w:rFonts w:ascii="Symbol" w:hAnsi="Symbol" w:hint="default"/>
      </w:rPr>
    </w:lvl>
    <w:lvl w:ilvl="7" w:tplc="306E55CA" w:tentative="1">
      <w:start w:val="1"/>
      <w:numFmt w:val="bullet"/>
      <w:lvlText w:val="o"/>
      <w:lvlJc w:val="left"/>
      <w:pPr>
        <w:ind w:left="6120" w:hanging="360"/>
      </w:pPr>
      <w:rPr>
        <w:rFonts w:ascii="Courier New" w:hAnsi="Courier New" w:hint="default"/>
      </w:rPr>
    </w:lvl>
    <w:lvl w:ilvl="8" w:tplc="C0E0E0CE" w:tentative="1">
      <w:start w:val="1"/>
      <w:numFmt w:val="bullet"/>
      <w:lvlText w:val=""/>
      <w:lvlJc w:val="left"/>
      <w:pPr>
        <w:ind w:left="6840" w:hanging="360"/>
      </w:pPr>
      <w:rPr>
        <w:rFonts w:ascii="Wingdings" w:hAnsi="Wingdings" w:hint="default"/>
      </w:rPr>
    </w:lvl>
  </w:abstractNum>
  <w:abstractNum w:abstractNumId="10" w15:restartNumberingAfterBreak="0">
    <w:nsid w:val="15D243AC"/>
    <w:multiLevelType w:val="hybridMultilevel"/>
    <w:tmpl w:val="9C027134"/>
    <w:lvl w:ilvl="0" w:tplc="7B4443B6">
      <w:start w:val="1"/>
      <w:numFmt w:val="bullet"/>
      <w:lvlText w:val=""/>
      <w:lvlJc w:val="left"/>
      <w:pPr>
        <w:ind w:left="720" w:hanging="360"/>
      </w:pPr>
      <w:rPr>
        <w:rFonts w:ascii="Symbol" w:hAnsi="Symbol"/>
      </w:rPr>
    </w:lvl>
    <w:lvl w:ilvl="1" w:tplc="2FF07FDA">
      <w:start w:val="1"/>
      <w:numFmt w:val="bullet"/>
      <w:lvlText w:val=""/>
      <w:lvlJc w:val="left"/>
      <w:pPr>
        <w:ind w:left="720" w:hanging="360"/>
      </w:pPr>
      <w:rPr>
        <w:rFonts w:ascii="Symbol" w:hAnsi="Symbol"/>
      </w:rPr>
    </w:lvl>
    <w:lvl w:ilvl="2" w:tplc="4CD4F98E">
      <w:start w:val="1"/>
      <w:numFmt w:val="bullet"/>
      <w:lvlText w:val=""/>
      <w:lvlJc w:val="left"/>
      <w:pPr>
        <w:ind w:left="720" w:hanging="360"/>
      </w:pPr>
      <w:rPr>
        <w:rFonts w:ascii="Symbol" w:hAnsi="Symbol"/>
      </w:rPr>
    </w:lvl>
    <w:lvl w:ilvl="3" w:tplc="83221160">
      <w:start w:val="1"/>
      <w:numFmt w:val="bullet"/>
      <w:lvlText w:val=""/>
      <w:lvlJc w:val="left"/>
      <w:pPr>
        <w:ind w:left="720" w:hanging="360"/>
      </w:pPr>
      <w:rPr>
        <w:rFonts w:ascii="Symbol" w:hAnsi="Symbol"/>
      </w:rPr>
    </w:lvl>
    <w:lvl w:ilvl="4" w:tplc="CB86786E">
      <w:start w:val="1"/>
      <w:numFmt w:val="bullet"/>
      <w:lvlText w:val=""/>
      <w:lvlJc w:val="left"/>
      <w:pPr>
        <w:ind w:left="720" w:hanging="360"/>
      </w:pPr>
      <w:rPr>
        <w:rFonts w:ascii="Symbol" w:hAnsi="Symbol"/>
      </w:rPr>
    </w:lvl>
    <w:lvl w:ilvl="5" w:tplc="86D2BA50">
      <w:start w:val="1"/>
      <w:numFmt w:val="bullet"/>
      <w:lvlText w:val=""/>
      <w:lvlJc w:val="left"/>
      <w:pPr>
        <w:ind w:left="720" w:hanging="360"/>
      </w:pPr>
      <w:rPr>
        <w:rFonts w:ascii="Symbol" w:hAnsi="Symbol"/>
      </w:rPr>
    </w:lvl>
    <w:lvl w:ilvl="6" w:tplc="299EEA0C">
      <w:start w:val="1"/>
      <w:numFmt w:val="bullet"/>
      <w:lvlText w:val=""/>
      <w:lvlJc w:val="left"/>
      <w:pPr>
        <w:ind w:left="720" w:hanging="360"/>
      </w:pPr>
      <w:rPr>
        <w:rFonts w:ascii="Symbol" w:hAnsi="Symbol"/>
      </w:rPr>
    </w:lvl>
    <w:lvl w:ilvl="7" w:tplc="81EA79C8">
      <w:start w:val="1"/>
      <w:numFmt w:val="bullet"/>
      <w:lvlText w:val=""/>
      <w:lvlJc w:val="left"/>
      <w:pPr>
        <w:ind w:left="720" w:hanging="360"/>
      </w:pPr>
      <w:rPr>
        <w:rFonts w:ascii="Symbol" w:hAnsi="Symbol"/>
      </w:rPr>
    </w:lvl>
    <w:lvl w:ilvl="8" w:tplc="729A067C">
      <w:start w:val="1"/>
      <w:numFmt w:val="bullet"/>
      <w:lvlText w:val=""/>
      <w:lvlJc w:val="left"/>
      <w:pPr>
        <w:ind w:left="720" w:hanging="360"/>
      </w:pPr>
      <w:rPr>
        <w:rFonts w:ascii="Symbol" w:hAnsi="Symbol"/>
      </w:rPr>
    </w:lvl>
  </w:abstractNum>
  <w:abstractNum w:abstractNumId="11" w15:restartNumberingAfterBreak="0">
    <w:nsid w:val="18302961"/>
    <w:multiLevelType w:val="hybridMultilevel"/>
    <w:tmpl w:val="813C3BB8"/>
    <w:lvl w:ilvl="0" w:tplc="91F27AA2">
      <w:start w:val="4"/>
      <w:numFmt w:val="bullet"/>
      <w:lvlText w:val="-"/>
      <w:lvlJc w:val="left"/>
      <w:pPr>
        <w:ind w:left="720" w:hanging="360"/>
      </w:pPr>
      <w:rPr>
        <w:rFonts w:ascii="Times New Roman" w:hAnsi="Times New Roman" w:hint="default"/>
        <w:sz w:val="24"/>
      </w:rPr>
    </w:lvl>
    <w:lvl w:ilvl="1" w:tplc="F56A8686" w:tentative="1">
      <w:start w:val="1"/>
      <w:numFmt w:val="bullet"/>
      <w:lvlText w:val="o"/>
      <w:lvlJc w:val="left"/>
      <w:pPr>
        <w:ind w:left="1440" w:hanging="360"/>
      </w:pPr>
      <w:rPr>
        <w:rFonts w:ascii="Courier New" w:hAnsi="Courier New" w:hint="default"/>
      </w:rPr>
    </w:lvl>
    <w:lvl w:ilvl="2" w:tplc="2F76472A" w:tentative="1">
      <w:start w:val="1"/>
      <w:numFmt w:val="bullet"/>
      <w:lvlText w:val=""/>
      <w:lvlJc w:val="left"/>
      <w:pPr>
        <w:ind w:left="2160" w:hanging="360"/>
      </w:pPr>
      <w:rPr>
        <w:rFonts w:ascii="Wingdings" w:hAnsi="Wingdings" w:hint="default"/>
      </w:rPr>
    </w:lvl>
    <w:lvl w:ilvl="3" w:tplc="8CCE20C6" w:tentative="1">
      <w:start w:val="1"/>
      <w:numFmt w:val="bullet"/>
      <w:lvlText w:val=""/>
      <w:lvlJc w:val="left"/>
      <w:pPr>
        <w:ind w:left="2880" w:hanging="360"/>
      </w:pPr>
      <w:rPr>
        <w:rFonts w:ascii="Symbol" w:hAnsi="Symbol" w:hint="default"/>
      </w:rPr>
    </w:lvl>
    <w:lvl w:ilvl="4" w:tplc="BF804140" w:tentative="1">
      <w:start w:val="1"/>
      <w:numFmt w:val="bullet"/>
      <w:lvlText w:val="o"/>
      <w:lvlJc w:val="left"/>
      <w:pPr>
        <w:ind w:left="3600" w:hanging="360"/>
      </w:pPr>
      <w:rPr>
        <w:rFonts w:ascii="Courier New" w:hAnsi="Courier New" w:hint="default"/>
      </w:rPr>
    </w:lvl>
    <w:lvl w:ilvl="5" w:tplc="90569BFE" w:tentative="1">
      <w:start w:val="1"/>
      <w:numFmt w:val="bullet"/>
      <w:lvlText w:val=""/>
      <w:lvlJc w:val="left"/>
      <w:pPr>
        <w:ind w:left="4320" w:hanging="360"/>
      </w:pPr>
      <w:rPr>
        <w:rFonts w:ascii="Wingdings" w:hAnsi="Wingdings" w:hint="default"/>
      </w:rPr>
    </w:lvl>
    <w:lvl w:ilvl="6" w:tplc="F0381C46" w:tentative="1">
      <w:start w:val="1"/>
      <w:numFmt w:val="bullet"/>
      <w:lvlText w:val=""/>
      <w:lvlJc w:val="left"/>
      <w:pPr>
        <w:ind w:left="5040" w:hanging="360"/>
      </w:pPr>
      <w:rPr>
        <w:rFonts w:ascii="Symbol" w:hAnsi="Symbol" w:hint="default"/>
      </w:rPr>
    </w:lvl>
    <w:lvl w:ilvl="7" w:tplc="EAECEE90" w:tentative="1">
      <w:start w:val="1"/>
      <w:numFmt w:val="bullet"/>
      <w:lvlText w:val="o"/>
      <w:lvlJc w:val="left"/>
      <w:pPr>
        <w:ind w:left="5760" w:hanging="360"/>
      </w:pPr>
      <w:rPr>
        <w:rFonts w:ascii="Courier New" w:hAnsi="Courier New" w:hint="default"/>
      </w:rPr>
    </w:lvl>
    <w:lvl w:ilvl="8" w:tplc="96000EF4" w:tentative="1">
      <w:start w:val="1"/>
      <w:numFmt w:val="bullet"/>
      <w:lvlText w:val=""/>
      <w:lvlJc w:val="left"/>
      <w:pPr>
        <w:ind w:left="6480" w:hanging="360"/>
      </w:pPr>
      <w:rPr>
        <w:rFonts w:ascii="Wingdings" w:hAnsi="Wingdings" w:hint="default"/>
      </w:rPr>
    </w:lvl>
  </w:abstractNum>
  <w:abstractNum w:abstractNumId="12" w15:restartNumberingAfterBreak="0">
    <w:nsid w:val="18565C63"/>
    <w:multiLevelType w:val="multilevel"/>
    <w:tmpl w:val="F4B43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D266ABB"/>
    <w:multiLevelType w:val="hybridMultilevel"/>
    <w:tmpl w:val="85BC1542"/>
    <w:lvl w:ilvl="0" w:tplc="71A06D82">
      <w:start w:val="4"/>
      <w:numFmt w:val="bullet"/>
      <w:lvlText w:val="-"/>
      <w:lvlJc w:val="left"/>
      <w:pPr>
        <w:ind w:left="720" w:hanging="360"/>
      </w:pPr>
      <w:rPr>
        <w:rFonts w:ascii="Times New Roman" w:hAnsi="Times New Roman" w:hint="default"/>
        <w:sz w:val="24"/>
      </w:rPr>
    </w:lvl>
    <w:lvl w:ilvl="1" w:tplc="926C9C98" w:tentative="1">
      <w:start w:val="1"/>
      <w:numFmt w:val="bullet"/>
      <w:lvlText w:val="o"/>
      <w:lvlJc w:val="left"/>
      <w:pPr>
        <w:ind w:left="1440" w:hanging="360"/>
      </w:pPr>
      <w:rPr>
        <w:rFonts w:ascii="Courier New" w:hAnsi="Courier New" w:hint="default"/>
      </w:rPr>
    </w:lvl>
    <w:lvl w:ilvl="2" w:tplc="F4E0C93E" w:tentative="1">
      <w:start w:val="1"/>
      <w:numFmt w:val="bullet"/>
      <w:lvlText w:val=""/>
      <w:lvlJc w:val="left"/>
      <w:pPr>
        <w:ind w:left="2160" w:hanging="360"/>
      </w:pPr>
      <w:rPr>
        <w:rFonts w:ascii="Wingdings" w:hAnsi="Wingdings" w:hint="default"/>
      </w:rPr>
    </w:lvl>
    <w:lvl w:ilvl="3" w:tplc="D4789144" w:tentative="1">
      <w:start w:val="1"/>
      <w:numFmt w:val="bullet"/>
      <w:lvlText w:val=""/>
      <w:lvlJc w:val="left"/>
      <w:pPr>
        <w:ind w:left="2880" w:hanging="360"/>
      </w:pPr>
      <w:rPr>
        <w:rFonts w:ascii="Symbol" w:hAnsi="Symbol" w:hint="default"/>
      </w:rPr>
    </w:lvl>
    <w:lvl w:ilvl="4" w:tplc="64FA6266" w:tentative="1">
      <w:start w:val="1"/>
      <w:numFmt w:val="bullet"/>
      <w:lvlText w:val="o"/>
      <w:lvlJc w:val="left"/>
      <w:pPr>
        <w:ind w:left="3600" w:hanging="360"/>
      </w:pPr>
      <w:rPr>
        <w:rFonts w:ascii="Courier New" w:hAnsi="Courier New" w:hint="default"/>
      </w:rPr>
    </w:lvl>
    <w:lvl w:ilvl="5" w:tplc="7F16DAE4" w:tentative="1">
      <w:start w:val="1"/>
      <w:numFmt w:val="bullet"/>
      <w:lvlText w:val=""/>
      <w:lvlJc w:val="left"/>
      <w:pPr>
        <w:ind w:left="4320" w:hanging="360"/>
      </w:pPr>
      <w:rPr>
        <w:rFonts w:ascii="Wingdings" w:hAnsi="Wingdings" w:hint="default"/>
      </w:rPr>
    </w:lvl>
    <w:lvl w:ilvl="6" w:tplc="E6AC1C5C" w:tentative="1">
      <w:start w:val="1"/>
      <w:numFmt w:val="bullet"/>
      <w:lvlText w:val=""/>
      <w:lvlJc w:val="left"/>
      <w:pPr>
        <w:ind w:left="5040" w:hanging="360"/>
      </w:pPr>
      <w:rPr>
        <w:rFonts w:ascii="Symbol" w:hAnsi="Symbol" w:hint="default"/>
      </w:rPr>
    </w:lvl>
    <w:lvl w:ilvl="7" w:tplc="6FCE9FFA" w:tentative="1">
      <w:start w:val="1"/>
      <w:numFmt w:val="bullet"/>
      <w:lvlText w:val="o"/>
      <w:lvlJc w:val="left"/>
      <w:pPr>
        <w:ind w:left="5760" w:hanging="360"/>
      </w:pPr>
      <w:rPr>
        <w:rFonts w:ascii="Courier New" w:hAnsi="Courier New" w:hint="default"/>
      </w:rPr>
    </w:lvl>
    <w:lvl w:ilvl="8" w:tplc="A206468C" w:tentative="1">
      <w:start w:val="1"/>
      <w:numFmt w:val="bullet"/>
      <w:lvlText w:val=""/>
      <w:lvlJc w:val="left"/>
      <w:pPr>
        <w:ind w:left="6480" w:hanging="360"/>
      </w:pPr>
      <w:rPr>
        <w:rFonts w:ascii="Wingdings" w:hAnsi="Wingdings" w:hint="default"/>
      </w:rPr>
    </w:lvl>
  </w:abstractNum>
  <w:abstractNum w:abstractNumId="14" w15:restartNumberingAfterBreak="0">
    <w:nsid w:val="24D371FB"/>
    <w:multiLevelType w:val="hybridMultilevel"/>
    <w:tmpl w:val="899A553C"/>
    <w:lvl w:ilvl="0" w:tplc="18090001">
      <w:start w:val="1"/>
      <w:numFmt w:val="bullet"/>
      <w:lvlText w:val=""/>
      <w:lvlJc w:val="left"/>
      <w:pPr>
        <w:ind w:left="720" w:hanging="360"/>
      </w:pPr>
      <w:rPr>
        <w:rFonts w:ascii="Symbol" w:hAnsi="Symbol"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97B107A"/>
    <w:multiLevelType w:val="multilevel"/>
    <w:tmpl w:val="A01C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7" w15:restartNumberingAfterBreak="0">
    <w:nsid w:val="2F6C79F3"/>
    <w:multiLevelType w:val="multilevel"/>
    <w:tmpl w:val="5A083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AD7C19"/>
    <w:multiLevelType w:val="hybridMultilevel"/>
    <w:tmpl w:val="E2267F08"/>
    <w:lvl w:ilvl="0" w:tplc="463E3926">
      <w:start w:val="4"/>
      <w:numFmt w:val="bullet"/>
      <w:lvlText w:val="-"/>
      <w:lvlJc w:val="left"/>
      <w:pPr>
        <w:ind w:left="720" w:hanging="360"/>
      </w:pPr>
      <w:rPr>
        <w:rFonts w:ascii="Times New Roman" w:hAnsi="Times New Roman" w:hint="default"/>
      </w:rPr>
    </w:lvl>
    <w:lvl w:ilvl="1" w:tplc="ED22D3E8" w:tentative="1">
      <w:start w:val="1"/>
      <w:numFmt w:val="bullet"/>
      <w:lvlText w:val="o"/>
      <w:lvlJc w:val="left"/>
      <w:pPr>
        <w:ind w:left="1440" w:hanging="360"/>
      </w:pPr>
      <w:rPr>
        <w:rFonts w:ascii="Courier New" w:hAnsi="Courier New" w:hint="default"/>
      </w:rPr>
    </w:lvl>
    <w:lvl w:ilvl="2" w:tplc="E8826288" w:tentative="1">
      <w:start w:val="1"/>
      <w:numFmt w:val="bullet"/>
      <w:lvlText w:val=""/>
      <w:lvlJc w:val="left"/>
      <w:pPr>
        <w:ind w:left="2160" w:hanging="360"/>
      </w:pPr>
      <w:rPr>
        <w:rFonts w:ascii="Wingdings" w:hAnsi="Wingdings" w:hint="default"/>
      </w:rPr>
    </w:lvl>
    <w:lvl w:ilvl="3" w:tplc="94120DF0" w:tentative="1">
      <w:start w:val="1"/>
      <w:numFmt w:val="bullet"/>
      <w:lvlText w:val=""/>
      <w:lvlJc w:val="left"/>
      <w:pPr>
        <w:ind w:left="2880" w:hanging="360"/>
      </w:pPr>
      <w:rPr>
        <w:rFonts w:ascii="Symbol" w:hAnsi="Symbol" w:hint="default"/>
      </w:rPr>
    </w:lvl>
    <w:lvl w:ilvl="4" w:tplc="FAC85F34" w:tentative="1">
      <w:start w:val="1"/>
      <w:numFmt w:val="bullet"/>
      <w:lvlText w:val="o"/>
      <w:lvlJc w:val="left"/>
      <w:pPr>
        <w:ind w:left="3600" w:hanging="360"/>
      </w:pPr>
      <w:rPr>
        <w:rFonts w:ascii="Courier New" w:hAnsi="Courier New" w:hint="default"/>
      </w:rPr>
    </w:lvl>
    <w:lvl w:ilvl="5" w:tplc="CD0E5144" w:tentative="1">
      <w:start w:val="1"/>
      <w:numFmt w:val="bullet"/>
      <w:lvlText w:val=""/>
      <w:lvlJc w:val="left"/>
      <w:pPr>
        <w:ind w:left="4320" w:hanging="360"/>
      </w:pPr>
      <w:rPr>
        <w:rFonts w:ascii="Wingdings" w:hAnsi="Wingdings" w:hint="default"/>
      </w:rPr>
    </w:lvl>
    <w:lvl w:ilvl="6" w:tplc="FBC4394C" w:tentative="1">
      <w:start w:val="1"/>
      <w:numFmt w:val="bullet"/>
      <w:lvlText w:val=""/>
      <w:lvlJc w:val="left"/>
      <w:pPr>
        <w:ind w:left="5040" w:hanging="360"/>
      </w:pPr>
      <w:rPr>
        <w:rFonts w:ascii="Symbol" w:hAnsi="Symbol" w:hint="default"/>
      </w:rPr>
    </w:lvl>
    <w:lvl w:ilvl="7" w:tplc="896461E6" w:tentative="1">
      <w:start w:val="1"/>
      <w:numFmt w:val="bullet"/>
      <w:lvlText w:val="o"/>
      <w:lvlJc w:val="left"/>
      <w:pPr>
        <w:ind w:left="5760" w:hanging="360"/>
      </w:pPr>
      <w:rPr>
        <w:rFonts w:ascii="Courier New" w:hAnsi="Courier New" w:hint="default"/>
      </w:rPr>
    </w:lvl>
    <w:lvl w:ilvl="8" w:tplc="4BD82EA8" w:tentative="1">
      <w:start w:val="1"/>
      <w:numFmt w:val="bullet"/>
      <w:lvlText w:val=""/>
      <w:lvlJc w:val="left"/>
      <w:pPr>
        <w:ind w:left="6480" w:hanging="360"/>
      </w:pPr>
      <w:rPr>
        <w:rFonts w:ascii="Wingdings" w:hAnsi="Wingdings" w:hint="default"/>
      </w:rPr>
    </w:lvl>
  </w:abstractNum>
  <w:abstractNum w:abstractNumId="19" w15:restartNumberingAfterBreak="0">
    <w:nsid w:val="393263CA"/>
    <w:multiLevelType w:val="multilevel"/>
    <w:tmpl w:val="365E1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148394A"/>
    <w:multiLevelType w:val="multilevel"/>
    <w:tmpl w:val="09CE8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30556E5"/>
    <w:multiLevelType w:val="multilevel"/>
    <w:tmpl w:val="A5124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32B146E"/>
    <w:multiLevelType w:val="hybridMultilevel"/>
    <w:tmpl w:val="6B18F258"/>
    <w:lvl w:ilvl="0" w:tplc="A602086C">
      <w:start w:val="1"/>
      <w:numFmt w:val="bullet"/>
      <w:lvlText w:val="-"/>
      <w:lvlJc w:val="left"/>
      <w:pPr>
        <w:ind w:left="720" w:hanging="360"/>
      </w:pPr>
      <w:rPr>
        <w:rFonts w:ascii="Arial" w:hAnsi="Aria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6156281"/>
    <w:multiLevelType w:val="multilevel"/>
    <w:tmpl w:val="C91267EA"/>
    <w:styleLink w:val="CurrentList1"/>
    <w:lvl w:ilvl="0">
      <w:start w:val="1"/>
      <w:numFmt w:val="decimal"/>
      <w:lvlText w:val="%1."/>
      <w:lvlJc w:val="left"/>
      <w:pPr>
        <w:ind w:left="786"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48B937DA"/>
    <w:multiLevelType w:val="hybridMultilevel"/>
    <w:tmpl w:val="EF088EDA"/>
    <w:lvl w:ilvl="0" w:tplc="2ACE866A">
      <w:start w:val="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8C97D40"/>
    <w:multiLevelType w:val="multilevel"/>
    <w:tmpl w:val="9A342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9D53BC9"/>
    <w:multiLevelType w:val="hybridMultilevel"/>
    <w:tmpl w:val="F5E4E5E2"/>
    <w:lvl w:ilvl="0" w:tplc="9D904956">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A3765C2"/>
    <w:multiLevelType w:val="hybridMultilevel"/>
    <w:tmpl w:val="10528D7C"/>
    <w:lvl w:ilvl="0" w:tplc="5FC2F626">
      <w:start w:val="1"/>
      <w:numFmt w:val="bullet"/>
      <w:lvlText w:val=""/>
      <w:lvlJc w:val="left"/>
      <w:pPr>
        <w:ind w:left="720" w:hanging="360"/>
      </w:pPr>
      <w:rPr>
        <w:rFonts w:ascii="Symbol" w:hAnsi="Symbol"/>
      </w:rPr>
    </w:lvl>
    <w:lvl w:ilvl="1" w:tplc="93500756">
      <w:start w:val="1"/>
      <w:numFmt w:val="bullet"/>
      <w:lvlText w:val=""/>
      <w:lvlJc w:val="left"/>
      <w:pPr>
        <w:ind w:left="720" w:hanging="360"/>
      </w:pPr>
      <w:rPr>
        <w:rFonts w:ascii="Symbol" w:hAnsi="Symbol"/>
      </w:rPr>
    </w:lvl>
    <w:lvl w:ilvl="2" w:tplc="AD9E23BC">
      <w:start w:val="1"/>
      <w:numFmt w:val="bullet"/>
      <w:lvlText w:val=""/>
      <w:lvlJc w:val="left"/>
      <w:pPr>
        <w:ind w:left="720" w:hanging="360"/>
      </w:pPr>
      <w:rPr>
        <w:rFonts w:ascii="Symbol" w:hAnsi="Symbol"/>
      </w:rPr>
    </w:lvl>
    <w:lvl w:ilvl="3" w:tplc="259AF75A">
      <w:start w:val="1"/>
      <w:numFmt w:val="bullet"/>
      <w:lvlText w:val=""/>
      <w:lvlJc w:val="left"/>
      <w:pPr>
        <w:ind w:left="720" w:hanging="360"/>
      </w:pPr>
      <w:rPr>
        <w:rFonts w:ascii="Symbol" w:hAnsi="Symbol"/>
      </w:rPr>
    </w:lvl>
    <w:lvl w:ilvl="4" w:tplc="EA928090">
      <w:start w:val="1"/>
      <w:numFmt w:val="bullet"/>
      <w:lvlText w:val=""/>
      <w:lvlJc w:val="left"/>
      <w:pPr>
        <w:ind w:left="720" w:hanging="360"/>
      </w:pPr>
      <w:rPr>
        <w:rFonts w:ascii="Symbol" w:hAnsi="Symbol"/>
      </w:rPr>
    </w:lvl>
    <w:lvl w:ilvl="5" w:tplc="73E4711E">
      <w:start w:val="1"/>
      <w:numFmt w:val="bullet"/>
      <w:lvlText w:val=""/>
      <w:lvlJc w:val="left"/>
      <w:pPr>
        <w:ind w:left="720" w:hanging="360"/>
      </w:pPr>
      <w:rPr>
        <w:rFonts w:ascii="Symbol" w:hAnsi="Symbol"/>
      </w:rPr>
    </w:lvl>
    <w:lvl w:ilvl="6" w:tplc="1AC8D00C">
      <w:start w:val="1"/>
      <w:numFmt w:val="bullet"/>
      <w:lvlText w:val=""/>
      <w:lvlJc w:val="left"/>
      <w:pPr>
        <w:ind w:left="720" w:hanging="360"/>
      </w:pPr>
      <w:rPr>
        <w:rFonts w:ascii="Symbol" w:hAnsi="Symbol"/>
      </w:rPr>
    </w:lvl>
    <w:lvl w:ilvl="7" w:tplc="0C4E593E">
      <w:start w:val="1"/>
      <w:numFmt w:val="bullet"/>
      <w:lvlText w:val=""/>
      <w:lvlJc w:val="left"/>
      <w:pPr>
        <w:ind w:left="720" w:hanging="360"/>
      </w:pPr>
      <w:rPr>
        <w:rFonts w:ascii="Symbol" w:hAnsi="Symbol"/>
      </w:rPr>
    </w:lvl>
    <w:lvl w:ilvl="8" w:tplc="FA3431B4">
      <w:start w:val="1"/>
      <w:numFmt w:val="bullet"/>
      <w:lvlText w:val=""/>
      <w:lvlJc w:val="left"/>
      <w:pPr>
        <w:ind w:left="720" w:hanging="360"/>
      </w:pPr>
      <w:rPr>
        <w:rFonts w:ascii="Symbol" w:hAnsi="Symbol"/>
      </w:rPr>
    </w:lvl>
  </w:abstractNum>
  <w:abstractNum w:abstractNumId="28" w15:restartNumberingAfterBreak="0">
    <w:nsid w:val="538D2010"/>
    <w:multiLevelType w:val="hybridMultilevel"/>
    <w:tmpl w:val="E592B93C"/>
    <w:lvl w:ilvl="0" w:tplc="FFFFFFFF">
      <w:start w:val="1"/>
      <w:numFmt w:val="bullet"/>
      <w:lvlText w:val=""/>
      <w:lvlJc w:val="left"/>
      <w:pPr>
        <w:ind w:left="360" w:hanging="360"/>
      </w:pPr>
      <w:rPr>
        <w:rFonts w:ascii="Symbol" w:hAnsi="Symbol" w:hint="default"/>
        <w:sz w:val="20"/>
        <w:szCs w:val="20"/>
      </w:rPr>
    </w:lvl>
    <w:lvl w:ilvl="1" w:tplc="FFFFFFFF">
      <w:start w:val="1"/>
      <w:numFmt w:val="lowerLetter"/>
      <w:lvlText w:val="%2."/>
      <w:lvlJc w:val="left"/>
      <w:pPr>
        <w:ind w:left="1080" w:hanging="360"/>
      </w:pPr>
    </w:lvl>
    <w:lvl w:ilvl="2" w:tplc="08090001">
      <w:start w:val="1"/>
      <w:numFmt w:val="bullet"/>
      <w:lvlText w:val=""/>
      <w:lvlJc w:val="left"/>
      <w:pPr>
        <w:ind w:left="1980" w:hanging="360"/>
      </w:pPr>
      <w:rPr>
        <w:rFonts w:ascii="Symbol" w:hAnsi="Symbol"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58B7A03"/>
    <w:multiLevelType w:val="multilevel"/>
    <w:tmpl w:val="3488D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8D05DBD"/>
    <w:multiLevelType w:val="multilevel"/>
    <w:tmpl w:val="C0089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8D51C7E"/>
    <w:multiLevelType w:val="hybridMultilevel"/>
    <w:tmpl w:val="8A1CB6FA"/>
    <w:lvl w:ilvl="0" w:tplc="14E05C56">
      <w:start w:val="1"/>
      <w:numFmt w:val="bullet"/>
      <w:lvlText w:val=""/>
      <w:lvlJc w:val="left"/>
      <w:pPr>
        <w:ind w:left="720" w:hanging="360"/>
      </w:pPr>
      <w:rPr>
        <w:rFonts w:ascii="Symbol" w:hAnsi="Symbol"/>
      </w:rPr>
    </w:lvl>
    <w:lvl w:ilvl="1" w:tplc="A3D0DBDA">
      <w:start w:val="1"/>
      <w:numFmt w:val="bullet"/>
      <w:lvlText w:val=""/>
      <w:lvlJc w:val="left"/>
      <w:pPr>
        <w:ind w:left="720" w:hanging="360"/>
      </w:pPr>
      <w:rPr>
        <w:rFonts w:ascii="Symbol" w:hAnsi="Symbol"/>
      </w:rPr>
    </w:lvl>
    <w:lvl w:ilvl="2" w:tplc="D772D842">
      <w:start w:val="1"/>
      <w:numFmt w:val="bullet"/>
      <w:lvlText w:val=""/>
      <w:lvlJc w:val="left"/>
      <w:pPr>
        <w:ind w:left="720" w:hanging="360"/>
      </w:pPr>
      <w:rPr>
        <w:rFonts w:ascii="Symbol" w:hAnsi="Symbol"/>
      </w:rPr>
    </w:lvl>
    <w:lvl w:ilvl="3" w:tplc="E774F0B0">
      <w:start w:val="1"/>
      <w:numFmt w:val="bullet"/>
      <w:lvlText w:val=""/>
      <w:lvlJc w:val="left"/>
      <w:pPr>
        <w:ind w:left="720" w:hanging="360"/>
      </w:pPr>
      <w:rPr>
        <w:rFonts w:ascii="Symbol" w:hAnsi="Symbol"/>
      </w:rPr>
    </w:lvl>
    <w:lvl w:ilvl="4" w:tplc="37229DE2">
      <w:start w:val="1"/>
      <w:numFmt w:val="bullet"/>
      <w:lvlText w:val=""/>
      <w:lvlJc w:val="left"/>
      <w:pPr>
        <w:ind w:left="720" w:hanging="360"/>
      </w:pPr>
      <w:rPr>
        <w:rFonts w:ascii="Symbol" w:hAnsi="Symbol"/>
      </w:rPr>
    </w:lvl>
    <w:lvl w:ilvl="5" w:tplc="79B0E72A">
      <w:start w:val="1"/>
      <w:numFmt w:val="bullet"/>
      <w:lvlText w:val=""/>
      <w:lvlJc w:val="left"/>
      <w:pPr>
        <w:ind w:left="720" w:hanging="360"/>
      </w:pPr>
      <w:rPr>
        <w:rFonts w:ascii="Symbol" w:hAnsi="Symbol"/>
      </w:rPr>
    </w:lvl>
    <w:lvl w:ilvl="6" w:tplc="D29A10CA">
      <w:start w:val="1"/>
      <w:numFmt w:val="bullet"/>
      <w:lvlText w:val=""/>
      <w:lvlJc w:val="left"/>
      <w:pPr>
        <w:ind w:left="720" w:hanging="360"/>
      </w:pPr>
      <w:rPr>
        <w:rFonts w:ascii="Symbol" w:hAnsi="Symbol"/>
      </w:rPr>
    </w:lvl>
    <w:lvl w:ilvl="7" w:tplc="780E1884">
      <w:start w:val="1"/>
      <w:numFmt w:val="bullet"/>
      <w:lvlText w:val=""/>
      <w:lvlJc w:val="left"/>
      <w:pPr>
        <w:ind w:left="720" w:hanging="360"/>
      </w:pPr>
      <w:rPr>
        <w:rFonts w:ascii="Symbol" w:hAnsi="Symbol"/>
      </w:rPr>
    </w:lvl>
    <w:lvl w:ilvl="8" w:tplc="CEFAC57C">
      <w:start w:val="1"/>
      <w:numFmt w:val="bullet"/>
      <w:lvlText w:val=""/>
      <w:lvlJc w:val="left"/>
      <w:pPr>
        <w:ind w:left="720" w:hanging="360"/>
      </w:pPr>
      <w:rPr>
        <w:rFonts w:ascii="Symbol" w:hAnsi="Symbol"/>
      </w:rPr>
    </w:lvl>
  </w:abstractNum>
  <w:abstractNum w:abstractNumId="32" w15:restartNumberingAfterBreak="0">
    <w:nsid w:val="594A3692"/>
    <w:multiLevelType w:val="multilevel"/>
    <w:tmpl w:val="69CAD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9816EC4"/>
    <w:multiLevelType w:val="hybridMultilevel"/>
    <w:tmpl w:val="3800EB50"/>
    <w:lvl w:ilvl="0" w:tplc="FFFFFFFF">
      <w:start w:val="1"/>
      <w:numFmt w:val="bullet"/>
      <w:lvlText w:val=""/>
      <w:lvlJc w:val="left"/>
      <w:pPr>
        <w:ind w:left="360" w:hanging="360"/>
      </w:pPr>
      <w:rPr>
        <w:rFonts w:ascii="Symbol" w:hAnsi="Symbol" w:hint="default"/>
        <w:sz w:val="20"/>
        <w:szCs w:val="20"/>
      </w:rPr>
    </w:lvl>
    <w:lvl w:ilvl="1" w:tplc="FFFFFFFF">
      <w:start w:val="1"/>
      <w:numFmt w:val="lowerLetter"/>
      <w:lvlText w:val="%2."/>
      <w:lvlJc w:val="left"/>
      <w:pPr>
        <w:ind w:left="1080" w:hanging="360"/>
      </w:pPr>
    </w:lvl>
    <w:lvl w:ilvl="2" w:tplc="026088EE">
      <w:start w:val="1"/>
      <w:numFmt w:val="decimal"/>
      <w:lvlText w:val="%3)"/>
      <w:lvlJc w:val="left"/>
      <w:pPr>
        <w:ind w:left="785" w:hanging="360"/>
      </w:pPr>
      <w:rPr>
        <w:rFonts w:hint="default"/>
        <w:i/>
        <w:iCs/>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599279FF"/>
    <w:multiLevelType w:val="hybridMultilevel"/>
    <w:tmpl w:val="F8CC328E"/>
    <w:lvl w:ilvl="0" w:tplc="6E148542">
      <w:start w:val="1"/>
      <w:numFmt w:val="bullet"/>
      <w:lvlText w:val=""/>
      <w:lvlJc w:val="left"/>
      <w:pPr>
        <w:ind w:left="360" w:hanging="360"/>
      </w:pPr>
      <w:rPr>
        <w:rFonts w:ascii="Symbol" w:hAnsi="Symbol" w:hint="default"/>
        <w:sz w:val="20"/>
        <w:szCs w:val="20"/>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5" w15:restartNumberingAfterBreak="0">
    <w:nsid w:val="5AC16803"/>
    <w:multiLevelType w:val="hybridMultilevel"/>
    <w:tmpl w:val="BE9E25AC"/>
    <w:lvl w:ilvl="0" w:tplc="EA3ED062">
      <w:numFmt w:val="bullet"/>
      <w:lvlText w:val="-"/>
      <w:lvlJc w:val="left"/>
      <w:pPr>
        <w:ind w:left="720" w:hanging="360"/>
      </w:pPr>
      <w:rPr>
        <w:rFonts w:ascii="Calibri" w:hAnsi="Calibri" w:hint="default"/>
      </w:rPr>
    </w:lvl>
    <w:lvl w:ilvl="1" w:tplc="EEEC8ABA">
      <w:start w:val="1"/>
      <w:numFmt w:val="bullet"/>
      <w:lvlText w:val="o"/>
      <w:lvlJc w:val="left"/>
      <w:pPr>
        <w:ind w:left="1440" w:hanging="360"/>
      </w:pPr>
      <w:rPr>
        <w:rFonts w:ascii="Courier New" w:hAnsi="Courier New" w:hint="default"/>
      </w:rPr>
    </w:lvl>
    <w:lvl w:ilvl="2" w:tplc="6B121CE8">
      <w:start w:val="1"/>
      <w:numFmt w:val="bullet"/>
      <w:lvlText w:val=""/>
      <w:lvlJc w:val="left"/>
      <w:pPr>
        <w:ind w:left="2160" w:hanging="360"/>
      </w:pPr>
      <w:rPr>
        <w:rFonts w:ascii="Wingdings" w:hAnsi="Wingdings" w:hint="default"/>
      </w:rPr>
    </w:lvl>
    <w:lvl w:ilvl="3" w:tplc="42E26158">
      <w:start w:val="1"/>
      <w:numFmt w:val="bullet"/>
      <w:lvlText w:val=""/>
      <w:lvlJc w:val="left"/>
      <w:pPr>
        <w:ind w:left="2880" w:hanging="360"/>
      </w:pPr>
      <w:rPr>
        <w:rFonts w:ascii="Symbol" w:hAnsi="Symbol" w:hint="default"/>
      </w:rPr>
    </w:lvl>
    <w:lvl w:ilvl="4" w:tplc="F482AAC2">
      <w:start w:val="1"/>
      <w:numFmt w:val="bullet"/>
      <w:lvlText w:val="o"/>
      <w:lvlJc w:val="left"/>
      <w:pPr>
        <w:ind w:left="3600" w:hanging="360"/>
      </w:pPr>
      <w:rPr>
        <w:rFonts w:ascii="Courier New" w:hAnsi="Courier New" w:hint="default"/>
      </w:rPr>
    </w:lvl>
    <w:lvl w:ilvl="5" w:tplc="77321868">
      <w:start w:val="1"/>
      <w:numFmt w:val="bullet"/>
      <w:lvlText w:val=""/>
      <w:lvlJc w:val="left"/>
      <w:pPr>
        <w:ind w:left="4320" w:hanging="360"/>
      </w:pPr>
      <w:rPr>
        <w:rFonts w:ascii="Wingdings" w:hAnsi="Wingdings" w:hint="default"/>
      </w:rPr>
    </w:lvl>
    <w:lvl w:ilvl="6" w:tplc="914454A8">
      <w:start w:val="1"/>
      <w:numFmt w:val="bullet"/>
      <w:lvlText w:val=""/>
      <w:lvlJc w:val="left"/>
      <w:pPr>
        <w:ind w:left="5040" w:hanging="360"/>
      </w:pPr>
      <w:rPr>
        <w:rFonts w:ascii="Symbol" w:hAnsi="Symbol" w:hint="default"/>
      </w:rPr>
    </w:lvl>
    <w:lvl w:ilvl="7" w:tplc="48DEB9EC">
      <w:start w:val="1"/>
      <w:numFmt w:val="bullet"/>
      <w:lvlText w:val="o"/>
      <w:lvlJc w:val="left"/>
      <w:pPr>
        <w:ind w:left="5760" w:hanging="360"/>
      </w:pPr>
      <w:rPr>
        <w:rFonts w:ascii="Courier New" w:hAnsi="Courier New" w:hint="default"/>
      </w:rPr>
    </w:lvl>
    <w:lvl w:ilvl="8" w:tplc="337A54F4">
      <w:start w:val="1"/>
      <w:numFmt w:val="bullet"/>
      <w:lvlText w:val=""/>
      <w:lvlJc w:val="left"/>
      <w:pPr>
        <w:ind w:left="6480" w:hanging="360"/>
      </w:pPr>
      <w:rPr>
        <w:rFonts w:ascii="Wingdings" w:hAnsi="Wingdings" w:hint="default"/>
      </w:rPr>
    </w:lvl>
  </w:abstractNum>
  <w:abstractNum w:abstractNumId="36" w15:restartNumberingAfterBreak="0">
    <w:nsid w:val="5B021B2A"/>
    <w:multiLevelType w:val="hybridMultilevel"/>
    <w:tmpl w:val="022A461E"/>
    <w:lvl w:ilvl="0" w:tplc="122EF378">
      <w:start w:val="4"/>
      <w:numFmt w:val="bullet"/>
      <w:lvlText w:val="-"/>
      <w:lvlJc w:val="left"/>
      <w:pPr>
        <w:ind w:left="720" w:hanging="360"/>
      </w:pPr>
      <w:rPr>
        <w:rFonts w:ascii="Times New Roman" w:hAnsi="Times New Roman" w:hint="default"/>
        <w:sz w:val="24"/>
      </w:rPr>
    </w:lvl>
    <w:lvl w:ilvl="1" w:tplc="EDB8314E" w:tentative="1">
      <w:start w:val="1"/>
      <w:numFmt w:val="bullet"/>
      <w:lvlText w:val="o"/>
      <w:lvlJc w:val="left"/>
      <w:pPr>
        <w:ind w:left="1440" w:hanging="360"/>
      </w:pPr>
      <w:rPr>
        <w:rFonts w:ascii="Courier New" w:hAnsi="Courier New" w:hint="default"/>
      </w:rPr>
    </w:lvl>
    <w:lvl w:ilvl="2" w:tplc="E4D6A91A" w:tentative="1">
      <w:start w:val="1"/>
      <w:numFmt w:val="bullet"/>
      <w:lvlText w:val=""/>
      <w:lvlJc w:val="left"/>
      <w:pPr>
        <w:ind w:left="2160" w:hanging="360"/>
      </w:pPr>
      <w:rPr>
        <w:rFonts w:ascii="Wingdings" w:hAnsi="Wingdings" w:hint="default"/>
      </w:rPr>
    </w:lvl>
    <w:lvl w:ilvl="3" w:tplc="F1109AE8" w:tentative="1">
      <w:start w:val="1"/>
      <w:numFmt w:val="bullet"/>
      <w:lvlText w:val=""/>
      <w:lvlJc w:val="left"/>
      <w:pPr>
        <w:ind w:left="2880" w:hanging="360"/>
      </w:pPr>
      <w:rPr>
        <w:rFonts w:ascii="Symbol" w:hAnsi="Symbol" w:hint="default"/>
      </w:rPr>
    </w:lvl>
    <w:lvl w:ilvl="4" w:tplc="4D58B05A" w:tentative="1">
      <w:start w:val="1"/>
      <w:numFmt w:val="bullet"/>
      <w:lvlText w:val="o"/>
      <w:lvlJc w:val="left"/>
      <w:pPr>
        <w:ind w:left="3600" w:hanging="360"/>
      </w:pPr>
      <w:rPr>
        <w:rFonts w:ascii="Courier New" w:hAnsi="Courier New" w:hint="default"/>
      </w:rPr>
    </w:lvl>
    <w:lvl w:ilvl="5" w:tplc="EC2AC9E8" w:tentative="1">
      <w:start w:val="1"/>
      <w:numFmt w:val="bullet"/>
      <w:lvlText w:val=""/>
      <w:lvlJc w:val="left"/>
      <w:pPr>
        <w:ind w:left="4320" w:hanging="360"/>
      </w:pPr>
      <w:rPr>
        <w:rFonts w:ascii="Wingdings" w:hAnsi="Wingdings" w:hint="default"/>
      </w:rPr>
    </w:lvl>
    <w:lvl w:ilvl="6" w:tplc="42D40D46" w:tentative="1">
      <w:start w:val="1"/>
      <w:numFmt w:val="bullet"/>
      <w:lvlText w:val=""/>
      <w:lvlJc w:val="left"/>
      <w:pPr>
        <w:ind w:left="5040" w:hanging="360"/>
      </w:pPr>
      <w:rPr>
        <w:rFonts w:ascii="Symbol" w:hAnsi="Symbol" w:hint="default"/>
      </w:rPr>
    </w:lvl>
    <w:lvl w:ilvl="7" w:tplc="96DC1FB8" w:tentative="1">
      <w:start w:val="1"/>
      <w:numFmt w:val="bullet"/>
      <w:lvlText w:val="o"/>
      <w:lvlJc w:val="left"/>
      <w:pPr>
        <w:ind w:left="5760" w:hanging="360"/>
      </w:pPr>
      <w:rPr>
        <w:rFonts w:ascii="Courier New" w:hAnsi="Courier New" w:hint="default"/>
      </w:rPr>
    </w:lvl>
    <w:lvl w:ilvl="8" w:tplc="24505498" w:tentative="1">
      <w:start w:val="1"/>
      <w:numFmt w:val="bullet"/>
      <w:lvlText w:val=""/>
      <w:lvlJc w:val="left"/>
      <w:pPr>
        <w:ind w:left="6480" w:hanging="360"/>
      </w:pPr>
      <w:rPr>
        <w:rFonts w:ascii="Wingdings" w:hAnsi="Wingdings" w:hint="default"/>
      </w:rPr>
    </w:lvl>
  </w:abstractNum>
  <w:abstractNum w:abstractNumId="37" w15:restartNumberingAfterBreak="0">
    <w:nsid w:val="5C9C0F42"/>
    <w:multiLevelType w:val="hybridMultilevel"/>
    <w:tmpl w:val="1D5A5A82"/>
    <w:lvl w:ilvl="0" w:tplc="8790FE76">
      <w:start w:val="1"/>
      <w:numFmt w:val="bullet"/>
      <w:lvlText w:val=""/>
      <w:lvlJc w:val="left"/>
      <w:pPr>
        <w:ind w:left="720" w:hanging="360"/>
      </w:pPr>
      <w:rPr>
        <w:rFonts w:ascii="Symbol" w:hAnsi="Symbol"/>
      </w:rPr>
    </w:lvl>
    <w:lvl w:ilvl="1" w:tplc="8CA2C53A">
      <w:start w:val="1"/>
      <w:numFmt w:val="bullet"/>
      <w:lvlText w:val=""/>
      <w:lvlJc w:val="left"/>
      <w:pPr>
        <w:ind w:left="720" w:hanging="360"/>
      </w:pPr>
      <w:rPr>
        <w:rFonts w:ascii="Symbol" w:hAnsi="Symbol"/>
      </w:rPr>
    </w:lvl>
    <w:lvl w:ilvl="2" w:tplc="C5A60B34">
      <w:start w:val="1"/>
      <w:numFmt w:val="bullet"/>
      <w:lvlText w:val=""/>
      <w:lvlJc w:val="left"/>
      <w:pPr>
        <w:ind w:left="720" w:hanging="360"/>
      </w:pPr>
      <w:rPr>
        <w:rFonts w:ascii="Symbol" w:hAnsi="Symbol"/>
      </w:rPr>
    </w:lvl>
    <w:lvl w:ilvl="3" w:tplc="16CC11D4">
      <w:start w:val="1"/>
      <w:numFmt w:val="bullet"/>
      <w:lvlText w:val=""/>
      <w:lvlJc w:val="left"/>
      <w:pPr>
        <w:ind w:left="720" w:hanging="360"/>
      </w:pPr>
      <w:rPr>
        <w:rFonts w:ascii="Symbol" w:hAnsi="Symbol"/>
      </w:rPr>
    </w:lvl>
    <w:lvl w:ilvl="4" w:tplc="3048BE8A">
      <w:start w:val="1"/>
      <w:numFmt w:val="bullet"/>
      <w:lvlText w:val=""/>
      <w:lvlJc w:val="left"/>
      <w:pPr>
        <w:ind w:left="720" w:hanging="360"/>
      </w:pPr>
      <w:rPr>
        <w:rFonts w:ascii="Symbol" w:hAnsi="Symbol"/>
      </w:rPr>
    </w:lvl>
    <w:lvl w:ilvl="5" w:tplc="4EDCDA68">
      <w:start w:val="1"/>
      <w:numFmt w:val="bullet"/>
      <w:lvlText w:val=""/>
      <w:lvlJc w:val="left"/>
      <w:pPr>
        <w:ind w:left="720" w:hanging="360"/>
      </w:pPr>
      <w:rPr>
        <w:rFonts w:ascii="Symbol" w:hAnsi="Symbol"/>
      </w:rPr>
    </w:lvl>
    <w:lvl w:ilvl="6" w:tplc="82349F2E">
      <w:start w:val="1"/>
      <w:numFmt w:val="bullet"/>
      <w:lvlText w:val=""/>
      <w:lvlJc w:val="left"/>
      <w:pPr>
        <w:ind w:left="720" w:hanging="360"/>
      </w:pPr>
      <w:rPr>
        <w:rFonts w:ascii="Symbol" w:hAnsi="Symbol"/>
      </w:rPr>
    </w:lvl>
    <w:lvl w:ilvl="7" w:tplc="1B5613AE">
      <w:start w:val="1"/>
      <w:numFmt w:val="bullet"/>
      <w:lvlText w:val=""/>
      <w:lvlJc w:val="left"/>
      <w:pPr>
        <w:ind w:left="720" w:hanging="360"/>
      </w:pPr>
      <w:rPr>
        <w:rFonts w:ascii="Symbol" w:hAnsi="Symbol"/>
      </w:rPr>
    </w:lvl>
    <w:lvl w:ilvl="8" w:tplc="5A7E08A0">
      <w:start w:val="1"/>
      <w:numFmt w:val="bullet"/>
      <w:lvlText w:val=""/>
      <w:lvlJc w:val="left"/>
      <w:pPr>
        <w:ind w:left="720" w:hanging="360"/>
      </w:pPr>
      <w:rPr>
        <w:rFonts w:ascii="Symbol" w:hAnsi="Symbol"/>
      </w:rPr>
    </w:lvl>
  </w:abstractNum>
  <w:abstractNum w:abstractNumId="38" w15:restartNumberingAfterBreak="0">
    <w:nsid w:val="5EC14E22"/>
    <w:multiLevelType w:val="hybridMultilevel"/>
    <w:tmpl w:val="61929C4A"/>
    <w:lvl w:ilvl="0" w:tplc="98B0218C">
      <w:start w:val="1"/>
      <w:numFmt w:val="bullet"/>
      <w:lvlText w:val=""/>
      <w:lvlJc w:val="left"/>
      <w:pPr>
        <w:ind w:left="720" w:hanging="360"/>
      </w:pPr>
      <w:rPr>
        <w:rFonts w:ascii="Symbol" w:hAnsi="Symbol" w:hint="default"/>
      </w:rPr>
    </w:lvl>
    <w:lvl w:ilvl="1" w:tplc="5AB40D06" w:tentative="1">
      <w:start w:val="1"/>
      <w:numFmt w:val="bullet"/>
      <w:lvlText w:val="o"/>
      <w:lvlJc w:val="left"/>
      <w:pPr>
        <w:ind w:left="1440" w:hanging="360"/>
      </w:pPr>
      <w:rPr>
        <w:rFonts w:ascii="Courier New" w:hAnsi="Courier New" w:hint="default"/>
      </w:rPr>
    </w:lvl>
    <w:lvl w:ilvl="2" w:tplc="DD98973E" w:tentative="1">
      <w:start w:val="1"/>
      <w:numFmt w:val="bullet"/>
      <w:lvlText w:val=""/>
      <w:lvlJc w:val="left"/>
      <w:pPr>
        <w:ind w:left="2160" w:hanging="360"/>
      </w:pPr>
      <w:rPr>
        <w:rFonts w:ascii="Wingdings" w:hAnsi="Wingdings" w:hint="default"/>
      </w:rPr>
    </w:lvl>
    <w:lvl w:ilvl="3" w:tplc="C1EAB6CC" w:tentative="1">
      <w:start w:val="1"/>
      <w:numFmt w:val="bullet"/>
      <w:lvlText w:val=""/>
      <w:lvlJc w:val="left"/>
      <w:pPr>
        <w:ind w:left="2880" w:hanging="360"/>
      </w:pPr>
      <w:rPr>
        <w:rFonts w:ascii="Symbol" w:hAnsi="Symbol" w:hint="default"/>
      </w:rPr>
    </w:lvl>
    <w:lvl w:ilvl="4" w:tplc="2348D836" w:tentative="1">
      <w:start w:val="1"/>
      <w:numFmt w:val="bullet"/>
      <w:lvlText w:val="o"/>
      <w:lvlJc w:val="left"/>
      <w:pPr>
        <w:ind w:left="3600" w:hanging="360"/>
      </w:pPr>
      <w:rPr>
        <w:rFonts w:ascii="Courier New" w:hAnsi="Courier New" w:hint="default"/>
      </w:rPr>
    </w:lvl>
    <w:lvl w:ilvl="5" w:tplc="13AC08DE" w:tentative="1">
      <w:start w:val="1"/>
      <w:numFmt w:val="bullet"/>
      <w:lvlText w:val=""/>
      <w:lvlJc w:val="left"/>
      <w:pPr>
        <w:ind w:left="4320" w:hanging="360"/>
      </w:pPr>
      <w:rPr>
        <w:rFonts w:ascii="Wingdings" w:hAnsi="Wingdings" w:hint="default"/>
      </w:rPr>
    </w:lvl>
    <w:lvl w:ilvl="6" w:tplc="9F9823A0" w:tentative="1">
      <w:start w:val="1"/>
      <w:numFmt w:val="bullet"/>
      <w:lvlText w:val=""/>
      <w:lvlJc w:val="left"/>
      <w:pPr>
        <w:ind w:left="5040" w:hanging="360"/>
      </w:pPr>
      <w:rPr>
        <w:rFonts w:ascii="Symbol" w:hAnsi="Symbol" w:hint="default"/>
      </w:rPr>
    </w:lvl>
    <w:lvl w:ilvl="7" w:tplc="09EE6EE0" w:tentative="1">
      <w:start w:val="1"/>
      <w:numFmt w:val="bullet"/>
      <w:lvlText w:val="o"/>
      <w:lvlJc w:val="left"/>
      <w:pPr>
        <w:ind w:left="5760" w:hanging="360"/>
      </w:pPr>
      <w:rPr>
        <w:rFonts w:ascii="Courier New" w:hAnsi="Courier New" w:hint="default"/>
      </w:rPr>
    </w:lvl>
    <w:lvl w:ilvl="8" w:tplc="07B27D5A" w:tentative="1">
      <w:start w:val="1"/>
      <w:numFmt w:val="bullet"/>
      <w:lvlText w:val=""/>
      <w:lvlJc w:val="left"/>
      <w:pPr>
        <w:ind w:left="6480" w:hanging="360"/>
      </w:pPr>
      <w:rPr>
        <w:rFonts w:ascii="Wingdings" w:hAnsi="Wingdings" w:hint="default"/>
      </w:rPr>
    </w:lvl>
  </w:abstractNum>
  <w:abstractNum w:abstractNumId="39" w15:restartNumberingAfterBreak="0">
    <w:nsid w:val="5EFF35CD"/>
    <w:multiLevelType w:val="hybridMultilevel"/>
    <w:tmpl w:val="949835B2"/>
    <w:lvl w:ilvl="0" w:tplc="45C869AC">
      <w:start w:val="1"/>
      <w:numFmt w:val="bullet"/>
      <w:lvlText w:val=""/>
      <w:lvlJc w:val="left"/>
      <w:pPr>
        <w:ind w:left="720" w:hanging="360"/>
      </w:pPr>
      <w:rPr>
        <w:rFonts w:ascii="Symbol" w:hAnsi="Symbol"/>
      </w:rPr>
    </w:lvl>
    <w:lvl w:ilvl="1" w:tplc="696A8332">
      <w:start w:val="1"/>
      <w:numFmt w:val="bullet"/>
      <w:lvlText w:val=""/>
      <w:lvlJc w:val="left"/>
      <w:pPr>
        <w:ind w:left="720" w:hanging="360"/>
      </w:pPr>
      <w:rPr>
        <w:rFonts w:ascii="Symbol" w:hAnsi="Symbol"/>
      </w:rPr>
    </w:lvl>
    <w:lvl w:ilvl="2" w:tplc="AAE25484">
      <w:start w:val="1"/>
      <w:numFmt w:val="bullet"/>
      <w:lvlText w:val=""/>
      <w:lvlJc w:val="left"/>
      <w:pPr>
        <w:ind w:left="720" w:hanging="360"/>
      </w:pPr>
      <w:rPr>
        <w:rFonts w:ascii="Symbol" w:hAnsi="Symbol"/>
      </w:rPr>
    </w:lvl>
    <w:lvl w:ilvl="3" w:tplc="D3BA1D34">
      <w:start w:val="1"/>
      <w:numFmt w:val="bullet"/>
      <w:lvlText w:val=""/>
      <w:lvlJc w:val="left"/>
      <w:pPr>
        <w:ind w:left="720" w:hanging="360"/>
      </w:pPr>
      <w:rPr>
        <w:rFonts w:ascii="Symbol" w:hAnsi="Symbol"/>
      </w:rPr>
    </w:lvl>
    <w:lvl w:ilvl="4" w:tplc="A7A00EDC">
      <w:start w:val="1"/>
      <w:numFmt w:val="bullet"/>
      <w:lvlText w:val=""/>
      <w:lvlJc w:val="left"/>
      <w:pPr>
        <w:ind w:left="720" w:hanging="360"/>
      </w:pPr>
      <w:rPr>
        <w:rFonts w:ascii="Symbol" w:hAnsi="Symbol"/>
      </w:rPr>
    </w:lvl>
    <w:lvl w:ilvl="5" w:tplc="90D230CE">
      <w:start w:val="1"/>
      <w:numFmt w:val="bullet"/>
      <w:lvlText w:val=""/>
      <w:lvlJc w:val="left"/>
      <w:pPr>
        <w:ind w:left="720" w:hanging="360"/>
      </w:pPr>
      <w:rPr>
        <w:rFonts w:ascii="Symbol" w:hAnsi="Symbol"/>
      </w:rPr>
    </w:lvl>
    <w:lvl w:ilvl="6" w:tplc="CD68CBE2">
      <w:start w:val="1"/>
      <w:numFmt w:val="bullet"/>
      <w:lvlText w:val=""/>
      <w:lvlJc w:val="left"/>
      <w:pPr>
        <w:ind w:left="720" w:hanging="360"/>
      </w:pPr>
      <w:rPr>
        <w:rFonts w:ascii="Symbol" w:hAnsi="Symbol"/>
      </w:rPr>
    </w:lvl>
    <w:lvl w:ilvl="7" w:tplc="1F686150">
      <w:start w:val="1"/>
      <w:numFmt w:val="bullet"/>
      <w:lvlText w:val=""/>
      <w:lvlJc w:val="left"/>
      <w:pPr>
        <w:ind w:left="720" w:hanging="360"/>
      </w:pPr>
      <w:rPr>
        <w:rFonts w:ascii="Symbol" w:hAnsi="Symbol"/>
      </w:rPr>
    </w:lvl>
    <w:lvl w:ilvl="8" w:tplc="B538B818">
      <w:start w:val="1"/>
      <w:numFmt w:val="bullet"/>
      <w:lvlText w:val=""/>
      <w:lvlJc w:val="left"/>
      <w:pPr>
        <w:ind w:left="720" w:hanging="360"/>
      </w:pPr>
      <w:rPr>
        <w:rFonts w:ascii="Symbol" w:hAnsi="Symbol"/>
      </w:rPr>
    </w:lvl>
  </w:abstractNum>
  <w:abstractNum w:abstractNumId="40" w15:restartNumberingAfterBreak="0">
    <w:nsid w:val="5F3071AD"/>
    <w:multiLevelType w:val="hybridMultilevel"/>
    <w:tmpl w:val="A22E7040"/>
    <w:lvl w:ilvl="0" w:tplc="18090001">
      <w:start w:val="1"/>
      <w:numFmt w:val="bullet"/>
      <w:lvlText w:val=""/>
      <w:lvlJc w:val="left"/>
      <w:pPr>
        <w:ind w:left="720" w:hanging="360"/>
      </w:pPr>
      <w:rPr>
        <w:rFonts w:ascii="Symbol" w:hAnsi="Symbol"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7F0258B"/>
    <w:multiLevelType w:val="hybridMultilevel"/>
    <w:tmpl w:val="D1F416AA"/>
    <w:lvl w:ilvl="0" w:tplc="B8729AA0">
      <w:start w:val="4"/>
      <w:numFmt w:val="bullet"/>
      <w:lvlText w:val="-"/>
      <w:lvlJc w:val="left"/>
      <w:pPr>
        <w:ind w:left="720" w:hanging="360"/>
      </w:pPr>
      <w:rPr>
        <w:rFonts w:ascii="Times New Roman" w:hAnsi="Times New Roman" w:hint="default"/>
        <w:sz w:val="24"/>
      </w:rPr>
    </w:lvl>
    <w:lvl w:ilvl="1" w:tplc="920C71F0" w:tentative="1">
      <w:start w:val="1"/>
      <w:numFmt w:val="bullet"/>
      <w:lvlText w:val="o"/>
      <w:lvlJc w:val="left"/>
      <w:pPr>
        <w:ind w:left="1440" w:hanging="360"/>
      </w:pPr>
      <w:rPr>
        <w:rFonts w:ascii="Courier New" w:hAnsi="Courier New" w:hint="default"/>
      </w:rPr>
    </w:lvl>
    <w:lvl w:ilvl="2" w:tplc="6342700E" w:tentative="1">
      <w:start w:val="1"/>
      <w:numFmt w:val="bullet"/>
      <w:lvlText w:val=""/>
      <w:lvlJc w:val="left"/>
      <w:pPr>
        <w:ind w:left="2160" w:hanging="360"/>
      </w:pPr>
      <w:rPr>
        <w:rFonts w:ascii="Wingdings" w:hAnsi="Wingdings" w:hint="default"/>
      </w:rPr>
    </w:lvl>
    <w:lvl w:ilvl="3" w:tplc="242650C6" w:tentative="1">
      <w:start w:val="1"/>
      <w:numFmt w:val="bullet"/>
      <w:lvlText w:val=""/>
      <w:lvlJc w:val="left"/>
      <w:pPr>
        <w:ind w:left="2880" w:hanging="360"/>
      </w:pPr>
      <w:rPr>
        <w:rFonts w:ascii="Symbol" w:hAnsi="Symbol" w:hint="default"/>
      </w:rPr>
    </w:lvl>
    <w:lvl w:ilvl="4" w:tplc="36AE13EA" w:tentative="1">
      <w:start w:val="1"/>
      <w:numFmt w:val="bullet"/>
      <w:lvlText w:val="o"/>
      <w:lvlJc w:val="left"/>
      <w:pPr>
        <w:ind w:left="3600" w:hanging="360"/>
      </w:pPr>
      <w:rPr>
        <w:rFonts w:ascii="Courier New" w:hAnsi="Courier New" w:hint="default"/>
      </w:rPr>
    </w:lvl>
    <w:lvl w:ilvl="5" w:tplc="74322B0A" w:tentative="1">
      <w:start w:val="1"/>
      <w:numFmt w:val="bullet"/>
      <w:lvlText w:val=""/>
      <w:lvlJc w:val="left"/>
      <w:pPr>
        <w:ind w:left="4320" w:hanging="360"/>
      </w:pPr>
      <w:rPr>
        <w:rFonts w:ascii="Wingdings" w:hAnsi="Wingdings" w:hint="default"/>
      </w:rPr>
    </w:lvl>
    <w:lvl w:ilvl="6" w:tplc="65C0EAF6" w:tentative="1">
      <w:start w:val="1"/>
      <w:numFmt w:val="bullet"/>
      <w:lvlText w:val=""/>
      <w:lvlJc w:val="left"/>
      <w:pPr>
        <w:ind w:left="5040" w:hanging="360"/>
      </w:pPr>
      <w:rPr>
        <w:rFonts w:ascii="Symbol" w:hAnsi="Symbol" w:hint="default"/>
      </w:rPr>
    </w:lvl>
    <w:lvl w:ilvl="7" w:tplc="6B9A89E4" w:tentative="1">
      <w:start w:val="1"/>
      <w:numFmt w:val="bullet"/>
      <w:lvlText w:val="o"/>
      <w:lvlJc w:val="left"/>
      <w:pPr>
        <w:ind w:left="5760" w:hanging="360"/>
      </w:pPr>
      <w:rPr>
        <w:rFonts w:ascii="Courier New" w:hAnsi="Courier New" w:hint="default"/>
      </w:rPr>
    </w:lvl>
    <w:lvl w:ilvl="8" w:tplc="82D23BA6" w:tentative="1">
      <w:start w:val="1"/>
      <w:numFmt w:val="bullet"/>
      <w:lvlText w:val=""/>
      <w:lvlJc w:val="left"/>
      <w:pPr>
        <w:ind w:left="6480" w:hanging="360"/>
      </w:pPr>
      <w:rPr>
        <w:rFonts w:ascii="Wingdings" w:hAnsi="Wingdings" w:hint="default"/>
      </w:rPr>
    </w:lvl>
  </w:abstractNum>
  <w:abstractNum w:abstractNumId="42" w15:restartNumberingAfterBreak="0">
    <w:nsid w:val="680B3A16"/>
    <w:multiLevelType w:val="hybridMultilevel"/>
    <w:tmpl w:val="21A40B90"/>
    <w:lvl w:ilvl="0" w:tplc="CD9C8FB6">
      <w:start w:val="1"/>
      <w:numFmt w:val="bullet"/>
      <w:lvlText w:val=""/>
      <w:lvlJc w:val="left"/>
      <w:pPr>
        <w:ind w:left="720" w:hanging="360"/>
      </w:pPr>
      <w:rPr>
        <w:rFonts w:ascii="Symbol" w:hAnsi="Symbol"/>
      </w:rPr>
    </w:lvl>
    <w:lvl w:ilvl="1" w:tplc="A8C656E0">
      <w:start w:val="1"/>
      <w:numFmt w:val="bullet"/>
      <w:lvlText w:val=""/>
      <w:lvlJc w:val="left"/>
      <w:pPr>
        <w:ind w:left="720" w:hanging="360"/>
      </w:pPr>
      <w:rPr>
        <w:rFonts w:ascii="Symbol" w:hAnsi="Symbol"/>
      </w:rPr>
    </w:lvl>
    <w:lvl w:ilvl="2" w:tplc="22C6468A">
      <w:start w:val="1"/>
      <w:numFmt w:val="bullet"/>
      <w:lvlText w:val=""/>
      <w:lvlJc w:val="left"/>
      <w:pPr>
        <w:ind w:left="720" w:hanging="360"/>
      </w:pPr>
      <w:rPr>
        <w:rFonts w:ascii="Symbol" w:hAnsi="Symbol"/>
      </w:rPr>
    </w:lvl>
    <w:lvl w:ilvl="3" w:tplc="B394DAD0">
      <w:start w:val="1"/>
      <w:numFmt w:val="bullet"/>
      <w:lvlText w:val=""/>
      <w:lvlJc w:val="left"/>
      <w:pPr>
        <w:ind w:left="720" w:hanging="360"/>
      </w:pPr>
      <w:rPr>
        <w:rFonts w:ascii="Symbol" w:hAnsi="Symbol"/>
      </w:rPr>
    </w:lvl>
    <w:lvl w:ilvl="4" w:tplc="F8C2EACC">
      <w:start w:val="1"/>
      <w:numFmt w:val="bullet"/>
      <w:lvlText w:val=""/>
      <w:lvlJc w:val="left"/>
      <w:pPr>
        <w:ind w:left="720" w:hanging="360"/>
      </w:pPr>
      <w:rPr>
        <w:rFonts w:ascii="Symbol" w:hAnsi="Symbol"/>
      </w:rPr>
    </w:lvl>
    <w:lvl w:ilvl="5" w:tplc="16DC5880">
      <w:start w:val="1"/>
      <w:numFmt w:val="bullet"/>
      <w:lvlText w:val=""/>
      <w:lvlJc w:val="left"/>
      <w:pPr>
        <w:ind w:left="720" w:hanging="360"/>
      </w:pPr>
      <w:rPr>
        <w:rFonts w:ascii="Symbol" w:hAnsi="Symbol"/>
      </w:rPr>
    </w:lvl>
    <w:lvl w:ilvl="6" w:tplc="792E5336">
      <w:start w:val="1"/>
      <w:numFmt w:val="bullet"/>
      <w:lvlText w:val=""/>
      <w:lvlJc w:val="left"/>
      <w:pPr>
        <w:ind w:left="720" w:hanging="360"/>
      </w:pPr>
      <w:rPr>
        <w:rFonts w:ascii="Symbol" w:hAnsi="Symbol"/>
      </w:rPr>
    </w:lvl>
    <w:lvl w:ilvl="7" w:tplc="C3CABF9A">
      <w:start w:val="1"/>
      <w:numFmt w:val="bullet"/>
      <w:lvlText w:val=""/>
      <w:lvlJc w:val="left"/>
      <w:pPr>
        <w:ind w:left="720" w:hanging="360"/>
      </w:pPr>
      <w:rPr>
        <w:rFonts w:ascii="Symbol" w:hAnsi="Symbol"/>
      </w:rPr>
    </w:lvl>
    <w:lvl w:ilvl="8" w:tplc="321CE9F2">
      <w:start w:val="1"/>
      <w:numFmt w:val="bullet"/>
      <w:lvlText w:val=""/>
      <w:lvlJc w:val="left"/>
      <w:pPr>
        <w:ind w:left="720" w:hanging="360"/>
      </w:pPr>
      <w:rPr>
        <w:rFonts w:ascii="Symbol" w:hAnsi="Symbol"/>
      </w:rPr>
    </w:lvl>
  </w:abstractNum>
  <w:abstractNum w:abstractNumId="43" w15:restartNumberingAfterBreak="0">
    <w:nsid w:val="6B9D467B"/>
    <w:multiLevelType w:val="hybridMultilevel"/>
    <w:tmpl w:val="53B26D9E"/>
    <w:lvl w:ilvl="0" w:tplc="E1F6576E">
      <w:start w:val="1"/>
      <w:numFmt w:val="bullet"/>
      <w:lvlText w:val=""/>
      <w:lvlJc w:val="left"/>
      <w:pPr>
        <w:ind w:left="1800" w:hanging="360"/>
      </w:pPr>
      <w:rPr>
        <w:rFonts w:ascii="Symbol" w:hAnsi="Symbol"/>
      </w:rPr>
    </w:lvl>
    <w:lvl w:ilvl="1" w:tplc="7938E9A8">
      <w:start w:val="1"/>
      <w:numFmt w:val="bullet"/>
      <w:lvlText w:val=""/>
      <w:lvlJc w:val="left"/>
      <w:pPr>
        <w:ind w:left="1800" w:hanging="360"/>
      </w:pPr>
      <w:rPr>
        <w:rFonts w:ascii="Symbol" w:hAnsi="Symbol"/>
      </w:rPr>
    </w:lvl>
    <w:lvl w:ilvl="2" w:tplc="68A29198">
      <w:start w:val="1"/>
      <w:numFmt w:val="bullet"/>
      <w:lvlText w:val=""/>
      <w:lvlJc w:val="left"/>
      <w:pPr>
        <w:ind w:left="1800" w:hanging="360"/>
      </w:pPr>
      <w:rPr>
        <w:rFonts w:ascii="Symbol" w:hAnsi="Symbol"/>
      </w:rPr>
    </w:lvl>
    <w:lvl w:ilvl="3" w:tplc="0226E4E0">
      <w:start w:val="1"/>
      <w:numFmt w:val="bullet"/>
      <w:lvlText w:val=""/>
      <w:lvlJc w:val="left"/>
      <w:pPr>
        <w:ind w:left="1800" w:hanging="360"/>
      </w:pPr>
      <w:rPr>
        <w:rFonts w:ascii="Symbol" w:hAnsi="Symbol"/>
      </w:rPr>
    </w:lvl>
    <w:lvl w:ilvl="4" w:tplc="026E710C">
      <w:start w:val="1"/>
      <w:numFmt w:val="bullet"/>
      <w:lvlText w:val=""/>
      <w:lvlJc w:val="left"/>
      <w:pPr>
        <w:ind w:left="1800" w:hanging="360"/>
      </w:pPr>
      <w:rPr>
        <w:rFonts w:ascii="Symbol" w:hAnsi="Symbol"/>
      </w:rPr>
    </w:lvl>
    <w:lvl w:ilvl="5" w:tplc="5C84C5AE">
      <w:start w:val="1"/>
      <w:numFmt w:val="bullet"/>
      <w:lvlText w:val=""/>
      <w:lvlJc w:val="left"/>
      <w:pPr>
        <w:ind w:left="1800" w:hanging="360"/>
      </w:pPr>
      <w:rPr>
        <w:rFonts w:ascii="Symbol" w:hAnsi="Symbol"/>
      </w:rPr>
    </w:lvl>
    <w:lvl w:ilvl="6" w:tplc="38A47958">
      <w:start w:val="1"/>
      <w:numFmt w:val="bullet"/>
      <w:lvlText w:val=""/>
      <w:lvlJc w:val="left"/>
      <w:pPr>
        <w:ind w:left="1800" w:hanging="360"/>
      </w:pPr>
      <w:rPr>
        <w:rFonts w:ascii="Symbol" w:hAnsi="Symbol"/>
      </w:rPr>
    </w:lvl>
    <w:lvl w:ilvl="7" w:tplc="B8EA6A8A">
      <w:start w:val="1"/>
      <w:numFmt w:val="bullet"/>
      <w:lvlText w:val=""/>
      <w:lvlJc w:val="left"/>
      <w:pPr>
        <w:ind w:left="1800" w:hanging="360"/>
      </w:pPr>
      <w:rPr>
        <w:rFonts w:ascii="Symbol" w:hAnsi="Symbol"/>
      </w:rPr>
    </w:lvl>
    <w:lvl w:ilvl="8" w:tplc="C6E86176">
      <w:start w:val="1"/>
      <w:numFmt w:val="bullet"/>
      <w:lvlText w:val=""/>
      <w:lvlJc w:val="left"/>
      <w:pPr>
        <w:ind w:left="1800" w:hanging="360"/>
      </w:pPr>
      <w:rPr>
        <w:rFonts w:ascii="Symbol" w:hAnsi="Symbol"/>
      </w:rPr>
    </w:lvl>
  </w:abstractNum>
  <w:abstractNum w:abstractNumId="44" w15:restartNumberingAfterBreak="0">
    <w:nsid w:val="6BF3109A"/>
    <w:multiLevelType w:val="hybridMultilevel"/>
    <w:tmpl w:val="D4D238C8"/>
    <w:lvl w:ilvl="0" w:tplc="18090001">
      <w:start w:val="1"/>
      <w:numFmt w:val="bullet"/>
      <w:lvlText w:val=""/>
      <w:lvlJc w:val="left"/>
      <w:pPr>
        <w:ind w:left="720" w:hanging="360"/>
      </w:pPr>
      <w:rPr>
        <w:rFonts w:ascii="Symbol" w:hAnsi="Symbol"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1F63524"/>
    <w:multiLevelType w:val="multilevel"/>
    <w:tmpl w:val="DFA69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200299B"/>
    <w:multiLevelType w:val="hybridMultilevel"/>
    <w:tmpl w:val="CAF6B384"/>
    <w:lvl w:ilvl="0" w:tplc="1464B4F4">
      <w:start w:val="1"/>
      <w:numFmt w:val="bullet"/>
      <w:lvlText w:val=""/>
      <w:lvlJc w:val="left"/>
      <w:pPr>
        <w:ind w:left="720" w:hanging="360"/>
      </w:pPr>
      <w:rPr>
        <w:rFonts w:ascii="Symbol" w:hAnsi="Symbol" w:hint="default"/>
        <w:sz w:val="20"/>
        <w:szCs w:val="20"/>
      </w:rPr>
    </w:lvl>
    <w:lvl w:ilvl="1" w:tplc="7FD45288" w:tentative="1">
      <w:start w:val="1"/>
      <w:numFmt w:val="bullet"/>
      <w:lvlText w:val="o"/>
      <w:lvlJc w:val="left"/>
      <w:pPr>
        <w:ind w:left="1440" w:hanging="360"/>
      </w:pPr>
      <w:rPr>
        <w:rFonts w:ascii="Courier New" w:hAnsi="Courier New" w:hint="default"/>
      </w:rPr>
    </w:lvl>
    <w:lvl w:ilvl="2" w:tplc="A426DE90" w:tentative="1">
      <w:start w:val="1"/>
      <w:numFmt w:val="bullet"/>
      <w:lvlText w:val=""/>
      <w:lvlJc w:val="left"/>
      <w:pPr>
        <w:ind w:left="2160" w:hanging="360"/>
      </w:pPr>
      <w:rPr>
        <w:rFonts w:ascii="Wingdings" w:hAnsi="Wingdings" w:hint="default"/>
      </w:rPr>
    </w:lvl>
    <w:lvl w:ilvl="3" w:tplc="EF4014A2" w:tentative="1">
      <w:start w:val="1"/>
      <w:numFmt w:val="bullet"/>
      <w:lvlText w:val=""/>
      <w:lvlJc w:val="left"/>
      <w:pPr>
        <w:ind w:left="2880" w:hanging="360"/>
      </w:pPr>
      <w:rPr>
        <w:rFonts w:ascii="Symbol" w:hAnsi="Symbol" w:hint="default"/>
      </w:rPr>
    </w:lvl>
    <w:lvl w:ilvl="4" w:tplc="D150A8C6" w:tentative="1">
      <w:start w:val="1"/>
      <w:numFmt w:val="bullet"/>
      <w:lvlText w:val="o"/>
      <w:lvlJc w:val="left"/>
      <w:pPr>
        <w:ind w:left="3600" w:hanging="360"/>
      </w:pPr>
      <w:rPr>
        <w:rFonts w:ascii="Courier New" w:hAnsi="Courier New" w:hint="default"/>
      </w:rPr>
    </w:lvl>
    <w:lvl w:ilvl="5" w:tplc="3B021172" w:tentative="1">
      <w:start w:val="1"/>
      <w:numFmt w:val="bullet"/>
      <w:lvlText w:val=""/>
      <w:lvlJc w:val="left"/>
      <w:pPr>
        <w:ind w:left="4320" w:hanging="360"/>
      </w:pPr>
      <w:rPr>
        <w:rFonts w:ascii="Wingdings" w:hAnsi="Wingdings" w:hint="default"/>
      </w:rPr>
    </w:lvl>
    <w:lvl w:ilvl="6" w:tplc="9BD0F128" w:tentative="1">
      <w:start w:val="1"/>
      <w:numFmt w:val="bullet"/>
      <w:lvlText w:val=""/>
      <w:lvlJc w:val="left"/>
      <w:pPr>
        <w:ind w:left="5040" w:hanging="360"/>
      </w:pPr>
      <w:rPr>
        <w:rFonts w:ascii="Symbol" w:hAnsi="Symbol" w:hint="default"/>
      </w:rPr>
    </w:lvl>
    <w:lvl w:ilvl="7" w:tplc="2A5C915A" w:tentative="1">
      <w:start w:val="1"/>
      <w:numFmt w:val="bullet"/>
      <w:lvlText w:val="o"/>
      <w:lvlJc w:val="left"/>
      <w:pPr>
        <w:ind w:left="5760" w:hanging="360"/>
      </w:pPr>
      <w:rPr>
        <w:rFonts w:ascii="Courier New" w:hAnsi="Courier New" w:hint="default"/>
      </w:rPr>
    </w:lvl>
    <w:lvl w:ilvl="8" w:tplc="A1026D32" w:tentative="1">
      <w:start w:val="1"/>
      <w:numFmt w:val="bullet"/>
      <w:lvlText w:val=""/>
      <w:lvlJc w:val="left"/>
      <w:pPr>
        <w:ind w:left="6480" w:hanging="360"/>
      </w:pPr>
      <w:rPr>
        <w:rFonts w:ascii="Wingdings" w:hAnsi="Wingdings" w:hint="default"/>
      </w:rPr>
    </w:lvl>
  </w:abstractNum>
  <w:abstractNum w:abstractNumId="47" w15:restartNumberingAfterBreak="0">
    <w:nsid w:val="77C46ADB"/>
    <w:multiLevelType w:val="hybridMultilevel"/>
    <w:tmpl w:val="CDF82522"/>
    <w:lvl w:ilvl="0" w:tplc="080C000F">
      <w:start w:val="1"/>
      <w:numFmt w:val="decimal"/>
      <w:lvlText w:val="%1."/>
      <w:lvlJc w:val="left"/>
      <w:pPr>
        <w:ind w:left="360" w:hanging="360"/>
      </w:pPr>
      <w:rPr>
        <w:rFonts w:hint="default"/>
      </w:r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48" w15:restartNumberingAfterBreak="0">
    <w:nsid w:val="7B762316"/>
    <w:multiLevelType w:val="multilevel"/>
    <w:tmpl w:val="9404F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7"/>
  </w:num>
  <w:num w:numId="2">
    <w:abstractNumId w:val="34"/>
  </w:num>
  <w:num w:numId="3">
    <w:abstractNumId w:val="0"/>
  </w:num>
  <w:num w:numId="4">
    <w:abstractNumId w:val="7"/>
  </w:num>
  <w:num w:numId="5">
    <w:abstractNumId w:val="23"/>
  </w:num>
  <w:num w:numId="6">
    <w:abstractNumId w:val="16"/>
  </w:num>
  <w:num w:numId="7">
    <w:abstractNumId w:val="37"/>
  </w:num>
  <w:num w:numId="8">
    <w:abstractNumId w:val="38"/>
  </w:num>
  <w:num w:numId="9">
    <w:abstractNumId w:val="3"/>
  </w:num>
  <w:num w:numId="10">
    <w:abstractNumId w:val="1"/>
  </w:num>
  <w:num w:numId="11">
    <w:abstractNumId w:val="35"/>
  </w:num>
  <w:num w:numId="12">
    <w:abstractNumId w:val="10"/>
  </w:num>
  <w:num w:numId="13">
    <w:abstractNumId w:val="42"/>
  </w:num>
  <w:num w:numId="14">
    <w:abstractNumId w:val="39"/>
  </w:num>
  <w:num w:numId="15">
    <w:abstractNumId w:val="5"/>
  </w:num>
  <w:num w:numId="16">
    <w:abstractNumId w:val="46"/>
  </w:num>
  <w:num w:numId="17">
    <w:abstractNumId w:val="12"/>
  </w:num>
  <w:num w:numId="18">
    <w:abstractNumId w:val="19"/>
  </w:num>
  <w:num w:numId="19">
    <w:abstractNumId w:val="25"/>
  </w:num>
  <w:num w:numId="20">
    <w:abstractNumId w:val="20"/>
  </w:num>
  <w:num w:numId="21">
    <w:abstractNumId w:val="32"/>
  </w:num>
  <w:num w:numId="22">
    <w:abstractNumId w:val="2"/>
  </w:num>
  <w:num w:numId="23">
    <w:abstractNumId w:val="28"/>
  </w:num>
  <w:num w:numId="24">
    <w:abstractNumId w:val="33"/>
  </w:num>
  <w:num w:numId="25">
    <w:abstractNumId w:val="21"/>
  </w:num>
  <w:num w:numId="26">
    <w:abstractNumId w:val="45"/>
  </w:num>
  <w:num w:numId="27">
    <w:abstractNumId w:val="17"/>
  </w:num>
  <w:num w:numId="28">
    <w:abstractNumId w:val="4"/>
  </w:num>
  <w:num w:numId="29">
    <w:abstractNumId w:val="30"/>
  </w:num>
  <w:num w:numId="30">
    <w:abstractNumId w:val="15"/>
  </w:num>
  <w:num w:numId="31">
    <w:abstractNumId w:val="6"/>
  </w:num>
  <w:num w:numId="32">
    <w:abstractNumId w:val="48"/>
  </w:num>
  <w:num w:numId="33">
    <w:abstractNumId w:val="29"/>
  </w:num>
  <w:num w:numId="34">
    <w:abstractNumId w:val="8"/>
  </w:num>
  <w:num w:numId="35">
    <w:abstractNumId w:val="11"/>
  </w:num>
  <w:num w:numId="36">
    <w:abstractNumId w:val="13"/>
  </w:num>
  <w:num w:numId="37">
    <w:abstractNumId w:val="36"/>
  </w:num>
  <w:num w:numId="38">
    <w:abstractNumId w:val="41"/>
  </w:num>
  <w:num w:numId="39">
    <w:abstractNumId w:val="14"/>
  </w:num>
  <w:num w:numId="40">
    <w:abstractNumId w:val="44"/>
  </w:num>
  <w:num w:numId="41">
    <w:abstractNumId w:val="40"/>
  </w:num>
  <w:num w:numId="42">
    <w:abstractNumId w:val="9"/>
  </w:num>
  <w:num w:numId="43">
    <w:abstractNumId w:val="18"/>
  </w:num>
  <w:num w:numId="44">
    <w:abstractNumId w:val="27"/>
  </w:num>
  <w:num w:numId="45">
    <w:abstractNumId w:val="26"/>
  </w:num>
  <w:num w:numId="46">
    <w:abstractNumId w:val="24"/>
  </w:num>
  <w:num w:numId="47">
    <w:abstractNumId w:val="22"/>
  </w:num>
  <w:num w:numId="48">
    <w:abstractNumId w:val="31"/>
  </w:num>
  <w:num w:numId="49">
    <w:abstractNumId w:val="4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88F65C9-E992-4D35-86DF-DDA68B445E37"/>
    <w:docVar w:name="LW_COVERPAGE_TYPE" w:val="1"/>
    <w:docVar w:name="LW_CROSSREFERENCE" w:val="{SWD(2026) 901 final} - {SWD(2026) 902 final} - {SWD(2026) 903 final} - {SWD(2026) 904 final} - {SWD(2026) 905 final} - {SWD(2026) 906 final} - {SWD(2026) 907 final} - {SWD(2026) 908 final} - {SWD(2026) 909 final} - {SWD(2026) 910 final} - {SWD(2026) 911 final} - {SWD(2026) 912 final} - {SWD(2026) 913 final} - {SWD(2026) 914 final} - {SWD(2026) 915 final} - {SWD(2026) 916 final} - {SWD(2026) 917 final} - {SWD(2026) 918 final} - {SWD(2026) 919 final} - {SWD(2026) 920 final} - {SWD(2026) 921 final} - {SWD(2026) 922 final} - {SWD(2026) 923 final} - {SWD(2026) 924 final} - {SWD(2026) 925 final} - {SWD(2026) 926 final} - {SWD(2026) 927 final} - {SWD(2026) 928 final} - {SWD(2026) 929 final} - {SWD(2026) 930 final} - {SWD(2026) 931 final}"/>
    <w:docVar w:name="LW_DocType" w:val="NORMAL"/>
    <w:docVar w:name="LW_EMISSION" w:val="17.7.2026"/>
    <w:docVar w:name="LW_EMISSION_ISODATE" w:val="2026-07-17"/>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9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Rule of Law Report_x000d__x000d__x000d__x000d__x000d__x000d__x000d__x000d__x000b__x000d__x000d__x000d__x000d__x000d__x000d__x000d__x000d__x000b_The rule of law situation in the European Union"/>
    <w:docVar w:name="LW_TYPE.DOC.CP" w:val="COMMUNICATION FROM THE COMMISSION TO THE EUROPEAN PARLIAMENT, THE COUNCIL, THE EUROPEAN ECONOMIC AND SOCIAL COMMITTEE AND THE COMMITTEE OF THE REGIONS"/>
    <w:docVar w:name="LW_TYPE.DOC.CP.USERTEXT" w:val="&lt;EMPTY&gt;"/>
    <w:docVar w:name="LwApiVersions" w:val="LW4CoDe 1.24.5.0; LW 9.2, Build 20251112"/>
  </w:docVars>
  <w:rsids>
    <w:rsidRoot w:val="00CB4D3D"/>
    <w:rsid w:val="000001D6"/>
    <w:rsid w:val="000001E0"/>
    <w:rsid w:val="00000320"/>
    <w:rsid w:val="00000410"/>
    <w:rsid w:val="00000466"/>
    <w:rsid w:val="0000052D"/>
    <w:rsid w:val="000005F5"/>
    <w:rsid w:val="000005FF"/>
    <w:rsid w:val="00000723"/>
    <w:rsid w:val="0000076E"/>
    <w:rsid w:val="0000078E"/>
    <w:rsid w:val="0000079E"/>
    <w:rsid w:val="000008D3"/>
    <w:rsid w:val="000009A7"/>
    <w:rsid w:val="00000A44"/>
    <w:rsid w:val="00000C89"/>
    <w:rsid w:val="00000CAC"/>
    <w:rsid w:val="0000101C"/>
    <w:rsid w:val="00001235"/>
    <w:rsid w:val="00001251"/>
    <w:rsid w:val="00001290"/>
    <w:rsid w:val="000012F5"/>
    <w:rsid w:val="00001355"/>
    <w:rsid w:val="00001460"/>
    <w:rsid w:val="000015F7"/>
    <w:rsid w:val="0000171A"/>
    <w:rsid w:val="000017C2"/>
    <w:rsid w:val="000017DB"/>
    <w:rsid w:val="000018D6"/>
    <w:rsid w:val="00001978"/>
    <w:rsid w:val="00001998"/>
    <w:rsid w:val="00001BCB"/>
    <w:rsid w:val="00001C02"/>
    <w:rsid w:val="00001D6E"/>
    <w:rsid w:val="00001D83"/>
    <w:rsid w:val="00002097"/>
    <w:rsid w:val="00002151"/>
    <w:rsid w:val="000021F8"/>
    <w:rsid w:val="00002300"/>
    <w:rsid w:val="00002436"/>
    <w:rsid w:val="00002452"/>
    <w:rsid w:val="000025A5"/>
    <w:rsid w:val="00002783"/>
    <w:rsid w:val="00002803"/>
    <w:rsid w:val="00002828"/>
    <w:rsid w:val="0000296B"/>
    <w:rsid w:val="00002AAC"/>
    <w:rsid w:val="00002AB6"/>
    <w:rsid w:val="00002BA3"/>
    <w:rsid w:val="00002D15"/>
    <w:rsid w:val="00002DFD"/>
    <w:rsid w:val="00002FA6"/>
    <w:rsid w:val="00002FF3"/>
    <w:rsid w:val="0000304F"/>
    <w:rsid w:val="00003220"/>
    <w:rsid w:val="00003489"/>
    <w:rsid w:val="000034C1"/>
    <w:rsid w:val="00003511"/>
    <w:rsid w:val="0000357D"/>
    <w:rsid w:val="000035D3"/>
    <w:rsid w:val="00003626"/>
    <w:rsid w:val="000036B6"/>
    <w:rsid w:val="000036FC"/>
    <w:rsid w:val="000037F5"/>
    <w:rsid w:val="00003815"/>
    <w:rsid w:val="00003828"/>
    <w:rsid w:val="0000383F"/>
    <w:rsid w:val="000039DC"/>
    <w:rsid w:val="00003A18"/>
    <w:rsid w:val="00003BD2"/>
    <w:rsid w:val="00003D3B"/>
    <w:rsid w:val="00003DD4"/>
    <w:rsid w:val="00003FED"/>
    <w:rsid w:val="000040D4"/>
    <w:rsid w:val="00004170"/>
    <w:rsid w:val="00004179"/>
    <w:rsid w:val="000041F7"/>
    <w:rsid w:val="00004278"/>
    <w:rsid w:val="000042A2"/>
    <w:rsid w:val="00004315"/>
    <w:rsid w:val="00004362"/>
    <w:rsid w:val="0000436F"/>
    <w:rsid w:val="0000437D"/>
    <w:rsid w:val="00004432"/>
    <w:rsid w:val="00004435"/>
    <w:rsid w:val="0000448C"/>
    <w:rsid w:val="000044DC"/>
    <w:rsid w:val="00004830"/>
    <w:rsid w:val="00004871"/>
    <w:rsid w:val="00004919"/>
    <w:rsid w:val="000049CF"/>
    <w:rsid w:val="000049D6"/>
    <w:rsid w:val="00004ADA"/>
    <w:rsid w:val="00004E39"/>
    <w:rsid w:val="00004E3A"/>
    <w:rsid w:val="00004E64"/>
    <w:rsid w:val="00004FD9"/>
    <w:rsid w:val="00005025"/>
    <w:rsid w:val="000050BE"/>
    <w:rsid w:val="000050FB"/>
    <w:rsid w:val="000053A4"/>
    <w:rsid w:val="00005540"/>
    <w:rsid w:val="000055B0"/>
    <w:rsid w:val="000055D3"/>
    <w:rsid w:val="0000563F"/>
    <w:rsid w:val="000056A2"/>
    <w:rsid w:val="000056D0"/>
    <w:rsid w:val="000058B7"/>
    <w:rsid w:val="000059A3"/>
    <w:rsid w:val="000059FE"/>
    <w:rsid w:val="00005A85"/>
    <w:rsid w:val="00005AC4"/>
    <w:rsid w:val="00005AC6"/>
    <w:rsid w:val="00005D30"/>
    <w:rsid w:val="00005D45"/>
    <w:rsid w:val="00005E87"/>
    <w:rsid w:val="00005EA7"/>
    <w:rsid w:val="00005F30"/>
    <w:rsid w:val="00005FF4"/>
    <w:rsid w:val="000060CF"/>
    <w:rsid w:val="0000612D"/>
    <w:rsid w:val="000061A0"/>
    <w:rsid w:val="00006254"/>
    <w:rsid w:val="0000635A"/>
    <w:rsid w:val="0000635F"/>
    <w:rsid w:val="00006668"/>
    <w:rsid w:val="000069C9"/>
    <w:rsid w:val="00006B0C"/>
    <w:rsid w:val="00006C5C"/>
    <w:rsid w:val="00006C9E"/>
    <w:rsid w:val="00006CE3"/>
    <w:rsid w:val="00006D7C"/>
    <w:rsid w:val="00006DC2"/>
    <w:rsid w:val="00006E13"/>
    <w:rsid w:val="00006E2A"/>
    <w:rsid w:val="00007123"/>
    <w:rsid w:val="0000719E"/>
    <w:rsid w:val="000071C7"/>
    <w:rsid w:val="0000720A"/>
    <w:rsid w:val="0000726F"/>
    <w:rsid w:val="00007481"/>
    <w:rsid w:val="000075CF"/>
    <w:rsid w:val="0000763C"/>
    <w:rsid w:val="00007901"/>
    <w:rsid w:val="00007B22"/>
    <w:rsid w:val="00007B8C"/>
    <w:rsid w:val="00007BB4"/>
    <w:rsid w:val="00007D43"/>
    <w:rsid w:val="00007D6D"/>
    <w:rsid w:val="00007E16"/>
    <w:rsid w:val="0001010D"/>
    <w:rsid w:val="00010147"/>
    <w:rsid w:val="0001028C"/>
    <w:rsid w:val="00010311"/>
    <w:rsid w:val="00010416"/>
    <w:rsid w:val="000104A0"/>
    <w:rsid w:val="0001051A"/>
    <w:rsid w:val="000106A9"/>
    <w:rsid w:val="000106DE"/>
    <w:rsid w:val="00010723"/>
    <w:rsid w:val="0001076A"/>
    <w:rsid w:val="00010816"/>
    <w:rsid w:val="000108D0"/>
    <w:rsid w:val="000108DF"/>
    <w:rsid w:val="0001090B"/>
    <w:rsid w:val="0001091E"/>
    <w:rsid w:val="00010B8E"/>
    <w:rsid w:val="00010BD7"/>
    <w:rsid w:val="00010DCC"/>
    <w:rsid w:val="00010DD5"/>
    <w:rsid w:val="0001101A"/>
    <w:rsid w:val="000110FA"/>
    <w:rsid w:val="00011258"/>
    <w:rsid w:val="00011692"/>
    <w:rsid w:val="0001170E"/>
    <w:rsid w:val="000118B3"/>
    <w:rsid w:val="00011A4B"/>
    <w:rsid w:val="00011CB0"/>
    <w:rsid w:val="00011D35"/>
    <w:rsid w:val="00011E22"/>
    <w:rsid w:val="00011E83"/>
    <w:rsid w:val="000120D6"/>
    <w:rsid w:val="000121E8"/>
    <w:rsid w:val="00012211"/>
    <w:rsid w:val="00012237"/>
    <w:rsid w:val="000124CA"/>
    <w:rsid w:val="00012554"/>
    <w:rsid w:val="000125CB"/>
    <w:rsid w:val="0001262A"/>
    <w:rsid w:val="00012657"/>
    <w:rsid w:val="000126D6"/>
    <w:rsid w:val="00012753"/>
    <w:rsid w:val="0001277D"/>
    <w:rsid w:val="0001279C"/>
    <w:rsid w:val="0001289F"/>
    <w:rsid w:val="000128CE"/>
    <w:rsid w:val="000129B8"/>
    <w:rsid w:val="000129EF"/>
    <w:rsid w:val="00012AA8"/>
    <w:rsid w:val="00012AC0"/>
    <w:rsid w:val="00012B12"/>
    <w:rsid w:val="00012B8E"/>
    <w:rsid w:val="00012CCD"/>
    <w:rsid w:val="00012CEA"/>
    <w:rsid w:val="00012D91"/>
    <w:rsid w:val="00012F1C"/>
    <w:rsid w:val="00012FF1"/>
    <w:rsid w:val="00013032"/>
    <w:rsid w:val="0001303A"/>
    <w:rsid w:val="00013097"/>
    <w:rsid w:val="000130D8"/>
    <w:rsid w:val="000131CB"/>
    <w:rsid w:val="000132D8"/>
    <w:rsid w:val="0001332E"/>
    <w:rsid w:val="000134BD"/>
    <w:rsid w:val="00013736"/>
    <w:rsid w:val="000137A9"/>
    <w:rsid w:val="00013831"/>
    <w:rsid w:val="0001386C"/>
    <w:rsid w:val="00013885"/>
    <w:rsid w:val="00013893"/>
    <w:rsid w:val="0001390E"/>
    <w:rsid w:val="000139BB"/>
    <w:rsid w:val="00013B8B"/>
    <w:rsid w:val="00013C35"/>
    <w:rsid w:val="00013DE6"/>
    <w:rsid w:val="00013EB6"/>
    <w:rsid w:val="00013F70"/>
    <w:rsid w:val="0001420D"/>
    <w:rsid w:val="00014381"/>
    <w:rsid w:val="0001439F"/>
    <w:rsid w:val="000144AE"/>
    <w:rsid w:val="000145F3"/>
    <w:rsid w:val="00014818"/>
    <w:rsid w:val="000149D2"/>
    <w:rsid w:val="00014B76"/>
    <w:rsid w:val="00014C2E"/>
    <w:rsid w:val="00014C71"/>
    <w:rsid w:val="00014E19"/>
    <w:rsid w:val="00014E9F"/>
    <w:rsid w:val="00014FCC"/>
    <w:rsid w:val="00015066"/>
    <w:rsid w:val="00015153"/>
    <w:rsid w:val="00015329"/>
    <w:rsid w:val="00015413"/>
    <w:rsid w:val="000156F7"/>
    <w:rsid w:val="00015778"/>
    <w:rsid w:val="000157B2"/>
    <w:rsid w:val="00015818"/>
    <w:rsid w:val="0001592D"/>
    <w:rsid w:val="0001596A"/>
    <w:rsid w:val="000159CF"/>
    <w:rsid w:val="00015AEA"/>
    <w:rsid w:val="00015B95"/>
    <w:rsid w:val="00015C4B"/>
    <w:rsid w:val="00015D12"/>
    <w:rsid w:val="00015D84"/>
    <w:rsid w:val="00015E58"/>
    <w:rsid w:val="00015E63"/>
    <w:rsid w:val="00015E83"/>
    <w:rsid w:val="00015EAF"/>
    <w:rsid w:val="00015F9B"/>
    <w:rsid w:val="00015FA3"/>
    <w:rsid w:val="0001601D"/>
    <w:rsid w:val="0001605F"/>
    <w:rsid w:val="00016268"/>
    <w:rsid w:val="000162D4"/>
    <w:rsid w:val="00016383"/>
    <w:rsid w:val="000165DB"/>
    <w:rsid w:val="000166B5"/>
    <w:rsid w:val="00016773"/>
    <w:rsid w:val="00016928"/>
    <w:rsid w:val="00016973"/>
    <w:rsid w:val="00016ADC"/>
    <w:rsid w:val="00016C80"/>
    <w:rsid w:val="00016D86"/>
    <w:rsid w:val="00016F5F"/>
    <w:rsid w:val="00016F64"/>
    <w:rsid w:val="0001701A"/>
    <w:rsid w:val="0001708D"/>
    <w:rsid w:val="000170CA"/>
    <w:rsid w:val="00017359"/>
    <w:rsid w:val="00017488"/>
    <w:rsid w:val="000174A5"/>
    <w:rsid w:val="000174D4"/>
    <w:rsid w:val="000175B5"/>
    <w:rsid w:val="00017813"/>
    <w:rsid w:val="00017837"/>
    <w:rsid w:val="00017878"/>
    <w:rsid w:val="000178AB"/>
    <w:rsid w:val="00017B13"/>
    <w:rsid w:val="00017B45"/>
    <w:rsid w:val="00017CEA"/>
    <w:rsid w:val="00017D0A"/>
    <w:rsid w:val="00017DC9"/>
    <w:rsid w:val="00017FC8"/>
    <w:rsid w:val="00020072"/>
    <w:rsid w:val="000201B2"/>
    <w:rsid w:val="00020241"/>
    <w:rsid w:val="000203DA"/>
    <w:rsid w:val="000203EF"/>
    <w:rsid w:val="000204AC"/>
    <w:rsid w:val="00020505"/>
    <w:rsid w:val="00020603"/>
    <w:rsid w:val="0002061D"/>
    <w:rsid w:val="0002074D"/>
    <w:rsid w:val="00020759"/>
    <w:rsid w:val="00020884"/>
    <w:rsid w:val="000208A8"/>
    <w:rsid w:val="00020980"/>
    <w:rsid w:val="00020F8D"/>
    <w:rsid w:val="00020F9F"/>
    <w:rsid w:val="00020FCF"/>
    <w:rsid w:val="0002112E"/>
    <w:rsid w:val="0002113B"/>
    <w:rsid w:val="00021162"/>
    <w:rsid w:val="000211EF"/>
    <w:rsid w:val="0002129D"/>
    <w:rsid w:val="00021345"/>
    <w:rsid w:val="000214D7"/>
    <w:rsid w:val="000214DA"/>
    <w:rsid w:val="00021587"/>
    <w:rsid w:val="000215C1"/>
    <w:rsid w:val="00021630"/>
    <w:rsid w:val="00021635"/>
    <w:rsid w:val="00021763"/>
    <w:rsid w:val="000217C1"/>
    <w:rsid w:val="00021823"/>
    <w:rsid w:val="0002185F"/>
    <w:rsid w:val="00021881"/>
    <w:rsid w:val="0002192A"/>
    <w:rsid w:val="00021A57"/>
    <w:rsid w:val="00021A7A"/>
    <w:rsid w:val="00021B18"/>
    <w:rsid w:val="00021CB9"/>
    <w:rsid w:val="00021D93"/>
    <w:rsid w:val="00021E8B"/>
    <w:rsid w:val="00021EF9"/>
    <w:rsid w:val="00021F7A"/>
    <w:rsid w:val="0002208C"/>
    <w:rsid w:val="000221CE"/>
    <w:rsid w:val="00022204"/>
    <w:rsid w:val="000223EC"/>
    <w:rsid w:val="0002240D"/>
    <w:rsid w:val="00022508"/>
    <w:rsid w:val="000225E5"/>
    <w:rsid w:val="0002261D"/>
    <w:rsid w:val="000226C7"/>
    <w:rsid w:val="00022804"/>
    <w:rsid w:val="00022A21"/>
    <w:rsid w:val="00022A5C"/>
    <w:rsid w:val="00022A62"/>
    <w:rsid w:val="00022B04"/>
    <w:rsid w:val="00022CAC"/>
    <w:rsid w:val="00022E83"/>
    <w:rsid w:val="00022ECC"/>
    <w:rsid w:val="00023093"/>
    <w:rsid w:val="0002326C"/>
    <w:rsid w:val="00023430"/>
    <w:rsid w:val="000234EF"/>
    <w:rsid w:val="00023547"/>
    <w:rsid w:val="000235EA"/>
    <w:rsid w:val="000236CE"/>
    <w:rsid w:val="0002370E"/>
    <w:rsid w:val="00023799"/>
    <w:rsid w:val="000237E1"/>
    <w:rsid w:val="00023857"/>
    <w:rsid w:val="000239CD"/>
    <w:rsid w:val="00023A13"/>
    <w:rsid w:val="00023ACA"/>
    <w:rsid w:val="00023AD8"/>
    <w:rsid w:val="00023CA9"/>
    <w:rsid w:val="00023D9A"/>
    <w:rsid w:val="00023F7A"/>
    <w:rsid w:val="00023FF2"/>
    <w:rsid w:val="00023FF6"/>
    <w:rsid w:val="00024091"/>
    <w:rsid w:val="000242E3"/>
    <w:rsid w:val="00024347"/>
    <w:rsid w:val="000243C2"/>
    <w:rsid w:val="00024405"/>
    <w:rsid w:val="00024443"/>
    <w:rsid w:val="00024462"/>
    <w:rsid w:val="00024556"/>
    <w:rsid w:val="00024B8F"/>
    <w:rsid w:val="00024BEE"/>
    <w:rsid w:val="00024BFC"/>
    <w:rsid w:val="00024C0A"/>
    <w:rsid w:val="00024D80"/>
    <w:rsid w:val="00024E72"/>
    <w:rsid w:val="00024EE6"/>
    <w:rsid w:val="0002500D"/>
    <w:rsid w:val="00025054"/>
    <w:rsid w:val="000250EB"/>
    <w:rsid w:val="00025297"/>
    <w:rsid w:val="000253A5"/>
    <w:rsid w:val="000256DB"/>
    <w:rsid w:val="000257B6"/>
    <w:rsid w:val="000257C0"/>
    <w:rsid w:val="000258B2"/>
    <w:rsid w:val="000259B5"/>
    <w:rsid w:val="00025ABB"/>
    <w:rsid w:val="00025BB6"/>
    <w:rsid w:val="00025DB1"/>
    <w:rsid w:val="00025ED7"/>
    <w:rsid w:val="00025F39"/>
    <w:rsid w:val="00026013"/>
    <w:rsid w:val="00026016"/>
    <w:rsid w:val="0002608D"/>
    <w:rsid w:val="000262B7"/>
    <w:rsid w:val="000263EA"/>
    <w:rsid w:val="00026458"/>
    <w:rsid w:val="000264D8"/>
    <w:rsid w:val="000264EB"/>
    <w:rsid w:val="00026507"/>
    <w:rsid w:val="000265FC"/>
    <w:rsid w:val="000268D1"/>
    <w:rsid w:val="00026934"/>
    <w:rsid w:val="00026A07"/>
    <w:rsid w:val="00026A0F"/>
    <w:rsid w:val="00026B8A"/>
    <w:rsid w:val="00026BD0"/>
    <w:rsid w:val="00026BDC"/>
    <w:rsid w:val="00026C93"/>
    <w:rsid w:val="00026D62"/>
    <w:rsid w:val="00026DD0"/>
    <w:rsid w:val="00026E63"/>
    <w:rsid w:val="00027033"/>
    <w:rsid w:val="000270A0"/>
    <w:rsid w:val="00027365"/>
    <w:rsid w:val="00027396"/>
    <w:rsid w:val="00027482"/>
    <w:rsid w:val="000274AF"/>
    <w:rsid w:val="000276C3"/>
    <w:rsid w:val="00027743"/>
    <w:rsid w:val="00027A42"/>
    <w:rsid w:val="00027CBC"/>
    <w:rsid w:val="00027CD8"/>
    <w:rsid w:val="00027FA5"/>
    <w:rsid w:val="000300A5"/>
    <w:rsid w:val="000301DE"/>
    <w:rsid w:val="0003071C"/>
    <w:rsid w:val="00030746"/>
    <w:rsid w:val="000308F2"/>
    <w:rsid w:val="00030986"/>
    <w:rsid w:val="00030A63"/>
    <w:rsid w:val="00030AFC"/>
    <w:rsid w:val="00030B46"/>
    <w:rsid w:val="00030C28"/>
    <w:rsid w:val="00030C44"/>
    <w:rsid w:val="00030CD5"/>
    <w:rsid w:val="00030D30"/>
    <w:rsid w:val="00030E03"/>
    <w:rsid w:val="00030E3C"/>
    <w:rsid w:val="00030EB1"/>
    <w:rsid w:val="00030F4D"/>
    <w:rsid w:val="00031000"/>
    <w:rsid w:val="00031003"/>
    <w:rsid w:val="0003107B"/>
    <w:rsid w:val="0003109F"/>
    <w:rsid w:val="00031163"/>
    <w:rsid w:val="0003119E"/>
    <w:rsid w:val="00031212"/>
    <w:rsid w:val="00031300"/>
    <w:rsid w:val="00031341"/>
    <w:rsid w:val="000313B0"/>
    <w:rsid w:val="000314F1"/>
    <w:rsid w:val="00031889"/>
    <w:rsid w:val="00031941"/>
    <w:rsid w:val="00031AC0"/>
    <w:rsid w:val="00031CA8"/>
    <w:rsid w:val="00031D27"/>
    <w:rsid w:val="00031D35"/>
    <w:rsid w:val="00031EAD"/>
    <w:rsid w:val="00031ED8"/>
    <w:rsid w:val="00031F1B"/>
    <w:rsid w:val="00031F42"/>
    <w:rsid w:val="00031FE6"/>
    <w:rsid w:val="00031FF5"/>
    <w:rsid w:val="000321C9"/>
    <w:rsid w:val="00032207"/>
    <w:rsid w:val="00032229"/>
    <w:rsid w:val="000322A9"/>
    <w:rsid w:val="000322B9"/>
    <w:rsid w:val="000324E3"/>
    <w:rsid w:val="000325FD"/>
    <w:rsid w:val="000325FE"/>
    <w:rsid w:val="00032641"/>
    <w:rsid w:val="0003269F"/>
    <w:rsid w:val="00032734"/>
    <w:rsid w:val="00032769"/>
    <w:rsid w:val="0003276C"/>
    <w:rsid w:val="00032876"/>
    <w:rsid w:val="0003299C"/>
    <w:rsid w:val="000329FA"/>
    <w:rsid w:val="00032ABB"/>
    <w:rsid w:val="00032B2D"/>
    <w:rsid w:val="00032BEB"/>
    <w:rsid w:val="00032C21"/>
    <w:rsid w:val="00032C3F"/>
    <w:rsid w:val="00032D9B"/>
    <w:rsid w:val="00032DDD"/>
    <w:rsid w:val="00032EDC"/>
    <w:rsid w:val="00032EF9"/>
    <w:rsid w:val="00032F05"/>
    <w:rsid w:val="00033283"/>
    <w:rsid w:val="000332AD"/>
    <w:rsid w:val="000332BF"/>
    <w:rsid w:val="00033422"/>
    <w:rsid w:val="00033512"/>
    <w:rsid w:val="00033521"/>
    <w:rsid w:val="0003353E"/>
    <w:rsid w:val="0003354A"/>
    <w:rsid w:val="00033566"/>
    <w:rsid w:val="0003357D"/>
    <w:rsid w:val="00033658"/>
    <w:rsid w:val="00033680"/>
    <w:rsid w:val="000336E8"/>
    <w:rsid w:val="0003385F"/>
    <w:rsid w:val="00033AF3"/>
    <w:rsid w:val="00033B62"/>
    <w:rsid w:val="00033B95"/>
    <w:rsid w:val="00033D82"/>
    <w:rsid w:val="00033FC5"/>
    <w:rsid w:val="00033FED"/>
    <w:rsid w:val="00034378"/>
    <w:rsid w:val="000344B6"/>
    <w:rsid w:val="00034526"/>
    <w:rsid w:val="00034590"/>
    <w:rsid w:val="0003468E"/>
    <w:rsid w:val="00034AA7"/>
    <w:rsid w:val="00034AAC"/>
    <w:rsid w:val="00034B73"/>
    <w:rsid w:val="00034BBC"/>
    <w:rsid w:val="00034D75"/>
    <w:rsid w:val="00034DCB"/>
    <w:rsid w:val="00034F5E"/>
    <w:rsid w:val="00034FD6"/>
    <w:rsid w:val="00034FE9"/>
    <w:rsid w:val="00035152"/>
    <w:rsid w:val="000351EE"/>
    <w:rsid w:val="00035316"/>
    <w:rsid w:val="00035394"/>
    <w:rsid w:val="000354D3"/>
    <w:rsid w:val="0003551D"/>
    <w:rsid w:val="0003557E"/>
    <w:rsid w:val="00035633"/>
    <w:rsid w:val="000356C7"/>
    <w:rsid w:val="000357AF"/>
    <w:rsid w:val="000357B7"/>
    <w:rsid w:val="00035819"/>
    <w:rsid w:val="000358B9"/>
    <w:rsid w:val="00035A08"/>
    <w:rsid w:val="00035A87"/>
    <w:rsid w:val="00035D0C"/>
    <w:rsid w:val="00035FA0"/>
    <w:rsid w:val="00035FEB"/>
    <w:rsid w:val="00036208"/>
    <w:rsid w:val="000362F4"/>
    <w:rsid w:val="0003634A"/>
    <w:rsid w:val="000363BF"/>
    <w:rsid w:val="0003642A"/>
    <w:rsid w:val="00036462"/>
    <w:rsid w:val="00036477"/>
    <w:rsid w:val="00036486"/>
    <w:rsid w:val="0003649C"/>
    <w:rsid w:val="00036542"/>
    <w:rsid w:val="000365AE"/>
    <w:rsid w:val="00036790"/>
    <w:rsid w:val="0003680B"/>
    <w:rsid w:val="00036903"/>
    <w:rsid w:val="00036A0D"/>
    <w:rsid w:val="00036A3D"/>
    <w:rsid w:val="00036ADF"/>
    <w:rsid w:val="00036BFC"/>
    <w:rsid w:val="00036CA4"/>
    <w:rsid w:val="00036D39"/>
    <w:rsid w:val="00036D52"/>
    <w:rsid w:val="000371F1"/>
    <w:rsid w:val="0003737E"/>
    <w:rsid w:val="0003738F"/>
    <w:rsid w:val="0003753C"/>
    <w:rsid w:val="00037542"/>
    <w:rsid w:val="000375B0"/>
    <w:rsid w:val="000376B6"/>
    <w:rsid w:val="000376D8"/>
    <w:rsid w:val="0003776D"/>
    <w:rsid w:val="000378A6"/>
    <w:rsid w:val="000378D2"/>
    <w:rsid w:val="00037BA0"/>
    <w:rsid w:val="00037CC1"/>
    <w:rsid w:val="00037FB9"/>
    <w:rsid w:val="000400B2"/>
    <w:rsid w:val="0004013C"/>
    <w:rsid w:val="00040161"/>
    <w:rsid w:val="000402AC"/>
    <w:rsid w:val="00040308"/>
    <w:rsid w:val="00040353"/>
    <w:rsid w:val="0004036B"/>
    <w:rsid w:val="00040420"/>
    <w:rsid w:val="00040480"/>
    <w:rsid w:val="0004056C"/>
    <w:rsid w:val="000406BC"/>
    <w:rsid w:val="0004079E"/>
    <w:rsid w:val="00040A99"/>
    <w:rsid w:val="00040B33"/>
    <w:rsid w:val="00040BA6"/>
    <w:rsid w:val="00040BDC"/>
    <w:rsid w:val="00040C36"/>
    <w:rsid w:val="00040C86"/>
    <w:rsid w:val="00040E6B"/>
    <w:rsid w:val="00040EEE"/>
    <w:rsid w:val="00040F91"/>
    <w:rsid w:val="00041189"/>
    <w:rsid w:val="000411E8"/>
    <w:rsid w:val="000411EE"/>
    <w:rsid w:val="00041209"/>
    <w:rsid w:val="00041260"/>
    <w:rsid w:val="000412FA"/>
    <w:rsid w:val="000413DC"/>
    <w:rsid w:val="000414CA"/>
    <w:rsid w:val="0004154A"/>
    <w:rsid w:val="000416D5"/>
    <w:rsid w:val="0004173A"/>
    <w:rsid w:val="00041913"/>
    <w:rsid w:val="0004191D"/>
    <w:rsid w:val="00041A73"/>
    <w:rsid w:val="00041EAE"/>
    <w:rsid w:val="0004226A"/>
    <w:rsid w:val="000422E8"/>
    <w:rsid w:val="000423D7"/>
    <w:rsid w:val="00042538"/>
    <w:rsid w:val="00042604"/>
    <w:rsid w:val="00042614"/>
    <w:rsid w:val="000426E1"/>
    <w:rsid w:val="0004272A"/>
    <w:rsid w:val="00042756"/>
    <w:rsid w:val="00042765"/>
    <w:rsid w:val="000429C7"/>
    <w:rsid w:val="000429D8"/>
    <w:rsid w:val="00042ADA"/>
    <w:rsid w:val="00042BFB"/>
    <w:rsid w:val="00042DCC"/>
    <w:rsid w:val="00042EBD"/>
    <w:rsid w:val="00042EFF"/>
    <w:rsid w:val="00042F9C"/>
    <w:rsid w:val="00043030"/>
    <w:rsid w:val="00043051"/>
    <w:rsid w:val="000431DC"/>
    <w:rsid w:val="000431EB"/>
    <w:rsid w:val="000433B3"/>
    <w:rsid w:val="000433B6"/>
    <w:rsid w:val="000434A4"/>
    <w:rsid w:val="000435CC"/>
    <w:rsid w:val="00043610"/>
    <w:rsid w:val="000436C2"/>
    <w:rsid w:val="00043757"/>
    <w:rsid w:val="000437E4"/>
    <w:rsid w:val="00043866"/>
    <w:rsid w:val="000439D9"/>
    <w:rsid w:val="00043A1E"/>
    <w:rsid w:val="00043A40"/>
    <w:rsid w:val="00043B80"/>
    <w:rsid w:val="00043BD1"/>
    <w:rsid w:val="00043BF1"/>
    <w:rsid w:val="00043D0B"/>
    <w:rsid w:val="00043F18"/>
    <w:rsid w:val="00043F30"/>
    <w:rsid w:val="0004400F"/>
    <w:rsid w:val="0004405D"/>
    <w:rsid w:val="0004421A"/>
    <w:rsid w:val="000442F2"/>
    <w:rsid w:val="0004450B"/>
    <w:rsid w:val="00044655"/>
    <w:rsid w:val="00044686"/>
    <w:rsid w:val="00044941"/>
    <w:rsid w:val="000449F2"/>
    <w:rsid w:val="00044B31"/>
    <w:rsid w:val="00044B8A"/>
    <w:rsid w:val="00044E0D"/>
    <w:rsid w:val="00044E8B"/>
    <w:rsid w:val="00044EC4"/>
    <w:rsid w:val="00044F59"/>
    <w:rsid w:val="00045121"/>
    <w:rsid w:val="00045216"/>
    <w:rsid w:val="000453DA"/>
    <w:rsid w:val="0004548E"/>
    <w:rsid w:val="00045663"/>
    <w:rsid w:val="000456F3"/>
    <w:rsid w:val="000458A5"/>
    <w:rsid w:val="00045923"/>
    <w:rsid w:val="000459F3"/>
    <w:rsid w:val="00045A70"/>
    <w:rsid w:val="00045C51"/>
    <w:rsid w:val="00045C84"/>
    <w:rsid w:val="00045C9C"/>
    <w:rsid w:val="0004611B"/>
    <w:rsid w:val="000461BB"/>
    <w:rsid w:val="00046215"/>
    <w:rsid w:val="0004635E"/>
    <w:rsid w:val="0004648A"/>
    <w:rsid w:val="000465B4"/>
    <w:rsid w:val="00046604"/>
    <w:rsid w:val="0004665D"/>
    <w:rsid w:val="000466A1"/>
    <w:rsid w:val="00046858"/>
    <w:rsid w:val="0004688E"/>
    <w:rsid w:val="00046943"/>
    <w:rsid w:val="000469C9"/>
    <w:rsid w:val="00046A9B"/>
    <w:rsid w:val="00046AD5"/>
    <w:rsid w:val="00046C8D"/>
    <w:rsid w:val="00046E7E"/>
    <w:rsid w:val="00046F1B"/>
    <w:rsid w:val="0004707F"/>
    <w:rsid w:val="000470FA"/>
    <w:rsid w:val="00047160"/>
    <w:rsid w:val="00047212"/>
    <w:rsid w:val="00047263"/>
    <w:rsid w:val="000472C8"/>
    <w:rsid w:val="00047373"/>
    <w:rsid w:val="000473BC"/>
    <w:rsid w:val="00047411"/>
    <w:rsid w:val="000474B0"/>
    <w:rsid w:val="000475E2"/>
    <w:rsid w:val="000475EE"/>
    <w:rsid w:val="0004765C"/>
    <w:rsid w:val="00047828"/>
    <w:rsid w:val="00047904"/>
    <w:rsid w:val="0004791D"/>
    <w:rsid w:val="0004795A"/>
    <w:rsid w:val="000479AF"/>
    <w:rsid w:val="00047ADB"/>
    <w:rsid w:val="00047B7A"/>
    <w:rsid w:val="00047D68"/>
    <w:rsid w:val="00047E37"/>
    <w:rsid w:val="00047F02"/>
    <w:rsid w:val="00047F6B"/>
    <w:rsid w:val="00047F72"/>
    <w:rsid w:val="00050015"/>
    <w:rsid w:val="0005002C"/>
    <w:rsid w:val="0005005E"/>
    <w:rsid w:val="00050101"/>
    <w:rsid w:val="000501A0"/>
    <w:rsid w:val="0005037F"/>
    <w:rsid w:val="00050596"/>
    <w:rsid w:val="00050655"/>
    <w:rsid w:val="000506C5"/>
    <w:rsid w:val="000506CA"/>
    <w:rsid w:val="000506FC"/>
    <w:rsid w:val="0005097C"/>
    <w:rsid w:val="000509AC"/>
    <w:rsid w:val="00050C33"/>
    <w:rsid w:val="00050CDA"/>
    <w:rsid w:val="00050DAD"/>
    <w:rsid w:val="00050DC3"/>
    <w:rsid w:val="00051131"/>
    <w:rsid w:val="00051316"/>
    <w:rsid w:val="000513C9"/>
    <w:rsid w:val="00051534"/>
    <w:rsid w:val="000515FC"/>
    <w:rsid w:val="00051893"/>
    <w:rsid w:val="000518E8"/>
    <w:rsid w:val="00051A0C"/>
    <w:rsid w:val="00051A5A"/>
    <w:rsid w:val="00051AE3"/>
    <w:rsid w:val="00051AF5"/>
    <w:rsid w:val="00051C38"/>
    <w:rsid w:val="00051C83"/>
    <w:rsid w:val="00051CC2"/>
    <w:rsid w:val="00051D67"/>
    <w:rsid w:val="00051DCA"/>
    <w:rsid w:val="00051E24"/>
    <w:rsid w:val="00051EA2"/>
    <w:rsid w:val="00051ED6"/>
    <w:rsid w:val="00051EEC"/>
    <w:rsid w:val="00051FA2"/>
    <w:rsid w:val="000520A0"/>
    <w:rsid w:val="0005238F"/>
    <w:rsid w:val="000523A3"/>
    <w:rsid w:val="000523BE"/>
    <w:rsid w:val="00052555"/>
    <w:rsid w:val="000525E9"/>
    <w:rsid w:val="00052618"/>
    <w:rsid w:val="0005271D"/>
    <w:rsid w:val="00052829"/>
    <w:rsid w:val="000528C2"/>
    <w:rsid w:val="0005290F"/>
    <w:rsid w:val="00052B64"/>
    <w:rsid w:val="00052CCC"/>
    <w:rsid w:val="00052CF5"/>
    <w:rsid w:val="00052D1B"/>
    <w:rsid w:val="00052D65"/>
    <w:rsid w:val="00052DA1"/>
    <w:rsid w:val="00052EBB"/>
    <w:rsid w:val="00052F22"/>
    <w:rsid w:val="00052FAC"/>
    <w:rsid w:val="00052FB3"/>
    <w:rsid w:val="000534B7"/>
    <w:rsid w:val="00053571"/>
    <w:rsid w:val="00053605"/>
    <w:rsid w:val="0005361E"/>
    <w:rsid w:val="0005363B"/>
    <w:rsid w:val="000537BF"/>
    <w:rsid w:val="000538DD"/>
    <w:rsid w:val="00053B3C"/>
    <w:rsid w:val="00053B44"/>
    <w:rsid w:val="00053C6B"/>
    <w:rsid w:val="00053D0C"/>
    <w:rsid w:val="00053D36"/>
    <w:rsid w:val="00053E87"/>
    <w:rsid w:val="00053E8A"/>
    <w:rsid w:val="00053F2C"/>
    <w:rsid w:val="00054184"/>
    <w:rsid w:val="00054300"/>
    <w:rsid w:val="00054345"/>
    <w:rsid w:val="00054461"/>
    <w:rsid w:val="00054519"/>
    <w:rsid w:val="0005460D"/>
    <w:rsid w:val="0005462F"/>
    <w:rsid w:val="000546D0"/>
    <w:rsid w:val="0005472B"/>
    <w:rsid w:val="000548A2"/>
    <w:rsid w:val="00054926"/>
    <w:rsid w:val="00054965"/>
    <w:rsid w:val="0005496D"/>
    <w:rsid w:val="000549E4"/>
    <w:rsid w:val="00054A04"/>
    <w:rsid w:val="00054A4C"/>
    <w:rsid w:val="00054BC4"/>
    <w:rsid w:val="00054C29"/>
    <w:rsid w:val="00054E2E"/>
    <w:rsid w:val="00054E36"/>
    <w:rsid w:val="0005508D"/>
    <w:rsid w:val="00055128"/>
    <w:rsid w:val="00055131"/>
    <w:rsid w:val="0005517C"/>
    <w:rsid w:val="00055389"/>
    <w:rsid w:val="000554F2"/>
    <w:rsid w:val="00055558"/>
    <w:rsid w:val="0005580E"/>
    <w:rsid w:val="000558EF"/>
    <w:rsid w:val="00055A60"/>
    <w:rsid w:val="00055B3E"/>
    <w:rsid w:val="00055D46"/>
    <w:rsid w:val="00055D57"/>
    <w:rsid w:val="00055D8E"/>
    <w:rsid w:val="00055E96"/>
    <w:rsid w:val="000560C3"/>
    <w:rsid w:val="00056234"/>
    <w:rsid w:val="00056757"/>
    <w:rsid w:val="0005686B"/>
    <w:rsid w:val="00056BFC"/>
    <w:rsid w:val="00056D33"/>
    <w:rsid w:val="00056D3E"/>
    <w:rsid w:val="00056DC3"/>
    <w:rsid w:val="00056E4F"/>
    <w:rsid w:val="00056E9C"/>
    <w:rsid w:val="0005709C"/>
    <w:rsid w:val="00057291"/>
    <w:rsid w:val="000573AF"/>
    <w:rsid w:val="00057445"/>
    <w:rsid w:val="0005749E"/>
    <w:rsid w:val="000575F6"/>
    <w:rsid w:val="00057765"/>
    <w:rsid w:val="0005777F"/>
    <w:rsid w:val="00057AA7"/>
    <w:rsid w:val="00057BB4"/>
    <w:rsid w:val="00057C17"/>
    <w:rsid w:val="00057C4F"/>
    <w:rsid w:val="00057D62"/>
    <w:rsid w:val="00057DED"/>
    <w:rsid w:val="0006006F"/>
    <w:rsid w:val="000600BB"/>
    <w:rsid w:val="0006016B"/>
    <w:rsid w:val="00060311"/>
    <w:rsid w:val="000604B2"/>
    <w:rsid w:val="000604C4"/>
    <w:rsid w:val="000604E7"/>
    <w:rsid w:val="00060529"/>
    <w:rsid w:val="0006059F"/>
    <w:rsid w:val="000605A2"/>
    <w:rsid w:val="000605E4"/>
    <w:rsid w:val="000606D8"/>
    <w:rsid w:val="000607DD"/>
    <w:rsid w:val="000608E5"/>
    <w:rsid w:val="000608F7"/>
    <w:rsid w:val="00060B36"/>
    <w:rsid w:val="00060D49"/>
    <w:rsid w:val="00060D4C"/>
    <w:rsid w:val="00060D52"/>
    <w:rsid w:val="00060E46"/>
    <w:rsid w:val="00060EAE"/>
    <w:rsid w:val="00060EB7"/>
    <w:rsid w:val="00060EC3"/>
    <w:rsid w:val="00060EE0"/>
    <w:rsid w:val="000610D2"/>
    <w:rsid w:val="00061172"/>
    <w:rsid w:val="0006131C"/>
    <w:rsid w:val="00061460"/>
    <w:rsid w:val="0006157D"/>
    <w:rsid w:val="00061911"/>
    <w:rsid w:val="00061922"/>
    <w:rsid w:val="00061980"/>
    <w:rsid w:val="00061B7E"/>
    <w:rsid w:val="00061C37"/>
    <w:rsid w:val="00061C79"/>
    <w:rsid w:val="0006207C"/>
    <w:rsid w:val="00062361"/>
    <w:rsid w:val="000623DC"/>
    <w:rsid w:val="000623FA"/>
    <w:rsid w:val="00062470"/>
    <w:rsid w:val="0006257F"/>
    <w:rsid w:val="0006268B"/>
    <w:rsid w:val="00062766"/>
    <w:rsid w:val="00062A1E"/>
    <w:rsid w:val="00062A54"/>
    <w:rsid w:val="00062AA9"/>
    <w:rsid w:val="00062AD0"/>
    <w:rsid w:val="00063022"/>
    <w:rsid w:val="000630FA"/>
    <w:rsid w:val="000633C0"/>
    <w:rsid w:val="000633E6"/>
    <w:rsid w:val="00063497"/>
    <w:rsid w:val="00063518"/>
    <w:rsid w:val="0006358A"/>
    <w:rsid w:val="000635D7"/>
    <w:rsid w:val="00063654"/>
    <w:rsid w:val="00063745"/>
    <w:rsid w:val="00063807"/>
    <w:rsid w:val="000638EF"/>
    <w:rsid w:val="00063951"/>
    <w:rsid w:val="00063C73"/>
    <w:rsid w:val="00063EBB"/>
    <w:rsid w:val="00064184"/>
    <w:rsid w:val="000641E0"/>
    <w:rsid w:val="000643E6"/>
    <w:rsid w:val="0006444D"/>
    <w:rsid w:val="00064747"/>
    <w:rsid w:val="000647D1"/>
    <w:rsid w:val="000647F6"/>
    <w:rsid w:val="00064A10"/>
    <w:rsid w:val="00064A1B"/>
    <w:rsid w:val="00064A3F"/>
    <w:rsid w:val="00064B4D"/>
    <w:rsid w:val="00064B9F"/>
    <w:rsid w:val="00064BAE"/>
    <w:rsid w:val="00064C11"/>
    <w:rsid w:val="00064C3F"/>
    <w:rsid w:val="00064D1E"/>
    <w:rsid w:val="00064DF6"/>
    <w:rsid w:val="00064F1E"/>
    <w:rsid w:val="00064F55"/>
    <w:rsid w:val="00064FBB"/>
    <w:rsid w:val="00065334"/>
    <w:rsid w:val="00065362"/>
    <w:rsid w:val="00065430"/>
    <w:rsid w:val="0006570D"/>
    <w:rsid w:val="00065738"/>
    <w:rsid w:val="000658B7"/>
    <w:rsid w:val="00065970"/>
    <w:rsid w:val="00065984"/>
    <w:rsid w:val="000659C5"/>
    <w:rsid w:val="00065D17"/>
    <w:rsid w:val="00065DCD"/>
    <w:rsid w:val="00065DD0"/>
    <w:rsid w:val="00065E1A"/>
    <w:rsid w:val="00065E45"/>
    <w:rsid w:val="00065EA0"/>
    <w:rsid w:val="00065EAB"/>
    <w:rsid w:val="00066006"/>
    <w:rsid w:val="000660CC"/>
    <w:rsid w:val="0006617D"/>
    <w:rsid w:val="000661BC"/>
    <w:rsid w:val="000661D5"/>
    <w:rsid w:val="000661DE"/>
    <w:rsid w:val="000662C2"/>
    <w:rsid w:val="0006631F"/>
    <w:rsid w:val="00066377"/>
    <w:rsid w:val="00066395"/>
    <w:rsid w:val="000664AC"/>
    <w:rsid w:val="00066528"/>
    <w:rsid w:val="000665CE"/>
    <w:rsid w:val="0006674C"/>
    <w:rsid w:val="00066807"/>
    <w:rsid w:val="00066870"/>
    <w:rsid w:val="000668D0"/>
    <w:rsid w:val="000669BB"/>
    <w:rsid w:val="00066BB0"/>
    <w:rsid w:val="00066CA9"/>
    <w:rsid w:val="00066CED"/>
    <w:rsid w:val="00066D7D"/>
    <w:rsid w:val="00066FF1"/>
    <w:rsid w:val="00067080"/>
    <w:rsid w:val="000670D5"/>
    <w:rsid w:val="000671CF"/>
    <w:rsid w:val="000672C5"/>
    <w:rsid w:val="000673AD"/>
    <w:rsid w:val="0006763E"/>
    <w:rsid w:val="00067678"/>
    <w:rsid w:val="000678CA"/>
    <w:rsid w:val="0006797C"/>
    <w:rsid w:val="00067A38"/>
    <w:rsid w:val="00067B1C"/>
    <w:rsid w:val="00067B46"/>
    <w:rsid w:val="00067BEE"/>
    <w:rsid w:val="00067CA7"/>
    <w:rsid w:val="00067CDD"/>
    <w:rsid w:val="00067F70"/>
    <w:rsid w:val="00070002"/>
    <w:rsid w:val="00070068"/>
    <w:rsid w:val="00070273"/>
    <w:rsid w:val="0007033D"/>
    <w:rsid w:val="0007052B"/>
    <w:rsid w:val="0007087A"/>
    <w:rsid w:val="00070889"/>
    <w:rsid w:val="00070971"/>
    <w:rsid w:val="00070984"/>
    <w:rsid w:val="000709AB"/>
    <w:rsid w:val="000709DB"/>
    <w:rsid w:val="00070A82"/>
    <w:rsid w:val="00070BB6"/>
    <w:rsid w:val="00070D15"/>
    <w:rsid w:val="00070D76"/>
    <w:rsid w:val="00070DD1"/>
    <w:rsid w:val="00070E9E"/>
    <w:rsid w:val="00070EF7"/>
    <w:rsid w:val="00070EF9"/>
    <w:rsid w:val="0007105E"/>
    <w:rsid w:val="00071073"/>
    <w:rsid w:val="000710E2"/>
    <w:rsid w:val="00071254"/>
    <w:rsid w:val="00071325"/>
    <w:rsid w:val="00071A2F"/>
    <w:rsid w:val="00071AD2"/>
    <w:rsid w:val="00071AFB"/>
    <w:rsid w:val="00071B35"/>
    <w:rsid w:val="00071FCA"/>
    <w:rsid w:val="00072006"/>
    <w:rsid w:val="000721D4"/>
    <w:rsid w:val="00072352"/>
    <w:rsid w:val="000723C2"/>
    <w:rsid w:val="000724AB"/>
    <w:rsid w:val="00072555"/>
    <w:rsid w:val="00072670"/>
    <w:rsid w:val="000726A1"/>
    <w:rsid w:val="000726B4"/>
    <w:rsid w:val="000727C2"/>
    <w:rsid w:val="00072807"/>
    <w:rsid w:val="00072824"/>
    <w:rsid w:val="00072830"/>
    <w:rsid w:val="00072902"/>
    <w:rsid w:val="00072A78"/>
    <w:rsid w:val="00072B96"/>
    <w:rsid w:val="00072CD6"/>
    <w:rsid w:val="00072D23"/>
    <w:rsid w:val="00072E39"/>
    <w:rsid w:val="00072FDE"/>
    <w:rsid w:val="00073262"/>
    <w:rsid w:val="00073559"/>
    <w:rsid w:val="00073571"/>
    <w:rsid w:val="00073594"/>
    <w:rsid w:val="00073606"/>
    <w:rsid w:val="00073621"/>
    <w:rsid w:val="0007372A"/>
    <w:rsid w:val="000739B2"/>
    <w:rsid w:val="000739CB"/>
    <w:rsid w:val="00073B03"/>
    <w:rsid w:val="00073B66"/>
    <w:rsid w:val="00073C75"/>
    <w:rsid w:val="00073D44"/>
    <w:rsid w:val="00073E83"/>
    <w:rsid w:val="00073F13"/>
    <w:rsid w:val="00074316"/>
    <w:rsid w:val="00074368"/>
    <w:rsid w:val="0007440F"/>
    <w:rsid w:val="00074567"/>
    <w:rsid w:val="00074597"/>
    <w:rsid w:val="000745BA"/>
    <w:rsid w:val="000746AF"/>
    <w:rsid w:val="0007480D"/>
    <w:rsid w:val="00074856"/>
    <w:rsid w:val="000748CD"/>
    <w:rsid w:val="00074989"/>
    <w:rsid w:val="000749F3"/>
    <w:rsid w:val="00074AE1"/>
    <w:rsid w:val="00074CCC"/>
    <w:rsid w:val="00074E03"/>
    <w:rsid w:val="00074EB4"/>
    <w:rsid w:val="0007500A"/>
    <w:rsid w:val="000750D6"/>
    <w:rsid w:val="00075139"/>
    <w:rsid w:val="000751DE"/>
    <w:rsid w:val="00075212"/>
    <w:rsid w:val="0007524F"/>
    <w:rsid w:val="000753F1"/>
    <w:rsid w:val="0007544F"/>
    <w:rsid w:val="000754ED"/>
    <w:rsid w:val="00075609"/>
    <w:rsid w:val="00075694"/>
    <w:rsid w:val="000756AF"/>
    <w:rsid w:val="0007571B"/>
    <w:rsid w:val="000757B1"/>
    <w:rsid w:val="0007584B"/>
    <w:rsid w:val="000759DE"/>
    <w:rsid w:val="00075A9B"/>
    <w:rsid w:val="00075B15"/>
    <w:rsid w:val="00075B34"/>
    <w:rsid w:val="00075BFD"/>
    <w:rsid w:val="00075C67"/>
    <w:rsid w:val="00075C6A"/>
    <w:rsid w:val="00075CDF"/>
    <w:rsid w:val="00075DAB"/>
    <w:rsid w:val="00075FD2"/>
    <w:rsid w:val="0007609B"/>
    <w:rsid w:val="00076205"/>
    <w:rsid w:val="0007621A"/>
    <w:rsid w:val="000763CE"/>
    <w:rsid w:val="000764B8"/>
    <w:rsid w:val="000765B7"/>
    <w:rsid w:val="00076691"/>
    <w:rsid w:val="000766DD"/>
    <w:rsid w:val="00076701"/>
    <w:rsid w:val="00076823"/>
    <w:rsid w:val="0007684C"/>
    <w:rsid w:val="000768A6"/>
    <w:rsid w:val="00076910"/>
    <w:rsid w:val="00076966"/>
    <w:rsid w:val="00076B06"/>
    <w:rsid w:val="00076C1B"/>
    <w:rsid w:val="00076C74"/>
    <w:rsid w:val="00076D57"/>
    <w:rsid w:val="00076E59"/>
    <w:rsid w:val="00076ED3"/>
    <w:rsid w:val="0007713B"/>
    <w:rsid w:val="00077161"/>
    <w:rsid w:val="000772D4"/>
    <w:rsid w:val="000773AA"/>
    <w:rsid w:val="000773F0"/>
    <w:rsid w:val="0007742D"/>
    <w:rsid w:val="00077707"/>
    <w:rsid w:val="00077769"/>
    <w:rsid w:val="0007778F"/>
    <w:rsid w:val="000778AD"/>
    <w:rsid w:val="00077A64"/>
    <w:rsid w:val="00077D30"/>
    <w:rsid w:val="00077E67"/>
    <w:rsid w:val="00077EEE"/>
    <w:rsid w:val="00077F89"/>
    <w:rsid w:val="000805D3"/>
    <w:rsid w:val="00080683"/>
    <w:rsid w:val="000806C0"/>
    <w:rsid w:val="0008070C"/>
    <w:rsid w:val="000809A5"/>
    <w:rsid w:val="00080A56"/>
    <w:rsid w:val="00080B8A"/>
    <w:rsid w:val="00080BB2"/>
    <w:rsid w:val="00080F19"/>
    <w:rsid w:val="00081032"/>
    <w:rsid w:val="00081039"/>
    <w:rsid w:val="000811C6"/>
    <w:rsid w:val="000811DC"/>
    <w:rsid w:val="00081307"/>
    <w:rsid w:val="0008133C"/>
    <w:rsid w:val="0008151C"/>
    <w:rsid w:val="0008168E"/>
    <w:rsid w:val="000817E6"/>
    <w:rsid w:val="00081865"/>
    <w:rsid w:val="00081874"/>
    <w:rsid w:val="00081A07"/>
    <w:rsid w:val="00081A5C"/>
    <w:rsid w:val="00081A64"/>
    <w:rsid w:val="00081B32"/>
    <w:rsid w:val="00081BB5"/>
    <w:rsid w:val="00081C64"/>
    <w:rsid w:val="00081D4A"/>
    <w:rsid w:val="00081DCC"/>
    <w:rsid w:val="00081EC2"/>
    <w:rsid w:val="00081F59"/>
    <w:rsid w:val="00081F98"/>
    <w:rsid w:val="00081F9A"/>
    <w:rsid w:val="00082004"/>
    <w:rsid w:val="0008211F"/>
    <w:rsid w:val="00082146"/>
    <w:rsid w:val="00082224"/>
    <w:rsid w:val="000822D9"/>
    <w:rsid w:val="000822DE"/>
    <w:rsid w:val="000823BB"/>
    <w:rsid w:val="000823D5"/>
    <w:rsid w:val="000823D8"/>
    <w:rsid w:val="000823FC"/>
    <w:rsid w:val="00082441"/>
    <w:rsid w:val="00082636"/>
    <w:rsid w:val="0008263E"/>
    <w:rsid w:val="0008264B"/>
    <w:rsid w:val="000826E4"/>
    <w:rsid w:val="00082708"/>
    <w:rsid w:val="0008273F"/>
    <w:rsid w:val="00082777"/>
    <w:rsid w:val="000828B9"/>
    <w:rsid w:val="00082972"/>
    <w:rsid w:val="00082A50"/>
    <w:rsid w:val="00082AED"/>
    <w:rsid w:val="00082C56"/>
    <w:rsid w:val="00082C75"/>
    <w:rsid w:val="00082D30"/>
    <w:rsid w:val="00082E72"/>
    <w:rsid w:val="00082F57"/>
    <w:rsid w:val="000831B6"/>
    <w:rsid w:val="00083322"/>
    <w:rsid w:val="000833FB"/>
    <w:rsid w:val="00083536"/>
    <w:rsid w:val="000836CD"/>
    <w:rsid w:val="00083717"/>
    <w:rsid w:val="000839E6"/>
    <w:rsid w:val="00083A80"/>
    <w:rsid w:val="00083B9D"/>
    <w:rsid w:val="00083BB1"/>
    <w:rsid w:val="00083BED"/>
    <w:rsid w:val="00083DE4"/>
    <w:rsid w:val="00083E0B"/>
    <w:rsid w:val="00083EFA"/>
    <w:rsid w:val="00083FA3"/>
    <w:rsid w:val="0008414A"/>
    <w:rsid w:val="00084156"/>
    <w:rsid w:val="00084178"/>
    <w:rsid w:val="0008426B"/>
    <w:rsid w:val="00084351"/>
    <w:rsid w:val="00084446"/>
    <w:rsid w:val="00084577"/>
    <w:rsid w:val="00084A90"/>
    <w:rsid w:val="00084B85"/>
    <w:rsid w:val="00084CD7"/>
    <w:rsid w:val="00084D35"/>
    <w:rsid w:val="00084E61"/>
    <w:rsid w:val="00085248"/>
    <w:rsid w:val="0008532A"/>
    <w:rsid w:val="00085374"/>
    <w:rsid w:val="00085537"/>
    <w:rsid w:val="0008560F"/>
    <w:rsid w:val="0008567F"/>
    <w:rsid w:val="000857DE"/>
    <w:rsid w:val="000859D7"/>
    <w:rsid w:val="00085B15"/>
    <w:rsid w:val="00085B92"/>
    <w:rsid w:val="00085D4B"/>
    <w:rsid w:val="00085E54"/>
    <w:rsid w:val="00085E66"/>
    <w:rsid w:val="00085ED7"/>
    <w:rsid w:val="00085ED8"/>
    <w:rsid w:val="000861FE"/>
    <w:rsid w:val="00086241"/>
    <w:rsid w:val="00086243"/>
    <w:rsid w:val="000862CB"/>
    <w:rsid w:val="00086328"/>
    <w:rsid w:val="000863B8"/>
    <w:rsid w:val="00086431"/>
    <w:rsid w:val="00086464"/>
    <w:rsid w:val="0008651B"/>
    <w:rsid w:val="000867B4"/>
    <w:rsid w:val="000867F3"/>
    <w:rsid w:val="00086864"/>
    <w:rsid w:val="00086965"/>
    <w:rsid w:val="00086A28"/>
    <w:rsid w:val="00086A65"/>
    <w:rsid w:val="00086B07"/>
    <w:rsid w:val="00086C09"/>
    <w:rsid w:val="00086DA5"/>
    <w:rsid w:val="00086DC2"/>
    <w:rsid w:val="00086DCA"/>
    <w:rsid w:val="00086E44"/>
    <w:rsid w:val="00086E72"/>
    <w:rsid w:val="00086F77"/>
    <w:rsid w:val="00086FBC"/>
    <w:rsid w:val="000870B4"/>
    <w:rsid w:val="00087157"/>
    <w:rsid w:val="000871CC"/>
    <w:rsid w:val="0008740E"/>
    <w:rsid w:val="000874A9"/>
    <w:rsid w:val="00087601"/>
    <w:rsid w:val="0008763B"/>
    <w:rsid w:val="000878C2"/>
    <w:rsid w:val="0008791C"/>
    <w:rsid w:val="0008797B"/>
    <w:rsid w:val="000879A5"/>
    <w:rsid w:val="000879E1"/>
    <w:rsid w:val="00087A44"/>
    <w:rsid w:val="00087AD8"/>
    <w:rsid w:val="00087B3A"/>
    <w:rsid w:val="00087B8D"/>
    <w:rsid w:val="00087B92"/>
    <w:rsid w:val="00087C15"/>
    <w:rsid w:val="00087DA1"/>
    <w:rsid w:val="00087E0E"/>
    <w:rsid w:val="00087F34"/>
    <w:rsid w:val="00090215"/>
    <w:rsid w:val="00090230"/>
    <w:rsid w:val="00090435"/>
    <w:rsid w:val="0009050D"/>
    <w:rsid w:val="00090592"/>
    <w:rsid w:val="00090788"/>
    <w:rsid w:val="0009096A"/>
    <w:rsid w:val="00090999"/>
    <w:rsid w:val="00090BC9"/>
    <w:rsid w:val="00090C46"/>
    <w:rsid w:val="00090F0E"/>
    <w:rsid w:val="000910AC"/>
    <w:rsid w:val="00091230"/>
    <w:rsid w:val="00091344"/>
    <w:rsid w:val="000913C9"/>
    <w:rsid w:val="00091410"/>
    <w:rsid w:val="000914B9"/>
    <w:rsid w:val="0009183B"/>
    <w:rsid w:val="0009189A"/>
    <w:rsid w:val="0009193F"/>
    <w:rsid w:val="000919A0"/>
    <w:rsid w:val="00091AFA"/>
    <w:rsid w:val="00091B66"/>
    <w:rsid w:val="00091B99"/>
    <w:rsid w:val="00091C2F"/>
    <w:rsid w:val="00091CD6"/>
    <w:rsid w:val="00091CE7"/>
    <w:rsid w:val="00091EFC"/>
    <w:rsid w:val="00091F06"/>
    <w:rsid w:val="0009213F"/>
    <w:rsid w:val="00092385"/>
    <w:rsid w:val="00092437"/>
    <w:rsid w:val="00092499"/>
    <w:rsid w:val="00092534"/>
    <w:rsid w:val="00092683"/>
    <w:rsid w:val="000926A6"/>
    <w:rsid w:val="000926F2"/>
    <w:rsid w:val="00092705"/>
    <w:rsid w:val="0009271F"/>
    <w:rsid w:val="00092740"/>
    <w:rsid w:val="00092805"/>
    <w:rsid w:val="00092925"/>
    <w:rsid w:val="00092976"/>
    <w:rsid w:val="00092AAB"/>
    <w:rsid w:val="00092AAF"/>
    <w:rsid w:val="00092B70"/>
    <w:rsid w:val="00092CCB"/>
    <w:rsid w:val="00092D66"/>
    <w:rsid w:val="00092D8E"/>
    <w:rsid w:val="00092E90"/>
    <w:rsid w:val="00092E9A"/>
    <w:rsid w:val="00092EED"/>
    <w:rsid w:val="0009303B"/>
    <w:rsid w:val="00093137"/>
    <w:rsid w:val="000932A1"/>
    <w:rsid w:val="000932F9"/>
    <w:rsid w:val="000933A1"/>
    <w:rsid w:val="000933E1"/>
    <w:rsid w:val="00093429"/>
    <w:rsid w:val="0009342F"/>
    <w:rsid w:val="00093472"/>
    <w:rsid w:val="000935A8"/>
    <w:rsid w:val="00093625"/>
    <w:rsid w:val="0009377B"/>
    <w:rsid w:val="000937CD"/>
    <w:rsid w:val="00093858"/>
    <w:rsid w:val="000938D3"/>
    <w:rsid w:val="000938E0"/>
    <w:rsid w:val="00093AF3"/>
    <w:rsid w:val="00093B25"/>
    <w:rsid w:val="00093E9A"/>
    <w:rsid w:val="00093EDF"/>
    <w:rsid w:val="00093F66"/>
    <w:rsid w:val="00093F8D"/>
    <w:rsid w:val="0009407E"/>
    <w:rsid w:val="000940D2"/>
    <w:rsid w:val="00094135"/>
    <w:rsid w:val="000942F7"/>
    <w:rsid w:val="00094436"/>
    <w:rsid w:val="00094494"/>
    <w:rsid w:val="000944D4"/>
    <w:rsid w:val="000944DE"/>
    <w:rsid w:val="000944F7"/>
    <w:rsid w:val="00094520"/>
    <w:rsid w:val="000945A6"/>
    <w:rsid w:val="00094623"/>
    <w:rsid w:val="00094767"/>
    <w:rsid w:val="00094845"/>
    <w:rsid w:val="00094869"/>
    <w:rsid w:val="000949A3"/>
    <w:rsid w:val="00094C63"/>
    <w:rsid w:val="00094CE6"/>
    <w:rsid w:val="00094D4C"/>
    <w:rsid w:val="00094D7A"/>
    <w:rsid w:val="00094EAB"/>
    <w:rsid w:val="00094FE9"/>
    <w:rsid w:val="00095001"/>
    <w:rsid w:val="0009528E"/>
    <w:rsid w:val="000952E3"/>
    <w:rsid w:val="000953BD"/>
    <w:rsid w:val="00095457"/>
    <w:rsid w:val="0009553C"/>
    <w:rsid w:val="00095633"/>
    <w:rsid w:val="0009569D"/>
    <w:rsid w:val="000957D0"/>
    <w:rsid w:val="000957EA"/>
    <w:rsid w:val="00095828"/>
    <w:rsid w:val="00095984"/>
    <w:rsid w:val="000959E0"/>
    <w:rsid w:val="00095A5E"/>
    <w:rsid w:val="00095AEF"/>
    <w:rsid w:val="00095B95"/>
    <w:rsid w:val="00095C50"/>
    <w:rsid w:val="00095D21"/>
    <w:rsid w:val="00095DC5"/>
    <w:rsid w:val="00095F3C"/>
    <w:rsid w:val="00096011"/>
    <w:rsid w:val="0009615B"/>
    <w:rsid w:val="0009618B"/>
    <w:rsid w:val="00096303"/>
    <w:rsid w:val="00096395"/>
    <w:rsid w:val="000964A1"/>
    <w:rsid w:val="000964B1"/>
    <w:rsid w:val="00096734"/>
    <w:rsid w:val="0009675E"/>
    <w:rsid w:val="000967B1"/>
    <w:rsid w:val="00096898"/>
    <w:rsid w:val="00096957"/>
    <w:rsid w:val="00096A09"/>
    <w:rsid w:val="00096AB7"/>
    <w:rsid w:val="00096B34"/>
    <w:rsid w:val="00096B4B"/>
    <w:rsid w:val="00096B68"/>
    <w:rsid w:val="00096BB4"/>
    <w:rsid w:val="00096C03"/>
    <w:rsid w:val="00096C1F"/>
    <w:rsid w:val="00096E19"/>
    <w:rsid w:val="00096E5D"/>
    <w:rsid w:val="00096EEC"/>
    <w:rsid w:val="00096FAC"/>
    <w:rsid w:val="0009714C"/>
    <w:rsid w:val="000972F2"/>
    <w:rsid w:val="00097477"/>
    <w:rsid w:val="000974AC"/>
    <w:rsid w:val="00097556"/>
    <w:rsid w:val="0009758E"/>
    <w:rsid w:val="000977B7"/>
    <w:rsid w:val="00097A99"/>
    <w:rsid w:val="00097AF7"/>
    <w:rsid w:val="00097D0F"/>
    <w:rsid w:val="00097FA7"/>
    <w:rsid w:val="00097FC7"/>
    <w:rsid w:val="000A003E"/>
    <w:rsid w:val="000A00AC"/>
    <w:rsid w:val="000A0305"/>
    <w:rsid w:val="000A0370"/>
    <w:rsid w:val="000A03B8"/>
    <w:rsid w:val="000A0427"/>
    <w:rsid w:val="000A0479"/>
    <w:rsid w:val="000A0694"/>
    <w:rsid w:val="000A080C"/>
    <w:rsid w:val="000A0845"/>
    <w:rsid w:val="000A09CB"/>
    <w:rsid w:val="000A09CC"/>
    <w:rsid w:val="000A0BBB"/>
    <w:rsid w:val="000A0D65"/>
    <w:rsid w:val="000A11D2"/>
    <w:rsid w:val="000A124E"/>
    <w:rsid w:val="000A1414"/>
    <w:rsid w:val="000A1487"/>
    <w:rsid w:val="000A1571"/>
    <w:rsid w:val="000A16EB"/>
    <w:rsid w:val="000A1718"/>
    <w:rsid w:val="000A1872"/>
    <w:rsid w:val="000A18C5"/>
    <w:rsid w:val="000A19B9"/>
    <w:rsid w:val="000A1A92"/>
    <w:rsid w:val="000A1AAF"/>
    <w:rsid w:val="000A1ABB"/>
    <w:rsid w:val="000A1C7B"/>
    <w:rsid w:val="000A1DDE"/>
    <w:rsid w:val="000A1F06"/>
    <w:rsid w:val="000A2017"/>
    <w:rsid w:val="000A20AB"/>
    <w:rsid w:val="000A2110"/>
    <w:rsid w:val="000A2322"/>
    <w:rsid w:val="000A2476"/>
    <w:rsid w:val="000A24B0"/>
    <w:rsid w:val="000A24B5"/>
    <w:rsid w:val="000A2534"/>
    <w:rsid w:val="000A25F9"/>
    <w:rsid w:val="000A2626"/>
    <w:rsid w:val="000A279D"/>
    <w:rsid w:val="000A2888"/>
    <w:rsid w:val="000A295B"/>
    <w:rsid w:val="000A2BC1"/>
    <w:rsid w:val="000A2FCA"/>
    <w:rsid w:val="000A30D7"/>
    <w:rsid w:val="000A30E3"/>
    <w:rsid w:val="000A323A"/>
    <w:rsid w:val="000A327C"/>
    <w:rsid w:val="000A32B9"/>
    <w:rsid w:val="000A3354"/>
    <w:rsid w:val="000A339E"/>
    <w:rsid w:val="000A3428"/>
    <w:rsid w:val="000A34AD"/>
    <w:rsid w:val="000A34D1"/>
    <w:rsid w:val="000A3704"/>
    <w:rsid w:val="000A378F"/>
    <w:rsid w:val="000A38F2"/>
    <w:rsid w:val="000A3971"/>
    <w:rsid w:val="000A39C2"/>
    <w:rsid w:val="000A3A0A"/>
    <w:rsid w:val="000A3AC4"/>
    <w:rsid w:val="000A3B1B"/>
    <w:rsid w:val="000A3B27"/>
    <w:rsid w:val="000A3C1C"/>
    <w:rsid w:val="000A3C36"/>
    <w:rsid w:val="000A3E64"/>
    <w:rsid w:val="000A3EC0"/>
    <w:rsid w:val="000A3EF3"/>
    <w:rsid w:val="000A40E8"/>
    <w:rsid w:val="000A414B"/>
    <w:rsid w:val="000A43A6"/>
    <w:rsid w:val="000A4408"/>
    <w:rsid w:val="000A45E1"/>
    <w:rsid w:val="000A47AE"/>
    <w:rsid w:val="000A4805"/>
    <w:rsid w:val="000A482F"/>
    <w:rsid w:val="000A493B"/>
    <w:rsid w:val="000A4994"/>
    <w:rsid w:val="000A4A89"/>
    <w:rsid w:val="000A4ABA"/>
    <w:rsid w:val="000A4B92"/>
    <w:rsid w:val="000A4BED"/>
    <w:rsid w:val="000A4C90"/>
    <w:rsid w:val="000A4CEF"/>
    <w:rsid w:val="000A4DE9"/>
    <w:rsid w:val="000A4DF6"/>
    <w:rsid w:val="000A4E6A"/>
    <w:rsid w:val="000A4EAA"/>
    <w:rsid w:val="000A4FD8"/>
    <w:rsid w:val="000A50FC"/>
    <w:rsid w:val="000A5189"/>
    <w:rsid w:val="000A51A0"/>
    <w:rsid w:val="000A51AC"/>
    <w:rsid w:val="000A5242"/>
    <w:rsid w:val="000A53E3"/>
    <w:rsid w:val="000A558A"/>
    <w:rsid w:val="000A5887"/>
    <w:rsid w:val="000A58FB"/>
    <w:rsid w:val="000A5D80"/>
    <w:rsid w:val="000A5FCC"/>
    <w:rsid w:val="000A5FD0"/>
    <w:rsid w:val="000A629F"/>
    <w:rsid w:val="000A62F0"/>
    <w:rsid w:val="000A656E"/>
    <w:rsid w:val="000A6577"/>
    <w:rsid w:val="000A6669"/>
    <w:rsid w:val="000A67BD"/>
    <w:rsid w:val="000A6828"/>
    <w:rsid w:val="000A682B"/>
    <w:rsid w:val="000A6920"/>
    <w:rsid w:val="000A697F"/>
    <w:rsid w:val="000A6999"/>
    <w:rsid w:val="000A6B69"/>
    <w:rsid w:val="000A6B94"/>
    <w:rsid w:val="000A6D87"/>
    <w:rsid w:val="000A6FC3"/>
    <w:rsid w:val="000A7006"/>
    <w:rsid w:val="000A70B0"/>
    <w:rsid w:val="000A71F1"/>
    <w:rsid w:val="000A72D8"/>
    <w:rsid w:val="000A74BC"/>
    <w:rsid w:val="000A750C"/>
    <w:rsid w:val="000A797D"/>
    <w:rsid w:val="000A79B4"/>
    <w:rsid w:val="000A7A00"/>
    <w:rsid w:val="000A7C29"/>
    <w:rsid w:val="000A7C31"/>
    <w:rsid w:val="000A7D1E"/>
    <w:rsid w:val="000A7D93"/>
    <w:rsid w:val="000A7E14"/>
    <w:rsid w:val="000B0010"/>
    <w:rsid w:val="000B0194"/>
    <w:rsid w:val="000B01D2"/>
    <w:rsid w:val="000B0216"/>
    <w:rsid w:val="000B0289"/>
    <w:rsid w:val="000B0338"/>
    <w:rsid w:val="000B04CB"/>
    <w:rsid w:val="000B04CE"/>
    <w:rsid w:val="000B04F7"/>
    <w:rsid w:val="000B064F"/>
    <w:rsid w:val="000B0A76"/>
    <w:rsid w:val="000B0A9C"/>
    <w:rsid w:val="000B0C6F"/>
    <w:rsid w:val="000B0CA6"/>
    <w:rsid w:val="000B0D66"/>
    <w:rsid w:val="000B0DAD"/>
    <w:rsid w:val="000B0F5F"/>
    <w:rsid w:val="000B1063"/>
    <w:rsid w:val="000B11C8"/>
    <w:rsid w:val="000B130B"/>
    <w:rsid w:val="000B1453"/>
    <w:rsid w:val="000B15D8"/>
    <w:rsid w:val="000B1675"/>
    <w:rsid w:val="000B1698"/>
    <w:rsid w:val="000B1727"/>
    <w:rsid w:val="000B1835"/>
    <w:rsid w:val="000B18F5"/>
    <w:rsid w:val="000B190C"/>
    <w:rsid w:val="000B1989"/>
    <w:rsid w:val="000B19C4"/>
    <w:rsid w:val="000B1A7D"/>
    <w:rsid w:val="000B1AF6"/>
    <w:rsid w:val="000B1C79"/>
    <w:rsid w:val="000B1DE9"/>
    <w:rsid w:val="000B1DEB"/>
    <w:rsid w:val="000B1F32"/>
    <w:rsid w:val="000B2009"/>
    <w:rsid w:val="000B208A"/>
    <w:rsid w:val="000B20C4"/>
    <w:rsid w:val="000B2185"/>
    <w:rsid w:val="000B22A1"/>
    <w:rsid w:val="000B2381"/>
    <w:rsid w:val="000B23C3"/>
    <w:rsid w:val="000B2400"/>
    <w:rsid w:val="000B2491"/>
    <w:rsid w:val="000B25B7"/>
    <w:rsid w:val="000B268E"/>
    <w:rsid w:val="000B2743"/>
    <w:rsid w:val="000B28A3"/>
    <w:rsid w:val="000B2976"/>
    <w:rsid w:val="000B29C5"/>
    <w:rsid w:val="000B29C9"/>
    <w:rsid w:val="000B2A56"/>
    <w:rsid w:val="000B2BF9"/>
    <w:rsid w:val="000B2E04"/>
    <w:rsid w:val="000B2FD9"/>
    <w:rsid w:val="000B3023"/>
    <w:rsid w:val="000B3103"/>
    <w:rsid w:val="000B312B"/>
    <w:rsid w:val="000B31D3"/>
    <w:rsid w:val="000B3231"/>
    <w:rsid w:val="000B324A"/>
    <w:rsid w:val="000B3357"/>
    <w:rsid w:val="000B33B8"/>
    <w:rsid w:val="000B33F0"/>
    <w:rsid w:val="000B3428"/>
    <w:rsid w:val="000B34D9"/>
    <w:rsid w:val="000B35A8"/>
    <w:rsid w:val="000B373E"/>
    <w:rsid w:val="000B382E"/>
    <w:rsid w:val="000B3848"/>
    <w:rsid w:val="000B3A9A"/>
    <w:rsid w:val="000B3B3E"/>
    <w:rsid w:val="000B3D4B"/>
    <w:rsid w:val="000B3E09"/>
    <w:rsid w:val="000B3E41"/>
    <w:rsid w:val="000B3E70"/>
    <w:rsid w:val="000B3FC2"/>
    <w:rsid w:val="000B404F"/>
    <w:rsid w:val="000B4083"/>
    <w:rsid w:val="000B40C2"/>
    <w:rsid w:val="000B444C"/>
    <w:rsid w:val="000B4473"/>
    <w:rsid w:val="000B47D0"/>
    <w:rsid w:val="000B4881"/>
    <w:rsid w:val="000B4888"/>
    <w:rsid w:val="000B48ED"/>
    <w:rsid w:val="000B4A12"/>
    <w:rsid w:val="000B4A15"/>
    <w:rsid w:val="000B4A90"/>
    <w:rsid w:val="000B4B10"/>
    <w:rsid w:val="000B4B8E"/>
    <w:rsid w:val="000B4D3E"/>
    <w:rsid w:val="000B4EFF"/>
    <w:rsid w:val="000B4F3C"/>
    <w:rsid w:val="000B4FDB"/>
    <w:rsid w:val="000B50BA"/>
    <w:rsid w:val="000B50EA"/>
    <w:rsid w:val="000B5150"/>
    <w:rsid w:val="000B5151"/>
    <w:rsid w:val="000B5158"/>
    <w:rsid w:val="000B5168"/>
    <w:rsid w:val="000B5285"/>
    <w:rsid w:val="000B547F"/>
    <w:rsid w:val="000B54F6"/>
    <w:rsid w:val="000B5593"/>
    <w:rsid w:val="000B56D1"/>
    <w:rsid w:val="000B58C1"/>
    <w:rsid w:val="000B5A3C"/>
    <w:rsid w:val="000B5A4A"/>
    <w:rsid w:val="000B5AD3"/>
    <w:rsid w:val="000B5AE4"/>
    <w:rsid w:val="000B5B03"/>
    <w:rsid w:val="000B5C43"/>
    <w:rsid w:val="000B5CB3"/>
    <w:rsid w:val="000B5CB4"/>
    <w:rsid w:val="000B5E2F"/>
    <w:rsid w:val="000B5ED6"/>
    <w:rsid w:val="000B5F28"/>
    <w:rsid w:val="000B5F56"/>
    <w:rsid w:val="000B60EF"/>
    <w:rsid w:val="000B6148"/>
    <w:rsid w:val="000B6202"/>
    <w:rsid w:val="000B627D"/>
    <w:rsid w:val="000B630E"/>
    <w:rsid w:val="000B6328"/>
    <w:rsid w:val="000B6423"/>
    <w:rsid w:val="000B6424"/>
    <w:rsid w:val="000B64E7"/>
    <w:rsid w:val="000B66A6"/>
    <w:rsid w:val="000B6717"/>
    <w:rsid w:val="000B672E"/>
    <w:rsid w:val="000B68B5"/>
    <w:rsid w:val="000B695D"/>
    <w:rsid w:val="000B6A19"/>
    <w:rsid w:val="000B6A30"/>
    <w:rsid w:val="000B6BA4"/>
    <w:rsid w:val="000B6BEE"/>
    <w:rsid w:val="000B6CB1"/>
    <w:rsid w:val="000B6E06"/>
    <w:rsid w:val="000B6EDA"/>
    <w:rsid w:val="000B6F0C"/>
    <w:rsid w:val="000B7130"/>
    <w:rsid w:val="000B71E1"/>
    <w:rsid w:val="000B72C5"/>
    <w:rsid w:val="000B7519"/>
    <w:rsid w:val="000B752C"/>
    <w:rsid w:val="000B7537"/>
    <w:rsid w:val="000B7965"/>
    <w:rsid w:val="000B7A90"/>
    <w:rsid w:val="000B7B11"/>
    <w:rsid w:val="000B7BA8"/>
    <w:rsid w:val="000B7C4C"/>
    <w:rsid w:val="000B7C69"/>
    <w:rsid w:val="000B7C6E"/>
    <w:rsid w:val="000B7C8C"/>
    <w:rsid w:val="000B7CAC"/>
    <w:rsid w:val="000B7D32"/>
    <w:rsid w:val="000B7E14"/>
    <w:rsid w:val="000C0069"/>
    <w:rsid w:val="000C031F"/>
    <w:rsid w:val="000C0496"/>
    <w:rsid w:val="000C054C"/>
    <w:rsid w:val="000C0675"/>
    <w:rsid w:val="000C06CA"/>
    <w:rsid w:val="000C06D8"/>
    <w:rsid w:val="000C081F"/>
    <w:rsid w:val="000C0830"/>
    <w:rsid w:val="000C0899"/>
    <w:rsid w:val="000C08E8"/>
    <w:rsid w:val="000C08F0"/>
    <w:rsid w:val="000C0AEE"/>
    <w:rsid w:val="000C0B3C"/>
    <w:rsid w:val="000C0C12"/>
    <w:rsid w:val="000C0C7D"/>
    <w:rsid w:val="000C112E"/>
    <w:rsid w:val="000C148C"/>
    <w:rsid w:val="000C14A7"/>
    <w:rsid w:val="000C14D5"/>
    <w:rsid w:val="000C1529"/>
    <w:rsid w:val="000C152F"/>
    <w:rsid w:val="000C1640"/>
    <w:rsid w:val="000C16AE"/>
    <w:rsid w:val="000C17E5"/>
    <w:rsid w:val="000C1877"/>
    <w:rsid w:val="000C1AC4"/>
    <w:rsid w:val="000C1C25"/>
    <w:rsid w:val="000C1D06"/>
    <w:rsid w:val="000C1D07"/>
    <w:rsid w:val="000C1D1B"/>
    <w:rsid w:val="000C1DB0"/>
    <w:rsid w:val="000C1FBD"/>
    <w:rsid w:val="000C2019"/>
    <w:rsid w:val="000C25D9"/>
    <w:rsid w:val="000C2845"/>
    <w:rsid w:val="000C287F"/>
    <w:rsid w:val="000C2BC2"/>
    <w:rsid w:val="000C2CA0"/>
    <w:rsid w:val="000C2E2C"/>
    <w:rsid w:val="000C2F14"/>
    <w:rsid w:val="000C2F74"/>
    <w:rsid w:val="000C2F90"/>
    <w:rsid w:val="000C2FB7"/>
    <w:rsid w:val="000C31B8"/>
    <w:rsid w:val="000C3231"/>
    <w:rsid w:val="000C328F"/>
    <w:rsid w:val="000C33C3"/>
    <w:rsid w:val="000C347B"/>
    <w:rsid w:val="000C3879"/>
    <w:rsid w:val="000C38FF"/>
    <w:rsid w:val="000C393D"/>
    <w:rsid w:val="000C3A02"/>
    <w:rsid w:val="000C3BBE"/>
    <w:rsid w:val="000C3D83"/>
    <w:rsid w:val="000C3D9E"/>
    <w:rsid w:val="000C3FE3"/>
    <w:rsid w:val="000C3FE4"/>
    <w:rsid w:val="000C3FEE"/>
    <w:rsid w:val="000C40C3"/>
    <w:rsid w:val="000C40FE"/>
    <w:rsid w:val="000C41C1"/>
    <w:rsid w:val="000C41E8"/>
    <w:rsid w:val="000C421C"/>
    <w:rsid w:val="000C423A"/>
    <w:rsid w:val="000C4241"/>
    <w:rsid w:val="000C43A6"/>
    <w:rsid w:val="000C4406"/>
    <w:rsid w:val="000C4470"/>
    <w:rsid w:val="000C44BE"/>
    <w:rsid w:val="000C4570"/>
    <w:rsid w:val="000C45D9"/>
    <w:rsid w:val="000C45EE"/>
    <w:rsid w:val="000C4624"/>
    <w:rsid w:val="000C4704"/>
    <w:rsid w:val="000C4724"/>
    <w:rsid w:val="000C47EB"/>
    <w:rsid w:val="000C47F0"/>
    <w:rsid w:val="000C48F7"/>
    <w:rsid w:val="000C49D4"/>
    <w:rsid w:val="000C49E8"/>
    <w:rsid w:val="000C49F1"/>
    <w:rsid w:val="000C4B17"/>
    <w:rsid w:val="000C4DBC"/>
    <w:rsid w:val="000C4E65"/>
    <w:rsid w:val="000C4F18"/>
    <w:rsid w:val="000C506E"/>
    <w:rsid w:val="000C514C"/>
    <w:rsid w:val="000C51CB"/>
    <w:rsid w:val="000C5270"/>
    <w:rsid w:val="000C53F3"/>
    <w:rsid w:val="000C5476"/>
    <w:rsid w:val="000C54CE"/>
    <w:rsid w:val="000C54FB"/>
    <w:rsid w:val="000C5683"/>
    <w:rsid w:val="000C58AC"/>
    <w:rsid w:val="000C59CD"/>
    <w:rsid w:val="000C5C57"/>
    <w:rsid w:val="000C5C8E"/>
    <w:rsid w:val="000C5D45"/>
    <w:rsid w:val="000C5DB2"/>
    <w:rsid w:val="000C5DE4"/>
    <w:rsid w:val="000C5EC8"/>
    <w:rsid w:val="000C5EF2"/>
    <w:rsid w:val="000C60BF"/>
    <w:rsid w:val="000C6110"/>
    <w:rsid w:val="000C620A"/>
    <w:rsid w:val="000C6215"/>
    <w:rsid w:val="000C632F"/>
    <w:rsid w:val="000C647F"/>
    <w:rsid w:val="000C65E8"/>
    <w:rsid w:val="000C6675"/>
    <w:rsid w:val="000C66D0"/>
    <w:rsid w:val="000C66D4"/>
    <w:rsid w:val="000C68EC"/>
    <w:rsid w:val="000C6976"/>
    <w:rsid w:val="000C6AD8"/>
    <w:rsid w:val="000C6BA8"/>
    <w:rsid w:val="000C6C25"/>
    <w:rsid w:val="000C6DE3"/>
    <w:rsid w:val="000C6EE8"/>
    <w:rsid w:val="000C6F57"/>
    <w:rsid w:val="000C72C7"/>
    <w:rsid w:val="000C72E2"/>
    <w:rsid w:val="000C72FD"/>
    <w:rsid w:val="000C7504"/>
    <w:rsid w:val="000C7579"/>
    <w:rsid w:val="000C75C5"/>
    <w:rsid w:val="000C76A6"/>
    <w:rsid w:val="000C78B8"/>
    <w:rsid w:val="000C7933"/>
    <w:rsid w:val="000C7988"/>
    <w:rsid w:val="000C7B29"/>
    <w:rsid w:val="000C7B9F"/>
    <w:rsid w:val="000C7BA0"/>
    <w:rsid w:val="000C7C4F"/>
    <w:rsid w:val="000C7CBF"/>
    <w:rsid w:val="000C7DEA"/>
    <w:rsid w:val="000C7E47"/>
    <w:rsid w:val="000C7E6A"/>
    <w:rsid w:val="000C7EEA"/>
    <w:rsid w:val="000C7F5D"/>
    <w:rsid w:val="000D0038"/>
    <w:rsid w:val="000D0219"/>
    <w:rsid w:val="000D02F0"/>
    <w:rsid w:val="000D03EC"/>
    <w:rsid w:val="000D04A8"/>
    <w:rsid w:val="000D0633"/>
    <w:rsid w:val="000D063B"/>
    <w:rsid w:val="000D06E4"/>
    <w:rsid w:val="000D07DE"/>
    <w:rsid w:val="000D07E4"/>
    <w:rsid w:val="000D0878"/>
    <w:rsid w:val="000D08B8"/>
    <w:rsid w:val="000D0933"/>
    <w:rsid w:val="000D09E0"/>
    <w:rsid w:val="000D0AB9"/>
    <w:rsid w:val="000D0BB5"/>
    <w:rsid w:val="000D0C5A"/>
    <w:rsid w:val="000D0D2A"/>
    <w:rsid w:val="000D0D56"/>
    <w:rsid w:val="000D0D9E"/>
    <w:rsid w:val="000D0DED"/>
    <w:rsid w:val="000D0EF0"/>
    <w:rsid w:val="000D1032"/>
    <w:rsid w:val="000D121E"/>
    <w:rsid w:val="000D12F7"/>
    <w:rsid w:val="000D1353"/>
    <w:rsid w:val="000D139F"/>
    <w:rsid w:val="000D1463"/>
    <w:rsid w:val="000D1487"/>
    <w:rsid w:val="000D155C"/>
    <w:rsid w:val="000D159C"/>
    <w:rsid w:val="000D164F"/>
    <w:rsid w:val="000D1673"/>
    <w:rsid w:val="000D1A01"/>
    <w:rsid w:val="000D1A22"/>
    <w:rsid w:val="000D1A6A"/>
    <w:rsid w:val="000D1CDB"/>
    <w:rsid w:val="000D1CE0"/>
    <w:rsid w:val="000D1E72"/>
    <w:rsid w:val="000D1F9E"/>
    <w:rsid w:val="000D2005"/>
    <w:rsid w:val="000D2052"/>
    <w:rsid w:val="000D2115"/>
    <w:rsid w:val="000D2159"/>
    <w:rsid w:val="000D2170"/>
    <w:rsid w:val="000D217E"/>
    <w:rsid w:val="000D22B3"/>
    <w:rsid w:val="000D22C7"/>
    <w:rsid w:val="000D24ED"/>
    <w:rsid w:val="000D25AB"/>
    <w:rsid w:val="000D2685"/>
    <w:rsid w:val="000D269C"/>
    <w:rsid w:val="000D26E1"/>
    <w:rsid w:val="000D2974"/>
    <w:rsid w:val="000D297F"/>
    <w:rsid w:val="000D2989"/>
    <w:rsid w:val="000D2AFA"/>
    <w:rsid w:val="000D2D7C"/>
    <w:rsid w:val="000D2D84"/>
    <w:rsid w:val="000D2F1A"/>
    <w:rsid w:val="000D3097"/>
    <w:rsid w:val="000D3132"/>
    <w:rsid w:val="000D320A"/>
    <w:rsid w:val="000D3374"/>
    <w:rsid w:val="000D3443"/>
    <w:rsid w:val="000D34DF"/>
    <w:rsid w:val="000D3538"/>
    <w:rsid w:val="000D37C5"/>
    <w:rsid w:val="000D3995"/>
    <w:rsid w:val="000D3AFB"/>
    <w:rsid w:val="000D3CDD"/>
    <w:rsid w:val="000D3DEE"/>
    <w:rsid w:val="000D3E8A"/>
    <w:rsid w:val="000D3F30"/>
    <w:rsid w:val="000D3F50"/>
    <w:rsid w:val="000D4023"/>
    <w:rsid w:val="000D4045"/>
    <w:rsid w:val="000D413D"/>
    <w:rsid w:val="000D416C"/>
    <w:rsid w:val="000D427D"/>
    <w:rsid w:val="000D42B4"/>
    <w:rsid w:val="000D435E"/>
    <w:rsid w:val="000D438D"/>
    <w:rsid w:val="000D449F"/>
    <w:rsid w:val="000D4524"/>
    <w:rsid w:val="000D46AE"/>
    <w:rsid w:val="000D4869"/>
    <w:rsid w:val="000D491B"/>
    <w:rsid w:val="000D4BB2"/>
    <w:rsid w:val="000D4CA8"/>
    <w:rsid w:val="000D4D48"/>
    <w:rsid w:val="000D4E93"/>
    <w:rsid w:val="000D4FF1"/>
    <w:rsid w:val="000D515B"/>
    <w:rsid w:val="000D51CA"/>
    <w:rsid w:val="000D5478"/>
    <w:rsid w:val="000D552F"/>
    <w:rsid w:val="000D5535"/>
    <w:rsid w:val="000D5581"/>
    <w:rsid w:val="000D578B"/>
    <w:rsid w:val="000D580F"/>
    <w:rsid w:val="000D5A3D"/>
    <w:rsid w:val="000D5A45"/>
    <w:rsid w:val="000D5ADC"/>
    <w:rsid w:val="000D5C5F"/>
    <w:rsid w:val="000D5CCB"/>
    <w:rsid w:val="000D5E34"/>
    <w:rsid w:val="000D5E3E"/>
    <w:rsid w:val="000D5F27"/>
    <w:rsid w:val="000D611D"/>
    <w:rsid w:val="000D612E"/>
    <w:rsid w:val="000D63C2"/>
    <w:rsid w:val="000D646F"/>
    <w:rsid w:val="000D659C"/>
    <w:rsid w:val="000D6686"/>
    <w:rsid w:val="000D6775"/>
    <w:rsid w:val="000D67D1"/>
    <w:rsid w:val="000D6A52"/>
    <w:rsid w:val="000D6EA2"/>
    <w:rsid w:val="000D6F18"/>
    <w:rsid w:val="000D6F32"/>
    <w:rsid w:val="000D6F52"/>
    <w:rsid w:val="000D6FB6"/>
    <w:rsid w:val="000D724A"/>
    <w:rsid w:val="000D7329"/>
    <w:rsid w:val="000D7417"/>
    <w:rsid w:val="000D74D0"/>
    <w:rsid w:val="000D74F3"/>
    <w:rsid w:val="000D753C"/>
    <w:rsid w:val="000D758B"/>
    <w:rsid w:val="000D75B6"/>
    <w:rsid w:val="000D75C6"/>
    <w:rsid w:val="000D7715"/>
    <w:rsid w:val="000D7877"/>
    <w:rsid w:val="000D7A69"/>
    <w:rsid w:val="000D7F9D"/>
    <w:rsid w:val="000E03FC"/>
    <w:rsid w:val="000E057B"/>
    <w:rsid w:val="000E05B4"/>
    <w:rsid w:val="000E05BD"/>
    <w:rsid w:val="000E05D6"/>
    <w:rsid w:val="000E0628"/>
    <w:rsid w:val="000E0646"/>
    <w:rsid w:val="000E068D"/>
    <w:rsid w:val="000E06CC"/>
    <w:rsid w:val="000E07AC"/>
    <w:rsid w:val="000E0850"/>
    <w:rsid w:val="000E09AF"/>
    <w:rsid w:val="000E0AA3"/>
    <w:rsid w:val="000E0B02"/>
    <w:rsid w:val="000E0BE9"/>
    <w:rsid w:val="000E0C48"/>
    <w:rsid w:val="000E0CA1"/>
    <w:rsid w:val="000E0CBA"/>
    <w:rsid w:val="000E0DC9"/>
    <w:rsid w:val="000E0EBB"/>
    <w:rsid w:val="000E0F5A"/>
    <w:rsid w:val="000E112D"/>
    <w:rsid w:val="000E120F"/>
    <w:rsid w:val="000E1305"/>
    <w:rsid w:val="000E1306"/>
    <w:rsid w:val="000E1324"/>
    <w:rsid w:val="000E13DF"/>
    <w:rsid w:val="000E13EA"/>
    <w:rsid w:val="000E144B"/>
    <w:rsid w:val="000E1594"/>
    <w:rsid w:val="000E159C"/>
    <w:rsid w:val="000E15A3"/>
    <w:rsid w:val="000E1623"/>
    <w:rsid w:val="000E163B"/>
    <w:rsid w:val="000E1862"/>
    <w:rsid w:val="000E19CC"/>
    <w:rsid w:val="000E1A49"/>
    <w:rsid w:val="000E1A78"/>
    <w:rsid w:val="000E1A96"/>
    <w:rsid w:val="000E1B47"/>
    <w:rsid w:val="000E1DD5"/>
    <w:rsid w:val="000E1E03"/>
    <w:rsid w:val="000E1E68"/>
    <w:rsid w:val="000E218A"/>
    <w:rsid w:val="000E247F"/>
    <w:rsid w:val="000E2575"/>
    <w:rsid w:val="000E286D"/>
    <w:rsid w:val="000E2879"/>
    <w:rsid w:val="000E287A"/>
    <w:rsid w:val="000E2886"/>
    <w:rsid w:val="000E28D3"/>
    <w:rsid w:val="000E2950"/>
    <w:rsid w:val="000E29DC"/>
    <w:rsid w:val="000E29F3"/>
    <w:rsid w:val="000E2BE2"/>
    <w:rsid w:val="000E2C59"/>
    <w:rsid w:val="000E2CCF"/>
    <w:rsid w:val="000E2D2D"/>
    <w:rsid w:val="000E2D99"/>
    <w:rsid w:val="000E2E20"/>
    <w:rsid w:val="000E2F14"/>
    <w:rsid w:val="000E2F42"/>
    <w:rsid w:val="000E30F0"/>
    <w:rsid w:val="000E316F"/>
    <w:rsid w:val="000E31B9"/>
    <w:rsid w:val="000E32B9"/>
    <w:rsid w:val="000E33F7"/>
    <w:rsid w:val="000E34E0"/>
    <w:rsid w:val="000E3528"/>
    <w:rsid w:val="000E355C"/>
    <w:rsid w:val="000E365F"/>
    <w:rsid w:val="000E373C"/>
    <w:rsid w:val="000E3779"/>
    <w:rsid w:val="000E3922"/>
    <w:rsid w:val="000E3932"/>
    <w:rsid w:val="000E3BF9"/>
    <w:rsid w:val="000E3C50"/>
    <w:rsid w:val="000E3F30"/>
    <w:rsid w:val="000E3FA9"/>
    <w:rsid w:val="000E405B"/>
    <w:rsid w:val="000E4066"/>
    <w:rsid w:val="000E417A"/>
    <w:rsid w:val="000E42F9"/>
    <w:rsid w:val="000E4490"/>
    <w:rsid w:val="000E4506"/>
    <w:rsid w:val="000E45F5"/>
    <w:rsid w:val="000E460F"/>
    <w:rsid w:val="000E4635"/>
    <w:rsid w:val="000E47F6"/>
    <w:rsid w:val="000E485C"/>
    <w:rsid w:val="000E4A4F"/>
    <w:rsid w:val="000E4BC0"/>
    <w:rsid w:val="000E4BF9"/>
    <w:rsid w:val="000E4C01"/>
    <w:rsid w:val="000E4DD5"/>
    <w:rsid w:val="000E4FF0"/>
    <w:rsid w:val="000E5116"/>
    <w:rsid w:val="000E522A"/>
    <w:rsid w:val="000E52B4"/>
    <w:rsid w:val="000E53AF"/>
    <w:rsid w:val="000E53BD"/>
    <w:rsid w:val="000E54C5"/>
    <w:rsid w:val="000E5512"/>
    <w:rsid w:val="000E55DA"/>
    <w:rsid w:val="000E5623"/>
    <w:rsid w:val="000E56AE"/>
    <w:rsid w:val="000E56C3"/>
    <w:rsid w:val="000E56D9"/>
    <w:rsid w:val="000E57BD"/>
    <w:rsid w:val="000E57E9"/>
    <w:rsid w:val="000E5831"/>
    <w:rsid w:val="000E5953"/>
    <w:rsid w:val="000E59D8"/>
    <w:rsid w:val="000E59DA"/>
    <w:rsid w:val="000E5B16"/>
    <w:rsid w:val="000E5CCF"/>
    <w:rsid w:val="000E5E2B"/>
    <w:rsid w:val="000E5E6D"/>
    <w:rsid w:val="000E5F57"/>
    <w:rsid w:val="000E606D"/>
    <w:rsid w:val="000E60D6"/>
    <w:rsid w:val="000E6292"/>
    <w:rsid w:val="000E6339"/>
    <w:rsid w:val="000E64FC"/>
    <w:rsid w:val="000E6531"/>
    <w:rsid w:val="000E6564"/>
    <w:rsid w:val="000E6590"/>
    <w:rsid w:val="000E6651"/>
    <w:rsid w:val="000E6694"/>
    <w:rsid w:val="000E6697"/>
    <w:rsid w:val="000E67C4"/>
    <w:rsid w:val="000E680B"/>
    <w:rsid w:val="000E69B9"/>
    <w:rsid w:val="000E6C75"/>
    <w:rsid w:val="000E6CED"/>
    <w:rsid w:val="000E6D8D"/>
    <w:rsid w:val="000E6FA4"/>
    <w:rsid w:val="000E6FC4"/>
    <w:rsid w:val="000E6FE0"/>
    <w:rsid w:val="000E710D"/>
    <w:rsid w:val="000E72DB"/>
    <w:rsid w:val="000E734B"/>
    <w:rsid w:val="000E73FB"/>
    <w:rsid w:val="000E743C"/>
    <w:rsid w:val="000E745D"/>
    <w:rsid w:val="000E74D0"/>
    <w:rsid w:val="000E75BE"/>
    <w:rsid w:val="000E75C4"/>
    <w:rsid w:val="000E75DD"/>
    <w:rsid w:val="000E7624"/>
    <w:rsid w:val="000E7717"/>
    <w:rsid w:val="000E7828"/>
    <w:rsid w:val="000E7849"/>
    <w:rsid w:val="000E78BA"/>
    <w:rsid w:val="000E799A"/>
    <w:rsid w:val="000E7A95"/>
    <w:rsid w:val="000E7B1C"/>
    <w:rsid w:val="000E7BA8"/>
    <w:rsid w:val="000E7C25"/>
    <w:rsid w:val="000E7D26"/>
    <w:rsid w:val="000E7F68"/>
    <w:rsid w:val="000E7F8E"/>
    <w:rsid w:val="000E7FFA"/>
    <w:rsid w:val="000F00CD"/>
    <w:rsid w:val="000F00FB"/>
    <w:rsid w:val="000F01FA"/>
    <w:rsid w:val="000F0299"/>
    <w:rsid w:val="000F02A2"/>
    <w:rsid w:val="000F0410"/>
    <w:rsid w:val="000F04D3"/>
    <w:rsid w:val="000F076A"/>
    <w:rsid w:val="000F0894"/>
    <w:rsid w:val="000F0982"/>
    <w:rsid w:val="000F09AC"/>
    <w:rsid w:val="000F09E4"/>
    <w:rsid w:val="000F0A75"/>
    <w:rsid w:val="000F0C88"/>
    <w:rsid w:val="000F0CF1"/>
    <w:rsid w:val="000F0DB0"/>
    <w:rsid w:val="000F0F92"/>
    <w:rsid w:val="000F11D0"/>
    <w:rsid w:val="000F128D"/>
    <w:rsid w:val="000F129B"/>
    <w:rsid w:val="000F13BF"/>
    <w:rsid w:val="000F1438"/>
    <w:rsid w:val="000F1602"/>
    <w:rsid w:val="000F1615"/>
    <w:rsid w:val="000F1732"/>
    <w:rsid w:val="000F1768"/>
    <w:rsid w:val="000F18EC"/>
    <w:rsid w:val="000F1A90"/>
    <w:rsid w:val="000F1B6A"/>
    <w:rsid w:val="000F1B8A"/>
    <w:rsid w:val="000F1C92"/>
    <w:rsid w:val="000F1CDC"/>
    <w:rsid w:val="000F1DB0"/>
    <w:rsid w:val="000F1E05"/>
    <w:rsid w:val="000F1E2E"/>
    <w:rsid w:val="000F2033"/>
    <w:rsid w:val="000F2109"/>
    <w:rsid w:val="000F2112"/>
    <w:rsid w:val="000F21AD"/>
    <w:rsid w:val="000F2255"/>
    <w:rsid w:val="000F2367"/>
    <w:rsid w:val="000F237F"/>
    <w:rsid w:val="000F2445"/>
    <w:rsid w:val="000F24AE"/>
    <w:rsid w:val="000F2721"/>
    <w:rsid w:val="000F2794"/>
    <w:rsid w:val="000F2839"/>
    <w:rsid w:val="000F28F5"/>
    <w:rsid w:val="000F2917"/>
    <w:rsid w:val="000F2A79"/>
    <w:rsid w:val="000F2B8E"/>
    <w:rsid w:val="000F2BA6"/>
    <w:rsid w:val="000F2C4C"/>
    <w:rsid w:val="000F2CDB"/>
    <w:rsid w:val="000F2DB8"/>
    <w:rsid w:val="000F2DE7"/>
    <w:rsid w:val="000F2DEE"/>
    <w:rsid w:val="000F2F90"/>
    <w:rsid w:val="000F2FDB"/>
    <w:rsid w:val="000F3063"/>
    <w:rsid w:val="000F3387"/>
    <w:rsid w:val="000F3532"/>
    <w:rsid w:val="000F3675"/>
    <w:rsid w:val="000F37BA"/>
    <w:rsid w:val="000F386B"/>
    <w:rsid w:val="000F39D7"/>
    <w:rsid w:val="000F3A08"/>
    <w:rsid w:val="000F3A9B"/>
    <w:rsid w:val="000F3AE1"/>
    <w:rsid w:val="000F3BD6"/>
    <w:rsid w:val="000F3C48"/>
    <w:rsid w:val="000F3DDA"/>
    <w:rsid w:val="000F3E4C"/>
    <w:rsid w:val="000F3E6E"/>
    <w:rsid w:val="000F3EB5"/>
    <w:rsid w:val="000F3ED1"/>
    <w:rsid w:val="000F3EDB"/>
    <w:rsid w:val="000F3F0F"/>
    <w:rsid w:val="000F41E3"/>
    <w:rsid w:val="000F41FE"/>
    <w:rsid w:val="000F423F"/>
    <w:rsid w:val="000F4288"/>
    <w:rsid w:val="000F428E"/>
    <w:rsid w:val="000F42A6"/>
    <w:rsid w:val="000F43D0"/>
    <w:rsid w:val="000F443B"/>
    <w:rsid w:val="000F4588"/>
    <w:rsid w:val="000F4599"/>
    <w:rsid w:val="000F45AB"/>
    <w:rsid w:val="000F4665"/>
    <w:rsid w:val="000F46D3"/>
    <w:rsid w:val="000F4769"/>
    <w:rsid w:val="000F4779"/>
    <w:rsid w:val="000F47D8"/>
    <w:rsid w:val="000F4980"/>
    <w:rsid w:val="000F49B7"/>
    <w:rsid w:val="000F4B01"/>
    <w:rsid w:val="000F4B44"/>
    <w:rsid w:val="000F4B96"/>
    <w:rsid w:val="000F4C98"/>
    <w:rsid w:val="000F4E42"/>
    <w:rsid w:val="000F4FF4"/>
    <w:rsid w:val="000F510B"/>
    <w:rsid w:val="000F512C"/>
    <w:rsid w:val="000F5170"/>
    <w:rsid w:val="000F5243"/>
    <w:rsid w:val="000F5283"/>
    <w:rsid w:val="000F52D7"/>
    <w:rsid w:val="000F535C"/>
    <w:rsid w:val="000F538E"/>
    <w:rsid w:val="000F53BF"/>
    <w:rsid w:val="000F5470"/>
    <w:rsid w:val="000F5637"/>
    <w:rsid w:val="000F566D"/>
    <w:rsid w:val="000F56DF"/>
    <w:rsid w:val="000F56E0"/>
    <w:rsid w:val="000F570F"/>
    <w:rsid w:val="000F57F5"/>
    <w:rsid w:val="000F5BEC"/>
    <w:rsid w:val="000F5C29"/>
    <w:rsid w:val="000F5C57"/>
    <w:rsid w:val="000F5CA3"/>
    <w:rsid w:val="000F5CC4"/>
    <w:rsid w:val="000F5D68"/>
    <w:rsid w:val="000F5FFE"/>
    <w:rsid w:val="000F60B8"/>
    <w:rsid w:val="000F6211"/>
    <w:rsid w:val="000F6288"/>
    <w:rsid w:val="000F6293"/>
    <w:rsid w:val="000F6308"/>
    <w:rsid w:val="000F6379"/>
    <w:rsid w:val="000F64AD"/>
    <w:rsid w:val="000F67F8"/>
    <w:rsid w:val="000F6816"/>
    <w:rsid w:val="000F688B"/>
    <w:rsid w:val="000F6947"/>
    <w:rsid w:val="000F6CB8"/>
    <w:rsid w:val="000F6DB7"/>
    <w:rsid w:val="000F6EA2"/>
    <w:rsid w:val="000F6F1B"/>
    <w:rsid w:val="000F714E"/>
    <w:rsid w:val="000F7159"/>
    <w:rsid w:val="000F739E"/>
    <w:rsid w:val="000F73BC"/>
    <w:rsid w:val="000F743C"/>
    <w:rsid w:val="000F7469"/>
    <w:rsid w:val="000F74E6"/>
    <w:rsid w:val="000F75C9"/>
    <w:rsid w:val="000F7611"/>
    <w:rsid w:val="000F795E"/>
    <w:rsid w:val="000F7B50"/>
    <w:rsid w:val="000F7BC5"/>
    <w:rsid w:val="000F7C14"/>
    <w:rsid w:val="000F7D2F"/>
    <w:rsid w:val="000F7DA1"/>
    <w:rsid w:val="000F7DA7"/>
    <w:rsid w:val="000F7E04"/>
    <w:rsid w:val="000F7F05"/>
    <w:rsid w:val="000F7F27"/>
    <w:rsid w:val="00100172"/>
    <w:rsid w:val="00100265"/>
    <w:rsid w:val="00100310"/>
    <w:rsid w:val="0010036F"/>
    <w:rsid w:val="0010042B"/>
    <w:rsid w:val="00100486"/>
    <w:rsid w:val="001004BD"/>
    <w:rsid w:val="0010054B"/>
    <w:rsid w:val="00100575"/>
    <w:rsid w:val="001005E6"/>
    <w:rsid w:val="00100629"/>
    <w:rsid w:val="0010073C"/>
    <w:rsid w:val="00100767"/>
    <w:rsid w:val="0010089B"/>
    <w:rsid w:val="0010091B"/>
    <w:rsid w:val="00100B23"/>
    <w:rsid w:val="00100B79"/>
    <w:rsid w:val="00100D31"/>
    <w:rsid w:val="00100E79"/>
    <w:rsid w:val="00100F35"/>
    <w:rsid w:val="00100FFB"/>
    <w:rsid w:val="00101036"/>
    <w:rsid w:val="0010104D"/>
    <w:rsid w:val="0010119B"/>
    <w:rsid w:val="001012AE"/>
    <w:rsid w:val="0010140D"/>
    <w:rsid w:val="00101472"/>
    <w:rsid w:val="0010156D"/>
    <w:rsid w:val="001015E8"/>
    <w:rsid w:val="0010164B"/>
    <w:rsid w:val="0010165B"/>
    <w:rsid w:val="001017A6"/>
    <w:rsid w:val="001017C5"/>
    <w:rsid w:val="0010185F"/>
    <w:rsid w:val="0010187C"/>
    <w:rsid w:val="00101C3C"/>
    <w:rsid w:val="00101CB2"/>
    <w:rsid w:val="00101CB4"/>
    <w:rsid w:val="00101DC6"/>
    <w:rsid w:val="00101DD9"/>
    <w:rsid w:val="00101EC9"/>
    <w:rsid w:val="001020CB"/>
    <w:rsid w:val="001021DB"/>
    <w:rsid w:val="0010248B"/>
    <w:rsid w:val="0010268C"/>
    <w:rsid w:val="001026A6"/>
    <w:rsid w:val="001026F1"/>
    <w:rsid w:val="001026FD"/>
    <w:rsid w:val="0010286C"/>
    <w:rsid w:val="001028A5"/>
    <w:rsid w:val="001028D3"/>
    <w:rsid w:val="00102913"/>
    <w:rsid w:val="00102A41"/>
    <w:rsid w:val="00102D20"/>
    <w:rsid w:val="00102DF9"/>
    <w:rsid w:val="00102E10"/>
    <w:rsid w:val="00102EBB"/>
    <w:rsid w:val="00102F55"/>
    <w:rsid w:val="0010308F"/>
    <w:rsid w:val="001030BC"/>
    <w:rsid w:val="00103169"/>
    <w:rsid w:val="001031E1"/>
    <w:rsid w:val="00103224"/>
    <w:rsid w:val="001033F3"/>
    <w:rsid w:val="00103510"/>
    <w:rsid w:val="0010351F"/>
    <w:rsid w:val="00103523"/>
    <w:rsid w:val="00103600"/>
    <w:rsid w:val="001038C6"/>
    <w:rsid w:val="00103938"/>
    <w:rsid w:val="00103A95"/>
    <w:rsid w:val="00103B5E"/>
    <w:rsid w:val="00103B68"/>
    <w:rsid w:val="00103C5C"/>
    <w:rsid w:val="00103DDA"/>
    <w:rsid w:val="00103DFC"/>
    <w:rsid w:val="00103EC9"/>
    <w:rsid w:val="00103F88"/>
    <w:rsid w:val="001040C7"/>
    <w:rsid w:val="0010421F"/>
    <w:rsid w:val="00104345"/>
    <w:rsid w:val="0010466E"/>
    <w:rsid w:val="001046D8"/>
    <w:rsid w:val="001047E8"/>
    <w:rsid w:val="00104895"/>
    <w:rsid w:val="00104A6B"/>
    <w:rsid w:val="00104B47"/>
    <w:rsid w:val="00104C0C"/>
    <w:rsid w:val="00104C28"/>
    <w:rsid w:val="00104D0A"/>
    <w:rsid w:val="00104D35"/>
    <w:rsid w:val="00104E2D"/>
    <w:rsid w:val="00104E55"/>
    <w:rsid w:val="00104EBE"/>
    <w:rsid w:val="00104F94"/>
    <w:rsid w:val="00105024"/>
    <w:rsid w:val="001052EE"/>
    <w:rsid w:val="00105345"/>
    <w:rsid w:val="001053B6"/>
    <w:rsid w:val="001053EA"/>
    <w:rsid w:val="00105644"/>
    <w:rsid w:val="00105711"/>
    <w:rsid w:val="00105725"/>
    <w:rsid w:val="00105991"/>
    <w:rsid w:val="00105AFC"/>
    <w:rsid w:val="00105B91"/>
    <w:rsid w:val="00105BF1"/>
    <w:rsid w:val="00105C04"/>
    <w:rsid w:val="00105C65"/>
    <w:rsid w:val="00105CBA"/>
    <w:rsid w:val="00105D13"/>
    <w:rsid w:val="00105E05"/>
    <w:rsid w:val="00105E33"/>
    <w:rsid w:val="00105E7F"/>
    <w:rsid w:val="00105EDB"/>
    <w:rsid w:val="00105F0A"/>
    <w:rsid w:val="001060C7"/>
    <w:rsid w:val="00106119"/>
    <w:rsid w:val="00106377"/>
    <w:rsid w:val="001063B0"/>
    <w:rsid w:val="001064D0"/>
    <w:rsid w:val="00106811"/>
    <w:rsid w:val="00106860"/>
    <w:rsid w:val="001068C4"/>
    <w:rsid w:val="00106921"/>
    <w:rsid w:val="00106AE9"/>
    <w:rsid w:val="00106D5D"/>
    <w:rsid w:val="00106E0F"/>
    <w:rsid w:val="00106E3D"/>
    <w:rsid w:val="00106E45"/>
    <w:rsid w:val="00106FA5"/>
    <w:rsid w:val="001070CD"/>
    <w:rsid w:val="001070EA"/>
    <w:rsid w:val="00107115"/>
    <w:rsid w:val="0010718C"/>
    <w:rsid w:val="001071BA"/>
    <w:rsid w:val="0010729A"/>
    <w:rsid w:val="00107386"/>
    <w:rsid w:val="00107431"/>
    <w:rsid w:val="00107437"/>
    <w:rsid w:val="0010747B"/>
    <w:rsid w:val="0010759F"/>
    <w:rsid w:val="00107654"/>
    <w:rsid w:val="001076A9"/>
    <w:rsid w:val="00107727"/>
    <w:rsid w:val="00107808"/>
    <w:rsid w:val="0010782E"/>
    <w:rsid w:val="00107EB6"/>
    <w:rsid w:val="00107F22"/>
    <w:rsid w:val="00110085"/>
    <w:rsid w:val="00110116"/>
    <w:rsid w:val="00110295"/>
    <w:rsid w:val="0011031A"/>
    <w:rsid w:val="0011034F"/>
    <w:rsid w:val="0011035D"/>
    <w:rsid w:val="00110494"/>
    <w:rsid w:val="00110498"/>
    <w:rsid w:val="001104DA"/>
    <w:rsid w:val="001104DC"/>
    <w:rsid w:val="001106DE"/>
    <w:rsid w:val="00110736"/>
    <w:rsid w:val="0011079A"/>
    <w:rsid w:val="00110876"/>
    <w:rsid w:val="001108AB"/>
    <w:rsid w:val="001108D6"/>
    <w:rsid w:val="00110954"/>
    <w:rsid w:val="001109CF"/>
    <w:rsid w:val="00110A06"/>
    <w:rsid w:val="00110D14"/>
    <w:rsid w:val="00110FB3"/>
    <w:rsid w:val="00111197"/>
    <w:rsid w:val="0011119B"/>
    <w:rsid w:val="001111CE"/>
    <w:rsid w:val="00111231"/>
    <w:rsid w:val="00111435"/>
    <w:rsid w:val="00111588"/>
    <w:rsid w:val="001117A6"/>
    <w:rsid w:val="001118A9"/>
    <w:rsid w:val="001118C8"/>
    <w:rsid w:val="001119E7"/>
    <w:rsid w:val="00111AC0"/>
    <w:rsid w:val="00111BAE"/>
    <w:rsid w:val="00112060"/>
    <w:rsid w:val="00112097"/>
    <w:rsid w:val="0011226E"/>
    <w:rsid w:val="0011230E"/>
    <w:rsid w:val="00112541"/>
    <w:rsid w:val="00112619"/>
    <w:rsid w:val="0011265A"/>
    <w:rsid w:val="001127F7"/>
    <w:rsid w:val="0011283F"/>
    <w:rsid w:val="00112938"/>
    <w:rsid w:val="0011296F"/>
    <w:rsid w:val="00112A22"/>
    <w:rsid w:val="00112AFF"/>
    <w:rsid w:val="00112B52"/>
    <w:rsid w:val="00112CB5"/>
    <w:rsid w:val="00112EC2"/>
    <w:rsid w:val="00113001"/>
    <w:rsid w:val="0011300B"/>
    <w:rsid w:val="00113020"/>
    <w:rsid w:val="001131C0"/>
    <w:rsid w:val="001131C2"/>
    <w:rsid w:val="001131D3"/>
    <w:rsid w:val="001131F1"/>
    <w:rsid w:val="001132BC"/>
    <w:rsid w:val="00113343"/>
    <w:rsid w:val="001133B3"/>
    <w:rsid w:val="001133D3"/>
    <w:rsid w:val="001133FD"/>
    <w:rsid w:val="00113473"/>
    <w:rsid w:val="0011347B"/>
    <w:rsid w:val="00113542"/>
    <w:rsid w:val="0011376C"/>
    <w:rsid w:val="0011377B"/>
    <w:rsid w:val="001138D9"/>
    <w:rsid w:val="001138FA"/>
    <w:rsid w:val="001139E9"/>
    <w:rsid w:val="00113A07"/>
    <w:rsid w:val="00113B37"/>
    <w:rsid w:val="00113B79"/>
    <w:rsid w:val="00113BA2"/>
    <w:rsid w:val="00113C22"/>
    <w:rsid w:val="00113CD2"/>
    <w:rsid w:val="00113E5F"/>
    <w:rsid w:val="00113EEC"/>
    <w:rsid w:val="001140B5"/>
    <w:rsid w:val="001140E7"/>
    <w:rsid w:val="00114174"/>
    <w:rsid w:val="0011429B"/>
    <w:rsid w:val="001142DA"/>
    <w:rsid w:val="00114543"/>
    <w:rsid w:val="0011462D"/>
    <w:rsid w:val="00114654"/>
    <w:rsid w:val="00114665"/>
    <w:rsid w:val="00114698"/>
    <w:rsid w:val="001146B6"/>
    <w:rsid w:val="001146C8"/>
    <w:rsid w:val="001146D6"/>
    <w:rsid w:val="001147CE"/>
    <w:rsid w:val="00114849"/>
    <w:rsid w:val="0011489C"/>
    <w:rsid w:val="001148C5"/>
    <w:rsid w:val="00114B87"/>
    <w:rsid w:val="00114BA6"/>
    <w:rsid w:val="00114C12"/>
    <w:rsid w:val="00114CAD"/>
    <w:rsid w:val="00114E8C"/>
    <w:rsid w:val="00114EDA"/>
    <w:rsid w:val="00114F8F"/>
    <w:rsid w:val="00114FAE"/>
    <w:rsid w:val="00114FF3"/>
    <w:rsid w:val="0011509E"/>
    <w:rsid w:val="001152B8"/>
    <w:rsid w:val="00115341"/>
    <w:rsid w:val="00115386"/>
    <w:rsid w:val="00115402"/>
    <w:rsid w:val="00115493"/>
    <w:rsid w:val="00115625"/>
    <w:rsid w:val="00115803"/>
    <w:rsid w:val="00115952"/>
    <w:rsid w:val="00115C67"/>
    <w:rsid w:val="00115F27"/>
    <w:rsid w:val="00116178"/>
    <w:rsid w:val="0011639D"/>
    <w:rsid w:val="00116488"/>
    <w:rsid w:val="001164CE"/>
    <w:rsid w:val="001167EF"/>
    <w:rsid w:val="001168AC"/>
    <w:rsid w:val="001168FF"/>
    <w:rsid w:val="00116A1B"/>
    <w:rsid w:val="00116A33"/>
    <w:rsid w:val="00116B49"/>
    <w:rsid w:val="00116C30"/>
    <w:rsid w:val="00116DB0"/>
    <w:rsid w:val="001170D4"/>
    <w:rsid w:val="00117207"/>
    <w:rsid w:val="001173DB"/>
    <w:rsid w:val="001173E9"/>
    <w:rsid w:val="001174B1"/>
    <w:rsid w:val="00117552"/>
    <w:rsid w:val="001175E8"/>
    <w:rsid w:val="0011769B"/>
    <w:rsid w:val="001176A6"/>
    <w:rsid w:val="001176C1"/>
    <w:rsid w:val="00117990"/>
    <w:rsid w:val="00117A8C"/>
    <w:rsid w:val="00117B66"/>
    <w:rsid w:val="00117BC8"/>
    <w:rsid w:val="00117BF4"/>
    <w:rsid w:val="00117D0C"/>
    <w:rsid w:val="00117F69"/>
    <w:rsid w:val="00120139"/>
    <w:rsid w:val="0012027D"/>
    <w:rsid w:val="00120403"/>
    <w:rsid w:val="00120414"/>
    <w:rsid w:val="00120427"/>
    <w:rsid w:val="00120475"/>
    <w:rsid w:val="00120527"/>
    <w:rsid w:val="001207FD"/>
    <w:rsid w:val="00120819"/>
    <w:rsid w:val="00120921"/>
    <w:rsid w:val="00120B3E"/>
    <w:rsid w:val="00120C5D"/>
    <w:rsid w:val="00120D09"/>
    <w:rsid w:val="00120ECB"/>
    <w:rsid w:val="00120F26"/>
    <w:rsid w:val="00120FE0"/>
    <w:rsid w:val="00121087"/>
    <w:rsid w:val="001210D2"/>
    <w:rsid w:val="001211B5"/>
    <w:rsid w:val="00121274"/>
    <w:rsid w:val="001212FA"/>
    <w:rsid w:val="00121353"/>
    <w:rsid w:val="001213CD"/>
    <w:rsid w:val="001213E0"/>
    <w:rsid w:val="00121401"/>
    <w:rsid w:val="00121437"/>
    <w:rsid w:val="0012149B"/>
    <w:rsid w:val="001214FB"/>
    <w:rsid w:val="00121539"/>
    <w:rsid w:val="00121A73"/>
    <w:rsid w:val="00121B67"/>
    <w:rsid w:val="00121FD6"/>
    <w:rsid w:val="00122190"/>
    <w:rsid w:val="00122193"/>
    <w:rsid w:val="0012227F"/>
    <w:rsid w:val="001222DA"/>
    <w:rsid w:val="001223B3"/>
    <w:rsid w:val="00122478"/>
    <w:rsid w:val="001224F4"/>
    <w:rsid w:val="0012258A"/>
    <w:rsid w:val="00122766"/>
    <w:rsid w:val="001227C7"/>
    <w:rsid w:val="001227FC"/>
    <w:rsid w:val="00122A5F"/>
    <w:rsid w:val="00122C37"/>
    <w:rsid w:val="00122C55"/>
    <w:rsid w:val="00122C5C"/>
    <w:rsid w:val="00122E17"/>
    <w:rsid w:val="00122E21"/>
    <w:rsid w:val="00123044"/>
    <w:rsid w:val="0012307D"/>
    <w:rsid w:val="00123167"/>
    <w:rsid w:val="001231CE"/>
    <w:rsid w:val="00123259"/>
    <w:rsid w:val="001233E8"/>
    <w:rsid w:val="00123409"/>
    <w:rsid w:val="00123489"/>
    <w:rsid w:val="001235B4"/>
    <w:rsid w:val="001236FF"/>
    <w:rsid w:val="001237DF"/>
    <w:rsid w:val="00123834"/>
    <w:rsid w:val="00123A35"/>
    <w:rsid w:val="00123DCD"/>
    <w:rsid w:val="00123EA3"/>
    <w:rsid w:val="00123EAB"/>
    <w:rsid w:val="00123F14"/>
    <w:rsid w:val="001240C4"/>
    <w:rsid w:val="001241DC"/>
    <w:rsid w:val="001241F6"/>
    <w:rsid w:val="0012436B"/>
    <w:rsid w:val="001243CB"/>
    <w:rsid w:val="00124423"/>
    <w:rsid w:val="0012452B"/>
    <w:rsid w:val="0012454A"/>
    <w:rsid w:val="001245C7"/>
    <w:rsid w:val="001245D9"/>
    <w:rsid w:val="001246A1"/>
    <w:rsid w:val="00124729"/>
    <w:rsid w:val="00124837"/>
    <w:rsid w:val="0012494F"/>
    <w:rsid w:val="0012497C"/>
    <w:rsid w:val="00124B9F"/>
    <w:rsid w:val="00124CB4"/>
    <w:rsid w:val="00124D0D"/>
    <w:rsid w:val="00124D8B"/>
    <w:rsid w:val="00124EF9"/>
    <w:rsid w:val="00124F94"/>
    <w:rsid w:val="001250CE"/>
    <w:rsid w:val="001253F2"/>
    <w:rsid w:val="00125505"/>
    <w:rsid w:val="00125549"/>
    <w:rsid w:val="001255AB"/>
    <w:rsid w:val="001255B7"/>
    <w:rsid w:val="001256C2"/>
    <w:rsid w:val="001256F3"/>
    <w:rsid w:val="00125788"/>
    <w:rsid w:val="001257EC"/>
    <w:rsid w:val="001258F1"/>
    <w:rsid w:val="00125B01"/>
    <w:rsid w:val="00125DD6"/>
    <w:rsid w:val="00125EED"/>
    <w:rsid w:val="00126202"/>
    <w:rsid w:val="0012621C"/>
    <w:rsid w:val="00126230"/>
    <w:rsid w:val="00126283"/>
    <w:rsid w:val="0012631A"/>
    <w:rsid w:val="0012634D"/>
    <w:rsid w:val="00126379"/>
    <w:rsid w:val="001263EB"/>
    <w:rsid w:val="0012659C"/>
    <w:rsid w:val="001266FA"/>
    <w:rsid w:val="001267E6"/>
    <w:rsid w:val="00126A62"/>
    <w:rsid w:val="00126A83"/>
    <w:rsid w:val="00126AB4"/>
    <w:rsid w:val="00126AC1"/>
    <w:rsid w:val="00126D1A"/>
    <w:rsid w:val="00126E91"/>
    <w:rsid w:val="00126F75"/>
    <w:rsid w:val="00127049"/>
    <w:rsid w:val="001270DA"/>
    <w:rsid w:val="00127136"/>
    <w:rsid w:val="00127278"/>
    <w:rsid w:val="00127553"/>
    <w:rsid w:val="00127563"/>
    <w:rsid w:val="001275BF"/>
    <w:rsid w:val="001276B1"/>
    <w:rsid w:val="001276D2"/>
    <w:rsid w:val="0012783D"/>
    <w:rsid w:val="00127892"/>
    <w:rsid w:val="00127C90"/>
    <w:rsid w:val="00127ED2"/>
    <w:rsid w:val="00127F3D"/>
    <w:rsid w:val="001301BA"/>
    <w:rsid w:val="0013025F"/>
    <w:rsid w:val="0013034B"/>
    <w:rsid w:val="001303FE"/>
    <w:rsid w:val="00130511"/>
    <w:rsid w:val="0013056D"/>
    <w:rsid w:val="001306EA"/>
    <w:rsid w:val="00130700"/>
    <w:rsid w:val="0013075A"/>
    <w:rsid w:val="00130801"/>
    <w:rsid w:val="001308E7"/>
    <w:rsid w:val="0013094D"/>
    <w:rsid w:val="001309FB"/>
    <w:rsid w:val="00130A28"/>
    <w:rsid w:val="00130A44"/>
    <w:rsid w:val="00130A99"/>
    <w:rsid w:val="00130B6F"/>
    <w:rsid w:val="001310CE"/>
    <w:rsid w:val="0013117F"/>
    <w:rsid w:val="001311CA"/>
    <w:rsid w:val="0013125A"/>
    <w:rsid w:val="0013131A"/>
    <w:rsid w:val="0013134A"/>
    <w:rsid w:val="001314F7"/>
    <w:rsid w:val="00131506"/>
    <w:rsid w:val="00131689"/>
    <w:rsid w:val="001316C4"/>
    <w:rsid w:val="00131887"/>
    <w:rsid w:val="0013195A"/>
    <w:rsid w:val="00131989"/>
    <w:rsid w:val="00131B47"/>
    <w:rsid w:val="00131B4D"/>
    <w:rsid w:val="00131CA1"/>
    <w:rsid w:val="00131CD7"/>
    <w:rsid w:val="00131F5A"/>
    <w:rsid w:val="00131FB2"/>
    <w:rsid w:val="0013206A"/>
    <w:rsid w:val="0013208D"/>
    <w:rsid w:val="00132097"/>
    <w:rsid w:val="001320C4"/>
    <w:rsid w:val="001320FF"/>
    <w:rsid w:val="001321A9"/>
    <w:rsid w:val="001322EC"/>
    <w:rsid w:val="00132438"/>
    <w:rsid w:val="001325F0"/>
    <w:rsid w:val="00132739"/>
    <w:rsid w:val="001327DB"/>
    <w:rsid w:val="00132819"/>
    <w:rsid w:val="00132878"/>
    <w:rsid w:val="001329DA"/>
    <w:rsid w:val="001329E0"/>
    <w:rsid w:val="00132B54"/>
    <w:rsid w:val="00132B87"/>
    <w:rsid w:val="00132B95"/>
    <w:rsid w:val="00132D1B"/>
    <w:rsid w:val="00132D58"/>
    <w:rsid w:val="00132DBB"/>
    <w:rsid w:val="00132E84"/>
    <w:rsid w:val="00132EDD"/>
    <w:rsid w:val="00132FA4"/>
    <w:rsid w:val="0013328F"/>
    <w:rsid w:val="001333A9"/>
    <w:rsid w:val="00133783"/>
    <w:rsid w:val="00133852"/>
    <w:rsid w:val="001338F5"/>
    <w:rsid w:val="00133995"/>
    <w:rsid w:val="001339E3"/>
    <w:rsid w:val="00133C48"/>
    <w:rsid w:val="00133C77"/>
    <w:rsid w:val="00133E2D"/>
    <w:rsid w:val="00133E64"/>
    <w:rsid w:val="00133F4D"/>
    <w:rsid w:val="0013422E"/>
    <w:rsid w:val="001342F4"/>
    <w:rsid w:val="001343D0"/>
    <w:rsid w:val="0013441F"/>
    <w:rsid w:val="00134500"/>
    <w:rsid w:val="0013466A"/>
    <w:rsid w:val="001346AE"/>
    <w:rsid w:val="00134838"/>
    <w:rsid w:val="001348B8"/>
    <w:rsid w:val="00134913"/>
    <w:rsid w:val="00134A45"/>
    <w:rsid w:val="00134AC7"/>
    <w:rsid w:val="00134DDE"/>
    <w:rsid w:val="00135180"/>
    <w:rsid w:val="00135554"/>
    <w:rsid w:val="0013560F"/>
    <w:rsid w:val="001357A5"/>
    <w:rsid w:val="001359D6"/>
    <w:rsid w:val="00135A8F"/>
    <w:rsid w:val="00135B05"/>
    <w:rsid w:val="00135BB4"/>
    <w:rsid w:val="00135C46"/>
    <w:rsid w:val="00135F20"/>
    <w:rsid w:val="00135F32"/>
    <w:rsid w:val="00135F66"/>
    <w:rsid w:val="0013602C"/>
    <w:rsid w:val="00136052"/>
    <w:rsid w:val="001360A9"/>
    <w:rsid w:val="00136165"/>
    <w:rsid w:val="00136198"/>
    <w:rsid w:val="0013625B"/>
    <w:rsid w:val="001362AA"/>
    <w:rsid w:val="0013646F"/>
    <w:rsid w:val="0013651B"/>
    <w:rsid w:val="0013659B"/>
    <w:rsid w:val="001365C6"/>
    <w:rsid w:val="00136692"/>
    <w:rsid w:val="001366F6"/>
    <w:rsid w:val="001367BA"/>
    <w:rsid w:val="0013694F"/>
    <w:rsid w:val="00136A06"/>
    <w:rsid w:val="00136AE5"/>
    <w:rsid w:val="00136AFF"/>
    <w:rsid w:val="00136C71"/>
    <w:rsid w:val="00136CBF"/>
    <w:rsid w:val="00136CD3"/>
    <w:rsid w:val="00136CF0"/>
    <w:rsid w:val="00136F35"/>
    <w:rsid w:val="00137082"/>
    <w:rsid w:val="001370C4"/>
    <w:rsid w:val="001370F7"/>
    <w:rsid w:val="00137178"/>
    <w:rsid w:val="001371B8"/>
    <w:rsid w:val="001372F2"/>
    <w:rsid w:val="00137380"/>
    <w:rsid w:val="00137430"/>
    <w:rsid w:val="0013755D"/>
    <w:rsid w:val="00137708"/>
    <w:rsid w:val="00137730"/>
    <w:rsid w:val="001378D4"/>
    <w:rsid w:val="001379F4"/>
    <w:rsid w:val="00137A2A"/>
    <w:rsid w:val="00137BC0"/>
    <w:rsid w:val="00137CB9"/>
    <w:rsid w:val="00137D99"/>
    <w:rsid w:val="00137E84"/>
    <w:rsid w:val="00137ECB"/>
    <w:rsid w:val="00137F51"/>
    <w:rsid w:val="00140002"/>
    <w:rsid w:val="00140176"/>
    <w:rsid w:val="0014027C"/>
    <w:rsid w:val="0014028E"/>
    <w:rsid w:val="00140414"/>
    <w:rsid w:val="00140696"/>
    <w:rsid w:val="00140732"/>
    <w:rsid w:val="0014075D"/>
    <w:rsid w:val="001407F4"/>
    <w:rsid w:val="00140804"/>
    <w:rsid w:val="001408A7"/>
    <w:rsid w:val="001408EF"/>
    <w:rsid w:val="001408F7"/>
    <w:rsid w:val="001409C8"/>
    <w:rsid w:val="00140AD1"/>
    <w:rsid w:val="00140BF7"/>
    <w:rsid w:val="00140D4A"/>
    <w:rsid w:val="00140D62"/>
    <w:rsid w:val="00140F13"/>
    <w:rsid w:val="00140F70"/>
    <w:rsid w:val="0014104F"/>
    <w:rsid w:val="001410E6"/>
    <w:rsid w:val="00141216"/>
    <w:rsid w:val="00141263"/>
    <w:rsid w:val="001412C6"/>
    <w:rsid w:val="00141396"/>
    <w:rsid w:val="00141573"/>
    <w:rsid w:val="001415AF"/>
    <w:rsid w:val="0014166A"/>
    <w:rsid w:val="0014167C"/>
    <w:rsid w:val="0014170A"/>
    <w:rsid w:val="00141728"/>
    <w:rsid w:val="00141B54"/>
    <w:rsid w:val="00141B60"/>
    <w:rsid w:val="00141B8B"/>
    <w:rsid w:val="00141C51"/>
    <w:rsid w:val="00141DD5"/>
    <w:rsid w:val="00141F0F"/>
    <w:rsid w:val="00141F8F"/>
    <w:rsid w:val="001420B8"/>
    <w:rsid w:val="00142101"/>
    <w:rsid w:val="0014229B"/>
    <w:rsid w:val="001422EC"/>
    <w:rsid w:val="0014243D"/>
    <w:rsid w:val="00142453"/>
    <w:rsid w:val="0014252E"/>
    <w:rsid w:val="00142677"/>
    <w:rsid w:val="001426C2"/>
    <w:rsid w:val="00142854"/>
    <w:rsid w:val="001428F9"/>
    <w:rsid w:val="0014293E"/>
    <w:rsid w:val="00142A41"/>
    <w:rsid w:val="00142AAB"/>
    <w:rsid w:val="00142BCD"/>
    <w:rsid w:val="00142C24"/>
    <w:rsid w:val="00142C30"/>
    <w:rsid w:val="00142C47"/>
    <w:rsid w:val="00142C60"/>
    <w:rsid w:val="00142D41"/>
    <w:rsid w:val="0014305E"/>
    <w:rsid w:val="001430B2"/>
    <w:rsid w:val="001431D1"/>
    <w:rsid w:val="00143246"/>
    <w:rsid w:val="00143319"/>
    <w:rsid w:val="001435A4"/>
    <w:rsid w:val="001435CA"/>
    <w:rsid w:val="001435FF"/>
    <w:rsid w:val="001436DE"/>
    <w:rsid w:val="00143729"/>
    <w:rsid w:val="0014384D"/>
    <w:rsid w:val="00143893"/>
    <w:rsid w:val="001439B7"/>
    <w:rsid w:val="00143A0F"/>
    <w:rsid w:val="00143A66"/>
    <w:rsid w:val="00143AC2"/>
    <w:rsid w:val="00143C11"/>
    <w:rsid w:val="00143C21"/>
    <w:rsid w:val="00143EA1"/>
    <w:rsid w:val="00143F87"/>
    <w:rsid w:val="001440FD"/>
    <w:rsid w:val="00144377"/>
    <w:rsid w:val="0014445B"/>
    <w:rsid w:val="001444D8"/>
    <w:rsid w:val="0014455F"/>
    <w:rsid w:val="001445DC"/>
    <w:rsid w:val="001445FE"/>
    <w:rsid w:val="0014465E"/>
    <w:rsid w:val="00144792"/>
    <w:rsid w:val="00144845"/>
    <w:rsid w:val="0014488B"/>
    <w:rsid w:val="0014499A"/>
    <w:rsid w:val="001449A0"/>
    <w:rsid w:val="00144AD9"/>
    <w:rsid w:val="00144AE8"/>
    <w:rsid w:val="00144C11"/>
    <w:rsid w:val="00144C72"/>
    <w:rsid w:val="00144C77"/>
    <w:rsid w:val="00144D20"/>
    <w:rsid w:val="00144D50"/>
    <w:rsid w:val="00144E14"/>
    <w:rsid w:val="00144F72"/>
    <w:rsid w:val="00144F74"/>
    <w:rsid w:val="00145002"/>
    <w:rsid w:val="001450C4"/>
    <w:rsid w:val="001450EC"/>
    <w:rsid w:val="001450EE"/>
    <w:rsid w:val="0014510A"/>
    <w:rsid w:val="00145155"/>
    <w:rsid w:val="00145322"/>
    <w:rsid w:val="001453AE"/>
    <w:rsid w:val="001453DA"/>
    <w:rsid w:val="001453E1"/>
    <w:rsid w:val="0014544F"/>
    <w:rsid w:val="0014556F"/>
    <w:rsid w:val="0014561D"/>
    <w:rsid w:val="00145670"/>
    <w:rsid w:val="001456D0"/>
    <w:rsid w:val="0014587B"/>
    <w:rsid w:val="001459C5"/>
    <w:rsid w:val="00145A2C"/>
    <w:rsid w:val="00145A89"/>
    <w:rsid w:val="00145A8D"/>
    <w:rsid w:val="00145B1E"/>
    <w:rsid w:val="00145CBB"/>
    <w:rsid w:val="00145CC1"/>
    <w:rsid w:val="00145EB1"/>
    <w:rsid w:val="00146013"/>
    <w:rsid w:val="0014607A"/>
    <w:rsid w:val="001460C2"/>
    <w:rsid w:val="00146456"/>
    <w:rsid w:val="001465A9"/>
    <w:rsid w:val="0014669F"/>
    <w:rsid w:val="0014674F"/>
    <w:rsid w:val="0014676F"/>
    <w:rsid w:val="0014696C"/>
    <w:rsid w:val="00146CDA"/>
    <w:rsid w:val="00146E4F"/>
    <w:rsid w:val="00146F0C"/>
    <w:rsid w:val="00146FD9"/>
    <w:rsid w:val="00146FDB"/>
    <w:rsid w:val="00146FE5"/>
    <w:rsid w:val="001470EF"/>
    <w:rsid w:val="00147178"/>
    <w:rsid w:val="001471DA"/>
    <w:rsid w:val="00147251"/>
    <w:rsid w:val="00147252"/>
    <w:rsid w:val="001472CB"/>
    <w:rsid w:val="00147355"/>
    <w:rsid w:val="00147436"/>
    <w:rsid w:val="00147478"/>
    <w:rsid w:val="0014749B"/>
    <w:rsid w:val="001474A5"/>
    <w:rsid w:val="001474AF"/>
    <w:rsid w:val="00147593"/>
    <w:rsid w:val="00147627"/>
    <w:rsid w:val="001476CD"/>
    <w:rsid w:val="001476DD"/>
    <w:rsid w:val="0014775A"/>
    <w:rsid w:val="00147831"/>
    <w:rsid w:val="00147856"/>
    <w:rsid w:val="00147945"/>
    <w:rsid w:val="00147A97"/>
    <w:rsid w:val="00147B10"/>
    <w:rsid w:val="00147B3A"/>
    <w:rsid w:val="00147B75"/>
    <w:rsid w:val="00147ECA"/>
    <w:rsid w:val="00147F95"/>
    <w:rsid w:val="00150009"/>
    <w:rsid w:val="001501F8"/>
    <w:rsid w:val="0015027F"/>
    <w:rsid w:val="001502BC"/>
    <w:rsid w:val="0015030B"/>
    <w:rsid w:val="001503B6"/>
    <w:rsid w:val="0015077F"/>
    <w:rsid w:val="0015083C"/>
    <w:rsid w:val="0015083E"/>
    <w:rsid w:val="0015092F"/>
    <w:rsid w:val="00150A99"/>
    <w:rsid w:val="00150BBA"/>
    <w:rsid w:val="00150BBC"/>
    <w:rsid w:val="00150C8B"/>
    <w:rsid w:val="00150C9B"/>
    <w:rsid w:val="00150D10"/>
    <w:rsid w:val="00150F21"/>
    <w:rsid w:val="001510E6"/>
    <w:rsid w:val="001511D8"/>
    <w:rsid w:val="00151281"/>
    <w:rsid w:val="001512B6"/>
    <w:rsid w:val="00151320"/>
    <w:rsid w:val="00151474"/>
    <w:rsid w:val="001514B1"/>
    <w:rsid w:val="001514DB"/>
    <w:rsid w:val="00151504"/>
    <w:rsid w:val="001515CE"/>
    <w:rsid w:val="0015167E"/>
    <w:rsid w:val="001516E8"/>
    <w:rsid w:val="00151802"/>
    <w:rsid w:val="0015180D"/>
    <w:rsid w:val="001518E5"/>
    <w:rsid w:val="00151904"/>
    <w:rsid w:val="00151919"/>
    <w:rsid w:val="001519EB"/>
    <w:rsid w:val="00151A4B"/>
    <w:rsid w:val="00151D0F"/>
    <w:rsid w:val="0015203B"/>
    <w:rsid w:val="001520BD"/>
    <w:rsid w:val="001521F8"/>
    <w:rsid w:val="00152223"/>
    <w:rsid w:val="00152370"/>
    <w:rsid w:val="00152505"/>
    <w:rsid w:val="0015254C"/>
    <w:rsid w:val="00152633"/>
    <w:rsid w:val="00152727"/>
    <w:rsid w:val="00152781"/>
    <w:rsid w:val="00152863"/>
    <w:rsid w:val="00152912"/>
    <w:rsid w:val="00152913"/>
    <w:rsid w:val="0015291D"/>
    <w:rsid w:val="00152987"/>
    <w:rsid w:val="001529FF"/>
    <w:rsid w:val="00152A0C"/>
    <w:rsid w:val="00152A61"/>
    <w:rsid w:val="00152C77"/>
    <w:rsid w:val="00152D56"/>
    <w:rsid w:val="00152E65"/>
    <w:rsid w:val="00152EE7"/>
    <w:rsid w:val="00152F03"/>
    <w:rsid w:val="00152F98"/>
    <w:rsid w:val="00153063"/>
    <w:rsid w:val="001530AB"/>
    <w:rsid w:val="0015311D"/>
    <w:rsid w:val="00153219"/>
    <w:rsid w:val="001532EB"/>
    <w:rsid w:val="0015336D"/>
    <w:rsid w:val="00153380"/>
    <w:rsid w:val="00153586"/>
    <w:rsid w:val="0015365A"/>
    <w:rsid w:val="001536AA"/>
    <w:rsid w:val="00153782"/>
    <w:rsid w:val="00153808"/>
    <w:rsid w:val="00153903"/>
    <w:rsid w:val="00153927"/>
    <w:rsid w:val="00153B00"/>
    <w:rsid w:val="00153B22"/>
    <w:rsid w:val="00153B5F"/>
    <w:rsid w:val="00153BFD"/>
    <w:rsid w:val="00153CCD"/>
    <w:rsid w:val="00153D5B"/>
    <w:rsid w:val="00153D7A"/>
    <w:rsid w:val="00153EFD"/>
    <w:rsid w:val="0015408B"/>
    <w:rsid w:val="00154199"/>
    <w:rsid w:val="001541AB"/>
    <w:rsid w:val="00154284"/>
    <w:rsid w:val="001542B7"/>
    <w:rsid w:val="001543D5"/>
    <w:rsid w:val="00154451"/>
    <w:rsid w:val="00154484"/>
    <w:rsid w:val="00154547"/>
    <w:rsid w:val="00154583"/>
    <w:rsid w:val="001545E5"/>
    <w:rsid w:val="00154613"/>
    <w:rsid w:val="00154809"/>
    <w:rsid w:val="00154A4C"/>
    <w:rsid w:val="00154ACB"/>
    <w:rsid w:val="00154AEB"/>
    <w:rsid w:val="00154CA4"/>
    <w:rsid w:val="00154D14"/>
    <w:rsid w:val="00154D5A"/>
    <w:rsid w:val="00155061"/>
    <w:rsid w:val="00155238"/>
    <w:rsid w:val="00155353"/>
    <w:rsid w:val="001553E7"/>
    <w:rsid w:val="0015541B"/>
    <w:rsid w:val="001554C3"/>
    <w:rsid w:val="00155559"/>
    <w:rsid w:val="0015576C"/>
    <w:rsid w:val="00155831"/>
    <w:rsid w:val="001559D8"/>
    <w:rsid w:val="00155A08"/>
    <w:rsid w:val="00155BB1"/>
    <w:rsid w:val="00155BE2"/>
    <w:rsid w:val="00155F2C"/>
    <w:rsid w:val="0015637A"/>
    <w:rsid w:val="001563BE"/>
    <w:rsid w:val="0015640F"/>
    <w:rsid w:val="00156477"/>
    <w:rsid w:val="00156504"/>
    <w:rsid w:val="001566A1"/>
    <w:rsid w:val="00156838"/>
    <w:rsid w:val="00156846"/>
    <w:rsid w:val="00156894"/>
    <w:rsid w:val="001568B0"/>
    <w:rsid w:val="00156918"/>
    <w:rsid w:val="0015697A"/>
    <w:rsid w:val="00156B25"/>
    <w:rsid w:val="00156B3A"/>
    <w:rsid w:val="00156BBB"/>
    <w:rsid w:val="00156BEF"/>
    <w:rsid w:val="00156CD5"/>
    <w:rsid w:val="00156D80"/>
    <w:rsid w:val="00156DE4"/>
    <w:rsid w:val="00156E06"/>
    <w:rsid w:val="00156EC7"/>
    <w:rsid w:val="0015709C"/>
    <w:rsid w:val="001570C2"/>
    <w:rsid w:val="001570E0"/>
    <w:rsid w:val="001570FD"/>
    <w:rsid w:val="0015731E"/>
    <w:rsid w:val="00157370"/>
    <w:rsid w:val="00157497"/>
    <w:rsid w:val="001575D6"/>
    <w:rsid w:val="00157756"/>
    <w:rsid w:val="00157935"/>
    <w:rsid w:val="001579F2"/>
    <w:rsid w:val="00157A1B"/>
    <w:rsid w:val="00157D69"/>
    <w:rsid w:val="00157D71"/>
    <w:rsid w:val="00157D9F"/>
    <w:rsid w:val="00157FAC"/>
    <w:rsid w:val="00160159"/>
    <w:rsid w:val="00160390"/>
    <w:rsid w:val="00160441"/>
    <w:rsid w:val="001604B0"/>
    <w:rsid w:val="00160502"/>
    <w:rsid w:val="0016054D"/>
    <w:rsid w:val="001605BE"/>
    <w:rsid w:val="0016063E"/>
    <w:rsid w:val="0016068C"/>
    <w:rsid w:val="0016079A"/>
    <w:rsid w:val="0016082D"/>
    <w:rsid w:val="001609FF"/>
    <w:rsid w:val="00160B08"/>
    <w:rsid w:val="00160C9E"/>
    <w:rsid w:val="00160E25"/>
    <w:rsid w:val="00160F2C"/>
    <w:rsid w:val="00160F3B"/>
    <w:rsid w:val="00160F65"/>
    <w:rsid w:val="00161002"/>
    <w:rsid w:val="001610B7"/>
    <w:rsid w:val="0016111B"/>
    <w:rsid w:val="001611E6"/>
    <w:rsid w:val="00161325"/>
    <w:rsid w:val="00161326"/>
    <w:rsid w:val="001613BF"/>
    <w:rsid w:val="001615E3"/>
    <w:rsid w:val="00161648"/>
    <w:rsid w:val="001616ED"/>
    <w:rsid w:val="001616FC"/>
    <w:rsid w:val="0016189C"/>
    <w:rsid w:val="0016199D"/>
    <w:rsid w:val="00161A56"/>
    <w:rsid w:val="00161AE8"/>
    <w:rsid w:val="00161B68"/>
    <w:rsid w:val="00161BC7"/>
    <w:rsid w:val="00161BF0"/>
    <w:rsid w:val="00161C42"/>
    <w:rsid w:val="00161E60"/>
    <w:rsid w:val="00161E6B"/>
    <w:rsid w:val="00161EAD"/>
    <w:rsid w:val="00161FCC"/>
    <w:rsid w:val="0016205B"/>
    <w:rsid w:val="0016218D"/>
    <w:rsid w:val="00162201"/>
    <w:rsid w:val="0016222C"/>
    <w:rsid w:val="0016224A"/>
    <w:rsid w:val="0016231B"/>
    <w:rsid w:val="00162372"/>
    <w:rsid w:val="0016240B"/>
    <w:rsid w:val="001624E1"/>
    <w:rsid w:val="001624F8"/>
    <w:rsid w:val="0016257E"/>
    <w:rsid w:val="00162814"/>
    <w:rsid w:val="0016286C"/>
    <w:rsid w:val="00162907"/>
    <w:rsid w:val="001629F2"/>
    <w:rsid w:val="00162B02"/>
    <w:rsid w:val="00162BC3"/>
    <w:rsid w:val="00162BE8"/>
    <w:rsid w:val="00162C4F"/>
    <w:rsid w:val="00162E4A"/>
    <w:rsid w:val="00162EA3"/>
    <w:rsid w:val="00163086"/>
    <w:rsid w:val="00163119"/>
    <w:rsid w:val="001631D3"/>
    <w:rsid w:val="00163273"/>
    <w:rsid w:val="00163283"/>
    <w:rsid w:val="001634BA"/>
    <w:rsid w:val="001635AC"/>
    <w:rsid w:val="001635D8"/>
    <w:rsid w:val="00163672"/>
    <w:rsid w:val="0016369D"/>
    <w:rsid w:val="001636B6"/>
    <w:rsid w:val="001637E8"/>
    <w:rsid w:val="00163877"/>
    <w:rsid w:val="001639AF"/>
    <w:rsid w:val="00163A65"/>
    <w:rsid w:val="00163B94"/>
    <w:rsid w:val="00163BCA"/>
    <w:rsid w:val="00163CAA"/>
    <w:rsid w:val="00163CC6"/>
    <w:rsid w:val="00163DF6"/>
    <w:rsid w:val="00163DF7"/>
    <w:rsid w:val="00163E42"/>
    <w:rsid w:val="00164239"/>
    <w:rsid w:val="001642F5"/>
    <w:rsid w:val="0016436C"/>
    <w:rsid w:val="00164547"/>
    <w:rsid w:val="001646FA"/>
    <w:rsid w:val="00164714"/>
    <w:rsid w:val="0016474B"/>
    <w:rsid w:val="00164785"/>
    <w:rsid w:val="001647CF"/>
    <w:rsid w:val="0016481C"/>
    <w:rsid w:val="0016496D"/>
    <w:rsid w:val="00164A3C"/>
    <w:rsid w:val="00164B61"/>
    <w:rsid w:val="00164E35"/>
    <w:rsid w:val="00164F42"/>
    <w:rsid w:val="00165027"/>
    <w:rsid w:val="00165075"/>
    <w:rsid w:val="00165148"/>
    <w:rsid w:val="00165176"/>
    <w:rsid w:val="00165422"/>
    <w:rsid w:val="00165433"/>
    <w:rsid w:val="00165436"/>
    <w:rsid w:val="00165544"/>
    <w:rsid w:val="001655C7"/>
    <w:rsid w:val="001655FA"/>
    <w:rsid w:val="0016566F"/>
    <w:rsid w:val="00165702"/>
    <w:rsid w:val="00165823"/>
    <w:rsid w:val="00165906"/>
    <w:rsid w:val="00165A86"/>
    <w:rsid w:val="00165CF3"/>
    <w:rsid w:val="00165DEF"/>
    <w:rsid w:val="00165E82"/>
    <w:rsid w:val="001660B4"/>
    <w:rsid w:val="001660E2"/>
    <w:rsid w:val="001661A7"/>
    <w:rsid w:val="001661B9"/>
    <w:rsid w:val="001662D6"/>
    <w:rsid w:val="001662DE"/>
    <w:rsid w:val="00166387"/>
    <w:rsid w:val="0016654A"/>
    <w:rsid w:val="001665AD"/>
    <w:rsid w:val="001668AA"/>
    <w:rsid w:val="001669AA"/>
    <w:rsid w:val="001669CB"/>
    <w:rsid w:val="00166A22"/>
    <w:rsid w:val="00166AF5"/>
    <w:rsid w:val="00166BD5"/>
    <w:rsid w:val="00166C68"/>
    <w:rsid w:val="00166E74"/>
    <w:rsid w:val="0016710C"/>
    <w:rsid w:val="00167271"/>
    <w:rsid w:val="001672C4"/>
    <w:rsid w:val="001673AE"/>
    <w:rsid w:val="001673C8"/>
    <w:rsid w:val="0016740C"/>
    <w:rsid w:val="00167425"/>
    <w:rsid w:val="00167462"/>
    <w:rsid w:val="0016746B"/>
    <w:rsid w:val="0016747E"/>
    <w:rsid w:val="0016749F"/>
    <w:rsid w:val="00167635"/>
    <w:rsid w:val="001676B3"/>
    <w:rsid w:val="001677CB"/>
    <w:rsid w:val="001677F8"/>
    <w:rsid w:val="00167893"/>
    <w:rsid w:val="0016791D"/>
    <w:rsid w:val="00167954"/>
    <w:rsid w:val="001679F3"/>
    <w:rsid w:val="00167A5D"/>
    <w:rsid w:val="00167A6D"/>
    <w:rsid w:val="00167AB0"/>
    <w:rsid w:val="00167BEB"/>
    <w:rsid w:val="00167C64"/>
    <w:rsid w:val="00167C9F"/>
    <w:rsid w:val="00167FF1"/>
    <w:rsid w:val="00170095"/>
    <w:rsid w:val="0017011A"/>
    <w:rsid w:val="00170290"/>
    <w:rsid w:val="0017039B"/>
    <w:rsid w:val="001703A0"/>
    <w:rsid w:val="001704EB"/>
    <w:rsid w:val="001705B3"/>
    <w:rsid w:val="00170602"/>
    <w:rsid w:val="00170703"/>
    <w:rsid w:val="0017073E"/>
    <w:rsid w:val="00170767"/>
    <w:rsid w:val="00170867"/>
    <w:rsid w:val="001708C2"/>
    <w:rsid w:val="001709F1"/>
    <w:rsid w:val="00170C89"/>
    <w:rsid w:val="00170E82"/>
    <w:rsid w:val="00170ED3"/>
    <w:rsid w:val="00170FE9"/>
    <w:rsid w:val="00171033"/>
    <w:rsid w:val="0017106F"/>
    <w:rsid w:val="0017108F"/>
    <w:rsid w:val="0017112D"/>
    <w:rsid w:val="00171242"/>
    <w:rsid w:val="0017127C"/>
    <w:rsid w:val="00171350"/>
    <w:rsid w:val="00171417"/>
    <w:rsid w:val="00171504"/>
    <w:rsid w:val="001715F1"/>
    <w:rsid w:val="00171751"/>
    <w:rsid w:val="0017180A"/>
    <w:rsid w:val="001719AC"/>
    <w:rsid w:val="00171B0D"/>
    <w:rsid w:val="00171B19"/>
    <w:rsid w:val="00171DB9"/>
    <w:rsid w:val="00171EB3"/>
    <w:rsid w:val="00172030"/>
    <w:rsid w:val="001720BB"/>
    <w:rsid w:val="0017221C"/>
    <w:rsid w:val="00172395"/>
    <w:rsid w:val="001723E0"/>
    <w:rsid w:val="0017244A"/>
    <w:rsid w:val="0017245C"/>
    <w:rsid w:val="0017247A"/>
    <w:rsid w:val="00172639"/>
    <w:rsid w:val="001727A1"/>
    <w:rsid w:val="001727A4"/>
    <w:rsid w:val="001729D0"/>
    <w:rsid w:val="00172CD3"/>
    <w:rsid w:val="00172D4C"/>
    <w:rsid w:val="00172E30"/>
    <w:rsid w:val="00172E78"/>
    <w:rsid w:val="00172F26"/>
    <w:rsid w:val="00172FE5"/>
    <w:rsid w:val="00173068"/>
    <w:rsid w:val="001730BB"/>
    <w:rsid w:val="001731D8"/>
    <w:rsid w:val="00173370"/>
    <w:rsid w:val="00173380"/>
    <w:rsid w:val="001734DB"/>
    <w:rsid w:val="0017358C"/>
    <w:rsid w:val="00173652"/>
    <w:rsid w:val="00173763"/>
    <w:rsid w:val="001737AD"/>
    <w:rsid w:val="001737C6"/>
    <w:rsid w:val="00173842"/>
    <w:rsid w:val="001738B1"/>
    <w:rsid w:val="00173A99"/>
    <w:rsid w:val="00173AF7"/>
    <w:rsid w:val="00173DB9"/>
    <w:rsid w:val="00173DD8"/>
    <w:rsid w:val="001742CC"/>
    <w:rsid w:val="001743B3"/>
    <w:rsid w:val="001745AC"/>
    <w:rsid w:val="001746C9"/>
    <w:rsid w:val="00174700"/>
    <w:rsid w:val="001747EC"/>
    <w:rsid w:val="0017486B"/>
    <w:rsid w:val="00174935"/>
    <w:rsid w:val="0017495A"/>
    <w:rsid w:val="00174A10"/>
    <w:rsid w:val="00174BEF"/>
    <w:rsid w:val="00174C43"/>
    <w:rsid w:val="00174CBD"/>
    <w:rsid w:val="00174DA1"/>
    <w:rsid w:val="00174FDC"/>
    <w:rsid w:val="00175141"/>
    <w:rsid w:val="001753AB"/>
    <w:rsid w:val="00175532"/>
    <w:rsid w:val="0017557B"/>
    <w:rsid w:val="00175657"/>
    <w:rsid w:val="00175680"/>
    <w:rsid w:val="00175689"/>
    <w:rsid w:val="00175782"/>
    <w:rsid w:val="001757B1"/>
    <w:rsid w:val="0017581C"/>
    <w:rsid w:val="00175A3B"/>
    <w:rsid w:val="00175AF3"/>
    <w:rsid w:val="00175E0E"/>
    <w:rsid w:val="00175F58"/>
    <w:rsid w:val="00175F6F"/>
    <w:rsid w:val="00175F9A"/>
    <w:rsid w:val="0017603E"/>
    <w:rsid w:val="00176313"/>
    <w:rsid w:val="001763D8"/>
    <w:rsid w:val="00176480"/>
    <w:rsid w:val="00176557"/>
    <w:rsid w:val="0017670A"/>
    <w:rsid w:val="001768AA"/>
    <w:rsid w:val="001769B4"/>
    <w:rsid w:val="00176A97"/>
    <w:rsid w:val="00176DFC"/>
    <w:rsid w:val="00176E12"/>
    <w:rsid w:val="00176E14"/>
    <w:rsid w:val="00176F72"/>
    <w:rsid w:val="00176FD9"/>
    <w:rsid w:val="00177030"/>
    <w:rsid w:val="0017704D"/>
    <w:rsid w:val="00177071"/>
    <w:rsid w:val="0017724F"/>
    <w:rsid w:val="001773B4"/>
    <w:rsid w:val="00177486"/>
    <w:rsid w:val="00177498"/>
    <w:rsid w:val="0017785F"/>
    <w:rsid w:val="00177886"/>
    <w:rsid w:val="00177909"/>
    <w:rsid w:val="001779D6"/>
    <w:rsid w:val="00177A1B"/>
    <w:rsid w:val="00177BA4"/>
    <w:rsid w:val="00177C10"/>
    <w:rsid w:val="00177C32"/>
    <w:rsid w:val="00177C35"/>
    <w:rsid w:val="00177D21"/>
    <w:rsid w:val="00177DAB"/>
    <w:rsid w:val="00177DE3"/>
    <w:rsid w:val="00177EC9"/>
    <w:rsid w:val="00180046"/>
    <w:rsid w:val="00180218"/>
    <w:rsid w:val="0018049F"/>
    <w:rsid w:val="001805B0"/>
    <w:rsid w:val="0018064D"/>
    <w:rsid w:val="00180882"/>
    <w:rsid w:val="00180C62"/>
    <w:rsid w:val="00180CB0"/>
    <w:rsid w:val="00180CFD"/>
    <w:rsid w:val="00180D4F"/>
    <w:rsid w:val="00180DBD"/>
    <w:rsid w:val="00180DF4"/>
    <w:rsid w:val="00180EC4"/>
    <w:rsid w:val="00180EE6"/>
    <w:rsid w:val="00180EF2"/>
    <w:rsid w:val="00180F01"/>
    <w:rsid w:val="00180FDC"/>
    <w:rsid w:val="00180FE8"/>
    <w:rsid w:val="00181010"/>
    <w:rsid w:val="0018105A"/>
    <w:rsid w:val="00181288"/>
    <w:rsid w:val="001812C8"/>
    <w:rsid w:val="001812FB"/>
    <w:rsid w:val="001814D2"/>
    <w:rsid w:val="0018155D"/>
    <w:rsid w:val="001815AE"/>
    <w:rsid w:val="00181636"/>
    <w:rsid w:val="00181645"/>
    <w:rsid w:val="00181685"/>
    <w:rsid w:val="001817AE"/>
    <w:rsid w:val="001819C7"/>
    <w:rsid w:val="00181A45"/>
    <w:rsid w:val="00181A4D"/>
    <w:rsid w:val="00181A83"/>
    <w:rsid w:val="00181D1C"/>
    <w:rsid w:val="00181EDE"/>
    <w:rsid w:val="00181FFA"/>
    <w:rsid w:val="00182102"/>
    <w:rsid w:val="00182125"/>
    <w:rsid w:val="00182132"/>
    <w:rsid w:val="001822A0"/>
    <w:rsid w:val="00182310"/>
    <w:rsid w:val="0018249D"/>
    <w:rsid w:val="001824CA"/>
    <w:rsid w:val="001824ED"/>
    <w:rsid w:val="001825C4"/>
    <w:rsid w:val="001825E3"/>
    <w:rsid w:val="00182858"/>
    <w:rsid w:val="001828D9"/>
    <w:rsid w:val="0018297E"/>
    <w:rsid w:val="00182AA1"/>
    <w:rsid w:val="00182CBB"/>
    <w:rsid w:val="00182FB2"/>
    <w:rsid w:val="00182FDF"/>
    <w:rsid w:val="00183021"/>
    <w:rsid w:val="0018311D"/>
    <w:rsid w:val="00183373"/>
    <w:rsid w:val="0018339F"/>
    <w:rsid w:val="00183491"/>
    <w:rsid w:val="0018360B"/>
    <w:rsid w:val="0018366E"/>
    <w:rsid w:val="001836F5"/>
    <w:rsid w:val="00183996"/>
    <w:rsid w:val="00183B15"/>
    <w:rsid w:val="00183BBB"/>
    <w:rsid w:val="00183C16"/>
    <w:rsid w:val="00183C60"/>
    <w:rsid w:val="00183E12"/>
    <w:rsid w:val="00183F03"/>
    <w:rsid w:val="00183F46"/>
    <w:rsid w:val="00183F98"/>
    <w:rsid w:val="001842E1"/>
    <w:rsid w:val="00184312"/>
    <w:rsid w:val="00184465"/>
    <w:rsid w:val="00184542"/>
    <w:rsid w:val="00184598"/>
    <w:rsid w:val="001845B7"/>
    <w:rsid w:val="00184773"/>
    <w:rsid w:val="0018480A"/>
    <w:rsid w:val="00184987"/>
    <w:rsid w:val="001849B2"/>
    <w:rsid w:val="00184A20"/>
    <w:rsid w:val="00184B09"/>
    <w:rsid w:val="00184B27"/>
    <w:rsid w:val="00184B2A"/>
    <w:rsid w:val="00184B5D"/>
    <w:rsid w:val="00184C74"/>
    <w:rsid w:val="00184CD4"/>
    <w:rsid w:val="00184CE0"/>
    <w:rsid w:val="00184D75"/>
    <w:rsid w:val="00184EB5"/>
    <w:rsid w:val="00184F00"/>
    <w:rsid w:val="00184FD3"/>
    <w:rsid w:val="00185358"/>
    <w:rsid w:val="0018540B"/>
    <w:rsid w:val="0018546C"/>
    <w:rsid w:val="00185474"/>
    <w:rsid w:val="0018562E"/>
    <w:rsid w:val="00185733"/>
    <w:rsid w:val="001857BB"/>
    <w:rsid w:val="001858F1"/>
    <w:rsid w:val="001859DB"/>
    <w:rsid w:val="001859F3"/>
    <w:rsid w:val="00185B72"/>
    <w:rsid w:val="00185CD0"/>
    <w:rsid w:val="00185D4E"/>
    <w:rsid w:val="00185DF6"/>
    <w:rsid w:val="00185EBA"/>
    <w:rsid w:val="00185F3A"/>
    <w:rsid w:val="00186070"/>
    <w:rsid w:val="00186281"/>
    <w:rsid w:val="00186362"/>
    <w:rsid w:val="00186415"/>
    <w:rsid w:val="0018641B"/>
    <w:rsid w:val="0018641F"/>
    <w:rsid w:val="00186525"/>
    <w:rsid w:val="00186546"/>
    <w:rsid w:val="0018661C"/>
    <w:rsid w:val="00186675"/>
    <w:rsid w:val="00186712"/>
    <w:rsid w:val="0018672A"/>
    <w:rsid w:val="0018677A"/>
    <w:rsid w:val="001869EF"/>
    <w:rsid w:val="00186A00"/>
    <w:rsid w:val="00186B57"/>
    <w:rsid w:val="00186C02"/>
    <w:rsid w:val="00186C30"/>
    <w:rsid w:val="00186C88"/>
    <w:rsid w:val="00186E68"/>
    <w:rsid w:val="00186FBA"/>
    <w:rsid w:val="00187123"/>
    <w:rsid w:val="00187162"/>
    <w:rsid w:val="001871FC"/>
    <w:rsid w:val="0018725B"/>
    <w:rsid w:val="0018738D"/>
    <w:rsid w:val="001873AB"/>
    <w:rsid w:val="001873CB"/>
    <w:rsid w:val="0018743D"/>
    <w:rsid w:val="0018748B"/>
    <w:rsid w:val="0018753F"/>
    <w:rsid w:val="0018761E"/>
    <w:rsid w:val="0018765B"/>
    <w:rsid w:val="00187672"/>
    <w:rsid w:val="0018790F"/>
    <w:rsid w:val="001879A3"/>
    <w:rsid w:val="00187A2B"/>
    <w:rsid w:val="00187A73"/>
    <w:rsid w:val="00187B09"/>
    <w:rsid w:val="00187B3D"/>
    <w:rsid w:val="00187C7F"/>
    <w:rsid w:val="00187DC1"/>
    <w:rsid w:val="00187EF6"/>
    <w:rsid w:val="00187F90"/>
    <w:rsid w:val="00190014"/>
    <w:rsid w:val="00190018"/>
    <w:rsid w:val="0019027E"/>
    <w:rsid w:val="001904FD"/>
    <w:rsid w:val="0019057B"/>
    <w:rsid w:val="001905B6"/>
    <w:rsid w:val="001905BF"/>
    <w:rsid w:val="00190622"/>
    <w:rsid w:val="001906C9"/>
    <w:rsid w:val="001909E2"/>
    <w:rsid w:val="00190A90"/>
    <w:rsid w:val="00190B09"/>
    <w:rsid w:val="00190BB8"/>
    <w:rsid w:val="00190C19"/>
    <w:rsid w:val="00190D13"/>
    <w:rsid w:val="00190D36"/>
    <w:rsid w:val="00190DD7"/>
    <w:rsid w:val="0019116E"/>
    <w:rsid w:val="00191183"/>
    <w:rsid w:val="0019118D"/>
    <w:rsid w:val="001911B8"/>
    <w:rsid w:val="00191294"/>
    <w:rsid w:val="001912FD"/>
    <w:rsid w:val="0019144B"/>
    <w:rsid w:val="0019153F"/>
    <w:rsid w:val="001915AE"/>
    <w:rsid w:val="001916A4"/>
    <w:rsid w:val="001916AF"/>
    <w:rsid w:val="0019171C"/>
    <w:rsid w:val="00191738"/>
    <w:rsid w:val="00191766"/>
    <w:rsid w:val="00191773"/>
    <w:rsid w:val="001919C1"/>
    <w:rsid w:val="00191C00"/>
    <w:rsid w:val="00191C63"/>
    <w:rsid w:val="00191F83"/>
    <w:rsid w:val="00191FC1"/>
    <w:rsid w:val="001920DC"/>
    <w:rsid w:val="0019224C"/>
    <w:rsid w:val="00192267"/>
    <w:rsid w:val="0019235E"/>
    <w:rsid w:val="0019238F"/>
    <w:rsid w:val="0019257A"/>
    <w:rsid w:val="00192599"/>
    <w:rsid w:val="001926E6"/>
    <w:rsid w:val="001926F1"/>
    <w:rsid w:val="00192738"/>
    <w:rsid w:val="0019273F"/>
    <w:rsid w:val="001927FD"/>
    <w:rsid w:val="0019288B"/>
    <w:rsid w:val="001928C5"/>
    <w:rsid w:val="0019292C"/>
    <w:rsid w:val="00192A5F"/>
    <w:rsid w:val="00192A6B"/>
    <w:rsid w:val="00192ADF"/>
    <w:rsid w:val="00192B19"/>
    <w:rsid w:val="00192C5F"/>
    <w:rsid w:val="00192E70"/>
    <w:rsid w:val="00192E7C"/>
    <w:rsid w:val="00192ECA"/>
    <w:rsid w:val="00192F30"/>
    <w:rsid w:val="00193062"/>
    <w:rsid w:val="00193071"/>
    <w:rsid w:val="00193079"/>
    <w:rsid w:val="001930C5"/>
    <w:rsid w:val="00193108"/>
    <w:rsid w:val="00193174"/>
    <w:rsid w:val="0019318E"/>
    <w:rsid w:val="001931E1"/>
    <w:rsid w:val="00193291"/>
    <w:rsid w:val="0019330F"/>
    <w:rsid w:val="0019334E"/>
    <w:rsid w:val="0019336D"/>
    <w:rsid w:val="001936DD"/>
    <w:rsid w:val="001937FE"/>
    <w:rsid w:val="00193A66"/>
    <w:rsid w:val="00193B64"/>
    <w:rsid w:val="00193BE7"/>
    <w:rsid w:val="00193C94"/>
    <w:rsid w:val="00193CD8"/>
    <w:rsid w:val="00193D3B"/>
    <w:rsid w:val="00193D54"/>
    <w:rsid w:val="00193E8F"/>
    <w:rsid w:val="00193E9D"/>
    <w:rsid w:val="00193F47"/>
    <w:rsid w:val="00193F6D"/>
    <w:rsid w:val="0019415A"/>
    <w:rsid w:val="00194174"/>
    <w:rsid w:val="00194365"/>
    <w:rsid w:val="001943AA"/>
    <w:rsid w:val="00194672"/>
    <w:rsid w:val="001946E7"/>
    <w:rsid w:val="00194728"/>
    <w:rsid w:val="00194824"/>
    <w:rsid w:val="0019485F"/>
    <w:rsid w:val="0019496D"/>
    <w:rsid w:val="001949CD"/>
    <w:rsid w:val="00194AFF"/>
    <w:rsid w:val="00194B74"/>
    <w:rsid w:val="00194B9C"/>
    <w:rsid w:val="00194D98"/>
    <w:rsid w:val="00194DBF"/>
    <w:rsid w:val="00194E1C"/>
    <w:rsid w:val="00194E86"/>
    <w:rsid w:val="001950D7"/>
    <w:rsid w:val="00195244"/>
    <w:rsid w:val="001952BA"/>
    <w:rsid w:val="001952F5"/>
    <w:rsid w:val="00195314"/>
    <w:rsid w:val="00195348"/>
    <w:rsid w:val="0019537E"/>
    <w:rsid w:val="00195450"/>
    <w:rsid w:val="001954E7"/>
    <w:rsid w:val="00195587"/>
    <w:rsid w:val="001956D2"/>
    <w:rsid w:val="00195704"/>
    <w:rsid w:val="0019570C"/>
    <w:rsid w:val="00195927"/>
    <w:rsid w:val="00195973"/>
    <w:rsid w:val="001959FA"/>
    <w:rsid w:val="00195A2F"/>
    <w:rsid w:val="00195A35"/>
    <w:rsid w:val="00195A99"/>
    <w:rsid w:val="00195AAA"/>
    <w:rsid w:val="00195BB2"/>
    <w:rsid w:val="00195ED5"/>
    <w:rsid w:val="00195EEE"/>
    <w:rsid w:val="00195FA2"/>
    <w:rsid w:val="001960A3"/>
    <w:rsid w:val="00196146"/>
    <w:rsid w:val="00196270"/>
    <w:rsid w:val="0019633C"/>
    <w:rsid w:val="0019650A"/>
    <w:rsid w:val="00196527"/>
    <w:rsid w:val="0019666D"/>
    <w:rsid w:val="0019667D"/>
    <w:rsid w:val="00196690"/>
    <w:rsid w:val="0019669F"/>
    <w:rsid w:val="001968D3"/>
    <w:rsid w:val="001969EE"/>
    <w:rsid w:val="00196A95"/>
    <w:rsid w:val="00196B3D"/>
    <w:rsid w:val="00196B9B"/>
    <w:rsid w:val="00196BE6"/>
    <w:rsid w:val="00196CE2"/>
    <w:rsid w:val="00196CEF"/>
    <w:rsid w:val="00196D87"/>
    <w:rsid w:val="0019701E"/>
    <w:rsid w:val="00197106"/>
    <w:rsid w:val="001971F8"/>
    <w:rsid w:val="001972B6"/>
    <w:rsid w:val="0019732D"/>
    <w:rsid w:val="001973FC"/>
    <w:rsid w:val="00197434"/>
    <w:rsid w:val="0019751B"/>
    <w:rsid w:val="001975C4"/>
    <w:rsid w:val="001975E5"/>
    <w:rsid w:val="0019768E"/>
    <w:rsid w:val="001976CB"/>
    <w:rsid w:val="001978F0"/>
    <w:rsid w:val="00197935"/>
    <w:rsid w:val="0019797A"/>
    <w:rsid w:val="001979BA"/>
    <w:rsid w:val="00197A5C"/>
    <w:rsid w:val="00197ACC"/>
    <w:rsid w:val="00197BE9"/>
    <w:rsid w:val="00197C4C"/>
    <w:rsid w:val="00197C75"/>
    <w:rsid w:val="00197CBD"/>
    <w:rsid w:val="00197DFB"/>
    <w:rsid w:val="001A0053"/>
    <w:rsid w:val="001A007B"/>
    <w:rsid w:val="001A013C"/>
    <w:rsid w:val="001A0280"/>
    <w:rsid w:val="001A02DF"/>
    <w:rsid w:val="001A03F9"/>
    <w:rsid w:val="001A040C"/>
    <w:rsid w:val="001A05A4"/>
    <w:rsid w:val="001A063C"/>
    <w:rsid w:val="001A0680"/>
    <w:rsid w:val="001A06DE"/>
    <w:rsid w:val="001A073D"/>
    <w:rsid w:val="001A0970"/>
    <w:rsid w:val="001A09D3"/>
    <w:rsid w:val="001A0A40"/>
    <w:rsid w:val="001A0B8C"/>
    <w:rsid w:val="001A0C80"/>
    <w:rsid w:val="001A0CC1"/>
    <w:rsid w:val="001A0D52"/>
    <w:rsid w:val="001A0E12"/>
    <w:rsid w:val="001A0E99"/>
    <w:rsid w:val="001A109B"/>
    <w:rsid w:val="001A1149"/>
    <w:rsid w:val="001A11C2"/>
    <w:rsid w:val="001A127F"/>
    <w:rsid w:val="001A1367"/>
    <w:rsid w:val="001A13C4"/>
    <w:rsid w:val="001A13F5"/>
    <w:rsid w:val="001A15F9"/>
    <w:rsid w:val="001A1608"/>
    <w:rsid w:val="001A1704"/>
    <w:rsid w:val="001A18F0"/>
    <w:rsid w:val="001A1990"/>
    <w:rsid w:val="001A1AE4"/>
    <w:rsid w:val="001A1BFB"/>
    <w:rsid w:val="001A1CC3"/>
    <w:rsid w:val="001A1CD0"/>
    <w:rsid w:val="001A1D52"/>
    <w:rsid w:val="001A1E29"/>
    <w:rsid w:val="001A1EBB"/>
    <w:rsid w:val="001A1F70"/>
    <w:rsid w:val="001A1F8F"/>
    <w:rsid w:val="001A20B6"/>
    <w:rsid w:val="001A20C9"/>
    <w:rsid w:val="001A20FC"/>
    <w:rsid w:val="001A211C"/>
    <w:rsid w:val="001A2228"/>
    <w:rsid w:val="001A255C"/>
    <w:rsid w:val="001A2641"/>
    <w:rsid w:val="001A26F1"/>
    <w:rsid w:val="001A2755"/>
    <w:rsid w:val="001A2994"/>
    <w:rsid w:val="001A2A0E"/>
    <w:rsid w:val="001A2A9A"/>
    <w:rsid w:val="001A2CFA"/>
    <w:rsid w:val="001A2D28"/>
    <w:rsid w:val="001A2F58"/>
    <w:rsid w:val="001A301B"/>
    <w:rsid w:val="001A303F"/>
    <w:rsid w:val="001A3049"/>
    <w:rsid w:val="001A30EE"/>
    <w:rsid w:val="001A31D2"/>
    <w:rsid w:val="001A3252"/>
    <w:rsid w:val="001A342A"/>
    <w:rsid w:val="001A3519"/>
    <w:rsid w:val="001A3615"/>
    <w:rsid w:val="001A3641"/>
    <w:rsid w:val="001A36B4"/>
    <w:rsid w:val="001A3702"/>
    <w:rsid w:val="001A377D"/>
    <w:rsid w:val="001A3829"/>
    <w:rsid w:val="001A384B"/>
    <w:rsid w:val="001A385C"/>
    <w:rsid w:val="001A38A5"/>
    <w:rsid w:val="001A38C7"/>
    <w:rsid w:val="001A38F5"/>
    <w:rsid w:val="001A38FF"/>
    <w:rsid w:val="001A3A43"/>
    <w:rsid w:val="001A3C9E"/>
    <w:rsid w:val="001A3EAA"/>
    <w:rsid w:val="001A41AB"/>
    <w:rsid w:val="001A41EC"/>
    <w:rsid w:val="001A41FA"/>
    <w:rsid w:val="001A4230"/>
    <w:rsid w:val="001A42C3"/>
    <w:rsid w:val="001A42FB"/>
    <w:rsid w:val="001A42FC"/>
    <w:rsid w:val="001A43E9"/>
    <w:rsid w:val="001A4498"/>
    <w:rsid w:val="001A4650"/>
    <w:rsid w:val="001A469A"/>
    <w:rsid w:val="001A47A2"/>
    <w:rsid w:val="001A4866"/>
    <w:rsid w:val="001A4947"/>
    <w:rsid w:val="001A49CA"/>
    <w:rsid w:val="001A4C6E"/>
    <w:rsid w:val="001A4D2F"/>
    <w:rsid w:val="001A4DC5"/>
    <w:rsid w:val="001A4EC0"/>
    <w:rsid w:val="001A4F15"/>
    <w:rsid w:val="001A51E5"/>
    <w:rsid w:val="001A531E"/>
    <w:rsid w:val="001A5333"/>
    <w:rsid w:val="001A53B5"/>
    <w:rsid w:val="001A549C"/>
    <w:rsid w:val="001A56D8"/>
    <w:rsid w:val="001A56E2"/>
    <w:rsid w:val="001A578C"/>
    <w:rsid w:val="001A57A7"/>
    <w:rsid w:val="001A57E1"/>
    <w:rsid w:val="001A5873"/>
    <w:rsid w:val="001A5887"/>
    <w:rsid w:val="001A58A0"/>
    <w:rsid w:val="001A59C6"/>
    <w:rsid w:val="001A5B05"/>
    <w:rsid w:val="001A5BFF"/>
    <w:rsid w:val="001A5C8B"/>
    <w:rsid w:val="001A5DA3"/>
    <w:rsid w:val="001A5F12"/>
    <w:rsid w:val="001A5F51"/>
    <w:rsid w:val="001A5F7B"/>
    <w:rsid w:val="001A5FDC"/>
    <w:rsid w:val="001A622B"/>
    <w:rsid w:val="001A624A"/>
    <w:rsid w:val="001A64D4"/>
    <w:rsid w:val="001A6623"/>
    <w:rsid w:val="001A67AF"/>
    <w:rsid w:val="001A67D0"/>
    <w:rsid w:val="001A69FB"/>
    <w:rsid w:val="001A6A06"/>
    <w:rsid w:val="001A6B72"/>
    <w:rsid w:val="001A6D3F"/>
    <w:rsid w:val="001A70FF"/>
    <w:rsid w:val="001A711C"/>
    <w:rsid w:val="001A72A1"/>
    <w:rsid w:val="001A73C1"/>
    <w:rsid w:val="001A7431"/>
    <w:rsid w:val="001A7440"/>
    <w:rsid w:val="001A7644"/>
    <w:rsid w:val="001A7654"/>
    <w:rsid w:val="001A76FE"/>
    <w:rsid w:val="001A7700"/>
    <w:rsid w:val="001A774D"/>
    <w:rsid w:val="001A7B55"/>
    <w:rsid w:val="001A7C3C"/>
    <w:rsid w:val="001A7C43"/>
    <w:rsid w:val="001A7C4C"/>
    <w:rsid w:val="001A7C50"/>
    <w:rsid w:val="001A7C5E"/>
    <w:rsid w:val="001A7D45"/>
    <w:rsid w:val="001A7EA4"/>
    <w:rsid w:val="001A7EA8"/>
    <w:rsid w:val="001A7EDD"/>
    <w:rsid w:val="001A7FA3"/>
    <w:rsid w:val="001A7FC6"/>
    <w:rsid w:val="001B00E3"/>
    <w:rsid w:val="001B023F"/>
    <w:rsid w:val="001B0266"/>
    <w:rsid w:val="001B02BB"/>
    <w:rsid w:val="001B03CC"/>
    <w:rsid w:val="001B0607"/>
    <w:rsid w:val="001B0633"/>
    <w:rsid w:val="001B0646"/>
    <w:rsid w:val="001B07FA"/>
    <w:rsid w:val="001B0844"/>
    <w:rsid w:val="001B0894"/>
    <w:rsid w:val="001B0941"/>
    <w:rsid w:val="001B09C9"/>
    <w:rsid w:val="001B0B0E"/>
    <w:rsid w:val="001B0D51"/>
    <w:rsid w:val="001B0EF3"/>
    <w:rsid w:val="001B0F24"/>
    <w:rsid w:val="001B0FB0"/>
    <w:rsid w:val="001B1053"/>
    <w:rsid w:val="001B110B"/>
    <w:rsid w:val="001B11D2"/>
    <w:rsid w:val="001B13FB"/>
    <w:rsid w:val="001B1506"/>
    <w:rsid w:val="001B1614"/>
    <w:rsid w:val="001B1688"/>
    <w:rsid w:val="001B175D"/>
    <w:rsid w:val="001B1811"/>
    <w:rsid w:val="001B19E1"/>
    <w:rsid w:val="001B1A4C"/>
    <w:rsid w:val="001B1A91"/>
    <w:rsid w:val="001B1B0A"/>
    <w:rsid w:val="001B1C5D"/>
    <w:rsid w:val="001B1C85"/>
    <w:rsid w:val="001B1D03"/>
    <w:rsid w:val="001B1D89"/>
    <w:rsid w:val="001B1F16"/>
    <w:rsid w:val="001B1F6D"/>
    <w:rsid w:val="001B2014"/>
    <w:rsid w:val="001B20FD"/>
    <w:rsid w:val="001B2104"/>
    <w:rsid w:val="001B21E0"/>
    <w:rsid w:val="001B233D"/>
    <w:rsid w:val="001B23AB"/>
    <w:rsid w:val="001B23D3"/>
    <w:rsid w:val="001B24B7"/>
    <w:rsid w:val="001B252C"/>
    <w:rsid w:val="001B268F"/>
    <w:rsid w:val="001B272C"/>
    <w:rsid w:val="001B273D"/>
    <w:rsid w:val="001B283E"/>
    <w:rsid w:val="001B289D"/>
    <w:rsid w:val="001B2954"/>
    <w:rsid w:val="001B29B7"/>
    <w:rsid w:val="001B2A26"/>
    <w:rsid w:val="001B2AAE"/>
    <w:rsid w:val="001B2AC9"/>
    <w:rsid w:val="001B2C54"/>
    <w:rsid w:val="001B2CEB"/>
    <w:rsid w:val="001B2D4C"/>
    <w:rsid w:val="001B2D8A"/>
    <w:rsid w:val="001B2ED6"/>
    <w:rsid w:val="001B30B4"/>
    <w:rsid w:val="001B30D9"/>
    <w:rsid w:val="001B3130"/>
    <w:rsid w:val="001B3153"/>
    <w:rsid w:val="001B3183"/>
    <w:rsid w:val="001B33CA"/>
    <w:rsid w:val="001B3406"/>
    <w:rsid w:val="001B345F"/>
    <w:rsid w:val="001B348A"/>
    <w:rsid w:val="001B3623"/>
    <w:rsid w:val="001B3990"/>
    <w:rsid w:val="001B3B21"/>
    <w:rsid w:val="001B3B4D"/>
    <w:rsid w:val="001B3C29"/>
    <w:rsid w:val="001B3D94"/>
    <w:rsid w:val="001B3F59"/>
    <w:rsid w:val="001B4042"/>
    <w:rsid w:val="001B4070"/>
    <w:rsid w:val="001B4117"/>
    <w:rsid w:val="001B41EA"/>
    <w:rsid w:val="001B4220"/>
    <w:rsid w:val="001B422C"/>
    <w:rsid w:val="001B42E4"/>
    <w:rsid w:val="001B4712"/>
    <w:rsid w:val="001B4A29"/>
    <w:rsid w:val="001B4C44"/>
    <w:rsid w:val="001B4D70"/>
    <w:rsid w:val="001B4DBD"/>
    <w:rsid w:val="001B4E6E"/>
    <w:rsid w:val="001B522B"/>
    <w:rsid w:val="001B5254"/>
    <w:rsid w:val="001B5292"/>
    <w:rsid w:val="001B537F"/>
    <w:rsid w:val="001B542A"/>
    <w:rsid w:val="001B5490"/>
    <w:rsid w:val="001B561B"/>
    <w:rsid w:val="001B593D"/>
    <w:rsid w:val="001B59D0"/>
    <w:rsid w:val="001B59D2"/>
    <w:rsid w:val="001B5BEE"/>
    <w:rsid w:val="001B5C79"/>
    <w:rsid w:val="001B5D13"/>
    <w:rsid w:val="001B5DC9"/>
    <w:rsid w:val="001B5F3F"/>
    <w:rsid w:val="001B5F81"/>
    <w:rsid w:val="001B60A6"/>
    <w:rsid w:val="001B6208"/>
    <w:rsid w:val="001B62DB"/>
    <w:rsid w:val="001B630C"/>
    <w:rsid w:val="001B6459"/>
    <w:rsid w:val="001B6530"/>
    <w:rsid w:val="001B6588"/>
    <w:rsid w:val="001B65A9"/>
    <w:rsid w:val="001B6675"/>
    <w:rsid w:val="001B66C8"/>
    <w:rsid w:val="001B68A4"/>
    <w:rsid w:val="001B6972"/>
    <w:rsid w:val="001B69BF"/>
    <w:rsid w:val="001B69CC"/>
    <w:rsid w:val="001B6B67"/>
    <w:rsid w:val="001B6D0F"/>
    <w:rsid w:val="001B6D8C"/>
    <w:rsid w:val="001B6DE7"/>
    <w:rsid w:val="001B6E5F"/>
    <w:rsid w:val="001B6E6D"/>
    <w:rsid w:val="001B6F7A"/>
    <w:rsid w:val="001B7013"/>
    <w:rsid w:val="001B702B"/>
    <w:rsid w:val="001B7042"/>
    <w:rsid w:val="001B7063"/>
    <w:rsid w:val="001B7067"/>
    <w:rsid w:val="001B71D9"/>
    <w:rsid w:val="001B7296"/>
    <w:rsid w:val="001B7480"/>
    <w:rsid w:val="001B74A8"/>
    <w:rsid w:val="001B74EE"/>
    <w:rsid w:val="001B75D4"/>
    <w:rsid w:val="001B7653"/>
    <w:rsid w:val="001B7680"/>
    <w:rsid w:val="001B76FC"/>
    <w:rsid w:val="001B774E"/>
    <w:rsid w:val="001B78D1"/>
    <w:rsid w:val="001B7951"/>
    <w:rsid w:val="001B79D8"/>
    <w:rsid w:val="001B7A6C"/>
    <w:rsid w:val="001B7A84"/>
    <w:rsid w:val="001B7AD4"/>
    <w:rsid w:val="001B7B71"/>
    <w:rsid w:val="001B7B7F"/>
    <w:rsid w:val="001B7CB5"/>
    <w:rsid w:val="001B7D70"/>
    <w:rsid w:val="001B7D8F"/>
    <w:rsid w:val="001B7E18"/>
    <w:rsid w:val="001B7E4F"/>
    <w:rsid w:val="001B7EE3"/>
    <w:rsid w:val="001B7EEF"/>
    <w:rsid w:val="001B7FB1"/>
    <w:rsid w:val="001C0047"/>
    <w:rsid w:val="001C009B"/>
    <w:rsid w:val="001C010D"/>
    <w:rsid w:val="001C0133"/>
    <w:rsid w:val="001C016E"/>
    <w:rsid w:val="001C01E3"/>
    <w:rsid w:val="001C0407"/>
    <w:rsid w:val="001C0450"/>
    <w:rsid w:val="001C0540"/>
    <w:rsid w:val="001C05F3"/>
    <w:rsid w:val="001C0746"/>
    <w:rsid w:val="001C0751"/>
    <w:rsid w:val="001C090A"/>
    <w:rsid w:val="001C090B"/>
    <w:rsid w:val="001C09D4"/>
    <w:rsid w:val="001C0AAB"/>
    <w:rsid w:val="001C0AD4"/>
    <w:rsid w:val="001C0C7E"/>
    <w:rsid w:val="001C0DAB"/>
    <w:rsid w:val="001C0F40"/>
    <w:rsid w:val="001C0F94"/>
    <w:rsid w:val="001C0FF6"/>
    <w:rsid w:val="001C13E2"/>
    <w:rsid w:val="001C14A3"/>
    <w:rsid w:val="001C1559"/>
    <w:rsid w:val="001C1636"/>
    <w:rsid w:val="001C1718"/>
    <w:rsid w:val="001C1896"/>
    <w:rsid w:val="001C1A4C"/>
    <w:rsid w:val="001C1A54"/>
    <w:rsid w:val="001C1AB7"/>
    <w:rsid w:val="001C1BC4"/>
    <w:rsid w:val="001C1C4F"/>
    <w:rsid w:val="001C1D8E"/>
    <w:rsid w:val="001C1F4E"/>
    <w:rsid w:val="001C1FD8"/>
    <w:rsid w:val="001C228A"/>
    <w:rsid w:val="001C22F8"/>
    <w:rsid w:val="001C239E"/>
    <w:rsid w:val="001C257B"/>
    <w:rsid w:val="001C2607"/>
    <w:rsid w:val="001C2720"/>
    <w:rsid w:val="001C275C"/>
    <w:rsid w:val="001C2823"/>
    <w:rsid w:val="001C284D"/>
    <w:rsid w:val="001C28BA"/>
    <w:rsid w:val="001C2A27"/>
    <w:rsid w:val="001C2A2D"/>
    <w:rsid w:val="001C2B47"/>
    <w:rsid w:val="001C2B66"/>
    <w:rsid w:val="001C2C15"/>
    <w:rsid w:val="001C2C91"/>
    <w:rsid w:val="001C2D54"/>
    <w:rsid w:val="001C2E02"/>
    <w:rsid w:val="001C2E51"/>
    <w:rsid w:val="001C2FD7"/>
    <w:rsid w:val="001C30CE"/>
    <w:rsid w:val="001C320E"/>
    <w:rsid w:val="001C3210"/>
    <w:rsid w:val="001C327F"/>
    <w:rsid w:val="001C33BF"/>
    <w:rsid w:val="001C3497"/>
    <w:rsid w:val="001C385C"/>
    <w:rsid w:val="001C38A4"/>
    <w:rsid w:val="001C3911"/>
    <w:rsid w:val="001C3945"/>
    <w:rsid w:val="001C3A25"/>
    <w:rsid w:val="001C3A97"/>
    <w:rsid w:val="001C3CC6"/>
    <w:rsid w:val="001C3CE2"/>
    <w:rsid w:val="001C3CEF"/>
    <w:rsid w:val="001C3F65"/>
    <w:rsid w:val="001C3F6E"/>
    <w:rsid w:val="001C4002"/>
    <w:rsid w:val="001C400E"/>
    <w:rsid w:val="001C4150"/>
    <w:rsid w:val="001C419B"/>
    <w:rsid w:val="001C41A7"/>
    <w:rsid w:val="001C41E0"/>
    <w:rsid w:val="001C4253"/>
    <w:rsid w:val="001C430E"/>
    <w:rsid w:val="001C43BE"/>
    <w:rsid w:val="001C4685"/>
    <w:rsid w:val="001C46F9"/>
    <w:rsid w:val="001C4712"/>
    <w:rsid w:val="001C49C1"/>
    <w:rsid w:val="001C4A3C"/>
    <w:rsid w:val="001C4AD0"/>
    <w:rsid w:val="001C4E3E"/>
    <w:rsid w:val="001C4F3B"/>
    <w:rsid w:val="001C4FB3"/>
    <w:rsid w:val="001C50DB"/>
    <w:rsid w:val="001C5151"/>
    <w:rsid w:val="001C5224"/>
    <w:rsid w:val="001C529C"/>
    <w:rsid w:val="001C52AF"/>
    <w:rsid w:val="001C52D7"/>
    <w:rsid w:val="001C5398"/>
    <w:rsid w:val="001C54D0"/>
    <w:rsid w:val="001C5537"/>
    <w:rsid w:val="001C5602"/>
    <w:rsid w:val="001C59B5"/>
    <w:rsid w:val="001C5A50"/>
    <w:rsid w:val="001C5AC3"/>
    <w:rsid w:val="001C5B01"/>
    <w:rsid w:val="001C5B03"/>
    <w:rsid w:val="001C5BE4"/>
    <w:rsid w:val="001C5CD7"/>
    <w:rsid w:val="001C5D74"/>
    <w:rsid w:val="001C5EBD"/>
    <w:rsid w:val="001C637E"/>
    <w:rsid w:val="001C6449"/>
    <w:rsid w:val="001C6594"/>
    <w:rsid w:val="001C65E6"/>
    <w:rsid w:val="001C664E"/>
    <w:rsid w:val="001C6720"/>
    <w:rsid w:val="001C68BC"/>
    <w:rsid w:val="001C692D"/>
    <w:rsid w:val="001C6937"/>
    <w:rsid w:val="001C69B9"/>
    <w:rsid w:val="001C69DF"/>
    <w:rsid w:val="001C6AA4"/>
    <w:rsid w:val="001C6D71"/>
    <w:rsid w:val="001C6E0E"/>
    <w:rsid w:val="001C6F05"/>
    <w:rsid w:val="001C70D6"/>
    <w:rsid w:val="001C711F"/>
    <w:rsid w:val="001C7197"/>
    <w:rsid w:val="001C72A2"/>
    <w:rsid w:val="001C7318"/>
    <w:rsid w:val="001C75DA"/>
    <w:rsid w:val="001C76EC"/>
    <w:rsid w:val="001C7866"/>
    <w:rsid w:val="001C7ADC"/>
    <w:rsid w:val="001C7D0E"/>
    <w:rsid w:val="001C7D23"/>
    <w:rsid w:val="001C7D4A"/>
    <w:rsid w:val="001C7DA7"/>
    <w:rsid w:val="001C7DAA"/>
    <w:rsid w:val="001C7E2A"/>
    <w:rsid w:val="001C7E5A"/>
    <w:rsid w:val="001C7E5E"/>
    <w:rsid w:val="001C7E90"/>
    <w:rsid w:val="001C7EED"/>
    <w:rsid w:val="001C7FAE"/>
    <w:rsid w:val="001D00FE"/>
    <w:rsid w:val="001D0137"/>
    <w:rsid w:val="001D026E"/>
    <w:rsid w:val="001D03B6"/>
    <w:rsid w:val="001D03B8"/>
    <w:rsid w:val="001D068E"/>
    <w:rsid w:val="001D0716"/>
    <w:rsid w:val="001D0790"/>
    <w:rsid w:val="001D07FB"/>
    <w:rsid w:val="001D0810"/>
    <w:rsid w:val="001D0855"/>
    <w:rsid w:val="001D0924"/>
    <w:rsid w:val="001D0C30"/>
    <w:rsid w:val="001D0DFB"/>
    <w:rsid w:val="001D0E29"/>
    <w:rsid w:val="001D0F13"/>
    <w:rsid w:val="001D0FB7"/>
    <w:rsid w:val="001D1086"/>
    <w:rsid w:val="001D10C4"/>
    <w:rsid w:val="001D1193"/>
    <w:rsid w:val="001D129B"/>
    <w:rsid w:val="001D1388"/>
    <w:rsid w:val="001D1583"/>
    <w:rsid w:val="001D159F"/>
    <w:rsid w:val="001D15F9"/>
    <w:rsid w:val="001D168D"/>
    <w:rsid w:val="001D1694"/>
    <w:rsid w:val="001D16D0"/>
    <w:rsid w:val="001D172A"/>
    <w:rsid w:val="001D1759"/>
    <w:rsid w:val="001D1775"/>
    <w:rsid w:val="001D17E3"/>
    <w:rsid w:val="001D1875"/>
    <w:rsid w:val="001D1918"/>
    <w:rsid w:val="001D1A3B"/>
    <w:rsid w:val="001D1B1F"/>
    <w:rsid w:val="001D1BC8"/>
    <w:rsid w:val="001D1D4D"/>
    <w:rsid w:val="001D1D57"/>
    <w:rsid w:val="001D1D7D"/>
    <w:rsid w:val="001D1E83"/>
    <w:rsid w:val="001D1ECF"/>
    <w:rsid w:val="001D1F0B"/>
    <w:rsid w:val="001D1FBB"/>
    <w:rsid w:val="001D204A"/>
    <w:rsid w:val="001D218D"/>
    <w:rsid w:val="001D2221"/>
    <w:rsid w:val="001D227B"/>
    <w:rsid w:val="001D24CB"/>
    <w:rsid w:val="001D259A"/>
    <w:rsid w:val="001D2619"/>
    <w:rsid w:val="001D2680"/>
    <w:rsid w:val="001D2A5D"/>
    <w:rsid w:val="001D2CFF"/>
    <w:rsid w:val="001D2D8A"/>
    <w:rsid w:val="001D2D8E"/>
    <w:rsid w:val="001D2E86"/>
    <w:rsid w:val="001D2F63"/>
    <w:rsid w:val="001D31DA"/>
    <w:rsid w:val="001D3208"/>
    <w:rsid w:val="001D32C1"/>
    <w:rsid w:val="001D32C6"/>
    <w:rsid w:val="001D32CF"/>
    <w:rsid w:val="001D3319"/>
    <w:rsid w:val="001D336D"/>
    <w:rsid w:val="001D33B0"/>
    <w:rsid w:val="001D33B4"/>
    <w:rsid w:val="001D35E2"/>
    <w:rsid w:val="001D3642"/>
    <w:rsid w:val="001D3765"/>
    <w:rsid w:val="001D3882"/>
    <w:rsid w:val="001D3947"/>
    <w:rsid w:val="001D3992"/>
    <w:rsid w:val="001D39C1"/>
    <w:rsid w:val="001D3A1E"/>
    <w:rsid w:val="001D3A85"/>
    <w:rsid w:val="001D3A8D"/>
    <w:rsid w:val="001D3B30"/>
    <w:rsid w:val="001D3B7D"/>
    <w:rsid w:val="001D3BB4"/>
    <w:rsid w:val="001D3BBC"/>
    <w:rsid w:val="001D3C8C"/>
    <w:rsid w:val="001D3E6A"/>
    <w:rsid w:val="001D3F24"/>
    <w:rsid w:val="001D412B"/>
    <w:rsid w:val="001D434D"/>
    <w:rsid w:val="001D4351"/>
    <w:rsid w:val="001D4536"/>
    <w:rsid w:val="001D453B"/>
    <w:rsid w:val="001D455C"/>
    <w:rsid w:val="001D4592"/>
    <w:rsid w:val="001D4605"/>
    <w:rsid w:val="001D4760"/>
    <w:rsid w:val="001D47A8"/>
    <w:rsid w:val="001D4838"/>
    <w:rsid w:val="001D4AA5"/>
    <w:rsid w:val="001D4B2D"/>
    <w:rsid w:val="001D4B94"/>
    <w:rsid w:val="001D4D79"/>
    <w:rsid w:val="001D4DE9"/>
    <w:rsid w:val="001D4EC4"/>
    <w:rsid w:val="001D503E"/>
    <w:rsid w:val="001D5070"/>
    <w:rsid w:val="001D50F6"/>
    <w:rsid w:val="001D53D8"/>
    <w:rsid w:val="001D5401"/>
    <w:rsid w:val="001D544D"/>
    <w:rsid w:val="001D5590"/>
    <w:rsid w:val="001D55F2"/>
    <w:rsid w:val="001D577B"/>
    <w:rsid w:val="001D57D6"/>
    <w:rsid w:val="001D5918"/>
    <w:rsid w:val="001D5A4A"/>
    <w:rsid w:val="001D5B11"/>
    <w:rsid w:val="001D5CE4"/>
    <w:rsid w:val="001D5D6B"/>
    <w:rsid w:val="001D5DF6"/>
    <w:rsid w:val="001D5E52"/>
    <w:rsid w:val="001D5F0E"/>
    <w:rsid w:val="001D5F19"/>
    <w:rsid w:val="001D5F39"/>
    <w:rsid w:val="001D6011"/>
    <w:rsid w:val="001D60DA"/>
    <w:rsid w:val="001D611E"/>
    <w:rsid w:val="001D6159"/>
    <w:rsid w:val="001D6392"/>
    <w:rsid w:val="001D649D"/>
    <w:rsid w:val="001D6523"/>
    <w:rsid w:val="001D65B5"/>
    <w:rsid w:val="001D65BF"/>
    <w:rsid w:val="001D6854"/>
    <w:rsid w:val="001D68C6"/>
    <w:rsid w:val="001D6CEF"/>
    <w:rsid w:val="001D6EE6"/>
    <w:rsid w:val="001D6F54"/>
    <w:rsid w:val="001D7099"/>
    <w:rsid w:val="001D7189"/>
    <w:rsid w:val="001D730F"/>
    <w:rsid w:val="001D73DE"/>
    <w:rsid w:val="001D742B"/>
    <w:rsid w:val="001D74FD"/>
    <w:rsid w:val="001D75ED"/>
    <w:rsid w:val="001D7619"/>
    <w:rsid w:val="001D76C2"/>
    <w:rsid w:val="001D76D2"/>
    <w:rsid w:val="001D776D"/>
    <w:rsid w:val="001D7950"/>
    <w:rsid w:val="001D7AB9"/>
    <w:rsid w:val="001D7B72"/>
    <w:rsid w:val="001D7BD2"/>
    <w:rsid w:val="001D7D1C"/>
    <w:rsid w:val="001D7D6C"/>
    <w:rsid w:val="001D7DA1"/>
    <w:rsid w:val="001D7DB2"/>
    <w:rsid w:val="001D7E4F"/>
    <w:rsid w:val="001D7E61"/>
    <w:rsid w:val="001D7F51"/>
    <w:rsid w:val="001D7FC0"/>
    <w:rsid w:val="001E00DA"/>
    <w:rsid w:val="001E01DD"/>
    <w:rsid w:val="001E031B"/>
    <w:rsid w:val="001E03EF"/>
    <w:rsid w:val="001E04D4"/>
    <w:rsid w:val="001E05B2"/>
    <w:rsid w:val="001E0610"/>
    <w:rsid w:val="001E06C8"/>
    <w:rsid w:val="001E08DD"/>
    <w:rsid w:val="001E08F2"/>
    <w:rsid w:val="001E0B0D"/>
    <w:rsid w:val="001E0B9F"/>
    <w:rsid w:val="001E0BD0"/>
    <w:rsid w:val="001E0C92"/>
    <w:rsid w:val="001E0D54"/>
    <w:rsid w:val="001E0F55"/>
    <w:rsid w:val="001E1287"/>
    <w:rsid w:val="001E1342"/>
    <w:rsid w:val="001E1518"/>
    <w:rsid w:val="001E1532"/>
    <w:rsid w:val="001E15DC"/>
    <w:rsid w:val="001E168D"/>
    <w:rsid w:val="001E174A"/>
    <w:rsid w:val="001E1A48"/>
    <w:rsid w:val="001E1A8F"/>
    <w:rsid w:val="001E1B38"/>
    <w:rsid w:val="001E1BB8"/>
    <w:rsid w:val="001E1BCA"/>
    <w:rsid w:val="001E1BE3"/>
    <w:rsid w:val="001E1BF7"/>
    <w:rsid w:val="001E1C54"/>
    <w:rsid w:val="001E1E3C"/>
    <w:rsid w:val="001E1EEE"/>
    <w:rsid w:val="001E1F13"/>
    <w:rsid w:val="001E20E7"/>
    <w:rsid w:val="001E2190"/>
    <w:rsid w:val="001E22A8"/>
    <w:rsid w:val="001E244B"/>
    <w:rsid w:val="001E25B2"/>
    <w:rsid w:val="001E25C4"/>
    <w:rsid w:val="001E26B9"/>
    <w:rsid w:val="001E2708"/>
    <w:rsid w:val="001E27A1"/>
    <w:rsid w:val="001E2882"/>
    <w:rsid w:val="001E2C1B"/>
    <w:rsid w:val="001E2CC1"/>
    <w:rsid w:val="001E2D46"/>
    <w:rsid w:val="001E2D47"/>
    <w:rsid w:val="001E2E35"/>
    <w:rsid w:val="001E2E72"/>
    <w:rsid w:val="001E2ECD"/>
    <w:rsid w:val="001E2F18"/>
    <w:rsid w:val="001E2FCC"/>
    <w:rsid w:val="001E3068"/>
    <w:rsid w:val="001E30B9"/>
    <w:rsid w:val="001E314A"/>
    <w:rsid w:val="001E3239"/>
    <w:rsid w:val="001E3392"/>
    <w:rsid w:val="001E33BE"/>
    <w:rsid w:val="001E34AD"/>
    <w:rsid w:val="001E36E8"/>
    <w:rsid w:val="001E3776"/>
    <w:rsid w:val="001E37C4"/>
    <w:rsid w:val="001E37DE"/>
    <w:rsid w:val="001E3864"/>
    <w:rsid w:val="001E3A0E"/>
    <w:rsid w:val="001E3ABB"/>
    <w:rsid w:val="001E3BB3"/>
    <w:rsid w:val="001E3C08"/>
    <w:rsid w:val="001E3DD4"/>
    <w:rsid w:val="001E3E36"/>
    <w:rsid w:val="001E3E67"/>
    <w:rsid w:val="001E3F61"/>
    <w:rsid w:val="001E3F7C"/>
    <w:rsid w:val="001E41CE"/>
    <w:rsid w:val="001E45A4"/>
    <w:rsid w:val="001E470E"/>
    <w:rsid w:val="001E472C"/>
    <w:rsid w:val="001E494D"/>
    <w:rsid w:val="001E4C42"/>
    <w:rsid w:val="001E4C43"/>
    <w:rsid w:val="001E4CE5"/>
    <w:rsid w:val="001E4E2D"/>
    <w:rsid w:val="001E4EE3"/>
    <w:rsid w:val="001E4F99"/>
    <w:rsid w:val="001E50C3"/>
    <w:rsid w:val="001E5155"/>
    <w:rsid w:val="001E5168"/>
    <w:rsid w:val="001E51CF"/>
    <w:rsid w:val="001E51EB"/>
    <w:rsid w:val="001E52A3"/>
    <w:rsid w:val="001E52F0"/>
    <w:rsid w:val="001E5377"/>
    <w:rsid w:val="001E5775"/>
    <w:rsid w:val="001E57B8"/>
    <w:rsid w:val="001E590A"/>
    <w:rsid w:val="001E59E3"/>
    <w:rsid w:val="001E5AB0"/>
    <w:rsid w:val="001E5AF7"/>
    <w:rsid w:val="001E5B4C"/>
    <w:rsid w:val="001E5C0F"/>
    <w:rsid w:val="001E5CC7"/>
    <w:rsid w:val="001E5D1B"/>
    <w:rsid w:val="001E60A1"/>
    <w:rsid w:val="001E60DD"/>
    <w:rsid w:val="001E60E0"/>
    <w:rsid w:val="001E6153"/>
    <w:rsid w:val="001E6196"/>
    <w:rsid w:val="001E6367"/>
    <w:rsid w:val="001E639B"/>
    <w:rsid w:val="001E64D3"/>
    <w:rsid w:val="001E651C"/>
    <w:rsid w:val="001E6683"/>
    <w:rsid w:val="001E66A8"/>
    <w:rsid w:val="001E679A"/>
    <w:rsid w:val="001E6928"/>
    <w:rsid w:val="001E69CC"/>
    <w:rsid w:val="001E6BB8"/>
    <w:rsid w:val="001E6BBA"/>
    <w:rsid w:val="001E6E15"/>
    <w:rsid w:val="001E6F2B"/>
    <w:rsid w:val="001E7113"/>
    <w:rsid w:val="001E711D"/>
    <w:rsid w:val="001E71A3"/>
    <w:rsid w:val="001E73BE"/>
    <w:rsid w:val="001E73D2"/>
    <w:rsid w:val="001E75A9"/>
    <w:rsid w:val="001E7761"/>
    <w:rsid w:val="001E77C1"/>
    <w:rsid w:val="001E787E"/>
    <w:rsid w:val="001E7895"/>
    <w:rsid w:val="001E78C3"/>
    <w:rsid w:val="001E78C8"/>
    <w:rsid w:val="001E78D3"/>
    <w:rsid w:val="001E7A33"/>
    <w:rsid w:val="001E7A76"/>
    <w:rsid w:val="001E7A89"/>
    <w:rsid w:val="001E7B45"/>
    <w:rsid w:val="001E7B81"/>
    <w:rsid w:val="001E7C06"/>
    <w:rsid w:val="001E7C5C"/>
    <w:rsid w:val="001E7C9A"/>
    <w:rsid w:val="001E7D2F"/>
    <w:rsid w:val="001E7E02"/>
    <w:rsid w:val="001E7E48"/>
    <w:rsid w:val="001E7EE6"/>
    <w:rsid w:val="001E7F3E"/>
    <w:rsid w:val="001E7F57"/>
    <w:rsid w:val="001E7F7A"/>
    <w:rsid w:val="001F005E"/>
    <w:rsid w:val="001F018D"/>
    <w:rsid w:val="001F01F5"/>
    <w:rsid w:val="001F02D7"/>
    <w:rsid w:val="001F0317"/>
    <w:rsid w:val="001F0465"/>
    <w:rsid w:val="001F046E"/>
    <w:rsid w:val="001F06CC"/>
    <w:rsid w:val="001F07A9"/>
    <w:rsid w:val="001F0807"/>
    <w:rsid w:val="001F08F9"/>
    <w:rsid w:val="001F09A5"/>
    <w:rsid w:val="001F0CD6"/>
    <w:rsid w:val="001F0E82"/>
    <w:rsid w:val="001F11F8"/>
    <w:rsid w:val="001F1335"/>
    <w:rsid w:val="001F140F"/>
    <w:rsid w:val="001F142B"/>
    <w:rsid w:val="001F14B2"/>
    <w:rsid w:val="001F14C1"/>
    <w:rsid w:val="001F14F8"/>
    <w:rsid w:val="001F15DB"/>
    <w:rsid w:val="001F1646"/>
    <w:rsid w:val="001F1664"/>
    <w:rsid w:val="001F190B"/>
    <w:rsid w:val="001F19A2"/>
    <w:rsid w:val="001F1A51"/>
    <w:rsid w:val="001F1CE0"/>
    <w:rsid w:val="001F1D85"/>
    <w:rsid w:val="001F1D86"/>
    <w:rsid w:val="001F1DC5"/>
    <w:rsid w:val="001F1E32"/>
    <w:rsid w:val="001F1EE9"/>
    <w:rsid w:val="001F1FA1"/>
    <w:rsid w:val="001F2271"/>
    <w:rsid w:val="001F2274"/>
    <w:rsid w:val="001F23C7"/>
    <w:rsid w:val="001F24C9"/>
    <w:rsid w:val="001F25D3"/>
    <w:rsid w:val="001F2812"/>
    <w:rsid w:val="001F28B8"/>
    <w:rsid w:val="001F2909"/>
    <w:rsid w:val="001F2A1D"/>
    <w:rsid w:val="001F2A4F"/>
    <w:rsid w:val="001F2DD3"/>
    <w:rsid w:val="001F2DD9"/>
    <w:rsid w:val="001F2E20"/>
    <w:rsid w:val="001F2E2F"/>
    <w:rsid w:val="001F2ECC"/>
    <w:rsid w:val="001F2F82"/>
    <w:rsid w:val="001F314D"/>
    <w:rsid w:val="001F32B0"/>
    <w:rsid w:val="001F32BF"/>
    <w:rsid w:val="001F3380"/>
    <w:rsid w:val="001F33AC"/>
    <w:rsid w:val="001F3499"/>
    <w:rsid w:val="001F34D3"/>
    <w:rsid w:val="001F34FE"/>
    <w:rsid w:val="001F353B"/>
    <w:rsid w:val="001F3559"/>
    <w:rsid w:val="001F3613"/>
    <w:rsid w:val="001F36B3"/>
    <w:rsid w:val="001F3799"/>
    <w:rsid w:val="001F37B5"/>
    <w:rsid w:val="001F3865"/>
    <w:rsid w:val="001F3A0B"/>
    <w:rsid w:val="001F3AE4"/>
    <w:rsid w:val="001F3B7D"/>
    <w:rsid w:val="001F3B8A"/>
    <w:rsid w:val="001F3C6D"/>
    <w:rsid w:val="001F3CEB"/>
    <w:rsid w:val="001F3D5B"/>
    <w:rsid w:val="001F3D69"/>
    <w:rsid w:val="001F3D80"/>
    <w:rsid w:val="001F3EB2"/>
    <w:rsid w:val="001F40CE"/>
    <w:rsid w:val="001F416D"/>
    <w:rsid w:val="001F42A2"/>
    <w:rsid w:val="001F4435"/>
    <w:rsid w:val="001F4489"/>
    <w:rsid w:val="001F4504"/>
    <w:rsid w:val="001F458B"/>
    <w:rsid w:val="001F4626"/>
    <w:rsid w:val="001F4746"/>
    <w:rsid w:val="001F47A7"/>
    <w:rsid w:val="001F47FF"/>
    <w:rsid w:val="001F4878"/>
    <w:rsid w:val="001F4A1C"/>
    <w:rsid w:val="001F4BF1"/>
    <w:rsid w:val="001F4C25"/>
    <w:rsid w:val="001F4C4A"/>
    <w:rsid w:val="001F4C85"/>
    <w:rsid w:val="001F4CE1"/>
    <w:rsid w:val="001F4D63"/>
    <w:rsid w:val="001F4EB4"/>
    <w:rsid w:val="001F4F70"/>
    <w:rsid w:val="001F5002"/>
    <w:rsid w:val="001F5107"/>
    <w:rsid w:val="001F51C7"/>
    <w:rsid w:val="001F51F8"/>
    <w:rsid w:val="001F524D"/>
    <w:rsid w:val="001F52AA"/>
    <w:rsid w:val="001F539E"/>
    <w:rsid w:val="001F5444"/>
    <w:rsid w:val="001F55FF"/>
    <w:rsid w:val="001F5618"/>
    <w:rsid w:val="001F56F9"/>
    <w:rsid w:val="001F5892"/>
    <w:rsid w:val="001F5912"/>
    <w:rsid w:val="001F5B83"/>
    <w:rsid w:val="001F5C59"/>
    <w:rsid w:val="001F5D1E"/>
    <w:rsid w:val="001F5E7A"/>
    <w:rsid w:val="001F5FA9"/>
    <w:rsid w:val="001F5FAF"/>
    <w:rsid w:val="001F615B"/>
    <w:rsid w:val="001F617C"/>
    <w:rsid w:val="001F61CC"/>
    <w:rsid w:val="001F61D7"/>
    <w:rsid w:val="001F6272"/>
    <w:rsid w:val="001F6331"/>
    <w:rsid w:val="001F63A9"/>
    <w:rsid w:val="001F641D"/>
    <w:rsid w:val="001F65A7"/>
    <w:rsid w:val="001F66D4"/>
    <w:rsid w:val="001F6773"/>
    <w:rsid w:val="001F67E7"/>
    <w:rsid w:val="001F69D1"/>
    <w:rsid w:val="001F69F9"/>
    <w:rsid w:val="001F6B57"/>
    <w:rsid w:val="001F6BD1"/>
    <w:rsid w:val="001F6BDD"/>
    <w:rsid w:val="001F6DDB"/>
    <w:rsid w:val="001F6E7F"/>
    <w:rsid w:val="001F6E92"/>
    <w:rsid w:val="001F6E9D"/>
    <w:rsid w:val="001F6F2C"/>
    <w:rsid w:val="001F6F7D"/>
    <w:rsid w:val="001F6FC2"/>
    <w:rsid w:val="001F7028"/>
    <w:rsid w:val="001F709A"/>
    <w:rsid w:val="001F70AF"/>
    <w:rsid w:val="001F70C6"/>
    <w:rsid w:val="001F7196"/>
    <w:rsid w:val="001F71D3"/>
    <w:rsid w:val="001F730A"/>
    <w:rsid w:val="001F767A"/>
    <w:rsid w:val="001F76BB"/>
    <w:rsid w:val="001F77F6"/>
    <w:rsid w:val="001F7B39"/>
    <w:rsid w:val="001F7BFE"/>
    <w:rsid w:val="001F7C63"/>
    <w:rsid w:val="001F7CEE"/>
    <w:rsid w:val="001F7D14"/>
    <w:rsid w:val="001F7E78"/>
    <w:rsid w:val="002001C7"/>
    <w:rsid w:val="002001D6"/>
    <w:rsid w:val="0020056E"/>
    <w:rsid w:val="0020059B"/>
    <w:rsid w:val="00200700"/>
    <w:rsid w:val="00200879"/>
    <w:rsid w:val="00200986"/>
    <w:rsid w:val="00200A97"/>
    <w:rsid w:val="00200B02"/>
    <w:rsid w:val="00200B13"/>
    <w:rsid w:val="00200B57"/>
    <w:rsid w:val="00200D64"/>
    <w:rsid w:val="0020104E"/>
    <w:rsid w:val="00201082"/>
    <w:rsid w:val="0020111C"/>
    <w:rsid w:val="00201145"/>
    <w:rsid w:val="00201195"/>
    <w:rsid w:val="00201209"/>
    <w:rsid w:val="00201237"/>
    <w:rsid w:val="002012DF"/>
    <w:rsid w:val="0020133D"/>
    <w:rsid w:val="00201529"/>
    <w:rsid w:val="002015E5"/>
    <w:rsid w:val="0020160B"/>
    <w:rsid w:val="00201844"/>
    <w:rsid w:val="002018E7"/>
    <w:rsid w:val="00201909"/>
    <w:rsid w:val="00201A81"/>
    <w:rsid w:val="00201B06"/>
    <w:rsid w:val="00201B79"/>
    <w:rsid w:val="00201C05"/>
    <w:rsid w:val="00201D53"/>
    <w:rsid w:val="00201E8D"/>
    <w:rsid w:val="00201FAD"/>
    <w:rsid w:val="0020215F"/>
    <w:rsid w:val="0020218A"/>
    <w:rsid w:val="0020240F"/>
    <w:rsid w:val="00202578"/>
    <w:rsid w:val="002027F1"/>
    <w:rsid w:val="00202833"/>
    <w:rsid w:val="00202B09"/>
    <w:rsid w:val="00203016"/>
    <w:rsid w:val="00203378"/>
    <w:rsid w:val="0020339F"/>
    <w:rsid w:val="002033A4"/>
    <w:rsid w:val="00203406"/>
    <w:rsid w:val="002034F7"/>
    <w:rsid w:val="0020358A"/>
    <w:rsid w:val="002035E5"/>
    <w:rsid w:val="002035FD"/>
    <w:rsid w:val="00203608"/>
    <w:rsid w:val="00203759"/>
    <w:rsid w:val="002037CB"/>
    <w:rsid w:val="002037E8"/>
    <w:rsid w:val="0020393A"/>
    <w:rsid w:val="0020398C"/>
    <w:rsid w:val="00203B11"/>
    <w:rsid w:val="00203FB7"/>
    <w:rsid w:val="00204098"/>
    <w:rsid w:val="00204195"/>
    <w:rsid w:val="002041F0"/>
    <w:rsid w:val="002043A4"/>
    <w:rsid w:val="002043E9"/>
    <w:rsid w:val="002044DB"/>
    <w:rsid w:val="0020456E"/>
    <w:rsid w:val="00204775"/>
    <w:rsid w:val="002047BF"/>
    <w:rsid w:val="002048CE"/>
    <w:rsid w:val="002048E3"/>
    <w:rsid w:val="002048EB"/>
    <w:rsid w:val="00204924"/>
    <w:rsid w:val="00204BD0"/>
    <w:rsid w:val="00204D97"/>
    <w:rsid w:val="00204EF6"/>
    <w:rsid w:val="00204F0D"/>
    <w:rsid w:val="00204F38"/>
    <w:rsid w:val="00205179"/>
    <w:rsid w:val="002051BB"/>
    <w:rsid w:val="002051FC"/>
    <w:rsid w:val="00205301"/>
    <w:rsid w:val="00205398"/>
    <w:rsid w:val="0020558A"/>
    <w:rsid w:val="002055DB"/>
    <w:rsid w:val="002056FD"/>
    <w:rsid w:val="002057E2"/>
    <w:rsid w:val="002057FD"/>
    <w:rsid w:val="0020597D"/>
    <w:rsid w:val="00205AD0"/>
    <w:rsid w:val="00205AFA"/>
    <w:rsid w:val="00205CCF"/>
    <w:rsid w:val="0020601C"/>
    <w:rsid w:val="002062AE"/>
    <w:rsid w:val="002062E4"/>
    <w:rsid w:val="00206454"/>
    <w:rsid w:val="002065BF"/>
    <w:rsid w:val="002066F3"/>
    <w:rsid w:val="00206728"/>
    <w:rsid w:val="0020677D"/>
    <w:rsid w:val="002067D3"/>
    <w:rsid w:val="00206829"/>
    <w:rsid w:val="002068DB"/>
    <w:rsid w:val="002068E4"/>
    <w:rsid w:val="0020697F"/>
    <w:rsid w:val="002069B3"/>
    <w:rsid w:val="002069DE"/>
    <w:rsid w:val="00206B67"/>
    <w:rsid w:val="00206BA3"/>
    <w:rsid w:val="00206BC8"/>
    <w:rsid w:val="00206DA3"/>
    <w:rsid w:val="00206E07"/>
    <w:rsid w:val="00206EA5"/>
    <w:rsid w:val="0020709B"/>
    <w:rsid w:val="0020712C"/>
    <w:rsid w:val="0020741C"/>
    <w:rsid w:val="00207425"/>
    <w:rsid w:val="002074AF"/>
    <w:rsid w:val="0020758A"/>
    <w:rsid w:val="002075DA"/>
    <w:rsid w:val="0020765B"/>
    <w:rsid w:val="00207674"/>
    <w:rsid w:val="00207781"/>
    <w:rsid w:val="0020778E"/>
    <w:rsid w:val="00207941"/>
    <w:rsid w:val="00207E18"/>
    <w:rsid w:val="00207ED2"/>
    <w:rsid w:val="00207F8A"/>
    <w:rsid w:val="002100ED"/>
    <w:rsid w:val="002101FA"/>
    <w:rsid w:val="00210247"/>
    <w:rsid w:val="00210279"/>
    <w:rsid w:val="002103DF"/>
    <w:rsid w:val="00210484"/>
    <w:rsid w:val="002104CE"/>
    <w:rsid w:val="00210517"/>
    <w:rsid w:val="00210782"/>
    <w:rsid w:val="00210B75"/>
    <w:rsid w:val="00210B8E"/>
    <w:rsid w:val="00210BB6"/>
    <w:rsid w:val="00210BCB"/>
    <w:rsid w:val="00210C5E"/>
    <w:rsid w:val="00210CA7"/>
    <w:rsid w:val="00210FAA"/>
    <w:rsid w:val="0021102A"/>
    <w:rsid w:val="0021102C"/>
    <w:rsid w:val="00211032"/>
    <w:rsid w:val="00211109"/>
    <w:rsid w:val="002112DA"/>
    <w:rsid w:val="00211450"/>
    <w:rsid w:val="00211466"/>
    <w:rsid w:val="00211504"/>
    <w:rsid w:val="00211582"/>
    <w:rsid w:val="0021165C"/>
    <w:rsid w:val="00211666"/>
    <w:rsid w:val="002116E2"/>
    <w:rsid w:val="0021194A"/>
    <w:rsid w:val="00211B04"/>
    <w:rsid w:val="00211E19"/>
    <w:rsid w:val="00211F9C"/>
    <w:rsid w:val="00211FE4"/>
    <w:rsid w:val="002120F6"/>
    <w:rsid w:val="002122D6"/>
    <w:rsid w:val="002122E3"/>
    <w:rsid w:val="00212392"/>
    <w:rsid w:val="002124CF"/>
    <w:rsid w:val="0021266B"/>
    <w:rsid w:val="002126A5"/>
    <w:rsid w:val="0021277B"/>
    <w:rsid w:val="00212842"/>
    <w:rsid w:val="0021289A"/>
    <w:rsid w:val="002129A0"/>
    <w:rsid w:val="00212A3A"/>
    <w:rsid w:val="00212B69"/>
    <w:rsid w:val="00212E7C"/>
    <w:rsid w:val="00212EBE"/>
    <w:rsid w:val="00212ED0"/>
    <w:rsid w:val="00212F2D"/>
    <w:rsid w:val="0021316E"/>
    <w:rsid w:val="002131B0"/>
    <w:rsid w:val="00213221"/>
    <w:rsid w:val="00213439"/>
    <w:rsid w:val="00213500"/>
    <w:rsid w:val="00213510"/>
    <w:rsid w:val="0021353C"/>
    <w:rsid w:val="00213594"/>
    <w:rsid w:val="00213633"/>
    <w:rsid w:val="00213772"/>
    <w:rsid w:val="00213774"/>
    <w:rsid w:val="00213868"/>
    <w:rsid w:val="00213ABB"/>
    <w:rsid w:val="00213BFF"/>
    <w:rsid w:val="00213C68"/>
    <w:rsid w:val="00213D7A"/>
    <w:rsid w:val="00213DDE"/>
    <w:rsid w:val="00213DF2"/>
    <w:rsid w:val="00213EB0"/>
    <w:rsid w:val="00213F17"/>
    <w:rsid w:val="00213F51"/>
    <w:rsid w:val="00213F76"/>
    <w:rsid w:val="0021418B"/>
    <w:rsid w:val="002141BB"/>
    <w:rsid w:val="002141FF"/>
    <w:rsid w:val="00214255"/>
    <w:rsid w:val="0021425D"/>
    <w:rsid w:val="002142A8"/>
    <w:rsid w:val="002144C2"/>
    <w:rsid w:val="0021457B"/>
    <w:rsid w:val="002146EB"/>
    <w:rsid w:val="0021477D"/>
    <w:rsid w:val="0021489D"/>
    <w:rsid w:val="002148CB"/>
    <w:rsid w:val="00214D26"/>
    <w:rsid w:val="00214E53"/>
    <w:rsid w:val="0021513D"/>
    <w:rsid w:val="00215183"/>
    <w:rsid w:val="002151F9"/>
    <w:rsid w:val="00215397"/>
    <w:rsid w:val="002153C7"/>
    <w:rsid w:val="002155D0"/>
    <w:rsid w:val="00215888"/>
    <w:rsid w:val="0021597E"/>
    <w:rsid w:val="002159A9"/>
    <w:rsid w:val="00215B7C"/>
    <w:rsid w:val="00215C35"/>
    <w:rsid w:val="00215E6E"/>
    <w:rsid w:val="00215EDB"/>
    <w:rsid w:val="00215F9A"/>
    <w:rsid w:val="00215FC1"/>
    <w:rsid w:val="00216093"/>
    <w:rsid w:val="00216191"/>
    <w:rsid w:val="002161DD"/>
    <w:rsid w:val="00216273"/>
    <w:rsid w:val="002163C8"/>
    <w:rsid w:val="00216433"/>
    <w:rsid w:val="00216471"/>
    <w:rsid w:val="0021659A"/>
    <w:rsid w:val="0021686C"/>
    <w:rsid w:val="00216882"/>
    <w:rsid w:val="002168D3"/>
    <w:rsid w:val="002169EF"/>
    <w:rsid w:val="00216A12"/>
    <w:rsid w:val="00216A41"/>
    <w:rsid w:val="00216DF3"/>
    <w:rsid w:val="00216E9A"/>
    <w:rsid w:val="00216EE3"/>
    <w:rsid w:val="00216F46"/>
    <w:rsid w:val="00216FA0"/>
    <w:rsid w:val="002170F9"/>
    <w:rsid w:val="00217136"/>
    <w:rsid w:val="002171BF"/>
    <w:rsid w:val="00217263"/>
    <w:rsid w:val="00217275"/>
    <w:rsid w:val="002173F0"/>
    <w:rsid w:val="0021745F"/>
    <w:rsid w:val="0021752B"/>
    <w:rsid w:val="002175BD"/>
    <w:rsid w:val="002175D8"/>
    <w:rsid w:val="002176C6"/>
    <w:rsid w:val="002176DD"/>
    <w:rsid w:val="00217743"/>
    <w:rsid w:val="002179DA"/>
    <w:rsid w:val="00217A7B"/>
    <w:rsid w:val="00217B18"/>
    <w:rsid w:val="00217B78"/>
    <w:rsid w:val="00217B94"/>
    <w:rsid w:val="00217BCB"/>
    <w:rsid w:val="00217C80"/>
    <w:rsid w:val="00217D7C"/>
    <w:rsid w:val="00217EE4"/>
    <w:rsid w:val="00220040"/>
    <w:rsid w:val="002200C0"/>
    <w:rsid w:val="00220147"/>
    <w:rsid w:val="0022020E"/>
    <w:rsid w:val="00220274"/>
    <w:rsid w:val="00220645"/>
    <w:rsid w:val="00220664"/>
    <w:rsid w:val="002206C6"/>
    <w:rsid w:val="002206D7"/>
    <w:rsid w:val="002206F4"/>
    <w:rsid w:val="00220702"/>
    <w:rsid w:val="00220777"/>
    <w:rsid w:val="00220828"/>
    <w:rsid w:val="0022083D"/>
    <w:rsid w:val="0022093E"/>
    <w:rsid w:val="00220AD1"/>
    <w:rsid w:val="00220B7A"/>
    <w:rsid w:val="00220C05"/>
    <w:rsid w:val="00220C0C"/>
    <w:rsid w:val="00220C92"/>
    <w:rsid w:val="00220CA0"/>
    <w:rsid w:val="00220F91"/>
    <w:rsid w:val="00220FF6"/>
    <w:rsid w:val="002210FE"/>
    <w:rsid w:val="002213C8"/>
    <w:rsid w:val="002213FE"/>
    <w:rsid w:val="0022145D"/>
    <w:rsid w:val="00221846"/>
    <w:rsid w:val="0022187B"/>
    <w:rsid w:val="00221884"/>
    <w:rsid w:val="0022199F"/>
    <w:rsid w:val="002219B1"/>
    <w:rsid w:val="00221C63"/>
    <w:rsid w:val="00221E6A"/>
    <w:rsid w:val="00221FF7"/>
    <w:rsid w:val="00222211"/>
    <w:rsid w:val="00222216"/>
    <w:rsid w:val="00222228"/>
    <w:rsid w:val="0022230A"/>
    <w:rsid w:val="002223D0"/>
    <w:rsid w:val="002223DA"/>
    <w:rsid w:val="002223E9"/>
    <w:rsid w:val="002223EC"/>
    <w:rsid w:val="0022245E"/>
    <w:rsid w:val="0022251A"/>
    <w:rsid w:val="002225DB"/>
    <w:rsid w:val="0022268C"/>
    <w:rsid w:val="002228F6"/>
    <w:rsid w:val="00222996"/>
    <w:rsid w:val="00222A84"/>
    <w:rsid w:val="00222B2F"/>
    <w:rsid w:val="00222B3C"/>
    <w:rsid w:val="00222B47"/>
    <w:rsid w:val="00222B63"/>
    <w:rsid w:val="00222C61"/>
    <w:rsid w:val="00222DF5"/>
    <w:rsid w:val="00222E32"/>
    <w:rsid w:val="00222E9C"/>
    <w:rsid w:val="00222F29"/>
    <w:rsid w:val="00223000"/>
    <w:rsid w:val="002231C6"/>
    <w:rsid w:val="00223266"/>
    <w:rsid w:val="00223275"/>
    <w:rsid w:val="00223338"/>
    <w:rsid w:val="00223455"/>
    <w:rsid w:val="002234A1"/>
    <w:rsid w:val="00223582"/>
    <w:rsid w:val="00223616"/>
    <w:rsid w:val="00223720"/>
    <w:rsid w:val="0022382E"/>
    <w:rsid w:val="0022393F"/>
    <w:rsid w:val="00223A82"/>
    <w:rsid w:val="00223AD0"/>
    <w:rsid w:val="00223B4D"/>
    <w:rsid w:val="00223BAD"/>
    <w:rsid w:val="00223BDC"/>
    <w:rsid w:val="00223C28"/>
    <w:rsid w:val="00223C7E"/>
    <w:rsid w:val="00223CB6"/>
    <w:rsid w:val="00223D89"/>
    <w:rsid w:val="00223E1D"/>
    <w:rsid w:val="00223F3C"/>
    <w:rsid w:val="00223F7F"/>
    <w:rsid w:val="00224184"/>
    <w:rsid w:val="0022419B"/>
    <w:rsid w:val="002241CB"/>
    <w:rsid w:val="002241D0"/>
    <w:rsid w:val="002243BB"/>
    <w:rsid w:val="002244E1"/>
    <w:rsid w:val="00224501"/>
    <w:rsid w:val="00224592"/>
    <w:rsid w:val="002245F8"/>
    <w:rsid w:val="00224791"/>
    <w:rsid w:val="002247BA"/>
    <w:rsid w:val="00224869"/>
    <w:rsid w:val="0022486D"/>
    <w:rsid w:val="00224891"/>
    <w:rsid w:val="002249E1"/>
    <w:rsid w:val="00224C51"/>
    <w:rsid w:val="00224CC7"/>
    <w:rsid w:val="00224CF5"/>
    <w:rsid w:val="00224E8E"/>
    <w:rsid w:val="00225013"/>
    <w:rsid w:val="0022509A"/>
    <w:rsid w:val="00225190"/>
    <w:rsid w:val="00225247"/>
    <w:rsid w:val="0022525F"/>
    <w:rsid w:val="00225319"/>
    <w:rsid w:val="002253CC"/>
    <w:rsid w:val="00225484"/>
    <w:rsid w:val="002254D7"/>
    <w:rsid w:val="00225622"/>
    <w:rsid w:val="0022576A"/>
    <w:rsid w:val="002257D6"/>
    <w:rsid w:val="00225856"/>
    <w:rsid w:val="00225864"/>
    <w:rsid w:val="0022587F"/>
    <w:rsid w:val="002258B7"/>
    <w:rsid w:val="002259AA"/>
    <w:rsid w:val="00225A16"/>
    <w:rsid w:val="00225A5F"/>
    <w:rsid w:val="00225AE8"/>
    <w:rsid w:val="00225B44"/>
    <w:rsid w:val="00225BBF"/>
    <w:rsid w:val="00225DCD"/>
    <w:rsid w:val="00225DF8"/>
    <w:rsid w:val="00225E98"/>
    <w:rsid w:val="00225ED1"/>
    <w:rsid w:val="00225FD2"/>
    <w:rsid w:val="0022613C"/>
    <w:rsid w:val="00226189"/>
    <w:rsid w:val="00226226"/>
    <w:rsid w:val="002263DA"/>
    <w:rsid w:val="002263FC"/>
    <w:rsid w:val="00226458"/>
    <w:rsid w:val="00226537"/>
    <w:rsid w:val="002265D7"/>
    <w:rsid w:val="002267B0"/>
    <w:rsid w:val="00226802"/>
    <w:rsid w:val="002269FD"/>
    <w:rsid w:val="00226AD8"/>
    <w:rsid w:val="00226F72"/>
    <w:rsid w:val="00226F7E"/>
    <w:rsid w:val="00226FEA"/>
    <w:rsid w:val="002272AC"/>
    <w:rsid w:val="002273C6"/>
    <w:rsid w:val="00227453"/>
    <w:rsid w:val="002278E9"/>
    <w:rsid w:val="002279D2"/>
    <w:rsid w:val="00227A29"/>
    <w:rsid w:val="00227AFE"/>
    <w:rsid w:val="00227B54"/>
    <w:rsid w:val="00227D90"/>
    <w:rsid w:val="00227F83"/>
    <w:rsid w:val="00230070"/>
    <w:rsid w:val="0023024B"/>
    <w:rsid w:val="002302C5"/>
    <w:rsid w:val="00230341"/>
    <w:rsid w:val="00230540"/>
    <w:rsid w:val="002305CE"/>
    <w:rsid w:val="002305F5"/>
    <w:rsid w:val="00230630"/>
    <w:rsid w:val="002306F2"/>
    <w:rsid w:val="00230718"/>
    <w:rsid w:val="00230797"/>
    <w:rsid w:val="00230901"/>
    <w:rsid w:val="00230B3A"/>
    <w:rsid w:val="00230B4B"/>
    <w:rsid w:val="00230E27"/>
    <w:rsid w:val="0023100E"/>
    <w:rsid w:val="002310D2"/>
    <w:rsid w:val="002312BC"/>
    <w:rsid w:val="00231351"/>
    <w:rsid w:val="00231376"/>
    <w:rsid w:val="00231491"/>
    <w:rsid w:val="002316CB"/>
    <w:rsid w:val="0023179E"/>
    <w:rsid w:val="002317B0"/>
    <w:rsid w:val="0023198E"/>
    <w:rsid w:val="002319C2"/>
    <w:rsid w:val="00231A9A"/>
    <w:rsid w:val="00231BC3"/>
    <w:rsid w:val="00231C2E"/>
    <w:rsid w:val="00231E9B"/>
    <w:rsid w:val="00231EFA"/>
    <w:rsid w:val="00231F40"/>
    <w:rsid w:val="0023201B"/>
    <w:rsid w:val="0023206D"/>
    <w:rsid w:val="00232111"/>
    <w:rsid w:val="00232182"/>
    <w:rsid w:val="00232285"/>
    <w:rsid w:val="002322C7"/>
    <w:rsid w:val="002323A7"/>
    <w:rsid w:val="002323B2"/>
    <w:rsid w:val="00232687"/>
    <w:rsid w:val="002326A1"/>
    <w:rsid w:val="00232760"/>
    <w:rsid w:val="002327D0"/>
    <w:rsid w:val="00232810"/>
    <w:rsid w:val="00232B39"/>
    <w:rsid w:val="00232BD7"/>
    <w:rsid w:val="00232D2E"/>
    <w:rsid w:val="00232F38"/>
    <w:rsid w:val="00232F3E"/>
    <w:rsid w:val="00232F64"/>
    <w:rsid w:val="00233461"/>
    <w:rsid w:val="002334AF"/>
    <w:rsid w:val="0023350A"/>
    <w:rsid w:val="00233527"/>
    <w:rsid w:val="00233623"/>
    <w:rsid w:val="00233748"/>
    <w:rsid w:val="002337E1"/>
    <w:rsid w:val="0023385E"/>
    <w:rsid w:val="002338BC"/>
    <w:rsid w:val="002338D0"/>
    <w:rsid w:val="00233974"/>
    <w:rsid w:val="00233A0B"/>
    <w:rsid w:val="00233ABE"/>
    <w:rsid w:val="00233AF9"/>
    <w:rsid w:val="00233C49"/>
    <w:rsid w:val="00233CD4"/>
    <w:rsid w:val="00233CF0"/>
    <w:rsid w:val="00233E96"/>
    <w:rsid w:val="00233E98"/>
    <w:rsid w:val="00233EC1"/>
    <w:rsid w:val="00234005"/>
    <w:rsid w:val="0023406F"/>
    <w:rsid w:val="002340E4"/>
    <w:rsid w:val="002341EA"/>
    <w:rsid w:val="00234246"/>
    <w:rsid w:val="002343F3"/>
    <w:rsid w:val="00234413"/>
    <w:rsid w:val="00234419"/>
    <w:rsid w:val="00234493"/>
    <w:rsid w:val="0023456D"/>
    <w:rsid w:val="00234811"/>
    <w:rsid w:val="0023493F"/>
    <w:rsid w:val="002349AC"/>
    <w:rsid w:val="002349BA"/>
    <w:rsid w:val="00234BCE"/>
    <w:rsid w:val="00234C45"/>
    <w:rsid w:val="00234DE2"/>
    <w:rsid w:val="00234F4D"/>
    <w:rsid w:val="00234F61"/>
    <w:rsid w:val="00235093"/>
    <w:rsid w:val="00235109"/>
    <w:rsid w:val="00235254"/>
    <w:rsid w:val="0023529F"/>
    <w:rsid w:val="002352C7"/>
    <w:rsid w:val="00235530"/>
    <w:rsid w:val="002358D4"/>
    <w:rsid w:val="002358D5"/>
    <w:rsid w:val="0023590E"/>
    <w:rsid w:val="002359C0"/>
    <w:rsid w:val="00235C67"/>
    <w:rsid w:val="00235D79"/>
    <w:rsid w:val="00235DD6"/>
    <w:rsid w:val="00235DF8"/>
    <w:rsid w:val="0023601F"/>
    <w:rsid w:val="002361CC"/>
    <w:rsid w:val="00236347"/>
    <w:rsid w:val="002363F6"/>
    <w:rsid w:val="00236421"/>
    <w:rsid w:val="00236565"/>
    <w:rsid w:val="0023678C"/>
    <w:rsid w:val="002367D0"/>
    <w:rsid w:val="0023696E"/>
    <w:rsid w:val="0023698C"/>
    <w:rsid w:val="00236B64"/>
    <w:rsid w:val="00236C20"/>
    <w:rsid w:val="00236D7C"/>
    <w:rsid w:val="00236DD4"/>
    <w:rsid w:val="00236E3B"/>
    <w:rsid w:val="00236F8E"/>
    <w:rsid w:val="002370E4"/>
    <w:rsid w:val="0023715D"/>
    <w:rsid w:val="002371E1"/>
    <w:rsid w:val="0023723F"/>
    <w:rsid w:val="002372C9"/>
    <w:rsid w:val="00237336"/>
    <w:rsid w:val="00237438"/>
    <w:rsid w:val="00237491"/>
    <w:rsid w:val="0023764D"/>
    <w:rsid w:val="00237D74"/>
    <w:rsid w:val="00237D9E"/>
    <w:rsid w:val="00237E0E"/>
    <w:rsid w:val="00237EC0"/>
    <w:rsid w:val="00237F4E"/>
    <w:rsid w:val="00237F76"/>
    <w:rsid w:val="00237FAC"/>
    <w:rsid w:val="002400B5"/>
    <w:rsid w:val="002400F2"/>
    <w:rsid w:val="00240141"/>
    <w:rsid w:val="002401F8"/>
    <w:rsid w:val="00240207"/>
    <w:rsid w:val="00240402"/>
    <w:rsid w:val="0024043F"/>
    <w:rsid w:val="00240557"/>
    <w:rsid w:val="0024058E"/>
    <w:rsid w:val="002405A5"/>
    <w:rsid w:val="0024064C"/>
    <w:rsid w:val="00240672"/>
    <w:rsid w:val="002406A9"/>
    <w:rsid w:val="002406DF"/>
    <w:rsid w:val="0024077A"/>
    <w:rsid w:val="0024082D"/>
    <w:rsid w:val="00240841"/>
    <w:rsid w:val="00240935"/>
    <w:rsid w:val="002409EA"/>
    <w:rsid w:val="00240AB7"/>
    <w:rsid w:val="00240CA5"/>
    <w:rsid w:val="00240D03"/>
    <w:rsid w:val="00240D0D"/>
    <w:rsid w:val="00240DA0"/>
    <w:rsid w:val="00240DB3"/>
    <w:rsid w:val="0024106C"/>
    <w:rsid w:val="0024107F"/>
    <w:rsid w:val="00241197"/>
    <w:rsid w:val="002411B7"/>
    <w:rsid w:val="0024126E"/>
    <w:rsid w:val="002413C4"/>
    <w:rsid w:val="002413D8"/>
    <w:rsid w:val="00241455"/>
    <w:rsid w:val="0024145F"/>
    <w:rsid w:val="002414DF"/>
    <w:rsid w:val="002414E3"/>
    <w:rsid w:val="00241532"/>
    <w:rsid w:val="00241677"/>
    <w:rsid w:val="0024182F"/>
    <w:rsid w:val="00241914"/>
    <w:rsid w:val="0024193E"/>
    <w:rsid w:val="00241977"/>
    <w:rsid w:val="00241A4A"/>
    <w:rsid w:val="00241BA8"/>
    <w:rsid w:val="00241D66"/>
    <w:rsid w:val="00241D9A"/>
    <w:rsid w:val="00241E6E"/>
    <w:rsid w:val="00241F24"/>
    <w:rsid w:val="00241F3E"/>
    <w:rsid w:val="0024202D"/>
    <w:rsid w:val="00242147"/>
    <w:rsid w:val="00242169"/>
    <w:rsid w:val="00242233"/>
    <w:rsid w:val="00242371"/>
    <w:rsid w:val="002423AB"/>
    <w:rsid w:val="00242400"/>
    <w:rsid w:val="002425EB"/>
    <w:rsid w:val="00242643"/>
    <w:rsid w:val="00242732"/>
    <w:rsid w:val="002427D4"/>
    <w:rsid w:val="0024285D"/>
    <w:rsid w:val="0024287A"/>
    <w:rsid w:val="00242A91"/>
    <w:rsid w:val="00242B0A"/>
    <w:rsid w:val="00242ED4"/>
    <w:rsid w:val="00242FBD"/>
    <w:rsid w:val="00243037"/>
    <w:rsid w:val="00243079"/>
    <w:rsid w:val="002430CF"/>
    <w:rsid w:val="00243151"/>
    <w:rsid w:val="00243188"/>
    <w:rsid w:val="00243211"/>
    <w:rsid w:val="002432BB"/>
    <w:rsid w:val="00243388"/>
    <w:rsid w:val="002433CD"/>
    <w:rsid w:val="002434F0"/>
    <w:rsid w:val="00243584"/>
    <w:rsid w:val="00243880"/>
    <w:rsid w:val="00243A73"/>
    <w:rsid w:val="00243B22"/>
    <w:rsid w:val="00243B24"/>
    <w:rsid w:val="00243BBF"/>
    <w:rsid w:val="00243C03"/>
    <w:rsid w:val="00243DE4"/>
    <w:rsid w:val="00243E70"/>
    <w:rsid w:val="00244032"/>
    <w:rsid w:val="002441BF"/>
    <w:rsid w:val="002441CC"/>
    <w:rsid w:val="00244258"/>
    <w:rsid w:val="00244268"/>
    <w:rsid w:val="00244280"/>
    <w:rsid w:val="00244315"/>
    <w:rsid w:val="00244695"/>
    <w:rsid w:val="002446CB"/>
    <w:rsid w:val="002446F0"/>
    <w:rsid w:val="002449D1"/>
    <w:rsid w:val="00244B96"/>
    <w:rsid w:val="00244BD5"/>
    <w:rsid w:val="00244DBB"/>
    <w:rsid w:val="00244DD2"/>
    <w:rsid w:val="00244DE1"/>
    <w:rsid w:val="00244EEE"/>
    <w:rsid w:val="00244F74"/>
    <w:rsid w:val="0024503D"/>
    <w:rsid w:val="002450D3"/>
    <w:rsid w:val="0024520B"/>
    <w:rsid w:val="0024556B"/>
    <w:rsid w:val="002456A0"/>
    <w:rsid w:val="002459A5"/>
    <w:rsid w:val="00245A78"/>
    <w:rsid w:val="00245AC7"/>
    <w:rsid w:val="00245AE6"/>
    <w:rsid w:val="00245BFE"/>
    <w:rsid w:val="00245D54"/>
    <w:rsid w:val="00245DA1"/>
    <w:rsid w:val="00245F39"/>
    <w:rsid w:val="00245F77"/>
    <w:rsid w:val="00245FC7"/>
    <w:rsid w:val="0024605D"/>
    <w:rsid w:val="0024607D"/>
    <w:rsid w:val="0024612C"/>
    <w:rsid w:val="00246141"/>
    <w:rsid w:val="0024617E"/>
    <w:rsid w:val="0024631D"/>
    <w:rsid w:val="0024637E"/>
    <w:rsid w:val="002465E3"/>
    <w:rsid w:val="002468C9"/>
    <w:rsid w:val="00246A47"/>
    <w:rsid w:val="00246A80"/>
    <w:rsid w:val="00246AD6"/>
    <w:rsid w:val="00246BF1"/>
    <w:rsid w:val="00246C36"/>
    <w:rsid w:val="00246CDC"/>
    <w:rsid w:val="00246D41"/>
    <w:rsid w:val="00246D71"/>
    <w:rsid w:val="00246E74"/>
    <w:rsid w:val="00247086"/>
    <w:rsid w:val="002470C4"/>
    <w:rsid w:val="002471BB"/>
    <w:rsid w:val="0024723B"/>
    <w:rsid w:val="002472F0"/>
    <w:rsid w:val="0024740A"/>
    <w:rsid w:val="0024740D"/>
    <w:rsid w:val="002474DB"/>
    <w:rsid w:val="0024757B"/>
    <w:rsid w:val="0024763E"/>
    <w:rsid w:val="00247648"/>
    <w:rsid w:val="0024764E"/>
    <w:rsid w:val="00247777"/>
    <w:rsid w:val="002478E8"/>
    <w:rsid w:val="00247938"/>
    <w:rsid w:val="00247A0F"/>
    <w:rsid w:val="00247B31"/>
    <w:rsid w:val="00247D0B"/>
    <w:rsid w:val="00247DC1"/>
    <w:rsid w:val="00247DF3"/>
    <w:rsid w:val="00247E4C"/>
    <w:rsid w:val="0025009D"/>
    <w:rsid w:val="002501A0"/>
    <w:rsid w:val="002502E2"/>
    <w:rsid w:val="00250453"/>
    <w:rsid w:val="002504A1"/>
    <w:rsid w:val="002504E8"/>
    <w:rsid w:val="002505A7"/>
    <w:rsid w:val="00250619"/>
    <w:rsid w:val="002506F6"/>
    <w:rsid w:val="00250726"/>
    <w:rsid w:val="002507AB"/>
    <w:rsid w:val="002507F2"/>
    <w:rsid w:val="00250BB5"/>
    <w:rsid w:val="00250C91"/>
    <w:rsid w:val="00250CE1"/>
    <w:rsid w:val="00250D9B"/>
    <w:rsid w:val="00251072"/>
    <w:rsid w:val="00251126"/>
    <w:rsid w:val="0025113F"/>
    <w:rsid w:val="002511FC"/>
    <w:rsid w:val="0025134D"/>
    <w:rsid w:val="00251459"/>
    <w:rsid w:val="00251543"/>
    <w:rsid w:val="0025171A"/>
    <w:rsid w:val="00251724"/>
    <w:rsid w:val="002519A5"/>
    <w:rsid w:val="00251A34"/>
    <w:rsid w:val="00251AD4"/>
    <w:rsid w:val="00251AEF"/>
    <w:rsid w:val="00251BBC"/>
    <w:rsid w:val="00251C9D"/>
    <w:rsid w:val="00251D88"/>
    <w:rsid w:val="00251DFF"/>
    <w:rsid w:val="00251E66"/>
    <w:rsid w:val="00251E7C"/>
    <w:rsid w:val="00251F44"/>
    <w:rsid w:val="00251FDF"/>
    <w:rsid w:val="0025208F"/>
    <w:rsid w:val="002520C6"/>
    <w:rsid w:val="0025213D"/>
    <w:rsid w:val="0025216D"/>
    <w:rsid w:val="002524A2"/>
    <w:rsid w:val="0025250E"/>
    <w:rsid w:val="00252607"/>
    <w:rsid w:val="0025262C"/>
    <w:rsid w:val="002526EA"/>
    <w:rsid w:val="0025272D"/>
    <w:rsid w:val="00252878"/>
    <w:rsid w:val="002528C8"/>
    <w:rsid w:val="002528E1"/>
    <w:rsid w:val="002529C7"/>
    <w:rsid w:val="00252AC1"/>
    <w:rsid w:val="00252B54"/>
    <w:rsid w:val="00252C1E"/>
    <w:rsid w:val="00252C65"/>
    <w:rsid w:val="00252DEC"/>
    <w:rsid w:val="00252E10"/>
    <w:rsid w:val="00252E33"/>
    <w:rsid w:val="00252F22"/>
    <w:rsid w:val="00252F5C"/>
    <w:rsid w:val="00252FD8"/>
    <w:rsid w:val="00252FF5"/>
    <w:rsid w:val="0025318B"/>
    <w:rsid w:val="002531E1"/>
    <w:rsid w:val="0025324D"/>
    <w:rsid w:val="00253372"/>
    <w:rsid w:val="0025340E"/>
    <w:rsid w:val="00253447"/>
    <w:rsid w:val="00253558"/>
    <w:rsid w:val="002535D4"/>
    <w:rsid w:val="00253621"/>
    <w:rsid w:val="00253705"/>
    <w:rsid w:val="00253825"/>
    <w:rsid w:val="002538A4"/>
    <w:rsid w:val="00253CA5"/>
    <w:rsid w:val="00253CF0"/>
    <w:rsid w:val="00253D57"/>
    <w:rsid w:val="00253E75"/>
    <w:rsid w:val="00254051"/>
    <w:rsid w:val="0025411D"/>
    <w:rsid w:val="002541A8"/>
    <w:rsid w:val="0025456B"/>
    <w:rsid w:val="00254632"/>
    <w:rsid w:val="0025490C"/>
    <w:rsid w:val="00254B3B"/>
    <w:rsid w:val="00254C52"/>
    <w:rsid w:val="00254CF9"/>
    <w:rsid w:val="00254D16"/>
    <w:rsid w:val="00254D23"/>
    <w:rsid w:val="00254D9B"/>
    <w:rsid w:val="00254DC0"/>
    <w:rsid w:val="00255070"/>
    <w:rsid w:val="002552E6"/>
    <w:rsid w:val="0025530F"/>
    <w:rsid w:val="00255342"/>
    <w:rsid w:val="00255348"/>
    <w:rsid w:val="0025541F"/>
    <w:rsid w:val="00255444"/>
    <w:rsid w:val="002555F5"/>
    <w:rsid w:val="00255611"/>
    <w:rsid w:val="00255768"/>
    <w:rsid w:val="00255826"/>
    <w:rsid w:val="0025583C"/>
    <w:rsid w:val="0025587B"/>
    <w:rsid w:val="00255B46"/>
    <w:rsid w:val="00255D49"/>
    <w:rsid w:val="00255DAD"/>
    <w:rsid w:val="00255DC1"/>
    <w:rsid w:val="00255E73"/>
    <w:rsid w:val="00255EC3"/>
    <w:rsid w:val="00255FBE"/>
    <w:rsid w:val="00256129"/>
    <w:rsid w:val="00256307"/>
    <w:rsid w:val="0025635E"/>
    <w:rsid w:val="002564B7"/>
    <w:rsid w:val="0025662F"/>
    <w:rsid w:val="00256661"/>
    <w:rsid w:val="002566BB"/>
    <w:rsid w:val="0025674C"/>
    <w:rsid w:val="002567FF"/>
    <w:rsid w:val="00256B39"/>
    <w:rsid w:val="00256CF0"/>
    <w:rsid w:val="00256D4E"/>
    <w:rsid w:val="00257009"/>
    <w:rsid w:val="00257273"/>
    <w:rsid w:val="00257286"/>
    <w:rsid w:val="0025730E"/>
    <w:rsid w:val="00257538"/>
    <w:rsid w:val="002575A2"/>
    <w:rsid w:val="002575D7"/>
    <w:rsid w:val="0025786B"/>
    <w:rsid w:val="00257893"/>
    <w:rsid w:val="00257A7F"/>
    <w:rsid w:val="00257C69"/>
    <w:rsid w:val="00257D1D"/>
    <w:rsid w:val="00257F75"/>
    <w:rsid w:val="00257F7C"/>
    <w:rsid w:val="00257FCE"/>
    <w:rsid w:val="00257FF1"/>
    <w:rsid w:val="002601D8"/>
    <w:rsid w:val="00260318"/>
    <w:rsid w:val="002603AA"/>
    <w:rsid w:val="002605E7"/>
    <w:rsid w:val="002606A8"/>
    <w:rsid w:val="00260813"/>
    <w:rsid w:val="002608CC"/>
    <w:rsid w:val="00260906"/>
    <w:rsid w:val="00260A5E"/>
    <w:rsid w:val="00260ACD"/>
    <w:rsid w:val="00260B32"/>
    <w:rsid w:val="00260C26"/>
    <w:rsid w:val="00260C42"/>
    <w:rsid w:val="00260C8C"/>
    <w:rsid w:val="00260F5C"/>
    <w:rsid w:val="0026100B"/>
    <w:rsid w:val="0026117A"/>
    <w:rsid w:val="00261187"/>
    <w:rsid w:val="00261195"/>
    <w:rsid w:val="0026144D"/>
    <w:rsid w:val="002614A0"/>
    <w:rsid w:val="00261508"/>
    <w:rsid w:val="0026160A"/>
    <w:rsid w:val="00261688"/>
    <w:rsid w:val="002617AF"/>
    <w:rsid w:val="00261BD4"/>
    <w:rsid w:val="00261BF4"/>
    <w:rsid w:val="00261BFE"/>
    <w:rsid w:val="00261D66"/>
    <w:rsid w:val="00261EDB"/>
    <w:rsid w:val="00261FEC"/>
    <w:rsid w:val="002620FE"/>
    <w:rsid w:val="00262395"/>
    <w:rsid w:val="00262399"/>
    <w:rsid w:val="002623D1"/>
    <w:rsid w:val="00262485"/>
    <w:rsid w:val="00262489"/>
    <w:rsid w:val="002625CF"/>
    <w:rsid w:val="00262752"/>
    <w:rsid w:val="00262760"/>
    <w:rsid w:val="002628A9"/>
    <w:rsid w:val="0026297F"/>
    <w:rsid w:val="00262A33"/>
    <w:rsid w:val="00262C70"/>
    <w:rsid w:val="00262D1A"/>
    <w:rsid w:val="00262D1C"/>
    <w:rsid w:val="00262D7E"/>
    <w:rsid w:val="00262DC4"/>
    <w:rsid w:val="00262F50"/>
    <w:rsid w:val="00263036"/>
    <w:rsid w:val="002630A1"/>
    <w:rsid w:val="002631C6"/>
    <w:rsid w:val="00263283"/>
    <w:rsid w:val="0026352D"/>
    <w:rsid w:val="00263548"/>
    <w:rsid w:val="00263586"/>
    <w:rsid w:val="002635D3"/>
    <w:rsid w:val="0026360E"/>
    <w:rsid w:val="00263746"/>
    <w:rsid w:val="00263849"/>
    <w:rsid w:val="002639EE"/>
    <w:rsid w:val="002639FC"/>
    <w:rsid w:val="00263A45"/>
    <w:rsid w:val="00263B6B"/>
    <w:rsid w:val="00263B6D"/>
    <w:rsid w:val="00263E02"/>
    <w:rsid w:val="00264072"/>
    <w:rsid w:val="00264207"/>
    <w:rsid w:val="002644AB"/>
    <w:rsid w:val="002644AD"/>
    <w:rsid w:val="00264502"/>
    <w:rsid w:val="00264558"/>
    <w:rsid w:val="00264570"/>
    <w:rsid w:val="00264574"/>
    <w:rsid w:val="002645B3"/>
    <w:rsid w:val="002646A8"/>
    <w:rsid w:val="002646FE"/>
    <w:rsid w:val="0026483C"/>
    <w:rsid w:val="0026496C"/>
    <w:rsid w:val="00264D58"/>
    <w:rsid w:val="00264D72"/>
    <w:rsid w:val="00264F70"/>
    <w:rsid w:val="00265059"/>
    <w:rsid w:val="0026546D"/>
    <w:rsid w:val="002654F5"/>
    <w:rsid w:val="00265591"/>
    <w:rsid w:val="00265677"/>
    <w:rsid w:val="0026585C"/>
    <w:rsid w:val="00265893"/>
    <w:rsid w:val="00265ABC"/>
    <w:rsid w:val="00265CB7"/>
    <w:rsid w:val="00265CC9"/>
    <w:rsid w:val="00265D53"/>
    <w:rsid w:val="00265E0F"/>
    <w:rsid w:val="00265FEB"/>
    <w:rsid w:val="00266272"/>
    <w:rsid w:val="00266485"/>
    <w:rsid w:val="002666EF"/>
    <w:rsid w:val="002667AB"/>
    <w:rsid w:val="00266826"/>
    <w:rsid w:val="002668E6"/>
    <w:rsid w:val="00266929"/>
    <w:rsid w:val="00266A5A"/>
    <w:rsid w:val="00266C30"/>
    <w:rsid w:val="00266CB0"/>
    <w:rsid w:val="00266D06"/>
    <w:rsid w:val="00266D45"/>
    <w:rsid w:val="00266DAB"/>
    <w:rsid w:val="00266E0C"/>
    <w:rsid w:val="00266E2A"/>
    <w:rsid w:val="00266E2E"/>
    <w:rsid w:val="00266F1C"/>
    <w:rsid w:val="002671A5"/>
    <w:rsid w:val="0026726B"/>
    <w:rsid w:val="002672D5"/>
    <w:rsid w:val="0026732B"/>
    <w:rsid w:val="00267419"/>
    <w:rsid w:val="00267458"/>
    <w:rsid w:val="0026785D"/>
    <w:rsid w:val="00267885"/>
    <w:rsid w:val="00267888"/>
    <w:rsid w:val="002679AD"/>
    <w:rsid w:val="00267A15"/>
    <w:rsid w:val="00267B34"/>
    <w:rsid w:val="00267B41"/>
    <w:rsid w:val="00267B7D"/>
    <w:rsid w:val="00267C1C"/>
    <w:rsid w:val="00267CE1"/>
    <w:rsid w:val="00267CFC"/>
    <w:rsid w:val="00267DAF"/>
    <w:rsid w:val="00267DC5"/>
    <w:rsid w:val="00267DC8"/>
    <w:rsid w:val="00267E0E"/>
    <w:rsid w:val="00267F5C"/>
    <w:rsid w:val="00270197"/>
    <w:rsid w:val="002701BE"/>
    <w:rsid w:val="002702C5"/>
    <w:rsid w:val="002703C7"/>
    <w:rsid w:val="002704B8"/>
    <w:rsid w:val="002704F8"/>
    <w:rsid w:val="002705EE"/>
    <w:rsid w:val="0027066C"/>
    <w:rsid w:val="002706C1"/>
    <w:rsid w:val="0027076E"/>
    <w:rsid w:val="00270854"/>
    <w:rsid w:val="00270BC3"/>
    <w:rsid w:val="00270C25"/>
    <w:rsid w:val="00270D47"/>
    <w:rsid w:val="00270DEC"/>
    <w:rsid w:val="00271017"/>
    <w:rsid w:val="00271238"/>
    <w:rsid w:val="002712B2"/>
    <w:rsid w:val="00271305"/>
    <w:rsid w:val="002713C6"/>
    <w:rsid w:val="002714B0"/>
    <w:rsid w:val="00271511"/>
    <w:rsid w:val="002715EE"/>
    <w:rsid w:val="0027177E"/>
    <w:rsid w:val="00271834"/>
    <w:rsid w:val="00271889"/>
    <w:rsid w:val="00271A20"/>
    <w:rsid w:val="00271A40"/>
    <w:rsid w:val="00271A54"/>
    <w:rsid w:val="00271A8E"/>
    <w:rsid w:val="00272188"/>
    <w:rsid w:val="00272207"/>
    <w:rsid w:val="00272290"/>
    <w:rsid w:val="0027233A"/>
    <w:rsid w:val="00272376"/>
    <w:rsid w:val="00272441"/>
    <w:rsid w:val="002724CC"/>
    <w:rsid w:val="002725B6"/>
    <w:rsid w:val="002725E1"/>
    <w:rsid w:val="002726EC"/>
    <w:rsid w:val="00272743"/>
    <w:rsid w:val="00272757"/>
    <w:rsid w:val="00272906"/>
    <w:rsid w:val="002729B6"/>
    <w:rsid w:val="00272A7C"/>
    <w:rsid w:val="00272A8D"/>
    <w:rsid w:val="00272ABA"/>
    <w:rsid w:val="00272BCF"/>
    <w:rsid w:val="00272CA4"/>
    <w:rsid w:val="00272D0B"/>
    <w:rsid w:val="00272E39"/>
    <w:rsid w:val="00272EDC"/>
    <w:rsid w:val="00272EEB"/>
    <w:rsid w:val="00272F7D"/>
    <w:rsid w:val="00272FD2"/>
    <w:rsid w:val="00272FE1"/>
    <w:rsid w:val="002730B4"/>
    <w:rsid w:val="002731FF"/>
    <w:rsid w:val="0027337B"/>
    <w:rsid w:val="002733C1"/>
    <w:rsid w:val="002733E2"/>
    <w:rsid w:val="0027340E"/>
    <w:rsid w:val="0027364A"/>
    <w:rsid w:val="0027378D"/>
    <w:rsid w:val="00273870"/>
    <w:rsid w:val="00273981"/>
    <w:rsid w:val="002739EB"/>
    <w:rsid w:val="00273A90"/>
    <w:rsid w:val="00273B53"/>
    <w:rsid w:val="00273CE9"/>
    <w:rsid w:val="00273D13"/>
    <w:rsid w:val="00273DF1"/>
    <w:rsid w:val="00273E35"/>
    <w:rsid w:val="00273E97"/>
    <w:rsid w:val="00273F78"/>
    <w:rsid w:val="00273FE0"/>
    <w:rsid w:val="00273FE4"/>
    <w:rsid w:val="00273FEE"/>
    <w:rsid w:val="00274046"/>
    <w:rsid w:val="002740BF"/>
    <w:rsid w:val="0027416B"/>
    <w:rsid w:val="002741E4"/>
    <w:rsid w:val="002742AF"/>
    <w:rsid w:val="00274362"/>
    <w:rsid w:val="0027438F"/>
    <w:rsid w:val="00274413"/>
    <w:rsid w:val="0027444B"/>
    <w:rsid w:val="0027482B"/>
    <w:rsid w:val="00274997"/>
    <w:rsid w:val="002749F0"/>
    <w:rsid w:val="00274B0B"/>
    <w:rsid w:val="00274DE1"/>
    <w:rsid w:val="00274E04"/>
    <w:rsid w:val="00274E07"/>
    <w:rsid w:val="00274F26"/>
    <w:rsid w:val="00274FAD"/>
    <w:rsid w:val="002750C3"/>
    <w:rsid w:val="00275117"/>
    <w:rsid w:val="00275268"/>
    <w:rsid w:val="00275283"/>
    <w:rsid w:val="002752BB"/>
    <w:rsid w:val="00275320"/>
    <w:rsid w:val="0027535A"/>
    <w:rsid w:val="002754E7"/>
    <w:rsid w:val="0027568E"/>
    <w:rsid w:val="00275762"/>
    <w:rsid w:val="00275817"/>
    <w:rsid w:val="00275879"/>
    <w:rsid w:val="00275981"/>
    <w:rsid w:val="00275A1B"/>
    <w:rsid w:val="00275A5D"/>
    <w:rsid w:val="00275A70"/>
    <w:rsid w:val="00275BB5"/>
    <w:rsid w:val="00275CEC"/>
    <w:rsid w:val="00275D42"/>
    <w:rsid w:val="00275E0E"/>
    <w:rsid w:val="00275E3D"/>
    <w:rsid w:val="00275E65"/>
    <w:rsid w:val="00275ECC"/>
    <w:rsid w:val="00275F0D"/>
    <w:rsid w:val="00275F0E"/>
    <w:rsid w:val="002760B3"/>
    <w:rsid w:val="002760FB"/>
    <w:rsid w:val="0027613E"/>
    <w:rsid w:val="0027622F"/>
    <w:rsid w:val="00276472"/>
    <w:rsid w:val="00276551"/>
    <w:rsid w:val="00276671"/>
    <w:rsid w:val="0027676D"/>
    <w:rsid w:val="002767AB"/>
    <w:rsid w:val="00276840"/>
    <w:rsid w:val="00276887"/>
    <w:rsid w:val="00276995"/>
    <w:rsid w:val="00276A53"/>
    <w:rsid w:val="00276DC9"/>
    <w:rsid w:val="0027701D"/>
    <w:rsid w:val="002772F2"/>
    <w:rsid w:val="0027734F"/>
    <w:rsid w:val="002774D5"/>
    <w:rsid w:val="002774D7"/>
    <w:rsid w:val="00277682"/>
    <w:rsid w:val="0027769E"/>
    <w:rsid w:val="002776C9"/>
    <w:rsid w:val="002776FA"/>
    <w:rsid w:val="0027780E"/>
    <w:rsid w:val="00277826"/>
    <w:rsid w:val="00277910"/>
    <w:rsid w:val="002779A0"/>
    <w:rsid w:val="00277C4F"/>
    <w:rsid w:val="00277CF1"/>
    <w:rsid w:val="00277D29"/>
    <w:rsid w:val="00277D6C"/>
    <w:rsid w:val="00277D9D"/>
    <w:rsid w:val="00277E80"/>
    <w:rsid w:val="00277F3D"/>
    <w:rsid w:val="00277F75"/>
    <w:rsid w:val="00277FC0"/>
    <w:rsid w:val="00280026"/>
    <w:rsid w:val="0028007E"/>
    <w:rsid w:val="002800E1"/>
    <w:rsid w:val="00280114"/>
    <w:rsid w:val="00280170"/>
    <w:rsid w:val="00280395"/>
    <w:rsid w:val="0028039D"/>
    <w:rsid w:val="002803DA"/>
    <w:rsid w:val="00280508"/>
    <w:rsid w:val="0028059F"/>
    <w:rsid w:val="0028071D"/>
    <w:rsid w:val="00280927"/>
    <w:rsid w:val="00280B1B"/>
    <w:rsid w:val="00280BE0"/>
    <w:rsid w:val="00280BF6"/>
    <w:rsid w:val="00280CA7"/>
    <w:rsid w:val="00280D1C"/>
    <w:rsid w:val="00280DBF"/>
    <w:rsid w:val="00280E20"/>
    <w:rsid w:val="00281028"/>
    <w:rsid w:val="00281045"/>
    <w:rsid w:val="00281188"/>
    <w:rsid w:val="002811FA"/>
    <w:rsid w:val="002814AC"/>
    <w:rsid w:val="00281B7D"/>
    <w:rsid w:val="00281C5F"/>
    <w:rsid w:val="00281E4E"/>
    <w:rsid w:val="00281F54"/>
    <w:rsid w:val="00282079"/>
    <w:rsid w:val="0028215A"/>
    <w:rsid w:val="0028251E"/>
    <w:rsid w:val="0028258F"/>
    <w:rsid w:val="002827F9"/>
    <w:rsid w:val="002828E8"/>
    <w:rsid w:val="002828F4"/>
    <w:rsid w:val="00282902"/>
    <w:rsid w:val="00282959"/>
    <w:rsid w:val="00282B22"/>
    <w:rsid w:val="00282BEE"/>
    <w:rsid w:val="00282C6F"/>
    <w:rsid w:val="00282D8F"/>
    <w:rsid w:val="00282DA0"/>
    <w:rsid w:val="00282DCA"/>
    <w:rsid w:val="00282DDD"/>
    <w:rsid w:val="00282E3C"/>
    <w:rsid w:val="00282E54"/>
    <w:rsid w:val="00282E57"/>
    <w:rsid w:val="00282E86"/>
    <w:rsid w:val="00282EC4"/>
    <w:rsid w:val="00282F4C"/>
    <w:rsid w:val="0028302B"/>
    <w:rsid w:val="00283114"/>
    <w:rsid w:val="00283183"/>
    <w:rsid w:val="002832AF"/>
    <w:rsid w:val="00283643"/>
    <w:rsid w:val="00283702"/>
    <w:rsid w:val="00283800"/>
    <w:rsid w:val="00283902"/>
    <w:rsid w:val="00283930"/>
    <w:rsid w:val="00283AD0"/>
    <w:rsid w:val="00283B9B"/>
    <w:rsid w:val="00283C63"/>
    <w:rsid w:val="00283CEA"/>
    <w:rsid w:val="00283DC8"/>
    <w:rsid w:val="0028417F"/>
    <w:rsid w:val="002842E8"/>
    <w:rsid w:val="00284341"/>
    <w:rsid w:val="00284342"/>
    <w:rsid w:val="0028440F"/>
    <w:rsid w:val="002845BD"/>
    <w:rsid w:val="002847F4"/>
    <w:rsid w:val="00284A36"/>
    <w:rsid w:val="00284A4D"/>
    <w:rsid w:val="00284A8F"/>
    <w:rsid w:val="00284BFF"/>
    <w:rsid w:val="00284C19"/>
    <w:rsid w:val="00284C22"/>
    <w:rsid w:val="00284F92"/>
    <w:rsid w:val="0028506F"/>
    <w:rsid w:val="002850AD"/>
    <w:rsid w:val="00285132"/>
    <w:rsid w:val="00285136"/>
    <w:rsid w:val="00285158"/>
    <w:rsid w:val="002851BB"/>
    <w:rsid w:val="002851FC"/>
    <w:rsid w:val="002853A8"/>
    <w:rsid w:val="002853AB"/>
    <w:rsid w:val="002853E5"/>
    <w:rsid w:val="002856B0"/>
    <w:rsid w:val="002857A5"/>
    <w:rsid w:val="002857C2"/>
    <w:rsid w:val="002857D7"/>
    <w:rsid w:val="0028587D"/>
    <w:rsid w:val="002858DD"/>
    <w:rsid w:val="0028592A"/>
    <w:rsid w:val="00285942"/>
    <w:rsid w:val="002859F4"/>
    <w:rsid w:val="00285AAA"/>
    <w:rsid w:val="00285C06"/>
    <w:rsid w:val="00285F39"/>
    <w:rsid w:val="00285F3D"/>
    <w:rsid w:val="0028608E"/>
    <w:rsid w:val="002860F7"/>
    <w:rsid w:val="00286217"/>
    <w:rsid w:val="00286280"/>
    <w:rsid w:val="002862F9"/>
    <w:rsid w:val="002863B0"/>
    <w:rsid w:val="00286595"/>
    <w:rsid w:val="002867E8"/>
    <w:rsid w:val="00286820"/>
    <w:rsid w:val="00286907"/>
    <w:rsid w:val="00286985"/>
    <w:rsid w:val="00286B07"/>
    <w:rsid w:val="00286B66"/>
    <w:rsid w:val="00286E97"/>
    <w:rsid w:val="00286EA8"/>
    <w:rsid w:val="00286F22"/>
    <w:rsid w:val="00287008"/>
    <w:rsid w:val="0028714B"/>
    <w:rsid w:val="0028736F"/>
    <w:rsid w:val="0028751A"/>
    <w:rsid w:val="002875D2"/>
    <w:rsid w:val="002876B0"/>
    <w:rsid w:val="0028772B"/>
    <w:rsid w:val="0028777B"/>
    <w:rsid w:val="00287884"/>
    <w:rsid w:val="002878CA"/>
    <w:rsid w:val="002878F8"/>
    <w:rsid w:val="00287911"/>
    <w:rsid w:val="00287995"/>
    <w:rsid w:val="00287D1E"/>
    <w:rsid w:val="00287EE1"/>
    <w:rsid w:val="00290119"/>
    <w:rsid w:val="0029018D"/>
    <w:rsid w:val="002901CB"/>
    <w:rsid w:val="00290475"/>
    <w:rsid w:val="002904A0"/>
    <w:rsid w:val="002905B2"/>
    <w:rsid w:val="002908A6"/>
    <w:rsid w:val="002908D0"/>
    <w:rsid w:val="00290951"/>
    <w:rsid w:val="00290A32"/>
    <w:rsid w:val="00290A76"/>
    <w:rsid w:val="00290B1C"/>
    <w:rsid w:val="00290C37"/>
    <w:rsid w:val="00290DBD"/>
    <w:rsid w:val="00290DC3"/>
    <w:rsid w:val="00290DC8"/>
    <w:rsid w:val="00290F1B"/>
    <w:rsid w:val="00290FAD"/>
    <w:rsid w:val="00291241"/>
    <w:rsid w:val="00291316"/>
    <w:rsid w:val="0029135C"/>
    <w:rsid w:val="00291363"/>
    <w:rsid w:val="002914DE"/>
    <w:rsid w:val="002915A6"/>
    <w:rsid w:val="002915B9"/>
    <w:rsid w:val="002916B7"/>
    <w:rsid w:val="002916BA"/>
    <w:rsid w:val="002919A5"/>
    <w:rsid w:val="00291B33"/>
    <w:rsid w:val="00291BFE"/>
    <w:rsid w:val="00291CC3"/>
    <w:rsid w:val="00291D7A"/>
    <w:rsid w:val="00291DDD"/>
    <w:rsid w:val="00291DFA"/>
    <w:rsid w:val="00291E53"/>
    <w:rsid w:val="00291ED4"/>
    <w:rsid w:val="00291F3C"/>
    <w:rsid w:val="00291FF9"/>
    <w:rsid w:val="00292075"/>
    <w:rsid w:val="002921E6"/>
    <w:rsid w:val="00292214"/>
    <w:rsid w:val="00292362"/>
    <w:rsid w:val="002923FE"/>
    <w:rsid w:val="0029248D"/>
    <w:rsid w:val="00292505"/>
    <w:rsid w:val="00292524"/>
    <w:rsid w:val="002927A6"/>
    <w:rsid w:val="0029287D"/>
    <w:rsid w:val="0029298E"/>
    <w:rsid w:val="002929FD"/>
    <w:rsid w:val="00292A2E"/>
    <w:rsid w:val="00292AEC"/>
    <w:rsid w:val="00292E52"/>
    <w:rsid w:val="00292EB7"/>
    <w:rsid w:val="00292F8E"/>
    <w:rsid w:val="00292FF3"/>
    <w:rsid w:val="002930AD"/>
    <w:rsid w:val="0029312D"/>
    <w:rsid w:val="00293199"/>
    <w:rsid w:val="002931DE"/>
    <w:rsid w:val="002932A4"/>
    <w:rsid w:val="002932C2"/>
    <w:rsid w:val="002932F0"/>
    <w:rsid w:val="002933EA"/>
    <w:rsid w:val="002934B2"/>
    <w:rsid w:val="00293582"/>
    <w:rsid w:val="00293614"/>
    <w:rsid w:val="0029369B"/>
    <w:rsid w:val="00293725"/>
    <w:rsid w:val="0029393E"/>
    <w:rsid w:val="002939B2"/>
    <w:rsid w:val="00293BE5"/>
    <w:rsid w:val="00293DE3"/>
    <w:rsid w:val="00293E2F"/>
    <w:rsid w:val="00293ED2"/>
    <w:rsid w:val="00293F14"/>
    <w:rsid w:val="00294049"/>
    <w:rsid w:val="002940CE"/>
    <w:rsid w:val="002941DF"/>
    <w:rsid w:val="0029423F"/>
    <w:rsid w:val="0029431C"/>
    <w:rsid w:val="002943F9"/>
    <w:rsid w:val="00294538"/>
    <w:rsid w:val="0029458D"/>
    <w:rsid w:val="002945E0"/>
    <w:rsid w:val="0029471A"/>
    <w:rsid w:val="00294798"/>
    <w:rsid w:val="002948F5"/>
    <w:rsid w:val="00294A2C"/>
    <w:rsid w:val="00294C36"/>
    <w:rsid w:val="00294CEA"/>
    <w:rsid w:val="00294D30"/>
    <w:rsid w:val="00294D9C"/>
    <w:rsid w:val="00294DAE"/>
    <w:rsid w:val="00294DBE"/>
    <w:rsid w:val="00294E1D"/>
    <w:rsid w:val="00294E3E"/>
    <w:rsid w:val="00294E7F"/>
    <w:rsid w:val="00294EF7"/>
    <w:rsid w:val="00294F7D"/>
    <w:rsid w:val="00295076"/>
    <w:rsid w:val="00295205"/>
    <w:rsid w:val="00295231"/>
    <w:rsid w:val="002955C3"/>
    <w:rsid w:val="0029560D"/>
    <w:rsid w:val="00295715"/>
    <w:rsid w:val="00295761"/>
    <w:rsid w:val="00295782"/>
    <w:rsid w:val="002959A5"/>
    <w:rsid w:val="00295C47"/>
    <w:rsid w:val="00295DA9"/>
    <w:rsid w:val="00295FAC"/>
    <w:rsid w:val="002961CA"/>
    <w:rsid w:val="00296258"/>
    <w:rsid w:val="0029627F"/>
    <w:rsid w:val="002962A4"/>
    <w:rsid w:val="00296487"/>
    <w:rsid w:val="00296780"/>
    <w:rsid w:val="00296875"/>
    <w:rsid w:val="00296880"/>
    <w:rsid w:val="002968E6"/>
    <w:rsid w:val="00296900"/>
    <w:rsid w:val="00296911"/>
    <w:rsid w:val="00296944"/>
    <w:rsid w:val="00296BC2"/>
    <w:rsid w:val="00296E15"/>
    <w:rsid w:val="00297020"/>
    <w:rsid w:val="00297060"/>
    <w:rsid w:val="00297081"/>
    <w:rsid w:val="002970A9"/>
    <w:rsid w:val="0029712B"/>
    <w:rsid w:val="00297181"/>
    <w:rsid w:val="002971AF"/>
    <w:rsid w:val="00297245"/>
    <w:rsid w:val="00297383"/>
    <w:rsid w:val="00297447"/>
    <w:rsid w:val="002974D9"/>
    <w:rsid w:val="0029757A"/>
    <w:rsid w:val="00297797"/>
    <w:rsid w:val="002977CE"/>
    <w:rsid w:val="00297822"/>
    <w:rsid w:val="00297870"/>
    <w:rsid w:val="00297B23"/>
    <w:rsid w:val="00297B41"/>
    <w:rsid w:val="00297BCB"/>
    <w:rsid w:val="00297C5E"/>
    <w:rsid w:val="00297D9E"/>
    <w:rsid w:val="00297DB4"/>
    <w:rsid w:val="00297E24"/>
    <w:rsid w:val="002A003D"/>
    <w:rsid w:val="002A0099"/>
    <w:rsid w:val="002A02D6"/>
    <w:rsid w:val="002A04F9"/>
    <w:rsid w:val="002A057C"/>
    <w:rsid w:val="002A0B51"/>
    <w:rsid w:val="002A0C2F"/>
    <w:rsid w:val="002A0C7F"/>
    <w:rsid w:val="002A0DF7"/>
    <w:rsid w:val="002A0E54"/>
    <w:rsid w:val="002A0EF2"/>
    <w:rsid w:val="002A0F8F"/>
    <w:rsid w:val="002A0FF6"/>
    <w:rsid w:val="002A10E2"/>
    <w:rsid w:val="002A1181"/>
    <w:rsid w:val="002A11D9"/>
    <w:rsid w:val="002A13F0"/>
    <w:rsid w:val="002A142A"/>
    <w:rsid w:val="002A14CA"/>
    <w:rsid w:val="002A17A5"/>
    <w:rsid w:val="002A1871"/>
    <w:rsid w:val="002A194E"/>
    <w:rsid w:val="002A1958"/>
    <w:rsid w:val="002A1AE8"/>
    <w:rsid w:val="002A1CA6"/>
    <w:rsid w:val="002A1D10"/>
    <w:rsid w:val="002A1EEF"/>
    <w:rsid w:val="002A200C"/>
    <w:rsid w:val="002A2016"/>
    <w:rsid w:val="002A21E6"/>
    <w:rsid w:val="002A2247"/>
    <w:rsid w:val="002A227E"/>
    <w:rsid w:val="002A235A"/>
    <w:rsid w:val="002A259F"/>
    <w:rsid w:val="002A2610"/>
    <w:rsid w:val="002A272B"/>
    <w:rsid w:val="002A283D"/>
    <w:rsid w:val="002A2942"/>
    <w:rsid w:val="002A2A16"/>
    <w:rsid w:val="002A2A83"/>
    <w:rsid w:val="002A2B5C"/>
    <w:rsid w:val="002A2B78"/>
    <w:rsid w:val="002A2C02"/>
    <w:rsid w:val="002A2D3B"/>
    <w:rsid w:val="002A2E83"/>
    <w:rsid w:val="002A32B1"/>
    <w:rsid w:val="002A335C"/>
    <w:rsid w:val="002A33B7"/>
    <w:rsid w:val="002A34DF"/>
    <w:rsid w:val="002A35C6"/>
    <w:rsid w:val="002A3739"/>
    <w:rsid w:val="002A37DC"/>
    <w:rsid w:val="002A3AA8"/>
    <w:rsid w:val="002A3AB9"/>
    <w:rsid w:val="002A3C3F"/>
    <w:rsid w:val="002A3C49"/>
    <w:rsid w:val="002A3C5C"/>
    <w:rsid w:val="002A3DBE"/>
    <w:rsid w:val="002A3FEC"/>
    <w:rsid w:val="002A411E"/>
    <w:rsid w:val="002A4151"/>
    <w:rsid w:val="002A4158"/>
    <w:rsid w:val="002A42EB"/>
    <w:rsid w:val="002A4473"/>
    <w:rsid w:val="002A4490"/>
    <w:rsid w:val="002A45F3"/>
    <w:rsid w:val="002A466B"/>
    <w:rsid w:val="002A47CC"/>
    <w:rsid w:val="002A4877"/>
    <w:rsid w:val="002A4B51"/>
    <w:rsid w:val="002A4CD6"/>
    <w:rsid w:val="002A4D38"/>
    <w:rsid w:val="002A4D69"/>
    <w:rsid w:val="002A4D8B"/>
    <w:rsid w:val="002A4D8E"/>
    <w:rsid w:val="002A4E77"/>
    <w:rsid w:val="002A4F17"/>
    <w:rsid w:val="002A5092"/>
    <w:rsid w:val="002A50FA"/>
    <w:rsid w:val="002A5108"/>
    <w:rsid w:val="002A51C3"/>
    <w:rsid w:val="002A51D7"/>
    <w:rsid w:val="002A5240"/>
    <w:rsid w:val="002A52C2"/>
    <w:rsid w:val="002A531A"/>
    <w:rsid w:val="002A53F8"/>
    <w:rsid w:val="002A5496"/>
    <w:rsid w:val="002A552D"/>
    <w:rsid w:val="002A566F"/>
    <w:rsid w:val="002A56F7"/>
    <w:rsid w:val="002A575C"/>
    <w:rsid w:val="002A588C"/>
    <w:rsid w:val="002A594A"/>
    <w:rsid w:val="002A5AFA"/>
    <w:rsid w:val="002A5B99"/>
    <w:rsid w:val="002A5D6F"/>
    <w:rsid w:val="002A5FA7"/>
    <w:rsid w:val="002A5FF8"/>
    <w:rsid w:val="002A6122"/>
    <w:rsid w:val="002A6138"/>
    <w:rsid w:val="002A6300"/>
    <w:rsid w:val="002A633D"/>
    <w:rsid w:val="002A6368"/>
    <w:rsid w:val="002A650C"/>
    <w:rsid w:val="002A657E"/>
    <w:rsid w:val="002A6602"/>
    <w:rsid w:val="002A662D"/>
    <w:rsid w:val="002A668D"/>
    <w:rsid w:val="002A68F6"/>
    <w:rsid w:val="002A69B7"/>
    <w:rsid w:val="002A6BD7"/>
    <w:rsid w:val="002A6C43"/>
    <w:rsid w:val="002A6CF6"/>
    <w:rsid w:val="002A6E5F"/>
    <w:rsid w:val="002A6F50"/>
    <w:rsid w:val="002A6F9E"/>
    <w:rsid w:val="002A6FE0"/>
    <w:rsid w:val="002A7111"/>
    <w:rsid w:val="002A73B9"/>
    <w:rsid w:val="002A7414"/>
    <w:rsid w:val="002A7458"/>
    <w:rsid w:val="002A7460"/>
    <w:rsid w:val="002A75A0"/>
    <w:rsid w:val="002A75EB"/>
    <w:rsid w:val="002A75F6"/>
    <w:rsid w:val="002A7787"/>
    <w:rsid w:val="002A78F5"/>
    <w:rsid w:val="002A7911"/>
    <w:rsid w:val="002A7A62"/>
    <w:rsid w:val="002A7B08"/>
    <w:rsid w:val="002A7B30"/>
    <w:rsid w:val="002A7B68"/>
    <w:rsid w:val="002A7B8F"/>
    <w:rsid w:val="002A7BDE"/>
    <w:rsid w:val="002A7EB7"/>
    <w:rsid w:val="002A7ED6"/>
    <w:rsid w:val="002A7EE5"/>
    <w:rsid w:val="002A7F7C"/>
    <w:rsid w:val="002A7F7D"/>
    <w:rsid w:val="002B007C"/>
    <w:rsid w:val="002B00C8"/>
    <w:rsid w:val="002B01B5"/>
    <w:rsid w:val="002B01E5"/>
    <w:rsid w:val="002B02C9"/>
    <w:rsid w:val="002B03D3"/>
    <w:rsid w:val="002B03DD"/>
    <w:rsid w:val="002B048C"/>
    <w:rsid w:val="002B04A0"/>
    <w:rsid w:val="002B05F3"/>
    <w:rsid w:val="002B0718"/>
    <w:rsid w:val="002B0766"/>
    <w:rsid w:val="002B0841"/>
    <w:rsid w:val="002B0908"/>
    <w:rsid w:val="002B0ED5"/>
    <w:rsid w:val="002B0F2E"/>
    <w:rsid w:val="002B0FAC"/>
    <w:rsid w:val="002B0FF1"/>
    <w:rsid w:val="002B113F"/>
    <w:rsid w:val="002B1145"/>
    <w:rsid w:val="002B1180"/>
    <w:rsid w:val="002B11D7"/>
    <w:rsid w:val="002B12B0"/>
    <w:rsid w:val="002B12DD"/>
    <w:rsid w:val="002B137F"/>
    <w:rsid w:val="002B1408"/>
    <w:rsid w:val="002B1418"/>
    <w:rsid w:val="002B1469"/>
    <w:rsid w:val="002B1578"/>
    <w:rsid w:val="002B17D7"/>
    <w:rsid w:val="002B1896"/>
    <w:rsid w:val="002B1B77"/>
    <w:rsid w:val="002B1CA7"/>
    <w:rsid w:val="002B1CC5"/>
    <w:rsid w:val="002B1CD5"/>
    <w:rsid w:val="002B1ED1"/>
    <w:rsid w:val="002B203F"/>
    <w:rsid w:val="002B2048"/>
    <w:rsid w:val="002B20A8"/>
    <w:rsid w:val="002B20F8"/>
    <w:rsid w:val="002B216A"/>
    <w:rsid w:val="002B220B"/>
    <w:rsid w:val="002B224B"/>
    <w:rsid w:val="002B225A"/>
    <w:rsid w:val="002B22EA"/>
    <w:rsid w:val="002B2559"/>
    <w:rsid w:val="002B256B"/>
    <w:rsid w:val="002B26E5"/>
    <w:rsid w:val="002B277E"/>
    <w:rsid w:val="002B281F"/>
    <w:rsid w:val="002B2927"/>
    <w:rsid w:val="002B2A90"/>
    <w:rsid w:val="002B2BB2"/>
    <w:rsid w:val="002B2C89"/>
    <w:rsid w:val="002B2CE3"/>
    <w:rsid w:val="002B2E29"/>
    <w:rsid w:val="002B2E3B"/>
    <w:rsid w:val="002B2E8E"/>
    <w:rsid w:val="002B2EDB"/>
    <w:rsid w:val="002B3169"/>
    <w:rsid w:val="002B3284"/>
    <w:rsid w:val="002B3374"/>
    <w:rsid w:val="002B34C0"/>
    <w:rsid w:val="002B358B"/>
    <w:rsid w:val="002B3686"/>
    <w:rsid w:val="002B3762"/>
    <w:rsid w:val="002B3856"/>
    <w:rsid w:val="002B397A"/>
    <w:rsid w:val="002B39F0"/>
    <w:rsid w:val="002B3A18"/>
    <w:rsid w:val="002B3B75"/>
    <w:rsid w:val="002B3B9A"/>
    <w:rsid w:val="002B3C3B"/>
    <w:rsid w:val="002B3D61"/>
    <w:rsid w:val="002B3D6D"/>
    <w:rsid w:val="002B3D7F"/>
    <w:rsid w:val="002B3D86"/>
    <w:rsid w:val="002B3F83"/>
    <w:rsid w:val="002B4126"/>
    <w:rsid w:val="002B4159"/>
    <w:rsid w:val="002B4228"/>
    <w:rsid w:val="002B4323"/>
    <w:rsid w:val="002B432C"/>
    <w:rsid w:val="002B44B3"/>
    <w:rsid w:val="002B4542"/>
    <w:rsid w:val="002B464F"/>
    <w:rsid w:val="002B4865"/>
    <w:rsid w:val="002B4969"/>
    <w:rsid w:val="002B49D2"/>
    <w:rsid w:val="002B4AFC"/>
    <w:rsid w:val="002B4B57"/>
    <w:rsid w:val="002B4D2F"/>
    <w:rsid w:val="002B506B"/>
    <w:rsid w:val="002B50B2"/>
    <w:rsid w:val="002B5126"/>
    <w:rsid w:val="002B5147"/>
    <w:rsid w:val="002B524D"/>
    <w:rsid w:val="002B5321"/>
    <w:rsid w:val="002B53F9"/>
    <w:rsid w:val="002B5593"/>
    <w:rsid w:val="002B5594"/>
    <w:rsid w:val="002B55EF"/>
    <w:rsid w:val="002B5622"/>
    <w:rsid w:val="002B5798"/>
    <w:rsid w:val="002B58A2"/>
    <w:rsid w:val="002B58A6"/>
    <w:rsid w:val="002B5955"/>
    <w:rsid w:val="002B59C8"/>
    <w:rsid w:val="002B5B0A"/>
    <w:rsid w:val="002B5B4F"/>
    <w:rsid w:val="002B5B64"/>
    <w:rsid w:val="002B5E6C"/>
    <w:rsid w:val="002B6092"/>
    <w:rsid w:val="002B60A6"/>
    <w:rsid w:val="002B61CA"/>
    <w:rsid w:val="002B6226"/>
    <w:rsid w:val="002B623F"/>
    <w:rsid w:val="002B6382"/>
    <w:rsid w:val="002B6386"/>
    <w:rsid w:val="002B64C5"/>
    <w:rsid w:val="002B6556"/>
    <w:rsid w:val="002B65A6"/>
    <w:rsid w:val="002B66F0"/>
    <w:rsid w:val="002B6735"/>
    <w:rsid w:val="002B68D8"/>
    <w:rsid w:val="002B6A59"/>
    <w:rsid w:val="002B6AFB"/>
    <w:rsid w:val="002B6B89"/>
    <w:rsid w:val="002B6BEC"/>
    <w:rsid w:val="002B6C27"/>
    <w:rsid w:val="002B6C8C"/>
    <w:rsid w:val="002B6D04"/>
    <w:rsid w:val="002B6DD9"/>
    <w:rsid w:val="002B6F0D"/>
    <w:rsid w:val="002B6FA0"/>
    <w:rsid w:val="002B70D1"/>
    <w:rsid w:val="002B7189"/>
    <w:rsid w:val="002B7191"/>
    <w:rsid w:val="002B73C4"/>
    <w:rsid w:val="002B73D6"/>
    <w:rsid w:val="002B74D8"/>
    <w:rsid w:val="002B7579"/>
    <w:rsid w:val="002B768D"/>
    <w:rsid w:val="002B773B"/>
    <w:rsid w:val="002B774E"/>
    <w:rsid w:val="002B77F9"/>
    <w:rsid w:val="002B7BE4"/>
    <w:rsid w:val="002B7BEE"/>
    <w:rsid w:val="002B7C88"/>
    <w:rsid w:val="002B7CED"/>
    <w:rsid w:val="002B7D41"/>
    <w:rsid w:val="002B7DB2"/>
    <w:rsid w:val="002B7F43"/>
    <w:rsid w:val="002C004B"/>
    <w:rsid w:val="002C0123"/>
    <w:rsid w:val="002C0140"/>
    <w:rsid w:val="002C036F"/>
    <w:rsid w:val="002C06D6"/>
    <w:rsid w:val="002C075C"/>
    <w:rsid w:val="002C0808"/>
    <w:rsid w:val="002C098C"/>
    <w:rsid w:val="002C09B7"/>
    <w:rsid w:val="002C0BF8"/>
    <w:rsid w:val="002C0BFC"/>
    <w:rsid w:val="002C0CB4"/>
    <w:rsid w:val="002C0DBD"/>
    <w:rsid w:val="002C0E90"/>
    <w:rsid w:val="002C0F68"/>
    <w:rsid w:val="002C1055"/>
    <w:rsid w:val="002C109A"/>
    <w:rsid w:val="002C1158"/>
    <w:rsid w:val="002C11B2"/>
    <w:rsid w:val="002C1361"/>
    <w:rsid w:val="002C1411"/>
    <w:rsid w:val="002C141D"/>
    <w:rsid w:val="002C1593"/>
    <w:rsid w:val="002C175B"/>
    <w:rsid w:val="002C19BB"/>
    <w:rsid w:val="002C19BF"/>
    <w:rsid w:val="002C1A50"/>
    <w:rsid w:val="002C1AC8"/>
    <w:rsid w:val="002C1D45"/>
    <w:rsid w:val="002C1FE5"/>
    <w:rsid w:val="002C203A"/>
    <w:rsid w:val="002C2140"/>
    <w:rsid w:val="002C21A1"/>
    <w:rsid w:val="002C229F"/>
    <w:rsid w:val="002C247F"/>
    <w:rsid w:val="002C24FF"/>
    <w:rsid w:val="002C2571"/>
    <w:rsid w:val="002C2607"/>
    <w:rsid w:val="002C2706"/>
    <w:rsid w:val="002C2957"/>
    <w:rsid w:val="002C2992"/>
    <w:rsid w:val="002C2A62"/>
    <w:rsid w:val="002C2B8F"/>
    <w:rsid w:val="002C2CD4"/>
    <w:rsid w:val="002C2E33"/>
    <w:rsid w:val="002C2FD2"/>
    <w:rsid w:val="002C30F8"/>
    <w:rsid w:val="002C3316"/>
    <w:rsid w:val="002C3410"/>
    <w:rsid w:val="002C36A7"/>
    <w:rsid w:val="002C3935"/>
    <w:rsid w:val="002C39DA"/>
    <w:rsid w:val="002C3A98"/>
    <w:rsid w:val="002C3B7F"/>
    <w:rsid w:val="002C3CC5"/>
    <w:rsid w:val="002C3DCF"/>
    <w:rsid w:val="002C3E3E"/>
    <w:rsid w:val="002C3EF0"/>
    <w:rsid w:val="002C3F23"/>
    <w:rsid w:val="002C3F71"/>
    <w:rsid w:val="002C3F8F"/>
    <w:rsid w:val="002C4004"/>
    <w:rsid w:val="002C4117"/>
    <w:rsid w:val="002C4229"/>
    <w:rsid w:val="002C4242"/>
    <w:rsid w:val="002C42C0"/>
    <w:rsid w:val="002C42EF"/>
    <w:rsid w:val="002C42FD"/>
    <w:rsid w:val="002C4397"/>
    <w:rsid w:val="002C44C5"/>
    <w:rsid w:val="002C44E8"/>
    <w:rsid w:val="002C44EA"/>
    <w:rsid w:val="002C44F2"/>
    <w:rsid w:val="002C45D7"/>
    <w:rsid w:val="002C4687"/>
    <w:rsid w:val="002C46AF"/>
    <w:rsid w:val="002C46BF"/>
    <w:rsid w:val="002C46E0"/>
    <w:rsid w:val="002C4703"/>
    <w:rsid w:val="002C4768"/>
    <w:rsid w:val="002C48EC"/>
    <w:rsid w:val="002C4AA5"/>
    <w:rsid w:val="002C4AB9"/>
    <w:rsid w:val="002C4BE7"/>
    <w:rsid w:val="002C4D76"/>
    <w:rsid w:val="002C4DA4"/>
    <w:rsid w:val="002C4DCB"/>
    <w:rsid w:val="002C4E3D"/>
    <w:rsid w:val="002C4E50"/>
    <w:rsid w:val="002C5588"/>
    <w:rsid w:val="002C56EB"/>
    <w:rsid w:val="002C5830"/>
    <w:rsid w:val="002C5833"/>
    <w:rsid w:val="002C5A3A"/>
    <w:rsid w:val="002C5BAF"/>
    <w:rsid w:val="002C5EC3"/>
    <w:rsid w:val="002C5EE7"/>
    <w:rsid w:val="002C5F5D"/>
    <w:rsid w:val="002C5FB0"/>
    <w:rsid w:val="002C6010"/>
    <w:rsid w:val="002C6023"/>
    <w:rsid w:val="002C6162"/>
    <w:rsid w:val="002C61F5"/>
    <w:rsid w:val="002C6305"/>
    <w:rsid w:val="002C635E"/>
    <w:rsid w:val="002C63D1"/>
    <w:rsid w:val="002C6547"/>
    <w:rsid w:val="002C656C"/>
    <w:rsid w:val="002C662C"/>
    <w:rsid w:val="002C6706"/>
    <w:rsid w:val="002C67D7"/>
    <w:rsid w:val="002C6A8A"/>
    <w:rsid w:val="002C6AF4"/>
    <w:rsid w:val="002C6C35"/>
    <w:rsid w:val="002C6C99"/>
    <w:rsid w:val="002C6C9E"/>
    <w:rsid w:val="002C6CE8"/>
    <w:rsid w:val="002C6E23"/>
    <w:rsid w:val="002C6EB9"/>
    <w:rsid w:val="002C6F25"/>
    <w:rsid w:val="002C700D"/>
    <w:rsid w:val="002C700F"/>
    <w:rsid w:val="002C70DE"/>
    <w:rsid w:val="002C7130"/>
    <w:rsid w:val="002C71BD"/>
    <w:rsid w:val="002C72FD"/>
    <w:rsid w:val="002C7336"/>
    <w:rsid w:val="002C7444"/>
    <w:rsid w:val="002C7678"/>
    <w:rsid w:val="002C76A7"/>
    <w:rsid w:val="002C78AB"/>
    <w:rsid w:val="002C7956"/>
    <w:rsid w:val="002C79B0"/>
    <w:rsid w:val="002C7A63"/>
    <w:rsid w:val="002C7BA6"/>
    <w:rsid w:val="002C7CBB"/>
    <w:rsid w:val="002C7D7E"/>
    <w:rsid w:val="002C7DFE"/>
    <w:rsid w:val="002C7E47"/>
    <w:rsid w:val="002D002C"/>
    <w:rsid w:val="002D00D4"/>
    <w:rsid w:val="002D017B"/>
    <w:rsid w:val="002D0205"/>
    <w:rsid w:val="002D0216"/>
    <w:rsid w:val="002D02C7"/>
    <w:rsid w:val="002D03B2"/>
    <w:rsid w:val="002D052D"/>
    <w:rsid w:val="002D0590"/>
    <w:rsid w:val="002D05A2"/>
    <w:rsid w:val="002D0655"/>
    <w:rsid w:val="002D0701"/>
    <w:rsid w:val="002D07D5"/>
    <w:rsid w:val="002D0817"/>
    <w:rsid w:val="002D08A2"/>
    <w:rsid w:val="002D0953"/>
    <w:rsid w:val="002D0981"/>
    <w:rsid w:val="002D0A35"/>
    <w:rsid w:val="002D0D27"/>
    <w:rsid w:val="002D0DB0"/>
    <w:rsid w:val="002D0DB3"/>
    <w:rsid w:val="002D0E90"/>
    <w:rsid w:val="002D0F94"/>
    <w:rsid w:val="002D0FE1"/>
    <w:rsid w:val="002D10F6"/>
    <w:rsid w:val="002D113C"/>
    <w:rsid w:val="002D138E"/>
    <w:rsid w:val="002D1471"/>
    <w:rsid w:val="002D152F"/>
    <w:rsid w:val="002D154A"/>
    <w:rsid w:val="002D17D3"/>
    <w:rsid w:val="002D1862"/>
    <w:rsid w:val="002D1CEF"/>
    <w:rsid w:val="002D1D72"/>
    <w:rsid w:val="002D1DDF"/>
    <w:rsid w:val="002D1FDA"/>
    <w:rsid w:val="002D2168"/>
    <w:rsid w:val="002D22D5"/>
    <w:rsid w:val="002D235A"/>
    <w:rsid w:val="002D2619"/>
    <w:rsid w:val="002D267F"/>
    <w:rsid w:val="002D2752"/>
    <w:rsid w:val="002D2779"/>
    <w:rsid w:val="002D27C0"/>
    <w:rsid w:val="002D28E3"/>
    <w:rsid w:val="002D2A01"/>
    <w:rsid w:val="002D2A03"/>
    <w:rsid w:val="002D2A24"/>
    <w:rsid w:val="002D2C11"/>
    <w:rsid w:val="002D2CA4"/>
    <w:rsid w:val="002D2D33"/>
    <w:rsid w:val="002D2DE6"/>
    <w:rsid w:val="002D2E34"/>
    <w:rsid w:val="002D2E39"/>
    <w:rsid w:val="002D3010"/>
    <w:rsid w:val="002D3080"/>
    <w:rsid w:val="002D30F5"/>
    <w:rsid w:val="002D3119"/>
    <w:rsid w:val="002D3136"/>
    <w:rsid w:val="002D325A"/>
    <w:rsid w:val="002D3574"/>
    <w:rsid w:val="002D35B7"/>
    <w:rsid w:val="002D3607"/>
    <w:rsid w:val="002D3733"/>
    <w:rsid w:val="002D3758"/>
    <w:rsid w:val="002D37AE"/>
    <w:rsid w:val="002D38D6"/>
    <w:rsid w:val="002D38E5"/>
    <w:rsid w:val="002D3B11"/>
    <w:rsid w:val="002D3B67"/>
    <w:rsid w:val="002D3BB5"/>
    <w:rsid w:val="002D3BE2"/>
    <w:rsid w:val="002D3D82"/>
    <w:rsid w:val="002D3DE7"/>
    <w:rsid w:val="002D3E75"/>
    <w:rsid w:val="002D3E97"/>
    <w:rsid w:val="002D40D5"/>
    <w:rsid w:val="002D4152"/>
    <w:rsid w:val="002D421C"/>
    <w:rsid w:val="002D4368"/>
    <w:rsid w:val="002D438C"/>
    <w:rsid w:val="002D4406"/>
    <w:rsid w:val="002D44B1"/>
    <w:rsid w:val="002D454C"/>
    <w:rsid w:val="002D45E3"/>
    <w:rsid w:val="002D4765"/>
    <w:rsid w:val="002D481C"/>
    <w:rsid w:val="002D48A5"/>
    <w:rsid w:val="002D4A04"/>
    <w:rsid w:val="002D4ABC"/>
    <w:rsid w:val="002D4BFB"/>
    <w:rsid w:val="002D4C65"/>
    <w:rsid w:val="002D4ED8"/>
    <w:rsid w:val="002D50A9"/>
    <w:rsid w:val="002D51E9"/>
    <w:rsid w:val="002D52A2"/>
    <w:rsid w:val="002D5357"/>
    <w:rsid w:val="002D54C0"/>
    <w:rsid w:val="002D5572"/>
    <w:rsid w:val="002D5591"/>
    <w:rsid w:val="002D58EB"/>
    <w:rsid w:val="002D59C0"/>
    <w:rsid w:val="002D59DB"/>
    <w:rsid w:val="002D5AE8"/>
    <w:rsid w:val="002D5B14"/>
    <w:rsid w:val="002D5BF6"/>
    <w:rsid w:val="002D5C09"/>
    <w:rsid w:val="002D6076"/>
    <w:rsid w:val="002D6105"/>
    <w:rsid w:val="002D61AE"/>
    <w:rsid w:val="002D6231"/>
    <w:rsid w:val="002D63C7"/>
    <w:rsid w:val="002D6403"/>
    <w:rsid w:val="002D64A5"/>
    <w:rsid w:val="002D66EB"/>
    <w:rsid w:val="002D6764"/>
    <w:rsid w:val="002D678A"/>
    <w:rsid w:val="002D685D"/>
    <w:rsid w:val="002D69B3"/>
    <w:rsid w:val="002D6A73"/>
    <w:rsid w:val="002D6B3A"/>
    <w:rsid w:val="002D6BB8"/>
    <w:rsid w:val="002D6C30"/>
    <w:rsid w:val="002D6CFB"/>
    <w:rsid w:val="002D6D22"/>
    <w:rsid w:val="002D6D7D"/>
    <w:rsid w:val="002D6E7D"/>
    <w:rsid w:val="002D6EAF"/>
    <w:rsid w:val="002D6EBF"/>
    <w:rsid w:val="002D6F3F"/>
    <w:rsid w:val="002D715C"/>
    <w:rsid w:val="002D7178"/>
    <w:rsid w:val="002D7202"/>
    <w:rsid w:val="002D72B2"/>
    <w:rsid w:val="002D731F"/>
    <w:rsid w:val="002D754F"/>
    <w:rsid w:val="002D7697"/>
    <w:rsid w:val="002D76AF"/>
    <w:rsid w:val="002D7708"/>
    <w:rsid w:val="002D7730"/>
    <w:rsid w:val="002D7A4B"/>
    <w:rsid w:val="002D7AED"/>
    <w:rsid w:val="002D7B0B"/>
    <w:rsid w:val="002D7DC3"/>
    <w:rsid w:val="002D7E04"/>
    <w:rsid w:val="002D7E59"/>
    <w:rsid w:val="002D7E9B"/>
    <w:rsid w:val="002D7EC0"/>
    <w:rsid w:val="002D7EF7"/>
    <w:rsid w:val="002E02CF"/>
    <w:rsid w:val="002E0501"/>
    <w:rsid w:val="002E0502"/>
    <w:rsid w:val="002E0792"/>
    <w:rsid w:val="002E0800"/>
    <w:rsid w:val="002E0A54"/>
    <w:rsid w:val="002E0DDF"/>
    <w:rsid w:val="002E104A"/>
    <w:rsid w:val="002E1244"/>
    <w:rsid w:val="002E149F"/>
    <w:rsid w:val="002E14F3"/>
    <w:rsid w:val="002E18A0"/>
    <w:rsid w:val="002E1992"/>
    <w:rsid w:val="002E1A24"/>
    <w:rsid w:val="002E1B0B"/>
    <w:rsid w:val="002E1B37"/>
    <w:rsid w:val="002E1B97"/>
    <w:rsid w:val="002E1CE2"/>
    <w:rsid w:val="002E1E84"/>
    <w:rsid w:val="002E1EFC"/>
    <w:rsid w:val="002E1F17"/>
    <w:rsid w:val="002E205C"/>
    <w:rsid w:val="002E20A0"/>
    <w:rsid w:val="002E2183"/>
    <w:rsid w:val="002E21E7"/>
    <w:rsid w:val="002E259A"/>
    <w:rsid w:val="002E27AD"/>
    <w:rsid w:val="002E2A9D"/>
    <w:rsid w:val="002E2AC3"/>
    <w:rsid w:val="002E2ACE"/>
    <w:rsid w:val="002E2AD6"/>
    <w:rsid w:val="002E2B7B"/>
    <w:rsid w:val="002E2BA4"/>
    <w:rsid w:val="002E2C66"/>
    <w:rsid w:val="002E2D58"/>
    <w:rsid w:val="002E2FCE"/>
    <w:rsid w:val="002E313E"/>
    <w:rsid w:val="002E314C"/>
    <w:rsid w:val="002E31F8"/>
    <w:rsid w:val="002E337E"/>
    <w:rsid w:val="002E3411"/>
    <w:rsid w:val="002E347A"/>
    <w:rsid w:val="002E34D5"/>
    <w:rsid w:val="002E35B8"/>
    <w:rsid w:val="002E37E4"/>
    <w:rsid w:val="002E3846"/>
    <w:rsid w:val="002E3889"/>
    <w:rsid w:val="002E38AD"/>
    <w:rsid w:val="002E3AA2"/>
    <w:rsid w:val="002E3ACE"/>
    <w:rsid w:val="002E3C0B"/>
    <w:rsid w:val="002E3E9D"/>
    <w:rsid w:val="002E3EEB"/>
    <w:rsid w:val="002E3F36"/>
    <w:rsid w:val="002E3F55"/>
    <w:rsid w:val="002E3FE5"/>
    <w:rsid w:val="002E414C"/>
    <w:rsid w:val="002E4159"/>
    <w:rsid w:val="002E4195"/>
    <w:rsid w:val="002E41BD"/>
    <w:rsid w:val="002E4226"/>
    <w:rsid w:val="002E427D"/>
    <w:rsid w:val="002E42E4"/>
    <w:rsid w:val="002E4409"/>
    <w:rsid w:val="002E44D7"/>
    <w:rsid w:val="002E46C4"/>
    <w:rsid w:val="002E46CE"/>
    <w:rsid w:val="002E470D"/>
    <w:rsid w:val="002E4856"/>
    <w:rsid w:val="002E4A66"/>
    <w:rsid w:val="002E4AA2"/>
    <w:rsid w:val="002E4B45"/>
    <w:rsid w:val="002E4B57"/>
    <w:rsid w:val="002E4B96"/>
    <w:rsid w:val="002E4BD5"/>
    <w:rsid w:val="002E4C23"/>
    <w:rsid w:val="002E4CC3"/>
    <w:rsid w:val="002E4E59"/>
    <w:rsid w:val="002E4E6C"/>
    <w:rsid w:val="002E4F31"/>
    <w:rsid w:val="002E4FDB"/>
    <w:rsid w:val="002E5022"/>
    <w:rsid w:val="002E51B8"/>
    <w:rsid w:val="002E5392"/>
    <w:rsid w:val="002E5450"/>
    <w:rsid w:val="002E5618"/>
    <w:rsid w:val="002E5667"/>
    <w:rsid w:val="002E580E"/>
    <w:rsid w:val="002E581E"/>
    <w:rsid w:val="002E5850"/>
    <w:rsid w:val="002E5952"/>
    <w:rsid w:val="002E59C9"/>
    <w:rsid w:val="002E59D1"/>
    <w:rsid w:val="002E5A58"/>
    <w:rsid w:val="002E5AE4"/>
    <w:rsid w:val="002E5D78"/>
    <w:rsid w:val="002E5E64"/>
    <w:rsid w:val="002E6019"/>
    <w:rsid w:val="002E611D"/>
    <w:rsid w:val="002E6137"/>
    <w:rsid w:val="002E6169"/>
    <w:rsid w:val="002E6226"/>
    <w:rsid w:val="002E626C"/>
    <w:rsid w:val="002E631B"/>
    <w:rsid w:val="002E6426"/>
    <w:rsid w:val="002E6441"/>
    <w:rsid w:val="002E646D"/>
    <w:rsid w:val="002E6637"/>
    <w:rsid w:val="002E672B"/>
    <w:rsid w:val="002E68D1"/>
    <w:rsid w:val="002E6A09"/>
    <w:rsid w:val="002E6A31"/>
    <w:rsid w:val="002E6A93"/>
    <w:rsid w:val="002E6AA5"/>
    <w:rsid w:val="002E6B29"/>
    <w:rsid w:val="002E6BD4"/>
    <w:rsid w:val="002E6CDC"/>
    <w:rsid w:val="002E6F36"/>
    <w:rsid w:val="002E73AE"/>
    <w:rsid w:val="002E73BF"/>
    <w:rsid w:val="002E73E2"/>
    <w:rsid w:val="002E73EB"/>
    <w:rsid w:val="002E7488"/>
    <w:rsid w:val="002E75A5"/>
    <w:rsid w:val="002E7635"/>
    <w:rsid w:val="002E76A3"/>
    <w:rsid w:val="002E7799"/>
    <w:rsid w:val="002E77CF"/>
    <w:rsid w:val="002E78A5"/>
    <w:rsid w:val="002E78E6"/>
    <w:rsid w:val="002E7B61"/>
    <w:rsid w:val="002E7B8F"/>
    <w:rsid w:val="002E7B95"/>
    <w:rsid w:val="002E7C2F"/>
    <w:rsid w:val="002E7D20"/>
    <w:rsid w:val="002E7D5E"/>
    <w:rsid w:val="002E7DA7"/>
    <w:rsid w:val="002E7DC1"/>
    <w:rsid w:val="002E7ED5"/>
    <w:rsid w:val="002E7F8C"/>
    <w:rsid w:val="002E7FBD"/>
    <w:rsid w:val="002F0032"/>
    <w:rsid w:val="002F0073"/>
    <w:rsid w:val="002F0148"/>
    <w:rsid w:val="002F022D"/>
    <w:rsid w:val="002F03AD"/>
    <w:rsid w:val="002F03D0"/>
    <w:rsid w:val="002F0449"/>
    <w:rsid w:val="002F0484"/>
    <w:rsid w:val="002F06FD"/>
    <w:rsid w:val="002F0790"/>
    <w:rsid w:val="002F07EF"/>
    <w:rsid w:val="002F080E"/>
    <w:rsid w:val="002F0954"/>
    <w:rsid w:val="002F098B"/>
    <w:rsid w:val="002F0BC2"/>
    <w:rsid w:val="002F0BEF"/>
    <w:rsid w:val="002F0D4D"/>
    <w:rsid w:val="002F0DD7"/>
    <w:rsid w:val="002F0E6C"/>
    <w:rsid w:val="002F0EAA"/>
    <w:rsid w:val="002F1097"/>
    <w:rsid w:val="002F111C"/>
    <w:rsid w:val="002F1216"/>
    <w:rsid w:val="002F152A"/>
    <w:rsid w:val="002F156D"/>
    <w:rsid w:val="002F18A5"/>
    <w:rsid w:val="002F199D"/>
    <w:rsid w:val="002F19A5"/>
    <w:rsid w:val="002F19FC"/>
    <w:rsid w:val="002F1CA1"/>
    <w:rsid w:val="002F1D7F"/>
    <w:rsid w:val="002F1DF2"/>
    <w:rsid w:val="002F1E6B"/>
    <w:rsid w:val="002F212E"/>
    <w:rsid w:val="002F2143"/>
    <w:rsid w:val="002F227E"/>
    <w:rsid w:val="002F2298"/>
    <w:rsid w:val="002F239F"/>
    <w:rsid w:val="002F263F"/>
    <w:rsid w:val="002F278D"/>
    <w:rsid w:val="002F2884"/>
    <w:rsid w:val="002F2888"/>
    <w:rsid w:val="002F28A0"/>
    <w:rsid w:val="002F2A23"/>
    <w:rsid w:val="002F2C6F"/>
    <w:rsid w:val="002F2C9C"/>
    <w:rsid w:val="002F2D40"/>
    <w:rsid w:val="002F2F6F"/>
    <w:rsid w:val="002F2FAD"/>
    <w:rsid w:val="002F2FCF"/>
    <w:rsid w:val="002F3076"/>
    <w:rsid w:val="002F3198"/>
    <w:rsid w:val="002F330F"/>
    <w:rsid w:val="002F3435"/>
    <w:rsid w:val="002F35D1"/>
    <w:rsid w:val="002F366E"/>
    <w:rsid w:val="002F382D"/>
    <w:rsid w:val="002F3833"/>
    <w:rsid w:val="002F3842"/>
    <w:rsid w:val="002F39D3"/>
    <w:rsid w:val="002F39D5"/>
    <w:rsid w:val="002F3ADB"/>
    <w:rsid w:val="002F3B62"/>
    <w:rsid w:val="002F3BCD"/>
    <w:rsid w:val="002F3CAD"/>
    <w:rsid w:val="002F3CD8"/>
    <w:rsid w:val="002F3E89"/>
    <w:rsid w:val="002F3F16"/>
    <w:rsid w:val="002F3F2F"/>
    <w:rsid w:val="002F3F78"/>
    <w:rsid w:val="002F40FE"/>
    <w:rsid w:val="002F444F"/>
    <w:rsid w:val="002F449F"/>
    <w:rsid w:val="002F4592"/>
    <w:rsid w:val="002F48D0"/>
    <w:rsid w:val="002F4984"/>
    <w:rsid w:val="002F4989"/>
    <w:rsid w:val="002F4A98"/>
    <w:rsid w:val="002F4B8E"/>
    <w:rsid w:val="002F4D1A"/>
    <w:rsid w:val="002F4D7B"/>
    <w:rsid w:val="002F4E89"/>
    <w:rsid w:val="002F4EBE"/>
    <w:rsid w:val="002F5006"/>
    <w:rsid w:val="002F5020"/>
    <w:rsid w:val="002F515E"/>
    <w:rsid w:val="002F5225"/>
    <w:rsid w:val="002F53DA"/>
    <w:rsid w:val="002F5497"/>
    <w:rsid w:val="002F55B8"/>
    <w:rsid w:val="002F572B"/>
    <w:rsid w:val="002F5921"/>
    <w:rsid w:val="002F5A63"/>
    <w:rsid w:val="002F5B9E"/>
    <w:rsid w:val="002F5BA4"/>
    <w:rsid w:val="002F60AC"/>
    <w:rsid w:val="002F61EB"/>
    <w:rsid w:val="002F6217"/>
    <w:rsid w:val="002F6333"/>
    <w:rsid w:val="002F63EA"/>
    <w:rsid w:val="002F6413"/>
    <w:rsid w:val="002F644C"/>
    <w:rsid w:val="002F650A"/>
    <w:rsid w:val="002F662C"/>
    <w:rsid w:val="002F6663"/>
    <w:rsid w:val="002F6683"/>
    <w:rsid w:val="002F69EF"/>
    <w:rsid w:val="002F69F6"/>
    <w:rsid w:val="002F6AAF"/>
    <w:rsid w:val="002F6C6C"/>
    <w:rsid w:val="002F6CA4"/>
    <w:rsid w:val="002F6E4C"/>
    <w:rsid w:val="002F6E91"/>
    <w:rsid w:val="002F6F80"/>
    <w:rsid w:val="002F6FE9"/>
    <w:rsid w:val="002F7026"/>
    <w:rsid w:val="002F702D"/>
    <w:rsid w:val="002F7035"/>
    <w:rsid w:val="002F7107"/>
    <w:rsid w:val="002F712A"/>
    <w:rsid w:val="002F71EB"/>
    <w:rsid w:val="002F72C6"/>
    <w:rsid w:val="002F72FA"/>
    <w:rsid w:val="002F7346"/>
    <w:rsid w:val="002F73F3"/>
    <w:rsid w:val="002F741A"/>
    <w:rsid w:val="002F747C"/>
    <w:rsid w:val="002F758A"/>
    <w:rsid w:val="002F75F1"/>
    <w:rsid w:val="002F7780"/>
    <w:rsid w:val="002F77DA"/>
    <w:rsid w:val="002F78A8"/>
    <w:rsid w:val="002F78E4"/>
    <w:rsid w:val="002F7B25"/>
    <w:rsid w:val="002F7BF3"/>
    <w:rsid w:val="002F7CEF"/>
    <w:rsid w:val="002F7E94"/>
    <w:rsid w:val="002F7F9D"/>
    <w:rsid w:val="002F7FC7"/>
    <w:rsid w:val="00300059"/>
    <w:rsid w:val="00300317"/>
    <w:rsid w:val="003003EC"/>
    <w:rsid w:val="0030041C"/>
    <w:rsid w:val="00300664"/>
    <w:rsid w:val="003006CE"/>
    <w:rsid w:val="00300867"/>
    <w:rsid w:val="003008C5"/>
    <w:rsid w:val="003009BA"/>
    <w:rsid w:val="003009F3"/>
    <w:rsid w:val="00300A98"/>
    <w:rsid w:val="00300AE1"/>
    <w:rsid w:val="00300BC1"/>
    <w:rsid w:val="00300C89"/>
    <w:rsid w:val="00300D46"/>
    <w:rsid w:val="00300E7C"/>
    <w:rsid w:val="00300FBD"/>
    <w:rsid w:val="00301299"/>
    <w:rsid w:val="003013C6"/>
    <w:rsid w:val="003014AF"/>
    <w:rsid w:val="003014C1"/>
    <w:rsid w:val="003015EF"/>
    <w:rsid w:val="00301623"/>
    <w:rsid w:val="00301639"/>
    <w:rsid w:val="00301835"/>
    <w:rsid w:val="00301843"/>
    <w:rsid w:val="0030195B"/>
    <w:rsid w:val="003019D8"/>
    <w:rsid w:val="00301A53"/>
    <w:rsid w:val="00301B5E"/>
    <w:rsid w:val="00301B6D"/>
    <w:rsid w:val="00301CC4"/>
    <w:rsid w:val="00301E83"/>
    <w:rsid w:val="00302060"/>
    <w:rsid w:val="00302377"/>
    <w:rsid w:val="0030240C"/>
    <w:rsid w:val="003024D8"/>
    <w:rsid w:val="003025C9"/>
    <w:rsid w:val="00302692"/>
    <w:rsid w:val="00302797"/>
    <w:rsid w:val="00302B97"/>
    <w:rsid w:val="00302BA6"/>
    <w:rsid w:val="00302DCE"/>
    <w:rsid w:val="00302E84"/>
    <w:rsid w:val="00302EBB"/>
    <w:rsid w:val="00302FF9"/>
    <w:rsid w:val="003030B0"/>
    <w:rsid w:val="003030FE"/>
    <w:rsid w:val="00303169"/>
    <w:rsid w:val="00303183"/>
    <w:rsid w:val="003031D5"/>
    <w:rsid w:val="003032E3"/>
    <w:rsid w:val="0030336E"/>
    <w:rsid w:val="00303534"/>
    <w:rsid w:val="003035D9"/>
    <w:rsid w:val="00303828"/>
    <w:rsid w:val="00303A0D"/>
    <w:rsid w:val="00303BFA"/>
    <w:rsid w:val="00303CEA"/>
    <w:rsid w:val="00303D20"/>
    <w:rsid w:val="00303EA2"/>
    <w:rsid w:val="00303F40"/>
    <w:rsid w:val="00303F45"/>
    <w:rsid w:val="00304140"/>
    <w:rsid w:val="003041D6"/>
    <w:rsid w:val="00304375"/>
    <w:rsid w:val="003043D7"/>
    <w:rsid w:val="00304420"/>
    <w:rsid w:val="0030454F"/>
    <w:rsid w:val="003046B4"/>
    <w:rsid w:val="00304999"/>
    <w:rsid w:val="00304A5D"/>
    <w:rsid w:val="00304AA9"/>
    <w:rsid w:val="00304ABF"/>
    <w:rsid w:val="00304B10"/>
    <w:rsid w:val="00304CA2"/>
    <w:rsid w:val="00304CA9"/>
    <w:rsid w:val="00304EA2"/>
    <w:rsid w:val="00304EA8"/>
    <w:rsid w:val="00305012"/>
    <w:rsid w:val="00305128"/>
    <w:rsid w:val="003051B2"/>
    <w:rsid w:val="003051C1"/>
    <w:rsid w:val="0030536E"/>
    <w:rsid w:val="0030539E"/>
    <w:rsid w:val="0030564E"/>
    <w:rsid w:val="003056D3"/>
    <w:rsid w:val="00305BBB"/>
    <w:rsid w:val="00305C5B"/>
    <w:rsid w:val="00305CC3"/>
    <w:rsid w:val="00305DAD"/>
    <w:rsid w:val="00305DD2"/>
    <w:rsid w:val="00305E03"/>
    <w:rsid w:val="00305E8F"/>
    <w:rsid w:val="00305F65"/>
    <w:rsid w:val="0030608F"/>
    <w:rsid w:val="00306175"/>
    <w:rsid w:val="00306204"/>
    <w:rsid w:val="0030624D"/>
    <w:rsid w:val="003062CB"/>
    <w:rsid w:val="003062E8"/>
    <w:rsid w:val="00306372"/>
    <w:rsid w:val="00306577"/>
    <w:rsid w:val="00306807"/>
    <w:rsid w:val="00306876"/>
    <w:rsid w:val="00306A3C"/>
    <w:rsid w:val="00306A42"/>
    <w:rsid w:val="00306B55"/>
    <w:rsid w:val="00306BF7"/>
    <w:rsid w:val="00306CEF"/>
    <w:rsid w:val="00306E1B"/>
    <w:rsid w:val="00306E9F"/>
    <w:rsid w:val="00306EA9"/>
    <w:rsid w:val="00306F43"/>
    <w:rsid w:val="00306F6D"/>
    <w:rsid w:val="00307007"/>
    <w:rsid w:val="0030700E"/>
    <w:rsid w:val="00307167"/>
    <w:rsid w:val="003071CB"/>
    <w:rsid w:val="0030725A"/>
    <w:rsid w:val="003076FE"/>
    <w:rsid w:val="00307721"/>
    <w:rsid w:val="00307792"/>
    <w:rsid w:val="003077F3"/>
    <w:rsid w:val="00307A6D"/>
    <w:rsid w:val="00307C6D"/>
    <w:rsid w:val="00307CE9"/>
    <w:rsid w:val="0031023E"/>
    <w:rsid w:val="003102C8"/>
    <w:rsid w:val="003103AC"/>
    <w:rsid w:val="0031044F"/>
    <w:rsid w:val="003106A5"/>
    <w:rsid w:val="00310932"/>
    <w:rsid w:val="00310935"/>
    <w:rsid w:val="00310A49"/>
    <w:rsid w:val="00310FE5"/>
    <w:rsid w:val="0031122D"/>
    <w:rsid w:val="00311287"/>
    <w:rsid w:val="00311626"/>
    <w:rsid w:val="00311649"/>
    <w:rsid w:val="0031164B"/>
    <w:rsid w:val="003116F3"/>
    <w:rsid w:val="003117B4"/>
    <w:rsid w:val="003117F8"/>
    <w:rsid w:val="003119AA"/>
    <w:rsid w:val="00311A25"/>
    <w:rsid w:val="00311CDC"/>
    <w:rsid w:val="00311CF8"/>
    <w:rsid w:val="00311CFE"/>
    <w:rsid w:val="00311E55"/>
    <w:rsid w:val="00311E7F"/>
    <w:rsid w:val="00311E89"/>
    <w:rsid w:val="00311EA8"/>
    <w:rsid w:val="00311F24"/>
    <w:rsid w:val="00311FCE"/>
    <w:rsid w:val="003120D6"/>
    <w:rsid w:val="0031210B"/>
    <w:rsid w:val="0031226A"/>
    <w:rsid w:val="0031230B"/>
    <w:rsid w:val="0031231D"/>
    <w:rsid w:val="003124AF"/>
    <w:rsid w:val="003125C8"/>
    <w:rsid w:val="003125E9"/>
    <w:rsid w:val="00312659"/>
    <w:rsid w:val="0031275D"/>
    <w:rsid w:val="0031284E"/>
    <w:rsid w:val="00312923"/>
    <w:rsid w:val="003129D9"/>
    <w:rsid w:val="00312B64"/>
    <w:rsid w:val="00312C40"/>
    <w:rsid w:val="00312C48"/>
    <w:rsid w:val="00312E36"/>
    <w:rsid w:val="00312E92"/>
    <w:rsid w:val="00312F40"/>
    <w:rsid w:val="00312F96"/>
    <w:rsid w:val="00313058"/>
    <w:rsid w:val="00313125"/>
    <w:rsid w:val="0031327F"/>
    <w:rsid w:val="003132AB"/>
    <w:rsid w:val="003135AD"/>
    <w:rsid w:val="003135FA"/>
    <w:rsid w:val="0031360C"/>
    <w:rsid w:val="0031372A"/>
    <w:rsid w:val="00313783"/>
    <w:rsid w:val="0031385B"/>
    <w:rsid w:val="00313AB4"/>
    <w:rsid w:val="00313B00"/>
    <w:rsid w:val="00313C1A"/>
    <w:rsid w:val="00313C54"/>
    <w:rsid w:val="00313C5A"/>
    <w:rsid w:val="00313C69"/>
    <w:rsid w:val="00313DEE"/>
    <w:rsid w:val="00313F46"/>
    <w:rsid w:val="00313FFB"/>
    <w:rsid w:val="00314109"/>
    <w:rsid w:val="003141AF"/>
    <w:rsid w:val="003141EB"/>
    <w:rsid w:val="00314361"/>
    <w:rsid w:val="00314546"/>
    <w:rsid w:val="00314596"/>
    <w:rsid w:val="00314682"/>
    <w:rsid w:val="003146EC"/>
    <w:rsid w:val="00314783"/>
    <w:rsid w:val="003148B8"/>
    <w:rsid w:val="00314903"/>
    <w:rsid w:val="0031493C"/>
    <w:rsid w:val="00314997"/>
    <w:rsid w:val="00314B7D"/>
    <w:rsid w:val="00314F09"/>
    <w:rsid w:val="00315292"/>
    <w:rsid w:val="0031532D"/>
    <w:rsid w:val="0031537D"/>
    <w:rsid w:val="0031564A"/>
    <w:rsid w:val="003156A6"/>
    <w:rsid w:val="00315899"/>
    <w:rsid w:val="003158F6"/>
    <w:rsid w:val="003158FA"/>
    <w:rsid w:val="00315958"/>
    <w:rsid w:val="0031597F"/>
    <w:rsid w:val="00315A18"/>
    <w:rsid w:val="00315AA4"/>
    <w:rsid w:val="00315B66"/>
    <w:rsid w:val="00315BC3"/>
    <w:rsid w:val="00315CFA"/>
    <w:rsid w:val="00315EDA"/>
    <w:rsid w:val="00315EF2"/>
    <w:rsid w:val="00315F35"/>
    <w:rsid w:val="00315FBD"/>
    <w:rsid w:val="0031609C"/>
    <w:rsid w:val="0031610A"/>
    <w:rsid w:val="003163F1"/>
    <w:rsid w:val="003164AB"/>
    <w:rsid w:val="0031661B"/>
    <w:rsid w:val="0031669B"/>
    <w:rsid w:val="003167B7"/>
    <w:rsid w:val="0031696C"/>
    <w:rsid w:val="00316AA7"/>
    <w:rsid w:val="00316B90"/>
    <w:rsid w:val="00316BF3"/>
    <w:rsid w:val="00316C7E"/>
    <w:rsid w:val="00316C90"/>
    <w:rsid w:val="00316CC2"/>
    <w:rsid w:val="00316CE3"/>
    <w:rsid w:val="00316CE5"/>
    <w:rsid w:val="0031703F"/>
    <w:rsid w:val="00317041"/>
    <w:rsid w:val="003170F9"/>
    <w:rsid w:val="003171BF"/>
    <w:rsid w:val="003171C3"/>
    <w:rsid w:val="003171FB"/>
    <w:rsid w:val="00317338"/>
    <w:rsid w:val="003174D9"/>
    <w:rsid w:val="0031752F"/>
    <w:rsid w:val="0031760F"/>
    <w:rsid w:val="0031761C"/>
    <w:rsid w:val="0031768B"/>
    <w:rsid w:val="00317730"/>
    <w:rsid w:val="003177A3"/>
    <w:rsid w:val="00317822"/>
    <w:rsid w:val="0031795C"/>
    <w:rsid w:val="00317962"/>
    <w:rsid w:val="00317A0D"/>
    <w:rsid w:val="00317A9D"/>
    <w:rsid w:val="00317B03"/>
    <w:rsid w:val="00317C1A"/>
    <w:rsid w:val="00317C65"/>
    <w:rsid w:val="00317E14"/>
    <w:rsid w:val="00317F7B"/>
    <w:rsid w:val="00320071"/>
    <w:rsid w:val="00320173"/>
    <w:rsid w:val="003201A4"/>
    <w:rsid w:val="003202BE"/>
    <w:rsid w:val="00320371"/>
    <w:rsid w:val="003203A8"/>
    <w:rsid w:val="0032043B"/>
    <w:rsid w:val="00320443"/>
    <w:rsid w:val="00320493"/>
    <w:rsid w:val="003204C1"/>
    <w:rsid w:val="00320665"/>
    <w:rsid w:val="003207BD"/>
    <w:rsid w:val="00320825"/>
    <w:rsid w:val="003208E7"/>
    <w:rsid w:val="003208F6"/>
    <w:rsid w:val="00320A06"/>
    <w:rsid w:val="00320A2B"/>
    <w:rsid w:val="00320A62"/>
    <w:rsid w:val="00320AA9"/>
    <w:rsid w:val="00320BEB"/>
    <w:rsid w:val="00320CB9"/>
    <w:rsid w:val="00320DDB"/>
    <w:rsid w:val="00320E01"/>
    <w:rsid w:val="00320F36"/>
    <w:rsid w:val="00320FF7"/>
    <w:rsid w:val="003210D9"/>
    <w:rsid w:val="00321129"/>
    <w:rsid w:val="003213F2"/>
    <w:rsid w:val="003214EF"/>
    <w:rsid w:val="0032150E"/>
    <w:rsid w:val="00321572"/>
    <w:rsid w:val="003216BF"/>
    <w:rsid w:val="00321825"/>
    <w:rsid w:val="00321AE9"/>
    <w:rsid w:val="00321B15"/>
    <w:rsid w:val="00321BC0"/>
    <w:rsid w:val="00321BC7"/>
    <w:rsid w:val="00321C1B"/>
    <w:rsid w:val="00321CCB"/>
    <w:rsid w:val="00321CE6"/>
    <w:rsid w:val="00321D54"/>
    <w:rsid w:val="00321FAB"/>
    <w:rsid w:val="0032205F"/>
    <w:rsid w:val="00322144"/>
    <w:rsid w:val="0032228B"/>
    <w:rsid w:val="003222D5"/>
    <w:rsid w:val="003223E4"/>
    <w:rsid w:val="00322484"/>
    <w:rsid w:val="003224EB"/>
    <w:rsid w:val="00322624"/>
    <w:rsid w:val="00322647"/>
    <w:rsid w:val="00322683"/>
    <w:rsid w:val="0032270D"/>
    <w:rsid w:val="003227E2"/>
    <w:rsid w:val="00322866"/>
    <w:rsid w:val="003228AA"/>
    <w:rsid w:val="0032293D"/>
    <w:rsid w:val="0032295D"/>
    <w:rsid w:val="00322AF3"/>
    <w:rsid w:val="00322B33"/>
    <w:rsid w:val="00322B40"/>
    <w:rsid w:val="00322B50"/>
    <w:rsid w:val="00322D9F"/>
    <w:rsid w:val="00322E25"/>
    <w:rsid w:val="00322F32"/>
    <w:rsid w:val="00323108"/>
    <w:rsid w:val="003231D9"/>
    <w:rsid w:val="003233AA"/>
    <w:rsid w:val="00323658"/>
    <w:rsid w:val="003236AC"/>
    <w:rsid w:val="0032374F"/>
    <w:rsid w:val="003237D8"/>
    <w:rsid w:val="0032384F"/>
    <w:rsid w:val="003238F3"/>
    <w:rsid w:val="00323952"/>
    <w:rsid w:val="003239B6"/>
    <w:rsid w:val="00323A54"/>
    <w:rsid w:val="00323A5B"/>
    <w:rsid w:val="00323ABA"/>
    <w:rsid w:val="00323B01"/>
    <w:rsid w:val="00323B8F"/>
    <w:rsid w:val="00323BE4"/>
    <w:rsid w:val="00323DB4"/>
    <w:rsid w:val="00323DBE"/>
    <w:rsid w:val="00323F1A"/>
    <w:rsid w:val="00324057"/>
    <w:rsid w:val="00324076"/>
    <w:rsid w:val="00324106"/>
    <w:rsid w:val="003241FC"/>
    <w:rsid w:val="0032428D"/>
    <w:rsid w:val="0032438E"/>
    <w:rsid w:val="00324455"/>
    <w:rsid w:val="0032449B"/>
    <w:rsid w:val="00324584"/>
    <w:rsid w:val="003246BB"/>
    <w:rsid w:val="003246F1"/>
    <w:rsid w:val="0032479D"/>
    <w:rsid w:val="003247C1"/>
    <w:rsid w:val="00324837"/>
    <w:rsid w:val="0032488B"/>
    <w:rsid w:val="003249E9"/>
    <w:rsid w:val="003249EB"/>
    <w:rsid w:val="00324A93"/>
    <w:rsid w:val="00324AC5"/>
    <w:rsid w:val="00324D6A"/>
    <w:rsid w:val="00324D73"/>
    <w:rsid w:val="00325002"/>
    <w:rsid w:val="0032510D"/>
    <w:rsid w:val="003252AE"/>
    <w:rsid w:val="00325353"/>
    <w:rsid w:val="0032536A"/>
    <w:rsid w:val="00325481"/>
    <w:rsid w:val="003255BE"/>
    <w:rsid w:val="003256C3"/>
    <w:rsid w:val="00325920"/>
    <w:rsid w:val="0032598D"/>
    <w:rsid w:val="00325998"/>
    <w:rsid w:val="003259D0"/>
    <w:rsid w:val="003259DF"/>
    <w:rsid w:val="00325A65"/>
    <w:rsid w:val="00325AB4"/>
    <w:rsid w:val="00325B75"/>
    <w:rsid w:val="00325C7B"/>
    <w:rsid w:val="00325D3E"/>
    <w:rsid w:val="00325D7C"/>
    <w:rsid w:val="00325DF9"/>
    <w:rsid w:val="00325E2E"/>
    <w:rsid w:val="0032611A"/>
    <w:rsid w:val="0032612E"/>
    <w:rsid w:val="00326174"/>
    <w:rsid w:val="003261C6"/>
    <w:rsid w:val="003261D1"/>
    <w:rsid w:val="00326301"/>
    <w:rsid w:val="003263E6"/>
    <w:rsid w:val="003265A5"/>
    <w:rsid w:val="00326709"/>
    <w:rsid w:val="00326769"/>
    <w:rsid w:val="00326825"/>
    <w:rsid w:val="0032687F"/>
    <w:rsid w:val="00326976"/>
    <w:rsid w:val="003269AA"/>
    <w:rsid w:val="00326AD0"/>
    <w:rsid w:val="00326C39"/>
    <w:rsid w:val="00326CB7"/>
    <w:rsid w:val="00326D38"/>
    <w:rsid w:val="00326E9A"/>
    <w:rsid w:val="00326EAA"/>
    <w:rsid w:val="003271E9"/>
    <w:rsid w:val="0032752C"/>
    <w:rsid w:val="0032758A"/>
    <w:rsid w:val="003275FC"/>
    <w:rsid w:val="00327791"/>
    <w:rsid w:val="003277AB"/>
    <w:rsid w:val="003277E0"/>
    <w:rsid w:val="003278A2"/>
    <w:rsid w:val="00327922"/>
    <w:rsid w:val="00327B37"/>
    <w:rsid w:val="00327BCE"/>
    <w:rsid w:val="00327F80"/>
    <w:rsid w:val="00330108"/>
    <w:rsid w:val="0033018C"/>
    <w:rsid w:val="00330231"/>
    <w:rsid w:val="00330390"/>
    <w:rsid w:val="003305DF"/>
    <w:rsid w:val="0033068B"/>
    <w:rsid w:val="00330857"/>
    <w:rsid w:val="00330873"/>
    <w:rsid w:val="0033094F"/>
    <w:rsid w:val="00330AE6"/>
    <w:rsid w:val="00330AE8"/>
    <w:rsid w:val="00330B91"/>
    <w:rsid w:val="00330BB7"/>
    <w:rsid w:val="00330BF1"/>
    <w:rsid w:val="00330C3C"/>
    <w:rsid w:val="00330C71"/>
    <w:rsid w:val="00330CC4"/>
    <w:rsid w:val="00330CFA"/>
    <w:rsid w:val="00330D46"/>
    <w:rsid w:val="00331019"/>
    <w:rsid w:val="003310B9"/>
    <w:rsid w:val="00331282"/>
    <w:rsid w:val="0033131E"/>
    <w:rsid w:val="0033156D"/>
    <w:rsid w:val="003316D6"/>
    <w:rsid w:val="0033180B"/>
    <w:rsid w:val="0033185E"/>
    <w:rsid w:val="003318B0"/>
    <w:rsid w:val="00331B18"/>
    <w:rsid w:val="00331DBF"/>
    <w:rsid w:val="00331ECE"/>
    <w:rsid w:val="00332028"/>
    <w:rsid w:val="00332057"/>
    <w:rsid w:val="00332177"/>
    <w:rsid w:val="0033229C"/>
    <w:rsid w:val="003322AD"/>
    <w:rsid w:val="0033241B"/>
    <w:rsid w:val="00332433"/>
    <w:rsid w:val="00332493"/>
    <w:rsid w:val="003324F8"/>
    <w:rsid w:val="00332573"/>
    <w:rsid w:val="003326AA"/>
    <w:rsid w:val="00332950"/>
    <w:rsid w:val="00332BC8"/>
    <w:rsid w:val="00332F32"/>
    <w:rsid w:val="00332F5D"/>
    <w:rsid w:val="00332F69"/>
    <w:rsid w:val="00333612"/>
    <w:rsid w:val="003336DE"/>
    <w:rsid w:val="00333721"/>
    <w:rsid w:val="0033381F"/>
    <w:rsid w:val="00333885"/>
    <w:rsid w:val="003338C3"/>
    <w:rsid w:val="003338E3"/>
    <w:rsid w:val="00333984"/>
    <w:rsid w:val="00333A29"/>
    <w:rsid w:val="00333D9B"/>
    <w:rsid w:val="00333E76"/>
    <w:rsid w:val="00333F2B"/>
    <w:rsid w:val="0033410A"/>
    <w:rsid w:val="003341B3"/>
    <w:rsid w:val="00334308"/>
    <w:rsid w:val="00334386"/>
    <w:rsid w:val="003343F5"/>
    <w:rsid w:val="0033449D"/>
    <w:rsid w:val="00334540"/>
    <w:rsid w:val="00334627"/>
    <w:rsid w:val="0033477D"/>
    <w:rsid w:val="0033481D"/>
    <w:rsid w:val="003348D4"/>
    <w:rsid w:val="003349B0"/>
    <w:rsid w:val="00334CF1"/>
    <w:rsid w:val="0033507A"/>
    <w:rsid w:val="003351A5"/>
    <w:rsid w:val="003351E6"/>
    <w:rsid w:val="003353D4"/>
    <w:rsid w:val="0033550C"/>
    <w:rsid w:val="00335580"/>
    <w:rsid w:val="003357D3"/>
    <w:rsid w:val="00335807"/>
    <w:rsid w:val="00335857"/>
    <w:rsid w:val="003358B1"/>
    <w:rsid w:val="00335AB2"/>
    <w:rsid w:val="00335CED"/>
    <w:rsid w:val="00335D2D"/>
    <w:rsid w:val="00335E1E"/>
    <w:rsid w:val="00335E8E"/>
    <w:rsid w:val="00335F0F"/>
    <w:rsid w:val="00335F6D"/>
    <w:rsid w:val="00335FBB"/>
    <w:rsid w:val="00335FD4"/>
    <w:rsid w:val="00336135"/>
    <w:rsid w:val="0033613D"/>
    <w:rsid w:val="00336234"/>
    <w:rsid w:val="0033629F"/>
    <w:rsid w:val="0033635F"/>
    <w:rsid w:val="00336416"/>
    <w:rsid w:val="00336449"/>
    <w:rsid w:val="003365DA"/>
    <w:rsid w:val="00336675"/>
    <w:rsid w:val="00336694"/>
    <w:rsid w:val="003366A3"/>
    <w:rsid w:val="003367E8"/>
    <w:rsid w:val="00336A26"/>
    <w:rsid w:val="00336BC8"/>
    <w:rsid w:val="00336C7F"/>
    <w:rsid w:val="00336C8C"/>
    <w:rsid w:val="00336D21"/>
    <w:rsid w:val="00336DE2"/>
    <w:rsid w:val="00336E13"/>
    <w:rsid w:val="00336F54"/>
    <w:rsid w:val="0033703C"/>
    <w:rsid w:val="00337112"/>
    <w:rsid w:val="003373A1"/>
    <w:rsid w:val="003373E0"/>
    <w:rsid w:val="003375B1"/>
    <w:rsid w:val="0033767E"/>
    <w:rsid w:val="003376CF"/>
    <w:rsid w:val="0033777D"/>
    <w:rsid w:val="0033789D"/>
    <w:rsid w:val="00337AA5"/>
    <w:rsid w:val="00337AAD"/>
    <w:rsid w:val="00337B12"/>
    <w:rsid w:val="00337BDB"/>
    <w:rsid w:val="00337C87"/>
    <w:rsid w:val="00337D78"/>
    <w:rsid w:val="00337E66"/>
    <w:rsid w:val="00337E81"/>
    <w:rsid w:val="00337EEC"/>
    <w:rsid w:val="00340121"/>
    <w:rsid w:val="0034022C"/>
    <w:rsid w:val="0034023F"/>
    <w:rsid w:val="00340402"/>
    <w:rsid w:val="00340684"/>
    <w:rsid w:val="00340760"/>
    <w:rsid w:val="00340895"/>
    <w:rsid w:val="003408E3"/>
    <w:rsid w:val="0034099F"/>
    <w:rsid w:val="00340A79"/>
    <w:rsid w:val="00340B79"/>
    <w:rsid w:val="00340BC8"/>
    <w:rsid w:val="00340BE2"/>
    <w:rsid w:val="00340C46"/>
    <w:rsid w:val="00340CEB"/>
    <w:rsid w:val="00340CF8"/>
    <w:rsid w:val="00340DB5"/>
    <w:rsid w:val="00340E1A"/>
    <w:rsid w:val="00340FE4"/>
    <w:rsid w:val="00341016"/>
    <w:rsid w:val="0034104D"/>
    <w:rsid w:val="00341170"/>
    <w:rsid w:val="003411BA"/>
    <w:rsid w:val="003411DA"/>
    <w:rsid w:val="00341469"/>
    <w:rsid w:val="0034176A"/>
    <w:rsid w:val="003417A8"/>
    <w:rsid w:val="0034184D"/>
    <w:rsid w:val="00341858"/>
    <w:rsid w:val="00341A2E"/>
    <w:rsid w:val="00341AD6"/>
    <w:rsid w:val="00341B82"/>
    <w:rsid w:val="00341C52"/>
    <w:rsid w:val="00341C5E"/>
    <w:rsid w:val="00341D03"/>
    <w:rsid w:val="00341D4B"/>
    <w:rsid w:val="00341F9B"/>
    <w:rsid w:val="0034203C"/>
    <w:rsid w:val="00342216"/>
    <w:rsid w:val="003422A3"/>
    <w:rsid w:val="003422CD"/>
    <w:rsid w:val="003422CF"/>
    <w:rsid w:val="003423AD"/>
    <w:rsid w:val="003423CC"/>
    <w:rsid w:val="00342654"/>
    <w:rsid w:val="00342668"/>
    <w:rsid w:val="00342689"/>
    <w:rsid w:val="00342765"/>
    <w:rsid w:val="0034285A"/>
    <w:rsid w:val="003429A0"/>
    <w:rsid w:val="00342A22"/>
    <w:rsid w:val="00342A35"/>
    <w:rsid w:val="00342AD2"/>
    <w:rsid w:val="00342B0E"/>
    <w:rsid w:val="00342DAF"/>
    <w:rsid w:val="00342E2D"/>
    <w:rsid w:val="00343080"/>
    <w:rsid w:val="003430C6"/>
    <w:rsid w:val="003430D9"/>
    <w:rsid w:val="00343182"/>
    <w:rsid w:val="003431E7"/>
    <w:rsid w:val="0034328E"/>
    <w:rsid w:val="00343398"/>
    <w:rsid w:val="0034341F"/>
    <w:rsid w:val="0034344E"/>
    <w:rsid w:val="003434AB"/>
    <w:rsid w:val="0034366F"/>
    <w:rsid w:val="003436B5"/>
    <w:rsid w:val="003436D4"/>
    <w:rsid w:val="003436F2"/>
    <w:rsid w:val="003436F3"/>
    <w:rsid w:val="0034370F"/>
    <w:rsid w:val="00343770"/>
    <w:rsid w:val="00343879"/>
    <w:rsid w:val="0034396A"/>
    <w:rsid w:val="00343A14"/>
    <w:rsid w:val="00343D4C"/>
    <w:rsid w:val="0034402D"/>
    <w:rsid w:val="0034406D"/>
    <w:rsid w:val="003440F3"/>
    <w:rsid w:val="00344196"/>
    <w:rsid w:val="00344217"/>
    <w:rsid w:val="0034433D"/>
    <w:rsid w:val="003443E9"/>
    <w:rsid w:val="00344416"/>
    <w:rsid w:val="003444D9"/>
    <w:rsid w:val="003444FC"/>
    <w:rsid w:val="003446DB"/>
    <w:rsid w:val="003446F3"/>
    <w:rsid w:val="003446FD"/>
    <w:rsid w:val="00344718"/>
    <w:rsid w:val="00344747"/>
    <w:rsid w:val="003447CC"/>
    <w:rsid w:val="00344920"/>
    <w:rsid w:val="00344A18"/>
    <w:rsid w:val="00344A4C"/>
    <w:rsid w:val="00344A73"/>
    <w:rsid w:val="00344AF6"/>
    <w:rsid w:val="00344B71"/>
    <w:rsid w:val="00344D13"/>
    <w:rsid w:val="00344D49"/>
    <w:rsid w:val="00344DA6"/>
    <w:rsid w:val="00344EF3"/>
    <w:rsid w:val="003450AE"/>
    <w:rsid w:val="003450DF"/>
    <w:rsid w:val="0034527A"/>
    <w:rsid w:val="0034539C"/>
    <w:rsid w:val="003453F8"/>
    <w:rsid w:val="0034558C"/>
    <w:rsid w:val="00345659"/>
    <w:rsid w:val="0034569B"/>
    <w:rsid w:val="003456A1"/>
    <w:rsid w:val="003456C8"/>
    <w:rsid w:val="00345796"/>
    <w:rsid w:val="00345810"/>
    <w:rsid w:val="0034584F"/>
    <w:rsid w:val="0034589F"/>
    <w:rsid w:val="003459F8"/>
    <w:rsid w:val="00345A37"/>
    <w:rsid w:val="00345A54"/>
    <w:rsid w:val="00345B0E"/>
    <w:rsid w:val="00345BE5"/>
    <w:rsid w:val="00345C1F"/>
    <w:rsid w:val="00345C75"/>
    <w:rsid w:val="00345D16"/>
    <w:rsid w:val="00345D27"/>
    <w:rsid w:val="00345D55"/>
    <w:rsid w:val="00345E57"/>
    <w:rsid w:val="00345EE1"/>
    <w:rsid w:val="00345F55"/>
    <w:rsid w:val="00346056"/>
    <w:rsid w:val="00346153"/>
    <w:rsid w:val="00346318"/>
    <w:rsid w:val="003464D9"/>
    <w:rsid w:val="003465E4"/>
    <w:rsid w:val="00346636"/>
    <w:rsid w:val="0034668C"/>
    <w:rsid w:val="00346781"/>
    <w:rsid w:val="00346895"/>
    <w:rsid w:val="003468D1"/>
    <w:rsid w:val="0034693B"/>
    <w:rsid w:val="00346B65"/>
    <w:rsid w:val="00346CD7"/>
    <w:rsid w:val="00346DBD"/>
    <w:rsid w:val="00346EBD"/>
    <w:rsid w:val="00346F2C"/>
    <w:rsid w:val="00346F8C"/>
    <w:rsid w:val="00347164"/>
    <w:rsid w:val="0034719A"/>
    <w:rsid w:val="0034726D"/>
    <w:rsid w:val="0034737C"/>
    <w:rsid w:val="003473A0"/>
    <w:rsid w:val="003473C2"/>
    <w:rsid w:val="00347590"/>
    <w:rsid w:val="003475CE"/>
    <w:rsid w:val="003475DA"/>
    <w:rsid w:val="003475E2"/>
    <w:rsid w:val="003477AD"/>
    <w:rsid w:val="003477C1"/>
    <w:rsid w:val="00347811"/>
    <w:rsid w:val="00347853"/>
    <w:rsid w:val="0034786F"/>
    <w:rsid w:val="003479C1"/>
    <w:rsid w:val="00347CA4"/>
    <w:rsid w:val="00347CE5"/>
    <w:rsid w:val="00347D31"/>
    <w:rsid w:val="00347E2A"/>
    <w:rsid w:val="00347E6D"/>
    <w:rsid w:val="00347EA0"/>
    <w:rsid w:val="00350377"/>
    <w:rsid w:val="003503CB"/>
    <w:rsid w:val="00350434"/>
    <w:rsid w:val="0035045C"/>
    <w:rsid w:val="0035047F"/>
    <w:rsid w:val="00350541"/>
    <w:rsid w:val="0035059D"/>
    <w:rsid w:val="003505AF"/>
    <w:rsid w:val="0035060A"/>
    <w:rsid w:val="0035061C"/>
    <w:rsid w:val="003506F6"/>
    <w:rsid w:val="00350734"/>
    <w:rsid w:val="0035087A"/>
    <w:rsid w:val="00350927"/>
    <w:rsid w:val="003509EB"/>
    <w:rsid w:val="00350ABA"/>
    <w:rsid w:val="00350C6B"/>
    <w:rsid w:val="00350DD8"/>
    <w:rsid w:val="00350E68"/>
    <w:rsid w:val="00350F39"/>
    <w:rsid w:val="00350F7F"/>
    <w:rsid w:val="00350FDC"/>
    <w:rsid w:val="0035121D"/>
    <w:rsid w:val="00351273"/>
    <w:rsid w:val="00351288"/>
    <w:rsid w:val="0035135C"/>
    <w:rsid w:val="003514DC"/>
    <w:rsid w:val="003515E3"/>
    <w:rsid w:val="003517EA"/>
    <w:rsid w:val="00351984"/>
    <w:rsid w:val="00351BC1"/>
    <w:rsid w:val="00351C20"/>
    <w:rsid w:val="003521BB"/>
    <w:rsid w:val="003521DE"/>
    <w:rsid w:val="003521EE"/>
    <w:rsid w:val="00352301"/>
    <w:rsid w:val="00352339"/>
    <w:rsid w:val="0035239B"/>
    <w:rsid w:val="003523B1"/>
    <w:rsid w:val="003523BE"/>
    <w:rsid w:val="003524C6"/>
    <w:rsid w:val="0035262C"/>
    <w:rsid w:val="00352634"/>
    <w:rsid w:val="0035266E"/>
    <w:rsid w:val="003527C2"/>
    <w:rsid w:val="0035288A"/>
    <w:rsid w:val="003529AE"/>
    <w:rsid w:val="003529ED"/>
    <w:rsid w:val="00352A6E"/>
    <w:rsid w:val="00352AB9"/>
    <w:rsid w:val="00352ADC"/>
    <w:rsid w:val="00352C05"/>
    <w:rsid w:val="00352C24"/>
    <w:rsid w:val="00352C47"/>
    <w:rsid w:val="00352DB7"/>
    <w:rsid w:val="00352E26"/>
    <w:rsid w:val="00352E7A"/>
    <w:rsid w:val="00352F3A"/>
    <w:rsid w:val="00352F8E"/>
    <w:rsid w:val="003530DD"/>
    <w:rsid w:val="00353243"/>
    <w:rsid w:val="003532BA"/>
    <w:rsid w:val="00353376"/>
    <w:rsid w:val="0035364D"/>
    <w:rsid w:val="003537B2"/>
    <w:rsid w:val="003537D5"/>
    <w:rsid w:val="00353951"/>
    <w:rsid w:val="00353A04"/>
    <w:rsid w:val="00353AD2"/>
    <w:rsid w:val="00353BCF"/>
    <w:rsid w:val="00353C7D"/>
    <w:rsid w:val="00353D4F"/>
    <w:rsid w:val="00353D75"/>
    <w:rsid w:val="00353DF3"/>
    <w:rsid w:val="00353E09"/>
    <w:rsid w:val="00354000"/>
    <w:rsid w:val="00354213"/>
    <w:rsid w:val="00354387"/>
    <w:rsid w:val="003543F6"/>
    <w:rsid w:val="00354490"/>
    <w:rsid w:val="003544C7"/>
    <w:rsid w:val="003544C9"/>
    <w:rsid w:val="00354599"/>
    <w:rsid w:val="003545B2"/>
    <w:rsid w:val="003545CD"/>
    <w:rsid w:val="003545DC"/>
    <w:rsid w:val="003547BE"/>
    <w:rsid w:val="0035482C"/>
    <w:rsid w:val="00354864"/>
    <w:rsid w:val="0035495E"/>
    <w:rsid w:val="00354993"/>
    <w:rsid w:val="00354A09"/>
    <w:rsid w:val="00354CC5"/>
    <w:rsid w:val="00354D4A"/>
    <w:rsid w:val="00354DC6"/>
    <w:rsid w:val="00354DD1"/>
    <w:rsid w:val="00354DE9"/>
    <w:rsid w:val="00354EDC"/>
    <w:rsid w:val="003550B0"/>
    <w:rsid w:val="003550D1"/>
    <w:rsid w:val="00355139"/>
    <w:rsid w:val="00355188"/>
    <w:rsid w:val="0035526B"/>
    <w:rsid w:val="003555DA"/>
    <w:rsid w:val="003555DD"/>
    <w:rsid w:val="0035569A"/>
    <w:rsid w:val="003556B9"/>
    <w:rsid w:val="00355712"/>
    <w:rsid w:val="003557AE"/>
    <w:rsid w:val="0035584B"/>
    <w:rsid w:val="00355A19"/>
    <w:rsid w:val="00355ACC"/>
    <w:rsid w:val="00355BF5"/>
    <w:rsid w:val="00355C1C"/>
    <w:rsid w:val="00355C65"/>
    <w:rsid w:val="00355C97"/>
    <w:rsid w:val="00355DC1"/>
    <w:rsid w:val="00355E72"/>
    <w:rsid w:val="00355EC7"/>
    <w:rsid w:val="00356144"/>
    <w:rsid w:val="0035657A"/>
    <w:rsid w:val="003565C1"/>
    <w:rsid w:val="003567C7"/>
    <w:rsid w:val="003567E0"/>
    <w:rsid w:val="00356826"/>
    <w:rsid w:val="00356A83"/>
    <w:rsid w:val="00356B19"/>
    <w:rsid w:val="00356C64"/>
    <w:rsid w:val="00356DDC"/>
    <w:rsid w:val="00356F1D"/>
    <w:rsid w:val="00356F39"/>
    <w:rsid w:val="00356F58"/>
    <w:rsid w:val="00356F7D"/>
    <w:rsid w:val="00356FAF"/>
    <w:rsid w:val="00356FCB"/>
    <w:rsid w:val="00357025"/>
    <w:rsid w:val="00357061"/>
    <w:rsid w:val="00357151"/>
    <w:rsid w:val="0035726E"/>
    <w:rsid w:val="0035729F"/>
    <w:rsid w:val="003574D7"/>
    <w:rsid w:val="00357581"/>
    <w:rsid w:val="00357703"/>
    <w:rsid w:val="0035775A"/>
    <w:rsid w:val="0035789A"/>
    <w:rsid w:val="00357E3D"/>
    <w:rsid w:val="00357EA6"/>
    <w:rsid w:val="00360018"/>
    <w:rsid w:val="0036005A"/>
    <w:rsid w:val="003600C7"/>
    <w:rsid w:val="003600FA"/>
    <w:rsid w:val="00360177"/>
    <w:rsid w:val="003601D5"/>
    <w:rsid w:val="003605F1"/>
    <w:rsid w:val="00360693"/>
    <w:rsid w:val="003606D1"/>
    <w:rsid w:val="00360713"/>
    <w:rsid w:val="003608D6"/>
    <w:rsid w:val="003608EB"/>
    <w:rsid w:val="00360928"/>
    <w:rsid w:val="00360A31"/>
    <w:rsid w:val="00360AE4"/>
    <w:rsid w:val="00360B01"/>
    <w:rsid w:val="00360B13"/>
    <w:rsid w:val="00360B83"/>
    <w:rsid w:val="00360BEA"/>
    <w:rsid w:val="00360CE7"/>
    <w:rsid w:val="00360D24"/>
    <w:rsid w:val="00360D75"/>
    <w:rsid w:val="00360D89"/>
    <w:rsid w:val="00360FCB"/>
    <w:rsid w:val="00361196"/>
    <w:rsid w:val="003612DA"/>
    <w:rsid w:val="00361357"/>
    <w:rsid w:val="0036147C"/>
    <w:rsid w:val="0036157F"/>
    <w:rsid w:val="00361618"/>
    <w:rsid w:val="003616FC"/>
    <w:rsid w:val="00361823"/>
    <w:rsid w:val="003618E8"/>
    <w:rsid w:val="00361937"/>
    <w:rsid w:val="0036194C"/>
    <w:rsid w:val="00361A15"/>
    <w:rsid w:val="00361A3A"/>
    <w:rsid w:val="00361B16"/>
    <w:rsid w:val="00361C64"/>
    <w:rsid w:val="00361CC6"/>
    <w:rsid w:val="00361D13"/>
    <w:rsid w:val="00361DDE"/>
    <w:rsid w:val="00361E65"/>
    <w:rsid w:val="00361EAB"/>
    <w:rsid w:val="00361F27"/>
    <w:rsid w:val="00362040"/>
    <w:rsid w:val="0036207B"/>
    <w:rsid w:val="0036230B"/>
    <w:rsid w:val="0036253C"/>
    <w:rsid w:val="003626C1"/>
    <w:rsid w:val="003626D8"/>
    <w:rsid w:val="00362750"/>
    <w:rsid w:val="00362900"/>
    <w:rsid w:val="00362A07"/>
    <w:rsid w:val="00362A39"/>
    <w:rsid w:val="00362B11"/>
    <w:rsid w:val="00362C16"/>
    <w:rsid w:val="00362D22"/>
    <w:rsid w:val="00362DD9"/>
    <w:rsid w:val="00362EAC"/>
    <w:rsid w:val="00362ECB"/>
    <w:rsid w:val="0036310F"/>
    <w:rsid w:val="003631FC"/>
    <w:rsid w:val="003634DC"/>
    <w:rsid w:val="00363621"/>
    <w:rsid w:val="003636F0"/>
    <w:rsid w:val="003636F5"/>
    <w:rsid w:val="00363832"/>
    <w:rsid w:val="0036390D"/>
    <w:rsid w:val="0036398A"/>
    <w:rsid w:val="00363A3A"/>
    <w:rsid w:val="00363A72"/>
    <w:rsid w:val="00363B71"/>
    <w:rsid w:val="00363E7E"/>
    <w:rsid w:val="00363F1C"/>
    <w:rsid w:val="0036421C"/>
    <w:rsid w:val="003644EB"/>
    <w:rsid w:val="00364585"/>
    <w:rsid w:val="00364726"/>
    <w:rsid w:val="003647F8"/>
    <w:rsid w:val="00364963"/>
    <w:rsid w:val="00364972"/>
    <w:rsid w:val="003649C5"/>
    <w:rsid w:val="003649CB"/>
    <w:rsid w:val="003649E3"/>
    <w:rsid w:val="003649F4"/>
    <w:rsid w:val="00364C3B"/>
    <w:rsid w:val="00364E4D"/>
    <w:rsid w:val="00364EB8"/>
    <w:rsid w:val="00364F2F"/>
    <w:rsid w:val="0036501E"/>
    <w:rsid w:val="0036506D"/>
    <w:rsid w:val="003650AC"/>
    <w:rsid w:val="0036516D"/>
    <w:rsid w:val="003651A0"/>
    <w:rsid w:val="003651C8"/>
    <w:rsid w:val="003651DE"/>
    <w:rsid w:val="0036527C"/>
    <w:rsid w:val="003653A2"/>
    <w:rsid w:val="003654FA"/>
    <w:rsid w:val="00365579"/>
    <w:rsid w:val="00365858"/>
    <w:rsid w:val="003658FB"/>
    <w:rsid w:val="00365956"/>
    <w:rsid w:val="00365A2B"/>
    <w:rsid w:val="00365A33"/>
    <w:rsid w:val="00365B99"/>
    <w:rsid w:val="00365C14"/>
    <w:rsid w:val="00365D6C"/>
    <w:rsid w:val="00365D84"/>
    <w:rsid w:val="00365DAE"/>
    <w:rsid w:val="00365E8C"/>
    <w:rsid w:val="00365E91"/>
    <w:rsid w:val="00365E9A"/>
    <w:rsid w:val="00365FAC"/>
    <w:rsid w:val="003661FB"/>
    <w:rsid w:val="00366200"/>
    <w:rsid w:val="00366250"/>
    <w:rsid w:val="00366270"/>
    <w:rsid w:val="00366368"/>
    <w:rsid w:val="0036636E"/>
    <w:rsid w:val="003664A0"/>
    <w:rsid w:val="003664D2"/>
    <w:rsid w:val="00366575"/>
    <w:rsid w:val="0036661D"/>
    <w:rsid w:val="00366726"/>
    <w:rsid w:val="003667C5"/>
    <w:rsid w:val="00366840"/>
    <w:rsid w:val="00366ADA"/>
    <w:rsid w:val="00366BE7"/>
    <w:rsid w:val="00366CC2"/>
    <w:rsid w:val="00366CD2"/>
    <w:rsid w:val="00366D23"/>
    <w:rsid w:val="00366E6F"/>
    <w:rsid w:val="00366EBD"/>
    <w:rsid w:val="00366FD9"/>
    <w:rsid w:val="00367017"/>
    <w:rsid w:val="003670B4"/>
    <w:rsid w:val="00367186"/>
    <w:rsid w:val="00367267"/>
    <w:rsid w:val="003672F6"/>
    <w:rsid w:val="003672FF"/>
    <w:rsid w:val="003674A3"/>
    <w:rsid w:val="0036754D"/>
    <w:rsid w:val="00367A37"/>
    <w:rsid w:val="00367B10"/>
    <w:rsid w:val="00367B3B"/>
    <w:rsid w:val="00367DC1"/>
    <w:rsid w:val="00367DDB"/>
    <w:rsid w:val="00367E05"/>
    <w:rsid w:val="00367EAF"/>
    <w:rsid w:val="0037011A"/>
    <w:rsid w:val="003705C0"/>
    <w:rsid w:val="00370732"/>
    <w:rsid w:val="00370A29"/>
    <w:rsid w:val="00370ABA"/>
    <w:rsid w:val="00370B12"/>
    <w:rsid w:val="00370C88"/>
    <w:rsid w:val="00370C98"/>
    <w:rsid w:val="00370DA5"/>
    <w:rsid w:val="00370F50"/>
    <w:rsid w:val="00371044"/>
    <w:rsid w:val="00371175"/>
    <w:rsid w:val="003714FA"/>
    <w:rsid w:val="00371589"/>
    <w:rsid w:val="003715BC"/>
    <w:rsid w:val="003718B1"/>
    <w:rsid w:val="0037192F"/>
    <w:rsid w:val="003719BB"/>
    <w:rsid w:val="00371A97"/>
    <w:rsid w:val="00371B43"/>
    <w:rsid w:val="00371D7E"/>
    <w:rsid w:val="00371EAA"/>
    <w:rsid w:val="00371FD9"/>
    <w:rsid w:val="00372357"/>
    <w:rsid w:val="0037248C"/>
    <w:rsid w:val="0037252D"/>
    <w:rsid w:val="00372620"/>
    <w:rsid w:val="00372676"/>
    <w:rsid w:val="0037277C"/>
    <w:rsid w:val="00372886"/>
    <w:rsid w:val="0037288A"/>
    <w:rsid w:val="00372895"/>
    <w:rsid w:val="00372A8B"/>
    <w:rsid w:val="00372B5E"/>
    <w:rsid w:val="00372F90"/>
    <w:rsid w:val="003730B7"/>
    <w:rsid w:val="00373113"/>
    <w:rsid w:val="003731AD"/>
    <w:rsid w:val="003732B5"/>
    <w:rsid w:val="0037331F"/>
    <w:rsid w:val="00373374"/>
    <w:rsid w:val="00373403"/>
    <w:rsid w:val="00373517"/>
    <w:rsid w:val="003735AC"/>
    <w:rsid w:val="00373777"/>
    <w:rsid w:val="0037378F"/>
    <w:rsid w:val="00373AC6"/>
    <w:rsid w:val="00373B42"/>
    <w:rsid w:val="00373BC6"/>
    <w:rsid w:val="0037407F"/>
    <w:rsid w:val="0037410D"/>
    <w:rsid w:val="0037416E"/>
    <w:rsid w:val="0037424B"/>
    <w:rsid w:val="003742D1"/>
    <w:rsid w:val="003742E9"/>
    <w:rsid w:val="00374359"/>
    <w:rsid w:val="003743F7"/>
    <w:rsid w:val="003745CC"/>
    <w:rsid w:val="00374608"/>
    <w:rsid w:val="00374617"/>
    <w:rsid w:val="0037462F"/>
    <w:rsid w:val="0037469B"/>
    <w:rsid w:val="00374816"/>
    <w:rsid w:val="00374886"/>
    <w:rsid w:val="003748C9"/>
    <w:rsid w:val="00374B87"/>
    <w:rsid w:val="00374BA0"/>
    <w:rsid w:val="00374D9A"/>
    <w:rsid w:val="00374D9C"/>
    <w:rsid w:val="00374DA3"/>
    <w:rsid w:val="00374E7E"/>
    <w:rsid w:val="00374FE1"/>
    <w:rsid w:val="00375127"/>
    <w:rsid w:val="00375129"/>
    <w:rsid w:val="00375168"/>
    <w:rsid w:val="0037517C"/>
    <w:rsid w:val="003752E3"/>
    <w:rsid w:val="003752E5"/>
    <w:rsid w:val="00375339"/>
    <w:rsid w:val="00375488"/>
    <w:rsid w:val="003754EF"/>
    <w:rsid w:val="003755E4"/>
    <w:rsid w:val="00375604"/>
    <w:rsid w:val="00375664"/>
    <w:rsid w:val="00375711"/>
    <w:rsid w:val="003757D8"/>
    <w:rsid w:val="003758D0"/>
    <w:rsid w:val="00375B5A"/>
    <w:rsid w:val="00375C5B"/>
    <w:rsid w:val="00375E5C"/>
    <w:rsid w:val="00375E7B"/>
    <w:rsid w:val="00375EB5"/>
    <w:rsid w:val="00375F69"/>
    <w:rsid w:val="003760F0"/>
    <w:rsid w:val="0037614D"/>
    <w:rsid w:val="00376164"/>
    <w:rsid w:val="003762DB"/>
    <w:rsid w:val="0037646C"/>
    <w:rsid w:val="003766C9"/>
    <w:rsid w:val="003766E5"/>
    <w:rsid w:val="00376736"/>
    <w:rsid w:val="003767F4"/>
    <w:rsid w:val="00376832"/>
    <w:rsid w:val="0037684A"/>
    <w:rsid w:val="00376A0D"/>
    <w:rsid w:val="00376AC3"/>
    <w:rsid w:val="00376D68"/>
    <w:rsid w:val="00376E2A"/>
    <w:rsid w:val="00376F30"/>
    <w:rsid w:val="0037704A"/>
    <w:rsid w:val="003770D3"/>
    <w:rsid w:val="003771F9"/>
    <w:rsid w:val="00377256"/>
    <w:rsid w:val="00377278"/>
    <w:rsid w:val="0037736B"/>
    <w:rsid w:val="0037777C"/>
    <w:rsid w:val="00377860"/>
    <w:rsid w:val="00377903"/>
    <w:rsid w:val="00377978"/>
    <w:rsid w:val="003779E3"/>
    <w:rsid w:val="00377B87"/>
    <w:rsid w:val="00377D8B"/>
    <w:rsid w:val="00377E7A"/>
    <w:rsid w:val="00377F13"/>
    <w:rsid w:val="00377FC0"/>
    <w:rsid w:val="00377FD9"/>
    <w:rsid w:val="003802AD"/>
    <w:rsid w:val="003802C3"/>
    <w:rsid w:val="003802D9"/>
    <w:rsid w:val="00380310"/>
    <w:rsid w:val="00380338"/>
    <w:rsid w:val="00380358"/>
    <w:rsid w:val="00380420"/>
    <w:rsid w:val="003804B4"/>
    <w:rsid w:val="00380744"/>
    <w:rsid w:val="003807AA"/>
    <w:rsid w:val="00380801"/>
    <w:rsid w:val="0038084F"/>
    <w:rsid w:val="0038089B"/>
    <w:rsid w:val="003808A3"/>
    <w:rsid w:val="00380BAD"/>
    <w:rsid w:val="00380BEA"/>
    <w:rsid w:val="00380D1B"/>
    <w:rsid w:val="00380DC4"/>
    <w:rsid w:val="00380DE0"/>
    <w:rsid w:val="00380E43"/>
    <w:rsid w:val="00380E9A"/>
    <w:rsid w:val="00380F23"/>
    <w:rsid w:val="0038106E"/>
    <w:rsid w:val="0038109A"/>
    <w:rsid w:val="003810D7"/>
    <w:rsid w:val="0038125D"/>
    <w:rsid w:val="003812AF"/>
    <w:rsid w:val="00381365"/>
    <w:rsid w:val="00381373"/>
    <w:rsid w:val="003814A0"/>
    <w:rsid w:val="003814A8"/>
    <w:rsid w:val="00381524"/>
    <w:rsid w:val="0038162F"/>
    <w:rsid w:val="003816D8"/>
    <w:rsid w:val="0038179D"/>
    <w:rsid w:val="003817D1"/>
    <w:rsid w:val="00381806"/>
    <w:rsid w:val="00381810"/>
    <w:rsid w:val="00381850"/>
    <w:rsid w:val="00381872"/>
    <w:rsid w:val="0038195B"/>
    <w:rsid w:val="003819EB"/>
    <w:rsid w:val="00381A6E"/>
    <w:rsid w:val="00381B16"/>
    <w:rsid w:val="00381B1C"/>
    <w:rsid w:val="00381C40"/>
    <w:rsid w:val="00381CE9"/>
    <w:rsid w:val="00381CED"/>
    <w:rsid w:val="00381D56"/>
    <w:rsid w:val="00381E4E"/>
    <w:rsid w:val="00381F6F"/>
    <w:rsid w:val="00381FB2"/>
    <w:rsid w:val="00381FE8"/>
    <w:rsid w:val="003821F8"/>
    <w:rsid w:val="00382227"/>
    <w:rsid w:val="003822FD"/>
    <w:rsid w:val="0038230B"/>
    <w:rsid w:val="00382317"/>
    <w:rsid w:val="003823DB"/>
    <w:rsid w:val="00382409"/>
    <w:rsid w:val="003824FD"/>
    <w:rsid w:val="0038259C"/>
    <w:rsid w:val="0038266E"/>
    <w:rsid w:val="003826DE"/>
    <w:rsid w:val="00382715"/>
    <w:rsid w:val="003827DA"/>
    <w:rsid w:val="0038293C"/>
    <w:rsid w:val="0038297E"/>
    <w:rsid w:val="003829F3"/>
    <w:rsid w:val="00382AFF"/>
    <w:rsid w:val="00382B25"/>
    <w:rsid w:val="00382B2B"/>
    <w:rsid w:val="00382B9A"/>
    <w:rsid w:val="00382CD0"/>
    <w:rsid w:val="00382D38"/>
    <w:rsid w:val="00382DAF"/>
    <w:rsid w:val="00382DC5"/>
    <w:rsid w:val="00383186"/>
    <w:rsid w:val="003831AD"/>
    <w:rsid w:val="00383364"/>
    <w:rsid w:val="00383557"/>
    <w:rsid w:val="003836FD"/>
    <w:rsid w:val="003837ED"/>
    <w:rsid w:val="00383851"/>
    <w:rsid w:val="003839BD"/>
    <w:rsid w:val="00383A7D"/>
    <w:rsid w:val="00383B42"/>
    <w:rsid w:val="00383BC7"/>
    <w:rsid w:val="00383C7F"/>
    <w:rsid w:val="00383D6E"/>
    <w:rsid w:val="00383EC1"/>
    <w:rsid w:val="00383F46"/>
    <w:rsid w:val="00384282"/>
    <w:rsid w:val="00384340"/>
    <w:rsid w:val="0038434B"/>
    <w:rsid w:val="003844CC"/>
    <w:rsid w:val="003846E2"/>
    <w:rsid w:val="00384983"/>
    <w:rsid w:val="00384AF4"/>
    <w:rsid w:val="00384C8C"/>
    <w:rsid w:val="00384EBD"/>
    <w:rsid w:val="00384F98"/>
    <w:rsid w:val="00384FAB"/>
    <w:rsid w:val="00385135"/>
    <w:rsid w:val="003851DE"/>
    <w:rsid w:val="0038527C"/>
    <w:rsid w:val="003852D7"/>
    <w:rsid w:val="0038530C"/>
    <w:rsid w:val="00385384"/>
    <w:rsid w:val="0038547E"/>
    <w:rsid w:val="003856D2"/>
    <w:rsid w:val="0038571B"/>
    <w:rsid w:val="00385975"/>
    <w:rsid w:val="00385A67"/>
    <w:rsid w:val="00385AB9"/>
    <w:rsid w:val="00385B59"/>
    <w:rsid w:val="00385D39"/>
    <w:rsid w:val="00385D43"/>
    <w:rsid w:val="00385DB6"/>
    <w:rsid w:val="00385FE7"/>
    <w:rsid w:val="00386071"/>
    <w:rsid w:val="003862B4"/>
    <w:rsid w:val="003862F6"/>
    <w:rsid w:val="003863D0"/>
    <w:rsid w:val="003866B1"/>
    <w:rsid w:val="00386855"/>
    <w:rsid w:val="003868CD"/>
    <w:rsid w:val="00386918"/>
    <w:rsid w:val="00386994"/>
    <w:rsid w:val="00386BB5"/>
    <w:rsid w:val="00386D2C"/>
    <w:rsid w:val="00386D2F"/>
    <w:rsid w:val="00386D6F"/>
    <w:rsid w:val="00386DB0"/>
    <w:rsid w:val="00386EAC"/>
    <w:rsid w:val="00386F81"/>
    <w:rsid w:val="00386F87"/>
    <w:rsid w:val="00387097"/>
    <w:rsid w:val="003875F3"/>
    <w:rsid w:val="00387D5E"/>
    <w:rsid w:val="00387DA5"/>
    <w:rsid w:val="00387DB5"/>
    <w:rsid w:val="00387F74"/>
    <w:rsid w:val="00390016"/>
    <w:rsid w:val="003900FD"/>
    <w:rsid w:val="00390227"/>
    <w:rsid w:val="00390351"/>
    <w:rsid w:val="00390372"/>
    <w:rsid w:val="003903F6"/>
    <w:rsid w:val="00390547"/>
    <w:rsid w:val="003905CD"/>
    <w:rsid w:val="00390682"/>
    <w:rsid w:val="00390723"/>
    <w:rsid w:val="003907F1"/>
    <w:rsid w:val="0039085F"/>
    <w:rsid w:val="003908AD"/>
    <w:rsid w:val="003908CB"/>
    <w:rsid w:val="00390920"/>
    <w:rsid w:val="00390B59"/>
    <w:rsid w:val="00390C1C"/>
    <w:rsid w:val="00391008"/>
    <w:rsid w:val="00391026"/>
    <w:rsid w:val="0039109B"/>
    <w:rsid w:val="0039116C"/>
    <w:rsid w:val="00391271"/>
    <w:rsid w:val="0039151E"/>
    <w:rsid w:val="003916D4"/>
    <w:rsid w:val="003917E2"/>
    <w:rsid w:val="0039185C"/>
    <w:rsid w:val="003918C6"/>
    <w:rsid w:val="00391A63"/>
    <w:rsid w:val="00391AAD"/>
    <w:rsid w:val="00391BA1"/>
    <w:rsid w:val="00391E8E"/>
    <w:rsid w:val="00391E9F"/>
    <w:rsid w:val="00391FF3"/>
    <w:rsid w:val="0039215A"/>
    <w:rsid w:val="003922B4"/>
    <w:rsid w:val="003923C7"/>
    <w:rsid w:val="003925A9"/>
    <w:rsid w:val="0039261C"/>
    <w:rsid w:val="00392807"/>
    <w:rsid w:val="00392867"/>
    <w:rsid w:val="003928C0"/>
    <w:rsid w:val="00392942"/>
    <w:rsid w:val="00392A40"/>
    <w:rsid w:val="00392CA4"/>
    <w:rsid w:val="00392E1C"/>
    <w:rsid w:val="00392E59"/>
    <w:rsid w:val="00392F36"/>
    <w:rsid w:val="00392F6C"/>
    <w:rsid w:val="00392F97"/>
    <w:rsid w:val="00392FCE"/>
    <w:rsid w:val="003931D4"/>
    <w:rsid w:val="003933F4"/>
    <w:rsid w:val="0039340F"/>
    <w:rsid w:val="00393574"/>
    <w:rsid w:val="0039366C"/>
    <w:rsid w:val="00393683"/>
    <w:rsid w:val="003936BB"/>
    <w:rsid w:val="003936D1"/>
    <w:rsid w:val="00393746"/>
    <w:rsid w:val="0039393C"/>
    <w:rsid w:val="00393A24"/>
    <w:rsid w:val="00393A9A"/>
    <w:rsid w:val="00393AC2"/>
    <w:rsid w:val="00393D2A"/>
    <w:rsid w:val="00393E34"/>
    <w:rsid w:val="00393E62"/>
    <w:rsid w:val="00393F38"/>
    <w:rsid w:val="00393F52"/>
    <w:rsid w:val="0039404C"/>
    <w:rsid w:val="003940A7"/>
    <w:rsid w:val="00394132"/>
    <w:rsid w:val="0039419D"/>
    <w:rsid w:val="0039422D"/>
    <w:rsid w:val="003942B0"/>
    <w:rsid w:val="00394359"/>
    <w:rsid w:val="003943AF"/>
    <w:rsid w:val="00394438"/>
    <w:rsid w:val="00394543"/>
    <w:rsid w:val="00394772"/>
    <w:rsid w:val="003947D3"/>
    <w:rsid w:val="003947F2"/>
    <w:rsid w:val="00394941"/>
    <w:rsid w:val="00394B0D"/>
    <w:rsid w:val="00394B1D"/>
    <w:rsid w:val="00394B88"/>
    <w:rsid w:val="00394BD0"/>
    <w:rsid w:val="00394C36"/>
    <w:rsid w:val="00394C8F"/>
    <w:rsid w:val="00394E74"/>
    <w:rsid w:val="003950B5"/>
    <w:rsid w:val="003951AB"/>
    <w:rsid w:val="0039529A"/>
    <w:rsid w:val="003952B9"/>
    <w:rsid w:val="00395470"/>
    <w:rsid w:val="003955A3"/>
    <w:rsid w:val="003955BD"/>
    <w:rsid w:val="0039572F"/>
    <w:rsid w:val="0039576F"/>
    <w:rsid w:val="003957F5"/>
    <w:rsid w:val="003958D7"/>
    <w:rsid w:val="003958DC"/>
    <w:rsid w:val="0039590E"/>
    <w:rsid w:val="003959E7"/>
    <w:rsid w:val="00395A73"/>
    <w:rsid w:val="00395BA5"/>
    <w:rsid w:val="00395BE0"/>
    <w:rsid w:val="00395C72"/>
    <w:rsid w:val="00395C7F"/>
    <w:rsid w:val="00395CD4"/>
    <w:rsid w:val="00395D1C"/>
    <w:rsid w:val="00395D35"/>
    <w:rsid w:val="00395D9B"/>
    <w:rsid w:val="00395E91"/>
    <w:rsid w:val="003964DF"/>
    <w:rsid w:val="00396517"/>
    <w:rsid w:val="00396640"/>
    <w:rsid w:val="003966EC"/>
    <w:rsid w:val="00396754"/>
    <w:rsid w:val="00396789"/>
    <w:rsid w:val="0039687E"/>
    <w:rsid w:val="003969A6"/>
    <w:rsid w:val="00396A7E"/>
    <w:rsid w:val="00396C7D"/>
    <w:rsid w:val="00396E4B"/>
    <w:rsid w:val="00396ECE"/>
    <w:rsid w:val="00396F88"/>
    <w:rsid w:val="00396FF6"/>
    <w:rsid w:val="0039703E"/>
    <w:rsid w:val="00397335"/>
    <w:rsid w:val="00397341"/>
    <w:rsid w:val="003974B4"/>
    <w:rsid w:val="003975A4"/>
    <w:rsid w:val="00397683"/>
    <w:rsid w:val="003976C8"/>
    <w:rsid w:val="00397756"/>
    <w:rsid w:val="0039782A"/>
    <w:rsid w:val="00397908"/>
    <w:rsid w:val="0039796C"/>
    <w:rsid w:val="0039796F"/>
    <w:rsid w:val="003979AD"/>
    <w:rsid w:val="003979D2"/>
    <w:rsid w:val="00397A37"/>
    <w:rsid w:val="00397CAF"/>
    <w:rsid w:val="00397D99"/>
    <w:rsid w:val="00397E88"/>
    <w:rsid w:val="00397EC1"/>
    <w:rsid w:val="00397EDE"/>
    <w:rsid w:val="00397FFA"/>
    <w:rsid w:val="003A0090"/>
    <w:rsid w:val="003A0264"/>
    <w:rsid w:val="003A0392"/>
    <w:rsid w:val="003A048E"/>
    <w:rsid w:val="003A0535"/>
    <w:rsid w:val="003A0591"/>
    <w:rsid w:val="003A05B3"/>
    <w:rsid w:val="003A05D2"/>
    <w:rsid w:val="003A0667"/>
    <w:rsid w:val="003A068A"/>
    <w:rsid w:val="003A06A2"/>
    <w:rsid w:val="003A0814"/>
    <w:rsid w:val="003A0883"/>
    <w:rsid w:val="003A0A47"/>
    <w:rsid w:val="003A0A85"/>
    <w:rsid w:val="003A0B4F"/>
    <w:rsid w:val="003A0BBC"/>
    <w:rsid w:val="003A0C19"/>
    <w:rsid w:val="003A0F3E"/>
    <w:rsid w:val="003A0F5C"/>
    <w:rsid w:val="003A0F84"/>
    <w:rsid w:val="003A0F9C"/>
    <w:rsid w:val="003A11C2"/>
    <w:rsid w:val="003A1250"/>
    <w:rsid w:val="003A1356"/>
    <w:rsid w:val="003A139D"/>
    <w:rsid w:val="003A144E"/>
    <w:rsid w:val="003A149B"/>
    <w:rsid w:val="003A15FF"/>
    <w:rsid w:val="003A1623"/>
    <w:rsid w:val="003A1667"/>
    <w:rsid w:val="003A1842"/>
    <w:rsid w:val="003A1991"/>
    <w:rsid w:val="003A1BB3"/>
    <w:rsid w:val="003A1C1C"/>
    <w:rsid w:val="003A1D52"/>
    <w:rsid w:val="003A1E35"/>
    <w:rsid w:val="003A20D0"/>
    <w:rsid w:val="003A2123"/>
    <w:rsid w:val="003A212C"/>
    <w:rsid w:val="003A2145"/>
    <w:rsid w:val="003A222C"/>
    <w:rsid w:val="003A22B3"/>
    <w:rsid w:val="003A22FB"/>
    <w:rsid w:val="003A2469"/>
    <w:rsid w:val="003A2497"/>
    <w:rsid w:val="003A24E6"/>
    <w:rsid w:val="003A24F0"/>
    <w:rsid w:val="003A24F7"/>
    <w:rsid w:val="003A26D5"/>
    <w:rsid w:val="003A26EC"/>
    <w:rsid w:val="003A2B9F"/>
    <w:rsid w:val="003A2C42"/>
    <w:rsid w:val="003A2FEF"/>
    <w:rsid w:val="003A300F"/>
    <w:rsid w:val="003A301F"/>
    <w:rsid w:val="003A3180"/>
    <w:rsid w:val="003A323A"/>
    <w:rsid w:val="003A3274"/>
    <w:rsid w:val="003A3311"/>
    <w:rsid w:val="003A33DE"/>
    <w:rsid w:val="003A34F0"/>
    <w:rsid w:val="003A352B"/>
    <w:rsid w:val="003A360B"/>
    <w:rsid w:val="003A3611"/>
    <w:rsid w:val="003A3613"/>
    <w:rsid w:val="003A3658"/>
    <w:rsid w:val="003A369E"/>
    <w:rsid w:val="003A3785"/>
    <w:rsid w:val="003A3B2F"/>
    <w:rsid w:val="003A3B9E"/>
    <w:rsid w:val="003A3BEA"/>
    <w:rsid w:val="003A3C3A"/>
    <w:rsid w:val="003A3CC7"/>
    <w:rsid w:val="003A3D43"/>
    <w:rsid w:val="003A3D6A"/>
    <w:rsid w:val="003A3E0D"/>
    <w:rsid w:val="003A3EC2"/>
    <w:rsid w:val="003A3EF9"/>
    <w:rsid w:val="003A4007"/>
    <w:rsid w:val="003A41C6"/>
    <w:rsid w:val="003A42FB"/>
    <w:rsid w:val="003A441A"/>
    <w:rsid w:val="003A465A"/>
    <w:rsid w:val="003A4727"/>
    <w:rsid w:val="003A48FC"/>
    <w:rsid w:val="003A4AB7"/>
    <w:rsid w:val="003A4B87"/>
    <w:rsid w:val="003A4BF6"/>
    <w:rsid w:val="003A50D4"/>
    <w:rsid w:val="003A510D"/>
    <w:rsid w:val="003A51A1"/>
    <w:rsid w:val="003A524E"/>
    <w:rsid w:val="003A53B0"/>
    <w:rsid w:val="003A53D1"/>
    <w:rsid w:val="003A5441"/>
    <w:rsid w:val="003A54C7"/>
    <w:rsid w:val="003A54FE"/>
    <w:rsid w:val="003A5579"/>
    <w:rsid w:val="003A559F"/>
    <w:rsid w:val="003A562C"/>
    <w:rsid w:val="003A5799"/>
    <w:rsid w:val="003A5A3D"/>
    <w:rsid w:val="003A5B34"/>
    <w:rsid w:val="003A5B91"/>
    <w:rsid w:val="003A613E"/>
    <w:rsid w:val="003A621E"/>
    <w:rsid w:val="003A6268"/>
    <w:rsid w:val="003A6383"/>
    <w:rsid w:val="003A6553"/>
    <w:rsid w:val="003A6592"/>
    <w:rsid w:val="003A6599"/>
    <w:rsid w:val="003A667B"/>
    <w:rsid w:val="003A678A"/>
    <w:rsid w:val="003A6796"/>
    <w:rsid w:val="003A67C2"/>
    <w:rsid w:val="003A67F8"/>
    <w:rsid w:val="003A688A"/>
    <w:rsid w:val="003A68EB"/>
    <w:rsid w:val="003A6988"/>
    <w:rsid w:val="003A6BFA"/>
    <w:rsid w:val="003A6C83"/>
    <w:rsid w:val="003A6CEB"/>
    <w:rsid w:val="003A72C8"/>
    <w:rsid w:val="003A7304"/>
    <w:rsid w:val="003A73E0"/>
    <w:rsid w:val="003A747E"/>
    <w:rsid w:val="003A7628"/>
    <w:rsid w:val="003A7791"/>
    <w:rsid w:val="003A77C4"/>
    <w:rsid w:val="003A77E2"/>
    <w:rsid w:val="003A7862"/>
    <w:rsid w:val="003A7992"/>
    <w:rsid w:val="003A7A0F"/>
    <w:rsid w:val="003A7C43"/>
    <w:rsid w:val="003A7CCA"/>
    <w:rsid w:val="003A7E11"/>
    <w:rsid w:val="003A7E22"/>
    <w:rsid w:val="003A7EF9"/>
    <w:rsid w:val="003A7F54"/>
    <w:rsid w:val="003B00FC"/>
    <w:rsid w:val="003B01E2"/>
    <w:rsid w:val="003B020D"/>
    <w:rsid w:val="003B0271"/>
    <w:rsid w:val="003B028F"/>
    <w:rsid w:val="003B02D4"/>
    <w:rsid w:val="003B0482"/>
    <w:rsid w:val="003B0548"/>
    <w:rsid w:val="003B0574"/>
    <w:rsid w:val="003B0629"/>
    <w:rsid w:val="003B07B0"/>
    <w:rsid w:val="003B096D"/>
    <w:rsid w:val="003B0A34"/>
    <w:rsid w:val="003B0A4E"/>
    <w:rsid w:val="003B0B92"/>
    <w:rsid w:val="003B0BF6"/>
    <w:rsid w:val="003B0C09"/>
    <w:rsid w:val="003B0C75"/>
    <w:rsid w:val="003B0D61"/>
    <w:rsid w:val="003B0E99"/>
    <w:rsid w:val="003B0EA2"/>
    <w:rsid w:val="003B11E8"/>
    <w:rsid w:val="003B1270"/>
    <w:rsid w:val="003B1331"/>
    <w:rsid w:val="003B1372"/>
    <w:rsid w:val="003B1392"/>
    <w:rsid w:val="003B13D4"/>
    <w:rsid w:val="003B185F"/>
    <w:rsid w:val="003B1897"/>
    <w:rsid w:val="003B18C0"/>
    <w:rsid w:val="003B18E9"/>
    <w:rsid w:val="003B1940"/>
    <w:rsid w:val="003B19A6"/>
    <w:rsid w:val="003B19E7"/>
    <w:rsid w:val="003B1A8F"/>
    <w:rsid w:val="003B1A97"/>
    <w:rsid w:val="003B1B91"/>
    <w:rsid w:val="003B1BD3"/>
    <w:rsid w:val="003B1C38"/>
    <w:rsid w:val="003B1D56"/>
    <w:rsid w:val="003B1E03"/>
    <w:rsid w:val="003B1E5D"/>
    <w:rsid w:val="003B1EE1"/>
    <w:rsid w:val="003B2065"/>
    <w:rsid w:val="003B211A"/>
    <w:rsid w:val="003B219A"/>
    <w:rsid w:val="003B2201"/>
    <w:rsid w:val="003B23F1"/>
    <w:rsid w:val="003B2429"/>
    <w:rsid w:val="003B2504"/>
    <w:rsid w:val="003B2810"/>
    <w:rsid w:val="003B28CC"/>
    <w:rsid w:val="003B294D"/>
    <w:rsid w:val="003B29EF"/>
    <w:rsid w:val="003B2C49"/>
    <w:rsid w:val="003B2C55"/>
    <w:rsid w:val="003B2DB0"/>
    <w:rsid w:val="003B2E0F"/>
    <w:rsid w:val="003B2EBA"/>
    <w:rsid w:val="003B30D0"/>
    <w:rsid w:val="003B31A8"/>
    <w:rsid w:val="003B31D0"/>
    <w:rsid w:val="003B321B"/>
    <w:rsid w:val="003B326F"/>
    <w:rsid w:val="003B329E"/>
    <w:rsid w:val="003B336E"/>
    <w:rsid w:val="003B337D"/>
    <w:rsid w:val="003B3388"/>
    <w:rsid w:val="003B34DE"/>
    <w:rsid w:val="003B3602"/>
    <w:rsid w:val="003B3649"/>
    <w:rsid w:val="003B3679"/>
    <w:rsid w:val="003B39D0"/>
    <w:rsid w:val="003B39E7"/>
    <w:rsid w:val="003B3C17"/>
    <w:rsid w:val="003B3C74"/>
    <w:rsid w:val="003B3D3A"/>
    <w:rsid w:val="003B3D81"/>
    <w:rsid w:val="003B3E06"/>
    <w:rsid w:val="003B3E6B"/>
    <w:rsid w:val="003B3FB5"/>
    <w:rsid w:val="003B4070"/>
    <w:rsid w:val="003B409E"/>
    <w:rsid w:val="003B41F7"/>
    <w:rsid w:val="003B42AA"/>
    <w:rsid w:val="003B42BF"/>
    <w:rsid w:val="003B433F"/>
    <w:rsid w:val="003B4413"/>
    <w:rsid w:val="003B4567"/>
    <w:rsid w:val="003B4613"/>
    <w:rsid w:val="003B462B"/>
    <w:rsid w:val="003B4649"/>
    <w:rsid w:val="003B4651"/>
    <w:rsid w:val="003B468F"/>
    <w:rsid w:val="003B483E"/>
    <w:rsid w:val="003B492A"/>
    <w:rsid w:val="003B4A55"/>
    <w:rsid w:val="003B4AE4"/>
    <w:rsid w:val="003B4C2F"/>
    <w:rsid w:val="003B4D0F"/>
    <w:rsid w:val="003B4D7D"/>
    <w:rsid w:val="003B4DC5"/>
    <w:rsid w:val="003B5288"/>
    <w:rsid w:val="003B5658"/>
    <w:rsid w:val="003B5780"/>
    <w:rsid w:val="003B57B6"/>
    <w:rsid w:val="003B5853"/>
    <w:rsid w:val="003B5A51"/>
    <w:rsid w:val="003B5E69"/>
    <w:rsid w:val="003B5ED3"/>
    <w:rsid w:val="003B60F1"/>
    <w:rsid w:val="003B61AD"/>
    <w:rsid w:val="003B623D"/>
    <w:rsid w:val="003B6258"/>
    <w:rsid w:val="003B64A2"/>
    <w:rsid w:val="003B64DD"/>
    <w:rsid w:val="003B655C"/>
    <w:rsid w:val="003B66AF"/>
    <w:rsid w:val="003B679B"/>
    <w:rsid w:val="003B67E9"/>
    <w:rsid w:val="003B694A"/>
    <w:rsid w:val="003B6978"/>
    <w:rsid w:val="003B69D9"/>
    <w:rsid w:val="003B69F0"/>
    <w:rsid w:val="003B6A02"/>
    <w:rsid w:val="003B6A08"/>
    <w:rsid w:val="003B6CD0"/>
    <w:rsid w:val="003B6CD6"/>
    <w:rsid w:val="003B6DA9"/>
    <w:rsid w:val="003B6E42"/>
    <w:rsid w:val="003B6E7C"/>
    <w:rsid w:val="003B6EB0"/>
    <w:rsid w:val="003B6EDF"/>
    <w:rsid w:val="003B6F9D"/>
    <w:rsid w:val="003B7109"/>
    <w:rsid w:val="003B71B4"/>
    <w:rsid w:val="003B71D4"/>
    <w:rsid w:val="003B7221"/>
    <w:rsid w:val="003B7252"/>
    <w:rsid w:val="003B72FF"/>
    <w:rsid w:val="003B7338"/>
    <w:rsid w:val="003B73B0"/>
    <w:rsid w:val="003B748F"/>
    <w:rsid w:val="003B74B8"/>
    <w:rsid w:val="003B7514"/>
    <w:rsid w:val="003B751C"/>
    <w:rsid w:val="003B76D4"/>
    <w:rsid w:val="003B7715"/>
    <w:rsid w:val="003B778C"/>
    <w:rsid w:val="003B77D8"/>
    <w:rsid w:val="003B7A6E"/>
    <w:rsid w:val="003B7C3D"/>
    <w:rsid w:val="003B7CAE"/>
    <w:rsid w:val="003B7CB2"/>
    <w:rsid w:val="003B7F1B"/>
    <w:rsid w:val="003B7FC0"/>
    <w:rsid w:val="003C007D"/>
    <w:rsid w:val="003C0081"/>
    <w:rsid w:val="003C0122"/>
    <w:rsid w:val="003C0264"/>
    <w:rsid w:val="003C034E"/>
    <w:rsid w:val="003C03C8"/>
    <w:rsid w:val="003C04EE"/>
    <w:rsid w:val="003C0501"/>
    <w:rsid w:val="003C050B"/>
    <w:rsid w:val="003C0578"/>
    <w:rsid w:val="003C06B6"/>
    <w:rsid w:val="003C084A"/>
    <w:rsid w:val="003C08A2"/>
    <w:rsid w:val="003C09AC"/>
    <w:rsid w:val="003C0C59"/>
    <w:rsid w:val="003C0C61"/>
    <w:rsid w:val="003C0D15"/>
    <w:rsid w:val="003C0DDF"/>
    <w:rsid w:val="003C0EB1"/>
    <w:rsid w:val="003C0FF5"/>
    <w:rsid w:val="003C11F5"/>
    <w:rsid w:val="003C128E"/>
    <w:rsid w:val="003C12F1"/>
    <w:rsid w:val="003C13C9"/>
    <w:rsid w:val="003C1450"/>
    <w:rsid w:val="003C14A7"/>
    <w:rsid w:val="003C1577"/>
    <w:rsid w:val="003C169C"/>
    <w:rsid w:val="003C16C5"/>
    <w:rsid w:val="003C16DD"/>
    <w:rsid w:val="003C18A9"/>
    <w:rsid w:val="003C1908"/>
    <w:rsid w:val="003C192F"/>
    <w:rsid w:val="003C19A1"/>
    <w:rsid w:val="003C19AD"/>
    <w:rsid w:val="003C1B16"/>
    <w:rsid w:val="003C1B1C"/>
    <w:rsid w:val="003C1B1E"/>
    <w:rsid w:val="003C1B56"/>
    <w:rsid w:val="003C1C61"/>
    <w:rsid w:val="003C1D7B"/>
    <w:rsid w:val="003C1E7F"/>
    <w:rsid w:val="003C1FE0"/>
    <w:rsid w:val="003C202F"/>
    <w:rsid w:val="003C208F"/>
    <w:rsid w:val="003C2092"/>
    <w:rsid w:val="003C20D0"/>
    <w:rsid w:val="003C2150"/>
    <w:rsid w:val="003C21F0"/>
    <w:rsid w:val="003C2236"/>
    <w:rsid w:val="003C2488"/>
    <w:rsid w:val="003C25DE"/>
    <w:rsid w:val="003C2652"/>
    <w:rsid w:val="003C285E"/>
    <w:rsid w:val="003C2B68"/>
    <w:rsid w:val="003C2B70"/>
    <w:rsid w:val="003C2BAD"/>
    <w:rsid w:val="003C2BC5"/>
    <w:rsid w:val="003C2E42"/>
    <w:rsid w:val="003C2E7F"/>
    <w:rsid w:val="003C2F1C"/>
    <w:rsid w:val="003C2F48"/>
    <w:rsid w:val="003C2FE1"/>
    <w:rsid w:val="003C305E"/>
    <w:rsid w:val="003C3065"/>
    <w:rsid w:val="003C30D9"/>
    <w:rsid w:val="003C30EE"/>
    <w:rsid w:val="003C313B"/>
    <w:rsid w:val="003C315D"/>
    <w:rsid w:val="003C333F"/>
    <w:rsid w:val="003C33A8"/>
    <w:rsid w:val="003C352B"/>
    <w:rsid w:val="003C35ED"/>
    <w:rsid w:val="003C3713"/>
    <w:rsid w:val="003C3874"/>
    <w:rsid w:val="003C388E"/>
    <w:rsid w:val="003C3969"/>
    <w:rsid w:val="003C3AD0"/>
    <w:rsid w:val="003C3CA1"/>
    <w:rsid w:val="003C3CC7"/>
    <w:rsid w:val="003C3D3D"/>
    <w:rsid w:val="003C3DC7"/>
    <w:rsid w:val="003C3E63"/>
    <w:rsid w:val="003C3F1B"/>
    <w:rsid w:val="003C404C"/>
    <w:rsid w:val="003C42D3"/>
    <w:rsid w:val="003C42DC"/>
    <w:rsid w:val="003C434C"/>
    <w:rsid w:val="003C44B1"/>
    <w:rsid w:val="003C4579"/>
    <w:rsid w:val="003C46BB"/>
    <w:rsid w:val="003C4717"/>
    <w:rsid w:val="003C475D"/>
    <w:rsid w:val="003C496F"/>
    <w:rsid w:val="003C49B8"/>
    <w:rsid w:val="003C4A84"/>
    <w:rsid w:val="003C4AEC"/>
    <w:rsid w:val="003C4D6A"/>
    <w:rsid w:val="003C4D6C"/>
    <w:rsid w:val="003C4DBA"/>
    <w:rsid w:val="003C4E1C"/>
    <w:rsid w:val="003C4FED"/>
    <w:rsid w:val="003C5097"/>
    <w:rsid w:val="003C515D"/>
    <w:rsid w:val="003C5234"/>
    <w:rsid w:val="003C5390"/>
    <w:rsid w:val="003C572E"/>
    <w:rsid w:val="003C587F"/>
    <w:rsid w:val="003C5A8D"/>
    <w:rsid w:val="003C5B5E"/>
    <w:rsid w:val="003C5BC4"/>
    <w:rsid w:val="003C5C72"/>
    <w:rsid w:val="003C5CCE"/>
    <w:rsid w:val="003C5D71"/>
    <w:rsid w:val="003C5D88"/>
    <w:rsid w:val="003C5DCA"/>
    <w:rsid w:val="003C5F04"/>
    <w:rsid w:val="003C6302"/>
    <w:rsid w:val="003C6304"/>
    <w:rsid w:val="003C6406"/>
    <w:rsid w:val="003C6440"/>
    <w:rsid w:val="003C66D4"/>
    <w:rsid w:val="003C671D"/>
    <w:rsid w:val="003C6775"/>
    <w:rsid w:val="003C6913"/>
    <w:rsid w:val="003C6922"/>
    <w:rsid w:val="003C6AED"/>
    <w:rsid w:val="003C6D73"/>
    <w:rsid w:val="003C6FCE"/>
    <w:rsid w:val="003C6FEF"/>
    <w:rsid w:val="003C7099"/>
    <w:rsid w:val="003C7187"/>
    <w:rsid w:val="003C71A1"/>
    <w:rsid w:val="003C7224"/>
    <w:rsid w:val="003C7258"/>
    <w:rsid w:val="003C7327"/>
    <w:rsid w:val="003C73B5"/>
    <w:rsid w:val="003C74E5"/>
    <w:rsid w:val="003C754F"/>
    <w:rsid w:val="003C7642"/>
    <w:rsid w:val="003C7679"/>
    <w:rsid w:val="003C774E"/>
    <w:rsid w:val="003C7A6F"/>
    <w:rsid w:val="003C7D9A"/>
    <w:rsid w:val="003C7DA7"/>
    <w:rsid w:val="003C7DDE"/>
    <w:rsid w:val="003C7E2C"/>
    <w:rsid w:val="003D0114"/>
    <w:rsid w:val="003D0161"/>
    <w:rsid w:val="003D02AE"/>
    <w:rsid w:val="003D02DC"/>
    <w:rsid w:val="003D041F"/>
    <w:rsid w:val="003D0540"/>
    <w:rsid w:val="003D057F"/>
    <w:rsid w:val="003D0711"/>
    <w:rsid w:val="003D096E"/>
    <w:rsid w:val="003D0BA1"/>
    <w:rsid w:val="003D0C44"/>
    <w:rsid w:val="003D0CA3"/>
    <w:rsid w:val="003D0CB4"/>
    <w:rsid w:val="003D0CBC"/>
    <w:rsid w:val="003D10D1"/>
    <w:rsid w:val="003D114B"/>
    <w:rsid w:val="003D1200"/>
    <w:rsid w:val="003D1345"/>
    <w:rsid w:val="003D1478"/>
    <w:rsid w:val="003D1480"/>
    <w:rsid w:val="003D1487"/>
    <w:rsid w:val="003D15CA"/>
    <w:rsid w:val="003D1694"/>
    <w:rsid w:val="003D1878"/>
    <w:rsid w:val="003D1890"/>
    <w:rsid w:val="003D18EC"/>
    <w:rsid w:val="003D193C"/>
    <w:rsid w:val="003D1A50"/>
    <w:rsid w:val="003D1B89"/>
    <w:rsid w:val="003D1D63"/>
    <w:rsid w:val="003D1E58"/>
    <w:rsid w:val="003D1E8E"/>
    <w:rsid w:val="003D1F13"/>
    <w:rsid w:val="003D1F50"/>
    <w:rsid w:val="003D20F0"/>
    <w:rsid w:val="003D20FA"/>
    <w:rsid w:val="003D211C"/>
    <w:rsid w:val="003D225D"/>
    <w:rsid w:val="003D228D"/>
    <w:rsid w:val="003D2403"/>
    <w:rsid w:val="003D24A7"/>
    <w:rsid w:val="003D25E6"/>
    <w:rsid w:val="003D2754"/>
    <w:rsid w:val="003D28AD"/>
    <w:rsid w:val="003D28BC"/>
    <w:rsid w:val="003D29CE"/>
    <w:rsid w:val="003D2AB9"/>
    <w:rsid w:val="003D2B28"/>
    <w:rsid w:val="003D2CFC"/>
    <w:rsid w:val="003D2D75"/>
    <w:rsid w:val="003D2EFE"/>
    <w:rsid w:val="003D2F38"/>
    <w:rsid w:val="003D2F86"/>
    <w:rsid w:val="003D3141"/>
    <w:rsid w:val="003D3454"/>
    <w:rsid w:val="003D3480"/>
    <w:rsid w:val="003D37B9"/>
    <w:rsid w:val="003D37D6"/>
    <w:rsid w:val="003D38D4"/>
    <w:rsid w:val="003D3955"/>
    <w:rsid w:val="003D3B8E"/>
    <w:rsid w:val="003D3C49"/>
    <w:rsid w:val="003D3C76"/>
    <w:rsid w:val="003D3C93"/>
    <w:rsid w:val="003D3D20"/>
    <w:rsid w:val="003D3DA1"/>
    <w:rsid w:val="003D3DF2"/>
    <w:rsid w:val="003D3E1D"/>
    <w:rsid w:val="003D3EC2"/>
    <w:rsid w:val="003D424E"/>
    <w:rsid w:val="003D42D0"/>
    <w:rsid w:val="003D42EC"/>
    <w:rsid w:val="003D439B"/>
    <w:rsid w:val="003D43FE"/>
    <w:rsid w:val="003D442A"/>
    <w:rsid w:val="003D46AA"/>
    <w:rsid w:val="003D4710"/>
    <w:rsid w:val="003D47F1"/>
    <w:rsid w:val="003D48AE"/>
    <w:rsid w:val="003D48F5"/>
    <w:rsid w:val="003D4957"/>
    <w:rsid w:val="003D4A9A"/>
    <w:rsid w:val="003D4AF0"/>
    <w:rsid w:val="003D4B20"/>
    <w:rsid w:val="003D4B52"/>
    <w:rsid w:val="003D4B7C"/>
    <w:rsid w:val="003D4C35"/>
    <w:rsid w:val="003D4C64"/>
    <w:rsid w:val="003D4D3B"/>
    <w:rsid w:val="003D4D3F"/>
    <w:rsid w:val="003D4D71"/>
    <w:rsid w:val="003D4DBD"/>
    <w:rsid w:val="003D4DD0"/>
    <w:rsid w:val="003D4DDA"/>
    <w:rsid w:val="003D4E85"/>
    <w:rsid w:val="003D4EB5"/>
    <w:rsid w:val="003D5349"/>
    <w:rsid w:val="003D54F6"/>
    <w:rsid w:val="003D56FF"/>
    <w:rsid w:val="003D5701"/>
    <w:rsid w:val="003D58D2"/>
    <w:rsid w:val="003D59B3"/>
    <w:rsid w:val="003D5A31"/>
    <w:rsid w:val="003D5A6F"/>
    <w:rsid w:val="003D5AAF"/>
    <w:rsid w:val="003D5BE5"/>
    <w:rsid w:val="003D5C60"/>
    <w:rsid w:val="003D5CB7"/>
    <w:rsid w:val="003D5D03"/>
    <w:rsid w:val="003D5E91"/>
    <w:rsid w:val="003D5EC6"/>
    <w:rsid w:val="003D5F60"/>
    <w:rsid w:val="003D5FB5"/>
    <w:rsid w:val="003D5FD6"/>
    <w:rsid w:val="003D5FD7"/>
    <w:rsid w:val="003D60D6"/>
    <w:rsid w:val="003D6197"/>
    <w:rsid w:val="003D62C6"/>
    <w:rsid w:val="003D6449"/>
    <w:rsid w:val="003D647E"/>
    <w:rsid w:val="003D64F0"/>
    <w:rsid w:val="003D66E4"/>
    <w:rsid w:val="003D6778"/>
    <w:rsid w:val="003D6839"/>
    <w:rsid w:val="003D68C2"/>
    <w:rsid w:val="003D68E7"/>
    <w:rsid w:val="003D68ED"/>
    <w:rsid w:val="003D694C"/>
    <w:rsid w:val="003D6950"/>
    <w:rsid w:val="003D6A92"/>
    <w:rsid w:val="003D6B13"/>
    <w:rsid w:val="003D6DF8"/>
    <w:rsid w:val="003D6E44"/>
    <w:rsid w:val="003D6F1F"/>
    <w:rsid w:val="003D7049"/>
    <w:rsid w:val="003D70B2"/>
    <w:rsid w:val="003D7273"/>
    <w:rsid w:val="003D7388"/>
    <w:rsid w:val="003D73E3"/>
    <w:rsid w:val="003D73F8"/>
    <w:rsid w:val="003D74F0"/>
    <w:rsid w:val="003D75EB"/>
    <w:rsid w:val="003D7622"/>
    <w:rsid w:val="003D771B"/>
    <w:rsid w:val="003D7782"/>
    <w:rsid w:val="003D77BE"/>
    <w:rsid w:val="003D77D4"/>
    <w:rsid w:val="003D7A5D"/>
    <w:rsid w:val="003D7A78"/>
    <w:rsid w:val="003D7AB4"/>
    <w:rsid w:val="003D7BCA"/>
    <w:rsid w:val="003D7C0E"/>
    <w:rsid w:val="003D7C42"/>
    <w:rsid w:val="003D7C5A"/>
    <w:rsid w:val="003D7CEA"/>
    <w:rsid w:val="003D7DF7"/>
    <w:rsid w:val="003D7F8C"/>
    <w:rsid w:val="003E0059"/>
    <w:rsid w:val="003E006E"/>
    <w:rsid w:val="003E00C8"/>
    <w:rsid w:val="003E0641"/>
    <w:rsid w:val="003E075F"/>
    <w:rsid w:val="003E094A"/>
    <w:rsid w:val="003E09DD"/>
    <w:rsid w:val="003E0A10"/>
    <w:rsid w:val="003E0AC9"/>
    <w:rsid w:val="003E0CDC"/>
    <w:rsid w:val="003E0E9D"/>
    <w:rsid w:val="003E1004"/>
    <w:rsid w:val="003E1084"/>
    <w:rsid w:val="003E10DB"/>
    <w:rsid w:val="003E11AF"/>
    <w:rsid w:val="003E1293"/>
    <w:rsid w:val="003E1294"/>
    <w:rsid w:val="003E12DB"/>
    <w:rsid w:val="003E1479"/>
    <w:rsid w:val="003E166A"/>
    <w:rsid w:val="003E17C9"/>
    <w:rsid w:val="003E17E5"/>
    <w:rsid w:val="003E1848"/>
    <w:rsid w:val="003E1912"/>
    <w:rsid w:val="003E1937"/>
    <w:rsid w:val="003E1D4C"/>
    <w:rsid w:val="003E1DFE"/>
    <w:rsid w:val="003E1E99"/>
    <w:rsid w:val="003E1F53"/>
    <w:rsid w:val="003E1FAC"/>
    <w:rsid w:val="003E205D"/>
    <w:rsid w:val="003E206E"/>
    <w:rsid w:val="003E2102"/>
    <w:rsid w:val="003E21D0"/>
    <w:rsid w:val="003E226C"/>
    <w:rsid w:val="003E22E2"/>
    <w:rsid w:val="003E230D"/>
    <w:rsid w:val="003E2572"/>
    <w:rsid w:val="003E277F"/>
    <w:rsid w:val="003E2789"/>
    <w:rsid w:val="003E2BC5"/>
    <w:rsid w:val="003E2C8B"/>
    <w:rsid w:val="003E2CB3"/>
    <w:rsid w:val="003E2F4C"/>
    <w:rsid w:val="003E30C8"/>
    <w:rsid w:val="003E318A"/>
    <w:rsid w:val="003E31FF"/>
    <w:rsid w:val="003E3326"/>
    <w:rsid w:val="003E33EA"/>
    <w:rsid w:val="003E3497"/>
    <w:rsid w:val="003E34BD"/>
    <w:rsid w:val="003E36E1"/>
    <w:rsid w:val="003E385B"/>
    <w:rsid w:val="003E3B4B"/>
    <w:rsid w:val="003E3B83"/>
    <w:rsid w:val="003E3BAD"/>
    <w:rsid w:val="003E3BB5"/>
    <w:rsid w:val="003E3CE8"/>
    <w:rsid w:val="003E3D3C"/>
    <w:rsid w:val="003E3D4F"/>
    <w:rsid w:val="003E3D9D"/>
    <w:rsid w:val="003E3E62"/>
    <w:rsid w:val="003E4375"/>
    <w:rsid w:val="003E4403"/>
    <w:rsid w:val="003E462C"/>
    <w:rsid w:val="003E4774"/>
    <w:rsid w:val="003E47A1"/>
    <w:rsid w:val="003E47B5"/>
    <w:rsid w:val="003E4899"/>
    <w:rsid w:val="003E4956"/>
    <w:rsid w:val="003E4A09"/>
    <w:rsid w:val="003E4AD8"/>
    <w:rsid w:val="003E4BA7"/>
    <w:rsid w:val="003E5075"/>
    <w:rsid w:val="003E509B"/>
    <w:rsid w:val="003E52FA"/>
    <w:rsid w:val="003E5421"/>
    <w:rsid w:val="003E5505"/>
    <w:rsid w:val="003E5764"/>
    <w:rsid w:val="003E583B"/>
    <w:rsid w:val="003E5947"/>
    <w:rsid w:val="003E59E3"/>
    <w:rsid w:val="003E5A6A"/>
    <w:rsid w:val="003E5C63"/>
    <w:rsid w:val="003E5C94"/>
    <w:rsid w:val="003E5DFD"/>
    <w:rsid w:val="003E5F4E"/>
    <w:rsid w:val="003E607C"/>
    <w:rsid w:val="003E60C9"/>
    <w:rsid w:val="003E60E7"/>
    <w:rsid w:val="003E616A"/>
    <w:rsid w:val="003E627E"/>
    <w:rsid w:val="003E6280"/>
    <w:rsid w:val="003E64F3"/>
    <w:rsid w:val="003E65B6"/>
    <w:rsid w:val="003E6615"/>
    <w:rsid w:val="003E668D"/>
    <w:rsid w:val="003E6695"/>
    <w:rsid w:val="003E67E0"/>
    <w:rsid w:val="003E6A0C"/>
    <w:rsid w:val="003E6A1E"/>
    <w:rsid w:val="003E6AD1"/>
    <w:rsid w:val="003E6B74"/>
    <w:rsid w:val="003E6C7C"/>
    <w:rsid w:val="003E6D6A"/>
    <w:rsid w:val="003E6DCE"/>
    <w:rsid w:val="003E710A"/>
    <w:rsid w:val="003E7164"/>
    <w:rsid w:val="003E7310"/>
    <w:rsid w:val="003E7598"/>
    <w:rsid w:val="003E75AE"/>
    <w:rsid w:val="003E75DE"/>
    <w:rsid w:val="003E76A7"/>
    <w:rsid w:val="003E76CC"/>
    <w:rsid w:val="003E7774"/>
    <w:rsid w:val="003E77BF"/>
    <w:rsid w:val="003E78A1"/>
    <w:rsid w:val="003E78CF"/>
    <w:rsid w:val="003E79AE"/>
    <w:rsid w:val="003E7A46"/>
    <w:rsid w:val="003E7A53"/>
    <w:rsid w:val="003E7C01"/>
    <w:rsid w:val="003E7C3A"/>
    <w:rsid w:val="003E7E5F"/>
    <w:rsid w:val="003E7EFE"/>
    <w:rsid w:val="003E7F21"/>
    <w:rsid w:val="003F000D"/>
    <w:rsid w:val="003F00D6"/>
    <w:rsid w:val="003F018A"/>
    <w:rsid w:val="003F01FF"/>
    <w:rsid w:val="003F0362"/>
    <w:rsid w:val="003F057E"/>
    <w:rsid w:val="003F0698"/>
    <w:rsid w:val="003F0792"/>
    <w:rsid w:val="003F0927"/>
    <w:rsid w:val="003F0B5A"/>
    <w:rsid w:val="003F0BC9"/>
    <w:rsid w:val="003F0C19"/>
    <w:rsid w:val="003F0E2A"/>
    <w:rsid w:val="003F0FD4"/>
    <w:rsid w:val="003F1081"/>
    <w:rsid w:val="003F10B7"/>
    <w:rsid w:val="003F10C9"/>
    <w:rsid w:val="003F10DE"/>
    <w:rsid w:val="003F119C"/>
    <w:rsid w:val="003F130A"/>
    <w:rsid w:val="003F13E8"/>
    <w:rsid w:val="003F153E"/>
    <w:rsid w:val="003F155A"/>
    <w:rsid w:val="003F156B"/>
    <w:rsid w:val="003F163C"/>
    <w:rsid w:val="003F1683"/>
    <w:rsid w:val="003F16C5"/>
    <w:rsid w:val="003F16F9"/>
    <w:rsid w:val="003F1A2C"/>
    <w:rsid w:val="003F1A45"/>
    <w:rsid w:val="003F1AC4"/>
    <w:rsid w:val="003F1B00"/>
    <w:rsid w:val="003F1BDE"/>
    <w:rsid w:val="003F1D75"/>
    <w:rsid w:val="003F1D9E"/>
    <w:rsid w:val="003F1EB8"/>
    <w:rsid w:val="003F1EEB"/>
    <w:rsid w:val="003F2019"/>
    <w:rsid w:val="003F20F6"/>
    <w:rsid w:val="003F22E9"/>
    <w:rsid w:val="003F236C"/>
    <w:rsid w:val="003F2387"/>
    <w:rsid w:val="003F2396"/>
    <w:rsid w:val="003F2469"/>
    <w:rsid w:val="003F2503"/>
    <w:rsid w:val="003F25D0"/>
    <w:rsid w:val="003F260F"/>
    <w:rsid w:val="003F2865"/>
    <w:rsid w:val="003F2876"/>
    <w:rsid w:val="003F29EA"/>
    <w:rsid w:val="003F2EC3"/>
    <w:rsid w:val="003F2EE7"/>
    <w:rsid w:val="003F2F61"/>
    <w:rsid w:val="003F3024"/>
    <w:rsid w:val="003F3078"/>
    <w:rsid w:val="003F3094"/>
    <w:rsid w:val="003F3184"/>
    <w:rsid w:val="003F3230"/>
    <w:rsid w:val="003F3265"/>
    <w:rsid w:val="003F329A"/>
    <w:rsid w:val="003F3391"/>
    <w:rsid w:val="003F3426"/>
    <w:rsid w:val="003F347B"/>
    <w:rsid w:val="003F3584"/>
    <w:rsid w:val="003F35A1"/>
    <w:rsid w:val="003F3669"/>
    <w:rsid w:val="003F3694"/>
    <w:rsid w:val="003F36FB"/>
    <w:rsid w:val="003F3722"/>
    <w:rsid w:val="003F3738"/>
    <w:rsid w:val="003F3872"/>
    <w:rsid w:val="003F39FC"/>
    <w:rsid w:val="003F3A8E"/>
    <w:rsid w:val="003F3B40"/>
    <w:rsid w:val="003F3B88"/>
    <w:rsid w:val="003F3B91"/>
    <w:rsid w:val="003F3CE0"/>
    <w:rsid w:val="003F3D30"/>
    <w:rsid w:val="003F3EB1"/>
    <w:rsid w:val="003F3ECB"/>
    <w:rsid w:val="003F3F06"/>
    <w:rsid w:val="003F3F32"/>
    <w:rsid w:val="003F3F64"/>
    <w:rsid w:val="003F3F94"/>
    <w:rsid w:val="003F3F9A"/>
    <w:rsid w:val="003F3FC8"/>
    <w:rsid w:val="003F417D"/>
    <w:rsid w:val="003F4259"/>
    <w:rsid w:val="003F42A9"/>
    <w:rsid w:val="003F430C"/>
    <w:rsid w:val="003F44B1"/>
    <w:rsid w:val="003F45BF"/>
    <w:rsid w:val="003F4666"/>
    <w:rsid w:val="003F48E7"/>
    <w:rsid w:val="003F4919"/>
    <w:rsid w:val="003F49C4"/>
    <w:rsid w:val="003F4A96"/>
    <w:rsid w:val="003F4BEE"/>
    <w:rsid w:val="003F4CEC"/>
    <w:rsid w:val="003F4E64"/>
    <w:rsid w:val="003F4E91"/>
    <w:rsid w:val="003F4F03"/>
    <w:rsid w:val="003F5041"/>
    <w:rsid w:val="003F5042"/>
    <w:rsid w:val="003F50E9"/>
    <w:rsid w:val="003F529D"/>
    <w:rsid w:val="003F5354"/>
    <w:rsid w:val="003F5595"/>
    <w:rsid w:val="003F55CA"/>
    <w:rsid w:val="003F57E0"/>
    <w:rsid w:val="003F5817"/>
    <w:rsid w:val="003F5844"/>
    <w:rsid w:val="003F587C"/>
    <w:rsid w:val="003F58CB"/>
    <w:rsid w:val="003F58FB"/>
    <w:rsid w:val="003F591A"/>
    <w:rsid w:val="003F592D"/>
    <w:rsid w:val="003F5952"/>
    <w:rsid w:val="003F5ACF"/>
    <w:rsid w:val="003F5AFC"/>
    <w:rsid w:val="003F5BA8"/>
    <w:rsid w:val="003F5CA9"/>
    <w:rsid w:val="003F5CBB"/>
    <w:rsid w:val="003F5DD1"/>
    <w:rsid w:val="003F5E51"/>
    <w:rsid w:val="003F5EB0"/>
    <w:rsid w:val="003F5F18"/>
    <w:rsid w:val="003F5F54"/>
    <w:rsid w:val="003F633C"/>
    <w:rsid w:val="003F637C"/>
    <w:rsid w:val="003F63AD"/>
    <w:rsid w:val="003F6431"/>
    <w:rsid w:val="003F6786"/>
    <w:rsid w:val="003F67DC"/>
    <w:rsid w:val="003F6859"/>
    <w:rsid w:val="003F6937"/>
    <w:rsid w:val="003F6A03"/>
    <w:rsid w:val="003F6AEB"/>
    <w:rsid w:val="003F6AF4"/>
    <w:rsid w:val="003F6B16"/>
    <w:rsid w:val="003F6C0A"/>
    <w:rsid w:val="003F6D19"/>
    <w:rsid w:val="003F6D30"/>
    <w:rsid w:val="003F6D92"/>
    <w:rsid w:val="003F6F5E"/>
    <w:rsid w:val="003F6FD8"/>
    <w:rsid w:val="003F70C1"/>
    <w:rsid w:val="003F70F1"/>
    <w:rsid w:val="003F721B"/>
    <w:rsid w:val="003F7274"/>
    <w:rsid w:val="003F72BC"/>
    <w:rsid w:val="003F73DD"/>
    <w:rsid w:val="003F73F5"/>
    <w:rsid w:val="003F7459"/>
    <w:rsid w:val="003F7585"/>
    <w:rsid w:val="003F75E9"/>
    <w:rsid w:val="003F788E"/>
    <w:rsid w:val="003F78BD"/>
    <w:rsid w:val="003F7947"/>
    <w:rsid w:val="003F7D08"/>
    <w:rsid w:val="003F7D8E"/>
    <w:rsid w:val="003F7F04"/>
    <w:rsid w:val="004000C6"/>
    <w:rsid w:val="00400588"/>
    <w:rsid w:val="00400679"/>
    <w:rsid w:val="00400B45"/>
    <w:rsid w:val="00400B68"/>
    <w:rsid w:val="00400EBE"/>
    <w:rsid w:val="0040101C"/>
    <w:rsid w:val="0040112A"/>
    <w:rsid w:val="0040137A"/>
    <w:rsid w:val="004013AA"/>
    <w:rsid w:val="004013EF"/>
    <w:rsid w:val="00401459"/>
    <w:rsid w:val="00401468"/>
    <w:rsid w:val="004014B6"/>
    <w:rsid w:val="004014E5"/>
    <w:rsid w:val="00401524"/>
    <w:rsid w:val="00401649"/>
    <w:rsid w:val="00401739"/>
    <w:rsid w:val="00401B70"/>
    <w:rsid w:val="00401C04"/>
    <w:rsid w:val="00401C68"/>
    <w:rsid w:val="00401D01"/>
    <w:rsid w:val="00401D3A"/>
    <w:rsid w:val="00401FAF"/>
    <w:rsid w:val="00401FBC"/>
    <w:rsid w:val="0040201F"/>
    <w:rsid w:val="00402044"/>
    <w:rsid w:val="00402291"/>
    <w:rsid w:val="00402590"/>
    <w:rsid w:val="0040291E"/>
    <w:rsid w:val="004029A9"/>
    <w:rsid w:val="00402A63"/>
    <w:rsid w:val="00402CF1"/>
    <w:rsid w:val="00402D29"/>
    <w:rsid w:val="00403076"/>
    <w:rsid w:val="00403117"/>
    <w:rsid w:val="0040315C"/>
    <w:rsid w:val="00403162"/>
    <w:rsid w:val="004033D9"/>
    <w:rsid w:val="00403415"/>
    <w:rsid w:val="004034A3"/>
    <w:rsid w:val="004035A5"/>
    <w:rsid w:val="004035F7"/>
    <w:rsid w:val="004036DF"/>
    <w:rsid w:val="004037CA"/>
    <w:rsid w:val="004038E5"/>
    <w:rsid w:val="00403A3A"/>
    <w:rsid w:val="00403C14"/>
    <w:rsid w:val="00403CC6"/>
    <w:rsid w:val="00403D4C"/>
    <w:rsid w:val="00403D7D"/>
    <w:rsid w:val="00403EB8"/>
    <w:rsid w:val="00403F6A"/>
    <w:rsid w:val="00403FE3"/>
    <w:rsid w:val="0040413F"/>
    <w:rsid w:val="004041B3"/>
    <w:rsid w:val="00404209"/>
    <w:rsid w:val="0040430A"/>
    <w:rsid w:val="004043B0"/>
    <w:rsid w:val="004043BE"/>
    <w:rsid w:val="004043FF"/>
    <w:rsid w:val="004044CD"/>
    <w:rsid w:val="004044E5"/>
    <w:rsid w:val="004044F9"/>
    <w:rsid w:val="0040463A"/>
    <w:rsid w:val="004046A8"/>
    <w:rsid w:val="004046C5"/>
    <w:rsid w:val="0040474E"/>
    <w:rsid w:val="00404786"/>
    <w:rsid w:val="00404790"/>
    <w:rsid w:val="004047D0"/>
    <w:rsid w:val="004047E7"/>
    <w:rsid w:val="00404869"/>
    <w:rsid w:val="004048F6"/>
    <w:rsid w:val="00404959"/>
    <w:rsid w:val="00404A4F"/>
    <w:rsid w:val="00404B85"/>
    <w:rsid w:val="00404C3B"/>
    <w:rsid w:val="00404C4E"/>
    <w:rsid w:val="00404CCE"/>
    <w:rsid w:val="00404D51"/>
    <w:rsid w:val="00404E9C"/>
    <w:rsid w:val="00404EFD"/>
    <w:rsid w:val="00404FC7"/>
    <w:rsid w:val="00405057"/>
    <w:rsid w:val="004051E1"/>
    <w:rsid w:val="0040520B"/>
    <w:rsid w:val="00405245"/>
    <w:rsid w:val="00405266"/>
    <w:rsid w:val="00405315"/>
    <w:rsid w:val="00405342"/>
    <w:rsid w:val="0040536B"/>
    <w:rsid w:val="00405393"/>
    <w:rsid w:val="0040539A"/>
    <w:rsid w:val="00405425"/>
    <w:rsid w:val="0040563E"/>
    <w:rsid w:val="00405692"/>
    <w:rsid w:val="00405696"/>
    <w:rsid w:val="0040591A"/>
    <w:rsid w:val="00405970"/>
    <w:rsid w:val="0040598C"/>
    <w:rsid w:val="00405A88"/>
    <w:rsid w:val="00405ABC"/>
    <w:rsid w:val="00405B02"/>
    <w:rsid w:val="00405B22"/>
    <w:rsid w:val="00405CD4"/>
    <w:rsid w:val="00405DAE"/>
    <w:rsid w:val="00405DCA"/>
    <w:rsid w:val="00405E51"/>
    <w:rsid w:val="00405E8A"/>
    <w:rsid w:val="00405F0B"/>
    <w:rsid w:val="00406025"/>
    <w:rsid w:val="004060BA"/>
    <w:rsid w:val="004060FB"/>
    <w:rsid w:val="004061CA"/>
    <w:rsid w:val="00406238"/>
    <w:rsid w:val="0040625B"/>
    <w:rsid w:val="00406330"/>
    <w:rsid w:val="0040652A"/>
    <w:rsid w:val="004066CE"/>
    <w:rsid w:val="00406807"/>
    <w:rsid w:val="00406863"/>
    <w:rsid w:val="004068B7"/>
    <w:rsid w:val="00406BE9"/>
    <w:rsid w:val="00406D3D"/>
    <w:rsid w:val="00406E2F"/>
    <w:rsid w:val="00406E94"/>
    <w:rsid w:val="00406FF2"/>
    <w:rsid w:val="00407012"/>
    <w:rsid w:val="00407084"/>
    <w:rsid w:val="0040716F"/>
    <w:rsid w:val="0040727C"/>
    <w:rsid w:val="004073CA"/>
    <w:rsid w:val="004074C1"/>
    <w:rsid w:val="0040773B"/>
    <w:rsid w:val="004077D1"/>
    <w:rsid w:val="0040783E"/>
    <w:rsid w:val="00407840"/>
    <w:rsid w:val="00407956"/>
    <w:rsid w:val="0040799A"/>
    <w:rsid w:val="004079A6"/>
    <w:rsid w:val="00407D3C"/>
    <w:rsid w:val="00407DE3"/>
    <w:rsid w:val="00407E69"/>
    <w:rsid w:val="004100CC"/>
    <w:rsid w:val="00410311"/>
    <w:rsid w:val="00410988"/>
    <w:rsid w:val="004109BA"/>
    <w:rsid w:val="00410D02"/>
    <w:rsid w:val="00410D2D"/>
    <w:rsid w:val="00410D6D"/>
    <w:rsid w:val="00410E3E"/>
    <w:rsid w:val="00410E5C"/>
    <w:rsid w:val="00411191"/>
    <w:rsid w:val="004111F7"/>
    <w:rsid w:val="004112FD"/>
    <w:rsid w:val="004115F6"/>
    <w:rsid w:val="004116A9"/>
    <w:rsid w:val="004119D4"/>
    <w:rsid w:val="00411A59"/>
    <w:rsid w:val="00411AC4"/>
    <w:rsid w:val="00411B01"/>
    <w:rsid w:val="00411BB6"/>
    <w:rsid w:val="00411C7D"/>
    <w:rsid w:val="00411D6E"/>
    <w:rsid w:val="0041200C"/>
    <w:rsid w:val="00412203"/>
    <w:rsid w:val="00412500"/>
    <w:rsid w:val="0041257C"/>
    <w:rsid w:val="0041268A"/>
    <w:rsid w:val="00412766"/>
    <w:rsid w:val="004127DB"/>
    <w:rsid w:val="004128AA"/>
    <w:rsid w:val="00412953"/>
    <w:rsid w:val="004129F0"/>
    <w:rsid w:val="00412AE7"/>
    <w:rsid w:val="00412C2C"/>
    <w:rsid w:val="00412D59"/>
    <w:rsid w:val="00412E08"/>
    <w:rsid w:val="00412ED7"/>
    <w:rsid w:val="00413155"/>
    <w:rsid w:val="0041328D"/>
    <w:rsid w:val="0041338B"/>
    <w:rsid w:val="004134A3"/>
    <w:rsid w:val="00413541"/>
    <w:rsid w:val="0041357D"/>
    <w:rsid w:val="00413589"/>
    <w:rsid w:val="004135B1"/>
    <w:rsid w:val="004137D1"/>
    <w:rsid w:val="004138A4"/>
    <w:rsid w:val="004138A5"/>
    <w:rsid w:val="004139D5"/>
    <w:rsid w:val="00413A39"/>
    <w:rsid w:val="00413DB6"/>
    <w:rsid w:val="00413E31"/>
    <w:rsid w:val="00413E82"/>
    <w:rsid w:val="00413F0E"/>
    <w:rsid w:val="00413F37"/>
    <w:rsid w:val="00413F3D"/>
    <w:rsid w:val="00413FFF"/>
    <w:rsid w:val="004143DE"/>
    <w:rsid w:val="0041442D"/>
    <w:rsid w:val="00414481"/>
    <w:rsid w:val="004144A4"/>
    <w:rsid w:val="004144F0"/>
    <w:rsid w:val="00414521"/>
    <w:rsid w:val="004145E2"/>
    <w:rsid w:val="00414683"/>
    <w:rsid w:val="004146E9"/>
    <w:rsid w:val="00414827"/>
    <w:rsid w:val="00414849"/>
    <w:rsid w:val="0041486F"/>
    <w:rsid w:val="00414951"/>
    <w:rsid w:val="0041495D"/>
    <w:rsid w:val="00414997"/>
    <w:rsid w:val="00414A07"/>
    <w:rsid w:val="00414A22"/>
    <w:rsid w:val="00414ACD"/>
    <w:rsid w:val="00414CBF"/>
    <w:rsid w:val="00414EB4"/>
    <w:rsid w:val="00414EEF"/>
    <w:rsid w:val="00414F1E"/>
    <w:rsid w:val="00414FDF"/>
    <w:rsid w:val="00414FF1"/>
    <w:rsid w:val="00415093"/>
    <w:rsid w:val="00415210"/>
    <w:rsid w:val="0041521F"/>
    <w:rsid w:val="0041525A"/>
    <w:rsid w:val="00415426"/>
    <w:rsid w:val="0041547E"/>
    <w:rsid w:val="0041565D"/>
    <w:rsid w:val="00415690"/>
    <w:rsid w:val="0041569A"/>
    <w:rsid w:val="004156A8"/>
    <w:rsid w:val="004158A6"/>
    <w:rsid w:val="00415925"/>
    <w:rsid w:val="00415C66"/>
    <w:rsid w:val="00415C8A"/>
    <w:rsid w:val="00415CF3"/>
    <w:rsid w:val="00415D63"/>
    <w:rsid w:val="00415E41"/>
    <w:rsid w:val="00415E4F"/>
    <w:rsid w:val="00415EB3"/>
    <w:rsid w:val="004160E7"/>
    <w:rsid w:val="00416130"/>
    <w:rsid w:val="0041627B"/>
    <w:rsid w:val="0041631A"/>
    <w:rsid w:val="0041639D"/>
    <w:rsid w:val="00416498"/>
    <w:rsid w:val="00416592"/>
    <w:rsid w:val="00416646"/>
    <w:rsid w:val="0041673B"/>
    <w:rsid w:val="004167BA"/>
    <w:rsid w:val="004169D1"/>
    <w:rsid w:val="00416B94"/>
    <w:rsid w:val="00416BF1"/>
    <w:rsid w:val="00416C64"/>
    <w:rsid w:val="00416E53"/>
    <w:rsid w:val="00416E61"/>
    <w:rsid w:val="00416E9E"/>
    <w:rsid w:val="00416F14"/>
    <w:rsid w:val="0041707E"/>
    <w:rsid w:val="004170A2"/>
    <w:rsid w:val="0041712B"/>
    <w:rsid w:val="004172DE"/>
    <w:rsid w:val="00417581"/>
    <w:rsid w:val="004176A5"/>
    <w:rsid w:val="0041771E"/>
    <w:rsid w:val="0041776D"/>
    <w:rsid w:val="00417B13"/>
    <w:rsid w:val="00417B4C"/>
    <w:rsid w:val="00417BA1"/>
    <w:rsid w:val="00417C2B"/>
    <w:rsid w:val="00417C32"/>
    <w:rsid w:val="00417D9F"/>
    <w:rsid w:val="00417E8A"/>
    <w:rsid w:val="00420012"/>
    <w:rsid w:val="0042007C"/>
    <w:rsid w:val="00420391"/>
    <w:rsid w:val="00420486"/>
    <w:rsid w:val="004204E9"/>
    <w:rsid w:val="004205CC"/>
    <w:rsid w:val="0042061D"/>
    <w:rsid w:val="00420910"/>
    <w:rsid w:val="00420911"/>
    <w:rsid w:val="00420999"/>
    <w:rsid w:val="00420A74"/>
    <w:rsid w:val="00420BE4"/>
    <w:rsid w:val="00420C60"/>
    <w:rsid w:val="00420CE8"/>
    <w:rsid w:val="00420E57"/>
    <w:rsid w:val="00420EA3"/>
    <w:rsid w:val="0042108A"/>
    <w:rsid w:val="004210C9"/>
    <w:rsid w:val="00421192"/>
    <w:rsid w:val="004213A5"/>
    <w:rsid w:val="004213B0"/>
    <w:rsid w:val="004214B2"/>
    <w:rsid w:val="004214F2"/>
    <w:rsid w:val="00421622"/>
    <w:rsid w:val="004216ED"/>
    <w:rsid w:val="0042170B"/>
    <w:rsid w:val="00421810"/>
    <w:rsid w:val="00421871"/>
    <w:rsid w:val="00421959"/>
    <w:rsid w:val="0042195B"/>
    <w:rsid w:val="00421992"/>
    <w:rsid w:val="00421A1A"/>
    <w:rsid w:val="00421A25"/>
    <w:rsid w:val="00421C80"/>
    <w:rsid w:val="00421CD1"/>
    <w:rsid w:val="00421CD5"/>
    <w:rsid w:val="00421D6A"/>
    <w:rsid w:val="00421DAB"/>
    <w:rsid w:val="00421E85"/>
    <w:rsid w:val="00421F48"/>
    <w:rsid w:val="00421FD1"/>
    <w:rsid w:val="0042203B"/>
    <w:rsid w:val="00422133"/>
    <w:rsid w:val="00422177"/>
    <w:rsid w:val="004221EE"/>
    <w:rsid w:val="00422475"/>
    <w:rsid w:val="004224EA"/>
    <w:rsid w:val="00422527"/>
    <w:rsid w:val="00422563"/>
    <w:rsid w:val="004225D5"/>
    <w:rsid w:val="004225E6"/>
    <w:rsid w:val="00422601"/>
    <w:rsid w:val="004226B0"/>
    <w:rsid w:val="00422730"/>
    <w:rsid w:val="004227DF"/>
    <w:rsid w:val="0042289E"/>
    <w:rsid w:val="00422900"/>
    <w:rsid w:val="004229B0"/>
    <w:rsid w:val="00422AB6"/>
    <w:rsid w:val="00422B26"/>
    <w:rsid w:val="00422D73"/>
    <w:rsid w:val="00422E20"/>
    <w:rsid w:val="00422EAA"/>
    <w:rsid w:val="004230AF"/>
    <w:rsid w:val="00423105"/>
    <w:rsid w:val="004231D0"/>
    <w:rsid w:val="00423289"/>
    <w:rsid w:val="004232CC"/>
    <w:rsid w:val="00423316"/>
    <w:rsid w:val="0042332D"/>
    <w:rsid w:val="00423397"/>
    <w:rsid w:val="004233CD"/>
    <w:rsid w:val="0042342E"/>
    <w:rsid w:val="00423461"/>
    <w:rsid w:val="0042349D"/>
    <w:rsid w:val="004234CE"/>
    <w:rsid w:val="00423665"/>
    <w:rsid w:val="004236D2"/>
    <w:rsid w:val="00423702"/>
    <w:rsid w:val="004237BE"/>
    <w:rsid w:val="0042394E"/>
    <w:rsid w:val="00423AC5"/>
    <w:rsid w:val="00423AEB"/>
    <w:rsid w:val="00423B0A"/>
    <w:rsid w:val="00423C6F"/>
    <w:rsid w:val="00423C9D"/>
    <w:rsid w:val="00423E2D"/>
    <w:rsid w:val="00423EAD"/>
    <w:rsid w:val="00423F08"/>
    <w:rsid w:val="0042407F"/>
    <w:rsid w:val="004240C6"/>
    <w:rsid w:val="004241DE"/>
    <w:rsid w:val="00424228"/>
    <w:rsid w:val="0042427E"/>
    <w:rsid w:val="0042481E"/>
    <w:rsid w:val="00424861"/>
    <w:rsid w:val="00424A10"/>
    <w:rsid w:val="00424AB1"/>
    <w:rsid w:val="00424AC0"/>
    <w:rsid w:val="00424B2F"/>
    <w:rsid w:val="00424B8A"/>
    <w:rsid w:val="00424B93"/>
    <w:rsid w:val="00424BB8"/>
    <w:rsid w:val="00424CEB"/>
    <w:rsid w:val="00424D1A"/>
    <w:rsid w:val="00424D72"/>
    <w:rsid w:val="00424DBE"/>
    <w:rsid w:val="00424E56"/>
    <w:rsid w:val="00424F09"/>
    <w:rsid w:val="00424F1A"/>
    <w:rsid w:val="00424F30"/>
    <w:rsid w:val="00425037"/>
    <w:rsid w:val="00425290"/>
    <w:rsid w:val="004252E5"/>
    <w:rsid w:val="0042533D"/>
    <w:rsid w:val="00425398"/>
    <w:rsid w:val="004253A4"/>
    <w:rsid w:val="00425430"/>
    <w:rsid w:val="004254A4"/>
    <w:rsid w:val="00425567"/>
    <w:rsid w:val="004255A4"/>
    <w:rsid w:val="00425683"/>
    <w:rsid w:val="00425726"/>
    <w:rsid w:val="0042588B"/>
    <w:rsid w:val="00425B41"/>
    <w:rsid w:val="00425CA0"/>
    <w:rsid w:val="00425D47"/>
    <w:rsid w:val="00425E83"/>
    <w:rsid w:val="00425EB8"/>
    <w:rsid w:val="00425F2E"/>
    <w:rsid w:val="004260F7"/>
    <w:rsid w:val="0042616D"/>
    <w:rsid w:val="00426211"/>
    <w:rsid w:val="0042621A"/>
    <w:rsid w:val="0042629B"/>
    <w:rsid w:val="00426371"/>
    <w:rsid w:val="004263AF"/>
    <w:rsid w:val="0042643E"/>
    <w:rsid w:val="004264C6"/>
    <w:rsid w:val="00426543"/>
    <w:rsid w:val="00426676"/>
    <w:rsid w:val="004266BF"/>
    <w:rsid w:val="0042684E"/>
    <w:rsid w:val="00426923"/>
    <w:rsid w:val="00426A74"/>
    <w:rsid w:val="00426ACD"/>
    <w:rsid w:val="00426CD8"/>
    <w:rsid w:val="00426D1D"/>
    <w:rsid w:val="00426DD3"/>
    <w:rsid w:val="00426E84"/>
    <w:rsid w:val="00426F31"/>
    <w:rsid w:val="00426F54"/>
    <w:rsid w:val="00426FED"/>
    <w:rsid w:val="00427110"/>
    <w:rsid w:val="00427328"/>
    <w:rsid w:val="00427377"/>
    <w:rsid w:val="004273A7"/>
    <w:rsid w:val="004274F1"/>
    <w:rsid w:val="00427554"/>
    <w:rsid w:val="0042764A"/>
    <w:rsid w:val="004276E8"/>
    <w:rsid w:val="0042770B"/>
    <w:rsid w:val="0042774F"/>
    <w:rsid w:val="0042776D"/>
    <w:rsid w:val="004277B6"/>
    <w:rsid w:val="00427A06"/>
    <w:rsid w:val="00427B8C"/>
    <w:rsid w:val="00427C57"/>
    <w:rsid w:val="00427D32"/>
    <w:rsid w:val="00427D93"/>
    <w:rsid w:val="00427E16"/>
    <w:rsid w:val="00427F0F"/>
    <w:rsid w:val="00427F77"/>
    <w:rsid w:val="004300A5"/>
    <w:rsid w:val="004301A7"/>
    <w:rsid w:val="004301E5"/>
    <w:rsid w:val="004303CB"/>
    <w:rsid w:val="004305C0"/>
    <w:rsid w:val="00430636"/>
    <w:rsid w:val="004306E9"/>
    <w:rsid w:val="004306F2"/>
    <w:rsid w:val="004307EF"/>
    <w:rsid w:val="00430846"/>
    <w:rsid w:val="00430920"/>
    <w:rsid w:val="0043099B"/>
    <w:rsid w:val="00430A24"/>
    <w:rsid w:val="00430AE4"/>
    <w:rsid w:val="00430B4B"/>
    <w:rsid w:val="00430C63"/>
    <w:rsid w:val="00430D22"/>
    <w:rsid w:val="00430D91"/>
    <w:rsid w:val="00430F76"/>
    <w:rsid w:val="00430FEB"/>
    <w:rsid w:val="00430FED"/>
    <w:rsid w:val="004311CF"/>
    <w:rsid w:val="0043130E"/>
    <w:rsid w:val="00431423"/>
    <w:rsid w:val="00431428"/>
    <w:rsid w:val="00431450"/>
    <w:rsid w:val="004314A1"/>
    <w:rsid w:val="004314D1"/>
    <w:rsid w:val="00431778"/>
    <w:rsid w:val="00431853"/>
    <w:rsid w:val="0043192E"/>
    <w:rsid w:val="0043193E"/>
    <w:rsid w:val="00431D13"/>
    <w:rsid w:val="00431D70"/>
    <w:rsid w:val="00431D71"/>
    <w:rsid w:val="00431F58"/>
    <w:rsid w:val="00431F5F"/>
    <w:rsid w:val="00431F91"/>
    <w:rsid w:val="00431F9A"/>
    <w:rsid w:val="00432055"/>
    <w:rsid w:val="004320C4"/>
    <w:rsid w:val="004320FC"/>
    <w:rsid w:val="00432143"/>
    <w:rsid w:val="0043219B"/>
    <w:rsid w:val="00432244"/>
    <w:rsid w:val="00432354"/>
    <w:rsid w:val="00432439"/>
    <w:rsid w:val="004324BA"/>
    <w:rsid w:val="00432555"/>
    <w:rsid w:val="004325F2"/>
    <w:rsid w:val="00432798"/>
    <w:rsid w:val="00432852"/>
    <w:rsid w:val="0043299E"/>
    <w:rsid w:val="004329F0"/>
    <w:rsid w:val="00432BF5"/>
    <w:rsid w:val="00432E84"/>
    <w:rsid w:val="00432EB1"/>
    <w:rsid w:val="00432EBE"/>
    <w:rsid w:val="00432F01"/>
    <w:rsid w:val="00432F4B"/>
    <w:rsid w:val="00433053"/>
    <w:rsid w:val="004330C7"/>
    <w:rsid w:val="00433200"/>
    <w:rsid w:val="004332FD"/>
    <w:rsid w:val="004333A7"/>
    <w:rsid w:val="0043340A"/>
    <w:rsid w:val="0043342E"/>
    <w:rsid w:val="0043355E"/>
    <w:rsid w:val="004335EB"/>
    <w:rsid w:val="0043363E"/>
    <w:rsid w:val="004336F8"/>
    <w:rsid w:val="00433763"/>
    <w:rsid w:val="004338B9"/>
    <w:rsid w:val="004338DB"/>
    <w:rsid w:val="0043393B"/>
    <w:rsid w:val="00433AF9"/>
    <w:rsid w:val="00433C69"/>
    <w:rsid w:val="00433D34"/>
    <w:rsid w:val="00433D53"/>
    <w:rsid w:val="00433DAD"/>
    <w:rsid w:val="00433DB4"/>
    <w:rsid w:val="00433DC3"/>
    <w:rsid w:val="00433E2C"/>
    <w:rsid w:val="00433FF4"/>
    <w:rsid w:val="00434049"/>
    <w:rsid w:val="00434069"/>
    <w:rsid w:val="00434115"/>
    <w:rsid w:val="004341F0"/>
    <w:rsid w:val="004344B4"/>
    <w:rsid w:val="004344F6"/>
    <w:rsid w:val="004345ED"/>
    <w:rsid w:val="004347BB"/>
    <w:rsid w:val="00434916"/>
    <w:rsid w:val="004349D6"/>
    <w:rsid w:val="00434A94"/>
    <w:rsid w:val="00434ACB"/>
    <w:rsid w:val="00434AF0"/>
    <w:rsid w:val="00434B56"/>
    <w:rsid w:val="00434B73"/>
    <w:rsid w:val="00434BD6"/>
    <w:rsid w:val="00434C28"/>
    <w:rsid w:val="00434C5A"/>
    <w:rsid w:val="00434DFB"/>
    <w:rsid w:val="00434EF2"/>
    <w:rsid w:val="00434FBD"/>
    <w:rsid w:val="00434FDB"/>
    <w:rsid w:val="0043508E"/>
    <w:rsid w:val="00435161"/>
    <w:rsid w:val="0043519D"/>
    <w:rsid w:val="0043538C"/>
    <w:rsid w:val="00435461"/>
    <w:rsid w:val="0043546C"/>
    <w:rsid w:val="004355C1"/>
    <w:rsid w:val="0043572D"/>
    <w:rsid w:val="004358DA"/>
    <w:rsid w:val="00435984"/>
    <w:rsid w:val="00435C0C"/>
    <w:rsid w:val="00435C15"/>
    <w:rsid w:val="00435D0B"/>
    <w:rsid w:val="00435E7B"/>
    <w:rsid w:val="00435EF8"/>
    <w:rsid w:val="0043603E"/>
    <w:rsid w:val="0043605D"/>
    <w:rsid w:val="00436170"/>
    <w:rsid w:val="0043618C"/>
    <w:rsid w:val="00436306"/>
    <w:rsid w:val="00436336"/>
    <w:rsid w:val="0043633A"/>
    <w:rsid w:val="00436354"/>
    <w:rsid w:val="00436393"/>
    <w:rsid w:val="004363A9"/>
    <w:rsid w:val="00436424"/>
    <w:rsid w:val="004364B4"/>
    <w:rsid w:val="00436549"/>
    <w:rsid w:val="00436594"/>
    <w:rsid w:val="0043660B"/>
    <w:rsid w:val="0043660F"/>
    <w:rsid w:val="00436B48"/>
    <w:rsid w:val="00436C69"/>
    <w:rsid w:val="00436DDE"/>
    <w:rsid w:val="00437043"/>
    <w:rsid w:val="004370EA"/>
    <w:rsid w:val="004371C5"/>
    <w:rsid w:val="004372DD"/>
    <w:rsid w:val="00437375"/>
    <w:rsid w:val="004373ED"/>
    <w:rsid w:val="004378F0"/>
    <w:rsid w:val="004379B0"/>
    <w:rsid w:val="00437A44"/>
    <w:rsid w:val="00437AD6"/>
    <w:rsid w:val="00437CC4"/>
    <w:rsid w:val="00437E84"/>
    <w:rsid w:val="00437E99"/>
    <w:rsid w:val="00437EB7"/>
    <w:rsid w:val="00437F3B"/>
    <w:rsid w:val="00437F4D"/>
    <w:rsid w:val="00437FD9"/>
    <w:rsid w:val="00440013"/>
    <w:rsid w:val="00440056"/>
    <w:rsid w:val="004402C2"/>
    <w:rsid w:val="00440347"/>
    <w:rsid w:val="004404C2"/>
    <w:rsid w:val="00440531"/>
    <w:rsid w:val="00440560"/>
    <w:rsid w:val="004406E2"/>
    <w:rsid w:val="00440AEA"/>
    <w:rsid w:val="00440AEE"/>
    <w:rsid w:val="00440C76"/>
    <w:rsid w:val="00440CCE"/>
    <w:rsid w:val="00440E59"/>
    <w:rsid w:val="00440EDA"/>
    <w:rsid w:val="0044103A"/>
    <w:rsid w:val="004410DF"/>
    <w:rsid w:val="00441140"/>
    <w:rsid w:val="00441197"/>
    <w:rsid w:val="004411D9"/>
    <w:rsid w:val="0044124F"/>
    <w:rsid w:val="0044126C"/>
    <w:rsid w:val="0044131F"/>
    <w:rsid w:val="004414C2"/>
    <w:rsid w:val="004417CF"/>
    <w:rsid w:val="00441815"/>
    <w:rsid w:val="0044188D"/>
    <w:rsid w:val="00441892"/>
    <w:rsid w:val="00441A8F"/>
    <w:rsid w:val="00441ACC"/>
    <w:rsid w:val="00441AD8"/>
    <w:rsid w:val="00441D13"/>
    <w:rsid w:val="00441D17"/>
    <w:rsid w:val="00441E76"/>
    <w:rsid w:val="00441EDD"/>
    <w:rsid w:val="00441F3F"/>
    <w:rsid w:val="004420E0"/>
    <w:rsid w:val="0044212C"/>
    <w:rsid w:val="004421EC"/>
    <w:rsid w:val="004423AE"/>
    <w:rsid w:val="0044242C"/>
    <w:rsid w:val="00442508"/>
    <w:rsid w:val="00442583"/>
    <w:rsid w:val="00442688"/>
    <w:rsid w:val="0044275A"/>
    <w:rsid w:val="0044296D"/>
    <w:rsid w:val="0044298C"/>
    <w:rsid w:val="00442FB6"/>
    <w:rsid w:val="0044301A"/>
    <w:rsid w:val="00443069"/>
    <w:rsid w:val="00443420"/>
    <w:rsid w:val="00443554"/>
    <w:rsid w:val="004435F4"/>
    <w:rsid w:val="00443728"/>
    <w:rsid w:val="0044379D"/>
    <w:rsid w:val="00443823"/>
    <w:rsid w:val="00443838"/>
    <w:rsid w:val="0044386B"/>
    <w:rsid w:val="004439F0"/>
    <w:rsid w:val="00443A16"/>
    <w:rsid w:val="00443C01"/>
    <w:rsid w:val="00443EBF"/>
    <w:rsid w:val="00443F87"/>
    <w:rsid w:val="0044406B"/>
    <w:rsid w:val="0044420F"/>
    <w:rsid w:val="004442F9"/>
    <w:rsid w:val="004443C6"/>
    <w:rsid w:val="0044442D"/>
    <w:rsid w:val="0044443B"/>
    <w:rsid w:val="00444476"/>
    <w:rsid w:val="004446C6"/>
    <w:rsid w:val="004446E5"/>
    <w:rsid w:val="0044473A"/>
    <w:rsid w:val="004448A1"/>
    <w:rsid w:val="0044490C"/>
    <w:rsid w:val="00444A1F"/>
    <w:rsid w:val="00444B45"/>
    <w:rsid w:val="00444B4E"/>
    <w:rsid w:val="00444BE0"/>
    <w:rsid w:val="00444C69"/>
    <w:rsid w:val="00444F1D"/>
    <w:rsid w:val="00444F4D"/>
    <w:rsid w:val="00445013"/>
    <w:rsid w:val="004452D7"/>
    <w:rsid w:val="00445303"/>
    <w:rsid w:val="0044547B"/>
    <w:rsid w:val="0044555A"/>
    <w:rsid w:val="004455CC"/>
    <w:rsid w:val="00445726"/>
    <w:rsid w:val="0044573E"/>
    <w:rsid w:val="00445774"/>
    <w:rsid w:val="00445806"/>
    <w:rsid w:val="004458BE"/>
    <w:rsid w:val="00445914"/>
    <w:rsid w:val="00445A35"/>
    <w:rsid w:val="00445BD2"/>
    <w:rsid w:val="00445CB1"/>
    <w:rsid w:val="00445CC1"/>
    <w:rsid w:val="00445D0F"/>
    <w:rsid w:val="00445F62"/>
    <w:rsid w:val="00445FC3"/>
    <w:rsid w:val="00446124"/>
    <w:rsid w:val="0044613E"/>
    <w:rsid w:val="00446312"/>
    <w:rsid w:val="004463A2"/>
    <w:rsid w:val="004463C7"/>
    <w:rsid w:val="0044667E"/>
    <w:rsid w:val="004466A5"/>
    <w:rsid w:val="00446736"/>
    <w:rsid w:val="004467AD"/>
    <w:rsid w:val="004467BB"/>
    <w:rsid w:val="00446863"/>
    <w:rsid w:val="00446955"/>
    <w:rsid w:val="00446B2D"/>
    <w:rsid w:val="00446BC7"/>
    <w:rsid w:val="00446BCD"/>
    <w:rsid w:val="00446D37"/>
    <w:rsid w:val="00446D83"/>
    <w:rsid w:val="00446E1A"/>
    <w:rsid w:val="00446FBE"/>
    <w:rsid w:val="00447174"/>
    <w:rsid w:val="00447180"/>
    <w:rsid w:val="004472B1"/>
    <w:rsid w:val="004472F8"/>
    <w:rsid w:val="004473C8"/>
    <w:rsid w:val="004473F1"/>
    <w:rsid w:val="004474BD"/>
    <w:rsid w:val="0044753F"/>
    <w:rsid w:val="0044758C"/>
    <w:rsid w:val="00447657"/>
    <w:rsid w:val="004476EF"/>
    <w:rsid w:val="00447729"/>
    <w:rsid w:val="004477CE"/>
    <w:rsid w:val="004477D3"/>
    <w:rsid w:val="00447AB7"/>
    <w:rsid w:val="00447AC2"/>
    <w:rsid w:val="00447D61"/>
    <w:rsid w:val="00447E7C"/>
    <w:rsid w:val="00447ED7"/>
    <w:rsid w:val="00447F73"/>
    <w:rsid w:val="0045018F"/>
    <w:rsid w:val="004501A6"/>
    <w:rsid w:val="0045023C"/>
    <w:rsid w:val="00450242"/>
    <w:rsid w:val="00450292"/>
    <w:rsid w:val="0045050A"/>
    <w:rsid w:val="0045054F"/>
    <w:rsid w:val="0045062D"/>
    <w:rsid w:val="0045077B"/>
    <w:rsid w:val="004508AF"/>
    <w:rsid w:val="00450993"/>
    <w:rsid w:val="00450C2F"/>
    <w:rsid w:val="00450C8B"/>
    <w:rsid w:val="00450DED"/>
    <w:rsid w:val="00450F4A"/>
    <w:rsid w:val="00450F7B"/>
    <w:rsid w:val="0045101C"/>
    <w:rsid w:val="0045109B"/>
    <w:rsid w:val="004510AB"/>
    <w:rsid w:val="004512C8"/>
    <w:rsid w:val="0045141C"/>
    <w:rsid w:val="004514C7"/>
    <w:rsid w:val="004515C7"/>
    <w:rsid w:val="004516DA"/>
    <w:rsid w:val="00451869"/>
    <w:rsid w:val="00451D78"/>
    <w:rsid w:val="00451E09"/>
    <w:rsid w:val="0045209B"/>
    <w:rsid w:val="0045210E"/>
    <w:rsid w:val="00452164"/>
    <w:rsid w:val="00452413"/>
    <w:rsid w:val="00452424"/>
    <w:rsid w:val="00452536"/>
    <w:rsid w:val="004525F4"/>
    <w:rsid w:val="00452634"/>
    <w:rsid w:val="0045263A"/>
    <w:rsid w:val="00452687"/>
    <w:rsid w:val="004526BC"/>
    <w:rsid w:val="004526BF"/>
    <w:rsid w:val="004527CB"/>
    <w:rsid w:val="004527DA"/>
    <w:rsid w:val="0045283C"/>
    <w:rsid w:val="00452862"/>
    <w:rsid w:val="004528B4"/>
    <w:rsid w:val="00452941"/>
    <w:rsid w:val="004529FB"/>
    <w:rsid w:val="00452ADE"/>
    <w:rsid w:val="00452C97"/>
    <w:rsid w:val="00452CBA"/>
    <w:rsid w:val="00452CF5"/>
    <w:rsid w:val="00452DCC"/>
    <w:rsid w:val="00452DE6"/>
    <w:rsid w:val="00452E32"/>
    <w:rsid w:val="00452F88"/>
    <w:rsid w:val="00453072"/>
    <w:rsid w:val="004531F6"/>
    <w:rsid w:val="00453260"/>
    <w:rsid w:val="004532B9"/>
    <w:rsid w:val="00453366"/>
    <w:rsid w:val="00453527"/>
    <w:rsid w:val="00453712"/>
    <w:rsid w:val="0045373C"/>
    <w:rsid w:val="00453795"/>
    <w:rsid w:val="004538DC"/>
    <w:rsid w:val="0045396D"/>
    <w:rsid w:val="004539A3"/>
    <w:rsid w:val="00453AEC"/>
    <w:rsid w:val="00453C72"/>
    <w:rsid w:val="00453C78"/>
    <w:rsid w:val="00453D4B"/>
    <w:rsid w:val="00453F32"/>
    <w:rsid w:val="00453FE6"/>
    <w:rsid w:val="0045408E"/>
    <w:rsid w:val="0045418E"/>
    <w:rsid w:val="004541BE"/>
    <w:rsid w:val="004542CB"/>
    <w:rsid w:val="004542D0"/>
    <w:rsid w:val="00454342"/>
    <w:rsid w:val="00454450"/>
    <w:rsid w:val="0045445F"/>
    <w:rsid w:val="004545A7"/>
    <w:rsid w:val="00454692"/>
    <w:rsid w:val="004547C7"/>
    <w:rsid w:val="00454892"/>
    <w:rsid w:val="0045489A"/>
    <w:rsid w:val="00454976"/>
    <w:rsid w:val="00454983"/>
    <w:rsid w:val="00454C64"/>
    <w:rsid w:val="00454D17"/>
    <w:rsid w:val="00454E13"/>
    <w:rsid w:val="00454E2E"/>
    <w:rsid w:val="00454E59"/>
    <w:rsid w:val="00454EA3"/>
    <w:rsid w:val="00454EEE"/>
    <w:rsid w:val="00455063"/>
    <w:rsid w:val="004550D4"/>
    <w:rsid w:val="00455271"/>
    <w:rsid w:val="00455420"/>
    <w:rsid w:val="00455439"/>
    <w:rsid w:val="0045548C"/>
    <w:rsid w:val="004556BA"/>
    <w:rsid w:val="004556F2"/>
    <w:rsid w:val="0045570F"/>
    <w:rsid w:val="00455778"/>
    <w:rsid w:val="004557D0"/>
    <w:rsid w:val="004558D5"/>
    <w:rsid w:val="0045591F"/>
    <w:rsid w:val="004559E8"/>
    <w:rsid w:val="00455A08"/>
    <w:rsid w:val="00455AB9"/>
    <w:rsid w:val="00455AC3"/>
    <w:rsid w:val="00455AF1"/>
    <w:rsid w:val="00455AFB"/>
    <w:rsid w:val="00455C0A"/>
    <w:rsid w:val="00455D2C"/>
    <w:rsid w:val="00455D5A"/>
    <w:rsid w:val="00456042"/>
    <w:rsid w:val="0045616F"/>
    <w:rsid w:val="004561B2"/>
    <w:rsid w:val="004561D7"/>
    <w:rsid w:val="00456467"/>
    <w:rsid w:val="004566EE"/>
    <w:rsid w:val="00456796"/>
    <w:rsid w:val="00456BD7"/>
    <w:rsid w:val="00456C44"/>
    <w:rsid w:val="00456C55"/>
    <w:rsid w:val="00456C5B"/>
    <w:rsid w:val="00456E57"/>
    <w:rsid w:val="00456E88"/>
    <w:rsid w:val="00456FEB"/>
    <w:rsid w:val="0045715F"/>
    <w:rsid w:val="0045735A"/>
    <w:rsid w:val="0045737A"/>
    <w:rsid w:val="004574A5"/>
    <w:rsid w:val="004574C8"/>
    <w:rsid w:val="004574CE"/>
    <w:rsid w:val="00457560"/>
    <w:rsid w:val="00457625"/>
    <w:rsid w:val="00457687"/>
    <w:rsid w:val="004576AF"/>
    <w:rsid w:val="004577BE"/>
    <w:rsid w:val="00457833"/>
    <w:rsid w:val="00457846"/>
    <w:rsid w:val="00457A81"/>
    <w:rsid w:val="00457CF3"/>
    <w:rsid w:val="00457D5B"/>
    <w:rsid w:val="00457E86"/>
    <w:rsid w:val="004600AC"/>
    <w:rsid w:val="00460165"/>
    <w:rsid w:val="00460183"/>
    <w:rsid w:val="0046024A"/>
    <w:rsid w:val="004604C0"/>
    <w:rsid w:val="004605D5"/>
    <w:rsid w:val="00460607"/>
    <w:rsid w:val="0046064F"/>
    <w:rsid w:val="00460738"/>
    <w:rsid w:val="00460781"/>
    <w:rsid w:val="004607F7"/>
    <w:rsid w:val="00460AB5"/>
    <w:rsid w:val="00460ACD"/>
    <w:rsid w:val="00460B8A"/>
    <w:rsid w:val="00460C83"/>
    <w:rsid w:val="00460CF9"/>
    <w:rsid w:val="00460D03"/>
    <w:rsid w:val="00460F7B"/>
    <w:rsid w:val="00460F8E"/>
    <w:rsid w:val="00461044"/>
    <w:rsid w:val="00461116"/>
    <w:rsid w:val="00461304"/>
    <w:rsid w:val="0046143D"/>
    <w:rsid w:val="00461466"/>
    <w:rsid w:val="004614BC"/>
    <w:rsid w:val="004617A5"/>
    <w:rsid w:val="004617FF"/>
    <w:rsid w:val="0046180A"/>
    <w:rsid w:val="004619E1"/>
    <w:rsid w:val="00461A75"/>
    <w:rsid w:val="00461A91"/>
    <w:rsid w:val="00461AF0"/>
    <w:rsid w:val="00461BC0"/>
    <w:rsid w:val="00461C2A"/>
    <w:rsid w:val="00461E6A"/>
    <w:rsid w:val="00461FC2"/>
    <w:rsid w:val="00462070"/>
    <w:rsid w:val="00462112"/>
    <w:rsid w:val="00462186"/>
    <w:rsid w:val="0046224F"/>
    <w:rsid w:val="00462352"/>
    <w:rsid w:val="0046253E"/>
    <w:rsid w:val="004626A0"/>
    <w:rsid w:val="004626B9"/>
    <w:rsid w:val="00462770"/>
    <w:rsid w:val="00462952"/>
    <w:rsid w:val="00462AED"/>
    <w:rsid w:val="00462C1B"/>
    <w:rsid w:val="00462C66"/>
    <w:rsid w:val="00462D23"/>
    <w:rsid w:val="00462F00"/>
    <w:rsid w:val="004630ED"/>
    <w:rsid w:val="0046329D"/>
    <w:rsid w:val="004632A2"/>
    <w:rsid w:val="00463325"/>
    <w:rsid w:val="00463345"/>
    <w:rsid w:val="00463398"/>
    <w:rsid w:val="004633BC"/>
    <w:rsid w:val="00463619"/>
    <w:rsid w:val="004638C2"/>
    <w:rsid w:val="00463A30"/>
    <w:rsid w:val="00463ADA"/>
    <w:rsid w:val="00463BAD"/>
    <w:rsid w:val="00463CE3"/>
    <w:rsid w:val="00463EB3"/>
    <w:rsid w:val="00463F02"/>
    <w:rsid w:val="00463F0D"/>
    <w:rsid w:val="004640A3"/>
    <w:rsid w:val="004640C2"/>
    <w:rsid w:val="004640FB"/>
    <w:rsid w:val="004641FB"/>
    <w:rsid w:val="004642A8"/>
    <w:rsid w:val="0046433A"/>
    <w:rsid w:val="004644B8"/>
    <w:rsid w:val="00464550"/>
    <w:rsid w:val="004645DE"/>
    <w:rsid w:val="00464660"/>
    <w:rsid w:val="00464818"/>
    <w:rsid w:val="0046491B"/>
    <w:rsid w:val="00464B18"/>
    <w:rsid w:val="00464B4D"/>
    <w:rsid w:val="00464CAB"/>
    <w:rsid w:val="00464CDE"/>
    <w:rsid w:val="00464D5F"/>
    <w:rsid w:val="00464E44"/>
    <w:rsid w:val="00464E97"/>
    <w:rsid w:val="00464F45"/>
    <w:rsid w:val="004650C3"/>
    <w:rsid w:val="00465156"/>
    <w:rsid w:val="004651BF"/>
    <w:rsid w:val="0046525D"/>
    <w:rsid w:val="004652A3"/>
    <w:rsid w:val="00465319"/>
    <w:rsid w:val="0046538B"/>
    <w:rsid w:val="004653E5"/>
    <w:rsid w:val="0046542E"/>
    <w:rsid w:val="004654AE"/>
    <w:rsid w:val="004655D7"/>
    <w:rsid w:val="0046575F"/>
    <w:rsid w:val="004657E9"/>
    <w:rsid w:val="00465977"/>
    <w:rsid w:val="00465A74"/>
    <w:rsid w:val="00465BF5"/>
    <w:rsid w:val="00465DAF"/>
    <w:rsid w:val="00465EAA"/>
    <w:rsid w:val="00465F2D"/>
    <w:rsid w:val="00465FBB"/>
    <w:rsid w:val="00466129"/>
    <w:rsid w:val="00466357"/>
    <w:rsid w:val="00466361"/>
    <w:rsid w:val="00466474"/>
    <w:rsid w:val="00466589"/>
    <w:rsid w:val="004665AC"/>
    <w:rsid w:val="00466620"/>
    <w:rsid w:val="0046662E"/>
    <w:rsid w:val="004667D8"/>
    <w:rsid w:val="00466926"/>
    <w:rsid w:val="00466927"/>
    <w:rsid w:val="00466ABD"/>
    <w:rsid w:val="00466AD5"/>
    <w:rsid w:val="00466AE5"/>
    <w:rsid w:val="00466BEF"/>
    <w:rsid w:val="00466C43"/>
    <w:rsid w:val="00466CCE"/>
    <w:rsid w:val="00466CDA"/>
    <w:rsid w:val="00466D16"/>
    <w:rsid w:val="00466E43"/>
    <w:rsid w:val="00466FBE"/>
    <w:rsid w:val="00466FD3"/>
    <w:rsid w:val="004670F6"/>
    <w:rsid w:val="004672A6"/>
    <w:rsid w:val="004672AE"/>
    <w:rsid w:val="00467494"/>
    <w:rsid w:val="004677DD"/>
    <w:rsid w:val="004679B9"/>
    <w:rsid w:val="00467AB4"/>
    <w:rsid w:val="00467B02"/>
    <w:rsid w:val="00467B15"/>
    <w:rsid w:val="00467B82"/>
    <w:rsid w:val="00467BC6"/>
    <w:rsid w:val="00467BDC"/>
    <w:rsid w:val="00467CDF"/>
    <w:rsid w:val="00467DF3"/>
    <w:rsid w:val="00467F11"/>
    <w:rsid w:val="00467FB9"/>
    <w:rsid w:val="004703B5"/>
    <w:rsid w:val="0047072B"/>
    <w:rsid w:val="004707B1"/>
    <w:rsid w:val="004707E7"/>
    <w:rsid w:val="00470AA0"/>
    <w:rsid w:val="00470C01"/>
    <w:rsid w:val="00470C41"/>
    <w:rsid w:val="00470E9F"/>
    <w:rsid w:val="0047114A"/>
    <w:rsid w:val="00471212"/>
    <w:rsid w:val="004712D8"/>
    <w:rsid w:val="00471378"/>
    <w:rsid w:val="004713F1"/>
    <w:rsid w:val="00471481"/>
    <w:rsid w:val="00471489"/>
    <w:rsid w:val="004715B7"/>
    <w:rsid w:val="004715E9"/>
    <w:rsid w:val="004716AA"/>
    <w:rsid w:val="004718BE"/>
    <w:rsid w:val="00471A00"/>
    <w:rsid w:val="00471BF9"/>
    <w:rsid w:val="00471D05"/>
    <w:rsid w:val="00471D9B"/>
    <w:rsid w:val="00471DF5"/>
    <w:rsid w:val="00471ED1"/>
    <w:rsid w:val="00471F30"/>
    <w:rsid w:val="00471F67"/>
    <w:rsid w:val="00471FC7"/>
    <w:rsid w:val="00472010"/>
    <w:rsid w:val="004720CD"/>
    <w:rsid w:val="004720DB"/>
    <w:rsid w:val="004721D1"/>
    <w:rsid w:val="004723AE"/>
    <w:rsid w:val="0047243B"/>
    <w:rsid w:val="00472629"/>
    <w:rsid w:val="004726AF"/>
    <w:rsid w:val="00472746"/>
    <w:rsid w:val="00472793"/>
    <w:rsid w:val="00472885"/>
    <w:rsid w:val="00472944"/>
    <w:rsid w:val="004729A4"/>
    <w:rsid w:val="004729B1"/>
    <w:rsid w:val="004729ED"/>
    <w:rsid w:val="00472A01"/>
    <w:rsid w:val="00472A5D"/>
    <w:rsid w:val="00472A6D"/>
    <w:rsid w:val="00472BC3"/>
    <w:rsid w:val="00472D44"/>
    <w:rsid w:val="00472D71"/>
    <w:rsid w:val="00472E28"/>
    <w:rsid w:val="00472EFC"/>
    <w:rsid w:val="00472F92"/>
    <w:rsid w:val="00473119"/>
    <w:rsid w:val="00473132"/>
    <w:rsid w:val="0047327F"/>
    <w:rsid w:val="00473371"/>
    <w:rsid w:val="004733B7"/>
    <w:rsid w:val="0047365C"/>
    <w:rsid w:val="004737B9"/>
    <w:rsid w:val="00473815"/>
    <w:rsid w:val="00473837"/>
    <w:rsid w:val="0047386A"/>
    <w:rsid w:val="00473915"/>
    <w:rsid w:val="004739F0"/>
    <w:rsid w:val="00473BA6"/>
    <w:rsid w:val="00473BDC"/>
    <w:rsid w:val="00473F79"/>
    <w:rsid w:val="00474064"/>
    <w:rsid w:val="004740C3"/>
    <w:rsid w:val="00474106"/>
    <w:rsid w:val="004741A3"/>
    <w:rsid w:val="00474230"/>
    <w:rsid w:val="00474233"/>
    <w:rsid w:val="0047430D"/>
    <w:rsid w:val="0047440A"/>
    <w:rsid w:val="004746A5"/>
    <w:rsid w:val="004747D3"/>
    <w:rsid w:val="00474843"/>
    <w:rsid w:val="0047485E"/>
    <w:rsid w:val="00474906"/>
    <w:rsid w:val="0047499F"/>
    <w:rsid w:val="00474B7E"/>
    <w:rsid w:val="00474BB2"/>
    <w:rsid w:val="00474BB6"/>
    <w:rsid w:val="00474C6C"/>
    <w:rsid w:val="00474FD8"/>
    <w:rsid w:val="00475051"/>
    <w:rsid w:val="004751A1"/>
    <w:rsid w:val="0047524E"/>
    <w:rsid w:val="00475305"/>
    <w:rsid w:val="00475307"/>
    <w:rsid w:val="0047532A"/>
    <w:rsid w:val="004753B7"/>
    <w:rsid w:val="004754B4"/>
    <w:rsid w:val="00475563"/>
    <w:rsid w:val="00475574"/>
    <w:rsid w:val="0047557C"/>
    <w:rsid w:val="00475654"/>
    <w:rsid w:val="0047583B"/>
    <w:rsid w:val="004759A0"/>
    <w:rsid w:val="00475A21"/>
    <w:rsid w:val="00475A57"/>
    <w:rsid w:val="00475A76"/>
    <w:rsid w:val="00475D11"/>
    <w:rsid w:val="00475D41"/>
    <w:rsid w:val="00475EE1"/>
    <w:rsid w:val="0047646C"/>
    <w:rsid w:val="00476492"/>
    <w:rsid w:val="0047652E"/>
    <w:rsid w:val="004765E2"/>
    <w:rsid w:val="0047672E"/>
    <w:rsid w:val="004767AA"/>
    <w:rsid w:val="004769F2"/>
    <w:rsid w:val="00476D4E"/>
    <w:rsid w:val="00476F52"/>
    <w:rsid w:val="0047703D"/>
    <w:rsid w:val="00477120"/>
    <w:rsid w:val="0047715F"/>
    <w:rsid w:val="004771EF"/>
    <w:rsid w:val="004772AD"/>
    <w:rsid w:val="004774BC"/>
    <w:rsid w:val="0047761B"/>
    <w:rsid w:val="00477726"/>
    <w:rsid w:val="00477816"/>
    <w:rsid w:val="00477835"/>
    <w:rsid w:val="00477881"/>
    <w:rsid w:val="00477896"/>
    <w:rsid w:val="004779DA"/>
    <w:rsid w:val="00477E3E"/>
    <w:rsid w:val="00477E80"/>
    <w:rsid w:val="00480016"/>
    <w:rsid w:val="0048004D"/>
    <w:rsid w:val="004803CF"/>
    <w:rsid w:val="004807B0"/>
    <w:rsid w:val="00480823"/>
    <w:rsid w:val="0048092D"/>
    <w:rsid w:val="00480A74"/>
    <w:rsid w:val="00480AAB"/>
    <w:rsid w:val="00480B12"/>
    <w:rsid w:val="00480B23"/>
    <w:rsid w:val="00480CAA"/>
    <w:rsid w:val="00480CFB"/>
    <w:rsid w:val="00480D88"/>
    <w:rsid w:val="0048101A"/>
    <w:rsid w:val="00481193"/>
    <w:rsid w:val="004811C8"/>
    <w:rsid w:val="004813C7"/>
    <w:rsid w:val="00481542"/>
    <w:rsid w:val="00481782"/>
    <w:rsid w:val="00481811"/>
    <w:rsid w:val="004818D8"/>
    <w:rsid w:val="00481A31"/>
    <w:rsid w:val="00481A59"/>
    <w:rsid w:val="00481BA6"/>
    <w:rsid w:val="00481C52"/>
    <w:rsid w:val="00481DED"/>
    <w:rsid w:val="004820B1"/>
    <w:rsid w:val="0048228F"/>
    <w:rsid w:val="00482367"/>
    <w:rsid w:val="004823C3"/>
    <w:rsid w:val="0048279C"/>
    <w:rsid w:val="004827D1"/>
    <w:rsid w:val="00482852"/>
    <w:rsid w:val="0048288D"/>
    <w:rsid w:val="004828AB"/>
    <w:rsid w:val="00482930"/>
    <w:rsid w:val="0048295C"/>
    <w:rsid w:val="00482971"/>
    <w:rsid w:val="00482976"/>
    <w:rsid w:val="0048299A"/>
    <w:rsid w:val="00482AFE"/>
    <w:rsid w:val="00482CB3"/>
    <w:rsid w:val="00482DD0"/>
    <w:rsid w:val="00482E2D"/>
    <w:rsid w:val="00482EF1"/>
    <w:rsid w:val="00482FD6"/>
    <w:rsid w:val="004830E7"/>
    <w:rsid w:val="0048311F"/>
    <w:rsid w:val="004832AA"/>
    <w:rsid w:val="004834A8"/>
    <w:rsid w:val="004834C1"/>
    <w:rsid w:val="00483578"/>
    <w:rsid w:val="004836D5"/>
    <w:rsid w:val="00483807"/>
    <w:rsid w:val="00483893"/>
    <w:rsid w:val="004838E5"/>
    <w:rsid w:val="004838FC"/>
    <w:rsid w:val="004839D7"/>
    <w:rsid w:val="004839E9"/>
    <w:rsid w:val="00483A75"/>
    <w:rsid w:val="00483AAF"/>
    <w:rsid w:val="00483B0F"/>
    <w:rsid w:val="00483CD7"/>
    <w:rsid w:val="00483E89"/>
    <w:rsid w:val="00483FC3"/>
    <w:rsid w:val="00484040"/>
    <w:rsid w:val="004841B0"/>
    <w:rsid w:val="0048427E"/>
    <w:rsid w:val="004842F3"/>
    <w:rsid w:val="00484332"/>
    <w:rsid w:val="004843FF"/>
    <w:rsid w:val="00484624"/>
    <w:rsid w:val="004846D9"/>
    <w:rsid w:val="00484A70"/>
    <w:rsid w:val="00484AF8"/>
    <w:rsid w:val="00484C23"/>
    <w:rsid w:val="00484DB3"/>
    <w:rsid w:val="00484E29"/>
    <w:rsid w:val="00484E9C"/>
    <w:rsid w:val="00484F31"/>
    <w:rsid w:val="00484FCF"/>
    <w:rsid w:val="00484FD7"/>
    <w:rsid w:val="004850EC"/>
    <w:rsid w:val="004852C1"/>
    <w:rsid w:val="00485670"/>
    <w:rsid w:val="004858A8"/>
    <w:rsid w:val="004858DE"/>
    <w:rsid w:val="00485995"/>
    <w:rsid w:val="004859E1"/>
    <w:rsid w:val="00485BEF"/>
    <w:rsid w:val="00485C73"/>
    <w:rsid w:val="00485E25"/>
    <w:rsid w:val="00485E55"/>
    <w:rsid w:val="00485F26"/>
    <w:rsid w:val="00485F78"/>
    <w:rsid w:val="00485FA4"/>
    <w:rsid w:val="004862F3"/>
    <w:rsid w:val="00486318"/>
    <w:rsid w:val="004864EE"/>
    <w:rsid w:val="004867A9"/>
    <w:rsid w:val="0048689F"/>
    <w:rsid w:val="004868A7"/>
    <w:rsid w:val="004868B4"/>
    <w:rsid w:val="004868F6"/>
    <w:rsid w:val="00486969"/>
    <w:rsid w:val="004869F9"/>
    <w:rsid w:val="00486B0C"/>
    <w:rsid w:val="00486B1C"/>
    <w:rsid w:val="00486B66"/>
    <w:rsid w:val="00486C84"/>
    <w:rsid w:val="00486CB3"/>
    <w:rsid w:val="00486D40"/>
    <w:rsid w:val="00486EA5"/>
    <w:rsid w:val="00486FA9"/>
    <w:rsid w:val="00486FB0"/>
    <w:rsid w:val="0048717B"/>
    <w:rsid w:val="004871A8"/>
    <w:rsid w:val="0048721B"/>
    <w:rsid w:val="00487267"/>
    <w:rsid w:val="004872F6"/>
    <w:rsid w:val="004872FE"/>
    <w:rsid w:val="00487375"/>
    <w:rsid w:val="0048741F"/>
    <w:rsid w:val="00487484"/>
    <w:rsid w:val="004874B2"/>
    <w:rsid w:val="004874E7"/>
    <w:rsid w:val="004874EA"/>
    <w:rsid w:val="0048757C"/>
    <w:rsid w:val="0048758E"/>
    <w:rsid w:val="004875CE"/>
    <w:rsid w:val="0048764D"/>
    <w:rsid w:val="004876EF"/>
    <w:rsid w:val="00487726"/>
    <w:rsid w:val="00487823"/>
    <w:rsid w:val="004878D0"/>
    <w:rsid w:val="00487940"/>
    <w:rsid w:val="00487995"/>
    <w:rsid w:val="00487A03"/>
    <w:rsid w:val="00487A7B"/>
    <w:rsid w:val="00487B56"/>
    <w:rsid w:val="00487D45"/>
    <w:rsid w:val="00487D71"/>
    <w:rsid w:val="00487DB9"/>
    <w:rsid w:val="00487F70"/>
    <w:rsid w:val="00487FCA"/>
    <w:rsid w:val="004901E6"/>
    <w:rsid w:val="004902FD"/>
    <w:rsid w:val="00490362"/>
    <w:rsid w:val="0049042A"/>
    <w:rsid w:val="00490509"/>
    <w:rsid w:val="0049066C"/>
    <w:rsid w:val="00490944"/>
    <w:rsid w:val="004909E5"/>
    <w:rsid w:val="00490A35"/>
    <w:rsid w:val="00490A3D"/>
    <w:rsid w:val="00490ABF"/>
    <w:rsid w:val="00490B47"/>
    <w:rsid w:val="00490B58"/>
    <w:rsid w:val="00490D97"/>
    <w:rsid w:val="00490F0B"/>
    <w:rsid w:val="00490F47"/>
    <w:rsid w:val="00490F72"/>
    <w:rsid w:val="00491025"/>
    <w:rsid w:val="00491077"/>
    <w:rsid w:val="00491123"/>
    <w:rsid w:val="0049115F"/>
    <w:rsid w:val="00491284"/>
    <w:rsid w:val="0049139C"/>
    <w:rsid w:val="004913C5"/>
    <w:rsid w:val="004914D0"/>
    <w:rsid w:val="00491545"/>
    <w:rsid w:val="0049166C"/>
    <w:rsid w:val="0049169C"/>
    <w:rsid w:val="004916B5"/>
    <w:rsid w:val="004917A0"/>
    <w:rsid w:val="0049181E"/>
    <w:rsid w:val="00491B4A"/>
    <w:rsid w:val="00491BBF"/>
    <w:rsid w:val="00491DFB"/>
    <w:rsid w:val="0049216A"/>
    <w:rsid w:val="0049221A"/>
    <w:rsid w:val="004922A7"/>
    <w:rsid w:val="004922B3"/>
    <w:rsid w:val="00492425"/>
    <w:rsid w:val="00492428"/>
    <w:rsid w:val="004924EB"/>
    <w:rsid w:val="00492567"/>
    <w:rsid w:val="00492601"/>
    <w:rsid w:val="00492746"/>
    <w:rsid w:val="00492755"/>
    <w:rsid w:val="004927E5"/>
    <w:rsid w:val="0049284B"/>
    <w:rsid w:val="00492AB3"/>
    <w:rsid w:val="00492D2A"/>
    <w:rsid w:val="00492D3D"/>
    <w:rsid w:val="00492DE2"/>
    <w:rsid w:val="00492DF7"/>
    <w:rsid w:val="00492EDB"/>
    <w:rsid w:val="00492F18"/>
    <w:rsid w:val="00492FAE"/>
    <w:rsid w:val="00492FBD"/>
    <w:rsid w:val="0049328C"/>
    <w:rsid w:val="004933F9"/>
    <w:rsid w:val="00493639"/>
    <w:rsid w:val="00493718"/>
    <w:rsid w:val="00493A81"/>
    <w:rsid w:val="00493A96"/>
    <w:rsid w:val="00493C58"/>
    <w:rsid w:val="00493C75"/>
    <w:rsid w:val="00493CB9"/>
    <w:rsid w:val="00493DB0"/>
    <w:rsid w:val="00493DED"/>
    <w:rsid w:val="00493E11"/>
    <w:rsid w:val="00493EBB"/>
    <w:rsid w:val="00493EEC"/>
    <w:rsid w:val="004940D4"/>
    <w:rsid w:val="0049414D"/>
    <w:rsid w:val="0049419D"/>
    <w:rsid w:val="0049433A"/>
    <w:rsid w:val="004944E6"/>
    <w:rsid w:val="004945BA"/>
    <w:rsid w:val="004947A3"/>
    <w:rsid w:val="004947B2"/>
    <w:rsid w:val="00494871"/>
    <w:rsid w:val="00494891"/>
    <w:rsid w:val="0049490E"/>
    <w:rsid w:val="00494974"/>
    <w:rsid w:val="004949AB"/>
    <w:rsid w:val="00494A85"/>
    <w:rsid w:val="00494AE5"/>
    <w:rsid w:val="00494CBD"/>
    <w:rsid w:val="00494CE2"/>
    <w:rsid w:val="00494CF1"/>
    <w:rsid w:val="00494D60"/>
    <w:rsid w:val="00494DB5"/>
    <w:rsid w:val="00494EC0"/>
    <w:rsid w:val="00494F86"/>
    <w:rsid w:val="004950B2"/>
    <w:rsid w:val="004950E6"/>
    <w:rsid w:val="00495262"/>
    <w:rsid w:val="00495281"/>
    <w:rsid w:val="00495333"/>
    <w:rsid w:val="00495435"/>
    <w:rsid w:val="00495657"/>
    <w:rsid w:val="0049566F"/>
    <w:rsid w:val="00495692"/>
    <w:rsid w:val="004956A3"/>
    <w:rsid w:val="00495702"/>
    <w:rsid w:val="004957AF"/>
    <w:rsid w:val="00495803"/>
    <w:rsid w:val="004959CF"/>
    <w:rsid w:val="004959DE"/>
    <w:rsid w:val="00495A49"/>
    <w:rsid w:val="00495A90"/>
    <w:rsid w:val="00495B60"/>
    <w:rsid w:val="00495B93"/>
    <w:rsid w:val="00495BD7"/>
    <w:rsid w:val="00495C15"/>
    <w:rsid w:val="00495C5C"/>
    <w:rsid w:val="00495DDB"/>
    <w:rsid w:val="00495F39"/>
    <w:rsid w:val="00496231"/>
    <w:rsid w:val="00496375"/>
    <w:rsid w:val="0049642C"/>
    <w:rsid w:val="0049651D"/>
    <w:rsid w:val="00496589"/>
    <w:rsid w:val="0049659B"/>
    <w:rsid w:val="004965F6"/>
    <w:rsid w:val="004966A8"/>
    <w:rsid w:val="00496769"/>
    <w:rsid w:val="00496792"/>
    <w:rsid w:val="004968D8"/>
    <w:rsid w:val="004969CC"/>
    <w:rsid w:val="00496A78"/>
    <w:rsid w:val="00496B2E"/>
    <w:rsid w:val="00496C77"/>
    <w:rsid w:val="00496DB6"/>
    <w:rsid w:val="00496EBE"/>
    <w:rsid w:val="00496F23"/>
    <w:rsid w:val="00496F73"/>
    <w:rsid w:val="00497190"/>
    <w:rsid w:val="0049723C"/>
    <w:rsid w:val="004973D3"/>
    <w:rsid w:val="004974B4"/>
    <w:rsid w:val="004974E6"/>
    <w:rsid w:val="00497577"/>
    <w:rsid w:val="00497589"/>
    <w:rsid w:val="004975B2"/>
    <w:rsid w:val="004975C9"/>
    <w:rsid w:val="004975F7"/>
    <w:rsid w:val="004975F9"/>
    <w:rsid w:val="004975FB"/>
    <w:rsid w:val="0049777C"/>
    <w:rsid w:val="004978F0"/>
    <w:rsid w:val="00497927"/>
    <w:rsid w:val="00497A2B"/>
    <w:rsid w:val="00497B19"/>
    <w:rsid w:val="00497B6D"/>
    <w:rsid w:val="00497F77"/>
    <w:rsid w:val="00497FB8"/>
    <w:rsid w:val="004A004C"/>
    <w:rsid w:val="004A010F"/>
    <w:rsid w:val="004A03A8"/>
    <w:rsid w:val="004A0574"/>
    <w:rsid w:val="004A07C9"/>
    <w:rsid w:val="004A08B0"/>
    <w:rsid w:val="004A09C8"/>
    <w:rsid w:val="004A0A48"/>
    <w:rsid w:val="004A0B3B"/>
    <w:rsid w:val="004A0BF6"/>
    <w:rsid w:val="004A0C93"/>
    <w:rsid w:val="004A0CCE"/>
    <w:rsid w:val="004A0CD4"/>
    <w:rsid w:val="004A0E44"/>
    <w:rsid w:val="004A0ED8"/>
    <w:rsid w:val="004A0FE7"/>
    <w:rsid w:val="004A1010"/>
    <w:rsid w:val="004A117A"/>
    <w:rsid w:val="004A12F8"/>
    <w:rsid w:val="004A1317"/>
    <w:rsid w:val="004A13C4"/>
    <w:rsid w:val="004A1498"/>
    <w:rsid w:val="004A14CA"/>
    <w:rsid w:val="004A14E0"/>
    <w:rsid w:val="004A158F"/>
    <w:rsid w:val="004A15A8"/>
    <w:rsid w:val="004A15D8"/>
    <w:rsid w:val="004A15E7"/>
    <w:rsid w:val="004A172E"/>
    <w:rsid w:val="004A1750"/>
    <w:rsid w:val="004A17A5"/>
    <w:rsid w:val="004A19D3"/>
    <w:rsid w:val="004A1A32"/>
    <w:rsid w:val="004A1B0E"/>
    <w:rsid w:val="004A1BBF"/>
    <w:rsid w:val="004A1CB6"/>
    <w:rsid w:val="004A1E1E"/>
    <w:rsid w:val="004A1EB0"/>
    <w:rsid w:val="004A1FCB"/>
    <w:rsid w:val="004A2008"/>
    <w:rsid w:val="004A2211"/>
    <w:rsid w:val="004A2240"/>
    <w:rsid w:val="004A23FD"/>
    <w:rsid w:val="004A2424"/>
    <w:rsid w:val="004A25D6"/>
    <w:rsid w:val="004A2607"/>
    <w:rsid w:val="004A27FE"/>
    <w:rsid w:val="004A288A"/>
    <w:rsid w:val="004A2B20"/>
    <w:rsid w:val="004A2BA9"/>
    <w:rsid w:val="004A2BFC"/>
    <w:rsid w:val="004A2EC7"/>
    <w:rsid w:val="004A2F0B"/>
    <w:rsid w:val="004A2F76"/>
    <w:rsid w:val="004A2F9A"/>
    <w:rsid w:val="004A3066"/>
    <w:rsid w:val="004A3157"/>
    <w:rsid w:val="004A332C"/>
    <w:rsid w:val="004A3363"/>
    <w:rsid w:val="004A338E"/>
    <w:rsid w:val="004A33EE"/>
    <w:rsid w:val="004A3402"/>
    <w:rsid w:val="004A341A"/>
    <w:rsid w:val="004A345B"/>
    <w:rsid w:val="004A3516"/>
    <w:rsid w:val="004A351D"/>
    <w:rsid w:val="004A35D4"/>
    <w:rsid w:val="004A3770"/>
    <w:rsid w:val="004A394E"/>
    <w:rsid w:val="004A3981"/>
    <w:rsid w:val="004A398D"/>
    <w:rsid w:val="004A39A8"/>
    <w:rsid w:val="004A39B7"/>
    <w:rsid w:val="004A3A30"/>
    <w:rsid w:val="004A3A4F"/>
    <w:rsid w:val="004A3B07"/>
    <w:rsid w:val="004A3B9C"/>
    <w:rsid w:val="004A3E0D"/>
    <w:rsid w:val="004A3E1A"/>
    <w:rsid w:val="004A3E1D"/>
    <w:rsid w:val="004A3ECC"/>
    <w:rsid w:val="004A3FBE"/>
    <w:rsid w:val="004A3FC8"/>
    <w:rsid w:val="004A4011"/>
    <w:rsid w:val="004A43DE"/>
    <w:rsid w:val="004A4450"/>
    <w:rsid w:val="004A45EC"/>
    <w:rsid w:val="004A46A7"/>
    <w:rsid w:val="004A46B2"/>
    <w:rsid w:val="004A4817"/>
    <w:rsid w:val="004A487F"/>
    <w:rsid w:val="004A489B"/>
    <w:rsid w:val="004A4B2C"/>
    <w:rsid w:val="004A4B97"/>
    <w:rsid w:val="004A4D0D"/>
    <w:rsid w:val="004A4D40"/>
    <w:rsid w:val="004A4DD8"/>
    <w:rsid w:val="004A4E6E"/>
    <w:rsid w:val="004A4F22"/>
    <w:rsid w:val="004A5161"/>
    <w:rsid w:val="004A51C6"/>
    <w:rsid w:val="004A5219"/>
    <w:rsid w:val="004A5418"/>
    <w:rsid w:val="004A5481"/>
    <w:rsid w:val="004A55FA"/>
    <w:rsid w:val="004A567C"/>
    <w:rsid w:val="004A56B5"/>
    <w:rsid w:val="004A59DD"/>
    <w:rsid w:val="004A5BC7"/>
    <w:rsid w:val="004A5BD6"/>
    <w:rsid w:val="004A5C43"/>
    <w:rsid w:val="004A5D33"/>
    <w:rsid w:val="004A5D4C"/>
    <w:rsid w:val="004A5D6A"/>
    <w:rsid w:val="004A5DA0"/>
    <w:rsid w:val="004A5EA1"/>
    <w:rsid w:val="004A5EA7"/>
    <w:rsid w:val="004A5EC7"/>
    <w:rsid w:val="004A5F64"/>
    <w:rsid w:val="004A6005"/>
    <w:rsid w:val="004A6039"/>
    <w:rsid w:val="004A60F8"/>
    <w:rsid w:val="004A62D6"/>
    <w:rsid w:val="004A644F"/>
    <w:rsid w:val="004A6561"/>
    <w:rsid w:val="004A67C2"/>
    <w:rsid w:val="004A67C9"/>
    <w:rsid w:val="004A68B0"/>
    <w:rsid w:val="004A6A04"/>
    <w:rsid w:val="004A6B0D"/>
    <w:rsid w:val="004A6BE9"/>
    <w:rsid w:val="004A6CD2"/>
    <w:rsid w:val="004A6CF0"/>
    <w:rsid w:val="004A6D69"/>
    <w:rsid w:val="004A6EE8"/>
    <w:rsid w:val="004A6F22"/>
    <w:rsid w:val="004A7019"/>
    <w:rsid w:val="004A71A5"/>
    <w:rsid w:val="004A7230"/>
    <w:rsid w:val="004A73A0"/>
    <w:rsid w:val="004A74FB"/>
    <w:rsid w:val="004A777C"/>
    <w:rsid w:val="004A77ED"/>
    <w:rsid w:val="004A799A"/>
    <w:rsid w:val="004A7CC4"/>
    <w:rsid w:val="004A7CF5"/>
    <w:rsid w:val="004A7F04"/>
    <w:rsid w:val="004B0116"/>
    <w:rsid w:val="004B01D3"/>
    <w:rsid w:val="004B0227"/>
    <w:rsid w:val="004B03B1"/>
    <w:rsid w:val="004B044B"/>
    <w:rsid w:val="004B050C"/>
    <w:rsid w:val="004B05AE"/>
    <w:rsid w:val="004B07BD"/>
    <w:rsid w:val="004B085A"/>
    <w:rsid w:val="004B08D4"/>
    <w:rsid w:val="004B094E"/>
    <w:rsid w:val="004B0971"/>
    <w:rsid w:val="004B0A3B"/>
    <w:rsid w:val="004B0B38"/>
    <w:rsid w:val="004B0B61"/>
    <w:rsid w:val="004B0B99"/>
    <w:rsid w:val="004B0BD0"/>
    <w:rsid w:val="004B0C98"/>
    <w:rsid w:val="004B0CB5"/>
    <w:rsid w:val="004B0CE6"/>
    <w:rsid w:val="004B0D58"/>
    <w:rsid w:val="004B105C"/>
    <w:rsid w:val="004B111B"/>
    <w:rsid w:val="004B1327"/>
    <w:rsid w:val="004B135C"/>
    <w:rsid w:val="004B1424"/>
    <w:rsid w:val="004B1522"/>
    <w:rsid w:val="004B1620"/>
    <w:rsid w:val="004B1753"/>
    <w:rsid w:val="004B185E"/>
    <w:rsid w:val="004B18B6"/>
    <w:rsid w:val="004B18F5"/>
    <w:rsid w:val="004B1A0A"/>
    <w:rsid w:val="004B1BED"/>
    <w:rsid w:val="004B1BF2"/>
    <w:rsid w:val="004B1D17"/>
    <w:rsid w:val="004B213E"/>
    <w:rsid w:val="004B217F"/>
    <w:rsid w:val="004B23FA"/>
    <w:rsid w:val="004B2407"/>
    <w:rsid w:val="004B24DF"/>
    <w:rsid w:val="004B2535"/>
    <w:rsid w:val="004B2591"/>
    <w:rsid w:val="004B2669"/>
    <w:rsid w:val="004B26CB"/>
    <w:rsid w:val="004B270D"/>
    <w:rsid w:val="004B27D0"/>
    <w:rsid w:val="004B2847"/>
    <w:rsid w:val="004B28BD"/>
    <w:rsid w:val="004B2BA4"/>
    <w:rsid w:val="004B2C8D"/>
    <w:rsid w:val="004B2CAC"/>
    <w:rsid w:val="004B2CDE"/>
    <w:rsid w:val="004B2D20"/>
    <w:rsid w:val="004B2E17"/>
    <w:rsid w:val="004B2ECA"/>
    <w:rsid w:val="004B2F15"/>
    <w:rsid w:val="004B2FA1"/>
    <w:rsid w:val="004B305A"/>
    <w:rsid w:val="004B31F7"/>
    <w:rsid w:val="004B3287"/>
    <w:rsid w:val="004B371D"/>
    <w:rsid w:val="004B3761"/>
    <w:rsid w:val="004B37DB"/>
    <w:rsid w:val="004B3B5F"/>
    <w:rsid w:val="004B4083"/>
    <w:rsid w:val="004B408D"/>
    <w:rsid w:val="004B40D0"/>
    <w:rsid w:val="004B4113"/>
    <w:rsid w:val="004B423C"/>
    <w:rsid w:val="004B424E"/>
    <w:rsid w:val="004B42C4"/>
    <w:rsid w:val="004B4408"/>
    <w:rsid w:val="004B4472"/>
    <w:rsid w:val="004B4490"/>
    <w:rsid w:val="004B4559"/>
    <w:rsid w:val="004B4663"/>
    <w:rsid w:val="004B46D2"/>
    <w:rsid w:val="004B4816"/>
    <w:rsid w:val="004B481A"/>
    <w:rsid w:val="004B493C"/>
    <w:rsid w:val="004B4A30"/>
    <w:rsid w:val="004B4AEC"/>
    <w:rsid w:val="004B4B5E"/>
    <w:rsid w:val="004B4BD7"/>
    <w:rsid w:val="004B4BF2"/>
    <w:rsid w:val="004B4BFF"/>
    <w:rsid w:val="004B4C59"/>
    <w:rsid w:val="004B4D0D"/>
    <w:rsid w:val="004B4EFC"/>
    <w:rsid w:val="004B5006"/>
    <w:rsid w:val="004B500E"/>
    <w:rsid w:val="004B508F"/>
    <w:rsid w:val="004B510A"/>
    <w:rsid w:val="004B5284"/>
    <w:rsid w:val="004B542E"/>
    <w:rsid w:val="004B5560"/>
    <w:rsid w:val="004B56B6"/>
    <w:rsid w:val="004B56D2"/>
    <w:rsid w:val="004B5728"/>
    <w:rsid w:val="004B5923"/>
    <w:rsid w:val="004B5B77"/>
    <w:rsid w:val="004B5BAF"/>
    <w:rsid w:val="004B5C2A"/>
    <w:rsid w:val="004B5C7D"/>
    <w:rsid w:val="004B5D59"/>
    <w:rsid w:val="004B5DAA"/>
    <w:rsid w:val="004B5E8D"/>
    <w:rsid w:val="004B5F21"/>
    <w:rsid w:val="004B5F4E"/>
    <w:rsid w:val="004B607A"/>
    <w:rsid w:val="004B608B"/>
    <w:rsid w:val="004B61ED"/>
    <w:rsid w:val="004B61FA"/>
    <w:rsid w:val="004B620E"/>
    <w:rsid w:val="004B6288"/>
    <w:rsid w:val="004B634B"/>
    <w:rsid w:val="004B63AA"/>
    <w:rsid w:val="004B63B8"/>
    <w:rsid w:val="004B6530"/>
    <w:rsid w:val="004B65BC"/>
    <w:rsid w:val="004B6952"/>
    <w:rsid w:val="004B698A"/>
    <w:rsid w:val="004B6A4F"/>
    <w:rsid w:val="004B6A5D"/>
    <w:rsid w:val="004B6B3A"/>
    <w:rsid w:val="004B6B95"/>
    <w:rsid w:val="004B6BDA"/>
    <w:rsid w:val="004B6C61"/>
    <w:rsid w:val="004B6D8B"/>
    <w:rsid w:val="004B6F02"/>
    <w:rsid w:val="004B6F56"/>
    <w:rsid w:val="004B6FE3"/>
    <w:rsid w:val="004B70D7"/>
    <w:rsid w:val="004B70FF"/>
    <w:rsid w:val="004B7132"/>
    <w:rsid w:val="004B71DF"/>
    <w:rsid w:val="004B722A"/>
    <w:rsid w:val="004B755B"/>
    <w:rsid w:val="004B7637"/>
    <w:rsid w:val="004B7739"/>
    <w:rsid w:val="004B78D4"/>
    <w:rsid w:val="004B7AA2"/>
    <w:rsid w:val="004B7CA9"/>
    <w:rsid w:val="004C00DB"/>
    <w:rsid w:val="004C01A4"/>
    <w:rsid w:val="004C0223"/>
    <w:rsid w:val="004C02FA"/>
    <w:rsid w:val="004C0328"/>
    <w:rsid w:val="004C0358"/>
    <w:rsid w:val="004C03FA"/>
    <w:rsid w:val="004C05FE"/>
    <w:rsid w:val="004C0609"/>
    <w:rsid w:val="004C08AB"/>
    <w:rsid w:val="004C09E8"/>
    <w:rsid w:val="004C0A70"/>
    <w:rsid w:val="004C0CAA"/>
    <w:rsid w:val="004C0E7C"/>
    <w:rsid w:val="004C0F7F"/>
    <w:rsid w:val="004C117E"/>
    <w:rsid w:val="004C1187"/>
    <w:rsid w:val="004C11AE"/>
    <w:rsid w:val="004C1238"/>
    <w:rsid w:val="004C1241"/>
    <w:rsid w:val="004C12E7"/>
    <w:rsid w:val="004C1407"/>
    <w:rsid w:val="004C1511"/>
    <w:rsid w:val="004C1527"/>
    <w:rsid w:val="004C16ED"/>
    <w:rsid w:val="004C1AA9"/>
    <w:rsid w:val="004C1BA5"/>
    <w:rsid w:val="004C1BBD"/>
    <w:rsid w:val="004C1D38"/>
    <w:rsid w:val="004C1EF0"/>
    <w:rsid w:val="004C1F69"/>
    <w:rsid w:val="004C213C"/>
    <w:rsid w:val="004C22C3"/>
    <w:rsid w:val="004C22D3"/>
    <w:rsid w:val="004C2303"/>
    <w:rsid w:val="004C2314"/>
    <w:rsid w:val="004C23D3"/>
    <w:rsid w:val="004C23E8"/>
    <w:rsid w:val="004C2505"/>
    <w:rsid w:val="004C26E8"/>
    <w:rsid w:val="004C28E6"/>
    <w:rsid w:val="004C29A3"/>
    <w:rsid w:val="004C2C91"/>
    <w:rsid w:val="004C2CDC"/>
    <w:rsid w:val="004C307C"/>
    <w:rsid w:val="004C3249"/>
    <w:rsid w:val="004C3272"/>
    <w:rsid w:val="004C3574"/>
    <w:rsid w:val="004C37AA"/>
    <w:rsid w:val="004C384F"/>
    <w:rsid w:val="004C39AA"/>
    <w:rsid w:val="004C39B2"/>
    <w:rsid w:val="004C3A7E"/>
    <w:rsid w:val="004C3B30"/>
    <w:rsid w:val="004C3B74"/>
    <w:rsid w:val="004C3B95"/>
    <w:rsid w:val="004C3C59"/>
    <w:rsid w:val="004C3C98"/>
    <w:rsid w:val="004C3CCE"/>
    <w:rsid w:val="004C3E46"/>
    <w:rsid w:val="004C3F8F"/>
    <w:rsid w:val="004C4271"/>
    <w:rsid w:val="004C42D0"/>
    <w:rsid w:val="004C43A8"/>
    <w:rsid w:val="004C441F"/>
    <w:rsid w:val="004C44D1"/>
    <w:rsid w:val="004C44ED"/>
    <w:rsid w:val="004C45DD"/>
    <w:rsid w:val="004C4623"/>
    <w:rsid w:val="004C468C"/>
    <w:rsid w:val="004C4725"/>
    <w:rsid w:val="004C4735"/>
    <w:rsid w:val="004C477E"/>
    <w:rsid w:val="004C4B99"/>
    <w:rsid w:val="004C4C08"/>
    <w:rsid w:val="004C4CE0"/>
    <w:rsid w:val="004C4DCA"/>
    <w:rsid w:val="004C50AC"/>
    <w:rsid w:val="004C521E"/>
    <w:rsid w:val="004C52C6"/>
    <w:rsid w:val="004C5356"/>
    <w:rsid w:val="004C539B"/>
    <w:rsid w:val="004C544B"/>
    <w:rsid w:val="004C54A0"/>
    <w:rsid w:val="004C556B"/>
    <w:rsid w:val="004C55B3"/>
    <w:rsid w:val="004C5651"/>
    <w:rsid w:val="004C5806"/>
    <w:rsid w:val="004C5845"/>
    <w:rsid w:val="004C585E"/>
    <w:rsid w:val="004C5A5F"/>
    <w:rsid w:val="004C5A7B"/>
    <w:rsid w:val="004C5B01"/>
    <w:rsid w:val="004C5C29"/>
    <w:rsid w:val="004C5D3C"/>
    <w:rsid w:val="004C5D84"/>
    <w:rsid w:val="004C5EB6"/>
    <w:rsid w:val="004C5F37"/>
    <w:rsid w:val="004C601F"/>
    <w:rsid w:val="004C6143"/>
    <w:rsid w:val="004C618B"/>
    <w:rsid w:val="004C621B"/>
    <w:rsid w:val="004C647F"/>
    <w:rsid w:val="004C649B"/>
    <w:rsid w:val="004C6568"/>
    <w:rsid w:val="004C663C"/>
    <w:rsid w:val="004C6644"/>
    <w:rsid w:val="004C67A9"/>
    <w:rsid w:val="004C68C9"/>
    <w:rsid w:val="004C68FD"/>
    <w:rsid w:val="004C6A1C"/>
    <w:rsid w:val="004C6BC0"/>
    <w:rsid w:val="004C6C33"/>
    <w:rsid w:val="004C6CAE"/>
    <w:rsid w:val="004C6D04"/>
    <w:rsid w:val="004C6F0A"/>
    <w:rsid w:val="004C7019"/>
    <w:rsid w:val="004C706B"/>
    <w:rsid w:val="004C706D"/>
    <w:rsid w:val="004C718C"/>
    <w:rsid w:val="004C71E2"/>
    <w:rsid w:val="004C73AD"/>
    <w:rsid w:val="004C744F"/>
    <w:rsid w:val="004C7451"/>
    <w:rsid w:val="004C7506"/>
    <w:rsid w:val="004C75AC"/>
    <w:rsid w:val="004C76F2"/>
    <w:rsid w:val="004C774D"/>
    <w:rsid w:val="004C781B"/>
    <w:rsid w:val="004C7824"/>
    <w:rsid w:val="004C79FC"/>
    <w:rsid w:val="004C79FF"/>
    <w:rsid w:val="004C7ACB"/>
    <w:rsid w:val="004C7D34"/>
    <w:rsid w:val="004C7E7D"/>
    <w:rsid w:val="004C7EC0"/>
    <w:rsid w:val="004C7FD7"/>
    <w:rsid w:val="004CDD47"/>
    <w:rsid w:val="004D002B"/>
    <w:rsid w:val="004D00FA"/>
    <w:rsid w:val="004D03C8"/>
    <w:rsid w:val="004D03D1"/>
    <w:rsid w:val="004D0538"/>
    <w:rsid w:val="004D064B"/>
    <w:rsid w:val="004D075B"/>
    <w:rsid w:val="004D0901"/>
    <w:rsid w:val="004D0932"/>
    <w:rsid w:val="004D0B64"/>
    <w:rsid w:val="004D0CAF"/>
    <w:rsid w:val="004D0D5C"/>
    <w:rsid w:val="004D0D64"/>
    <w:rsid w:val="004D0DC9"/>
    <w:rsid w:val="004D1071"/>
    <w:rsid w:val="004D10C3"/>
    <w:rsid w:val="004D117F"/>
    <w:rsid w:val="004D1276"/>
    <w:rsid w:val="004D13FE"/>
    <w:rsid w:val="004D15C3"/>
    <w:rsid w:val="004D1674"/>
    <w:rsid w:val="004D17E3"/>
    <w:rsid w:val="004D18B2"/>
    <w:rsid w:val="004D18E6"/>
    <w:rsid w:val="004D19D7"/>
    <w:rsid w:val="004D1A1B"/>
    <w:rsid w:val="004D1B88"/>
    <w:rsid w:val="004D1BD4"/>
    <w:rsid w:val="004D1C11"/>
    <w:rsid w:val="004D1D09"/>
    <w:rsid w:val="004D1D18"/>
    <w:rsid w:val="004D1DCB"/>
    <w:rsid w:val="004D1E4D"/>
    <w:rsid w:val="004D1E5C"/>
    <w:rsid w:val="004D1E61"/>
    <w:rsid w:val="004D1FFE"/>
    <w:rsid w:val="004D20F1"/>
    <w:rsid w:val="004D2163"/>
    <w:rsid w:val="004D21B5"/>
    <w:rsid w:val="004D2229"/>
    <w:rsid w:val="004D2234"/>
    <w:rsid w:val="004D23F8"/>
    <w:rsid w:val="004D2550"/>
    <w:rsid w:val="004D26A0"/>
    <w:rsid w:val="004D27FD"/>
    <w:rsid w:val="004D2835"/>
    <w:rsid w:val="004D2909"/>
    <w:rsid w:val="004D2929"/>
    <w:rsid w:val="004D29AD"/>
    <w:rsid w:val="004D2D31"/>
    <w:rsid w:val="004D2E4A"/>
    <w:rsid w:val="004D2F8B"/>
    <w:rsid w:val="004D310E"/>
    <w:rsid w:val="004D31AE"/>
    <w:rsid w:val="004D321B"/>
    <w:rsid w:val="004D32B5"/>
    <w:rsid w:val="004D32DA"/>
    <w:rsid w:val="004D3653"/>
    <w:rsid w:val="004D39AC"/>
    <w:rsid w:val="004D39FB"/>
    <w:rsid w:val="004D3A10"/>
    <w:rsid w:val="004D3B42"/>
    <w:rsid w:val="004D3C52"/>
    <w:rsid w:val="004D3CCD"/>
    <w:rsid w:val="004D3D03"/>
    <w:rsid w:val="004D3D67"/>
    <w:rsid w:val="004D3E1F"/>
    <w:rsid w:val="004D3EE3"/>
    <w:rsid w:val="004D3EE8"/>
    <w:rsid w:val="004D3F4B"/>
    <w:rsid w:val="004D40E2"/>
    <w:rsid w:val="004D4240"/>
    <w:rsid w:val="004D4261"/>
    <w:rsid w:val="004D4273"/>
    <w:rsid w:val="004D429E"/>
    <w:rsid w:val="004D42F7"/>
    <w:rsid w:val="004D439F"/>
    <w:rsid w:val="004D4489"/>
    <w:rsid w:val="004D46DB"/>
    <w:rsid w:val="004D4862"/>
    <w:rsid w:val="004D487A"/>
    <w:rsid w:val="004D489B"/>
    <w:rsid w:val="004D48A8"/>
    <w:rsid w:val="004D48F5"/>
    <w:rsid w:val="004D4942"/>
    <w:rsid w:val="004D4951"/>
    <w:rsid w:val="004D4B54"/>
    <w:rsid w:val="004D4D83"/>
    <w:rsid w:val="004D4E18"/>
    <w:rsid w:val="004D4F3F"/>
    <w:rsid w:val="004D4FD8"/>
    <w:rsid w:val="004D507C"/>
    <w:rsid w:val="004D50C4"/>
    <w:rsid w:val="004D516C"/>
    <w:rsid w:val="004D530E"/>
    <w:rsid w:val="004D533D"/>
    <w:rsid w:val="004D544B"/>
    <w:rsid w:val="004D5625"/>
    <w:rsid w:val="004D5730"/>
    <w:rsid w:val="004D5837"/>
    <w:rsid w:val="004D58C5"/>
    <w:rsid w:val="004D592A"/>
    <w:rsid w:val="004D593F"/>
    <w:rsid w:val="004D59FB"/>
    <w:rsid w:val="004D5A93"/>
    <w:rsid w:val="004D5B57"/>
    <w:rsid w:val="004D5B9F"/>
    <w:rsid w:val="004D5CEA"/>
    <w:rsid w:val="004D5D10"/>
    <w:rsid w:val="004D5E00"/>
    <w:rsid w:val="004D5E01"/>
    <w:rsid w:val="004D5FAA"/>
    <w:rsid w:val="004D60FB"/>
    <w:rsid w:val="004D62E2"/>
    <w:rsid w:val="004D63F2"/>
    <w:rsid w:val="004D65A4"/>
    <w:rsid w:val="004D65DB"/>
    <w:rsid w:val="004D662C"/>
    <w:rsid w:val="004D669D"/>
    <w:rsid w:val="004D674A"/>
    <w:rsid w:val="004D6771"/>
    <w:rsid w:val="004D67F2"/>
    <w:rsid w:val="004D6818"/>
    <w:rsid w:val="004D6918"/>
    <w:rsid w:val="004D6A53"/>
    <w:rsid w:val="004D6B91"/>
    <w:rsid w:val="004D6DEB"/>
    <w:rsid w:val="004D6F0D"/>
    <w:rsid w:val="004D71AE"/>
    <w:rsid w:val="004D7259"/>
    <w:rsid w:val="004D72BE"/>
    <w:rsid w:val="004D72EF"/>
    <w:rsid w:val="004D731A"/>
    <w:rsid w:val="004D733A"/>
    <w:rsid w:val="004D73DA"/>
    <w:rsid w:val="004D7432"/>
    <w:rsid w:val="004D7433"/>
    <w:rsid w:val="004D74B6"/>
    <w:rsid w:val="004D76CB"/>
    <w:rsid w:val="004D78AC"/>
    <w:rsid w:val="004D78B7"/>
    <w:rsid w:val="004D794E"/>
    <w:rsid w:val="004D79A6"/>
    <w:rsid w:val="004D79AA"/>
    <w:rsid w:val="004D7A81"/>
    <w:rsid w:val="004D7B97"/>
    <w:rsid w:val="004D7E7D"/>
    <w:rsid w:val="004D7E8D"/>
    <w:rsid w:val="004D7E96"/>
    <w:rsid w:val="004D7EAA"/>
    <w:rsid w:val="004E01E6"/>
    <w:rsid w:val="004E0237"/>
    <w:rsid w:val="004E03AF"/>
    <w:rsid w:val="004E0422"/>
    <w:rsid w:val="004E051B"/>
    <w:rsid w:val="004E060D"/>
    <w:rsid w:val="004E0705"/>
    <w:rsid w:val="004E088D"/>
    <w:rsid w:val="004E0900"/>
    <w:rsid w:val="004E0AB0"/>
    <w:rsid w:val="004E0B26"/>
    <w:rsid w:val="004E0BF9"/>
    <w:rsid w:val="004E0C24"/>
    <w:rsid w:val="004E0DCE"/>
    <w:rsid w:val="004E0E9D"/>
    <w:rsid w:val="004E0F61"/>
    <w:rsid w:val="004E1097"/>
    <w:rsid w:val="004E1294"/>
    <w:rsid w:val="004E1399"/>
    <w:rsid w:val="004E1641"/>
    <w:rsid w:val="004E16AD"/>
    <w:rsid w:val="004E177F"/>
    <w:rsid w:val="004E1787"/>
    <w:rsid w:val="004E179A"/>
    <w:rsid w:val="004E18DB"/>
    <w:rsid w:val="004E1964"/>
    <w:rsid w:val="004E19E1"/>
    <w:rsid w:val="004E1E8A"/>
    <w:rsid w:val="004E1E8D"/>
    <w:rsid w:val="004E1E8E"/>
    <w:rsid w:val="004E1ECE"/>
    <w:rsid w:val="004E200B"/>
    <w:rsid w:val="004E2016"/>
    <w:rsid w:val="004E238D"/>
    <w:rsid w:val="004E23A1"/>
    <w:rsid w:val="004E23A7"/>
    <w:rsid w:val="004E24EE"/>
    <w:rsid w:val="004E25DD"/>
    <w:rsid w:val="004E263F"/>
    <w:rsid w:val="004E267D"/>
    <w:rsid w:val="004E2784"/>
    <w:rsid w:val="004E27A5"/>
    <w:rsid w:val="004E27AF"/>
    <w:rsid w:val="004E2812"/>
    <w:rsid w:val="004E2CB8"/>
    <w:rsid w:val="004E2D44"/>
    <w:rsid w:val="004E2E55"/>
    <w:rsid w:val="004E2F1A"/>
    <w:rsid w:val="004E3055"/>
    <w:rsid w:val="004E308C"/>
    <w:rsid w:val="004E30AC"/>
    <w:rsid w:val="004E31CE"/>
    <w:rsid w:val="004E31F2"/>
    <w:rsid w:val="004E32D4"/>
    <w:rsid w:val="004E3465"/>
    <w:rsid w:val="004E34DD"/>
    <w:rsid w:val="004E3525"/>
    <w:rsid w:val="004E368E"/>
    <w:rsid w:val="004E380B"/>
    <w:rsid w:val="004E38F4"/>
    <w:rsid w:val="004E396B"/>
    <w:rsid w:val="004E39CB"/>
    <w:rsid w:val="004E3A31"/>
    <w:rsid w:val="004E3A54"/>
    <w:rsid w:val="004E3A6E"/>
    <w:rsid w:val="004E3AA1"/>
    <w:rsid w:val="004E3ABC"/>
    <w:rsid w:val="004E3BF0"/>
    <w:rsid w:val="004E3C73"/>
    <w:rsid w:val="004E3DA9"/>
    <w:rsid w:val="004E4093"/>
    <w:rsid w:val="004E419B"/>
    <w:rsid w:val="004E43DD"/>
    <w:rsid w:val="004E4403"/>
    <w:rsid w:val="004E4438"/>
    <w:rsid w:val="004E44A8"/>
    <w:rsid w:val="004E4815"/>
    <w:rsid w:val="004E4823"/>
    <w:rsid w:val="004E4A1E"/>
    <w:rsid w:val="004E4A25"/>
    <w:rsid w:val="004E4BD0"/>
    <w:rsid w:val="004E4D36"/>
    <w:rsid w:val="004E4E28"/>
    <w:rsid w:val="004E4F16"/>
    <w:rsid w:val="004E4F19"/>
    <w:rsid w:val="004E4F4E"/>
    <w:rsid w:val="004E4F99"/>
    <w:rsid w:val="004E4FE1"/>
    <w:rsid w:val="004E50BA"/>
    <w:rsid w:val="004E50DA"/>
    <w:rsid w:val="004E5177"/>
    <w:rsid w:val="004E526D"/>
    <w:rsid w:val="004E5352"/>
    <w:rsid w:val="004E5397"/>
    <w:rsid w:val="004E5401"/>
    <w:rsid w:val="004E551C"/>
    <w:rsid w:val="004E55D1"/>
    <w:rsid w:val="004E5629"/>
    <w:rsid w:val="004E574C"/>
    <w:rsid w:val="004E5820"/>
    <w:rsid w:val="004E5874"/>
    <w:rsid w:val="004E5893"/>
    <w:rsid w:val="004E59CA"/>
    <w:rsid w:val="004E5A51"/>
    <w:rsid w:val="004E5B75"/>
    <w:rsid w:val="004E5D51"/>
    <w:rsid w:val="004E5D7C"/>
    <w:rsid w:val="004E5DEA"/>
    <w:rsid w:val="004E5E37"/>
    <w:rsid w:val="004E5EBA"/>
    <w:rsid w:val="004E5FA5"/>
    <w:rsid w:val="004E5FA9"/>
    <w:rsid w:val="004E6013"/>
    <w:rsid w:val="004E60A6"/>
    <w:rsid w:val="004E6131"/>
    <w:rsid w:val="004E6135"/>
    <w:rsid w:val="004E6227"/>
    <w:rsid w:val="004E63BD"/>
    <w:rsid w:val="004E6408"/>
    <w:rsid w:val="004E64A6"/>
    <w:rsid w:val="004E64F0"/>
    <w:rsid w:val="004E651D"/>
    <w:rsid w:val="004E6576"/>
    <w:rsid w:val="004E6580"/>
    <w:rsid w:val="004E6590"/>
    <w:rsid w:val="004E6595"/>
    <w:rsid w:val="004E67E1"/>
    <w:rsid w:val="004E68C8"/>
    <w:rsid w:val="004E68E4"/>
    <w:rsid w:val="004E68EC"/>
    <w:rsid w:val="004E69AA"/>
    <w:rsid w:val="004E6A22"/>
    <w:rsid w:val="004E6AAF"/>
    <w:rsid w:val="004E6BFA"/>
    <w:rsid w:val="004E6D6E"/>
    <w:rsid w:val="004E71AB"/>
    <w:rsid w:val="004E72B2"/>
    <w:rsid w:val="004E732F"/>
    <w:rsid w:val="004E73A5"/>
    <w:rsid w:val="004E753C"/>
    <w:rsid w:val="004E77E6"/>
    <w:rsid w:val="004E7806"/>
    <w:rsid w:val="004E7892"/>
    <w:rsid w:val="004E7948"/>
    <w:rsid w:val="004E794B"/>
    <w:rsid w:val="004E7982"/>
    <w:rsid w:val="004E79CE"/>
    <w:rsid w:val="004E7BB4"/>
    <w:rsid w:val="004E7C85"/>
    <w:rsid w:val="004E7D62"/>
    <w:rsid w:val="004E7D8D"/>
    <w:rsid w:val="004E7E19"/>
    <w:rsid w:val="004E7E27"/>
    <w:rsid w:val="004E7E67"/>
    <w:rsid w:val="004E7F43"/>
    <w:rsid w:val="004E7FAF"/>
    <w:rsid w:val="004F001D"/>
    <w:rsid w:val="004F0027"/>
    <w:rsid w:val="004F0036"/>
    <w:rsid w:val="004F0095"/>
    <w:rsid w:val="004F00CA"/>
    <w:rsid w:val="004F021C"/>
    <w:rsid w:val="004F0353"/>
    <w:rsid w:val="004F0679"/>
    <w:rsid w:val="004F0689"/>
    <w:rsid w:val="004F071D"/>
    <w:rsid w:val="004F0751"/>
    <w:rsid w:val="004F07D1"/>
    <w:rsid w:val="004F091D"/>
    <w:rsid w:val="004F0937"/>
    <w:rsid w:val="004F0AFE"/>
    <w:rsid w:val="004F0B14"/>
    <w:rsid w:val="004F0B26"/>
    <w:rsid w:val="004F0B30"/>
    <w:rsid w:val="004F0DB0"/>
    <w:rsid w:val="004F0DB5"/>
    <w:rsid w:val="004F0E72"/>
    <w:rsid w:val="004F0FEF"/>
    <w:rsid w:val="004F1039"/>
    <w:rsid w:val="004F106F"/>
    <w:rsid w:val="004F10A9"/>
    <w:rsid w:val="004F1145"/>
    <w:rsid w:val="004F1221"/>
    <w:rsid w:val="004F1339"/>
    <w:rsid w:val="004F1345"/>
    <w:rsid w:val="004F13D8"/>
    <w:rsid w:val="004F13DD"/>
    <w:rsid w:val="004F141E"/>
    <w:rsid w:val="004F1474"/>
    <w:rsid w:val="004F158F"/>
    <w:rsid w:val="004F1727"/>
    <w:rsid w:val="004F1745"/>
    <w:rsid w:val="004F19DC"/>
    <w:rsid w:val="004F1AEA"/>
    <w:rsid w:val="004F1AF0"/>
    <w:rsid w:val="004F1CBC"/>
    <w:rsid w:val="004F1CCA"/>
    <w:rsid w:val="004F1D3B"/>
    <w:rsid w:val="004F1E49"/>
    <w:rsid w:val="004F1EA5"/>
    <w:rsid w:val="004F1EC2"/>
    <w:rsid w:val="004F1F5A"/>
    <w:rsid w:val="004F217A"/>
    <w:rsid w:val="004F22CE"/>
    <w:rsid w:val="004F234C"/>
    <w:rsid w:val="004F23A0"/>
    <w:rsid w:val="004F2427"/>
    <w:rsid w:val="004F2444"/>
    <w:rsid w:val="004F2450"/>
    <w:rsid w:val="004F245B"/>
    <w:rsid w:val="004F2522"/>
    <w:rsid w:val="004F26F6"/>
    <w:rsid w:val="004F2703"/>
    <w:rsid w:val="004F2754"/>
    <w:rsid w:val="004F292D"/>
    <w:rsid w:val="004F29C2"/>
    <w:rsid w:val="004F2A79"/>
    <w:rsid w:val="004F2A7C"/>
    <w:rsid w:val="004F2B90"/>
    <w:rsid w:val="004F2B98"/>
    <w:rsid w:val="004F2C75"/>
    <w:rsid w:val="004F2C97"/>
    <w:rsid w:val="004F2D82"/>
    <w:rsid w:val="004F2D87"/>
    <w:rsid w:val="004F2D97"/>
    <w:rsid w:val="004F2E67"/>
    <w:rsid w:val="004F2F2D"/>
    <w:rsid w:val="004F2F42"/>
    <w:rsid w:val="004F3065"/>
    <w:rsid w:val="004F317C"/>
    <w:rsid w:val="004F31BB"/>
    <w:rsid w:val="004F3247"/>
    <w:rsid w:val="004F338D"/>
    <w:rsid w:val="004F338E"/>
    <w:rsid w:val="004F34C3"/>
    <w:rsid w:val="004F351F"/>
    <w:rsid w:val="004F369C"/>
    <w:rsid w:val="004F3A84"/>
    <w:rsid w:val="004F3AA1"/>
    <w:rsid w:val="004F3AFF"/>
    <w:rsid w:val="004F3BF0"/>
    <w:rsid w:val="004F3D2E"/>
    <w:rsid w:val="004F3E87"/>
    <w:rsid w:val="004F3EFA"/>
    <w:rsid w:val="004F3F92"/>
    <w:rsid w:val="004F422D"/>
    <w:rsid w:val="004F4246"/>
    <w:rsid w:val="004F42FD"/>
    <w:rsid w:val="004F45DF"/>
    <w:rsid w:val="004F46AE"/>
    <w:rsid w:val="004F479A"/>
    <w:rsid w:val="004F4832"/>
    <w:rsid w:val="004F4885"/>
    <w:rsid w:val="004F4CA8"/>
    <w:rsid w:val="004F4CBB"/>
    <w:rsid w:val="004F4D2B"/>
    <w:rsid w:val="004F4E8E"/>
    <w:rsid w:val="004F5071"/>
    <w:rsid w:val="004F5411"/>
    <w:rsid w:val="004F559A"/>
    <w:rsid w:val="004F55A3"/>
    <w:rsid w:val="004F5635"/>
    <w:rsid w:val="004F56FF"/>
    <w:rsid w:val="004F5877"/>
    <w:rsid w:val="004F5959"/>
    <w:rsid w:val="004F59DD"/>
    <w:rsid w:val="004F59F5"/>
    <w:rsid w:val="004F59FD"/>
    <w:rsid w:val="004F5A40"/>
    <w:rsid w:val="004F5D58"/>
    <w:rsid w:val="004F5D89"/>
    <w:rsid w:val="004F5E48"/>
    <w:rsid w:val="004F5E72"/>
    <w:rsid w:val="004F5ED2"/>
    <w:rsid w:val="004F6021"/>
    <w:rsid w:val="004F6140"/>
    <w:rsid w:val="004F61BF"/>
    <w:rsid w:val="004F623E"/>
    <w:rsid w:val="004F6343"/>
    <w:rsid w:val="004F635A"/>
    <w:rsid w:val="004F63D6"/>
    <w:rsid w:val="004F64E5"/>
    <w:rsid w:val="004F66B6"/>
    <w:rsid w:val="004F68AB"/>
    <w:rsid w:val="004F6AB9"/>
    <w:rsid w:val="004F6B8B"/>
    <w:rsid w:val="004F6BB2"/>
    <w:rsid w:val="004F6BBF"/>
    <w:rsid w:val="004F6BEB"/>
    <w:rsid w:val="004F6CC8"/>
    <w:rsid w:val="004F6CE0"/>
    <w:rsid w:val="004F6D48"/>
    <w:rsid w:val="004F6E31"/>
    <w:rsid w:val="004F6EAA"/>
    <w:rsid w:val="004F6EBB"/>
    <w:rsid w:val="004F6ED3"/>
    <w:rsid w:val="004F6FBA"/>
    <w:rsid w:val="004F7048"/>
    <w:rsid w:val="004F7261"/>
    <w:rsid w:val="004F731D"/>
    <w:rsid w:val="004F733F"/>
    <w:rsid w:val="004F74DC"/>
    <w:rsid w:val="004F7542"/>
    <w:rsid w:val="004F7570"/>
    <w:rsid w:val="004F7596"/>
    <w:rsid w:val="004F76DA"/>
    <w:rsid w:val="004F79F4"/>
    <w:rsid w:val="004F7A30"/>
    <w:rsid w:val="004F7B02"/>
    <w:rsid w:val="004F7C02"/>
    <w:rsid w:val="004F7EF5"/>
    <w:rsid w:val="004F7F59"/>
    <w:rsid w:val="004F7F70"/>
    <w:rsid w:val="004F7F7B"/>
    <w:rsid w:val="004F7FEE"/>
    <w:rsid w:val="005000CB"/>
    <w:rsid w:val="00500100"/>
    <w:rsid w:val="0050017B"/>
    <w:rsid w:val="005001AF"/>
    <w:rsid w:val="0050026A"/>
    <w:rsid w:val="005002A0"/>
    <w:rsid w:val="005002D8"/>
    <w:rsid w:val="005002FE"/>
    <w:rsid w:val="005004DA"/>
    <w:rsid w:val="00500526"/>
    <w:rsid w:val="005005BD"/>
    <w:rsid w:val="00500603"/>
    <w:rsid w:val="005006B7"/>
    <w:rsid w:val="005006E3"/>
    <w:rsid w:val="00500732"/>
    <w:rsid w:val="0050076B"/>
    <w:rsid w:val="00500875"/>
    <w:rsid w:val="0050087A"/>
    <w:rsid w:val="005008E2"/>
    <w:rsid w:val="005009BD"/>
    <w:rsid w:val="005009EF"/>
    <w:rsid w:val="00500A88"/>
    <w:rsid w:val="00500AD7"/>
    <w:rsid w:val="00500D73"/>
    <w:rsid w:val="00500DD5"/>
    <w:rsid w:val="00500E0F"/>
    <w:rsid w:val="00500E97"/>
    <w:rsid w:val="0050111C"/>
    <w:rsid w:val="005016F3"/>
    <w:rsid w:val="00501793"/>
    <w:rsid w:val="00501A9C"/>
    <w:rsid w:val="00501C9C"/>
    <w:rsid w:val="00501E04"/>
    <w:rsid w:val="00501F2A"/>
    <w:rsid w:val="005020B9"/>
    <w:rsid w:val="00502107"/>
    <w:rsid w:val="00502136"/>
    <w:rsid w:val="0050218C"/>
    <w:rsid w:val="00502286"/>
    <w:rsid w:val="005025F7"/>
    <w:rsid w:val="0050260A"/>
    <w:rsid w:val="00502795"/>
    <w:rsid w:val="00502803"/>
    <w:rsid w:val="0050289B"/>
    <w:rsid w:val="005028DC"/>
    <w:rsid w:val="0050298F"/>
    <w:rsid w:val="00502A5F"/>
    <w:rsid w:val="00502A70"/>
    <w:rsid w:val="00502A8B"/>
    <w:rsid w:val="00502AC6"/>
    <w:rsid w:val="00502BDD"/>
    <w:rsid w:val="00502CC8"/>
    <w:rsid w:val="00502F19"/>
    <w:rsid w:val="00503056"/>
    <w:rsid w:val="00503099"/>
    <w:rsid w:val="005031C2"/>
    <w:rsid w:val="0050327B"/>
    <w:rsid w:val="00503398"/>
    <w:rsid w:val="00503429"/>
    <w:rsid w:val="00503450"/>
    <w:rsid w:val="00503691"/>
    <w:rsid w:val="005036AA"/>
    <w:rsid w:val="005038BD"/>
    <w:rsid w:val="00503920"/>
    <w:rsid w:val="0050399D"/>
    <w:rsid w:val="00503A11"/>
    <w:rsid w:val="00503ACD"/>
    <w:rsid w:val="00503B09"/>
    <w:rsid w:val="00503B59"/>
    <w:rsid w:val="00503C26"/>
    <w:rsid w:val="00503C31"/>
    <w:rsid w:val="00503C4D"/>
    <w:rsid w:val="00503C51"/>
    <w:rsid w:val="00503D2D"/>
    <w:rsid w:val="00503D89"/>
    <w:rsid w:val="00503E18"/>
    <w:rsid w:val="00503E81"/>
    <w:rsid w:val="00503E9D"/>
    <w:rsid w:val="00503EA8"/>
    <w:rsid w:val="00503F38"/>
    <w:rsid w:val="005041B6"/>
    <w:rsid w:val="0050420E"/>
    <w:rsid w:val="00504962"/>
    <w:rsid w:val="0050498E"/>
    <w:rsid w:val="005049C8"/>
    <w:rsid w:val="00504AB1"/>
    <w:rsid w:val="00504D0E"/>
    <w:rsid w:val="00504DEF"/>
    <w:rsid w:val="00504E68"/>
    <w:rsid w:val="00504E88"/>
    <w:rsid w:val="00504EE2"/>
    <w:rsid w:val="00504FFD"/>
    <w:rsid w:val="00505049"/>
    <w:rsid w:val="0050520B"/>
    <w:rsid w:val="0050531F"/>
    <w:rsid w:val="005053A5"/>
    <w:rsid w:val="005054B5"/>
    <w:rsid w:val="00505543"/>
    <w:rsid w:val="005055F1"/>
    <w:rsid w:val="00505617"/>
    <w:rsid w:val="00505758"/>
    <w:rsid w:val="00505843"/>
    <w:rsid w:val="005059C9"/>
    <w:rsid w:val="00505A6B"/>
    <w:rsid w:val="00505AFE"/>
    <w:rsid w:val="00505B48"/>
    <w:rsid w:val="00505C40"/>
    <w:rsid w:val="00505C50"/>
    <w:rsid w:val="00505CE8"/>
    <w:rsid w:val="00505CF4"/>
    <w:rsid w:val="00505D05"/>
    <w:rsid w:val="00505DA5"/>
    <w:rsid w:val="00505E0F"/>
    <w:rsid w:val="00505E1D"/>
    <w:rsid w:val="00505E9C"/>
    <w:rsid w:val="00505F81"/>
    <w:rsid w:val="005060A4"/>
    <w:rsid w:val="00506221"/>
    <w:rsid w:val="00506255"/>
    <w:rsid w:val="00506295"/>
    <w:rsid w:val="00506324"/>
    <w:rsid w:val="005063C2"/>
    <w:rsid w:val="00506442"/>
    <w:rsid w:val="005064A7"/>
    <w:rsid w:val="005064BC"/>
    <w:rsid w:val="005065E8"/>
    <w:rsid w:val="00506691"/>
    <w:rsid w:val="005068D9"/>
    <w:rsid w:val="00506A23"/>
    <w:rsid w:val="00506BCE"/>
    <w:rsid w:val="00506BD4"/>
    <w:rsid w:val="00506CCC"/>
    <w:rsid w:val="00506D41"/>
    <w:rsid w:val="00506DC4"/>
    <w:rsid w:val="005071A0"/>
    <w:rsid w:val="0050721F"/>
    <w:rsid w:val="005072A7"/>
    <w:rsid w:val="005072FB"/>
    <w:rsid w:val="00507549"/>
    <w:rsid w:val="00507596"/>
    <w:rsid w:val="005075E3"/>
    <w:rsid w:val="00507681"/>
    <w:rsid w:val="005076AB"/>
    <w:rsid w:val="00507A64"/>
    <w:rsid w:val="00507AEB"/>
    <w:rsid w:val="00507B65"/>
    <w:rsid w:val="00507BBA"/>
    <w:rsid w:val="00507BF6"/>
    <w:rsid w:val="00507C52"/>
    <w:rsid w:val="00507C74"/>
    <w:rsid w:val="00507CBE"/>
    <w:rsid w:val="00507D2D"/>
    <w:rsid w:val="00507DDD"/>
    <w:rsid w:val="00507ECE"/>
    <w:rsid w:val="00507ED5"/>
    <w:rsid w:val="00507FBF"/>
    <w:rsid w:val="00510059"/>
    <w:rsid w:val="00510092"/>
    <w:rsid w:val="0051011D"/>
    <w:rsid w:val="0051016F"/>
    <w:rsid w:val="005103D4"/>
    <w:rsid w:val="005104BA"/>
    <w:rsid w:val="005104F6"/>
    <w:rsid w:val="00510602"/>
    <w:rsid w:val="005107B6"/>
    <w:rsid w:val="00510869"/>
    <w:rsid w:val="0051091A"/>
    <w:rsid w:val="005109A3"/>
    <w:rsid w:val="005109E7"/>
    <w:rsid w:val="00510A03"/>
    <w:rsid w:val="00510ADF"/>
    <w:rsid w:val="00510B3A"/>
    <w:rsid w:val="00510B4A"/>
    <w:rsid w:val="00510C50"/>
    <w:rsid w:val="00510CF2"/>
    <w:rsid w:val="00510E5F"/>
    <w:rsid w:val="00510E65"/>
    <w:rsid w:val="00510F1A"/>
    <w:rsid w:val="00510F71"/>
    <w:rsid w:val="0051141F"/>
    <w:rsid w:val="00511700"/>
    <w:rsid w:val="0051175B"/>
    <w:rsid w:val="00511799"/>
    <w:rsid w:val="005118D6"/>
    <w:rsid w:val="005118EC"/>
    <w:rsid w:val="00511B8B"/>
    <w:rsid w:val="00511CD1"/>
    <w:rsid w:val="00511D17"/>
    <w:rsid w:val="00511D6B"/>
    <w:rsid w:val="00511D7F"/>
    <w:rsid w:val="00511F2C"/>
    <w:rsid w:val="00511F8D"/>
    <w:rsid w:val="00511FA0"/>
    <w:rsid w:val="005121B6"/>
    <w:rsid w:val="0051224D"/>
    <w:rsid w:val="00512294"/>
    <w:rsid w:val="005122E0"/>
    <w:rsid w:val="00512333"/>
    <w:rsid w:val="0051234B"/>
    <w:rsid w:val="005123BC"/>
    <w:rsid w:val="0051249F"/>
    <w:rsid w:val="0051251F"/>
    <w:rsid w:val="005127F9"/>
    <w:rsid w:val="00512814"/>
    <w:rsid w:val="00512A99"/>
    <w:rsid w:val="00512C71"/>
    <w:rsid w:val="00512D43"/>
    <w:rsid w:val="00512F4E"/>
    <w:rsid w:val="00512F83"/>
    <w:rsid w:val="00512FB8"/>
    <w:rsid w:val="0051314A"/>
    <w:rsid w:val="005132A7"/>
    <w:rsid w:val="005132D1"/>
    <w:rsid w:val="00513579"/>
    <w:rsid w:val="005136E5"/>
    <w:rsid w:val="00513719"/>
    <w:rsid w:val="00513859"/>
    <w:rsid w:val="00513A78"/>
    <w:rsid w:val="00513B37"/>
    <w:rsid w:val="00513B57"/>
    <w:rsid w:val="00513C0C"/>
    <w:rsid w:val="00513C7D"/>
    <w:rsid w:val="00513D10"/>
    <w:rsid w:val="00513E6D"/>
    <w:rsid w:val="00514079"/>
    <w:rsid w:val="00514134"/>
    <w:rsid w:val="00514177"/>
    <w:rsid w:val="00514219"/>
    <w:rsid w:val="00514396"/>
    <w:rsid w:val="0051444F"/>
    <w:rsid w:val="00514454"/>
    <w:rsid w:val="00514498"/>
    <w:rsid w:val="005145C6"/>
    <w:rsid w:val="005146A1"/>
    <w:rsid w:val="005146E5"/>
    <w:rsid w:val="005149D7"/>
    <w:rsid w:val="00514BF1"/>
    <w:rsid w:val="00514C55"/>
    <w:rsid w:val="00514EB4"/>
    <w:rsid w:val="00514EF2"/>
    <w:rsid w:val="00514F78"/>
    <w:rsid w:val="00515049"/>
    <w:rsid w:val="005150F4"/>
    <w:rsid w:val="00515149"/>
    <w:rsid w:val="0051527A"/>
    <w:rsid w:val="005152C8"/>
    <w:rsid w:val="005153E6"/>
    <w:rsid w:val="00515572"/>
    <w:rsid w:val="005155C2"/>
    <w:rsid w:val="00515748"/>
    <w:rsid w:val="0051574F"/>
    <w:rsid w:val="00515786"/>
    <w:rsid w:val="00515A90"/>
    <w:rsid w:val="00515B65"/>
    <w:rsid w:val="00515B89"/>
    <w:rsid w:val="00515BE2"/>
    <w:rsid w:val="00515D33"/>
    <w:rsid w:val="00515D98"/>
    <w:rsid w:val="00515DE0"/>
    <w:rsid w:val="00515F0C"/>
    <w:rsid w:val="00515FB0"/>
    <w:rsid w:val="005160B1"/>
    <w:rsid w:val="00516170"/>
    <w:rsid w:val="00516184"/>
    <w:rsid w:val="0051618A"/>
    <w:rsid w:val="005161F8"/>
    <w:rsid w:val="00516278"/>
    <w:rsid w:val="005162E3"/>
    <w:rsid w:val="00516516"/>
    <w:rsid w:val="005165FF"/>
    <w:rsid w:val="0051688F"/>
    <w:rsid w:val="005168A9"/>
    <w:rsid w:val="005168EA"/>
    <w:rsid w:val="00516C94"/>
    <w:rsid w:val="00516CD7"/>
    <w:rsid w:val="00516DC3"/>
    <w:rsid w:val="00516E62"/>
    <w:rsid w:val="00516E79"/>
    <w:rsid w:val="0051709B"/>
    <w:rsid w:val="00517114"/>
    <w:rsid w:val="00517128"/>
    <w:rsid w:val="00517133"/>
    <w:rsid w:val="005172BA"/>
    <w:rsid w:val="00517386"/>
    <w:rsid w:val="00517453"/>
    <w:rsid w:val="00517571"/>
    <w:rsid w:val="00517597"/>
    <w:rsid w:val="005175BC"/>
    <w:rsid w:val="00517850"/>
    <w:rsid w:val="005179A0"/>
    <w:rsid w:val="00517B16"/>
    <w:rsid w:val="00517B2D"/>
    <w:rsid w:val="00517B49"/>
    <w:rsid w:val="00517C99"/>
    <w:rsid w:val="00517CF7"/>
    <w:rsid w:val="00517E30"/>
    <w:rsid w:val="00517E4A"/>
    <w:rsid w:val="00517F13"/>
    <w:rsid w:val="00517F49"/>
    <w:rsid w:val="0052010C"/>
    <w:rsid w:val="00520240"/>
    <w:rsid w:val="00520355"/>
    <w:rsid w:val="005203FD"/>
    <w:rsid w:val="00520752"/>
    <w:rsid w:val="0052075B"/>
    <w:rsid w:val="0052081C"/>
    <w:rsid w:val="0052088E"/>
    <w:rsid w:val="00520D5C"/>
    <w:rsid w:val="00520E59"/>
    <w:rsid w:val="00520E92"/>
    <w:rsid w:val="00520EE2"/>
    <w:rsid w:val="0052103C"/>
    <w:rsid w:val="0052105A"/>
    <w:rsid w:val="00521187"/>
    <w:rsid w:val="00521222"/>
    <w:rsid w:val="0052135B"/>
    <w:rsid w:val="0052136D"/>
    <w:rsid w:val="0052138C"/>
    <w:rsid w:val="0052146E"/>
    <w:rsid w:val="00521490"/>
    <w:rsid w:val="0052167D"/>
    <w:rsid w:val="00521692"/>
    <w:rsid w:val="0052171A"/>
    <w:rsid w:val="00521A65"/>
    <w:rsid w:val="00521A73"/>
    <w:rsid w:val="00521B41"/>
    <w:rsid w:val="00521B57"/>
    <w:rsid w:val="00521BAB"/>
    <w:rsid w:val="00521D5A"/>
    <w:rsid w:val="00521E20"/>
    <w:rsid w:val="00521E22"/>
    <w:rsid w:val="00521E81"/>
    <w:rsid w:val="00521F13"/>
    <w:rsid w:val="00521FC6"/>
    <w:rsid w:val="00522052"/>
    <w:rsid w:val="00522134"/>
    <w:rsid w:val="00522196"/>
    <w:rsid w:val="00522255"/>
    <w:rsid w:val="00522347"/>
    <w:rsid w:val="005223DE"/>
    <w:rsid w:val="0052241F"/>
    <w:rsid w:val="005225A5"/>
    <w:rsid w:val="00522611"/>
    <w:rsid w:val="00522617"/>
    <w:rsid w:val="0052279A"/>
    <w:rsid w:val="005229D7"/>
    <w:rsid w:val="00522A97"/>
    <w:rsid w:val="00522BBC"/>
    <w:rsid w:val="00522DE9"/>
    <w:rsid w:val="00522DF0"/>
    <w:rsid w:val="00522E05"/>
    <w:rsid w:val="0052301F"/>
    <w:rsid w:val="00523180"/>
    <w:rsid w:val="005231D2"/>
    <w:rsid w:val="0052327C"/>
    <w:rsid w:val="005234F6"/>
    <w:rsid w:val="00523541"/>
    <w:rsid w:val="00523600"/>
    <w:rsid w:val="00523616"/>
    <w:rsid w:val="005236AB"/>
    <w:rsid w:val="00523768"/>
    <w:rsid w:val="005237F9"/>
    <w:rsid w:val="00523985"/>
    <w:rsid w:val="00523A6D"/>
    <w:rsid w:val="00523B5F"/>
    <w:rsid w:val="00523D20"/>
    <w:rsid w:val="00523D5A"/>
    <w:rsid w:val="005242BC"/>
    <w:rsid w:val="005243A1"/>
    <w:rsid w:val="0052445A"/>
    <w:rsid w:val="005244CE"/>
    <w:rsid w:val="00524663"/>
    <w:rsid w:val="0052466E"/>
    <w:rsid w:val="005246F0"/>
    <w:rsid w:val="005246F6"/>
    <w:rsid w:val="0052477F"/>
    <w:rsid w:val="005247C6"/>
    <w:rsid w:val="0052496A"/>
    <w:rsid w:val="00524B9C"/>
    <w:rsid w:val="00524BF8"/>
    <w:rsid w:val="00524C7D"/>
    <w:rsid w:val="00524E85"/>
    <w:rsid w:val="00524FB0"/>
    <w:rsid w:val="005250F6"/>
    <w:rsid w:val="005251B5"/>
    <w:rsid w:val="00525391"/>
    <w:rsid w:val="00525494"/>
    <w:rsid w:val="00525604"/>
    <w:rsid w:val="005258F9"/>
    <w:rsid w:val="0052596B"/>
    <w:rsid w:val="00525A05"/>
    <w:rsid w:val="00525A15"/>
    <w:rsid w:val="00525A5E"/>
    <w:rsid w:val="00525BA5"/>
    <w:rsid w:val="00525BCB"/>
    <w:rsid w:val="00525BCD"/>
    <w:rsid w:val="00525C79"/>
    <w:rsid w:val="00525D0B"/>
    <w:rsid w:val="00525D74"/>
    <w:rsid w:val="00525E9C"/>
    <w:rsid w:val="00525ED3"/>
    <w:rsid w:val="00525F02"/>
    <w:rsid w:val="00525F39"/>
    <w:rsid w:val="00525F6D"/>
    <w:rsid w:val="00526025"/>
    <w:rsid w:val="00526056"/>
    <w:rsid w:val="005260DD"/>
    <w:rsid w:val="005260ED"/>
    <w:rsid w:val="0052625A"/>
    <w:rsid w:val="00526270"/>
    <w:rsid w:val="00526389"/>
    <w:rsid w:val="005263E5"/>
    <w:rsid w:val="00526593"/>
    <w:rsid w:val="005265A4"/>
    <w:rsid w:val="00526695"/>
    <w:rsid w:val="00526780"/>
    <w:rsid w:val="00526822"/>
    <w:rsid w:val="00526841"/>
    <w:rsid w:val="00526C3D"/>
    <w:rsid w:val="00526E9B"/>
    <w:rsid w:val="00526FBA"/>
    <w:rsid w:val="00527147"/>
    <w:rsid w:val="00527184"/>
    <w:rsid w:val="0052734C"/>
    <w:rsid w:val="005273C1"/>
    <w:rsid w:val="00527483"/>
    <w:rsid w:val="00527485"/>
    <w:rsid w:val="005275AE"/>
    <w:rsid w:val="00527834"/>
    <w:rsid w:val="005279CA"/>
    <w:rsid w:val="005279DC"/>
    <w:rsid w:val="005279DE"/>
    <w:rsid w:val="00527B2F"/>
    <w:rsid w:val="00527D11"/>
    <w:rsid w:val="00527D27"/>
    <w:rsid w:val="00527D60"/>
    <w:rsid w:val="00527DA8"/>
    <w:rsid w:val="00527DD4"/>
    <w:rsid w:val="00527DF9"/>
    <w:rsid w:val="00527E0C"/>
    <w:rsid w:val="00527E60"/>
    <w:rsid w:val="00527E67"/>
    <w:rsid w:val="00527E7E"/>
    <w:rsid w:val="00527F4D"/>
    <w:rsid w:val="00527F93"/>
    <w:rsid w:val="005300C7"/>
    <w:rsid w:val="005300DD"/>
    <w:rsid w:val="00530186"/>
    <w:rsid w:val="005301A4"/>
    <w:rsid w:val="00530258"/>
    <w:rsid w:val="0053032D"/>
    <w:rsid w:val="005303E2"/>
    <w:rsid w:val="005304D6"/>
    <w:rsid w:val="00530568"/>
    <w:rsid w:val="0053059B"/>
    <w:rsid w:val="00530660"/>
    <w:rsid w:val="005306B2"/>
    <w:rsid w:val="00530741"/>
    <w:rsid w:val="005308E7"/>
    <w:rsid w:val="005309C7"/>
    <w:rsid w:val="00530B0D"/>
    <w:rsid w:val="00530B71"/>
    <w:rsid w:val="00530CC8"/>
    <w:rsid w:val="00530DBC"/>
    <w:rsid w:val="0053105C"/>
    <w:rsid w:val="005310E2"/>
    <w:rsid w:val="00531246"/>
    <w:rsid w:val="00531257"/>
    <w:rsid w:val="00531410"/>
    <w:rsid w:val="0053141F"/>
    <w:rsid w:val="00531431"/>
    <w:rsid w:val="005314E9"/>
    <w:rsid w:val="0053162A"/>
    <w:rsid w:val="00531634"/>
    <w:rsid w:val="005316D2"/>
    <w:rsid w:val="0053190D"/>
    <w:rsid w:val="005319F3"/>
    <w:rsid w:val="00531A65"/>
    <w:rsid w:val="00531D6B"/>
    <w:rsid w:val="00531F6B"/>
    <w:rsid w:val="00532001"/>
    <w:rsid w:val="00532096"/>
    <w:rsid w:val="005320A1"/>
    <w:rsid w:val="0053215B"/>
    <w:rsid w:val="005321D8"/>
    <w:rsid w:val="0053238E"/>
    <w:rsid w:val="00532687"/>
    <w:rsid w:val="00532792"/>
    <w:rsid w:val="00532924"/>
    <w:rsid w:val="0053295F"/>
    <w:rsid w:val="005329FA"/>
    <w:rsid w:val="00532AD1"/>
    <w:rsid w:val="00532AFC"/>
    <w:rsid w:val="00532B3F"/>
    <w:rsid w:val="00532B95"/>
    <w:rsid w:val="00532C77"/>
    <w:rsid w:val="00532D3E"/>
    <w:rsid w:val="00532DAD"/>
    <w:rsid w:val="00533065"/>
    <w:rsid w:val="00533154"/>
    <w:rsid w:val="005331E5"/>
    <w:rsid w:val="00533261"/>
    <w:rsid w:val="0053339E"/>
    <w:rsid w:val="00533520"/>
    <w:rsid w:val="00533638"/>
    <w:rsid w:val="0053370B"/>
    <w:rsid w:val="00533926"/>
    <w:rsid w:val="005339AE"/>
    <w:rsid w:val="00533BAB"/>
    <w:rsid w:val="00533C02"/>
    <w:rsid w:val="00533C59"/>
    <w:rsid w:val="00533D4C"/>
    <w:rsid w:val="00533DDD"/>
    <w:rsid w:val="00533F03"/>
    <w:rsid w:val="0053402E"/>
    <w:rsid w:val="00534095"/>
    <w:rsid w:val="005340C4"/>
    <w:rsid w:val="00534107"/>
    <w:rsid w:val="005341F1"/>
    <w:rsid w:val="00534207"/>
    <w:rsid w:val="005342AD"/>
    <w:rsid w:val="005343AA"/>
    <w:rsid w:val="005343E7"/>
    <w:rsid w:val="00534410"/>
    <w:rsid w:val="00534505"/>
    <w:rsid w:val="005346BF"/>
    <w:rsid w:val="00534767"/>
    <w:rsid w:val="005347AA"/>
    <w:rsid w:val="00534844"/>
    <w:rsid w:val="0053484C"/>
    <w:rsid w:val="00534875"/>
    <w:rsid w:val="005348EB"/>
    <w:rsid w:val="00534954"/>
    <w:rsid w:val="005349FC"/>
    <w:rsid w:val="00534A16"/>
    <w:rsid w:val="00534A9A"/>
    <w:rsid w:val="00534AE1"/>
    <w:rsid w:val="00534B1C"/>
    <w:rsid w:val="00534C0B"/>
    <w:rsid w:val="00534C21"/>
    <w:rsid w:val="00534CDE"/>
    <w:rsid w:val="00534E6F"/>
    <w:rsid w:val="00534EA0"/>
    <w:rsid w:val="00534FEB"/>
    <w:rsid w:val="00535060"/>
    <w:rsid w:val="005351CD"/>
    <w:rsid w:val="00535352"/>
    <w:rsid w:val="00535679"/>
    <w:rsid w:val="00535685"/>
    <w:rsid w:val="00535763"/>
    <w:rsid w:val="005357F9"/>
    <w:rsid w:val="00535982"/>
    <w:rsid w:val="005359FF"/>
    <w:rsid w:val="00535CF1"/>
    <w:rsid w:val="00535CFE"/>
    <w:rsid w:val="00535D17"/>
    <w:rsid w:val="00535D6F"/>
    <w:rsid w:val="00535EAF"/>
    <w:rsid w:val="00536014"/>
    <w:rsid w:val="00536057"/>
    <w:rsid w:val="0053605A"/>
    <w:rsid w:val="00536070"/>
    <w:rsid w:val="0053628B"/>
    <w:rsid w:val="0053658D"/>
    <w:rsid w:val="0053678D"/>
    <w:rsid w:val="00536865"/>
    <w:rsid w:val="0053696B"/>
    <w:rsid w:val="00536996"/>
    <w:rsid w:val="00536B02"/>
    <w:rsid w:val="00536EEF"/>
    <w:rsid w:val="00536F97"/>
    <w:rsid w:val="00537164"/>
    <w:rsid w:val="00537176"/>
    <w:rsid w:val="0053719D"/>
    <w:rsid w:val="005371C5"/>
    <w:rsid w:val="00537277"/>
    <w:rsid w:val="00537433"/>
    <w:rsid w:val="00537501"/>
    <w:rsid w:val="00537512"/>
    <w:rsid w:val="0053755E"/>
    <w:rsid w:val="005375AC"/>
    <w:rsid w:val="0053765E"/>
    <w:rsid w:val="0053767E"/>
    <w:rsid w:val="005376A8"/>
    <w:rsid w:val="00537881"/>
    <w:rsid w:val="00537AE0"/>
    <w:rsid w:val="00537C33"/>
    <w:rsid w:val="00537C80"/>
    <w:rsid w:val="00537E21"/>
    <w:rsid w:val="00537F2B"/>
    <w:rsid w:val="005400EA"/>
    <w:rsid w:val="00540114"/>
    <w:rsid w:val="00540206"/>
    <w:rsid w:val="005403F6"/>
    <w:rsid w:val="00540503"/>
    <w:rsid w:val="00540566"/>
    <w:rsid w:val="005407B4"/>
    <w:rsid w:val="0054081F"/>
    <w:rsid w:val="00540917"/>
    <w:rsid w:val="00540930"/>
    <w:rsid w:val="00540AE4"/>
    <w:rsid w:val="00540B87"/>
    <w:rsid w:val="00540B8B"/>
    <w:rsid w:val="00540BA8"/>
    <w:rsid w:val="00540C35"/>
    <w:rsid w:val="00540D9F"/>
    <w:rsid w:val="00540EB6"/>
    <w:rsid w:val="0054105A"/>
    <w:rsid w:val="00541086"/>
    <w:rsid w:val="005410E6"/>
    <w:rsid w:val="00541114"/>
    <w:rsid w:val="0054118C"/>
    <w:rsid w:val="005411E7"/>
    <w:rsid w:val="0054149A"/>
    <w:rsid w:val="00541501"/>
    <w:rsid w:val="005415DB"/>
    <w:rsid w:val="005415E1"/>
    <w:rsid w:val="0054160E"/>
    <w:rsid w:val="005417B4"/>
    <w:rsid w:val="00541881"/>
    <w:rsid w:val="00541942"/>
    <w:rsid w:val="00541A59"/>
    <w:rsid w:val="00541B6F"/>
    <w:rsid w:val="00541C56"/>
    <w:rsid w:val="00541CB4"/>
    <w:rsid w:val="00541D72"/>
    <w:rsid w:val="00541DF5"/>
    <w:rsid w:val="00541ED0"/>
    <w:rsid w:val="00541F70"/>
    <w:rsid w:val="0054203C"/>
    <w:rsid w:val="005421BA"/>
    <w:rsid w:val="0054220E"/>
    <w:rsid w:val="0054222C"/>
    <w:rsid w:val="00542230"/>
    <w:rsid w:val="005422AC"/>
    <w:rsid w:val="0054243E"/>
    <w:rsid w:val="0054256D"/>
    <w:rsid w:val="005427C7"/>
    <w:rsid w:val="005428D4"/>
    <w:rsid w:val="0054290C"/>
    <w:rsid w:val="00542B19"/>
    <w:rsid w:val="00542B39"/>
    <w:rsid w:val="00542BA8"/>
    <w:rsid w:val="00542CF7"/>
    <w:rsid w:val="00542D44"/>
    <w:rsid w:val="00542DDD"/>
    <w:rsid w:val="00542EDC"/>
    <w:rsid w:val="00543240"/>
    <w:rsid w:val="005433DA"/>
    <w:rsid w:val="00543430"/>
    <w:rsid w:val="0054345B"/>
    <w:rsid w:val="00543651"/>
    <w:rsid w:val="00543769"/>
    <w:rsid w:val="005439D9"/>
    <w:rsid w:val="00543B88"/>
    <w:rsid w:val="00543BAD"/>
    <w:rsid w:val="00543BF8"/>
    <w:rsid w:val="00543C8A"/>
    <w:rsid w:val="00543CCD"/>
    <w:rsid w:val="00543E68"/>
    <w:rsid w:val="00543EB9"/>
    <w:rsid w:val="00543EF7"/>
    <w:rsid w:val="00543F4B"/>
    <w:rsid w:val="005440A8"/>
    <w:rsid w:val="00544402"/>
    <w:rsid w:val="0054445B"/>
    <w:rsid w:val="005444E7"/>
    <w:rsid w:val="005446E8"/>
    <w:rsid w:val="005446EF"/>
    <w:rsid w:val="005448F8"/>
    <w:rsid w:val="005449EB"/>
    <w:rsid w:val="00544B43"/>
    <w:rsid w:val="00544DA5"/>
    <w:rsid w:val="00544E9E"/>
    <w:rsid w:val="00544EB4"/>
    <w:rsid w:val="00544FA2"/>
    <w:rsid w:val="00544FC4"/>
    <w:rsid w:val="00545355"/>
    <w:rsid w:val="00545470"/>
    <w:rsid w:val="0054569F"/>
    <w:rsid w:val="00545757"/>
    <w:rsid w:val="0054582D"/>
    <w:rsid w:val="005459C6"/>
    <w:rsid w:val="00545BD2"/>
    <w:rsid w:val="00545CA7"/>
    <w:rsid w:val="00545D93"/>
    <w:rsid w:val="00545EE1"/>
    <w:rsid w:val="00545FA1"/>
    <w:rsid w:val="005461FD"/>
    <w:rsid w:val="005462B5"/>
    <w:rsid w:val="005462B7"/>
    <w:rsid w:val="00546467"/>
    <w:rsid w:val="005464C2"/>
    <w:rsid w:val="0054666D"/>
    <w:rsid w:val="00546679"/>
    <w:rsid w:val="0054673B"/>
    <w:rsid w:val="00546774"/>
    <w:rsid w:val="005468B8"/>
    <w:rsid w:val="005468DD"/>
    <w:rsid w:val="00546C97"/>
    <w:rsid w:val="00546CAA"/>
    <w:rsid w:val="00546E55"/>
    <w:rsid w:val="00546E6F"/>
    <w:rsid w:val="00546F44"/>
    <w:rsid w:val="00546F91"/>
    <w:rsid w:val="00547069"/>
    <w:rsid w:val="0054749D"/>
    <w:rsid w:val="005475FC"/>
    <w:rsid w:val="00547630"/>
    <w:rsid w:val="0054763E"/>
    <w:rsid w:val="005477EF"/>
    <w:rsid w:val="00547882"/>
    <w:rsid w:val="005479E0"/>
    <w:rsid w:val="00547A17"/>
    <w:rsid w:val="00547A89"/>
    <w:rsid w:val="00547B38"/>
    <w:rsid w:val="00547B6D"/>
    <w:rsid w:val="00547C14"/>
    <w:rsid w:val="00547C16"/>
    <w:rsid w:val="00547EAD"/>
    <w:rsid w:val="0055006B"/>
    <w:rsid w:val="0055023C"/>
    <w:rsid w:val="005502EF"/>
    <w:rsid w:val="0055054A"/>
    <w:rsid w:val="0055057D"/>
    <w:rsid w:val="005505D4"/>
    <w:rsid w:val="0055068A"/>
    <w:rsid w:val="0055081D"/>
    <w:rsid w:val="00550850"/>
    <w:rsid w:val="005508EA"/>
    <w:rsid w:val="00550967"/>
    <w:rsid w:val="00550A64"/>
    <w:rsid w:val="00550A8D"/>
    <w:rsid w:val="00550AA7"/>
    <w:rsid w:val="00550BA6"/>
    <w:rsid w:val="00550DEF"/>
    <w:rsid w:val="00550E38"/>
    <w:rsid w:val="00550ECE"/>
    <w:rsid w:val="00550F5E"/>
    <w:rsid w:val="0055122F"/>
    <w:rsid w:val="00551439"/>
    <w:rsid w:val="00551454"/>
    <w:rsid w:val="00551561"/>
    <w:rsid w:val="00551729"/>
    <w:rsid w:val="00551797"/>
    <w:rsid w:val="005517A8"/>
    <w:rsid w:val="00551829"/>
    <w:rsid w:val="005518D2"/>
    <w:rsid w:val="0055194E"/>
    <w:rsid w:val="005519A6"/>
    <w:rsid w:val="005519CE"/>
    <w:rsid w:val="00551AD4"/>
    <w:rsid w:val="00551CBD"/>
    <w:rsid w:val="00551D19"/>
    <w:rsid w:val="00551EC2"/>
    <w:rsid w:val="00551F5E"/>
    <w:rsid w:val="00551F88"/>
    <w:rsid w:val="00551FC6"/>
    <w:rsid w:val="00552051"/>
    <w:rsid w:val="005520A8"/>
    <w:rsid w:val="0055216B"/>
    <w:rsid w:val="00552450"/>
    <w:rsid w:val="00552489"/>
    <w:rsid w:val="005524A7"/>
    <w:rsid w:val="005524BA"/>
    <w:rsid w:val="0055255F"/>
    <w:rsid w:val="005526B0"/>
    <w:rsid w:val="005526E6"/>
    <w:rsid w:val="00552717"/>
    <w:rsid w:val="00552758"/>
    <w:rsid w:val="00552844"/>
    <w:rsid w:val="005529CE"/>
    <w:rsid w:val="005529F0"/>
    <w:rsid w:val="00552A89"/>
    <w:rsid w:val="00552BF6"/>
    <w:rsid w:val="00552D4F"/>
    <w:rsid w:val="00552EC9"/>
    <w:rsid w:val="00552EFC"/>
    <w:rsid w:val="00552F00"/>
    <w:rsid w:val="00552FC5"/>
    <w:rsid w:val="00553001"/>
    <w:rsid w:val="0055311E"/>
    <w:rsid w:val="00553231"/>
    <w:rsid w:val="00553356"/>
    <w:rsid w:val="00553373"/>
    <w:rsid w:val="005534E4"/>
    <w:rsid w:val="0055353C"/>
    <w:rsid w:val="005535E2"/>
    <w:rsid w:val="005535E9"/>
    <w:rsid w:val="00553627"/>
    <w:rsid w:val="0055372C"/>
    <w:rsid w:val="005537C4"/>
    <w:rsid w:val="005537CD"/>
    <w:rsid w:val="0055393D"/>
    <w:rsid w:val="00553A38"/>
    <w:rsid w:val="00553B64"/>
    <w:rsid w:val="00553C9A"/>
    <w:rsid w:val="00553CF9"/>
    <w:rsid w:val="00553E11"/>
    <w:rsid w:val="00553FFF"/>
    <w:rsid w:val="00554055"/>
    <w:rsid w:val="00554208"/>
    <w:rsid w:val="00554549"/>
    <w:rsid w:val="005545D8"/>
    <w:rsid w:val="005545FA"/>
    <w:rsid w:val="00554683"/>
    <w:rsid w:val="005548C0"/>
    <w:rsid w:val="0055499F"/>
    <w:rsid w:val="00554AAE"/>
    <w:rsid w:val="00554C1F"/>
    <w:rsid w:val="00554C4C"/>
    <w:rsid w:val="00554CC2"/>
    <w:rsid w:val="00554E3E"/>
    <w:rsid w:val="00554E4F"/>
    <w:rsid w:val="00554ECA"/>
    <w:rsid w:val="00554FAF"/>
    <w:rsid w:val="0055507B"/>
    <w:rsid w:val="00555084"/>
    <w:rsid w:val="005551A0"/>
    <w:rsid w:val="005554EA"/>
    <w:rsid w:val="005554F2"/>
    <w:rsid w:val="00555592"/>
    <w:rsid w:val="005555A3"/>
    <w:rsid w:val="005555A4"/>
    <w:rsid w:val="00555625"/>
    <w:rsid w:val="00555683"/>
    <w:rsid w:val="00555728"/>
    <w:rsid w:val="00555925"/>
    <w:rsid w:val="00555945"/>
    <w:rsid w:val="005559F4"/>
    <w:rsid w:val="00555C47"/>
    <w:rsid w:val="00555D4B"/>
    <w:rsid w:val="00555DB4"/>
    <w:rsid w:val="00555F78"/>
    <w:rsid w:val="0055615B"/>
    <w:rsid w:val="00556285"/>
    <w:rsid w:val="005562A9"/>
    <w:rsid w:val="00556320"/>
    <w:rsid w:val="005565DA"/>
    <w:rsid w:val="005565FD"/>
    <w:rsid w:val="0055664C"/>
    <w:rsid w:val="00556675"/>
    <w:rsid w:val="00556712"/>
    <w:rsid w:val="0055671C"/>
    <w:rsid w:val="00556902"/>
    <w:rsid w:val="00556A4B"/>
    <w:rsid w:val="00556CB5"/>
    <w:rsid w:val="00556DAB"/>
    <w:rsid w:val="00556DBF"/>
    <w:rsid w:val="00556F88"/>
    <w:rsid w:val="0055701C"/>
    <w:rsid w:val="00557024"/>
    <w:rsid w:val="005572AE"/>
    <w:rsid w:val="00557346"/>
    <w:rsid w:val="005577E1"/>
    <w:rsid w:val="005579FF"/>
    <w:rsid w:val="00557A52"/>
    <w:rsid w:val="00557A97"/>
    <w:rsid w:val="00557ADC"/>
    <w:rsid w:val="00557B17"/>
    <w:rsid w:val="00557B8E"/>
    <w:rsid w:val="00557C11"/>
    <w:rsid w:val="00557F7B"/>
    <w:rsid w:val="00557F98"/>
    <w:rsid w:val="00557FFC"/>
    <w:rsid w:val="005600AC"/>
    <w:rsid w:val="005600DF"/>
    <w:rsid w:val="005601B7"/>
    <w:rsid w:val="00560203"/>
    <w:rsid w:val="005602A3"/>
    <w:rsid w:val="0056042B"/>
    <w:rsid w:val="0056045B"/>
    <w:rsid w:val="0056047D"/>
    <w:rsid w:val="00560589"/>
    <w:rsid w:val="005605DF"/>
    <w:rsid w:val="005606EE"/>
    <w:rsid w:val="005607C4"/>
    <w:rsid w:val="005607C9"/>
    <w:rsid w:val="005607E0"/>
    <w:rsid w:val="005607FF"/>
    <w:rsid w:val="0056086B"/>
    <w:rsid w:val="0056093C"/>
    <w:rsid w:val="0056094F"/>
    <w:rsid w:val="00560A25"/>
    <w:rsid w:val="00560A3F"/>
    <w:rsid w:val="00560A97"/>
    <w:rsid w:val="00560C75"/>
    <w:rsid w:val="00560CCE"/>
    <w:rsid w:val="00560D20"/>
    <w:rsid w:val="00560E7A"/>
    <w:rsid w:val="00560EFE"/>
    <w:rsid w:val="00560F43"/>
    <w:rsid w:val="00560F44"/>
    <w:rsid w:val="00560F56"/>
    <w:rsid w:val="00560FBB"/>
    <w:rsid w:val="00560FE6"/>
    <w:rsid w:val="0056105B"/>
    <w:rsid w:val="00561088"/>
    <w:rsid w:val="005610EE"/>
    <w:rsid w:val="00561247"/>
    <w:rsid w:val="00561272"/>
    <w:rsid w:val="005614CA"/>
    <w:rsid w:val="00561543"/>
    <w:rsid w:val="0056156F"/>
    <w:rsid w:val="00561587"/>
    <w:rsid w:val="005615F3"/>
    <w:rsid w:val="00561903"/>
    <w:rsid w:val="00561B1B"/>
    <w:rsid w:val="00561C03"/>
    <w:rsid w:val="00561D51"/>
    <w:rsid w:val="00561F1C"/>
    <w:rsid w:val="00561F4F"/>
    <w:rsid w:val="00562022"/>
    <w:rsid w:val="0056208D"/>
    <w:rsid w:val="005620CA"/>
    <w:rsid w:val="005621C2"/>
    <w:rsid w:val="00562246"/>
    <w:rsid w:val="005623DB"/>
    <w:rsid w:val="0056257B"/>
    <w:rsid w:val="00562698"/>
    <w:rsid w:val="005626CD"/>
    <w:rsid w:val="00562896"/>
    <w:rsid w:val="005629A1"/>
    <w:rsid w:val="005629B0"/>
    <w:rsid w:val="005629F4"/>
    <w:rsid w:val="00562B59"/>
    <w:rsid w:val="00562BAD"/>
    <w:rsid w:val="00562C80"/>
    <w:rsid w:val="00562D23"/>
    <w:rsid w:val="00562D70"/>
    <w:rsid w:val="00562DBF"/>
    <w:rsid w:val="00562E10"/>
    <w:rsid w:val="00562E8C"/>
    <w:rsid w:val="00562EB3"/>
    <w:rsid w:val="00563058"/>
    <w:rsid w:val="005630EE"/>
    <w:rsid w:val="005631B2"/>
    <w:rsid w:val="005631BC"/>
    <w:rsid w:val="005631EB"/>
    <w:rsid w:val="00563283"/>
    <w:rsid w:val="0056330D"/>
    <w:rsid w:val="0056331F"/>
    <w:rsid w:val="00563356"/>
    <w:rsid w:val="005636CB"/>
    <w:rsid w:val="005636CD"/>
    <w:rsid w:val="005637CB"/>
    <w:rsid w:val="0056382A"/>
    <w:rsid w:val="005638FC"/>
    <w:rsid w:val="0056393A"/>
    <w:rsid w:val="00563A16"/>
    <w:rsid w:val="00563B1B"/>
    <w:rsid w:val="00563B57"/>
    <w:rsid w:val="00563C80"/>
    <w:rsid w:val="00563DE3"/>
    <w:rsid w:val="00564112"/>
    <w:rsid w:val="0056414A"/>
    <w:rsid w:val="005642E4"/>
    <w:rsid w:val="00564341"/>
    <w:rsid w:val="00564444"/>
    <w:rsid w:val="0056453F"/>
    <w:rsid w:val="0056469D"/>
    <w:rsid w:val="00564711"/>
    <w:rsid w:val="00564798"/>
    <w:rsid w:val="00564A5D"/>
    <w:rsid w:val="00564B22"/>
    <w:rsid w:val="00564B4E"/>
    <w:rsid w:val="00564D3E"/>
    <w:rsid w:val="00564E42"/>
    <w:rsid w:val="00564E5E"/>
    <w:rsid w:val="00564F48"/>
    <w:rsid w:val="00565001"/>
    <w:rsid w:val="0056506B"/>
    <w:rsid w:val="00565190"/>
    <w:rsid w:val="005651BF"/>
    <w:rsid w:val="00565203"/>
    <w:rsid w:val="005652C4"/>
    <w:rsid w:val="005652F3"/>
    <w:rsid w:val="005653C4"/>
    <w:rsid w:val="00565531"/>
    <w:rsid w:val="0056582A"/>
    <w:rsid w:val="005658F6"/>
    <w:rsid w:val="00565927"/>
    <w:rsid w:val="00565938"/>
    <w:rsid w:val="00565948"/>
    <w:rsid w:val="00565C23"/>
    <w:rsid w:val="00565E64"/>
    <w:rsid w:val="00565F33"/>
    <w:rsid w:val="00565F99"/>
    <w:rsid w:val="0056617F"/>
    <w:rsid w:val="00566186"/>
    <w:rsid w:val="00566216"/>
    <w:rsid w:val="0056629F"/>
    <w:rsid w:val="00566317"/>
    <w:rsid w:val="005663B4"/>
    <w:rsid w:val="0056643C"/>
    <w:rsid w:val="005667B1"/>
    <w:rsid w:val="0056695C"/>
    <w:rsid w:val="005669AD"/>
    <w:rsid w:val="005669D9"/>
    <w:rsid w:val="00566ACE"/>
    <w:rsid w:val="00566D08"/>
    <w:rsid w:val="00566E6E"/>
    <w:rsid w:val="00566F88"/>
    <w:rsid w:val="005670DB"/>
    <w:rsid w:val="00567176"/>
    <w:rsid w:val="00567182"/>
    <w:rsid w:val="00567271"/>
    <w:rsid w:val="00567329"/>
    <w:rsid w:val="00567355"/>
    <w:rsid w:val="00567393"/>
    <w:rsid w:val="005673AA"/>
    <w:rsid w:val="00567A12"/>
    <w:rsid w:val="00567B15"/>
    <w:rsid w:val="00567C8F"/>
    <w:rsid w:val="00567D20"/>
    <w:rsid w:val="00567D6E"/>
    <w:rsid w:val="00567D96"/>
    <w:rsid w:val="00567E89"/>
    <w:rsid w:val="00567E93"/>
    <w:rsid w:val="00567EA6"/>
    <w:rsid w:val="00567F36"/>
    <w:rsid w:val="00567F9D"/>
    <w:rsid w:val="005700A3"/>
    <w:rsid w:val="00570333"/>
    <w:rsid w:val="00570369"/>
    <w:rsid w:val="0057042C"/>
    <w:rsid w:val="00570508"/>
    <w:rsid w:val="005706A6"/>
    <w:rsid w:val="005706AD"/>
    <w:rsid w:val="005706DF"/>
    <w:rsid w:val="005707D8"/>
    <w:rsid w:val="00570970"/>
    <w:rsid w:val="00570B83"/>
    <w:rsid w:val="00570D83"/>
    <w:rsid w:val="00570E2F"/>
    <w:rsid w:val="00570FE4"/>
    <w:rsid w:val="00571059"/>
    <w:rsid w:val="0057118A"/>
    <w:rsid w:val="0057123F"/>
    <w:rsid w:val="0057136C"/>
    <w:rsid w:val="0057148A"/>
    <w:rsid w:val="0057151C"/>
    <w:rsid w:val="00571595"/>
    <w:rsid w:val="00571753"/>
    <w:rsid w:val="0057189F"/>
    <w:rsid w:val="0057194A"/>
    <w:rsid w:val="00571A20"/>
    <w:rsid w:val="00571AC4"/>
    <w:rsid w:val="00571D55"/>
    <w:rsid w:val="00571E29"/>
    <w:rsid w:val="00571EDD"/>
    <w:rsid w:val="00571F71"/>
    <w:rsid w:val="00571FBA"/>
    <w:rsid w:val="00572220"/>
    <w:rsid w:val="0057234C"/>
    <w:rsid w:val="00572362"/>
    <w:rsid w:val="00572416"/>
    <w:rsid w:val="0057249A"/>
    <w:rsid w:val="0057285D"/>
    <w:rsid w:val="005728BC"/>
    <w:rsid w:val="005728F6"/>
    <w:rsid w:val="00572A2E"/>
    <w:rsid w:val="00572BB7"/>
    <w:rsid w:val="00572C10"/>
    <w:rsid w:val="00572D56"/>
    <w:rsid w:val="00572D6C"/>
    <w:rsid w:val="00572E12"/>
    <w:rsid w:val="00572E6F"/>
    <w:rsid w:val="00572FC9"/>
    <w:rsid w:val="00573087"/>
    <w:rsid w:val="00573108"/>
    <w:rsid w:val="00573150"/>
    <w:rsid w:val="00573309"/>
    <w:rsid w:val="0057339F"/>
    <w:rsid w:val="0057359D"/>
    <w:rsid w:val="00573724"/>
    <w:rsid w:val="00573755"/>
    <w:rsid w:val="00573880"/>
    <w:rsid w:val="005738E9"/>
    <w:rsid w:val="00573909"/>
    <w:rsid w:val="00573985"/>
    <w:rsid w:val="00573A3F"/>
    <w:rsid w:val="00573AE3"/>
    <w:rsid w:val="00573B41"/>
    <w:rsid w:val="00573B5F"/>
    <w:rsid w:val="00573C3F"/>
    <w:rsid w:val="00573C5E"/>
    <w:rsid w:val="00573CEA"/>
    <w:rsid w:val="00573DBC"/>
    <w:rsid w:val="00573DE2"/>
    <w:rsid w:val="00573E46"/>
    <w:rsid w:val="0057403A"/>
    <w:rsid w:val="005741C5"/>
    <w:rsid w:val="00574223"/>
    <w:rsid w:val="0057438B"/>
    <w:rsid w:val="005744AB"/>
    <w:rsid w:val="005745AF"/>
    <w:rsid w:val="0057461A"/>
    <w:rsid w:val="00574630"/>
    <w:rsid w:val="00574885"/>
    <w:rsid w:val="00574982"/>
    <w:rsid w:val="00574A93"/>
    <w:rsid w:val="00574B17"/>
    <w:rsid w:val="00574C4F"/>
    <w:rsid w:val="00574C73"/>
    <w:rsid w:val="00574D01"/>
    <w:rsid w:val="00574D9E"/>
    <w:rsid w:val="00574E18"/>
    <w:rsid w:val="00574EA9"/>
    <w:rsid w:val="00574EE6"/>
    <w:rsid w:val="0057502D"/>
    <w:rsid w:val="0057502F"/>
    <w:rsid w:val="00575413"/>
    <w:rsid w:val="0057547E"/>
    <w:rsid w:val="005754BE"/>
    <w:rsid w:val="00575568"/>
    <w:rsid w:val="0057591F"/>
    <w:rsid w:val="0057595F"/>
    <w:rsid w:val="0057596D"/>
    <w:rsid w:val="00575A19"/>
    <w:rsid w:val="00575AE1"/>
    <w:rsid w:val="00575B3C"/>
    <w:rsid w:val="00575BD7"/>
    <w:rsid w:val="00575BF3"/>
    <w:rsid w:val="00575C5D"/>
    <w:rsid w:val="00575C67"/>
    <w:rsid w:val="00575F5C"/>
    <w:rsid w:val="00575FDF"/>
    <w:rsid w:val="00576032"/>
    <w:rsid w:val="00576163"/>
    <w:rsid w:val="00576177"/>
    <w:rsid w:val="005763E6"/>
    <w:rsid w:val="00576418"/>
    <w:rsid w:val="00576564"/>
    <w:rsid w:val="005765D0"/>
    <w:rsid w:val="0057662B"/>
    <w:rsid w:val="0057677D"/>
    <w:rsid w:val="00576870"/>
    <w:rsid w:val="0057688C"/>
    <w:rsid w:val="0057688E"/>
    <w:rsid w:val="0057689D"/>
    <w:rsid w:val="0057697A"/>
    <w:rsid w:val="00576A19"/>
    <w:rsid w:val="00576C6F"/>
    <w:rsid w:val="00576D65"/>
    <w:rsid w:val="00576DE8"/>
    <w:rsid w:val="00576F7F"/>
    <w:rsid w:val="00576FA8"/>
    <w:rsid w:val="0057703F"/>
    <w:rsid w:val="00577097"/>
    <w:rsid w:val="0057709E"/>
    <w:rsid w:val="005770F7"/>
    <w:rsid w:val="005770FB"/>
    <w:rsid w:val="005772E9"/>
    <w:rsid w:val="0057759C"/>
    <w:rsid w:val="00577668"/>
    <w:rsid w:val="00577808"/>
    <w:rsid w:val="00577838"/>
    <w:rsid w:val="0057784E"/>
    <w:rsid w:val="00577876"/>
    <w:rsid w:val="005779C7"/>
    <w:rsid w:val="00577A83"/>
    <w:rsid w:val="00577B08"/>
    <w:rsid w:val="00577CD1"/>
    <w:rsid w:val="00577DC5"/>
    <w:rsid w:val="00577DE9"/>
    <w:rsid w:val="00577E05"/>
    <w:rsid w:val="00577F4A"/>
    <w:rsid w:val="00577F90"/>
    <w:rsid w:val="00580008"/>
    <w:rsid w:val="0058004D"/>
    <w:rsid w:val="0058008D"/>
    <w:rsid w:val="005800F6"/>
    <w:rsid w:val="00580171"/>
    <w:rsid w:val="00580207"/>
    <w:rsid w:val="0058020A"/>
    <w:rsid w:val="005805B0"/>
    <w:rsid w:val="0058061A"/>
    <w:rsid w:val="00580BE7"/>
    <w:rsid w:val="00580CD1"/>
    <w:rsid w:val="00580DDC"/>
    <w:rsid w:val="00580FD4"/>
    <w:rsid w:val="00581208"/>
    <w:rsid w:val="00581237"/>
    <w:rsid w:val="005812CC"/>
    <w:rsid w:val="005812D1"/>
    <w:rsid w:val="0058159F"/>
    <w:rsid w:val="005816F9"/>
    <w:rsid w:val="005818A6"/>
    <w:rsid w:val="005818FD"/>
    <w:rsid w:val="00581BDA"/>
    <w:rsid w:val="00581C10"/>
    <w:rsid w:val="00581C1F"/>
    <w:rsid w:val="00581C22"/>
    <w:rsid w:val="00581C26"/>
    <w:rsid w:val="00581CB5"/>
    <w:rsid w:val="00581DD3"/>
    <w:rsid w:val="0058209F"/>
    <w:rsid w:val="005820B4"/>
    <w:rsid w:val="00582258"/>
    <w:rsid w:val="0058236E"/>
    <w:rsid w:val="0058243D"/>
    <w:rsid w:val="005824C6"/>
    <w:rsid w:val="0058253F"/>
    <w:rsid w:val="00582563"/>
    <w:rsid w:val="00582784"/>
    <w:rsid w:val="0058280D"/>
    <w:rsid w:val="0058286F"/>
    <w:rsid w:val="005828F8"/>
    <w:rsid w:val="00582932"/>
    <w:rsid w:val="00582A06"/>
    <w:rsid w:val="00582A3B"/>
    <w:rsid w:val="00582B3B"/>
    <w:rsid w:val="00582CAF"/>
    <w:rsid w:val="00582FD4"/>
    <w:rsid w:val="005830AE"/>
    <w:rsid w:val="00583145"/>
    <w:rsid w:val="0058317D"/>
    <w:rsid w:val="00583243"/>
    <w:rsid w:val="0058358F"/>
    <w:rsid w:val="00583686"/>
    <w:rsid w:val="005836ED"/>
    <w:rsid w:val="0058389F"/>
    <w:rsid w:val="005838CA"/>
    <w:rsid w:val="00583C63"/>
    <w:rsid w:val="00583D12"/>
    <w:rsid w:val="00583D5C"/>
    <w:rsid w:val="00583E1B"/>
    <w:rsid w:val="00583F5D"/>
    <w:rsid w:val="00583FF4"/>
    <w:rsid w:val="00584238"/>
    <w:rsid w:val="005842E4"/>
    <w:rsid w:val="00584379"/>
    <w:rsid w:val="005844A2"/>
    <w:rsid w:val="0058467B"/>
    <w:rsid w:val="005847E3"/>
    <w:rsid w:val="00584938"/>
    <w:rsid w:val="00584AB8"/>
    <w:rsid w:val="00584ADC"/>
    <w:rsid w:val="00584BC2"/>
    <w:rsid w:val="00584CC5"/>
    <w:rsid w:val="00584EE3"/>
    <w:rsid w:val="00584EF4"/>
    <w:rsid w:val="00584F55"/>
    <w:rsid w:val="005850CA"/>
    <w:rsid w:val="00585141"/>
    <w:rsid w:val="00585154"/>
    <w:rsid w:val="005851D7"/>
    <w:rsid w:val="0058527B"/>
    <w:rsid w:val="0058534E"/>
    <w:rsid w:val="00585573"/>
    <w:rsid w:val="00585630"/>
    <w:rsid w:val="00585897"/>
    <w:rsid w:val="005858A9"/>
    <w:rsid w:val="0058593E"/>
    <w:rsid w:val="00585951"/>
    <w:rsid w:val="00585A36"/>
    <w:rsid w:val="00585DE1"/>
    <w:rsid w:val="00585EE8"/>
    <w:rsid w:val="00585F0C"/>
    <w:rsid w:val="005860C3"/>
    <w:rsid w:val="0058610E"/>
    <w:rsid w:val="00586130"/>
    <w:rsid w:val="00586152"/>
    <w:rsid w:val="00586181"/>
    <w:rsid w:val="005861F9"/>
    <w:rsid w:val="005862B8"/>
    <w:rsid w:val="005865B6"/>
    <w:rsid w:val="005865DE"/>
    <w:rsid w:val="0058666B"/>
    <w:rsid w:val="0058680D"/>
    <w:rsid w:val="0058698F"/>
    <w:rsid w:val="00586A5F"/>
    <w:rsid w:val="00586A6B"/>
    <w:rsid w:val="00586B48"/>
    <w:rsid w:val="00586D06"/>
    <w:rsid w:val="00586D20"/>
    <w:rsid w:val="00586D58"/>
    <w:rsid w:val="00586EC5"/>
    <w:rsid w:val="00586FA7"/>
    <w:rsid w:val="00587049"/>
    <w:rsid w:val="00587119"/>
    <w:rsid w:val="00587165"/>
    <w:rsid w:val="005871B4"/>
    <w:rsid w:val="005871C8"/>
    <w:rsid w:val="0058724A"/>
    <w:rsid w:val="0058731B"/>
    <w:rsid w:val="00587564"/>
    <w:rsid w:val="005876C4"/>
    <w:rsid w:val="005876D8"/>
    <w:rsid w:val="005877B8"/>
    <w:rsid w:val="005877C3"/>
    <w:rsid w:val="00587886"/>
    <w:rsid w:val="00587AA3"/>
    <w:rsid w:val="00587BF8"/>
    <w:rsid w:val="00590092"/>
    <w:rsid w:val="00590345"/>
    <w:rsid w:val="0059038F"/>
    <w:rsid w:val="00590481"/>
    <w:rsid w:val="0059048B"/>
    <w:rsid w:val="00590527"/>
    <w:rsid w:val="00590608"/>
    <w:rsid w:val="00590705"/>
    <w:rsid w:val="00590913"/>
    <w:rsid w:val="005909DF"/>
    <w:rsid w:val="00590A5F"/>
    <w:rsid w:val="00590B87"/>
    <w:rsid w:val="00590D99"/>
    <w:rsid w:val="00590DAF"/>
    <w:rsid w:val="00590EFA"/>
    <w:rsid w:val="0059103A"/>
    <w:rsid w:val="005910F2"/>
    <w:rsid w:val="00591344"/>
    <w:rsid w:val="005914D9"/>
    <w:rsid w:val="0059157A"/>
    <w:rsid w:val="005915AF"/>
    <w:rsid w:val="00591651"/>
    <w:rsid w:val="005916B4"/>
    <w:rsid w:val="005917A6"/>
    <w:rsid w:val="005917B2"/>
    <w:rsid w:val="005919D5"/>
    <w:rsid w:val="00591AC2"/>
    <w:rsid w:val="00591B10"/>
    <w:rsid w:val="00591B1E"/>
    <w:rsid w:val="00591D58"/>
    <w:rsid w:val="00591DCE"/>
    <w:rsid w:val="00591E71"/>
    <w:rsid w:val="00591F41"/>
    <w:rsid w:val="00591F7A"/>
    <w:rsid w:val="00591FC0"/>
    <w:rsid w:val="00592092"/>
    <w:rsid w:val="0059209F"/>
    <w:rsid w:val="00592113"/>
    <w:rsid w:val="0059222E"/>
    <w:rsid w:val="005922E8"/>
    <w:rsid w:val="00592371"/>
    <w:rsid w:val="00592413"/>
    <w:rsid w:val="005924F2"/>
    <w:rsid w:val="00592525"/>
    <w:rsid w:val="00592574"/>
    <w:rsid w:val="0059283A"/>
    <w:rsid w:val="0059294A"/>
    <w:rsid w:val="005929FD"/>
    <w:rsid w:val="00592A4B"/>
    <w:rsid w:val="00592AB6"/>
    <w:rsid w:val="00592AB8"/>
    <w:rsid w:val="00592B0E"/>
    <w:rsid w:val="00592B19"/>
    <w:rsid w:val="00592B77"/>
    <w:rsid w:val="00592BCB"/>
    <w:rsid w:val="00592BFE"/>
    <w:rsid w:val="00592CA9"/>
    <w:rsid w:val="00592DC1"/>
    <w:rsid w:val="00592EAD"/>
    <w:rsid w:val="00592F61"/>
    <w:rsid w:val="00592F97"/>
    <w:rsid w:val="005930D0"/>
    <w:rsid w:val="0059312B"/>
    <w:rsid w:val="0059313E"/>
    <w:rsid w:val="00593419"/>
    <w:rsid w:val="0059347E"/>
    <w:rsid w:val="00593618"/>
    <w:rsid w:val="005936DE"/>
    <w:rsid w:val="00593717"/>
    <w:rsid w:val="005937AC"/>
    <w:rsid w:val="005937C3"/>
    <w:rsid w:val="005938B2"/>
    <w:rsid w:val="00593924"/>
    <w:rsid w:val="00593958"/>
    <w:rsid w:val="005939DF"/>
    <w:rsid w:val="00593AB5"/>
    <w:rsid w:val="00593CE5"/>
    <w:rsid w:val="00593E3C"/>
    <w:rsid w:val="00593E74"/>
    <w:rsid w:val="00594071"/>
    <w:rsid w:val="005940F5"/>
    <w:rsid w:val="0059410F"/>
    <w:rsid w:val="00594176"/>
    <w:rsid w:val="005941CF"/>
    <w:rsid w:val="0059422F"/>
    <w:rsid w:val="00594289"/>
    <w:rsid w:val="00594355"/>
    <w:rsid w:val="0059444C"/>
    <w:rsid w:val="00594542"/>
    <w:rsid w:val="00594616"/>
    <w:rsid w:val="00594670"/>
    <w:rsid w:val="00594815"/>
    <w:rsid w:val="0059497D"/>
    <w:rsid w:val="00594AF8"/>
    <w:rsid w:val="00594B34"/>
    <w:rsid w:val="00594B5A"/>
    <w:rsid w:val="00594D3D"/>
    <w:rsid w:val="00594DAA"/>
    <w:rsid w:val="00595004"/>
    <w:rsid w:val="0059523C"/>
    <w:rsid w:val="00595261"/>
    <w:rsid w:val="00595275"/>
    <w:rsid w:val="005952BE"/>
    <w:rsid w:val="005952C6"/>
    <w:rsid w:val="00595375"/>
    <w:rsid w:val="005953DB"/>
    <w:rsid w:val="00595588"/>
    <w:rsid w:val="0059558F"/>
    <w:rsid w:val="00595668"/>
    <w:rsid w:val="005956D9"/>
    <w:rsid w:val="005956DC"/>
    <w:rsid w:val="005957EC"/>
    <w:rsid w:val="005958DA"/>
    <w:rsid w:val="005959CC"/>
    <w:rsid w:val="00595B5F"/>
    <w:rsid w:val="00595C89"/>
    <w:rsid w:val="00595F90"/>
    <w:rsid w:val="0059602A"/>
    <w:rsid w:val="00596125"/>
    <w:rsid w:val="00596183"/>
    <w:rsid w:val="0059624A"/>
    <w:rsid w:val="0059639A"/>
    <w:rsid w:val="005963A4"/>
    <w:rsid w:val="0059652C"/>
    <w:rsid w:val="0059653A"/>
    <w:rsid w:val="00596841"/>
    <w:rsid w:val="005968E0"/>
    <w:rsid w:val="00596907"/>
    <w:rsid w:val="00596A53"/>
    <w:rsid w:val="00596B2C"/>
    <w:rsid w:val="00596BFD"/>
    <w:rsid w:val="00596C75"/>
    <w:rsid w:val="00596CFB"/>
    <w:rsid w:val="00596D62"/>
    <w:rsid w:val="00596DF6"/>
    <w:rsid w:val="00596FEB"/>
    <w:rsid w:val="005970FE"/>
    <w:rsid w:val="0059712E"/>
    <w:rsid w:val="00597140"/>
    <w:rsid w:val="0059718C"/>
    <w:rsid w:val="00597222"/>
    <w:rsid w:val="005974DB"/>
    <w:rsid w:val="005974EB"/>
    <w:rsid w:val="005974EE"/>
    <w:rsid w:val="0059765D"/>
    <w:rsid w:val="00597683"/>
    <w:rsid w:val="00597703"/>
    <w:rsid w:val="00597761"/>
    <w:rsid w:val="005977B4"/>
    <w:rsid w:val="005977EC"/>
    <w:rsid w:val="00597857"/>
    <w:rsid w:val="00597AAB"/>
    <w:rsid w:val="00597BDC"/>
    <w:rsid w:val="00597BE4"/>
    <w:rsid w:val="00597C12"/>
    <w:rsid w:val="00597D20"/>
    <w:rsid w:val="00597D22"/>
    <w:rsid w:val="005A0034"/>
    <w:rsid w:val="005A0117"/>
    <w:rsid w:val="005A03ED"/>
    <w:rsid w:val="005A0434"/>
    <w:rsid w:val="005A050C"/>
    <w:rsid w:val="005A05CB"/>
    <w:rsid w:val="005A0616"/>
    <w:rsid w:val="005A08CA"/>
    <w:rsid w:val="005A097C"/>
    <w:rsid w:val="005A0AC4"/>
    <w:rsid w:val="005A0C59"/>
    <w:rsid w:val="005A0C6B"/>
    <w:rsid w:val="005A0D0E"/>
    <w:rsid w:val="005A0F6D"/>
    <w:rsid w:val="005A10E5"/>
    <w:rsid w:val="005A1341"/>
    <w:rsid w:val="005A134A"/>
    <w:rsid w:val="005A137D"/>
    <w:rsid w:val="005A14EA"/>
    <w:rsid w:val="005A1537"/>
    <w:rsid w:val="005A18D2"/>
    <w:rsid w:val="005A1983"/>
    <w:rsid w:val="005A1A10"/>
    <w:rsid w:val="005A1CAD"/>
    <w:rsid w:val="005A1D00"/>
    <w:rsid w:val="005A1D11"/>
    <w:rsid w:val="005A1D59"/>
    <w:rsid w:val="005A1DED"/>
    <w:rsid w:val="005A2026"/>
    <w:rsid w:val="005A2060"/>
    <w:rsid w:val="005A20E4"/>
    <w:rsid w:val="005A2229"/>
    <w:rsid w:val="005A223E"/>
    <w:rsid w:val="005A22B9"/>
    <w:rsid w:val="005A22C1"/>
    <w:rsid w:val="005A2420"/>
    <w:rsid w:val="005A2439"/>
    <w:rsid w:val="005A2498"/>
    <w:rsid w:val="005A24BB"/>
    <w:rsid w:val="005A24F4"/>
    <w:rsid w:val="005A24FD"/>
    <w:rsid w:val="005A2503"/>
    <w:rsid w:val="005A269B"/>
    <w:rsid w:val="005A273D"/>
    <w:rsid w:val="005A28A8"/>
    <w:rsid w:val="005A28FA"/>
    <w:rsid w:val="005A29C6"/>
    <w:rsid w:val="005A29E9"/>
    <w:rsid w:val="005A2A51"/>
    <w:rsid w:val="005A2AAF"/>
    <w:rsid w:val="005A2C98"/>
    <w:rsid w:val="005A2DF9"/>
    <w:rsid w:val="005A2E99"/>
    <w:rsid w:val="005A2FE0"/>
    <w:rsid w:val="005A30D8"/>
    <w:rsid w:val="005A312B"/>
    <w:rsid w:val="005A3139"/>
    <w:rsid w:val="005A31BF"/>
    <w:rsid w:val="005A3240"/>
    <w:rsid w:val="005A3399"/>
    <w:rsid w:val="005A33E3"/>
    <w:rsid w:val="005A3572"/>
    <w:rsid w:val="005A36C3"/>
    <w:rsid w:val="005A37C9"/>
    <w:rsid w:val="005A3814"/>
    <w:rsid w:val="005A3905"/>
    <w:rsid w:val="005A393F"/>
    <w:rsid w:val="005A39D0"/>
    <w:rsid w:val="005A39F7"/>
    <w:rsid w:val="005A3C7D"/>
    <w:rsid w:val="005A3FA2"/>
    <w:rsid w:val="005A4041"/>
    <w:rsid w:val="005A4079"/>
    <w:rsid w:val="005A41DF"/>
    <w:rsid w:val="005A42EF"/>
    <w:rsid w:val="005A4332"/>
    <w:rsid w:val="005A436A"/>
    <w:rsid w:val="005A449C"/>
    <w:rsid w:val="005A44C1"/>
    <w:rsid w:val="005A44D8"/>
    <w:rsid w:val="005A46DA"/>
    <w:rsid w:val="005A4859"/>
    <w:rsid w:val="005A49BE"/>
    <w:rsid w:val="005A4A31"/>
    <w:rsid w:val="005A4AE4"/>
    <w:rsid w:val="005A4AF4"/>
    <w:rsid w:val="005A4C6E"/>
    <w:rsid w:val="005A4C9C"/>
    <w:rsid w:val="005A4D29"/>
    <w:rsid w:val="005A4D8A"/>
    <w:rsid w:val="005A4E1A"/>
    <w:rsid w:val="005A4E46"/>
    <w:rsid w:val="005A4EE4"/>
    <w:rsid w:val="005A4F26"/>
    <w:rsid w:val="005A5102"/>
    <w:rsid w:val="005A5170"/>
    <w:rsid w:val="005A51D0"/>
    <w:rsid w:val="005A53FA"/>
    <w:rsid w:val="005A5493"/>
    <w:rsid w:val="005A54D1"/>
    <w:rsid w:val="005A5591"/>
    <w:rsid w:val="005A5766"/>
    <w:rsid w:val="005A57B3"/>
    <w:rsid w:val="005A5848"/>
    <w:rsid w:val="005A5870"/>
    <w:rsid w:val="005A5875"/>
    <w:rsid w:val="005A58B3"/>
    <w:rsid w:val="005A5967"/>
    <w:rsid w:val="005A59F5"/>
    <w:rsid w:val="005A5A38"/>
    <w:rsid w:val="005A5A8B"/>
    <w:rsid w:val="005A5D56"/>
    <w:rsid w:val="005A5E13"/>
    <w:rsid w:val="005A6131"/>
    <w:rsid w:val="005A644E"/>
    <w:rsid w:val="005A6481"/>
    <w:rsid w:val="005A66C6"/>
    <w:rsid w:val="005A6731"/>
    <w:rsid w:val="005A67ED"/>
    <w:rsid w:val="005A68A4"/>
    <w:rsid w:val="005A6A1E"/>
    <w:rsid w:val="005A6A76"/>
    <w:rsid w:val="005A6AD4"/>
    <w:rsid w:val="005A6B5A"/>
    <w:rsid w:val="005A6BE3"/>
    <w:rsid w:val="005A6C10"/>
    <w:rsid w:val="005A6C65"/>
    <w:rsid w:val="005A6CF3"/>
    <w:rsid w:val="005A6D3A"/>
    <w:rsid w:val="005A6DB7"/>
    <w:rsid w:val="005A6E4B"/>
    <w:rsid w:val="005A6EAE"/>
    <w:rsid w:val="005A6EEF"/>
    <w:rsid w:val="005A6F1E"/>
    <w:rsid w:val="005A6F9F"/>
    <w:rsid w:val="005A6FDB"/>
    <w:rsid w:val="005A702D"/>
    <w:rsid w:val="005A7169"/>
    <w:rsid w:val="005A7308"/>
    <w:rsid w:val="005A7354"/>
    <w:rsid w:val="005A73EF"/>
    <w:rsid w:val="005A7469"/>
    <w:rsid w:val="005A75B8"/>
    <w:rsid w:val="005A760A"/>
    <w:rsid w:val="005A76B7"/>
    <w:rsid w:val="005A76E4"/>
    <w:rsid w:val="005A770E"/>
    <w:rsid w:val="005A7738"/>
    <w:rsid w:val="005A7878"/>
    <w:rsid w:val="005A789C"/>
    <w:rsid w:val="005A78A5"/>
    <w:rsid w:val="005A7960"/>
    <w:rsid w:val="005A79B1"/>
    <w:rsid w:val="005A79D4"/>
    <w:rsid w:val="005A7A2B"/>
    <w:rsid w:val="005A7B2D"/>
    <w:rsid w:val="005A7CE4"/>
    <w:rsid w:val="005A7D36"/>
    <w:rsid w:val="005A7E6D"/>
    <w:rsid w:val="005A7EAE"/>
    <w:rsid w:val="005B0050"/>
    <w:rsid w:val="005B0132"/>
    <w:rsid w:val="005B0319"/>
    <w:rsid w:val="005B03B1"/>
    <w:rsid w:val="005B045D"/>
    <w:rsid w:val="005B0632"/>
    <w:rsid w:val="005B0760"/>
    <w:rsid w:val="005B086F"/>
    <w:rsid w:val="005B08EC"/>
    <w:rsid w:val="005B09D4"/>
    <w:rsid w:val="005B0B21"/>
    <w:rsid w:val="005B0B7F"/>
    <w:rsid w:val="005B0BB4"/>
    <w:rsid w:val="005B0BFB"/>
    <w:rsid w:val="005B0C54"/>
    <w:rsid w:val="005B0E0E"/>
    <w:rsid w:val="005B0E2A"/>
    <w:rsid w:val="005B0E73"/>
    <w:rsid w:val="005B0F30"/>
    <w:rsid w:val="005B1068"/>
    <w:rsid w:val="005B11F0"/>
    <w:rsid w:val="005B1520"/>
    <w:rsid w:val="005B1588"/>
    <w:rsid w:val="005B1595"/>
    <w:rsid w:val="005B16A0"/>
    <w:rsid w:val="005B16C6"/>
    <w:rsid w:val="005B1793"/>
    <w:rsid w:val="005B1948"/>
    <w:rsid w:val="005B19D4"/>
    <w:rsid w:val="005B1AAC"/>
    <w:rsid w:val="005B1AF4"/>
    <w:rsid w:val="005B1BD7"/>
    <w:rsid w:val="005B1BE5"/>
    <w:rsid w:val="005B1C5C"/>
    <w:rsid w:val="005B1C7F"/>
    <w:rsid w:val="005B1C99"/>
    <w:rsid w:val="005B1CC3"/>
    <w:rsid w:val="005B1E03"/>
    <w:rsid w:val="005B200F"/>
    <w:rsid w:val="005B206E"/>
    <w:rsid w:val="005B20DC"/>
    <w:rsid w:val="005B22D1"/>
    <w:rsid w:val="005B23C9"/>
    <w:rsid w:val="005B23D2"/>
    <w:rsid w:val="005B23EA"/>
    <w:rsid w:val="005B27A4"/>
    <w:rsid w:val="005B27CC"/>
    <w:rsid w:val="005B28DA"/>
    <w:rsid w:val="005B29A4"/>
    <w:rsid w:val="005B2BFC"/>
    <w:rsid w:val="005B2CAE"/>
    <w:rsid w:val="005B2D2F"/>
    <w:rsid w:val="005B2D5C"/>
    <w:rsid w:val="005B2E1C"/>
    <w:rsid w:val="005B2EAC"/>
    <w:rsid w:val="005B2FC2"/>
    <w:rsid w:val="005B3123"/>
    <w:rsid w:val="005B32E4"/>
    <w:rsid w:val="005B3318"/>
    <w:rsid w:val="005B3334"/>
    <w:rsid w:val="005B3544"/>
    <w:rsid w:val="005B368C"/>
    <w:rsid w:val="005B3736"/>
    <w:rsid w:val="005B373C"/>
    <w:rsid w:val="005B3B72"/>
    <w:rsid w:val="005B3B74"/>
    <w:rsid w:val="005B3B79"/>
    <w:rsid w:val="005B3B8D"/>
    <w:rsid w:val="005B3C05"/>
    <w:rsid w:val="005B3C35"/>
    <w:rsid w:val="005B3D3E"/>
    <w:rsid w:val="005B3E3E"/>
    <w:rsid w:val="005B3ED5"/>
    <w:rsid w:val="005B3F03"/>
    <w:rsid w:val="005B40E3"/>
    <w:rsid w:val="005B4281"/>
    <w:rsid w:val="005B4314"/>
    <w:rsid w:val="005B43EE"/>
    <w:rsid w:val="005B43F0"/>
    <w:rsid w:val="005B4614"/>
    <w:rsid w:val="005B4695"/>
    <w:rsid w:val="005B483B"/>
    <w:rsid w:val="005B48CC"/>
    <w:rsid w:val="005B49E9"/>
    <w:rsid w:val="005B4AA8"/>
    <w:rsid w:val="005B4ACA"/>
    <w:rsid w:val="005B4B81"/>
    <w:rsid w:val="005B4B8C"/>
    <w:rsid w:val="005B4BFB"/>
    <w:rsid w:val="005B4D6C"/>
    <w:rsid w:val="005B4DA3"/>
    <w:rsid w:val="005B4DD3"/>
    <w:rsid w:val="005B4E33"/>
    <w:rsid w:val="005B4E88"/>
    <w:rsid w:val="005B4EC9"/>
    <w:rsid w:val="005B4F0E"/>
    <w:rsid w:val="005B508A"/>
    <w:rsid w:val="005B52BD"/>
    <w:rsid w:val="005B537E"/>
    <w:rsid w:val="005B53E5"/>
    <w:rsid w:val="005B5553"/>
    <w:rsid w:val="005B56B6"/>
    <w:rsid w:val="005B57A3"/>
    <w:rsid w:val="005B57FA"/>
    <w:rsid w:val="005B5895"/>
    <w:rsid w:val="005B58EF"/>
    <w:rsid w:val="005B595A"/>
    <w:rsid w:val="005B5C43"/>
    <w:rsid w:val="005B5C77"/>
    <w:rsid w:val="005B5D52"/>
    <w:rsid w:val="005B5DA6"/>
    <w:rsid w:val="005B5DCE"/>
    <w:rsid w:val="005B5F21"/>
    <w:rsid w:val="005B5FF2"/>
    <w:rsid w:val="005B61D8"/>
    <w:rsid w:val="005B6212"/>
    <w:rsid w:val="005B62F1"/>
    <w:rsid w:val="005B636D"/>
    <w:rsid w:val="005B638D"/>
    <w:rsid w:val="005B6485"/>
    <w:rsid w:val="005B6531"/>
    <w:rsid w:val="005B65FE"/>
    <w:rsid w:val="005B66D3"/>
    <w:rsid w:val="005B67AD"/>
    <w:rsid w:val="005B688D"/>
    <w:rsid w:val="005B6B1C"/>
    <w:rsid w:val="005B6B72"/>
    <w:rsid w:val="005B6BE5"/>
    <w:rsid w:val="005B6D96"/>
    <w:rsid w:val="005B6FAA"/>
    <w:rsid w:val="005B6FF1"/>
    <w:rsid w:val="005B70C2"/>
    <w:rsid w:val="005B70E0"/>
    <w:rsid w:val="005B7104"/>
    <w:rsid w:val="005B7155"/>
    <w:rsid w:val="005B715C"/>
    <w:rsid w:val="005B7359"/>
    <w:rsid w:val="005B7435"/>
    <w:rsid w:val="005B7497"/>
    <w:rsid w:val="005B760E"/>
    <w:rsid w:val="005B76F1"/>
    <w:rsid w:val="005B7733"/>
    <w:rsid w:val="005B7768"/>
    <w:rsid w:val="005B7915"/>
    <w:rsid w:val="005B792C"/>
    <w:rsid w:val="005B79EA"/>
    <w:rsid w:val="005B7A27"/>
    <w:rsid w:val="005B7AD4"/>
    <w:rsid w:val="005B7B5F"/>
    <w:rsid w:val="005B7B9B"/>
    <w:rsid w:val="005B7BE9"/>
    <w:rsid w:val="005B7BEB"/>
    <w:rsid w:val="005B7CEA"/>
    <w:rsid w:val="005B7E0E"/>
    <w:rsid w:val="005B7FCF"/>
    <w:rsid w:val="005BA4FB"/>
    <w:rsid w:val="005C00E0"/>
    <w:rsid w:val="005C0127"/>
    <w:rsid w:val="005C0142"/>
    <w:rsid w:val="005C0223"/>
    <w:rsid w:val="005C0229"/>
    <w:rsid w:val="005C0231"/>
    <w:rsid w:val="005C0531"/>
    <w:rsid w:val="005C0837"/>
    <w:rsid w:val="005C087A"/>
    <w:rsid w:val="005C0A55"/>
    <w:rsid w:val="005C0B80"/>
    <w:rsid w:val="005C0C1C"/>
    <w:rsid w:val="005C0C57"/>
    <w:rsid w:val="005C0D8F"/>
    <w:rsid w:val="005C0DCB"/>
    <w:rsid w:val="005C0E01"/>
    <w:rsid w:val="005C0E7F"/>
    <w:rsid w:val="005C0FCE"/>
    <w:rsid w:val="005C1064"/>
    <w:rsid w:val="005C110E"/>
    <w:rsid w:val="005C1174"/>
    <w:rsid w:val="005C1281"/>
    <w:rsid w:val="005C14D3"/>
    <w:rsid w:val="005C14E0"/>
    <w:rsid w:val="005C16EF"/>
    <w:rsid w:val="005C170D"/>
    <w:rsid w:val="005C17B9"/>
    <w:rsid w:val="005C186C"/>
    <w:rsid w:val="005C190A"/>
    <w:rsid w:val="005C1935"/>
    <w:rsid w:val="005C1B37"/>
    <w:rsid w:val="005C1B3A"/>
    <w:rsid w:val="005C1B44"/>
    <w:rsid w:val="005C1D34"/>
    <w:rsid w:val="005C1D6F"/>
    <w:rsid w:val="005C1EA7"/>
    <w:rsid w:val="005C1FA9"/>
    <w:rsid w:val="005C20A5"/>
    <w:rsid w:val="005C225A"/>
    <w:rsid w:val="005C225C"/>
    <w:rsid w:val="005C2266"/>
    <w:rsid w:val="005C22D6"/>
    <w:rsid w:val="005C235C"/>
    <w:rsid w:val="005C267B"/>
    <w:rsid w:val="005C27F0"/>
    <w:rsid w:val="005C287E"/>
    <w:rsid w:val="005C2941"/>
    <w:rsid w:val="005C29F9"/>
    <w:rsid w:val="005C2BEA"/>
    <w:rsid w:val="005C2D26"/>
    <w:rsid w:val="005C2D6F"/>
    <w:rsid w:val="005C2DE4"/>
    <w:rsid w:val="005C2F75"/>
    <w:rsid w:val="005C3139"/>
    <w:rsid w:val="005C32B8"/>
    <w:rsid w:val="005C3308"/>
    <w:rsid w:val="005C3350"/>
    <w:rsid w:val="005C3408"/>
    <w:rsid w:val="005C3415"/>
    <w:rsid w:val="005C372A"/>
    <w:rsid w:val="005C37CF"/>
    <w:rsid w:val="005C3813"/>
    <w:rsid w:val="005C383B"/>
    <w:rsid w:val="005C3959"/>
    <w:rsid w:val="005C39F7"/>
    <w:rsid w:val="005C3B38"/>
    <w:rsid w:val="005C3B45"/>
    <w:rsid w:val="005C3C95"/>
    <w:rsid w:val="005C3DB3"/>
    <w:rsid w:val="005C3DCC"/>
    <w:rsid w:val="005C41B8"/>
    <w:rsid w:val="005C41D3"/>
    <w:rsid w:val="005C428E"/>
    <w:rsid w:val="005C45E5"/>
    <w:rsid w:val="005C46FD"/>
    <w:rsid w:val="005C4797"/>
    <w:rsid w:val="005C4988"/>
    <w:rsid w:val="005C49CF"/>
    <w:rsid w:val="005C4A8E"/>
    <w:rsid w:val="005C4B0F"/>
    <w:rsid w:val="005C4C31"/>
    <w:rsid w:val="005C4C5F"/>
    <w:rsid w:val="005C4C81"/>
    <w:rsid w:val="005C4CBA"/>
    <w:rsid w:val="005C4D6A"/>
    <w:rsid w:val="005C4E05"/>
    <w:rsid w:val="005C4EC7"/>
    <w:rsid w:val="005C4ED6"/>
    <w:rsid w:val="005C4F09"/>
    <w:rsid w:val="005C4F0D"/>
    <w:rsid w:val="005C516F"/>
    <w:rsid w:val="005C531E"/>
    <w:rsid w:val="005C53C5"/>
    <w:rsid w:val="005C5589"/>
    <w:rsid w:val="005C569F"/>
    <w:rsid w:val="005C57AA"/>
    <w:rsid w:val="005C5948"/>
    <w:rsid w:val="005C59E6"/>
    <w:rsid w:val="005C59E8"/>
    <w:rsid w:val="005C5A00"/>
    <w:rsid w:val="005C5AD4"/>
    <w:rsid w:val="005C5B49"/>
    <w:rsid w:val="005C5BDB"/>
    <w:rsid w:val="005C5BE1"/>
    <w:rsid w:val="005C5D2E"/>
    <w:rsid w:val="005C5DA3"/>
    <w:rsid w:val="005C5DE6"/>
    <w:rsid w:val="005C610A"/>
    <w:rsid w:val="005C61E3"/>
    <w:rsid w:val="005C62D4"/>
    <w:rsid w:val="005C64D0"/>
    <w:rsid w:val="005C65CF"/>
    <w:rsid w:val="005C6648"/>
    <w:rsid w:val="005C68CB"/>
    <w:rsid w:val="005C69D7"/>
    <w:rsid w:val="005C69E9"/>
    <w:rsid w:val="005C6B02"/>
    <w:rsid w:val="005C6BA0"/>
    <w:rsid w:val="005C6D76"/>
    <w:rsid w:val="005C7181"/>
    <w:rsid w:val="005C738D"/>
    <w:rsid w:val="005C744E"/>
    <w:rsid w:val="005C74DC"/>
    <w:rsid w:val="005C7565"/>
    <w:rsid w:val="005C7600"/>
    <w:rsid w:val="005C7755"/>
    <w:rsid w:val="005C77EE"/>
    <w:rsid w:val="005C78B1"/>
    <w:rsid w:val="005C7954"/>
    <w:rsid w:val="005C7B58"/>
    <w:rsid w:val="005C7BCA"/>
    <w:rsid w:val="005C7BDB"/>
    <w:rsid w:val="005C7BDE"/>
    <w:rsid w:val="005C7CC3"/>
    <w:rsid w:val="005C7CC5"/>
    <w:rsid w:val="005C7D77"/>
    <w:rsid w:val="005C7D9D"/>
    <w:rsid w:val="005C7EE7"/>
    <w:rsid w:val="005C7EEC"/>
    <w:rsid w:val="005D021C"/>
    <w:rsid w:val="005D027B"/>
    <w:rsid w:val="005D02B2"/>
    <w:rsid w:val="005D03B4"/>
    <w:rsid w:val="005D03BD"/>
    <w:rsid w:val="005D03CF"/>
    <w:rsid w:val="005D0431"/>
    <w:rsid w:val="005D0451"/>
    <w:rsid w:val="005D04EA"/>
    <w:rsid w:val="005D0584"/>
    <w:rsid w:val="005D061D"/>
    <w:rsid w:val="005D061E"/>
    <w:rsid w:val="005D077C"/>
    <w:rsid w:val="005D0799"/>
    <w:rsid w:val="005D0806"/>
    <w:rsid w:val="005D0936"/>
    <w:rsid w:val="005D097C"/>
    <w:rsid w:val="005D0A86"/>
    <w:rsid w:val="005D0A9E"/>
    <w:rsid w:val="005D0BE9"/>
    <w:rsid w:val="005D0C33"/>
    <w:rsid w:val="005D0C52"/>
    <w:rsid w:val="005D0C63"/>
    <w:rsid w:val="005D0F08"/>
    <w:rsid w:val="005D0F2C"/>
    <w:rsid w:val="005D1000"/>
    <w:rsid w:val="005D1016"/>
    <w:rsid w:val="005D1023"/>
    <w:rsid w:val="005D102A"/>
    <w:rsid w:val="005D10CA"/>
    <w:rsid w:val="005D1279"/>
    <w:rsid w:val="005D135D"/>
    <w:rsid w:val="005D1395"/>
    <w:rsid w:val="005D1441"/>
    <w:rsid w:val="005D14AC"/>
    <w:rsid w:val="005D14BE"/>
    <w:rsid w:val="005D1550"/>
    <w:rsid w:val="005D15A4"/>
    <w:rsid w:val="005D15D9"/>
    <w:rsid w:val="005D1658"/>
    <w:rsid w:val="005D165A"/>
    <w:rsid w:val="005D1685"/>
    <w:rsid w:val="005D17A7"/>
    <w:rsid w:val="005D19C4"/>
    <w:rsid w:val="005D1A0A"/>
    <w:rsid w:val="005D1A0D"/>
    <w:rsid w:val="005D1A97"/>
    <w:rsid w:val="005D1ACB"/>
    <w:rsid w:val="005D1AE1"/>
    <w:rsid w:val="005D1B12"/>
    <w:rsid w:val="005D1B85"/>
    <w:rsid w:val="005D1C93"/>
    <w:rsid w:val="005D1C94"/>
    <w:rsid w:val="005D1E24"/>
    <w:rsid w:val="005D1FBA"/>
    <w:rsid w:val="005D1FF1"/>
    <w:rsid w:val="005D2064"/>
    <w:rsid w:val="005D219C"/>
    <w:rsid w:val="005D21D9"/>
    <w:rsid w:val="005D221D"/>
    <w:rsid w:val="005D22DA"/>
    <w:rsid w:val="005D2322"/>
    <w:rsid w:val="005D2339"/>
    <w:rsid w:val="005D28CF"/>
    <w:rsid w:val="005D2999"/>
    <w:rsid w:val="005D2B17"/>
    <w:rsid w:val="005D2D61"/>
    <w:rsid w:val="005D2FD1"/>
    <w:rsid w:val="005D3062"/>
    <w:rsid w:val="005D3067"/>
    <w:rsid w:val="005D3093"/>
    <w:rsid w:val="005D30F0"/>
    <w:rsid w:val="005D3145"/>
    <w:rsid w:val="005D319F"/>
    <w:rsid w:val="005D339A"/>
    <w:rsid w:val="005D348D"/>
    <w:rsid w:val="005D34F4"/>
    <w:rsid w:val="005D3607"/>
    <w:rsid w:val="005D3655"/>
    <w:rsid w:val="005D37DC"/>
    <w:rsid w:val="005D3822"/>
    <w:rsid w:val="005D386C"/>
    <w:rsid w:val="005D39FD"/>
    <w:rsid w:val="005D3E48"/>
    <w:rsid w:val="005D3EE7"/>
    <w:rsid w:val="005D3F51"/>
    <w:rsid w:val="005D408F"/>
    <w:rsid w:val="005D4159"/>
    <w:rsid w:val="005D415A"/>
    <w:rsid w:val="005D4188"/>
    <w:rsid w:val="005D41ED"/>
    <w:rsid w:val="005D4235"/>
    <w:rsid w:val="005D42AD"/>
    <w:rsid w:val="005D42C9"/>
    <w:rsid w:val="005D4314"/>
    <w:rsid w:val="005D4316"/>
    <w:rsid w:val="005D45F6"/>
    <w:rsid w:val="005D463E"/>
    <w:rsid w:val="005D47B1"/>
    <w:rsid w:val="005D47E0"/>
    <w:rsid w:val="005D4A52"/>
    <w:rsid w:val="005D4A77"/>
    <w:rsid w:val="005D4AB6"/>
    <w:rsid w:val="005D4EAE"/>
    <w:rsid w:val="005D4F1D"/>
    <w:rsid w:val="005D5029"/>
    <w:rsid w:val="005D5075"/>
    <w:rsid w:val="005D5197"/>
    <w:rsid w:val="005D5289"/>
    <w:rsid w:val="005D536F"/>
    <w:rsid w:val="005D5430"/>
    <w:rsid w:val="005D54DC"/>
    <w:rsid w:val="005D5723"/>
    <w:rsid w:val="005D5770"/>
    <w:rsid w:val="005D58C2"/>
    <w:rsid w:val="005D5A21"/>
    <w:rsid w:val="005D5E6A"/>
    <w:rsid w:val="005D5F36"/>
    <w:rsid w:val="005D5F7A"/>
    <w:rsid w:val="005D5FC1"/>
    <w:rsid w:val="005D5FE2"/>
    <w:rsid w:val="005D61B4"/>
    <w:rsid w:val="005D6493"/>
    <w:rsid w:val="005D64DA"/>
    <w:rsid w:val="005D658A"/>
    <w:rsid w:val="005D65E1"/>
    <w:rsid w:val="005D6697"/>
    <w:rsid w:val="005D66CC"/>
    <w:rsid w:val="005D6705"/>
    <w:rsid w:val="005D6734"/>
    <w:rsid w:val="005D673C"/>
    <w:rsid w:val="005D683C"/>
    <w:rsid w:val="005D6848"/>
    <w:rsid w:val="005D6C20"/>
    <w:rsid w:val="005D6C45"/>
    <w:rsid w:val="005D6D24"/>
    <w:rsid w:val="005D6D3E"/>
    <w:rsid w:val="005D6D8A"/>
    <w:rsid w:val="005D6E29"/>
    <w:rsid w:val="005D6EBD"/>
    <w:rsid w:val="005D704E"/>
    <w:rsid w:val="005D70CA"/>
    <w:rsid w:val="005D7123"/>
    <w:rsid w:val="005D7130"/>
    <w:rsid w:val="005D7322"/>
    <w:rsid w:val="005D7400"/>
    <w:rsid w:val="005D7440"/>
    <w:rsid w:val="005D74BE"/>
    <w:rsid w:val="005D7571"/>
    <w:rsid w:val="005D75DD"/>
    <w:rsid w:val="005D7661"/>
    <w:rsid w:val="005D76F5"/>
    <w:rsid w:val="005D78E2"/>
    <w:rsid w:val="005D78F5"/>
    <w:rsid w:val="005D7C0E"/>
    <w:rsid w:val="005D7C36"/>
    <w:rsid w:val="005D7D17"/>
    <w:rsid w:val="005D7E9E"/>
    <w:rsid w:val="005D7F6D"/>
    <w:rsid w:val="005E002F"/>
    <w:rsid w:val="005E0151"/>
    <w:rsid w:val="005E022C"/>
    <w:rsid w:val="005E0360"/>
    <w:rsid w:val="005E0376"/>
    <w:rsid w:val="005E03A6"/>
    <w:rsid w:val="005E03B2"/>
    <w:rsid w:val="005E03E5"/>
    <w:rsid w:val="005E0586"/>
    <w:rsid w:val="005E0811"/>
    <w:rsid w:val="005E09F5"/>
    <w:rsid w:val="005E0AD2"/>
    <w:rsid w:val="005E0B07"/>
    <w:rsid w:val="005E0BBD"/>
    <w:rsid w:val="005E0CEA"/>
    <w:rsid w:val="005E0D38"/>
    <w:rsid w:val="005E0DC5"/>
    <w:rsid w:val="005E0E37"/>
    <w:rsid w:val="005E0E5E"/>
    <w:rsid w:val="005E10F7"/>
    <w:rsid w:val="005E110C"/>
    <w:rsid w:val="005E1182"/>
    <w:rsid w:val="005E11E4"/>
    <w:rsid w:val="005E1268"/>
    <w:rsid w:val="005E1354"/>
    <w:rsid w:val="005E1369"/>
    <w:rsid w:val="005E13D3"/>
    <w:rsid w:val="005E1432"/>
    <w:rsid w:val="005E144C"/>
    <w:rsid w:val="005E1510"/>
    <w:rsid w:val="005E179C"/>
    <w:rsid w:val="005E19DC"/>
    <w:rsid w:val="005E1D04"/>
    <w:rsid w:val="005E1F80"/>
    <w:rsid w:val="005E1F90"/>
    <w:rsid w:val="005E1FBC"/>
    <w:rsid w:val="005E20B8"/>
    <w:rsid w:val="005E2175"/>
    <w:rsid w:val="005E226C"/>
    <w:rsid w:val="005E2493"/>
    <w:rsid w:val="005E251D"/>
    <w:rsid w:val="005E25A4"/>
    <w:rsid w:val="005E25E8"/>
    <w:rsid w:val="005E25F8"/>
    <w:rsid w:val="005E2633"/>
    <w:rsid w:val="005E2885"/>
    <w:rsid w:val="005E29BA"/>
    <w:rsid w:val="005E29F0"/>
    <w:rsid w:val="005E2A27"/>
    <w:rsid w:val="005E2B9F"/>
    <w:rsid w:val="005E2BF6"/>
    <w:rsid w:val="005E2C60"/>
    <w:rsid w:val="005E2CD1"/>
    <w:rsid w:val="005E2E20"/>
    <w:rsid w:val="005E2F16"/>
    <w:rsid w:val="005E3022"/>
    <w:rsid w:val="005E304A"/>
    <w:rsid w:val="005E318D"/>
    <w:rsid w:val="005E333A"/>
    <w:rsid w:val="005E33B2"/>
    <w:rsid w:val="005E3558"/>
    <w:rsid w:val="005E366A"/>
    <w:rsid w:val="005E3681"/>
    <w:rsid w:val="005E36AE"/>
    <w:rsid w:val="005E36FA"/>
    <w:rsid w:val="005E37D5"/>
    <w:rsid w:val="005E3845"/>
    <w:rsid w:val="005E3920"/>
    <w:rsid w:val="005E3990"/>
    <w:rsid w:val="005E3BD4"/>
    <w:rsid w:val="005E3C3D"/>
    <w:rsid w:val="005E3DC6"/>
    <w:rsid w:val="005E3FA4"/>
    <w:rsid w:val="005E415A"/>
    <w:rsid w:val="005E44CD"/>
    <w:rsid w:val="005E44E8"/>
    <w:rsid w:val="005E4504"/>
    <w:rsid w:val="005E46EA"/>
    <w:rsid w:val="005E4748"/>
    <w:rsid w:val="005E477A"/>
    <w:rsid w:val="005E47FB"/>
    <w:rsid w:val="005E4A33"/>
    <w:rsid w:val="005E4A72"/>
    <w:rsid w:val="005E4B37"/>
    <w:rsid w:val="005E4BBF"/>
    <w:rsid w:val="005E4D5A"/>
    <w:rsid w:val="005E4D80"/>
    <w:rsid w:val="005E4DE1"/>
    <w:rsid w:val="005E4DED"/>
    <w:rsid w:val="005E4E24"/>
    <w:rsid w:val="005E4E43"/>
    <w:rsid w:val="005E4FEB"/>
    <w:rsid w:val="005E5189"/>
    <w:rsid w:val="005E53FF"/>
    <w:rsid w:val="005E54A5"/>
    <w:rsid w:val="005E55E5"/>
    <w:rsid w:val="005E5661"/>
    <w:rsid w:val="005E578B"/>
    <w:rsid w:val="005E597F"/>
    <w:rsid w:val="005E5A95"/>
    <w:rsid w:val="005E5BC9"/>
    <w:rsid w:val="005E5BD4"/>
    <w:rsid w:val="005E5C48"/>
    <w:rsid w:val="005E5DE8"/>
    <w:rsid w:val="005E5E02"/>
    <w:rsid w:val="005E5ECC"/>
    <w:rsid w:val="005E5EFE"/>
    <w:rsid w:val="005E600F"/>
    <w:rsid w:val="005E6099"/>
    <w:rsid w:val="005E61C4"/>
    <w:rsid w:val="005E63B7"/>
    <w:rsid w:val="005E645B"/>
    <w:rsid w:val="005E6533"/>
    <w:rsid w:val="005E6745"/>
    <w:rsid w:val="005E67ED"/>
    <w:rsid w:val="005E6869"/>
    <w:rsid w:val="005E6A28"/>
    <w:rsid w:val="005E6A72"/>
    <w:rsid w:val="005E6A96"/>
    <w:rsid w:val="005E6BB8"/>
    <w:rsid w:val="005E6C99"/>
    <w:rsid w:val="005E6D94"/>
    <w:rsid w:val="005E6EFC"/>
    <w:rsid w:val="005E73B6"/>
    <w:rsid w:val="005E7539"/>
    <w:rsid w:val="005E75F0"/>
    <w:rsid w:val="005E767D"/>
    <w:rsid w:val="005E770D"/>
    <w:rsid w:val="005E77A9"/>
    <w:rsid w:val="005E78DE"/>
    <w:rsid w:val="005E7972"/>
    <w:rsid w:val="005E7A7D"/>
    <w:rsid w:val="005E7AAC"/>
    <w:rsid w:val="005E7AEC"/>
    <w:rsid w:val="005E7C2D"/>
    <w:rsid w:val="005E7C52"/>
    <w:rsid w:val="005E7FC6"/>
    <w:rsid w:val="005F0294"/>
    <w:rsid w:val="005F0297"/>
    <w:rsid w:val="005F02BB"/>
    <w:rsid w:val="005F04C0"/>
    <w:rsid w:val="005F04DC"/>
    <w:rsid w:val="005F04E7"/>
    <w:rsid w:val="005F05A0"/>
    <w:rsid w:val="005F060B"/>
    <w:rsid w:val="005F06FA"/>
    <w:rsid w:val="005F073B"/>
    <w:rsid w:val="005F076A"/>
    <w:rsid w:val="005F0A85"/>
    <w:rsid w:val="005F0B54"/>
    <w:rsid w:val="005F0BBD"/>
    <w:rsid w:val="005F0C47"/>
    <w:rsid w:val="005F0C83"/>
    <w:rsid w:val="005F0D06"/>
    <w:rsid w:val="005F0D10"/>
    <w:rsid w:val="005F0E8F"/>
    <w:rsid w:val="005F0E93"/>
    <w:rsid w:val="005F0EB1"/>
    <w:rsid w:val="005F0ED0"/>
    <w:rsid w:val="005F0EEA"/>
    <w:rsid w:val="005F101A"/>
    <w:rsid w:val="005F104B"/>
    <w:rsid w:val="005F109A"/>
    <w:rsid w:val="005F1288"/>
    <w:rsid w:val="005F154A"/>
    <w:rsid w:val="005F18DB"/>
    <w:rsid w:val="005F18DD"/>
    <w:rsid w:val="005F1978"/>
    <w:rsid w:val="005F199C"/>
    <w:rsid w:val="005F1A7A"/>
    <w:rsid w:val="005F1A7C"/>
    <w:rsid w:val="005F1B13"/>
    <w:rsid w:val="005F1B89"/>
    <w:rsid w:val="005F1BBE"/>
    <w:rsid w:val="005F1E04"/>
    <w:rsid w:val="005F1E3A"/>
    <w:rsid w:val="005F1EF6"/>
    <w:rsid w:val="005F2083"/>
    <w:rsid w:val="005F2128"/>
    <w:rsid w:val="005F21DD"/>
    <w:rsid w:val="005F2650"/>
    <w:rsid w:val="005F270F"/>
    <w:rsid w:val="005F27BD"/>
    <w:rsid w:val="005F2804"/>
    <w:rsid w:val="005F2985"/>
    <w:rsid w:val="005F2AB2"/>
    <w:rsid w:val="005F2ADD"/>
    <w:rsid w:val="005F2B4E"/>
    <w:rsid w:val="005F2BB0"/>
    <w:rsid w:val="005F2D4B"/>
    <w:rsid w:val="005F2EBF"/>
    <w:rsid w:val="005F2F04"/>
    <w:rsid w:val="005F2FD2"/>
    <w:rsid w:val="005F33B8"/>
    <w:rsid w:val="005F33C1"/>
    <w:rsid w:val="005F3502"/>
    <w:rsid w:val="005F35AF"/>
    <w:rsid w:val="005F371B"/>
    <w:rsid w:val="005F379B"/>
    <w:rsid w:val="005F3905"/>
    <w:rsid w:val="005F392A"/>
    <w:rsid w:val="005F3C5E"/>
    <w:rsid w:val="005F3D0C"/>
    <w:rsid w:val="005F3D28"/>
    <w:rsid w:val="005F3D37"/>
    <w:rsid w:val="005F3D56"/>
    <w:rsid w:val="005F3D8F"/>
    <w:rsid w:val="005F3E7D"/>
    <w:rsid w:val="005F3F83"/>
    <w:rsid w:val="005F3FBB"/>
    <w:rsid w:val="005F4188"/>
    <w:rsid w:val="005F4226"/>
    <w:rsid w:val="005F42C6"/>
    <w:rsid w:val="005F42DC"/>
    <w:rsid w:val="005F433D"/>
    <w:rsid w:val="005F448A"/>
    <w:rsid w:val="005F474E"/>
    <w:rsid w:val="005F489F"/>
    <w:rsid w:val="005F48EA"/>
    <w:rsid w:val="005F493D"/>
    <w:rsid w:val="005F49B0"/>
    <w:rsid w:val="005F49D1"/>
    <w:rsid w:val="005F4AD7"/>
    <w:rsid w:val="005F4B50"/>
    <w:rsid w:val="005F4C3E"/>
    <w:rsid w:val="005F4CF3"/>
    <w:rsid w:val="005F4ECC"/>
    <w:rsid w:val="005F5284"/>
    <w:rsid w:val="005F5463"/>
    <w:rsid w:val="005F555B"/>
    <w:rsid w:val="005F55A9"/>
    <w:rsid w:val="005F55DB"/>
    <w:rsid w:val="005F5662"/>
    <w:rsid w:val="005F5678"/>
    <w:rsid w:val="005F5739"/>
    <w:rsid w:val="005F57F9"/>
    <w:rsid w:val="005F5939"/>
    <w:rsid w:val="005F5B50"/>
    <w:rsid w:val="005F5CED"/>
    <w:rsid w:val="005F5DF4"/>
    <w:rsid w:val="005F5F27"/>
    <w:rsid w:val="005F601B"/>
    <w:rsid w:val="005F6175"/>
    <w:rsid w:val="005F633F"/>
    <w:rsid w:val="005F64A5"/>
    <w:rsid w:val="005F64EF"/>
    <w:rsid w:val="005F6509"/>
    <w:rsid w:val="005F651D"/>
    <w:rsid w:val="005F680B"/>
    <w:rsid w:val="005F68F0"/>
    <w:rsid w:val="005F694F"/>
    <w:rsid w:val="005F6A99"/>
    <w:rsid w:val="005F6DFC"/>
    <w:rsid w:val="005F7012"/>
    <w:rsid w:val="005F70AE"/>
    <w:rsid w:val="005F70E4"/>
    <w:rsid w:val="005F740D"/>
    <w:rsid w:val="005F74FA"/>
    <w:rsid w:val="005F77D3"/>
    <w:rsid w:val="005F783E"/>
    <w:rsid w:val="005F79A6"/>
    <w:rsid w:val="005F79A8"/>
    <w:rsid w:val="005F7B50"/>
    <w:rsid w:val="005F7B60"/>
    <w:rsid w:val="005F7C15"/>
    <w:rsid w:val="005F7DBD"/>
    <w:rsid w:val="005F7E0F"/>
    <w:rsid w:val="005F7EAE"/>
    <w:rsid w:val="005F7EE2"/>
    <w:rsid w:val="005F7F2A"/>
    <w:rsid w:val="00600058"/>
    <w:rsid w:val="00600203"/>
    <w:rsid w:val="0060032C"/>
    <w:rsid w:val="006003BE"/>
    <w:rsid w:val="006005D3"/>
    <w:rsid w:val="00600632"/>
    <w:rsid w:val="00600648"/>
    <w:rsid w:val="0060068A"/>
    <w:rsid w:val="00600692"/>
    <w:rsid w:val="006007AA"/>
    <w:rsid w:val="00600823"/>
    <w:rsid w:val="006008BD"/>
    <w:rsid w:val="006009A3"/>
    <w:rsid w:val="00600A20"/>
    <w:rsid w:val="00600B0A"/>
    <w:rsid w:val="00600B56"/>
    <w:rsid w:val="00600C7F"/>
    <w:rsid w:val="00600E8C"/>
    <w:rsid w:val="00601047"/>
    <w:rsid w:val="006010E2"/>
    <w:rsid w:val="00601159"/>
    <w:rsid w:val="00601266"/>
    <w:rsid w:val="006012AE"/>
    <w:rsid w:val="00601329"/>
    <w:rsid w:val="006014A4"/>
    <w:rsid w:val="00601707"/>
    <w:rsid w:val="006017A8"/>
    <w:rsid w:val="006017BC"/>
    <w:rsid w:val="0060187D"/>
    <w:rsid w:val="006019E5"/>
    <w:rsid w:val="00601AB0"/>
    <w:rsid w:val="00601AF0"/>
    <w:rsid w:val="00601AFC"/>
    <w:rsid w:val="00601B10"/>
    <w:rsid w:val="00601CCA"/>
    <w:rsid w:val="00601CD5"/>
    <w:rsid w:val="00601CE2"/>
    <w:rsid w:val="00601CEB"/>
    <w:rsid w:val="00601E53"/>
    <w:rsid w:val="00602088"/>
    <w:rsid w:val="0060209E"/>
    <w:rsid w:val="006020AC"/>
    <w:rsid w:val="006020EA"/>
    <w:rsid w:val="006021C2"/>
    <w:rsid w:val="00602234"/>
    <w:rsid w:val="006022B2"/>
    <w:rsid w:val="0060234E"/>
    <w:rsid w:val="006026C2"/>
    <w:rsid w:val="006028C1"/>
    <w:rsid w:val="00602931"/>
    <w:rsid w:val="00602A26"/>
    <w:rsid w:val="00602D86"/>
    <w:rsid w:val="00602DCC"/>
    <w:rsid w:val="00602F31"/>
    <w:rsid w:val="0060315C"/>
    <w:rsid w:val="006031FD"/>
    <w:rsid w:val="00603216"/>
    <w:rsid w:val="006032A2"/>
    <w:rsid w:val="006032D8"/>
    <w:rsid w:val="00603328"/>
    <w:rsid w:val="00603375"/>
    <w:rsid w:val="006033A5"/>
    <w:rsid w:val="00603480"/>
    <w:rsid w:val="0060348F"/>
    <w:rsid w:val="0060371B"/>
    <w:rsid w:val="006037CE"/>
    <w:rsid w:val="006037FF"/>
    <w:rsid w:val="00603942"/>
    <w:rsid w:val="00603A01"/>
    <w:rsid w:val="00603C62"/>
    <w:rsid w:val="00603D70"/>
    <w:rsid w:val="00603DC8"/>
    <w:rsid w:val="00603EF6"/>
    <w:rsid w:val="0060402B"/>
    <w:rsid w:val="0060414F"/>
    <w:rsid w:val="00604161"/>
    <w:rsid w:val="00604282"/>
    <w:rsid w:val="006043ED"/>
    <w:rsid w:val="0060446D"/>
    <w:rsid w:val="006044B8"/>
    <w:rsid w:val="006046A1"/>
    <w:rsid w:val="00604926"/>
    <w:rsid w:val="00604963"/>
    <w:rsid w:val="00604A37"/>
    <w:rsid w:val="00604A50"/>
    <w:rsid w:val="00604AC1"/>
    <w:rsid w:val="00604B05"/>
    <w:rsid w:val="00604BA8"/>
    <w:rsid w:val="00604C26"/>
    <w:rsid w:val="00604C2C"/>
    <w:rsid w:val="00604CA7"/>
    <w:rsid w:val="00604EEE"/>
    <w:rsid w:val="0060525B"/>
    <w:rsid w:val="0060527D"/>
    <w:rsid w:val="006052B1"/>
    <w:rsid w:val="0060535D"/>
    <w:rsid w:val="006055FC"/>
    <w:rsid w:val="00605649"/>
    <w:rsid w:val="00605723"/>
    <w:rsid w:val="0060584F"/>
    <w:rsid w:val="006058EE"/>
    <w:rsid w:val="00605B16"/>
    <w:rsid w:val="00605CA7"/>
    <w:rsid w:val="00605E29"/>
    <w:rsid w:val="00605F04"/>
    <w:rsid w:val="0060605F"/>
    <w:rsid w:val="0060607F"/>
    <w:rsid w:val="0060616E"/>
    <w:rsid w:val="006063F7"/>
    <w:rsid w:val="006064DE"/>
    <w:rsid w:val="006065EE"/>
    <w:rsid w:val="00606732"/>
    <w:rsid w:val="0060673A"/>
    <w:rsid w:val="0060678D"/>
    <w:rsid w:val="00606843"/>
    <w:rsid w:val="0060687D"/>
    <w:rsid w:val="00606887"/>
    <w:rsid w:val="00606CF4"/>
    <w:rsid w:val="00606D60"/>
    <w:rsid w:val="00606E1D"/>
    <w:rsid w:val="00606E6A"/>
    <w:rsid w:val="00606ED0"/>
    <w:rsid w:val="00606F81"/>
    <w:rsid w:val="006070CE"/>
    <w:rsid w:val="006070D6"/>
    <w:rsid w:val="0060737B"/>
    <w:rsid w:val="006073A0"/>
    <w:rsid w:val="0060741A"/>
    <w:rsid w:val="00607654"/>
    <w:rsid w:val="0060768B"/>
    <w:rsid w:val="006076C5"/>
    <w:rsid w:val="00607741"/>
    <w:rsid w:val="006079D8"/>
    <w:rsid w:val="00607A57"/>
    <w:rsid w:val="00607AD5"/>
    <w:rsid w:val="00607B16"/>
    <w:rsid w:val="00607CE4"/>
    <w:rsid w:val="00607D57"/>
    <w:rsid w:val="00607D99"/>
    <w:rsid w:val="00607FCA"/>
    <w:rsid w:val="00607FE6"/>
    <w:rsid w:val="00610118"/>
    <w:rsid w:val="00610186"/>
    <w:rsid w:val="0061018A"/>
    <w:rsid w:val="00610224"/>
    <w:rsid w:val="0061038E"/>
    <w:rsid w:val="00610397"/>
    <w:rsid w:val="00610471"/>
    <w:rsid w:val="006104DA"/>
    <w:rsid w:val="0061054A"/>
    <w:rsid w:val="0061061E"/>
    <w:rsid w:val="00610637"/>
    <w:rsid w:val="00610642"/>
    <w:rsid w:val="006106E3"/>
    <w:rsid w:val="00610B6F"/>
    <w:rsid w:val="00610E9F"/>
    <w:rsid w:val="00610F46"/>
    <w:rsid w:val="006110A8"/>
    <w:rsid w:val="006110C5"/>
    <w:rsid w:val="006111A2"/>
    <w:rsid w:val="00611241"/>
    <w:rsid w:val="00611349"/>
    <w:rsid w:val="006113AC"/>
    <w:rsid w:val="00611434"/>
    <w:rsid w:val="0061152A"/>
    <w:rsid w:val="006115BB"/>
    <w:rsid w:val="006115BE"/>
    <w:rsid w:val="0061161E"/>
    <w:rsid w:val="006116B2"/>
    <w:rsid w:val="006118E8"/>
    <w:rsid w:val="006118EB"/>
    <w:rsid w:val="0061197D"/>
    <w:rsid w:val="00611B0F"/>
    <w:rsid w:val="00611B40"/>
    <w:rsid w:val="00611C11"/>
    <w:rsid w:val="00611E1E"/>
    <w:rsid w:val="00611E9A"/>
    <w:rsid w:val="00611EE1"/>
    <w:rsid w:val="00611EEB"/>
    <w:rsid w:val="00611F44"/>
    <w:rsid w:val="00611FDD"/>
    <w:rsid w:val="006120B2"/>
    <w:rsid w:val="00612221"/>
    <w:rsid w:val="006126CF"/>
    <w:rsid w:val="0061282B"/>
    <w:rsid w:val="00612AE1"/>
    <w:rsid w:val="00612B59"/>
    <w:rsid w:val="00612C75"/>
    <w:rsid w:val="00612D48"/>
    <w:rsid w:val="00612D6D"/>
    <w:rsid w:val="00612D83"/>
    <w:rsid w:val="00612E32"/>
    <w:rsid w:val="00612EB8"/>
    <w:rsid w:val="00612FF5"/>
    <w:rsid w:val="006130A0"/>
    <w:rsid w:val="00613158"/>
    <w:rsid w:val="00613234"/>
    <w:rsid w:val="00613353"/>
    <w:rsid w:val="00613367"/>
    <w:rsid w:val="006133EA"/>
    <w:rsid w:val="00613475"/>
    <w:rsid w:val="006134B2"/>
    <w:rsid w:val="0061359F"/>
    <w:rsid w:val="006136C3"/>
    <w:rsid w:val="006136C7"/>
    <w:rsid w:val="006136E5"/>
    <w:rsid w:val="0061392A"/>
    <w:rsid w:val="00613998"/>
    <w:rsid w:val="00613999"/>
    <w:rsid w:val="006139CB"/>
    <w:rsid w:val="00613A0F"/>
    <w:rsid w:val="00613AE5"/>
    <w:rsid w:val="00613B0A"/>
    <w:rsid w:val="00613B1C"/>
    <w:rsid w:val="00613B29"/>
    <w:rsid w:val="00613B59"/>
    <w:rsid w:val="00613C14"/>
    <w:rsid w:val="00613D06"/>
    <w:rsid w:val="00613EF5"/>
    <w:rsid w:val="00613F78"/>
    <w:rsid w:val="00613FAB"/>
    <w:rsid w:val="0061457A"/>
    <w:rsid w:val="006146F1"/>
    <w:rsid w:val="006147CE"/>
    <w:rsid w:val="0061480F"/>
    <w:rsid w:val="00614A28"/>
    <w:rsid w:val="00614A49"/>
    <w:rsid w:val="00614C4C"/>
    <w:rsid w:val="00614CB5"/>
    <w:rsid w:val="00614CFD"/>
    <w:rsid w:val="00614EDA"/>
    <w:rsid w:val="00615059"/>
    <w:rsid w:val="0061505D"/>
    <w:rsid w:val="006150F4"/>
    <w:rsid w:val="00615119"/>
    <w:rsid w:val="00615144"/>
    <w:rsid w:val="0061518D"/>
    <w:rsid w:val="006151AB"/>
    <w:rsid w:val="006151E0"/>
    <w:rsid w:val="006152C9"/>
    <w:rsid w:val="00615317"/>
    <w:rsid w:val="00615408"/>
    <w:rsid w:val="006156B5"/>
    <w:rsid w:val="00615705"/>
    <w:rsid w:val="0061577F"/>
    <w:rsid w:val="0061578A"/>
    <w:rsid w:val="006158C5"/>
    <w:rsid w:val="00615BB0"/>
    <w:rsid w:val="00615C4E"/>
    <w:rsid w:val="00615CFF"/>
    <w:rsid w:val="00615E7D"/>
    <w:rsid w:val="00615F21"/>
    <w:rsid w:val="006160F0"/>
    <w:rsid w:val="006161FB"/>
    <w:rsid w:val="0061624F"/>
    <w:rsid w:val="00616483"/>
    <w:rsid w:val="0061648D"/>
    <w:rsid w:val="00616631"/>
    <w:rsid w:val="00616732"/>
    <w:rsid w:val="006168A5"/>
    <w:rsid w:val="00616A34"/>
    <w:rsid w:val="00616DD1"/>
    <w:rsid w:val="00616E52"/>
    <w:rsid w:val="00616E6E"/>
    <w:rsid w:val="00616FF1"/>
    <w:rsid w:val="00617041"/>
    <w:rsid w:val="00617203"/>
    <w:rsid w:val="00617372"/>
    <w:rsid w:val="0061748E"/>
    <w:rsid w:val="0061752E"/>
    <w:rsid w:val="0061757E"/>
    <w:rsid w:val="0061759D"/>
    <w:rsid w:val="006175D8"/>
    <w:rsid w:val="0061773F"/>
    <w:rsid w:val="00617766"/>
    <w:rsid w:val="006177DC"/>
    <w:rsid w:val="0061783B"/>
    <w:rsid w:val="00617885"/>
    <w:rsid w:val="00617937"/>
    <w:rsid w:val="00617AC0"/>
    <w:rsid w:val="00617CA4"/>
    <w:rsid w:val="00617E3E"/>
    <w:rsid w:val="00617FCF"/>
    <w:rsid w:val="00620054"/>
    <w:rsid w:val="0062014B"/>
    <w:rsid w:val="0062015A"/>
    <w:rsid w:val="006201AE"/>
    <w:rsid w:val="006201CF"/>
    <w:rsid w:val="006205BD"/>
    <w:rsid w:val="00620632"/>
    <w:rsid w:val="006206D0"/>
    <w:rsid w:val="00620729"/>
    <w:rsid w:val="0062072F"/>
    <w:rsid w:val="0062076A"/>
    <w:rsid w:val="0062082D"/>
    <w:rsid w:val="00620886"/>
    <w:rsid w:val="00620933"/>
    <w:rsid w:val="00620B14"/>
    <w:rsid w:val="00620B2B"/>
    <w:rsid w:val="00620D5C"/>
    <w:rsid w:val="00620D78"/>
    <w:rsid w:val="00620E4B"/>
    <w:rsid w:val="00620F40"/>
    <w:rsid w:val="00620FED"/>
    <w:rsid w:val="006210BA"/>
    <w:rsid w:val="00621301"/>
    <w:rsid w:val="006213C2"/>
    <w:rsid w:val="006213E7"/>
    <w:rsid w:val="0062161B"/>
    <w:rsid w:val="00621650"/>
    <w:rsid w:val="00621652"/>
    <w:rsid w:val="006218E3"/>
    <w:rsid w:val="006218F4"/>
    <w:rsid w:val="00621957"/>
    <w:rsid w:val="00621963"/>
    <w:rsid w:val="0062198A"/>
    <w:rsid w:val="00621AB6"/>
    <w:rsid w:val="00621C90"/>
    <w:rsid w:val="00621CAE"/>
    <w:rsid w:val="00621CCA"/>
    <w:rsid w:val="00621DD8"/>
    <w:rsid w:val="00621ED7"/>
    <w:rsid w:val="00621F2F"/>
    <w:rsid w:val="00621F65"/>
    <w:rsid w:val="0062202F"/>
    <w:rsid w:val="0062205B"/>
    <w:rsid w:val="006220A8"/>
    <w:rsid w:val="00622102"/>
    <w:rsid w:val="00622154"/>
    <w:rsid w:val="006222AC"/>
    <w:rsid w:val="006224C9"/>
    <w:rsid w:val="006224DB"/>
    <w:rsid w:val="006224EC"/>
    <w:rsid w:val="006224FE"/>
    <w:rsid w:val="006225F7"/>
    <w:rsid w:val="00622694"/>
    <w:rsid w:val="00622759"/>
    <w:rsid w:val="006227CD"/>
    <w:rsid w:val="00622831"/>
    <w:rsid w:val="006229A9"/>
    <w:rsid w:val="00622A99"/>
    <w:rsid w:val="00622C61"/>
    <w:rsid w:val="00622DE6"/>
    <w:rsid w:val="00622DF2"/>
    <w:rsid w:val="00622E45"/>
    <w:rsid w:val="00622F69"/>
    <w:rsid w:val="00622F71"/>
    <w:rsid w:val="00623002"/>
    <w:rsid w:val="00623060"/>
    <w:rsid w:val="006231A1"/>
    <w:rsid w:val="006231AF"/>
    <w:rsid w:val="006232BE"/>
    <w:rsid w:val="006233B9"/>
    <w:rsid w:val="0062346A"/>
    <w:rsid w:val="0062349B"/>
    <w:rsid w:val="0062358A"/>
    <w:rsid w:val="00623726"/>
    <w:rsid w:val="0062376C"/>
    <w:rsid w:val="006238B6"/>
    <w:rsid w:val="006238B7"/>
    <w:rsid w:val="006239FE"/>
    <w:rsid w:val="00623A55"/>
    <w:rsid w:val="00623AC3"/>
    <w:rsid w:val="00623B76"/>
    <w:rsid w:val="00623BF7"/>
    <w:rsid w:val="00623DE8"/>
    <w:rsid w:val="00624011"/>
    <w:rsid w:val="00624044"/>
    <w:rsid w:val="00624141"/>
    <w:rsid w:val="00624213"/>
    <w:rsid w:val="0062423E"/>
    <w:rsid w:val="006242B5"/>
    <w:rsid w:val="006243CB"/>
    <w:rsid w:val="00624419"/>
    <w:rsid w:val="00624420"/>
    <w:rsid w:val="006245A6"/>
    <w:rsid w:val="006245AE"/>
    <w:rsid w:val="006247D3"/>
    <w:rsid w:val="006247E9"/>
    <w:rsid w:val="006248B1"/>
    <w:rsid w:val="00624AFD"/>
    <w:rsid w:val="00624B51"/>
    <w:rsid w:val="00624C8D"/>
    <w:rsid w:val="00624E1D"/>
    <w:rsid w:val="00624E2B"/>
    <w:rsid w:val="00624E30"/>
    <w:rsid w:val="00624E31"/>
    <w:rsid w:val="00624E56"/>
    <w:rsid w:val="00624FDC"/>
    <w:rsid w:val="006250C4"/>
    <w:rsid w:val="00625191"/>
    <w:rsid w:val="006252AD"/>
    <w:rsid w:val="0062530E"/>
    <w:rsid w:val="0062532F"/>
    <w:rsid w:val="006253C8"/>
    <w:rsid w:val="00625426"/>
    <w:rsid w:val="006255BF"/>
    <w:rsid w:val="00625617"/>
    <w:rsid w:val="0062561B"/>
    <w:rsid w:val="006256FC"/>
    <w:rsid w:val="00625789"/>
    <w:rsid w:val="006259F4"/>
    <w:rsid w:val="00625A94"/>
    <w:rsid w:val="00625E52"/>
    <w:rsid w:val="00625E73"/>
    <w:rsid w:val="00625F66"/>
    <w:rsid w:val="00626035"/>
    <w:rsid w:val="00626280"/>
    <w:rsid w:val="00626431"/>
    <w:rsid w:val="00626502"/>
    <w:rsid w:val="00626508"/>
    <w:rsid w:val="00626551"/>
    <w:rsid w:val="00626679"/>
    <w:rsid w:val="006266C7"/>
    <w:rsid w:val="006266FC"/>
    <w:rsid w:val="00626773"/>
    <w:rsid w:val="006267DB"/>
    <w:rsid w:val="0062687D"/>
    <w:rsid w:val="006269C3"/>
    <w:rsid w:val="00626A2C"/>
    <w:rsid w:val="00626C49"/>
    <w:rsid w:val="00626C69"/>
    <w:rsid w:val="00626E21"/>
    <w:rsid w:val="00626E5F"/>
    <w:rsid w:val="0062700E"/>
    <w:rsid w:val="006270B8"/>
    <w:rsid w:val="006270BE"/>
    <w:rsid w:val="00627114"/>
    <w:rsid w:val="0062714E"/>
    <w:rsid w:val="006271B3"/>
    <w:rsid w:val="00627377"/>
    <w:rsid w:val="00627517"/>
    <w:rsid w:val="006275CF"/>
    <w:rsid w:val="00627621"/>
    <w:rsid w:val="00627673"/>
    <w:rsid w:val="006276BE"/>
    <w:rsid w:val="00627832"/>
    <w:rsid w:val="00627CD6"/>
    <w:rsid w:val="00627F47"/>
    <w:rsid w:val="00630039"/>
    <w:rsid w:val="006300C3"/>
    <w:rsid w:val="00630504"/>
    <w:rsid w:val="00630773"/>
    <w:rsid w:val="00630794"/>
    <w:rsid w:val="00630809"/>
    <w:rsid w:val="00630884"/>
    <w:rsid w:val="006308C2"/>
    <w:rsid w:val="00630A73"/>
    <w:rsid w:val="00630A94"/>
    <w:rsid w:val="00630AD4"/>
    <w:rsid w:val="00630B73"/>
    <w:rsid w:val="00630C31"/>
    <w:rsid w:val="00630D37"/>
    <w:rsid w:val="00630E0A"/>
    <w:rsid w:val="00630EDD"/>
    <w:rsid w:val="00630F55"/>
    <w:rsid w:val="00630FB6"/>
    <w:rsid w:val="006310AF"/>
    <w:rsid w:val="006310C0"/>
    <w:rsid w:val="0063112E"/>
    <w:rsid w:val="00631404"/>
    <w:rsid w:val="0063166B"/>
    <w:rsid w:val="00631762"/>
    <w:rsid w:val="00631893"/>
    <w:rsid w:val="006319CF"/>
    <w:rsid w:val="00631A07"/>
    <w:rsid w:val="00631B0F"/>
    <w:rsid w:val="00631BDD"/>
    <w:rsid w:val="00631C39"/>
    <w:rsid w:val="00631D11"/>
    <w:rsid w:val="00631D34"/>
    <w:rsid w:val="00631D4D"/>
    <w:rsid w:val="00631E30"/>
    <w:rsid w:val="00631EFB"/>
    <w:rsid w:val="00632072"/>
    <w:rsid w:val="006320EF"/>
    <w:rsid w:val="00632252"/>
    <w:rsid w:val="006322A2"/>
    <w:rsid w:val="00632481"/>
    <w:rsid w:val="00632504"/>
    <w:rsid w:val="00632647"/>
    <w:rsid w:val="006327D1"/>
    <w:rsid w:val="006329BD"/>
    <w:rsid w:val="00632A85"/>
    <w:rsid w:val="00632C67"/>
    <w:rsid w:val="00632D76"/>
    <w:rsid w:val="00632E83"/>
    <w:rsid w:val="00632F5B"/>
    <w:rsid w:val="00632FB9"/>
    <w:rsid w:val="00632FF3"/>
    <w:rsid w:val="00633044"/>
    <w:rsid w:val="00633127"/>
    <w:rsid w:val="00633249"/>
    <w:rsid w:val="006332AF"/>
    <w:rsid w:val="006332EA"/>
    <w:rsid w:val="00633315"/>
    <w:rsid w:val="0063332E"/>
    <w:rsid w:val="00633490"/>
    <w:rsid w:val="00633524"/>
    <w:rsid w:val="00633A36"/>
    <w:rsid w:val="00633E37"/>
    <w:rsid w:val="00633E9A"/>
    <w:rsid w:val="00633EB0"/>
    <w:rsid w:val="00633EF0"/>
    <w:rsid w:val="00633F1F"/>
    <w:rsid w:val="00633F2E"/>
    <w:rsid w:val="00634029"/>
    <w:rsid w:val="006340F3"/>
    <w:rsid w:val="00634365"/>
    <w:rsid w:val="0063444E"/>
    <w:rsid w:val="00634472"/>
    <w:rsid w:val="0063447C"/>
    <w:rsid w:val="00634482"/>
    <w:rsid w:val="0063457E"/>
    <w:rsid w:val="006345CA"/>
    <w:rsid w:val="00634711"/>
    <w:rsid w:val="00634841"/>
    <w:rsid w:val="006348C6"/>
    <w:rsid w:val="00634909"/>
    <w:rsid w:val="00634AF7"/>
    <w:rsid w:val="00634B02"/>
    <w:rsid w:val="00634F63"/>
    <w:rsid w:val="0063508C"/>
    <w:rsid w:val="006350AC"/>
    <w:rsid w:val="00635128"/>
    <w:rsid w:val="0063514F"/>
    <w:rsid w:val="0063516D"/>
    <w:rsid w:val="00635243"/>
    <w:rsid w:val="00635412"/>
    <w:rsid w:val="00635420"/>
    <w:rsid w:val="00635454"/>
    <w:rsid w:val="006354C9"/>
    <w:rsid w:val="006354F7"/>
    <w:rsid w:val="00635502"/>
    <w:rsid w:val="0063580E"/>
    <w:rsid w:val="0063582B"/>
    <w:rsid w:val="00635871"/>
    <w:rsid w:val="00635883"/>
    <w:rsid w:val="006359A8"/>
    <w:rsid w:val="00635A1E"/>
    <w:rsid w:val="00635EB7"/>
    <w:rsid w:val="00635EEC"/>
    <w:rsid w:val="00636031"/>
    <w:rsid w:val="00636119"/>
    <w:rsid w:val="00636267"/>
    <w:rsid w:val="00636298"/>
    <w:rsid w:val="00636303"/>
    <w:rsid w:val="006363F8"/>
    <w:rsid w:val="006364A4"/>
    <w:rsid w:val="006368F6"/>
    <w:rsid w:val="00636974"/>
    <w:rsid w:val="00636980"/>
    <w:rsid w:val="00636A33"/>
    <w:rsid w:val="00636D0F"/>
    <w:rsid w:val="00636DEF"/>
    <w:rsid w:val="00636E91"/>
    <w:rsid w:val="00636F18"/>
    <w:rsid w:val="006371FF"/>
    <w:rsid w:val="0063724D"/>
    <w:rsid w:val="00637277"/>
    <w:rsid w:val="00637307"/>
    <w:rsid w:val="006376B3"/>
    <w:rsid w:val="006376F3"/>
    <w:rsid w:val="00637778"/>
    <w:rsid w:val="006378C0"/>
    <w:rsid w:val="00637993"/>
    <w:rsid w:val="006379DD"/>
    <w:rsid w:val="00637BD8"/>
    <w:rsid w:val="00637C50"/>
    <w:rsid w:val="00637EC6"/>
    <w:rsid w:val="00637FF4"/>
    <w:rsid w:val="00640139"/>
    <w:rsid w:val="00640301"/>
    <w:rsid w:val="0064037C"/>
    <w:rsid w:val="006403DA"/>
    <w:rsid w:val="00640426"/>
    <w:rsid w:val="006405C2"/>
    <w:rsid w:val="00640605"/>
    <w:rsid w:val="00640622"/>
    <w:rsid w:val="0064067D"/>
    <w:rsid w:val="00640776"/>
    <w:rsid w:val="006407EA"/>
    <w:rsid w:val="00640827"/>
    <w:rsid w:val="00640842"/>
    <w:rsid w:val="006408D7"/>
    <w:rsid w:val="0064090C"/>
    <w:rsid w:val="00640A2E"/>
    <w:rsid w:val="00640A6C"/>
    <w:rsid w:val="00640B1F"/>
    <w:rsid w:val="00640B6B"/>
    <w:rsid w:val="00640CD3"/>
    <w:rsid w:val="00640CF9"/>
    <w:rsid w:val="00640D78"/>
    <w:rsid w:val="00640E5C"/>
    <w:rsid w:val="00640FAE"/>
    <w:rsid w:val="0064110F"/>
    <w:rsid w:val="00641184"/>
    <w:rsid w:val="00641686"/>
    <w:rsid w:val="006416CF"/>
    <w:rsid w:val="006416F1"/>
    <w:rsid w:val="006417C8"/>
    <w:rsid w:val="006417F8"/>
    <w:rsid w:val="00641924"/>
    <w:rsid w:val="00641A71"/>
    <w:rsid w:val="00641B1D"/>
    <w:rsid w:val="00641B1E"/>
    <w:rsid w:val="00641B6D"/>
    <w:rsid w:val="00641C33"/>
    <w:rsid w:val="00641D1F"/>
    <w:rsid w:val="00641F59"/>
    <w:rsid w:val="00641FC4"/>
    <w:rsid w:val="006420B6"/>
    <w:rsid w:val="006421EB"/>
    <w:rsid w:val="00642240"/>
    <w:rsid w:val="00642442"/>
    <w:rsid w:val="0064267F"/>
    <w:rsid w:val="00642879"/>
    <w:rsid w:val="0064296F"/>
    <w:rsid w:val="006429A0"/>
    <w:rsid w:val="006429CE"/>
    <w:rsid w:val="00642A57"/>
    <w:rsid w:val="00642B53"/>
    <w:rsid w:val="00642B95"/>
    <w:rsid w:val="00642BDF"/>
    <w:rsid w:val="00642C0A"/>
    <w:rsid w:val="00642C6E"/>
    <w:rsid w:val="00642F87"/>
    <w:rsid w:val="00643165"/>
    <w:rsid w:val="00643296"/>
    <w:rsid w:val="0064331E"/>
    <w:rsid w:val="00643389"/>
    <w:rsid w:val="006433E1"/>
    <w:rsid w:val="00643605"/>
    <w:rsid w:val="006438E7"/>
    <w:rsid w:val="00643942"/>
    <w:rsid w:val="00643959"/>
    <w:rsid w:val="00643A5A"/>
    <w:rsid w:val="00643A9F"/>
    <w:rsid w:val="00643B76"/>
    <w:rsid w:val="00643C69"/>
    <w:rsid w:val="00643CB8"/>
    <w:rsid w:val="00643CBE"/>
    <w:rsid w:val="00643CE8"/>
    <w:rsid w:val="0064432A"/>
    <w:rsid w:val="006444E9"/>
    <w:rsid w:val="00644512"/>
    <w:rsid w:val="00644522"/>
    <w:rsid w:val="00644612"/>
    <w:rsid w:val="00644742"/>
    <w:rsid w:val="0064476C"/>
    <w:rsid w:val="00644A8C"/>
    <w:rsid w:val="00644AD1"/>
    <w:rsid w:val="00644B05"/>
    <w:rsid w:val="00644BB8"/>
    <w:rsid w:val="00644BCE"/>
    <w:rsid w:val="00644BED"/>
    <w:rsid w:val="00644CDD"/>
    <w:rsid w:val="00644D7D"/>
    <w:rsid w:val="00644DA3"/>
    <w:rsid w:val="00644E91"/>
    <w:rsid w:val="006451A0"/>
    <w:rsid w:val="0064520C"/>
    <w:rsid w:val="006452C6"/>
    <w:rsid w:val="0064539E"/>
    <w:rsid w:val="00645422"/>
    <w:rsid w:val="00645695"/>
    <w:rsid w:val="00645711"/>
    <w:rsid w:val="00645712"/>
    <w:rsid w:val="006458FA"/>
    <w:rsid w:val="00645AD9"/>
    <w:rsid w:val="00645B31"/>
    <w:rsid w:val="00645C36"/>
    <w:rsid w:val="00645CB1"/>
    <w:rsid w:val="00645CBE"/>
    <w:rsid w:val="00645E12"/>
    <w:rsid w:val="006460F9"/>
    <w:rsid w:val="00646176"/>
    <w:rsid w:val="00646214"/>
    <w:rsid w:val="00646257"/>
    <w:rsid w:val="0064631E"/>
    <w:rsid w:val="006464AE"/>
    <w:rsid w:val="0064670C"/>
    <w:rsid w:val="0064670D"/>
    <w:rsid w:val="006467E2"/>
    <w:rsid w:val="0064689C"/>
    <w:rsid w:val="00646952"/>
    <w:rsid w:val="006469D1"/>
    <w:rsid w:val="00646CCB"/>
    <w:rsid w:val="00646DB7"/>
    <w:rsid w:val="00646E4B"/>
    <w:rsid w:val="00646F5C"/>
    <w:rsid w:val="00647144"/>
    <w:rsid w:val="0064720C"/>
    <w:rsid w:val="0064727E"/>
    <w:rsid w:val="006472D0"/>
    <w:rsid w:val="00647483"/>
    <w:rsid w:val="00647544"/>
    <w:rsid w:val="00647856"/>
    <w:rsid w:val="006478C0"/>
    <w:rsid w:val="0064796F"/>
    <w:rsid w:val="006479C4"/>
    <w:rsid w:val="00647A2A"/>
    <w:rsid w:val="00647C5B"/>
    <w:rsid w:val="00647CBC"/>
    <w:rsid w:val="00647CE0"/>
    <w:rsid w:val="00647D77"/>
    <w:rsid w:val="00650022"/>
    <w:rsid w:val="00650183"/>
    <w:rsid w:val="006501BC"/>
    <w:rsid w:val="006504B4"/>
    <w:rsid w:val="00650504"/>
    <w:rsid w:val="0065051A"/>
    <w:rsid w:val="0065058B"/>
    <w:rsid w:val="006505AF"/>
    <w:rsid w:val="0065070D"/>
    <w:rsid w:val="006507FC"/>
    <w:rsid w:val="0065082D"/>
    <w:rsid w:val="006508A8"/>
    <w:rsid w:val="006509FB"/>
    <w:rsid w:val="00650A89"/>
    <w:rsid w:val="00650AE6"/>
    <w:rsid w:val="00650B3B"/>
    <w:rsid w:val="00650BCF"/>
    <w:rsid w:val="00650C4D"/>
    <w:rsid w:val="00650E8C"/>
    <w:rsid w:val="00650F18"/>
    <w:rsid w:val="00650FA0"/>
    <w:rsid w:val="00651082"/>
    <w:rsid w:val="0065131A"/>
    <w:rsid w:val="006513CC"/>
    <w:rsid w:val="0065140E"/>
    <w:rsid w:val="00651486"/>
    <w:rsid w:val="006516C1"/>
    <w:rsid w:val="0065177A"/>
    <w:rsid w:val="006517A4"/>
    <w:rsid w:val="00651922"/>
    <w:rsid w:val="00651B98"/>
    <w:rsid w:val="00651BA1"/>
    <w:rsid w:val="00651C31"/>
    <w:rsid w:val="00651CB8"/>
    <w:rsid w:val="00651D59"/>
    <w:rsid w:val="00651D9C"/>
    <w:rsid w:val="00651DC1"/>
    <w:rsid w:val="00651EAC"/>
    <w:rsid w:val="0065203C"/>
    <w:rsid w:val="006523E0"/>
    <w:rsid w:val="00652443"/>
    <w:rsid w:val="0065282F"/>
    <w:rsid w:val="0065287C"/>
    <w:rsid w:val="00652A67"/>
    <w:rsid w:val="00652A86"/>
    <w:rsid w:val="00652A8B"/>
    <w:rsid w:val="00652AC1"/>
    <w:rsid w:val="00652AD2"/>
    <w:rsid w:val="00652BB9"/>
    <w:rsid w:val="00652CDC"/>
    <w:rsid w:val="00652CFE"/>
    <w:rsid w:val="00652D3D"/>
    <w:rsid w:val="00652EDB"/>
    <w:rsid w:val="00652FD3"/>
    <w:rsid w:val="00653037"/>
    <w:rsid w:val="0065304B"/>
    <w:rsid w:val="006531D4"/>
    <w:rsid w:val="006531EB"/>
    <w:rsid w:val="006531ED"/>
    <w:rsid w:val="0065329A"/>
    <w:rsid w:val="006532C3"/>
    <w:rsid w:val="00653608"/>
    <w:rsid w:val="0065373E"/>
    <w:rsid w:val="0065393C"/>
    <w:rsid w:val="006539E1"/>
    <w:rsid w:val="00653AE2"/>
    <w:rsid w:val="00653BA9"/>
    <w:rsid w:val="00653C41"/>
    <w:rsid w:val="00653D0B"/>
    <w:rsid w:val="00653DAA"/>
    <w:rsid w:val="00653F3C"/>
    <w:rsid w:val="00653FA3"/>
    <w:rsid w:val="006540D8"/>
    <w:rsid w:val="006541E2"/>
    <w:rsid w:val="006542A6"/>
    <w:rsid w:val="006543DE"/>
    <w:rsid w:val="006544CF"/>
    <w:rsid w:val="00654636"/>
    <w:rsid w:val="006549BB"/>
    <w:rsid w:val="006549E3"/>
    <w:rsid w:val="00654A2D"/>
    <w:rsid w:val="00654AA2"/>
    <w:rsid w:val="00654B79"/>
    <w:rsid w:val="00654DD0"/>
    <w:rsid w:val="00654E6B"/>
    <w:rsid w:val="00654EA1"/>
    <w:rsid w:val="00654F9B"/>
    <w:rsid w:val="00655005"/>
    <w:rsid w:val="00655166"/>
    <w:rsid w:val="00655199"/>
    <w:rsid w:val="00655311"/>
    <w:rsid w:val="0065555C"/>
    <w:rsid w:val="006556BB"/>
    <w:rsid w:val="0065586C"/>
    <w:rsid w:val="00655950"/>
    <w:rsid w:val="00655C66"/>
    <w:rsid w:val="00655D28"/>
    <w:rsid w:val="00655EFA"/>
    <w:rsid w:val="00655F24"/>
    <w:rsid w:val="00656782"/>
    <w:rsid w:val="00656847"/>
    <w:rsid w:val="00656898"/>
    <w:rsid w:val="00656993"/>
    <w:rsid w:val="00656A1E"/>
    <w:rsid w:val="00656B05"/>
    <w:rsid w:val="00656BAA"/>
    <w:rsid w:val="00656BCC"/>
    <w:rsid w:val="00656CFC"/>
    <w:rsid w:val="00656DFC"/>
    <w:rsid w:val="00656F30"/>
    <w:rsid w:val="00656F87"/>
    <w:rsid w:val="006570D1"/>
    <w:rsid w:val="006570D6"/>
    <w:rsid w:val="00657145"/>
    <w:rsid w:val="0065716C"/>
    <w:rsid w:val="00657259"/>
    <w:rsid w:val="00657376"/>
    <w:rsid w:val="006574C0"/>
    <w:rsid w:val="0065772F"/>
    <w:rsid w:val="00657784"/>
    <w:rsid w:val="0065781E"/>
    <w:rsid w:val="00657857"/>
    <w:rsid w:val="006578EB"/>
    <w:rsid w:val="006579AD"/>
    <w:rsid w:val="00657A19"/>
    <w:rsid w:val="00657A7C"/>
    <w:rsid w:val="00657BBE"/>
    <w:rsid w:val="00657C5D"/>
    <w:rsid w:val="00657E4E"/>
    <w:rsid w:val="00657F45"/>
    <w:rsid w:val="0066002B"/>
    <w:rsid w:val="006600EF"/>
    <w:rsid w:val="00660309"/>
    <w:rsid w:val="00660316"/>
    <w:rsid w:val="0066037B"/>
    <w:rsid w:val="00660727"/>
    <w:rsid w:val="00660766"/>
    <w:rsid w:val="0066084A"/>
    <w:rsid w:val="006608EA"/>
    <w:rsid w:val="006608EC"/>
    <w:rsid w:val="006609DF"/>
    <w:rsid w:val="00660A57"/>
    <w:rsid w:val="00660B48"/>
    <w:rsid w:val="00660C35"/>
    <w:rsid w:val="00660C54"/>
    <w:rsid w:val="00660D72"/>
    <w:rsid w:val="00660DA4"/>
    <w:rsid w:val="00660DC1"/>
    <w:rsid w:val="00660E7E"/>
    <w:rsid w:val="00660FBD"/>
    <w:rsid w:val="00661063"/>
    <w:rsid w:val="006610ED"/>
    <w:rsid w:val="00661107"/>
    <w:rsid w:val="006611C3"/>
    <w:rsid w:val="0066134D"/>
    <w:rsid w:val="006613F2"/>
    <w:rsid w:val="0066152C"/>
    <w:rsid w:val="00661687"/>
    <w:rsid w:val="0066168E"/>
    <w:rsid w:val="006618A2"/>
    <w:rsid w:val="00661948"/>
    <w:rsid w:val="00661982"/>
    <w:rsid w:val="006619FB"/>
    <w:rsid w:val="00661B49"/>
    <w:rsid w:val="00661C6F"/>
    <w:rsid w:val="00661D4F"/>
    <w:rsid w:val="00661F07"/>
    <w:rsid w:val="00661F70"/>
    <w:rsid w:val="00661FCE"/>
    <w:rsid w:val="006620BE"/>
    <w:rsid w:val="006620E4"/>
    <w:rsid w:val="00662276"/>
    <w:rsid w:val="00662293"/>
    <w:rsid w:val="006623F5"/>
    <w:rsid w:val="0066251B"/>
    <w:rsid w:val="006625AC"/>
    <w:rsid w:val="006625E9"/>
    <w:rsid w:val="00662657"/>
    <w:rsid w:val="00662678"/>
    <w:rsid w:val="00662721"/>
    <w:rsid w:val="0066278C"/>
    <w:rsid w:val="00662809"/>
    <w:rsid w:val="006628F5"/>
    <w:rsid w:val="00662928"/>
    <w:rsid w:val="00662BF4"/>
    <w:rsid w:val="00662C63"/>
    <w:rsid w:val="00662D26"/>
    <w:rsid w:val="00662D5F"/>
    <w:rsid w:val="00662DA8"/>
    <w:rsid w:val="00662DFA"/>
    <w:rsid w:val="00662EF0"/>
    <w:rsid w:val="00663128"/>
    <w:rsid w:val="00663630"/>
    <w:rsid w:val="006637F7"/>
    <w:rsid w:val="00663932"/>
    <w:rsid w:val="006639E4"/>
    <w:rsid w:val="006639E7"/>
    <w:rsid w:val="006639F6"/>
    <w:rsid w:val="00663A74"/>
    <w:rsid w:val="00663A86"/>
    <w:rsid w:val="00663B3D"/>
    <w:rsid w:val="00663B69"/>
    <w:rsid w:val="00663D69"/>
    <w:rsid w:val="00663DB8"/>
    <w:rsid w:val="00663DC5"/>
    <w:rsid w:val="00663E1E"/>
    <w:rsid w:val="00663ED5"/>
    <w:rsid w:val="006640AF"/>
    <w:rsid w:val="00664162"/>
    <w:rsid w:val="00664171"/>
    <w:rsid w:val="006643FE"/>
    <w:rsid w:val="00664408"/>
    <w:rsid w:val="00664581"/>
    <w:rsid w:val="006645DF"/>
    <w:rsid w:val="006646DE"/>
    <w:rsid w:val="006646FD"/>
    <w:rsid w:val="00664774"/>
    <w:rsid w:val="0066477D"/>
    <w:rsid w:val="0066495D"/>
    <w:rsid w:val="00664965"/>
    <w:rsid w:val="006649C9"/>
    <w:rsid w:val="00664C03"/>
    <w:rsid w:val="00664CAE"/>
    <w:rsid w:val="00664E67"/>
    <w:rsid w:val="00665078"/>
    <w:rsid w:val="00665185"/>
    <w:rsid w:val="006651F0"/>
    <w:rsid w:val="0066524C"/>
    <w:rsid w:val="006654B8"/>
    <w:rsid w:val="0066551B"/>
    <w:rsid w:val="0066571B"/>
    <w:rsid w:val="00665769"/>
    <w:rsid w:val="00665849"/>
    <w:rsid w:val="006658AB"/>
    <w:rsid w:val="00665A27"/>
    <w:rsid w:val="00665B33"/>
    <w:rsid w:val="00665B34"/>
    <w:rsid w:val="00665C90"/>
    <w:rsid w:val="00665F2F"/>
    <w:rsid w:val="00666025"/>
    <w:rsid w:val="0066608B"/>
    <w:rsid w:val="00666120"/>
    <w:rsid w:val="00666271"/>
    <w:rsid w:val="00666478"/>
    <w:rsid w:val="006664EA"/>
    <w:rsid w:val="006664FF"/>
    <w:rsid w:val="00666538"/>
    <w:rsid w:val="006666A6"/>
    <w:rsid w:val="006666DF"/>
    <w:rsid w:val="0066671A"/>
    <w:rsid w:val="006667C0"/>
    <w:rsid w:val="006668F5"/>
    <w:rsid w:val="006669FF"/>
    <w:rsid w:val="00666A26"/>
    <w:rsid w:val="00666B67"/>
    <w:rsid w:val="00666CA3"/>
    <w:rsid w:val="00666DE7"/>
    <w:rsid w:val="00666E1B"/>
    <w:rsid w:val="00666E69"/>
    <w:rsid w:val="00666ECA"/>
    <w:rsid w:val="00666F2C"/>
    <w:rsid w:val="00667013"/>
    <w:rsid w:val="0066730F"/>
    <w:rsid w:val="006674B5"/>
    <w:rsid w:val="00667536"/>
    <w:rsid w:val="00667538"/>
    <w:rsid w:val="006675D2"/>
    <w:rsid w:val="0066763E"/>
    <w:rsid w:val="006676D6"/>
    <w:rsid w:val="0066776E"/>
    <w:rsid w:val="006677B7"/>
    <w:rsid w:val="0066780E"/>
    <w:rsid w:val="006679EE"/>
    <w:rsid w:val="006679FE"/>
    <w:rsid w:val="00667A12"/>
    <w:rsid w:val="00667B3D"/>
    <w:rsid w:val="00667B7E"/>
    <w:rsid w:val="00667BD7"/>
    <w:rsid w:val="00667C31"/>
    <w:rsid w:val="00667D34"/>
    <w:rsid w:val="00667DCF"/>
    <w:rsid w:val="00667E3F"/>
    <w:rsid w:val="00667ECB"/>
    <w:rsid w:val="0067014B"/>
    <w:rsid w:val="0067015A"/>
    <w:rsid w:val="0067028D"/>
    <w:rsid w:val="00670293"/>
    <w:rsid w:val="00670417"/>
    <w:rsid w:val="0067045D"/>
    <w:rsid w:val="00670828"/>
    <w:rsid w:val="006708B9"/>
    <w:rsid w:val="006708CC"/>
    <w:rsid w:val="00670A12"/>
    <w:rsid w:val="00670B20"/>
    <w:rsid w:val="00670BA6"/>
    <w:rsid w:val="00670BA7"/>
    <w:rsid w:val="00670C24"/>
    <w:rsid w:val="00670C64"/>
    <w:rsid w:val="00670C6A"/>
    <w:rsid w:val="00670CED"/>
    <w:rsid w:val="00670D55"/>
    <w:rsid w:val="00670D75"/>
    <w:rsid w:val="00670E8F"/>
    <w:rsid w:val="00670EFA"/>
    <w:rsid w:val="00670F97"/>
    <w:rsid w:val="00670FAF"/>
    <w:rsid w:val="00670FE0"/>
    <w:rsid w:val="0067111A"/>
    <w:rsid w:val="00671154"/>
    <w:rsid w:val="0067115D"/>
    <w:rsid w:val="006716B6"/>
    <w:rsid w:val="0067188C"/>
    <w:rsid w:val="006718AE"/>
    <w:rsid w:val="00671A66"/>
    <w:rsid w:val="00671BCF"/>
    <w:rsid w:val="00671C57"/>
    <w:rsid w:val="00671C9F"/>
    <w:rsid w:val="00671D0D"/>
    <w:rsid w:val="00671D46"/>
    <w:rsid w:val="00671D9A"/>
    <w:rsid w:val="00671DC2"/>
    <w:rsid w:val="0067207B"/>
    <w:rsid w:val="006720D6"/>
    <w:rsid w:val="00672137"/>
    <w:rsid w:val="00672147"/>
    <w:rsid w:val="00672353"/>
    <w:rsid w:val="006726DF"/>
    <w:rsid w:val="0067271D"/>
    <w:rsid w:val="0067276A"/>
    <w:rsid w:val="00672780"/>
    <w:rsid w:val="0067288F"/>
    <w:rsid w:val="00672973"/>
    <w:rsid w:val="006729DF"/>
    <w:rsid w:val="00672AA4"/>
    <w:rsid w:val="00672AE4"/>
    <w:rsid w:val="00672BEE"/>
    <w:rsid w:val="00672C64"/>
    <w:rsid w:val="00672CAB"/>
    <w:rsid w:val="00672D42"/>
    <w:rsid w:val="00672D95"/>
    <w:rsid w:val="00672EEE"/>
    <w:rsid w:val="00673127"/>
    <w:rsid w:val="006731FD"/>
    <w:rsid w:val="0067323C"/>
    <w:rsid w:val="0067332F"/>
    <w:rsid w:val="00673380"/>
    <w:rsid w:val="006733D2"/>
    <w:rsid w:val="006734A3"/>
    <w:rsid w:val="006734C1"/>
    <w:rsid w:val="00673500"/>
    <w:rsid w:val="0067351D"/>
    <w:rsid w:val="00673678"/>
    <w:rsid w:val="006738FD"/>
    <w:rsid w:val="00673957"/>
    <w:rsid w:val="00673A77"/>
    <w:rsid w:val="00673ACD"/>
    <w:rsid w:val="00673CC5"/>
    <w:rsid w:val="00673D85"/>
    <w:rsid w:val="00673E6A"/>
    <w:rsid w:val="00673EFC"/>
    <w:rsid w:val="00674099"/>
    <w:rsid w:val="00674309"/>
    <w:rsid w:val="00674354"/>
    <w:rsid w:val="0067435D"/>
    <w:rsid w:val="006743B0"/>
    <w:rsid w:val="006744D3"/>
    <w:rsid w:val="006745A7"/>
    <w:rsid w:val="006746C7"/>
    <w:rsid w:val="0067484F"/>
    <w:rsid w:val="0067491F"/>
    <w:rsid w:val="00674AC7"/>
    <w:rsid w:val="00674BEF"/>
    <w:rsid w:val="00674C0E"/>
    <w:rsid w:val="00674C46"/>
    <w:rsid w:val="00674D7E"/>
    <w:rsid w:val="00674D93"/>
    <w:rsid w:val="00674DD6"/>
    <w:rsid w:val="00674F1F"/>
    <w:rsid w:val="006750BB"/>
    <w:rsid w:val="0067514D"/>
    <w:rsid w:val="00675194"/>
    <w:rsid w:val="00675243"/>
    <w:rsid w:val="00675260"/>
    <w:rsid w:val="006754FD"/>
    <w:rsid w:val="00675507"/>
    <w:rsid w:val="0067555E"/>
    <w:rsid w:val="006755E7"/>
    <w:rsid w:val="0067571F"/>
    <w:rsid w:val="006757D9"/>
    <w:rsid w:val="006758CA"/>
    <w:rsid w:val="00675A42"/>
    <w:rsid w:val="00675A80"/>
    <w:rsid w:val="00675AEA"/>
    <w:rsid w:val="00675B0F"/>
    <w:rsid w:val="00675B30"/>
    <w:rsid w:val="00675B38"/>
    <w:rsid w:val="00675E0A"/>
    <w:rsid w:val="00675E67"/>
    <w:rsid w:val="00675FB0"/>
    <w:rsid w:val="00676021"/>
    <w:rsid w:val="00676057"/>
    <w:rsid w:val="006760BB"/>
    <w:rsid w:val="00676234"/>
    <w:rsid w:val="0067633B"/>
    <w:rsid w:val="00676360"/>
    <w:rsid w:val="006763F7"/>
    <w:rsid w:val="0067654E"/>
    <w:rsid w:val="00676635"/>
    <w:rsid w:val="00676847"/>
    <w:rsid w:val="006769DA"/>
    <w:rsid w:val="00676AD1"/>
    <w:rsid w:val="00676B25"/>
    <w:rsid w:val="00676B72"/>
    <w:rsid w:val="00676D06"/>
    <w:rsid w:val="00676DC1"/>
    <w:rsid w:val="00676E6B"/>
    <w:rsid w:val="00676FC2"/>
    <w:rsid w:val="00676FD5"/>
    <w:rsid w:val="0067703C"/>
    <w:rsid w:val="006771C1"/>
    <w:rsid w:val="00677390"/>
    <w:rsid w:val="006773E4"/>
    <w:rsid w:val="00677587"/>
    <w:rsid w:val="006775F9"/>
    <w:rsid w:val="006776AD"/>
    <w:rsid w:val="00677F8D"/>
    <w:rsid w:val="00677FA5"/>
    <w:rsid w:val="0068006A"/>
    <w:rsid w:val="00680105"/>
    <w:rsid w:val="00680136"/>
    <w:rsid w:val="00680173"/>
    <w:rsid w:val="00680261"/>
    <w:rsid w:val="00680291"/>
    <w:rsid w:val="006802D8"/>
    <w:rsid w:val="00680376"/>
    <w:rsid w:val="006804A9"/>
    <w:rsid w:val="0068070E"/>
    <w:rsid w:val="006808F0"/>
    <w:rsid w:val="00680906"/>
    <w:rsid w:val="00680D37"/>
    <w:rsid w:val="00680F77"/>
    <w:rsid w:val="00681087"/>
    <w:rsid w:val="00681088"/>
    <w:rsid w:val="006810CF"/>
    <w:rsid w:val="00681270"/>
    <w:rsid w:val="006812EC"/>
    <w:rsid w:val="006813E0"/>
    <w:rsid w:val="0068170A"/>
    <w:rsid w:val="006817D8"/>
    <w:rsid w:val="0068192A"/>
    <w:rsid w:val="00681B11"/>
    <w:rsid w:val="00681B3B"/>
    <w:rsid w:val="00681C00"/>
    <w:rsid w:val="00681C3F"/>
    <w:rsid w:val="00681E15"/>
    <w:rsid w:val="00681E39"/>
    <w:rsid w:val="00681E73"/>
    <w:rsid w:val="00681EBE"/>
    <w:rsid w:val="00681EDE"/>
    <w:rsid w:val="00681EF5"/>
    <w:rsid w:val="00681F0B"/>
    <w:rsid w:val="006820AC"/>
    <w:rsid w:val="00682124"/>
    <w:rsid w:val="006821F9"/>
    <w:rsid w:val="006822DC"/>
    <w:rsid w:val="0068257E"/>
    <w:rsid w:val="00682721"/>
    <w:rsid w:val="00682802"/>
    <w:rsid w:val="00682841"/>
    <w:rsid w:val="00682884"/>
    <w:rsid w:val="00682965"/>
    <w:rsid w:val="00682AFD"/>
    <w:rsid w:val="00682C64"/>
    <w:rsid w:val="00682CBD"/>
    <w:rsid w:val="00682D95"/>
    <w:rsid w:val="00682F99"/>
    <w:rsid w:val="00682FA5"/>
    <w:rsid w:val="006830B6"/>
    <w:rsid w:val="00683125"/>
    <w:rsid w:val="00683188"/>
    <w:rsid w:val="00683228"/>
    <w:rsid w:val="0068327B"/>
    <w:rsid w:val="006832CD"/>
    <w:rsid w:val="00683633"/>
    <w:rsid w:val="00683732"/>
    <w:rsid w:val="0068382E"/>
    <w:rsid w:val="0068385B"/>
    <w:rsid w:val="00683891"/>
    <w:rsid w:val="00683AF1"/>
    <w:rsid w:val="00683C76"/>
    <w:rsid w:val="00683F3C"/>
    <w:rsid w:val="00684033"/>
    <w:rsid w:val="006841D8"/>
    <w:rsid w:val="0068447D"/>
    <w:rsid w:val="006845B8"/>
    <w:rsid w:val="00684678"/>
    <w:rsid w:val="006846AA"/>
    <w:rsid w:val="00684821"/>
    <w:rsid w:val="00684856"/>
    <w:rsid w:val="006848C7"/>
    <w:rsid w:val="00684AE0"/>
    <w:rsid w:val="00684C3E"/>
    <w:rsid w:val="00684D28"/>
    <w:rsid w:val="00684DEB"/>
    <w:rsid w:val="00685120"/>
    <w:rsid w:val="0068512F"/>
    <w:rsid w:val="00685405"/>
    <w:rsid w:val="006854B2"/>
    <w:rsid w:val="006855CA"/>
    <w:rsid w:val="0068572C"/>
    <w:rsid w:val="006859C4"/>
    <w:rsid w:val="00685AB7"/>
    <w:rsid w:val="00685AF1"/>
    <w:rsid w:val="00685B38"/>
    <w:rsid w:val="00685CB0"/>
    <w:rsid w:val="00685D85"/>
    <w:rsid w:val="00685EB4"/>
    <w:rsid w:val="00686148"/>
    <w:rsid w:val="0068615D"/>
    <w:rsid w:val="0068633F"/>
    <w:rsid w:val="006863B2"/>
    <w:rsid w:val="00686431"/>
    <w:rsid w:val="0068646B"/>
    <w:rsid w:val="006866C6"/>
    <w:rsid w:val="006867A4"/>
    <w:rsid w:val="00686A85"/>
    <w:rsid w:val="00686A95"/>
    <w:rsid w:val="00686AFB"/>
    <w:rsid w:val="00686BE2"/>
    <w:rsid w:val="00686CAE"/>
    <w:rsid w:val="00686D7C"/>
    <w:rsid w:val="00686FDC"/>
    <w:rsid w:val="00686FEE"/>
    <w:rsid w:val="006870A4"/>
    <w:rsid w:val="006870EF"/>
    <w:rsid w:val="00687120"/>
    <w:rsid w:val="0068714A"/>
    <w:rsid w:val="00687199"/>
    <w:rsid w:val="00687247"/>
    <w:rsid w:val="006872E0"/>
    <w:rsid w:val="00687390"/>
    <w:rsid w:val="006873B2"/>
    <w:rsid w:val="006873CE"/>
    <w:rsid w:val="00687457"/>
    <w:rsid w:val="0068749A"/>
    <w:rsid w:val="006878C6"/>
    <w:rsid w:val="00687A36"/>
    <w:rsid w:val="00687AFB"/>
    <w:rsid w:val="00687BA9"/>
    <w:rsid w:val="00687C2A"/>
    <w:rsid w:val="00687E26"/>
    <w:rsid w:val="00687EAF"/>
    <w:rsid w:val="00687F5F"/>
    <w:rsid w:val="00690168"/>
    <w:rsid w:val="00690187"/>
    <w:rsid w:val="006903EC"/>
    <w:rsid w:val="0069051A"/>
    <w:rsid w:val="00690581"/>
    <w:rsid w:val="00690931"/>
    <w:rsid w:val="006909AF"/>
    <w:rsid w:val="00690CA1"/>
    <w:rsid w:val="00690D64"/>
    <w:rsid w:val="00690E2D"/>
    <w:rsid w:val="00690EC8"/>
    <w:rsid w:val="00691081"/>
    <w:rsid w:val="00691296"/>
    <w:rsid w:val="0069137D"/>
    <w:rsid w:val="0069140B"/>
    <w:rsid w:val="00691464"/>
    <w:rsid w:val="00691467"/>
    <w:rsid w:val="00691615"/>
    <w:rsid w:val="006917F0"/>
    <w:rsid w:val="00691A34"/>
    <w:rsid w:val="00691A44"/>
    <w:rsid w:val="00691F41"/>
    <w:rsid w:val="00691F6A"/>
    <w:rsid w:val="00691FE4"/>
    <w:rsid w:val="006920D6"/>
    <w:rsid w:val="00692250"/>
    <w:rsid w:val="006924B6"/>
    <w:rsid w:val="0069258B"/>
    <w:rsid w:val="00692683"/>
    <w:rsid w:val="006928FC"/>
    <w:rsid w:val="0069296A"/>
    <w:rsid w:val="00692992"/>
    <w:rsid w:val="00692AF3"/>
    <w:rsid w:val="00692BCA"/>
    <w:rsid w:val="00692C75"/>
    <w:rsid w:val="00692C7D"/>
    <w:rsid w:val="00692DFE"/>
    <w:rsid w:val="00692E7C"/>
    <w:rsid w:val="00692F93"/>
    <w:rsid w:val="006930BA"/>
    <w:rsid w:val="006930DB"/>
    <w:rsid w:val="00693127"/>
    <w:rsid w:val="0069314C"/>
    <w:rsid w:val="0069328E"/>
    <w:rsid w:val="006932A9"/>
    <w:rsid w:val="006932C1"/>
    <w:rsid w:val="006932D4"/>
    <w:rsid w:val="006932DA"/>
    <w:rsid w:val="00693321"/>
    <w:rsid w:val="00693359"/>
    <w:rsid w:val="00693368"/>
    <w:rsid w:val="00693391"/>
    <w:rsid w:val="006934E1"/>
    <w:rsid w:val="00693731"/>
    <w:rsid w:val="0069374A"/>
    <w:rsid w:val="00693887"/>
    <w:rsid w:val="00693984"/>
    <w:rsid w:val="006939B2"/>
    <w:rsid w:val="00693AC6"/>
    <w:rsid w:val="00693B1F"/>
    <w:rsid w:val="00693BE2"/>
    <w:rsid w:val="00693CBF"/>
    <w:rsid w:val="006940CB"/>
    <w:rsid w:val="0069411B"/>
    <w:rsid w:val="00694250"/>
    <w:rsid w:val="00694377"/>
    <w:rsid w:val="00694465"/>
    <w:rsid w:val="006946D3"/>
    <w:rsid w:val="0069477F"/>
    <w:rsid w:val="00694879"/>
    <w:rsid w:val="00694919"/>
    <w:rsid w:val="006949B7"/>
    <w:rsid w:val="00694B24"/>
    <w:rsid w:val="00694B73"/>
    <w:rsid w:val="00694B9E"/>
    <w:rsid w:val="00694C39"/>
    <w:rsid w:val="00694C6B"/>
    <w:rsid w:val="00694CD2"/>
    <w:rsid w:val="00694E53"/>
    <w:rsid w:val="00694E6E"/>
    <w:rsid w:val="00694EA6"/>
    <w:rsid w:val="00694ED4"/>
    <w:rsid w:val="0069504B"/>
    <w:rsid w:val="00695058"/>
    <w:rsid w:val="0069514E"/>
    <w:rsid w:val="0069519B"/>
    <w:rsid w:val="006954E9"/>
    <w:rsid w:val="0069558F"/>
    <w:rsid w:val="0069575E"/>
    <w:rsid w:val="0069577D"/>
    <w:rsid w:val="006957E1"/>
    <w:rsid w:val="006958A2"/>
    <w:rsid w:val="00695947"/>
    <w:rsid w:val="006959F0"/>
    <w:rsid w:val="00695AA6"/>
    <w:rsid w:val="00695B9F"/>
    <w:rsid w:val="00695BF0"/>
    <w:rsid w:val="00695C42"/>
    <w:rsid w:val="00695C50"/>
    <w:rsid w:val="00695CF2"/>
    <w:rsid w:val="00695D08"/>
    <w:rsid w:val="00695DA6"/>
    <w:rsid w:val="00695DB0"/>
    <w:rsid w:val="00695E4A"/>
    <w:rsid w:val="00695E88"/>
    <w:rsid w:val="00695EF1"/>
    <w:rsid w:val="00695F8A"/>
    <w:rsid w:val="00696039"/>
    <w:rsid w:val="0069607D"/>
    <w:rsid w:val="00696294"/>
    <w:rsid w:val="00696320"/>
    <w:rsid w:val="006964D0"/>
    <w:rsid w:val="006964D6"/>
    <w:rsid w:val="006964E6"/>
    <w:rsid w:val="006964F5"/>
    <w:rsid w:val="006965F1"/>
    <w:rsid w:val="006966AB"/>
    <w:rsid w:val="00696745"/>
    <w:rsid w:val="0069684C"/>
    <w:rsid w:val="0069685C"/>
    <w:rsid w:val="00696886"/>
    <w:rsid w:val="006968A8"/>
    <w:rsid w:val="006968B2"/>
    <w:rsid w:val="00696951"/>
    <w:rsid w:val="00696A03"/>
    <w:rsid w:val="00696AFB"/>
    <w:rsid w:val="00696B3B"/>
    <w:rsid w:val="00696C16"/>
    <w:rsid w:val="00696CDF"/>
    <w:rsid w:val="00696D26"/>
    <w:rsid w:val="00696D39"/>
    <w:rsid w:val="00696D50"/>
    <w:rsid w:val="00696D6B"/>
    <w:rsid w:val="00696D8C"/>
    <w:rsid w:val="0069733F"/>
    <w:rsid w:val="00697398"/>
    <w:rsid w:val="006973AF"/>
    <w:rsid w:val="00697505"/>
    <w:rsid w:val="006976C8"/>
    <w:rsid w:val="00697745"/>
    <w:rsid w:val="00697837"/>
    <w:rsid w:val="00697971"/>
    <w:rsid w:val="00697AC3"/>
    <w:rsid w:val="00697BAB"/>
    <w:rsid w:val="00697C4D"/>
    <w:rsid w:val="00697E50"/>
    <w:rsid w:val="00697E85"/>
    <w:rsid w:val="00697ED9"/>
    <w:rsid w:val="00697EF0"/>
    <w:rsid w:val="00697F18"/>
    <w:rsid w:val="00697FBA"/>
    <w:rsid w:val="006A0007"/>
    <w:rsid w:val="006A001C"/>
    <w:rsid w:val="006A00C2"/>
    <w:rsid w:val="006A0217"/>
    <w:rsid w:val="006A0429"/>
    <w:rsid w:val="006A05AC"/>
    <w:rsid w:val="006A0635"/>
    <w:rsid w:val="006A06C6"/>
    <w:rsid w:val="006A072C"/>
    <w:rsid w:val="006A0768"/>
    <w:rsid w:val="006A081F"/>
    <w:rsid w:val="006A088E"/>
    <w:rsid w:val="006A0A85"/>
    <w:rsid w:val="006A0B2C"/>
    <w:rsid w:val="006A0BDD"/>
    <w:rsid w:val="006A0C19"/>
    <w:rsid w:val="006A0CCF"/>
    <w:rsid w:val="006A0CDC"/>
    <w:rsid w:val="006A0CED"/>
    <w:rsid w:val="006A0D13"/>
    <w:rsid w:val="006A0DDF"/>
    <w:rsid w:val="006A0E04"/>
    <w:rsid w:val="006A0ECB"/>
    <w:rsid w:val="006A0F07"/>
    <w:rsid w:val="006A1061"/>
    <w:rsid w:val="006A10A8"/>
    <w:rsid w:val="006A133D"/>
    <w:rsid w:val="006A136A"/>
    <w:rsid w:val="006A13F7"/>
    <w:rsid w:val="006A1535"/>
    <w:rsid w:val="006A164F"/>
    <w:rsid w:val="006A1668"/>
    <w:rsid w:val="006A169C"/>
    <w:rsid w:val="006A17FF"/>
    <w:rsid w:val="006A18E7"/>
    <w:rsid w:val="006A1EFD"/>
    <w:rsid w:val="006A1F12"/>
    <w:rsid w:val="006A204B"/>
    <w:rsid w:val="006A2122"/>
    <w:rsid w:val="006A215A"/>
    <w:rsid w:val="006A22A2"/>
    <w:rsid w:val="006A2473"/>
    <w:rsid w:val="006A2565"/>
    <w:rsid w:val="006A2593"/>
    <w:rsid w:val="006A25BA"/>
    <w:rsid w:val="006A2613"/>
    <w:rsid w:val="006A2693"/>
    <w:rsid w:val="006A2755"/>
    <w:rsid w:val="006A2980"/>
    <w:rsid w:val="006A29A0"/>
    <w:rsid w:val="006A2BD1"/>
    <w:rsid w:val="006A2BF0"/>
    <w:rsid w:val="006A2C51"/>
    <w:rsid w:val="006A2C5B"/>
    <w:rsid w:val="006A2CF9"/>
    <w:rsid w:val="006A2E28"/>
    <w:rsid w:val="006A2E61"/>
    <w:rsid w:val="006A2EDB"/>
    <w:rsid w:val="006A2F54"/>
    <w:rsid w:val="006A31B6"/>
    <w:rsid w:val="006A321C"/>
    <w:rsid w:val="006A338B"/>
    <w:rsid w:val="006A395C"/>
    <w:rsid w:val="006A3986"/>
    <w:rsid w:val="006A3A10"/>
    <w:rsid w:val="006A3AFB"/>
    <w:rsid w:val="006A3B43"/>
    <w:rsid w:val="006A3BC8"/>
    <w:rsid w:val="006A3CA7"/>
    <w:rsid w:val="006A3D21"/>
    <w:rsid w:val="006A3D84"/>
    <w:rsid w:val="006A426F"/>
    <w:rsid w:val="006A42C0"/>
    <w:rsid w:val="006A44BD"/>
    <w:rsid w:val="006A44EE"/>
    <w:rsid w:val="006A4547"/>
    <w:rsid w:val="006A488B"/>
    <w:rsid w:val="006A4910"/>
    <w:rsid w:val="006A4914"/>
    <w:rsid w:val="006A4A3C"/>
    <w:rsid w:val="006A4C53"/>
    <w:rsid w:val="006A4D2A"/>
    <w:rsid w:val="006A4DBD"/>
    <w:rsid w:val="006A4F4A"/>
    <w:rsid w:val="006A4FD1"/>
    <w:rsid w:val="006A50F5"/>
    <w:rsid w:val="006A51D2"/>
    <w:rsid w:val="006A5258"/>
    <w:rsid w:val="006A5286"/>
    <w:rsid w:val="006A528B"/>
    <w:rsid w:val="006A529F"/>
    <w:rsid w:val="006A52ED"/>
    <w:rsid w:val="006A546C"/>
    <w:rsid w:val="006A54D9"/>
    <w:rsid w:val="006A54E9"/>
    <w:rsid w:val="006A5561"/>
    <w:rsid w:val="006A5633"/>
    <w:rsid w:val="006A5675"/>
    <w:rsid w:val="006A56A5"/>
    <w:rsid w:val="006A5751"/>
    <w:rsid w:val="006A5763"/>
    <w:rsid w:val="006A593A"/>
    <w:rsid w:val="006A5953"/>
    <w:rsid w:val="006A5A04"/>
    <w:rsid w:val="006A5A4F"/>
    <w:rsid w:val="006A5A6D"/>
    <w:rsid w:val="006A5B41"/>
    <w:rsid w:val="006A5B7B"/>
    <w:rsid w:val="006A5BE7"/>
    <w:rsid w:val="006A5DBD"/>
    <w:rsid w:val="006A5E51"/>
    <w:rsid w:val="006A5E82"/>
    <w:rsid w:val="006A5F07"/>
    <w:rsid w:val="006A612D"/>
    <w:rsid w:val="006A61C7"/>
    <w:rsid w:val="006A6234"/>
    <w:rsid w:val="006A62DB"/>
    <w:rsid w:val="006A62E1"/>
    <w:rsid w:val="006A64AC"/>
    <w:rsid w:val="006A66A8"/>
    <w:rsid w:val="006A6725"/>
    <w:rsid w:val="006A6748"/>
    <w:rsid w:val="006A6796"/>
    <w:rsid w:val="006A69FA"/>
    <w:rsid w:val="006A6A6B"/>
    <w:rsid w:val="006A6B0B"/>
    <w:rsid w:val="006A6B68"/>
    <w:rsid w:val="006A6C0B"/>
    <w:rsid w:val="006A6C14"/>
    <w:rsid w:val="006A6CD6"/>
    <w:rsid w:val="006A6D4F"/>
    <w:rsid w:val="006A6D62"/>
    <w:rsid w:val="006A6E54"/>
    <w:rsid w:val="006A6E5A"/>
    <w:rsid w:val="006A6F35"/>
    <w:rsid w:val="006A6FB5"/>
    <w:rsid w:val="006A7151"/>
    <w:rsid w:val="006A71C3"/>
    <w:rsid w:val="006A71C6"/>
    <w:rsid w:val="006A7268"/>
    <w:rsid w:val="006A734E"/>
    <w:rsid w:val="006A7365"/>
    <w:rsid w:val="006A736A"/>
    <w:rsid w:val="006A75C5"/>
    <w:rsid w:val="006A7672"/>
    <w:rsid w:val="006A76E8"/>
    <w:rsid w:val="006A777E"/>
    <w:rsid w:val="006A77CC"/>
    <w:rsid w:val="006A7816"/>
    <w:rsid w:val="006A79F2"/>
    <w:rsid w:val="006A7B17"/>
    <w:rsid w:val="006A7B19"/>
    <w:rsid w:val="006A7BB7"/>
    <w:rsid w:val="006A7C33"/>
    <w:rsid w:val="006A7D75"/>
    <w:rsid w:val="006A7E22"/>
    <w:rsid w:val="006A7EC1"/>
    <w:rsid w:val="006A7F56"/>
    <w:rsid w:val="006B0059"/>
    <w:rsid w:val="006B00A3"/>
    <w:rsid w:val="006B015E"/>
    <w:rsid w:val="006B03B0"/>
    <w:rsid w:val="006B0406"/>
    <w:rsid w:val="006B0714"/>
    <w:rsid w:val="006B07EF"/>
    <w:rsid w:val="006B09D1"/>
    <w:rsid w:val="006B0B17"/>
    <w:rsid w:val="006B1017"/>
    <w:rsid w:val="006B1037"/>
    <w:rsid w:val="006B13AA"/>
    <w:rsid w:val="006B1452"/>
    <w:rsid w:val="006B1461"/>
    <w:rsid w:val="006B14C0"/>
    <w:rsid w:val="006B1708"/>
    <w:rsid w:val="006B1886"/>
    <w:rsid w:val="006B18A7"/>
    <w:rsid w:val="006B18DE"/>
    <w:rsid w:val="006B1B14"/>
    <w:rsid w:val="006B1B93"/>
    <w:rsid w:val="006B1C2C"/>
    <w:rsid w:val="006B1D32"/>
    <w:rsid w:val="006B1EDF"/>
    <w:rsid w:val="006B1FE2"/>
    <w:rsid w:val="006B208C"/>
    <w:rsid w:val="006B2167"/>
    <w:rsid w:val="006B2421"/>
    <w:rsid w:val="006B2604"/>
    <w:rsid w:val="006B263D"/>
    <w:rsid w:val="006B2654"/>
    <w:rsid w:val="006B29C9"/>
    <w:rsid w:val="006B2B02"/>
    <w:rsid w:val="006B2B2B"/>
    <w:rsid w:val="006B2BCD"/>
    <w:rsid w:val="006B302C"/>
    <w:rsid w:val="006B31BF"/>
    <w:rsid w:val="006B3291"/>
    <w:rsid w:val="006B32B5"/>
    <w:rsid w:val="006B3595"/>
    <w:rsid w:val="006B3615"/>
    <w:rsid w:val="006B369D"/>
    <w:rsid w:val="006B3785"/>
    <w:rsid w:val="006B39C2"/>
    <w:rsid w:val="006B39CB"/>
    <w:rsid w:val="006B3A34"/>
    <w:rsid w:val="006B3B8F"/>
    <w:rsid w:val="006B3BE5"/>
    <w:rsid w:val="006B3BED"/>
    <w:rsid w:val="006B3D30"/>
    <w:rsid w:val="006B3D43"/>
    <w:rsid w:val="006B3D9C"/>
    <w:rsid w:val="006B3EF8"/>
    <w:rsid w:val="006B4005"/>
    <w:rsid w:val="006B4023"/>
    <w:rsid w:val="006B40E1"/>
    <w:rsid w:val="006B40F5"/>
    <w:rsid w:val="006B414F"/>
    <w:rsid w:val="006B41D4"/>
    <w:rsid w:val="006B445A"/>
    <w:rsid w:val="006B45A7"/>
    <w:rsid w:val="006B4851"/>
    <w:rsid w:val="006B48A2"/>
    <w:rsid w:val="006B491E"/>
    <w:rsid w:val="006B4964"/>
    <w:rsid w:val="006B4A55"/>
    <w:rsid w:val="006B4AEE"/>
    <w:rsid w:val="006B4B51"/>
    <w:rsid w:val="006B4BCF"/>
    <w:rsid w:val="006B4F2C"/>
    <w:rsid w:val="006B4FB2"/>
    <w:rsid w:val="006B4FB3"/>
    <w:rsid w:val="006B50BD"/>
    <w:rsid w:val="006B5166"/>
    <w:rsid w:val="006B51AA"/>
    <w:rsid w:val="006B51D6"/>
    <w:rsid w:val="006B5212"/>
    <w:rsid w:val="006B5236"/>
    <w:rsid w:val="006B542E"/>
    <w:rsid w:val="006B5495"/>
    <w:rsid w:val="006B54B4"/>
    <w:rsid w:val="006B55EE"/>
    <w:rsid w:val="006B5765"/>
    <w:rsid w:val="006B57B4"/>
    <w:rsid w:val="006B594B"/>
    <w:rsid w:val="006B5A5D"/>
    <w:rsid w:val="006B5B54"/>
    <w:rsid w:val="006B5C7F"/>
    <w:rsid w:val="006B5D99"/>
    <w:rsid w:val="006B5D9A"/>
    <w:rsid w:val="006B5F49"/>
    <w:rsid w:val="006B5F53"/>
    <w:rsid w:val="006B6012"/>
    <w:rsid w:val="006B6038"/>
    <w:rsid w:val="006B6076"/>
    <w:rsid w:val="006B60F3"/>
    <w:rsid w:val="006B610E"/>
    <w:rsid w:val="006B6145"/>
    <w:rsid w:val="006B6218"/>
    <w:rsid w:val="006B6250"/>
    <w:rsid w:val="006B62B2"/>
    <w:rsid w:val="006B64BF"/>
    <w:rsid w:val="006B670D"/>
    <w:rsid w:val="006B675E"/>
    <w:rsid w:val="006B675F"/>
    <w:rsid w:val="006B69F4"/>
    <w:rsid w:val="006B6B17"/>
    <w:rsid w:val="006B6B41"/>
    <w:rsid w:val="006B6C91"/>
    <w:rsid w:val="006B6DA3"/>
    <w:rsid w:val="006B6DCE"/>
    <w:rsid w:val="006B6EA7"/>
    <w:rsid w:val="006B6F76"/>
    <w:rsid w:val="006B702A"/>
    <w:rsid w:val="006B7124"/>
    <w:rsid w:val="006B7359"/>
    <w:rsid w:val="006B738C"/>
    <w:rsid w:val="006B740A"/>
    <w:rsid w:val="006B7427"/>
    <w:rsid w:val="006B748B"/>
    <w:rsid w:val="006B7683"/>
    <w:rsid w:val="006B7772"/>
    <w:rsid w:val="006B778D"/>
    <w:rsid w:val="006B785A"/>
    <w:rsid w:val="006B78BD"/>
    <w:rsid w:val="006B78C8"/>
    <w:rsid w:val="006B78C9"/>
    <w:rsid w:val="006B796A"/>
    <w:rsid w:val="006B7B6C"/>
    <w:rsid w:val="006B7C55"/>
    <w:rsid w:val="006B7C7B"/>
    <w:rsid w:val="006B7DD2"/>
    <w:rsid w:val="006B7E03"/>
    <w:rsid w:val="006B7F71"/>
    <w:rsid w:val="006B7F80"/>
    <w:rsid w:val="006C0009"/>
    <w:rsid w:val="006C00BC"/>
    <w:rsid w:val="006C00D1"/>
    <w:rsid w:val="006C00EC"/>
    <w:rsid w:val="006C01F5"/>
    <w:rsid w:val="006C02AE"/>
    <w:rsid w:val="006C02FD"/>
    <w:rsid w:val="006C032B"/>
    <w:rsid w:val="006C0347"/>
    <w:rsid w:val="006C03A9"/>
    <w:rsid w:val="006C03D2"/>
    <w:rsid w:val="006C04A4"/>
    <w:rsid w:val="006C04B5"/>
    <w:rsid w:val="006C04CC"/>
    <w:rsid w:val="006C0539"/>
    <w:rsid w:val="006C05F4"/>
    <w:rsid w:val="006C05F9"/>
    <w:rsid w:val="006C07C2"/>
    <w:rsid w:val="006C0813"/>
    <w:rsid w:val="006C0866"/>
    <w:rsid w:val="006C0917"/>
    <w:rsid w:val="006C0AC7"/>
    <w:rsid w:val="006C0C19"/>
    <w:rsid w:val="006C0C63"/>
    <w:rsid w:val="006C0E0F"/>
    <w:rsid w:val="006C0F88"/>
    <w:rsid w:val="006C1045"/>
    <w:rsid w:val="006C106C"/>
    <w:rsid w:val="006C10CF"/>
    <w:rsid w:val="006C12AE"/>
    <w:rsid w:val="006C131E"/>
    <w:rsid w:val="006C1461"/>
    <w:rsid w:val="006C1587"/>
    <w:rsid w:val="006C1595"/>
    <w:rsid w:val="006C1819"/>
    <w:rsid w:val="006C1967"/>
    <w:rsid w:val="006C1A4E"/>
    <w:rsid w:val="006C1A81"/>
    <w:rsid w:val="006C1DD2"/>
    <w:rsid w:val="006C1E23"/>
    <w:rsid w:val="006C1ECF"/>
    <w:rsid w:val="006C1F3E"/>
    <w:rsid w:val="006C2144"/>
    <w:rsid w:val="006C225F"/>
    <w:rsid w:val="006C2294"/>
    <w:rsid w:val="006C232C"/>
    <w:rsid w:val="006C25B9"/>
    <w:rsid w:val="006C25D9"/>
    <w:rsid w:val="006C27C2"/>
    <w:rsid w:val="006C2818"/>
    <w:rsid w:val="006C2836"/>
    <w:rsid w:val="006C2956"/>
    <w:rsid w:val="006C29D7"/>
    <w:rsid w:val="006C2C54"/>
    <w:rsid w:val="006C2D66"/>
    <w:rsid w:val="006C2E4F"/>
    <w:rsid w:val="006C2F3D"/>
    <w:rsid w:val="006C2F69"/>
    <w:rsid w:val="006C2F9C"/>
    <w:rsid w:val="006C2FB5"/>
    <w:rsid w:val="006C3023"/>
    <w:rsid w:val="006C3224"/>
    <w:rsid w:val="006C329F"/>
    <w:rsid w:val="006C339B"/>
    <w:rsid w:val="006C3590"/>
    <w:rsid w:val="006C36C4"/>
    <w:rsid w:val="006C3A5F"/>
    <w:rsid w:val="006C3A90"/>
    <w:rsid w:val="006C3E1B"/>
    <w:rsid w:val="006C3E33"/>
    <w:rsid w:val="006C403F"/>
    <w:rsid w:val="006C40A4"/>
    <w:rsid w:val="006C40DE"/>
    <w:rsid w:val="006C41B7"/>
    <w:rsid w:val="006C41F8"/>
    <w:rsid w:val="006C4481"/>
    <w:rsid w:val="006C4538"/>
    <w:rsid w:val="006C45E4"/>
    <w:rsid w:val="006C4661"/>
    <w:rsid w:val="006C47EF"/>
    <w:rsid w:val="006C4C28"/>
    <w:rsid w:val="006C4C59"/>
    <w:rsid w:val="006C4CE7"/>
    <w:rsid w:val="006C4DD4"/>
    <w:rsid w:val="006C4E7A"/>
    <w:rsid w:val="006C4F71"/>
    <w:rsid w:val="006C5101"/>
    <w:rsid w:val="006C5157"/>
    <w:rsid w:val="006C5196"/>
    <w:rsid w:val="006C52FA"/>
    <w:rsid w:val="006C5324"/>
    <w:rsid w:val="006C541B"/>
    <w:rsid w:val="006C541E"/>
    <w:rsid w:val="006C545D"/>
    <w:rsid w:val="006C5476"/>
    <w:rsid w:val="006C54D7"/>
    <w:rsid w:val="006C5554"/>
    <w:rsid w:val="006C55BB"/>
    <w:rsid w:val="006C5818"/>
    <w:rsid w:val="006C583D"/>
    <w:rsid w:val="006C586F"/>
    <w:rsid w:val="006C58AA"/>
    <w:rsid w:val="006C596C"/>
    <w:rsid w:val="006C5A1E"/>
    <w:rsid w:val="006C5A77"/>
    <w:rsid w:val="006C5C5E"/>
    <w:rsid w:val="006C5DDC"/>
    <w:rsid w:val="006C5E78"/>
    <w:rsid w:val="006C5F19"/>
    <w:rsid w:val="006C6043"/>
    <w:rsid w:val="006C60F7"/>
    <w:rsid w:val="006C6117"/>
    <w:rsid w:val="006C6235"/>
    <w:rsid w:val="006C6244"/>
    <w:rsid w:val="006C6348"/>
    <w:rsid w:val="006C6396"/>
    <w:rsid w:val="006C63DD"/>
    <w:rsid w:val="006C643D"/>
    <w:rsid w:val="006C64BF"/>
    <w:rsid w:val="006C652F"/>
    <w:rsid w:val="006C653A"/>
    <w:rsid w:val="006C6549"/>
    <w:rsid w:val="006C65F8"/>
    <w:rsid w:val="006C661A"/>
    <w:rsid w:val="006C676D"/>
    <w:rsid w:val="006C6C17"/>
    <w:rsid w:val="006C6C95"/>
    <w:rsid w:val="006C6D99"/>
    <w:rsid w:val="006C6E4E"/>
    <w:rsid w:val="006C6EBB"/>
    <w:rsid w:val="006C7000"/>
    <w:rsid w:val="006C7061"/>
    <w:rsid w:val="006C709F"/>
    <w:rsid w:val="006C7160"/>
    <w:rsid w:val="006C721D"/>
    <w:rsid w:val="006C728B"/>
    <w:rsid w:val="006C7305"/>
    <w:rsid w:val="006C734D"/>
    <w:rsid w:val="006C7491"/>
    <w:rsid w:val="006C7493"/>
    <w:rsid w:val="006C74CA"/>
    <w:rsid w:val="006C7509"/>
    <w:rsid w:val="006C75D2"/>
    <w:rsid w:val="006C7663"/>
    <w:rsid w:val="006C7675"/>
    <w:rsid w:val="006C7777"/>
    <w:rsid w:val="006C7789"/>
    <w:rsid w:val="006C782E"/>
    <w:rsid w:val="006C78A9"/>
    <w:rsid w:val="006C78E7"/>
    <w:rsid w:val="006C7AA1"/>
    <w:rsid w:val="006C7AF5"/>
    <w:rsid w:val="006C7B16"/>
    <w:rsid w:val="006C7B31"/>
    <w:rsid w:val="006C7B4A"/>
    <w:rsid w:val="006C7CA8"/>
    <w:rsid w:val="006C7D27"/>
    <w:rsid w:val="006C7F16"/>
    <w:rsid w:val="006D0336"/>
    <w:rsid w:val="006D03D6"/>
    <w:rsid w:val="006D0542"/>
    <w:rsid w:val="006D0680"/>
    <w:rsid w:val="006D0821"/>
    <w:rsid w:val="006D099F"/>
    <w:rsid w:val="006D09EE"/>
    <w:rsid w:val="006D0A64"/>
    <w:rsid w:val="006D0C08"/>
    <w:rsid w:val="006D0C11"/>
    <w:rsid w:val="006D0CA2"/>
    <w:rsid w:val="006D0CEB"/>
    <w:rsid w:val="006D0E27"/>
    <w:rsid w:val="006D0E85"/>
    <w:rsid w:val="006D0F3C"/>
    <w:rsid w:val="006D105A"/>
    <w:rsid w:val="006D112B"/>
    <w:rsid w:val="006D1222"/>
    <w:rsid w:val="006D122D"/>
    <w:rsid w:val="006D1253"/>
    <w:rsid w:val="006D12BF"/>
    <w:rsid w:val="006D132E"/>
    <w:rsid w:val="006D134B"/>
    <w:rsid w:val="006D1521"/>
    <w:rsid w:val="006D1576"/>
    <w:rsid w:val="006D1617"/>
    <w:rsid w:val="006D1648"/>
    <w:rsid w:val="006D16FA"/>
    <w:rsid w:val="006D176E"/>
    <w:rsid w:val="006D1846"/>
    <w:rsid w:val="006D18DB"/>
    <w:rsid w:val="006D1909"/>
    <w:rsid w:val="006D1945"/>
    <w:rsid w:val="006D19CE"/>
    <w:rsid w:val="006D1B2E"/>
    <w:rsid w:val="006D1B30"/>
    <w:rsid w:val="006D1C0B"/>
    <w:rsid w:val="006D1C20"/>
    <w:rsid w:val="006D1C67"/>
    <w:rsid w:val="006D1D35"/>
    <w:rsid w:val="006D1D81"/>
    <w:rsid w:val="006D1DF4"/>
    <w:rsid w:val="006D1FBD"/>
    <w:rsid w:val="006D21CE"/>
    <w:rsid w:val="006D247B"/>
    <w:rsid w:val="006D249B"/>
    <w:rsid w:val="006D24EA"/>
    <w:rsid w:val="006D24FB"/>
    <w:rsid w:val="006D25D7"/>
    <w:rsid w:val="006D2615"/>
    <w:rsid w:val="006D27BB"/>
    <w:rsid w:val="006D27C7"/>
    <w:rsid w:val="006D2963"/>
    <w:rsid w:val="006D29C2"/>
    <w:rsid w:val="006D2A92"/>
    <w:rsid w:val="006D2B15"/>
    <w:rsid w:val="006D2BD7"/>
    <w:rsid w:val="006D2C75"/>
    <w:rsid w:val="006D2D10"/>
    <w:rsid w:val="006D2D75"/>
    <w:rsid w:val="006D2F1B"/>
    <w:rsid w:val="006D2F5B"/>
    <w:rsid w:val="006D304E"/>
    <w:rsid w:val="006D3103"/>
    <w:rsid w:val="006D3218"/>
    <w:rsid w:val="006D3286"/>
    <w:rsid w:val="006D3664"/>
    <w:rsid w:val="006D3689"/>
    <w:rsid w:val="006D3917"/>
    <w:rsid w:val="006D3948"/>
    <w:rsid w:val="006D3AC6"/>
    <w:rsid w:val="006D3BCA"/>
    <w:rsid w:val="006D3C3A"/>
    <w:rsid w:val="006D3CEE"/>
    <w:rsid w:val="006D3D1C"/>
    <w:rsid w:val="006D3DF6"/>
    <w:rsid w:val="006D3EA6"/>
    <w:rsid w:val="006D3F36"/>
    <w:rsid w:val="006D3F3D"/>
    <w:rsid w:val="006D407D"/>
    <w:rsid w:val="006D40A3"/>
    <w:rsid w:val="006D40F6"/>
    <w:rsid w:val="006D41D3"/>
    <w:rsid w:val="006D421B"/>
    <w:rsid w:val="006D42A7"/>
    <w:rsid w:val="006D4305"/>
    <w:rsid w:val="006D4482"/>
    <w:rsid w:val="006D450E"/>
    <w:rsid w:val="006D4598"/>
    <w:rsid w:val="006D46C8"/>
    <w:rsid w:val="006D46D2"/>
    <w:rsid w:val="006D47B4"/>
    <w:rsid w:val="006D4848"/>
    <w:rsid w:val="006D48B8"/>
    <w:rsid w:val="006D49DA"/>
    <w:rsid w:val="006D49EE"/>
    <w:rsid w:val="006D4A29"/>
    <w:rsid w:val="006D4A90"/>
    <w:rsid w:val="006D4AFC"/>
    <w:rsid w:val="006D4BB2"/>
    <w:rsid w:val="006D4BF9"/>
    <w:rsid w:val="006D4D36"/>
    <w:rsid w:val="006D4D96"/>
    <w:rsid w:val="006D4DA2"/>
    <w:rsid w:val="006D4EE9"/>
    <w:rsid w:val="006D5115"/>
    <w:rsid w:val="006D5223"/>
    <w:rsid w:val="006D52DE"/>
    <w:rsid w:val="006D52EF"/>
    <w:rsid w:val="006D53B0"/>
    <w:rsid w:val="006D540F"/>
    <w:rsid w:val="006D5548"/>
    <w:rsid w:val="006D567B"/>
    <w:rsid w:val="006D57F7"/>
    <w:rsid w:val="006D5850"/>
    <w:rsid w:val="006D5AC4"/>
    <w:rsid w:val="006D5B44"/>
    <w:rsid w:val="006D5DF6"/>
    <w:rsid w:val="006D5E39"/>
    <w:rsid w:val="006D5EAA"/>
    <w:rsid w:val="006D5EAC"/>
    <w:rsid w:val="006D5EDA"/>
    <w:rsid w:val="006D5FDC"/>
    <w:rsid w:val="006D614F"/>
    <w:rsid w:val="006D6155"/>
    <w:rsid w:val="006D61A0"/>
    <w:rsid w:val="006D61A4"/>
    <w:rsid w:val="006D61C7"/>
    <w:rsid w:val="006D61D1"/>
    <w:rsid w:val="006D61F8"/>
    <w:rsid w:val="006D630E"/>
    <w:rsid w:val="006D64A1"/>
    <w:rsid w:val="006D651B"/>
    <w:rsid w:val="006D65A7"/>
    <w:rsid w:val="006D65D1"/>
    <w:rsid w:val="006D67E1"/>
    <w:rsid w:val="006D6A4E"/>
    <w:rsid w:val="006D6BC0"/>
    <w:rsid w:val="006D6C99"/>
    <w:rsid w:val="006D6E8A"/>
    <w:rsid w:val="006D6FC3"/>
    <w:rsid w:val="006D6FE7"/>
    <w:rsid w:val="006D6FEA"/>
    <w:rsid w:val="006D6FFC"/>
    <w:rsid w:val="006D6FFF"/>
    <w:rsid w:val="006D7193"/>
    <w:rsid w:val="006D734A"/>
    <w:rsid w:val="006D73D1"/>
    <w:rsid w:val="006D75AF"/>
    <w:rsid w:val="006D75B2"/>
    <w:rsid w:val="006D7730"/>
    <w:rsid w:val="006D773C"/>
    <w:rsid w:val="006D7A38"/>
    <w:rsid w:val="006D7CB7"/>
    <w:rsid w:val="006D7E80"/>
    <w:rsid w:val="006D7ECF"/>
    <w:rsid w:val="006E00CA"/>
    <w:rsid w:val="006E018D"/>
    <w:rsid w:val="006E02DF"/>
    <w:rsid w:val="006E0351"/>
    <w:rsid w:val="006E04EC"/>
    <w:rsid w:val="006E059E"/>
    <w:rsid w:val="006E06A7"/>
    <w:rsid w:val="006E06F5"/>
    <w:rsid w:val="006E08C7"/>
    <w:rsid w:val="006E090B"/>
    <w:rsid w:val="006E0A6C"/>
    <w:rsid w:val="006E0B00"/>
    <w:rsid w:val="006E0B7D"/>
    <w:rsid w:val="006E0B87"/>
    <w:rsid w:val="006E0B8C"/>
    <w:rsid w:val="006E0BC4"/>
    <w:rsid w:val="006E0CEB"/>
    <w:rsid w:val="006E0F0A"/>
    <w:rsid w:val="006E0F84"/>
    <w:rsid w:val="006E1291"/>
    <w:rsid w:val="006E12C4"/>
    <w:rsid w:val="006E12F5"/>
    <w:rsid w:val="006E1314"/>
    <w:rsid w:val="006E14C9"/>
    <w:rsid w:val="006E16B3"/>
    <w:rsid w:val="006E1967"/>
    <w:rsid w:val="006E1A5A"/>
    <w:rsid w:val="006E1A89"/>
    <w:rsid w:val="006E1B85"/>
    <w:rsid w:val="006E1BB0"/>
    <w:rsid w:val="006E1BF7"/>
    <w:rsid w:val="006E1D90"/>
    <w:rsid w:val="006E2036"/>
    <w:rsid w:val="006E20DC"/>
    <w:rsid w:val="006E23AA"/>
    <w:rsid w:val="006E24FD"/>
    <w:rsid w:val="006E264B"/>
    <w:rsid w:val="006E265B"/>
    <w:rsid w:val="006E2948"/>
    <w:rsid w:val="006E2D0D"/>
    <w:rsid w:val="006E2E4E"/>
    <w:rsid w:val="006E2F91"/>
    <w:rsid w:val="006E2FEE"/>
    <w:rsid w:val="006E308C"/>
    <w:rsid w:val="006E3227"/>
    <w:rsid w:val="006E333D"/>
    <w:rsid w:val="006E3358"/>
    <w:rsid w:val="006E33AF"/>
    <w:rsid w:val="006E34DC"/>
    <w:rsid w:val="006E356B"/>
    <w:rsid w:val="006E38B2"/>
    <w:rsid w:val="006E395B"/>
    <w:rsid w:val="006E39F2"/>
    <w:rsid w:val="006E3A81"/>
    <w:rsid w:val="006E3ACC"/>
    <w:rsid w:val="006E3B2F"/>
    <w:rsid w:val="006E3C46"/>
    <w:rsid w:val="006E3C6B"/>
    <w:rsid w:val="006E3C8F"/>
    <w:rsid w:val="006E3CA2"/>
    <w:rsid w:val="006E3D48"/>
    <w:rsid w:val="006E3EE9"/>
    <w:rsid w:val="006E4051"/>
    <w:rsid w:val="006E41A9"/>
    <w:rsid w:val="006E428F"/>
    <w:rsid w:val="006E431B"/>
    <w:rsid w:val="006E4368"/>
    <w:rsid w:val="006E44CE"/>
    <w:rsid w:val="006E46DD"/>
    <w:rsid w:val="006E4711"/>
    <w:rsid w:val="006E47A4"/>
    <w:rsid w:val="006E4891"/>
    <w:rsid w:val="006E48CE"/>
    <w:rsid w:val="006E4985"/>
    <w:rsid w:val="006E4987"/>
    <w:rsid w:val="006E49B0"/>
    <w:rsid w:val="006E4A32"/>
    <w:rsid w:val="006E4A67"/>
    <w:rsid w:val="006E4B83"/>
    <w:rsid w:val="006E4BF8"/>
    <w:rsid w:val="006E4C06"/>
    <w:rsid w:val="006E4C61"/>
    <w:rsid w:val="006E4C87"/>
    <w:rsid w:val="006E4D77"/>
    <w:rsid w:val="006E4DEF"/>
    <w:rsid w:val="006E4E15"/>
    <w:rsid w:val="006E4F3D"/>
    <w:rsid w:val="006E5246"/>
    <w:rsid w:val="006E5253"/>
    <w:rsid w:val="006E525B"/>
    <w:rsid w:val="006E529B"/>
    <w:rsid w:val="006E55E7"/>
    <w:rsid w:val="006E5654"/>
    <w:rsid w:val="006E5893"/>
    <w:rsid w:val="006E5B38"/>
    <w:rsid w:val="006E5E09"/>
    <w:rsid w:val="006E5FC5"/>
    <w:rsid w:val="006E5FED"/>
    <w:rsid w:val="006E6006"/>
    <w:rsid w:val="006E60E1"/>
    <w:rsid w:val="006E612A"/>
    <w:rsid w:val="006E659B"/>
    <w:rsid w:val="006E660A"/>
    <w:rsid w:val="006E663D"/>
    <w:rsid w:val="006E6660"/>
    <w:rsid w:val="006E69B2"/>
    <w:rsid w:val="006E6B87"/>
    <w:rsid w:val="006E6C62"/>
    <w:rsid w:val="006E6CD8"/>
    <w:rsid w:val="006E6E3A"/>
    <w:rsid w:val="006E6F79"/>
    <w:rsid w:val="006E7055"/>
    <w:rsid w:val="006E71FD"/>
    <w:rsid w:val="006E71FF"/>
    <w:rsid w:val="006E7247"/>
    <w:rsid w:val="006E7282"/>
    <w:rsid w:val="006E733A"/>
    <w:rsid w:val="006E7438"/>
    <w:rsid w:val="006E7470"/>
    <w:rsid w:val="006E75CA"/>
    <w:rsid w:val="006E78E9"/>
    <w:rsid w:val="006E792C"/>
    <w:rsid w:val="006E797B"/>
    <w:rsid w:val="006E79BD"/>
    <w:rsid w:val="006E79C7"/>
    <w:rsid w:val="006E7A58"/>
    <w:rsid w:val="006E7A61"/>
    <w:rsid w:val="006E7B0A"/>
    <w:rsid w:val="006E7DAE"/>
    <w:rsid w:val="006E7F6C"/>
    <w:rsid w:val="006E7FDF"/>
    <w:rsid w:val="006F007B"/>
    <w:rsid w:val="006F00EC"/>
    <w:rsid w:val="006F022B"/>
    <w:rsid w:val="006F0422"/>
    <w:rsid w:val="006F0553"/>
    <w:rsid w:val="006F05CB"/>
    <w:rsid w:val="006F065C"/>
    <w:rsid w:val="006F0729"/>
    <w:rsid w:val="006F0759"/>
    <w:rsid w:val="006F0872"/>
    <w:rsid w:val="006F096E"/>
    <w:rsid w:val="006F0A9F"/>
    <w:rsid w:val="006F0B63"/>
    <w:rsid w:val="006F0C74"/>
    <w:rsid w:val="006F0D40"/>
    <w:rsid w:val="006F0DE0"/>
    <w:rsid w:val="006F0F30"/>
    <w:rsid w:val="006F115C"/>
    <w:rsid w:val="006F11D3"/>
    <w:rsid w:val="006F11FA"/>
    <w:rsid w:val="006F12DA"/>
    <w:rsid w:val="006F12DE"/>
    <w:rsid w:val="006F12EB"/>
    <w:rsid w:val="006F145A"/>
    <w:rsid w:val="006F151B"/>
    <w:rsid w:val="006F1629"/>
    <w:rsid w:val="006F169A"/>
    <w:rsid w:val="006F16E6"/>
    <w:rsid w:val="006F1817"/>
    <w:rsid w:val="006F184F"/>
    <w:rsid w:val="006F1A25"/>
    <w:rsid w:val="006F1A57"/>
    <w:rsid w:val="006F1A9E"/>
    <w:rsid w:val="006F1B21"/>
    <w:rsid w:val="006F1BF1"/>
    <w:rsid w:val="006F1DF4"/>
    <w:rsid w:val="006F1E32"/>
    <w:rsid w:val="006F1F21"/>
    <w:rsid w:val="006F1F24"/>
    <w:rsid w:val="006F1FF6"/>
    <w:rsid w:val="006F20E7"/>
    <w:rsid w:val="006F2138"/>
    <w:rsid w:val="006F2146"/>
    <w:rsid w:val="006F217A"/>
    <w:rsid w:val="006F2314"/>
    <w:rsid w:val="006F2542"/>
    <w:rsid w:val="006F259C"/>
    <w:rsid w:val="006F26C1"/>
    <w:rsid w:val="006F26D2"/>
    <w:rsid w:val="006F272B"/>
    <w:rsid w:val="006F284F"/>
    <w:rsid w:val="006F2A3C"/>
    <w:rsid w:val="006F2A83"/>
    <w:rsid w:val="006F2B89"/>
    <w:rsid w:val="006F2BD2"/>
    <w:rsid w:val="006F2BF6"/>
    <w:rsid w:val="006F2C9F"/>
    <w:rsid w:val="006F2F3B"/>
    <w:rsid w:val="006F2F5A"/>
    <w:rsid w:val="006F3087"/>
    <w:rsid w:val="006F3244"/>
    <w:rsid w:val="006F32BF"/>
    <w:rsid w:val="006F3363"/>
    <w:rsid w:val="006F3447"/>
    <w:rsid w:val="006F34E4"/>
    <w:rsid w:val="006F35E5"/>
    <w:rsid w:val="006F3773"/>
    <w:rsid w:val="006F3964"/>
    <w:rsid w:val="006F398B"/>
    <w:rsid w:val="006F39FA"/>
    <w:rsid w:val="006F3B04"/>
    <w:rsid w:val="006F3BC3"/>
    <w:rsid w:val="006F3D14"/>
    <w:rsid w:val="006F3D32"/>
    <w:rsid w:val="006F3D64"/>
    <w:rsid w:val="006F3E35"/>
    <w:rsid w:val="006F3E61"/>
    <w:rsid w:val="006F4048"/>
    <w:rsid w:val="006F4068"/>
    <w:rsid w:val="006F40DC"/>
    <w:rsid w:val="006F4152"/>
    <w:rsid w:val="006F415E"/>
    <w:rsid w:val="006F41F6"/>
    <w:rsid w:val="006F4280"/>
    <w:rsid w:val="006F43AF"/>
    <w:rsid w:val="006F4596"/>
    <w:rsid w:val="006F4685"/>
    <w:rsid w:val="006F46F6"/>
    <w:rsid w:val="006F4A02"/>
    <w:rsid w:val="006F4A9D"/>
    <w:rsid w:val="006F4EB9"/>
    <w:rsid w:val="006F4ED1"/>
    <w:rsid w:val="006F4EE5"/>
    <w:rsid w:val="006F4FEB"/>
    <w:rsid w:val="006F5168"/>
    <w:rsid w:val="006F5192"/>
    <w:rsid w:val="006F5294"/>
    <w:rsid w:val="006F55FE"/>
    <w:rsid w:val="006F5688"/>
    <w:rsid w:val="006F56D8"/>
    <w:rsid w:val="006F56E5"/>
    <w:rsid w:val="006F57DE"/>
    <w:rsid w:val="006F57E5"/>
    <w:rsid w:val="006F59BD"/>
    <w:rsid w:val="006F59CE"/>
    <w:rsid w:val="006F5A59"/>
    <w:rsid w:val="006F5B53"/>
    <w:rsid w:val="006F5D2C"/>
    <w:rsid w:val="006F5D50"/>
    <w:rsid w:val="006F5DCB"/>
    <w:rsid w:val="006F5E61"/>
    <w:rsid w:val="006F5E6C"/>
    <w:rsid w:val="006F5EA8"/>
    <w:rsid w:val="006F5EB3"/>
    <w:rsid w:val="006F5F85"/>
    <w:rsid w:val="006F606C"/>
    <w:rsid w:val="006F60E2"/>
    <w:rsid w:val="006F6102"/>
    <w:rsid w:val="006F6282"/>
    <w:rsid w:val="006F63A0"/>
    <w:rsid w:val="006F6482"/>
    <w:rsid w:val="006F6498"/>
    <w:rsid w:val="006F66A9"/>
    <w:rsid w:val="006F67F5"/>
    <w:rsid w:val="006F6A9F"/>
    <w:rsid w:val="006F6AD0"/>
    <w:rsid w:val="006F6AF1"/>
    <w:rsid w:val="006F6B1D"/>
    <w:rsid w:val="006F6B77"/>
    <w:rsid w:val="006F6C9C"/>
    <w:rsid w:val="006F6E1C"/>
    <w:rsid w:val="006F6E2C"/>
    <w:rsid w:val="006F6E32"/>
    <w:rsid w:val="006F6F28"/>
    <w:rsid w:val="006F71AF"/>
    <w:rsid w:val="006F71E4"/>
    <w:rsid w:val="006F7292"/>
    <w:rsid w:val="006F7310"/>
    <w:rsid w:val="006F732F"/>
    <w:rsid w:val="006F7420"/>
    <w:rsid w:val="006F7444"/>
    <w:rsid w:val="006F7472"/>
    <w:rsid w:val="006F7686"/>
    <w:rsid w:val="006F77AC"/>
    <w:rsid w:val="006F77F5"/>
    <w:rsid w:val="006F7951"/>
    <w:rsid w:val="006F7ACA"/>
    <w:rsid w:val="006F7D29"/>
    <w:rsid w:val="006F7EB9"/>
    <w:rsid w:val="006F7F9E"/>
    <w:rsid w:val="007000F1"/>
    <w:rsid w:val="0070018B"/>
    <w:rsid w:val="007001B3"/>
    <w:rsid w:val="007002BF"/>
    <w:rsid w:val="007003B1"/>
    <w:rsid w:val="007007A7"/>
    <w:rsid w:val="007009D2"/>
    <w:rsid w:val="00700A4D"/>
    <w:rsid w:val="00700CBB"/>
    <w:rsid w:val="00700D19"/>
    <w:rsid w:val="00700D98"/>
    <w:rsid w:val="00700DFF"/>
    <w:rsid w:val="00700E99"/>
    <w:rsid w:val="00700EC2"/>
    <w:rsid w:val="0070115E"/>
    <w:rsid w:val="0070130D"/>
    <w:rsid w:val="0070136C"/>
    <w:rsid w:val="007013DB"/>
    <w:rsid w:val="0070154E"/>
    <w:rsid w:val="007015F5"/>
    <w:rsid w:val="007016A2"/>
    <w:rsid w:val="007017C5"/>
    <w:rsid w:val="0070188A"/>
    <w:rsid w:val="00701944"/>
    <w:rsid w:val="00701D17"/>
    <w:rsid w:val="00701D3E"/>
    <w:rsid w:val="00701D75"/>
    <w:rsid w:val="00701DED"/>
    <w:rsid w:val="00701E37"/>
    <w:rsid w:val="00701E7D"/>
    <w:rsid w:val="00701F1E"/>
    <w:rsid w:val="00701FE4"/>
    <w:rsid w:val="00702134"/>
    <w:rsid w:val="0070213B"/>
    <w:rsid w:val="007021EC"/>
    <w:rsid w:val="007021F2"/>
    <w:rsid w:val="0070239A"/>
    <w:rsid w:val="00702494"/>
    <w:rsid w:val="007025C0"/>
    <w:rsid w:val="007026B0"/>
    <w:rsid w:val="007026E1"/>
    <w:rsid w:val="0070284B"/>
    <w:rsid w:val="00702A54"/>
    <w:rsid w:val="00702ACD"/>
    <w:rsid w:val="00702D8C"/>
    <w:rsid w:val="00702DA5"/>
    <w:rsid w:val="00702E9D"/>
    <w:rsid w:val="00702ECD"/>
    <w:rsid w:val="00702F1A"/>
    <w:rsid w:val="00703043"/>
    <w:rsid w:val="00703238"/>
    <w:rsid w:val="0070334F"/>
    <w:rsid w:val="007033BE"/>
    <w:rsid w:val="007034F1"/>
    <w:rsid w:val="00703719"/>
    <w:rsid w:val="0070383A"/>
    <w:rsid w:val="0070386E"/>
    <w:rsid w:val="0070388B"/>
    <w:rsid w:val="00703959"/>
    <w:rsid w:val="007039D7"/>
    <w:rsid w:val="00703B0C"/>
    <w:rsid w:val="00703BDD"/>
    <w:rsid w:val="00703C13"/>
    <w:rsid w:val="00703CFE"/>
    <w:rsid w:val="00703D59"/>
    <w:rsid w:val="00703E87"/>
    <w:rsid w:val="00703EB5"/>
    <w:rsid w:val="00703F34"/>
    <w:rsid w:val="00703F57"/>
    <w:rsid w:val="00703FBB"/>
    <w:rsid w:val="007041CC"/>
    <w:rsid w:val="00704265"/>
    <w:rsid w:val="007043C9"/>
    <w:rsid w:val="0070464D"/>
    <w:rsid w:val="00704721"/>
    <w:rsid w:val="0070472E"/>
    <w:rsid w:val="00704837"/>
    <w:rsid w:val="0070484A"/>
    <w:rsid w:val="00704852"/>
    <w:rsid w:val="00704A00"/>
    <w:rsid w:val="00704A31"/>
    <w:rsid w:val="00704A76"/>
    <w:rsid w:val="00704AB9"/>
    <w:rsid w:val="00704B6E"/>
    <w:rsid w:val="00704D20"/>
    <w:rsid w:val="00704D78"/>
    <w:rsid w:val="00704DA0"/>
    <w:rsid w:val="00704E83"/>
    <w:rsid w:val="00704FEF"/>
    <w:rsid w:val="00705144"/>
    <w:rsid w:val="007051DB"/>
    <w:rsid w:val="00705226"/>
    <w:rsid w:val="007052D5"/>
    <w:rsid w:val="007053D3"/>
    <w:rsid w:val="007054B8"/>
    <w:rsid w:val="00705554"/>
    <w:rsid w:val="007055A9"/>
    <w:rsid w:val="0070577A"/>
    <w:rsid w:val="00705794"/>
    <w:rsid w:val="007057EB"/>
    <w:rsid w:val="00705836"/>
    <w:rsid w:val="00705932"/>
    <w:rsid w:val="00705954"/>
    <w:rsid w:val="0070595B"/>
    <w:rsid w:val="00705A10"/>
    <w:rsid w:val="00705A12"/>
    <w:rsid w:val="00705AA5"/>
    <w:rsid w:val="00705D0C"/>
    <w:rsid w:val="00705D3A"/>
    <w:rsid w:val="00705E99"/>
    <w:rsid w:val="00705EB0"/>
    <w:rsid w:val="00705ECE"/>
    <w:rsid w:val="00705F5D"/>
    <w:rsid w:val="00705FB4"/>
    <w:rsid w:val="007060A1"/>
    <w:rsid w:val="007060C0"/>
    <w:rsid w:val="00706138"/>
    <w:rsid w:val="00706328"/>
    <w:rsid w:val="0070635D"/>
    <w:rsid w:val="00706485"/>
    <w:rsid w:val="007066C9"/>
    <w:rsid w:val="007067A6"/>
    <w:rsid w:val="007067DE"/>
    <w:rsid w:val="00706819"/>
    <w:rsid w:val="00706A10"/>
    <w:rsid w:val="00706A96"/>
    <w:rsid w:val="00706B56"/>
    <w:rsid w:val="00706B7F"/>
    <w:rsid w:val="00706C01"/>
    <w:rsid w:val="00706D4F"/>
    <w:rsid w:val="00706E09"/>
    <w:rsid w:val="00706E2B"/>
    <w:rsid w:val="00706EA3"/>
    <w:rsid w:val="00706F1D"/>
    <w:rsid w:val="00706F38"/>
    <w:rsid w:val="00706FDB"/>
    <w:rsid w:val="007070AE"/>
    <w:rsid w:val="007070E8"/>
    <w:rsid w:val="00707129"/>
    <w:rsid w:val="007072E5"/>
    <w:rsid w:val="00707355"/>
    <w:rsid w:val="00707377"/>
    <w:rsid w:val="0070738B"/>
    <w:rsid w:val="007075D6"/>
    <w:rsid w:val="007076FC"/>
    <w:rsid w:val="00707875"/>
    <w:rsid w:val="007079E0"/>
    <w:rsid w:val="00707B3E"/>
    <w:rsid w:val="00707C4B"/>
    <w:rsid w:val="00707F60"/>
    <w:rsid w:val="00707FC4"/>
    <w:rsid w:val="00710019"/>
    <w:rsid w:val="0071006C"/>
    <w:rsid w:val="00710150"/>
    <w:rsid w:val="00710257"/>
    <w:rsid w:val="007102CC"/>
    <w:rsid w:val="00710601"/>
    <w:rsid w:val="007106C5"/>
    <w:rsid w:val="00710715"/>
    <w:rsid w:val="00710737"/>
    <w:rsid w:val="0071076F"/>
    <w:rsid w:val="00710805"/>
    <w:rsid w:val="007108CD"/>
    <w:rsid w:val="00710B7D"/>
    <w:rsid w:val="00710D65"/>
    <w:rsid w:val="00710DC0"/>
    <w:rsid w:val="00710E3E"/>
    <w:rsid w:val="00710E9C"/>
    <w:rsid w:val="00710EB7"/>
    <w:rsid w:val="00710FD1"/>
    <w:rsid w:val="00710FE7"/>
    <w:rsid w:val="007110B9"/>
    <w:rsid w:val="00711140"/>
    <w:rsid w:val="00711208"/>
    <w:rsid w:val="00711282"/>
    <w:rsid w:val="007112B5"/>
    <w:rsid w:val="007112BF"/>
    <w:rsid w:val="007112CA"/>
    <w:rsid w:val="007112D9"/>
    <w:rsid w:val="00711310"/>
    <w:rsid w:val="0071147A"/>
    <w:rsid w:val="007116F8"/>
    <w:rsid w:val="00711898"/>
    <w:rsid w:val="00711A38"/>
    <w:rsid w:val="00711A62"/>
    <w:rsid w:val="00711B70"/>
    <w:rsid w:val="00711CB9"/>
    <w:rsid w:val="00711CBC"/>
    <w:rsid w:val="00711CE5"/>
    <w:rsid w:val="00711D3D"/>
    <w:rsid w:val="00711E4A"/>
    <w:rsid w:val="00711F28"/>
    <w:rsid w:val="00711FCC"/>
    <w:rsid w:val="007120C8"/>
    <w:rsid w:val="007120CB"/>
    <w:rsid w:val="00712453"/>
    <w:rsid w:val="00712471"/>
    <w:rsid w:val="00712652"/>
    <w:rsid w:val="007126AD"/>
    <w:rsid w:val="00712848"/>
    <w:rsid w:val="00712A17"/>
    <w:rsid w:val="00712A9E"/>
    <w:rsid w:val="00712D5B"/>
    <w:rsid w:val="00712E56"/>
    <w:rsid w:val="00712EB3"/>
    <w:rsid w:val="00712ECF"/>
    <w:rsid w:val="00713138"/>
    <w:rsid w:val="0071313A"/>
    <w:rsid w:val="00713358"/>
    <w:rsid w:val="00713367"/>
    <w:rsid w:val="007133F9"/>
    <w:rsid w:val="00713562"/>
    <w:rsid w:val="007135AD"/>
    <w:rsid w:val="007136DB"/>
    <w:rsid w:val="007137DE"/>
    <w:rsid w:val="0071384F"/>
    <w:rsid w:val="00713852"/>
    <w:rsid w:val="007138C3"/>
    <w:rsid w:val="007138CB"/>
    <w:rsid w:val="00713967"/>
    <w:rsid w:val="00713990"/>
    <w:rsid w:val="007139B8"/>
    <w:rsid w:val="00713A55"/>
    <w:rsid w:val="00713A6D"/>
    <w:rsid w:val="00713C19"/>
    <w:rsid w:val="00713DAF"/>
    <w:rsid w:val="00713FC2"/>
    <w:rsid w:val="007140F2"/>
    <w:rsid w:val="00714121"/>
    <w:rsid w:val="007141FA"/>
    <w:rsid w:val="007142BB"/>
    <w:rsid w:val="00714378"/>
    <w:rsid w:val="007143BE"/>
    <w:rsid w:val="007143CE"/>
    <w:rsid w:val="00714746"/>
    <w:rsid w:val="00714906"/>
    <w:rsid w:val="00714A73"/>
    <w:rsid w:val="00714C16"/>
    <w:rsid w:val="00714D33"/>
    <w:rsid w:val="00714E9F"/>
    <w:rsid w:val="00714EE7"/>
    <w:rsid w:val="00714FB9"/>
    <w:rsid w:val="007150FB"/>
    <w:rsid w:val="0071516A"/>
    <w:rsid w:val="00715237"/>
    <w:rsid w:val="00715241"/>
    <w:rsid w:val="007152F2"/>
    <w:rsid w:val="007155BB"/>
    <w:rsid w:val="0071566E"/>
    <w:rsid w:val="00715686"/>
    <w:rsid w:val="007157CC"/>
    <w:rsid w:val="00715832"/>
    <w:rsid w:val="00715AAC"/>
    <w:rsid w:val="00715AB8"/>
    <w:rsid w:val="00715B0E"/>
    <w:rsid w:val="00715DB2"/>
    <w:rsid w:val="00715ECD"/>
    <w:rsid w:val="00715EE3"/>
    <w:rsid w:val="00715F75"/>
    <w:rsid w:val="00716020"/>
    <w:rsid w:val="007160C4"/>
    <w:rsid w:val="00716152"/>
    <w:rsid w:val="007161E4"/>
    <w:rsid w:val="007162B6"/>
    <w:rsid w:val="00716414"/>
    <w:rsid w:val="0071647B"/>
    <w:rsid w:val="0071648B"/>
    <w:rsid w:val="007164D3"/>
    <w:rsid w:val="0071657D"/>
    <w:rsid w:val="007165AA"/>
    <w:rsid w:val="007165EA"/>
    <w:rsid w:val="0071679C"/>
    <w:rsid w:val="007167A9"/>
    <w:rsid w:val="007168A4"/>
    <w:rsid w:val="00716AF5"/>
    <w:rsid w:val="00716C5B"/>
    <w:rsid w:val="00716F28"/>
    <w:rsid w:val="00716FDA"/>
    <w:rsid w:val="0071723F"/>
    <w:rsid w:val="00717398"/>
    <w:rsid w:val="007173AA"/>
    <w:rsid w:val="007173C8"/>
    <w:rsid w:val="00717415"/>
    <w:rsid w:val="00717448"/>
    <w:rsid w:val="007175D8"/>
    <w:rsid w:val="0071766A"/>
    <w:rsid w:val="0071774B"/>
    <w:rsid w:val="007177C4"/>
    <w:rsid w:val="00717867"/>
    <w:rsid w:val="00717868"/>
    <w:rsid w:val="007178B1"/>
    <w:rsid w:val="00717969"/>
    <w:rsid w:val="00717AE3"/>
    <w:rsid w:val="00717B28"/>
    <w:rsid w:val="00717B2C"/>
    <w:rsid w:val="00717D2E"/>
    <w:rsid w:val="00717D39"/>
    <w:rsid w:val="00717DA3"/>
    <w:rsid w:val="00717DC4"/>
    <w:rsid w:val="00717E67"/>
    <w:rsid w:val="00717E78"/>
    <w:rsid w:val="00717EEB"/>
    <w:rsid w:val="00717F04"/>
    <w:rsid w:val="00717F88"/>
    <w:rsid w:val="00720017"/>
    <w:rsid w:val="007200C9"/>
    <w:rsid w:val="0072029C"/>
    <w:rsid w:val="007202C3"/>
    <w:rsid w:val="007202EE"/>
    <w:rsid w:val="0072033A"/>
    <w:rsid w:val="00720379"/>
    <w:rsid w:val="00720454"/>
    <w:rsid w:val="007204DF"/>
    <w:rsid w:val="00720522"/>
    <w:rsid w:val="00720933"/>
    <w:rsid w:val="007209B9"/>
    <w:rsid w:val="00720A66"/>
    <w:rsid w:val="00720AF2"/>
    <w:rsid w:val="00720D16"/>
    <w:rsid w:val="00720D4E"/>
    <w:rsid w:val="00720DB3"/>
    <w:rsid w:val="00720DE4"/>
    <w:rsid w:val="00720DF3"/>
    <w:rsid w:val="0072100A"/>
    <w:rsid w:val="007210DF"/>
    <w:rsid w:val="007212A2"/>
    <w:rsid w:val="007212FD"/>
    <w:rsid w:val="007213DA"/>
    <w:rsid w:val="00721435"/>
    <w:rsid w:val="00721578"/>
    <w:rsid w:val="007216B0"/>
    <w:rsid w:val="00721786"/>
    <w:rsid w:val="00721909"/>
    <w:rsid w:val="007219E7"/>
    <w:rsid w:val="00721A80"/>
    <w:rsid w:val="00721BC1"/>
    <w:rsid w:val="00721D21"/>
    <w:rsid w:val="00721D9A"/>
    <w:rsid w:val="00721D9C"/>
    <w:rsid w:val="00721DB4"/>
    <w:rsid w:val="00721EAE"/>
    <w:rsid w:val="007221F1"/>
    <w:rsid w:val="00722210"/>
    <w:rsid w:val="00722262"/>
    <w:rsid w:val="007222BC"/>
    <w:rsid w:val="0072231F"/>
    <w:rsid w:val="00722352"/>
    <w:rsid w:val="00722371"/>
    <w:rsid w:val="007224B3"/>
    <w:rsid w:val="0072250A"/>
    <w:rsid w:val="00722579"/>
    <w:rsid w:val="007226F1"/>
    <w:rsid w:val="00722821"/>
    <w:rsid w:val="0072291C"/>
    <w:rsid w:val="00722970"/>
    <w:rsid w:val="00722A05"/>
    <w:rsid w:val="00722A0E"/>
    <w:rsid w:val="00722A25"/>
    <w:rsid w:val="00722A7C"/>
    <w:rsid w:val="00722AD4"/>
    <w:rsid w:val="00722D97"/>
    <w:rsid w:val="00722F19"/>
    <w:rsid w:val="00723007"/>
    <w:rsid w:val="007230BE"/>
    <w:rsid w:val="007234F5"/>
    <w:rsid w:val="00723557"/>
    <w:rsid w:val="00723619"/>
    <w:rsid w:val="00723745"/>
    <w:rsid w:val="007239C5"/>
    <w:rsid w:val="00723ADB"/>
    <w:rsid w:val="00723ADC"/>
    <w:rsid w:val="00723B87"/>
    <w:rsid w:val="00723CF3"/>
    <w:rsid w:val="00723CF6"/>
    <w:rsid w:val="00723D50"/>
    <w:rsid w:val="00723DD3"/>
    <w:rsid w:val="00723E1F"/>
    <w:rsid w:val="00723E3F"/>
    <w:rsid w:val="00723FA1"/>
    <w:rsid w:val="00723FEA"/>
    <w:rsid w:val="00724132"/>
    <w:rsid w:val="007241FF"/>
    <w:rsid w:val="00724354"/>
    <w:rsid w:val="007244C6"/>
    <w:rsid w:val="007244C9"/>
    <w:rsid w:val="00724678"/>
    <w:rsid w:val="0072483A"/>
    <w:rsid w:val="00724885"/>
    <w:rsid w:val="00724974"/>
    <w:rsid w:val="00724A9C"/>
    <w:rsid w:val="00724B5E"/>
    <w:rsid w:val="00724EB1"/>
    <w:rsid w:val="00725007"/>
    <w:rsid w:val="0072500A"/>
    <w:rsid w:val="0072523F"/>
    <w:rsid w:val="00725297"/>
    <w:rsid w:val="007254FA"/>
    <w:rsid w:val="00725539"/>
    <w:rsid w:val="00725689"/>
    <w:rsid w:val="00725759"/>
    <w:rsid w:val="00725A83"/>
    <w:rsid w:val="00725BAB"/>
    <w:rsid w:val="00725C7D"/>
    <w:rsid w:val="00725E8B"/>
    <w:rsid w:val="00725F02"/>
    <w:rsid w:val="00725F93"/>
    <w:rsid w:val="00725FB5"/>
    <w:rsid w:val="0072611A"/>
    <w:rsid w:val="0072614C"/>
    <w:rsid w:val="00726155"/>
    <w:rsid w:val="00726239"/>
    <w:rsid w:val="0072638C"/>
    <w:rsid w:val="00726570"/>
    <w:rsid w:val="0072668D"/>
    <w:rsid w:val="00726730"/>
    <w:rsid w:val="00726764"/>
    <w:rsid w:val="0072676B"/>
    <w:rsid w:val="0072677F"/>
    <w:rsid w:val="007267E8"/>
    <w:rsid w:val="0072686C"/>
    <w:rsid w:val="00726BC7"/>
    <w:rsid w:val="00726E36"/>
    <w:rsid w:val="00726EA4"/>
    <w:rsid w:val="00727046"/>
    <w:rsid w:val="0072709D"/>
    <w:rsid w:val="007270B4"/>
    <w:rsid w:val="007271DF"/>
    <w:rsid w:val="0072751C"/>
    <w:rsid w:val="007276D0"/>
    <w:rsid w:val="007277B0"/>
    <w:rsid w:val="0072787E"/>
    <w:rsid w:val="007279F2"/>
    <w:rsid w:val="00727A52"/>
    <w:rsid w:val="00727B47"/>
    <w:rsid w:val="00727CF0"/>
    <w:rsid w:val="00727D65"/>
    <w:rsid w:val="00727F1E"/>
    <w:rsid w:val="00730015"/>
    <w:rsid w:val="007300F6"/>
    <w:rsid w:val="0073013E"/>
    <w:rsid w:val="007301F2"/>
    <w:rsid w:val="007304CE"/>
    <w:rsid w:val="00730505"/>
    <w:rsid w:val="00730617"/>
    <w:rsid w:val="00730680"/>
    <w:rsid w:val="0073070F"/>
    <w:rsid w:val="007307C0"/>
    <w:rsid w:val="00730929"/>
    <w:rsid w:val="00730A84"/>
    <w:rsid w:val="00730C34"/>
    <w:rsid w:val="00730E86"/>
    <w:rsid w:val="00730EFC"/>
    <w:rsid w:val="00730FC8"/>
    <w:rsid w:val="00731081"/>
    <w:rsid w:val="00731218"/>
    <w:rsid w:val="0073121D"/>
    <w:rsid w:val="0073124E"/>
    <w:rsid w:val="00731357"/>
    <w:rsid w:val="00731370"/>
    <w:rsid w:val="00731751"/>
    <w:rsid w:val="0073185F"/>
    <w:rsid w:val="00731915"/>
    <w:rsid w:val="00731939"/>
    <w:rsid w:val="00731A5D"/>
    <w:rsid w:val="00731DA4"/>
    <w:rsid w:val="00731E7A"/>
    <w:rsid w:val="00731E7B"/>
    <w:rsid w:val="00732040"/>
    <w:rsid w:val="007320F1"/>
    <w:rsid w:val="0073219E"/>
    <w:rsid w:val="0073221E"/>
    <w:rsid w:val="0073225D"/>
    <w:rsid w:val="00732277"/>
    <w:rsid w:val="00732380"/>
    <w:rsid w:val="00732428"/>
    <w:rsid w:val="0073245E"/>
    <w:rsid w:val="0073252C"/>
    <w:rsid w:val="00732853"/>
    <w:rsid w:val="00732968"/>
    <w:rsid w:val="00732AE1"/>
    <w:rsid w:val="00732B0C"/>
    <w:rsid w:val="00732B32"/>
    <w:rsid w:val="00732B79"/>
    <w:rsid w:val="00732B96"/>
    <w:rsid w:val="00732BDF"/>
    <w:rsid w:val="00732D27"/>
    <w:rsid w:val="00732D45"/>
    <w:rsid w:val="00732F84"/>
    <w:rsid w:val="0073302C"/>
    <w:rsid w:val="007330B1"/>
    <w:rsid w:val="00733165"/>
    <w:rsid w:val="00733261"/>
    <w:rsid w:val="00733381"/>
    <w:rsid w:val="0073351C"/>
    <w:rsid w:val="00733665"/>
    <w:rsid w:val="00733713"/>
    <w:rsid w:val="007337D9"/>
    <w:rsid w:val="0073387A"/>
    <w:rsid w:val="00733889"/>
    <w:rsid w:val="007339B3"/>
    <w:rsid w:val="00733A69"/>
    <w:rsid w:val="00733BA0"/>
    <w:rsid w:val="00733BAD"/>
    <w:rsid w:val="00733EBD"/>
    <w:rsid w:val="00733F00"/>
    <w:rsid w:val="00733FF4"/>
    <w:rsid w:val="0073401F"/>
    <w:rsid w:val="0073418E"/>
    <w:rsid w:val="007342D5"/>
    <w:rsid w:val="007344A0"/>
    <w:rsid w:val="007344B0"/>
    <w:rsid w:val="00734619"/>
    <w:rsid w:val="00734696"/>
    <w:rsid w:val="00734735"/>
    <w:rsid w:val="00734758"/>
    <w:rsid w:val="007347A5"/>
    <w:rsid w:val="00734A76"/>
    <w:rsid w:val="00734A8D"/>
    <w:rsid w:val="00734B08"/>
    <w:rsid w:val="00734C40"/>
    <w:rsid w:val="00734D93"/>
    <w:rsid w:val="00734DBD"/>
    <w:rsid w:val="00734DBE"/>
    <w:rsid w:val="00734E0C"/>
    <w:rsid w:val="00734F6F"/>
    <w:rsid w:val="00734F92"/>
    <w:rsid w:val="00735000"/>
    <w:rsid w:val="00735057"/>
    <w:rsid w:val="00735114"/>
    <w:rsid w:val="0073521A"/>
    <w:rsid w:val="00735276"/>
    <w:rsid w:val="0073527D"/>
    <w:rsid w:val="0073529C"/>
    <w:rsid w:val="00735367"/>
    <w:rsid w:val="007353E3"/>
    <w:rsid w:val="0073553A"/>
    <w:rsid w:val="00735569"/>
    <w:rsid w:val="007356FD"/>
    <w:rsid w:val="00735752"/>
    <w:rsid w:val="007357C9"/>
    <w:rsid w:val="0073582A"/>
    <w:rsid w:val="00735A07"/>
    <w:rsid w:val="00735A3F"/>
    <w:rsid w:val="00735B01"/>
    <w:rsid w:val="00735BA6"/>
    <w:rsid w:val="00735C1B"/>
    <w:rsid w:val="00735CAF"/>
    <w:rsid w:val="00735CF6"/>
    <w:rsid w:val="00735F3F"/>
    <w:rsid w:val="007360AD"/>
    <w:rsid w:val="007361A1"/>
    <w:rsid w:val="007361F7"/>
    <w:rsid w:val="00736236"/>
    <w:rsid w:val="0073633D"/>
    <w:rsid w:val="0073635A"/>
    <w:rsid w:val="00736374"/>
    <w:rsid w:val="0073644E"/>
    <w:rsid w:val="00736503"/>
    <w:rsid w:val="00736632"/>
    <w:rsid w:val="0073663E"/>
    <w:rsid w:val="00736648"/>
    <w:rsid w:val="00736653"/>
    <w:rsid w:val="0073677A"/>
    <w:rsid w:val="00736830"/>
    <w:rsid w:val="00736954"/>
    <w:rsid w:val="00736A3F"/>
    <w:rsid w:val="00736A70"/>
    <w:rsid w:val="00736AE1"/>
    <w:rsid w:val="00736B4F"/>
    <w:rsid w:val="00736B55"/>
    <w:rsid w:val="00736B86"/>
    <w:rsid w:val="00736BC8"/>
    <w:rsid w:val="00736BEE"/>
    <w:rsid w:val="00736C29"/>
    <w:rsid w:val="00736D3B"/>
    <w:rsid w:val="00736DD0"/>
    <w:rsid w:val="00736DE5"/>
    <w:rsid w:val="00737033"/>
    <w:rsid w:val="007371DF"/>
    <w:rsid w:val="0073737A"/>
    <w:rsid w:val="007373D4"/>
    <w:rsid w:val="007374FB"/>
    <w:rsid w:val="00737571"/>
    <w:rsid w:val="0073758F"/>
    <w:rsid w:val="0073765E"/>
    <w:rsid w:val="007376E8"/>
    <w:rsid w:val="007377C0"/>
    <w:rsid w:val="00737850"/>
    <w:rsid w:val="007378CB"/>
    <w:rsid w:val="007379EE"/>
    <w:rsid w:val="00737C3B"/>
    <w:rsid w:val="00737C8D"/>
    <w:rsid w:val="00737DC8"/>
    <w:rsid w:val="00737DDD"/>
    <w:rsid w:val="00737F09"/>
    <w:rsid w:val="007401CF"/>
    <w:rsid w:val="00740270"/>
    <w:rsid w:val="00740312"/>
    <w:rsid w:val="0074033C"/>
    <w:rsid w:val="00740343"/>
    <w:rsid w:val="0074040D"/>
    <w:rsid w:val="00740440"/>
    <w:rsid w:val="0074055F"/>
    <w:rsid w:val="00740645"/>
    <w:rsid w:val="00740682"/>
    <w:rsid w:val="007406AA"/>
    <w:rsid w:val="0074071F"/>
    <w:rsid w:val="007407BE"/>
    <w:rsid w:val="00740899"/>
    <w:rsid w:val="00740BCD"/>
    <w:rsid w:val="00740C14"/>
    <w:rsid w:val="00740D98"/>
    <w:rsid w:val="00740DBF"/>
    <w:rsid w:val="00740DF8"/>
    <w:rsid w:val="007411E0"/>
    <w:rsid w:val="0074121C"/>
    <w:rsid w:val="0074127A"/>
    <w:rsid w:val="0074136B"/>
    <w:rsid w:val="0074144A"/>
    <w:rsid w:val="00741576"/>
    <w:rsid w:val="007415CA"/>
    <w:rsid w:val="007416AA"/>
    <w:rsid w:val="007417A7"/>
    <w:rsid w:val="007417C7"/>
    <w:rsid w:val="007417DE"/>
    <w:rsid w:val="00741866"/>
    <w:rsid w:val="0074189E"/>
    <w:rsid w:val="00741FCF"/>
    <w:rsid w:val="007421DE"/>
    <w:rsid w:val="007422A1"/>
    <w:rsid w:val="0074247F"/>
    <w:rsid w:val="00742557"/>
    <w:rsid w:val="00742623"/>
    <w:rsid w:val="00742679"/>
    <w:rsid w:val="007426B2"/>
    <w:rsid w:val="00742917"/>
    <w:rsid w:val="007429EB"/>
    <w:rsid w:val="00742A31"/>
    <w:rsid w:val="00742A7D"/>
    <w:rsid w:val="00742B05"/>
    <w:rsid w:val="00742B9D"/>
    <w:rsid w:val="00742BB6"/>
    <w:rsid w:val="00742BFB"/>
    <w:rsid w:val="00742C06"/>
    <w:rsid w:val="00742C16"/>
    <w:rsid w:val="00742C3A"/>
    <w:rsid w:val="00742C78"/>
    <w:rsid w:val="00742D10"/>
    <w:rsid w:val="00742E22"/>
    <w:rsid w:val="00742EE6"/>
    <w:rsid w:val="00742EFE"/>
    <w:rsid w:val="00742F57"/>
    <w:rsid w:val="00743130"/>
    <w:rsid w:val="007431D2"/>
    <w:rsid w:val="00743235"/>
    <w:rsid w:val="0074327E"/>
    <w:rsid w:val="00743315"/>
    <w:rsid w:val="0074347B"/>
    <w:rsid w:val="00743621"/>
    <w:rsid w:val="00743885"/>
    <w:rsid w:val="0074393B"/>
    <w:rsid w:val="00743AAF"/>
    <w:rsid w:val="00743C6B"/>
    <w:rsid w:val="00743D39"/>
    <w:rsid w:val="00743D3F"/>
    <w:rsid w:val="00743EAE"/>
    <w:rsid w:val="00744048"/>
    <w:rsid w:val="0074406E"/>
    <w:rsid w:val="00744349"/>
    <w:rsid w:val="007443D4"/>
    <w:rsid w:val="00744470"/>
    <w:rsid w:val="00744512"/>
    <w:rsid w:val="007447E7"/>
    <w:rsid w:val="007448DC"/>
    <w:rsid w:val="007448FE"/>
    <w:rsid w:val="0074498A"/>
    <w:rsid w:val="00744A26"/>
    <w:rsid w:val="00744A3E"/>
    <w:rsid w:val="00744AA4"/>
    <w:rsid w:val="00744C06"/>
    <w:rsid w:val="00744CD4"/>
    <w:rsid w:val="00744E5C"/>
    <w:rsid w:val="00744E75"/>
    <w:rsid w:val="00744E8F"/>
    <w:rsid w:val="00744E9F"/>
    <w:rsid w:val="00744F06"/>
    <w:rsid w:val="00744F2D"/>
    <w:rsid w:val="00744F61"/>
    <w:rsid w:val="00744F8E"/>
    <w:rsid w:val="00745324"/>
    <w:rsid w:val="007453B6"/>
    <w:rsid w:val="007453D6"/>
    <w:rsid w:val="0074550E"/>
    <w:rsid w:val="0074555B"/>
    <w:rsid w:val="00745765"/>
    <w:rsid w:val="0074578B"/>
    <w:rsid w:val="007457A3"/>
    <w:rsid w:val="007457BE"/>
    <w:rsid w:val="007458BF"/>
    <w:rsid w:val="00745AF1"/>
    <w:rsid w:val="00745CA4"/>
    <w:rsid w:val="00745F41"/>
    <w:rsid w:val="00745FFD"/>
    <w:rsid w:val="0074600C"/>
    <w:rsid w:val="007460EA"/>
    <w:rsid w:val="00746155"/>
    <w:rsid w:val="007461FD"/>
    <w:rsid w:val="007462CD"/>
    <w:rsid w:val="00746316"/>
    <w:rsid w:val="00746362"/>
    <w:rsid w:val="00746415"/>
    <w:rsid w:val="007464DD"/>
    <w:rsid w:val="0074653B"/>
    <w:rsid w:val="00746712"/>
    <w:rsid w:val="00746738"/>
    <w:rsid w:val="007467D0"/>
    <w:rsid w:val="007468D5"/>
    <w:rsid w:val="007469FF"/>
    <w:rsid w:val="00746B3C"/>
    <w:rsid w:val="00746C39"/>
    <w:rsid w:val="00746C8C"/>
    <w:rsid w:val="00746CB3"/>
    <w:rsid w:val="00746D06"/>
    <w:rsid w:val="00746D90"/>
    <w:rsid w:val="00746DA6"/>
    <w:rsid w:val="00746E1B"/>
    <w:rsid w:val="00746F3F"/>
    <w:rsid w:val="007470A7"/>
    <w:rsid w:val="0074772A"/>
    <w:rsid w:val="007477AD"/>
    <w:rsid w:val="0074780A"/>
    <w:rsid w:val="0074785B"/>
    <w:rsid w:val="0074790B"/>
    <w:rsid w:val="0074791F"/>
    <w:rsid w:val="00747AAD"/>
    <w:rsid w:val="00747AB9"/>
    <w:rsid w:val="00747AFB"/>
    <w:rsid w:val="00747D16"/>
    <w:rsid w:val="00747E13"/>
    <w:rsid w:val="00747E9A"/>
    <w:rsid w:val="00747EA8"/>
    <w:rsid w:val="00747F12"/>
    <w:rsid w:val="00750123"/>
    <w:rsid w:val="00750351"/>
    <w:rsid w:val="0075038D"/>
    <w:rsid w:val="007503D5"/>
    <w:rsid w:val="00750416"/>
    <w:rsid w:val="00750550"/>
    <w:rsid w:val="00750600"/>
    <w:rsid w:val="007506E8"/>
    <w:rsid w:val="00750715"/>
    <w:rsid w:val="007509F9"/>
    <w:rsid w:val="00750AAC"/>
    <w:rsid w:val="00750B6B"/>
    <w:rsid w:val="00750B8B"/>
    <w:rsid w:val="00750BE8"/>
    <w:rsid w:val="00750C32"/>
    <w:rsid w:val="00750CF7"/>
    <w:rsid w:val="00750E37"/>
    <w:rsid w:val="00750EEA"/>
    <w:rsid w:val="00751043"/>
    <w:rsid w:val="007510F9"/>
    <w:rsid w:val="0075119D"/>
    <w:rsid w:val="007511B3"/>
    <w:rsid w:val="0075145A"/>
    <w:rsid w:val="00751596"/>
    <w:rsid w:val="007515DF"/>
    <w:rsid w:val="00751750"/>
    <w:rsid w:val="00751796"/>
    <w:rsid w:val="007517B7"/>
    <w:rsid w:val="007517FE"/>
    <w:rsid w:val="0075183A"/>
    <w:rsid w:val="00751854"/>
    <w:rsid w:val="0075194A"/>
    <w:rsid w:val="0075199B"/>
    <w:rsid w:val="007519CF"/>
    <w:rsid w:val="00751AEB"/>
    <w:rsid w:val="00751D15"/>
    <w:rsid w:val="00751E34"/>
    <w:rsid w:val="00751EBB"/>
    <w:rsid w:val="00751F27"/>
    <w:rsid w:val="00751F8B"/>
    <w:rsid w:val="007520A6"/>
    <w:rsid w:val="00752274"/>
    <w:rsid w:val="00752284"/>
    <w:rsid w:val="007522A2"/>
    <w:rsid w:val="007523D0"/>
    <w:rsid w:val="00752440"/>
    <w:rsid w:val="007524E1"/>
    <w:rsid w:val="00752541"/>
    <w:rsid w:val="007528E7"/>
    <w:rsid w:val="007529E1"/>
    <w:rsid w:val="00752A22"/>
    <w:rsid w:val="00752ABE"/>
    <w:rsid w:val="00752B34"/>
    <w:rsid w:val="00752C0F"/>
    <w:rsid w:val="00752D87"/>
    <w:rsid w:val="00752E2F"/>
    <w:rsid w:val="0075329C"/>
    <w:rsid w:val="0075336C"/>
    <w:rsid w:val="007533A5"/>
    <w:rsid w:val="00753523"/>
    <w:rsid w:val="00753538"/>
    <w:rsid w:val="007535DB"/>
    <w:rsid w:val="007536EF"/>
    <w:rsid w:val="0075384F"/>
    <w:rsid w:val="007539CE"/>
    <w:rsid w:val="00753ADB"/>
    <w:rsid w:val="00753B65"/>
    <w:rsid w:val="00753C42"/>
    <w:rsid w:val="00753C60"/>
    <w:rsid w:val="00753C71"/>
    <w:rsid w:val="00753CA7"/>
    <w:rsid w:val="00753E08"/>
    <w:rsid w:val="00753E5D"/>
    <w:rsid w:val="00753F09"/>
    <w:rsid w:val="00753F61"/>
    <w:rsid w:val="00753F6C"/>
    <w:rsid w:val="00754231"/>
    <w:rsid w:val="0075447E"/>
    <w:rsid w:val="00754487"/>
    <w:rsid w:val="0075468D"/>
    <w:rsid w:val="007547DF"/>
    <w:rsid w:val="0075487E"/>
    <w:rsid w:val="007548CA"/>
    <w:rsid w:val="00754917"/>
    <w:rsid w:val="0075491F"/>
    <w:rsid w:val="00754AAD"/>
    <w:rsid w:val="00754C99"/>
    <w:rsid w:val="00754D58"/>
    <w:rsid w:val="00754EA0"/>
    <w:rsid w:val="0075508C"/>
    <w:rsid w:val="007550E3"/>
    <w:rsid w:val="007552A0"/>
    <w:rsid w:val="007553CE"/>
    <w:rsid w:val="007554A9"/>
    <w:rsid w:val="007555DC"/>
    <w:rsid w:val="00755605"/>
    <w:rsid w:val="007556E6"/>
    <w:rsid w:val="007557BF"/>
    <w:rsid w:val="00755A5B"/>
    <w:rsid w:val="00755AED"/>
    <w:rsid w:val="00755B17"/>
    <w:rsid w:val="00755C5A"/>
    <w:rsid w:val="00755F45"/>
    <w:rsid w:val="00755F5D"/>
    <w:rsid w:val="007560D0"/>
    <w:rsid w:val="00756125"/>
    <w:rsid w:val="00756191"/>
    <w:rsid w:val="007561C0"/>
    <w:rsid w:val="00756349"/>
    <w:rsid w:val="007563B6"/>
    <w:rsid w:val="0075659D"/>
    <w:rsid w:val="00756699"/>
    <w:rsid w:val="007566D0"/>
    <w:rsid w:val="007567AA"/>
    <w:rsid w:val="0075695F"/>
    <w:rsid w:val="00756A23"/>
    <w:rsid w:val="00756AEA"/>
    <w:rsid w:val="00756BE7"/>
    <w:rsid w:val="00756D24"/>
    <w:rsid w:val="00756EB9"/>
    <w:rsid w:val="00756FAA"/>
    <w:rsid w:val="00757107"/>
    <w:rsid w:val="0075713E"/>
    <w:rsid w:val="00757190"/>
    <w:rsid w:val="00757247"/>
    <w:rsid w:val="007572AD"/>
    <w:rsid w:val="007572D0"/>
    <w:rsid w:val="007572E4"/>
    <w:rsid w:val="00757412"/>
    <w:rsid w:val="0075745D"/>
    <w:rsid w:val="007575BA"/>
    <w:rsid w:val="007575CD"/>
    <w:rsid w:val="00757652"/>
    <w:rsid w:val="0075769F"/>
    <w:rsid w:val="007577B1"/>
    <w:rsid w:val="00757856"/>
    <w:rsid w:val="007578AD"/>
    <w:rsid w:val="007578C1"/>
    <w:rsid w:val="00757931"/>
    <w:rsid w:val="00757972"/>
    <w:rsid w:val="00757987"/>
    <w:rsid w:val="007579BA"/>
    <w:rsid w:val="007579C2"/>
    <w:rsid w:val="00757A27"/>
    <w:rsid w:val="00757A75"/>
    <w:rsid w:val="00757B2B"/>
    <w:rsid w:val="00757D44"/>
    <w:rsid w:val="00757DD8"/>
    <w:rsid w:val="00757DEC"/>
    <w:rsid w:val="00757E45"/>
    <w:rsid w:val="00757EF5"/>
    <w:rsid w:val="00760152"/>
    <w:rsid w:val="007602AB"/>
    <w:rsid w:val="0076030F"/>
    <w:rsid w:val="00760366"/>
    <w:rsid w:val="00760381"/>
    <w:rsid w:val="00760543"/>
    <w:rsid w:val="00760795"/>
    <w:rsid w:val="00760854"/>
    <w:rsid w:val="00760874"/>
    <w:rsid w:val="007608C3"/>
    <w:rsid w:val="00760971"/>
    <w:rsid w:val="0076099B"/>
    <w:rsid w:val="00760A06"/>
    <w:rsid w:val="00760A65"/>
    <w:rsid w:val="00760AC9"/>
    <w:rsid w:val="00760C10"/>
    <w:rsid w:val="00760D71"/>
    <w:rsid w:val="00760E70"/>
    <w:rsid w:val="00760EBC"/>
    <w:rsid w:val="00761098"/>
    <w:rsid w:val="00761117"/>
    <w:rsid w:val="0076113F"/>
    <w:rsid w:val="0076127B"/>
    <w:rsid w:val="00761283"/>
    <w:rsid w:val="007612AD"/>
    <w:rsid w:val="007612D1"/>
    <w:rsid w:val="00761348"/>
    <w:rsid w:val="00761427"/>
    <w:rsid w:val="007614F4"/>
    <w:rsid w:val="00761509"/>
    <w:rsid w:val="007615A0"/>
    <w:rsid w:val="00761682"/>
    <w:rsid w:val="0076169D"/>
    <w:rsid w:val="007616DE"/>
    <w:rsid w:val="007616E5"/>
    <w:rsid w:val="0076183A"/>
    <w:rsid w:val="007618E8"/>
    <w:rsid w:val="00761956"/>
    <w:rsid w:val="00761980"/>
    <w:rsid w:val="00761C27"/>
    <w:rsid w:val="00761DAF"/>
    <w:rsid w:val="00761DF4"/>
    <w:rsid w:val="00761EDB"/>
    <w:rsid w:val="00761EF4"/>
    <w:rsid w:val="00761FB6"/>
    <w:rsid w:val="00762016"/>
    <w:rsid w:val="00762057"/>
    <w:rsid w:val="007620AC"/>
    <w:rsid w:val="007621DC"/>
    <w:rsid w:val="00762205"/>
    <w:rsid w:val="00762221"/>
    <w:rsid w:val="0076234E"/>
    <w:rsid w:val="00762617"/>
    <w:rsid w:val="00762660"/>
    <w:rsid w:val="0076269F"/>
    <w:rsid w:val="007626AE"/>
    <w:rsid w:val="007626F5"/>
    <w:rsid w:val="0076278C"/>
    <w:rsid w:val="00762A49"/>
    <w:rsid w:val="00762AB6"/>
    <w:rsid w:val="00762AF2"/>
    <w:rsid w:val="00762BB4"/>
    <w:rsid w:val="00762C26"/>
    <w:rsid w:val="00762C7D"/>
    <w:rsid w:val="00762C87"/>
    <w:rsid w:val="00762DB5"/>
    <w:rsid w:val="00762DB7"/>
    <w:rsid w:val="00762DE8"/>
    <w:rsid w:val="00762E5A"/>
    <w:rsid w:val="00762F1E"/>
    <w:rsid w:val="00762FC6"/>
    <w:rsid w:val="00762FC7"/>
    <w:rsid w:val="007630AA"/>
    <w:rsid w:val="00763133"/>
    <w:rsid w:val="00763450"/>
    <w:rsid w:val="00763480"/>
    <w:rsid w:val="007634D0"/>
    <w:rsid w:val="00763557"/>
    <w:rsid w:val="0076356B"/>
    <w:rsid w:val="007635A1"/>
    <w:rsid w:val="007637A0"/>
    <w:rsid w:val="007637B8"/>
    <w:rsid w:val="007637E3"/>
    <w:rsid w:val="007637F4"/>
    <w:rsid w:val="00763816"/>
    <w:rsid w:val="00763C58"/>
    <w:rsid w:val="00763D28"/>
    <w:rsid w:val="00763D91"/>
    <w:rsid w:val="00763E01"/>
    <w:rsid w:val="00763FCC"/>
    <w:rsid w:val="007640F0"/>
    <w:rsid w:val="0076416E"/>
    <w:rsid w:val="007641A9"/>
    <w:rsid w:val="007641C3"/>
    <w:rsid w:val="007642EB"/>
    <w:rsid w:val="007643C8"/>
    <w:rsid w:val="007643E7"/>
    <w:rsid w:val="00764463"/>
    <w:rsid w:val="00764551"/>
    <w:rsid w:val="007645AB"/>
    <w:rsid w:val="007645F4"/>
    <w:rsid w:val="0076461C"/>
    <w:rsid w:val="007646AE"/>
    <w:rsid w:val="007649C1"/>
    <w:rsid w:val="00764A61"/>
    <w:rsid w:val="00764B0D"/>
    <w:rsid w:val="00764B5F"/>
    <w:rsid w:val="00764B87"/>
    <w:rsid w:val="00764CA4"/>
    <w:rsid w:val="00764D4A"/>
    <w:rsid w:val="00764DE5"/>
    <w:rsid w:val="00764EB2"/>
    <w:rsid w:val="00764ED0"/>
    <w:rsid w:val="00764EE8"/>
    <w:rsid w:val="00764F43"/>
    <w:rsid w:val="00764FC2"/>
    <w:rsid w:val="00764FC7"/>
    <w:rsid w:val="00765033"/>
    <w:rsid w:val="0076507C"/>
    <w:rsid w:val="00765178"/>
    <w:rsid w:val="0076518E"/>
    <w:rsid w:val="0076521A"/>
    <w:rsid w:val="00765288"/>
    <w:rsid w:val="0076530E"/>
    <w:rsid w:val="007653F6"/>
    <w:rsid w:val="0076542A"/>
    <w:rsid w:val="00765506"/>
    <w:rsid w:val="00765743"/>
    <w:rsid w:val="0076577C"/>
    <w:rsid w:val="0076581C"/>
    <w:rsid w:val="0076589E"/>
    <w:rsid w:val="007658CF"/>
    <w:rsid w:val="007658D5"/>
    <w:rsid w:val="00765909"/>
    <w:rsid w:val="00765A2B"/>
    <w:rsid w:val="00765BBF"/>
    <w:rsid w:val="00765BE8"/>
    <w:rsid w:val="00765BFD"/>
    <w:rsid w:val="00765E0E"/>
    <w:rsid w:val="00765E3F"/>
    <w:rsid w:val="00765E68"/>
    <w:rsid w:val="00765ED7"/>
    <w:rsid w:val="00765F1F"/>
    <w:rsid w:val="0076605E"/>
    <w:rsid w:val="00766179"/>
    <w:rsid w:val="007662A8"/>
    <w:rsid w:val="0076638D"/>
    <w:rsid w:val="007664DF"/>
    <w:rsid w:val="007665C7"/>
    <w:rsid w:val="007665CC"/>
    <w:rsid w:val="00766607"/>
    <w:rsid w:val="00766624"/>
    <w:rsid w:val="007667D7"/>
    <w:rsid w:val="0076682F"/>
    <w:rsid w:val="00766905"/>
    <w:rsid w:val="007669D8"/>
    <w:rsid w:val="00766A37"/>
    <w:rsid w:val="00766B5A"/>
    <w:rsid w:val="00766D40"/>
    <w:rsid w:val="00766D60"/>
    <w:rsid w:val="00766DA2"/>
    <w:rsid w:val="00766DE7"/>
    <w:rsid w:val="00766EA9"/>
    <w:rsid w:val="007671B1"/>
    <w:rsid w:val="00767261"/>
    <w:rsid w:val="007672F4"/>
    <w:rsid w:val="00767315"/>
    <w:rsid w:val="00767347"/>
    <w:rsid w:val="00767722"/>
    <w:rsid w:val="007677BC"/>
    <w:rsid w:val="00767903"/>
    <w:rsid w:val="007679C9"/>
    <w:rsid w:val="00767A96"/>
    <w:rsid w:val="00767AF8"/>
    <w:rsid w:val="00767B18"/>
    <w:rsid w:val="00767C12"/>
    <w:rsid w:val="00767C8D"/>
    <w:rsid w:val="00767CB3"/>
    <w:rsid w:val="00767D39"/>
    <w:rsid w:val="00767EDA"/>
    <w:rsid w:val="00767FD8"/>
    <w:rsid w:val="00767FF3"/>
    <w:rsid w:val="00770015"/>
    <w:rsid w:val="007700D1"/>
    <w:rsid w:val="0077018F"/>
    <w:rsid w:val="0077023C"/>
    <w:rsid w:val="007702DA"/>
    <w:rsid w:val="0077039F"/>
    <w:rsid w:val="007703AD"/>
    <w:rsid w:val="007703B3"/>
    <w:rsid w:val="00770452"/>
    <w:rsid w:val="00770493"/>
    <w:rsid w:val="0077065C"/>
    <w:rsid w:val="007706F0"/>
    <w:rsid w:val="00770758"/>
    <w:rsid w:val="00770788"/>
    <w:rsid w:val="007707E3"/>
    <w:rsid w:val="00770867"/>
    <w:rsid w:val="007709F2"/>
    <w:rsid w:val="00770A29"/>
    <w:rsid w:val="00770A94"/>
    <w:rsid w:val="00770B5A"/>
    <w:rsid w:val="00770C33"/>
    <w:rsid w:val="00770DB6"/>
    <w:rsid w:val="00770DDC"/>
    <w:rsid w:val="00770E9B"/>
    <w:rsid w:val="00770EE4"/>
    <w:rsid w:val="00771078"/>
    <w:rsid w:val="00771094"/>
    <w:rsid w:val="0077134E"/>
    <w:rsid w:val="00771415"/>
    <w:rsid w:val="0077144A"/>
    <w:rsid w:val="00771484"/>
    <w:rsid w:val="00771602"/>
    <w:rsid w:val="00771643"/>
    <w:rsid w:val="00771699"/>
    <w:rsid w:val="007716F6"/>
    <w:rsid w:val="00771731"/>
    <w:rsid w:val="0077190A"/>
    <w:rsid w:val="00771980"/>
    <w:rsid w:val="007719EC"/>
    <w:rsid w:val="00771AC6"/>
    <w:rsid w:val="00771D2F"/>
    <w:rsid w:val="00771D75"/>
    <w:rsid w:val="00771DD0"/>
    <w:rsid w:val="00771E8E"/>
    <w:rsid w:val="00772114"/>
    <w:rsid w:val="00772183"/>
    <w:rsid w:val="00772229"/>
    <w:rsid w:val="0077225E"/>
    <w:rsid w:val="00772362"/>
    <w:rsid w:val="0077264B"/>
    <w:rsid w:val="007727A3"/>
    <w:rsid w:val="007727FA"/>
    <w:rsid w:val="0077295C"/>
    <w:rsid w:val="00772A7A"/>
    <w:rsid w:val="00772B6C"/>
    <w:rsid w:val="00772BE5"/>
    <w:rsid w:val="00772D6B"/>
    <w:rsid w:val="00772E23"/>
    <w:rsid w:val="00772EC2"/>
    <w:rsid w:val="00772F30"/>
    <w:rsid w:val="00772F99"/>
    <w:rsid w:val="00773001"/>
    <w:rsid w:val="0077302E"/>
    <w:rsid w:val="0077306A"/>
    <w:rsid w:val="00773183"/>
    <w:rsid w:val="007733E1"/>
    <w:rsid w:val="00773684"/>
    <w:rsid w:val="007737C2"/>
    <w:rsid w:val="00773851"/>
    <w:rsid w:val="00773912"/>
    <w:rsid w:val="007739F2"/>
    <w:rsid w:val="00773BAE"/>
    <w:rsid w:val="00773C44"/>
    <w:rsid w:val="00773C96"/>
    <w:rsid w:val="00773F16"/>
    <w:rsid w:val="0077402A"/>
    <w:rsid w:val="007740B1"/>
    <w:rsid w:val="007741BB"/>
    <w:rsid w:val="0077423A"/>
    <w:rsid w:val="00774249"/>
    <w:rsid w:val="007743ED"/>
    <w:rsid w:val="007744CC"/>
    <w:rsid w:val="007745EF"/>
    <w:rsid w:val="0077461E"/>
    <w:rsid w:val="00774639"/>
    <w:rsid w:val="007746A3"/>
    <w:rsid w:val="007747DC"/>
    <w:rsid w:val="00774828"/>
    <w:rsid w:val="007749AF"/>
    <w:rsid w:val="00774A25"/>
    <w:rsid w:val="00774AE9"/>
    <w:rsid w:val="00774B9D"/>
    <w:rsid w:val="00774D71"/>
    <w:rsid w:val="00774DF1"/>
    <w:rsid w:val="00774E2C"/>
    <w:rsid w:val="00774EBB"/>
    <w:rsid w:val="0077500A"/>
    <w:rsid w:val="007751C8"/>
    <w:rsid w:val="007751F2"/>
    <w:rsid w:val="00775263"/>
    <w:rsid w:val="00775307"/>
    <w:rsid w:val="00775360"/>
    <w:rsid w:val="007753DA"/>
    <w:rsid w:val="0077542E"/>
    <w:rsid w:val="007754E0"/>
    <w:rsid w:val="007754E9"/>
    <w:rsid w:val="00775628"/>
    <w:rsid w:val="00775703"/>
    <w:rsid w:val="0077576A"/>
    <w:rsid w:val="0077579B"/>
    <w:rsid w:val="007757A3"/>
    <w:rsid w:val="007757E2"/>
    <w:rsid w:val="00775889"/>
    <w:rsid w:val="00775AF9"/>
    <w:rsid w:val="00775B28"/>
    <w:rsid w:val="00775E0A"/>
    <w:rsid w:val="00775E13"/>
    <w:rsid w:val="00775E77"/>
    <w:rsid w:val="00775FED"/>
    <w:rsid w:val="00776129"/>
    <w:rsid w:val="007762C5"/>
    <w:rsid w:val="0077637C"/>
    <w:rsid w:val="0077643C"/>
    <w:rsid w:val="00776507"/>
    <w:rsid w:val="00776560"/>
    <w:rsid w:val="00776580"/>
    <w:rsid w:val="007765E4"/>
    <w:rsid w:val="007765FF"/>
    <w:rsid w:val="00776929"/>
    <w:rsid w:val="00776A4F"/>
    <w:rsid w:val="00776B67"/>
    <w:rsid w:val="00776D74"/>
    <w:rsid w:val="00776E6E"/>
    <w:rsid w:val="00777022"/>
    <w:rsid w:val="00777040"/>
    <w:rsid w:val="007770A0"/>
    <w:rsid w:val="0077716B"/>
    <w:rsid w:val="00777241"/>
    <w:rsid w:val="007772D0"/>
    <w:rsid w:val="007775A3"/>
    <w:rsid w:val="0077768A"/>
    <w:rsid w:val="007776C6"/>
    <w:rsid w:val="0077776D"/>
    <w:rsid w:val="007778DC"/>
    <w:rsid w:val="00777A11"/>
    <w:rsid w:val="00777ACC"/>
    <w:rsid w:val="00777E5A"/>
    <w:rsid w:val="00777EA7"/>
    <w:rsid w:val="00777EE6"/>
    <w:rsid w:val="0078007F"/>
    <w:rsid w:val="00780180"/>
    <w:rsid w:val="0078024E"/>
    <w:rsid w:val="00780325"/>
    <w:rsid w:val="0078037B"/>
    <w:rsid w:val="007804BF"/>
    <w:rsid w:val="007805AC"/>
    <w:rsid w:val="00780640"/>
    <w:rsid w:val="0078068F"/>
    <w:rsid w:val="00780777"/>
    <w:rsid w:val="007807D9"/>
    <w:rsid w:val="0078083B"/>
    <w:rsid w:val="007808E1"/>
    <w:rsid w:val="0078092F"/>
    <w:rsid w:val="00780A25"/>
    <w:rsid w:val="00780D01"/>
    <w:rsid w:val="00780D7B"/>
    <w:rsid w:val="00780DE7"/>
    <w:rsid w:val="00780E42"/>
    <w:rsid w:val="00780F34"/>
    <w:rsid w:val="00780F7C"/>
    <w:rsid w:val="0078108D"/>
    <w:rsid w:val="007810C9"/>
    <w:rsid w:val="007810FB"/>
    <w:rsid w:val="00781123"/>
    <w:rsid w:val="007812E0"/>
    <w:rsid w:val="00781339"/>
    <w:rsid w:val="00781389"/>
    <w:rsid w:val="007813A0"/>
    <w:rsid w:val="007813EF"/>
    <w:rsid w:val="007815B6"/>
    <w:rsid w:val="00781620"/>
    <w:rsid w:val="00781793"/>
    <w:rsid w:val="00781798"/>
    <w:rsid w:val="00781812"/>
    <w:rsid w:val="00781934"/>
    <w:rsid w:val="007819A7"/>
    <w:rsid w:val="00781A53"/>
    <w:rsid w:val="00781B74"/>
    <w:rsid w:val="00781C9E"/>
    <w:rsid w:val="00781CAB"/>
    <w:rsid w:val="00781CFE"/>
    <w:rsid w:val="00781E70"/>
    <w:rsid w:val="00781FF0"/>
    <w:rsid w:val="0078206D"/>
    <w:rsid w:val="00782115"/>
    <w:rsid w:val="00782207"/>
    <w:rsid w:val="00782236"/>
    <w:rsid w:val="0078224D"/>
    <w:rsid w:val="00782255"/>
    <w:rsid w:val="007822D1"/>
    <w:rsid w:val="007822F7"/>
    <w:rsid w:val="00782346"/>
    <w:rsid w:val="0078245B"/>
    <w:rsid w:val="0078279A"/>
    <w:rsid w:val="007827FF"/>
    <w:rsid w:val="00782973"/>
    <w:rsid w:val="00782B6E"/>
    <w:rsid w:val="00782D82"/>
    <w:rsid w:val="00782DCB"/>
    <w:rsid w:val="00782EAD"/>
    <w:rsid w:val="00782F03"/>
    <w:rsid w:val="00783091"/>
    <w:rsid w:val="007831FE"/>
    <w:rsid w:val="007832D3"/>
    <w:rsid w:val="00783360"/>
    <w:rsid w:val="00783429"/>
    <w:rsid w:val="0078345B"/>
    <w:rsid w:val="007834ED"/>
    <w:rsid w:val="00783548"/>
    <w:rsid w:val="0078356E"/>
    <w:rsid w:val="00783745"/>
    <w:rsid w:val="00783792"/>
    <w:rsid w:val="0078387A"/>
    <w:rsid w:val="00783AD4"/>
    <w:rsid w:val="00783BE5"/>
    <w:rsid w:val="00783BF9"/>
    <w:rsid w:val="00783C7E"/>
    <w:rsid w:val="00784382"/>
    <w:rsid w:val="007844E6"/>
    <w:rsid w:val="00784536"/>
    <w:rsid w:val="00784545"/>
    <w:rsid w:val="00784557"/>
    <w:rsid w:val="00784737"/>
    <w:rsid w:val="0078474D"/>
    <w:rsid w:val="007847C0"/>
    <w:rsid w:val="00784819"/>
    <w:rsid w:val="007848F9"/>
    <w:rsid w:val="0078491F"/>
    <w:rsid w:val="00784935"/>
    <w:rsid w:val="00784954"/>
    <w:rsid w:val="00784A3B"/>
    <w:rsid w:val="00784A8C"/>
    <w:rsid w:val="00784A90"/>
    <w:rsid w:val="00784B44"/>
    <w:rsid w:val="00784B87"/>
    <w:rsid w:val="00784CF0"/>
    <w:rsid w:val="00784CFC"/>
    <w:rsid w:val="00784DB1"/>
    <w:rsid w:val="00784E1A"/>
    <w:rsid w:val="00784E2A"/>
    <w:rsid w:val="00784FF2"/>
    <w:rsid w:val="0078506E"/>
    <w:rsid w:val="0078542E"/>
    <w:rsid w:val="007855A4"/>
    <w:rsid w:val="007855BC"/>
    <w:rsid w:val="0078562C"/>
    <w:rsid w:val="007856B5"/>
    <w:rsid w:val="0078571B"/>
    <w:rsid w:val="00785722"/>
    <w:rsid w:val="0078589E"/>
    <w:rsid w:val="007859AF"/>
    <w:rsid w:val="00785C15"/>
    <w:rsid w:val="00785CFC"/>
    <w:rsid w:val="00785F0B"/>
    <w:rsid w:val="00785F30"/>
    <w:rsid w:val="00785F3F"/>
    <w:rsid w:val="00786045"/>
    <w:rsid w:val="007860F2"/>
    <w:rsid w:val="00786103"/>
    <w:rsid w:val="00786142"/>
    <w:rsid w:val="00786285"/>
    <w:rsid w:val="00786374"/>
    <w:rsid w:val="007863D5"/>
    <w:rsid w:val="00786412"/>
    <w:rsid w:val="007864DF"/>
    <w:rsid w:val="0078658C"/>
    <w:rsid w:val="007865D1"/>
    <w:rsid w:val="007866C2"/>
    <w:rsid w:val="00786743"/>
    <w:rsid w:val="0078678D"/>
    <w:rsid w:val="00786794"/>
    <w:rsid w:val="00786800"/>
    <w:rsid w:val="00786A9E"/>
    <w:rsid w:val="00786E5F"/>
    <w:rsid w:val="00786F7E"/>
    <w:rsid w:val="0078709F"/>
    <w:rsid w:val="007871E4"/>
    <w:rsid w:val="00787318"/>
    <w:rsid w:val="007873EB"/>
    <w:rsid w:val="00787446"/>
    <w:rsid w:val="0078748A"/>
    <w:rsid w:val="007874D1"/>
    <w:rsid w:val="0078756F"/>
    <w:rsid w:val="007875A5"/>
    <w:rsid w:val="00787687"/>
    <w:rsid w:val="00787727"/>
    <w:rsid w:val="00787753"/>
    <w:rsid w:val="00787870"/>
    <w:rsid w:val="0078787C"/>
    <w:rsid w:val="007878DE"/>
    <w:rsid w:val="00787AAB"/>
    <w:rsid w:val="00787B59"/>
    <w:rsid w:val="00787C61"/>
    <w:rsid w:val="00787E0B"/>
    <w:rsid w:val="00787F46"/>
    <w:rsid w:val="0079012F"/>
    <w:rsid w:val="007901E1"/>
    <w:rsid w:val="007902AE"/>
    <w:rsid w:val="0079048E"/>
    <w:rsid w:val="0079073E"/>
    <w:rsid w:val="00790763"/>
    <w:rsid w:val="00790894"/>
    <w:rsid w:val="007908CC"/>
    <w:rsid w:val="007909D5"/>
    <w:rsid w:val="00790C8D"/>
    <w:rsid w:val="00790D97"/>
    <w:rsid w:val="00790EB2"/>
    <w:rsid w:val="00790ED6"/>
    <w:rsid w:val="00791135"/>
    <w:rsid w:val="0079113D"/>
    <w:rsid w:val="007914FE"/>
    <w:rsid w:val="00791553"/>
    <w:rsid w:val="007915BC"/>
    <w:rsid w:val="007916DB"/>
    <w:rsid w:val="0079170C"/>
    <w:rsid w:val="0079177B"/>
    <w:rsid w:val="00791865"/>
    <w:rsid w:val="00791A9E"/>
    <w:rsid w:val="00791AB3"/>
    <w:rsid w:val="00791BC7"/>
    <w:rsid w:val="00791BDC"/>
    <w:rsid w:val="00791C55"/>
    <w:rsid w:val="00791D86"/>
    <w:rsid w:val="00791DFC"/>
    <w:rsid w:val="00791E6C"/>
    <w:rsid w:val="00791F82"/>
    <w:rsid w:val="00792054"/>
    <w:rsid w:val="00792112"/>
    <w:rsid w:val="0079212D"/>
    <w:rsid w:val="0079221C"/>
    <w:rsid w:val="00792252"/>
    <w:rsid w:val="007922B4"/>
    <w:rsid w:val="0079232F"/>
    <w:rsid w:val="007923CF"/>
    <w:rsid w:val="007925AE"/>
    <w:rsid w:val="007926B9"/>
    <w:rsid w:val="007927EB"/>
    <w:rsid w:val="00792878"/>
    <w:rsid w:val="007928B3"/>
    <w:rsid w:val="00792A2B"/>
    <w:rsid w:val="00792A91"/>
    <w:rsid w:val="00792BE1"/>
    <w:rsid w:val="0079335A"/>
    <w:rsid w:val="00793360"/>
    <w:rsid w:val="00793489"/>
    <w:rsid w:val="007934B6"/>
    <w:rsid w:val="007936A2"/>
    <w:rsid w:val="007936A7"/>
    <w:rsid w:val="007937E1"/>
    <w:rsid w:val="007937F1"/>
    <w:rsid w:val="00793882"/>
    <w:rsid w:val="00793887"/>
    <w:rsid w:val="007938CC"/>
    <w:rsid w:val="007938D0"/>
    <w:rsid w:val="00793A8D"/>
    <w:rsid w:val="00793BFA"/>
    <w:rsid w:val="00793C0B"/>
    <w:rsid w:val="00793DD3"/>
    <w:rsid w:val="00793FC7"/>
    <w:rsid w:val="00793FEC"/>
    <w:rsid w:val="00794057"/>
    <w:rsid w:val="007940D6"/>
    <w:rsid w:val="0079412C"/>
    <w:rsid w:val="0079415A"/>
    <w:rsid w:val="007941E4"/>
    <w:rsid w:val="00794282"/>
    <w:rsid w:val="00794303"/>
    <w:rsid w:val="007944A4"/>
    <w:rsid w:val="007944EE"/>
    <w:rsid w:val="00794531"/>
    <w:rsid w:val="007946CD"/>
    <w:rsid w:val="007948D0"/>
    <w:rsid w:val="007949D8"/>
    <w:rsid w:val="00794A05"/>
    <w:rsid w:val="00794A10"/>
    <w:rsid w:val="00794C42"/>
    <w:rsid w:val="00794C65"/>
    <w:rsid w:val="00794CAC"/>
    <w:rsid w:val="00794DB1"/>
    <w:rsid w:val="00794EAE"/>
    <w:rsid w:val="00794ECA"/>
    <w:rsid w:val="0079502E"/>
    <w:rsid w:val="00795033"/>
    <w:rsid w:val="007950E2"/>
    <w:rsid w:val="00795104"/>
    <w:rsid w:val="00795134"/>
    <w:rsid w:val="007952C6"/>
    <w:rsid w:val="00795508"/>
    <w:rsid w:val="0079555F"/>
    <w:rsid w:val="00795580"/>
    <w:rsid w:val="00795699"/>
    <w:rsid w:val="00795744"/>
    <w:rsid w:val="0079579C"/>
    <w:rsid w:val="007957EF"/>
    <w:rsid w:val="00795805"/>
    <w:rsid w:val="0079585C"/>
    <w:rsid w:val="00795887"/>
    <w:rsid w:val="007958DF"/>
    <w:rsid w:val="007959B1"/>
    <w:rsid w:val="00795A08"/>
    <w:rsid w:val="00795B66"/>
    <w:rsid w:val="00795CB1"/>
    <w:rsid w:val="00795E64"/>
    <w:rsid w:val="00795EB1"/>
    <w:rsid w:val="0079601C"/>
    <w:rsid w:val="00796167"/>
    <w:rsid w:val="0079620F"/>
    <w:rsid w:val="00796403"/>
    <w:rsid w:val="00796444"/>
    <w:rsid w:val="007965D8"/>
    <w:rsid w:val="00796814"/>
    <w:rsid w:val="00796A06"/>
    <w:rsid w:val="00796BA5"/>
    <w:rsid w:val="00796BC4"/>
    <w:rsid w:val="00796D2A"/>
    <w:rsid w:val="00796EEC"/>
    <w:rsid w:val="00796FAA"/>
    <w:rsid w:val="007970EE"/>
    <w:rsid w:val="007972B6"/>
    <w:rsid w:val="007972BF"/>
    <w:rsid w:val="00797312"/>
    <w:rsid w:val="00797322"/>
    <w:rsid w:val="00797410"/>
    <w:rsid w:val="00797540"/>
    <w:rsid w:val="0079756F"/>
    <w:rsid w:val="00797633"/>
    <w:rsid w:val="00797730"/>
    <w:rsid w:val="00797749"/>
    <w:rsid w:val="00797888"/>
    <w:rsid w:val="00797B4F"/>
    <w:rsid w:val="00797C2D"/>
    <w:rsid w:val="00797D5B"/>
    <w:rsid w:val="00797F48"/>
    <w:rsid w:val="007A008E"/>
    <w:rsid w:val="007A011F"/>
    <w:rsid w:val="007A0253"/>
    <w:rsid w:val="007A02E7"/>
    <w:rsid w:val="007A032C"/>
    <w:rsid w:val="007A033F"/>
    <w:rsid w:val="007A0535"/>
    <w:rsid w:val="007A05B8"/>
    <w:rsid w:val="007A0761"/>
    <w:rsid w:val="007A076F"/>
    <w:rsid w:val="007A07DD"/>
    <w:rsid w:val="007A09DE"/>
    <w:rsid w:val="007A09F7"/>
    <w:rsid w:val="007A0BD5"/>
    <w:rsid w:val="007A0C49"/>
    <w:rsid w:val="007A0C9D"/>
    <w:rsid w:val="007A0D2E"/>
    <w:rsid w:val="007A0E6D"/>
    <w:rsid w:val="007A0EDB"/>
    <w:rsid w:val="007A0FCA"/>
    <w:rsid w:val="007A1052"/>
    <w:rsid w:val="007A105D"/>
    <w:rsid w:val="007A1131"/>
    <w:rsid w:val="007A1234"/>
    <w:rsid w:val="007A1254"/>
    <w:rsid w:val="007A12C2"/>
    <w:rsid w:val="007A12C9"/>
    <w:rsid w:val="007A12FF"/>
    <w:rsid w:val="007A13D6"/>
    <w:rsid w:val="007A1483"/>
    <w:rsid w:val="007A1613"/>
    <w:rsid w:val="007A18D4"/>
    <w:rsid w:val="007A1A9F"/>
    <w:rsid w:val="007A1B32"/>
    <w:rsid w:val="007A1BED"/>
    <w:rsid w:val="007A1C9B"/>
    <w:rsid w:val="007A1E02"/>
    <w:rsid w:val="007A1E1A"/>
    <w:rsid w:val="007A1F10"/>
    <w:rsid w:val="007A1F83"/>
    <w:rsid w:val="007A2084"/>
    <w:rsid w:val="007A237A"/>
    <w:rsid w:val="007A2381"/>
    <w:rsid w:val="007A2503"/>
    <w:rsid w:val="007A25CA"/>
    <w:rsid w:val="007A25DF"/>
    <w:rsid w:val="007A27C9"/>
    <w:rsid w:val="007A29CE"/>
    <w:rsid w:val="007A2A2F"/>
    <w:rsid w:val="007A2A6C"/>
    <w:rsid w:val="007A2BFA"/>
    <w:rsid w:val="007A2C72"/>
    <w:rsid w:val="007A2DCE"/>
    <w:rsid w:val="007A2DE0"/>
    <w:rsid w:val="007A2E75"/>
    <w:rsid w:val="007A2E92"/>
    <w:rsid w:val="007A2F02"/>
    <w:rsid w:val="007A30F3"/>
    <w:rsid w:val="007A3150"/>
    <w:rsid w:val="007A3469"/>
    <w:rsid w:val="007A357E"/>
    <w:rsid w:val="007A3631"/>
    <w:rsid w:val="007A3651"/>
    <w:rsid w:val="007A38BD"/>
    <w:rsid w:val="007A3935"/>
    <w:rsid w:val="007A3AC6"/>
    <w:rsid w:val="007A3BBE"/>
    <w:rsid w:val="007A3BCD"/>
    <w:rsid w:val="007A3C22"/>
    <w:rsid w:val="007A3CBD"/>
    <w:rsid w:val="007A4039"/>
    <w:rsid w:val="007A403E"/>
    <w:rsid w:val="007A409C"/>
    <w:rsid w:val="007A4243"/>
    <w:rsid w:val="007A42C0"/>
    <w:rsid w:val="007A43E4"/>
    <w:rsid w:val="007A47B0"/>
    <w:rsid w:val="007A47BA"/>
    <w:rsid w:val="007A4951"/>
    <w:rsid w:val="007A49A0"/>
    <w:rsid w:val="007A4B19"/>
    <w:rsid w:val="007A4B90"/>
    <w:rsid w:val="007A4F47"/>
    <w:rsid w:val="007A4F4F"/>
    <w:rsid w:val="007A500C"/>
    <w:rsid w:val="007A501A"/>
    <w:rsid w:val="007A510C"/>
    <w:rsid w:val="007A512B"/>
    <w:rsid w:val="007A5199"/>
    <w:rsid w:val="007A527B"/>
    <w:rsid w:val="007A5340"/>
    <w:rsid w:val="007A573E"/>
    <w:rsid w:val="007A5B3F"/>
    <w:rsid w:val="007A5B4E"/>
    <w:rsid w:val="007A5B68"/>
    <w:rsid w:val="007A5B9B"/>
    <w:rsid w:val="007A5C34"/>
    <w:rsid w:val="007A5D6B"/>
    <w:rsid w:val="007A5D8F"/>
    <w:rsid w:val="007A5DBE"/>
    <w:rsid w:val="007A5E4D"/>
    <w:rsid w:val="007A5E80"/>
    <w:rsid w:val="007A60F7"/>
    <w:rsid w:val="007A611A"/>
    <w:rsid w:val="007A612A"/>
    <w:rsid w:val="007A6374"/>
    <w:rsid w:val="007A648D"/>
    <w:rsid w:val="007A64B7"/>
    <w:rsid w:val="007A6732"/>
    <w:rsid w:val="007A67BF"/>
    <w:rsid w:val="007A682C"/>
    <w:rsid w:val="007A68F8"/>
    <w:rsid w:val="007A6922"/>
    <w:rsid w:val="007A695D"/>
    <w:rsid w:val="007A6A08"/>
    <w:rsid w:val="007A6A3F"/>
    <w:rsid w:val="007A6A76"/>
    <w:rsid w:val="007A6AC0"/>
    <w:rsid w:val="007A6B20"/>
    <w:rsid w:val="007A6CE6"/>
    <w:rsid w:val="007A6DF0"/>
    <w:rsid w:val="007A6E14"/>
    <w:rsid w:val="007A6E2B"/>
    <w:rsid w:val="007A70AA"/>
    <w:rsid w:val="007A729E"/>
    <w:rsid w:val="007A7376"/>
    <w:rsid w:val="007A739C"/>
    <w:rsid w:val="007A73AB"/>
    <w:rsid w:val="007A7518"/>
    <w:rsid w:val="007A771A"/>
    <w:rsid w:val="007A77BC"/>
    <w:rsid w:val="007A7873"/>
    <w:rsid w:val="007A7910"/>
    <w:rsid w:val="007A7983"/>
    <w:rsid w:val="007A7D99"/>
    <w:rsid w:val="007A7EB4"/>
    <w:rsid w:val="007B0126"/>
    <w:rsid w:val="007B017C"/>
    <w:rsid w:val="007B025A"/>
    <w:rsid w:val="007B02E7"/>
    <w:rsid w:val="007B034A"/>
    <w:rsid w:val="007B0371"/>
    <w:rsid w:val="007B03D0"/>
    <w:rsid w:val="007B0455"/>
    <w:rsid w:val="007B0457"/>
    <w:rsid w:val="007B046C"/>
    <w:rsid w:val="007B04F0"/>
    <w:rsid w:val="007B0701"/>
    <w:rsid w:val="007B0748"/>
    <w:rsid w:val="007B0788"/>
    <w:rsid w:val="007B079E"/>
    <w:rsid w:val="007B07C8"/>
    <w:rsid w:val="007B07E7"/>
    <w:rsid w:val="007B08F6"/>
    <w:rsid w:val="007B0908"/>
    <w:rsid w:val="007B0952"/>
    <w:rsid w:val="007B0A3F"/>
    <w:rsid w:val="007B0ACD"/>
    <w:rsid w:val="007B0C71"/>
    <w:rsid w:val="007B0D44"/>
    <w:rsid w:val="007B0E05"/>
    <w:rsid w:val="007B0E5D"/>
    <w:rsid w:val="007B0EC0"/>
    <w:rsid w:val="007B1149"/>
    <w:rsid w:val="007B11E1"/>
    <w:rsid w:val="007B126E"/>
    <w:rsid w:val="007B131C"/>
    <w:rsid w:val="007B1343"/>
    <w:rsid w:val="007B13A2"/>
    <w:rsid w:val="007B13D0"/>
    <w:rsid w:val="007B144F"/>
    <w:rsid w:val="007B150B"/>
    <w:rsid w:val="007B15CD"/>
    <w:rsid w:val="007B1873"/>
    <w:rsid w:val="007B18C0"/>
    <w:rsid w:val="007B18FD"/>
    <w:rsid w:val="007B19A5"/>
    <w:rsid w:val="007B1A91"/>
    <w:rsid w:val="007B1C35"/>
    <w:rsid w:val="007B1CDE"/>
    <w:rsid w:val="007B1D48"/>
    <w:rsid w:val="007B2116"/>
    <w:rsid w:val="007B2160"/>
    <w:rsid w:val="007B226D"/>
    <w:rsid w:val="007B230E"/>
    <w:rsid w:val="007B2380"/>
    <w:rsid w:val="007B23E4"/>
    <w:rsid w:val="007B24AC"/>
    <w:rsid w:val="007B263F"/>
    <w:rsid w:val="007B2685"/>
    <w:rsid w:val="007B2757"/>
    <w:rsid w:val="007B2783"/>
    <w:rsid w:val="007B2846"/>
    <w:rsid w:val="007B2B1B"/>
    <w:rsid w:val="007B2B8E"/>
    <w:rsid w:val="007B2C76"/>
    <w:rsid w:val="007B2DE6"/>
    <w:rsid w:val="007B2DFD"/>
    <w:rsid w:val="007B2E93"/>
    <w:rsid w:val="007B2FCC"/>
    <w:rsid w:val="007B2FD6"/>
    <w:rsid w:val="007B3047"/>
    <w:rsid w:val="007B347A"/>
    <w:rsid w:val="007B3491"/>
    <w:rsid w:val="007B34B7"/>
    <w:rsid w:val="007B357D"/>
    <w:rsid w:val="007B35CA"/>
    <w:rsid w:val="007B3689"/>
    <w:rsid w:val="007B38EC"/>
    <w:rsid w:val="007B3AD6"/>
    <w:rsid w:val="007B3B05"/>
    <w:rsid w:val="007B3BAC"/>
    <w:rsid w:val="007B3BBB"/>
    <w:rsid w:val="007B3BCE"/>
    <w:rsid w:val="007B3DD6"/>
    <w:rsid w:val="007B3EB0"/>
    <w:rsid w:val="007B40B9"/>
    <w:rsid w:val="007B41AE"/>
    <w:rsid w:val="007B41EA"/>
    <w:rsid w:val="007B4542"/>
    <w:rsid w:val="007B472C"/>
    <w:rsid w:val="007B472E"/>
    <w:rsid w:val="007B4818"/>
    <w:rsid w:val="007B4873"/>
    <w:rsid w:val="007B48B3"/>
    <w:rsid w:val="007B494A"/>
    <w:rsid w:val="007B4B0F"/>
    <w:rsid w:val="007B4D04"/>
    <w:rsid w:val="007B4E88"/>
    <w:rsid w:val="007B50E3"/>
    <w:rsid w:val="007B5217"/>
    <w:rsid w:val="007B526D"/>
    <w:rsid w:val="007B5414"/>
    <w:rsid w:val="007B5542"/>
    <w:rsid w:val="007B5724"/>
    <w:rsid w:val="007B5765"/>
    <w:rsid w:val="007B5785"/>
    <w:rsid w:val="007B589A"/>
    <w:rsid w:val="007B58A6"/>
    <w:rsid w:val="007B58E8"/>
    <w:rsid w:val="007B5B66"/>
    <w:rsid w:val="007B5CD9"/>
    <w:rsid w:val="007B5CDF"/>
    <w:rsid w:val="007B5D85"/>
    <w:rsid w:val="007B5E8F"/>
    <w:rsid w:val="007B5F59"/>
    <w:rsid w:val="007B6320"/>
    <w:rsid w:val="007B639E"/>
    <w:rsid w:val="007B651F"/>
    <w:rsid w:val="007B6594"/>
    <w:rsid w:val="007B66B6"/>
    <w:rsid w:val="007B673A"/>
    <w:rsid w:val="007B6769"/>
    <w:rsid w:val="007B6775"/>
    <w:rsid w:val="007B685F"/>
    <w:rsid w:val="007B68C0"/>
    <w:rsid w:val="007B6925"/>
    <w:rsid w:val="007B6BB1"/>
    <w:rsid w:val="007B6BDC"/>
    <w:rsid w:val="007B6CA8"/>
    <w:rsid w:val="007B6D93"/>
    <w:rsid w:val="007B6F21"/>
    <w:rsid w:val="007B6F51"/>
    <w:rsid w:val="007B6F88"/>
    <w:rsid w:val="007B70A2"/>
    <w:rsid w:val="007B7186"/>
    <w:rsid w:val="007B71F3"/>
    <w:rsid w:val="007B7242"/>
    <w:rsid w:val="007B73C8"/>
    <w:rsid w:val="007B7705"/>
    <w:rsid w:val="007B77B3"/>
    <w:rsid w:val="007B7807"/>
    <w:rsid w:val="007B7830"/>
    <w:rsid w:val="007B7947"/>
    <w:rsid w:val="007B7B27"/>
    <w:rsid w:val="007B7B3F"/>
    <w:rsid w:val="007B7B71"/>
    <w:rsid w:val="007B7B80"/>
    <w:rsid w:val="007B7CBF"/>
    <w:rsid w:val="007B7CCA"/>
    <w:rsid w:val="007B7D5D"/>
    <w:rsid w:val="007B7EF6"/>
    <w:rsid w:val="007B7F49"/>
    <w:rsid w:val="007B7F71"/>
    <w:rsid w:val="007C0235"/>
    <w:rsid w:val="007C0237"/>
    <w:rsid w:val="007C0394"/>
    <w:rsid w:val="007C03C5"/>
    <w:rsid w:val="007C0529"/>
    <w:rsid w:val="007C0531"/>
    <w:rsid w:val="007C05D1"/>
    <w:rsid w:val="007C05F6"/>
    <w:rsid w:val="007C068D"/>
    <w:rsid w:val="007C06CF"/>
    <w:rsid w:val="007C0727"/>
    <w:rsid w:val="007C07A4"/>
    <w:rsid w:val="007C07AC"/>
    <w:rsid w:val="007C0843"/>
    <w:rsid w:val="007C08A8"/>
    <w:rsid w:val="007C09A7"/>
    <w:rsid w:val="007C09B8"/>
    <w:rsid w:val="007C0A1D"/>
    <w:rsid w:val="007C0AF3"/>
    <w:rsid w:val="007C0BFC"/>
    <w:rsid w:val="007C0C88"/>
    <w:rsid w:val="007C0DCB"/>
    <w:rsid w:val="007C105D"/>
    <w:rsid w:val="007C10D2"/>
    <w:rsid w:val="007C1159"/>
    <w:rsid w:val="007C1170"/>
    <w:rsid w:val="007C11FC"/>
    <w:rsid w:val="007C131E"/>
    <w:rsid w:val="007C14D4"/>
    <w:rsid w:val="007C1527"/>
    <w:rsid w:val="007C15C6"/>
    <w:rsid w:val="007C15D4"/>
    <w:rsid w:val="007C18BC"/>
    <w:rsid w:val="007C1982"/>
    <w:rsid w:val="007C19B5"/>
    <w:rsid w:val="007C1C17"/>
    <w:rsid w:val="007C1CB8"/>
    <w:rsid w:val="007C1CE6"/>
    <w:rsid w:val="007C1D50"/>
    <w:rsid w:val="007C1DA3"/>
    <w:rsid w:val="007C1DBA"/>
    <w:rsid w:val="007C1E3B"/>
    <w:rsid w:val="007C1EC9"/>
    <w:rsid w:val="007C1F63"/>
    <w:rsid w:val="007C20E0"/>
    <w:rsid w:val="007C212E"/>
    <w:rsid w:val="007C21D1"/>
    <w:rsid w:val="007C21FF"/>
    <w:rsid w:val="007C2210"/>
    <w:rsid w:val="007C22CB"/>
    <w:rsid w:val="007C2306"/>
    <w:rsid w:val="007C235F"/>
    <w:rsid w:val="007C2372"/>
    <w:rsid w:val="007C23E3"/>
    <w:rsid w:val="007C2583"/>
    <w:rsid w:val="007C264E"/>
    <w:rsid w:val="007C2707"/>
    <w:rsid w:val="007C271F"/>
    <w:rsid w:val="007C280E"/>
    <w:rsid w:val="007C2856"/>
    <w:rsid w:val="007C2902"/>
    <w:rsid w:val="007C295D"/>
    <w:rsid w:val="007C2A3E"/>
    <w:rsid w:val="007C2A78"/>
    <w:rsid w:val="007C2A83"/>
    <w:rsid w:val="007C2B54"/>
    <w:rsid w:val="007C2BCF"/>
    <w:rsid w:val="007C2CA6"/>
    <w:rsid w:val="007C2D7E"/>
    <w:rsid w:val="007C2DC9"/>
    <w:rsid w:val="007C314D"/>
    <w:rsid w:val="007C31D2"/>
    <w:rsid w:val="007C325D"/>
    <w:rsid w:val="007C33D3"/>
    <w:rsid w:val="007C343D"/>
    <w:rsid w:val="007C3511"/>
    <w:rsid w:val="007C353E"/>
    <w:rsid w:val="007C3578"/>
    <w:rsid w:val="007C37A7"/>
    <w:rsid w:val="007C3B05"/>
    <w:rsid w:val="007C3BF3"/>
    <w:rsid w:val="007C3C40"/>
    <w:rsid w:val="007C3E6E"/>
    <w:rsid w:val="007C3E93"/>
    <w:rsid w:val="007C4067"/>
    <w:rsid w:val="007C409D"/>
    <w:rsid w:val="007C40D8"/>
    <w:rsid w:val="007C4193"/>
    <w:rsid w:val="007C4208"/>
    <w:rsid w:val="007C4331"/>
    <w:rsid w:val="007C446D"/>
    <w:rsid w:val="007C4516"/>
    <w:rsid w:val="007C459D"/>
    <w:rsid w:val="007C4629"/>
    <w:rsid w:val="007C4732"/>
    <w:rsid w:val="007C47E1"/>
    <w:rsid w:val="007C491F"/>
    <w:rsid w:val="007C4975"/>
    <w:rsid w:val="007C49D3"/>
    <w:rsid w:val="007C4AD5"/>
    <w:rsid w:val="007C4FAF"/>
    <w:rsid w:val="007C500C"/>
    <w:rsid w:val="007C5319"/>
    <w:rsid w:val="007C5326"/>
    <w:rsid w:val="007C5383"/>
    <w:rsid w:val="007C5479"/>
    <w:rsid w:val="007C5517"/>
    <w:rsid w:val="007C5594"/>
    <w:rsid w:val="007C55CB"/>
    <w:rsid w:val="007C56A5"/>
    <w:rsid w:val="007C56AE"/>
    <w:rsid w:val="007C57CA"/>
    <w:rsid w:val="007C57E7"/>
    <w:rsid w:val="007C58B0"/>
    <w:rsid w:val="007C58DB"/>
    <w:rsid w:val="007C59B0"/>
    <w:rsid w:val="007C5AAD"/>
    <w:rsid w:val="007C5B12"/>
    <w:rsid w:val="007C5B39"/>
    <w:rsid w:val="007C5B45"/>
    <w:rsid w:val="007C5B7F"/>
    <w:rsid w:val="007C5C35"/>
    <w:rsid w:val="007C5C8D"/>
    <w:rsid w:val="007C5CC1"/>
    <w:rsid w:val="007C5D24"/>
    <w:rsid w:val="007C5E12"/>
    <w:rsid w:val="007C5F60"/>
    <w:rsid w:val="007C5F89"/>
    <w:rsid w:val="007C60F6"/>
    <w:rsid w:val="007C635C"/>
    <w:rsid w:val="007C6411"/>
    <w:rsid w:val="007C641F"/>
    <w:rsid w:val="007C65D4"/>
    <w:rsid w:val="007C6663"/>
    <w:rsid w:val="007C68F7"/>
    <w:rsid w:val="007C6910"/>
    <w:rsid w:val="007C694E"/>
    <w:rsid w:val="007C6971"/>
    <w:rsid w:val="007C69D7"/>
    <w:rsid w:val="007C6AF3"/>
    <w:rsid w:val="007C6F33"/>
    <w:rsid w:val="007C6F78"/>
    <w:rsid w:val="007C7027"/>
    <w:rsid w:val="007C70C9"/>
    <w:rsid w:val="007C70CD"/>
    <w:rsid w:val="007C70FB"/>
    <w:rsid w:val="007C7250"/>
    <w:rsid w:val="007C7344"/>
    <w:rsid w:val="007C73A3"/>
    <w:rsid w:val="007C73CF"/>
    <w:rsid w:val="007C7450"/>
    <w:rsid w:val="007C77D2"/>
    <w:rsid w:val="007C784E"/>
    <w:rsid w:val="007C788E"/>
    <w:rsid w:val="007C799F"/>
    <w:rsid w:val="007C7A24"/>
    <w:rsid w:val="007C7A47"/>
    <w:rsid w:val="007C7D77"/>
    <w:rsid w:val="007D0068"/>
    <w:rsid w:val="007D020A"/>
    <w:rsid w:val="007D03DA"/>
    <w:rsid w:val="007D0436"/>
    <w:rsid w:val="007D04CA"/>
    <w:rsid w:val="007D0537"/>
    <w:rsid w:val="007D0641"/>
    <w:rsid w:val="007D0705"/>
    <w:rsid w:val="007D0779"/>
    <w:rsid w:val="007D0844"/>
    <w:rsid w:val="007D0877"/>
    <w:rsid w:val="007D0A89"/>
    <w:rsid w:val="007D0D7D"/>
    <w:rsid w:val="007D1074"/>
    <w:rsid w:val="007D10DA"/>
    <w:rsid w:val="007D1105"/>
    <w:rsid w:val="007D119A"/>
    <w:rsid w:val="007D11C2"/>
    <w:rsid w:val="007D1262"/>
    <w:rsid w:val="007D12C6"/>
    <w:rsid w:val="007D1350"/>
    <w:rsid w:val="007D13E2"/>
    <w:rsid w:val="007D140E"/>
    <w:rsid w:val="007D1449"/>
    <w:rsid w:val="007D1662"/>
    <w:rsid w:val="007D1777"/>
    <w:rsid w:val="007D17CA"/>
    <w:rsid w:val="007D17D1"/>
    <w:rsid w:val="007D1934"/>
    <w:rsid w:val="007D1B60"/>
    <w:rsid w:val="007D1CB3"/>
    <w:rsid w:val="007D2010"/>
    <w:rsid w:val="007D20A6"/>
    <w:rsid w:val="007D21AB"/>
    <w:rsid w:val="007D229A"/>
    <w:rsid w:val="007D22C8"/>
    <w:rsid w:val="007D230E"/>
    <w:rsid w:val="007D2479"/>
    <w:rsid w:val="007D2493"/>
    <w:rsid w:val="007D2505"/>
    <w:rsid w:val="007D25A0"/>
    <w:rsid w:val="007D262B"/>
    <w:rsid w:val="007D2667"/>
    <w:rsid w:val="007D26D6"/>
    <w:rsid w:val="007D26D8"/>
    <w:rsid w:val="007D27C9"/>
    <w:rsid w:val="007D2A16"/>
    <w:rsid w:val="007D2AAB"/>
    <w:rsid w:val="007D2AD5"/>
    <w:rsid w:val="007D2B53"/>
    <w:rsid w:val="007D2DAF"/>
    <w:rsid w:val="007D2DE6"/>
    <w:rsid w:val="007D2EA0"/>
    <w:rsid w:val="007D2F72"/>
    <w:rsid w:val="007D3003"/>
    <w:rsid w:val="007D321F"/>
    <w:rsid w:val="007D3297"/>
    <w:rsid w:val="007D3344"/>
    <w:rsid w:val="007D344D"/>
    <w:rsid w:val="007D3620"/>
    <w:rsid w:val="007D3647"/>
    <w:rsid w:val="007D3753"/>
    <w:rsid w:val="007D37E3"/>
    <w:rsid w:val="007D39A5"/>
    <w:rsid w:val="007D3A91"/>
    <w:rsid w:val="007D3BD3"/>
    <w:rsid w:val="007D3BFB"/>
    <w:rsid w:val="007D3F89"/>
    <w:rsid w:val="007D4050"/>
    <w:rsid w:val="007D411B"/>
    <w:rsid w:val="007D41AE"/>
    <w:rsid w:val="007D41B0"/>
    <w:rsid w:val="007D4252"/>
    <w:rsid w:val="007D4370"/>
    <w:rsid w:val="007D445D"/>
    <w:rsid w:val="007D448C"/>
    <w:rsid w:val="007D44C9"/>
    <w:rsid w:val="007D451C"/>
    <w:rsid w:val="007D45BB"/>
    <w:rsid w:val="007D47BD"/>
    <w:rsid w:val="007D4969"/>
    <w:rsid w:val="007D4A29"/>
    <w:rsid w:val="007D4DD7"/>
    <w:rsid w:val="007D4E7F"/>
    <w:rsid w:val="007D4E93"/>
    <w:rsid w:val="007D4FAC"/>
    <w:rsid w:val="007D5007"/>
    <w:rsid w:val="007D509F"/>
    <w:rsid w:val="007D5291"/>
    <w:rsid w:val="007D530C"/>
    <w:rsid w:val="007D562E"/>
    <w:rsid w:val="007D56CC"/>
    <w:rsid w:val="007D5A40"/>
    <w:rsid w:val="007D5BD5"/>
    <w:rsid w:val="007D5CE6"/>
    <w:rsid w:val="007D5D1C"/>
    <w:rsid w:val="007D5D2C"/>
    <w:rsid w:val="007D5DD5"/>
    <w:rsid w:val="007D5E18"/>
    <w:rsid w:val="007D5E53"/>
    <w:rsid w:val="007D5EC2"/>
    <w:rsid w:val="007D5EFE"/>
    <w:rsid w:val="007D6129"/>
    <w:rsid w:val="007D616C"/>
    <w:rsid w:val="007D622C"/>
    <w:rsid w:val="007D6311"/>
    <w:rsid w:val="007D64D7"/>
    <w:rsid w:val="007D6514"/>
    <w:rsid w:val="007D658A"/>
    <w:rsid w:val="007D65E2"/>
    <w:rsid w:val="007D65F5"/>
    <w:rsid w:val="007D6712"/>
    <w:rsid w:val="007D6786"/>
    <w:rsid w:val="007D6848"/>
    <w:rsid w:val="007D68D5"/>
    <w:rsid w:val="007D68F8"/>
    <w:rsid w:val="007D6B15"/>
    <w:rsid w:val="007D6CF9"/>
    <w:rsid w:val="007D6D41"/>
    <w:rsid w:val="007D6D84"/>
    <w:rsid w:val="007D6DD0"/>
    <w:rsid w:val="007D6DF1"/>
    <w:rsid w:val="007D6E00"/>
    <w:rsid w:val="007D6EC9"/>
    <w:rsid w:val="007D6F18"/>
    <w:rsid w:val="007D725F"/>
    <w:rsid w:val="007D727B"/>
    <w:rsid w:val="007D729B"/>
    <w:rsid w:val="007D7305"/>
    <w:rsid w:val="007D73D7"/>
    <w:rsid w:val="007D7530"/>
    <w:rsid w:val="007D761D"/>
    <w:rsid w:val="007D76A1"/>
    <w:rsid w:val="007D76FE"/>
    <w:rsid w:val="007D7756"/>
    <w:rsid w:val="007D7B45"/>
    <w:rsid w:val="007D7B62"/>
    <w:rsid w:val="007D7BE8"/>
    <w:rsid w:val="007D7C3C"/>
    <w:rsid w:val="007D7D04"/>
    <w:rsid w:val="007D7E10"/>
    <w:rsid w:val="007D7EB2"/>
    <w:rsid w:val="007D7EEF"/>
    <w:rsid w:val="007D7F2E"/>
    <w:rsid w:val="007D7F8A"/>
    <w:rsid w:val="007D7FF1"/>
    <w:rsid w:val="007E01D5"/>
    <w:rsid w:val="007E0357"/>
    <w:rsid w:val="007E0487"/>
    <w:rsid w:val="007E04F2"/>
    <w:rsid w:val="007E05E7"/>
    <w:rsid w:val="007E06AC"/>
    <w:rsid w:val="007E06C9"/>
    <w:rsid w:val="007E093B"/>
    <w:rsid w:val="007E09A7"/>
    <w:rsid w:val="007E09DD"/>
    <w:rsid w:val="007E0B23"/>
    <w:rsid w:val="007E0BD2"/>
    <w:rsid w:val="007E0CC5"/>
    <w:rsid w:val="007E0CC8"/>
    <w:rsid w:val="007E0D88"/>
    <w:rsid w:val="007E0DC5"/>
    <w:rsid w:val="007E0DDD"/>
    <w:rsid w:val="007E0DDE"/>
    <w:rsid w:val="007E0E0C"/>
    <w:rsid w:val="007E0E30"/>
    <w:rsid w:val="007E0E38"/>
    <w:rsid w:val="007E1179"/>
    <w:rsid w:val="007E1220"/>
    <w:rsid w:val="007E1264"/>
    <w:rsid w:val="007E1443"/>
    <w:rsid w:val="007E14B6"/>
    <w:rsid w:val="007E14ED"/>
    <w:rsid w:val="007E17A3"/>
    <w:rsid w:val="007E184E"/>
    <w:rsid w:val="007E1913"/>
    <w:rsid w:val="007E1941"/>
    <w:rsid w:val="007E19A4"/>
    <w:rsid w:val="007E19B4"/>
    <w:rsid w:val="007E1AAE"/>
    <w:rsid w:val="007E1B08"/>
    <w:rsid w:val="007E1B5D"/>
    <w:rsid w:val="007E1B61"/>
    <w:rsid w:val="007E1C3C"/>
    <w:rsid w:val="007E1C68"/>
    <w:rsid w:val="007E1E57"/>
    <w:rsid w:val="007E1EF2"/>
    <w:rsid w:val="007E2077"/>
    <w:rsid w:val="007E228F"/>
    <w:rsid w:val="007E22C7"/>
    <w:rsid w:val="007E24B3"/>
    <w:rsid w:val="007E254E"/>
    <w:rsid w:val="007E2567"/>
    <w:rsid w:val="007E2761"/>
    <w:rsid w:val="007E28F2"/>
    <w:rsid w:val="007E2921"/>
    <w:rsid w:val="007E2955"/>
    <w:rsid w:val="007E2A52"/>
    <w:rsid w:val="007E2B63"/>
    <w:rsid w:val="007E2B75"/>
    <w:rsid w:val="007E2C69"/>
    <w:rsid w:val="007E2E31"/>
    <w:rsid w:val="007E2E72"/>
    <w:rsid w:val="007E30BE"/>
    <w:rsid w:val="007E3117"/>
    <w:rsid w:val="007E326A"/>
    <w:rsid w:val="007E334A"/>
    <w:rsid w:val="007E33B8"/>
    <w:rsid w:val="007E3486"/>
    <w:rsid w:val="007E34A7"/>
    <w:rsid w:val="007E374A"/>
    <w:rsid w:val="007E37AE"/>
    <w:rsid w:val="007E38B7"/>
    <w:rsid w:val="007E3A22"/>
    <w:rsid w:val="007E3A31"/>
    <w:rsid w:val="007E3A8C"/>
    <w:rsid w:val="007E3B12"/>
    <w:rsid w:val="007E3B2F"/>
    <w:rsid w:val="007E3BEC"/>
    <w:rsid w:val="007E3C7B"/>
    <w:rsid w:val="007E3C8A"/>
    <w:rsid w:val="007E3DA4"/>
    <w:rsid w:val="007E3E22"/>
    <w:rsid w:val="007E4064"/>
    <w:rsid w:val="007E40D4"/>
    <w:rsid w:val="007E4360"/>
    <w:rsid w:val="007E43FC"/>
    <w:rsid w:val="007E4730"/>
    <w:rsid w:val="007E47B3"/>
    <w:rsid w:val="007E49DD"/>
    <w:rsid w:val="007E4A62"/>
    <w:rsid w:val="007E4AE0"/>
    <w:rsid w:val="007E4BD5"/>
    <w:rsid w:val="007E4C40"/>
    <w:rsid w:val="007E4C64"/>
    <w:rsid w:val="007E4D48"/>
    <w:rsid w:val="007E4EDF"/>
    <w:rsid w:val="007E4F6C"/>
    <w:rsid w:val="007E510F"/>
    <w:rsid w:val="007E5153"/>
    <w:rsid w:val="007E51F0"/>
    <w:rsid w:val="007E5254"/>
    <w:rsid w:val="007E5336"/>
    <w:rsid w:val="007E5483"/>
    <w:rsid w:val="007E5494"/>
    <w:rsid w:val="007E5524"/>
    <w:rsid w:val="007E5548"/>
    <w:rsid w:val="007E55DA"/>
    <w:rsid w:val="007E562C"/>
    <w:rsid w:val="007E5665"/>
    <w:rsid w:val="007E5682"/>
    <w:rsid w:val="007E5830"/>
    <w:rsid w:val="007E59A6"/>
    <w:rsid w:val="007E5A77"/>
    <w:rsid w:val="007E5C31"/>
    <w:rsid w:val="007E5C6D"/>
    <w:rsid w:val="007E5CAD"/>
    <w:rsid w:val="007E5CB3"/>
    <w:rsid w:val="007E5DBD"/>
    <w:rsid w:val="007E5E12"/>
    <w:rsid w:val="007E5E60"/>
    <w:rsid w:val="007E5FC0"/>
    <w:rsid w:val="007E60FD"/>
    <w:rsid w:val="007E6154"/>
    <w:rsid w:val="007E6272"/>
    <w:rsid w:val="007E62CD"/>
    <w:rsid w:val="007E6486"/>
    <w:rsid w:val="007E64AF"/>
    <w:rsid w:val="007E656E"/>
    <w:rsid w:val="007E660E"/>
    <w:rsid w:val="007E665A"/>
    <w:rsid w:val="007E66CE"/>
    <w:rsid w:val="007E67AC"/>
    <w:rsid w:val="007E69AD"/>
    <w:rsid w:val="007E6ADB"/>
    <w:rsid w:val="007E6B5A"/>
    <w:rsid w:val="007E6BD8"/>
    <w:rsid w:val="007E6C83"/>
    <w:rsid w:val="007E6E0F"/>
    <w:rsid w:val="007E6EED"/>
    <w:rsid w:val="007E6F3A"/>
    <w:rsid w:val="007E6F6A"/>
    <w:rsid w:val="007E6F90"/>
    <w:rsid w:val="007E7188"/>
    <w:rsid w:val="007E7229"/>
    <w:rsid w:val="007E7235"/>
    <w:rsid w:val="007E723B"/>
    <w:rsid w:val="007E7245"/>
    <w:rsid w:val="007E7270"/>
    <w:rsid w:val="007E740B"/>
    <w:rsid w:val="007E74A7"/>
    <w:rsid w:val="007E74DA"/>
    <w:rsid w:val="007E750E"/>
    <w:rsid w:val="007E754E"/>
    <w:rsid w:val="007E7580"/>
    <w:rsid w:val="007E7655"/>
    <w:rsid w:val="007E7799"/>
    <w:rsid w:val="007E77B5"/>
    <w:rsid w:val="007E7844"/>
    <w:rsid w:val="007E78EF"/>
    <w:rsid w:val="007E7AD3"/>
    <w:rsid w:val="007E7AF3"/>
    <w:rsid w:val="007E7C27"/>
    <w:rsid w:val="007F00DF"/>
    <w:rsid w:val="007F0184"/>
    <w:rsid w:val="007F03E9"/>
    <w:rsid w:val="007F067D"/>
    <w:rsid w:val="007F06E3"/>
    <w:rsid w:val="007F0791"/>
    <w:rsid w:val="007F0923"/>
    <w:rsid w:val="007F097D"/>
    <w:rsid w:val="007F0A52"/>
    <w:rsid w:val="007F0A5F"/>
    <w:rsid w:val="007F0BE1"/>
    <w:rsid w:val="007F0C04"/>
    <w:rsid w:val="007F0CAF"/>
    <w:rsid w:val="007F0E83"/>
    <w:rsid w:val="007F0EB4"/>
    <w:rsid w:val="007F127A"/>
    <w:rsid w:val="007F129E"/>
    <w:rsid w:val="007F1503"/>
    <w:rsid w:val="007F1578"/>
    <w:rsid w:val="007F16BC"/>
    <w:rsid w:val="007F1761"/>
    <w:rsid w:val="007F17BA"/>
    <w:rsid w:val="007F17DE"/>
    <w:rsid w:val="007F17EF"/>
    <w:rsid w:val="007F182F"/>
    <w:rsid w:val="007F1850"/>
    <w:rsid w:val="007F1865"/>
    <w:rsid w:val="007F1955"/>
    <w:rsid w:val="007F19D9"/>
    <w:rsid w:val="007F1A45"/>
    <w:rsid w:val="007F1AF2"/>
    <w:rsid w:val="007F1CC5"/>
    <w:rsid w:val="007F1CD2"/>
    <w:rsid w:val="007F1DB4"/>
    <w:rsid w:val="007F1E54"/>
    <w:rsid w:val="007F1F33"/>
    <w:rsid w:val="007F1F94"/>
    <w:rsid w:val="007F2118"/>
    <w:rsid w:val="007F21D5"/>
    <w:rsid w:val="007F2211"/>
    <w:rsid w:val="007F2391"/>
    <w:rsid w:val="007F23DC"/>
    <w:rsid w:val="007F241B"/>
    <w:rsid w:val="007F2448"/>
    <w:rsid w:val="007F2511"/>
    <w:rsid w:val="007F2562"/>
    <w:rsid w:val="007F25A8"/>
    <w:rsid w:val="007F25E9"/>
    <w:rsid w:val="007F263F"/>
    <w:rsid w:val="007F2769"/>
    <w:rsid w:val="007F2862"/>
    <w:rsid w:val="007F28B2"/>
    <w:rsid w:val="007F2917"/>
    <w:rsid w:val="007F2941"/>
    <w:rsid w:val="007F29F9"/>
    <w:rsid w:val="007F29FD"/>
    <w:rsid w:val="007F2A75"/>
    <w:rsid w:val="007F2A83"/>
    <w:rsid w:val="007F2B12"/>
    <w:rsid w:val="007F2DF6"/>
    <w:rsid w:val="007F2E51"/>
    <w:rsid w:val="007F2F69"/>
    <w:rsid w:val="007F2FB3"/>
    <w:rsid w:val="007F2FC2"/>
    <w:rsid w:val="007F302B"/>
    <w:rsid w:val="007F304C"/>
    <w:rsid w:val="007F3057"/>
    <w:rsid w:val="007F30DC"/>
    <w:rsid w:val="007F30E9"/>
    <w:rsid w:val="007F30F8"/>
    <w:rsid w:val="007F3120"/>
    <w:rsid w:val="007F3131"/>
    <w:rsid w:val="007F328A"/>
    <w:rsid w:val="007F3365"/>
    <w:rsid w:val="007F33AB"/>
    <w:rsid w:val="007F33DE"/>
    <w:rsid w:val="007F347B"/>
    <w:rsid w:val="007F34EF"/>
    <w:rsid w:val="007F3559"/>
    <w:rsid w:val="007F372E"/>
    <w:rsid w:val="007F3AA0"/>
    <w:rsid w:val="007F3AA1"/>
    <w:rsid w:val="007F3B7E"/>
    <w:rsid w:val="007F3C61"/>
    <w:rsid w:val="007F3D4C"/>
    <w:rsid w:val="007F3E6B"/>
    <w:rsid w:val="007F3FA5"/>
    <w:rsid w:val="007F4031"/>
    <w:rsid w:val="007F41D0"/>
    <w:rsid w:val="007F41D3"/>
    <w:rsid w:val="007F4316"/>
    <w:rsid w:val="007F435A"/>
    <w:rsid w:val="007F438E"/>
    <w:rsid w:val="007F4415"/>
    <w:rsid w:val="007F4423"/>
    <w:rsid w:val="007F4548"/>
    <w:rsid w:val="007F458D"/>
    <w:rsid w:val="007F4626"/>
    <w:rsid w:val="007F469A"/>
    <w:rsid w:val="007F46CC"/>
    <w:rsid w:val="007F48D8"/>
    <w:rsid w:val="007F4AAF"/>
    <w:rsid w:val="007F4C95"/>
    <w:rsid w:val="007F4D59"/>
    <w:rsid w:val="007F4F9E"/>
    <w:rsid w:val="007F505B"/>
    <w:rsid w:val="007F50DE"/>
    <w:rsid w:val="007F50F6"/>
    <w:rsid w:val="007F5128"/>
    <w:rsid w:val="007F541B"/>
    <w:rsid w:val="007F5422"/>
    <w:rsid w:val="007F5623"/>
    <w:rsid w:val="007F5AD4"/>
    <w:rsid w:val="007F5B75"/>
    <w:rsid w:val="007F5BC1"/>
    <w:rsid w:val="007F5C22"/>
    <w:rsid w:val="007F5D43"/>
    <w:rsid w:val="007F5E3A"/>
    <w:rsid w:val="007F5F64"/>
    <w:rsid w:val="007F600E"/>
    <w:rsid w:val="007F608B"/>
    <w:rsid w:val="007F60C8"/>
    <w:rsid w:val="007F60D3"/>
    <w:rsid w:val="007F6286"/>
    <w:rsid w:val="007F63A4"/>
    <w:rsid w:val="007F64A0"/>
    <w:rsid w:val="007F64D3"/>
    <w:rsid w:val="007F665D"/>
    <w:rsid w:val="007F666D"/>
    <w:rsid w:val="007F66FC"/>
    <w:rsid w:val="007F685D"/>
    <w:rsid w:val="007F6ABA"/>
    <w:rsid w:val="007F6C41"/>
    <w:rsid w:val="007F6D7D"/>
    <w:rsid w:val="007F6E0C"/>
    <w:rsid w:val="007F6F5D"/>
    <w:rsid w:val="007F703B"/>
    <w:rsid w:val="007F7145"/>
    <w:rsid w:val="007F7368"/>
    <w:rsid w:val="007F73DB"/>
    <w:rsid w:val="007F7599"/>
    <w:rsid w:val="007F7635"/>
    <w:rsid w:val="007F7942"/>
    <w:rsid w:val="007F79CF"/>
    <w:rsid w:val="007F79E3"/>
    <w:rsid w:val="007F79EE"/>
    <w:rsid w:val="007F7A02"/>
    <w:rsid w:val="007F7A45"/>
    <w:rsid w:val="007F7A48"/>
    <w:rsid w:val="007F7ABE"/>
    <w:rsid w:val="007F7B26"/>
    <w:rsid w:val="007F7C16"/>
    <w:rsid w:val="007F7C8A"/>
    <w:rsid w:val="007F7EF9"/>
    <w:rsid w:val="007F7F15"/>
    <w:rsid w:val="007F7FCC"/>
    <w:rsid w:val="00800174"/>
    <w:rsid w:val="00800220"/>
    <w:rsid w:val="008002F3"/>
    <w:rsid w:val="008005D8"/>
    <w:rsid w:val="00800681"/>
    <w:rsid w:val="00800930"/>
    <w:rsid w:val="0080095B"/>
    <w:rsid w:val="00800B2C"/>
    <w:rsid w:val="00800C76"/>
    <w:rsid w:val="00800D99"/>
    <w:rsid w:val="00800DE5"/>
    <w:rsid w:val="00800DF9"/>
    <w:rsid w:val="00800E97"/>
    <w:rsid w:val="00800F67"/>
    <w:rsid w:val="00800F83"/>
    <w:rsid w:val="00800FED"/>
    <w:rsid w:val="008010B2"/>
    <w:rsid w:val="008010F4"/>
    <w:rsid w:val="00801103"/>
    <w:rsid w:val="0080146D"/>
    <w:rsid w:val="0080147E"/>
    <w:rsid w:val="0080148E"/>
    <w:rsid w:val="0080149F"/>
    <w:rsid w:val="00801548"/>
    <w:rsid w:val="00801570"/>
    <w:rsid w:val="00801697"/>
    <w:rsid w:val="00801748"/>
    <w:rsid w:val="00801845"/>
    <w:rsid w:val="0080191D"/>
    <w:rsid w:val="00801A38"/>
    <w:rsid w:val="00801A46"/>
    <w:rsid w:val="00801B11"/>
    <w:rsid w:val="00801B53"/>
    <w:rsid w:val="00801B5F"/>
    <w:rsid w:val="00801C64"/>
    <w:rsid w:val="0080202F"/>
    <w:rsid w:val="0080215B"/>
    <w:rsid w:val="0080216B"/>
    <w:rsid w:val="008021D0"/>
    <w:rsid w:val="0080221D"/>
    <w:rsid w:val="0080239A"/>
    <w:rsid w:val="0080259D"/>
    <w:rsid w:val="00802666"/>
    <w:rsid w:val="0080275A"/>
    <w:rsid w:val="008027EE"/>
    <w:rsid w:val="00802967"/>
    <w:rsid w:val="0080298B"/>
    <w:rsid w:val="00802A5E"/>
    <w:rsid w:val="00802AA0"/>
    <w:rsid w:val="00802CE3"/>
    <w:rsid w:val="00802D58"/>
    <w:rsid w:val="00802DDF"/>
    <w:rsid w:val="00802FDC"/>
    <w:rsid w:val="00803088"/>
    <w:rsid w:val="0080357A"/>
    <w:rsid w:val="0080367F"/>
    <w:rsid w:val="0080377B"/>
    <w:rsid w:val="008037C5"/>
    <w:rsid w:val="00803808"/>
    <w:rsid w:val="008038E0"/>
    <w:rsid w:val="00803947"/>
    <w:rsid w:val="008039F0"/>
    <w:rsid w:val="00803A27"/>
    <w:rsid w:val="00803A7E"/>
    <w:rsid w:val="00803C19"/>
    <w:rsid w:val="00803E24"/>
    <w:rsid w:val="00803F5F"/>
    <w:rsid w:val="00803FE3"/>
    <w:rsid w:val="00804006"/>
    <w:rsid w:val="008040CA"/>
    <w:rsid w:val="0080414F"/>
    <w:rsid w:val="008041B1"/>
    <w:rsid w:val="00804257"/>
    <w:rsid w:val="00804443"/>
    <w:rsid w:val="008044B3"/>
    <w:rsid w:val="0080452F"/>
    <w:rsid w:val="008045AB"/>
    <w:rsid w:val="008046CE"/>
    <w:rsid w:val="008047CE"/>
    <w:rsid w:val="00804981"/>
    <w:rsid w:val="00804A0C"/>
    <w:rsid w:val="00804A98"/>
    <w:rsid w:val="00804CC6"/>
    <w:rsid w:val="00804D63"/>
    <w:rsid w:val="00804D9B"/>
    <w:rsid w:val="00805145"/>
    <w:rsid w:val="008053F8"/>
    <w:rsid w:val="00805406"/>
    <w:rsid w:val="00805426"/>
    <w:rsid w:val="008054CF"/>
    <w:rsid w:val="00805606"/>
    <w:rsid w:val="00805667"/>
    <w:rsid w:val="008057BD"/>
    <w:rsid w:val="00805854"/>
    <w:rsid w:val="00805B00"/>
    <w:rsid w:val="00805B2E"/>
    <w:rsid w:val="00805B94"/>
    <w:rsid w:val="00805C4C"/>
    <w:rsid w:val="00805C69"/>
    <w:rsid w:val="00805D1B"/>
    <w:rsid w:val="00805D74"/>
    <w:rsid w:val="00805DA4"/>
    <w:rsid w:val="00805EE5"/>
    <w:rsid w:val="0080611D"/>
    <w:rsid w:val="008061B0"/>
    <w:rsid w:val="008062E4"/>
    <w:rsid w:val="0080639B"/>
    <w:rsid w:val="008063FC"/>
    <w:rsid w:val="0080644C"/>
    <w:rsid w:val="00806483"/>
    <w:rsid w:val="008064EA"/>
    <w:rsid w:val="00806556"/>
    <w:rsid w:val="008065DF"/>
    <w:rsid w:val="00806688"/>
    <w:rsid w:val="0080669E"/>
    <w:rsid w:val="00806721"/>
    <w:rsid w:val="00806795"/>
    <w:rsid w:val="0080688F"/>
    <w:rsid w:val="008068BC"/>
    <w:rsid w:val="008069DF"/>
    <w:rsid w:val="00806A45"/>
    <w:rsid w:val="00806B6B"/>
    <w:rsid w:val="00806B9D"/>
    <w:rsid w:val="00806C15"/>
    <w:rsid w:val="00806C65"/>
    <w:rsid w:val="00806D0B"/>
    <w:rsid w:val="00806D4D"/>
    <w:rsid w:val="00806DFA"/>
    <w:rsid w:val="00806EC1"/>
    <w:rsid w:val="00806EC2"/>
    <w:rsid w:val="00807094"/>
    <w:rsid w:val="00807119"/>
    <w:rsid w:val="00807225"/>
    <w:rsid w:val="00807227"/>
    <w:rsid w:val="008072D8"/>
    <w:rsid w:val="00807391"/>
    <w:rsid w:val="00807441"/>
    <w:rsid w:val="008074A2"/>
    <w:rsid w:val="008074CB"/>
    <w:rsid w:val="0080753F"/>
    <w:rsid w:val="008075D9"/>
    <w:rsid w:val="008076CE"/>
    <w:rsid w:val="008077EE"/>
    <w:rsid w:val="00807889"/>
    <w:rsid w:val="008079EF"/>
    <w:rsid w:val="00807A95"/>
    <w:rsid w:val="00807AC5"/>
    <w:rsid w:val="00807D24"/>
    <w:rsid w:val="00807E6F"/>
    <w:rsid w:val="00807EC2"/>
    <w:rsid w:val="00807EEC"/>
    <w:rsid w:val="008100F7"/>
    <w:rsid w:val="00810184"/>
    <w:rsid w:val="008102ED"/>
    <w:rsid w:val="0081030C"/>
    <w:rsid w:val="00810375"/>
    <w:rsid w:val="00810499"/>
    <w:rsid w:val="008104A6"/>
    <w:rsid w:val="00810623"/>
    <w:rsid w:val="00810643"/>
    <w:rsid w:val="0081066C"/>
    <w:rsid w:val="00810771"/>
    <w:rsid w:val="00810774"/>
    <w:rsid w:val="0081081D"/>
    <w:rsid w:val="00810915"/>
    <w:rsid w:val="00810922"/>
    <w:rsid w:val="00810933"/>
    <w:rsid w:val="00810965"/>
    <w:rsid w:val="008109A5"/>
    <w:rsid w:val="008109D3"/>
    <w:rsid w:val="00810B91"/>
    <w:rsid w:val="00810D86"/>
    <w:rsid w:val="00810E8E"/>
    <w:rsid w:val="00810ECA"/>
    <w:rsid w:val="00810F10"/>
    <w:rsid w:val="00811137"/>
    <w:rsid w:val="00811286"/>
    <w:rsid w:val="008112B0"/>
    <w:rsid w:val="00811469"/>
    <w:rsid w:val="00811473"/>
    <w:rsid w:val="00811480"/>
    <w:rsid w:val="008114A8"/>
    <w:rsid w:val="008114B0"/>
    <w:rsid w:val="00811551"/>
    <w:rsid w:val="0081155F"/>
    <w:rsid w:val="00811667"/>
    <w:rsid w:val="00811BE7"/>
    <w:rsid w:val="00811C6D"/>
    <w:rsid w:val="00811C83"/>
    <w:rsid w:val="00811D37"/>
    <w:rsid w:val="00811E3B"/>
    <w:rsid w:val="00811E88"/>
    <w:rsid w:val="00811F47"/>
    <w:rsid w:val="00811F81"/>
    <w:rsid w:val="00811F8A"/>
    <w:rsid w:val="008120E7"/>
    <w:rsid w:val="00812167"/>
    <w:rsid w:val="00812239"/>
    <w:rsid w:val="0081230F"/>
    <w:rsid w:val="00812330"/>
    <w:rsid w:val="00812479"/>
    <w:rsid w:val="008126E1"/>
    <w:rsid w:val="0081287F"/>
    <w:rsid w:val="00812944"/>
    <w:rsid w:val="00812A4C"/>
    <w:rsid w:val="00812BD6"/>
    <w:rsid w:val="00812C35"/>
    <w:rsid w:val="00812FC9"/>
    <w:rsid w:val="00812FE1"/>
    <w:rsid w:val="00812FEB"/>
    <w:rsid w:val="0081303A"/>
    <w:rsid w:val="00813055"/>
    <w:rsid w:val="00813108"/>
    <w:rsid w:val="00813231"/>
    <w:rsid w:val="008132CF"/>
    <w:rsid w:val="008132FD"/>
    <w:rsid w:val="00813384"/>
    <w:rsid w:val="0081343B"/>
    <w:rsid w:val="008136AF"/>
    <w:rsid w:val="0081370E"/>
    <w:rsid w:val="008137D1"/>
    <w:rsid w:val="00813825"/>
    <w:rsid w:val="00813A52"/>
    <w:rsid w:val="00813BB6"/>
    <w:rsid w:val="00813D3F"/>
    <w:rsid w:val="00813E2C"/>
    <w:rsid w:val="00813E69"/>
    <w:rsid w:val="00813F8A"/>
    <w:rsid w:val="00814223"/>
    <w:rsid w:val="008144D3"/>
    <w:rsid w:val="00814657"/>
    <w:rsid w:val="00814671"/>
    <w:rsid w:val="008146CD"/>
    <w:rsid w:val="00814AEE"/>
    <w:rsid w:val="00814B3C"/>
    <w:rsid w:val="00814E93"/>
    <w:rsid w:val="00814FCC"/>
    <w:rsid w:val="00814FF3"/>
    <w:rsid w:val="00815064"/>
    <w:rsid w:val="008150AA"/>
    <w:rsid w:val="008150BE"/>
    <w:rsid w:val="008151EB"/>
    <w:rsid w:val="00815269"/>
    <w:rsid w:val="00815283"/>
    <w:rsid w:val="0081552E"/>
    <w:rsid w:val="0081554D"/>
    <w:rsid w:val="0081565C"/>
    <w:rsid w:val="008156AF"/>
    <w:rsid w:val="00815928"/>
    <w:rsid w:val="0081592F"/>
    <w:rsid w:val="00815993"/>
    <w:rsid w:val="00815A52"/>
    <w:rsid w:val="00815C5E"/>
    <w:rsid w:val="00815DD9"/>
    <w:rsid w:val="00815E0C"/>
    <w:rsid w:val="008160CC"/>
    <w:rsid w:val="00816130"/>
    <w:rsid w:val="00816140"/>
    <w:rsid w:val="0081615D"/>
    <w:rsid w:val="00816273"/>
    <w:rsid w:val="008163C7"/>
    <w:rsid w:val="00816412"/>
    <w:rsid w:val="00816534"/>
    <w:rsid w:val="0081656B"/>
    <w:rsid w:val="00816575"/>
    <w:rsid w:val="0081659C"/>
    <w:rsid w:val="00816605"/>
    <w:rsid w:val="00816706"/>
    <w:rsid w:val="00816709"/>
    <w:rsid w:val="00816773"/>
    <w:rsid w:val="00816846"/>
    <w:rsid w:val="00816857"/>
    <w:rsid w:val="008168DB"/>
    <w:rsid w:val="0081697B"/>
    <w:rsid w:val="008169C5"/>
    <w:rsid w:val="00816A59"/>
    <w:rsid w:val="00816B09"/>
    <w:rsid w:val="00816C12"/>
    <w:rsid w:val="00816EE8"/>
    <w:rsid w:val="00816FEE"/>
    <w:rsid w:val="00817040"/>
    <w:rsid w:val="008170F8"/>
    <w:rsid w:val="008171C3"/>
    <w:rsid w:val="00817227"/>
    <w:rsid w:val="00817269"/>
    <w:rsid w:val="008173B4"/>
    <w:rsid w:val="008173C3"/>
    <w:rsid w:val="0081743F"/>
    <w:rsid w:val="0081759E"/>
    <w:rsid w:val="00817629"/>
    <w:rsid w:val="00817669"/>
    <w:rsid w:val="00817771"/>
    <w:rsid w:val="008177B1"/>
    <w:rsid w:val="008177E2"/>
    <w:rsid w:val="00817824"/>
    <w:rsid w:val="008179CE"/>
    <w:rsid w:val="008179FB"/>
    <w:rsid w:val="00817A3F"/>
    <w:rsid w:val="00817A43"/>
    <w:rsid w:val="00817B2F"/>
    <w:rsid w:val="00817B9B"/>
    <w:rsid w:val="00817CD6"/>
    <w:rsid w:val="00817D5F"/>
    <w:rsid w:val="00817EC3"/>
    <w:rsid w:val="00817F0F"/>
    <w:rsid w:val="00820241"/>
    <w:rsid w:val="008203F6"/>
    <w:rsid w:val="00820431"/>
    <w:rsid w:val="0082043E"/>
    <w:rsid w:val="00820516"/>
    <w:rsid w:val="00820521"/>
    <w:rsid w:val="00820622"/>
    <w:rsid w:val="00820677"/>
    <w:rsid w:val="0082069B"/>
    <w:rsid w:val="008206B5"/>
    <w:rsid w:val="00820723"/>
    <w:rsid w:val="008207F4"/>
    <w:rsid w:val="00820843"/>
    <w:rsid w:val="008209BA"/>
    <w:rsid w:val="00820B93"/>
    <w:rsid w:val="00820BAC"/>
    <w:rsid w:val="00820BB1"/>
    <w:rsid w:val="00820BFE"/>
    <w:rsid w:val="00820C05"/>
    <w:rsid w:val="00820D38"/>
    <w:rsid w:val="00820D3E"/>
    <w:rsid w:val="00820D54"/>
    <w:rsid w:val="00820F86"/>
    <w:rsid w:val="0082108C"/>
    <w:rsid w:val="00821365"/>
    <w:rsid w:val="0082167E"/>
    <w:rsid w:val="0082191C"/>
    <w:rsid w:val="00821937"/>
    <w:rsid w:val="0082193C"/>
    <w:rsid w:val="008219B7"/>
    <w:rsid w:val="00821AA7"/>
    <w:rsid w:val="00821C2B"/>
    <w:rsid w:val="00821CE8"/>
    <w:rsid w:val="00821ED4"/>
    <w:rsid w:val="0082202F"/>
    <w:rsid w:val="00822217"/>
    <w:rsid w:val="0082222B"/>
    <w:rsid w:val="008222EF"/>
    <w:rsid w:val="00822349"/>
    <w:rsid w:val="0082244A"/>
    <w:rsid w:val="0082248C"/>
    <w:rsid w:val="008224C7"/>
    <w:rsid w:val="00822530"/>
    <w:rsid w:val="008226BC"/>
    <w:rsid w:val="00822764"/>
    <w:rsid w:val="0082277D"/>
    <w:rsid w:val="008227C5"/>
    <w:rsid w:val="008228CC"/>
    <w:rsid w:val="00822925"/>
    <w:rsid w:val="008229AE"/>
    <w:rsid w:val="00822A38"/>
    <w:rsid w:val="00822B05"/>
    <w:rsid w:val="00822E39"/>
    <w:rsid w:val="00822EC8"/>
    <w:rsid w:val="00823031"/>
    <w:rsid w:val="00823047"/>
    <w:rsid w:val="008231BD"/>
    <w:rsid w:val="008231CF"/>
    <w:rsid w:val="0082328E"/>
    <w:rsid w:val="00823311"/>
    <w:rsid w:val="0082339B"/>
    <w:rsid w:val="00823414"/>
    <w:rsid w:val="00823424"/>
    <w:rsid w:val="00823458"/>
    <w:rsid w:val="00823728"/>
    <w:rsid w:val="00823751"/>
    <w:rsid w:val="00823788"/>
    <w:rsid w:val="008237C2"/>
    <w:rsid w:val="00823872"/>
    <w:rsid w:val="008238C8"/>
    <w:rsid w:val="00823A89"/>
    <w:rsid w:val="00823B07"/>
    <w:rsid w:val="00823B39"/>
    <w:rsid w:val="00823C5E"/>
    <w:rsid w:val="00823C66"/>
    <w:rsid w:val="00823D28"/>
    <w:rsid w:val="00823D64"/>
    <w:rsid w:val="00823EA8"/>
    <w:rsid w:val="00823FD8"/>
    <w:rsid w:val="0082401B"/>
    <w:rsid w:val="0082417E"/>
    <w:rsid w:val="008241D3"/>
    <w:rsid w:val="008241F5"/>
    <w:rsid w:val="0082442E"/>
    <w:rsid w:val="0082443C"/>
    <w:rsid w:val="00824514"/>
    <w:rsid w:val="008245A4"/>
    <w:rsid w:val="008245D1"/>
    <w:rsid w:val="00824658"/>
    <w:rsid w:val="00824681"/>
    <w:rsid w:val="0082474D"/>
    <w:rsid w:val="0082487C"/>
    <w:rsid w:val="00824884"/>
    <w:rsid w:val="00824902"/>
    <w:rsid w:val="0082499D"/>
    <w:rsid w:val="00824A4E"/>
    <w:rsid w:val="00824B6A"/>
    <w:rsid w:val="00824F26"/>
    <w:rsid w:val="0082506B"/>
    <w:rsid w:val="00825101"/>
    <w:rsid w:val="0082534D"/>
    <w:rsid w:val="00825445"/>
    <w:rsid w:val="00825452"/>
    <w:rsid w:val="00825521"/>
    <w:rsid w:val="00825747"/>
    <w:rsid w:val="00825984"/>
    <w:rsid w:val="0082599A"/>
    <w:rsid w:val="00825AB6"/>
    <w:rsid w:val="00825BB8"/>
    <w:rsid w:val="00825C56"/>
    <w:rsid w:val="00825D9C"/>
    <w:rsid w:val="00825F6D"/>
    <w:rsid w:val="00826086"/>
    <w:rsid w:val="008260AF"/>
    <w:rsid w:val="008260F6"/>
    <w:rsid w:val="0082623A"/>
    <w:rsid w:val="008262CC"/>
    <w:rsid w:val="00826673"/>
    <w:rsid w:val="00826727"/>
    <w:rsid w:val="0082678F"/>
    <w:rsid w:val="008267F8"/>
    <w:rsid w:val="00826838"/>
    <w:rsid w:val="00826848"/>
    <w:rsid w:val="008268C3"/>
    <w:rsid w:val="008268F8"/>
    <w:rsid w:val="008269F2"/>
    <w:rsid w:val="00826B01"/>
    <w:rsid w:val="00826C9A"/>
    <w:rsid w:val="00826C9C"/>
    <w:rsid w:val="00826D25"/>
    <w:rsid w:val="00826D29"/>
    <w:rsid w:val="00826DCC"/>
    <w:rsid w:val="00826E24"/>
    <w:rsid w:val="00826E43"/>
    <w:rsid w:val="008271AE"/>
    <w:rsid w:val="008271D9"/>
    <w:rsid w:val="0082720E"/>
    <w:rsid w:val="0082724B"/>
    <w:rsid w:val="00827267"/>
    <w:rsid w:val="0082740A"/>
    <w:rsid w:val="0082748B"/>
    <w:rsid w:val="008274BD"/>
    <w:rsid w:val="00827566"/>
    <w:rsid w:val="00827599"/>
    <w:rsid w:val="0082776A"/>
    <w:rsid w:val="008277A2"/>
    <w:rsid w:val="00827876"/>
    <w:rsid w:val="008278C4"/>
    <w:rsid w:val="00827A1C"/>
    <w:rsid w:val="00827C65"/>
    <w:rsid w:val="00827D7E"/>
    <w:rsid w:val="00827E4D"/>
    <w:rsid w:val="00827ED1"/>
    <w:rsid w:val="00827FC6"/>
    <w:rsid w:val="00827FDB"/>
    <w:rsid w:val="00830127"/>
    <w:rsid w:val="008303D1"/>
    <w:rsid w:val="008303E9"/>
    <w:rsid w:val="0083060D"/>
    <w:rsid w:val="0083064A"/>
    <w:rsid w:val="00830668"/>
    <w:rsid w:val="008306C3"/>
    <w:rsid w:val="008308D7"/>
    <w:rsid w:val="00830941"/>
    <w:rsid w:val="00830954"/>
    <w:rsid w:val="00830E4F"/>
    <w:rsid w:val="00830E79"/>
    <w:rsid w:val="00830FD6"/>
    <w:rsid w:val="0083101E"/>
    <w:rsid w:val="0083103A"/>
    <w:rsid w:val="008310B2"/>
    <w:rsid w:val="008310CC"/>
    <w:rsid w:val="0083113F"/>
    <w:rsid w:val="00831198"/>
    <w:rsid w:val="0083120D"/>
    <w:rsid w:val="0083154E"/>
    <w:rsid w:val="0083163B"/>
    <w:rsid w:val="0083163F"/>
    <w:rsid w:val="00831683"/>
    <w:rsid w:val="00831765"/>
    <w:rsid w:val="0083182E"/>
    <w:rsid w:val="008318D5"/>
    <w:rsid w:val="0083196B"/>
    <w:rsid w:val="00831981"/>
    <w:rsid w:val="008319B7"/>
    <w:rsid w:val="00831C24"/>
    <w:rsid w:val="00831CB9"/>
    <w:rsid w:val="00831EA4"/>
    <w:rsid w:val="00831F54"/>
    <w:rsid w:val="00832256"/>
    <w:rsid w:val="0083235D"/>
    <w:rsid w:val="00832382"/>
    <w:rsid w:val="008323DC"/>
    <w:rsid w:val="00832446"/>
    <w:rsid w:val="008325DB"/>
    <w:rsid w:val="00832616"/>
    <w:rsid w:val="00832956"/>
    <w:rsid w:val="008329D5"/>
    <w:rsid w:val="00832A12"/>
    <w:rsid w:val="00832B29"/>
    <w:rsid w:val="00832B85"/>
    <w:rsid w:val="00832C2B"/>
    <w:rsid w:val="00832C52"/>
    <w:rsid w:val="00832D3B"/>
    <w:rsid w:val="00832D54"/>
    <w:rsid w:val="00832D8D"/>
    <w:rsid w:val="00832DF8"/>
    <w:rsid w:val="00832E94"/>
    <w:rsid w:val="00832EFD"/>
    <w:rsid w:val="0083308B"/>
    <w:rsid w:val="008330FB"/>
    <w:rsid w:val="00833112"/>
    <w:rsid w:val="00833427"/>
    <w:rsid w:val="008334D0"/>
    <w:rsid w:val="0083365C"/>
    <w:rsid w:val="00833730"/>
    <w:rsid w:val="008337EC"/>
    <w:rsid w:val="008337F5"/>
    <w:rsid w:val="00833808"/>
    <w:rsid w:val="0083381A"/>
    <w:rsid w:val="00833918"/>
    <w:rsid w:val="00833995"/>
    <w:rsid w:val="008339CE"/>
    <w:rsid w:val="008339E9"/>
    <w:rsid w:val="008339F5"/>
    <w:rsid w:val="00833B84"/>
    <w:rsid w:val="00833C14"/>
    <w:rsid w:val="00833C81"/>
    <w:rsid w:val="00833DA2"/>
    <w:rsid w:val="00833DF6"/>
    <w:rsid w:val="00833E81"/>
    <w:rsid w:val="00833F58"/>
    <w:rsid w:val="008340DF"/>
    <w:rsid w:val="008341CB"/>
    <w:rsid w:val="0083423B"/>
    <w:rsid w:val="0083439B"/>
    <w:rsid w:val="00834507"/>
    <w:rsid w:val="008346BE"/>
    <w:rsid w:val="008346EC"/>
    <w:rsid w:val="0083470C"/>
    <w:rsid w:val="00834775"/>
    <w:rsid w:val="00834833"/>
    <w:rsid w:val="008348EB"/>
    <w:rsid w:val="008349CD"/>
    <w:rsid w:val="00834A40"/>
    <w:rsid w:val="00834B08"/>
    <w:rsid w:val="00834C3D"/>
    <w:rsid w:val="00834CA5"/>
    <w:rsid w:val="00834D53"/>
    <w:rsid w:val="00834EA0"/>
    <w:rsid w:val="0083506F"/>
    <w:rsid w:val="00835168"/>
    <w:rsid w:val="008351E1"/>
    <w:rsid w:val="008352CD"/>
    <w:rsid w:val="008353AC"/>
    <w:rsid w:val="0083553D"/>
    <w:rsid w:val="008356BC"/>
    <w:rsid w:val="00835731"/>
    <w:rsid w:val="00835846"/>
    <w:rsid w:val="00835C61"/>
    <w:rsid w:val="00835D48"/>
    <w:rsid w:val="00835E15"/>
    <w:rsid w:val="0083603E"/>
    <w:rsid w:val="0083605B"/>
    <w:rsid w:val="008360BA"/>
    <w:rsid w:val="008360FC"/>
    <w:rsid w:val="0083611E"/>
    <w:rsid w:val="00836124"/>
    <w:rsid w:val="00836263"/>
    <w:rsid w:val="008362E1"/>
    <w:rsid w:val="00836372"/>
    <w:rsid w:val="00836408"/>
    <w:rsid w:val="00836466"/>
    <w:rsid w:val="00836489"/>
    <w:rsid w:val="008364BB"/>
    <w:rsid w:val="008365FA"/>
    <w:rsid w:val="0083675C"/>
    <w:rsid w:val="00836871"/>
    <w:rsid w:val="0083698F"/>
    <w:rsid w:val="00836A27"/>
    <w:rsid w:val="00836C2E"/>
    <w:rsid w:val="00836C34"/>
    <w:rsid w:val="00836C65"/>
    <w:rsid w:val="00836E31"/>
    <w:rsid w:val="00836F11"/>
    <w:rsid w:val="00836F12"/>
    <w:rsid w:val="00836FE5"/>
    <w:rsid w:val="008370F8"/>
    <w:rsid w:val="008371CF"/>
    <w:rsid w:val="0083730B"/>
    <w:rsid w:val="00837310"/>
    <w:rsid w:val="008373BB"/>
    <w:rsid w:val="008374FB"/>
    <w:rsid w:val="00837520"/>
    <w:rsid w:val="00837608"/>
    <w:rsid w:val="00837621"/>
    <w:rsid w:val="008376B6"/>
    <w:rsid w:val="008377F6"/>
    <w:rsid w:val="00837884"/>
    <w:rsid w:val="00837950"/>
    <w:rsid w:val="00837962"/>
    <w:rsid w:val="00837B4B"/>
    <w:rsid w:val="00837B4F"/>
    <w:rsid w:val="00837B7B"/>
    <w:rsid w:val="00837EAA"/>
    <w:rsid w:val="00837FDA"/>
    <w:rsid w:val="008400B5"/>
    <w:rsid w:val="008400F3"/>
    <w:rsid w:val="0084013B"/>
    <w:rsid w:val="00840221"/>
    <w:rsid w:val="00840239"/>
    <w:rsid w:val="00840409"/>
    <w:rsid w:val="0084041E"/>
    <w:rsid w:val="00840773"/>
    <w:rsid w:val="008407D4"/>
    <w:rsid w:val="0084084B"/>
    <w:rsid w:val="008408EF"/>
    <w:rsid w:val="0084093E"/>
    <w:rsid w:val="00841031"/>
    <w:rsid w:val="00841067"/>
    <w:rsid w:val="0084110C"/>
    <w:rsid w:val="008412B4"/>
    <w:rsid w:val="00841764"/>
    <w:rsid w:val="0084188F"/>
    <w:rsid w:val="008419FA"/>
    <w:rsid w:val="008419FB"/>
    <w:rsid w:val="00841AE6"/>
    <w:rsid w:val="00841F45"/>
    <w:rsid w:val="00842091"/>
    <w:rsid w:val="00842191"/>
    <w:rsid w:val="0084227E"/>
    <w:rsid w:val="00842326"/>
    <w:rsid w:val="0084237C"/>
    <w:rsid w:val="008424DF"/>
    <w:rsid w:val="00842789"/>
    <w:rsid w:val="00842897"/>
    <w:rsid w:val="00842A0D"/>
    <w:rsid w:val="00842A43"/>
    <w:rsid w:val="00842CF7"/>
    <w:rsid w:val="00842E18"/>
    <w:rsid w:val="00842FE0"/>
    <w:rsid w:val="00843051"/>
    <w:rsid w:val="00843072"/>
    <w:rsid w:val="0084313F"/>
    <w:rsid w:val="00843182"/>
    <w:rsid w:val="0084324F"/>
    <w:rsid w:val="00843336"/>
    <w:rsid w:val="008434AE"/>
    <w:rsid w:val="00843671"/>
    <w:rsid w:val="008438A6"/>
    <w:rsid w:val="00843915"/>
    <w:rsid w:val="0084398F"/>
    <w:rsid w:val="008439CB"/>
    <w:rsid w:val="00843A7E"/>
    <w:rsid w:val="00843A82"/>
    <w:rsid w:val="00843A87"/>
    <w:rsid w:val="00843E46"/>
    <w:rsid w:val="00843EAB"/>
    <w:rsid w:val="00843EB2"/>
    <w:rsid w:val="00843EE8"/>
    <w:rsid w:val="00844005"/>
    <w:rsid w:val="0084400B"/>
    <w:rsid w:val="00844032"/>
    <w:rsid w:val="00844146"/>
    <w:rsid w:val="008441F0"/>
    <w:rsid w:val="00844355"/>
    <w:rsid w:val="00844399"/>
    <w:rsid w:val="00844456"/>
    <w:rsid w:val="0084455D"/>
    <w:rsid w:val="0084456E"/>
    <w:rsid w:val="00844679"/>
    <w:rsid w:val="0084488F"/>
    <w:rsid w:val="008448AF"/>
    <w:rsid w:val="008449C5"/>
    <w:rsid w:val="00844A0E"/>
    <w:rsid w:val="00844B21"/>
    <w:rsid w:val="00844B2B"/>
    <w:rsid w:val="00844B35"/>
    <w:rsid w:val="00844F4A"/>
    <w:rsid w:val="008450BC"/>
    <w:rsid w:val="008450C3"/>
    <w:rsid w:val="008450E7"/>
    <w:rsid w:val="00845179"/>
    <w:rsid w:val="0084522B"/>
    <w:rsid w:val="0084529E"/>
    <w:rsid w:val="00845417"/>
    <w:rsid w:val="00845439"/>
    <w:rsid w:val="0084553B"/>
    <w:rsid w:val="0084554D"/>
    <w:rsid w:val="0084559F"/>
    <w:rsid w:val="008455AE"/>
    <w:rsid w:val="00845651"/>
    <w:rsid w:val="00845662"/>
    <w:rsid w:val="00845713"/>
    <w:rsid w:val="008457B4"/>
    <w:rsid w:val="00845826"/>
    <w:rsid w:val="008458C9"/>
    <w:rsid w:val="008458EA"/>
    <w:rsid w:val="00845A86"/>
    <w:rsid w:val="00845AA0"/>
    <w:rsid w:val="00845AC6"/>
    <w:rsid w:val="00845AC9"/>
    <w:rsid w:val="00845C01"/>
    <w:rsid w:val="00845C24"/>
    <w:rsid w:val="00845E39"/>
    <w:rsid w:val="00845E4A"/>
    <w:rsid w:val="00845EA3"/>
    <w:rsid w:val="00845FB2"/>
    <w:rsid w:val="008460B3"/>
    <w:rsid w:val="0084611F"/>
    <w:rsid w:val="00846273"/>
    <w:rsid w:val="008462B2"/>
    <w:rsid w:val="0084641F"/>
    <w:rsid w:val="008464C3"/>
    <w:rsid w:val="008465DB"/>
    <w:rsid w:val="00846945"/>
    <w:rsid w:val="00846A1C"/>
    <w:rsid w:val="00846B13"/>
    <w:rsid w:val="00846B17"/>
    <w:rsid w:val="00846CCA"/>
    <w:rsid w:val="00846CE9"/>
    <w:rsid w:val="00846D11"/>
    <w:rsid w:val="00846DAE"/>
    <w:rsid w:val="00846EA9"/>
    <w:rsid w:val="0084704A"/>
    <w:rsid w:val="0084722E"/>
    <w:rsid w:val="008472C5"/>
    <w:rsid w:val="00847370"/>
    <w:rsid w:val="008473BC"/>
    <w:rsid w:val="0084768C"/>
    <w:rsid w:val="008477EB"/>
    <w:rsid w:val="008478BF"/>
    <w:rsid w:val="00847AD8"/>
    <w:rsid w:val="00847FE0"/>
    <w:rsid w:val="00850064"/>
    <w:rsid w:val="008500F1"/>
    <w:rsid w:val="0085015F"/>
    <w:rsid w:val="00850182"/>
    <w:rsid w:val="008502DE"/>
    <w:rsid w:val="00850307"/>
    <w:rsid w:val="00850385"/>
    <w:rsid w:val="008503E4"/>
    <w:rsid w:val="008504D2"/>
    <w:rsid w:val="00850779"/>
    <w:rsid w:val="0085083B"/>
    <w:rsid w:val="008508C4"/>
    <w:rsid w:val="00850937"/>
    <w:rsid w:val="0085098A"/>
    <w:rsid w:val="00850ACB"/>
    <w:rsid w:val="00850B9A"/>
    <w:rsid w:val="00850C5F"/>
    <w:rsid w:val="00850DFD"/>
    <w:rsid w:val="00850E62"/>
    <w:rsid w:val="00850E76"/>
    <w:rsid w:val="00850FC0"/>
    <w:rsid w:val="00851013"/>
    <w:rsid w:val="00851032"/>
    <w:rsid w:val="00851195"/>
    <w:rsid w:val="008511E1"/>
    <w:rsid w:val="008512DB"/>
    <w:rsid w:val="00851325"/>
    <w:rsid w:val="00851547"/>
    <w:rsid w:val="008515DF"/>
    <w:rsid w:val="00851666"/>
    <w:rsid w:val="008516AD"/>
    <w:rsid w:val="00851940"/>
    <w:rsid w:val="00851966"/>
    <w:rsid w:val="00851A50"/>
    <w:rsid w:val="00851E36"/>
    <w:rsid w:val="00852182"/>
    <w:rsid w:val="00852392"/>
    <w:rsid w:val="008523BB"/>
    <w:rsid w:val="008523E3"/>
    <w:rsid w:val="00852410"/>
    <w:rsid w:val="008525B8"/>
    <w:rsid w:val="008525C4"/>
    <w:rsid w:val="008525F3"/>
    <w:rsid w:val="0085267B"/>
    <w:rsid w:val="0085274B"/>
    <w:rsid w:val="0085274D"/>
    <w:rsid w:val="00852754"/>
    <w:rsid w:val="0085276A"/>
    <w:rsid w:val="008527EB"/>
    <w:rsid w:val="00852800"/>
    <w:rsid w:val="0085285C"/>
    <w:rsid w:val="008528F0"/>
    <w:rsid w:val="008529B4"/>
    <w:rsid w:val="00852B1F"/>
    <w:rsid w:val="00852CB6"/>
    <w:rsid w:val="00852D3D"/>
    <w:rsid w:val="00852D95"/>
    <w:rsid w:val="00852DCD"/>
    <w:rsid w:val="00852DF3"/>
    <w:rsid w:val="00852F4D"/>
    <w:rsid w:val="00853131"/>
    <w:rsid w:val="008531D7"/>
    <w:rsid w:val="008531E1"/>
    <w:rsid w:val="0085330A"/>
    <w:rsid w:val="0085332F"/>
    <w:rsid w:val="0085333E"/>
    <w:rsid w:val="008533F3"/>
    <w:rsid w:val="008534F2"/>
    <w:rsid w:val="0085376D"/>
    <w:rsid w:val="00853AD1"/>
    <w:rsid w:val="00853DA5"/>
    <w:rsid w:val="008542E3"/>
    <w:rsid w:val="0085442A"/>
    <w:rsid w:val="00854556"/>
    <w:rsid w:val="008545A7"/>
    <w:rsid w:val="0085466C"/>
    <w:rsid w:val="0085471A"/>
    <w:rsid w:val="00854816"/>
    <w:rsid w:val="00854831"/>
    <w:rsid w:val="00854853"/>
    <w:rsid w:val="00854B2A"/>
    <w:rsid w:val="00854B42"/>
    <w:rsid w:val="00854C59"/>
    <w:rsid w:val="00854D5D"/>
    <w:rsid w:val="00854EBF"/>
    <w:rsid w:val="00854FF6"/>
    <w:rsid w:val="0085505B"/>
    <w:rsid w:val="00855295"/>
    <w:rsid w:val="008552DD"/>
    <w:rsid w:val="00855420"/>
    <w:rsid w:val="0085542D"/>
    <w:rsid w:val="0085543F"/>
    <w:rsid w:val="00855469"/>
    <w:rsid w:val="00855638"/>
    <w:rsid w:val="008556BB"/>
    <w:rsid w:val="00855856"/>
    <w:rsid w:val="0085596D"/>
    <w:rsid w:val="00855A41"/>
    <w:rsid w:val="00855BA4"/>
    <w:rsid w:val="00855DAC"/>
    <w:rsid w:val="00855E6E"/>
    <w:rsid w:val="00855FA8"/>
    <w:rsid w:val="00856108"/>
    <w:rsid w:val="0085636D"/>
    <w:rsid w:val="00856469"/>
    <w:rsid w:val="0085656C"/>
    <w:rsid w:val="008566F3"/>
    <w:rsid w:val="008568D2"/>
    <w:rsid w:val="0085697E"/>
    <w:rsid w:val="00856C07"/>
    <w:rsid w:val="00856D05"/>
    <w:rsid w:val="00856E82"/>
    <w:rsid w:val="00857016"/>
    <w:rsid w:val="0085724B"/>
    <w:rsid w:val="008572DC"/>
    <w:rsid w:val="00857323"/>
    <w:rsid w:val="00857363"/>
    <w:rsid w:val="008573A9"/>
    <w:rsid w:val="00857459"/>
    <w:rsid w:val="00857482"/>
    <w:rsid w:val="0085761A"/>
    <w:rsid w:val="008576CC"/>
    <w:rsid w:val="008577A2"/>
    <w:rsid w:val="00857906"/>
    <w:rsid w:val="00857908"/>
    <w:rsid w:val="00857972"/>
    <w:rsid w:val="00857AD6"/>
    <w:rsid w:val="00857B57"/>
    <w:rsid w:val="00857BF0"/>
    <w:rsid w:val="00857CE9"/>
    <w:rsid w:val="00857D77"/>
    <w:rsid w:val="00857DB4"/>
    <w:rsid w:val="00857DEE"/>
    <w:rsid w:val="00857EFD"/>
    <w:rsid w:val="00857EFF"/>
    <w:rsid w:val="00857F06"/>
    <w:rsid w:val="00857F17"/>
    <w:rsid w:val="00857F4D"/>
    <w:rsid w:val="00857F77"/>
    <w:rsid w:val="0086024D"/>
    <w:rsid w:val="00860274"/>
    <w:rsid w:val="0086029C"/>
    <w:rsid w:val="008602AA"/>
    <w:rsid w:val="008603F5"/>
    <w:rsid w:val="00860413"/>
    <w:rsid w:val="0086053F"/>
    <w:rsid w:val="008606DA"/>
    <w:rsid w:val="008607A9"/>
    <w:rsid w:val="008607DB"/>
    <w:rsid w:val="0086081D"/>
    <w:rsid w:val="0086083E"/>
    <w:rsid w:val="00860874"/>
    <w:rsid w:val="0086094C"/>
    <w:rsid w:val="00860BC6"/>
    <w:rsid w:val="00860C83"/>
    <w:rsid w:val="00860E30"/>
    <w:rsid w:val="00860EA3"/>
    <w:rsid w:val="00860F81"/>
    <w:rsid w:val="00861177"/>
    <w:rsid w:val="008611FE"/>
    <w:rsid w:val="0086125B"/>
    <w:rsid w:val="00861337"/>
    <w:rsid w:val="0086150C"/>
    <w:rsid w:val="00861754"/>
    <w:rsid w:val="0086183F"/>
    <w:rsid w:val="00861A3C"/>
    <w:rsid w:val="00861B12"/>
    <w:rsid w:val="00861B50"/>
    <w:rsid w:val="00861C49"/>
    <w:rsid w:val="00861D84"/>
    <w:rsid w:val="00861E6A"/>
    <w:rsid w:val="00861E9C"/>
    <w:rsid w:val="00862034"/>
    <w:rsid w:val="0086211D"/>
    <w:rsid w:val="0086225F"/>
    <w:rsid w:val="0086226F"/>
    <w:rsid w:val="008622C4"/>
    <w:rsid w:val="00862411"/>
    <w:rsid w:val="008625BE"/>
    <w:rsid w:val="00862601"/>
    <w:rsid w:val="008626B6"/>
    <w:rsid w:val="008626D4"/>
    <w:rsid w:val="008627B0"/>
    <w:rsid w:val="00862B85"/>
    <w:rsid w:val="00862C70"/>
    <w:rsid w:val="00862C96"/>
    <w:rsid w:val="00862D42"/>
    <w:rsid w:val="00862E88"/>
    <w:rsid w:val="00862F2F"/>
    <w:rsid w:val="00863103"/>
    <w:rsid w:val="008631E3"/>
    <w:rsid w:val="00863245"/>
    <w:rsid w:val="008632D2"/>
    <w:rsid w:val="00863345"/>
    <w:rsid w:val="00863391"/>
    <w:rsid w:val="00863420"/>
    <w:rsid w:val="00863455"/>
    <w:rsid w:val="00863558"/>
    <w:rsid w:val="00863575"/>
    <w:rsid w:val="008635CB"/>
    <w:rsid w:val="0086373D"/>
    <w:rsid w:val="0086390B"/>
    <w:rsid w:val="008639F3"/>
    <w:rsid w:val="00863AF0"/>
    <w:rsid w:val="00863B5F"/>
    <w:rsid w:val="00863B70"/>
    <w:rsid w:val="00863BD1"/>
    <w:rsid w:val="00863CDF"/>
    <w:rsid w:val="00863D27"/>
    <w:rsid w:val="00863E70"/>
    <w:rsid w:val="00863EA6"/>
    <w:rsid w:val="00863F56"/>
    <w:rsid w:val="00864321"/>
    <w:rsid w:val="00864325"/>
    <w:rsid w:val="00864478"/>
    <w:rsid w:val="008646DE"/>
    <w:rsid w:val="00864737"/>
    <w:rsid w:val="00864757"/>
    <w:rsid w:val="0086479A"/>
    <w:rsid w:val="00864883"/>
    <w:rsid w:val="008648BE"/>
    <w:rsid w:val="008648C1"/>
    <w:rsid w:val="008648EB"/>
    <w:rsid w:val="008649F3"/>
    <w:rsid w:val="00864A48"/>
    <w:rsid w:val="00864A5D"/>
    <w:rsid w:val="00864A86"/>
    <w:rsid w:val="00864C22"/>
    <w:rsid w:val="00864CE4"/>
    <w:rsid w:val="00864D18"/>
    <w:rsid w:val="00864E09"/>
    <w:rsid w:val="00864E80"/>
    <w:rsid w:val="00864F59"/>
    <w:rsid w:val="00865054"/>
    <w:rsid w:val="00865194"/>
    <w:rsid w:val="0086543F"/>
    <w:rsid w:val="00865453"/>
    <w:rsid w:val="00865623"/>
    <w:rsid w:val="00865746"/>
    <w:rsid w:val="008657A4"/>
    <w:rsid w:val="008658E3"/>
    <w:rsid w:val="0086597D"/>
    <w:rsid w:val="008659A5"/>
    <w:rsid w:val="00865A80"/>
    <w:rsid w:val="00865B6B"/>
    <w:rsid w:val="00865EF7"/>
    <w:rsid w:val="00865F58"/>
    <w:rsid w:val="00865F5C"/>
    <w:rsid w:val="00865F9C"/>
    <w:rsid w:val="00865FF1"/>
    <w:rsid w:val="00866004"/>
    <w:rsid w:val="00866051"/>
    <w:rsid w:val="008660CD"/>
    <w:rsid w:val="008664B1"/>
    <w:rsid w:val="00866530"/>
    <w:rsid w:val="00866577"/>
    <w:rsid w:val="0086658D"/>
    <w:rsid w:val="008665AB"/>
    <w:rsid w:val="00866750"/>
    <w:rsid w:val="00866842"/>
    <w:rsid w:val="00866994"/>
    <w:rsid w:val="00866C4F"/>
    <w:rsid w:val="00866C88"/>
    <w:rsid w:val="00866CD8"/>
    <w:rsid w:val="00866F7B"/>
    <w:rsid w:val="00866FCD"/>
    <w:rsid w:val="00866FF1"/>
    <w:rsid w:val="00867082"/>
    <w:rsid w:val="00867196"/>
    <w:rsid w:val="008671F3"/>
    <w:rsid w:val="00867273"/>
    <w:rsid w:val="008672D7"/>
    <w:rsid w:val="0086744F"/>
    <w:rsid w:val="00867479"/>
    <w:rsid w:val="00867653"/>
    <w:rsid w:val="008676E5"/>
    <w:rsid w:val="00867787"/>
    <w:rsid w:val="0086784F"/>
    <w:rsid w:val="00867910"/>
    <w:rsid w:val="00867A2A"/>
    <w:rsid w:val="00867A48"/>
    <w:rsid w:val="00867ADE"/>
    <w:rsid w:val="00867B66"/>
    <w:rsid w:val="00867B68"/>
    <w:rsid w:val="00867BC8"/>
    <w:rsid w:val="00867C9E"/>
    <w:rsid w:val="00867D9D"/>
    <w:rsid w:val="00867E12"/>
    <w:rsid w:val="00867E1B"/>
    <w:rsid w:val="00867E1D"/>
    <w:rsid w:val="00867E49"/>
    <w:rsid w:val="00867F36"/>
    <w:rsid w:val="00867FFD"/>
    <w:rsid w:val="008701FF"/>
    <w:rsid w:val="008702D8"/>
    <w:rsid w:val="00870492"/>
    <w:rsid w:val="008704F5"/>
    <w:rsid w:val="008707B9"/>
    <w:rsid w:val="008707C3"/>
    <w:rsid w:val="00870A91"/>
    <w:rsid w:val="00870D4D"/>
    <w:rsid w:val="00870D71"/>
    <w:rsid w:val="00870EBE"/>
    <w:rsid w:val="00870F9A"/>
    <w:rsid w:val="0087103E"/>
    <w:rsid w:val="0087106C"/>
    <w:rsid w:val="00871083"/>
    <w:rsid w:val="00871087"/>
    <w:rsid w:val="00871090"/>
    <w:rsid w:val="008711E3"/>
    <w:rsid w:val="00871267"/>
    <w:rsid w:val="008712C6"/>
    <w:rsid w:val="00871453"/>
    <w:rsid w:val="0087155B"/>
    <w:rsid w:val="00871637"/>
    <w:rsid w:val="008716AE"/>
    <w:rsid w:val="008719DA"/>
    <w:rsid w:val="00871BAF"/>
    <w:rsid w:val="00871BE8"/>
    <w:rsid w:val="00871BFE"/>
    <w:rsid w:val="00871C06"/>
    <w:rsid w:val="00871DB6"/>
    <w:rsid w:val="00871E96"/>
    <w:rsid w:val="00871F5D"/>
    <w:rsid w:val="00871F89"/>
    <w:rsid w:val="00872025"/>
    <w:rsid w:val="00872084"/>
    <w:rsid w:val="00872095"/>
    <w:rsid w:val="008720F2"/>
    <w:rsid w:val="0087215D"/>
    <w:rsid w:val="00872202"/>
    <w:rsid w:val="00872206"/>
    <w:rsid w:val="0087225E"/>
    <w:rsid w:val="008722D5"/>
    <w:rsid w:val="00872368"/>
    <w:rsid w:val="008723D2"/>
    <w:rsid w:val="0087241D"/>
    <w:rsid w:val="0087257C"/>
    <w:rsid w:val="00872AB7"/>
    <w:rsid w:val="00872B40"/>
    <w:rsid w:val="00872B80"/>
    <w:rsid w:val="00872B9D"/>
    <w:rsid w:val="00872C29"/>
    <w:rsid w:val="00872C78"/>
    <w:rsid w:val="00872C84"/>
    <w:rsid w:val="00872CDF"/>
    <w:rsid w:val="00872F12"/>
    <w:rsid w:val="00872F68"/>
    <w:rsid w:val="00873226"/>
    <w:rsid w:val="008732E5"/>
    <w:rsid w:val="00873506"/>
    <w:rsid w:val="0087357A"/>
    <w:rsid w:val="008735A0"/>
    <w:rsid w:val="008735AB"/>
    <w:rsid w:val="00873611"/>
    <w:rsid w:val="00873642"/>
    <w:rsid w:val="008737FD"/>
    <w:rsid w:val="00873836"/>
    <w:rsid w:val="008738C3"/>
    <w:rsid w:val="00873973"/>
    <w:rsid w:val="00873988"/>
    <w:rsid w:val="00873A46"/>
    <w:rsid w:val="00873A79"/>
    <w:rsid w:val="00873B9B"/>
    <w:rsid w:val="00873BB3"/>
    <w:rsid w:val="00873C82"/>
    <w:rsid w:val="00873CCC"/>
    <w:rsid w:val="00873D3A"/>
    <w:rsid w:val="00873D51"/>
    <w:rsid w:val="00873E23"/>
    <w:rsid w:val="00874123"/>
    <w:rsid w:val="008741F8"/>
    <w:rsid w:val="00874250"/>
    <w:rsid w:val="008742BB"/>
    <w:rsid w:val="00874365"/>
    <w:rsid w:val="008743EF"/>
    <w:rsid w:val="008743F0"/>
    <w:rsid w:val="008744B3"/>
    <w:rsid w:val="0087458B"/>
    <w:rsid w:val="00874596"/>
    <w:rsid w:val="00874598"/>
    <w:rsid w:val="00874651"/>
    <w:rsid w:val="008746D7"/>
    <w:rsid w:val="00874895"/>
    <w:rsid w:val="00874896"/>
    <w:rsid w:val="008748BE"/>
    <w:rsid w:val="0087497B"/>
    <w:rsid w:val="008749E1"/>
    <w:rsid w:val="008749F3"/>
    <w:rsid w:val="00874BD7"/>
    <w:rsid w:val="00874C1B"/>
    <w:rsid w:val="00874DA9"/>
    <w:rsid w:val="00874E00"/>
    <w:rsid w:val="00874E62"/>
    <w:rsid w:val="00874ED2"/>
    <w:rsid w:val="00874EDA"/>
    <w:rsid w:val="00874EE7"/>
    <w:rsid w:val="00874F64"/>
    <w:rsid w:val="008752A9"/>
    <w:rsid w:val="00875374"/>
    <w:rsid w:val="00875440"/>
    <w:rsid w:val="00875504"/>
    <w:rsid w:val="00875580"/>
    <w:rsid w:val="008755D2"/>
    <w:rsid w:val="008756C3"/>
    <w:rsid w:val="008756ED"/>
    <w:rsid w:val="00875768"/>
    <w:rsid w:val="008758EA"/>
    <w:rsid w:val="00875A2E"/>
    <w:rsid w:val="00875AC0"/>
    <w:rsid w:val="00875B11"/>
    <w:rsid w:val="00875BF6"/>
    <w:rsid w:val="00875C5F"/>
    <w:rsid w:val="00875EE7"/>
    <w:rsid w:val="00875FBC"/>
    <w:rsid w:val="00875FE2"/>
    <w:rsid w:val="00876027"/>
    <w:rsid w:val="00876077"/>
    <w:rsid w:val="008760B3"/>
    <w:rsid w:val="008760F2"/>
    <w:rsid w:val="00876320"/>
    <w:rsid w:val="0087636D"/>
    <w:rsid w:val="00876477"/>
    <w:rsid w:val="00876497"/>
    <w:rsid w:val="008764CB"/>
    <w:rsid w:val="0087652C"/>
    <w:rsid w:val="008766B5"/>
    <w:rsid w:val="008767F3"/>
    <w:rsid w:val="0087689A"/>
    <w:rsid w:val="008768E2"/>
    <w:rsid w:val="008769CB"/>
    <w:rsid w:val="008769CE"/>
    <w:rsid w:val="00876A85"/>
    <w:rsid w:val="00876AEC"/>
    <w:rsid w:val="00876AFC"/>
    <w:rsid w:val="00876CCA"/>
    <w:rsid w:val="0087703D"/>
    <w:rsid w:val="008770F0"/>
    <w:rsid w:val="0087713F"/>
    <w:rsid w:val="00877154"/>
    <w:rsid w:val="0087721E"/>
    <w:rsid w:val="00877292"/>
    <w:rsid w:val="0087729A"/>
    <w:rsid w:val="0087758C"/>
    <w:rsid w:val="0087760E"/>
    <w:rsid w:val="00877644"/>
    <w:rsid w:val="00877660"/>
    <w:rsid w:val="008776E3"/>
    <w:rsid w:val="00877735"/>
    <w:rsid w:val="008777B5"/>
    <w:rsid w:val="0087784E"/>
    <w:rsid w:val="008778E2"/>
    <w:rsid w:val="00877A09"/>
    <w:rsid w:val="00877A99"/>
    <w:rsid w:val="00877AE2"/>
    <w:rsid w:val="00877E4B"/>
    <w:rsid w:val="00877FD3"/>
    <w:rsid w:val="00880043"/>
    <w:rsid w:val="00880066"/>
    <w:rsid w:val="00880119"/>
    <w:rsid w:val="008803CE"/>
    <w:rsid w:val="008803EA"/>
    <w:rsid w:val="00880449"/>
    <w:rsid w:val="00880674"/>
    <w:rsid w:val="008807A0"/>
    <w:rsid w:val="00880900"/>
    <w:rsid w:val="0088096B"/>
    <w:rsid w:val="00880B30"/>
    <w:rsid w:val="00880BC6"/>
    <w:rsid w:val="00880CA2"/>
    <w:rsid w:val="00880E23"/>
    <w:rsid w:val="00880ECF"/>
    <w:rsid w:val="00880F02"/>
    <w:rsid w:val="00880F23"/>
    <w:rsid w:val="00880F5E"/>
    <w:rsid w:val="00881017"/>
    <w:rsid w:val="00881031"/>
    <w:rsid w:val="00881049"/>
    <w:rsid w:val="00881110"/>
    <w:rsid w:val="00881145"/>
    <w:rsid w:val="008814FE"/>
    <w:rsid w:val="0088151B"/>
    <w:rsid w:val="0088167C"/>
    <w:rsid w:val="0088181E"/>
    <w:rsid w:val="00881872"/>
    <w:rsid w:val="008818C8"/>
    <w:rsid w:val="008819BA"/>
    <w:rsid w:val="008819CB"/>
    <w:rsid w:val="00881AF3"/>
    <w:rsid w:val="00881AF8"/>
    <w:rsid w:val="00881B42"/>
    <w:rsid w:val="00881DA6"/>
    <w:rsid w:val="00882002"/>
    <w:rsid w:val="0088204B"/>
    <w:rsid w:val="0088209A"/>
    <w:rsid w:val="00882133"/>
    <w:rsid w:val="00882343"/>
    <w:rsid w:val="00882383"/>
    <w:rsid w:val="008823A8"/>
    <w:rsid w:val="008824AF"/>
    <w:rsid w:val="00882527"/>
    <w:rsid w:val="008825AC"/>
    <w:rsid w:val="00882A9D"/>
    <w:rsid w:val="00882AE1"/>
    <w:rsid w:val="00882EE4"/>
    <w:rsid w:val="00882FD4"/>
    <w:rsid w:val="008830C9"/>
    <w:rsid w:val="008831C5"/>
    <w:rsid w:val="0088374B"/>
    <w:rsid w:val="00883788"/>
    <w:rsid w:val="008837F0"/>
    <w:rsid w:val="00883A0E"/>
    <w:rsid w:val="00883A82"/>
    <w:rsid w:val="00883B01"/>
    <w:rsid w:val="00883C7B"/>
    <w:rsid w:val="00883DA3"/>
    <w:rsid w:val="00883EF2"/>
    <w:rsid w:val="00883F23"/>
    <w:rsid w:val="0088429B"/>
    <w:rsid w:val="008843A5"/>
    <w:rsid w:val="00884497"/>
    <w:rsid w:val="008844E1"/>
    <w:rsid w:val="00884670"/>
    <w:rsid w:val="00884681"/>
    <w:rsid w:val="00884948"/>
    <w:rsid w:val="00884B37"/>
    <w:rsid w:val="00884B7B"/>
    <w:rsid w:val="00884D07"/>
    <w:rsid w:val="00884E2E"/>
    <w:rsid w:val="00884EBD"/>
    <w:rsid w:val="00884F04"/>
    <w:rsid w:val="00884F09"/>
    <w:rsid w:val="00884F47"/>
    <w:rsid w:val="00884F53"/>
    <w:rsid w:val="00884F6D"/>
    <w:rsid w:val="00885012"/>
    <w:rsid w:val="00885062"/>
    <w:rsid w:val="008850FD"/>
    <w:rsid w:val="00885135"/>
    <w:rsid w:val="0088513D"/>
    <w:rsid w:val="00885158"/>
    <w:rsid w:val="00885347"/>
    <w:rsid w:val="008853B7"/>
    <w:rsid w:val="0088541F"/>
    <w:rsid w:val="00885429"/>
    <w:rsid w:val="00885475"/>
    <w:rsid w:val="008856E6"/>
    <w:rsid w:val="008856E9"/>
    <w:rsid w:val="00885767"/>
    <w:rsid w:val="00885921"/>
    <w:rsid w:val="00885A54"/>
    <w:rsid w:val="00885A95"/>
    <w:rsid w:val="00885C04"/>
    <w:rsid w:val="00885C2B"/>
    <w:rsid w:val="00885C3D"/>
    <w:rsid w:val="00885C7B"/>
    <w:rsid w:val="00885CF6"/>
    <w:rsid w:val="00885D0C"/>
    <w:rsid w:val="00885DB2"/>
    <w:rsid w:val="00885DF5"/>
    <w:rsid w:val="00885EEE"/>
    <w:rsid w:val="008860C1"/>
    <w:rsid w:val="0088624E"/>
    <w:rsid w:val="00886274"/>
    <w:rsid w:val="0088630C"/>
    <w:rsid w:val="008863E7"/>
    <w:rsid w:val="00886466"/>
    <w:rsid w:val="00886573"/>
    <w:rsid w:val="008865F3"/>
    <w:rsid w:val="008866CF"/>
    <w:rsid w:val="008867A6"/>
    <w:rsid w:val="008867D8"/>
    <w:rsid w:val="0088698A"/>
    <w:rsid w:val="00886A8E"/>
    <w:rsid w:val="00886B6B"/>
    <w:rsid w:val="00886B83"/>
    <w:rsid w:val="00886B8B"/>
    <w:rsid w:val="00886C7B"/>
    <w:rsid w:val="00886D81"/>
    <w:rsid w:val="00886DC0"/>
    <w:rsid w:val="00886ED1"/>
    <w:rsid w:val="00887004"/>
    <w:rsid w:val="008871AB"/>
    <w:rsid w:val="0088723A"/>
    <w:rsid w:val="00887296"/>
    <w:rsid w:val="008873DC"/>
    <w:rsid w:val="00887483"/>
    <w:rsid w:val="0088757B"/>
    <w:rsid w:val="0088770A"/>
    <w:rsid w:val="00887724"/>
    <w:rsid w:val="008878DA"/>
    <w:rsid w:val="008878F5"/>
    <w:rsid w:val="00887947"/>
    <w:rsid w:val="00887A61"/>
    <w:rsid w:val="00887B9D"/>
    <w:rsid w:val="00887EA1"/>
    <w:rsid w:val="008900CD"/>
    <w:rsid w:val="008901EE"/>
    <w:rsid w:val="008903F9"/>
    <w:rsid w:val="008904D2"/>
    <w:rsid w:val="00890760"/>
    <w:rsid w:val="00890770"/>
    <w:rsid w:val="008907D4"/>
    <w:rsid w:val="00890A8E"/>
    <w:rsid w:val="00890B5A"/>
    <w:rsid w:val="00890B97"/>
    <w:rsid w:val="00890BC9"/>
    <w:rsid w:val="00890CF7"/>
    <w:rsid w:val="00890F64"/>
    <w:rsid w:val="00891321"/>
    <w:rsid w:val="008913C0"/>
    <w:rsid w:val="00891423"/>
    <w:rsid w:val="00891491"/>
    <w:rsid w:val="008914AC"/>
    <w:rsid w:val="00891545"/>
    <w:rsid w:val="0089163D"/>
    <w:rsid w:val="008917A1"/>
    <w:rsid w:val="00891930"/>
    <w:rsid w:val="008919BD"/>
    <w:rsid w:val="008919FB"/>
    <w:rsid w:val="00891AAB"/>
    <w:rsid w:val="00891BA1"/>
    <w:rsid w:val="00891BC9"/>
    <w:rsid w:val="00891C2A"/>
    <w:rsid w:val="00891C9D"/>
    <w:rsid w:val="00891CBB"/>
    <w:rsid w:val="00891D37"/>
    <w:rsid w:val="00891D65"/>
    <w:rsid w:val="00891DFC"/>
    <w:rsid w:val="00891E5C"/>
    <w:rsid w:val="00891F09"/>
    <w:rsid w:val="00892112"/>
    <w:rsid w:val="00892179"/>
    <w:rsid w:val="0089229C"/>
    <w:rsid w:val="0089232B"/>
    <w:rsid w:val="008924A5"/>
    <w:rsid w:val="0089254E"/>
    <w:rsid w:val="00892563"/>
    <w:rsid w:val="0089258C"/>
    <w:rsid w:val="008925FE"/>
    <w:rsid w:val="00892767"/>
    <w:rsid w:val="00892A4A"/>
    <w:rsid w:val="00892AF3"/>
    <w:rsid w:val="00892C62"/>
    <w:rsid w:val="00892C90"/>
    <w:rsid w:val="00892C97"/>
    <w:rsid w:val="00892CAF"/>
    <w:rsid w:val="00892D7B"/>
    <w:rsid w:val="00892E71"/>
    <w:rsid w:val="00892EEC"/>
    <w:rsid w:val="00892F76"/>
    <w:rsid w:val="00892FB0"/>
    <w:rsid w:val="0089309B"/>
    <w:rsid w:val="0089310E"/>
    <w:rsid w:val="0089328A"/>
    <w:rsid w:val="008932AA"/>
    <w:rsid w:val="00893441"/>
    <w:rsid w:val="008937C1"/>
    <w:rsid w:val="0089384D"/>
    <w:rsid w:val="00893887"/>
    <w:rsid w:val="0089396F"/>
    <w:rsid w:val="00893C43"/>
    <w:rsid w:val="00893CEB"/>
    <w:rsid w:val="00893D33"/>
    <w:rsid w:val="00893D60"/>
    <w:rsid w:val="00893D6B"/>
    <w:rsid w:val="00893DFA"/>
    <w:rsid w:val="00893E6B"/>
    <w:rsid w:val="00893F64"/>
    <w:rsid w:val="00894009"/>
    <w:rsid w:val="00894021"/>
    <w:rsid w:val="00894072"/>
    <w:rsid w:val="008940E2"/>
    <w:rsid w:val="00894125"/>
    <w:rsid w:val="00894432"/>
    <w:rsid w:val="0089443D"/>
    <w:rsid w:val="00894451"/>
    <w:rsid w:val="008944CF"/>
    <w:rsid w:val="008944E0"/>
    <w:rsid w:val="00894532"/>
    <w:rsid w:val="0089453B"/>
    <w:rsid w:val="00894683"/>
    <w:rsid w:val="00894738"/>
    <w:rsid w:val="00894B61"/>
    <w:rsid w:val="00894B76"/>
    <w:rsid w:val="00894D1A"/>
    <w:rsid w:val="00894F21"/>
    <w:rsid w:val="00894F7C"/>
    <w:rsid w:val="00894F8E"/>
    <w:rsid w:val="00894FD0"/>
    <w:rsid w:val="00894FD9"/>
    <w:rsid w:val="00895030"/>
    <w:rsid w:val="00895496"/>
    <w:rsid w:val="008955A2"/>
    <w:rsid w:val="0089561E"/>
    <w:rsid w:val="0089569B"/>
    <w:rsid w:val="00895967"/>
    <w:rsid w:val="00895ABC"/>
    <w:rsid w:val="00895B11"/>
    <w:rsid w:val="00895BA8"/>
    <w:rsid w:val="00895D06"/>
    <w:rsid w:val="00895EAE"/>
    <w:rsid w:val="00895EF0"/>
    <w:rsid w:val="00895F4B"/>
    <w:rsid w:val="00895F81"/>
    <w:rsid w:val="00895FFB"/>
    <w:rsid w:val="00896042"/>
    <w:rsid w:val="00896327"/>
    <w:rsid w:val="0089640F"/>
    <w:rsid w:val="008967E1"/>
    <w:rsid w:val="00896A83"/>
    <w:rsid w:val="00896DD3"/>
    <w:rsid w:val="00896E62"/>
    <w:rsid w:val="00897068"/>
    <w:rsid w:val="0089711B"/>
    <w:rsid w:val="008971A3"/>
    <w:rsid w:val="0089746D"/>
    <w:rsid w:val="00897586"/>
    <w:rsid w:val="00897703"/>
    <w:rsid w:val="008977F4"/>
    <w:rsid w:val="008978EA"/>
    <w:rsid w:val="00897B85"/>
    <w:rsid w:val="00897BA7"/>
    <w:rsid w:val="00897C3E"/>
    <w:rsid w:val="00897CF1"/>
    <w:rsid w:val="00897DA6"/>
    <w:rsid w:val="00897DC4"/>
    <w:rsid w:val="00897E59"/>
    <w:rsid w:val="00897EE6"/>
    <w:rsid w:val="008A0045"/>
    <w:rsid w:val="008A0114"/>
    <w:rsid w:val="008A01F5"/>
    <w:rsid w:val="008A02D6"/>
    <w:rsid w:val="008A039F"/>
    <w:rsid w:val="008A0496"/>
    <w:rsid w:val="008A04A2"/>
    <w:rsid w:val="008A050B"/>
    <w:rsid w:val="008A0553"/>
    <w:rsid w:val="008A07A9"/>
    <w:rsid w:val="008A07B3"/>
    <w:rsid w:val="008A08DA"/>
    <w:rsid w:val="008A096C"/>
    <w:rsid w:val="008A099D"/>
    <w:rsid w:val="008A0A43"/>
    <w:rsid w:val="008A0BCF"/>
    <w:rsid w:val="008A0E93"/>
    <w:rsid w:val="008A0EA2"/>
    <w:rsid w:val="008A10CC"/>
    <w:rsid w:val="008A1137"/>
    <w:rsid w:val="008A117E"/>
    <w:rsid w:val="008A1185"/>
    <w:rsid w:val="008A11AD"/>
    <w:rsid w:val="008A11FB"/>
    <w:rsid w:val="008A1399"/>
    <w:rsid w:val="008A147C"/>
    <w:rsid w:val="008A1505"/>
    <w:rsid w:val="008A1588"/>
    <w:rsid w:val="008A15E4"/>
    <w:rsid w:val="008A160F"/>
    <w:rsid w:val="008A194D"/>
    <w:rsid w:val="008A1A2F"/>
    <w:rsid w:val="008A1C93"/>
    <w:rsid w:val="008A1EA4"/>
    <w:rsid w:val="008A1ECF"/>
    <w:rsid w:val="008A1F79"/>
    <w:rsid w:val="008A20C8"/>
    <w:rsid w:val="008A2135"/>
    <w:rsid w:val="008A21DF"/>
    <w:rsid w:val="008A21F0"/>
    <w:rsid w:val="008A24FB"/>
    <w:rsid w:val="008A2653"/>
    <w:rsid w:val="008A27D8"/>
    <w:rsid w:val="008A27E1"/>
    <w:rsid w:val="008A28CE"/>
    <w:rsid w:val="008A290D"/>
    <w:rsid w:val="008A2942"/>
    <w:rsid w:val="008A2A22"/>
    <w:rsid w:val="008A2A71"/>
    <w:rsid w:val="008A2A87"/>
    <w:rsid w:val="008A2C22"/>
    <w:rsid w:val="008A2C23"/>
    <w:rsid w:val="008A2C46"/>
    <w:rsid w:val="008A2C5C"/>
    <w:rsid w:val="008A2CBD"/>
    <w:rsid w:val="008A2E2E"/>
    <w:rsid w:val="008A2F51"/>
    <w:rsid w:val="008A3130"/>
    <w:rsid w:val="008A3257"/>
    <w:rsid w:val="008A325C"/>
    <w:rsid w:val="008A32C7"/>
    <w:rsid w:val="008A3645"/>
    <w:rsid w:val="008A36DF"/>
    <w:rsid w:val="008A378E"/>
    <w:rsid w:val="008A3A23"/>
    <w:rsid w:val="008A3D5A"/>
    <w:rsid w:val="008A3DAA"/>
    <w:rsid w:val="008A3E14"/>
    <w:rsid w:val="008A3E24"/>
    <w:rsid w:val="008A3F60"/>
    <w:rsid w:val="008A3F93"/>
    <w:rsid w:val="008A403B"/>
    <w:rsid w:val="008A41AE"/>
    <w:rsid w:val="008A421B"/>
    <w:rsid w:val="008A42F8"/>
    <w:rsid w:val="008A43CB"/>
    <w:rsid w:val="008A44BC"/>
    <w:rsid w:val="008A451D"/>
    <w:rsid w:val="008A4577"/>
    <w:rsid w:val="008A4768"/>
    <w:rsid w:val="008A495D"/>
    <w:rsid w:val="008A4BD4"/>
    <w:rsid w:val="008A4BF7"/>
    <w:rsid w:val="008A4D47"/>
    <w:rsid w:val="008A4DE3"/>
    <w:rsid w:val="008A4E1E"/>
    <w:rsid w:val="008A4E45"/>
    <w:rsid w:val="008A4F67"/>
    <w:rsid w:val="008A50B6"/>
    <w:rsid w:val="008A50E7"/>
    <w:rsid w:val="008A5567"/>
    <w:rsid w:val="008A55A0"/>
    <w:rsid w:val="008A55A1"/>
    <w:rsid w:val="008A5746"/>
    <w:rsid w:val="008A57FC"/>
    <w:rsid w:val="008A580C"/>
    <w:rsid w:val="008A58C2"/>
    <w:rsid w:val="008A5A62"/>
    <w:rsid w:val="008A5A91"/>
    <w:rsid w:val="008A5B12"/>
    <w:rsid w:val="008A5B8A"/>
    <w:rsid w:val="008A5CBC"/>
    <w:rsid w:val="008A5D29"/>
    <w:rsid w:val="008A5D8C"/>
    <w:rsid w:val="008A5DAB"/>
    <w:rsid w:val="008A5E42"/>
    <w:rsid w:val="008A5E52"/>
    <w:rsid w:val="008A5EB4"/>
    <w:rsid w:val="008A6088"/>
    <w:rsid w:val="008A61D1"/>
    <w:rsid w:val="008A61E6"/>
    <w:rsid w:val="008A6329"/>
    <w:rsid w:val="008A635C"/>
    <w:rsid w:val="008A646A"/>
    <w:rsid w:val="008A64FD"/>
    <w:rsid w:val="008A657A"/>
    <w:rsid w:val="008A661C"/>
    <w:rsid w:val="008A676D"/>
    <w:rsid w:val="008A6876"/>
    <w:rsid w:val="008A692D"/>
    <w:rsid w:val="008A6A5E"/>
    <w:rsid w:val="008A6ABC"/>
    <w:rsid w:val="008A6B77"/>
    <w:rsid w:val="008A6B81"/>
    <w:rsid w:val="008A6B8B"/>
    <w:rsid w:val="008A6CA5"/>
    <w:rsid w:val="008A6CAB"/>
    <w:rsid w:val="008A6CF2"/>
    <w:rsid w:val="008A6D0A"/>
    <w:rsid w:val="008A6E04"/>
    <w:rsid w:val="008A6E87"/>
    <w:rsid w:val="008A6F4E"/>
    <w:rsid w:val="008A6F75"/>
    <w:rsid w:val="008A7049"/>
    <w:rsid w:val="008A70B4"/>
    <w:rsid w:val="008A71E4"/>
    <w:rsid w:val="008A7441"/>
    <w:rsid w:val="008A75A8"/>
    <w:rsid w:val="008A75EB"/>
    <w:rsid w:val="008A767B"/>
    <w:rsid w:val="008A786E"/>
    <w:rsid w:val="008A78D6"/>
    <w:rsid w:val="008A7B76"/>
    <w:rsid w:val="008A7C6A"/>
    <w:rsid w:val="008A7E60"/>
    <w:rsid w:val="008A7F44"/>
    <w:rsid w:val="008B006D"/>
    <w:rsid w:val="008B0347"/>
    <w:rsid w:val="008B04E8"/>
    <w:rsid w:val="008B0580"/>
    <w:rsid w:val="008B0615"/>
    <w:rsid w:val="008B0681"/>
    <w:rsid w:val="008B0751"/>
    <w:rsid w:val="008B07F8"/>
    <w:rsid w:val="008B0879"/>
    <w:rsid w:val="008B098A"/>
    <w:rsid w:val="008B0B1A"/>
    <w:rsid w:val="008B0B7C"/>
    <w:rsid w:val="008B0C4D"/>
    <w:rsid w:val="008B0D05"/>
    <w:rsid w:val="008B0E2C"/>
    <w:rsid w:val="008B0E2F"/>
    <w:rsid w:val="008B0F47"/>
    <w:rsid w:val="008B1294"/>
    <w:rsid w:val="008B1295"/>
    <w:rsid w:val="008B152A"/>
    <w:rsid w:val="008B1657"/>
    <w:rsid w:val="008B16B6"/>
    <w:rsid w:val="008B16C2"/>
    <w:rsid w:val="008B1717"/>
    <w:rsid w:val="008B18F3"/>
    <w:rsid w:val="008B1967"/>
    <w:rsid w:val="008B19C3"/>
    <w:rsid w:val="008B1A54"/>
    <w:rsid w:val="008B1A6A"/>
    <w:rsid w:val="008B1AB7"/>
    <w:rsid w:val="008B1B5D"/>
    <w:rsid w:val="008B1BDD"/>
    <w:rsid w:val="008B1C7C"/>
    <w:rsid w:val="008B1E2B"/>
    <w:rsid w:val="008B1FB9"/>
    <w:rsid w:val="008B20D6"/>
    <w:rsid w:val="008B21CE"/>
    <w:rsid w:val="008B24FF"/>
    <w:rsid w:val="008B25C2"/>
    <w:rsid w:val="008B26A2"/>
    <w:rsid w:val="008B2736"/>
    <w:rsid w:val="008B273B"/>
    <w:rsid w:val="008B276C"/>
    <w:rsid w:val="008B27CE"/>
    <w:rsid w:val="008B2A45"/>
    <w:rsid w:val="008B2A48"/>
    <w:rsid w:val="008B2A57"/>
    <w:rsid w:val="008B2A68"/>
    <w:rsid w:val="008B2AE3"/>
    <w:rsid w:val="008B2B00"/>
    <w:rsid w:val="008B2B04"/>
    <w:rsid w:val="008B2CAA"/>
    <w:rsid w:val="008B2CE5"/>
    <w:rsid w:val="008B2E50"/>
    <w:rsid w:val="008B2FC7"/>
    <w:rsid w:val="008B3093"/>
    <w:rsid w:val="008B31FE"/>
    <w:rsid w:val="008B3286"/>
    <w:rsid w:val="008B32B5"/>
    <w:rsid w:val="008B3309"/>
    <w:rsid w:val="008B337D"/>
    <w:rsid w:val="008B33F6"/>
    <w:rsid w:val="008B33FA"/>
    <w:rsid w:val="008B34E3"/>
    <w:rsid w:val="008B3523"/>
    <w:rsid w:val="008B359A"/>
    <w:rsid w:val="008B3656"/>
    <w:rsid w:val="008B36A6"/>
    <w:rsid w:val="008B3761"/>
    <w:rsid w:val="008B389B"/>
    <w:rsid w:val="008B391E"/>
    <w:rsid w:val="008B3C05"/>
    <w:rsid w:val="008B3CD4"/>
    <w:rsid w:val="008B3CF5"/>
    <w:rsid w:val="008B3D4A"/>
    <w:rsid w:val="008B3D57"/>
    <w:rsid w:val="008B3F1F"/>
    <w:rsid w:val="008B3F3C"/>
    <w:rsid w:val="008B3F54"/>
    <w:rsid w:val="008B3F5D"/>
    <w:rsid w:val="008B409A"/>
    <w:rsid w:val="008B40AF"/>
    <w:rsid w:val="008B4177"/>
    <w:rsid w:val="008B423A"/>
    <w:rsid w:val="008B44AA"/>
    <w:rsid w:val="008B452B"/>
    <w:rsid w:val="008B45C5"/>
    <w:rsid w:val="008B45FC"/>
    <w:rsid w:val="008B46D8"/>
    <w:rsid w:val="008B4738"/>
    <w:rsid w:val="008B474E"/>
    <w:rsid w:val="008B4B30"/>
    <w:rsid w:val="008B4C53"/>
    <w:rsid w:val="008B4C77"/>
    <w:rsid w:val="008B4DD7"/>
    <w:rsid w:val="008B4EA5"/>
    <w:rsid w:val="008B4F75"/>
    <w:rsid w:val="008B5023"/>
    <w:rsid w:val="008B51B3"/>
    <w:rsid w:val="008B5260"/>
    <w:rsid w:val="008B53BF"/>
    <w:rsid w:val="008B53D3"/>
    <w:rsid w:val="008B546E"/>
    <w:rsid w:val="008B54AE"/>
    <w:rsid w:val="008B5703"/>
    <w:rsid w:val="008B57B3"/>
    <w:rsid w:val="008B5856"/>
    <w:rsid w:val="008B591C"/>
    <w:rsid w:val="008B593B"/>
    <w:rsid w:val="008B5976"/>
    <w:rsid w:val="008B59AA"/>
    <w:rsid w:val="008B5A53"/>
    <w:rsid w:val="008B5A62"/>
    <w:rsid w:val="008B5B77"/>
    <w:rsid w:val="008B5D5D"/>
    <w:rsid w:val="008B6294"/>
    <w:rsid w:val="008B63D9"/>
    <w:rsid w:val="008B6839"/>
    <w:rsid w:val="008B696A"/>
    <w:rsid w:val="008B6985"/>
    <w:rsid w:val="008B6A8A"/>
    <w:rsid w:val="008B6AE1"/>
    <w:rsid w:val="008B6B67"/>
    <w:rsid w:val="008B6CF5"/>
    <w:rsid w:val="008B6D60"/>
    <w:rsid w:val="008B6DA0"/>
    <w:rsid w:val="008B6E61"/>
    <w:rsid w:val="008B6F7C"/>
    <w:rsid w:val="008B6F7E"/>
    <w:rsid w:val="008B704A"/>
    <w:rsid w:val="008B7309"/>
    <w:rsid w:val="008B767F"/>
    <w:rsid w:val="008B7771"/>
    <w:rsid w:val="008B78DF"/>
    <w:rsid w:val="008B7D6C"/>
    <w:rsid w:val="008C0025"/>
    <w:rsid w:val="008C0186"/>
    <w:rsid w:val="008C01BD"/>
    <w:rsid w:val="008C0204"/>
    <w:rsid w:val="008C0291"/>
    <w:rsid w:val="008C0323"/>
    <w:rsid w:val="008C03B0"/>
    <w:rsid w:val="008C03BB"/>
    <w:rsid w:val="008C04C7"/>
    <w:rsid w:val="008C0548"/>
    <w:rsid w:val="008C056A"/>
    <w:rsid w:val="008C062D"/>
    <w:rsid w:val="008C06CD"/>
    <w:rsid w:val="008C07C7"/>
    <w:rsid w:val="008C0832"/>
    <w:rsid w:val="008C0907"/>
    <w:rsid w:val="008C0912"/>
    <w:rsid w:val="008C0A74"/>
    <w:rsid w:val="008C0B26"/>
    <w:rsid w:val="008C0B65"/>
    <w:rsid w:val="008C0BA5"/>
    <w:rsid w:val="008C0BEA"/>
    <w:rsid w:val="008C0C6C"/>
    <w:rsid w:val="008C0CA3"/>
    <w:rsid w:val="008C0D2C"/>
    <w:rsid w:val="008C0F14"/>
    <w:rsid w:val="008C0FDF"/>
    <w:rsid w:val="008C0FF0"/>
    <w:rsid w:val="008C1136"/>
    <w:rsid w:val="008C11EC"/>
    <w:rsid w:val="008C12E3"/>
    <w:rsid w:val="008C135C"/>
    <w:rsid w:val="008C137A"/>
    <w:rsid w:val="008C141C"/>
    <w:rsid w:val="008C1614"/>
    <w:rsid w:val="008C163A"/>
    <w:rsid w:val="008C16DA"/>
    <w:rsid w:val="008C1716"/>
    <w:rsid w:val="008C19F6"/>
    <w:rsid w:val="008C1ABD"/>
    <w:rsid w:val="008C1B12"/>
    <w:rsid w:val="008C1BA4"/>
    <w:rsid w:val="008C1BB8"/>
    <w:rsid w:val="008C1D41"/>
    <w:rsid w:val="008C1DD3"/>
    <w:rsid w:val="008C1DE4"/>
    <w:rsid w:val="008C1E08"/>
    <w:rsid w:val="008C1E24"/>
    <w:rsid w:val="008C1E40"/>
    <w:rsid w:val="008C1E49"/>
    <w:rsid w:val="008C1F5A"/>
    <w:rsid w:val="008C1F95"/>
    <w:rsid w:val="008C2018"/>
    <w:rsid w:val="008C20CE"/>
    <w:rsid w:val="008C2399"/>
    <w:rsid w:val="008C23B1"/>
    <w:rsid w:val="008C26EC"/>
    <w:rsid w:val="008C2712"/>
    <w:rsid w:val="008C274D"/>
    <w:rsid w:val="008C27D0"/>
    <w:rsid w:val="008C2B24"/>
    <w:rsid w:val="008C2C73"/>
    <w:rsid w:val="008C2C77"/>
    <w:rsid w:val="008C2DF0"/>
    <w:rsid w:val="008C2F16"/>
    <w:rsid w:val="008C2F29"/>
    <w:rsid w:val="008C2F3F"/>
    <w:rsid w:val="008C2F40"/>
    <w:rsid w:val="008C2FBD"/>
    <w:rsid w:val="008C3081"/>
    <w:rsid w:val="008C314F"/>
    <w:rsid w:val="008C319F"/>
    <w:rsid w:val="008C3501"/>
    <w:rsid w:val="008C350A"/>
    <w:rsid w:val="008C36C9"/>
    <w:rsid w:val="008C3884"/>
    <w:rsid w:val="008C38BD"/>
    <w:rsid w:val="008C39CC"/>
    <w:rsid w:val="008C39E9"/>
    <w:rsid w:val="008C3AE8"/>
    <w:rsid w:val="008C3CDE"/>
    <w:rsid w:val="008C3D1A"/>
    <w:rsid w:val="008C3E4E"/>
    <w:rsid w:val="008C3E84"/>
    <w:rsid w:val="008C3E8D"/>
    <w:rsid w:val="008C3F2E"/>
    <w:rsid w:val="008C3FDD"/>
    <w:rsid w:val="008C3FF0"/>
    <w:rsid w:val="008C4023"/>
    <w:rsid w:val="008C4185"/>
    <w:rsid w:val="008C41D8"/>
    <w:rsid w:val="008C42D3"/>
    <w:rsid w:val="008C42FA"/>
    <w:rsid w:val="008C4321"/>
    <w:rsid w:val="008C43B9"/>
    <w:rsid w:val="008C45F2"/>
    <w:rsid w:val="008C464A"/>
    <w:rsid w:val="008C4656"/>
    <w:rsid w:val="008C47B3"/>
    <w:rsid w:val="008C47BE"/>
    <w:rsid w:val="008C4817"/>
    <w:rsid w:val="008C48CA"/>
    <w:rsid w:val="008C4988"/>
    <w:rsid w:val="008C498F"/>
    <w:rsid w:val="008C4A1D"/>
    <w:rsid w:val="008C4AB0"/>
    <w:rsid w:val="008C4B0D"/>
    <w:rsid w:val="008C4B17"/>
    <w:rsid w:val="008C4C9E"/>
    <w:rsid w:val="008C4CD9"/>
    <w:rsid w:val="008C4F83"/>
    <w:rsid w:val="008C5045"/>
    <w:rsid w:val="008C50D1"/>
    <w:rsid w:val="008C513C"/>
    <w:rsid w:val="008C5263"/>
    <w:rsid w:val="008C52D1"/>
    <w:rsid w:val="008C52F4"/>
    <w:rsid w:val="008C52F6"/>
    <w:rsid w:val="008C53B2"/>
    <w:rsid w:val="008C53F9"/>
    <w:rsid w:val="008C5553"/>
    <w:rsid w:val="008C56A9"/>
    <w:rsid w:val="008C5700"/>
    <w:rsid w:val="008C581D"/>
    <w:rsid w:val="008C5837"/>
    <w:rsid w:val="008C5842"/>
    <w:rsid w:val="008C5866"/>
    <w:rsid w:val="008C5913"/>
    <w:rsid w:val="008C59B5"/>
    <w:rsid w:val="008C5E47"/>
    <w:rsid w:val="008C5EC3"/>
    <w:rsid w:val="008C5F05"/>
    <w:rsid w:val="008C5F5D"/>
    <w:rsid w:val="008C607A"/>
    <w:rsid w:val="008C6102"/>
    <w:rsid w:val="008C6134"/>
    <w:rsid w:val="008C634B"/>
    <w:rsid w:val="008C63C6"/>
    <w:rsid w:val="008C64CF"/>
    <w:rsid w:val="008C6564"/>
    <w:rsid w:val="008C66C6"/>
    <w:rsid w:val="008C66D8"/>
    <w:rsid w:val="008C675E"/>
    <w:rsid w:val="008C68F6"/>
    <w:rsid w:val="008C6994"/>
    <w:rsid w:val="008C69EB"/>
    <w:rsid w:val="008C6A07"/>
    <w:rsid w:val="008C6B69"/>
    <w:rsid w:val="008C6B9A"/>
    <w:rsid w:val="008C6BA6"/>
    <w:rsid w:val="008C6D23"/>
    <w:rsid w:val="008C6E15"/>
    <w:rsid w:val="008C6E17"/>
    <w:rsid w:val="008C6F39"/>
    <w:rsid w:val="008C700F"/>
    <w:rsid w:val="008C7039"/>
    <w:rsid w:val="008C70B7"/>
    <w:rsid w:val="008C7172"/>
    <w:rsid w:val="008C728F"/>
    <w:rsid w:val="008C7359"/>
    <w:rsid w:val="008C74D4"/>
    <w:rsid w:val="008C767C"/>
    <w:rsid w:val="008C7831"/>
    <w:rsid w:val="008C78F3"/>
    <w:rsid w:val="008C79B6"/>
    <w:rsid w:val="008C7A09"/>
    <w:rsid w:val="008C7B46"/>
    <w:rsid w:val="008C7BAE"/>
    <w:rsid w:val="008C7E5E"/>
    <w:rsid w:val="008C7FA3"/>
    <w:rsid w:val="008C7FDD"/>
    <w:rsid w:val="008D002B"/>
    <w:rsid w:val="008D0030"/>
    <w:rsid w:val="008D0071"/>
    <w:rsid w:val="008D0080"/>
    <w:rsid w:val="008D00E0"/>
    <w:rsid w:val="008D0100"/>
    <w:rsid w:val="008D0128"/>
    <w:rsid w:val="008D016D"/>
    <w:rsid w:val="008D0187"/>
    <w:rsid w:val="008D02AF"/>
    <w:rsid w:val="008D02CF"/>
    <w:rsid w:val="008D0306"/>
    <w:rsid w:val="008D0318"/>
    <w:rsid w:val="008D034C"/>
    <w:rsid w:val="008D03A3"/>
    <w:rsid w:val="008D053B"/>
    <w:rsid w:val="008D065F"/>
    <w:rsid w:val="008D0664"/>
    <w:rsid w:val="008D07A9"/>
    <w:rsid w:val="008D09D1"/>
    <w:rsid w:val="008D0A9C"/>
    <w:rsid w:val="008D0AAD"/>
    <w:rsid w:val="008D0B77"/>
    <w:rsid w:val="008D0B90"/>
    <w:rsid w:val="008D0BAA"/>
    <w:rsid w:val="008D0E17"/>
    <w:rsid w:val="008D0EAC"/>
    <w:rsid w:val="008D0EC8"/>
    <w:rsid w:val="008D111C"/>
    <w:rsid w:val="008D12A1"/>
    <w:rsid w:val="008D12C0"/>
    <w:rsid w:val="008D153F"/>
    <w:rsid w:val="008D15C4"/>
    <w:rsid w:val="008D1659"/>
    <w:rsid w:val="008D1732"/>
    <w:rsid w:val="008D1765"/>
    <w:rsid w:val="008D1980"/>
    <w:rsid w:val="008D19AD"/>
    <w:rsid w:val="008D19CA"/>
    <w:rsid w:val="008D1AB3"/>
    <w:rsid w:val="008D1B30"/>
    <w:rsid w:val="008D1CDF"/>
    <w:rsid w:val="008D1DE2"/>
    <w:rsid w:val="008D1DFE"/>
    <w:rsid w:val="008D2124"/>
    <w:rsid w:val="008D212D"/>
    <w:rsid w:val="008D2192"/>
    <w:rsid w:val="008D21FE"/>
    <w:rsid w:val="008D2247"/>
    <w:rsid w:val="008D2260"/>
    <w:rsid w:val="008D24AE"/>
    <w:rsid w:val="008D2507"/>
    <w:rsid w:val="008D2591"/>
    <w:rsid w:val="008D2962"/>
    <w:rsid w:val="008D2A83"/>
    <w:rsid w:val="008D2B94"/>
    <w:rsid w:val="008D2BF2"/>
    <w:rsid w:val="008D2C0B"/>
    <w:rsid w:val="008D2C53"/>
    <w:rsid w:val="008D2D3C"/>
    <w:rsid w:val="008D2DF6"/>
    <w:rsid w:val="008D2E6A"/>
    <w:rsid w:val="008D2EF6"/>
    <w:rsid w:val="008D2F01"/>
    <w:rsid w:val="008D2F04"/>
    <w:rsid w:val="008D2FD7"/>
    <w:rsid w:val="008D3043"/>
    <w:rsid w:val="008D30DC"/>
    <w:rsid w:val="008D3137"/>
    <w:rsid w:val="008D34B6"/>
    <w:rsid w:val="008D34CA"/>
    <w:rsid w:val="008D3503"/>
    <w:rsid w:val="008D35F7"/>
    <w:rsid w:val="008D36A0"/>
    <w:rsid w:val="008D37EC"/>
    <w:rsid w:val="008D3909"/>
    <w:rsid w:val="008D3982"/>
    <w:rsid w:val="008D39D7"/>
    <w:rsid w:val="008D39E1"/>
    <w:rsid w:val="008D3A5F"/>
    <w:rsid w:val="008D3AD7"/>
    <w:rsid w:val="008D3AD8"/>
    <w:rsid w:val="008D3B3A"/>
    <w:rsid w:val="008D3C53"/>
    <w:rsid w:val="008D3CD1"/>
    <w:rsid w:val="008D3CF6"/>
    <w:rsid w:val="008D3ED1"/>
    <w:rsid w:val="008D406E"/>
    <w:rsid w:val="008D4158"/>
    <w:rsid w:val="008D4180"/>
    <w:rsid w:val="008D437F"/>
    <w:rsid w:val="008D44DB"/>
    <w:rsid w:val="008D44F4"/>
    <w:rsid w:val="008D45C9"/>
    <w:rsid w:val="008D4608"/>
    <w:rsid w:val="008D466E"/>
    <w:rsid w:val="008D4674"/>
    <w:rsid w:val="008D4675"/>
    <w:rsid w:val="008D4778"/>
    <w:rsid w:val="008D47D7"/>
    <w:rsid w:val="008D4885"/>
    <w:rsid w:val="008D4981"/>
    <w:rsid w:val="008D4989"/>
    <w:rsid w:val="008D4BE6"/>
    <w:rsid w:val="008D4CDA"/>
    <w:rsid w:val="008D4D5D"/>
    <w:rsid w:val="008D4D6C"/>
    <w:rsid w:val="008D4D8A"/>
    <w:rsid w:val="008D4EFC"/>
    <w:rsid w:val="008D4F15"/>
    <w:rsid w:val="008D5007"/>
    <w:rsid w:val="008D51B5"/>
    <w:rsid w:val="008D5228"/>
    <w:rsid w:val="008D52A3"/>
    <w:rsid w:val="008D5509"/>
    <w:rsid w:val="008D5610"/>
    <w:rsid w:val="008D561C"/>
    <w:rsid w:val="008D580D"/>
    <w:rsid w:val="008D5836"/>
    <w:rsid w:val="008D599B"/>
    <w:rsid w:val="008D5A2D"/>
    <w:rsid w:val="008D5D8A"/>
    <w:rsid w:val="008D5E34"/>
    <w:rsid w:val="008D5ECE"/>
    <w:rsid w:val="008D5F6B"/>
    <w:rsid w:val="008D602A"/>
    <w:rsid w:val="008D60A3"/>
    <w:rsid w:val="008D60A6"/>
    <w:rsid w:val="008D6142"/>
    <w:rsid w:val="008D63D6"/>
    <w:rsid w:val="008D64E5"/>
    <w:rsid w:val="008D64E8"/>
    <w:rsid w:val="008D657E"/>
    <w:rsid w:val="008D65E1"/>
    <w:rsid w:val="008D65E2"/>
    <w:rsid w:val="008D6632"/>
    <w:rsid w:val="008D6735"/>
    <w:rsid w:val="008D6766"/>
    <w:rsid w:val="008D6780"/>
    <w:rsid w:val="008D67AB"/>
    <w:rsid w:val="008D6806"/>
    <w:rsid w:val="008D6885"/>
    <w:rsid w:val="008D69B6"/>
    <w:rsid w:val="008D6B23"/>
    <w:rsid w:val="008D6B26"/>
    <w:rsid w:val="008D6BE0"/>
    <w:rsid w:val="008D6CA5"/>
    <w:rsid w:val="008D6D5B"/>
    <w:rsid w:val="008D6D97"/>
    <w:rsid w:val="008D6E4B"/>
    <w:rsid w:val="008D7100"/>
    <w:rsid w:val="008D7423"/>
    <w:rsid w:val="008D7572"/>
    <w:rsid w:val="008D7576"/>
    <w:rsid w:val="008D76F3"/>
    <w:rsid w:val="008D7987"/>
    <w:rsid w:val="008D7AC5"/>
    <w:rsid w:val="008D7B12"/>
    <w:rsid w:val="008D7CD9"/>
    <w:rsid w:val="008D7EDA"/>
    <w:rsid w:val="008D7F11"/>
    <w:rsid w:val="008D7F3B"/>
    <w:rsid w:val="008D7F9B"/>
    <w:rsid w:val="008E0046"/>
    <w:rsid w:val="008E00A4"/>
    <w:rsid w:val="008E00CD"/>
    <w:rsid w:val="008E0100"/>
    <w:rsid w:val="008E020C"/>
    <w:rsid w:val="008E0433"/>
    <w:rsid w:val="008E05A5"/>
    <w:rsid w:val="008E05BD"/>
    <w:rsid w:val="008E08AA"/>
    <w:rsid w:val="008E0938"/>
    <w:rsid w:val="008E0AB0"/>
    <w:rsid w:val="008E0B7A"/>
    <w:rsid w:val="008E0C43"/>
    <w:rsid w:val="008E0C7E"/>
    <w:rsid w:val="008E0CD6"/>
    <w:rsid w:val="008E0D02"/>
    <w:rsid w:val="008E0D08"/>
    <w:rsid w:val="008E0E76"/>
    <w:rsid w:val="008E1059"/>
    <w:rsid w:val="008E1094"/>
    <w:rsid w:val="008E1135"/>
    <w:rsid w:val="008E117D"/>
    <w:rsid w:val="008E12EE"/>
    <w:rsid w:val="008E1457"/>
    <w:rsid w:val="008E1469"/>
    <w:rsid w:val="008E1558"/>
    <w:rsid w:val="008E1770"/>
    <w:rsid w:val="008E1779"/>
    <w:rsid w:val="008E17C2"/>
    <w:rsid w:val="008E18EE"/>
    <w:rsid w:val="008E1A04"/>
    <w:rsid w:val="008E1B75"/>
    <w:rsid w:val="008E1B82"/>
    <w:rsid w:val="008E1CFB"/>
    <w:rsid w:val="008E1D3B"/>
    <w:rsid w:val="008E1D58"/>
    <w:rsid w:val="008E1E9D"/>
    <w:rsid w:val="008E20CD"/>
    <w:rsid w:val="008E2198"/>
    <w:rsid w:val="008E21AC"/>
    <w:rsid w:val="008E21F2"/>
    <w:rsid w:val="008E21F5"/>
    <w:rsid w:val="008E227E"/>
    <w:rsid w:val="008E2431"/>
    <w:rsid w:val="008E274A"/>
    <w:rsid w:val="008E280D"/>
    <w:rsid w:val="008E28BE"/>
    <w:rsid w:val="008E2B45"/>
    <w:rsid w:val="008E2CBC"/>
    <w:rsid w:val="008E2D6E"/>
    <w:rsid w:val="008E2E69"/>
    <w:rsid w:val="008E2E6B"/>
    <w:rsid w:val="008E2F06"/>
    <w:rsid w:val="008E30C0"/>
    <w:rsid w:val="008E31AD"/>
    <w:rsid w:val="008E32B7"/>
    <w:rsid w:val="008E3559"/>
    <w:rsid w:val="008E3591"/>
    <w:rsid w:val="008E37FE"/>
    <w:rsid w:val="008E3907"/>
    <w:rsid w:val="008E3A17"/>
    <w:rsid w:val="008E3A2D"/>
    <w:rsid w:val="008E3A50"/>
    <w:rsid w:val="008E3BA3"/>
    <w:rsid w:val="008E3C45"/>
    <w:rsid w:val="008E3DE7"/>
    <w:rsid w:val="008E4075"/>
    <w:rsid w:val="008E40CD"/>
    <w:rsid w:val="008E412E"/>
    <w:rsid w:val="008E4353"/>
    <w:rsid w:val="008E45C8"/>
    <w:rsid w:val="008E4617"/>
    <w:rsid w:val="008E4680"/>
    <w:rsid w:val="008E4775"/>
    <w:rsid w:val="008E47AC"/>
    <w:rsid w:val="008E48FA"/>
    <w:rsid w:val="008E4907"/>
    <w:rsid w:val="008E49D4"/>
    <w:rsid w:val="008E4A49"/>
    <w:rsid w:val="008E4AFF"/>
    <w:rsid w:val="008E4BAE"/>
    <w:rsid w:val="008E4CB0"/>
    <w:rsid w:val="008E4CE2"/>
    <w:rsid w:val="008E4D59"/>
    <w:rsid w:val="008E4E03"/>
    <w:rsid w:val="008E4E12"/>
    <w:rsid w:val="008E4E61"/>
    <w:rsid w:val="008E4EFD"/>
    <w:rsid w:val="008E4FBB"/>
    <w:rsid w:val="008E4FD0"/>
    <w:rsid w:val="008E509A"/>
    <w:rsid w:val="008E50D6"/>
    <w:rsid w:val="008E5256"/>
    <w:rsid w:val="008E5340"/>
    <w:rsid w:val="008E53DF"/>
    <w:rsid w:val="008E541C"/>
    <w:rsid w:val="008E5434"/>
    <w:rsid w:val="008E54A8"/>
    <w:rsid w:val="008E5639"/>
    <w:rsid w:val="008E5715"/>
    <w:rsid w:val="008E57B1"/>
    <w:rsid w:val="008E57E0"/>
    <w:rsid w:val="008E5889"/>
    <w:rsid w:val="008E58B0"/>
    <w:rsid w:val="008E59B8"/>
    <w:rsid w:val="008E5BB3"/>
    <w:rsid w:val="008E5C25"/>
    <w:rsid w:val="008E5D58"/>
    <w:rsid w:val="008E5E58"/>
    <w:rsid w:val="008E5E59"/>
    <w:rsid w:val="008E5F61"/>
    <w:rsid w:val="008E5FD2"/>
    <w:rsid w:val="008E5FF1"/>
    <w:rsid w:val="008E60AA"/>
    <w:rsid w:val="008E6157"/>
    <w:rsid w:val="008E626A"/>
    <w:rsid w:val="008E64E4"/>
    <w:rsid w:val="008E66C0"/>
    <w:rsid w:val="008E66CF"/>
    <w:rsid w:val="008E66D7"/>
    <w:rsid w:val="008E67F6"/>
    <w:rsid w:val="008E6A5F"/>
    <w:rsid w:val="008E6D58"/>
    <w:rsid w:val="008E6EB1"/>
    <w:rsid w:val="008E6EDF"/>
    <w:rsid w:val="008E6FB6"/>
    <w:rsid w:val="008E704B"/>
    <w:rsid w:val="008E71AC"/>
    <w:rsid w:val="008E73B2"/>
    <w:rsid w:val="008E7468"/>
    <w:rsid w:val="008E74A7"/>
    <w:rsid w:val="008E7568"/>
    <w:rsid w:val="008E761B"/>
    <w:rsid w:val="008E7662"/>
    <w:rsid w:val="008E768C"/>
    <w:rsid w:val="008E774B"/>
    <w:rsid w:val="008E7800"/>
    <w:rsid w:val="008E783A"/>
    <w:rsid w:val="008E7845"/>
    <w:rsid w:val="008E78F8"/>
    <w:rsid w:val="008E7995"/>
    <w:rsid w:val="008E79ED"/>
    <w:rsid w:val="008E7A3F"/>
    <w:rsid w:val="008E7A80"/>
    <w:rsid w:val="008E7B4B"/>
    <w:rsid w:val="008E7B90"/>
    <w:rsid w:val="008E7BA5"/>
    <w:rsid w:val="008E7C58"/>
    <w:rsid w:val="008E7E4F"/>
    <w:rsid w:val="008E7FAC"/>
    <w:rsid w:val="008F0046"/>
    <w:rsid w:val="008F0073"/>
    <w:rsid w:val="008F0083"/>
    <w:rsid w:val="008F013B"/>
    <w:rsid w:val="008F0261"/>
    <w:rsid w:val="008F04CA"/>
    <w:rsid w:val="008F05A2"/>
    <w:rsid w:val="008F05FF"/>
    <w:rsid w:val="008F0661"/>
    <w:rsid w:val="008F074A"/>
    <w:rsid w:val="008F077F"/>
    <w:rsid w:val="008F0788"/>
    <w:rsid w:val="008F07FB"/>
    <w:rsid w:val="008F0859"/>
    <w:rsid w:val="008F0A11"/>
    <w:rsid w:val="008F0AA7"/>
    <w:rsid w:val="008F0AC0"/>
    <w:rsid w:val="008F0B4B"/>
    <w:rsid w:val="008F0B60"/>
    <w:rsid w:val="008F0BC5"/>
    <w:rsid w:val="008F0CA0"/>
    <w:rsid w:val="008F0D31"/>
    <w:rsid w:val="008F0D82"/>
    <w:rsid w:val="008F0E13"/>
    <w:rsid w:val="008F0F3A"/>
    <w:rsid w:val="008F11D7"/>
    <w:rsid w:val="008F11E7"/>
    <w:rsid w:val="008F127E"/>
    <w:rsid w:val="008F1282"/>
    <w:rsid w:val="008F129D"/>
    <w:rsid w:val="008F12BD"/>
    <w:rsid w:val="008F1364"/>
    <w:rsid w:val="008F142C"/>
    <w:rsid w:val="008F1622"/>
    <w:rsid w:val="008F176D"/>
    <w:rsid w:val="008F17D9"/>
    <w:rsid w:val="008F1803"/>
    <w:rsid w:val="008F181C"/>
    <w:rsid w:val="008F18A7"/>
    <w:rsid w:val="008F18C8"/>
    <w:rsid w:val="008F1949"/>
    <w:rsid w:val="008F1969"/>
    <w:rsid w:val="008F1A44"/>
    <w:rsid w:val="008F1BBB"/>
    <w:rsid w:val="008F1BC5"/>
    <w:rsid w:val="008F1BC8"/>
    <w:rsid w:val="008F1C60"/>
    <w:rsid w:val="008F1D34"/>
    <w:rsid w:val="008F1D9F"/>
    <w:rsid w:val="008F1DCC"/>
    <w:rsid w:val="008F1E84"/>
    <w:rsid w:val="008F1EE6"/>
    <w:rsid w:val="008F1F32"/>
    <w:rsid w:val="008F204D"/>
    <w:rsid w:val="008F2168"/>
    <w:rsid w:val="008F21FC"/>
    <w:rsid w:val="008F224E"/>
    <w:rsid w:val="008F2322"/>
    <w:rsid w:val="008F234C"/>
    <w:rsid w:val="008F2566"/>
    <w:rsid w:val="008F26F3"/>
    <w:rsid w:val="008F26FB"/>
    <w:rsid w:val="008F27F8"/>
    <w:rsid w:val="008F2913"/>
    <w:rsid w:val="008F2980"/>
    <w:rsid w:val="008F2995"/>
    <w:rsid w:val="008F29AD"/>
    <w:rsid w:val="008F2B3B"/>
    <w:rsid w:val="008F2B43"/>
    <w:rsid w:val="008F2B50"/>
    <w:rsid w:val="008F2B6A"/>
    <w:rsid w:val="008F2C09"/>
    <w:rsid w:val="008F2C4F"/>
    <w:rsid w:val="008F2CA9"/>
    <w:rsid w:val="008F2D7A"/>
    <w:rsid w:val="008F2E4D"/>
    <w:rsid w:val="008F2E5E"/>
    <w:rsid w:val="008F2E9C"/>
    <w:rsid w:val="008F2F61"/>
    <w:rsid w:val="008F30BB"/>
    <w:rsid w:val="008F33C5"/>
    <w:rsid w:val="008F3416"/>
    <w:rsid w:val="008F34FF"/>
    <w:rsid w:val="008F35A0"/>
    <w:rsid w:val="008F35A7"/>
    <w:rsid w:val="008F35ED"/>
    <w:rsid w:val="008F35F2"/>
    <w:rsid w:val="008F3682"/>
    <w:rsid w:val="008F37E3"/>
    <w:rsid w:val="008F388E"/>
    <w:rsid w:val="008F38F3"/>
    <w:rsid w:val="008F39F9"/>
    <w:rsid w:val="008F3A74"/>
    <w:rsid w:val="008F3A7B"/>
    <w:rsid w:val="008F3B5E"/>
    <w:rsid w:val="008F3B95"/>
    <w:rsid w:val="008F3BE7"/>
    <w:rsid w:val="008F3BF5"/>
    <w:rsid w:val="008F3C79"/>
    <w:rsid w:val="008F3CA7"/>
    <w:rsid w:val="008F3D8D"/>
    <w:rsid w:val="008F3E88"/>
    <w:rsid w:val="008F3F3D"/>
    <w:rsid w:val="008F4106"/>
    <w:rsid w:val="008F4271"/>
    <w:rsid w:val="008F42B9"/>
    <w:rsid w:val="008F442B"/>
    <w:rsid w:val="008F4471"/>
    <w:rsid w:val="008F44D2"/>
    <w:rsid w:val="008F450D"/>
    <w:rsid w:val="008F459C"/>
    <w:rsid w:val="008F463A"/>
    <w:rsid w:val="008F46B4"/>
    <w:rsid w:val="008F46EB"/>
    <w:rsid w:val="008F4753"/>
    <w:rsid w:val="008F475E"/>
    <w:rsid w:val="008F47C4"/>
    <w:rsid w:val="008F4A4D"/>
    <w:rsid w:val="008F4C38"/>
    <w:rsid w:val="008F4E91"/>
    <w:rsid w:val="008F4EE1"/>
    <w:rsid w:val="008F4F5A"/>
    <w:rsid w:val="008F52E7"/>
    <w:rsid w:val="008F52EA"/>
    <w:rsid w:val="008F5342"/>
    <w:rsid w:val="008F5410"/>
    <w:rsid w:val="008F5493"/>
    <w:rsid w:val="008F5538"/>
    <w:rsid w:val="008F562B"/>
    <w:rsid w:val="008F56CB"/>
    <w:rsid w:val="008F56E9"/>
    <w:rsid w:val="008F5739"/>
    <w:rsid w:val="008F5827"/>
    <w:rsid w:val="008F5918"/>
    <w:rsid w:val="008F5B05"/>
    <w:rsid w:val="008F5BF6"/>
    <w:rsid w:val="008F5C12"/>
    <w:rsid w:val="008F5C51"/>
    <w:rsid w:val="008F5CD2"/>
    <w:rsid w:val="008F5D18"/>
    <w:rsid w:val="008F5E26"/>
    <w:rsid w:val="008F5E7E"/>
    <w:rsid w:val="008F5F03"/>
    <w:rsid w:val="008F5FE6"/>
    <w:rsid w:val="008F605F"/>
    <w:rsid w:val="008F6165"/>
    <w:rsid w:val="008F6513"/>
    <w:rsid w:val="008F65D0"/>
    <w:rsid w:val="008F664A"/>
    <w:rsid w:val="008F675C"/>
    <w:rsid w:val="008F67B5"/>
    <w:rsid w:val="008F67F0"/>
    <w:rsid w:val="008F6A5A"/>
    <w:rsid w:val="008F6BF0"/>
    <w:rsid w:val="008F6C26"/>
    <w:rsid w:val="008F6C2D"/>
    <w:rsid w:val="008F6EBD"/>
    <w:rsid w:val="008F6F7B"/>
    <w:rsid w:val="008F7273"/>
    <w:rsid w:val="008F72D4"/>
    <w:rsid w:val="008F733E"/>
    <w:rsid w:val="008F741F"/>
    <w:rsid w:val="008F7480"/>
    <w:rsid w:val="008F75D0"/>
    <w:rsid w:val="008F7905"/>
    <w:rsid w:val="008F7A3C"/>
    <w:rsid w:val="008F7ACC"/>
    <w:rsid w:val="008F7B30"/>
    <w:rsid w:val="008F7DEA"/>
    <w:rsid w:val="008F7E83"/>
    <w:rsid w:val="008F7FA1"/>
    <w:rsid w:val="00900077"/>
    <w:rsid w:val="0090007D"/>
    <w:rsid w:val="009000FB"/>
    <w:rsid w:val="009002A6"/>
    <w:rsid w:val="009002A9"/>
    <w:rsid w:val="0090031C"/>
    <w:rsid w:val="00900489"/>
    <w:rsid w:val="0090049D"/>
    <w:rsid w:val="009004BD"/>
    <w:rsid w:val="00900654"/>
    <w:rsid w:val="00900673"/>
    <w:rsid w:val="0090068D"/>
    <w:rsid w:val="009007D3"/>
    <w:rsid w:val="00900827"/>
    <w:rsid w:val="00900895"/>
    <w:rsid w:val="0090091B"/>
    <w:rsid w:val="00900AED"/>
    <w:rsid w:val="00900DB3"/>
    <w:rsid w:val="00900E06"/>
    <w:rsid w:val="00900E19"/>
    <w:rsid w:val="00900E63"/>
    <w:rsid w:val="00900F4B"/>
    <w:rsid w:val="009011C8"/>
    <w:rsid w:val="00901265"/>
    <w:rsid w:val="0090143F"/>
    <w:rsid w:val="00901445"/>
    <w:rsid w:val="00901536"/>
    <w:rsid w:val="009015DE"/>
    <w:rsid w:val="0090162C"/>
    <w:rsid w:val="009016B6"/>
    <w:rsid w:val="009016C5"/>
    <w:rsid w:val="009017F1"/>
    <w:rsid w:val="0090195C"/>
    <w:rsid w:val="00901A8F"/>
    <w:rsid w:val="00901ABA"/>
    <w:rsid w:val="00901D34"/>
    <w:rsid w:val="00901DD6"/>
    <w:rsid w:val="00901E14"/>
    <w:rsid w:val="00901E83"/>
    <w:rsid w:val="00901EA0"/>
    <w:rsid w:val="00901EB6"/>
    <w:rsid w:val="00901EDD"/>
    <w:rsid w:val="00901EF6"/>
    <w:rsid w:val="00901F2F"/>
    <w:rsid w:val="00901F4D"/>
    <w:rsid w:val="00901F67"/>
    <w:rsid w:val="00901F97"/>
    <w:rsid w:val="00901FD8"/>
    <w:rsid w:val="00902058"/>
    <w:rsid w:val="00902063"/>
    <w:rsid w:val="009020E2"/>
    <w:rsid w:val="00902117"/>
    <w:rsid w:val="00902310"/>
    <w:rsid w:val="00902481"/>
    <w:rsid w:val="0090259E"/>
    <w:rsid w:val="009027C7"/>
    <w:rsid w:val="009027EF"/>
    <w:rsid w:val="00902809"/>
    <w:rsid w:val="00902A23"/>
    <w:rsid w:val="00902AA5"/>
    <w:rsid w:val="00902AAF"/>
    <w:rsid w:val="00902C83"/>
    <w:rsid w:val="00902CCB"/>
    <w:rsid w:val="00902E36"/>
    <w:rsid w:val="00902E9A"/>
    <w:rsid w:val="00902F52"/>
    <w:rsid w:val="00902F5E"/>
    <w:rsid w:val="00902FE3"/>
    <w:rsid w:val="009031D5"/>
    <w:rsid w:val="009031F0"/>
    <w:rsid w:val="009034A2"/>
    <w:rsid w:val="009035D6"/>
    <w:rsid w:val="00903754"/>
    <w:rsid w:val="00903771"/>
    <w:rsid w:val="009037F1"/>
    <w:rsid w:val="0090392F"/>
    <w:rsid w:val="00903982"/>
    <w:rsid w:val="009039BB"/>
    <w:rsid w:val="00903ADA"/>
    <w:rsid w:val="00903ADF"/>
    <w:rsid w:val="00903BC4"/>
    <w:rsid w:val="00903CFD"/>
    <w:rsid w:val="00903D2A"/>
    <w:rsid w:val="00903D39"/>
    <w:rsid w:val="00903DC4"/>
    <w:rsid w:val="00903E52"/>
    <w:rsid w:val="00903F08"/>
    <w:rsid w:val="00903F7F"/>
    <w:rsid w:val="00903F97"/>
    <w:rsid w:val="0090401C"/>
    <w:rsid w:val="00904077"/>
    <w:rsid w:val="0090410E"/>
    <w:rsid w:val="009041F2"/>
    <w:rsid w:val="00904238"/>
    <w:rsid w:val="00904334"/>
    <w:rsid w:val="00904368"/>
    <w:rsid w:val="0090436F"/>
    <w:rsid w:val="0090437D"/>
    <w:rsid w:val="00904381"/>
    <w:rsid w:val="0090443C"/>
    <w:rsid w:val="00904577"/>
    <w:rsid w:val="009045FC"/>
    <w:rsid w:val="00904688"/>
    <w:rsid w:val="009046D2"/>
    <w:rsid w:val="009046FF"/>
    <w:rsid w:val="00904716"/>
    <w:rsid w:val="009048DC"/>
    <w:rsid w:val="00904A28"/>
    <w:rsid w:val="00904BCE"/>
    <w:rsid w:val="00904CDA"/>
    <w:rsid w:val="00904D1A"/>
    <w:rsid w:val="00905027"/>
    <w:rsid w:val="009050C7"/>
    <w:rsid w:val="0090516F"/>
    <w:rsid w:val="0090517C"/>
    <w:rsid w:val="00905181"/>
    <w:rsid w:val="00905201"/>
    <w:rsid w:val="0090558A"/>
    <w:rsid w:val="009055C3"/>
    <w:rsid w:val="00905747"/>
    <w:rsid w:val="0090577A"/>
    <w:rsid w:val="009057E9"/>
    <w:rsid w:val="009058C8"/>
    <w:rsid w:val="0090599C"/>
    <w:rsid w:val="009059D1"/>
    <w:rsid w:val="00905A5A"/>
    <w:rsid w:val="00905ADF"/>
    <w:rsid w:val="00905B78"/>
    <w:rsid w:val="00905D1C"/>
    <w:rsid w:val="00905D4C"/>
    <w:rsid w:val="00905EA2"/>
    <w:rsid w:val="00905EDA"/>
    <w:rsid w:val="00905F2B"/>
    <w:rsid w:val="00906051"/>
    <w:rsid w:val="00906169"/>
    <w:rsid w:val="0090617D"/>
    <w:rsid w:val="0090627E"/>
    <w:rsid w:val="00906290"/>
    <w:rsid w:val="009066B2"/>
    <w:rsid w:val="0090679F"/>
    <w:rsid w:val="009067CB"/>
    <w:rsid w:val="00906AC5"/>
    <w:rsid w:val="00906ADE"/>
    <w:rsid w:val="00906D0E"/>
    <w:rsid w:val="00906E21"/>
    <w:rsid w:val="00907132"/>
    <w:rsid w:val="00907169"/>
    <w:rsid w:val="00907247"/>
    <w:rsid w:val="00907259"/>
    <w:rsid w:val="00907293"/>
    <w:rsid w:val="00907335"/>
    <w:rsid w:val="00907426"/>
    <w:rsid w:val="00907441"/>
    <w:rsid w:val="0090794A"/>
    <w:rsid w:val="00907BB9"/>
    <w:rsid w:val="00907C01"/>
    <w:rsid w:val="00907C39"/>
    <w:rsid w:val="00907CD6"/>
    <w:rsid w:val="00907E47"/>
    <w:rsid w:val="00910096"/>
    <w:rsid w:val="00910175"/>
    <w:rsid w:val="009101A7"/>
    <w:rsid w:val="009101B0"/>
    <w:rsid w:val="009102E0"/>
    <w:rsid w:val="009102F3"/>
    <w:rsid w:val="0091036C"/>
    <w:rsid w:val="00910380"/>
    <w:rsid w:val="009103EC"/>
    <w:rsid w:val="00910477"/>
    <w:rsid w:val="009104AC"/>
    <w:rsid w:val="009104FE"/>
    <w:rsid w:val="00910633"/>
    <w:rsid w:val="00910A06"/>
    <w:rsid w:val="00910C8D"/>
    <w:rsid w:val="00910D17"/>
    <w:rsid w:val="00910E10"/>
    <w:rsid w:val="00910EE7"/>
    <w:rsid w:val="00910FE6"/>
    <w:rsid w:val="00911137"/>
    <w:rsid w:val="00911194"/>
    <w:rsid w:val="009111F6"/>
    <w:rsid w:val="00911229"/>
    <w:rsid w:val="009112F4"/>
    <w:rsid w:val="00911334"/>
    <w:rsid w:val="0091133F"/>
    <w:rsid w:val="009113F8"/>
    <w:rsid w:val="009114CB"/>
    <w:rsid w:val="0091157F"/>
    <w:rsid w:val="009115D7"/>
    <w:rsid w:val="0091174A"/>
    <w:rsid w:val="009118FB"/>
    <w:rsid w:val="00911B04"/>
    <w:rsid w:val="00911C4E"/>
    <w:rsid w:val="00911E1B"/>
    <w:rsid w:val="00911F48"/>
    <w:rsid w:val="00912075"/>
    <w:rsid w:val="00912077"/>
    <w:rsid w:val="0091210A"/>
    <w:rsid w:val="0091213B"/>
    <w:rsid w:val="00912227"/>
    <w:rsid w:val="00912281"/>
    <w:rsid w:val="009122ED"/>
    <w:rsid w:val="009123A3"/>
    <w:rsid w:val="009124B5"/>
    <w:rsid w:val="0091250C"/>
    <w:rsid w:val="0091250D"/>
    <w:rsid w:val="00912583"/>
    <w:rsid w:val="009126CD"/>
    <w:rsid w:val="0091270A"/>
    <w:rsid w:val="00912824"/>
    <w:rsid w:val="00912870"/>
    <w:rsid w:val="00912901"/>
    <w:rsid w:val="00912B7D"/>
    <w:rsid w:val="00912D7E"/>
    <w:rsid w:val="00912E07"/>
    <w:rsid w:val="00912E3F"/>
    <w:rsid w:val="009130A8"/>
    <w:rsid w:val="009130D1"/>
    <w:rsid w:val="0091314A"/>
    <w:rsid w:val="00913168"/>
    <w:rsid w:val="0091333E"/>
    <w:rsid w:val="009133AC"/>
    <w:rsid w:val="00913534"/>
    <w:rsid w:val="00913635"/>
    <w:rsid w:val="0091378F"/>
    <w:rsid w:val="009137B0"/>
    <w:rsid w:val="00913810"/>
    <w:rsid w:val="009138B3"/>
    <w:rsid w:val="00913A77"/>
    <w:rsid w:val="00913BAA"/>
    <w:rsid w:val="00913C96"/>
    <w:rsid w:val="00913D80"/>
    <w:rsid w:val="00913DF1"/>
    <w:rsid w:val="00913E19"/>
    <w:rsid w:val="00913E6C"/>
    <w:rsid w:val="00913E93"/>
    <w:rsid w:val="00913F25"/>
    <w:rsid w:val="00913F6E"/>
    <w:rsid w:val="00914082"/>
    <w:rsid w:val="009140A6"/>
    <w:rsid w:val="00914137"/>
    <w:rsid w:val="0091414F"/>
    <w:rsid w:val="009141AF"/>
    <w:rsid w:val="00914217"/>
    <w:rsid w:val="009142A2"/>
    <w:rsid w:val="0091430C"/>
    <w:rsid w:val="0091436A"/>
    <w:rsid w:val="00914500"/>
    <w:rsid w:val="0091455C"/>
    <w:rsid w:val="009145AF"/>
    <w:rsid w:val="009146DF"/>
    <w:rsid w:val="009147D2"/>
    <w:rsid w:val="00914A1C"/>
    <w:rsid w:val="00914A7C"/>
    <w:rsid w:val="00914B16"/>
    <w:rsid w:val="00914BAF"/>
    <w:rsid w:val="00914C2B"/>
    <w:rsid w:val="00914DCF"/>
    <w:rsid w:val="00914E3D"/>
    <w:rsid w:val="00914EE9"/>
    <w:rsid w:val="00914F9F"/>
    <w:rsid w:val="009150D6"/>
    <w:rsid w:val="00915198"/>
    <w:rsid w:val="009151EC"/>
    <w:rsid w:val="0091520B"/>
    <w:rsid w:val="00915667"/>
    <w:rsid w:val="009156B3"/>
    <w:rsid w:val="009156EB"/>
    <w:rsid w:val="009158E7"/>
    <w:rsid w:val="00915C2A"/>
    <w:rsid w:val="00915CD7"/>
    <w:rsid w:val="00915D26"/>
    <w:rsid w:val="00915E9D"/>
    <w:rsid w:val="00915F03"/>
    <w:rsid w:val="00915F35"/>
    <w:rsid w:val="00915FFC"/>
    <w:rsid w:val="0091618D"/>
    <w:rsid w:val="00916197"/>
    <w:rsid w:val="009162B9"/>
    <w:rsid w:val="009162C3"/>
    <w:rsid w:val="00916409"/>
    <w:rsid w:val="009164FF"/>
    <w:rsid w:val="0091662F"/>
    <w:rsid w:val="00916644"/>
    <w:rsid w:val="00916684"/>
    <w:rsid w:val="009166E5"/>
    <w:rsid w:val="009169CB"/>
    <w:rsid w:val="009169EC"/>
    <w:rsid w:val="009169F3"/>
    <w:rsid w:val="00916A10"/>
    <w:rsid w:val="00916A9A"/>
    <w:rsid w:val="00916BA3"/>
    <w:rsid w:val="00916BF8"/>
    <w:rsid w:val="00916CD3"/>
    <w:rsid w:val="00916D15"/>
    <w:rsid w:val="00916E18"/>
    <w:rsid w:val="00916EF1"/>
    <w:rsid w:val="009171F2"/>
    <w:rsid w:val="009172A8"/>
    <w:rsid w:val="009172A9"/>
    <w:rsid w:val="0091734F"/>
    <w:rsid w:val="00917538"/>
    <w:rsid w:val="00917566"/>
    <w:rsid w:val="009176C9"/>
    <w:rsid w:val="00917745"/>
    <w:rsid w:val="0091774A"/>
    <w:rsid w:val="0091781A"/>
    <w:rsid w:val="009178AF"/>
    <w:rsid w:val="009178D1"/>
    <w:rsid w:val="00917939"/>
    <w:rsid w:val="00917A3C"/>
    <w:rsid w:val="00917A78"/>
    <w:rsid w:val="00917ACA"/>
    <w:rsid w:val="00917C99"/>
    <w:rsid w:val="00917ED8"/>
    <w:rsid w:val="009200ED"/>
    <w:rsid w:val="0092014D"/>
    <w:rsid w:val="009201FE"/>
    <w:rsid w:val="009204A8"/>
    <w:rsid w:val="00920675"/>
    <w:rsid w:val="009206C2"/>
    <w:rsid w:val="009207FC"/>
    <w:rsid w:val="00920862"/>
    <w:rsid w:val="009208AE"/>
    <w:rsid w:val="009208E1"/>
    <w:rsid w:val="00920925"/>
    <w:rsid w:val="00920ED2"/>
    <w:rsid w:val="00921014"/>
    <w:rsid w:val="0092107F"/>
    <w:rsid w:val="00921300"/>
    <w:rsid w:val="0092130E"/>
    <w:rsid w:val="00921385"/>
    <w:rsid w:val="0092144E"/>
    <w:rsid w:val="00921573"/>
    <w:rsid w:val="009217FF"/>
    <w:rsid w:val="00921832"/>
    <w:rsid w:val="0092187B"/>
    <w:rsid w:val="00921880"/>
    <w:rsid w:val="00921882"/>
    <w:rsid w:val="0092193F"/>
    <w:rsid w:val="00921A8B"/>
    <w:rsid w:val="00921BC8"/>
    <w:rsid w:val="00921D14"/>
    <w:rsid w:val="00921DF7"/>
    <w:rsid w:val="00921E32"/>
    <w:rsid w:val="00921FA5"/>
    <w:rsid w:val="00921FD0"/>
    <w:rsid w:val="00922118"/>
    <w:rsid w:val="00922227"/>
    <w:rsid w:val="0092227C"/>
    <w:rsid w:val="00922332"/>
    <w:rsid w:val="0092233D"/>
    <w:rsid w:val="009225BC"/>
    <w:rsid w:val="0092269A"/>
    <w:rsid w:val="0092270C"/>
    <w:rsid w:val="009227D2"/>
    <w:rsid w:val="00922899"/>
    <w:rsid w:val="00922984"/>
    <w:rsid w:val="00922C00"/>
    <w:rsid w:val="00922C4E"/>
    <w:rsid w:val="00922C5A"/>
    <w:rsid w:val="00922D3A"/>
    <w:rsid w:val="00922DCC"/>
    <w:rsid w:val="00922E78"/>
    <w:rsid w:val="00922F1A"/>
    <w:rsid w:val="00922F56"/>
    <w:rsid w:val="00922FD6"/>
    <w:rsid w:val="00923036"/>
    <w:rsid w:val="009230B3"/>
    <w:rsid w:val="009230DB"/>
    <w:rsid w:val="009230FA"/>
    <w:rsid w:val="00923185"/>
    <w:rsid w:val="0092319C"/>
    <w:rsid w:val="009232AB"/>
    <w:rsid w:val="00923383"/>
    <w:rsid w:val="0092338D"/>
    <w:rsid w:val="009233EA"/>
    <w:rsid w:val="0092346A"/>
    <w:rsid w:val="0092352A"/>
    <w:rsid w:val="0092364F"/>
    <w:rsid w:val="00923691"/>
    <w:rsid w:val="0092370C"/>
    <w:rsid w:val="00923721"/>
    <w:rsid w:val="00923786"/>
    <w:rsid w:val="00923983"/>
    <w:rsid w:val="00923A7B"/>
    <w:rsid w:val="00923ADF"/>
    <w:rsid w:val="00923B38"/>
    <w:rsid w:val="00923D18"/>
    <w:rsid w:val="00923D89"/>
    <w:rsid w:val="00923DF6"/>
    <w:rsid w:val="00923E6E"/>
    <w:rsid w:val="00923F18"/>
    <w:rsid w:val="009240AB"/>
    <w:rsid w:val="009241A9"/>
    <w:rsid w:val="00924224"/>
    <w:rsid w:val="009243C0"/>
    <w:rsid w:val="00924416"/>
    <w:rsid w:val="00924593"/>
    <w:rsid w:val="009245E4"/>
    <w:rsid w:val="0092476E"/>
    <w:rsid w:val="009248D0"/>
    <w:rsid w:val="00924A94"/>
    <w:rsid w:val="00924B60"/>
    <w:rsid w:val="00924B62"/>
    <w:rsid w:val="00924C50"/>
    <w:rsid w:val="00924C70"/>
    <w:rsid w:val="00924D54"/>
    <w:rsid w:val="00924DA4"/>
    <w:rsid w:val="00924DD6"/>
    <w:rsid w:val="00924E9D"/>
    <w:rsid w:val="00924F4C"/>
    <w:rsid w:val="00925069"/>
    <w:rsid w:val="00925072"/>
    <w:rsid w:val="009250DF"/>
    <w:rsid w:val="00925103"/>
    <w:rsid w:val="00925148"/>
    <w:rsid w:val="009251E9"/>
    <w:rsid w:val="009251EA"/>
    <w:rsid w:val="00925282"/>
    <w:rsid w:val="00925372"/>
    <w:rsid w:val="00925415"/>
    <w:rsid w:val="00925441"/>
    <w:rsid w:val="0092567C"/>
    <w:rsid w:val="00925737"/>
    <w:rsid w:val="00925868"/>
    <w:rsid w:val="0092589C"/>
    <w:rsid w:val="009258AF"/>
    <w:rsid w:val="0092593B"/>
    <w:rsid w:val="00925948"/>
    <w:rsid w:val="009259E1"/>
    <w:rsid w:val="00925A39"/>
    <w:rsid w:val="00925D41"/>
    <w:rsid w:val="00925E43"/>
    <w:rsid w:val="00925E63"/>
    <w:rsid w:val="00926047"/>
    <w:rsid w:val="00926171"/>
    <w:rsid w:val="00926420"/>
    <w:rsid w:val="009265C5"/>
    <w:rsid w:val="009265EC"/>
    <w:rsid w:val="00926648"/>
    <w:rsid w:val="00926695"/>
    <w:rsid w:val="009266A4"/>
    <w:rsid w:val="009266DC"/>
    <w:rsid w:val="00926776"/>
    <w:rsid w:val="009267A7"/>
    <w:rsid w:val="0092686F"/>
    <w:rsid w:val="00926BDC"/>
    <w:rsid w:val="00926C64"/>
    <w:rsid w:val="00926D6F"/>
    <w:rsid w:val="00926F94"/>
    <w:rsid w:val="00926FBD"/>
    <w:rsid w:val="00927095"/>
    <w:rsid w:val="009270FC"/>
    <w:rsid w:val="009271C6"/>
    <w:rsid w:val="00927283"/>
    <w:rsid w:val="009272A6"/>
    <w:rsid w:val="009273B7"/>
    <w:rsid w:val="009273D7"/>
    <w:rsid w:val="00927416"/>
    <w:rsid w:val="00927452"/>
    <w:rsid w:val="009274B1"/>
    <w:rsid w:val="009274EE"/>
    <w:rsid w:val="0092756F"/>
    <w:rsid w:val="009275A3"/>
    <w:rsid w:val="00927601"/>
    <w:rsid w:val="009276C3"/>
    <w:rsid w:val="00927716"/>
    <w:rsid w:val="0092775E"/>
    <w:rsid w:val="0092786E"/>
    <w:rsid w:val="00927902"/>
    <w:rsid w:val="00927A22"/>
    <w:rsid w:val="00927A32"/>
    <w:rsid w:val="00927AEC"/>
    <w:rsid w:val="00927B1A"/>
    <w:rsid w:val="00927B5A"/>
    <w:rsid w:val="00927CD5"/>
    <w:rsid w:val="00927DC2"/>
    <w:rsid w:val="00927E38"/>
    <w:rsid w:val="00927E93"/>
    <w:rsid w:val="00927E96"/>
    <w:rsid w:val="00927F94"/>
    <w:rsid w:val="00930073"/>
    <w:rsid w:val="00930123"/>
    <w:rsid w:val="0093021F"/>
    <w:rsid w:val="009304A2"/>
    <w:rsid w:val="0093056E"/>
    <w:rsid w:val="009307AF"/>
    <w:rsid w:val="009307B3"/>
    <w:rsid w:val="0093084F"/>
    <w:rsid w:val="0093092C"/>
    <w:rsid w:val="00930B66"/>
    <w:rsid w:val="00930D41"/>
    <w:rsid w:val="00930E3D"/>
    <w:rsid w:val="00930E67"/>
    <w:rsid w:val="009310A7"/>
    <w:rsid w:val="009310D3"/>
    <w:rsid w:val="009310DC"/>
    <w:rsid w:val="00931338"/>
    <w:rsid w:val="00931400"/>
    <w:rsid w:val="009314F0"/>
    <w:rsid w:val="0093158C"/>
    <w:rsid w:val="0093159B"/>
    <w:rsid w:val="009316C5"/>
    <w:rsid w:val="0093176A"/>
    <w:rsid w:val="0093194E"/>
    <w:rsid w:val="00931964"/>
    <w:rsid w:val="00931972"/>
    <w:rsid w:val="009319D9"/>
    <w:rsid w:val="00931A41"/>
    <w:rsid w:val="00931AFE"/>
    <w:rsid w:val="00931B16"/>
    <w:rsid w:val="00931CA8"/>
    <w:rsid w:val="00931D8F"/>
    <w:rsid w:val="00931DFA"/>
    <w:rsid w:val="00931F51"/>
    <w:rsid w:val="0093207B"/>
    <w:rsid w:val="0093208E"/>
    <w:rsid w:val="009321CA"/>
    <w:rsid w:val="009322CF"/>
    <w:rsid w:val="009322D0"/>
    <w:rsid w:val="009323F2"/>
    <w:rsid w:val="0093242C"/>
    <w:rsid w:val="00932509"/>
    <w:rsid w:val="009325D5"/>
    <w:rsid w:val="00932793"/>
    <w:rsid w:val="00932904"/>
    <w:rsid w:val="00932A6C"/>
    <w:rsid w:val="00932AD7"/>
    <w:rsid w:val="00932C8B"/>
    <w:rsid w:val="00932DF1"/>
    <w:rsid w:val="00932F46"/>
    <w:rsid w:val="00932F80"/>
    <w:rsid w:val="00932F8D"/>
    <w:rsid w:val="00932FB1"/>
    <w:rsid w:val="00932FC8"/>
    <w:rsid w:val="00933041"/>
    <w:rsid w:val="0093307E"/>
    <w:rsid w:val="00933198"/>
    <w:rsid w:val="009332D4"/>
    <w:rsid w:val="00933324"/>
    <w:rsid w:val="00933383"/>
    <w:rsid w:val="00933393"/>
    <w:rsid w:val="009335B5"/>
    <w:rsid w:val="00933663"/>
    <w:rsid w:val="00933741"/>
    <w:rsid w:val="00933904"/>
    <w:rsid w:val="009339D6"/>
    <w:rsid w:val="00933A3B"/>
    <w:rsid w:val="00933AE4"/>
    <w:rsid w:val="00933B0C"/>
    <w:rsid w:val="00933BF1"/>
    <w:rsid w:val="00933E88"/>
    <w:rsid w:val="00933EFB"/>
    <w:rsid w:val="00933F1A"/>
    <w:rsid w:val="00933F9A"/>
    <w:rsid w:val="00933FE3"/>
    <w:rsid w:val="00933FF6"/>
    <w:rsid w:val="00934073"/>
    <w:rsid w:val="00934091"/>
    <w:rsid w:val="009340D7"/>
    <w:rsid w:val="00934137"/>
    <w:rsid w:val="00934459"/>
    <w:rsid w:val="00934480"/>
    <w:rsid w:val="00934527"/>
    <w:rsid w:val="009347E1"/>
    <w:rsid w:val="00934963"/>
    <w:rsid w:val="00934A3B"/>
    <w:rsid w:val="00934BB5"/>
    <w:rsid w:val="00934D50"/>
    <w:rsid w:val="00934D62"/>
    <w:rsid w:val="00934DDA"/>
    <w:rsid w:val="00934DE5"/>
    <w:rsid w:val="00934DF5"/>
    <w:rsid w:val="00934E4C"/>
    <w:rsid w:val="00934E75"/>
    <w:rsid w:val="00934EC1"/>
    <w:rsid w:val="00934F13"/>
    <w:rsid w:val="00935056"/>
    <w:rsid w:val="00935178"/>
    <w:rsid w:val="00935245"/>
    <w:rsid w:val="00935420"/>
    <w:rsid w:val="009354C2"/>
    <w:rsid w:val="009356A4"/>
    <w:rsid w:val="0093578E"/>
    <w:rsid w:val="009357AC"/>
    <w:rsid w:val="0093584A"/>
    <w:rsid w:val="0093591F"/>
    <w:rsid w:val="00935A12"/>
    <w:rsid w:val="00935AA1"/>
    <w:rsid w:val="00935C28"/>
    <w:rsid w:val="00935E16"/>
    <w:rsid w:val="00935FFD"/>
    <w:rsid w:val="0093605F"/>
    <w:rsid w:val="0093608D"/>
    <w:rsid w:val="009360A8"/>
    <w:rsid w:val="00936157"/>
    <w:rsid w:val="009361B3"/>
    <w:rsid w:val="009362B0"/>
    <w:rsid w:val="00936340"/>
    <w:rsid w:val="0093634B"/>
    <w:rsid w:val="00936427"/>
    <w:rsid w:val="0093649B"/>
    <w:rsid w:val="009364CA"/>
    <w:rsid w:val="00936672"/>
    <w:rsid w:val="00936691"/>
    <w:rsid w:val="009367E8"/>
    <w:rsid w:val="0093699F"/>
    <w:rsid w:val="00936A58"/>
    <w:rsid w:val="00936B40"/>
    <w:rsid w:val="00936BEE"/>
    <w:rsid w:val="00936D8E"/>
    <w:rsid w:val="00936DA2"/>
    <w:rsid w:val="00936E49"/>
    <w:rsid w:val="00936F8A"/>
    <w:rsid w:val="009371AA"/>
    <w:rsid w:val="009373C8"/>
    <w:rsid w:val="009374A6"/>
    <w:rsid w:val="009375AF"/>
    <w:rsid w:val="009376EA"/>
    <w:rsid w:val="009378B7"/>
    <w:rsid w:val="00937969"/>
    <w:rsid w:val="00937A7A"/>
    <w:rsid w:val="00937B03"/>
    <w:rsid w:val="00937B47"/>
    <w:rsid w:val="00937CF2"/>
    <w:rsid w:val="00937DCD"/>
    <w:rsid w:val="00937F8B"/>
    <w:rsid w:val="00937FBE"/>
    <w:rsid w:val="009400B9"/>
    <w:rsid w:val="009400E4"/>
    <w:rsid w:val="009401B1"/>
    <w:rsid w:val="009401DA"/>
    <w:rsid w:val="00940312"/>
    <w:rsid w:val="00940628"/>
    <w:rsid w:val="0094068A"/>
    <w:rsid w:val="009406AB"/>
    <w:rsid w:val="00940A32"/>
    <w:rsid w:val="00940AA5"/>
    <w:rsid w:val="00940ADF"/>
    <w:rsid w:val="00940B6F"/>
    <w:rsid w:val="00940D0E"/>
    <w:rsid w:val="00940D14"/>
    <w:rsid w:val="00940D1B"/>
    <w:rsid w:val="00941064"/>
    <w:rsid w:val="00941130"/>
    <w:rsid w:val="009411E7"/>
    <w:rsid w:val="00941330"/>
    <w:rsid w:val="009413DE"/>
    <w:rsid w:val="00941401"/>
    <w:rsid w:val="00941416"/>
    <w:rsid w:val="009414DC"/>
    <w:rsid w:val="00941552"/>
    <w:rsid w:val="009416F0"/>
    <w:rsid w:val="00941726"/>
    <w:rsid w:val="00941922"/>
    <w:rsid w:val="00941990"/>
    <w:rsid w:val="00941B3D"/>
    <w:rsid w:val="00941BC2"/>
    <w:rsid w:val="00941BF1"/>
    <w:rsid w:val="00941D77"/>
    <w:rsid w:val="00941D8A"/>
    <w:rsid w:val="00941DB4"/>
    <w:rsid w:val="00941DB6"/>
    <w:rsid w:val="00941E18"/>
    <w:rsid w:val="00941E45"/>
    <w:rsid w:val="00941E7E"/>
    <w:rsid w:val="00941F77"/>
    <w:rsid w:val="00941F96"/>
    <w:rsid w:val="00941FA7"/>
    <w:rsid w:val="00941FF6"/>
    <w:rsid w:val="00942369"/>
    <w:rsid w:val="00942545"/>
    <w:rsid w:val="00942547"/>
    <w:rsid w:val="00942603"/>
    <w:rsid w:val="0094287D"/>
    <w:rsid w:val="009428E6"/>
    <w:rsid w:val="0094294A"/>
    <w:rsid w:val="0094297F"/>
    <w:rsid w:val="00942ACD"/>
    <w:rsid w:val="00942BB2"/>
    <w:rsid w:val="00942BEB"/>
    <w:rsid w:val="00942D52"/>
    <w:rsid w:val="00942DF2"/>
    <w:rsid w:val="00942E69"/>
    <w:rsid w:val="0094318C"/>
    <w:rsid w:val="00943298"/>
    <w:rsid w:val="00943388"/>
    <w:rsid w:val="00943403"/>
    <w:rsid w:val="0094347D"/>
    <w:rsid w:val="00943633"/>
    <w:rsid w:val="009436CE"/>
    <w:rsid w:val="00943735"/>
    <w:rsid w:val="00943895"/>
    <w:rsid w:val="00943931"/>
    <w:rsid w:val="00943AB1"/>
    <w:rsid w:val="00943ACF"/>
    <w:rsid w:val="00943B34"/>
    <w:rsid w:val="00943C83"/>
    <w:rsid w:val="00943D26"/>
    <w:rsid w:val="00943E79"/>
    <w:rsid w:val="00943F5E"/>
    <w:rsid w:val="00944043"/>
    <w:rsid w:val="0094406F"/>
    <w:rsid w:val="009441FD"/>
    <w:rsid w:val="009443D7"/>
    <w:rsid w:val="009444CC"/>
    <w:rsid w:val="009444FA"/>
    <w:rsid w:val="00944513"/>
    <w:rsid w:val="00944814"/>
    <w:rsid w:val="0094481C"/>
    <w:rsid w:val="00944864"/>
    <w:rsid w:val="0094493A"/>
    <w:rsid w:val="00944B18"/>
    <w:rsid w:val="00944F18"/>
    <w:rsid w:val="00944F60"/>
    <w:rsid w:val="00945097"/>
    <w:rsid w:val="009450C0"/>
    <w:rsid w:val="009450E9"/>
    <w:rsid w:val="009451B7"/>
    <w:rsid w:val="009451C8"/>
    <w:rsid w:val="009452BC"/>
    <w:rsid w:val="0094531B"/>
    <w:rsid w:val="009454AF"/>
    <w:rsid w:val="0094555E"/>
    <w:rsid w:val="00945695"/>
    <w:rsid w:val="0094571B"/>
    <w:rsid w:val="00945895"/>
    <w:rsid w:val="009458FF"/>
    <w:rsid w:val="00945A18"/>
    <w:rsid w:val="00945B01"/>
    <w:rsid w:val="00945B37"/>
    <w:rsid w:val="00945CCB"/>
    <w:rsid w:val="00945CE6"/>
    <w:rsid w:val="00945D48"/>
    <w:rsid w:val="00945D6D"/>
    <w:rsid w:val="00946028"/>
    <w:rsid w:val="0094618A"/>
    <w:rsid w:val="00946200"/>
    <w:rsid w:val="00946232"/>
    <w:rsid w:val="009462CB"/>
    <w:rsid w:val="009463E5"/>
    <w:rsid w:val="00946589"/>
    <w:rsid w:val="0094674C"/>
    <w:rsid w:val="0094675A"/>
    <w:rsid w:val="0094686C"/>
    <w:rsid w:val="009468C2"/>
    <w:rsid w:val="009468F5"/>
    <w:rsid w:val="009469C9"/>
    <w:rsid w:val="00946A90"/>
    <w:rsid w:val="00946ABB"/>
    <w:rsid w:val="00946CE9"/>
    <w:rsid w:val="00946D87"/>
    <w:rsid w:val="00946DE7"/>
    <w:rsid w:val="00946E1B"/>
    <w:rsid w:val="00946E4F"/>
    <w:rsid w:val="00946EFA"/>
    <w:rsid w:val="00946F1B"/>
    <w:rsid w:val="00947059"/>
    <w:rsid w:val="00947080"/>
    <w:rsid w:val="00947138"/>
    <w:rsid w:val="009471E1"/>
    <w:rsid w:val="0094723F"/>
    <w:rsid w:val="00947268"/>
    <w:rsid w:val="00947380"/>
    <w:rsid w:val="009473C7"/>
    <w:rsid w:val="009474E2"/>
    <w:rsid w:val="009477B4"/>
    <w:rsid w:val="009477F1"/>
    <w:rsid w:val="00947B91"/>
    <w:rsid w:val="00947C25"/>
    <w:rsid w:val="00950154"/>
    <w:rsid w:val="00950177"/>
    <w:rsid w:val="0095019D"/>
    <w:rsid w:val="009501D9"/>
    <w:rsid w:val="009501E9"/>
    <w:rsid w:val="0095031F"/>
    <w:rsid w:val="00950481"/>
    <w:rsid w:val="00950488"/>
    <w:rsid w:val="0095055B"/>
    <w:rsid w:val="0095067C"/>
    <w:rsid w:val="00950692"/>
    <w:rsid w:val="00950709"/>
    <w:rsid w:val="0095070B"/>
    <w:rsid w:val="0095074E"/>
    <w:rsid w:val="00950942"/>
    <w:rsid w:val="00950984"/>
    <w:rsid w:val="00950C03"/>
    <w:rsid w:val="00950D32"/>
    <w:rsid w:val="00950DD7"/>
    <w:rsid w:val="0095102C"/>
    <w:rsid w:val="009512EF"/>
    <w:rsid w:val="00951348"/>
    <w:rsid w:val="00951427"/>
    <w:rsid w:val="00951461"/>
    <w:rsid w:val="0095199F"/>
    <w:rsid w:val="009519BC"/>
    <w:rsid w:val="00951ADA"/>
    <w:rsid w:val="00951B78"/>
    <w:rsid w:val="00951D8B"/>
    <w:rsid w:val="00951DA9"/>
    <w:rsid w:val="00951EAC"/>
    <w:rsid w:val="00951F55"/>
    <w:rsid w:val="00952345"/>
    <w:rsid w:val="00952352"/>
    <w:rsid w:val="0095241F"/>
    <w:rsid w:val="009524C1"/>
    <w:rsid w:val="009524C7"/>
    <w:rsid w:val="009524D8"/>
    <w:rsid w:val="00952505"/>
    <w:rsid w:val="00952651"/>
    <w:rsid w:val="009526D7"/>
    <w:rsid w:val="00952A59"/>
    <w:rsid w:val="00952A77"/>
    <w:rsid w:val="00952D1F"/>
    <w:rsid w:val="00952F25"/>
    <w:rsid w:val="00952F78"/>
    <w:rsid w:val="00952F7F"/>
    <w:rsid w:val="0095304A"/>
    <w:rsid w:val="0095304B"/>
    <w:rsid w:val="00953068"/>
    <w:rsid w:val="009531F2"/>
    <w:rsid w:val="0095334F"/>
    <w:rsid w:val="009533BF"/>
    <w:rsid w:val="009535CC"/>
    <w:rsid w:val="0095361C"/>
    <w:rsid w:val="009537B4"/>
    <w:rsid w:val="009537BC"/>
    <w:rsid w:val="009537C4"/>
    <w:rsid w:val="009537F8"/>
    <w:rsid w:val="009539CE"/>
    <w:rsid w:val="00953BA2"/>
    <w:rsid w:val="00953BBD"/>
    <w:rsid w:val="00953CA1"/>
    <w:rsid w:val="00953E8F"/>
    <w:rsid w:val="00953F4D"/>
    <w:rsid w:val="00953F66"/>
    <w:rsid w:val="00953F84"/>
    <w:rsid w:val="009540EA"/>
    <w:rsid w:val="009541D4"/>
    <w:rsid w:val="00954239"/>
    <w:rsid w:val="00954300"/>
    <w:rsid w:val="00954322"/>
    <w:rsid w:val="00954483"/>
    <w:rsid w:val="00954629"/>
    <w:rsid w:val="00954699"/>
    <w:rsid w:val="0095474F"/>
    <w:rsid w:val="00954C13"/>
    <w:rsid w:val="00954DD6"/>
    <w:rsid w:val="00954FDF"/>
    <w:rsid w:val="009550A2"/>
    <w:rsid w:val="00955156"/>
    <w:rsid w:val="00955185"/>
    <w:rsid w:val="00955187"/>
    <w:rsid w:val="009551CC"/>
    <w:rsid w:val="00955371"/>
    <w:rsid w:val="00955385"/>
    <w:rsid w:val="009554D2"/>
    <w:rsid w:val="00955602"/>
    <w:rsid w:val="00955629"/>
    <w:rsid w:val="00955644"/>
    <w:rsid w:val="00955728"/>
    <w:rsid w:val="00955846"/>
    <w:rsid w:val="00955922"/>
    <w:rsid w:val="00955931"/>
    <w:rsid w:val="009559A4"/>
    <w:rsid w:val="009559A5"/>
    <w:rsid w:val="00955A00"/>
    <w:rsid w:val="00955A6E"/>
    <w:rsid w:val="00955B76"/>
    <w:rsid w:val="00955C1D"/>
    <w:rsid w:val="00955CAE"/>
    <w:rsid w:val="00955D34"/>
    <w:rsid w:val="00955E0D"/>
    <w:rsid w:val="00955E26"/>
    <w:rsid w:val="00955ED6"/>
    <w:rsid w:val="00955EED"/>
    <w:rsid w:val="00955F10"/>
    <w:rsid w:val="00955F4E"/>
    <w:rsid w:val="0095600E"/>
    <w:rsid w:val="009560A7"/>
    <w:rsid w:val="0095614B"/>
    <w:rsid w:val="009561F6"/>
    <w:rsid w:val="00956368"/>
    <w:rsid w:val="00956505"/>
    <w:rsid w:val="009565C7"/>
    <w:rsid w:val="00956737"/>
    <w:rsid w:val="0095674C"/>
    <w:rsid w:val="0095676C"/>
    <w:rsid w:val="009567CB"/>
    <w:rsid w:val="00956839"/>
    <w:rsid w:val="009568DD"/>
    <w:rsid w:val="009569FC"/>
    <w:rsid w:val="00956ADD"/>
    <w:rsid w:val="00956B29"/>
    <w:rsid w:val="00956D0C"/>
    <w:rsid w:val="00956D19"/>
    <w:rsid w:val="00956D81"/>
    <w:rsid w:val="00956DF9"/>
    <w:rsid w:val="00956E1C"/>
    <w:rsid w:val="00956F09"/>
    <w:rsid w:val="009570B4"/>
    <w:rsid w:val="0095730F"/>
    <w:rsid w:val="00957322"/>
    <w:rsid w:val="00957357"/>
    <w:rsid w:val="0095738B"/>
    <w:rsid w:val="009573B8"/>
    <w:rsid w:val="009574B9"/>
    <w:rsid w:val="0095757E"/>
    <w:rsid w:val="009575D5"/>
    <w:rsid w:val="00957735"/>
    <w:rsid w:val="009577E1"/>
    <w:rsid w:val="00957840"/>
    <w:rsid w:val="009578A5"/>
    <w:rsid w:val="00957A25"/>
    <w:rsid w:val="00957DC0"/>
    <w:rsid w:val="00957DDE"/>
    <w:rsid w:val="009601C9"/>
    <w:rsid w:val="009601D4"/>
    <w:rsid w:val="00960284"/>
    <w:rsid w:val="0096028D"/>
    <w:rsid w:val="009602BA"/>
    <w:rsid w:val="00960305"/>
    <w:rsid w:val="009604ED"/>
    <w:rsid w:val="00960535"/>
    <w:rsid w:val="0096065A"/>
    <w:rsid w:val="0096077E"/>
    <w:rsid w:val="00960785"/>
    <w:rsid w:val="009607F4"/>
    <w:rsid w:val="0096088B"/>
    <w:rsid w:val="00960BC6"/>
    <w:rsid w:val="00960BD7"/>
    <w:rsid w:val="00960BE3"/>
    <w:rsid w:val="00960BEC"/>
    <w:rsid w:val="00960C0F"/>
    <w:rsid w:val="00960C45"/>
    <w:rsid w:val="00960D67"/>
    <w:rsid w:val="0096100D"/>
    <w:rsid w:val="00961022"/>
    <w:rsid w:val="00961050"/>
    <w:rsid w:val="00961170"/>
    <w:rsid w:val="0096118F"/>
    <w:rsid w:val="00961201"/>
    <w:rsid w:val="00961246"/>
    <w:rsid w:val="00961328"/>
    <w:rsid w:val="00961334"/>
    <w:rsid w:val="00961446"/>
    <w:rsid w:val="009614CB"/>
    <w:rsid w:val="0096153F"/>
    <w:rsid w:val="0096162C"/>
    <w:rsid w:val="009616D9"/>
    <w:rsid w:val="009617F1"/>
    <w:rsid w:val="00961840"/>
    <w:rsid w:val="00961879"/>
    <w:rsid w:val="009619BA"/>
    <w:rsid w:val="00961A1D"/>
    <w:rsid w:val="00961A51"/>
    <w:rsid w:val="00961DAE"/>
    <w:rsid w:val="00961E27"/>
    <w:rsid w:val="00961EF1"/>
    <w:rsid w:val="009620CE"/>
    <w:rsid w:val="009621A9"/>
    <w:rsid w:val="009621AF"/>
    <w:rsid w:val="009622A8"/>
    <w:rsid w:val="0096242B"/>
    <w:rsid w:val="0096242D"/>
    <w:rsid w:val="00962479"/>
    <w:rsid w:val="00962486"/>
    <w:rsid w:val="0096254B"/>
    <w:rsid w:val="009625E0"/>
    <w:rsid w:val="00962622"/>
    <w:rsid w:val="0096263F"/>
    <w:rsid w:val="0096275B"/>
    <w:rsid w:val="009627F9"/>
    <w:rsid w:val="0096289A"/>
    <w:rsid w:val="00962934"/>
    <w:rsid w:val="0096299F"/>
    <w:rsid w:val="00962AC2"/>
    <w:rsid w:val="00962B7A"/>
    <w:rsid w:val="00962BEA"/>
    <w:rsid w:val="00962D18"/>
    <w:rsid w:val="00962D60"/>
    <w:rsid w:val="009630A9"/>
    <w:rsid w:val="00963100"/>
    <w:rsid w:val="00963106"/>
    <w:rsid w:val="00963120"/>
    <w:rsid w:val="009632D6"/>
    <w:rsid w:val="009633E0"/>
    <w:rsid w:val="009636CD"/>
    <w:rsid w:val="0096374D"/>
    <w:rsid w:val="009638CD"/>
    <w:rsid w:val="00963A34"/>
    <w:rsid w:val="00963A4F"/>
    <w:rsid w:val="00963A5C"/>
    <w:rsid w:val="00963BF0"/>
    <w:rsid w:val="00963C42"/>
    <w:rsid w:val="00963CDB"/>
    <w:rsid w:val="00963D42"/>
    <w:rsid w:val="00963DFE"/>
    <w:rsid w:val="00963EF0"/>
    <w:rsid w:val="00963F89"/>
    <w:rsid w:val="00964012"/>
    <w:rsid w:val="00964075"/>
    <w:rsid w:val="0096408B"/>
    <w:rsid w:val="00964103"/>
    <w:rsid w:val="00964198"/>
    <w:rsid w:val="009642BB"/>
    <w:rsid w:val="009642F5"/>
    <w:rsid w:val="00964373"/>
    <w:rsid w:val="009643BE"/>
    <w:rsid w:val="009643C5"/>
    <w:rsid w:val="009643FD"/>
    <w:rsid w:val="00964455"/>
    <w:rsid w:val="00964521"/>
    <w:rsid w:val="00964596"/>
    <w:rsid w:val="009646A9"/>
    <w:rsid w:val="009646C8"/>
    <w:rsid w:val="009647B5"/>
    <w:rsid w:val="00964846"/>
    <w:rsid w:val="00964868"/>
    <w:rsid w:val="00964A6A"/>
    <w:rsid w:val="00964B95"/>
    <w:rsid w:val="00964C31"/>
    <w:rsid w:val="00964CB7"/>
    <w:rsid w:val="00964CD1"/>
    <w:rsid w:val="00964D1F"/>
    <w:rsid w:val="00964FC1"/>
    <w:rsid w:val="0096516C"/>
    <w:rsid w:val="009651DC"/>
    <w:rsid w:val="0096520D"/>
    <w:rsid w:val="009652D8"/>
    <w:rsid w:val="00965337"/>
    <w:rsid w:val="00965440"/>
    <w:rsid w:val="009655AE"/>
    <w:rsid w:val="00965811"/>
    <w:rsid w:val="00965859"/>
    <w:rsid w:val="0096589B"/>
    <w:rsid w:val="00965935"/>
    <w:rsid w:val="009659D2"/>
    <w:rsid w:val="00965A6F"/>
    <w:rsid w:val="00965BFF"/>
    <w:rsid w:val="00965CC6"/>
    <w:rsid w:val="00965E3E"/>
    <w:rsid w:val="00965FC3"/>
    <w:rsid w:val="00966078"/>
    <w:rsid w:val="0096607F"/>
    <w:rsid w:val="00966205"/>
    <w:rsid w:val="00966272"/>
    <w:rsid w:val="00966464"/>
    <w:rsid w:val="009664A6"/>
    <w:rsid w:val="009664CF"/>
    <w:rsid w:val="00966511"/>
    <w:rsid w:val="009665E1"/>
    <w:rsid w:val="0096664C"/>
    <w:rsid w:val="00966796"/>
    <w:rsid w:val="00966820"/>
    <w:rsid w:val="00966950"/>
    <w:rsid w:val="00966B92"/>
    <w:rsid w:val="00966BA5"/>
    <w:rsid w:val="00966C57"/>
    <w:rsid w:val="00966CFA"/>
    <w:rsid w:val="00966DA2"/>
    <w:rsid w:val="00966E06"/>
    <w:rsid w:val="00966E64"/>
    <w:rsid w:val="00966E85"/>
    <w:rsid w:val="00966EB3"/>
    <w:rsid w:val="00967197"/>
    <w:rsid w:val="009671FD"/>
    <w:rsid w:val="0096721F"/>
    <w:rsid w:val="00967240"/>
    <w:rsid w:val="0096724E"/>
    <w:rsid w:val="009672E3"/>
    <w:rsid w:val="0096731D"/>
    <w:rsid w:val="0096735A"/>
    <w:rsid w:val="009675B7"/>
    <w:rsid w:val="009675B8"/>
    <w:rsid w:val="009678FC"/>
    <w:rsid w:val="0096791D"/>
    <w:rsid w:val="00967ADE"/>
    <w:rsid w:val="00967B69"/>
    <w:rsid w:val="00967C37"/>
    <w:rsid w:val="00967C58"/>
    <w:rsid w:val="00967DFA"/>
    <w:rsid w:val="00967E82"/>
    <w:rsid w:val="00967F97"/>
    <w:rsid w:val="009700B5"/>
    <w:rsid w:val="009700D3"/>
    <w:rsid w:val="0097028F"/>
    <w:rsid w:val="009702DD"/>
    <w:rsid w:val="0097032B"/>
    <w:rsid w:val="0097053E"/>
    <w:rsid w:val="00970568"/>
    <w:rsid w:val="00970671"/>
    <w:rsid w:val="00970678"/>
    <w:rsid w:val="00970798"/>
    <w:rsid w:val="009707BD"/>
    <w:rsid w:val="00970816"/>
    <w:rsid w:val="00970829"/>
    <w:rsid w:val="009709B0"/>
    <w:rsid w:val="00970BE6"/>
    <w:rsid w:val="00970C68"/>
    <w:rsid w:val="00970CA5"/>
    <w:rsid w:val="00970D39"/>
    <w:rsid w:val="00970E9C"/>
    <w:rsid w:val="00970EED"/>
    <w:rsid w:val="00970F9E"/>
    <w:rsid w:val="0097100F"/>
    <w:rsid w:val="00971068"/>
    <w:rsid w:val="009710E5"/>
    <w:rsid w:val="00971136"/>
    <w:rsid w:val="00971150"/>
    <w:rsid w:val="009711FA"/>
    <w:rsid w:val="00971240"/>
    <w:rsid w:val="009713D9"/>
    <w:rsid w:val="0097159D"/>
    <w:rsid w:val="00971688"/>
    <w:rsid w:val="009716C2"/>
    <w:rsid w:val="009716E6"/>
    <w:rsid w:val="0097172A"/>
    <w:rsid w:val="0097175C"/>
    <w:rsid w:val="0097177C"/>
    <w:rsid w:val="009717E5"/>
    <w:rsid w:val="0097190A"/>
    <w:rsid w:val="0097195D"/>
    <w:rsid w:val="0097197D"/>
    <w:rsid w:val="009719C9"/>
    <w:rsid w:val="00971A79"/>
    <w:rsid w:val="00971AAE"/>
    <w:rsid w:val="00971B18"/>
    <w:rsid w:val="00971CA9"/>
    <w:rsid w:val="00971CBC"/>
    <w:rsid w:val="00971CC3"/>
    <w:rsid w:val="00971ED3"/>
    <w:rsid w:val="00971EEF"/>
    <w:rsid w:val="00971F09"/>
    <w:rsid w:val="00972042"/>
    <w:rsid w:val="009721F9"/>
    <w:rsid w:val="00972255"/>
    <w:rsid w:val="00972398"/>
    <w:rsid w:val="0097263F"/>
    <w:rsid w:val="00972798"/>
    <w:rsid w:val="0097282C"/>
    <w:rsid w:val="009728D1"/>
    <w:rsid w:val="0097299A"/>
    <w:rsid w:val="009729C5"/>
    <w:rsid w:val="009729D1"/>
    <w:rsid w:val="00972B1C"/>
    <w:rsid w:val="00972BA2"/>
    <w:rsid w:val="00972C51"/>
    <w:rsid w:val="00972CBB"/>
    <w:rsid w:val="00972D09"/>
    <w:rsid w:val="00972FD1"/>
    <w:rsid w:val="00973021"/>
    <w:rsid w:val="00973073"/>
    <w:rsid w:val="009730CF"/>
    <w:rsid w:val="00973160"/>
    <w:rsid w:val="00973242"/>
    <w:rsid w:val="0097327E"/>
    <w:rsid w:val="00973303"/>
    <w:rsid w:val="0097338A"/>
    <w:rsid w:val="009733D4"/>
    <w:rsid w:val="00973468"/>
    <w:rsid w:val="009734DB"/>
    <w:rsid w:val="00973533"/>
    <w:rsid w:val="009735AD"/>
    <w:rsid w:val="0097361F"/>
    <w:rsid w:val="00973696"/>
    <w:rsid w:val="0097377C"/>
    <w:rsid w:val="009737F0"/>
    <w:rsid w:val="00973833"/>
    <w:rsid w:val="009738F2"/>
    <w:rsid w:val="00973919"/>
    <w:rsid w:val="00973974"/>
    <w:rsid w:val="009739A5"/>
    <w:rsid w:val="00973C3F"/>
    <w:rsid w:val="00973C5D"/>
    <w:rsid w:val="00973D7C"/>
    <w:rsid w:val="00973F0E"/>
    <w:rsid w:val="00973FC5"/>
    <w:rsid w:val="0097410C"/>
    <w:rsid w:val="0097414F"/>
    <w:rsid w:val="00974261"/>
    <w:rsid w:val="009742B6"/>
    <w:rsid w:val="00974351"/>
    <w:rsid w:val="00974411"/>
    <w:rsid w:val="00974959"/>
    <w:rsid w:val="00974BB2"/>
    <w:rsid w:val="00974DD1"/>
    <w:rsid w:val="00974ECB"/>
    <w:rsid w:val="00975012"/>
    <w:rsid w:val="00975194"/>
    <w:rsid w:val="009751FB"/>
    <w:rsid w:val="009752A9"/>
    <w:rsid w:val="00975433"/>
    <w:rsid w:val="00975435"/>
    <w:rsid w:val="009754F2"/>
    <w:rsid w:val="00975598"/>
    <w:rsid w:val="0097568A"/>
    <w:rsid w:val="00975859"/>
    <w:rsid w:val="00975A8C"/>
    <w:rsid w:val="00975ACA"/>
    <w:rsid w:val="00975BB4"/>
    <w:rsid w:val="00975C62"/>
    <w:rsid w:val="00975DD3"/>
    <w:rsid w:val="00975E21"/>
    <w:rsid w:val="00975E8A"/>
    <w:rsid w:val="00976028"/>
    <w:rsid w:val="009763B0"/>
    <w:rsid w:val="009763BA"/>
    <w:rsid w:val="009763D6"/>
    <w:rsid w:val="009765B0"/>
    <w:rsid w:val="009765EF"/>
    <w:rsid w:val="00976629"/>
    <w:rsid w:val="0097678D"/>
    <w:rsid w:val="009767A0"/>
    <w:rsid w:val="0097687D"/>
    <w:rsid w:val="00976888"/>
    <w:rsid w:val="00976A35"/>
    <w:rsid w:val="00976AF2"/>
    <w:rsid w:val="00976D8B"/>
    <w:rsid w:val="00976DAD"/>
    <w:rsid w:val="00976E30"/>
    <w:rsid w:val="00976ED4"/>
    <w:rsid w:val="00976EF3"/>
    <w:rsid w:val="00976F78"/>
    <w:rsid w:val="00977096"/>
    <w:rsid w:val="009770AC"/>
    <w:rsid w:val="009770C2"/>
    <w:rsid w:val="00977138"/>
    <w:rsid w:val="0097713D"/>
    <w:rsid w:val="00977435"/>
    <w:rsid w:val="00977511"/>
    <w:rsid w:val="00977528"/>
    <w:rsid w:val="0097754F"/>
    <w:rsid w:val="009775C7"/>
    <w:rsid w:val="009777EC"/>
    <w:rsid w:val="00977858"/>
    <w:rsid w:val="00977926"/>
    <w:rsid w:val="00977B8C"/>
    <w:rsid w:val="00977C75"/>
    <w:rsid w:val="00977C7A"/>
    <w:rsid w:val="00977C8C"/>
    <w:rsid w:val="00977CDF"/>
    <w:rsid w:val="00977DE6"/>
    <w:rsid w:val="00977ECC"/>
    <w:rsid w:val="00977EE1"/>
    <w:rsid w:val="00977EE9"/>
    <w:rsid w:val="00977FB9"/>
    <w:rsid w:val="00980021"/>
    <w:rsid w:val="00980261"/>
    <w:rsid w:val="0098027A"/>
    <w:rsid w:val="0098028D"/>
    <w:rsid w:val="009803D4"/>
    <w:rsid w:val="009803F6"/>
    <w:rsid w:val="00980607"/>
    <w:rsid w:val="00980697"/>
    <w:rsid w:val="009806CF"/>
    <w:rsid w:val="009808C8"/>
    <w:rsid w:val="009809D4"/>
    <w:rsid w:val="00980A7A"/>
    <w:rsid w:val="00980BFD"/>
    <w:rsid w:val="00980C17"/>
    <w:rsid w:val="00980D03"/>
    <w:rsid w:val="00980D3D"/>
    <w:rsid w:val="00980D58"/>
    <w:rsid w:val="00980D8C"/>
    <w:rsid w:val="00980F64"/>
    <w:rsid w:val="0098115C"/>
    <w:rsid w:val="0098116C"/>
    <w:rsid w:val="00981229"/>
    <w:rsid w:val="00981402"/>
    <w:rsid w:val="00981486"/>
    <w:rsid w:val="0098151B"/>
    <w:rsid w:val="0098187A"/>
    <w:rsid w:val="00981A70"/>
    <w:rsid w:val="00981B1A"/>
    <w:rsid w:val="00981BB2"/>
    <w:rsid w:val="00981BE2"/>
    <w:rsid w:val="00981C3F"/>
    <w:rsid w:val="00981E55"/>
    <w:rsid w:val="00981E68"/>
    <w:rsid w:val="00981EA3"/>
    <w:rsid w:val="00981FBC"/>
    <w:rsid w:val="00982217"/>
    <w:rsid w:val="00982289"/>
    <w:rsid w:val="009823B5"/>
    <w:rsid w:val="0098242C"/>
    <w:rsid w:val="009824C9"/>
    <w:rsid w:val="009824F4"/>
    <w:rsid w:val="00982559"/>
    <w:rsid w:val="009825BD"/>
    <w:rsid w:val="009826A5"/>
    <w:rsid w:val="0098270E"/>
    <w:rsid w:val="00982725"/>
    <w:rsid w:val="00982869"/>
    <w:rsid w:val="00982BBE"/>
    <w:rsid w:val="00982CE7"/>
    <w:rsid w:val="00982DF1"/>
    <w:rsid w:val="00982E23"/>
    <w:rsid w:val="00982F41"/>
    <w:rsid w:val="00982F57"/>
    <w:rsid w:val="00982F8D"/>
    <w:rsid w:val="00983038"/>
    <w:rsid w:val="00983115"/>
    <w:rsid w:val="00983136"/>
    <w:rsid w:val="0098321B"/>
    <w:rsid w:val="009833AF"/>
    <w:rsid w:val="009837B2"/>
    <w:rsid w:val="0098386D"/>
    <w:rsid w:val="009838D8"/>
    <w:rsid w:val="00983930"/>
    <w:rsid w:val="009839EC"/>
    <w:rsid w:val="009839F5"/>
    <w:rsid w:val="00983A7F"/>
    <w:rsid w:val="00983D86"/>
    <w:rsid w:val="00983ED8"/>
    <w:rsid w:val="00984185"/>
    <w:rsid w:val="00984192"/>
    <w:rsid w:val="00984216"/>
    <w:rsid w:val="00984270"/>
    <w:rsid w:val="009842B0"/>
    <w:rsid w:val="0098458F"/>
    <w:rsid w:val="009845C9"/>
    <w:rsid w:val="00984657"/>
    <w:rsid w:val="009847A1"/>
    <w:rsid w:val="0098485E"/>
    <w:rsid w:val="009848E7"/>
    <w:rsid w:val="009849C7"/>
    <w:rsid w:val="00984AC6"/>
    <w:rsid w:val="00984AD7"/>
    <w:rsid w:val="00984ADA"/>
    <w:rsid w:val="00984AEB"/>
    <w:rsid w:val="00984BE1"/>
    <w:rsid w:val="00984DC4"/>
    <w:rsid w:val="00984DDB"/>
    <w:rsid w:val="0098504B"/>
    <w:rsid w:val="009850F1"/>
    <w:rsid w:val="00985118"/>
    <w:rsid w:val="00985151"/>
    <w:rsid w:val="0098520F"/>
    <w:rsid w:val="009853C3"/>
    <w:rsid w:val="0098546D"/>
    <w:rsid w:val="00985511"/>
    <w:rsid w:val="00985680"/>
    <w:rsid w:val="009856CD"/>
    <w:rsid w:val="0098571D"/>
    <w:rsid w:val="009857D4"/>
    <w:rsid w:val="00985A20"/>
    <w:rsid w:val="00985BF9"/>
    <w:rsid w:val="00985CBB"/>
    <w:rsid w:val="00985D10"/>
    <w:rsid w:val="00985D16"/>
    <w:rsid w:val="00985D78"/>
    <w:rsid w:val="00985EC8"/>
    <w:rsid w:val="00985ECE"/>
    <w:rsid w:val="00985FD4"/>
    <w:rsid w:val="00985FDC"/>
    <w:rsid w:val="009861E0"/>
    <w:rsid w:val="009862E4"/>
    <w:rsid w:val="009863CD"/>
    <w:rsid w:val="0098653D"/>
    <w:rsid w:val="0098666C"/>
    <w:rsid w:val="00986722"/>
    <w:rsid w:val="009867A8"/>
    <w:rsid w:val="00986A97"/>
    <w:rsid w:val="00986C6C"/>
    <w:rsid w:val="00986D50"/>
    <w:rsid w:val="00986D53"/>
    <w:rsid w:val="00986E5D"/>
    <w:rsid w:val="00986E94"/>
    <w:rsid w:val="00986FDB"/>
    <w:rsid w:val="009870B3"/>
    <w:rsid w:val="009871A6"/>
    <w:rsid w:val="0098739C"/>
    <w:rsid w:val="00987476"/>
    <w:rsid w:val="009874AB"/>
    <w:rsid w:val="0098766B"/>
    <w:rsid w:val="009876A4"/>
    <w:rsid w:val="00987A98"/>
    <w:rsid w:val="00987BF5"/>
    <w:rsid w:val="00987CEB"/>
    <w:rsid w:val="00990041"/>
    <w:rsid w:val="009900BB"/>
    <w:rsid w:val="009903CD"/>
    <w:rsid w:val="00990477"/>
    <w:rsid w:val="00990487"/>
    <w:rsid w:val="009905B5"/>
    <w:rsid w:val="009905DB"/>
    <w:rsid w:val="0099076B"/>
    <w:rsid w:val="009907A2"/>
    <w:rsid w:val="009907D3"/>
    <w:rsid w:val="00990A4B"/>
    <w:rsid w:val="00990C4C"/>
    <w:rsid w:val="00990CC2"/>
    <w:rsid w:val="00990DC0"/>
    <w:rsid w:val="00990ECB"/>
    <w:rsid w:val="00991077"/>
    <w:rsid w:val="00991087"/>
    <w:rsid w:val="00991476"/>
    <w:rsid w:val="009914AB"/>
    <w:rsid w:val="009915BC"/>
    <w:rsid w:val="00991676"/>
    <w:rsid w:val="00991859"/>
    <w:rsid w:val="0099186A"/>
    <w:rsid w:val="00991893"/>
    <w:rsid w:val="00991907"/>
    <w:rsid w:val="00991AAC"/>
    <w:rsid w:val="00991AD7"/>
    <w:rsid w:val="00991C08"/>
    <w:rsid w:val="00991C5E"/>
    <w:rsid w:val="00991D04"/>
    <w:rsid w:val="00991D92"/>
    <w:rsid w:val="00991DAC"/>
    <w:rsid w:val="00991DB4"/>
    <w:rsid w:val="00991DD8"/>
    <w:rsid w:val="00991EA8"/>
    <w:rsid w:val="00991EB7"/>
    <w:rsid w:val="009920AE"/>
    <w:rsid w:val="009920B6"/>
    <w:rsid w:val="00992221"/>
    <w:rsid w:val="0099231A"/>
    <w:rsid w:val="009924EF"/>
    <w:rsid w:val="00992516"/>
    <w:rsid w:val="00992546"/>
    <w:rsid w:val="00992599"/>
    <w:rsid w:val="0099264C"/>
    <w:rsid w:val="009926B3"/>
    <w:rsid w:val="00992B88"/>
    <w:rsid w:val="00992BEF"/>
    <w:rsid w:val="00992C00"/>
    <w:rsid w:val="00992C8B"/>
    <w:rsid w:val="00992CF3"/>
    <w:rsid w:val="00992DF8"/>
    <w:rsid w:val="00992E22"/>
    <w:rsid w:val="00992E39"/>
    <w:rsid w:val="00992EBA"/>
    <w:rsid w:val="00993190"/>
    <w:rsid w:val="009932DB"/>
    <w:rsid w:val="00993348"/>
    <w:rsid w:val="0099337C"/>
    <w:rsid w:val="00993693"/>
    <w:rsid w:val="009936C0"/>
    <w:rsid w:val="0099376F"/>
    <w:rsid w:val="009938D1"/>
    <w:rsid w:val="00993B1A"/>
    <w:rsid w:val="00993B91"/>
    <w:rsid w:val="00993BE6"/>
    <w:rsid w:val="00993C34"/>
    <w:rsid w:val="00993D52"/>
    <w:rsid w:val="00993DE0"/>
    <w:rsid w:val="00993E08"/>
    <w:rsid w:val="00993F75"/>
    <w:rsid w:val="00993FB1"/>
    <w:rsid w:val="00994042"/>
    <w:rsid w:val="00994087"/>
    <w:rsid w:val="00994226"/>
    <w:rsid w:val="00994288"/>
    <w:rsid w:val="009942E3"/>
    <w:rsid w:val="009943BE"/>
    <w:rsid w:val="009944E5"/>
    <w:rsid w:val="0099454D"/>
    <w:rsid w:val="009945AD"/>
    <w:rsid w:val="009945B9"/>
    <w:rsid w:val="009946D9"/>
    <w:rsid w:val="009947C9"/>
    <w:rsid w:val="009947CA"/>
    <w:rsid w:val="00994829"/>
    <w:rsid w:val="00994866"/>
    <w:rsid w:val="00994A8D"/>
    <w:rsid w:val="00994BA0"/>
    <w:rsid w:val="00994C12"/>
    <w:rsid w:val="00994DC9"/>
    <w:rsid w:val="00994F04"/>
    <w:rsid w:val="00994F25"/>
    <w:rsid w:val="00995027"/>
    <w:rsid w:val="0099521C"/>
    <w:rsid w:val="00995264"/>
    <w:rsid w:val="00995324"/>
    <w:rsid w:val="0099556B"/>
    <w:rsid w:val="009955E2"/>
    <w:rsid w:val="009955EC"/>
    <w:rsid w:val="009956DD"/>
    <w:rsid w:val="00995750"/>
    <w:rsid w:val="009957E4"/>
    <w:rsid w:val="0099594F"/>
    <w:rsid w:val="00995A2B"/>
    <w:rsid w:val="00995A4C"/>
    <w:rsid w:val="00995A91"/>
    <w:rsid w:val="00995B60"/>
    <w:rsid w:val="00995E02"/>
    <w:rsid w:val="00995F7C"/>
    <w:rsid w:val="00996092"/>
    <w:rsid w:val="009960C6"/>
    <w:rsid w:val="0099620A"/>
    <w:rsid w:val="0099644B"/>
    <w:rsid w:val="0099659F"/>
    <w:rsid w:val="00996860"/>
    <w:rsid w:val="009969AF"/>
    <w:rsid w:val="009969D0"/>
    <w:rsid w:val="00996AB7"/>
    <w:rsid w:val="00996AE7"/>
    <w:rsid w:val="00996B2C"/>
    <w:rsid w:val="00996B8B"/>
    <w:rsid w:val="00996C78"/>
    <w:rsid w:val="00996D8A"/>
    <w:rsid w:val="00996EBF"/>
    <w:rsid w:val="009970C6"/>
    <w:rsid w:val="00997226"/>
    <w:rsid w:val="009973EE"/>
    <w:rsid w:val="00997446"/>
    <w:rsid w:val="0099750D"/>
    <w:rsid w:val="009976B7"/>
    <w:rsid w:val="009976B9"/>
    <w:rsid w:val="009976F2"/>
    <w:rsid w:val="00997794"/>
    <w:rsid w:val="00997815"/>
    <w:rsid w:val="009978DA"/>
    <w:rsid w:val="009978F7"/>
    <w:rsid w:val="00997929"/>
    <w:rsid w:val="009979BE"/>
    <w:rsid w:val="009979FF"/>
    <w:rsid w:val="00997A7D"/>
    <w:rsid w:val="00997A86"/>
    <w:rsid w:val="00997ABB"/>
    <w:rsid w:val="00997ABD"/>
    <w:rsid w:val="00997C4E"/>
    <w:rsid w:val="00997D4E"/>
    <w:rsid w:val="00997D8B"/>
    <w:rsid w:val="00997DEF"/>
    <w:rsid w:val="00997F2E"/>
    <w:rsid w:val="00997F92"/>
    <w:rsid w:val="009A0105"/>
    <w:rsid w:val="009A01CE"/>
    <w:rsid w:val="009A0371"/>
    <w:rsid w:val="009A0444"/>
    <w:rsid w:val="009A0447"/>
    <w:rsid w:val="009A060D"/>
    <w:rsid w:val="009A0861"/>
    <w:rsid w:val="009A09BC"/>
    <w:rsid w:val="009A0ACE"/>
    <w:rsid w:val="009A0B7D"/>
    <w:rsid w:val="009A0BCA"/>
    <w:rsid w:val="009A0CC0"/>
    <w:rsid w:val="009A0D8A"/>
    <w:rsid w:val="009A0DC4"/>
    <w:rsid w:val="009A0DD6"/>
    <w:rsid w:val="009A0E60"/>
    <w:rsid w:val="009A0F95"/>
    <w:rsid w:val="009A1016"/>
    <w:rsid w:val="009A1088"/>
    <w:rsid w:val="009A10DE"/>
    <w:rsid w:val="009A1288"/>
    <w:rsid w:val="009A1292"/>
    <w:rsid w:val="009A1476"/>
    <w:rsid w:val="009A15C8"/>
    <w:rsid w:val="009A18F1"/>
    <w:rsid w:val="009A19A8"/>
    <w:rsid w:val="009A19DB"/>
    <w:rsid w:val="009A1A65"/>
    <w:rsid w:val="009A1ACF"/>
    <w:rsid w:val="009A1C0F"/>
    <w:rsid w:val="009A1CE5"/>
    <w:rsid w:val="009A1D9E"/>
    <w:rsid w:val="009A1E9C"/>
    <w:rsid w:val="009A1F04"/>
    <w:rsid w:val="009A2029"/>
    <w:rsid w:val="009A220B"/>
    <w:rsid w:val="009A23B6"/>
    <w:rsid w:val="009A23BC"/>
    <w:rsid w:val="009A241D"/>
    <w:rsid w:val="009A24F6"/>
    <w:rsid w:val="009A2501"/>
    <w:rsid w:val="009A251F"/>
    <w:rsid w:val="009A2597"/>
    <w:rsid w:val="009A25BC"/>
    <w:rsid w:val="009A2621"/>
    <w:rsid w:val="009A2693"/>
    <w:rsid w:val="009A26DA"/>
    <w:rsid w:val="009A276A"/>
    <w:rsid w:val="009A2935"/>
    <w:rsid w:val="009A29B8"/>
    <w:rsid w:val="009A2A7B"/>
    <w:rsid w:val="009A2D65"/>
    <w:rsid w:val="009A2F28"/>
    <w:rsid w:val="009A2FF9"/>
    <w:rsid w:val="009A30FE"/>
    <w:rsid w:val="009A3135"/>
    <w:rsid w:val="009A323F"/>
    <w:rsid w:val="009A32BA"/>
    <w:rsid w:val="009A341D"/>
    <w:rsid w:val="009A34BD"/>
    <w:rsid w:val="009A35A8"/>
    <w:rsid w:val="009A366A"/>
    <w:rsid w:val="009A3693"/>
    <w:rsid w:val="009A3722"/>
    <w:rsid w:val="009A372A"/>
    <w:rsid w:val="009A3818"/>
    <w:rsid w:val="009A398C"/>
    <w:rsid w:val="009A3995"/>
    <w:rsid w:val="009A39D9"/>
    <w:rsid w:val="009A3B26"/>
    <w:rsid w:val="009A3C68"/>
    <w:rsid w:val="009A3DA3"/>
    <w:rsid w:val="009A3DA5"/>
    <w:rsid w:val="009A3DC1"/>
    <w:rsid w:val="009A3E1F"/>
    <w:rsid w:val="009A3E30"/>
    <w:rsid w:val="009A3F1E"/>
    <w:rsid w:val="009A3F69"/>
    <w:rsid w:val="009A3FC7"/>
    <w:rsid w:val="009A4110"/>
    <w:rsid w:val="009A4115"/>
    <w:rsid w:val="009A41C5"/>
    <w:rsid w:val="009A41CA"/>
    <w:rsid w:val="009A4290"/>
    <w:rsid w:val="009A42F8"/>
    <w:rsid w:val="009A4388"/>
    <w:rsid w:val="009A446A"/>
    <w:rsid w:val="009A448B"/>
    <w:rsid w:val="009A452D"/>
    <w:rsid w:val="009A4587"/>
    <w:rsid w:val="009A470B"/>
    <w:rsid w:val="009A47B3"/>
    <w:rsid w:val="009A47F4"/>
    <w:rsid w:val="009A4903"/>
    <w:rsid w:val="009A4938"/>
    <w:rsid w:val="009A4BED"/>
    <w:rsid w:val="009A4C24"/>
    <w:rsid w:val="009A4DC7"/>
    <w:rsid w:val="009A50C5"/>
    <w:rsid w:val="009A513B"/>
    <w:rsid w:val="009A5263"/>
    <w:rsid w:val="009A5294"/>
    <w:rsid w:val="009A535F"/>
    <w:rsid w:val="009A5431"/>
    <w:rsid w:val="009A5446"/>
    <w:rsid w:val="009A54EE"/>
    <w:rsid w:val="009A555F"/>
    <w:rsid w:val="009A56E8"/>
    <w:rsid w:val="009A5716"/>
    <w:rsid w:val="009A582D"/>
    <w:rsid w:val="009A5862"/>
    <w:rsid w:val="009A589C"/>
    <w:rsid w:val="009A58B3"/>
    <w:rsid w:val="009A5922"/>
    <w:rsid w:val="009A5A50"/>
    <w:rsid w:val="009A5A9B"/>
    <w:rsid w:val="009A5B5B"/>
    <w:rsid w:val="009A5DDF"/>
    <w:rsid w:val="009A5DF9"/>
    <w:rsid w:val="009A617D"/>
    <w:rsid w:val="009A61E7"/>
    <w:rsid w:val="009A62C4"/>
    <w:rsid w:val="009A62D8"/>
    <w:rsid w:val="009A62DA"/>
    <w:rsid w:val="009A6323"/>
    <w:rsid w:val="009A632B"/>
    <w:rsid w:val="009A63FF"/>
    <w:rsid w:val="009A6408"/>
    <w:rsid w:val="009A649E"/>
    <w:rsid w:val="009A6638"/>
    <w:rsid w:val="009A664D"/>
    <w:rsid w:val="009A66AE"/>
    <w:rsid w:val="009A66C2"/>
    <w:rsid w:val="009A6717"/>
    <w:rsid w:val="009A67C3"/>
    <w:rsid w:val="009A682E"/>
    <w:rsid w:val="009A68F6"/>
    <w:rsid w:val="009A6A1D"/>
    <w:rsid w:val="009A6B15"/>
    <w:rsid w:val="009A6C24"/>
    <w:rsid w:val="009A6D15"/>
    <w:rsid w:val="009A6D27"/>
    <w:rsid w:val="009A6E8C"/>
    <w:rsid w:val="009A6FE3"/>
    <w:rsid w:val="009A7059"/>
    <w:rsid w:val="009A70A3"/>
    <w:rsid w:val="009A7292"/>
    <w:rsid w:val="009A7494"/>
    <w:rsid w:val="009A7525"/>
    <w:rsid w:val="009A768C"/>
    <w:rsid w:val="009A77A0"/>
    <w:rsid w:val="009A77E2"/>
    <w:rsid w:val="009A7ABF"/>
    <w:rsid w:val="009A7B22"/>
    <w:rsid w:val="009A7B52"/>
    <w:rsid w:val="009A7BD9"/>
    <w:rsid w:val="009A7BF1"/>
    <w:rsid w:val="009A7C7C"/>
    <w:rsid w:val="009A7CB0"/>
    <w:rsid w:val="009A7D10"/>
    <w:rsid w:val="009A7D86"/>
    <w:rsid w:val="009A7DBD"/>
    <w:rsid w:val="009A7E44"/>
    <w:rsid w:val="009A7F92"/>
    <w:rsid w:val="009B042A"/>
    <w:rsid w:val="009B044D"/>
    <w:rsid w:val="009B0664"/>
    <w:rsid w:val="009B0A60"/>
    <w:rsid w:val="009B0AB9"/>
    <w:rsid w:val="009B0D25"/>
    <w:rsid w:val="009B0D92"/>
    <w:rsid w:val="009B0DBC"/>
    <w:rsid w:val="009B0DDF"/>
    <w:rsid w:val="009B0FFC"/>
    <w:rsid w:val="009B1005"/>
    <w:rsid w:val="009B1078"/>
    <w:rsid w:val="009B1110"/>
    <w:rsid w:val="009B1120"/>
    <w:rsid w:val="009B1345"/>
    <w:rsid w:val="009B1424"/>
    <w:rsid w:val="009B14BE"/>
    <w:rsid w:val="009B15CF"/>
    <w:rsid w:val="009B15E0"/>
    <w:rsid w:val="009B164F"/>
    <w:rsid w:val="009B16D5"/>
    <w:rsid w:val="009B170E"/>
    <w:rsid w:val="009B1762"/>
    <w:rsid w:val="009B1847"/>
    <w:rsid w:val="009B18F6"/>
    <w:rsid w:val="009B1939"/>
    <w:rsid w:val="009B1AA2"/>
    <w:rsid w:val="009B1B19"/>
    <w:rsid w:val="009B1B6D"/>
    <w:rsid w:val="009B1C50"/>
    <w:rsid w:val="009B1D66"/>
    <w:rsid w:val="009B1DB4"/>
    <w:rsid w:val="009B1F0C"/>
    <w:rsid w:val="009B1F49"/>
    <w:rsid w:val="009B20BE"/>
    <w:rsid w:val="009B20FC"/>
    <w:rsid w:val="009B236F"/>
    <w:rsid w:val="009B2391"/>
    <w:rsid w:val="009B2415"/>
    <w:rsid w:val="009B2484"/>
    <w:rsid w:val="009B267D"/>
    <w:rsid w:val="009B2722"/>
    <w:rsid w:val="009B28E3"/>
    <w:rsid w:val="009B2A21"/>
    <w:rsid w:val="009B2A46"/>
    <w:rsid w:val="009B2BF7"/>
    <w:rsid w:val="009B2C8C"/>
    <w:rsid w:val="009B3007"/>
    <w:rsid w:val="009B324C"/>
    <w:rsid w:val="009B338D"/>
    <w:rsid w:val="009B344C"/>
    <w:rsid w:val="009B36E2"/>
    <w:rsid w:val="009B3704"/>
    <w:rsid w:val="009B3758"/>
    <w:rsid w:val="009B383B"/>
    <w:rsid w:val="009B3928"/>
    <w:rsid w:val="009B3972"/>
    <w:rsid w:val="009B3989"/>
    <w:rsid w:val="009B39E6"/>
    <w:rsid w:val="009B3AD4"/>
    <w:rsid w:val="009B3B08"/>
    <w:rsid w:val="009B3BB9"/>
    <w:rsid w:val="009B3C05"/>
    <w:rsid w:val="009B3C67"/>
    <w:rsid w:val="009B3CE2"/>
    <w:rsid w:val="009B3D27"/>
    <w:rsid w:val="009B3D6E"/>
    <w:rsid w:val="009B3E45"/>
    <w:rsid w:val="009B3F02"/>
    <w:rsid w:val="009B3F9C"/>
    <w:rsid w:val="009B3FDB"/>
    <w:rsid w:val="009B40A4"/>
    <w:rsid w:val="009B414D"/>
    <w:rsid w:val="009B4192"/>
    <w:rsid w:val="009B42E5"/>
    <w:rsid w:val="009B43D6"/>
    <w:rsid w:val="009B43E4"/>
    <w:rsid w:val="009B4441"/>
    <w:rsid w:val="009B449A"/>
    <w:rsid w:val="009B461B"/>
    <w:rsid w:val="009B4620"/>
    <w:rsid w:val="009B46C7"/>
    <w:rsid w:val="009B4750"/>
    <w:rsid w:val="009B47A5"/>
    <w:rsid w:val="009B4821"/>
    <w:rsid w:val="009B4892"/>
    <w:rsid w:val="009B49A4"/>
    <w:rsid w:val="009B4A84"/>
    <w:rsid w:val="009B4AC4"/>
    <w:rsid w:val="009B4ACD"/>
    <w:rsid w:val="009B4ADA"/>
    <w:rsid w:val="009B4B19"/>
    <w:rsid w:val="009B4C54"/>
    <w:rsid w:val="009B4D01"/>
    <w:rsid w:val="009B4E00"/>
    <w:rsid w:val="009B4E31"/>
    <w:rsid w:val="009B4F6B"/>
    <w:rsid w:val="009B503B"/>
    <w:rsid w:val="009B5150"/>
    <w:rsid w:val="009B51CE"/>
    <w:rsid w:val="009B5565"/>
    <w:rsid w:val="009B584A"/>
    <w:rsid w:val="009B5876"/>
    <w:rsid w:val="009B5957"/>
    <w:rsid w:val="009B5A04"/>
    <w:rsid w:val="009B5A61"/>
    <w:rsid w:val="009B5A8A"/>
    <w:rsid w:val="009B5B51"/>
    <w:rsid w:val="009B5B55"/>
    <w:rsid w:val="009B5BB7"/>
    <w:rsid w:val="009B5BD5"/>
    <w:rsid w:val="009B5BE8"/>
    <w:rsid w:val="009B5C57"/>
    <w:rsid w:val="009B5C6C"/>
    <w:rsid w:val="009B5D09"/>
    <w:rsid w:val="009B5DAC"/>
    <w:rsid w:val="009B5DBC"/>
    <w:rsid w:val="009B5EA2"/>
    <w:rsid w:val="009B5EA3"/>
    <w:rsid w:val="009B5F10"/>
    <w:rsid w:val="009B5FFE"/>
    <w:rsid w:val="009B6009"/>
    <w:rsid w:val="009B601B"/>
    <w:rsid w:val="009B6064"/>
    <w:rsid w:val="009B615A"/>
    <w:rsid w:val="009B6186"/>
    <w:rsid w:val="009B61B7"/>
    <w:rsid w:val="009B61DC"/>
    <w:rsid w:val="009B6261"/>
    <w:rsid w:val="009B62CD"/>
    <w:rsid w:val="009B6396"/>
    <w:rsid w:val="009B6430"/>
    <w:rsid w:val="009B6589"/>
    <w:rsid w:val="009B66B1"/>
    <w:rsid w:val="009B66B2"/>
    <w:rsid w:val="009B6915"/>
    <w:rsid w:val="009B6A56"/>
    <w:rsid w:val="009B6BE8"/>
    <w:rsid w:val="009B6BEF"/>
    <w:rsid w:val="009B6C86"/>
    <w:rsid w:val="009B6D6F"/>
    <w:rsid w:val="009B6EF8"/>
    <w:rsid w:val="009B704D"/>
    <w:rsid w:val="009B70A6"/>
    <w:rsid w:val="009B70FB"/>
    <w:rsid w:val="009B71E4"/>
    <w:rsid w:val="009B71FD"/>
    <w:rsid w:val="009B721B"/>
    <w:rsid w:val="009B7290"/>
    <w:rsid w:val="009B738D"/>
    <w:rsid w:val="009B73B7"/>
    <w:rsid w:val="009B7465"/>
    <w:rsid w:val="009B74C3"/>
    <w:rsid w:val="009B7578"/>
    <w:rsid w:val="009B7585"/>
    <w:rsid w:val="009B7769"/>
    <w:rsid w:val="009B78C5"/>
    <w:rsid w:val="009B7953"/>
    <w:rsid w:val="009B7A75"/>
    <w:rsid w:val="009B7A91"/>
    <w:rsid w:val="009B7B05"/>
    <w:rsid w:val="009B7B2C"/>
    <w:rsid w:val="009B7B8D"/>
    <w:rsid w:val="009B7C41"/>
    <w:rsid w:val="009B7C69"/>
    <w:rsid w:val="009B7CF0"/>
    <w:rsid w:val="009B7D02"/>
    <w:rsid w:val="009B7D4F"/>
    <w:rsid w:val="009B7D75"/>
    <w:rsid w:val="009B7E7B"/>
    <w:rsid w:val="009B7F31"/>
    <w:rsid w:val="009B7F37"/>
    <w:rsid w:val="009B7F93"/>
    <w:rsid w:val="009C014F"/>
    <w:rsid w:val="009C0211"/>
    <w:rsid w:val="009C02B2"/>
    <w:rsid w:val="009C02E7"/>
    <w:rsid w:val="009C0576"/>
    <w:rsid w:val="009C05D9"/>
    <w:rsid w:val="009C07DC"/>
    <w:rsid w:val="009C0842"/>
    <w:rsid w:val="009C0875"/>
    <w:rsid w:val="009C097C"/>
    <w:rsid w:val="009C09C7"/>
    <w:rsid w:val="009C0A90"/>
    <w:rsid w:val="009C0B23"/>
    <w:rsid w:val="009C0BAB"/>
    <w:rsid w:val="009C0CBF"/>
    <w:rsid w:val="009C0CE2"/>
    <w:rsid w:val="009C0D24"/>
    <w:rsid w:val="009C0DAA"/>
    <w:rsid w:val="009C0DDE"/>
    <w:rsid w:val="009C0F5E"/>
    <w:rsid w:val="009C1075"/>
    <w:rsid w:val="009C109B"/>
    <w:rsid w:val="009C10B2"/>
    <w:rsid w:val="009C10F1"/>
    <w:rsid w:val="009C1172"/>
    <w:rsid w:val="009C14F3"/>
    <w:rsid w:val="009C16B0"/>
    <w:rsid w:val="009C17E5"/>
    <w:rsid w:val="009C18D4"/>
    <w:rsid w:val="009C19A0"/>
    <w:rsid w:val="009C1A0E"/>
    <w:rsid w:val="009C1ACE"/>
    <w:rsid w:val="009C1BDE"/>
    <w:rsid w:val="009C1BEB"/>
    <w:rsid w:val="009C1C7D"/>
    <w:rsid w:val="009C1CB0"/>
    <w:rsid w:val="009C1CBD"/>
    <w:rsid w:val="009C1CCA"/>
    <w:rsid w:val="009C1D44"/>
    <w:rsid w:val="009C1F19"/>
    <w:rsid w:val="009C2087"/>
    <w:rsid w:val="009C2260"/>
    <w:rsid w:val="009C2354"/>
    <w:rsid w:val="009C2378"/>
    <w:rsid w:val="009C23B1"/>
    <w:rsid w:val="009C24C2"/>
    <w:rsid w:val="009C258F"/>
    <w:rsid w:val="009C25EE"/>
    <w:rsid w:val="009C269B"/>
    <w:rsid w:val="009C27C7"/>
    <w:rsid w:val="009C280F"/>
    <w:rsid w:val="009C2847"/>
    <w:rsid w:val="009C29A5"/>
    <w:rsid w:val="009C29AB"/>
    <w:rsid w:val="009C2A27"/>
    <w:rsid w:val="009C2B1B"/>
    <w:rsid w:val="009C2F9F"/>
    <w:rsid w:val="009C2FA7"/>
    <w:rsid w:val="009C3097"/>
    <w:rsid w:val="009C315C"/>
    <w:rsid w:val="009C319E"/>
    <w:rsid w:val="009C330B"/>
    <w:rsid w:val="009C334A"/>
    <w:rsid w:val="009C3555"/>
    <w:rsid w:val="009C3571"/>
    <w:rsid w:val="009C3623"/>
    <w:rsid w:val="009C374E"/>
    <w:rsid w:val="009C37A9"/>
    <w:rsid w:val="009C37D8"/>
    <w:rsid w:val="009C381F"/>
    <w:rsid w:val="009C3884"/>
    <w:rsid w:val="009C3B36"/>
    <w:rsid w:val="009C3BC6"/>
    <w:rsid w:val="009C3D6A"/>
    <w:rsid w:val="009C3EEA"/>
    <w:rsid w:val="009C3F0B"/>
    <w:rsid w:val="009C3F5E"/>
    <w:rsid w:val="009C3F94"/>
    <w:rsid w:val="009C3F99"/>
    <w:rsid w:val="009C3FA7"/>
    <w:rsid w:val="009C3FAB"/>
    <w:rsid w:val="009C4085"/>
    <w:rsid w:val="009C42EF"/>
    <w:rsid w:val="009C4549"/>
    <w:rsid w:val="009C4714"/>
    <w:rsid w:val="009C47C3"/>
    <w:rsid w:val="009C4A5E"/>
    <w:rsid w:val="009C4A93"/>
    <w:rsid w:val="009C4B85"/>
    <w:rsid w:val="009C4C2F"/>
    <w:rsid w:val="009C4D59"/>
    <w:rsid w:val="009C4DED"/>
    <w:rsid w:val="009C4FD3"/>
    <w:rsid w:val="009C5013"/>
    <w:rsid w:val="009C50C4"/>
    <w:rsid w:val="009C519C"/>
    <w:rsid w:val="009C5355"/>
    <w:rsid w:val="009C5498"/>
    <w:rsid w:val="009C5566"/>
    <w:rsid w:val="009C57FA"/>
    <w:rsid w:val="009C58B2"/>
    <w:rsid w:val="009C59F2"/>
    <w:rsid w:val="009C5ADB"/>
    <w:rsid w:val="009C5D3C"/>
    <w:rsid w:val="009C5DE1"/>
    <w:rsid w:val="009C5EE4"/>
    <w:rsid w:val="009C5F0F"/>
    <w:rsid w:val="009C5F73"/>
    <w:rsid w:val="009C5F9A"/>
    <w:rsid w:val="009C5FE0"/>
    <w:rsid w:val="009C6003"/>
    <w:rsid w:val="009C606F"/>
    <w:rsid w:val="009C610C"/>
    <w:rsid w:val="009C6260"/>
    <w:rsid w:val="009C6383"/>
    <w:rsid w:val="009C6595"/>
    <w:rsid w:val="009C670A"/>
    <w:rsid w:val="009C670E"/>
    <w:rsid w:val="009C68C7"/>
    <w:rsid w:val="009C6916"/>
    <w:rsid w:val="009C691D"/>
    <w:rsid w:val="009C698D"/>
    <w:rsid w:val="009C699A"/>
    <w:rsid w:val="009C6A50"/>
    <w:rsid w:val="009C6B62"/>
    <w:rsid w:val="009C6D0F"/>
    <w:rsid w:val="009C6D11"/>
    <w:rsid w:val="009C6DB6"/>
    <w:rsid w:val="009C6EBC"/>
    <w:rsid w:val="009C6F62"/>
    <w:rsid w:val="009C6FC7"/>
    <w:rsid w:val="009C7108"/>
    <w:rsid w:val="009C730C"/>
    <w:rsid w:val="009C7359"/>
    <w:rsid w:val="009C7407"/>
    <w:rsid w:val="009C746B"/>
    <w:rsid w:val="009C7517"/>
    <w:rsid w:val="009C76B3"/>
    <w:rsid w:val="009C7792"/>
    <w:rsid w:val="009C77A1"/>
    <w:rsid w:val="009C7845"/>
    <w:rsid w:val="009C7898"/>
    <w:rsid w:val="009C795B"/>
    <w:rsid w:val="009C7B7F"/>
    <w:rsid w:val="009C7BA6"/>
    <w:rsid w:val="009C7BF2"/>
    <w:rsid w:val="009C7BFE"/>
    <w:rsid w:val="009C7C27"/>
    <w:rsid w:val="009C7D10"/>
    <w:rsid w:val="009C7D4D"/>
    <w:rsid w:val="009C7D61"/>
    <w:rsid w:val="009C7E25"/>
    <w:rsid w:val="009C7E83"/>
    <w:rsid w:val="009C7F29"/>
    <w:rsid w:val="009C7F77"/>
    <w:rsid w:val="009D0284"/>
    <w:rsid w:val="009D03B2"/>
    <w:rsid w:val="009D03B5"/>
    <w:rsid w:val="009D073B"/>
    <w:rsid w:val="009D07AD"/>
    <w:rsid w:val="009D09C7"/>
    <w:rsid w:val="009D0D7C"/>
    <w:rsid w:val="009D0E35"/>
    <w:rsid w:val="009D0ECC"/>
    <w:rsid w:val="009D0EF5"/>
    <w:rsid w:val="009D106A"/>
    <w:rsid w:val="009D124F"/>
    <w:rsid w:val="009D12AF"/>
    <w:rsid w:val="009D1338"/>
    <w:rsid w:val="009D13A9"/>
    <w:rsid w:val="009D13B6"/>
    <w:rsid w:val="009D13EF"/>
    <w:rsid w:val="009D1820"/>
    <w:rsid w:val="009D185D"/>
    <w:rsid w:val="009D18EF"/>
    <w:rsid w:val="009D1901"/>
    <w:rsid w:val="009D1963"/>
    <w:rsid w:val="009D19B1"/>
    <w:rsid w:val="009D1A54"/>
    <w:rsid w:val="009D1D0F"/>
    <w:rsid w:val="009D1D2D"/>
    <w:rsid w:val="009D1DEC"/>
    <w:rsid w:val="009D1F48"/>
    <w:rsid w:val="009D1FC7"/>
    <w:rsid w:val="009D2021"/>
    <w:rsid w:val="009D206B"/>
    <w:rsid w:val="009D2200"/>
    <w:rsid w:val="009D23B4"/>
    <w:rsid w:val="009D249A"/>
    <w:rsid w:val="009D2565"/>
    <w:rsid w:val="009D25E1"/>
    <w:rsid w:val="009D25F8"/>
    <w:rsid w:val="009D27C3"/>
    <w:rsid w:val="009D27FF"/>
    <w:rsid w:val="009D281E"/>
    <w:rsid w:val="009D2834"/>
    <w:rsid w:val="009D28E7"/>
    <w:rsid w:val="009D29E2"/>
    <w:rsid w:val="009D2B7F"/>
    <w:rsid w:val="009D2C1F"/>
    <w:rsid w:val="009D2E3C"/>
    <w:rsid w:val="009D2F01"/>
    <w:rsid w:val="009D2F50"/>
    <w:rsid w:val="009D313B"/>
    <w:rsid w:val="009D316D"/>
    <w:rsid w:val="009D3251"/>
    <w:rsid w:val="009D3365"/>
    <w:rsid w:val="009D3579"/>
    <w:rsid w:val="009D35A1"/>
    <w:rsid w:val="009D35AC"/>
    <w:rsid w:val="009D363B"/>
    <w:rsid w:val="009D3755"/>
    <w:rsid w:val="009D37B7"/>
    <w:rsid w:val="009D37DC"/>
    <w:rsid w:val="009D38F9"/>
    <w:rsid w:val="009D3A07"/>
    <w:rsid w:val="009D3A48"/>
    <w:rsid w:val="009D3BF0"/>
    <w:rsid w:val="009D3C04"/>
    <w:rsid w:val="009D3C65"/>
    <w:rsid w:val="009D3E19"/>
    <w:rsid w:val="009D3E4F"/>
    <w:rsid w:val="009D3E7E"/>
    <w:rsid w:val="009D3E9F"/>
    <w:rsid w:val="009D3ED8"/>
    <w:rsid w:val="009D411E"/>
    <w:rsid w:val="009D413A"/>
    <w:rsid w:val="009D42D8"/>
    <w:rsid w:val="009D432E"/>
    <w:rsid w:val="009D4369"/>
    <w:rsid w:val="009D43E4"/>
    <w:rsid w:val="009D43F9"/>
    <w:rsid w:val="009D4438"/>
    <w:rsid w:val="009D446F"/>
    <w:rsid w:val="009D4511"/>
    <w:rsid w:val="009D452C"/>
    <w:rsid w:val="009D4596"/>
    <w:rsid w:val="009D45B4"/>
    <w:rsid w:val="009D45E9"/>
    <w:rsid w:val="009D4624"/>
    <w:rsid w:val="009D4673"/>
    <w:rsid w:val="009D470B"/>
    <w:rsid w:val="009D4715"/>
    <w:rsid w:val="009D4878"/>
    <w:rsid w:val="009D48A7"/>
    <w:rsid w:val="009D49AF"/>
    <w:rsid w:val="009D4B76"/>
    <w:rsid w:val="009D4C28"/>
    <w:rsid w:val="009D4C32"/>
    <w:rsid w:val="009D4D14"/>
    <w:rsid w:val="009D4D20"/>
    <w:rsid w:val="009D4D92"/>
    <w:rsid w:val="009D4DE4"/>
    <w:rsid w:val="009D4E55"/>
    <w:rsid w:val="009D4F88"/>
    <w:rsid w:val="009D4FD3"/>
    <w:rsid w:val="009D51AB"/>
    <w:rsid w:val="009D53CA"/>
    <w:rsid w:val="009D541A"/>
    <w:rsid w:val="009D5439"/>
    <w:rsid w:val="009D55B3"/>
    <w:rsid w:val="009D55E6"/>
    <w:rsid w:val="009D572F"/>
    <w:rsid w:val="009D57C9"/>
    <w:rsid w:val="009D59DB"/>
    <w:rsid w:val="009D5A83"/>
    <w:rsid w:val="009D5B34"/>
    <w:rsid w:val="009D5B9D"/>
    <w:rsid w:val="009D5C0A"/>
    <w:rsid w:val="009D5D65"/>
    <w:rsid w:val="009D605C"/>
    <w:rsid w:val="009D607E"/>
    <w:rsid w:val="009D60B7"/>
    <w:rsid w:val="009D61E1"/>
    <w:rsid w:val="009D6268"/>
    <w:rsid w:val="009D62BC"/>
    <w:rsid w:val="009D63A3"/>
    <w:rsid w:val="009D6B91"/>
    <w:rsid w:val="009D6BF8"/>
    <w:rsid w:val="009D6CDD"/>
    <w:rsid w:val="009D6CE3"/>
    <w:rsid w:val="009D6EBB"/>
    <w:rsid w:val="009D6F74"/>
    <w:rsid w:val="009D6FAE"/>
    <w:rsid w:val="009D713D"/>
    <w:rsid w:val="009D71E2"/>
    <w:rsid w:val="009D7325"/>
    <w:rsid w:val="009D733F"/>
    <w:rsid w:val="009D73F9"/>
    <w:rsid w:val="009D74A1"/>
    <w:rsid w:val="009D74C5"/>
    <w:rsid w:val="009D7B96"/>
    <w:rsid w:val="009D7CFD"/>
    <w:rsid w:val="009D7D09"/>
    <w:rsid w:val="009D7D8C"/>
    <w:rsid w:val="009D7DC8"/>
    <w:rsid w:val="009D7E21"/>
    <w:rsid w:val="009D7F74"/>
    <w:rsid w:val="009D7F9E"/>
    <w:rsid w:val="009E00C0"/>
    <w:rsid w:val="009E01AA"/>
    <w:rsid w:val="009E01B9"/>
    <w:rsid w:val="009E025D"/>
    <w:rsid w:val="009E03CA"/>
    <w:rsid w:val="009E048E"/>
    <w:rsid w:val="009E0531"/>
    <w:rsid w:val="009E0532"/>
    <w:rsid w:val="009E0640"/>
    <w:rsid w:val="009E0674"/>
    <w:rsid w:val="009E06D8"/>
    <w:rsid w:val="009E0829"/>
    <w:rsid w:val="009E096E"/>
    <w:rsid w:val="009E0AD4"/>
    <w:rsid w:val="009E0C04"/>
    <w:rsid w:val="009E0D76"/>
    <w:rsid w:val="009E0DAD"/>
    <w:rsid w:val="009E1080"/>
    <w:rsid w:val="009E114D"/>
    <w:rsid w:val="009E117F"/>
    <w:rsid w:val="009E133C"/>
    <w:rsid w:val="009E1381"/>
    <w:rsid w:val="009E1403"/>
    <w:rsid w:val="009E1871"/>
    <w:rsid w:val="009E18A0"/>
    <w:rsid w:val="009E18F4"/>
    <w:rsid w:val="009E1EB2"/>
    <w:rsid w:val="009E1EB3"/>
    <w:rsid w:val="009E1EE0"/>
    <w:rsid w:val="009E1F1D"/>
    <w:rsid w:val="009E2007"/>
    <w:rsid w:val="009E2065"/>
    <w:rsid w:val="009E2093"/>
    <w:rsid w:val="009E2243"/>
    <w:rsid w:val="009E22E2"/>
    <w:rsid w:val="009E260E"/>
    <w:rsid w:val="009E2650"/>
    <w:rsid w:val="009E267E"/>
    <w:rsid w:val="009E27D8"/>
    <w:rsid w:val="009E296D"/>
    <w:rsid w:val="009E2B0B"/>
    <w:rsid w:val="009E2B34"/>
    <w:rsid w:val="009E2C0B"/>
    <w:rsid w:val="009E2D09"/>
    <w:rsid w:val="009E2D56"/>
    <w:rsid w:val="009E2E70"/>
    <w:rsid w:val="009E2F0A"/>
    <w:rsid w:val="009E2F6A"/>
    <w:rsid w:val="009E2F7E"/>
    <w:rsid w:val="009E2FFC"/>
    <w:rsid w:val="009E30FB"/>
    <w:rsid w:val="009E317C"/>
    <w:rsid w:val="009E31C0"/>
    <w:rsid w:val="009E31C9"/>
    <w:rsid w:val="009E3208"/>
    <w:rsid w:val="009E3235"/>
    <w:rsid w:val="009E323C"/>
    <w:rsid w:val="009E3350"/>
    <w:rsid w:val="009E3351"/>
    <w:rsid w:val="009E33D2"/>
    <w:rsid w:val="009E34AD"/>
    <w:rsid w:val="009E34F0"/>
    <w:rsid w:val="009E3579"/>
    <w:rsid w:val="009E357B"/>
    <w:rsid w:val="009E35F1"/>
    <w:rsid w:val="009E38A4"/>
    <w:rsid w:val="009E38ED"/>
    <w:rsid w:val="009E3A80"/>
    <w:rsid w:val="009E3AFB"/>
    <w:rsid w:val="009E3BD4"/>
    <w:rsid w:val="009E3DBE"/>
    <w:rsid w:val="009E3E1B"/>
    <w:rsid w:val="009E3EF8"/>
    <w:rsid w:val="009E3F2D"/>
    <w:rsid w:val="009E3F4A"/>
    <w:rsid w:val="009E40E1"/>
    <w:rsid w:val="009E413A"/>
    <w:rsid w:val="009E41E5"/>
    <w:rsid w:val="009E4391"/>
    <w:rsid w:val="009E43DC"/>
    <w:rsid w:val="009E450E"/>
    <w:rsid w:val="009E456F"/>
    <w:rsid w:val="009E464E"/>
    <w:rsid w:val="009E46E0"/>
    <w:rsid w:val="009E46EB"/>
    <w:rsid w:val="009E4752"/>
    <w:rsid w:val="009E48E6"/>
    <w:rsid w:val="009E498E"/>
    <w:rsid w:val="009E4AA3"/>
    <w:rsid w:val="009E4C15"/>
    <w:rsid w:val="009E4CAA"/>
    <w:rsid w:val="009E4CBE"/>
    <w:rsid w:val="009E4E03"/>
    <w:rsid w:val="009E4E81"/>
    <w:rsid w:val="009E4EB3"/>
    <w:rsid w:val="009E4EDD"/>
    <w:rsid w:val="009E4F2A"/>
    <w:rsid w:val="009E4F8E"/>
    <w:rsid w:val="009E510C"/>
    <w:rsid w:val="009E52B6"/>
    <w:rsid w:val="009E52E5"/>
    <w:rsid w:val="009E54EB"/>
    <w:rsid w:val="009E55B7"/>
    <w:rsid w:val="009E55BE"/>
    <w:rsid w:val="009E56B2"/>
    <w:rsid w:val="009E5865"/>
    <w:rsid w:val="009E598B"/>
    <w:rsid w:val="009E5AB8"/>
    <w:rsid w:val="009E5B9C"/>
    <w:rsid w:val="009E5CA3"/>
    <w:rsid w:val="009E5E3B"/>
    <w:rsid w:val="009E5E76"/>
    <w:rsid w:val="009E5EC2"/>
    <w:rsid w:val="009E5F4F"/>
    <w:rsid w:val="009E603B"/>
    <w:rsid w:val="009E6155"/>
    <w:rsid w:val="009E618E"/>
    <w:rsid w:val="009E62C1"/>
    <w:rsid w:val="009E62EE"/>
    <w:rsid w:val="009E6332"/>
    <w:rsid w:val="009E634A"/>
    <w:rsid w:val="009E640B"/>
    <w:rsid w:val="009E64B0"/>
    <w:rsid w:val="009E651C"/>
    <w:rsid w:val="009E6648"/>
    <w:rsid w:val="009E66E6"/>
    <w:rsid w:val="009E6784"/>
    <w:rsid w:val="009E6803"/>
    <w:rsid w:val="009E6957"/>
    <w:rsid w:val="009E697C"/>
    <w:rsid w:val="009E69E2"/>
    <w:rsid w:val="009E69EC"/>
    <w:rsid w:val="009E6CD4"/>
    <w:rsid w:val="009E6D69"/>
    <w:rsid w:val="009E7040"/>
    <w:rsid w:val="009E7068"/>
    <w:rsid w:val="009E7094"/>
    <w:rsid w:val="009E711A"/>
    <w:rsid w:val="009E7140"/>
    <w:rsid w:val="009E7165"/>
    <w:rsid w:val="009E7218"/>
    <w:rsid w:val="009E73A9"/>
    <w:rsid w:val="009E73B6"/>
    <w:rsid w:val="009E7560"/>
    <w:rsid w:val="009E76D7"/>
    <w:rsid w:val="009E792D"/>
    <w:rsid w:val="009E7A42"/>
    <w:rsid w:val="009E7A92"/>
    <w:rsid w:val="009E7C5A"/>
    <w:rsid w:val="009E7CD3"/>
    <w:rsid w:val="009E7D29"/>
    <w:rsid w:val="009E7D43"/>
    <w:rsid w:val="009E7D80"/>
    <w:rsid w:val="009E7E81"/>
    <w:rsid w:val="009E7ECF"/>
    <w:rsid w:val="009F0007"/>
    <w:rsid w:val="009F001D"/>
    <w:rsid w:val="009F037C"/>
    <w:rsid w:val="009F0446"/>
    <w:rsid w:val="009F04D7"/>
    <w:rsid w:val="009F05B0"/>
    <w:rsid w:val="009F05D1"/>
    <w:rsid w:val="009F0609"/>
    <w:rsid w:val="009F0647"/>
    <w:rsid w:val="009F0681"/>
    <w:rsid w:val="009F08BD"/>
    <w:rsid w:val="009F0925"/>
    <w:rsid w:val="009F09BF"/>
    <w:rsid w:val="009F0A74"/>
    <w:rsid w:val="009F0A9D"/>
    <w:rsid w:val="009F0D6D"/>
    <w:rsid w:val="009F0E0C"/>
    <w:rsid w:val="009F0EC0"/>
    <w:rsid w:val="009F1163"/>
    <w:rsid w:val="009F1189"/>
    <w:rsid w:val="009F123A"/>
    <w:rsid w:val="009F12EA"/>
    <w:rsid w:val="009F13C3"/>
    <w:rsid w:val="009F1459"/>
    <w:rsid w:val="009F17AC"/>
    <w:rsid w:val="009F1947"/>
    <w:rsid w:val="009F1A44"/>
    <w:rsid w:val="009F1B3E"/>
    <w:rsid w:val="009F1CD0"/>
    <w:rsid w:val="009F1E84"/>
    <w:rsid w:val="009F1E96"/>
    <w:rsid w:val="009F1EBC"/>
    <w:rsid w:val="009F1F4A"/>
    <w:rsid w:val="009F2022"/>
    <w:rsid w:val="009F2072"/>
    <w:rsid w:val="009F20DD"/>
    <w:rsid w:val="009F21E2"/>
    <w:rsid w:val="009F2344"/>
    <w:rsid w:val="009F239D"/>
    <w:rsid w:val="009F23E0"/>
    <w:rsid w:val="009F23E7"/>
    <w:rsid w:val="009F244F"/>
    <w:rsid w:val="009F24DD"/>
    <w:rsid w:val="009F258A"/>
    <w:rsid w:val="009F258E"/>
    <w:rsid w:val="009F2596"/>
    <w:rsid w:val="009F25FE"/>
    <w:rsid w:val="009F26F6"/>
    <w:rsid w:val="009F2740"/>
    <w:rsid w:val="009F287F"/>
    <w:rsid w:val="009F28F9"/>
    <w:rsid w:val="009F2C51"/>
    <w:rsid w:val="009F2D6D"/>
    <w:rsid w:val="009F2E09"/>
    <w:rsid w:val="009F2E11"/>
    <w:rsid w:val="009F2E22"/>
    <w:rsid w:val="009F2EA7"/>
    <w:rsid w:val="009F3032"/>
    <w:rsid w:val="009F31EA"/>
    <w:rsid w:val="009F31FB"/>
    <w:rsid w:val="009F3248"/>
    <w:rsid w:val="009F3249"/>
    <w:rsid w:val="009F32C8"/>
    <w:rsid w:val="009F343A"/>
    <w:rsid w:val="009F378C"/>
    <w:rsid w:val="009F37D2"/>
    <w:rsid w:val="009F3943"/>
    <w:rsid w:val="009F39D1"/>
    <w:rsid w:val="009F3BA1"/>
    <w:rsid w:val="009F3C88"/>
    <w:rsid w:val="009F3CA0"/>
    <w:rsid w:val="009F3FAA"/>
    <w:rsid w:val="009F3FFC"/>
    <w:rsid w:val="009F4090"/>
    <w:rsid w:val="009F40AE"/>
    <w:rsid w:val="009F40B6"/>
    <w:rsid w:val="009F40E3"/>
    <w:rsid w:val="009F4372"/>
    <w:rsid w:val="009F4393"/>
    <w:rsid w:val="009F4428"/>
    <w:rsid w:val="009F446D"/>
    <w:rsid w:val="009F4513"/>
    <w:rsid w:val="009F4594"/>
    <w:rsid w:val="009F4695"/>
    <w:rsid w:val="009F46A1"/>
    <w:rsid w:val="009F46E4"/>
    <w:rsid w:val="009F4708"/>
    <w:rsid w:val="009F4881"/>
    <w:rsid w:val="009F48D3"/>
    <w:rsid w:val="009F4917"/>
    <w:rsid w:val="009F49E5"/>
    <w:rsid w:val="009F4A76"/>
    <w:rsid w:val="009F4A7D"/>
    <w:rsid w:val="009F4AED"/>
    <w:rsid w:val="009F4CA6"/>
    <w:rsid w:val="009F4D2E"/>
    <w:rsid w:val="009F4E43"/>
    <w:rsid w:val="009F4F0E"/>
    <w:rsid w:val="009F4FC8"/>
    <w:rsid w:val="009F4FF7"/>
    <w:rsid w:val="009F5021"/>
    <w:rsid w:val="009F5032"/>
    <w:rsid w:val="009F50BF"/>
    <w:rsid w:val="009F518B"/>
    <w:rsid w:val="009F5393"/>
    <w:rsid w:val="009F53BF"/>
    <w:rsid w:val="009F5503"/>
    <w:rsid w:val="009F55A2"/>
    <w:rsid w:val="009F563A"/>
    <w:rsid w:val="009F56B8"/>
    <w:rsid w:val="009F573D"/>
    <w:rsid w:val="009F5767"/>
    <w:rsid w:val="009F57FC"/>
    <w:rsid w:val="009F58B2"/>
    <w:rsid w:val="009F5947"/>
    <w:rsid w:val="009F5976"/>
    <w:rsid w:val="009F599D"/>
    <w:rsid w:val="009F59AB"/>
    <w:rsid w:val="009F5A08"/>
    <w:rsid w:val="009F5B10"/>
    <w:rsid w:val="009F5B3A"/>
    <w:rsid w:val="009F5C8D"/>
    <w:rsid w:val="009F5DBA"/>
    <w:rsid w:val="009F5E32"/>
    <w:rsid w:val="009F62B8"/>
    <w:rsid w:val="009F62BE"/>
    <w:rsid w:val="009F63E2"/>
    <w:rsid w:val="009F641C"/>
    <w:rsid w:val="009F65F3"/>
    <w:rsid w:val="009F664A"/>
    <w:rsid w:val="009F6744"/>
    <w:rsid w:val="009F68CD"/>
    <w:rsid w:val="009F6A39"/>
    <w:rsid w:val="009F6AC7"/>
    <w:rsid w:val="009F6AD1"/>
    <w:rsid w:val="009F6AE5"/>
    <w:rsid w:val="009F6AE6"/>
    <w:rsid w:val="009F6AE7"/>
    <w:rsid w:val="009F6B69"/>
    <w:rsid w:val="009F6D40"/>
    <w:rsid w:val="009F6DE9"/>
    <w:rsid w:val="009F6E4A"/>
    <w:rsid w:val="009F6E5D"/>
    <w:rsid w:val="009F6F3A"/>
    <w:rsid w:val="009F6F42"/>
    <w:rsid w:val="009F6F64"/>
    <w:rsid w:val="009F6FD8"/>
    <w:rsid w:val="009F7045"/>
    <w:rsid w:val="009F70BC"/>
    <w:rsid w:val="009F7256"/>
    <w:rsid w:val="009F728D"/>
    <w:rsid w:val="009F72AB"/>
    <w:rsid w:val="009F7327"/>
    <w:rsid w:val="009F737C"/>
    <w:rsid w:val="009F7470"/>
    <w:rsid w:val="009F74E5"/>
    <w:rsid w:val="009F7578"/>
    <w:rsid w:val="009F758F"/>
    <w:rsid w:val="009F772B"/>
    <w:rsid w:val="009F7757"/>
    <w:rsid w:val="009F77A9"/>
    <w:rsid w:val="009F7853"/>
    <w:rsid w:val="009F78FD"/>
    <w:rsid w:val="009F7951"/>
    <w:rsid w:val="009F7960"/>
    <w:rsid w:val="009F7979"/>
    <w:rsid w:val="009F798F"/>
    <w:rsid w:val="009F7AA1"/>
    <w:rsid w:val="009F7B82"/>
    <w:rsid w:val="009F7B8E"/>
    <w:rsid w:val="009F7BB5"/>
    <w:rsid w:val="009F7D46"/>
    <w:rsid w:val="009F7D51"/>
    <w:rsid w:val="00A00071"/>
    <w:rsid w:val="00A00149"/>
    <w:rsid w:val="00A0020E"/>
    <w:rsid w:val="00A00225"/>
    <w:rsid w:val="00A00259"/>
    <w:rsid w:val="00A002E8"/>
    <w:rsid w:val="00A0050A"/>
    <w:rsid w:val="00A0059D"/>
    <w:rsid w:val="00A00636"/>
    <w:rsid w:val="00A00777"/>
    <w:rsid w:val="00A00829"/>
    <w:rsid w:val="00A00921"/>
    <w:rsid w:val="00A00A65"/>
    <w:rsid w:val="00A00A94"/>
    <w:rsid w:val="00A00D63"/>
    <w:rsid w:val="00A01063"/>
    <w:rsid w:val="00A010E4"/>
    <w:rsid w:val="00A013B8"/>
    <w:rsid w:val="00A013F3"/>
    <w:rsid w:val="00A01592"/>
    <w:rsid w:val="00A01777"/>
    <w:rsid w:val="00A01835"/>
    <w:rsid w:val="00A0185D"/>
    <w:rsid w:val="00A019F3"/>
    <w:rsid w:val="00A01A0D"/>
    <w:rsid w:val="00A01AD4"/>
    <w:rsid w:val="00A01B5C"/>
    <w:rsid w:val="00A01C00"/>
    <w:rsid w:val="00A01C62"/>
    <w:rsid w:val="00A01C72"/>
    <w:rsid w:val="00A01D30"/>
    <w:rsid w:val="00A01EE5"/>
    <w:rsid w:val="00A02102"/>
    <w:rsid w:val="00A0225A"/>
    <w:rsid w:val="00A02261"/>
    <w:rsid w:val="00A022C1"/>
    <w:rsid w:val="00A0231C"/>
    <w:rsid w:val="00A0234B"/>
    <w:rsid w:val="00A0260B"/>
    <w:rsid w:val="00A02681"/>
    <w:rsid w:val="00A028BC"/>
    <w:rsid w:val="00A0294E"/>
    <w:rsid w:val="00A02AC7"/>
    <w:rsid w:val="00A02B40"/>
    <w:rsid w:val="00A02C46"/>
    <w:rsid w:val="00A02D15"/>
    <w:rsid w:val="00A03439"/>
    <w:rsid w:val="00A0360B"/>
    <w:rsid w:val="00A03977"/>
    <w:rsid w:val="00A0397E"/>
    <w:rsid w:val="00A039CD"/>
    <w:rsid w:val="00A03A66"/>
    <w:rsid w:val="00A03AEE"/>
    <w:rsid w:val="00A03B86"/>
    <w:rsid w:val="00A03D65"/>
    <w:rsid w:val="00A03EB9"/>
    <w:rsid w:val="00A04016"/>
    <w:rsid w:val="00A040F5"/>
    <w:rsid w:val="00A0412D"/>
    <w:rsid w:val="00A0430C"/>
    <w:rsid w:val="00A0432A"/>
    <w:rsid w:val="00A0445A"/>
    <w:rsid w:val="00A04490"/>
    <w:rsid w:val="00A04545"/>
    <w:rsid w:val="00A04564"/>
    <w:rsid w:val="00A045FF"/>
    <w:rsid w:val="00A0460F"/>
    <w:rsid w:val="00A0472D"/>
    <w:rsid w:val="00A04987"/>
    <w:rsid w:val="00A049D1"/>
    <w:rsid w:val="00A04AB2"/>
    <w:rsid w:val="00A04B28"/>
    <w:rsid w:val="00A04CB6"/>
    <w:rsid w:val="00A0503F"/>
    <w:rsid w:val="00A0509B"/>
    <w:rsid w:val="00A052DE"/>
    <w:rsid w:val="00A053BC"/>
    <w:rsid w:val="00A05502"/>
    <w:rsid w:val="00A0563A"/>
    <w:rsid w:val="00A05796"/>
    <w:rsid w:val="00A05937"/>
    <w:rsid w:val="00A05AE9"/>
    <w:rsid w:val="00A05B3C"/>
    <w:rsid w:val="00A05BD6"/>
    <w:rsid w:val="00A05C38"/>
    <w:rsid w:val="00A05CF2"/>
    <w:rsid w:val="00A05D0D"/>
    <w:rsid w:val="00A05E61"/>
    <w:rsid w:val="00A05E90"/>
    <w:rsid w:val="00A060D6"/>
    <w:rsid w:val="00A060E4"/>
    <w:rsid w:val="00A063AA"/>
    <w:rsid w:val="00A063DF"/>
    <w:rsid w:val="00A06683"/>
    <w:rsid w:val="00A068CD"/>
    <w:rsid w:val="00A069EC"/>
    <w:rsid w:val="00A06AC7"/>
    <w:rsid w:val="00A06C32"/>
    <w:rsid w:val="00A06DEE"/>
    <w:rsid w:val="00A06E2D"/>
    <w:rsid w:val="00A06ED7"/>
    <w:rsid w:val="00A06F14"/>
    <w:rsid w:val="00A06F77"/>
    <w:rsid w:val="00A06FD6"/>
    <w:rsid w:val="00A07184"/>
    <w:rsid w:val="00A072C6"/>
    <w:rsid w:val="00A0740C"/>
    <w:rsid w:val="00A07499"/>
    <w:rsid w:val="00A074BE"/>
    <w:rsid w:val="00A074D6"/>
    <w:rsid w:val="00A075FF"/>
    <w:rsid w:val="00A07787"/>
    <w:rsid w:val="00A0788C"/>
    <w:rsid w:val="00A0790F"/>
    <w:rsid w:val="00A07A75"/>
    <w:rsid w:val="00A07A87"/>
    <w:rsid w:val="00A07AC9"/>
    <w:rsid w:val="00A07B35"/>
    <w:rsid w:val="00A07C17"/>
    <w:rsid w:val="00A07C29"/>
    <w:rsid w:val="00A07E15"/>
    <w:rsid w:val="00A07E1F"/>
    <w:rsid w:val="00A10222"/>
    <w:rsid w:val="00A10224"/>
    <w:rsid w:val="00A10422"/>
    <w:rsid w:val="00A10449"/>
    <w:rsid w:val="00A10531"/>
    <w:rsid w:val="00A10652"/>
    <w:rsid w:val="00A10770"/>
    <w:rsid w:val="00A1077B"/>
    <w:rsid w:val="00A10AEF"/>
    <w:rsid w:val="00A10C97"/>
    <w:rsid w:val="00A10CB0"/>
    <w:rsid w:val="00A10CCB"/>
    <w:rsid w:val="00A10D6B"/>
    <w:rsid w:val="00A10EE7"/>
    <w:rsid w:val="00A10F55"/>
    <w:rsid w:val="00A10F71"/>
    <w:rsid w:val="00A1103E"/>
    <w:rsid w:val="00A11041"/>
    <w:rsid w:val="00A111EA"/>
    <w:rsid w:val="00A1123C"/>
    <w:rsid w:val="00A112F9"/>
    <w:rsid w:val="00A11440"/>
    <w:rsid w:val="00A11473"/>
    <w:rsid w:val="00A1157B"/>
    <w:rsid w:val="00A1158C"/>
    <w:rsid w:val="00A1159C"/>
    <w:rsid w:val="00A1166F"/>
    <w:rsid w:val="00A11918"/>
    <w:rsid w:val="00A11953"/>
    <w:rsid w:val="00A11976"/>
    <w:rsid w:val="00A11BBA"/>
    <w:rsid w:val="00A11BCB"/>
    <w:rsid w:val="00A11BDE"/>
    <w:rsid w:val="00A11C8D"/>
    <w:rsid w:val="00A12070"/>
    <w:rsid w:val="00A1207E"/>
    <w:rsid w:val="00A120FE"/>
    <w:rsid w:val="00A1213E"/>
    <w:rsid w:val="00A12190"/>
    <w:rsid w:val="00A121D2"/>
    <w:rsid w:val="00A123D5"/>
    <w:rsid w:val="00A12541"/>
    <w:rsid w:val="00A1267F"/>
    <w:rsid w:val="00A126FD"/>
    <w:rsid w:val="00A1283C"/>
    <w:rsid w:val="00A129A4"/>
    <w:rsid w:val="00A129AF"/>
    <w:rsid w:val="00A12B2D"/>
    <w:rsid w:val="00A12B7D"/>
    <w:rsid w:val="00A12BBD"/>
    <w:rsid w:val="00A12BC9"/>
    <w:rsid w:val="00A12C04"/>
    <w:rsid w:val="00A12CDD"/>
    <w:rsid w:val="00A12D59"/>
    <w:rsid w:val="00A12FD4"/>
    <w:rsid w:val="00A12FEC"/>
    <w:rsid w:val="00A130FD"/>
    <w:rsid w:val="00A13114"/>
    <w:rsid w:val="00A13123"/>
    <w:rsid w:val="00A1312A"/>
    <w:rsid w:val="00A1332E"/>
    <w:rsid w:val="00A13392"/>
    <w:rsid w:val="00A1342C"/>
    <w:rsid w:val="00A1343A"/>
    <w:rsid w:val="00A13557"/>
    <w:rsid w:val="00A13620"/>
    <w:rsid w:val="00A136BF"/>
    <w:rsid w:val="00A136CA"/>
    <w:rsid w:val="00A13754"/>
    <w:rsid w:val="00A13783"/>
    <w:rsid w:val="00A13814"/>
    <w:rsid w:val="00A13979"/>
    <w:rsid w:val="00A13A72"/>
    <w:rsid w:val="00A13ACD"/>
    <w:rsid w:val="00A13B50"/>
    <w:rsid w:val="00A13BB8"/>
    <w:rsid w:val="00A13DA1"/>
    <w:rsid w:val="00A13ECC"/>
    <w:rsid w:val="00A13F5F"/>
    <w:rsid w:val="00A13F67"/>
    <w:rsid w:val="00A13FBE"/>
    <w:rsid w:val="00A1421A"/>
    <w:rsid w:val="00A14249"/>
    <w:rsid w:val="00A142AC"/>
    <w:rsid w:val="00A14385"/>
    <w:rsid w:val="00A143A8"/>
    <w:rsid w:val="00A14635"/>
    <w:rsid w:val="00A14792"/>
    <w:rsid w:val="00A14869"/>
    <w:rsid w:val="00A14893"/>
    <w:rsid w:val="00A1491F"/>
    <w:rsid w:val="00A1497F"/>
    <w:rsid w:val="00A149BA"/>
    <w:rsid w:val="00A14A10"/>
    <w:rsid w:val="00A14A43"/>
    <w:rsid w:val="00A14A5D"/>
    <w:rsid w:val="00A14A60"/>
    <w:rsid w:val="00A14C7E"/>
    <w:rsid w:val="00A14C87"/>
    <w:rsid w:val="00A14E21"/>
    <w:rsid w:val="00A14E7E"/>
    <w:rsid w:val="00A14EC0"/>
    <w:rsid w:val="00A14F8F"/>
    <w:rsid w:val="00A1507B"/>
    <w:rsid w:val="00A150BF"/>
    <w:rsid w:val="00A15153"/>
    <w:rsid w:val="00A1518E"/>
    <w:rsid w:val="00A152A8"/>
    <w:rsid w:val="00A153B1"/>
    <w:rsid w:val="00A153FC"/>
    <w:rsid w:val="00A1541C"/>
    <w:rsid w:val="00A15577"/>
    <w:rsid w:val="00A15652"/>
    <w:rsid w:val="00A15772"/>
    <w:rsid w:val="00A159A4"/>
    <w:rsid w:val="00A15A0A"/>
    <w:rsid w:val="00A15B79"/>
    <w:rsid w:val="00A15BB2"/>
    <w:rsid w:val="00A15CE6"/>
    <w:rsid w:val="00A15EAC"/>
    <w:rsid w:val="00A15FF1"/>
    <w:rsid w:val="00A16024"/>
    <w:rsid w:val="00A160A1"/>
    <w:rsid w:val="00A160CF"/>
    <w:rsid w:val="00A160D0"/>
    <w:rsid w:val="00A16239"/>
    <w:rsid w:val="00A16364"/>
    <w:rsid w:val="00A164E7"/>
    <w:rsid w:val="00A1658E"/>
    <w:rsid w:val="00A16673"/>
    <w:rsid w:val="00A16675"/>
    <w:rsid w:val="00A16817"/>
    <w:rsid w:val="00A16950"/>
    <w:rsid w:val="00A16AFC"/>
    <w:rsid w:val="00A16C09"/>
    <w:rsid w:val="00A16CCF"/>
    <w:rsid w:val="00A16F5D"/>
    <w:rsid w:val="00A16FE7"/>
    <w:rsid w:val="00A171B8"/>
    <w:rsid w:val="00A171E5"/>
    <w:rsid w:val="00A1758D"/>
    <w:rsid w:val="00A175AC"/>
    <w:rsid w:val="00A175E2"/>
    <w:rsid w:val="00A1768F"/>
    <w:rsid w:val="00A17692"/>
    <w:rsid w:val="00A176E2"/>
    <w:rsid w:val="00A17781"/>
    <w:rsid w:val="00A177D2"/>
    <w:rsid w:val="00A17846"/>
    <w:rsid w:val="00A17986"/>
    <w:rsid w:val="00A179FF"/>
    <w:rsid w:val="00A17BBB"/>
    <w:rsid w:val="00A17BCC"/>
    <w:rsid w:val="00A17C36"/>
    <w:rsid w:val="00A17C47"/>
    <w:rsid w:val="00A17DC8"/>
    <w:rsid w:val="00A17EE7"/>
    <w:rsid w:val="00A17F49"/>
    <w:rsid w:val="00A17FB8"/>
    <w:rsid w:val="00A20063"/>
    <w:rsid w:val="00A200D8"/>
    <w:rsid w:val="00A2018B"/>
    <w:rsid w:val="00A2020E"/>
    <w:rsid w:val="00A20263"/>
    <w:rsid w:val="00A202E0"/>
    <w:rsid w:val="00A207DA"/>
    <w:rsid w:val="00A20861"/>
    <w:rsid w:val="00A208F1"/>
    <w:rsid w:val="00A20A65"/>
    <w:rsid w:val="00A20ABB"/>
    <w:rsid w:val="00A20C01"/>
    <w:rsid w:val="00A20E84"/>
    <w:rsid w:val="00A20FD4"/>
    <w:rsid w:val="00A210DA"/>
    <w:rsid w:val="00A210DB"/>
    <w:rsid w:val="00A2118F"/>
    <w:rsid w:val="00A2119C"/>
    <w:rsid w:val="00A21258"/>
    <w:rsid w:val="00A213C4"/>
    <w:rsid w:val="00A213F3"/>
    <w:rsid w:val="00A213FE"/>
    <w:rsid w:val="00A21454"/>
    <w:rsid w:val="00A21550"/>
    <w:rsid w:val="00A21690"/>
    <w:rsid w:val="00A216A8"/>
    <w:rsid w:val="00A21714"/>
    <w:rsid w:val="00A21983"/>
    <w:rsid w:val="00A21AFD"/>
    <w:rsid w:val="00A21B4A"/>
    <w:rsid w:val="00A21B54"/>
    <w:rsid w:val="00A21B97"/>
    <w:rsid w:val="00A21C59"/>
    <w:rsid w:val="00A21CC2"/>
    <w:rsid w:val="00A21CE3"/>
    <w:rsid w:val="00A21D43"/>
    <w:rsid w:val="00A21E71"/>
    <w:rsid w:val="00A21F33"/>
    <w:rsid w:val="00A22009"/>
    <w:rsid w:val="00A22084"/>
    <w:rsid w:val="00A2210C"/>
    <w:rsid w:val="00A22127"/>
    <w:rsid w:val="00A22196"/>
    <w:rsid w:val="00A22197"/>
    <w:rsid w:val="00A22284"/>
    <w:rsid w:val="00A225DA"/>
    <w:rsid w:val="00A22687"/>
    <w:rsid w:val="00A226A0"/>
    <w:rsid w:val="00A228E5"/>
    <w:rsid w:val="00A22A5F"/>
    <w:rsid w:val="00A22B7C"/>
    <w:rsid w:val="00A22BB7"/>
    <w:rsid w:val="00A22C78"/>
    <w:rsid w:val="00A22DBE"/>
    <w:rsid w:val="00A22FC9"/>
    <w:rsid w:val="00A22FDF"/>
    <w:rsid w:val="00A2304D"/>
    <w:rsid w:val="00A230F0"/>
    <w:rsid w:val="00A23125"/>
    <w:rsid w:val="00A2315A"/>
    <w:rsid w:val="00A231D1"/>
    <w:rsid w:val="00A23240"/>
    <w:rsid w:val="00A2325D"/>
    <w:rsid w:val="00A23284"/>
    <w:rsid w:val="00A23320"/>
    <w:rsid w:val="00A233E6"/>
    <w:rsid w:val="00A2347B"/>
    <w:rsid w:val="00A23486"/>
    <w:rsid w:val="00A234E0"/>
    <w:rsid w:val="00A2357F"/>
    <w:rsid w:val="00A236AF"/>
    <w:rsid w:val="00A23701"/>
    <w:rsid w:val="00A2371F"/>
    <w:rsid w:val="00A237C1"/>
    <w:rsid w:val="00A23835"/>
    <w:rsid w:val="00A23940"/>
    <w:rsid w:val="00A2396A"/>
    <w:rsid w:val="00A2396F"/>
    <w:rsid w:val="00A23BD8"/>
    <w:rsid w:val="00A23CC7"/>
    <w:rsid w:val="00A2413E"/>
    <w:rsid w:val="00A24198"/>
    <w:rsid w:val="00A241C8"/>
    <w:rsid w:val="00A241D2"/>
    <w:rsid w:val="00A24247"/>
    <w:rsid w:val="00A2447C"/>
    <w:rsid w:val="00A244F2"/>
    <w:rsid w:val="00A245D6"/>
    <w:rsid w:val="00A2463F"/>
    <w:rsid w:val="00A24663"/>
    <w:rsid w:val="00A248A7"/>
    <w:rsid w:val="00A24B23"/>
    <w:rsid w:val="00A24B9D"/>
    <w:rsid w:val="00A24BE5"/>
    <w:rsid w:val="00A24D5D"/>
    <w:rsid w:val="00A24E6F"/>
    <w:rsid w:val="00A24F49"/>
    <w:rsid w:val="00A250DB"/>
    <w:rsid w:val="00A250F8"/>
    <w:rsid w:val="00A2514C"/>
    <w:rsid w:val="00A2548B"/>
    <w:rsid w:val="00A2559C"/>
    <w:rsid w:val="00A2568B"/>
    <w:rsid w:val="00A2569C"/>
    <w:rsid w:val="00A25726"/>
    <w:rsid w:val="00A25763"/>
    <w:rsid w:val="00A258FB"/>
    <w:rsid w:val="00A25907"/>
    <w:rsid w:val="00A25938"/>
    <w:rsid w:val="00A259F2"/>
    <w:rsid w:val="00A25A58"/>
    <w:rsid w:val="00A25A98"/>
    <w:rsid w:val="00A25AEB"/>
    <w:rsid w:val="00A25C2B"/>
    <w:rsid w:val="00A25CE8"/>
    <w:rsid w:val="00A25CEC"/>
    <w:rsid w:val="00A25E58"/>
    <w:rsid w:val="00A25F8E"/>
    <w:rsid w:val="00A26074"/>
    <w:rsid w:val="00A2626E"/>
    <w:rsid w:val="00A26406"/>
    <w:rsid w:val="00A26466"/>
    <w:rsid w:val="00A2650F"/>
    <w:rsid w:val="00A26528"/>
    <w:rsid w:val="00A26573"/>
    <w:rsid w:val="00A26612"/>
    <w:rsid w:val="00A26866"/>
    <w:rsid w:val="00A269AA"/>
    <w:rsid w:val="00A26BAC"/>
    <w:rsid w:val="00A26BBA"/>
    <w:rsid w:val="00A26C4F"/>
    <w:rsid w:val="00A26DA5"/>
    <w:rsid w:val="00A26E76"/>
    <w:rsid w:val="00A26F02"/>
    <w:rsid w:val="00A26F94"/>
    <w:rsid w:val="00A270A0"/>
    <w:rsid w:val="00A270E8"/>
    <w:rsid w:val="00A271A1"/>
    <w:rsid w:val="00A27291"/>
    <w:rsid w:val="00A272B6"/>
    <w:rsid w:val="00A27333"/>
    <w:rsid w:val="00A2734F"/>
    <w:rsid w:val="00A27381"/>
    <w:rsid w:val="00A27456"/>
    <w:rsid w:val="00A276D6"/>
    <w:rsid w:val="00A27942"/>
    <w:rsid w:val="00A27A0B"/>
    <w:rsid w:val="00A27A5D"/>
    <w:rsid w:val="00A27B4A"/>
    <w:rsid w:val="00A27B7A"/>
    <w:rsid w:val="00A27CAC"/>
    <w:rsid w:val="00A27CDB"/>
    <w:rsid w:val="00A27D86"/>
    <w:rsid w:val="00A27E33"/>
    <w:rsid w:val="00A27EC4"/>
    <w:rsid w:val="00A27EE5"/>
    <w:rsid w:val="00A27F78"/>
    <w:rsid w:val="00A30003"/>
    <w:rsid w:val="00A3002A"/>
    <w:rsid w:val="00A300FC"/>
    <w:rsid w:val="00A301AC"/>
    <w:rsid w:val="00A30309"/>
    <w:rsid w:val="00A3030C"/>
    <w:rsid w:val="00A30393"/>
    <w:rsid w:val="00A306BF"/>
    <w:rsid w:val="00A307F2"/>
    <w:rsid w:val="00A308CC"/>
    <w:rsid w:val="00A30AF8"/>
    <w:rsid w:val="00A30B0E"/>
    <w:rsid w:val="00A30B4D"/>
    <w:rsid w:val="00A30D1E"/>
    <w:rsid w:val="00A30DC7"/>
    <w:rsid w:val="00A30F3F"/>
    <w:rsid w:val="00A3105B"/>
    <w:rsid w:val="00A31130"/>
    <w:rsid w:val="00A311CA"/>
    <w:rsid w:val="00A31205"/>
    <w:rsid w:val="00A314DF"/>
    <w:rsid w:val="00A31740"/>
    <w:rsid w:val="00A318C6"/>
    <w:rsid w:val="00A318E2"/>
    <w:rsid w:val="00A318FB"/>
    <w:rsid w:val="00A31945"/>
    <w:rsid w:val="00A31A25"/>
    <w:rsid w:val="00A31E28"/>
    <w:rsid w:val="00A3210B"/>
    <w:rsid w:val="00A3226A"/>
    <w:rsid w:val="00A322AE"/>
    <w:rsid w:val="00A3231A"/>
    <w:rsid w:val="00A3231B"/>
    <w:rsid w:val="00A32365"/>
    <w:rsid w:val="00A32598"/>
    <w:rsid w:val="00A3275A"/>
    <w:rsid w:val="00A327C6"/>
    <w:rsid w:val="00A328DC"/>
    <w:rsid w:val="00A32949"/>
    <w:rsid w:val="00A329F1"/>
    <w:rsid w:val="00A32BE4"/>
    <w:rsid w:val="00A32C18"/>
    <w:rsid w:val="00A330A4"/>
    <w:rsid w:val="00A330FC"/>
    <w:rsid w:val="00A331B0"/>
    <w:rsid w:val="00A33237"/>
    <w:rsid w:val="00A33366"/>
    <w:rsid w:val="00A3337B"/>
    <w:rsid w:val="00A33406"/>
    <w:rsid w:val="00A3349E"/>
    <w:rsid w:val="00A334F3"/>
    <w:rsid w:val="00A33734"/>
    <w:rsid w:val="00A337BA"/>
    <w:rsid w:val="00A3381C"/>
    <w:rsid w:val="00A33827"/>
    <w:rsid w:val="00A33849"/>
    <w:rsid w:val="00A3388D"/>
    <w:rsid w:val="00A338B8"/>
    <w:rsid w:val="00A339DF"/>
    <w:rsid w:val="00A33A7C"/>
    <w:rsid w:val="00A33D89"/>
    <w:rsid w:val="00A33E44"/>
    <w:rsid w:val="00A33F33"/>
    <w:rsid w:val="00A33F63"/>
    <w:rsid w:val="00A33FAF"/>
    <w:rsid w:val="00A33FE8"/>
    <w:rsid w:val="00A3405A"/>
    <w:rsid w:val="00A3412A"/>
    <w:rsid w:val="00A3423B"/>
    <w:rsid w:val="00A34429"/>
    <w:rsid w:val="00A34448"/>
    <w:rsid w:val="00A344DE"/>
    <w:rsid w:val="00A34502"/>
    <w:rsid w:val="00A3452B"/>
    <w:rsid w:val="00A3468C"/>
    <w:rsid w:val="00A346C2"/>
    <w:rsid w:val="00A346D2"/>
    <w:rsid w:val="00A347BC"/>
    <w:rsid w:val="00A347DC"/>
    <w:rsid w:val="00A3486C"/>
    <w:rsid w:val="00A348AF"/>
    <w:rsid w:val="00A349CF"/>
    <w:rsid w:val="00A34A68"/>
    <w:rsid w:val="00A34B90"/>
    <w:rsid w:val="00A34D46"/>
    <w:rsid w:val="00A34DA3"/>
    <w:rsid w:val="00A34F0F"/>
    <w:rsid w:val="00A34F14"/>
    <w:rsid w:val="00A34F3D"/>
    <w:rsid w:val="00A3507A"/>
    <w:rsid w:val="00A3509E"/>
    <w:rsid w:val="00A350D0"/>
    <w:rsid w:val="00A35186"/>
    <w:rsid w:val="00A351B0"/>
    <w:rsid w:val="00A352B5"/>
    <w:rsid w:val="00A35425"/>
    <w:rsid w:val="00A355D4"/>
    <w:rsid w:val="00A35612"/>
    <w:rsid w:val="00A356C0"/>
    <w:rsid w:val="00A35726"/>
    <w:rsid w:val="00A35864"/>
    <w:rsid w:val="00A35940"/>
    <w:rsid w:val="00A35974"/>
    <w:rsid w:val="00A3599F"/>
    <w:rsid w:val="00A35B6B"/>
    <w:rsid w:val="00A35BB3"/>
    <w:rsid w:val="00A35C46"/>
    <w:rsid w:val="00A35CAC"/>
    <w:rsid w:val="00A35D72"/>
    <w:rsid w:val="00A35E02"/>
    <w:rsid w:val="00A35ED8"/>
    <w:rsid w:val="00A35EEF"/>
    <w:rsid w:val="00A35F9E"/>
    <w:rsid w:val="00A35FF4"/>
    <w:rsid w:val="00A3610E"/>
    <w:rsid w:val="00A36193"/>
    <w:rsid w:val="00A361C8"/>
    <w:rsid w:val="00A36361"/>
    <w:rsid w:val="00A363F6"/>
    <w:rsid w:val="00A36596"/>
    <w:rsid w:val="00A365D4"/>
    <w:rsid w:val="00A36699"/>
    <w:rsid w:val="00A366B5"/>
    <w:rsid w:val="00A3686F"/>
    <w:rsid w:val="00A36875"/>
    <w:rsid w:val="00A3689D"/>
    <w:rsid w:val="00A36A22"/>
    <w:rsid w:val="00A36AE9"/>
    <w:rsid w:val="00A36B45"/>
    <w:rsid w:val="00A36C39"/>
    <w:rsid w:val="00A36C74"/>
    <w:rsid w:val="00A36DC9"/>
    <w:rsid w:val="00A36DE1"/>
    <w:rsid w:val="00A36E14"/>
    <w:rsid w:val="00A36EE4"/>
    <w:rsid w:val="00A3710D"/>
    <w:rsid w:val="00A37111"/>
    <w:rsid w:val="00A371BA"/>
    <w:rsid w:val="00A37211"/>
    <w:rsid w:val="00A3727B"/>
    <w:rsid w:val="00A3727F"/>
    <w:rsid w:val="00A372B2"/>
    <w:rsid w:val="00A37371"/>
    <w:rsid w:val="00A373E3"/>
    <w:rsid w:val="00A37432"/>
    <w:rsid w:val="00A37461"/>
    <w:rsid w:val="00A3759F"/>
    <w:rsid w:val="00A375A9"/>
    <w:rsid w:val="00A37624"/>
    <w:rsid w:val="00A376DA"/>
    <w:rsid w:val="00A378DE"/>
    <w:rsid w:val="00A379B9"/>
    <w:rsid w:val="00A379BA"/>
    <w:rsid w:val="00A37B06"/>
    <w:rsid w:val="00A37B1C"/>
    <w:rsid w:val="00A37B3D"/>
    <w:rsid w:val="00A37B3E"/>
    <w:rsid w:val="00A37BAB"/>
    <w:rsid w:val="00A37BEB"/>
    <w:rsid w:val="00A37F61"/>
    <w:rsid w:val="00A37FBA"/>
    <w:rsid w:val="00A37FF7"/>
    <w:rsid w:val="00A400C5"/>
    <w:rsid w:val="00A400E5"/>
    <w:rsid w:val="00A401E2"/>
    <w:rsid w:val="00A4025A"/>
    <w:rsid w:val="00A40270"/>
    <w:rsid w:val="00A4029F"/>
    <w:rsid w:val="00A40311"/>
    <w:rsid w:val="00A40321"/>
    <w:rsid w:val="00A405C2"/>
    <w:rsid w:val="00A407F6"/>
    <w:rsid w:val="00A40942"/>
    <w:rsid w:val="00A4098A"/>
    <w:rsid w:val="00A40CEC"/>
    <w:rsid w:val="00A40D0C"/>
    <w:rsid w:val="00A40DBD"/>
    <w:rsid w:val="00A40F81"/>
    <w:rsid w:val="00A40F8F"/>
    <w:rsid w:val="00A40FC3"/>
    <w:rsid w:val="00A411F3"/>
    <w:rsid w:val="00A413A4"/>
    <w:rsid w:val="00A41450"/>
    <w:rsid w:val="00A41541"/>
    <w:rsid w:val="00A41876"/>
    <w:rsid w:val="00A41A10"/>
    <w:rsid w:val="00A41A1E"/>
    <w:rsid w:val="00A41B21"/>
    <w:rsid w:val="00A41C22"/>
    <w:rsid w:val="00A41C50"/>
    <w:rsid w:val="00A41CCA"/>
    <w:rsid w:val="00A41D04"/>
    <w:rsid w:val="00A41D33"/>
    <w:rsid w:val="00A41DAF"/>
    <w:rsid w:val="00A41E19"/>
    <w:rsid w:val="00A41E28"/>
    <w:rsid w:val="00A41E92"/>
    <w:rsid w:val="00A42038"/>
    <w:rsid w:val="00A4219C"/>
    <w:rsid w:val="00A421CD"/>
    <w:rsid w:val="00A422DD"/>
    <w:rsid w:val="00A423F9"/>
    <w:rsid w:val="00A42482"/>
    <w:rsid w:val="00A42701"/>
    <w:rsid w:val="00A42739"/>
    <w:rsid w:val="00A428D4"/>
    <w:rsid w:val="00A42B18"/>
    <w:rsid w:val="00A42B78"/>
    <w:rsid w:val="00A42C22"/>
    <w:rsid w:val="00A42DDF"/>
    <w:rsid w:val="00A4312D"/>
    <w:rsid w:val="00A431C1"/>
    <w:rsid w:val="00A431FD"/>
    <w:rsid w:val="00A43574"/>
    <w:rsid w:val="00A43589"/>
    <w:rsid w:val="00A435A6"/>
    <w:rsid w:val="00A435C2"/>
    <w:rsid w:val="00A435CD"/>
    <w:rsid w:val="00A435E1"/>
    <w:rsid w:val="00A43685"/>
    <w:rsid w:val="00A436CD"/>
    <w:rsid w:val="00A43807"/>
    <w:rsid w:val="00A438B0"/>
    <w:rsid w:val="00A439AF"/>
    <w:rsid w:val="00A43A23"/>
    <w:rsid w:val="00A43A46"/>
    <w:rsid w:val="00A43A5D"/>
    <w:rsid w:val="00A43A8E"/>
    <w:rsid w:val="00A43A95"/>
    <w:rsid w:val="00A43B09"/>
    <w:rsid w:val="00A43C3B"/>
    <w:rsid w:val="00A43D31"/>
    <w:rsid w:val="00A43DB3"/>
    <w:rsid w:val="00A43E11"/>
    <w:rsid w:val="00A43E8C"/>
    <w:rsid w:val="00A43EAD"/>
    <w:rsid w:val="00A43F2F"/>
    <w:rsid w:val="00A4416E"/>
    <w:rsid w:val="00A44194"/>
    <w:rsid w:val="00A44486"/>
    <w:rsid w:val="00A44566"/>
    <w:rsid w:val="00A445A3"/>
    <w:rsid w:val="00A4465F"/>
    <w:rsid w:val="00A4472B"/>
    <w:rsid w:val="00A4481D"/>
    <w:rsid w:val="00A4482F"/>
    <w:rsid w:val="00A448ED"/>
    <w:rsid w:val="00A44A2C"/>
    <w:rsid w:val="00A44B0C"/>
    <w:rsid w:val="00A44CFC"/>
    <w:rsid w:val="00A44D8F"/>
    <w:rsid w:val="00A44E9E"/>
    <w:rsid w:val="00A44F07"/>
    <w:rsid w:val="00A44FCC"/>
    <w:rsid w:val="00A4520A"/>
    <w:rsid w:val="00A45292"/>
    <w:rsid w:val="00A452A9"/>
    <w:rsid w:val="00A45384"/>
    <w:rsid w:val="00A45397"/>
    <w:rsid w:val="00A454BF"/>
    <w:rsid w:val="00A456D4"/>
    <w:rsid w:val="00A4581E"/>
    <w:rsid w:val="00A45866"/>
    <w:rsid w:val="00A45985"/>
    <w:rsid w:val="00A459A9"/>
    <w:rsid w:val="00A459D1"/>
    <w:rsid w:val="00A459E3"/>
    <w:rsid w:val="00A459ED"/>
    <w:rsid w:val="00A45B70"/>
    <w:rsid w:val="00A45BB4"/>
    <w:rsid w:val="00A45D48"/>
    <w:rsid w:val="00A45D52"/>
    <w:rsid w:val="00A45F05"/>
    <w:rsid w:val="00A46041"/>
    <w:rsid w:val="00A4612F"/>
    <w:rsid w:val="00A4618F"/>
    <w:rsid w:val="00A462AA"/>
    <w:rsid w:val="00A462FA"/>
    <w:rsid w:val="00A46403"/>
    <w:rsid w:val="00A4654A"/>
    <w:rsid w:val="00A4657E"/>
    <w:rsid w:val="00A4658C"/>
    <w:rsid w:val="00A46908"/>
    <w:rsid w:val="00A469E8"/>
    <w:rsid w:val="00A46A5B"/>
    <w:rsid w:val="00A46ADD"/>
    <w:rsid w:val="00A46AFE"/>
    <w:rsid w:val="00A46BCF"/>
    <w:rsid w:val="00A46BFB"/>
    <w:rsid w:val="00A46C1B"/>
    <w:rsid w:val="00A46D05"/>
    <w:rsid w:val="00A46D1D"/>
    <w:rsid w:val="00A46E8C"/>
    <w:rsid w:val="00A4708F"/>
    <w:rsid w:val="00A47300"/>
    <w:rsid w:val="00A47341"/>
    <w:rsid w:val="00A473E3"/>
    <w:rsid w:val="00A4755D"/>
    <w:rsid w:val="00A47567"/>
    <w:rsid w:val="00A47595"/>
    <w:rsid w:val="00A475E4"/>
    <w:rsid w:val="00A47723"/>
    <w:rsid w:val="00A477E3"/>
    <w:rsid w:val="00A47883"/>
    <w:rsid w:val="00A47890"/>
    <w:rsid w:val="00A4790B"/>
    <w:rsid w:val="00A479B3"/>
    <w:rsid w:val="00A47AA4"/>
    <w:rsid w:val="00A47C9D"/>
    <w:rsid w:val="00A47DE6"/>
    <w:rsid w:val="00A47E24"/>
    <w:rsid w:val="00A47EE7"/>
    <w:rsid w:val="00A47EFD"/>
    <w:rsid w:val="00A47FDF"/>
    <w:rsid w:val="00A501AE"/>
    <w:rsid w:val="00A501F5"/>
    <w:rsid w:val="00A50238"/>
    <w:rsid w:val="00A5033E"/>
    <w:rsid w:val="00A5047D"/>
    <w:rsid w:val="00A506F3"/>
    <w:rsid w:val="00A5089A"/>
    <w:rsid w:val="00A5091F"/>
    <w:rsid w:val="00A50935"/>
    <w:rsid w:val="00A50A10"/>
    <w:rsid w:val="00A50B47"/>
    <w:rsid w:val="00A50BAF"/>
    <w:rsid w:val="00A50C66"/>
    <w:rsid w:val="00A50D1C"/>
    <w:rsid w:val="00A50D8A"/>
    <w:rsid w:val="00A50E52"/>
    <w:rsid w:val="00A50EE4"/>
    <w:rsid w:val="00A50F3E"/>
    <w:rsid w:val="00A50F47"/>
    <w:rsid w:val="00A5114F"/>
    <w:rsid w:val="00A511E7"/>
    <w:rsid w:val="00A51219"/>
    <w:rsid w:val="00A512C4"/>
    <w:rsid w:val="00A512EE"/>
    <w:rsid w:val="00A512F1"/>
    <w:rsid w:val="00A51356"/>
    <w:rsid w:val="00A513F0"/>
    <w:rsid w:val="00A51483"/>
    <w:rsid w:val="00A5149C"/>
    <w:rsid w:val="00A51551"/>
    <w:rsid w:val="00A51736"/>
    <w:rsid w:val="00A51742"/>
    <w:rsid w:val="00A517B4"/>
    <w:rsid w:val="00A5181C"/>
    <w:rsid w:val="00A5186F"/>
    <w:rsid w:val="00A51978"/>
    <w:rsid w:val="00A519C1"/>
    <w:rsid w:val="00A51B48"/>
    <w:rsid w:val="00A51B65"/>
    <w:rsid w:val="00A51EFA"/>
    <w:rsid w:val="00A51F6B"/>
    <w:rsid w:val="00A521D3"/>
    <w:rsid w:val="00A52211"/>
    <w:rsid w:val="00A52256"/>
    <w:rsid w:val="00A52263"/>
    <w:rsid w:val="00A52333"/>
    <w:rsid w:val="00A524FC"/>
    <w:rsid w:val="00A52652"/>
    <w:rsid w:val="00A5283A"/>
    <w:rsid w:val="00A528F2"/>
    <w:rsid w:val="00A529A5"/>
    <w:rsid w:val="00A52A04"/>
    <w:rsid w:val="00A52A27"/>
    <w:rsid w:val="00A52AB5"/>
    <w:rsid w:val="00A52B35"/>
    <w:rsid w:val="00A52C54"/>
    <w:rsid w:val="00A52C9E"/>
    <w:rsid w:val="00A530FF"/>
    <w:rsid w:val="00A5333B"/>
    <w:rsid w:val="00A5342E"/>
    <w:rsid w:val="00A53482"/>
    <w:rsid w:val="00A535C4"/>
    <w:rsid w:val="00A536A2"/>
    <w:rsid w:val="00A536AD"/>
    <w:rsid w:val="00A53977"/>
    <w:rsid w:val="00A539DA"/>
    <w:rsid w:val="00A539DC"/>
    <w:rsid w:val="00A539F1"/>
    <w:rsid w:val="00A53A0E"/>
    <w:rsid w:val="00A53B5C"/>
    <w:rsid w:val="00A53BCC"/>
    <w:rsid w:val="00A53E02"/>
    <w:rsid w:val="00A54050"/>
    <w:rsid w:val="00A54094"/>
    <w:rsid w:val="00A543D3"/>
    <w:rsid w:val="00A54479"/>
    <w:rsid w:val="00A54528"/>
    <w:rsid w:val="00A545B9"/>
    <w:rsid w:val="00A546C7"/>
    <w:rsid w:val="00A546F8"/>
    <w:rsid w:val="00A548D8"/>
    <w:rsid w:val="00A54A0D"/>
    <w:rsid w:val="00A54B06"/>
    <w:rsid w:val="00A54BDF"/>
    <w:rsid w:val="00A54C1D"/>
    <w:rsid w:val="00A54D12"/>
    <w:rsid w:val="00A54E37"/>
    <w:rsid w:val="00A54E81"/>
    <w:rsid w:val="00A54EB1"/>
    <w:rsid w:val="00A54F4A"/>
    <w:rsid w:val="00A54F70"/>
    <w:rsid w:val="00A54FF7"/>
    <w:rsid w:val="00A551C0"/>
    <w:rsid w:val="00A551C2"/>
    <w:rsid w:val="00A55221"/>
    <w:rsid w:val="00A55302"/>
    <w:rsid w:val="00A554E2"/>
    <w:rsid w:val="00A555D7"/>
    <w:rsid w:val="00A5569D"/>
    <w:rsid w:val="00A5571D"/>
    <w:rsid w:val="00A557C1"/>
    <w:rsid w:val="00A55812"/>
    <w:rsid w:val="00A55881"/>
    <w:rsid w:val="00A559C8"/>
    <w:rsid w:val="00A55A0A"/>
    <w:rsid w:val="00A55BD3"/>
    <w:rsid w:val="00A55EB4"/>
    <w:rsid w:val="00A560D3"/>
    <w:rsid w:val="00A562DE"/>
    <w:rsid w:val="00A56343"/>
    <w:rsid w:val="00A565A7"/>
    <w:rsid w:val="00A565CA"/>
    <w:rsid w:val="00A566BA"/>
    <w:rsid w:val="00A566CB"/>
    <w:rsid w:val="00A56701"/>
    <w:rsid w:val="00A56893"/>
    <w:rsid w:val="00A568B9"/>
    <w:rsid w:val="00A569B2"/>
    <w:rsid w:val="00A569CB"/>
    <w:rsid w:val="00A56B2F"/>
    <w:rsid w:val="00A56C2E"/>
    <w:rsid w:val="00A56C5A"/>
    <w:rsid w:val="00A56F12"/>
    <w:rsid w:val="00A571E6"/>
    <w:rsid w:val="00A5732A"/>
    <w:rsid w:val="00A57436"/>
    <w:rsid w:val="00A57452"/>
    <w:rsid w:val="00A57546"/>
    <w:rsid w:val="00A575AB"/>
    <w:rsid w:val="00A57709"/>
    <w:rsid w:val="00A577F5"/>
    <w:rsid w:val="00A57857"/>
    <w:rsid w:val="00A57927"/>
    <w:rsid w:val="00A57B7A"/>
    <w:rsid w:val="00A57C9C"/>
    <w:rsid w:val="00A57CFA"/>
    <w:rsid w:val="00A57D0A"/>
    <w:rsid w:val="00A57D6C"/>
    <w:rsid w:val="00A57EAB"/>
    <w:rsid w:val="00A57ED7"/>
    <w:rsid w:val="00A57EE4"/>
    <w:rsid w:val="00A57F03"/>
    <w:rsid w:val="00A57FB9"/>
    <w:rsid w:val="00A57FE9"/>
    <w:rsid w:val="00A600FA"/>
    <w:rsid w:val="00A6019F"/>
    <w:rsid w:val="00A602BB"/>
    <w:rsid w:val="00A603BC"/>
    <w:rsid w:val="00A6048B"/>
    <w:rsid w:val="00A604AB"/>
    <w:rsid w:val="00A604C1"/>
    <w:rsid w:val="00A604C4"/>
    <w:rsid w:val="00A605A3"/>
    <w:rsid w:val="00A6061F"/>
    <w:rsid w:val="00A60766"/>
    <w:rsid w:val="00A60797"/>
    <w:rsid w:val="00A607CD"/>
    <w:rsid w:val="00A60887"/>
    <w:rsid w:val="00A608F4"/>
    <w:rsid w:val="00A6092D"/>
    <w:rsid w:val="00A60939"/>
    <w:rsid w:val="00A609F0"/>
    <w:rsid w:val="00A60A3B"/>
    <w:rsid w:val="00A60AB3"/>
    <w:rsid w:val="00A60AE8"/>
    <w:rsid w:val="00A60B43"/>
    <w:rsid w:val="00A60B94"/>
    <w:rsid w:val="00A60CDE"/>
    <w:rsid w:val="00A60DCC"/>
    <w:rsid w:val="00A60E37"/>
    <w:rsid w:val="00A60E80"/>
    <w:rsid w:val="00A60E8E"/>
    <w:rsid w:val="00A60EBB"/>
    <w:rsid w:val="00A60FFC"/>
    <w:rsid w:val="00A6102E"/>
    <w:rsid w:val="00A6114A"/>
    <w:rsid w:val="00A6114B"/>
    <w:rsid w:val="00A611D9"/>
    <w:rsid w:val="00A61283"/>
    <w:rsid w:val="00A612FF"/>
    <w:rsid w:val="00A6152B"/>
    <w:rsid w:val="00A61539"/>
    <w:rsid w:val="00A615EC"/>
    <w:rsid w:val="00A616BB"/>
    <w:rsid w:val="00A619D7"/>
    <w:rsid w:val="00A61A40"/>
    <w:rsid w:val="00A61AA7"/>
    <w:rsid w:val="00A61B6B"/>
    <w:rsid w:val="00A61D60"/>
    <w:rsid w:val="00A61DBC"/>
    <w:rsid w:val="00A61DF2"/>
    <w:rsid w:val="00A61E62"/>
    <w:rsid w:val="00A620AD"/>
    <w:rsid w:val="00A622F0"/>
    <w:rsid w:val="00A62482"/>
    <w:rsid w:val="00A625EF"/>
    <w:rsid w:val="00A62A38"/>
    <w:rsid w:val="00A62ACF"/>
    <w:rsid w:val="00A62B8B"/>
    <w:rsid w:val="00A62C90"/>
    <w:rsid w:val="00A62F10"/>
    <w:rsid w:val="00A630B7"/>
    <w:rsid w:val="00A6313F"/>
    <w:rsid w:val="00A6317C"/>
    <w:rsid w:val="00A631A7"/>
    <w:rsid w:val="00A6322E"/>
    <w:rsid w:val="00A63258"/>
    <w:rsid w:val="00A63274"/>
    <w:rsid w:val="00A632B6"/>
    <w:rsid w:val="00A632C8"/>
    <w:rsid w:val="00A634BB"/>
    <w:rsid w:val="00A634F7"/>
    <w:rsid w:val="00A6355C"/>
    <w:rsid w:val="00A63644"/>
    <w:rsid w:val="00A6389A"/>
    <w:rsid w:val="00A638E4"/>
    <w:rsid w:val="00A6398B"/>
    <w:rsid w:val="00A63A3D"/>
    <w:rsid w:val="00A63A8C"/>
    <w:rsid w:val="00A63D25"/>
    <w:rsid w:val="00A63E37"/>
    <w:rsid w:val="00A63E9F"/>
    <w:rsid w:val="00A63EC2"/>
    <w:rsid w:val="00A63FEA"/>
    <w:rsid w:val="00A640A9"/>
    <w:rsid w:val="00A6410B"/>
    <w:rsid w:val="00A641A6"/>
    <w:rsid w:val="00A641EF"/>
    <w:rsid w:val="00A643ED"/>
    <w:rsid w:val="00A64400"/>
    <w:rsid w:val="00A6440A"/>
    <w:rsid w:val="00A644C8"/>
    <w:rsid w:val="00A6451B"/>
    <w:rsid w:val="00A6457F"/>
    <w:rsid w:val="00A645A4"/>
    <w:rsid w:val="00A64759"/>
    <w:rsid w:val="00A648B2"/>
    <w:rsid w:val="00A649AB"/>
    <w:rsid w:val="00A64A01"/>
    <w:rsid w:val="00A64BBD"/>
    <w:rsid w:val="00A64BDA"/>
    <w:rsid w:val="00A64C03"/>
    <w:rsid w:val="00A64C19"/>
    <w:rsid w:val="00A64CCF"/>
    <w:rsid w:val="00A64E8F"/>
    <w:rsid w:val="00A6504B"/>
    <w:rsid w:val="00A650D6"/>
    <w:rsid w:val="00A65176"/>
    <w:rsid w:val="00A651FB"/>
    <w:rsid w:val="00A652BC"/>
    <w:rsid w:val="00A65315"/>
    <w:rsid w:val="00A65334"/>
    <w:rsid w:val="00A653B8"/>
    <w:rsid w:val="00A653C0"/>
    <w:rsid w:val="00A65490"/>
    <w:rsid w:val="00A654BE"/>
    <w:rsid w:val="00A65548"/>
    <w:rsid w:val="00A65564"/>
    <w:rsid w:val="00A6559D"/>
    <w:rsid w:val="00A65613"/>
    <w:rsid w:val="00A6573D"/>
    <w:rsid w:val="00A6575B"/>
    <w:rsid w:val="00A658DA"/>
    <w:rsid w:val="00A65A22"/>
    <w:rsid w:val="00A65CB8"/>
    <w:rsid w:val="00A65D35"/>
    <w:rsid w:val="00A65E7E"/>
    <w:rsid w:val="00A65E85"/>
    <w:rsid w:val="00A65F45"/>
    <w:rsid w:val="00A66049"/>
    <w:rsid w:val="00A6627F"/>
    <w:rsid w:val="00A66305"/>
    <w:rsid w:val="00A6632F"/>
    <w:rsid w:val="00A663A4"/>
    <w:rsid w:val="00A6641A"/>
    <w:rsid w:val="00A66481"/>
    <w:rsid w:val="00A6655F"/>
    <w:rsid w:val="00A665B9"/>
    <w:rsid w:val="00A665E7"/>
    <w:rsid w:val="00A668F9"/>
    <w:rsid w:val="00A66B65"/>
    <w:rsid w:val="00A66BC1"/>
    <w:rsid w:val="00A66C68"/>
    <w:rsid w:val="00A66E4B"/>
    <w:rsid w:val="00A66E61"/>
    <w:rsid w:val="00A66F2E"/>
    <w:rsid w:val="00A6703F"/>
    <w:rsid w:val="00A67057"/>
    <w:rsid w:val="00A6726D"/>
    <w:rsid w:val="00A673BA"/>
    <w:rsid w:val="00A67454"/>
    <w:rsid w:val="00A67463"/>
    <w:rsid w:val="00A6751F"/>
    <w:rsid w:val="00A6757D"/>
    <w:rsid w:val="00A676C5"/>
    <w:rsid w:val="00A676D3"/>
    <w:rsid w:val="00A676FD"/>
    <w:rsid w:val="00A6777B"/>
    <w:rsid w:val="00A677BE"/>
    <w:rsid w:val="00A67953"/>
    <w:rsid w:val="00A67C24"/>
    <w:rsid w:val="00A67C57"/>
    <w:rsid w:val="00A67E9F"/>
    <w:rsid w:val="00A700D9"/>
    <w:rsid w:val="00A7011C"/>
    <w:rsid w:val="00A7019F"/>
    <w:rsid w:val="00A701CE"/>
    <w:rsid w:val="00A7023C"/>
    <w:rsid w:val="00A70349"/>
    <w:rsid w:val="00A703C2"/>
    <w:rsid w:val="00A7040B"/>
    <w:rsid w:val="00A70456"/>
    <w:rsid w:val="00A70471"/>
    <w:rsid w:val="00A70667"/>
    <w:rsid w:val="00A70758"/>
    <w:rsid w:val="00A7088A"/>
    <w:rsid w:val="00A70931"/>
    <w:rsid w:val="00A709A7"/>
    <w:rsid w:val="00A70A64"/>
    <w:rsid w:val="00A70AFF"/>
    <w:rsid w:val="00A70C08"/>
    <w:rsid w:val="00A70C6D"/>
    <w:rsid w:val="00A70C8D"/>
    <w:rsid w:val="00A70D58"/>
    <w:rsid w:val="00A70DE5"/>
    <w:rsid w:val="00A71054"/>
    <w:rsid w:val="00A711E7"/>
    <w:rsid w:val="00A713DD"/>
    <w:rsid w:val="00A7147D"/>
    <w:rsid w:val="00A71637"/>
    <w:rsid w:val="00A71652"/>
    <w:rsid w:val="00A7172A"/>
    <w:rsid w:val="00A7173D"/>
    <w:rsid w:val="00A71783"/>
    <w:rsid w:val="00A71961"/>
    <w:rsid w:val="00A71A8D"/>
    <w:rsid w:val="00A71AAA"/>
    <w:rsid w:val="00A71CCB"/>
    <w:rsid w:val="00A71D38"/>
    <w:rsid w:val="00A71D3D"/>
    <w:rsid w:val="00A71DE4"/>
    <w:rsid w:val="00A71E06"/>
    <w:rsid w:val="00A71E67"/>
    <w:rsid w:val="00A72252"/>
    <w:rsid w:val="00A7236A"/>
    <w:rsid w:val="00A72605"/>
    <w:rsid w:val="00A7285E"/>
    <w:rsid w:val="00A72914"/>
    <w:rsid w:val="00A7296B"/>
    <w:rsid w:val="00A72BB4"/>
    <w:rsid w:val="00A72BF9"/>
    <w:rsid w:val="00A72C77"/>
    <w:rsid w:val="00A72D2A"/>
    <w:rsid w:val="00A73092"/>
    <w:rsid w:val="00A7311C"/>
    <w:rsid w:val="00A7313E"/>
    <w:rsid w:val="00A731B2"/>
    <w:rsid w:val="00A731E9"/>
    <w:rsid w:val="00A7320E"/>
    <w:rsid w:val="00A7328A"/>
    <w:rsid w:val="00A7333B"/>
    <w:rsid w:val="00A7355D"/>
    <w:rsid w:val="00A73574"/>
    <w:rsid w:val="00A73670"/>
    <w:rsid w:val="00A7378B"/>
    <w:rsid w:val="00A737A4"/>
    <w:rsid w:val="00A73842"/>
    <w:rsid w:val="00A739C7"/>
    <w:rsid w:val="00A739F3"/>
    <w:rsid w:val="00A73A7A"/>
    <w:rsid w:val="00A73C49"/>
    <w:rsid w:val="00A73C5E"/>
    <w:rsid w:val="00A740B9"/>
    <w:rsid w:val="00A742E2"/>
    <w:rsid w:val="00A74378"/>
    <w:rsid w:val="00A745E9"/>
    <w:rsid w:val="00A74672"/>
    <w:rsid w:val="00A746FF"/>
    <w:rsid w:val="00A747A7"/>
    <w:rsid w:val="00A747AF"/>
    <w:rsid w:val="00A747C5"/>
    <w:rsid w:val="00A749E4"/>
    <w:rsid w:val="00A74A50"/>
    <w:rsid w:val="00A74B33"/>
    <w:rsid w:val="00A74DA9"/>
    <w:rsid w:val="00A74E31"/>
    <w:rsid w:val="00A74F2D"/>
    <w:rsid w:val="00A7533C"/>
    <w:rsid w:val="00A75395"/>
    <w:rsid w:val="00A7552F"/>
    <w:rsid w:val="00A75612"/>
    <w:rsid w:val="00A7567F"/>
    <w:rsid w:val="00A7571F"/>
    <w:rsid w:val="00A757DF"/>
    <w:rsid w:val="00A7595D"/>
    <w:rsid w:val="00A75991"/>
    <w:rsid w:val="00A75999"/>
    <w:rsid w:val="00A759B5"/>
    <w:rsid w:val="00A75A23"/>
    <w:rsid w:val="00A75A77"/>
    <w:rsid w:val="00A75C3C"/>
    <w:rsid w:val="00A75C50"/>
    <w:rsid w:val="00A75C6E"/>
    <w:rsid w:val="00A75D59"/>
    <w:rsid w:val="00A75F4C"/>
    <w:rsid w:val="00A7601E"/>
    <w:rsid w:val="00A76133"/>
    <w:rsid w:val="00A762F8"/>
    <w:rsid w:val="00A76367"/>
    <w:rsid w:val="00A763EB"/>
    <w:rsid w:val="00A764C0"/>
    <w:rsid w:val="00A76572"/>
    <w:rsid w:val="00A76712"/>
    <w:rsid w:val="00A76845"/>
    <w:rsid w:val="00A768EC"/>
    <w:rsid w:val="00A76A16"/>
    <w:rsid w:val="00A76AA3"/>
    <w:rsid w:val="00A76AE6"/>
    <w:rsid w:val="00A76AFC"/>
    <w:rsid w:val="00A76BCA"/>
    <w:rsid w:val="00A76BD5"/>
    <w:rsid w:val="00A76D50"/>
    <w:rsid w:val="00A76D64"/>
    <w:rsid w:val="00A76D92"/>
    <w:rsid w:val="00A76DB8"/>
    <w:rsid w:val="00A76DD0"/>
    <w:rsid w:val="00A76FAC"/>
    <w:rsid w:val="00A7726F"/>
    <w:rsid w:val="00A77292"/>
    <w:rsid w:val="00A7730C"/>
    <w:rsid w:val="00A773D1"/>
    <w:rsid w:val="00A7744C"/>
    <w:rsid w:val="00A77586"/>
    <w:rsid w:val="00A77657"/>
    <w:rsid w:val="00A7772B"/>
    <w:rsid w:val="00A777B8"/>
    <w:rsid w:val="00A77825"/>
    <w:rsid w:val="00A7791C"/>
    <w:rsid w:val="00A77936"/>
    <w:rsid w:val="00A7798A"/>
    <w:rsid w:val="00A779A7"/>
    <w:rsid w:val="00A77A57"/>
    <w:rsid w:val="00A77B2E"/>
    <w:rsid w:val="00A77BA2"/>
    <w:rsid w:val="00A77C10"/>
    <w:rsid w:val="00A77C13"/>
    <w:rsid w:val="00A77C26"/>
    <w:rsid w:val="00A77CEB"/>
    <w:rsid w:val="00A77D39"/>
    <w:rsid w:val="00A77E3E"/>
    <w:rsid w:val="00A77E48"/>
    <w:rsid w:val="00A77F35"/>
    <w:rsid w:val="00A800AC"/>
    <w:rsid w:val="00A801B9"/>
    <w:rsid w:val="00A801BD"/>
    <w:rsid w:val="00A8021B"/>
    <w:rsid w:val="00A80255"/>
    <w:rsid w:val="00A802E8"/>
    <w:rsid w:val="00A802ED"/>
    <w:rsid w:val="00A80479"/>
    <w:rsid w:val="00A80517"/>
    <w:rsid w:val="00A8054C"/>
    <w:rsid w:val="00A806C7"/>
    <w:rsid w:val="00A80859"/>
    <w:rsid w:val="00A808A4"/>
    <w:rsid w:val="00A80955"/>
    <w:rsid w:val="00A80962"/>
    <w:rsid w:val="00A80B03"/>
    <w:rsid w:val="00A80B38"/>
    <w:rsid w:val="00A80C2E"/>
    <w:rsid w:val="00A80CFB"/>
    <w:rsid w:val="00A80D81"/>
    <w:rsid w:val="00A80E20"/>
    <w:rsid w:val="00A80EE6"/>
    <w:rsid w:val="00A80F3A"/>
    <w:rsid w:val="00A80FFB"/>
    <w:rsid w:val="00A81029"/>
    <w:rsid w:val="00A81086"/>
    <w:rsid w:val="00A8125A"/>
    <w:rsid w:val="00A81568"/>
    <w:rsid w:val="00A8181E"/>
    <w:rsid w:val="00A818C9"/>
    <w:rsid w:val="00A81A09"/>
    <w:rsid w:val="00A81A92"/>
    <w:rsid w:val="00A81ACB"/>
    <w:rsid w:val="00A81BC3"/>
    <w:rsid w:val="00A81C97"/>
    <w:rsid w:val="00A81E6F"/>
    <w:rsid w:val="00A81F2B"/>
    <w:rsid w:val="00A81F76"/>
    <w:rsid w:val="00A82222"/>
    <w:rsid w:val="00A82290"/>
    <w:rsid w:val="00A823FC"/>
    <w:rsid w:val="00A8241B"/>
    <w:rsid w:val="00A82544"/>
    <w:rsid w:val="00A82757"/>
    <w:rsid w:val="00A827BF"/>
    <w:rsid w:val="00A82839"/>
    <w:rsid w:val="00A8290B"/>
    <w:rsid w:val="00A82995"/>
    <w:rsid w:val="00A829B2"/>
    <w:rsid w:val="00A82E1A"/>
    <w:rsid w:val="00A82E3B"/>
    <w:rsid w:val="00A82ECA"/>
    <w:rsid w:val="00A83176"/>
    <w:rsid w:val="00A831CB"/>
    <w:rsid w:val="00A832E4"/>
    <w:rsid w:val="00A83315"/>
    <w:rsid w:val="00A8339C"/>
    <w:rsid w:val="00A834DF"/>
    <w:rsid w:val="00A834E2"/>
    <w:rsid w:val="00A83508"/>
    <w:rsid w:val="00A83705"/>
    <w:rsid w:val="00A8371A"/>
    <w:rsid w:val="00A83A00"/>
    <w:rsid w:val="00A83ABF"/>
    <w:rsid w:val="00A83B38"/>
    <w:rsid w:val="00A83BEB"/>
    <w:rsid w:val="00A83C47"/>
    <w:rsid w:val="00A83C73"/>
    <w:rsid w:val="00A83D70"/>
    <w:rsid w:val="00A83D9E"/>
    <w:rsid w:val="00A83EC4"/>
    <w:rsid w:val="00A83EE7"/>
    <w:rsid w:val="00A840F5"/>
    <w:rsid w:val="00A8413E"/>
    <w:rsid w:val="00A84266"/>
    <w:rsid w:val="00A84274"/>
    <w:rsid w:val="00A84317"/>
    <w:rsid w:val="00A8439E"/>
    <w:rsid w:val="00A8449F"/>
    <w:rsid w:val="00A84535"/>
    <w:rsid w:val="00A84598"/>
    <w:rsid w:val="00A8462D"/>
    <w:rsid w:val="00A846EB"/>
    <w:rsid w:val="00A84711"/>
    <w:rsid w:val="00A8472E"/>
    <w:rsid w:val="00A8476E"/>
    <w:rsid w:val="00A84786"/>
    <w:rsid w:val="00A847DD"/>
    <w:rsid w:val="00A8485D"/>
    <w:rsid w:val="00A848C9"/>
    <w:rsid w:val="00A84995"/>
    <w:rsid w:val="00A84A45"/>
    <w:rsid w:val="00A8501B"/>
    <w:rsid w:val="00A85297"/>
    <w:rsid w:val="00A852CE"/>
    <w:rsid w:val="00A853FC"/>
    <w:rsid w:val="00A8558F"/>
    <w:rsid w:val="00A857FF"/>
    <w:rsid w:val="00A858B0"/>
    <w:rsid w:val="00A85912"/>
    <w:rsid w:val="00A85A17"/>
    <w:rsid w:val="00A85A3C"/>
    <w:rsid w:val="00A85D7A"/>
    <w:rsid w:val="00A85DD8"/>
    <w:rsid w:val="00A85E9B"/>
    <w:rsid w:val="00A85EC4"/>
    <w:rsid w:val="00A85FE6"/>
    <w:rsid w:val="00A85FF4"/>
    <w:rsid w:val="00A86240"/>
    <w:rsid w:val="00A86266"/>
    <w:rsid w:val="00A8628C"/>
    <w:rsid w:val="00A862A1"/>
    <w:rsid w:val="00A86462"/>
    <w:rsid w:val="00A86611"/>
    <w:rsid w:val="00A86880"/>
    <w:rsid w:val="00A868A6"/>
    <w:rsid w:val="00A868C2"/>
    <w:rsid w:val="00A86945"/>
    <w:rsid w:val="00A86AB6"/>
    <w:rsid w:val="00A86BAC"/>
    <w:rsid w:val="00A86C77"/>
    <w:rsid w:val="00A86CB2"/>
    <w:rsid w:val="00A86D6A"/>
    <w:rsid w:val="00A86E5C"/>
    <w:rsid w:val="00A86EB2"/>
    <w:rsid w:val="00A86F15"/>
    <w:rsid w:val="00A87088"/>
    <w:rsid w:val="00A8709E"/>
    <w:rsid w:val="00A87121"/>
    <w:rsid w:val="00A871B4"/>
    <w:rsid w:val="00A871CB"/>
    <w:rsid w:val="00A871D4"/>
    <w:rsid w:val="00A872A8"/>
    <w:rsid w:val="00A872AE"/>
    <w:rsid w:val="00A872B9"/>
    <w:rsid w:val="00A87341"/>
    <w:rsid w:val="00A87378"/>
    <w:rsid w:val="00A873AB"/>
    <w:rsid w:val="00A8757D"/>
    <w:rsid w:val="00A87598"/>
    <w:rsid w:val="00A87659"/>
    <w:rsid w:val="00A8767E"/>
    <w:rsid w:val="00A876F4"/>
    <w:rsid w:val="00A87876"/>
    <w:rsid w:val="00A8787E"/>
    <w:rsid w:val="00A8788F"/>
    <w:rsid w:val="00A878A2"/>
    <w:rsid w:val="00A879F6"/>
    <w:rsid w:val="00A87D4F"/>
    <w:rsid w:val="00A87DA7"/>
    <w:rsid w:val="00A87DAE"/>
    <w:rsid w:val="00A87DF3"/>
    <w:rsid w:val="00A87E0E"/>
    <w:rsid w:val="00A87E36"/>
    <w:rsid w:val="00A87E62"/>
    <w:rsid w:val="00A87F13"/>
    <w:rsid w:val="00A900F6"/>
    <w:rsid w:val="00A9017F"/>
    <w:rsid w:val="00A90181"/>
    <w:rsid w:val="00A901A2"/>
    <w:rsid w:val="00A90206"/>
    <w:rsid w:val="00A90213"/>
    <w:rsid w:val="00A902B8"/>
    <w:rsid w:val="00A90309"/>
    <w:rsid w:val="00A90348"/>
    <w:rsid w:val="00A90382"/>
    <w:rsid w:val="00A905DE"/>
    <w:rsid w:val="00A90685"/>
    <w:rsid w:val="00A90805"/>
    <w:rsid w:val="00A90894"/>
    <w:rsid w:val="00A90963"/>
    <w:rsid w:val="00A90996"/>
    <w:rsid w:val="00A909EB"/>
    <w:rsid w:val="00A90ABF"/>
    <w:rsid w:val="00A90ADE"/>
    <w:rsid w:val="00A90C05"/>
    <w:rsid w:val="00A90C7A"/>
    <w:rsid w:val="00A90CCC"/>
    <w:rsid w:val="00A90DAD"/>
    <w:rsid w:val="00A90F3C"/>
    <w:rsid w:val="00A91165"/>
    <w:rsid w:val="00A9127D"/>
    <w:rsid w:val="00A914B4"/>
    <w:rsid w:val="00A91688"/>
    <w:rsid w:val="00A91870"/>
    <w:rsid w:val="00A91898"/>
    <w:rsid w:val="00A91A78"/>
    <w:rsid w:val="00A91C49"/>
    <w:rsid w:val="00A91C89"/>
    <w:rsid w:val="00A91EB0"/>
    <w:rsid w:val="00A91EBD"/>
    <w:rsid w:val="00A9205B"/>
    <w:rsid w:val="00A92068"/>
    <w:rsid w:val="00A921EE"/>
    <w:rsid w:val="00A92394"/>
    <w:rsid w:val="00A9246C"/>
    <w:rsid w:val="00A925AF"/>
    <w:rsid w:val="00A92666"/>
    <w:rsid w:val="00A92752"/>
    <w:rsid w:val="00A92AA0"/>
    <w:rsid w:val="00A92C63"/>
    <w:rsid w:val="00A92C92"/>
    <w:rsid w:val="00A92CD5"/>
    <w:rsid w:val="00A92DB3"/>
    <w:rsid w:val="00A92DF3"/>
    <w:rsid w:val="00A92E70"/>
    <w:rsid w:val="00A92EC3"/>
    <w:rsid w:val="00A92FB9"/>
    <w:rsid w:val="00A92FF5"/>
    <w:rsid w:val="00A9306E"/>
    <w:rsid w:val="00A930B0"/>
    <w:rsid w:val="00A930F4"/>
    <w:rsid w:val="00A931C0"/>
    <w:rsid w:val="00A931F3"/>
    <w:rsid w:val="00A93375"/>
    <w:rsid w:val="00A935F7"/>
    <w:rsid w:val="00A936E7"/>
    <w:rsid w:val="00A93721"/>
    <w:rsid w:val="00A93738"/>
    <w:rsid w:val="00A938F7"/>
    <w:rsid w:val="00A9391A"/>
    <w:rsid w:val="00A93924"/>
    <w:rsid w:val="00A9397B"/>
    <w:rsid w:val="00A93A67"/>
    <w:rsid w:val="00A93D35"/>
    <w:rsid w:val="00A93DA0"/>
    <w:rsid w:val="00A93DD1"/>
    <w:rsid w:val="00A93E07"/>
    <w:rsid w:val="00A93E43"/>
    <w:rsid w:val="00A94264"/>
    <w:rsid w:val="00A94322"/>
    <w:rsid w:val="00A943DE"/>
    <w:rsid w:val="00A94457"/>
    <w:rsid w:val="00A944E6"/>
    <w:rsid w:val="00A9457A"/>
    <w:rsid w:val="00A94721"/>
    <w:rsid w:val="00A94749"/>
    <w:rsid w:val="00A948BD"/>
    <w:rsid w:val="00A949C7"/>
    <w:rsid w:val="00A949D6"/>
    <w:rsid w:val="00A94A8B"/>
    <w:rsid w:val="00A94CAB"/>
    <w:rsid w:val="00A94D2A"/>
    <w:rsid w:val="00A94D2B"/>
    <w:rsid w:val="00A94E3C"/>
    <w:rsid w:val="00A94F26"/>
    <w:rsid w:val="00A94F5F"/>
    <w:rsid w:val="00A94FB3"/>
    <w:rsid w:val="00A950E7"/>
    <w:rsid w:val="00A95206"/>
    <w:rsid w:val="00A95252"/>
    <w:rsid w:val="00A95299"/>
    <w:rsid w:val="00A952EA"/>
    <w:rsid w:val="00A95375"/>
    <w:rsid w:val="00A95393"/>
    <w:rsid w:val="00A954A3"/>
    <w:rsid w:val="00A95647"/>
    <w:rsid w:val="00A9566D"/>
    <w:rsid w:val="00A9573C"/>
    <w:rsid w:val="00A95756"/>
    <w:rsid w:val="00A958B5"/>
    <w:rsid w:val="00A9593D"/>
    <w:rsid w:val="00A959AF"/>
    <w:rsid w:val="00A95A30"/>
    <w:rsid w:val="00A95AF4"/>
    <w:rsid w:val="00A95B19"/>
    <w:rsid w:val="00A95B3E"/>
    <w:rsid w:val="00A95B8B"/>
    <w:rsid w:val="00A95CD9"/>
    <w:rsid w:val="00A95CDA"/>
    <w:rsid w:val="00A95CF2"/>
    <w:rsid w:val="00A95D08"/>
    <w:rsid w:val="00A95D4D"/>
    <w:rsid w:val="00A95D52"/>
    <w:rsid w:val="00A95D84"/>
    <w:rsid w:val="00A95D95"/>
    <w:rsid w:val="00A95DB1"/>
    <w:rsid w:val="00A95DDD"/>
    <w:rsid w:val="00A95E8F"/>
    <w:rsid w:val="00A95F8E"/>
    <w:rsid w:val="00A95FD8"/>
    <w:rsid w:val="00A96246"/>
    <w:rsid w:val="00A96396"/>
    <w:rsid w:val="00A96520"/>
    <w:rsid w:val="00A9652A"/>
    <w:rsid w:val="00A96558"/>
    <w:rsid w:val="00A96580"/>
    <w:rsid w:val="00A96729"/>
    <w:rsid w:val="00A969C3"/>
    <w:rsid w:val="00A96B39"/>
    <w:rsid w:val="00A96B9E"/>
    <w:rsid w:val="00A96BAE"/>
    <w:rsid w:val="00A96BC2"/>
    <w:rsid w:val="00A96C05"/>
    <w:rsid w:val="00A96CAA"/>
    <w:rsid w:val="00A96CF8"/>
    <w:rsid w:val="00A96D25"/>
    <w:rsid w:val="00A96EC6"/>
    <w:rsid w:val="00A96FBC"/>
    <w:rsid w:val="00A971F4"/>
    <w:rsid w:val="00A972BC"/>
    <w:rsid w:val="00A973BC"/>
    <w:rsid w:val="00A973E0"/>
    <w:rsid w:val="00A9744E"/>
    <w:rsid w:val="00A974EF"/>
    <w:rsid w:val="00A975C6"/>
    <w:rsid w:val="00A97639"/>
    <w:rsid w:val="00A97658"/>
    <w:rsid w:val="00A97891"/>
    <w:rsid w:val="00A97895"/>
    <w:rsid w:val="00A979D5"/>
    <w:rsid w:val="00A97A0F"/>
    <w:rsid w:val="00A97AE0"/>
    <w:rsid w:val="00A97B70"/>
    <w:rsid w:val="00A97C1E"/>
    <w:rsid w:val="00A97C59"/>
    <w:rsid w:val="00A97C8B"/>
    <w:rsid w:val="00A97CBC"/>
    <w:rsid w:val="00A97D6D"/>
    <w:rsid w:val="00A97DBF"/>
    <w:rsid w:val="00A97ECE"/>
    <w:rsid w:val="00A97F3A"/>
    <w:rsid w:val="00AA00A8"/>
    <w:rsid w:val="00AA01C5"/>
    <w:rsid w:val="00AA02B5"/>
    <w:rsid w:val="00AA02E8"/>
    <w:rsid w:val="00AA0483"/>
    <w:rsid w:val="00AA0493"/>
    <w:rsid w:val="00AA0498"/>
    <w:rsid w:val="00AA0601"/>
    <w:rsid w:val="00AA063F"/>
    <w:rsid w:val="00AA0653"/>
    <w:rsid w:val="00AA06E0"/>
    <w:rsid w:val="00AA06E5"/>
    <w:rsid w:val="00AA0B20"/>
    <w:rsid w:val="00AA0BD7"/>
    <w:rsid w:val="00AA0C7D"/>
    <w:rsid w:val="00AA0CC5"/>
    <w:rsid w:val="00AA0DAE"/>
    <w:rsid w:val="00AA0DB4"/>
    <w:rsid w:val="00AA0EC4"/>
    <w:rsid w:val="00AA0F4E"/>
    <w:rsid w:val="00AA1234"/>
    <w:rsid w:val="00AA1259"/>
    <w:rsid w:val="00AA12CB"/>
    <w:rsid w:val="00AA144D"/>
    <w:rsid w:val="00AA14FF"/>
    <w:rsid w:val="00AA1555"/>
    <w:rsid w:val="00AA1665"/>
    <w:rsid w:val="00AA1774"/>
    <w:rsid w:val="00AA18B3"/>
    <w:rsid w:val="00AA18E3"/>
    <w:rsid w:val="00AA1999"/>
    <w:rsid w:val="00AA19C7"/>
    <w:rsid w:val="00AA1D2F"/>
    <w:rsid w:val="00AA1D93"/>
    <w:rsid w:val="00AA1F18"/>
    <w:rsid w:val="00AA1F2E"/>
    <w:rsid w:val="00AA1F82"/>
    <w:rsid w:val="00AA1FE8"/>
    <w:rsid w:val="00AA2043"/>
    <w:rsid w:val="00AA20DB"/>
    <w:rsid w:val="00AA2193"/>
    <w:rsid w:val="00AA22C3"/>
    <w:rsid w:val="00AA22DC"/>
    <w:rsid w:val="00AA230A"/>
    <w:rsid w:val="00AA2590"/>
    <w:rsid w:val="00AA26D7"/>
    <w:rsid w:val="00AA2712"/>
    <w:rsid w:val="00AA273B"/>
    <w:rsid w:val="00AA2750"/>
    <w:rsid w:val="00AA2862"/>
    <w:rsid w:val="00AA2874"/>
    <w:rsid w:val="00AA2878"/>
    <w:rsid w:val="00AA29AA"/>
    <w:rsid w:val="00AA29C1"/>
    <w:rsid w:val="00AA2AAA"/>
    <w:rsid w:val="00AA2BCE"/>
    <w:rsid w:val="00AA2DBB"/>
    <w:rsid w:val="00AA2E05"/>
    <w:rsid w:val="00AA2EC8"/>
    <w:rsid w:val="00AA2FF7"/>
    <w:rsid w:val="00AA2FF8"/>
    <w:rsid w:val="00AA318C"/>
    <w:rsid w:val="00AA3244"/>
    <w:rsid w:val="00AA325D"/>
    <w:rsid w:val="00AA32FA"/>
    <w:rsid w:val="00AA3554"/>
    <w:rsid w:val="00AA364F"/>
    <w:rsid w:val="00AA36E4"/>
    <w:rsid w:val="00AA36EE"/>
    <w:rsid w:val="00AA39AB"/>
    <w:rsid w:val="00AA3A33"/>
    <w:rsid w:val="00AA3CB7"/>
    <w:rsid w:val="00AA3CF2"/>
    <w:rsid w:val="00AA3F4A"/>
    <w:rsid w:val="00AA3FC1"/>
    <w:rsid w:val="00AA3FE4"/>
    <w:rsid w:val="00AA401D"/>
    <w:rsid w:val="00AA4050"/>
    <w:rsid w:val="00AA429B"/>
    <w:rsid w:val="00AA4403"/>
    <w:rsid w:val="00AA441A"/>
    <w:rsid w:val="00AA446A"/>
    <w:rsid w:val="00AA44AD"/>
    <w:rsid w:val="00AA46B7"/>
    <w:rsid w:val="00AA483F"/>
    <w:rsid w:val="00AA4989"/>
    <w:rsid w:val="00AA4A85"/>
    <w:rsid w:val="00AA4ABF"/>
    <w:rsid w:val="00AA4ACF"/>
    <w:rsid w:val="00AA4AD3"/>
    <w:rsid w:val="00AA4B4A"/>
    <w:rsid w:val="00AA4BEB"/>
    <w:rsid w:val="00AA4C62"/>
    <w:rsid w:val="00AA4C9B"/>
    <w:rsid w:val="00AA4EEB"/>
    <w:rsid w:val="00AA4F2A"/>
    <w:rsid w:val="00AA4F58"/>
    <w:rsid w:val="00AA4FCE"/>
    <w:rsid w:val="00AA501B"/>
    <w:rsid w:val="00AA5197"/>
    <w:rsid w:val="00AA5227"/>
    <w:rsid w:val="00AA5422"/>
    <w:rsid w:val="00AA55D6"/>
    <w:rsid w:val="00AA5953"/>
    <w:rsid w:val="00AA597A"/>
    <w:rsid w:val="00AA5A4C"/>
    <w:rsid w:val="00AA5B06"/>
    <w:rsid w:val="00AA5B16"/>
    <w:rsid w:val="00AA5B4E"/>
    <w:rsid w:val="00AA5B9C"/>
    <w:rsid w:val="00AA5CBB"/>
    <w:rsid w:val="00AA5D31"/>
    <w:rsid w:val="00AA5E75"/>
    <w:rsid w:val="00AA5E82"/>
    <w:rsid w:val="00AA5FF1"/>
    <w:rsid w:val="00AA5FFB"/>
    <w:rsid w:val="00AA6395"/>
    <w:rsid w:val="00AA6426"/>
    <w:rsid w:val="00AA64FF"/>
    <w:rsid w:val="00AA6555"/>
    <w:rsid w:val="00AA65A3"/>
    <w:rsid w:val="00AA65C8"/>
    <w:rsid w:val="00AA6870"/>
    <w:rsid w:val="00AA6A76"/>
    <w:rsid w:val="00AA6AEE"/>
    <w:rsid w:val="00AA6C3E"/>
    <w:rsid w:val="00AA6CE5"/>
    <w:rsid w:val="00AA6E0B"/>
    <w:rsid w:val="00AA6E49"/>
    <w:rsid w:val="00AA6EB2"/>
    <w:rsid w:val="00AA7010"/>
    <w:rsid w:val="00AA7041"/>
    <w:rsid w:val="00AA7118"/>
    <w:rsid w:val="00AA7192"/>
    <w:rsid w:val="00AA7361"/>
    <w:rsid w:val="00AA7472"/>
    <w:rsid w:val="00AA754D"/>
    <w:rsid w:val="00AA7570"/>
    <w:rsid w:val="00AA75F5"/>
    <w:rsid w:val="00AA7791"/>
    <w:rsid w:val="00AA7887"/>
    <w:rsid w:val="00AA78AB"/>
    <w:rsid w:val="00AA79B5"/>
    <w:rsid w:val="00AA7A7D"/>
    <w:rsid w:val="00AA7EC3"/>
    <w:rsid w:val="00AA7EFD"/>
    <w:rsid w:val="00AA7F99"/>
    <w:rsid w:val="00AB0081"/>
    <w:rsid w:val="00AB0138"/>
    <w:rsid w:val="00AB0228"/>
    <w:rsid w:val="00AB02FD"/>
    <w:rsid w:val="00AB034F"/>
    <w:rsid w:val="00AB0384"/>
    <w:rsid w:val="00AB03E8"/>
    <w:rsid w:val="00AB059C"/>
    <w:rsid w:val="00AB060A"/>
    <w:rsid w:val="00AB066E"/>
    <w:rsid w:val="00AB0786"/>
    <w:rsid w:val="00AB0802"/>
    <w:rsid w:val="00AB08D0"/>
    <w:rsid w:val="00AB0984"/>
    <w:rsid w:val="00AB099F"/>
    <w:rsid w:val="00AB0A63"/>
    <w:rsid w:val="00AB0AC5"/>
    <w:rsid w:val="00AB0F81"/>
    <w:rsid w:val="00AB0FA7"/>
    <w:rsid w:val="00AB1183"/>
    <w:rsid w:val="00AB123A"/>
    <w:rsid w:val="00AB1339"/>
    <w:rsid w:val="00AB1453"/>
    <w:rsid w:val="00AB1475"/>
    <w:rsid w:val="00AB14B3"/>
    <w:rsid w:val="00AB15FA"/>
    <w:rsid w:val="00AB1603"/>
    <w:rsid w:val="00AB163D"/>
    <w:rsid w:val="00AB17D3"/>
    <w:rsid w:val="00AB1826"/>
    <w:rsid w:val="00AB1857"/>
    <w:rsid w:val="00AB1A21"/>
    <w:rsid w:val="00AB1AB8"/>
    <w:rsid w:val="00AB1C4B"/>
    <w:rsid w:val="00AB1D29"/>
    <w:rsid w:val="00AB1DDF"/>
    <w:rsid w:val="00AB1EBB"/>
    <w:rsid w:val="00AB1F0A"/>
    <w:rsid w:val="00AB1F26"/>
    <w:rsid w:val="00AB1FC2"/>
    <w:rsid w:val="00AB20C4"/>
    <w:rsid w:val="00AB219A"/>
    <w:rsid w:val="00AB222C"/>
    <w:rsid w:val="00AB233A"/>
    <w:rsid w:val="00AB26D2"/>
    <w:rsid w:val="00AB274D"/>
    <w:rsid w:val="00AB2773"/>
    <w:rsid w:val="00AB279B"/>
    <w:rsid w:val="00AB27F0"/>
    <w:rsid w:val="00AB282F"/>
    <w:rsid w:val="00AB2986"/>
    <w:rsid w:val="00AB2991"/>
    <w:rsid w:val="00AB2B39"/>
    <w:rsid w:val="00AB2B9D"/>
    <w:rsid w:val="00AB2C38"/>
    <w:rsid w:val="00AB2CB1"/>
    <w:rsid w:val="00AB2E68"/>
    <w:rsid w:val="00AB2F59"/>
    <w:rsid w:val="00AB3024"/>
    <w:rsid w:val="00AB3037"/>
    <w:rsid w:val="00AB3050"/>
    <w:rsid w:val="00AB31E1"/>
    <w:rsid w:val="00AB33ED"/>
    <w:rsid w:val="00AB3666"/>
    <w:rsid w:val="00AB376A"/>
    <w:rsid w:val="00AB38F0"/>
    <w:rsid w:val="00AB398E"/>
    <w:rsid w:val="00AB39E8"/>
    <w:rsid w:val="00AB3B81"/>
    <w:rsid w:val="00AB3D4A"/>
    <w:rsid w:val="00AB3D77"/>
    <w:rsid w:val="00AB3E3C"/>
    <w:rsid w:val="00AB3E95"/>
    <w:rsid w:val="00AB3EFB"/>
    <w:rsid w:val="00AB3FCD"/>
    <w:rsid w:val="00AB40A8"/>
    <w:rsid w:val="00AB4118"/>
    <w:rsid w:val="00AB4178"/>
    <w:rsid w:val="00AB41CF"/>
    <w:rsid w:val="00AB438C"/>
    <w:rsid w:val="00AB44F4"/>
    <w:rsid w:val="00AB452F"/>
    <w:rsid w:val="00AB4569"/>
    <w:rsid w:val="00AB45B6"/>
    <w:rsid w:val="00AB4795"/>
    <w:rsid w:val="00AB47DB"/>
    <w:rsid w:val="00AB4905"/>
    <w:rsid w:val="00AB4AB2"/>
    <w:rsid w:val="00AB4B34"/>
    <w:rsid w:val="00AB4B55"/>
    <w:rsid w:val="00AB4BAE"/>
    <w:rsid w:val="00AB4BD1"/>
    <w:rsid w:val="00AB4D9D"/>
    <w:rsid w:val="00AB4DF9"/>
    <w:rsid w:val="00AB4E5A"/>
    <w:rsid w:val="00AB5263"/>
    <w:rsid w:val="00AB52DF"/>
    <w:rsid w:val="00AB52EF"/>
    <w:rsid w:val="00AB5328"/>
    <w:rsid w:val="00AB543C"/>
    <w:rsid w:val="00AB548B"/>
    <w:rsid w:val="00AB5667"/>
    <w:rsid w:val="00AB5774"/>
    <w:rsid w:val="00AB577B"/>
    <w:rsid w:val="00AB589E"/>
    <w:rsid w:val="00AB58A6"/>
    <w:rsid w:val="00AB59D7"/>
    <w:rsid w:val="00AB5A40"/>
    <w:rsid w:val="00AB5A5E"/>
    <w:rsid w:val="00AB5AE1"/>
    <w:rsid w:val="00AB5B29"/>
    <w:rsid w:val="00AB5C3D"/>
    <w:rsid w:val="00AB5D79"/>
    <w:rsid w:val="00AB5E93"/>
    <w:rsid w:val="00AB613A"/>
    <w:rsid w:val="00AB625E"/>
    <w:rsid w:val="00AB65A9"/>
    <w:rsid w:val="00AB6628"/>
    <w:rsid w:val="00AB67A7"/>
    <w:rsid w:val="00AB67D9"/>
    <w:rsid w:val="00AB67DC"/>
    <w:rsid w:val="00AB6829"/>
    <w:rsid w:val="00AB6836"/>
    <w:rsid w:val="00AB68AE"/>
    <w:rsid w:val="00AB68BA"/>
    <w:rsid w:val="00AB68EC"/>
    <w:rsid w:val="00AB6DD8"/>
    <w:rsid w:val="00AB6E3E"/>
    <w:rsid w:val="00AB70B2"/>
    <w:rsid w:val="00AB7215"/>
    <w:rsid w:val="00AB7237"/>
    <w:rsid w:val="00AB7267"/>
    <w:rsid w:val="00AB72E9"/>
    <w:rsid w:val="00AB73E7"/>
    <w:rsid w:val="00AB762C"/>
    <w:rsid w:val="00AB76E4"/>
    <w:rsid w:val="00AB7911"/>
    <w:rsid w:val="00AB7AF6"/>
    <w:rsid w:val="00AB7B47"/>
    <w:rsid w:val="00AB7C07"/>
    <w:rsid w:val="00AB7CE7"/>
    <w:rsid w:val="00AB7D40"/>
    <w:rsid w:val="00AB7ECA"/>
    <w:rsid w:val="00AB7EFA"/>
    <w:rsid w:val="00AB7F9D"/>
    <w:rsid w:val="00AB7FD7"/>
    <w:rsid w:val="00ABE9A3"/>
    <w:rsid w:val="00AC0000"/>
    <w:rsid w:val="00AC0307"/>
    <w:rsid w:val="00AC0401"/>
    <w:rsid w:val="00AC0441"/>
    <w:rsid w:val="00AC0495"/>
    <w:rsid w:val="00AC053B"/>
    <w:rsid w:val="00AC05BD"/>
    <w:rsid w:val="00AC05C5"/>
    <w:rsid w:val="00AC0638"/>
    <w:rsid w:val="00AC071F"/>
    <w:rsid w:val="00AC0795"/>
    <w:rsid w:val="00AC09C5"/>
    <w:rsid w:val="00AC0A16"/>
    <w:rsid w:val="00AC0C5D"/>
    <w:rsid w:val="00AC0D21"/>
    <w:rsid w:val="00AC0DEF"/>
    <w:rsid w:val="00AC0DFF"/>
    <w:rsid w:val="00AC0EF0"/>
    <w:rsid w:val="00AC0FC2"/>
    <w:rsid w:val="00AC1013"/>
    <w:rsid w:val="00AC1164"/>
    <w:rsid w:val="00AC12F1"/>
    <w:rsid w:val="00AC142E"/>
    <w:rsid w:val="00AC1482"/>
    <w:rsid w:val="00AC149D"/>
    <w:rsid w:val="00AC14AE"/>
    <w:rsid w:val="00AC14C0"/>
    <w:rsid w:val="00AC1512"/>
    <w:rsid w:val="00AC1553"/>
    <w:rsid w:val="00AC169B"/>
    <w:rsid w:val="00AC16D1"/>
    <w:rsid w:val="00AC17EB"/>
    <w:rsid w:val="00AC17F2"/>
    <w:rsid w:val="00AC1800"/>
    <w:rsid w:val="00AC1892"/>
    <w:rsid w:val="00AC18E7"/>
    <w:rsid w:val="00AC19D2"/>
    <w:rsid w:val="00AC1B4C"/>
    <w:rsid w:val="00AC1BF6"/>
    <w:rsid w:val="00AC1E21"/>
    <w:rsid w:val="00AC1EBF"/>
    <w:rsid w:val="00AC1F43"/>
    <w:rsid w:val="00AC1F4A"/>
    <w:rsid w:val="00AC1F4F"/>
    <w:rsid w:val="00AC1FDC"/>
    <w:rsid w:val="00AC22E2"/>
    <w:rsid w:val="00AC2341"/>
    <w:rsid w:val="00AC236C"/>
    <w:rsid w:val="00AC23AE"/>
    <w:rsid w:val="00AC244C"/>
    <w:rsid w:val="00AC24FA"/>
    <w:rsid w:val="00AC26BE"/>
    <w:rsid w:val="00AC26E1"/>
    <w:rsid w:val="00AC29D7"/>
    <w:rsid w:val="00AC2AA8"/>
    <w:rsid w:val="00AC2C33"/>
    <w:rsid w:val="00AC2D84"/>
    <w:rsid w:val="00AC2E3C"/>
    <w:rsid w:val="00AC2F19"/>
    <w:rsid w:val="00AC2F2E"/>
    <w:rsid w:val="00AC3131"/>
    <w:rsid w:val="00AC3170"/>
    <w:rsid w:val="00AC31DD"/>
    <w:rsid w:val="00AC32F6"/>
    <w:rsid w:val="00AC32FE"/>
    <w:rsid w:val="00AC331C"/>
    <w:rsid w:val="00AC3372"/>
    <w:rsid w:val="00AC338D"/>
    <w:rsid w:val="00AC33E6"/>
    <w:rsid w:val="00AC3475"/>
    <w:rsid w:val="00AC3522"/>
    <w:rsid w:val="00AC3595"/>
    <w:rsid w:val="00AC3643"/>
    <w:rsid w:val="00AC364C"/>
    <w:rsid w:val="00AC367F"/>
    <w:rsid w:val="00AC3898"/>
    <w:rsid w:val="00AC397D"/>
    <w:rsid w:val="00AC3A2B"/>
    <w:rsid w:val="00AC3A56"/>
    <w:rsid w:val="00AC3C34"/>
    <w:rsid w:val="00AC3D5F"/>
    <w:rsid w:val="00AC3DAA"/>
    <w:rsid w:val="00AC3ED4"/>
    <w:rsid w:val="00AC3EE4"/>
    <w:rsid w:val="00AC3F31"/>
    <w:rsid w:val="00AC3F5C"/>
    <w:rsid w:val="00AC417B"/>
    <w:rsid w:val="00AC41B2"/>
    <w:rsid w:val="00AC4259"/>
    <w:rsid w:val="00AC439D"/>
    <w:rsid w:val="00AC440C"/>
    <w:rsid w:val="00AC44DE"/>
    <w:rsid w:val="00AC45A7"/>
    <w:rsid w:val="00AC46F7"/>
    <w:rsid w:val="00AC4775"/>
    <w:rsid w:val="00AC488D"/>
    <w:rsid w:val="00AC4AB9"/>
    <w:rsid w:val="00AC4B3F"/>
    <w:rsid w:val="00AC4B61"/>
    <w:rsid w:val="00AC4B71"/>
    <w:rsid w:val="00AC4C0C"/>
    <w:rsid w:val="00AC4F36"/>
    <w:rsid w:val="00AC5455"/>
    <w:rsid w:val="00AC579E"/>
    <w:rsid w:val="00AC5809"/>
    <w:rsid w:val="00AC5896"/>
    <w:rsid w:val="00AC5A60"/>
    <w:rsid w:val="00AC5A83"/>
    <w:rsid w:val="00AC5AE7"/>
    <w:rsid w:val="00AC5BAA"/>
    <w:rsid w:val="00AC5BFD"/>
    <w:rsid w:val="00AC5D07"/>
    <w:rsid w:val="00AC5F2F"/>
    <w:rsid w:val="00AC5FD8"/>
    <w:rsid w:val="00AC5FE9"/>
    <w:rsid w:val="00AC61F7"/>
    <w:rsid w:val="00AC62B1"/>
    <w:rsid w:val="00AC6350"/>
    <w:rsid w:val="00AC63C6"/>
    <w:rsid w:val="00AC6457"/>
    <w:rsid w:val="00AC6599"/>
    <w:rsid w:val="00AC662C"/>
    <w:rsid w:val="00AC6653"/>
    <w:rsid w:val="00AC66B1"/>
    <w:rsid w:val="00AC6730"/>
    <w:rsid w:val="00AC680F"/>
    <w:rsid w:val="00AC688A"/>
    <w:rsid w:val="00AC6ABA"/>
    <w:rsid w:val="00AC6C2C"/>
    <w:rsid w:val="00AC6E12"/>
    <w:rsid w:val="00AC6E60"/>
    <w:rsid w:val="00AC6E86"/>
    <w:rsid w:val="00AC6FB1"/>
    <w:rsid w:val="00AC7212"/>
    <w:rsid w:val="00AC726D"/>
    <w:rsid w:val="00AC728E"/>
    <w:rsid w:val="00AC72FF"/>
    <w:rsid w:val="00AC7396"/>
    <w:rsid w:val="00AC73CC"/>
    <w:rsid w:val="00AC7421"/>
    <w:rsid w:val="00AC7529"/>
    <w:rsid w:val="00AC7609"/>
    <w:rsid w:val="00AC76DA"/>
    <w:rsid w:val="00AC787A"/>
    <w:rsid w:val="00AC78B0"/>
    <w:rsid w:val="00AC792F"/>
    <w:rsid w:val="00AC79F0"/>
    <w:rsid w:val="00AC7AC8"/>
    <w:rsid w:val="00AC7BAA"/>
    <w:rsid w:val="00AC7BC9"/>
    <w:rsid w:val="00AC7D5C"/>
    <w:rsid w:val="00AC7F59"/>
    <w:rsid w:val="00AD0107"/>
    <w:rsid w:val="00AD0186"/>
    <w:rsid w:val="00AD019B"/>
    <w:rsid w:val="00AD02B7"/>
    <w:rsid w:val="00AD02BE"/>
    <w:rsid w:val="00AD03DC"/>
    <w:rsid w:val="00AD0410"/>
    <w:rsid w:val="00AD04BB"/>
    <w:rsid w:val="00AD0562"/>
    <w:rsid w:val="00AD0587"/>
    <w:rsid w:val="00AD0750"/>
    <w:rsid w:val="00AD075A"/>
    <w:rsid w:val="00AD080D"/>
    <w:rsid w:val="00AD08C2"/>
    <w:rsid w:val="00AD0A23"/>
    <w:rsid w:val="00AD0A4C"/>
    <w:rsid w:val="00AD0A81"/>
    <w:rsid w:val="00AD0AA4"/>
    <w:rsid w:val="00AD0AF1"/>
    <w:rsid w:val="00AD0AFF"/>
    <w:rsid w:val="00AD0B01"/>
    <w:rsid w:val="00AD0C09"/>
    <w:rsid w:val="00AD0C1A"/>
    <w:rsid w:val="00AD0CAA"/>
    <w:rsid w:val="00AD0CC7"/>
    <w:rsid w:val="00AD0D07"/>
    <w:rsid w:val="00AD0D2C"/>
    <w:rsid w:val="00AD0E92"/>
    <w:rsid w:val="00AD1010"/>
    <w:rsid w:val="00AD1020"/>
    <w:rsid w:val="00AD11F5"/>
    <w:rsid w:val="00AD1348"/>
    <w:rsid w:val="00AD1418"/>
    <w:rsid w:val="00AD14EA"/>
    <w:rsid w:val="00AD1564"/>
    <w:rsid w:val="00AD15E6"/>
    <w:rsid w:val="00AD1623"/>
    <w:rsid w:val="00AD17E8"/>
    <w:rsid w:val="00AD196D"/>
    <w:rsid w:val="00AD1C53"/>
    <w:rsid w:val="00AD1CE5"/>
    <w:rsid w:val="00AD1EA7"/>
    <w:rsid w:val="00AD1ECA"/>
    <w:rsid w:val="00AD1F7B"/>
    <w:rsid w:val="00AD2162"/>
    <w:rsid w:val="00AD21D6"/>
    <w:rsid w:val="00AD229D"/>
    <w:rsid w:val="00AD2379"/>
    <w:rsid w:val="00AD2382"/>
    <w:rsid w:val="00AD2408"/>
    <w:rsid w:val="00AD243A"/>
    <w:rsid w:val="00AD2442"/>
    <w:rsid w:val="00AD2476"/>
    <w:rsid w:val="00AD2541"/>
    <w:rsid w:val="00AD2676"/>
    <w:rsid w:val="00AD267A"/>
    <w:rsid w:val="00AD26C0"/>
    <w:rsid w:val="00AD2715"/>
    <w:rsid w:val="00AD27E7"/>
    <w:rsid w:val="00AD27F2"/>
    <w:rsid w:val="00AD2AA3"/>
    <w:rsid w:val="00AD2ADF"/>
    <w:rsid w:val="00AD2B80"/>
    <w:rsid w:val="00AD2B82"/>
    <w:rsid w:val="00AD2C41"/>
    <w:rsid w:val="00AD2C52"/>
    <w:rsid w:val="00AD2CE2"/>
    <w:rsid w:val="00AD2D66"/>
    <w:rsid w:val="00AD2D89"/>
    <w:rsid w:val="00AD2EC6"/>
    <w:rsid w:val="00AD2FB3"/>
    <w:rsid w:val="00AD2FE0"/>
    <w:rsid w:val="00AD3013"/>
    <w:rsid w:val="00AD311D"/>
    <w:rsid w:val="00AD3143"/>
    <w:rsid w:val="00AD3168"/>
    <w:rsid w:val="00AD3289"/>
    <w:rsid w:val="00AD3320"/>
    <w:rsid w:val="00AD342A"/>
    <w:rsid w:val="00AD34EC"/>
    <w:rsid w:val="00AD3574"/>
    <w:rsid w:val="00AD37DD"/>
    <w:rsid w:val="00AD391C"/>
    <w:rsid w:val="00AD3A20"/>
    <w:rsid w:val="00AD3A7A"/>
    <w:rsid w:val="00AD3AC9"/>
    <w:rsid w:val="00AD3F00"/>
    <w:rsid w:val="00AD41E6"/>
    <w:rsid w:val="00AD4206"/>
    <w:rsid w:val="00AD421C"/>
    <w:rsid w:val="00AD4241"/>
    <w:rsid w:val="00AD42A3"/>
    <w:rsid w:val="00AD4423"/>
    <w:rsid w:val="00AD453F"/>
    <w:rsid w:val="00AD45C8"/>
    <w:rsid w:val="00AD45DB"/>
    <w:rsid w:val="00AD479F"/>
    <w:rsid w:val="00AD4851"/>
    <w:rsid w:val="00AD4A74"/>
    <w:rsid w:val="00AD4C15"/>
    <w:rsid w:val="00AD4C1B"/>
    <w:rsid w:val="00AD4C44"/>
    <w:rsid w:val="00AD4CA1"/>
    <w:rsid w:val="00AD4CAE"/>
    <w:rsid w:val="00AD4D5C"/>
    <w:rsid w:val="00AD4E44"/>
    <w:rsid w:val="00AD4EA5"/>
    <w:rsid w:val="00AD4F03"/>
    <w:rsid w:val="00AD4F22"/>
    <w:rsid w:val="00AD5041"/>
    <w:rsid w:val="00AD50D3"/>
    <w:rsid w:val="00AD517A"/>
    <w:rsid w:val="00AD53C4"/>
    <w:rsid w:val="00AD5478"/>
    <w:rsid w:val="00AD5683"/>
    <w:rsid w:val="00AD56EB"/>
    <w:rsid w:val="00AD5716"/>
    <w:rsid w:val="00AD592B"/>
    <w:rsid w:val="00AD5A1F"/>
    <w:rsid w:val="00AD5A28"/>
    <w:rsid w:val="00AD5A65"/>
    <w:rsid w:val="00AD5AED"/>
    <w:rsid w:val="00AD5B77"/>
    <w:rsid w:val="00AD5BC4"/>
    <w:rsid w:val="00AD5DF9"/>
    <w:rsid w:val="00AD5F19"/>
    <w:rsid w:val="00AD5F27"/>
    <w:rsid w:val="00AD6151"/>
    <w:rsid w:val="00AD619A"/>
    <w:rsid w:val="00AD6231"/>
    <w:rsid w:val="00AD6413"/>
    <w:rsid w:val="00AD665E"/>
    <w:rsid w:val="00AD666C"/>
    <w:rsid w:val="00AD67B4"/>
    <w:rsid w:val="00AD67C4"/>
    <w:rsid w:val="00AD69AD"/>
    <w:rsid w:val="00AD6AE0"/>
    <w:rsid w:val="00AD6B13"/>
    <w:rsid w:val="00AD6B85"/>
    <w:rsid w:val="00AD6C80"/>
    <w:rsid w:val="00AD6E40"/>
    <w:rsid w:val="00AD6EFD"/>
    <w:rsid w:val="00AD6F0F"/>
    <w:rsid w:val="00AD6F4D"/>
    <w:rsid w:val="00AD6FCC"/>
    <w:rsid w:val="00AD706C"/>
    <w:rsid w:val="00AD70CF"/>
    <w:rsid w:val="00AD70DC"/>
    <w:rsid w:val="00AD7125"/>
    <w:rsid w:val="00AD7192"/>
    <w:rsid w:val="00AD72A1"/>
    <w:rsid w:val="00AD72AC"/>
    <w:rsid w:val="00AD7316"/>
    <w:rsid w:val="00AD73F3"/>
    <w:rsid w:val="00AD749F"/>
    <w:rsid w:val="00AD74C5"/>
    <w:rsid w:val="00AD752E"/>
    <w:rsid w:val="00AD75A3"/>
    <w:rsid w:val="00AD7655"/>
    <w:rsid w:val="00AD771A"/>
    <w:rsid w:val="00AD7753"/>
    <w:rsid w:val="00AD77D8"/>
    <w:rsid w:val="00AD78A6"/>
    <w:rsid w:val="00AD7A1A"/>
    <w:rsid w:val="00AD7A8B"/>
    <w:rsid w:val="00AD7B22"/>
    <w:rsid w:val="00AD7B45"/>
    <w:rsid w:val="00AD7CF9"/>
    <w:rsid w:val="00AD7DDB"/>
    <w:rsid w:val="00AD7E14"/>
    <w:rsid w:val="00AD7E75"/>
    <w:rsid w:val="00AE0048"/>
    <w:rsid w:val="00AE02C5"/>
    <w:rsid w:val="00AE0520"/>
    <w:rsid w:val="00AE06C4"/>
    <w:rsid w:val="00AE07F5"/>
    <w:rsid w:val="00AE089D"/>
    <w:rsid w:val="00AE08C9"/>
    <w:rsid w:val="00AE09B6"/>
    <w:rsid w:val="00AE0A9C"/>
    <w:rsid w:val="00AE0B55"/>
    <w:rsid w:val="00AE0BD6"/>
    <w:rsid w:val="00AE0DBA"/>
    <w:rsid w:val="00AE0DF3"/>
    <w:rsid w:val="00AE0E09"/>
    <w:rsid w:val="00AE0F50"/>
    <w:rsid w:val="00AE101E"/>
    <w:rsid w:val="00AE10C8"/>
    <w:rsid w:val="00AE10FF"/>
    <w:rsid w:val="00AE113A"/>
    <w:rsid w:val="00AE1322"/>
    <w:rsid w:val="00AE15C1"/>
    <w:rsid w:val="00AE165E"/>
    <w:rsid w:val="00AE1777"/>
    <w:rsid w:val="00AE17DD"/>
    <w:rsid w:val="00AE1A12"/>
    <w:rsid w:val="00AE1A49"/>
    <w:rsid w:val="00AE1AA5"/>
    <w:rsid w:val="00AE1BDA"/>
    <w:rsid w:val="00AE1BDF"/>
    <w:rsid w:val="00AE1C6D"/>
    <w:rsid w:val="00AE1D3C"/>
    <w:rsid w:val="00AE1E1A"/>
    <w:rsid w:val="00AE1E3A"/>
    <w:rsid w:val="00AE202E"/>
    <w:rsid w:val="00AE2077"/>
    <w:rsid w:val="00AE21CC"/>
    <w:rsid w:val="00AE2279"/>
    <w:rsid w:val="00AE2340"/>
    <w:rsid w:val="00AE243A"/>
    <w:rsid w:val="00AE253D"/>
    <w:rsid w:val="00AE2556"/>
    <w:rsid w:val="00AE2583"/>
    <w:rsid w:val="00AE2591"/>
    <w:rsid w:val="00AE2725"/>
    <w:rsid w:val="00AE2756"/>
    <w:rsid w:val="00AE2762"/>
    <w:rsid w:val="00AE2791"/>
    <w:rsid w:val="00AE280A"/>
    <w:rsid w:val="00AE2825"/>
    <w:rsid w:val="00AE28AE"/>
    <w:rsid w:val="00AE28FB"/>
    <w:rsid w:val="00AE290C"/>
    <w:rsid w:val="00AE2912"/>
    <w:rsid w:val="00AE29B6"/>
    <w:rsid w:val="00AE29CA"/>
    <w:rsid w:val="00AE29D9"/>
    <w:rsid w:val="00AE2D9F"/>
    <w:rsid w:val="00AE2DA6"/>
    <w:rsid w:val="00AE2EA1"/>
    <w:rsid w:val="00AE2F41"/>
    <w:rsid w:val="00AE2FE4"/>
    <w:rsid w:val="00AE3060"/>
    <w:rsid w:val="00AE31EA"/>
    <w:rsid w:val="00AE32D2"/>
    <w:rsid w:val="00AE3304"/>
    <w:rsid w:val="00AE3318"/>
    <w:rsid w:val="00AE33EC"/>
    <w:rsid w:val="00AE34D4"/>
    <w:rsid w:val="00AE34FB"/>
    <w:rsid w:val="00AE3585"/>
    <w:rsid w:val="00AE36DC"/>
    <w:rsid w:val="00AE37F5"/>
    <w:rsid w:val="00AE3843"/>
    <w:rsid w:val="00AE388C"/>
    <w:rsid w:val="00AE38C5"/>
    <w:rsid w:val="00AE3984"/>
    <w:rsid w:val="00AE3B34"/>
    <w:rsid w:val="00AE3B41"/>
    <w:rsid w:val="00AE3C51"/>
    <w:rsid w:val="00AE3C56"/>
    <w:rsid w:val="00AE3DC8"/>
    <w:rsid w:val="00AE3DDC"/>
    <w:rsid w:val="00AE3FE9"/>
    <w:rsid w:val="00AE41B1"/>
    <w:rsid w:val="00AE424B"/>
    <w:rsid w:val="00AE42F4"/>
    <w:rsid w:val="00AE4357"/>
    <w:rsid w:val="00AE440C"/>
    <w:rsid w:val="00AE446C"/>
    <w:rsid w:val="00AE44DD"/>
    <w:rsid w:val="00AE4575"/>
    <w:rsid w:val="00AE4617"/>
    <w:rsid w:val="00AE467C"/>
    <w:rsid w:val="00AE4732"/>
    <w:rsid w:val="00AE4A3F"/>
    <w:rsid w:val="00AE4B46"/>
    <w:rsid w:val="00AE4B93"/>
    <w:rsid w:val="00AE4C59"/>
    <w:rsid w:val="00AE4FC5"/>
    <w:rsid w:val="00AE4FEB"/>
    <w:rsid w:val="00AE52BE"/>
    <w:rsid w:val="00AE54CD"/>
    <w:rsid w:val="00AE5689"/>
    <w:rsid w:val="00AE5866"/>
    <w:rsid w:val="00AE59E5"/>
    <w:rsid w:val="00AE5BB0"/>
    <w:rsid w:val="00AE5DDA"/>
    <w:rsid w:val="00AE5E45"/>
    <w:rsid w:val="00AE5E9E"/>
    <w:rsid w:val="00AE5F2E"/>
    <w:rsid w:val="00AE5FDA"/>
    <w:rsid w:val="00AE600A"/>
    <w:rsid w:val="00AE6140"/>
    <w:rsid w:val="00AE6171"/>
    <w:rsid w:val="00AE6363"/>
    <w:rsid w:val="00AE65BE"/>
    <w:rsid w:val="00AE6827"/>
    <w:rsid w:val="00AE6894"/>
    <w:rsid w:val="00AE6A4A"/>
    <w:rsid w:val="00AE6B17"/>
    <w:rsid w:val="00AE6BE8"/>
    <w:rsid w:val="00AE6BEF"/>
    <w:rsid w:val="00AE6C9F"/>
    <w:rsid w:val="00AE6D38"/>
    <w:rsid w:val="00AE6E67"/>
    <w:rsid w:val="00AE71BF"/>
    <w:rsid w:val="00AE72AD"/>
    <w:rsid w:val="00AE7336"/>
    <w:rsid w:val="00AE75D3"/>
    <w:rsid w:val="00AE7636"/>
    <w:rsid w:val="00AE7719"/>
    <w:rsid w:val="00AE7727"/>
    <w:rsid w:val="00AE7730"/>
    <w:rsid w:val="00AE7940"/>
    <w:rsid w:val="00AE7A1F"/>
    <w:rsid w:val="00AE7A26"/>
    <w:rsid w:val="00AE7A92"/>
    <w:rsid w:val="00AE7AA5"/>
    <w:rsid w:val="00AE7AB2"/>
    <w:rsid w:val="00AE7E7E"/>
    <w:rsid w:val="00AE7F7F"/>
    <w:rsid w:val="00AF0192"/>
    <w:rsid w:val="00AF01C7"/>
    <w:rsid w:val="00AF0353"/>
    <w:rsid w:val="00AF042A"/>
    <w:rsid w:val="00AF047A"/>
    <w:rsid w:val="00AF05B8"/>
    <w:rsid w:val="00AF06A7"/>
    <w:rsid w:val="00AF06C1"/>
    <w:rsid w:val="00AF06DA"/>
    <w:rsid w:val="00AF0729"/>
    <w:rsid w:val="00AF08F7"/>
    <w:rsid w:val="00AF098F"/>
    <w:rsid w:val="00AF09EE"/>
    <w:rsid w:val="00AF0B96"/>
    <w:rsid w:val="00AF0C22"/>
    <w:rsid w:val="00AF0EBB"/>
    <w:rsid w:val="00AF0EEE"/>
    <w:rsid w:val="00AF0F42"/>
    <w:rsid w:val="00AF1033"/>
    <w:rsid w:val="00AF1158"/>
    <w:rsid w:val="00AF1159"/>
    <w:rsid w:val="00AF115E"/>
    <w:rsid w:val="00AF12D1"/>
    <w:rsid w:val="00AF1370"/>
    <w:rsid w:val="00AF13DD"/>
    <w:rsid w:val="00AF1583"/>
    <w:rsid w:val="00AF176F"/>
    <w:rsid w:val="00AF196F"/>
    <w:rsid w:val="00AF1A87"/>
    <w:rsid w:val="00AF1B5C"/>
    <w:rsid w:val="00AF1C56"/>
    <w:rsid w:val="00AF1C75"/>
    <w:rsid w:val="00AF1CF4"/>
    <w:rsid w:val="00AF1E5E"/>
    <w:rsid w:val="00AF1F6E"/>
    <w:rsid w:val="00AF2198"/>
    <w:rsid w:val="00AF223A"/>
    <w:rsid w:val="00AF227A"/>
    <w:rsid w:val="00AF22A6"/>
    <w:rsid w:val="00AF22E6"/>
    <w:rsid w:val="00AF2463"/>
    <w:rsid w:val="00AF2557"/>
    <w:rsid w:val="00AF2763"/>
    <w:rsid w:val="00AF27BC"/>
    <w:rsid w:val="00AF282D"/>
    <w:rsid w:val="00AF28B7"/>
    <w:rsid w:val="00AF2BC4"/>
    <w:rsid w:val="00AF2CF8"/>
    <w:rsid w:val="00AF2DB5"/>
    <w:rsid w:val="00AF2EEA"/>
    <w:rsid w:val="00AF30D1"/>
    <w:rsid w:val="00AF330C"/>
    <w:rsid w:val="00AF3353"/>
    <w:rsid w:val="00AF36F6"/>
    <w:rsid w:val="00AF3790"/>
    <w:rsid w:val="00AF38FF"/>
    <w:rsid w:val="00AF3A19"/>
    <w:rsid w:val="00AF3A75"/>
    <w:rsid w:val="00AF3AA1"/>
    <w:rsid w:val="00AF3D8A"/>
    <w:rsid w:val="00AF3E50"/>
    <w:rsid w:val="00AF3EA9"/>
    <w:rsid w:val="00AF3F99"/>
    <w:rsid w:val="00AF40B0"/>
    <w:rsid w:val="00AF4327"/>
    <w:rsid w:val="00AF43DB"/>
    <w:rsid w:val="00AF4734"/>
    <w:rsid w:val="00AF47CD"/>
    <w:rsid w:val="00AF47D0"/>
    <w:rsid w:val="00AF4802"/>
    <w:rsid w:val="00AF4857"/>
    <w:rsid w:val="00AF489D"/>
    <w:rsid w:val="00AF4AB4"/>
    <w:rsid w:val="00AF4AF6"/>
    <w:rsid w:val="00AF4C01"/>
    <w:rsid w:val="00AF4C30"/>
    <w:rsid w:val="00AF4DB9"/>
    <w:rsid w:val="00AF4E00"/>
    <w:rsid w:val="00AF4E90"/>
    <w:rsid w:val="00AF4EAD"/>
    <w:rsid w:val="00AF4EC1"/>
    <w:rsid w:val="00AF510D"/>
    <w:rsid w:val="00AF528D"/>
    <w:rsid w:val="00AF528E"/>
    <w:rsid w:val="00AF53DD"/>
    <w:rsid w:val="00AF546A"/>
    <w:rsid w:val="00AF552C"/>
    <w:rsid w:val="00AF552D"/>
    <w:rsid w:val="00AF576A"/>
    <w:rsid w:val="00AF576E"/>
    <w:rsid w:val="00AF581D"/>
    <w:rsid w:val="00AF5852"/>
    <w:rsid w:val="00AF59CE"/>
    <w:rsid w:val="00AF5B09"/>
    <w:rsid w:val="00AF5DC4"/>
    <w:rsid w:val="00AF5E2B"/>
    <w:rsid w:val="00AF5E55"/>
    <w:rsid w:val="00AF604A"/>
    <w:rsid w:val="00AF6121"/>
    <w:rsid w:val="00AF6128"/>
    <w:rsid w:val="00AF6187"/>
    <w:rsid w:val="00AF6313"/>
    <w:rsid w:val="00AF636C"/>
    <w:rsid w:val="00AF662D"/>
    <w:rsid w:val="00AF66BD"/>
    <w:rsid w:val="00AF67F9"/>
    <w:rsid w:val="00AF68C0"/>
    <w:rsid w:val="00AF6948"/>
    <w:rsid w:val="00AF69C5"/>
    <w:rsid w:val="00AF6ADB"/>
    <w:rsid w:val="00AF6BA4"/>
    <w:rsid w:val="00AF6C52"/>
    <w:rsid w:val="00AF6D2E"/>
    <w:rsid w:val="00AF6FF1"/>
    <w:rsid w:val="00AF7067"/>
    <w:rsid w:val="00AF7247"/>
    <w:rsid w:val="00AF73B1"/>
    <w:rsid w:val="00AF747A"/>
    <w:rsid w:val="00AF7489"/>
    <w:rsid w:val="00AF7506"/>
    <w:rsid w:val="00AF7552"/>
    <w:rsid w:val="00AF7599"/>
    <w:rsid w:val="00AF75AB"/>
    <w:rsid w:val="00AF76E2"/>
    <w:rsid w:val="00AF786A"/>
    <w:rsid w:val="00AF793C"/>
    <w:rsid w:val="00AF7B32"/>
    <w:rsid w:val="00AF7C5D"/>
    <w:rsid w:val="00AF7C6E"/>
    <w:rsid w:val="00AF7CC4"/>
    <w:rsid w:val="00AF7D3A"/>
    <w:rsid w:val="00AF7D49"/>
    <w:rsid w:val="00AF7D5C"/>
    <w:rsid w:val="00AF7E65"/>
    <w:rsid w:val="00AF7F9C"/>
    <w:rsid w:val="00B00033"/>
    <w:rsid w:val="00B0003A"/>
    <w:rsid w:val="00B000DE"/>
    <w:rsid w:val="00B001E9"/>
    <w:rsid w:val="00B0020B"/>
    <w:rsid w:val="00B00402"/>
    <w:rsid w:val="00B00424"/>
    <w:rsid w:val="00B00548"/>
    <w:rsid w:val="00B008C8"/>
    <w:rsid w:val="00B00901"/>
    <w:rsid w:val="00B0090A"/>
    <w:rsid w:val="00B00D30"/>
    <w:rsid w:val="00B00D79"/>
    <w:rsid w:val="00B00E0E"/>
    <w:rsid w:val="00B00F07"/>
    <w:rsid w:val="00B010E1"/>
    <w:rsid w:val="00B0114F"/>
    <w:rsid w:val="00B01275"/>
    <w:rsid w:val="00B013B6"/>
    <w:rsid w:val="00B013E0"/>
    <w:rsid w:val="00B0141A"/>
    <w:rsid w:val="00B01443"/>
    <w:rsid w:val="00B015FC"/>
    <w:rsid w:val="00B01807"/>
    <w:rsid w:val="00B01853"/>
    <w:rsid w:val="00B01909"/>
    <w:rsid w:val="00B01960"/>
    <w:rsid w:val="00B0197A"/>
    <w:rsid w:val="00B01A17"/>
    <w:rsid w:val="00B01A4F"/>
    <w:rsid w:val="00B01C05"/>
    <w:rsid w:val="00B01F75"/>
    <w:rsid w:val="00B01FF5"/>
    <w:rsid w:val="00B0201A"/>
    <w:rsid w:val="00B02058"/>
    <w:rsid w:val="00B02087"/>
    <w:rsid w:val="00B020E0"/>
    <w:rsid w:val="00B02121"/>
    <w:rsid w:val="00B021ED"/>
    <w:rsid w:val="00B0223E"/>
    <w:rsid w:val="00B02336"/>
    <w:rsid w:val="00B02348"/>
    <w:rsid w:val="00B023FB"/>
    <w:rsid w:val="00B02460"/>
    <w:rsid w:val="00B02496"/>
    <w:rsid w:val="00B026A7"/>
    <w:rsid w:val="00B026EB"/>
    <w:rsid w:val="00B0276B"/>
    <w:rsid w:val="00B028C1"/>
    <w:rsid w:val="00B02917"/>
    <w:rsid w:val="00B0291E"/>
    <w:rsid w:val="00B02935"/>
    <w:rsid w:val="00B02954"/>
    <w:rsid w:val="00B029F7"/>
    <w:rsid w:val="00B02A06"/>
    <w:rsid w:val="00B02AEB"/>
    <w:rsid w:val="00B02B66"/>
    <w:rsid w:val="00B02BF0"/>
    <w:rsid w:val="00B02CB5"/>
    <w:rsid w:val="00B02D7A"/>
    <w:rsid w:val="00B02DD3"/>
    <w:rsid w:val="00B02EAE"/>
    <w:rsid w:val="00B02EC4"/>
    <w:rsid w:val="00B03041"/>
    <w:rsid w:val="00B03090"/>
    <w:rsid w:val="00B033F2"/>
    <w:rsid w:val="00B0346D"/>
    <w:rsid w:val="00B0346F"/>
    <w:rsid w:val="00B034CB"/>
    <w:rsid w:val="00B0365F"/>
    <w:rsid w:val="00B03708"/>
    <w:rsid w:val="00B03861"/>
    <w:rsid w:val="00B03CCA"/>
    <w:rsid w:val="00B04271"/>
    <w:rsid w:val="00B042F6"/>
    <w:rsid w:val="00B042FD"/>
    <w:rsid w:val="00B0434E"/>
    <w:rsid w:val="00B04354"/>
    <w:rsid w:val="00B04395"/>
    <w:rsid w:val="00B04418"/>
    <w:rsid w:val="00B0443C"/>
    <w:rsid w:val="00B0443E"/>
    <w:rsid w:val="00B04565"/>
    <w:rsid w:val="00B045BB"/>
    <w:rsid w:val="00B0460B"/>
    <w:rsid w:val="00B04685"/>
    <w:rsid w:val="00B046E6"/>
    <w:rsid w:val="00B04744"/>
    <w:rsid w:val="00B047ED"/>
    <w:rsid w:val="00B048C5"/>
    <w:rsid w:val="00B04999"/>
    <w:rsid w:val="00B04A1E"/>
    <w:rsid w:val="00B04AE3"/>
    <w:rsid w:val="00B04C55"/>
    <w:rsid w:val="00B04F3E"/>
    <w:rsid w:val="00B0500D"/>
    <w:rsid w:val="00B0507E"/>
    <w:rsid w:val="00B050EF"/>
    <w:rsid w:val="00B05135"/>
    <w:rsid w:val="00B05168"/>
    <w:rsid w:val="00B0525C"/>
    <w:rsid w:val="00B05377"/>
    <w:rsid w:val="00B054CE"/>
    <w:rsid w:val="00B05575"/>
    <w:rsid w:val="00B05581"/>
    <w:rsid w:val="00B05598"/>
    <w:rsid w:val="00B05705"/>
    <w:rsid w:val="00B05798"/>
    <w:rsid w:val="00B05808"/>
    <w:rsid w:val="00B05965"/>
    <w:rsid w:val="00B059EA"/>
    <w:rsid w:val="00B05B1D"/>
    <w:rsid w:val="00B05B45"/>
    <w:rsid w:val="00B05B82"/>
    <w:rsid w:val="00B05DC5"/>
    <w:rsid w:val="00B05E80"/>
    <w:rsid w:val="00B060CC"/>
    <w:rsid w:val="00B06358"/>
    <w:rsid w:val="00B06447"/>
    <w:rsid w:val="00B06452"/>
    <w:rsid w:val="00B064B5"/>
    <w:rsid w:val="00B06506"/>
    <w:rsid w:val="00B065CB"/>
    <w:rsid w:val="00B06643"/>
    <w:rsid w:val="00B066A2"/>
    <w:rsid w:val="00B06752"/>
    <w:rsid w:val="00B06773"/>
    <w:rsid w:val="00B067F2"/>
    <w:rsid w:val="00B06822"/>
    <w:rsid w:val="00B06902"/>
    <w:rsid w:val="00B06945"/>
    <w:rsid w:val="00B06BBE"/>
    <w:rsid w:val="00B06C1E"/>
    <w:rsid w:val="00B06DAB"/>
    <w:rsid w:val="00B06E06"/>
    <w:rsid w:val="00B06EA6"/>
    <w:rsid w:val="00B06F50"/>
    <w:rsid w:val="00B07278"/>
    <w:rsid w:val="00B07286"/>
    <w:rsid w:val="00B07298"/>
    <w:rsid w:val="00B0734D"/>
    <w:rsid w:val="00B07394"/>
    <w:rsid w:val="00B07588"/>
    <w:rsid w:val="00B075A2"/>
    <w:rsid w:val="00B07631"/>
    <w:rsid w:val="00B0767F"/>
    <w:rsid w:val="00B077DA"/>
    <w:rsid w:val="00B0797A"/>
    <w:rsid w:val="00B07986"/>
    <w:rsid w:val="00B07B21"/>
    <w:rsid w:val="00B07B75"/>
    <w:rsid w:val="00B07F66"/>
    <w:rsid w:val="00B07F94"/>
    <w:rsid w:val="00B07FED"/>
    <w:rsid w:val="00B10194"/>
    <w:rsid w:val="00B101E3"/>
    <w:rsid w:val="00B10414"/>
    <w:rsid w:val="00B104ED"/>
    <w:rsid w:val="00B10766"/>
    <w:rsid w:val="00B107D0"/>
    <w:rsid w:val="00B107F4"/>
    <w:rsid w:val="00B1084D"/>
    <w:rsid w:val="00B1085F"/>
    <w:rsid w:val="00B108E1"/>
    <w:rsid w:val="00B10E6A"/>
    <w:rsid w:val="00B10E86"/>
    <w:rsid w:val="00B10EE5"/>
    <w:rsid w:val="00B10F3A"/>
    <w:rsid w:val="00B10FEC"/>
    <w:rsid w:val="00B11128"/>
    <w:rsid w:val="00B111A3"/>
    <w:rsid w:val="00B111D0"/>
    <w:rsid w:val="00B1121F"/>
    <w:rsid w:val="00B112B4"/>
    <w:rsid w:val="00B112FC"/>
    <w:rsid w:val="00B11310"/>
    <w:rsid w:val="00B11347"/>
    <w:rsid w:val="00B114FC"/>
    <w:rsid w:val="00B11596"/>
    <w:rsid w:val="00B115C6"/>
    <w:rsid w:val="00B11718"/>
    <w:rsid w:val="00B1176E"/>
    <w:rsid w:val="00B11790"/>
    <w:rsid w:val="00B11847"/>
    <w:rsid w:val="00B1188B"/>
    <w:rsid w:val="00B1191D"/>
    <w:rsid w:val="00B11978"/>
    <w:rsid w:val="00B11A48"/>
    <w:rsid w:val="00B11A79"/>
    <w:rsid w:val="00B11E1C"/>
    <w:rsid w:val="00B11F6D"/>
    <w:rsid w:val="00B12131"/>
    <w:rsid w:val="00B121A7"/>
    <w:rsid w:val="00B121B3"/>
    <w:rsid w:val="00B122B2"/>
    <w:rsid w:val="00B1249C"/>
    <w:rsid w:val="00B124F2"/>
    <w:rsid w:val="00B1257E"/>
    <w:rsid w:val="00B12665"/>
    <w:rsid w:val="00B12729"/>
    <w:rsid w:val="00B12778"/>
    <w:rsid w:val="00B127DF"/>
    <w:rsid w:val="00B127F4"/>
    <w:rsid w:val="00B1285B"/>
    <w:rsid w:val="00B1293E"/>
    <w:rsid w:val="00B12ADB"/>
    <w:rsid w:val="00B12B11"/>
    <w:rsid w:val="00B12B18"/>
    <w:rsid w:val="00B12B84"/>
    <w:rsid w:val="00B12C39"/>
    <w:rsid w:val="00B12C6B"/>
    <w:rsid w:val="00B12D43"/>
    <w:rsid w:val="00B13224"/>
    <w:rsid w:val="00B133C6"/>
    <w:rsid w:val="00B134B4"/>
    <w:rsid w:val="00B13508"/>
    <w:rsid w:val="00B1363F"/>
    <w:rsid w:val="00B13680"/>
    <w:rsid w:val="00B13725"/>
    <w:rsid w:val="00B137B0"/>
    <w:rsid w:val="00B13868"/>
    <w:rsid w:val="00B13991"/>
    <w:rsid w:val="00B13A41"/>
    <w:rsid w:val="00B13A86"/>
    <w:rsid w:val="00B13ABD"/>
    <w:rsid w:val="00B13BF3"/>
    <w:rsid w:val="00B13C1A"/>
    <w:rsid w:val="00B13C65"/>
    <w:rsid w:val="00B13CF3"/>
    <w:rsid w:val="00B13D7C"/>
    <w:rsid w:val="00B140CD"/>
    <w:rsid w:val="00B1414D"/>
    <w:rsid w:val="00B14204"/>
    <w:rsid w:val="00B14417"/>
    <w:rsid w:val="00B14420"/>
    <w:rsid w:val="00B14530"/>
    <w:rsid w:val="00B1476F"/>
    <w:rsid w:val="00B148B2"/>
    <w:rsid w:val="00B149D2"/>
    <w:rsid w:val="00B149FD"/>
    <w:rsid w:val="00B14AFA"/>
    <w:rsid w:val="00B14B21"/>
    <w:rsid w:val="00B14C47"/>
    <w:rsid w:val="00B14C60"/>
    <w:rsid w:val="00B14D9D"/>
    <w:rsid w:val="00B14DAD"/>
    <w:rsid w:val="00B14E52"/>
    <w:rsid w:val="00B150B6"/>
    <w:rsid w:val="00B15198"/>
    <w:rsid w:val="00B1529F"/>
    <w:rsid w:val="00B152B9"/>
    <w:rsid w:val="00B155B3"/>
    <w:rsid w:val="00B15662"/>
    <w:rsid w:val="00B156D4"/>
    <w:rsid w:val="00B1595B"/>
    <w:rsid w:val="00B15994"/>
    <w:rsid w:val="00B15C6A"/>
    <w:rsid w:val="00B15C84"/>
    <w:rsid w:val="00B15CE9"/>
    <w:rsid w:val="00B15EB1"/>
    <w:rsid w:val="00B15F98"/>
    <w:rsid w:val="00B16083"/>
    <w:rsid w:val="00B16141"/>
    <w:rsid w:val="00B161A2"/>
    <w:rsid w:val="00B16374"/>
    <w:rsid w:val="00B16421"/>
    <w:rsid w:val="00B165C5"/>
    <w:rsid w:val="00B16742"/>
    <w:rsid w:val="00B16826"/>
    <w:rsid w:val="00B16BDE"/>
    <w:rsid w:val="00B16E72"/>
    <w:rsid w:val="00B16F60"/>
    <w:rsid w:val="00B16FFA"/>
    <w:rsid w:val="00B17084"/>
    <w:rsid w:val="00B1714A"/>
    <w:rsid w:val="00B1716C"/>
    <w:rsid w:val="00B171DC"/>
    <w:rsid w:val="00B1722F"/>
    <w:rsid w:val="00B1738A"/>
    <w:rsid w:val="00B1747E"/>
    <w:rsid w:val="00B17505"/>
    <w:rsid w:val="00B1750E"/>
    <w:rsid w:val="00B17761"/>
    <w:rsid w:val="00B17ADF"/>
    <w:rsid w:val="00B17BF5"/>
    <w:rsid w:val="00B17C50"/>
    <w:rsid w:val="00B17C8B"/>
    <w:rsid w:val="00B17D24"/>
    <w:rsid w:val="00B17D99"/>
    <w:rsid w:val="00B17D9B"/>
    <w:rsid w:val="00B17DA2"/>
    <w:rsid w:val="00B17F73"/>
    <w:rsid w:val="00B17FC5"/>
    <w:rsid w:val="00B17FCA"/>
    <w:rsid w:val="00B20170"/>
    <w:rsid w:val="00B2023B"/>
    <w:rsid w:val="00B202D8"/>
    <w:rsid w:val="00B2031E"/>
    <w:rsid w:val="00B204B6"/>
    <w:rsid w:val="00B2076C"/>
    <w:rsid w:val="00B20BFA"/>
    <w:rsid w:val="00B20D0D"/>
    <w:rsid w:val="00B20D80"/>
    <w:rsid w:val="00B20F0E"/>
    <w:rsid w:val="00B21046"/>
    <w:rsid w:val="00B21385"/>
    <w:rsid w:val="00B213B0"/>
    <w:rsid w:val="00B21424"/>
    <w:rsid w:val="00B21454"/>
    <w:rsid w:val="00B215F6"/>
    <w:rsid w:val="00B2161F"/>
    <w:rsid w:val="00B217AD"/>
    <w:rsid w:val="00B21D25"/>
    <w:rsid w:val="00B21E5D"/>
    <w:rsid w:val="00B22067"/>
    <w:rsid w:val="00B220C2"/>
    <w:rsid w:val="00B22140"/>
    <w:rsid w:val="00B22159"/>
    <w:rsid w:val="00B22235"/>
    <w:rsid w:val="00B22322"/>
    <w:rsid w:val="00B223A5"/>
    <w:rsid w:val="00B22589"/>
    <w:rsid w:val="00B225BC"/>
    <w:rsid w:val="00B225F9"/>
    <w:rsid w:val="00B2276D"/>
    <w:rsid w:val="00B2293F"/>
    <w:rsid w:val="00B22A2A"/>
    <w:rsid w:val="00B22A30"/>
    <w:rsid w:val="00B22A35"/>
    <w:rsid w:val="00B22AD4"/>
    <w:rsid w:val="00B22B90"/>
    <w:rsid w:val="00B22C6B"/>
    <w:rsid w:val="00B22CD0"/>
    <w:rsid w:val="00B22D80"/>
    <w:rsid w:val="00B22D94"/>
    <w:rsid w:val="00B22F5A"/>
    <w:rsid w:val="00B230B1"/>
    <w:rsid w:val="00B230ED"/>
    <w:rsid w:val="00B23296"/>
    <w:rsid w:val="00B233AE"/>
    <w:rsid w:val="00B23430"/>
    <w:rsid w:val="00B234A8"/>
    <w:rsid w:val="00B234E9"/>
    <w:rsid w:val="00B2355D"/>
    <w:rsid w:val="00B235DF"/>
    <w:rsid w:val="00B2376A"/>
    <w:rsid w:val="00B23899"/>
    <w:rsid w:val="00B238FA"/>
    <w:rsid w:val="00B238FD"/>
    <w:rsid w:val="00B23972"/>
    <w:rsid w:val="00B23CAF"/>
    <w:rsid w:val="00B23D3E"/>
    <w:rsid w:val="00B23E55"/>
    <w:rsid w:val="00B240DB"/>
    <w:rsid w:val="00B2417E"/>
    <w:rsid w:val="00B24284"/>
    <w:rsid w:val="00B242A1"/>
    <w:rsid w:val="00B24355"/>
    <w:rsid w:val="00B24399"/>
    <w:rsid w:val="00B243AB"/>
    <w:rsid w:val="00B24414"/>
    <w:rsid w:val="00B2452F"/>
    <w:rsid w:val="00B2478A"/>
    <w:rsid w:val="00B24796"/>
    <w:rsid w:val="00B247BB"/>
    <w:rsid w:val="00B249DC"/>
    <w:rsid w:val="00B24C9C"/>
    <w:rsid w:val="00B24CC9"/>
    <w:rsid w:val="00B24E03"/>
    <w:rsid w:val="00B24F27"/>
    <w:rsid w:val="00B24FC6"/>
    <w:rsid w:val="00B250E8"/>
    <w:rsid w:val="00B25216"/>
    <w:rsid w:val="00B25220"/>
    <w:rsid w:val="00B255EC"/>
    <w:rsid w:val="00B25881"/>
    <w:rsid w:val="00B25964"/>
    <w:rsid w:val="00B259F1"/>
    <w:rsid w:val="00B25AF4"/>
    <w:rsid w:val="00B25C7E"/>
    <w:rsid w:val="00B25E4B"/>
    <w:rsid w:val="00B25F78"/>
    <w:rsid w:val="00B25FBA"/>
    <w:rsid w:val="00B26037"/>
    <w:rsid w:val="00B26118"/>
    <w:rsid w:val="00B2611E"/>
    <w:rsid w:val="00B262CB"/>
    <w:rsid w:val="00B262E7"/>
    <w:rsid w:val="00B26537"/>
    <w:rsid w:val="00B2657A"/>
    <w:rsid w:val="00B2658F"/>
    <w:rsid w:val="00B26976"/>
    <w:rsid w:val="00B26A4B"/>
    <w:rsid w:val="00B26A57"/>
    <w:rsid w:val="00B26ABD"/>
    <w:rsid w:val="00B26B5C"/>
    <w:rsid w:val="00B26BC6"/>
    <w:rsid w:val="00B26DBD"/>
    <w:rsid w:val="00B26E39"/>
    <w:rsid w:val="00B26EAA"/>
    <w:rsid w:val="00B26F14"/>
    <w:rsid w:val="00B2702B"/>
    <w:rsid w:val="00B272A5"/>
    <w:rsid w:val="00B27307"/>
    <w:rsid w:val="00B27607"/>
    <w:rsid w:val="00B277A9"/>
    <w:rsid w:val="00B278EB"/>
    <w:rsid w:val="00B27908"/>
    <w:rsid w:val="00B27B17"/>
    <w:rsid w:val="00B27B7F"/>
    <w:rsid w:val="00B27C30"/>
    <w:rsid w:val="00B27C43"/>
    <w:rsid w:val="00B27CAD"/>
    <w:rsid w:val="00B27D3D"/>
    <w:rsid w:val="00B27D42"/>
    <w:rsid w:val="00B301DD"/>
    <w:rsid w:val="00B3025B"/>
    <w:rsid w:val="00B30291"/>
    <w:rsid w:val="00B303D8"/>
    <w:rsid w:val="00B30456"/>
    <w:rsid w:val="00B30621"/>
    <w:rsid w:val="00B30640"/>
    <w:rsid w:val="00B30662"/>
    <w:rsid w:val="00B3067D"/>
    <w:rsid w:val="00B30791"/>
    <w:rsid w:val="00B30792"/>
    <w:rsid w:val="00B30852"/>
    <w:rsid w:val="00B30863"/>
    <w:rsid w:val="00B308BC"/>
    <w:rsid w:val="00B3092A"/>
    <w:rsid w:val="00B30942"/>
    <w:rsid w:val="00B30C1B"/>
    <w:rsid w:val="00B30D00"/>
    <w:rsid w:val="00B30D6C"/>
    <w:rsid w:val="00B30E71"/>
    <w:rsid w:val="00B310C1"/>
    <w:rsid w:val="00B310E4"/>
    <w:rsid w:val="00B313A7"/>
    <w:rsid w:val="00B313C7"/>
    <w:rsid w:val="00B3154D"/>
    <w:rsid w:val="00B31731"/>
    <w:rsid w:val="00B317A1"/>
    <w:rsid w:val="00B31A3F"/>
    <w:rsid w:val="00B31DB8"/>
    <w:rsid w:val="00B31EA2"/>
    <w:rsid w:val="00B31EB8"/>
    <w:rsid w:val="00B31F1C"/>
    <w:rsid w:val="00B31F53"/>
    <w:rsid w:val="00B32007"/>
    <w:rsid w:val="00B32135"/>
    <w:rsid w:val="00B32249"/>
    <w:rsid w:val="00B3233D"/>
    <w:rsid w:val="00B323E5"/>
    <w:rsid w:val="00B3256A"/>
    <w:rsid w:val="00B32665"/>
    <w:rsid w:val="00B3266A"/>
    <w:rsid w:val="00B326B9"/>
    <w:rsid w:val="00B326C1"/>
    <w:rsid w:val="00B3286F"/>
    <w:rsid w:val="00B328CC"/>
    <w:rsid w:val="00B32A24"/>
    <w:rsid w:val="00B32A4B"/>
    <w:rsid w:val="00B32A6A"/>
    <w:rsid w:val="00B32A7B"/>
    <w:rsid w:val="00B32B4C"/>
    <w:rsid w:val="00B32C66"/>
    <w:rsid w:val="00B32D0F"/>
    <w:rsid w:val="00B32D39"/>
    <w:rsid w:val="00B32D92"/>
    <w:rsid w:val="00B32EA6"/>
    <w:rsid w:val="00B32F44"/>
    <w:rsid w:val="00B33013"/>
    <w:rsid w:val="00B330A8"/>
    <w:rsid w:val="00B330EF"/>
    <w:rsid w:val="00B3318E"/>
    <w:rsid w:val="00B33215"/>
    <w:rsid w:val="00B332C2"/>
    <w:rsid w:val="00B333D9"/>
    <w:rsid w:val="00B33576"/>
    <w:rsid w:val="00B33654"/>
    <w:rsid w:val="00B3366E"/>
    <w:rsid w:val="00B33781"/>
    <w:rsid w:val="00B337F5"/>
    <w:rsid w:val="00B33917"/>
    <w:rsid w:val="00B3393D"/>
    <w:rsid w:val="00B3396B"/>
    <w:rsid w:val="00B33A88"/>
    <w:rsid w:val="00B33A93"/>
    <w:rsid w:val="00B33A9C"/>
    <w:rsid w:val="00B33AC7"/>
    <w:rsid w:val="00B33B20"/>
    <w:rsid w:val="00B33BBB"/>
    <w:rsid w:val="00B33CDB"/>
    <w:rsid w:val="00B33D8D"/>
    <w:rsid w:val="00B33EB0"/>
    <w:rsid w:val="00B33EBA"/>
    <w:rsid w:val="00B34093"/>
    <w:rsid w:val="00B341C6"/>
    <w:rsid w:val="00B341CB"/>
    <w:rsid w:val="00B34477"/>
    <w:rsid w:val="00B345F4"/>
    <w:rsid w:val="00B345F9"/>
    <w:rsid w:val="00B34733"/>
    <w:rsid w:val="00B34765"/>
    <w:rsid w:val="00B3488B"/>
    <w:rsid w:val="00B349D3"/>
    <w:rsid w:val="00B34C65"/>
    <w:rsid w:val="00B34D56"/>
    <w:rsid w:val="00B351F1"/>
    <w:rsid w:val="00B352D0"/>
    <w:rsid w:val="00B35379"/>
    <w:rsid w:val="00B353D6"/>
    <w:rsid w:val="00B35554"/>
    <w:rsid w:val="00B355DC"/>
    <w:rsid w:val="00B356AF"/>
    <w:rsid w:val="00B35774"/>
    <w:rsid w:val="00B357CC"/>
    <w:rsid w:val="00B35872"/>
    <w:rsid w:val="00B358F5"/>
    <w:rsid w:val="00B3596D"/>
    <w:rsid w:val="00B35A01"/>
    <w:rsid w:val="00B35C12"/>
    <w:rsid w:val="00B35C4B"/>
    <w:rsid w:val="00B35D52"/>
    <w:rsid w:val="00B35E03"/>
    <w:rsid w:val="00B35E07"/>
    <w:rsid w:val="00B35F20"/>
    <w:rsid w:val="00B35FC3"/>
    <w:rsid w:val="00B36061"/>
    <w:rsid w:val="00B36104"/>
    <w:rsid w:val="00B36106"/>
    <w:rsid w:val="00B36139"/>
    <w:rsid w:val="00B36237"/>
    <w:rsid w:val="00B3629F"/>
    <w:rsid w:val="00B363F2"/>
    <w:rsid w:val="00B3645C"/>
    <w:rsid w:val="00B365CF"/>
    <w:rsid w:val="00B3661A"/>
    <w:rsid w:val="00B36679"/>
    <w:rsid w:val="00B36775"/>
    <w:rsid w:val="00B3678D"/>
    <w:rsid w:val="00B36A27"/>
    <w:rsid w:val="00B36BB7"/>
    <w:rsid w:val="00B36D11"/>
    <w:rsid w:val="00B36D98"/>
    <w:rsid w:val="00B36E4A"/>
    <w:rsid w:val="00B36E50"/>
    <w:rsid w:val="00B36F2E"/>
    <w:rsid w:val="00B371CB"/>
    <w:rsid w:val="00B371F7"/>
    <w:rsid w:val="00B372DC"/>
    <w:rsid w:val="00B372F7"/>
    <w:rsid w:val="00B373CF"/>
    <w:rsid w:val="00B374D9"/>
    <w:rsid w:val="00B375F2"/>
    <w:rsid w:val="00B37822"/>
    <w:rsid w:val="00B378AA"/>
    <w:rsid w:val="00B37A16"/>
    <w:rsid w:val="00B37AC5"/>
    <w:rsid w:val="00B37B5E"/>
    <w:rsid w:val="00B37C0F"/>
    <w:rsid w:val="00B37C27"/>
    <w:rsid w:val="00B37CD6"/>
    <w:rsid w:val="00B37E4B"/>
    <w:rsid w:val="00B37FB1"/>
    <w:rsid w:val="00B40336"/>
    <w:rsid w:val="00B403A3"/>
    <w:rsid w:val="00B403EE"/>
    <w:rsid w:val="00B4046E"/>
    <w:rsid w:val="00B405B2"/>
    <w:rsid w:val="00B4079E"/>
    <w:rsid w:val="00B407A7"/>
    <w:rsid w:val="00B407E1"/>
    <w:rsid w:val="00B4087A"/>
    <w:rsid w:val="00B408BC"/>
    <w:rsid w:val="00B40D7D"/>
    <w:rsid w:val="00B40D9C"/>
    <w:rsid w:val="00B40DE5"/>
    <w:rsid w:val="00B40E20"/>
    <w:rsid w:val="00B40F10"/>
    <w:rsid w:val="00B40F83"/>
    <w:rsid w:val="00B41114"/>
    <w:rsid w:val="00B4111A"/>
    <w:rsid w:val="00B4115B"/>
    <w:rsid w:val="00B411EA"/>
    <w:rsid w:val="00B4148B"/>
    <w:rsid w:val="00B414D4"/>
    <w:rsid w:val="00B4183A"/>
    <w:rsid w:val="00B418D3"/>
    <w:rsid w:val="00B41934"/>
    <w:rsid w:val="00B41B34"/>
    <w:rsid w:val="00B41BF6"/>
    <w:rsid w:val="00B41C46"/>
    <w:rsid w:val="00B41C7B"/>
    <w:rsid w:val="00B41ECF"/>
    <w:rsid w:val="00B4203D"/>
    <w:rsid w:val="00B42155"/>
    <w:rsid w:val="00B4215A"/>
    <w:rsid w:val="00B42298"/>
    <w:rsid w:val="00B4243B"/>
    <w:rsid w:val="00B424A5"/>
    <w:rsid w:val="00B424C2"/>
    <w:rsid w:val="00B425C5"/>
    <w:rsid w:val="00B42691"/>
    <w:rsid w:val="00B42771"/>
    <w:rsid w:val="00B42847"/>
    <w:rsid w:val="00B428A3"/>
    <w:rsid w:val="00B428C0"/>
    <w:rsid w:val="00B42C27"/>
    <w:rsid w:val="00B42CA6"/>
    <w:rsid w:val="00B42D96"/>
    <w:rsid w:val="00B42DD1"/>
    <w:rsid w:val="00B42DF8"/>
    <w:rsid w:val="00B42F82"/>
    <w:rsid w:val="00B43078"/>
    <w:rsid w:val="00B4310D"/>
    <w:rsid w:val="00B432D5"/>
    <w:rsid w:val="00B43417"/>
    <w:rsid w:val="00B43460"/>
    <w:rsid w:val="00B4350D"/>
    <w:rsid w:val="00B435F3"/>
    <w:rsid w:val="00B43610"/>
    <w:rsid w:val="00B43757"/>
    <w:rsid w:val="00B43843"/>
    <w:rsid w:val="00B43901"/>
    <w:rsid w:val="00B43A0B"/>
    <w:rsid w:val="00B43A2B"/>
    <w:rsid w:val="00B43CD4"/>
    <w:rsid w:val="00B43D43"/>
    <w:rsid w:val="00B43DD2"/>
    <w:rsid w:val="00B43ED7"/>
    <w:rsid w:val="00B43F74"/>
    <w:rsid w:val="00B43F81"/>
    <w:rsid w:val="00B4411F"/>
    <w:rsid w:val="00B44132"/>
    <w:rsid w:val="00B442B6"/>
    <w:rsid w:val="00B443BB"/>
    <w:rsid w:val="00B4456A"/>
    <w:rsid w:val="00B44616"/>
    <w:rsid w:val="00B446FF"/>
    <w:rsid w:val="00B4490B"/>
    <w:rsid w:val="00B449FD"/>
    <w:rsid w:val="00B44ADE"/>
    <w:rsid w:val="00B44BC2"/>
    <w:rsid w:val="00B44F4A"/>
    <w:rsid w:val="00B44F9F"/>
    <w:rsid w:val="00B44FE6"/>
    <w:rsid w:val="00B450FD"/>
    <w:rsid w:val="00B452FA"/>
    <w:rsid w:val="00B45378"/>
    <w:rsid w:val="00B453C5"/>
    <w:rsid w:val="00B4546D"/>
    <w:rsid w:val="00B45554"/>
    <w:rsid w:val="00B455A1"/>
    <w:rsid w:val="00B457AE"/>
    <w:rsid w:val="00B457C2"/>
    <w:rsid w:val="00B458DA"/>
    <w:rsid w:val="00B4597D"/>
    <w:rsid w:val="00B459EE"/>
    <w:rsid w:val="00B45A20"/>
    <w:rsid w:val="00B45AE0"/>
    <w:rsid w:val="00B45BCF"/>
    <w:rsid w:val="00B45C7D"/>
    <w:rsid w:val="00B45D9C"/>
    <w:rsid w:val="00B45EC4"/>
    <w:rsid w:val="00B4609A"/>
    <w:rsid w:val="00B460D6"/>
    <w:rsid w:val="00B46183"/>
    <w:rsid w:val="00B4642B"/>
    <w:rsid w:val="00B4643B"/>
    <w:rsid w:val="00B4656D"/>
    <w:rsid w:val="00B465F7"/>
    <w:rsid w:val="00B46813"/>
    <w:rsid w:val="00B4693E"/>
    <w:rsid w:val="00B46ACE"/>
    <w:rsid w:val="00B46AD9"/>
    <w:rsid w:val="00B46D39"/>
    <w:rsid w:val="00B46DB5"/>
    <w:rsid w:val="00B46E0A"/>
    <w:rsid w:val="00B46E9A"/>
    <w:rsid w:val="00B46F04"/>
    <w:rsid w:val="00B47105"/>
    <w:rsid w:val="00B471AF"/>
    <w:rsid w:val="00B471FE"/>
    <w:rsid w:val="00B47242"/>
    <w:rsid w:val="00B4724B"/>
    <w:rsid w:val="00B47489"/>
    <w:rsid w:val="00B474CB"/>
    <w:rsid w:val="00B474D3"/>
    <w:rsid w:val="00B474DD"/>
    <w:rsid w:val="00B47539"/>
    <w:rsid w:val="00B475AF"/>
    <w:rsid w:val="00B476D9"/>
    <w:rsid w:val="00B477FA"/>
    <w:rsid w:val="00B47921"/>
    <w:rsid w:val="00B479C9"/>
    <w:rsid w:val="00B47A68"/>
    <w:rsid w:val="00B47BCA"/>
    <w:rsid w:val="00B47C05"/>
    <w:rsid w:val="00B47C09"/>
    <w:rsid w:val="00B47C17"/>
    <w:rsid w:val="00B47CE8"/>
    <w:rsid w:val="00B47CFC"/>
    <w:rsid w:val="00B47F7B"/>
    <w:rsid w:val="00B47F8E"/>
    <w:rsid w:val="00B500FF"/>
    <w:rsid w:val="00B5032A"/>
    <w:rsid w:val="00B50380"/>
    <w:rsid w:val="00B5054A"/>
    <w:rsid w:val="00B5057B"/>
    <w:rsid w:val="00B505D5"/>
    <w:rsid w:val="00B5061D"/>
    <w:rsid w:val="00B50762"/>
    <w:rsid w:val="00B50789"/>
    <w:rsid w:val="00B5078C"/>
    <w:rsid w:val="00B50869"/>
    <w:rsid w:val="00B5095C"/>
    <w:rsid w:val="00B50A01"/>
    <w:rsid w:val="00B50D94"/>
    <w:rsid w:val="00B50E70"/>
    <w:rsid w:val="00B50F07"/>
    <w:rsid w:val="00B5105A"/>
    <w:rsid w:val="00B51098"/>
    <w:rsid w:val="00B510C7"/>
    <w:rsid w:val="00B51165"/>
    <w:rsid w:val="00B5141A"/>
    <w:rsid w:val="00B51430"/>
    <w:rsid w:val="00B51458"/>
    <w:rsid w:val="00B515B3"/>
    <w:rsid w:val="00B516F4"/>
    <w:rsid w:val="00B5177C"/>
    <w:rsid w:val="00B51857"/>
    <w:rsid w:val="00B5186D"/>
    <w:rsid w:val="00B51885"/>
    <w:rsid w:val="00B5194F"/>
    <w:rsid w:val="00B51B0D"/>
    <w:rsid w:val="00B51BF3"/>
    <w:rsid w:val="00B51C1E"/>
    <w:rsid w:val="00B51CB5"/>
    <w:rsid w:val="00B51E3E"/>
    <w:rsid w:val="00B51E59"/>
    <w:rsid w:val="00B51EAB"/>
    <w:rsid w:val="00B51EB8"/>
    <w:rsid w:val="00B5205E"/>
    <w:rsid w:val="00B521FD"/>
    <w:rsid w:val="00B52252"/>
    <w:rsid w:val="00B522AB"/>
    <w:rsid w:val="00B52315"/>
    <w:rsid w:val="00B524F7"/>
    <w:rsid w:val="00B527A4"/>
    <w:rsid w:val="00B528C0"/>
    <w:rsid w:val="00B52903"/>
    <w:rsid w:val="00B5294E"/>
    <w:rsid w:val="00B52AA7"/>
    <w:rsid w:val="00B52AED"/>
    <w:rsid w:val="00B52B1F"/>
    <w:rsid w:val="00B52C7E"/>
    <w:rsid w:val="00B52DFA"/>
    <w:rsid w:val="00B52E73"/>
    <w:rsid w:val="00B52F5B"/>
    <w:rsid w:val="00B53016"/>
    <w:rsid w:val="00B53145"/>
    <w:rsid w:val="00B531DA"/>
    <w:rsid w:val="00B5327F"/>
    <w:rsid w:val="00B532A9"/>
    <w:rsid w:val="00B53376"/>
    <w:rsid w:val="00B5359F"/>
    <w:rsid w:val="00B538C1"/>
    <w:rsid w:val="00B53907"/>
    <w:rsid w:val="00B53948"/>
    <w:rsid w:val="00B5399E"/>
    <w:rsid w:val="00B53A22"/>
    <w:rsid w:val="00B540B5"/>
    <w:rsid w:val="00B540BA"/>
    <w:rsid w:val="00B54145"/>
    <w:rsid w:val="00B5416A"/>
    <w:rsid w:val="00B543BA"/>
    <w:rsid w:val="00B54401"/>
    <w:rsid w:val="00B54543"/>
    <w:rsid w:val="00B5455F"/>
    <w:rsid w:val="00B545B6"/>
    <w:rsid w:val="00B545BC"/>
    <w:rsid w:val="00B545BE"/>
    <w:rsid w:val="00B54664"/>
    <w:rsid w:val="00B54688"/>
    <w:rsid w:val="00B547F3"/>
    <w:rsid w:val="00B54900"/>
    <w:rsid w:val="00B54A07"/>
    <w:rsid w:val="00B54AC3"/>
    <w:rsid w:val="00B54AEB"/>
    <w:rsid w:val="00B54AFE"/>
    <w:rsid w:val="00B54D24"/>
    <w:rsid w:val="00B54DB6"/>
    <w:rsid w:val="00B54EAD"/>
    <w:rsid w:val="00B54F06"/>
    <w:rsid w:val="00B54F6D"/>
    <w:rsid w:val="00B54F85"/>
    <w:rsid w:val="00B54F9E"/>
    <w:rsid w:val="00B5503B"/>
    <w:rsid w:val="00B550FA"/>
    <w:rsid w:val="00B55199"/>
    <w:rsid w:val="00B5520E"/>
    <w:rsid w:val="00B55307"/>
    <w:rsid w:val="00B553F3"/>
    <w:rsid w:val="00B55401"/>
    <w:rsid w:val="00B5545B"/>
    <w:rsid w:val="00B554B1"/>
    <w:rsid w:val="00B555BA"/>
    <w:rsid w:val="00B556BB"/>
    <w:rsid w:val="00B556C5"/>
    <w:rsid w:val="00B557B3"/>
    <w:rsid w:val="00B5581D"/>
    <w:rsid w:val="00B55999"/>
    <w:rsid w:val="00B559A2"/>
    <w:rsid w:val="00B55A41"/>
    <w:rsid w:val="00B55AE4"/>
    <w:rsid w:val="00B55BA2"/>
    <w:rsid w:val="00B55C5B"/>
    <w:rsid w:val="00B55D89"/>
    <w:rsid w:val="00B55F9B"/>
    <w:rsid w:val="00B55FFA"/>
    <w:rsid w:val="00B5618C"/>
    <w:rsid w:val="00B5619D"/>
    <w:rsid w:val="00B561CD"/>
    <w:rsid w:val="00B56206"/>
    <w:rsid w:val="00B5642E"/>
    <w:rsid w:val="00B56753"/>
    <w:rsid w:val="00B56754"/>
    <w:rsid w:val="00B5677D"/>
    <w:rsid w:val="00B568FC"/>
    <w:rsid w:val="00B5692B"/>
    <w:rsid w:val="00B5697B"/>
    <w:rsid w:val="00B56AEE"/>
    <w:rsid w:val="00B56B25"/>
    <w:rsid w:val="00B56D01"/>
    <w:rsid w:val="00B56D14"/>
    <w:rsid w:val="00B56D30"/>
    <w:rsid w:val="00B56E5C"/>
    <w:rsid w:val="00B56F2E"/>
    <w:rsid w:val="00B56F3D"/>
    <w:rsid w:val="00B5703F"/>
    <w:rsid w:val="00B57050"/>
    <w:rsid w:val="00B57264"/>
    <w:rsid w:val="00B572E8"/>
    <w:rsid w:val="00B5744C"/>
    <w:rsid w:val="00B57505"/>
    <w:rsid w:val="00B57509"/>
    <w:rsid w:val="00B57577"/>
    <w:rsid w:val="00B57661"/>
    <w:rsid w:val="00B57667"/>
    <w:rsid w:val="00B577B6"/>
    <w:rsid w:val="00B577C9"/>
    <w:rsid w:val="00B579A9"/>
    <w:rsid w:val="00B57AA7"/>
    <w:rsid w:val="00B57B05"/>
    <w:rsid w:val="00B57C03"/>
    <w:rsid w:val="00B57CDF"/>
    <w:rsid w:val="00B57D4C"/>
    <w:rsid w:val="00B57DAE"/>
    <w:rsid w:val="00B57E9E"/>
    <w:rsid w:val="00B57F8F"/>
    <w:rsid w:val="00B57FA1"/>
    <w:rsid w:val="00B60100"/>
    <w:rsid w:val="00B6011A"/>
    <w:rsid w:val="00B60221"/>
    <w:rsid w:val="00B60254"/>
    <w:rsid w:val="00B6038E"/>
    <w:rsid w:val="00B605A9"/>
    <w:rsid w:val="00B6063A"/>
    <w:rsid w:val="00B6083C"/>
    <w:rsid w:val="00B60926"/>
    <w:rsid w:val="00B60948"/>
    <w:rsid w:val="00B60966"/>
    <w:rsid w:val="00B60997"/>
    <w:rsid w:val="00B60A6C"/>
    <w:rsid w:val="00B60AD8"/>
    <w:rsid w:val="00B60B21"/>
    <w:rsid w:val="00B60B8B"/>
    <w:rsid w:val="00B60BA8"/>
    <w:rsid w:val="00B60BBE"/>
    <w:rsid w:val="00B60C75"/>
    <w:rsid w:val="00B60EA5"/>
    <w:rsid w:val="00B60F04"/>
    <w:rsid w:val="00B6113D"/>
    <w:rsid w:val="00B6156A"/>
    <w:rsid w:val="00B6174F"/>
    <w:rsid w:val="00B6185D"/>
    <w:rsid w:val="00B61978"/>
    <w:rsid w:val="00B6199F"/>
    <w:rsid w:val="00B61A9A"/>
    <w:rsid w:val="00B61BDD"/>
    <w:rsid w:val="00B61D2B"/>
    <w:rsid w:val="00B61D7D"/>
    <w:rsid w:val="00B61E31"/>
    <w:rsid w:val="00B61EC6"/>
    <w:rsid w:val="00B61FA9"/>
    <w:rsid w:val="00B61FC3"/>
    <w:rsid w:val="00B62002"/>
    <w:rsid w:val="00B62188"/>
    <w:rsid w:val="00B62686"/>
    <w:rsid w:val="00B6269A"/>
    <w:rsid w:val="00B62714"/>
    <w:rsid w:val="00B6297B"/>
    <w:rsid w:val="00B62B14"/>
    <w:rsid w:val="00B62B35"/>
    <w:rsid w:val="00B62D85"/>
    <w:rsid w:val="00B62E7F"/>
    <w:rsid w:val="00B630D6"/>
    <w:rsid w:val="00B632A8"/>
    <w:rsid w:val="00B632E0"/>
    <w:rsid w:val="00B6333A"/>
    <w:rsid w:val="00B63361"/>
    <w:rsid w:val="00B6342D"/>
    <w:rsid w:val="00B635E7"/>
    <w:rsid w:val="00B63635"/>
    <w:rsid w:val="00B6364F"/>
    <w:rsid w:val="00B636D2"/>
    <w:rsid w:val="00B636D4"/>
    <w:rsid w:val="00B63740"/>
    <w:rsid w:val="00B6397E"/>
    <w:rsid w:val="00B639B0"/>
    <w:rsid w:val="00B63B96"/>
    <w:rsid w:val="00B63CE6"/>
    <w:rsid w:val="00B63DC0"/>
    <w:rsid w:val="00B6408A"/>
    <w:rsid w:val="00B640D6"/>
    <w:rsid w:val="00B6411E"/>
    <w:rsid w:val="00B64166"/>
    <w:rsid w:val="00B642E6"/>
    <w:rsid w:val="00B64350"/>
    <w:rsid w:val="00B6435D"/>
    <w:rsid w:val="00B6446F"/>
    <w:rsid w:val="00B6458C"/>
    <w:rsid w:val="00B646F5"/>
    <w:rsid w:val="00B64873"/>
    <w:rsid w:val="00B64962"/>
    <w:rsid w:val="00B64AAA"/>
    <w:rsid w:val="00B64AFF"/>
    <w:rsid w:val="00B64BE4"/>
    <w:rsid w:val="00B64D6A"/>
    <w:rsid w:val="00B64DB2"/>
    <w:rsid w:val="00B64EF4"/>
    <w:rsid w:val="00B64FEC"/>
    <w:rsid w:val="00B65097"/>
    <w:rsid w:val="00B6511F"/>
    <w:rsid w:val="00B65277"/>
    <w:rsid w:val="00B6527E"/>
    <w:rsid w:val="00B652E1"/>
    <w:rsid w:val="00B6533C"/>
    <w:rsid w:val="00B654EA"/>
    <w:rsid w:val="00B65803"/>
    <w:rsid w:val="00B6583B"/>
    <w:rsid w:val="00B6588D"/>
    <w:rsid w:val="00B658C6"/>
    <w:rsid w:val="00B65952"/>
    <w:rsid w:val="00B659E8"/>
    <w:rsid w:val="00B659F5"/>
    <w:rsid w:val="00B65D2C"/>
    <w:rsid w:val="00B65EAB"/>
    <w:rsid w:val="00B65EFD"/>
    <w:rsid w:val="00B65F47"/>
    <w:rsid w:val="00B66036"/>
    <w:rsid w:val="00B66378"/>
    <w:rsid w:val="00B666A7"/>
    <w:rsid w:val="00B6676C"/>
    <w:rsid w:val="00B66798"/>
    <w:rsid w:val="00B6680B"/>
    <w:rsid w:val="00B66AF7"/>
    <w:rsid w:val="00B66C30"/>
    <w:rsid w:val="00B66C6F"/>
    <w:rsid w:val="00B66FA0"/>
    <w:rsid w:val="00B67022"/>
    <w:rsid w:val="00B67039"/>
    <w:rsid w:val="00B67111"/>
    <w:rsid w:val="00B67117"/>
    <w:rsid w:val="00B67133"/>
    <w:rsid w:val="00B6728A"/>
    <w:rsid w:val="00B673D6"/>
    <w:rsid w:val="00B67472"/>
    <w:rsid w:val="00B674EF"/>
    <w:rsid w:val="00B6764D"/>
    <w:rsid w:val="00B67650"/>
    <w:rsid w:val="00B6765D"/>
    <w:rsid w:val="00B6772A"/>
    <w:rsid w:val="00B6777F"/>
    <w:rsid w:val="00B67A29"/>
    <w:rsid w:val="00B67AA5"/>
    <w:rsid w:val="00B67BF9"/>
    <w:rsid w:val="00B67CC0"/>
    <w:rsid w:val="00B67EB4"/>
    <w:rsid w:val="00B67EEC"/>
    <w:rsid w:val="00B70039"/>
    <w:rsid w:val="00B700B7"/>
    <w:rsid w:val="00B70172"/>
    <w:rsid w:val="00B7028F"/>
    <w:rsid w:val="00B70452"/>
    <w:rsid w:val="00B7058C"/>
    <w:rsid w:val="00B70933"/>
    <w:rsid w:val="00B70AE2"/>
    <w:rsid w:val="00B70B5F"/>
    <w:rsid w:val="00B70BC4"/>
    <w:rsid w:val="00B70CF5"/>
    <w:rsid w:val="00B70D47"/>
    <w:rsid w:val="00B70D53"/>
    <w:rsid w:val="00B70E35"/>
    <w:rsid w:val="00B70E67"/>
    <w:rsid w:val="00B70F5E"/>
    <w:rsid w:val="00B70F84"/>
    <w:rsid w:val="00B70F94"/>
    <w:rsid w:val="00B70FCC"/>
    <w:rsid w:val="00B71013"/>
    <w:rsid w:val="00B7102B"/>
    <w:rsid w:val="00B71056"/>
    <w:rsid w:val="00B7133A"/>
    <w:rsid w:val="00B7153C"/>
    <w:rsid w:val="00B71684"/>
    <w:rsid w:val="00B717FE"/>
    <w:rsid w:val="00B71B6F"/>
    <w:rsid w:val="00B71C09"/>
    <w:rsid w:val="00B71D2B"/>
    <w:rsid w:val="00B71D51"/>
    <w:rsid w:val="00B71EA2"/>
    <w:rsid w:val="00B725CC"/>
    <w:rsid w:val="00B726A1"/>
    <w:rsid w:val="00B726F1"/>
    <w:rsid w:val="00B7282A"/>
    <w:rsid w:val="00B7282B"/>
    <w:rsid w:val="00B72853"/>
    <w:rsid w:val="00B72857"/>
    <w:rsid w:val="00B72ACA"/>
    <w:rsid w:val="00B72B05"/>
    <w:rsid w:val="00B72B53"/>
    <w:rsid w:val="00B72C52"/>
    <w:rsid w:val="00B72DBB"/>
    <w:rsid w:val="00B72DDC"/>
    <w:rsid w:val="00B72E1B"/>
    <w:rsid w:val="00B72E91"/>
    <w:rsid w:val="00B72EBE"/>
    <w:rsid w:val="00B72FD2"/>
    <w:rsid w:val="00B72FFD"/>
    <w:rsid w:val="00B730E7"/>
    <w:rsid w:val="00B73116"/>
    <w:rsid w:val="00B734AA"/>
    <w:rsid w:val="00B73651"/>
    <w:rsid w:val="00B73658"/>
    <w:rsid w:val="00B73670"/>
    <w:rsid w:val="00B738A4"/>
    <w:rsid w:val="00B73A06"/>
    <w:rsid w:val="00B73A1F"/>
    <w:rsid w:val="00B73A2F"/>
    <w:rsid w:val="00B73B12"/>
    <w:rsid w:val="00B73CC8"/>
    <w:rsid w:val="00B73CE9"/>
    <w:rsid w:val="00B73D58"/>
    <w:rsid w:val="00B73DD0"/>
    <w:rsid w:val="00B73F11"/>
    <w:rsid w:val="00B73F42"/>
    <w:rsid w:val="00B73FC0"/>
    <w:rsid w:val="00B74117"/>
    <w:rsid w:val="00B74161"/>
    <w:rsid w:val="00B74204"/>
    <w:rsid w:val="00B743EC"/>
    <w:rsid w:val="00B74418"/>
    <w:rsid w:val="00B7449A"/>
    <w:rsid w:val="00B744EE"/>
    <w:rsid w:val="00B7455D"/>
    <w:rsid w:val="00B74675"/>
    <w:rsid w:val="00B747A1"/>
    <w:rsid w:val="00B748C0"/>
    <w:rsid w:val="00B74C18"/>
    <w:rsid w:val="00B74D9D"/>
    <w:rsid w:val="00B74E89"/>
    <w:rsid w:val="00B74F79"/>
    <w:rsid w:val="00B74FF8"/>
    <w:rsid w:val="00B75108"/>
    <w:rsid w:val="00B75231"/>
    <w:rsid w:val="00B752BC"/>
    <w:rsid w:val="00B75478"/>
    <w:rsid w:val="00B75566"/>
    <w:rsid w:val="00B75708"/>
    <w:rsid w:val="00B75713"/>
    <w:rsid w:val="00B757BE"/>
    <w:rsid w:val="00B7584A"/>
    <w:rsid w:val="00B75AF4"/>
    <w:rsid w:val="00B75C2D"/>
    <w:rsid w:val="00B75F57"/>
    <w:rsid w:val="00B75F7D"/>
    <w:rsid w:val="00B76147"/>
    <w:rsid w:val="00B761A4"/>
    <w:rsid w:val="00B7621C"/>
    <w:rsid w:val="00B762C4"/>
    <w:rsid w:val="00B76462"/>
    <w:rsid w:val="00B7671E"/>
    <w:rsid w:val="00B76722"/>
    <w:rsid w:val="00B767B2"/>
    <w:rsid w:val="00B7685B"/>
    <w:rsid w:val="00B7685D"/>
    <w:rsid w:val="00B7696D"/>
    <w:rsid w:val="00B769B1"/>
    <w:rsid w:val="00B76A0C"/>
    <w:rsid w:val="00B76A54"/>
    <w:rsid w:val="00B76A75"/>
    <w:rsid w:val="00B76B96"/>
    <w:rsid w:val="00B76BB9"/>
    <w:rsid w:val="00B76C62"/>
    <w:rsid w:val="00B76DA0"/>
    <w:rsid w:val="00B76E8D"/>
    <w:rsid w:val="00B76ECF"/>
    <w:rsid w:val="00B76F0C"/>
    <w:rsid w:val="00B76F24"/>
    <w:rsid w:val="00B77193"/>
    <w:rsid w:val="00B771B8"/>
    <w:rsid w:val="00B77222"/>
    <w:rsid w:val="00B7722C"/>
    <w:rsid w:val="00B77282"/>
    <w:rsid w:val="00B773DE"/>
    <w:rsid w:val="00B775A0"/>
    <w:rsid w:val="00B7784D"/>
    <w:rsid w:val="00B778DD"/>
    <w:rsid w:val="00B7797D"/>
    <w:rsid w:val="00B77BD0"/>
    <w:rsid w:val="00B77BFB"/>
    <w:rsid w:val="00B77C5D"/>
    <w:rsid w:val="00B77CBE"/>
    <w:rsid w:val="00B77D20"/>
    <w:rsid w:val="00B77E11"/>
    <w:rsid w:val="00B800EC"/>
    <w:rsid w:val="00B803EF"/>
    <w:rsid w:val="00B804AC"/>
    <w:rsid w:val="00B805F5"/>
    <w:rsid w:val="00B80622"/>
    <w:rsid w:val="00B80758"/>
    <w:rsid w:val="00B807AC"/>
    <w:rsid w:val="00B807C7"/>
    <w:rsid w:val="00B80825"/>
    <w:rsid w:val="00B8088B"/>
    <w:rsid w:val="00B8089F"/>
    <w:rsid w:val="00B808D0"/>
    <w:rsid w:val="00B809A3"/>
    <w:rsid w:val="00B80A14"/>
    <w:rsid w:val="00B80A6A"/>
    <w:rsid w:val="00B80AF7"/>
    <w:rsid w:val="00B80B1A"/>
    <w:rsid w:val="00B80B63"/>
    <w:rsid w:val="00B80BCF"/>
    <w:rsid w:val="00B80DD9"/>
    <w:rsid w:val="00B80E6F"/>
    <w:rsid w:val="00B80EB5"/>
    <w:rsid w:val="00B80EEB"/>
    <w:rsid w:val="00B80FF6"/>
    <w:rsid w:val="00B8121C"/>
    <w:rsid w:val="00B8129C"/>
    <w:rsid w:val="00B8134A"/>
    <w:rsid w:val="00B81522"/>
    <w:rsid w:val="00B8152E"/>
    <w:rsid w:val="00B81581"/>
    <w:rsid w:val="00B816BF"/>
    <w:rsid w:val="00B8172D"/>
    <w:rsid w:val="00B8189C"/>
    <w:rsid w:val="00B818E5"/>
    <w:rsid w:val="00B81944"/>
    <w:rsid w:val="00B819BB"/>
    <w:rsid w:val="00B81A69"/>
    <w:rsid w:val="00B81B30"/>
    <w:rsid w:val="00B81BBF"/>
    <w:rsid w:val="00B81C42"/>
    <w:rsid w:val="00B81CED"/>
    <w:rsid w:val="00B81EB1"/>
    <w:rsid w:val="00B81EF5"/>
    <w:rsid w:val="00B82094"/>
    <w:rsid w:val="00B82095"/>
    <w:rsid w:val="00B820ED"/>
    <w:rsid w:val="00B82254"/>
    <w:rsid w:val="00B82322"/>
    <w:rsid w:val="00B823E5"/>
    <w:rsid w:val="00B82536"/>
    <w:rsid w:val="00B82570"/>
    <w:rsid w:val="00B82596"/>
    <w:rsid w:val="00B8268A"/>
    <w:rsid w:val="00B82693"/>
    <w:rsid w:val="00B827A3"/>
    <w:rsid w:val="00B82809"/>
    <w:rsid w:val="00B82A08"/>
    <w:rsid w:val="00B82A30"/>
    <w:rsid w:val="00B82A83"/>
    <w:rsid w:val="00B82BFA"/>
    <w:rsid w:val="00B82C79"/>
    <w:rsid w:val="00B82D66"/>
    <w:rsid w:val="00B82E12"/>
    <w:rsid w:val="00B82E3F"/>
    <w:rsid w:val="00B82EFA"/>
    <w:rsid w:val="00B83071"/>
    <w:rsid w:val="00B830B6"/>
    <w:rsid w:val="00B832C1"/>
    <w:rsid w:val="00B832D8"/>
    <w:rsid w:val="00B83383"/>
    <w:rsid w:val="00B8357C"/>
    <w:rsid w:val="00B83691"/>
    <w:rsid w:val="00B83862"/>
    <w:rsid w:val="00B83889"/>
    <w:rsid w:val="00B83913"/>
    <w:rsid w:val="00B83AD6"/>
    <w:rsid w:val="00B83E42"/>
    <w:rsid w:val="00B83E62"/>
    <w:rsid w:val="00B83E92"/>
    <w:rsid w:val="00B84008"/>
    <w:rsid w:val="00B840B6"/>
    <w:rsid w:val="00B840EF"/>
    <w:rsid w:val="00B84138"/>
    <w:rsid w:val="00B8419E"/>
    <w:rsid w:val="00B844B1"/>
    <w:rsid w:val="00B845C2"/>
    <w:rsid w:val="00B84750"/>
    <w:rsid w:val="00B848D9"/>
    <w:rsid w:val="00B84954"/>
    <w:rsid w:val="00B84A9E"/>
    <w:rsid w:val="00B84B27"/>
    <w:rsid w:val="00B84C97"/>
    <w:rsid w:val="00B84CC9"/>
    <w:rsid w:val="00B84D10"/>
    <w:rsid w:val="00B84D75"/>
    <w:rsid w:val="00B84D7F"/>
    <w:rsid w:val="00B84DC0"/>
    <w:rsid w:val="00B84E25"/>
    <w:rsid w:val="00B84E3A"/>
    <w:rsid w:val="00B84F50"/>
    <w:rsid w:val="00B850B2"/>
    <w:rsid w:val="00B850D7"/>
    <w:rsid w:val="00B8517A"/>
    <w:rsid w:val="00B85235"/>
    <w:rsid w:val="00B85281"/>
    <w:rsid w:val="00B854B6"/>
    <w:rsid w:val="00B854F1"/>
    <w:rsid w:val="00B856BF"/>
    <w:rsid w:val="00B8573E"/>
    <w:rsid w:val="00B859CA"/>
    <w:rsid w:val="00B859DE"/>
    <w:rsid w:val="00B85A8F"/>
    <w:rsid w:val="00B85BE6"/>
    <w:rsid w:val="00B85C3B"/>
    <w:rsid w:val="00B85DED"/>
    <w:rsid w:val="00B85E01"/>
    <w:rsid w:val="00B85E1A"/>
    <w:rsid w:val="00B85E3E"/>
    <w:rsid w:val="00B85E9B"/>
    <w:rsid w:val="00B85FD7"/>
    <w:rsid w:val="00B8600F"/>
    <w:rsid w:val="00B8611C"/>
    <w:rsid w:val="00B8613D"/>
    <w:rsid w:val="00B861DC"/>
    <w:rsid w:val="00B861DF"/>
    <w:rsid w:val="00B8627B"/>
    <w:rsid w:val="00B86661"/>
    <w:rsid w:val="00B866E2"/>
    <w:rsid w:val="00B8678C"/>
    <w:rsid w:val="00B8685D"/>
    <w:rsid w:val="00B86AEC"/>
    <w:rsid w:val="00B86AF3"/>
    <w:rsid w:val="00B86B6C"/>
    <w:rsid w:val="00B86BDC"/>
    <w:rsid w:val="00B86CE6"/>
    <w:rsid w:val="00B86CF3"/>
    <w:rsid w:val="00B86D16"/>
    <w:rsid w:val="00B86DE0"/>
    <w:rsid w:val="00B86E3F"/>
    <w:rsid w:val="00B86E87"/>
    <w:rsid w:val="00B8721D"/>
    <w:rsid w:val="00B8725F"/>
    <w:rsid w:val="00B87268"/>
    <w:rsid w:val="00B872DA"/>
    <w:rsid w:val="00B873F8"/>
    <w:rsid w:val="00B87639"/>
    <w:rsid w:val="00B87645"/>
    <w:rsid w:val="00B8764B"/>
    <w:rsid w:val="00B87654"/>
    <w:rsid w:val="00B876B0"/>
    <w:rsid w:val="00B876F2"/>
    <w:rsid w:val="00B87750"/>
    <w:rsid w:val="00B87790"/>
    <w:rsid w:val="00B879C0"/>
    <w:rsid w:val="00B87BA0"/>
    <w:rsid w:val="00B87C87"/>
    <w:rsid w:val="00B87D42"/>
    <w:rsid w:val="00B87F32"/>
    <w:rsid w:val="00B90064"/>
    <w:rsid w:val="00B900A8"/>
    <w:rsid w:val="00B90143"/>
    <w:rsid w:val="00B90207"/>
    <w:rsid w:val="00B903F4"/>
    <w:rsid w:val="00B90581"/>
    <w:rsid w:val="00B90846"/>
    <w:rsid w:val="00B908A0"/>
    <w:rsid w:val="00B908EC"/>
    <w:rsid w:val="00B909AF"/>
    <w:rsid w:val="00B90A2A"/>
    <w:rsid w:val="00B90A75"/>
    <w:rsid w:val="00B90BDA"/>
    <w:rsid w:val="00B90C22"/>
    <w:rsid w:val="00B90C67"/>
    <w:rsid w:val="00B90DD6"/>
    <w:rsid w:val="00B90E74"/>
    <w:rsid w:val="00B90ED7"/>
    <w:rsid w:val="00B90F24"/>
    <w:rsid w:val="00B90F2C"/>
    <w:rsid w:val="00B90FB5"/>
    <w:rsid w:val="00B9106C"/>
    <w:rsid w:val="00B9114B"/>
    <w:rsid w:val="00B91220"/>
    <w:rsid w:val="00B91245"/>
    <w:rsid w:val="00B91476"/>
    <w:rsid w:val="00B914AB"/>
    <w:rsid w:val="00B914B4"/>
    <w:rsid w:val="00B91510"/>
    <w:rsid w:val="00B91647"/>
    <w:rsid w:val="00B9171B"/>
    <w:rsid w:val="00B91982"/>
    <w:rsid w:val="00B91A19"/>
    <w:rsid w:val="00B91A3A"/>
    <w:rsid w:val="00B91A41"/>
    <w:rsid w:val="00B91B0C"/>
    <w:rsid w:val="00B91B5F"/>
    <w:rsid w:val="00B91B90"/>
    <w:rsid w:val="00B91BDB"/>
    <w:rsid w:val="00B91DB6"/>
    <w:rsid w:val="00B91E64"/>
    <w:rsid w:val="00B92081"/>
    <w:rsid w:val="00B9208C"/>
    <w:rsid w:val="00B9213F"/>
    <w:rsid w:val="00B9236C"/>
    <w:rsid w:val="00B92394"/>
    <w:rsid w:val="00B923AB"/>
    <w:rsid w:val="00B923CB"/>
    <w:rsid w:val="00B923F4"/>
    <w:rsid w:val="00B9256C"/>
    <w:rsid w:val="00B9282C"/>
    <w:rsid w:val="00B92936"/>
    <w:rsid w:val="00B92975"/>
    <w:rsid w:val="00B92976"/>
    <w:rsid w:val="00B92B13"/>
    <w:rsid w:val="00B92C40"/>
    <w:rsid w:val="00B92C44"/>
    <w:rsid w:val="00B92CD6"/>
    <w:rsid w:val="00B92CDC"/>
    <w:rsid w:val="00B93119"/>
    <w:rsid w:val="00B934F7"/>
    <w:rsid w:val="00B93664"/>
    <w:rsid w:val="00B9366D"/>
    <w:rsid w:val="00B9367D"/>
    <w:rsid w:val="00B936BE"/>
    <w:rsid w:val="00B937C4"/>
    <w:rsid w:val="00B93A43"/>
    <w:rsid w:val="00B93A6C"/>
    <w:rsid w:val="00B93A72"/>
    <w:rsid w:val="00B93A9D"/>
    <w:rsid w:val="00B93B1D"/>
    <w:rsid w:val="00B93B8E"/>
    <w:rsid w:val="00B93D5C"/>
    <w:rsid w:val="00B93D87"/>
    <w:rsid w:val="00B93EB1"/>
    <w:rsid w:val="00B94027"/>
    <w:rsid w:val="00B940CE"/>
    <w:rsid w:val="00B940D6"/>
    <w:rsid w:val="00B940F0"/>
    <w:rsid w:val="00B9412D"/>
    <w:rsid w:val="00B94217"/>
    <w:rsid w:val="00B944C5"/>
    <w:rsid w:val="00B945C5"/>
    <w:rsid w:val="00B946FB"/>
    <w:rsid w:val="00B94844"/>
    <w:rsid w:val="00B94A55"/>
    <w:rsid w:val="00B94BE5"/>
    <w:rsid w:val="00B94C96"/>
    <w:rsid w:val="00B94C9C"/>
    <w:rsid w:val="00B94CAC"/>
    <w:rsid w:val="00B94FE1"/>
    <w:rsid w:val="00B95034"/>
    <w:rsid w:val="00B951C1"/>
    <w:rsid w:val="00B952B6"/>
    <w:rsid w:val="00B95318"/>
    <w:rsid w:val="00B95511"/>
    <w:rsid w:val="00B95609"/>
    <w:rsid w:val="00B95644"/>
    <w:rsid w:val="00B95847"/>
    <w:rsid w:val="00B9594A"/>
    <w:rsid w:val="00B95A92"/>
    <w:rsid w:val="00B95C2F"/>
    <w:rsid w:val="00B95C3D"/>
    <w:rsid w:val="00B95C91"/>
    <w:rsid w:val="00B95DA1"/>
    <w:rsid w:val="00B95E58"/>
    <w:rsid w:val="00B95F91"/>
    <w:rsid w:val="00B96138"/>
    <w:rsid w:val="00B961E5"/>
    <w:rsid w:val="00B96280"/>
    <w:rsid w:val="00B96357"/>
    <w:rsid w:val="00B963B8"/>
    <w:rsid w:val="00B963DB"/>
    <w:rsid w:val="00B96575"/>
    <w:rsid w:val="00B96599"/>
    <w:rsid w:val="00B965FE"/>
    <w:rsid w:val="00B9662A"/>
    <w:rsid w:val="00B96665"/>
    <w:rsid w:val="00B96912"/>
    <w:rsid w:val="00B96922"/>
    <w:rsid w:val="00B969AF"/>
    <w:rsid w:val="00B969D6"/>
    <w:rsid w:val="00B96A23"/>
    <w:rsid w:val="00B96A76"/>
    <w:rsid w:val="00B96BD2"/>
    <w:rsid w:val="00B96DD7"/>
    <w:rsid w:val="00B96DEA"/>
    <w:rsid w:val="00B96F85"/>
    <w:rsid w:val="00B96F97"/>
    <w:rsid w:val="00B97021"/>
    <w:rsid w:val="00B97027"/>
    <w:rsid w:val="00B9709B"/>
    <w:rsid w:val="00B970B6"/>
    <w:rsid w:val="00B971B4"/>
    <w:rsid w:val="00B972D1"/>
    <w:rsid w:val="00B97454"/>
    <w:rsid w:val="00B97472"/>
    <w:rsid w:val="00B974E3"/>
    <w:rsid w:val="00B974E9"/>
    <w:rsid w:val="00B97612"/>
    <w:rsid w:val="00B9771B"/>
    <w:rsid w:val="00B97858"/>
    <w:rsid w:val="00B978D6"/>
    <w:rsid w:val="00B97B24"/>
    <w:rsid w:val="00B97C5D"/>
    <w:rsid w:val="00B97D4B"/>
    <w:rsid w:val="00B97F11"/>
    <w:rsid w:val="00B97F7E"/>
    <w:rsid w:val="00BA00D4"/>
    <w:rsid w:val="00BA012C"/>
    <w:rsid w:val="00BA01E1"/>
    <w:rsid w:val="00BA02F7"/>
    <w:rsid w:val="00BA0375"/>
    <w:rsid w:val="00BA038C"/>
    <w:rsid w:val="00BA0465"/>
    <w:rsid w:val="00BA0473"/>
    <w:rsid w:val="00BA04E3"/>
    <w:rsid w:val="00BA052C"/>
    <w:rsid w:val="00BA0533"/>
    <w:rsid w:val="00BA05A4"/>
    <w:rsid w:val="00BA0654"/>
    <w:rsid w:val="00BA0707"/>
    <w:rsid w:val="00BA0753"/>
    <w:rsid w:val="00BA07A9"/>
    <w:rsid w:val="00BA08BC"/>
    <w:rsid w:val="00BA094D"/>
    <w:rsid w:val="00BA0B1E"/>
    <w:rsid w:val="00BA0BAD"/>
    <w:rsid w:val="00BA0BED"/>
    <w:rsid w:val="00BA0CFA"/>
    <w:rsid w:val="00BA0E38"/>
    <w:rsid w:val="00BA0E39"/>
    <w:rsid w:val="00BA0F54"/>
    <w:rsid w:val="00BA0F97"/>
    <w:rsid w:val="00BA10E7"/>
    <w:rsid w:val="00BA1207"/>
    <w:rsid w:val="00BA132D"/>
    <w:rsid w:val="00BA135A"/>
    <w:rsid w:val="00BA13CA"/>
    <w:rsid w:val="00BA14B3"/>
    <w:rsid w:val="00BA1530"/>
    <w:rsid w:val="00BA15D4"/>
    <w:rsid w:val="00BA164B"/>
    <w:rsid w:val="00BA164D"/>
    <w:rsid w:val="00BA1686"/>
    <w:rsid w:val="00BA182A"/>
    <w:rsid w:val="00BA18E9"/>
    <w:rsid w:val="00BA1921"/>
    <w:rsid w:val="00BA19D1"/>
    <w:rsid w:val="00BA1B6D"/>
    <w:rsid w:val="00BA1B85"/>
    <w:rsid w:val="00BA1C11"/>
    <w:rsid w:val="00BA1C98"/>
    <w:rsid w:val="00BA1D53"/>
    <w:rsid w:val="00BA1DA5"/>
    <w:rsid w:val="00BA1E79"/>
    <w:rsid w:val="00BA1E9B"/>
    <w:rsid w:val="00BA1EF1"/>
    <w:rsid w:val="00BA1F48"/>
    <w:rsid w:val="00BA1FBC"/>
    <w:rsid w:val="00BA20DB"/>
    <w:rsid w:val="00BA2445"/>
    <w:rsid w:val="00BA26A5"/>
    <w:rsid w:val="00BA26AA"/>
    <w:rsid w:val="00BA26F3"/>
    <w:rsid w:val="00BA295C"/>
    <w:rsid w:val="00BA2A03"/>
    <w:rsid w:val="00BA2A56"/>
    <w:rsid w:val="00BA2B34"/>
    <w:rsid w:val="00BA2BA8"/>
    <w:rsid w:val="00BA2BCA"/>
    <w:rsid w:val="00BA2BE8"/>
    <w:rsid w:val="00BA2C92"/>
    <w:rsid w:val="00BA2CB8"/>
    <w:rsid w:val="00BA2D5C"/>
    <w:rsid w:val="00BA30BF"/>
    <w:rsid w:val="00BA31F4"/>
    <w:rsid w:val="00BA32C3"/>
    <w:rsid w:val="00BA336C"/>
    <w:rsid w:val="00BA343E"/>
    <w:rsid w:val="00BA34B5"/>
    <w:rsid w:val="00BA395F"/>
    <w:rsid w:val="00BA3C01"/>
    <w:rsid w:val="00BA3D5D"/>
    <w:rsid w:val="00BA3ED1"/>
    <w:rsid w:val="00BA3F62"/>
    <w:rsid w:val="00BA3F67"/>
    <w:rsid w:val="00BA410B"/>
    <w:rsid w:val="00BA4204"/>
    <w:rsid w:val="00BA420D"/>
    <w:rsid w:val="00BA42EB"/>
    <w:rsid w:val="00BA43BB"/>
    <w:rsid w:val="00BA45FB"/>
    <w:rsid w:val="00BA4692"/>
    <w:rsid w:val="00BA4705"/>
    <w:rsid w:val="00BA4836"/>
    <w:rsid w:val="00BA49AF"/>
    <w:rsid w:val="00BA49EA"/>
    <w:rsid w:val="00BA4CE7"/>
    <w:rsid w:val="00BA4DE3"/>
    <w:rsid w:val="00BA4E55"/>
    <w:rsid w:val="00BA4F33"/>
    <w:rsid w:val="00BA4F42"/>
    <w:rsid w:val="00BA4FCC"/>
    <w:rsid w:val="00BA5033"/>
    <w:rsid w:val="00BA510A"/>
    <w:rsid w:val="00BA5160"/>
    <w:rsid w:val="00BA5289"/>
    <w:rsid w:val="00BA53A8"/>
    <w:rsid w:val="00BA5425"/>
    <w:rsid w:val="00BA5433"/>
    <w:rsid w:val="00BA5650"/>
    <w:rsid w:val="00BA5766"/>
    <w:rsid w:val="00BA59CB"/>
    <w:rsid w:val="00BA59EC"/>
    <w:rsid w:val="00BA5A4D"/>
    <w:rsid w:val="00BA5B2A"/>
    <w:rsid w:val="00BA5C43"/>
    <w:rsid w:val="00BA5C6E"/>
    <w:rsid w:val="00BA5E07"/>
    <w:rsid w:val="00BA5E97"/>
    <w:rsid w:val="00BA5F3D"/>
    <w:rsid w:val="00BA5F78"/>
    <w:rsid w:val="00BA5F88"/>
    <w:rsid w:val="00BA5F9B"/>
    <w:rsid w:val="00BA5FE7"/>
    <w:rsid w:val="00BA602A"/>
    <w:rsid w:val="00BA6071"/>
    <w:rsid w:val="00BA6195"/>
    <w:rsid w:val="00BA63F4"/>
    <w:rsid w:val="00BA6401"/>
    <w:rsid w:val="00BA6485"/>
    <w:rsid w:val="00BA657A"/>
    <w:rsid w:val="00BA66F8"/>
    <w:rsid w:val="00BA698B"/>
    <w:rsid w:val="00BA69F2"/>
    <w:rsid w:val="00BA6E04"/>
    <w:rsid w:val="00BA6E64"/>
    <w:rsid w:val="00BA6EBE"/>
    <w:rsid w:val="00BA701D"/>
    <w:rsid w:val="00BA70AE"/>
    <w:rsid w:val="00BA70EE"/>
    <w:rsid w:val="00BA7220"/>
    <w:rsid w:val="00BA75DA"/>
    <w:rsid w:val="00BA76BC"/>
    <w:rsid w:val="00BA7783"/>
    <w:rsid w:val="00BA77C3"/>
    <w:rsid w:val="00BA78F6"/>
    <w:rsid w:val="00BA798B"/>
    <w:rsid w:val="00BA79FD"/>
    <w:rsid w:val="00BA7A23"/>
    <w:rsid w:val="00BA7A92"/>
    <w:rsid w:val="00BA7AB2"/>
    <w:rsid w:val="00BA7B89"/>
    <w:rsid w:val="00BA7C20"/>
    <w:rsid w:val="00BA7D0F"/>
    <w:rsid w:val="00BA7E32"/>
    <w:rsid w:val="00BA7EDD"/>
    <w:rsid w:val="00BA7EFC"/>
    <w:rsid w:val="00BA7FFA"/>
    <w:rsid w:val="00BB003E"/>
    <w:rsid w:val="00BB0068"/>
    <w:rsid w:val="00BB026F"/>
    <w:rsid w:val="00BB0373"/>
    <w:rsid w:val="00BB03D0"/>
    <w:rsid w:val="00BB03E8"/>
    <w:rsid w:val="00BB04B7"/>
    <w:rsid w:val="00BB05E3"/>
    <w:rsid w:val="00BB0604"/>
    <w:rsid w:val="00BB072A"/>
    <w:rsid w:val="00BB0804"/>
    <w:rsid w:val="00BB08C5"/>
    <w:rsid w:val="00BB09A4"/>
    <w:rsid w:val="00BB0B12"/>
    <w:rsid w:val="00BB0B98"/>
    <w:rsid w:val="00BB0CA8"/>
    <w:rsid w:val="00BB0CAF"/>
    <w:rsid w:val="00BB10A9"/>
    <w:rsid w:val="00BB11CE"/>
    <w:rsid w:val="00BB11F5"/>
    <w:rsid w:val="00BB12EE"/>
    <w:rsid w:val="00BB1500"/>
    <w:rsid w:val="00BB159E"/>
    <w:rsid w:val="00BB165D"/>
    <w:rsid w:val="00BB1832"/>
    <w:rsid w:val="00BB190E"/>
    <w:rsid w:val="00BB19B6"/>
    <w:rsid w:val="00BB1A1F"/>
    <w:rsid w:val="00BB1C0F"/>
    <w:rsid w:val="00BB1CE5"/>
    <w:rsid w:val="00BB1D5B"/>
    <w:rsid w:val="00BB2087"/>
    <w:rsid w:val="00BB2093"/>
    <w:rsid w:val="00BB21FF"/>
    <w:rsid w:val="00BB2253"/>
    <w:rsid w:val="00BB2259"/>
    <w:rsid w:val="00BB229C"/>
    <w:rsid w:val="00BB22C4"/>
    <w:rsid w:val="00BB22C7"/>
    <w:rsid w:val="00BB2313"/>
    <w:rsid w:val="00BB2552"/>
    <w:rsid w:val="00BB25AF"/>
    <w:rsid w:val="00BB261F"/>
    <w:rsid w:val="00BB273A"/>
    <w:rsid w:val="00BB27AC"/>
    <w:rsid w:val="00BB27C0"/>
    <w:rsid w:val="00BB27C3"/>
    <w:rsid w:val="00BB29F0"/>
    <w:rsid w:val="00BB29F7"/>
    <w:rsid w:val="00BB2C99"/>
    <w:rsid w:val="00BB2CFB"/>
    <w:rsid w:val="00BB2D81"/>
    <w:rsid w:val="00BB2E01"/>
    <w:rsid w:val="00BB2EC5"/>
    <w:rsid w:val="00BB2F9A"/>
    <w:rsid w:val="00BB30DB"/>
    <w:rsid w:val="00BB3138"/>
    <w:rsid w:val="00BB31C4"/>
    <w:rsid w:val="00BB32BF"/>
    <w:rsid w:val="00BB32DE"/>
    <w:rsid w:val="00BB32E2"/>
    <w:rsid w:val="00BB3348"/>
    <w:rsid w:val="00BB35F3"/>
    <w:rsid w:val="00BB35F4"/>
    <w:rsid w:val="00BB3682"/>
    <w:rsid w:val="00BB372B"/>
    <w:rsid w:val="00BB37E2"/>
    <w:rsid w:val="00BB3814"/>
    <w:rsid w:val="00BB3865"/>
    <w:rsid w:val="00BB3A1A"/>
    <w:rsid w:val="00BB3A78"/>
    <w:rsid w:val="00BB3AC0"/>
    <w:rsid w:val="00BB3AC5"/>
    <w:rsid w:val="00BB3C78"/>
    <w:rsid w:val="00BB3C7D"/>
    <w:rsid w:val="00BB3DEB"/>
    <w:rsid w:val="00BB3FB5"/>
    <w:rsid w:val="00BB3FE5"/>
    <w:rsid w:val="00BB4056"/>
    <w:rsid w:val="00BB40A7"/>
    <w:rsid w:val="00BB40C8"/>
    <w:rsid w:val="00BB40CA"/>
    <w:rsid w:val="00BB418F"/>
    <w:rsid w:val="00BB4225"/>
    <w:rsid w:val="00BB4238"/>
    <w:rsid w:val="00BB436D"/>
    <w:rsid w:val="00BB4470"/>
    <w:rsid w:val="00BB44EE"/>
    <w:rsid w:val="00BB463B"/>
    <w:rsid w:val="00BB481E"/>
    <w:rsid w:val="00BB482C"/>
    <w:rsid w:val="00BB48B0"/>
    <w:rsid w:val="00BB499B"/>
    <w:rsid w:val="00BB49E7"/>
    <w:rsid w:val="00BB4A95"/>
    <w:rsid w:val="00BB4BD4"/>
    <w:rsid w:val="00BB4C18"/>
    <w:rsid w:val="00BB4CC0"/>
    <w:rsid w:val="00BB4E9E"/>
    <w:rsid w:val="00BB4EDA"/>
    <w:rsid w:val="00BB4F5E"/>
    <w:rsid w:val="00BB50F0"/>
    <w:rsid w:val="00BB51F5"/>
    <w:rsid w:val="00BB5247"/>
    <w:rsid w:val="00BB527C"/>
    <w:rsid w:val="00BB544C"/>
    <w:rsid w:val="00BB544F"/>
    <w:rsid w:val="00BB5558"/>
    <w:rsid w:val="00BB5602"/>
    <w:rsid w:val="00BB56A6"/>
    <w:rsid w:val="00BB5837"/>
    <w:rsid w:val="00BB5875"/>
    <w:rsid w:val="00BB5977"/>
    <w:rsid w:val="00BB5AC2"/>
    <w:rsid w:val="00BB5C28"/>
    <w:rsid w:val="00BB5C8A"/>
    <w:rsid w:val="00BB5CD0"/>
    <w:rsid w:val="00BB5D41"/>
    <w:rsid w:val="00BB5F32"/>
    <w:rsid w:val="00BB5F90"/>
    <w:rsid w:val="00BB60D6"/>
    <w:rsid w:val="00BB6171"/>
    <w:rsid w:val="00BB6201"/>
    <w:rsid w:val="00BB6294"/>
    <w:rsid w:val="00BB6307"/>
    <w:rsid w:val="00BB6467"/>
    <w:rsid w:val="00BB6499"/>
    <w:rsid w:val="00BB695D"/>
    <w:rsid w:val="00BB696E"/>
    <w:rsid w:val="00BB6A3E"/>
    <w:rsid w:val="00BB6A57"/>
    <w:rsid w:val="00BB6A62"/>
    <w:rsid w:val="00BB6E05"/>
    <w:rsid w:val="00BB6E09"/>
    <w:rsid w:val="00BB6E8F"/>
    <w:rsid w:val="00BB6F25"/>
    <w:rsid w:val="00BB70F0"/>
    <w:rsid w:val="00BB71D6"/>
    <w:rsid w:val="00BB7215"/>
    <w:rsid w:val="00BB73B9"/>
    <w:rsid w:val="00BB73C6"/>
    <w:rsid w:val="00BB7455"/>
    <w:rsid w:val="00BB7532"/>
    <w:rsid w:val="00BB75BD"/>
    <w:rsid w:val="00BB77E8"/>
    <w:rsid w:val="00BB78E2"/>
    <w:rsid w:val="00BB79BE"/>
    <w:rsid w:val="00BB7A1A"/>
    <w:rsid w:val="00BB7A3C"/>
    <w:rsid w:val="00BB7BB0"/>
    <w:rsid w:val="00BB7C77"/>
    <w:rsid w:val="00BB7E60"/>
    <w:rsid w:val="00BB7EC5"/>
    <w:rsid w:val="00BBB28A"/>
    <w:rsid w:val="00BC0005"/>
    <w:rsid w:val="00BC0007"/>
    <w:rsid w:val="00BC000D"/>
    <w:rsid w:val="00BC0207"/>
    <w:rsid w:val="00BC04C5"/>
    <w:rsid w:val="00BC04E6"/>
    <w:rsid w:val="00BC056E"/>
    <w:rsid w:val="00BC06B5"/>
    <w:rsid w:val="00BC0758"/>
    <w:rsid w:val="00BC07A6"/>
    <w:rsid w:val="00BC081F"/>
    <w:rsid w:val="00BC0853"/>
    <w:rsid w:val="00BC08DA"/>
    <w:rsid w:val="00BC08F5"/>
    <w:rsid w:val="00BC09A1"/>
    <w:rsid w:val="00BC0B32"/>
    <w:rsid w:val="00BC0B47"/>
    <w:rsid w:val="00BC0B4B"/>
    <w:rsid w:val="00BC0C90"/>
    <w:rsid w:val="00BC0F37"/>
    <w:rsid w:val="00BC0F4D"/>
    <w:rsid w:val="00BC1057"/>
    <w:rsid w:val="00BC10C4"/>
    <w:rsid w:val="00BC11C8"/>
    <w:rsid w:val="00BC11F3"/>
    <w:rsid w:val="00BC1252"/>
    <w:rsid w:val="00BC13FB"/>
    <w:rsid w:val="00BC14CF"/>
    <w:rsid w:val="00BC15A2"/>
    <w:rsid w:val="00BC1768"/>
    <w:rsid w:val="00BC1A79"/>
    <w:rsid w:val="00BC1AF9"/>
    <w:rsid w:val="00BC1D7C"/>
    <w:rsid w:val="00BC1E52"/>
    <w:rsid w:val="00BC2162"/>
    <w:rsid w:val="00BC2245"/>
    <w:rsid w:val="00BC2290"/>
    <w:rsid w:val="00BC22E4"/>
    <w:rsid w:val="00BC2332"/>
    <w:rsid w:val="00BC23D8"/>
    <w:rsid w:val="00BC23D9"/>
    <w:rsid w:val="00BC247C"/>
    <w:rsid w:val="00BC252E"/>
    <w:rsid w:val="00BC276D"/>
    <w:rsid w:val="00BC295D"/>
    <w:rsid w:val="00BC2AC9"/>
    <w:rsid w:val="00BC2B76"/>
    <w:rsid w:val="00BC2B87"/>
    <w:rsid w:val="00BC2BCE"/>
    <w:rsid w:val="00BC2C5E"/>
    <w:rsid w:val="00BC2DAC"/>
    <w:rsid w:val="00BC2DE8"/>
    <w:rsid w:val="00BC2E21"/>
    <w:rsid w:val="00BC2E36"/>
    <w:rsid w:val="00BC2E84"/>
    <w:rsid w:val="00BC3127"/>
    <w:rsid w:val="00BC313E"/>
    <w:rsid w:val="00BC31E5"/>
    <w:rsid w:val="00BC32EB"/>
    <w:rsid w:val="00BC3319"/>
    <w:rsid w:val="00BC3383"/>
    <w:rsid w:val="00BC33C0"/>
    <w:rsid w:val="00BC357A"/>
    <w:rsid w:val="00BC376C"/>
    <w:rsid w:val="00BC37A5"/>
    <w:rsid w:val="00BC37DC"/>
    <w:rsid w:val="00BC3A15"/>
    <w:rsid w:val="00BC3B89"/>
    <w:rsid w:val="00BC3BB7"/>
    <w:rsid w:val="00BC3C43"/>
    <w:rsid w:val="00BC3DF8"/>
    <w:rsid w:val="00BC4052"/>
    <w:rsid w:val="00BC4142"/>
    <w:rsid w:val="00BC4189"/>
    <w:rsid w:val="00BC419D"/>
    <w:rsid w:val="00BC447D"/>
    <w:rsid w:val="00BC44FE"/>
    <w:rsid w:val="00BC4589"/>
    <w:rsid w:val="00BC469F"/>
    <w:rsid w:val="00BC46F1"/>
    <w:rsid w:val="00BC472F"/>
    <w:rsid w:val="00BC48E2"/>
    <w:rsid w:val="00BC490C"/>
    <w:rsid w:val="00BC4913"/>
    <w:rsid w:val="00BC49F6"/>
    <w:rsid w:val="00BC4AD2"/>
    <w:rsid w:val="00BC4B66"/>
    <w:rsid w:val="00BC4B96"/>
    <w:rsid w:val="00BC4E7E"/>
    <w:rsid w:val="00BC4F66"/>
    <w:rsid w:val="00BC4FA0"/>
    <w:rsid w:val="00BC5111"/>
    <w:rsid w:val="00BC5300"/>
    <w:rsid w:val="00BC5316"/>
    <w:rsid w:val="00BC53A7"/>
    <w:rsid w:val="00BC54CC"/>
    <w:rsid w:val="00BC560D"/>
    <w:rsid w:val="00BC5656"/>
    <w:rsid w:val="00BC567E"/>
    <w:rsid w:val="00BC577E"/>
    <w:rsid w:val="00BC57B0"/>
    <w:rsid w:val="00BC57E2"/>
    <w:rsid w:val="00BC581A"/>
    <w:rsid w:val="00BC59A9"/>
    <w:rsid w:val="00BC59C1"/>
    <w:rsid w:val="00BC5AAB"/>
    <w:rsid w:val="00BC5BCA"/>
    <w:rsid w:val="00BC5BF7"/>
    <w:rsid w:val="00BC5C10"/>
    <w:rsid w:val="00BC6155"/>
    <w:rsid w:val="00BC6196"/>
    <w:rsid w:val="00BC6206"/>
    <w:rsid w:val="00BC623E"/>
    <w:rsid w:val="00BC628C"/>
    <w:rsid w:val="00BC6293"/>
    <w:rsid w:val="00BC62C4"/>
    <w:rsid w:val="00BC6310"/>
    <w:rsid w:val="00BC6353"/>
    <w:rsid w:val="00BC6376"/>
    <w:rsid w:val="00BC6386"/>
    <w:rsid w:val="00BC638D"/>
    <w:rsid w:val="00BC63BE"/>
    <w:rsid w:val="00BC648B"/>
    <w:rsid w:val="00BC6701"/>
    <w:rsid w:val="00BC6740"/>
    <w:rsid w:val="00BC6868"/>
    <w:rsid w:val="00BC68A0"/>
    <w:rsid w:val="00BC68A1"/>
    <w:rsid w:val="00BC695E"/>
    <w:rsid w:val="00BC69C1"/>
    <w:rsid w:val="00BC6A03"/>
    <w:rsid w:val="00BC6B3F"/>
    <w:rsid w:val="00BC6CF2"/>
    <w:rsid w:val="00BC6D7E"/>
    <w:rsid w:val="00BC6FF2"/>
    <w:rsid w:val="00BC71FC"/>
    <w:rsid w:val="00BC746F"/>
    <w:rsid w:val="00BC7475"/>
    <w:rsid w:val="00BC76BB"/>
    <w:rsid w:val="00BC7870"/>
    <w:rsid w:val="00BC7879"/>
    <w:rsid w:val="00BC78EF"/>
    <w:rsid w:val="00BC7ABC"/>
    <w:rsid w:val="00BC7B32"/>
    <w:rsid w:val="00BC7C40"/>
    <w:rsid w:val="00BC7C7B"/>
    <w:rsid w:val="00BC7D89"/>
    <w:rsid w:val="00BC7D8D"/>
    <w:rsid w:val="00BC7DA1"/>
    <w:rsid w:val="00BC7F4C"/>
    <w:rsid w:val="00BD00E0"/>
    <w:rsid w:val="00BD0108"/>
    <w:rsid w:val="00BD013A"/>
    <w:rsid w:val="00BD02B2"/>
    <w:rsid w:val="00BD0308"/>
    <w:rsid w:val="00BD060D"/>
    <w:rsid w:val="00BD07A2"/>
    <w:rsid w:val="00BD0811"/>
    <w:rsid w:val="00BD0975"/>
    <w:rsid w:val="00BD09E9"/>
    <w:rsid w:val="00BD0A01"/>
    <w:rsid w:val="00BD0C16"/>
    <w:rsid w:val="00BD0C1E"/>
    <w:rsid w:val="00BD0C74"/>
    <w:rsid w:val="00BD0F5D"/>
    <w:rsid w:val="00BD1314"/>
    <w:rsid w:val="00BD1321"/>
    <w:rsid w:val="00BD1685"/>
    <w:rsid w:val="00BD16B9"/>
    <w:rsid w:val="00BD16D6"/>
    <w:rsid w:val="00BD19AA"/>
    <w:rsid w:val="00BD19C3"/>
    <w:rsid w:val="00BD19FA"/>
    <w:rsid w:val="00BD1B32"/>
    <w:rsid w:val="00BD1B8C"/>
    <w:rsid w:val="00BD1C3D"/>
    <w:rsid w:val="00BD1D2F"/>
    <w:rsid w:val="00BD1DBF"/>
    <w:rsid w:val="00BD1E1D"/>
    <w:rsid w:val="00BD1F83"/>
    <w:rsid w:val="00BD1FA7"/>
    <w:rsid w:val="00BD2043"/>
    <w:rsid w:val="00BD20AE"/>
    <w:rsid w:val="00BD20B9"/>
    <w:rsid w:val="00BD2143"/>
    <w:rsid w:val="00BD21B6"/>
    <w:rsid w:val="00BD220F"/>
    <w:rsid w:val="00BD23E3"/>
    <w:rsid w:val="00BD245B"/>
    <w:rsid w:val="00BD263B"/>
    <w:rsid w:val="00BD2653"/>
    <w:rsid w:val="00BD28DA"/>
    <w:rsid w:val="00BD2930"/>
    <w:rsid w:val="00BD294E"/>
    <w:rsid w:val="00BD2ABC"/>
    <w:rsid w:val="00BD2BC9"/>
    <w:rsid w:val="00BD2BE8"/>
    <w:rsid w:val="00BD2C2B"/>
    <w:rsid w:val="00BD2C4A"/>
    <w:rsid w:val="00BD2E1A"/>
    <w:rsid w:val="00BD3072"/>
    <w:rsid w:val="00BD3075"/>
    <w:rsid w:val="00BD3085"/>
    <w:rsid w:val="00BD32D8"/>
    <w:rsid w:val="00BD3440"/>
    <w:rsid w:val="00BD3442"/>
    <w:rsid w:val="00BD3929"/>
    <w:rsid w:val="00BD3989"/>
    <w:rsid w:val="00BD39EC"/>
    <w:rsid w:val="00BD3A04"/>
    <w:rsid w:val="00BD3AF5"/>
    <w:rsid w:val="00BD3BD1"/>
    <w:rsid w:val="00BD3BF9"/>
    <w:rsid w:val="00BD3C90"/>
    <w:rsid w:val="00BD3D70"/>
    <w:rsid w:val="00BD3EFB"/>
    <w:rsid w:val="00BD3F27"/>
    <w:rsid w:val="00BD4024"/>
    <w:rsid w:val="00BD405F"/>
    <w:rsid w:val="00BD4131"/>
    <w:rsid w:val="00BD4236"/>
    <w:rsid w:val="00BD4276"/>
    <w:rsid w:val="00BD443C"/>
    <w:rsid w:val="00BD4447"/>
    <w:rsid w:val="00BD455A"/>
    <w:rsid w:val="00BD45E2"/>
    <w:rsid w:val="00BD4631"/>
    <w:rsid w:val="00BD47A3"/>
    <w:rsid w:val="00BD4850"/>
    <w:rsid w:val="00BD49BC"/>
    <w:rsid w:val="00BD49C6"/>
    <w:rsid w:val="00BD4CD9"/>
    <w:rsid w:val="00BD4D9F"/>
    <w:rsid w:val="00BD4DC1"/>
    <w:rsid w:val="00BD4EF7"/>
    <w:rsid w:val="00BD4F98"/>
    <w:rsid w:val="00BD4FD0"/>
    <w:rsid w:val="00BD502E"/>
    <w:rsid w:val="00BD507B"/>
    <w:rsid w:val="00BD51E2"/>
    <w:rsid w:val="00BD51E7"/>
    <w:rsid w:val="00BD52B8"/>
    <w:rsid w:val="00BD52BC"/>
    <w:rsid w:val="00BD52CD"/>
    <w:rsid w:val="00BD52CE"/>
    <w:rsid w:val="00BD52EC"/>
    <w:rsid w:val="00BD539F"/>
    <w:rsid w:val="00BD55CC"/>
    <w:rsid w:val="00BD5626"/>
    <w:rsid w:val="00BD5679"/>
    <w:rsid w:val="00BD5710"/>
    <w:rsid w:val="00BD5773"/>
    <w:rsid w:val="00BD57CB"/>
    <w:rsid w:val="00BD5816"/>
    <w:rsid w:val="00BD5846"/>
    <w:rsid w:val="00BD58E0"/>
    <w:rsid w:val="00BD59CE"/>
    <w:rsid w:val="00BD5B56"/>
    <w:rsid w:val="00BD5CFD"/>
    <w:rsid w:val="00BD5D39"/>
    <w:rsid w:val="00BD5DBB"/>
    <w:rsid w:val="00BD5E65"/>
    <w:rsid w:val="00BD6032"/>
    <w:rsid w:val="00BD6056"/>
    <w:rsid w:val="00BD605C"/>
    <w:rsid w:val="00BD6182"/>
    <w:rsid w:val="00BD618D"/>
    <w:rsid w:val="00BD63BA"/>
    <w:rsid w:val="00BD6750"/>
    <w:rsid w:val="00BD67ED"/>
    <w:rsid w:val="00BD67F8"/>
    <w:rsid w:val="00BD6866"/>
    <w:rsid w:val="00BD6A40"/>
    <w:rsid w:val="00BD6B82"/>
    <w:rsid w:val="00BD6BE7"/>
    <w:rsid w:val="00BD6C29"/>
    <w:rsid w:val="00BD6C58"/>
    <w:rsid w:val="00BD6C99"/>
    <w:rsid w:val="00BD6DAD"/>
    <w:rsid w:val="00BD6DFC"/>
    <w:rsid w:val="00BD6E34"/>
    <w:rsid w:val="00BD6F29"/>
    <w:rsid w:val="00BD7133"/>
    <w:rsid w:val="00BD7138"/>
    <w:rsid w:val="00BD71AC"/>
    <w:rsid w:val="00BD7275"/>
    <w:rsid w:val="00BD7285"/>
    <w:rsid w:val="00BD7289"/>
    <w:rsid w:val="00BD72A6"/>
    <w:rsid w:val="00BD736E"/>
    <w:rsid w:val="00BD7421"/>
    <w:rsid w:val="00BD74CE"/>
    <w:rsid w:val="00BD7515"/>
    <w:rsid w:val="00BD756F"/>
    <w:rsid w:val="00BD75E8"/>
    <w:rsid w:val="00BD7757"/>
    <w:rsid w:val="00BD7763"/>
    <w:rsid w:val="00BD777B"/>
    <w:rsid w:val="00BD7781"/>
    <w:rsid w:val="00BD78CA"/>
    <w:rsid w:val="00BD7A71"/>
    <w:rsid w:val="00BD7ABF"/>
    <w:rsid w:val="00BD7B2B"/>
    <w:rsid w:val="00BD7B7A"/>
    <w:rsid w:val="00BD7BA6"/>
    <w:rsid w:val="00BD7BFA"/>
    <w:rsid w:val="00BD7C71"/>
    <w:rsid w:val="00BD7CED"/>
    <w:rsid w:val="00BD7D05"/>
    <w:rsid w:val="00BD7DE3"/>
    <w:rsid w:val="00BD7E01"/>
    <w:rsid w:val="00BD7E4A"/>
    <w:rsid w:val="00BD7EDC"/>
    <w:rsid w:val="00BE0044"/>
    <w:rsid w:val="00BE01E5"/>
    <w:rsid w:val="00BE01F6"/>
    <w:rsid w:val="00BE02C0"/>
    <w:rsid w:val="00BE043B"/>
    <w:rsid w:val="00BE04DC"/>
    <w:rsid w:val="00BE0680"/>
    <w:rsid w:val="00BE0732"/>
    <w:rsid w:val="00BE07AE"/>
    <w:rsid w:val="00BE07D2"/>
    <w:rsid w:val="00BE08B6"/>
    <w:rsid w:val="00BE09C9"/>
    <w:rsid w:val="00BE0BE8"/>
    <w:rsid w:val="00BE0D02"/>
    <w:rsid w:val="00BE0F22"/>
    <w:rsid w:val="00BE111E"/>
    <w:rsid w:val="00BE11F5"/>
    <w:rsid w:val="00BE11F7"/>
    <w:rsid w:val="00BE12EE"/>
    <w:rsid w:val="00BE13EF"/>
    <w:rsid w:val="00BE1410"/>
    <w:rsid w:val="00BE181D"/>
    <w:rsid w:val="00BE1A3B"/>
    <w:rsid w:val="00BE1B3A"/>
    <w:rsid w:val="00BE1D4F"/>
    <w:rsid w:val="00BE1DE1"/>
    <w:rsid w:val="00BE1E4E"/>
    <w:rsid w:val="00BE1EA6"/>
    <w:rsid w:val="00BE1F0C"/>
    <w:rsid w:val="00BE1FA4"/>
    <w:rsid w:val="00BE1FD7"/>
    <w:rsid w:val="00BE2069"/>
    <w:rsid w:val="00BE2110"/>
    <w:rsid w:val="00BE2162"/>
    <w:rsid w:val="00BE22B3"/>
    <w:rsid w:val="00BE234C"/>
    <w:rsid w:val="00BE2372"/>
    <w:rsid w:val="00BE2695"/>
    <w:rsid w:val="00BE28A5"/>
    <w:rsid w:val="00BE29FB"/>
    <w:rsid w:val="00BE2B19"/>
    <w:rsid w:val="00BE2B7B"/>
    <w:rsid w:val="00BE2C6D"/>
    <w:rsid w:val="00BE2CE6"/>
    <w:rsid w:val="00BE2E54"/>
    <w:rsid w:val="00BE2E88"/>
    <w:rsid w:val="00BE2EAD"/>
    <w:rsid w:val="00BE2EB5"/>
    <w:rsid w:val="00BE2F64"/>
    <w:rsid w:val="00BE3122"/>
    <w:rsid w:val="00BE3280"/>
    <w:rsid w:val="00BE33FA"/>
    <w:rsid w:val="00BE3410"/>
    <w:rsid w:val="00BE344D"/>
    <w:rsid w:val="00BE3529"/>
    <w:rsid w:val="00BE3749"/>
    <w:rsid w:val="00BE37F2"/>
    <w:rsid w:val="00BE39F6"/>
    <w:rsid w:val="00BE3A12"/>
    <w:rsid w:val="00BE3AB7"/>
    <w:rsid w:val="00BE3C83"/>
    <w:rsid w:val="00BE3CDD"/>
    <w:rsid w:val="00BE3EEB"/>
    <w:rsid w:val="00BE3F85"/>
    <w:rsid w:val="00BE3FC8"/>
    <w:rsid w:val="00BE3FD8"/>
    <w:rsid w:val="00BE40F7"/>
    <w:rsid w:val="00BE41C0"/>
    <w:rsid w:val="00BE45C6"/>
    <w:rsid w:val="00BE472A"/>
    <w:rsid w:val="00BE488C"/>
    <w:rsid w:val="00BE48A3"/>
    <w:rsid w:val="00BE4917"/>
    <w:rsid w:val="00BE4936"/>
    <w:rsid w:val="00BE4C43"/>
    <w:rsid w:val="00BE4D6E"/>
    <w:rsid w:val="00BE4DCB"/>
    <w:rsid w:val="00BE4DDD"/>
    <w:rsid w:val="00BE4E27"/>
    <w:rsid w:val="00BE4E3B"/>
    <w:rsid w:val="00BE4E63"/>
    <w:rsid w:val="00BE4EA0"/>
    <w:rsid w:val="00BE4EC3"/>
    <w:rsid w:val="00BE5014"/>
    <w:rsid w:val="00BE511C"/>
    <w:rsid w:val="00BE51AA"/>
    <w:rsid w:val="00BE5304"/>
    <w:rsid w:val="00BE5375"/>
    <w:rsid w:val="00BE561F"/>
    <w:rsid w:val="00BE570A"/>
    <w:rsid w:val="00BE57CB"/>
    <w:rsid w:val="00BE587C"/>
    <w:rsid w:val="00BE58C6"/>
    <w:rsid w:val="00BE59E0"/>
    <w:rsid w:val="00BE5AC4"/>
    <w:rsid w:val="00BE5B03"/>
    <w:rsid w:val="00BE5BDA"/>
    <w:rsid w:val="00BE5C31"/>
    <w:rsid w:val="00BE5DBC"/>
    <w:rsid w:val="00BE5E88"/>
    <w:rsid w:val="00BE5EF7"/>
    <w:rsid w:val="00BE6012"/>
    <w:rsid w:val="00BE61D4"/>
    <w:rsid w:val="00BE6266"/>
    <w:rsid w:val="00BE646D"/>
    <w:rsid w:val="00BE6571"/>
    <w:rsid w:val="00BE65BE"/>
    <w:rsid w:val="00BE66A7"/>
    <w:rsid w:val="00BE6964"/>
    <w:rsid w:val="00BE6A0D"/>
    <w:rsid w:val="00BE6B77"/>
    <w:rsid w:val="00BE6C46"/>
    <w:rsid w:val="00BE6E0B"/>
    <w:rsid w:val="00BE6E23"/>
    <w:rsid w:val="00BE6ED6"/>
    <w:rsid w:val="00BE6F0E"/>
    <w:rsid w:val="00BE6FB6"/>
    <w:rsid w:val="00BE6FB9"/>
    <w:rsid w:val="00BE722D"/>
    <w:rsid w:val="00BE7292"/>
    <w:rsid w:val="00BE7409"/>
    <w:rsid w:val="00BE7496"/>
    <w:rsid w:val="00BE750E"/>
    <w:rsid w:val="00BE7524"/>
    <w:rsid w:val="00BE75B2"/>
    <w:rsid w:val="00BE7651"/>
    <w:rsid w:val="00BE7663"/>
    <w:rsid w:val="00BE7668"/>
    <w:rsid w:val="00BE77E6"/>
    <w:rsid w:val="00BE7831"/>
    <w:rsid w:val="00BE79B2"/>
    <w:rsid w:val="00BE79E4"/>
    <w:rsid w:val="00BE7A4F"/>
    <w:rsid w:val="00BE7B53"/>
    <w:rsid w:val="00BE7C4F"/>
    <w:rsid w:val="00BE7D3A"/>
    <w:rsid w:val="00BE7F0C"/>
    <w:rsid w:val="00BE7F97"/>
    <w:rsid w:val="00BE7FE8"/>
    <w:rsid w:val="00BF0178"/>
    <w:rsid w:val="00BF01ED"/>
    <w:rsid w:val="00BF023A"/>
    <w:rsid w:val="00BF0291"/>
    <w:rsid w:val="00BF0455"/>
    <w:rsid w:val="00BF0475"/>
    <w:rsid w:val="00BF047A"/>
    <w:rsid w:val="00BF047E"/>
    <w:rsid w:val="00BF06F8"/>
    <w:rsid w:val="00BF088E"/>
    <w:rsid w:val="00BF0890"/>
    <w:rsid w:val="00BF08A4"/>
    <w:rsid w:val="00BF08C5"/>
    <w:rsid w:val="00BF0A2E"/>
    <w:rsid w:val="00BF0B52"/>
    <w:rsid w:val="00BF0CA4"/>
    <w:rsid w:val="00BF0D7B"/>
    <w:rsid w:val="00BF0DD9"/>
    <w:rsid w:val="00BF1023"/>
    <w:rsid w:val="00BF108D"/>
    <w:rsid w:val="00BF111C"/>
    <w:rsid w:val="00BF11DB"/>
    <w:rsid w:val="00BF1603"/>
    <w:rsid w:val="00BF1630"/>
    <w:rsid w:val="00BF1724"/>
    <w:rsid w:val="00BF1A5C"/>
    <w:rsid w:val="00BF1B8E"/>
    <w:rsid w:val="00BF1CE8"/>
    <w:rsid w:val="00BF1D80"/>
    <w:rsid w:val="00BF1DA3"/>
    <w:rsid w:val="00BF1DB2"/>
    <w:rsid w:val="00BF1DBB"/>
    <w:rsid w:val="00BF1EEE"/>
    <w:rsid w:val="00BF1F24"/>
    <w:rsid w:val="00BF1F51"/>
    <w:rsid w:val="00BF2064"/>
    <w:rsid w:val="00BF2174"/>
    <w:rsid w:val="00BF21DF"/>
    <w:rsid w:val="00BF22C9"/>
    <w:rsid w:val="00BF22E1"/>
    <w:rsid w:val="00BF2302"/>
    <w:rsid w:val="00BF2357"/>
    <w:rsid w:val="00BF2482"/>
    <w:rsid w:val="00BF257D"/>
    <w:rsid w:val="00BF2641"/>
    <w:rsid w:val="00BF26FD"/>
    <w:rsid w:val="00BF2837"/>
    <w:rsid w:val="00BF285B"/>
    <w:rsid w:val="00BF29A1"/>
    <w:rsid w:val="00BF2A39"/>
    <w:rsid w:val="00BF2A99"/>
    <w:rsid w:val="00BF2AF2"/>
    <w:rsid w:val="00BF2AF6"/>
    <w:rsid w:val="00BF2C25"/>
    <w:rsid w:val="00BF2CA5"/>
    <w:rsid w:val="00BF2DD8"/>
    <w:rsid w:val="00BF2DE5"/>
    <w:rsid w:val="00BF2F66"/>
    <w:rsid w:val="00BF32C2"/>
    <w:rsid w:val="00BF330B"/>
    <w:rsid w:val="00BF3429"/>
    <w:rsid w:val="00BF34C0"/>
    <w:rsid w:val="00BF351E"/>
    <w:rsid w:val="00BF370B"/>
    <w:rsid w:val="00BF37E5"/>
    <w:rsid w:val="00BF384D"/>
    <w:rsid w:val="00BF3AC1"/>
    <w:rsid w:val="00BF3AD5"/>
    <w:rsid w:val="00BF3AF2"/>
    <w:rsid w:val="00BF3B29"/>
    <w:rsid w:val="00BF3B75"/>
    <w:rsid w:val="00BF3C45"/>
    <w:rsid w:val="00BF3CB6"/>
    <w:rsid w:val="00BF3E25"/>
    <w:rsid w:val="00BF3EF7"/>
    <w:rsid w:val="00BF3F73"/>
    <w:rsid w:val="00BF41AD"/>
    <w:rsid w:val="00BF422D"/>
    <w:rsid w:val="00BF426D"/>
    <w:rsid w:val="00BF43AD"/>
    <w:rsid w:val="00BF4434"/>
    <w:rsid w:val="00BF444D"/>
    <w:rsid w:val="00BF4533"/>
    <w:rsid w:val="00BF45FE"/>
    <w:rsid w:val="00BF4606"/>
    <w:rsid w:val="00BF472B"/>
    <w:rsid w:val="00BF4861"/>
    <w:rsid w:val="00BF4AB2"/>
    <w:rsid w:val="00BF4BFA"/>
    <w:rsid w:val="00BF4BFC"/>
    <w:rsid w:val="00BF4D29"/>
    <w:rsid w:val="00BF4D62"/>
    <w:rsid w:val="00BF4D9E"/>
    <w:rsid w:val="00BF4FBB"/>
    <w:rsid w:val="00BF5112"/>
    <w:rsid w:val="00BF512B"/>
    <w:rsid w:val="00BF533B"/>
    <w:rsid w:val="00BF5363"/>
    <w:rsid w:val="00BF538B"/>
    <w:rsid w:val="00BF5420"/>
    <w:rsid w:val="00BF5670"/>
    <w:rsid w:val="00BF5681"/>
    <w:rsid w:val="00BF5720"/>
    <w:rsid w:val="00BF5741"/>
    <w:rsid w:val="00BF5830"/>
    <w:rsid w:val="00BF5840"/>
    <w:rsid w:val="00BF5876"/>
    <w:rsid w:val="00BF5926"/>
    <w:rsid w:val="00BF5A09"/>
    <w:rsid w:val="00BF5A11"/>
    <w:rsid w:val="00BF5B93"/>
    <w:rsid w:val="00BF5BF9"/>
    <w:rsid w:val="00BF5D14"/>
    <w:rsid w:val="00BF5D58"/>
    <w:rsid w:val="00BF5E9E"/>
    <w:rsid w:val="00BF5F2C"/>
    <w:rsid w:val="00BF5F49"/>
    <w:rsid w:val="00BF5F4C"/>
    <w:rsid w:val="00BF5F7E"/>
    <w:rsid w:val="00BF6205"/>
    <w:rsid w:val="00BF6454"/>
    <w:rsid w:val="00BF6599"/>
    <w:rsid w:val="00BF66DE"/>
    <w:rsid w:val="00BF67DA"/>
    <w:rsid w:val="00BF6AEC"/>
    <w:rsid w:val="00BF6B5A"/>
    <w:rsid w:val="00BF6B98"/>
    <w:rsid w:val="00BF6D45"/>
    <w:rsid w:val="00BF6DBD"/>
    <w:rsid w:val="00BF6E27"/>
    <w:rsid w:val="00BF6EAB"/>
    <w:rsid w:val="00BF70AD"/>
    <w:rsid w:val="00BF71B6"/>
    <w:rsid w:val="00BF7209"/>
    <w:rsid w:val="00BF7342"/>
    <w:rsid w:val="00BF73C8"/>
    <w:rsid w:val="00BF7447"/>
    <w:rsid w:val="00BF745C"/>
    <w:rsid w:val="00BF755E"/>
    <w:rsid w:val="00BF75C1"/>
    <w:rsid w:val="00BF7624"/>
    <w:rsid w:val="00BF76A6"/>
    <w:rsid w:val="00BF76F9"/>
    <w:rsid w:val="00BF7724"/>
    <w:rsid w:val="00BF7743"/>
    <w:rsid w:val="00BF7745"/>
    <w:rsid w:val="00BF77FF"/>
    <w:rsid w:val="00BF789E"/>
    <w:rsid w:val="00BF793A"/>
    <w:rsid w:val="00BF7A3A"/>
    <w:rsid w:val="00BF7A6F"/>
    <w:rsid w:val="00BF7D18"/>
    <w:rsid w:val="00BF7E96"/>
    <w:rsid w:val="00BF7F1E"/>
    <w:rsid w:val="00C00055"/>
    <w:rsid w:val="00C000B4"/>
    <w:rsid w:val="00C000FE"/>
    <w:rsid w:val="00C0015D"/>
    <w:rsid w:val="00C0023B"/>
    <w:rsid w:val="00C00391"/>
    <w:rsid w:val="00C0043B"/>
    <w:rsid w:val="00C00445"/>
    <w:rsid w:val="00C004A8"/>
    <w:rsid w:val="00C004E6"/>
    <w:rsid w:val="00C004EA"/>
    <w:rsid w:val="00C004EC"/>
    <w:rsid w:val="00C00510"/>
    <w:rsid w:val="00C00525"/>
    <w:rsid w:val="00C00651"/>
    <w:rsid w:val="00C008B8"/>
    <w:rsid w:val="00C0093D"/>
    <w:rsid w:val="00C00A43"/>
    <w:rsid w:val="00C00A54"/>
    <w:rsid w:val="00C00D91"/>
    <w:rsid w:val="00C00E80"/>
    <w:rsid w:val="00C01043"/>
    <w:rsid w:val="00C010E7"/>
    <w:rsid w:val="00C01131"/>
    <w:rsid w:val="00C012A2"/>
    <w:rsid w:val="00C01326"/>
    <w:rsid w:val="00C01353"/>
    <w:rsid w:val="00C01420"/>
    <w:rsid w:val="00C0151F"/>
    <w:rsid w:val="00C015C1"/>
    <w:rsid w:val="00C01700"/>
    <w:rsid w:val="00C0181A"/>
    <w:rsid w:val="00C018E5"/>
    <w:rsid w:val="00C01BD5"/>
    <w:rsid w:val="00C01BFC"/>
    <w:rsid w:val="00C01C46"/>
    <w:rsid w:val="00C01FCB"/>
    <w:rsid w:val="00C02096"/>
    <w:rsid w:val="00C020CB"/>
    <w:rsid w:val="00C020E8"/>
    <w:rsid w:val="00C02266"/>
    <w:rsid w:val="00C02276"/>
    <w:rsid w:val="00C0239E"/>
    <w:rsid w:val="00C02435"/>
    <w:rsid w:val="00C0247C"/>
    <w:rsid w:val="00C024C0"/>
    <w:rsid w:val="00C02602"/>
    <w:rsid w:val="00C02604"/>
    <w:rsid w:val="00C02698"/>
    <w:rsid w:val="00C02745"/>
    <w:rsid w:val="00C02746"/>
    <w:rsid w:val="00C02795"/>
    <w:rsid w:val="00C02944"/>
    <w:rsid w:val="00C02B77"/>
    <w:rsid w:val="00C02BBC"/>
    <w:rsid w:val="00C02E5D"/>
    <w:rsid w:val="00C02F2E"/>
    <w:rsid w:val="00C03070"/>
    <w:rsid w:val="00C030D1"/>
    <w:rsid w:val="00C031A5"/>
    <w:rsid w:val="00C03290"/>
    <w:rsid w:val="00C032B5"/>
    <w:rsid w:val="00C03327"/>
    <w:rsid w:val="00C0354F"/>
    <w:rsid w:val="00C037BF"/>
    <w:rsid w:val="00C03934"/>
    <w:rsid w:val="00C039F6"/>
    <w:rsid w:val="00C03BB5"/>
    <w:rsid w:val="00C03C3D"/>
    <w:rsid w:val="00C03EED"/>
    <w:rsid w:val="00C04091"/>
    <w:rsid w:val="00C040E2"/>
    <w:rsid w:val="00C041FE"/>
    <w:rsid w:val="00C04216"/>
    <w:rsid w:val="00C0426A"/>
    <w:rsid w:val="00C0428B"/>
    <w:rsid w:val="00C0458B"/>
    <w:rsid w:val="00C046BB"/>
    <w:rsid w:val="00C04719"/>
    <w:rsid w:val="00C0495A"/>
    <w:rsid w:val="00C049F0"/>
    <w:rsid w:val="00C04A2E"/>
    <w:rsid w:val="00C04AC7"/>
    <w:rsid w:val="00C04BE2"/>
    <w:rsid w:val="00C04D5B"/>
    <w:rsid w:val="00C04D69"/>
    <w:rsid w:val="00C04EFB"/>
    <w:rsid w:val="00C04F09"/>
    <w:rsid w:val="00C04F5C"/>
    <w:rsid w:val="00C04FE9"/>
    <w:rsid w:val="00C04FF5"/>
    <w:rsid w:val="00C05102"/>
    <w:rsid w:val="00C05172"/>
    <w:rsid w:val="00C05197"/>
    <w:rsid w:val="00C051B2"/>
    <w:rsid w:val="00C051C4"/>
    <w:rsid w:val="00C053BB"/>
    <w:rsid w:val="00C05515"/>
    <w:rsid w:val="00C05571"/>
    <w:rsid w:val="00C055AA"/>
    <w:rsid w:val="00C056E8"/>
    <w:rsid w:val="00C05900"/>
    <w:rsid w:val="00C05971"/>
    <w:rsid w:val="00C05B49"/>
    <w:rsid w:val="00C05B73"/>
    <w:rsid w:val="00C05B8E"/>
    <w:rsid w:val="00C05C37"/>
    <w:rsid w:val="00C05C87"/>
    <w:rsid w:val="00C05DE1"/>
    <w:rsid w:val="00C05E8D"/>
    <w:rsid w:val="00C05EF9"/>
    <w:rsid w:val="00C05F34"/>
    <w:rsid w:val="00C05FCD"/>
    <w:rsid w:val="00C060AA"/>
    <w:rsid w:val="00C060C7"/>
    <w:rsid w:val="00C06202"/>
    <w:rsid w:val="00C062D5"/>
    <w:rsid w:val="00C06356"/>
    <w:rsid w:val="00C06399"/>
    <w:rsid w:val="00C063C2"/>
    <w:rsid w:val="00C06439"/>
    <w:rsid w:val="00C0646F"/>
    <w:rsid w:val="00C065F4"/>
    <w:rsid w:val="00C06735"/>
    <w:rsid w:val="00C0685C"/>
    <w:rsid w:val="00C0692F"/>
    <w:rsid w:val="00C06ECA"/>
    <w:rsid w:val="00C06ED9"/>
    <w:rsid w:val="00C06EE7"/>
    <w:rsid w:val="00C06F2A"/>
    <w:rsid w:val="00C07155"/>
    <w:rsid w:val="00C071B1"/>
    <w:rsid w:val="00C07212"/>
    <w:rsid w:val="00C07245"/>
    <w:rsid w:val="00C0749F"/>
    <w:rsid w:val="00C0755C"/>
    <w:rsid w:val="00C0757A"/>
    <w:rsid w:val="00C075FC"/>
    <w:rsid w:val="00C0760C"/>
    <w:rsid w:val="00C076E8"/>
    <w:rsid w:val="00C07719"/>
    <w:rsid w:val="00C0776C"/>
    <w:rsid w:val="00C07786"/>
    <w:rsid w:val="00C078C4"/>
    <w:rsid w:val="00C07A0F"/>
    <w:rsid w:val="00C07B17"/>
    <w:rsid w:val="00C07B79"/>
    <w:rsid w:val="00C07C69"/>
    <w:rsid w:val="00C07CD3"/>
    <w:rsid w:val="00C07E8D"/>
    <w:rsid w:val="00C07EAD"/>
    <w:rsid w:val="00C07F00"/>
    <w:rsid w:val="00C10033"/>
    <w:rsid w:val="00C100C7"/>
    <w:rsid w:val="00C10179"/>
    <w:rsid w:val="00C10256"/>
    <w:rsid w:val="00C10261"/>
    <w:rsid w:val="00C1026C"/>
    <w:rsid w:val="00C1029F"/>
    <w:rsid w:val="00C1053B"/>
    <w:rsid w:val="00C10707"/>
    <w:rsid w:val="00C1074A"/>
    <w:rsid w:val="00C10AA3"/>
    <w:rsid w:val="00C10CD4"/>
    <w:rsid w:val="00C10D7E"/>
    <w:rsid w:val="00C10F42"/>
    <w:rsid w:val="00C1131E"/>
    <w:rsid w:val="00C113D5"/>
    <w:rsid w:val="00C11430"/>
    <w:rsid w:val="00C11572"/>
    <w:rsid w:val="00C115F1"/>
    <w:rsid w:val="00C1162C"/>
    <w:rsid w:val="00C118B4"/>
    <w:rsid w:val="00C11942"/>
    <w:rsid w:val="00C11A28"/>
    <w:rsid w:val="00C11A94"/>
    <w:rsid w:val="00C11AC6"/>
    <w:rsid w:val="00C11C0D"/>
    <w:rsid w:val="00C11D39"/>
    <w:rsid w:val="00C12082"/>
    <w:rsid w:val="00C120D7"/>
    <w:rsid w:val="00C1217D"/>
    <w:rsid w:val="00C1218A"/>
    <w:rsid w:val="00C12352"/>
    <w:rsid w:val="00C12470"/>
    <w:rsid w:val="00C12B20"/>
    <w:rsid w:val="00C12BC6"/>
    <w:rsid w:val="00C12BFB"/>
    <w:rsid w:val="00C12D47"/>
    <w:rsid w:val="00C12E39"/>
    <w:rsid w:val="00C12EBD"/>
    <w:rsid w:val="00C13051"/>
    <w:rsid w:val="00C13063"/>
    <w:rsid w:val="00C13091"/>
    <w:rsid w:val="00C13133"/>
    <w:rsid w:val="00C133B7"/>
    <w:rsid w:val="00C135E1"/>
    <w:rsid w:val="00C135FE"/>
    <w:rsid w:val="00C1393A"/>
    <w:rsid w:val="00C13A3C"/>
    <w:rsid w:val="00C13BD3"/>
    <w:rsid w:val="00C13D15"/>
    <w:rsid w:val="00C13DD9"/>
    <w:rsid w:val="00C13E1A"/>
    <w:rsid w:val="00C1400C"/>
    <w:rsid w:val="00C140A3"/>
    <w:rsid w:val="00C140E9"/>
    <w:rsid w:val="00C14315"/>
    <w:rsid w:val="00C1435D"/>
    <w:rsid w:val="00C14452"/>
    <w:rsid w:val="00C1462D"/>
    <w:rsid w:val="00C14727"/>
    <w:rsid w:val="00C148A5"/>
    <w:rsid w:val="00C14922"/>
    <w:rsid w:val="00C1495C"/>
    <w:rsid w:val="00C149A2"/>
    <w:rsid w:val="00C14A81"/>
    <w:rsid w:val="00C14ACD"/>
    <w:rsid w:val="00C14B7B"/>
    <w:rsid w:val="00C14BE9"/>
    <w:rsid w:val="00C14C47"/>
    <w:rsid w:val="00C14C76"/>
    <w:rsid w:val="00C14FAF"/>
    <w:rsid w:val="00C15044"/>
    <w:rsid w:val="00C15162"/>
    <w:rsid w:val="00C151F6"/>
    <w:rsid w:val="00C1528E"/>
    <w:rsid w:val="00C15369"/>
    <w:rsid w:val="00C153E7"/>
    <w:rsid w:val="00C1557E"/>
    <w:rsid w:val="00C155FF"/>
    <w:rsid w:val="00C15635"/>
    <w:rsid w:val="00C1564B"/>
    <w:rsid w:val="00C15689"/>
    <w:rsid w:val="00C156FA"/>
    <w:rsid w:val="00C15736"/>
    <w:rsid w:val="00C159D3"/>
    <w:rsid w:val="00C15AFD"/>
    <w:rsid w:val="00C15C6D"/>
    <w:rsid w:val="00C15CDA"/>
    <w:rsid w:val="00C15E92"/>
    <w:rsid w:val="00C15FF0"/>
    <w:rsid w:val="00C1607B"/>
    <w:rsid w:val="00C16289"/>
    <w:rsid w:val="00C162AB"/>
    <w:rsid w:val="00C16341"/>
    <w:rsid w:val="00C1635F"/>
    <w:rsid w:val="00C16404"/>
    <w:rsid w:val="00C16511"/>
    <w:rsid w:val="00C165C0"/>
    <w:rsid w:val="00C166CC"/>
    <w:rsid w:val="00C166F4"/>
    <w:rsid w:val="00C16780"/>
    <w:rsid w:val="00C167DA"/>
    <w:rsid w:val="00C167FA"/>
    <w:rsid w:val="00C16A47"/>
    <w:rsid w:val="00C16ADA"/>
    <w:rsid w:val="00C16AEF"/>
    <w:rsid w:val="00C16B05"/>
    <w:rsid w:val="00C16BD0"/>
    <w:rsid w:val="00C16BE7"/>
    <w:rsid w:val="00C16CF3"/>
    <w:rsid w:val="00C16E11"/>
    <w:rsid w:val="00C16F6A"/>
    <w:rsid w:val="00C17081"/>
    <w:rsid w:val="00C170A0"/>
    <w:rsid w:val="00C1712B"/>
    <w:rsid w:val="00C17254"/>
    <w:rsid w:val="00C173A2"/>
    <w:rsid w:val="00C174CA"/>
    <w:rsid w:val="00C1755F"/>
    <w:rsid w:val="00C17672"/>
    <w:rsid w:val="00C176D4"/>
    <w:rsid w:val="00C17734"/>
    <w:rsid w:val="00C1774D"/>
    <w:rsid w:val="00C17930"/>
    <w:rsid w:val="00C179A4"/>
    <w:rsid w:val="00C17A87"/>
    <w:rsid w:val="00C17B90"/>
    <w:rsid w:val="00C17BE2"/>
    <w:rsid w:val="00C17CCB"/>
    <w:rsid w:val="00C200FA"/>
    <w:rsid w:val="00C201B1"/>
    <w:rsid w:val="00C20295"/>
    <w:rsid w:val="00C204AF"/>
    <w:rsid w:val="00C20570"/>
    <w:rsid w:val="00C20662"/>
    <w:rsid w:val="00C20840"/>
    <w:rsid w:val="00C208A9"/>
    <w:rsid w:val="00C208E7"/>
    <w:rsid w:val="00C208FE"/>
    <w:rsid w:val="00C209BA"/>
    <w:rsid w:val="00C209BF"/>
    <w:rsid w:val="00C20A0F"/>
    <w:rsid w:val="00C20BCB"/>
    <w:rsid w:val="00C20D31"/>
    <w:rsid w:val="00C20DE7"/>
    <w:rsid w:val="00C20EEE"/>
    <w:rsid w:val="00C20F09"/>
    <w:rsid w:val="00C21080"/>
    <w:rsid w:val="00C210B1"/>
    <w:rsid w:val="00C210DD"/>
    <w:rsid w:val="00C21245"/>
    <w:rsid w:val="00C212C1"/>
    <w:rsid w:val="00C21380"/>
    <w:rsid w:val="00C21416"/>
    <w:rsid w:val="00C214E5"/>
    <w:rsid w:val="00C21655"/>
    <w:rsid w:val="00C217D8"/>
    <w:rsid w:val="00C2182A"/>
    <w:rsid w:val="00C21831"/>
    <w:rsid w:val="00C21883"/>
    <w:rsid w:val="00C2189A"/>
    <w:rsid w:val="00C219C4"/>
    <w:rsid w:val="00C21A03"/>
    <w:rsid w:val="00C21A35"/>
    <w:rsid w:val="00C21B04"/>
    <w:rsid w:val="00C21B8E"/>
    <w:rsid w:val="00C21B8F"/>
    <w:rsid w:val="00C21C78"/>
    <w:rsid w:val="00C21E09"/>
    <w:rsid w:val="00C21E0C"/>
    <w:rsid w:val="00C21E7E"/>
    <w:rsid w:val="00C21ED8"/>
    <w:rsid w:val="00C21F7F"/>
    <w:rsid w:val="00C22072"/>
    <w:rsid w:val="00C220B1"/>
    <w:rsid w:val="00C2221A"/>
    <w:rsid w:val="00C22221"/>
    <w:rsid w:val="00C2263E"/>
    <w:rsid w:val="00C226E1"/>
    <w:rsid w:val="00C22971"/>
    <w:rsid w:val="00C22A1C"/>
    <w:rsid w:val="00C22A24"/>
    <w:rsid w:val="00C22BF9"/>
    <w:rsid w:val="00C22C76"/>
    <w:rsid w:val="00C22CDF"/>
    <w:rsid w:val="00C22E5C"/>
    <w:rsid w:val="00C22EC2"/>
    <w:rsid w:val="00C22EE5"/>
    <w:rsid w:val="00C22F77"/>
    <w:rsid w:val="00C23019"/>
    <w:rsid w:val="00C2320A"/>
    <w:rsid w:val="00C2322C"/>
    <w:rsid w:val="00C23313"/>
    <w:rsid w:val="00C233B9"/>
    <w:rsid w:val="00C233FA"/>
    <w:rsid w:val="00C2341E"/>
    <w:rsid w:val="00C2344F"/>
    <w:rsid w:val="00C23540"/>
    <w:rsid w:val="00C235B9"/>
    <w:rsid w:val="00C236E3"/>
    <w:rsid w:val="00C237B3"/>
    <w:rsid w:val="00C2383B"/>
    <w:rsid w:val="00C23842"/>
    <w:rsid w:val="00C23886"/>
    <w:rsid w:val="00C23972"/>
    <w:rsid w:val="00C23B11"/>
    <w:rsid w:val="00C23B68"/>
    <w:rsid w:val="00C23D99"/>
    <w:rsid w:val="00C23F2D"/>
    <w:rsid w:val="00C23F79"/>
    <w:rsid w:val="00C24085"/>
    <w:rsid w:val="00C242A2"/>
    <w:rsid w:val="00C2432E"/>
    <w:rsid w:val="00C24428"/>
    <w:rsid w:val="00C2442D"/>
    <w:rsid w:val="00C244C3"/>
    <w:rsid w:val="00C2455F"/>
    <w:rsid w:val="00C24589"/>
    <w:rsid w:val="00C24781"/>
    <w:rsid w:val="00C24A05"/>
    <w:rsid w:val="00C24AFD"/>
    <w:rsid w:val="00C24BF2"/>
    <w:rsid w:val="00C24C2C"/>
    <w:rsid w:val="00C24C32"/>
    <w:rsid w:val="00C24C9D"/>
    <w:rsid w:val="00C24CA6"/>
    <w:rsid w:val="00C24CCA"/>
    <w:rsid w:val="00C24E9F"/>
    <w:rsid w:val="00C25120"/>
    <w:rsid w:val="00C2517E"/>
    <w:rsid w:val="00C251D2"/>
    <w:rsid w:val="00C2530E"/>
    <w:rsid w:val="00C253CB"/>
    <w:rsid w:val="00C2553C"/>
    <w:rsid w:val="00C25552"/>
    <w:rsid w:val="00C2563A"/>
    <w:rsid w:val="00C256E9"/>
    <w:rsid w:val="00C257ED"/>
    <w:rsid w:val="00C25889"/>
    <w:rsid w:val="00C258A0"/>
    <w:rsid w:val="00C259B5"/>
    <w:rsid w:val="00C259FD"/>
    <w:rsid w:val="00C25BC5"/>
    <w:rsid w:val="00C25CA6"/>
    <w:rsid w:val="00C25DA6"/>
    <w:rsid w:val="00C25EB3"/>
    <w:rsid w:val="00C25F75"/>
    <w:rsid w:val="00C26009"/>
    <w:rsid w:val="00C2603F"/>
    <w:rsid w:val="00C260CF"/>
    <w:rsid w:val="00C261CA"/>
    <w:rsid w:val="00C26206"/>
    <w:rsid w:val="00C262CA"/>
    <w:rsid w:val="00C2638F"/>
    <w:rsid w:val="00C263D3"/>
    <w:rsid w:val="00C2643D"/>
    <w:rsid w:val="00C2647A"/>
    <w:rsid w:val="00C26572"/>
    <w:rsid w:val="00C265F3"/>
    <w:rsid w:val="00C26683"/>
    <w:rsid w:val="00C268A3"/>
    <w:rsid w:val="00C2690F"/>
    <w:rsid w:val="00C26949"/>
    <w:rsid w:val="00C26B3A"/>
    <w:rsid w:val="00C26B45"/>
    <w:rsid w:val="00C26BD9"/>
    <w:rsid w:val="00C26BF0"/>
    <w:rsid w:val="00C26C9B"/>
    <w:rsid w:val="00C26F9B"/>
    <w:rsid w:val="00C27063"/>
    <w:rsid w:val="00C27152"/>
    <w:rsid w:val="00C27191"/>
    <w:rsid w:val="00C27258"/>
    <w:rsid w:val="00C272CA"/>
    <w:rsid w:val="00C2738F"/>
    <w:rsid w:val="00C2747B"/>
    <w:rsid w:val="00C27561"/>
    <w:rsid w:val="00C27700"/>
    <w:rsid w:val="00C27788"/>
    <w:rsid w:val="00C2786E"/>
    <w:rsid w:val="00C2789A"/>
    <w:rsid w:val="00C27AE8"/>
    <w:rsid w:val="00C27B3E"/>
    <w:rsid w:val="00C27B8A"/>
    <w:rsid w:val="00C27DE9"/>
    <w:rsid w:val="00C27EFD"/>
    <w:rsid w:val="00C30083"/>
    <w:rsid w:val="00C3009F"/>
    <w:rsid w:val="00C301B6"/>
    <w:rsid w:val="00C301F3"/>
    <w:rsid w:val="00C30381"/>
    <w:rsid w:val="00C30387"/>
    <w:rsid w:val="00C30401"/>
    <w:rsid w:val="00C30439"/>
    <w:rsid w:val="00C30537"/>
    <w:rsid w:val="00C3061A"/>
    <w:rsid w:val="00C306B5"/>
    <w:rsid w:val="00C309C2"/>
    <w:rsid w:val="00C309C9"/>
    <w:rsid w:val="00C30AD9"/>
    <w:rsid w:val="00C30B0B"/>
    <w:rsid w:val="00C30BE3"/>
    <w:rsid w:val="00C30C4E"/>
    <w:rsid w:val="00C30D9E"/>
    <w:rsid w:val="00C3120C"/>
    <w:rsid w:val="00C3131C"/>
    <w:rsid w:val="00C3133C"/>
    <w:rsid w:val="00C3145F"/>
    <w:rsid w:val="00C315F4"/>
    <w:rsid w:val="00C31666"/>
    <w:rsid w:val="00C3166E"/>
    <w:rsid w:val="00C31794"/>
    <w:rsid w:val="00C318B4"/>
    <w:rsid w:val="00C3191F"/>
    <w:rsid w:val="00C31A39"/>
    <w:rsid w:val="00C31C29"/>
    <w:rsid w:val="00C31C49"/>
    <w:rsid w:val="00C31C92"/>
    <w:rsid w:val="00C31D63"/>
    <w:rsid w:val="00C31D90"/>
    <w:rsid w:val="00C31E8F"/>
    <w:rsid w:val="00C31EA4"/>
    <w:rsid w:val="00C31EB6"/>
    <w:rsid w:val="00C31F4D"/>
    <w:rsid w:val="00C3225D"/>
    <w:rsid w:val="00C32297"/>
    <w:rsid w:val="00C322C4"/>
    <w:rsid w:val="00C322EB"/>
    <w:rsid w:val="00C3237F"/>
    <w:rsid w:val="00C3249B"/>
    <w:rsid w:val="00C324F4"/>
    <w:rsid w:val="00C32720"/>
    <w:rsid w:val="00C32796"/>
    <w:rsid w:val="00C32877"/>
    <w:rsid w:val="00C32897"/>
    <w:rsid w:val="00C328CB"/>
    <w:rsid w:val="00C329B9"/>
    <w:rsid w:val="00C329FC"/>
    <w:rsid w:val="00C32A4D"/>
    <w:rsid w:val="00C32B8D"/>
    <w:rsid w:val="00C32D22"/>
    <w:rsid w:val="00C32E81"/>
    <w:rsid w:val="00C32EB9"/>
    <w:rsid w:val="00C32EE8"/>
    <w:rsid w:val="00C3313E"/>
    <w:rsid w:val="00C33330"/>
    <w:rsid w:val="00C33355"/>
    <w:rsid w:val="00C33381"/>
    <w:rsid w:val="00C333D3"/>
    <w:rsid w:val="00C333D9"/>
    <w:rsid w:val="00C3349F"/>
    <w:rsid w:val="00C336EA"/>
    <w:rsid w:val="00C33707"/>
    <w:rsid w:val="00C33909"/>
    <w:rsid w:val="00C33A45"/>
    <w:rsid w:val="00C33B3C"/>
    <w:rsid w:val="00C33B85"/>
    <w:rsid w:val="00C33F9C"/>
    <w:rsid w:val="00C33FB0"/>
    <w:rsid w:val="00C34282"/>
    <w:rsid w:val="00C34284"/>
    <w:rsid w:val="00C3433F"/>
    <w:rsid w:val="00C343AF"/>
    <w:rsid w:val="00C343F8"/>
    <w:rsid w:val="00C345B4"/>
    <w:rsid w:val="00C346F4"/>
    <w:rsid w:val="00C348D2"/>
    <w:rsid w:val="00C34914"/>
    <w:rsid w:val="00C3491E"/>
    <w:rsid w:val="00C34A26"/>
    <w:rsid w:val="00C34B0F"/>
    <w:rsid w:val="00C34BF9"/>
    <w:rsid w:val="00C34CE1"/>
    <w:rsid w:val="00C34D16"/>
    <w:rsid w:val="00C34D85"/>
    <w:rsid w:val="00C34DA8"/>
    <w:rsid w:val="00C34FCF"/>
    <w:rsid w:val="00C3501D"/>
    <w:rsid w:val="00C35134"/>
    <w:rsid w:val="00C3517F"/>
    <w:rsid w:val="00C352F3"/>
    <w:rsid w:val="00C35456"/>
    <w:rsid w:val="00C354E2"/>
    <w:rsid w:val="00C354E9"/>
    <w:rsid w:val="00C354EC"/>
    <w:rsid w:val="00C35541"/>
    <w:rsid w:val="00C355EB"/>
    <w:rsid w:val="00C356BF"/>
    <w:rsid w:val="00C3578E"/>
    <w:rsid w:val="00C357A2"/>
    <w:rsid w:val="00C3590A"/>
    <w:rsid w:val="00C35B1B"/>
    <w:rsid w:val="00C35CE5"/>
    <w:rsid w:val="00C35D85"/>
    <w:rsid w:val="00C35D8F"/>
    <w:rsid w:val="00C35DAC"/>
    <w:rsid w:val="00C35E27"/>
    <w:rsid w:val="00C35ED6"/>
    <w:rsid w:val="00C35EDD"/>
    <w:rsid w:val="00C35F3C"/>
    <w:rsid w:val="00C36034"/>
    <w:rsid w:val="00C3603B"/>
    <w:rsid w:val="00C362D2"/>
    <w:rsid w:val="00C3644C"/>
    <w:rsid w:val="00C36612"/>
    <w:rsid w:val="00C3662E"/>
    <w:rsid w:val="00C366DE"/>
    <w:rsid w:val="00C366E7"/>
    <w:rsid w:val="00C367D1"/>
    <w:rsid w:val="00C369CD"/>
    <w:rsid w:val="00C36A06"/>
    <w:rsid w:val="00C36C56"/>
    <w:rsid w:val="00C36C91"/>
    <w:rsid w:val="00C36C96"/>
    <w:rsid w:val="00C36CDF"/>
    <w:rsid w:val="00C36DB0"/>
    <w:rsid w:val="00C36DC5"/>
    <w:rsid w:val="00C36F38"/>
    <w:rsid w:val="00C36FC6"/>
    <w:rsid w:val="00C37060"/>
    <w:rsid w:val="00C37215"/>
    <w:rsid w:val="00C37617"/>
    <w:rsid w:val="00C376C1"/>
    <w:rsid w:val="00C377F9"/>
    <w:rsid w:val="00C37A3E"/>
    <w:rsid w:val="00C37ABA"/>
    <w:rsid w:val="00C37B94"/>
    <w:rsid w:val="00C37BA2"/>
    <w:rsid w:val="00C37E0E"/>
    <w:rsid w:val="00C37F4A"/>
    <w:rsid w:val="00C37FA9"/>
    <w:rsid w:val="00C37FD7"/>
    <w:rsid w:val="00C4015E"/>
    <w:rsid w:val="00C4021E"/>
    <w:rsid w:val="00C404DF"/>
    <w:rsid w:val="00C404F6"/>
    <w:rsid w:val="00C406BE"/>
    <w:rsid w:val="00C40789"/>
    <w:rsid w:val="00C4099A"/>
    <w:rsid w:val="00C40B7E"/>
    <w:rsid w:val="00C40BC4"/>
    <w:rsid w:val="00C40D2E"/>
    <w:rsid w:val="00C40F08"/>
    <w:rsid w:val="00C40F41"/>
    <w:rsid w:val="00C40F93"/>
    <w:rsid w:val="00C40F96"/>
    <w:rsid w:val="00C410BA"/>
    <w:rsid w:val="00C410C0"/>
    <w:rsid w:val="00C410DE"/>
    <w:rsid w:val="00C41167"/>
    <w:rsid w:val="00C411C8"/>
    <w:rsid w:val="00C4120B"/>
    <w:rsid w:val="00C4121D"/>
    <w:rsid w:val="00C41231"/>
    <w:rsid w:val="00C412F4"/>
    <w:rsid w:val="00C413DB"/>
    <w:rsid w:val="00C413E1"/>
    <w:rsid w:val="00C41568"/>
    <w:rsid w:val="00C415C5"/>
    <w:rsid w:val="00C415D6"/>
    <w:rsid w:val="00C416D2"/>
    <w:rsid w:val="00C416E0"/>
    <w:rsid w:val="00C4173E"/>
    <w:rsid w:val="00C4193E"/>
    <w:rsid w:val="00C4195E"/>
    <w:rsid w:val="00C4197D"/>
    <w:rsid w:val="00C4199A"/>
    <w:rsid w:val="00C419C0"/>
    <w:rsid w:val="00C419C1"/>
    <w:rsid w:val="00C41A2F"/>
    <w:rsid w:val="00C41AB6"/>
    <w:rsid w:val="00C41B30"/>
    <w:rsid w:val="00C41B65"/>
    <w:rsid w:val="00C41BD7"/>
    <w:rsid w:val="00C41C0C"/>
    <w:rsid w:val="00C41CF7"/>
    <w:rsid w:val="00C41E71"/>
    <w:rsid w:val="00C41FD6"/>
    <w:rsid w:val="00C41FE8"/>
    <w:rsid w:val="00C4201E"/>
    <w:rsid w:val="00C4213A"/>
    <w:rsid w:val="00C42221"/>
    <w:rsid w:val="00C42520"/>
    <w:rsid w:val="00C4261F"/>
    <w:rsid w:val="00C426B5"/>
    <w:rsid w:val="00C4270B"/>
    <w:rsid w:val="00C42724"/>
    <w:rsid w:val="00C42866"/>
    <w:rsid w:val="00C42874"/>
    <w:rsid w:val="00C428EC"/>
    <w:rsid w:val="00C42A1A"/>
    <w:rsid w:val="00C42A87"/>
    <w:rsid w:val="00C42A95"/>
    <w:rsid w:val="00C42D90"/>
    <w:rsid w:val="00C42E9C"/>
    <w:rsid w:val="00C42EB4"/>
    <w:rsid w:val="00C42FC9"/>
    <w:rsid w:val="00C42FD7"/>
    <w:rsid w:val="00C430E1"/>
    <w:rsid w:val="00C4323A"/>
    <w:rsid w:val="00C432B2"/>
    <w:rsid w:val="00C433A8"/>
    <w:rsid w:val="00C434F9"/>
    <w:rsid w:val="00C43504"/>
    <w:rsid w:val="00C4358E"/>
    <w:rsid w:val="00C43618"/>
    <w:rsid w:val="00C43665"/>
    <w:rsid w:val="00C437E7"/>
    <w:rsid w:val="00C43849"/>
    <w:rsid w:val="00C438CD"/>
    <w:rsid w:val="00C439CF"/>
    <w:rsid w:val="00C439F6"/>
    <w:rsid w:val="00C43A63"/>
    <w:rsid w:val="00C43B90"/>
    <w:rsid w:val="00C43BAD"/>
    <w:rsid w:val="00C43CE7"/>
    <w:rsid w:val="00C43D1C"/>
    <w:rsid w:val="00C43D23"/>
    <w:rsid w:val="00C43D5A"/>
    <w:rsid w:val="00C43E3C"/>
    <w:rsid w:val="00C43FDC"/>
    <w:rsid w:val="00C4418C"/>
    <w:rsid w:val="00C44288"/>
    <w:rsid w:val="00C442DA"/>
    <w:rsid w:val="00C44348"/>
    <w:rsid w:val="00C44385"/>
    <w:rsid w:val="00C44426"/>
    <w:rsid w:val="00C44432"/>
    <w:rsid w:val="00C444C6"/>
    <w:rsid w:val="00C44509"/>
    <w:rsid w:val="00C44571"/>
    <w:rsid w:val="00C44808"/>
    <w:rsid w:val="00C4485D"/>
    <w:rsid w:val="00C4486C"/>
    <w:rsid w:val="00C44A52"/>
    <w:rsid w:val="00C44AFE"/>
    <w:rsid w:val="00C44D75"/>
    <w:rsid w:val="00C44DAA"/>
    <w:rsid w:val="00C44DF5"/>
    <w:rsid w:val="00C44DF7"/>
    <w:rsid w:val="00C44DFF"/>
    <w:rsid w:val="00C44F93"/>
    <w:rsid w:val="00C4510C"/>
    <w:rsid w:val="00C45143"/>
    <w:rsid w:val="00C4518F"/>
    <w:rsid w:val="00C452D5"/>
    <w:rsid w:val="00C4535B"/>
    <w:rsid w:val="00C454D8"/>
    <w:rsid w:val="00C4550D"/>
    <w:rsid w:val="00C45586"/>
    <w:rsid w:val="00C455BF"/>
    <w:rsid w:val="00C456CC"/>
    <w:rsid w:val="00C45798"/>
    <w:rsid w:val="00C457EF"/>
    <w:rsid w:val="00C45A0A"/>
    <w:rsid w:val="00C45AF2"/>
    <w:rsid w:val="00C45CA7"/>
    <w:rsid w:val="00C46047"/>
    <w:rsid w:val="00C461D5"/>
    <w:rsid w:val="00C46398"/>
    <w:rsid w:val="00C464CA"/>
    <w:rsid w:val="00C46613"/>
    <w:rsid w:val="00C467B1"/>
    <w:rsid w:val="00C46909"/>
    <w:rsid w:val="00C4690F"/>
    <w:rsid w:val="00C46A4D"/>
    <w:rsid w:val="00C46B84"/>
    <w:rsid w:val="00C46C31"/>
    <w:rsid w:val="00C46CC7"/>
    <w:rsid w:val="00C46D55"/>
    <w:rsid w:val="00C46E86"/>
    <w:rsid w:val="00C46F93"/>
    <w:rsid w:val="00C4703B"/>
    <w:rsid w:val="00C47097"/>
    <w:rsid w:val="00C47187"/>
    <w:rsid w:val="00C47195"/>
    <w:rsid w:val="00C4733A"/>
    <w:rsid w:val="00C473B8"/>
    <w:rsid w:val="00C4758C"/>
    <w:rsid w:val="00C476B5"/>
    <w:rsid w:val="00C47727"/>
    <w:rsid w:val="00C479B9"/>
    <w:rsid w:val="00C47A48"/>
    <w:rsid w:val="00C47A7F"/>
    <w:rsid w:val="00C47BE5"/>
    <w:rsid w:val="00C47C98"/>
    <w:rsid w:val="00C47D35"/>
    <w:rsid w:val="00C47ECC"/>
    <w:rsid w:val="00C47F0F"/>
    <w:rsid w:val="00C47F46"/>
    <w:rsid w:val="00C47FE4"/>
    <w:rsid w:val="00C5008E"/>
    <w:rsid w:val="00C500D1"/>
    <w:rsid w:val="00C50289"/>
    <w:rsid w:val="00C50292"/>
    <w:rsid w:val="00C5042C"/>
    <w:rsid w:val="00C50642"/>
    <w:rsid w:val="00C506C9"/>
    <w:rsid w:val="00C5077A"/>
    <w:rsid w:val="00C50783"/>
    <w:rsid w:val="00C50855"/>
    <w:rsid w:val="00C509C7"/>
    <w:rsid w:val="00C509EB"/>
    <w:rsid w:val="00C50D00"/>
    <w:rsid w:val="00C50D05"/>
    <w:rsid w:val="00C50D1D"/>
    <w:rsid w:val="00C50DE1"/>
    <w:rsid w:val="00C50DF3"/>
    <w:rsid w:val="00C50EA4"/>
    <w:rsid w:val="00C510B6"/>
    <w:rsid w:val="00C51132"/>
    <w:rsid w:val="00C51151"/>
    <w:rsid w:val="00C51230"/>
    <w:rsid w:val="00C512E6"/>
    <w:rsid w:val="00C51451"/>
    <w:rsid w:val="00C51455"/>
    <w:rsid w:val="00C51480"/>
    <w:rsid w:val="00C51750"/>
    <w:rsid w:val="00C5175B"/>
    <w:rsid w:val="00C518A9"/>
    <w:rsid w:val="00C5193B"/>
    <w:rsid w:val="00C519DC"/>
    <w:rsid w:val="00C51AC5"/>
    <w:rsid w:val="00C51B17"/>
    <w:rsid w:val="00C51B51"/>
    <w:rsid w:val="00C51B62"/>
    <w:rsid w:val="00C51D3C"/>
    <w:rsid w:val="00C51DCA"/>
    <w:rsid w:val="00C51DEB"/>
    <w:rsid w:val="00C51ECB"/>
    <w:rsid w:val="00C51F85"/>
    <w:rsid w:val="00C5203B"/>
    <w:rsid w:val="00C52086"/>
    <w:rsid w:val="00C521B0"/>
    <w:rsid w:val="00C523A6"/>
    <w:rsid w:val="00C523F7"/>
    <w:rsid w:val="00C52409"/>
    <w:rsid w:val="00C52666"/>
    <w:rsid w:val="00C52838"/>
    <w:rsid w:val="00C52887"/>
    <w:rsid w:val="00C5288D"/>
    <w:rsid w:val="00C529D4"/>
    <w:rsid w:val="00C52A70"/>
    <w:rsid w:val="00C52B64"/>
    <w:rsid w:val="00C52B68"/>
    <w:rsid w:val="00C52B8D"/>
    <w:rsid w:val="00C52C50"/>
    <w:rsid w:val="00C52C5F"/>
    <w:rsid w:val="00C52C76"/>
    <w:rsid w:val="00C52C7D"/>
    <w:rsid w:val="00C52D23"/>
    <w:rsid w:val="00C52D25"/>
    <w:rsid w:val="00C52D3F"/>
    <w:rsid w:val="00C52D73"/>
    <w:rsid w:val="00C52E77"/>
    <w:rsid w:val="00C52FB5"/>
    <w:rsid w:val="00C52FCE"/>
    <w:rsid w:val="00C53008"/>
    <w:rsid w:val="00C53143"/>
    <w:rsid w:val="00C5314F"/>
    <w:rsid w:val="00C532A1"/>
    <w:rsid w:val="00C53446"/>
    <w:rsid w:val="00C53481"/>
    <w:rsid w:val="00C535F9"/>
    <w:rsid w:val="00C53830"/>
    <w:rsid w:val="00C53839"/>
    <w:rsid w:val="00C538EA"/>
    <w:rsid w:val="00C539A6"/>
    <w:rsid w:val="00C539F8"/>
    <w:rsid w:val="00C53BB2"/>
    <w:rsid w:val="00C53C0D"/>
    <w:rsid w:val="00C53C2D"/>
    <w:rsid w:val="00C53C46"/>
    <w:rsid w:val="00C53C88"/>
    <w:rsid w:val="00C53EC6"/>
    <w:rsid w:val="00C53EC7"/>
    <w:rsid w:val="00C53FBB"/>
    <w:rsid w:val="00C53FF5"/>
    <w:rsid w:val="00C540A1"/>
    <w:rsid w:val="00C54100"/>
    <w:rsid w:val="00C54149"/>
    <w:rsid w:val="00C541DE"/>
    <w:rsid w:val="00C542D5"/>
    <w:rsid w:val="00C5438B"/>
    <w:rsid w:val="00C543AA"/>
    <w:rsid w:val="00C54433"/>
    <w:rsid w:val="00C5447D"/>
    <w:rsid w:val="00C544FC"/>
    <w:rsid w:val="00C545FE"/>
    <w:rsid w:val="00C5482A"/>
    <w:rsid w:val="00C548BF"/>
    <w:rsid w:val="00C548DB"/>
    <w:rsid w:val="00C54A61"/>
    <w:rsid w:val="00C54A6E"/>
    <w:rsid w:val="00C54D00"/>
    <w:rsid w:val="00C54D6D"/>
    <w:rsid w:val="00C54D86"/>
    <w:rsid w:val="00C54E05"/>
    <w:rsid w:val="00C54FA7"/>
    <w:rsid w:val="00C54FBA"/>
    <w:rsid w:val="00C54FFB"/>
    <w:rsid w:val="00C551A7"/>
    <w:rsid w:val="00C55243"/>
    <w:rsid w:val="00C553CB"/>
    <w:rsid w:val="00C55499"/>
    <w:rsid w:val="00C555FC"/>
    <w:rsid w:val="00C5569A"/>
    <w:rsid w:val="00C556B5"/>
    <w:rsid w:val="00C556EA"/>
    <w:rsid w:val="00C55CB0"/>
    <w:rsid w:val="00C55D17"/>
    <w:rsid w:val="00C55D2D"/>
    <w:rsid w:val="00C55D4F"/>
    <w:rsid w:val="00C55DCC"/>
    <w:rsid w:val="00C55E30"/>
    <w:rsid w:val="00C55E56"/>
    <w:rsid w:val="00C55FB7"/>
    <w:rsid w:val="00C56068"/>
    <w:rsid w:val="00C560E4"/>
    <w:rsid w:val="00C561B8"/>
    <w:rsid w:val="00C56237"/>
    <w:rsid w:val="00C5673F"/>
    <w:rsid w:val="00C567C0"/>
    <w:rsid w:val="00C5695F"/>
    <w:rsid w:val="00C56986"/>
    <w:rsid w:val="00C5699D"/>
    <w:rsid w:val="00C569BB"/>
    <w:rsid w:val="00C569C1"/>
    <w:rsid w:val="00C56A4E"/>
    <w:rsid w:val="00C56A8B"/>
    <w:rsid w:val="00C56C0D"/>
    <w:rsid w:val="00C56CB1"/>
    <w:rsid w:val="00C56CBB"/>
    <w:rsid w:val="00C56CDE"/>
    <w:rsid w:val="00C56DBD"/>
    <w:rsid w:val="00C56EA0"/>
    <w:rsid w:val="00C56EFE"/>
    <w:rsid w:val="00C56FB7"/>
    <w:rsid w:val="00C57140"/>
    <w:rsid w:val="00C5718D"/>
    <w:rsid w:val="00C57286"/>
    <w:rsid w:val="00C5734E"/>
    <w:rsid w:val="00C5746E"/>
    <w:rsid w:val="00C57560"/>
    <w:rsid w:val="00C57649"/>
    <w:rsid w:val="00C577A2"/>
    <w:rsid w:val="00C577ED"/>
    <w:rsid w:val="00C57911"/>
    <w:rsid w:val="00C57A69"/>
    <w:rsid w:val="00C57A89"/>
    <w:rsid w:val="00C57ABC"/>
    <w:rsid w:val="00C57B67"/>
    <w:rsid w:val="00C57BDF"/>
    <w:rsid w:val="00C57D90"/>
    <w:rsid w:val="00C57F14"/>
    <w:rsid w:val="00C6024D"/>
    <w:rsid w:val="00C60468"/>
    <w:rsid w:val="00C604EF"/>
    <w:rsid w:val="00C6054B"/>
    <w:rsid w:val="00C605C5"/>
    <w:rsid w:val="00C605F1"/>
    <w:rsid w:val="00C6064A"/>
    <w:rsid w:val="00C606D2"/>
    <w:rsid w:val="00C606F8"/>
    <w:rsid w:val="00C60712"/>
    <w:rsid w:val="00C6073D"/>
    <w:rsid w:val="00C6087F"/>
    <w:rsid w:val="00C60967"/>
    <w:rsid w:val="00C6099C"/>
    <w:rsid w:val="00C60A89"/>
    <w:rsid w:val="00C60B09"/>
    <w:rsid w:val="00C60B6D"/>
    <w:rsid w:val="00C60E91"/>
    <w:rsid w:val="00C60FA1"/>
    <w:rsid w:val="00C6105A"/>
    <w:rsid w:val="00C61106"/>
    <w:rsid w:val="00C61231"/>
    <w:rsid w:val="00C61471"/>
    <w:rsid w:val="00C616D1"/>
    <w:rsid w:val="00C616E4"/>
    <w:rsid w:val="00C61ABB"/>
    <w:rsid w:val="00C61BAD"/>
    <w:rsid w:val="00C61C00"/>
    <w:rsid w:val="00C61C13"/>
    <w:rsid w:val="00C61C57"/>
    <w:rsid w:val="00C61CF1"/>
    <w:rsid w:val="00C61D2B"/>
    <w:rsid w:val="00C61D85"/>
    <w:rsid w:val="00C61E6A"/>
    <w:rsid w:val="00C61E8F"/>
    <w:rsid w:val="00C61E9D"/>
    <w:rsid w:val="00C61EC5"/>
    <w:rsid w:val="00C61EDD"/>
    <w:rsid w:val="00C61F9E"/>
    <w:rsid w:val="00C62139"/>
    <w:rsid w:val="00C6216F"/>
    <w:rsid w:val="00C621EB"/>
    <w:rsid w:val="00C623C1"/>
    <w:rsid w:val="00C623E7"/>
    <w:rsid w:val="00C6250F"/>
    <w:rsid w:val="00C6269B"/>
    <w:rsid w:val="00C62857"/>
    <w:rsid w:val="00C628F5"/>
    <w:rsid w:val="00C62A08"/>
    <w:rsid w:val="00C62BC7"/>
    <w:rsid w:val="00C62EA2"/>
    <w:rsid w:val="00C62EE4"/>
    <w:rsid w:val="00C62FA4"/>
    <w:rsid w:val="00C63035"/>
    <w:rsid w:val="00C630E5"/>
    <w:rsid w:val="00C631DA"/>
    <w:rsid w:val="00C631EF"/>
    <w:rsid w:val="00C63422"/>
    <w:rsid w:val="00C63561"/>
    <w:rsid w:val="00C636CB"/>
    <w:rsid w:val="00C636F2"/>
    <w:rsid w:val="00C637B8"/>
    <w:rsid w:val="00C63CBE"/>
    <w:rsid w:val="00C63DB3"/>
    <w:rsid w:val="00C63F64"/>
    <w:rsid w:val="00C63FAF"/>
    <w:rsid w:val="00C64041"/>
    <w:rsid w:val="00C64084"/>
    <w:rsid w:val="00C64112"/>
    <w:rsid w:val="00C641BE"/>
    <w:rsid w:val="00C641E6"/>
    <w:rsid w:val="00C6431C"/>
    <w:rsid w:val="00C64381"/>
    <w:rsid w:val="00C6445E"/>
    <w:rsid w:val="00C644D8"/>
    <w:rsid w:val="00C6458F"/>
    <w:rsid w:val="00C64744"/>
    <w:rsid w:val="00C648A9"/>
    <w:rsid w:val="00C64995"/>
    <w:rsid w:val="00C64CA5"/>
    <w:rsid w:val="00C64CAF"/>
    <w:rsid w:val="00C64D7B"/>
    <w:rsid w:val="00C64EAB"/>
    <w:rsid w:val="00C64ED8"/>
    <w:rsid w:val="00C64F43"/>
    <w:rsid w:val="00C64F50"/>
    <w:rsid w:val="00C64FD0"/>
    <w:rsid w:val="00C653B9"/>
    <w:rsid w:val="00C6555F"/>
    <w:rsid w:val="00C65659"/>
    <w:rsid w:val="00C65747"/>
    <w:rsid w:val="00C6590D"/>
    <w:rsid w:val="00C65A79"/>
    <w:rsid w:val="00C65ABE"/>
    <w:rsid w:val="00C65B1A"/>
    <w:rsid w:val="00C65C50"/>
    <w:rsid w:val="00C65DAD"/>
    <w:rsid w:val="00C65DD9"/>
    <w:rsid w:val="00C65E3E"/>
    <w:rsid w:val="00C65E52"/>
    <w:rsid w:val="00C660C3"/>
    <w:rsid w:val="00C66107"/>
    <w:rsid w:val="00C6627B"/>
    <w:rsid w:val="00C662C7"/>
    <w:rsid w:val="00C66394"/>
    <w:rsid w:val="00C663CB"/>
    <w:rsid w:val="00C664FB"/>
    <w:rsid w:val="00C66652"/>
    <w:rsid w:val="00C66710"/>
    <w:rsid w:val="00C667BB"/>
    <w:rsid w:val="00C667BE"/>
    <w:rsid w:val="00C66B2B"/>
    <w:rsid w:val="00C66B2D"/>
    <w:rsid w:val="00C66D1F"/>
    <w:rsid w:val="00C66D73"/>
    <w:rsid w:val="00C66D7A"/>
    <w:rsid w:val="00C66F4B"/>
    <w:rsid w:val="00C67080"/>
    <w:rsid w:val="00C671CA"/>
    <w:rsid w:val="00C671F5"/>
    <w:rsid w:val="00C672C7"/>
    <w:rsid w:val="00C673B0"/>
    <w:rsid w:val="00C674C5"/>
    <w:rsid w:val="00C67597"/>
    <w:rsid w:val="00C675EB"/>
    <w:rsid w:val="00C676B4"/>
    <w:rsid w:val="00C676DE"/>
    <w:rsid w:val="00C67792"/>
    <w:rsid w:val="00C67889"/>
    <w:rsid w:val="00C6793F"/>
    <w:rsid w:val="00C67B6F"/>
    <w:rsid w:val="00C67C01"/>
    <w:rsid w:val="00C67DD1"/>
    <w:rsid w:val="00C67DD9"/>
    <w:rsid w:val="00C700B8"/>
    <w:rsid w:val="00C700F1"/>
    <w:rsid w:val="00C7014E"/>
    <w:rsid w:val="00C701D1"/>
    <w:rsid w:val="00C70245"/>
    <w:rsid w:val="00C702D8"/>
    <w:rsid w:val="00C7040F"/>
    <w:rsid w:val="00C70657"/>
    <w:rsid w:val="00C70843"/>
    <w:rsid w:val="00C708F3"/>
    <w:rsid w:val="00C7096F"/>
    <w:rsid w:val="00C709DF"/>
    <w:rsid w:val="00C70A30"/>
    <w:rsid w:val="00C70A51"/>
    <w:rsid w:val="00C70AB2"/>
    <w:rsid w:val="00C70B1A"/>
    <w:rsid w:val="00C70B5A"/>
    <w:rsid w:val="00C710D8"/>
    <w:rsid w:val="00C710F3"/>
    <w:rsid w:val="00C71118"/>
    <w:rsid w:val="00C71268"/>
    <w:rsid w:val="00C71306"/>
    <w:rsid w:val="00C71392"/>
    <w:rsid w:val="00C71485"/>
    <w:rsid w:val="00C71502"/>
    <w:rsid w:val="00C71512"/>
    <w:rsid w:val="00C7153A"/>
    <w:rsid w:val="00C7157D"/>
    <w:rsid w:val="00C715D8"/>
    <w:rsid w:val="00C717DC"/>
    <w:rsid w:val="00C718C7"/>
    <w:rsid w:val="00C71978"/>
    <w:rsid w:val="00C71A91"/>
    <w:rsid w:val="00C71B6B"/>
    <w:rsid w:val="00C71B8C"/>
    <w:rsid w:val="00C71E26"/>
    <w:rsid w:val="00C72128"/>
    <w:rsid w:val="00C721EA"/>
    <w:rsid w:val="00C7229D"/>
    <w:rsid w:val="00C7232A"/>
    <w:rsid w:val="00C7232F"/>
    <w:rsid w:val="00C723A7"/>
    <w:rsid w:val="00C72522"/>
    <w:rsid w:val="00C7265F"/>
    <w:rsid w:val="00C7274E"/>
    <w:rsid w:val="00C727C7"/>
    <w:rsid w:val="00C727D5"/>
    <w:rsid w:val="00C7291F"/>
    <w:rsid w:val="00C729F1"/>
    <w:rsid w:val="00C72B75"/>
    <w:rsid w:val="00C72BD9"/>
    <w:rsid w:val="00C72C95"/>
    <w:rsid w:val="00C72CC4"/>
    <w:rsid w:val="00C72CD2"/>
    <w:rsid w:val="00C72D58"/>
    <w:rsid w:val="00C72E1D"/>
    <w:rsid w:val="00C72EF4"/>
    <w:rsid w:val="00C7307B"/>
    <w:rsid w:val="00C731EA"/>
    <w:rsid w:val="00C73402"/>
    <w:rsid w:val="00C73470"/>
    <w:rsid w:val="00C73511"/>
    <w:rsid w:val="00C7358E"/>
    <w:rsid w:val="00C73616"/>
    <w:rsid w:val="00C73626"/>
    <w:rsid w:val="00C737D9"/>
    <w:rsid w:val="00C737E7"/>
    <w:rsid w:val="00C738BE"/>
    <w:rsid w:val="00C738C9"/>
    <w:rsid w:val="00C73985"/>
    <w:rsid w:val="00C73AE4"/>
    <w:rsid w:val="00C73C36"/>
    <w:rsid w:val="00C73C95"/>
    <w:rsid w:val="00C73D34"/>
    <w:rsid w:val="00C73E6D"/>
    <w:rsid w:val="00C73F38"/>
    <w:rsid w:val="00C7417E"/>
    <w:rsid w:val="00C741F7"/>
    <w:rsid w:val="00C7420C"/>
    <w:rsid w:val="00C7430B"/>
    <w:rsid w:val="00C74335"/>
    <w:rsid w:val="00C743C0"/>
    <w:rsid w:val="00C74421"/>
    <w:rsid w:val="00C74649"/>
    <w:rsid w:val="00C74711"/>
    <w:rsid w:val="00C748D5"/>
    <w:rsid w:val="00C74AD9"/>
    <w:rsid w:val="00C74F12"/>
    <w:rsid w:val="00C74FD0"/>
    <w:rsid w:val="00C75068"/>
    <w:rsid w:val="00C7516D"/>
    <w:rsid w:val="00C752DA"/>
    <w:rsid w:val="00C75381"/>
    <w:rsid w:val="00C7550C"/>
    <w:rsid w:val="00C75623"/>
    <w:rsid w:val="00C756A3"/>
    <w:rsid w:val="00C75778"/>
    <w:rsid w:val="00C757D8"/>
    <w:rsid w:val="00C75833"/>
    <w:rsid w:val="00C7586E"/>
    <w:rsid w:val="00C7587A"/>
    <w:rsid w:val="00C7588E"/>
    <w:rsid w:val="00C75927"/>
    <w:rsid w:val="00C75D01"/>
    <w:rsid w:val="00C75D53"/>
    <w:rsid w:val="00C75E10"/>
    <w:rsid w:val="00C75E54"/>
    <w:rsid w:val="00C75F0A"/>
    <w:rsid w:val="00C75F54"/>
    <w:rsid w:val="00C760CB"/>
    <w:rsid w:val="00C76296"/>
    <w:rsid w:val="00C76490"/>
    <w:rsid w:val="00C764DD"/>
    <w:rsid w:val="00C7658A"/>
    <w:rsid w:val="00C76618"/>
    <w:rsid w:val="00C76681"/>
    <w:rsid w:val="00C76685"/>
    <w:rsid w:val="00C767D7"/>
    <w:rsid w:val="00C7680B"/>
    <w:rsid w:val="00C76883"/>
    <w:rsid w:val="00C76933"/>
    <w:rsid w:val="00C76ACB"/>
    <w:rsid w:val="00C76AF3"/>
    <w:rsid w:val="00C76AFC"/>
    <w:rsid w:val="00C76BC7"/>
    <w:rsid w:val="00C76E0D"/>
    <w:rsid w:val="00C76E0E"/>
    <w:rsid w:val="00C76ECB"/>
    <w:rsid w:val="00C76F18"/>
    <w:rsid w:val="00C77266"/>
    <w:rsid w:val="00C77297"/>
    <w:rsid w:val="00C772AA"/>
    <w:rsid w:val="00C77544"/>
    <w:rsid w:val="00C77591"/>
    <w:rsid w:val="00C77695"/>
    <w:rsid w:val="00C777D4"/>
    <w:rsid w:val="00C77986"/>
    <w:rsid w:val="00C779C1"/>
    <w:rsid w:val="00C77A0F"/>
    <w:rsid w:val="00C77B5D"/>
    <w:rsid w:val="00C77CAB"/>
    <w:rsid w:val="00C77E94"/>
    <w:rsid w:val="00C77F87"/>
    <w:rsid w:val="00C77F88"/>
    <w:rsid w:val="00C77FD7"/>
    <w:rsid w:val="00C80088"/>
    <w:rsid w:val="00C80135"/>
    <w:rsid w:val="00C8016F"/>
    <w:rsid w:val="00C80186"/>
    <w:rsid w:val="00C80553"/>
    <w:rsid w:val="00C806AB"/>
    <w:rsid w:val="00C80813"/>
    <w:rsid w:val="00C80ABE"/>
    <w:rsid w:val="00C80B1D"/>
    <w:rsid w:val="00C80BD3"/>
    <w:rsid w:val="00C80CD1"/>
    <w:rsid w:val="00C80D9D"/>
    <w:rsid w:val="00C80DD7"/>
    <w:rsid w:val="00C80E7C"/>
    <w:rsid w:val="00C80F99"/>
    <w:rsid w:val="00C811FB"/>
    <w:rsid w:val="00C812DB"/>
    <w:rsid w:val="00C81316"/>
    <w:rsid w:val="00C81349"/>
    <w:rsid w:val="00C81374"/>
    <w:rsid w:val="00C814B9"/>
    <w:rsid w:val="00C8158E"/>
    <w:rsid w:val="00C815A8"/>
    <w:rsid w:val="00C815E7"/>
    <w:rsid w:val="00C815FD"/>
    <w:rsid w:val="00C81621"/>
    <w:rsid w:val="00C8166F"/>
    <w:rsid w:val="00C81690"/>
    <w:rsid w:val="00C8176A"/>
    <w:rsid w:val="00C81BAE"/>
    <w:rsid w:val="00C81C0A"/>
    <w:rsid w:val="00C81C6A"/>
    <w:rsid w:val="00C81DDC"/>
    <w:rsid w:val="00C81DE0"/>
    <w:rsid w:val="00C81E26"/>
    <w:rsid w:val="00C81E2D"/>
    <w:rsid w:val="00C81EC1"/>
    <w:rsid w:val="00C81F72"/>
    <w:rsid w:val="00C820E7"/>
    <w:rsid w:val="00C82177"/>
    <w:rsid w:val="00C8220F"/>
    <w:rsid w:val="00C8237F"/>
    <w:rsid w:val="00C823C1"/>
    <w:rsid w:val="00C824C7"/>
    <w:rsid w:val="00C82523"/>
    <w:rsid w:val="00C82989"/>
    <w:rsid w:val="00C829FE"/>
    <w:rsid w:val="00C82B46"/>
    <w:rsid w:val="00C82BA7"/>
    <w:rsid w:val="00C82C25"/>
    <w:rsid w:val="00C82C5F"/>
    <w:rsid w:val="00C82CAE"/>
    <w:rsid w:val="00C82DED"/>
    <w:rsid w:val="00C82E6F"/>
    <w:rsid w:val="00C82F3D"/>
    <w:rsid w:val="00C830BE"/>
    <w:rsid w:val="00C83187"/>
    <w:rsid w:val="00C8340B"/>
    <w:rsid w:val="00C834E6"/>
    <w:rsid w:val="00C83500"/>
    <w:rsid w:val="00C83664"/>
    <w:rsid w:val="00C838A8"/>
    <w:rsid w:val="00C83924"/>
    <w:rsid w:val="00C83996"/>
    <w:rsid w:val="00C83A43"/>
    <w:rsid w:val="00C83AAC"/>
    <w:rsid w:val="00C83D1E"/>
    <w:rsid w:val="00C83DFD"/>
    <w:rsid w:val="00C83F31"/>
    <w:rsid w:val="00C8400C"/>
    <w:rsid w:val="00C8405A"/>
    <w:rsid w:val="00C84226"/>
    <w:rsid w:val="00C84294"/>
    <w:rsid w:val="00C84484"/>
    <w:rsid w:val="00C844FD"/>
    <w:rsid w:val="00C8455E"/>
    <w:rsid w:val="00C8458B"/>
    <w:rsid w:val="00C845C2"/>
    <w:rsid w:val="00C8478C"/>
    <w:rsid w:val="00C847CE"/>
    <w:rsid w:val="00C84857"/>
    <w:rsid w:val="00C8492A"/>
    <w:rsid w:val="00C8495D"/>
    <w:rsid w:val="00C84CEB"/>
    <w:rsid w:val="00C84D23"/>
    <w:rsid w:val="00C84D6C"/>
    <w:rsid w:val="00C84DB2"/>
    <w:rsid w:val="00C84E79"/>
    <w:rsid w:val="00C84E82"/>
    <w:rsid w:val="00C852EA"/>
    <w:rsid w:val="00C85549"/>
    <w:rsid w:val="00C85660"/>
    <w:rsid w:val="00C856BE"/>
    <w:rsid w:val="00C856FC"/>
    <w:rsid w:val="00C85763"/>
    <w:rsid w:val="00C857AB"/>
    <w:rsid w:val="00C85814"/>
    <w:rsid w:val="00C85872"/>
    <w:rsid w:val="00C8598D"/>
    <w:rsid w:val="00C859AC"/>
    <w:rsid w:val="00C85A1A"/>
    <w:rsid w:val="00C85AD6"/>
    <w:rsid w:val="00C85B21"/>
    <w:rsid w:val="00C85B80"/>
    <w:rsid w:val="00C85CD3"/>
    <w:rsid w:val="00C85CFC"/>
    <w:rsid w:val="00C85D25"/>
    <w:rsid w:val="00C85D9C"/>
    <w:rsid w:val="00C85DB2"/>
    <w:rsid w:val="00C85E65"/>
    <w:rsid w:val="00C85EBD"/>
    <w:rsid w:val="00C85F37"/>
    <w:rsid w:val="00C86005"/>
    <w:rsid w:val="00C8602F"/>
    <w:rsid w:val="00C86047"/>
    <w:rsid w:val="00C860BD"/>
    <w:rsid w:val="00C86221"/>
    <w:rsid w:val="00C8627C"/>
    <w:rsid w:val="00C8639F"/>
    <w:rsid w:val="00C864A1"/>
    <w:rsid w:val="00C8655D"/>
    <w:rsid w:val="00C86743"/>
    <w:rsid w:val="00C86770"/>
    <w:rsid w:val="00C867E8"/>
    <w:rsid w:val="00C8688D"/>
    <w:rsid w:val="00C8691F"/>
    <w:rsid w:val="00C869DE"/>
    <w:rsid w:val="00C86A26"/>
    <w:rsid w:val="00C86A4C"/>
    <w:rsid w:val="00C86B72"/>
    <w:rsid w:val="00C86DE0"/>
    <w:rsid w:val="00C86E2A"/>
    <w:rsid w:val="00C86F79"/>
    <w:rsid w:val="00C86FFC"/>
    <w:rsid w:val="00C87007"/>
    <w:rsid w:val="00C871BD"/>
    <w:rsid w:val="00C87207"/>
    <w:rsid w:val="00C8724E"/>
    <w:rsid w:val="00C87282"/>
    <w:rsid w:val="00C872D4"/>
    <w:rsid w:val="00C874F8"/>
    <w:rsid w:val="00C87593"/>
    <w:rsid w:val="00C876B6"/>
    <w:rsid w:val="00C877F7"/>
    <w:rsid w:val="00C878D2"/>
    <w:rsid w:val="00C8795B"/>
    <w:rsid w:val="00C87A94"/>
    <w:rsid w:val="00C87AAA"/>
    <w:rsid w:val="00C87ABC"/>
    <w:rsid w:val="00C87B27"/>
    <w:rsid w:val="00C87B4C"/>
    <w:rsid w:val="00C87CB9"/>
    <w:rsid w:val="00C87CBA"/>
    <w:rsid w:val="00C87D37"/>
    <w:rsid w:val="00C87D4D"/>
    <w:rsid w:val="00C87E9F"/>
    <w:rsid w:val="00C87F8D"/>
    <w:rsid w:val="00C87FA8"/>
    <w:rsid w:val="00C90011"/>
    <w:rsid w:val="00C90038"/>
    <w:rsid w:val="00C90080"/>
    <w:rsid w:val="00C902E3"/>
    <w:rsid w:val="00C90359"/>
    <w:rsid w:val="00C906FC"/>
    <w:rsid w:val="00C90725"/>
    <w:rsid w:val="00C90899"/>
    <w:rsid w:val="00C9089E"/>
    <w:rsid w:val="00C90986"/>
    <w:rsid w:val="00C909D5"/>
    <w:rsid w:val="00C909E9"/>
    <w:rsid w:val="00C90AC9"/>
    <w:rsid w:val="00C90B16"/>
    <w:rsid w:val="00C90B36"/>
    <w:rsid w:val="00C90B85"/>
    <w:rsid w:val="00C90D4A"/>
    <w:rsid w:val="00C90DCA"/>
    <w:rsid w:val="00C911CD"/>
    <w:rsid w:val="00C91205"/>
    <w:rsid w:val="00C913D5"/>
    <w:rsid w:val="00C916B9"/>
    <w:rsid w:val="00C916C4"/>
    <w:rsid w:val="00C9170E"/>
    <w:rsid w:val="00C91754"/>
    <w:rsid w:val="00C91778"/>
    <w:rsid w:val="00C9180F"/>
    <w:rsid w:val="00C918AF"/>
    <w:rsid w:val="00C91914"/>
    <w:rsid w:val="00C91952"/>
    <w:rsid w:val="00C919C7"/>
    <w:rsid w:val="00C91A8E"/>
    <w:rsid w:val="00C91B64"/>
    <w:rsid w:val="00C91BEB"/>
    <w:rsid w:val="00C91C45"/>
    <w:rsid w:val="00C91EC0"/>
    <w:rsid w:val="00C92075"/>
    <w:rsid w:val="00C9207C"/>
    <w:rsid w:val="00C92093"/>
    <w:rsid w:val="00C9259E"/>
    <w:rsid w:val="00C92612"/>
    <w:rsid w:val="00C9266A"/>
    <w:rsid w:val="00C926DD"/>
    <w:rsid w:val="00C92795"/>
    <w:rsid w:val="00C92861"/>
    <w:rsid w:val="00C92972"/>
    <w:rsid w:val="00C929AB"/>
    <w:rsid w:val="00C92C5B"/>
    <w:rsid w:val="00C92C63"/>
    <w:rsid w:val="00C92E75"/>
    <w:rsid w:val="00C92EB6"/>
    <w:rsid w:val="00C92F47"/>
    <w:rsid w:val="00C9300F"/>
    <w:rsid w:val="00C93030"/>
    <w:rsid w:val="00C93125"/>
    <w:rsid w:val="00C93321"/>
    <w:rsid w:val="00C93389"/>
    <w:rsid w:val="00C9348A"/>
    <w:rsid w:val="00C93534"/>
    <w:rsid w:val="00C9356B"/>
    <w:rsid w:val="00C935BA"/>
    <w:rsid w:val="00C9360C"/>
    <w:rsid w:val="00C936B1"/>
    <w:rsid w:val="00C936FA"/>
    <w:rsid w:val="00C93751"/>
    <w:rsid w:val="00C937EB"/>
    <w:rsid w:val="00C93A4E"/>
    <w:rsid w:val="00C93B5E"/>
    <w:rsid w:val="00C93C28"/>
    <w:rsid w:val="00C93C3D"/>
    <w:rsid w:val="00C93C43"/>
    <w:rsid w:val="00C93EFD"/>
    <w:rsid w:val="00C93FCD"/>
    <w:rsid w:val="00C941FB"/>
    <w:rsid w:val="00C943CE"/>
    <w:rsid w:val="00C946CE"/>
    <w:rsid w:val="00C9473D"/>
    <w:rsid w:val="00C94892"/>
    <w:rsid w:val="00C948CD"/>
    <w:rsid w:val="00C949A3"/>
    <w:rsid w:val="00C94AD1"/>
    <w:rsid w:val="00C94ADE"/>
    <w:rsid w:val="00C94AE5"/>
    <w:rsid w:val="00C94C60"/>
    <w:rsid w:val="00C94E17"/>
    <w:rsid w:val="00C94EBD"/>
    <w:rsid w:val="00C950AB"/>
    <w:rsid w:val="00C95142"/>
    <w:rsid w:val="00C9527D"/>
    <w:rsid w:val="00C95315"/>
    <w:rsid w:val="00C9547F"/>
    <w:rsid w:val="00C9573A"/>
    <w:rsid w:val="00C95809"/>
    <w:rsid w:val="00C9590C"/>
    <w:rsid w:val="00C9590E"/>
    <w:rsid w:val="00C95B5B"/>
    <w:rsid w:val="00C95BA0"/>
    <w:rsid w:val="00C95BD2"/>
    <w:rsid w:val="00C95C21"/>
    <w:rsid w:val="00C95D6B"/>
    <w:rsid w:val="00C95E8B"/>
    <w:rsid w:val="00C96005"/>
    <w:rsid w:val="00C960C5"/>
    <w:rsid w:val="00C9611C"/>
    <w:rsid w:val="00C961B6"/>
    <w:rsid w:val="00C96234"/>
    <w:rsid w:val="00C9639A"/>
    <w:rsid w:val="00C963AF"/>
    <w:rsid w:val="00C963E4"/>
    <w:rsid w:val="00C964E1"/>
    <w:rsid w:val="00C96721"/>
    <w:rsid w:val="00C96CA5"/>
    <w:rsid w:val="00C96E58"/>
    <w:rsid w:val="00C96EB2"/>
    <w:rsid w:val="00C96EE8"/>
    <w:rsid w:val="00C96F37"/>
    <w:rsid w:val="00C96FBC"/>
    <w:rsid w:val="00C970A0"/>
    <w:rsid w:val="00C971A2"/>
    <w:rsid w:val="00C9722A"/>
    <w:rsid w:val="00C9730B"/>
    <w:rsid w:val="00C97352"/>
    <w:rsid w:val="00C9758E"/>
    <w:rsid w:val="00C975BE"/>
    <w:rsid w:val="00C977C1"/>
    <w:rsid w:val="00C97829"/>
    <w:rsid w:val="00C97841"/>
    <w:rsid w:val="00C9786C"/>
    <w:rsid w:val="00C978EB"/>
    <w:rsid w:val="00C97939"/>
    <w:rsid w:val="00C97C7E"/>
    <w:rsid w:val="00C97CAB"/>
    <w:rsid w:val="00C97D2A"/>
    <w:rsid w:val="00C97E32"/>
    <w:rsid w:val="00C97E33"/>
    <w:rsid w:val="00C97EB1"/>
    <w:rsid w:val="00C97EF1"/>
    <w:rsid w:val="00C97F28"/>
    <w:rsid w:val="00C97F3E"/>
    <w:rsid w:val="00C97F5A"/>
    <w:rsid w:val="00C97FFE"/>
    <w:rsid w:val="00CA0029"/>
    <w:rsid w:val="00CA0078"/>
    <w:rsid w:val="00CA024A"/>
    <w:rsid w:val="00CA0274"/>
    <w:rsid w:val="00CA0356"/>
    <w:rsid w:val="00CA04C0"/>
    <w:rsid w:val="00CA0725"/>
    <w:rsid w:val="00CA077D"/>
    <w:rsid w:val="00CA07E5"/>
    <w:rsid w:val="00CA07FD"/>
    <w:rsid w:val="00CA086A"/>
    <w:rsid w:val="00CA08F0"/>
    <w:rsid w:val="00CA09C7"/>
    <w:rsid w:val="00CA0B57"/>
    <w:rsid w:val="00CA0C90"/>
    <w:rsid w:val="00CA0CC8"/>
    <w:rsid w:val="00CA0EA4"/>
    <w:rsid w:val="00CA0F93"/>
    <w:rsid w:val="00CA0FA5"/>
    <w:rsid w:val="00CA11BF"/>
    <w:rsid w:val="00CA1213"/>
    <w:rsid w:val="00CA1697"/>
    <w:rsid w:val="00CA16F0"/>
    <w:rsid w:val="00CA1BC8"/>
    <w:rsid w:val="00CA1C74"/>
    <w:rsid w:val="00CA1D92"/>
    <w:rsid w:val="00CA1DB5"/>
    <w:rsid w:val="00CA1DF3"/>
    <w:rsid w:val="00CA1E5C"/>
    <w:rsid w:val="00CA1E9F"/>
    <w:rsid w:val="00CA1F08"/>
    <w:rsid w:val="00CA1F29"/>
    <w:rsid w:val="00CA1FD2"/>
    <w:rsid w:val="00CA21EA"/>
    <w:rsid w:val="00CA2250"/>
    <w:rsid w:val="00CA234A"/>
    <w:rsid w:val="00CA234C"/>
    <w:rsid w:val="00CA2481"/>
    <w:rsid w:val="00CA2507"/>
    <w:rsid w:val="00CA2570"/>
    <w:rsid w:val="00CA2626"/>
    <w:rsid w:val="00CA265A"/>
    <w:rsid w:val="00CA26E3"/>
    <w:rsid w:val="00CA28BB"/>
    <w:rsid w:val="00CA28E7"/>
    <w:rsid w:val="00CA2B4B"/>
    <w:rsid w:val="00CA304C"/>
    <w:rsid w:val="00CA3186"/>
    <w:rsid w:val="00CA32B9"/>
    <w:rsid w:val="00CA32BD"/>
    <w:rsid w:val="00CA3334"/>
    <w:rsid w:val="00CA33D5"/>
    <w:rsid w:val="00CA3405"/>
    <w:rsid w:val="00CA3412"/>
    <w:rsid w:val="00CA34AD"/>
    <w:rsid w:val="00CA34FB"/>
    <w:rsid w:val="00CA3505"/>
    <w:rsid w:val="00CA353E"/>
    <w:rsid w:val="00CA3631"/>
    <w:rsid w:val="00CA3635"/>
    <w:rsid w:val="00CA367F"/>
    <w:rsid w:val="00CA38BC"/>
    <w:rsid w:val="00CA39A6"/>
    <w:rsid w:val="00CA39D7"/>
    <w:rsid w:val="00CA3B1D"/>
    <w:rsid w:val="00CA3B23"/>
    <w:rsid w:val="00CA3BCD"/>
    <w:rsid w:val="00CA3C6D"/>
    <w:rsid w:val="00CA3E1F"/>
    <w:rsid w:val="00CA3F00"/>
    <w:rsid w:val="00CA3F7F"/>
    <w:rsid w:val="00CA4091"/>
    <w:rsid w:val="00CA411C"/>
    <w:rsid w:val="00CA4243"/>
    <w:rsid w:val="00CA42F3"/>
    <w:rsid w:val="00CA4336"/>
    <w:rsid w:val="00CA4358"/>
    <w:rsid w:val="00CA44CC"/>
    <w:rsid w:val="00CA45FF"/>
    <w:rsid w:val="00CA4678"/>
    <w:rsid w:val="00CA46F5"/>
    <w:rsid w:val="00CA4875"/>
    <w:rsid w:val="00CA48EB"/>
    <w:rsid w:val="00CA4A02"/>
    <w:rsid w:val="00CA4BF1"/>
    <w:rsid w:val="00CA4C14"/>
    <w:rsid w:val="00CA4C7E"/>
    <w:rsid w:val="00CA4F48"/>
    <w:rsid w:val="00CA4F90"/>
    <w:rsid w:val="00CA5068"/>
    <w:rsid w:val="00CA50EF"/>
    <w:rsid w:val="00CA5249"/>
    <w:rsid w:val="00CA54FB"/>
    <w:rsid w:val="00CA56A7"/>
    <w:rsid w:val="00CA585F"/>
    <w:rsid w:val="00CA58E4"/>
    <w:rsid w:val="00CA58F6"/>
    <w:rsid w:val="00CA5A22"/>
    <w:rsid w:val="00CA5A7B"/>
    <w:rsid w:val="00CA5A9A"/>
    <w:rsid w:val="00CA5C89"/>
    <w:rsid w:val="00CA5C98"/>
    <w:rsid w:val="00CA6199"/>
    <w:rsid w:val="00CA6281"/>
    <w:rsid w:val="00CA6321"/>
    <w:rsid w:val="00CA6695"/>
    <w:rsid w:val="00CA66F6"/>
    <w:rsid w:val="00CA68BF"/>
    <w:rsid w:val="00CA6963"/>
    <w:rsid w:val="00CA6992"/>
    <w:rsid w:val="00CA6A3A"/>
    <w:rsid w:val="00CA6D29"/>
    <w:rsid w:val="00CA6DD4"/>
    <w:rsid w:val="00CA6F7F"/>
    <w:rsid w:val="00CA6FA5"/>
    <w:rsid w:val="00CA70D3"/>
    <w:rsid w:val="00CA71B3"/>
    <w:rsid w:val="00CA745B"/>
    <w:rsid w:val="00CA7460"/>
    <w:rsid w:val="00CA7557"/>
    <w:rsid w:val="00CA764A"/>
    <w:rsid w:val="00CA76D9"/>
    <w:rsid w:val="00CA7779"/>
    <w:rsid w:val="00CA7789"/>
    <w:rsid w:val="00CA7838"/>
    <w:rsid w:val="00CA78BD"/>
    <w:rsid w:val="00CA7A34"/>
    <w:rsid w:val="00CA7B1D"/>
    <w:rsid w:val="00CA7B4A"/>
    <w:rsid w:val="00CA7B70"/>
    <w:rsid w:val="00CA7BA5"/>
    <w:rsid w:val="00CA7C06"/>
    <w:rsid w:val="00CA7CDE"/>
    <w:rsid w:val="00CA7D8E"/>
    <w:rsid w:val="00CA7F93"/>
    <w:rsid w:val="00CB0181"/>
    <w:rsid w:val="00CB0189"/>
    <w:rsid w:val="00CB01E6"/>
    <w:rsid w:val="00CB02E6"/>
    <w:rsid w:val="00CB0408"/>
    <w:rsid w:val="00CB0435"/>
    <w:rsid w:val="00CB0471"/>
    <w:rsid w:val="00CB0688"/>
    <w:rsid w:val="00CB06CF"/>
    <w:rsid w:val="00CB06DA"/>
    <w:rsid w:val="00CB07FA"/>
    <w:rsid w:val="00CB08BF"/>
    <w:rsid w:val="00CB09FF"/>
    <w:rsid w:val="00CB0A18"/>
    <w:rsid w:val="00CB0A47"/>
    <w:rsid w:val="00CB0A5C"/>
    <w:rsid w:val="00CB0AAE"/>
    <w:rsid w:val="00CB0AC4"/>
    <w:rsid w:val="00CB0B83"/>
    <w:rsid w:val="00CB0BBA"/>
    <w:rsid w:val="00CB0C9C"/>
    <w:rsid w:val="00CB0D17"/>
    <w:rsid w:val="00CB0D3B"/>
    <w:rsid w:val="00CB0D72"/>
    <w:rsid w:val="00CB1278"/>
    <w:rsid w:val="00CB140A"/>
    <w:rsid w:val="00CB143E"/>
    <w:rsid w:val="00CB1565"/>
    <w:rsid w:val="00CB156B"/>
    <w:rsid w:val="00CB1639"/>
    <w:rsid w:val="00CB164C"/>
    <w:rsid w:val="00CB166F"/>
    <w:rsid w:val="00CB18BC"/>
    <w:rsid w:val="00CB18C1"/>
    <w:rsid w:val="00CB18ED"/>
    <w:rsid w:val="00CB1A1E"/>
    <w:rsid w:val="00CB1AA4"/>
    <w:rsid w:val="00CB1CC0"/>
    <w:rsid w:val="00CB1E69"/>
    <w:rsid w:val="00CB1E87"/>
    <w:rsid w:val="00CB1F61"/>
    <w:rsid w:val="00CB200B"/>
    <w:rsid w:val="00CB2173"/>
    <w:rsid w:val="00CB2175"/>
    <w:rsid w:val="00CB21B6"/>
    <w:rsid w:val="00CB2208"/>
    <w:rsid w:val="00CB2358"/>
    <w:rsid w:val="00CB2424"/>
    <w:rsid w:val="00CB243B"/>
    <w:rsid w:val="00CB2471"/>
    <w:rsid w:val="00CB247E"/>
    <w:rsid w:val="00CB2480"/>
    <w:rsid w:val="00CB24CB"/>
    <w:rsid w:val="00CB26C0"/>
    <w:rsid w:val="00CB2771"/>
    <w:rsid w:val="00CB2830"/>
    <w:rsid w:val="00CB2884"/>
    <w:rsid w:val="00CB28AC"/>
    <w:rsid w:val="00CB2A89"/>
    <w:rsid w:val="00CB2C73"/>
    <w:rsid w:val="00CB2D38"/>
    <w:rsid w:val="00CB2DE8"/>
    <w:rsid w:val="00CB2E07"/>
    <w:rsid w:val="00CB2FEB"/>
    <w:rsid w:val="00CB2FFD"/>
    <w:rsid w:val="00CB30B2"/>
    <w:rsid w:val="00CB30FF"/>
    <w:rsid w:val="00CB315F"/>
    <w:rsid w:val="00CB3199"/>
    <w:rsid w:val="00CB32F2"/>
    <w:rsid w:val="00CB3305"/>
    <w:rsid w:val="00CB3353"/>
    <w:rsid w:val="00CB3480"/>
    <w:rsid w:val="00CB38E1"/>
    <w:rsid w:val="00CB38E6"/>
    <w:rsid w:val="00CB393E"/>
    <w:rsid w:val="00CB3998"/>
    <w:rsid w:val="00CB39FA"/>
    <w:rsid w:val="00CB3BD2"/>
    <w:rsid w:val="00CB3D56"/>
    <w:rsid w:val="00CB3D6B"/>
    <w:rsid w:val="00CB3EAF"/>
    <w:rsid w:val="00CB3F8C"/>
    <w:rsid w:val="00CB3FAC"/>
    <w:rsid w:val="00CB40ED"/>
    <w:rsid w:val="00CB4101"/>
    <w:rsid w:val="00CB4167"/>
    <w:rsid w:val="00CB458B"/>
    <w:rsid w:val="00CB4762"/>
    <w:rsid w:val="00CB47A6"/>
    <w:rsid w:val="00CB4881"/>
    <w:rsid w:val="00CB4A1D"/>
    <w:rsid w:val="00CB4A50"/>
    <w:rsid w:val="00CB4B33"/>
    <w:rsid w:val="00CB4D3D"/>
    <w:rsid w:val="00CB4DAD"/>
    <w:rsid w:val="00CB4E0F"/>
    <w:rsid w:val="00CB4E22"/>
    <w:rsid w:val="00CB4E7F"/>
    <w:rsid w:val="00CB4F02"/>
    <w:rsid w:val="00CB4F12"/>
    <w:rsid w:val="00CB50C6"/>
    <w:rsid w:val="00CB50F8"/>
    <w:rsid w:val="00CB5111"/>
    <w:rsid w:val="00CB51F6"/>
    <w:rsid w:val="00CB533A"/>
    <w:rsid w:val="00CB5379"/>
    <w:rsid w:val="00CB53B2"/>
    <w:rsid w:val="00CB546E"/>
    <w:rsid w:val="00CB548C"/>
    <w:rsid w:val="00CB551E"/>
    <w:rsid w:val="00CB55AA"/>
    <w:rsid w:val="00CB5710"/>
    <w:rsid w:val="00CB582C"/>
    <w:rsid w:val="00CB58D0"/>
    <w:rsid w:val="00CB5B91"/>
    <w:rsid w:val="00CB5C25"/>
    <w:rsid w:val="00CB5CCB"/>
    <w:rsid w:val="00CB5E9B"/>
    <w:rsid w:val="00CB6036"/>
    <w:rsid w:val="00CB624B"/>
    <w:rsid w:val="00CB66D7"/>
    <w:rsid w:val="00CB6725"/>
    <w:rsid w:val="00CB6766"/>
    <w:rsid w:val="00CB683C"/>
    <w:rsid w:val="00CB688F"/>
    <w:rsid w:val="00CB68AC"/>
    <w:rsid w:val="00CB6911"/>
    <w:rsid w:val="00CB6A26"/>
    <w:rsid w:val="00CB6A54"/>
    <w:rsid w:val="00CB6A56"/>
    <w:rsid w:val="00CB6A5B"/>
    <w:rsid w:val="00CB6B7F"/>
    <w:rsid w:val="00CB6BD4"/>
    <w:rsid w:val="00CB6BF6"/>
    <w:rsid w:val="00CB6C52"/>
    <w:rsid w:val="00CB6CDF"/>
    <w:rsid w:val="00CB7001"/>
    <w:rsid w:val="00CB71B9"/>
    <w:rsid w:val="00CB7249"/>
    <w:rsid w:val="00CB728B"/>
    <w:rsid w:val="00CB73E9"/>
    <w:rsid w:val="00CB74C0"/>
    <w:rsid w:val="00CB77BA"/>
    <w:rsid w:val="00CB78C3"/>
    <w:rsid w:val="00CB79E0"/>
    <w:rsid w:val="00CB79E8"/>
    <w:rsid w:val="00CB7A09"/>
    <w:rsid w:val="00CB7A64"/>
    <w:rsid w:val="00CB7A7A"/>
    <w:rsid w:val="00CB7BB3"/>
    <w:rsid w:val="00CB7BD8"/>
    <w:rsid w:val="00CB7C99"/>
    <w:rsid w:val="00CB7D5E"/>
    <w:rsid w:val="00CB7D89"/>
    <w:rsid w:val="00CB7DE8"/>
    <w:rsid w:val="00CB7F7F"/>
    <w:rsid w:val="00CC00B1"/>
    <w:rsid w:val="00CC0169"/>
    <w:rsid w:val="00CC0180"/>
    <w:rsid w:val="00CC01E4"/>
    <w:rsid w:val="00CC0289"/>
    <w:rsid w:val="00CC031B"/>
    <w:rsid w:val="00CC03E4"/>
    <w:rsid w:val="00CC03F7"/>
    <w:rsid w:val="00CC0417"/>
    <w:rsid w:val="00CC0419"/>
    <w:rsid w:val="00CC04E8"/>
    <w:rsid w:val="00CC05E7"/>
    <w:rsid w:val="00CC062C"/>
    <w:rsid w:val="00CC0798"/>
    <w:rsid w:val="00CC07A6"/>
    <w:rsid w:val="00CC084A"/>
    <w:rsid w:val="00CC0857"/>
    <w:rsid w:val="00CC09BA"/>
    <w:rsid w:val="00CC09C1"/>
    <w:rsid w:val="00CC0A3E"/>
    <w:rsid w:val="00CC0C24"/>
    <w:rsid w:val="00CC0CB4"/>
    <w:rsid w:val="00CC0D58"/>
    <w:rsid w:val="00CC0E30"/>
    <w:rsid w:val="00CC0F22"/>
    <w:rsid w:val="00CC1083"/>
    <w:rsid w:val="00CC109B"/>
    <w:rsid w:val="00CC10F1"/>
    <w:rsid w:val="00CC149D"/>
    <w:rsid w:val="00CC15B5"/>
    <w:rsid w:val="00CC1639"/>
    <w:rsid w:val="00CC175B"/>
    <w:rsid w:val="00CC1A5B"/>
    <w:rsid w:val="00CC1B6A"/>
    <w:rsid w:val="00CC1DF9"/>
    <w:rsid w:val="00CC1E9E"/>
    <w:rsid w:val="00CC21A7"/>
    <w:rsid w:val="00CC2281"/>
    <w:rsid w:val="00CC24B5"/>
    <w:rsid w:val="00CC2578"/>
    <w:rsid w:val="00CC25D4"/>
    <w:rsid w:val="00CC2713"/>
    <w:rsid w:val="00CC273C"/>
    <w:rsid w:val="00CC2888"/>
    <w:rsid w:val="00CC293B"/>
    <w:rsid w:val="00CC29FB"/>
    <w:rsid w:val="00CC2A6B"/>
    <w:rsid w:val="00CC2A71"/>
    <w:rsid w:val="00CC2A73"/>
    <w:rsid w:val="00CC2CE0"/>
    <w:rsid w:val="00CC2CE8"/>
    <w:rsid w:val="00CC2DCA"/>
    <w:rsid w:val="00CC2F4D"/>
    <w:rsid w:val="00CC3091"/>
    <w:rsid w:val="00CC30AE"/>
    <w:rsid w:val="00CC3152"/>
    <w:rsid w:val="00CC3372"/>
    <w:rsid w:val="00CC3490"/>
    <w:rsid w:val="00CC3521"/>
    <w:rsid w:val="00CC35A1"/>
    <w:rsid w:val="00CC35C7"/>
    <w:rsid w:val="00CC36E8"/>
    <w:rsid w:val="00CC372E"/>
    <w:rsid w:val="00CC384E"/>
    <w:rsid w:val="00CC395E"/>
    <w:rsid w:val="00CC39E4"/>
    <w:rsid w:val="00CC39F6"/>
    <w:rsid w:val="00CC3B38"/>
    <w:rsid w:val="00CC3B51"/>
    <w:rsid w:val="00CC3BFA"/>
    <w:rsid w:val="00CC3D05"/>
    <w:rsid w:val="00CC3F49"/>
    <w:rsid w:val="00CC4075"/>
    <w:rsid w:val="00CC413D"/>
    <w:rsid w:val="00CC41A3"/>
    <w:rsid w:val="00CC4265"/>
    <w:rsid w:val="00CC42FE"/>
    <w:rsid w:val="00CC44ED"/>
    <w:rsid w:val="00CC462E"/>
    <w:rsid w:val="00CC464F"/>
    <w:rsid w:val="00CC46BE"/>
    <w:rsid w:val="00CC4760"/>
    <w:rsid w:val="00CC477A"/>
    <w:rsid w:val="00CC47C6"/>
    <w:rsid w:val="00CC47F9"/>
    <w:rsid w:val="00CC48BE"/>
    <w:rsid w:val="00CC491C"/>
    <w:rsid w:val="00CC491D"/>
    <w:rsid w:val="00CC496B"/>
    <w:rsid w:val="00CC497B"/>
    <w:rsid w:val="00CC4AE6"/>
    <w:rsid w:val="00CC4B21"/>
    <w:rsid w:val="00CC4B4F"/>
    <w:rsid w:val="00CC4B7D"/>
    <w:rsid w:val="00CC4C13"/>
    <w:rsid w:val="00CC4DE5"/>
    <w:rsid w:val="00CC4E71"/>
    <w:rsid w:val="00CC4EC3"/>
    <w:rsid w:val="00CC4F1B"/>
    <w:rsid w:val="00CC4F56"/>
    <w:rsid w:val="00CC4F5B"/>
    <w:rsid w:val="00CC5149"/>
    <w:rsid w:val="00CC51EF"/>
    <w:rsid w:val="00CC52C0"/>
    <w:rsid w:val="00CC54DE"/>
    <w:rsid w:val="00CC5516"/>
    <w:rsid w:val="00CC5557"/>
    <w:rsid w:val="00CC575D"/>
    <w:rsid w:val="00CC5767"/>
    <w:rsid w:val="00CC577A"/>
    <w:rsid w:val="00CC57D1"/>
    <w:rsid w:val="00CC57D6"/>
    <w:rsid w:val="00CC58CE"/>
    <w:rsid w:val="00CC5A7F"/>
    <w:rsid w:val="00CC5BC9"/>
    <w:rsid w:val="00CC5BE9"/>
    <w:rsid w:val="00CC5CEC"/>
    <w:rsid w:val="00CC5E51"/>
    <w:rsid w:val="00CC5F07"/>
    <w:rsid w:val="00CC5F8A"/>
    <w:rsid w:val="00CC617B"/>
    <w:rsid w:val="00CC653F"/>
    <w:rsid w:val="00CC66D9"/>
    <w:rsid w:val="00CC6702"/>
    <w:rsid w:val="00CC6767"/>
    <w:rsid w:val="00CC6AC8"/>
    <w:rsid w:val="00CC6B2B"/>
    <w:rsid w:val="00CC6BCB"/>
    <w:rsid w:val="00CC6BE4"/>
    <w:rsid w:val="00CC6DBC"/>
    <w:rsid w:val="00CC6E1B"/>
    <w:rsid w:val="00CC6E21"/>
    <w:rsid w:val="00CC6F03"/>
    <w:rsid w:val="00CC6F98"/>
    <w:rsid w:val="00CC70A8"/>
    <w:rsid w:val="00CC71B5"/>
    <w:rsid w:val="00CC722C"/>
    <w:rsid w:val="00CC7289"/>
    <w:rsid w:val="00CC72C6"/>
    <w:rsid w:val="00CC7347"/>
    <w:rsid w:val="00CC73B3"/>
    <w:rsid w:val="00CC7433"/>
    <w:rsid w:val="00CC7625"/>
    <w:rsid w:val="00CC7661"/>
    <w:rsid w:val="00CC77A5"/>
    <w:rsid w:val="00CC7980"/>
    <w:rsid w:val="00CC7A01"/>
    <w:rsid w:val="00CC7B91"/>
    <w:rsid w:val="00CC7DC6"/>
    <w:rsid w:val="00CC7F13"/>
    <w:rsid w:val="00CD0232"/>
    <w:rsid w:val="00CD0243"/>
    <w:rsid w:val="00CD0346"/>
    <w:rsid w:val="00CD05AD"/>
    <w:rsid w:val="00CD06C7"/>
    <w:rsid w:val="00CD0825"/>
    <w:rsid w:val="00CD0934"/>
    <w:rsid w:val="00CD0939"/>
    <w:rsid w:val="00CD09A2"/>
    <w:rsid w:val="00CD09EC"/>
    <w:rsid w:val="00CD0A24"/>
    <w:rsid w:val="00CD0AD6"/>
    <w:rsid w:val="00CD0D09"/>
    <w:rsid w:val="00CD0E99"/>
    <w:rsid w:val="00CD0EA3"/>
    <w:rsid w:val="00CD0FA7"/>
    <w:rsid w:val="00CD0FF1"/>
    <w:rsid w:val="00CD1102"/>
    <w:rsid w:val="00CD1118"/>
    <w:rsid w:val="00CD13E8"/>
    <w:rsid w:val="00CD1416"/>
    <w:rsid w:val="00CD1575"/>
    <w:rsid w:val="00CD1845"/>
    <w:rsid w:val="00CD18DB"/>
    <w:rsid w:val="00CD19C3"/>
    <w:rsid w:val="00CD1AE5"/>
    <w:rsid w:val="00CD1CF4"/>
    <w:rsid w:val="00CD1DD0"/>
    <w:rsid w:val="00CD1DF6"/>
    <w:rsid w:val="00CD1F3E"/>
    <w:rsid w:val="00CD2094"/>
    <w:rsid w:val="00CD21F4"/>
    <w:rsid w:val="00CD21FF"/>
    <w:rsid w:val="00CD2332"/>
    <w:rsid w:val="00CD27CC"/>
    <w:rsid w:val="00CD27DA"/>
    <w:rsid w:val="00CD286D"/>
    <w:rsid w:val="00CD28E9"/>
    <w:rsid w:val="00CD296B"/>
    <w:rsid w:val="00CD2A5B"/>
    <w:rsid w:val="00CD2A5D"/>
    <w:rsid w:val="00CD2ADB"/>
    <w:rsid w:val="00CD2D7C"/>
    <w:rsid w:val="00CD2DC5"/>
    <w:rsid w:val="00CD2E4B"/>
    <w:rsid w:val="00CD2EB6"/>
    <w:rsid w:val="00CD2F6A"/>
    <w:rsid w:val="00CD3031"/>
    <w:rsid w:val="00CD30B5"/>
    <w:rsid w:val="00CD3204"/>
    <w:rsid w:val="00CD337A"/>
    <w:rsid w:val="00CD360A"/>
    <w:rsid w:val="00CD3869"/>
    <w:rsid w:val="00CD38B8"/>
    <w:rsid w:val="00CD394D"/>
    <w:rsid w:val="00CD39D7"/>
    <w:rsid w:val="00CD3A2A"/>
    <w:rsid w:val="00CD3A51"/>
    <w:rsid w:val="00CD3B22"/>
    <w:rsid w:val="00CD3BCC"/>
    <w:rsid w:val="00CD3D4E"/>
    <w:rsid w:val="00CD3F9F"/>
    <w:rsid w:val="00CD3FFF"/>
    <w:rsid w:val="00CD4076"/>
    <w:rsid w:val="00CD4222"/>
    <w:rsid w:val="00CD42A8"/>
    <w:rsid w:val="00CD42CF"/>
    <w:rsid w:val="00CD42DC"/>
    <w:rsid w:val="00CD44AB"/>
    <w:rsid w:val="00CD4597"/>
    <w:rsid w:val="00CD45E7"/>
    <w:rsid w:val="00CD45F6"/>
    <w:rsid w:val="00CD46AC"/>
    <w:rsid w:val="00CD46DE"/>
    <w:rsid w:val="00CD4733"/>
    <w:rsid w:val="00CD475B"/>
    <w:rsid w:val="00CD48E3"/>
    <w:rsid w:val="00CD4A92"/>
    <w:rsid w:val="00CD4B8A"/>
    <w:rsid w:val="00CD4C1E"/>
    <w:rsid w:val="00CD4E46"/>
    <w:rsid w:val="00CD4E5B"/>
    <w:rsid w:val="00CD4F12"/>
    <w:rsid w:val="00CD4F7B"/>
    <w:rsid w:val="00CD500A"/>
    <w:rsid w:val="00CD5231"/>
    <w:rsid w:val="00CD5301"/>
    <w:rsid w:val="00CD5322"/>
    <w:rsid w:val="00CD53D7"/>
    <w:rsid w:val="00CD549E"/>
    <w:rsid w:val="00CD55F5"/>
    <w:rsid w:val="00CD5664"/>
    <w:rsid w:val="00CD579E"/>
    <w:rsid w:val="00CD580F"/>
    <w:rsid w:val="00CD582C"/>
    <w:rsid w:val="00CD58F4"/>
    <w:rsid w:val="00CD598B"/>
    <w:rsid w:val="00CD5AD3"/>
    <w:rsid w:val="00CD5B3F"/>
    <w:rsid w:val="00CD5B89"/>
    <w:rsid w:val="00CD5C14"/>
    <w:rsid w:val="00CD5CBE"/>
    <w:rsid w:val="00CD5F0A"/>
    <w:rsid w:val="00CD5F41"/>
    <w:rsid w:val="00CD5F68"/>
    <w:rsid w:val="00CD60D8"/>
    <w:rsid w:val="00CD6246"/>
    <w:rsid w:val="00CD62B7"/>
    <w:rsid w:val="00CD6319"/>
    <w:rsid w:val="00CD63EC"/>
    <w:rsid w:val="00CD644D"/>
    <w:rsid w:val="00CD647E"/>
    <w:rsid w:val="00CD6533"/>
    <w:rsid w:val="00CD6676"/>
    <w:rsid w:val="00CD677B"/>
    <w:rsid w:val="00CD6853"/>
    <w:rsid w:val="00CD687D"/>
    <w:rsid w:val="00CD692F"/>
    <w:rsid w:val="00CD69CB"/>
    <w:rsid w:val="00CD6A73"/>
    <w:rsid w:val="00CD6B38"/>
    <w:rsid w:val="00CD6C5C"/>
    <w:rsid w:val="00CD6CC7"/>
    <w:rsid w:val="00CD6CCC"/>
    <w:rsid w:val="00CD6CDD"/>
    <w:rsid w:val="00CD6DD8"/>
    <w:rsid w:val="00CD6E3C"/>
    <w:rsid w:val="00CD6FDC"/>
    <w:rsid w:val="00CD7085"/>
    <w:rsid w:val="00CD70CF"/>
    <w:rsid w:val="00CD7108"/>
    <w:rsid w:val="00CD7360"/>
    <w:rsid w:val="00CD74A9"/>
    <w:rsid w:val="00CD74CD"/>
    <w:rsid w:val="00CD7620"/>
    <w:rsid w:val="00CD7912"/>
    <w:rsid w:val="00CD7A1A"/>
    <w:rsid w:val="00CD7BDE"/>
    <w:rsid w:val="00CD7D02"/>
    <w:rsid w:val="00CD7D6B"/>
    <w:rsid w:val="00CD7F0D"/>
    <w:rsid w:val="00CE0118"/>
    <w:rsid w:val="00CE017D"/>
    <w:rsid w:val="00CE0210"/>
    <w:rsid w:val="00CE021C"/>
    <w:rsid w:val="00CE0279"/>
    <w:rsid w:val="00CE02B4"/>
    <w:rsid w:val="00CE02C1"/>
    <w:rsid w:val="00CE037B"/>
    <w:rsid w:val="00CE0967"/>
    <w:rsid w:val="00CE0A10"/>
    <w:rsid w:val="00CE0AA3"/>
    <w:rsid w:val="00CE0AC7"/>
    <w:rsid w:val="00CE0B21"/>
    <w:rsid w:val="00CE0CE0"/>
    <w:rsid w:val="00CE0E9C"/>
    <w:rsid w:val="00CE0F39"/>
    <w:rsid w:val="00CE10AA"/>
    <w:rsid w:val="00CE10AC"/>
    <w:rsid w:val="00CE1101"/>
    <w:rsid w:val="00CE1165"/>
    <w:rsid w:val="00CE1179"/>
    <w:rsid w:val="00CE14A6"/>
    <w:rsid w:val="00CE1546"/>
    <w:rsid w:val="00CE1549"/>
    <w:rsid w:val="00CE15E2"/>
    <w:rsid w:val="00CE1631"/>
    <w:rsid w:val="00CE18E2"/>
    <w:rsid w:val="00CE1B05"/>
    <w:rsid w:val="00CE1B26"/>
    <w:rsid w:val="00CE1B6A"/>
    <w:rsid w:val="00CE1C87"/>
    <w:rsid w:val="00CE1C88"/>
    <w:rsid w:val="00CE1D80"/>
    <w:rsid w:val="00CE1D93"/>
    <w:rsid w:val="00CE1E4F"/>
    <w:rsid w:val="00CE1E56"/>
    <w:rsid w:val="00CE1F71"/>
    <w:rsid w:val="00CE1F73"/>
    <w:rsid w:val="00CE230F"/>
    <w:rsid w:val="00CE2396"/>
    <w:rsid w:val="00CE23C6"/>
    <w:rsid w:val="00CE245F"/>
    <w:rsid w:val="00CE249A"/>
    <w:rsid w:val="00CE2500"/>
    <w:rsid w:val="00CE2696"/>
    <w:rsid w:val="00CE286B"/>
    <w:rsid w:val="00CE28C6"/>
    <w:rsid w:val="00CE2B9F"/>
    <w:rsid w:val="00CE2C2E"/>
    <w:rsid w:val="00CE2CCD"/>
    <w:rsid w:val="00CE2E65"/>
    <w:rsid w:val="00CE2EB5"/>
    <w:rsid w:val="00CE2F38"/>
    <w:rsid w:val="00CE2F66"/>
    <w:rsid w:val="00CE2FFC"/>
    <w:rsid w:val="00CE304F"/>
    <w:rsid w:val="00CE30A4"/>
    <w:rsid w:val="00CE319D"/>
    <w:rsid w:val="00CE327E"/>
    <w:rsid w:val="00CE331C"/>
    <w:rsid w:val="00CE33AE"/>
    <w:rsid w:val="00CE3456"/>
    <w:rsid w:val="00CE350B"/>
    <w:rsid w:val="00CE3652"/>
    <w:rsid w:val="00CE3883"/>
    <w:rsid w:val="00CE3A3F"/>
    <w:rsid w:val="00CE3B8E"/>
    <w:rsid w:val="00CE3C0A"/>
    <w:rsid w:val="00CE3C32"/>
    <w:rsid w:val="00CE3E2B"/>
    <w:rsid w:val="00CE4421"/>
    <w:rsid w:val="00CE4423"/>
    <w:rsid w:val="00CE457F"/>
    <w:rsid w:val="00CE4589"/>
    <w:rsid w:val="00CE47DE"/>
    <w:rsid w:val="00CE4826"/>
    <w:rsid w:val="00CE482C"/>
    <w:rsid w:val="00CE4831"/>
    <w:rsid w:val="00CE484C"/>
    <w:rsid w:val="00CE484F"/>
    <w:rsid w:val="00CE4905"/>
    <w:rsid w:val="00CE4955"/>
    <w:rsid w:val="00CE4964"/>
    <w:rsid w:val="00CE4A15"/>
    <w:rsid w:val="00CE4A8D"/>
    <w:rsid w:val="00CE4AAD"/>
    <w:rsid w:val="00CE4B3F"/>
    <w:rsid w:val="00CE4B6F"/>
    <w:rsid w:val="00CE4C18"/>
    <w:rsid w:val="00CE4DAA"/>
    <w:rsid w:val="00CE501B"/>
    <w:rsid w:val="00CE5036"/>
    <w:rsid w:val="00CE50A3"/>
    <w:rsid w:val="00CE5147"/>
    <w:rsid w:val="00CE514A"/>
    <w:rsid w:val="00CE5171"/>
    <w:rsid w:val="00CE51E2"/>
    <w:rsid w:val="00CE527F"/>
    <w:rsid w:val="00CE5403"/>
    <w:rsid w:val="00CE5535"/>
    <w:rsid w:val="00CE5596"/>
    <w:rsid w:val="00CE562D"/>
    <w:rsid w:val="00CE5685"/>
    <w:rsid w:val="00CE588C"/>
    <w:rsid w:val="00CE58E0"/>
    <w:rsid w:val="00CE59C7"/>
    <w:rsid w:val="00CE59D0"/>
    <w:rsid w:val="00CE59E6"/>
    <w:rsid w:val="00CE59FF"/>
    <w:rsid w:val="00CE5A64"/>
    <w:rsid w:val="00CE5B32"/>
    <w:rsid w:val="00CE5C3F"/>
    <w:rsid w:val="00CE5CEE"/>
    <w:rsid w:val="00CE5F68"/>
    <w:rsid w:val="00CE60EA"/>
    <w:rsid w:val="00CE612A"/>
    <w:rsid w:val="00CE6315"/>
    <w:rsid w:val="00CE6574"/>
    <w:rsid w:val="00CE6598"/>
    <w:rsid w:val="00CE678A"/>
    <w:rsid w:val="00CE68B6"/>
    <w:rsid w:val="00CE699C"/>
    <w:rsid w:val="00CE69F7"/>
    <w:rsid w:val="00CE6A24"/>
    <w:rsid w:val="00CE6A43"/>
    <w:rsid w:val="00CE6A76"/>
    <w:rsid w:val="00CE6CF8"/>
    <w:rsid w:val="00CE6D01"/>
    <w:rsid w:val="00CE6D3F"/>
    <w:rsid w:val="00CE6F17"/>
    <w:rsid w:val="00CE7044"/>
    <w:rsid w:val="00CE7061"/>
    <w:rsid w:val="00CE70CE"/>
    <w:rsid w:val="00CE7190"/>
    <w:rsid w:val="00CE71C6"/>
    <w:rsid w:val="00CE73C4"/>
    <w:rsid w:val="00CE73D4"/>
    <w:rsid w:val="00CE7440"/>
    <w:rsid w:val="00CE7473"/>
    <w:rsid w:val="00CE7705"/>
    <w:rsid w:val="00CE77F0"/>
    <w:rsid w:val="00CE7893"/>
    <w:rsid w:val="00CE78B6"/>
    <w:rsid w:val="00CE78EB"/>
    <w:rsid w:val="00CE7A60"/>
    <w:rsid w:val="00CE7B9C"/>
    <w:rsid w:val="00CE7D0F"/>
    <w:rsid w:val="00CE7D44"/>
    <w:rsid w:val="00CE7E0C"/>
    <w:rsid w:val="00CE7E40"/>
    <w:rsid w:val="00CE7ECC"/>
    <w:rsid w:val="00CE7EEA"/>
    <w:rsid w:val="00CE7F84"/>
    <w:rsid w:val="00CE7FA2"/>
    <w:rsid w:val="00CEC0D1"/>
    <w:rsid w:val="00CF0275"/>
    <w:rsid w:val="00CF0393"/>
    <w:rsid w:val="00CF047F"/>
    <w:rsid w:val="00CF04B0"/>
    <w:rsid w:val="00CF052E"/>
    <w:rsid w:val="00CF0630"/>
    <w:rsid w:val="00CF0684"/>
    <w:rsid w:val="00CF0752"/>
    <w:rsid w:val="00CF082E"/>
    <w:rsid w:val="00CF09AA"/>
    <w:rsid w:val="00CF0A0A"/>
    <w:rsid w:val="00CF0A17"/>
    <w:rsid w:val="00CF0A60"/>
    <w:rsid w:val="00CF0B86"/>
    <w:rsid w:val="00CF0ECC"/>
    <w:rsid w:val="00CF0EE1"/>
    <w:rsid w:val="00CF1149"/>
    <w:rsid w:val="00CF1177"/>
    <w:rsid w:val="00CF1314"/>
    <w:rsid w:val="00CF1533"/>
    <w:rsid w:val="00CF15B3"/>
    <w:rsid w:val="00CF161B"/>
    <w:rsid w:val="00CF1696"/>
    <w:rsid w:val="00CF1778"/>
    <w:rsid w:val="00CF17CD"/>
    <w:rsid w:val="00CF17E3"/>
    <w:rsid w:val="00CF19C5"/>
    <w:rsid w:val="00CF1B87"/>
    <w:rsid w:val="00CF1BB9"/>
    <w:rsid w:val="00CF1C15"/>
    <w:rsid w:val="00CF1C22"/>
    <w:rsid w:val="00CF1E1C"/>
    <w:rsid w:val="00CF1F21"/>
    <w:rsid w:val="00CF2038"/>
    <w:rsid w:val="00CF2230"/>
    <w:rsid w:val="00CF2401"/>
    <w:rsid w:val="00CF2420"/>
    <w:rsid w:val="00CF24CB"/>
    <w:rsid w:val="00CF291E"/>
    <w:rsid w:val="00CF2B5D"/>
    <w:rsid w:val="00CF2B7D"/>
    <w:rsid w:val="00CF2BF2"/>
    <w:rsid w:val="00CF2BFB"/>
    <w:rsid w:val="00CF2C1B"/>
    <w:rsid w:val="00CF2C31"/>
    <w:rsid w:val="00CF2C7B"/>
    <w:rsid w:val="00CF2E6E"/>
    <w:rsid w:val="00CF30F1"/>
    <w:rsid w:val="00CF314F"/>
    <w:rsid w:val="00CF32F3"/>
    <w:rsid w:val="00CF33B0"/>
    <w:rsid w:val="00CF3414"/>
    <w:rsid w:val="00CF351B"/>
    <w:rsid w:val="00CF3596"/>
    <w:rsid w:val="00CF37A6"/>
    <w:rsid w:val="00CF37B9"/>
    <w:rsid w:val="00CF37C7"/>
    <w:rsid w:val="00CF3A7D"/>
    <w:rsid w:val="00CF3C58"/>
    <w:rsid w:val="00CF3C5D"/>
    <w:rsid w:val="00CF3C71"/>
    <w:rsid w:val="00CF3D6D"/>
    <w:rsid w:val="00CF3EBC"/>
    <w:rsid w:val="00CF3F93"/>
    <w:rsid w:val="00CF3FA6"/>
    <w:rsid w:val="00CF4281"/>
    <w:rsid w:val="00CF42D2"/>
    <w:rsid w:val="00CF440E"/>
    <w:rsid w:val="00CF442B"/>
    <w:rsid w:val="00CF4510"/>
    <w:rsid w:val="00CF4568"/>
    <w:rsid w:val="00CF4581"/>
    <w:rsid w:val="00CF483C"/>
    <w:rsid w:val="00CF491E"/>
    <w:rsid w:val="00CF4BE5"/>
    <w:rsid w:val="00CF4D2D"/>
    <w:rsid w:val="00CF4D6C"/>
    <w:rsid w:val="00CF4F52"/>
    <w:rsid w:val="00CF5137"/>
    <w:rsid w:val="00CF5392"/>
    <w:rsid w:val="00CF54E8"/>
    <w:rsid w:val="00CF575D"/>
    <w:rsid w:val="00CF5AAC"/>
    <w:rsid w:val="00CF5B2B"/>
    <w:rsid w:val="00CF5C17"/>
    <w:rsid w:val="00CF5CC2"/>
    <w:rsid w:val="00CF5CD2"/>
    <w:rsid w:val="00CF5DFF"/>
    <w:rsid w:val="00CF603C"/>
    <w:rsid w:val="00CF6390"/>
    <w:rsid w:val="00CF6524"/>
    <w:rsid w:val="00CF666A"/>
    <w:rsid w:val="00CF666F"/>
    <w:rsid w:val="00CF66D9"/>
    <w:rsid w:val="00CF681A"/>
    <w:rsid w:val="00CF6952"/>
    <w:rsid w:val="00CF6A84"/>
    <w:rsid w:val="00CF6AF9"/>
    <w:rsid w:val="00CF6B72"/>
    <w:rsid w:val="00CF6C4C"/>
    <w:rsid w:val="00CF6F0E"/>
    <w:rsid w:val="00CF7031"/>
    <w:rsid w:val="00CF7063"/>
    <w:rsid w:val="00CF7075"/>
    <w:rsid w:val="00CF709F"/>
    <w:rsid w:val="00CF70D1"/>
    <w:rsid w:val="00CF7112"/>
    <w:rsid w:val="00CF7118"/>
    <w:rsid w:val="00CF71F5"/>
    <w:rsid w:val="00CF72AA"/>
    <w:rsid w:val="00CF73F1"/>
    <w:rsid w:val="00CF7482"/>
    <w:rsid w:val="00CF74E6"/>
    <w:rsid w:val="00CF758E"/>
    <w:rsid w:val="00CF7597"/>
    <w:rsid w:val="00CF75D2"/>
    <w:rsid w:val="00CF7936"/>
    <w:rsid w:val="00CF7AEC"/>
    <w:rsid w:val="00CF7B07"/>
    <w:rsid w:val="00CF7D3C"/>
    <w:rsid w:val="00CF7E0A"/>
    <w:rsid w:val="00CF7E3D"/>
    <w:rsid w:val="00CF7E77"/>
    <w:rsid w:val="00CF7FA9"/>
    <w:rsid w:val="00CF7FFC"/>
    <w:rsid w:val="00CF7FFD"/>
    <w:rsid w:val="00D00054"/>
    <w:rsid w:val="00D00061"/>
    <w:rsid w:val="00D000F9"/>
    <w:rsid w:val="00D0023B"/>
    <w:rsid w:val="00D00258"/>
    <w:rsid w:val="00D0038F"/>
    <w:rsid w:val="00D00417"/>
    <w:rsid w:val="00D00677"/>
    <w:rsid w:val="00D0089D"/>
    <w:rsid w:val="00D00B11"/>
    <w:rsid w:val="00D00C48"/>
    <w:rsid w:val="00D00C7F"/>
    <w:rsid w:val="00D00CAC"/>
    <w:rsid w:val="00D00CB4"/>
    <w:rsid w:val="00D00D3A"/>
    <w:rsid w:val="00D00E47"/>
    <w:rsid w:val="00D0124E"/>
    <w:rsid w:val="00D0126B"/>
    <w:rsid w:val="00D01305"/>
    <w:rsid w:val="00D013D2"/>
    <w:rsid w:val="00D0152D"/>
    <w:rsid w:val="00D015B0"/>
    <w:rsid w:val="00D019B0"/>
    <w:rsid w:val="00D01A9F"/>
    <w:rsid w:val="00D01AB7"/>
    <w:rsid w:val="00D01ADB"/>
    <w:rsid w:val="00D01B02"/>
    <w:rsid w:val="00D01BAE"/>
    <w:rsid w:val="00D01C56"/>
    <w:rsid w:val="00D01D2F"/>
    <w:rsid w:val="00D01F0A"/>
    <w:rsid w:val="00D01F92"/>
    <w:rsid w:val="00D01FF7"/>
    <w:rsid w:val="00D020A6"/>
    <w:rsid w:val="00D020DA"/>
    <w:rsid w:val="00D0225F"/>
    <w:rsid w:val="00D022DD"/>
    <w:rsid w:val="00D02366"/>
    <w:rsid w:val="00D023A2"/>
    <w:rsid w:val="00D023A9"/>
    <w:rsid w:val="00D023F2"/>
    <w:rsid w:val="00D024D3"/>
    <w:rsid w:val="00D026C1"/>
    <w:rsid w:val="00D026D1"/>
    <w:rsid w:val="00D026D7"/>
    <w:rsid w:val="00D026D8"/>
    <w:rsid w:val="00D027FE"/>
    <w:rsid w:val="00D02835"/>
    <w:rsid w:val="00D02846"/>
    <w:rsid w:val="00D028E6"/>
    <w:rsid w:val="00D029F6"/>
    <w:rsid w:val="00D02D10"/>
    <w:rsid w:val="00D02D8D"/>
    <w:rsid w:val="00D02D97"/>
    <w:rsid w:val="00D02DC8"/>
    <w:rsid w:val="00D02DD2"/>
    <w:rsid w:val="00D02FC8"/>
    <w:rsid w:val="00D0301B"/>
    <w:rsid w:val="00D03051"/>
    <w:rsid w:val="00D0329E"/>
    <w:rsid w:val="00D035E0"/>
    <w:rsid w:val="00D036C5"/>
    <w:rsid w:val="00D0371A"/>
    <w:rsid w:val="00D038E8"/>
    <w:rsid w:val="00D038E9"/>
    <w:rsid w:val="00D039DA"/>
    <w:rsid w:val="00D03A4C"/>
    <w:rsid w:val="00D03A88"/>
    <w:rsid w:val="00D03B15"/>
    <w:rsid w:val="00D03CF1"/>
    <w:rsid w:val="00D04151"/>
    <w:rsid w:val="00D041AD"/>
    <w:rsid w:val="00D0421C"/>
    <w:rsid w:val="00D0427A"/>
    <w:rsid w:val="00D04355"/>
    <w:rsid w:val="00D043F1"/>
    <w:rsid w:val="00D04443"/>
    <w:rsid w:val="00D0447B"/>
    <w:rsid w:val="00D045E1"/>
    <w:rsid w:val="00D047C3"/>
    <w:rsid w:val="00D04BE8"/>
    <w:rsid w:val="00D04ED9"/>
    <w:rsid w:val="00D04F24"/>
    <w:rsid w:val="00D04F38"/>
    <w:rsid w:val="00D04FBB"/>
    <w:rsid w:val="00D051DD"/>
    <w:rsid w:val="00D05215"/>
    <w:rsid w:val="00D0534F"/>
    <w:rsid w:val="00D0551C"/>
    <w:rsid w:val="00D055B9"/>
    <w:rsid w:val="00D0564A"/>
    <w:rsid w:val="00D0590C"/>
    <w:rsid w:val="00D05BE5"/>
    <w:rsid w:val="00D05BF1"/>
    <w:rsid w:val="00D05D45"/>
    <w:rsid w:val="00D05D4A"/>
    <w:rsid w:val="00D05D63"/>
    <w:rsid w:val="00D05DA9"/>
    <w:rsid w:val="00D05EC3"/>
    <w:rsid w:val="00D05F6A"/>
    <w:rsid w:val="00D06049"/>
    <w:rsid w:val="00D061DD"/>
    <w:rsid w:val="00D0638A"/>
    <w:rsid w:val="00D064D1"/>
    <w:rsid w:val="00D06534"/>
    <w:rsid w:val="00D065F8"/>
    <w:rsid w:val="00D0663C"/>
    <w:rsid w:val="00D066DD"/>
    <w:rsid w:val="00D06883"/>
    <w:rsid w:val="00D06915"/>
    <w:rsid w:val="00D06920"/>
    <w:rsid w:val="00D06994"/>
    <w:rsid w:val="00D06AD5"/>
    <w:rsid w:val="00D06B1E"/>
    <w:rsid w:val="00D06BC3"/>
    <w:rsid w:val="00D06C01"/>
    <w:rsid w:val="00D06CFF"/>
    <w:rsid w:val="00D06EE4"/>
    <w:rsid w:val="00D06F26"/>
    <w:rsid w:val="00D06F98"/>
    <w:rsid w:val="00D0701F"/>
    <w:rsid w:val="00D073A9"/>
    <w:rsid w:val="00D0751E"/>
    <w:rsid w:val="00D07597"/>
    <w:rsid w:val="00D075D9"/>
    <w:rsid w:val="00D07689"/>
    <w:rsid w:val="00D0786B"/>
    <w:rsid w:val="00D0789F"/>
    <w:rsid w:val="00D078BA"/>
    <w:rsid w:val="00D0795A"/>
    <w:rsid w:val="00D079D7"/>
    <w:rsid w:val="00D07A08"/>
    <w:rsid w:val="00D07B3B"/>
    <w:rsid w:val="00D07BB2"/>
    <w:rsid w:val="00D07BD9"/>
    <w:rsid w:val="00D07BDB"/>
    <w:rsid w:val="00D07CB8"/>
    <w:rsid w:val="00D07CBA"/>
    <w:rsid w:val="00D07D16"/>
    <w:rsid w:val="00D07E07"/>
    <w:rsid w:val="00D07E16"/>
    <w:rsid w:val="00D07E1F"/>
    <w:rsid w:val="00D07E88"/>
    <w:rsid w:val="00D07EF6"/>
    <w:rsid w:val="00D07F51"/>
    <w:rsid w:val="00D07FF0"/>
    <w:rsid w:val="00D100BB"/>
    <w:rsid w:val="00D100F0"/>
    <w:rsid w:val="00D101F0"/>
    <w:rsid w:val="00D10204"/>
    <w:rsid w:val="00D1027F"/>
    <w:rsid w:val="00D1042B"/>
    <w:rsid w:val="00D105D6"/>
    <w:rsid w:val="00D107B9"/>
    <w:rsid w:val="00D1081C"/>
    <w:rsid w:val="00D1094D"/>
    <w:rsid w:val="00D109D7"/>
    <w:rsid w:val="00D10A9C"/>
    <w:rsid w:val="00D10AC8"/>
    <w:rsid w:val="00D10E17"/>
    <w:rsid w:val="00D10E1A"/>
    <w:rsid w:val="00D10E71"/>
    <w:rsid w:val="00D10E73"/>
    <w:rsid w:val="00D11023"/>
    <w:rsid w:val="00D1107F"/>
    <w:rsid w:val="00D110CB"/>
    <w:rsid w:val="00D111C4"/>
    <w:rsid w:val="00D1121F"/>
    <w:rsid w:val="00D113C0"/>
    <w:rsid w:val="00D115D7"/>
    <w:rsid w:val="00D11715"/>
    <w:rsid w:val="00D11AD9"/>
    <w:rsid w:val="00D11C1C"/>
    <w:rsid w:val="00D11E69"/>
    <w:rsid w:val="00D120B1"/>
    <w:rsid w:val="00D120CE"/>
    <w:rsid w:val="00D1211C"/>
    <w:rsid w:val="00D12145"/>
    <w:rsid w:val="00D122B6"/>
    <w:rsid w:val="00D12327"/>
    <w:rsid w:val="00D12347"/>
    <w:rsid w:val="00D123AD"/>
    <w:rsid w:val="00D12434"/>
    <w:rsid w:val="00D12482"/>
    <w:rsid w:val="00D125B8"/>
    <w:rsid w:val="00D12604"/>
    <w:rsid w:val="00D126AA"/>
    <w:rsid w:val="00D126B6"/>
    <w:rsid w:val="00D12949"/>
    <w:rsid w:val="00D129F2"/>
    <w:rsid w:val="00D12A84"/>
    <w:rsid w:val="00D12ACF"/>
    <w:rsid w:val="00D12B13"/>
    <w:rsid w:val="00D12B6E"/>
    <w:rsid w:val="00D12BEA"/>
    <w:rsid w:val="00D12C2C"/>
    <w:rsid w:val="00D1305F"/>
    <w:rsid w:val="00D13111"/>
    <w:rsid w:val="00D1338E"/>
    <w:rsid w:val="00D133E3"/>
    <w:rsid w:val="00D1340F"/>
    <w:rsid w:val="00D134DE"/>
    <w:rsid w:val="00D1364A"/>
    <w:rsid w:val="00D136B4"/>
    <w:rsid w:val="00D13775"/>
    <w:rsid w:val="00D137CB"/>
    <w:rsid w:val="00D13833"/>
    <w:rsid w:val="00D13891"/>
    <w:rsid w:val="00D13922"/>
    <w:rsid w:val="00D13AC3"/>
    <w:rsid w:val="00D13B11"/>
    <w:rsid w:val="00D13C48"/>
    <w:rsid w:val="00D13F66"/>
    <w:rsid w:val="00D13FF7"/>
    <w:rsid w:val="00D1401D"/>
    <w:rsid w:val="00D14201"/>
    <w:rsid w:val="00D14324"/>
    <w:rsid w:val="00D14484"/>
    <w:rsid w:val="00D14643"/>
    <w:rsid w:val="00D1474E"/>
    <w:rsid w:val="00D14782"/>
    <w:rsid w:val="00D147B7"/>
    <w:rsid w:val="00D149FE"/>
    <w:rsid w:val="00D14A6C"/>
    <w:rsid w:val="00D14B01"/>
    <w:rsid w:val="00D14B92"/>
    <w:rsid w:val="00D14DE6"/>
    <w:rsid w:val="00D14EB0"/>
    <w:rsid w:val="00D14F65"/>
    <w:rsid w:val="00D14FF5"/>
    <w:rsid w:val="00D150DA"/>
    <w:rsid w:val="00D152C2"/>
    <w:rsid w:val="00D15309"/>
    <w:rsid w:val="00D1539E"/>
    <w:rsid w:val="00D15694"/>
    <w:rsid w:val="00D1582D"/>
    <w:rsid w:val="00D159D1"/>
    <w:rsid w:val="00D15C9E"/>
    <w:rsid w:val="00D15E9F"/>
    <w:rsid w:val="00D1603F"/>
    <w:rsid w:val="00D16344"/>
    <w:rsid w:val="00D16357"/>
    <w:rsid w:val="00D16622"/>
    <w:rsid w:val="00D16760"/>
    <w:rsid w:val="00D169FE"/>
    <w:rsid w:val="00D16B9B"/>
    <w:rsid w:val="00D16CB5"/>
    <w:rsid w:val="00D16E62"/>
    <w:rsid w:val="00D16F90"/>
    <w:rsid w:val="00D1708D"/>
    <w:rsid w:val="00D17302"/>
    <w:rsid w:val="00D17307"/>
    <w:rsid w:val="00D17319"/>
    <w:rsid w:val="00D173DC"/>
    <w:rsid w:val="00D17481"/>
    <w:rsid w:val="00D174B4"/>
    <w:rsid w:val="00D175B1"/>
    <w:rsid w:val="00D1768B"/>
    <w:rsid w:val="00D176DA"/>
    <w:rsid w:val="00D17742"/>
    <w:rsid w:val="00D17785"/>
    <w:rsid w:val="00D177F0"/>
    <w:rsid w:val="00D17814"/>
    <w:rsid w:val="00D178C4"/>
    <w:rsid w:val="00D17907"/>
    <w:rsid w:val="00D179CD"/>
    <w:rsid w:val="00D17B55"/>
    <w:rsid w:val="00D17BB1"/>
    <w:rsid w:val="00D17BCE"/>
    <w:rsid w:val="00D17E64"/>
    <w:rsid w:val="00D17F24"/>
    <w:rsid w:val="00D17F80"/>
    <w:rsid w:val="00D17F90"/>
    <w:rsid w:val="00D200BD"/>
    <w:rsid w:val="00D20202"/>
    <w:rsid w:val="00D202BD"/>
    <w:rsid w:val="00D202D3"/>
    <w:rsid w:val="00D202EE"/>
    <w:rsid w:val="00D203AC"/>
    <w:rsid w:val="00D20473"/>
    <w:rsid w:val="00D2053F"/>
    <w:rsid w:val="00D205B9"/>
    <w:rsid w:val="00D2065F"/>
    <w:rsid w:val="00D2079E"/>
    <w:rsid w:val="00D207BF"/>
    <w:rsid w:val="00D208CC"/>
    <w:rsid w:val="00D20A42"/>
    <w:rsid w:val="00D20E0A"/>
    <w:rsid w:val="00D20E21"/>
    <w:rsid w:val="00D20E61"/>
    <w:rsid w:val="00D20E76"/>
    <w:rsid w:val="00D20E93"/>
    <w:rsid w:val="00D20F25"/>
    <w:rsid w:val="00D21292"/>
    <w:rsid w:val="00D213FF"/>
    <w:rsid w:val="00D2144B"/>
    <w:rsid w:val="00D214D7"/>
    <w:rsid w:val="00D2154D"/>
    <w:rsid w:val="00D21607"/>
    <w:rsid w:val="00D2161E"/>
    <w:rsid w:val="00D21773"/>
    <w:rsid w:val="00D2194B"/>
    <w:rsid w:val="00D21C9C"/>
    <w:rsid w:val="00D21E1A"/>
    <w:rsid w:val="00D21E42"/>
    <w:rsid w:val="00D21F16"/>
    <w:rsid w:val="00D22006"/>
    <w:rsid w:val="00D220FF"/>
    <w:rsid w:val="00D2215A"/>
    <w:rsid w:val="00D221B7"/>
    <w:rsid w:val="00D22204"/>
    <w:rsid w:val="00D222A5"/>
    <w:rsid w:val="00D223FF"/>
    <w:rsid w:val="00D2264C"/>
    <w:rsid w:val="00D22674"/>
    <w:rsid w:val="00D2269A"/>
    <w:rsid w:val="00D226EB"/>
    <w:rsid w:val="00D226FA"/>
    <w:rsid w:val="00D227CA"/>
    <w:rsid w:val="00D228BF"/>
    <w:rsid w:val="00D229CA"/>
    <w:rsid w:val="00D22B34"/>
    <w:rsid w:val="00D22C22"/>
    <w:rsid w:val="00D22C30"/>
    <w:rsid w:val="00D22C71"/>
    <w:rsid w:val="00D22CDE"/>
    <w:rsid w:val="00D22D1A"/>
    <w:rsid w:val="00D22DB7"/>
    <w:rsid w:val="00D22E58"/>
    <w:rsid w:val="00D23041"/>
    <w:rsid w:val="00D232FB"/>
    <w:rsid w:val="00D23320"/>
    <w:rsid w:val="00D23511"/>
    <w:rsid w:val="00D23706"/>
    <w:rsid w:val="00D238F1"/>
    <w:rsid w:val="00D23953"/>
    <w:rsid w:val="00D239D6"/>
    <w:rsid w:val="00D239D7"/>
    <w:rsid w:val="00D23A12"/>
    <w:rsid w:val="00D23A14"/>
    <w:rsid w:val="00D23A95"/>
    <w:rsid w:val="00D23B73"/>
    <w:rsid w:val="00D23F33"/>
    <w:rsid w:val="00D24203"/>
    <w:rsid w:val="00D242E3"/>
    <w:rsid w:val="00D2442F"/>
    <w:rsid w:val="00D24435"/>
    <w:rsid w:val="00D244E1"/>
    <w:rsid w:val="00D2456B"/>
    <w:rsid w:val="00D24652"/>
    <w:rsid w:val="00D246C3"/>
    <w:rsid w:val="00D248A1"/>
    <w:rsid w:val="00D248D1"/>
    <w:rsid w:val="00D24A24"/>
    <w:rsid w:val="00D24A53"/>
    <w:rsid w:val="00D24D52"/>
    <w:rsid w:val="00D24E4C"/>
    <w:rsid w:val="00D24ED9"/>
    <w:rsid w:val="00D24F07"/>
    <w:rsid w:val="00D24F22"/>
    <w:rsid w:val="00D25034"/>
    <w:rsid w:val="00D25045"/>
    <w:rsid w:val="00D250BC"/>
    <w:rsid w:val="00D250FF"/>
    <w:rsid w:val="00D2519C"/>
    <w:rsid w:val="00D25221"/>
    <w:rsid w:val="00D25251"/>
    <w:rsid w:val="00D252A4"/>
    <w:rsid w:val="00D25308"/>
    <w:rsid w:val="00D2532B"/>
    <w:rsid w:val="00D253E3"/>
    <w:rsid w:val="00D253FA"/>
    <w:rsid w:val="00D25486"/>
    <w:rsid w:val="00D256CF"/>
    <w:rsid w:val="00D25947"/>
    <w:rsid w:val="00D25D23"/>
    <w:rsid w:val="00D25DB1"/>
    <w:rsid w:val="00D25DD9"/>
    <w:rsid w:val="00D25EE1"/>
    <w:rsid w:val="00D25EF7"/>
    <w:rsid w:val="00D25F4F"/>
    <w:rsid w:val="00D2601B"/>
    <w:rsid w:val="00D262B7"/>
    <w:rsid w:val="00D266B4"/>
    <w:rsid w:val="00D26849"/>
    <w:rsid w:val="00D26A31"/>
    <w:rsid w:val="00D26B0C"/>
    <w:rsid w:val="00D26C19"/>
    <w:rsid w:val="00D26C5D"/>
    <w:rsid w:val="00D26D1E"/>
    <w:rsid w:val="00D26DA7"/>
    <w:rsid w:val="00D26E0A"/>
    <w:rsid w:val="00D26E4F"/>
    <w:rsid w:val="00D270BD"/>
    <w:rsid w:val="00D2737F"/>
    <w:rsid w:val="00D27468"/>
    <w:rsid w:val="00D274F3"/>
    <w:rsid w:val="00D27612"/>
    <w:rsid w:val="00D276DC"/>
    <w:rsid w:val="00D2777E"/>
    <w:rsid w:val="00D27781"/>
    <w:rsid w:val="00D277A0"/>
    <w:rsid w:val="00D277E8"/>
    <w:rsid w:val="00D27825"/>
    <w:rsid w:val="00D27826"/>
    <w:rsid w:val="00D27962"/>
    <w:rsid w:val="00D27994"/>
    <w:rsid w:val="00D279B9"/>
    <w:rsid w:val="00D279E4"/>
    <w:rsid w:val="00D27B3D"/>
    <w:rsid w:val="00D27C70"/>
    <w:rsid w:val="00D27C7F"/>
    <w:rsid w:val="00D27E23"/>
    <w:rsid w:val="00D27F19"/>
    <w:rsid w:val="00D3000A"/>
    <w:rsid w:val="00D30073"/>
    <w:rsid w:val="00D301E5"/>
    <w:rsid w:val="00D3020A"/>
    <w:rsid w:val="00D30251"/>
    <w:rsid w:val="00D3035D"/>
    <w:rsid w:val="00D30427"/>
    <w:rsid w:val="00D30540"/>
    <w:rsid w:val="00D3081F"/>
    <w:rsid w:val="00D30870"/>
    <w:rsid w:val="00D30AF4"/>
    <w:rsid w:val="00D30B27"/>
    <w:rsid w:val="00D30B5E"/>
    <w:rsid w:val="00D30C35"/>
    <w:rsid w:val="00D30C92"/>
    <w:rsid w:val="00D30DB2"/>
    <w:rsid w:val="00D30E49"/>
    <w:rsid w:val="00D30EA4"/>
    <w:rsid w:val="00D30F88"/>
    <w:rsid w:val="00D30FDC"/>
    <w:rsid w:val="00D3111D"/>
    <w:rsid w:val="00D3112A"/>
    <w:rsid w:val="00D31151"/>
    <w:rsid w:val="00D315BB"/>
    <w:rsid w:val="00D316DF"/>
    <w:rsid w:val="00D31859"/>
    <w:rsid w:val="00D318E8"/>
    <w:rsid w:val="00D319D8"/>
    <w:rsid w:val="00D319EA"/>
    <w:rsid w:val="00D31BB9"/>
    <w:rsid w:val="00D31D65"/>
    <w:rsid w:val="00D31E24"/>
    <w:rsid w:val="00D31E79"/>
    <w:rsid w:val="00D31ED4"/>
    <w:rsid w:val="00D3205F"/>
    <w:rsid w:val="00D3209B"/>
    <w:rsid w:val="00D32191"/>
    <w:rsid w:val="00D323AF"/>
    <w:rsid w:val="00D32443"/>
    <w:rsid w:val="00D325C8"/>
    <w:rsid w:val="00D328B2"/>
    <w:rsid w:val="00D32963"/>
    <w:rsid w:val="00D32ABD"/>
    <w:rsid w:val="00D32AF9"/>
    <w:rsid w:val="00D32B12"/>
    <w:rsid w:val="00D32B8E"/>
    <w:rsid w:val="00D32BF3"/>
    <w:rsid w:val="00D32CF5"/>
    <w:rsid w:val="00D32D1B"/>
    <w:rsid w:val="00D32D99"/>
    <w:rsid w:val="00D32E85"/>
    <w:rsid w:val="00D3308D"/>
    <w:rsid w:val="00D33241"/>
    <w:rsid w:val="00D3326A"/>
    <w:rsid w:val="00D332CD"/>
    <w:rsid w:val="00D332D7"/>
    <w:rsid w:val="00D3356A"/>
    <w:rsid w:val="00D33607"/>
    <w:rsid w:val="00D33789"/>
    <w:rsid w:val="00D337FD"/>
    <w:rsid w:val="00D33857"/>
    <w:rsid w:val="00D33A73"/>
    <w:rsid w:val="00D33AA3"/>
    <w:rsid w:val="00D33BA9"/>
    <w:rsid w:val="00D33DB5"/>
    <w:rsid w:val="00D33F90"/>
    <w:rsid w:val="00D34311"/>
    <w:rsid w:val="00D344BB"/>
    <w:rsid w:val="00D346EF"/>
    <w:rsid w:val="00D34737"/>
    <w:rsid w:val="00D347B8"/>
    <w:rsid w:val="00D347EE"/>
    <w:rsid w:val="00D348D6"/>
    <w:rsid w:val="00D34B3C"/>
    <w:rsid w:val="00D34B44"/>
    <w:rsid w:val="00D34BB2"/>
    <w:rsid w:val="00D34CE1"/>
    <w:rsid w:val="00D34D4E"/>
    <w:rsid w:val="00D34FD7"/>
    <w:rsid w:val="00D3530C"/>
    <w:rsid w:val="00D35444"/>
    <w:rsid w:val="00D35459"/>
    <w:rsid w:val="00D35461"/>
    <w:rsid w:val="00D354C2"/>
    <w:rsid w:val="00D35547"/>
    <w:rsid w:val="00D355D3"/>
    <w:rsid w:val="00D35A2E"/>
    <w:rsid w:val="00D35AE8"/>
    <w:rsid w:val="00D35B85"/>
    <w:rsid w:val="00D35B9B"/>
    <w:rsid w:val="00D35E50"/>
    <w:rsid w:val="00D35F7F"/>
    <w:rsid w:val="00D35FB1"/>
    <w:rsid w:val="00D3609F"/>
    <w:rsid w:val="00D36179"/>
    <w:rsid w:val="00D36463"/>
    <w:rsid w:val="00D36591"/>
    <w:rsid w:val="00D367C5"/>
    <w:rsid w:val="00D36959"/>
    <w:rsid w:val="00D3697C"/>
    <w:rsid w:val="00D36998"/>
    <w:rsid w:val="00D369EC"/>
    <w:rsid w:val="00D369F2"/>
    <w:rsid w:val="00D36A40"/>
    <w:rsid w:val="00D36A4D"/>
    <w:rsid w:val="00D36BF7"/>
    <w:rsid w:val="00D36C3F"/>
    <w:rsid w:val="00D36DB6"/>
    <w:rsid w:val="00D36DC4"/>
    <w:rsid w:val="00D36DEB"/>
    <w:rsid w:val="00D36F55"/>
    <w:rsid w:val="00D36FE4"/>
    <w:rsid w:val="00D37083"/>
    <w:rsid w:val="00D370A7"/>
    <w:rsid w:val="00D370B9"/>
    <w:rsid w:val="00D3710F"/>
    <w:rsid w:val="00D3714E"/>
    <w:rsid w:val="00D37258"/>
    <w:rsid w:val="00D37459"/>
    <w:rsid w:val="00D374A9"/>
    <w:rsid w:val="00D37574"/>
    <w:rsid w:val="00D3762E"/>
    <w:rsid w:val="00D3774D"/>
    <w:rsid w:val="00D378A7"/>
    <w:rsid w:val="00D378E2"/>
    <w:rsid w:val="00D3795C"/>
    <w:rsid w:val="00D37AD7"/>
    <w:rsid w:val="00D37B10"/>
    <w:rsid w:val="00D37BE1"/>
    <w:rsid w:val="00D37C21"/>
    <w:rsid w:val="00D37C29"/>
    <w:rsid w:val="00D37C8E"/>
    <w:rsid w:val="00D37D4B"/>
    <w:rsid w:val="00D37EA4"/>
    <w:rsid w:val="00D4027C"/>
    <w:rsid w:val="00D40463"/>
    <w:rsid w:val="00D40490"/>
    <w:rsid w:val="00D404D2"/>
    <w:rsid w:val="00D405D8"/>
    <w:rsid w:val="00D40753"/>
    <w:rsid w:val="00D407A4"/>
    <w:rsid w:val="00D4084A"/>
    <w:rsid w:val="00D408F4"/>
    <w:rsid w:val="00D40A19"/>
    <w:rsid w:val="00D40B3C"/>
    <w:rsid w:val="00D40FE4"/>
    <w:rsid w:val="00D41019"/>
    <w:rsid w:val="00D4117C"/>
    <w:rsid w:val="00D41186"/>
    <w:rsid w:val="00D411D5"/>
    <w:rsid w:val="00D41395"/>
    <w:rsid w:val="00D413DF"/>
    <w:rsid w:val="00D414B4"/>
    <w:rsid w:val="00D415B8"/>
    <w:rsid w:val="00D41669"/>
    <w:rsid w:val="00D418C2"/>
    <w:rsid w:val="00D41999"/>
    <w:rsid w:val="00D419AA"/>
    <w:rsid w:val="00D41A68"/>
    <w:rsid w:val="00D41B7F"/>
    <w:rsid w:val="00D41D22"/>
    <w:rsid w:val="00D41DF7"/>
    <w:rsid w:val="00D42034"/>
    <w:rsid w:val="00D42049"/>
    <w:rsid w:val="00D42058"/>
    <w:rsid w:val="00D42104"/>
    <w:rsid w:val="00D4228C"/>
    <w:rsid w:val="00D42414"/>
    <w:rsid w:val="00D42644"/>
    <w:rsid w:val="00D426EA"/>
    <w:rsid w:val="00D4278E"/>
    <w:rsid w:val="00D427C1"/>
    <w:rsid w:val="00D42847"/>
    <w:rsid w:val="00D42880"/>
    <w:rsid w:val="00D428BC"/>
    <w:rsid w:val="00D42905"/>
    <w:rsid w:val="00D42918"/>
    <w:rsid w:val="00D4294C"/>
    <w:rsid w:val="00D429DC"/>
    <w:rsid w:val="00D42BEB"/>
    <w:rsid w:val="00D42D24"/>
    <w:rsid w:val="00D42DFF"/>
    <w:rsid w:val="00D42EC0"/>
    <w:rsid w:val="00D42F5D"/>
    <w:rsid w:val="00D42F88"/>
    <w:rsid w:val="00D432AB"/>
    <w:rsid w:val="00D4334F"/>
    <w:rsid w:val="00D433A3"/>
    <w:rsid w:val="00D433F4"/>
    <w:rsid w:val="00D43419"/>
    <w:rsid w:val="00D434B3"/>
    <w:rsid w:val="00D43561"/>
    <w:rsid w:val="00D4383F"/>
    <w:rsid w:val="00D4391B"/>
    <w:rsid w:val="00D43AFC"/>
    <w:rsid w:val="00D43AFF"/>
    <w:rsid w:val="00D43BBB"/>
    <w:rsid w:val="00D43BE4"/>
    <w:rsid w:val="00D43D1C"/>
    <w:rsid w:val="00D43DD2"/>
    <w:rsid w:val="00D43E75"/>
    <w:rsid w:val="00D43EF8"/>
    <w:rsid w:val="00D43F93"/>
    <w:rsid w:val="00D440EB"/>
    <w:rsid w:val="00D442AB"/>
    <w:rsid w:val="00D4432F"/>
    <w:rsid w:val="00D444FD"/>
    <w:rsid w:val="00D44547"/>
    <w:rsid w:val="00D4465F"/>
    <w:rsid w:val="00D4478C"/>
    <w:rsid w:val="00D4496F"/>
    <w:rsid w:val="00D44A88"/>
    <w:rsid w:val="00D44A8E"/>
    <w:rsid w:val="00D44B9B"/>
    <w:rsid w:val="00D44C3C"/>
    <w:rsid w:val="00D44CD3"/>
    <w:rsid w:val="00D44CE4"/>
    <w:rsid w:val="00D44CFC"/>
    <w:rsid w:val="00D44F62"/>
    <w:rsid w:val="00D450A7"/>
    <w:rsid w:val="00D4518E"/>
    <w:rsid w:val="00D451EC"/>
    <w:rsid w:val="00D453CB"/>
    <w:rsid w:val="00D454B6"/>
    <w:rsid w:val="00D4570A"/>
    <w:rsid w:val="00D45746"/>
    <w:rsid w:val="00D45790"/>
    <w:rsid w:val="00D45840"/>
    <w:rsid w:val="00D458B8"/>
    <w:rsid w:val="00D45923"/>
    <w:rsid w:val="00D45A3F"/>
    <w:rsid w:val="00D45AC8"/>
    <w:rsid w:val="00D45D22"/>
    <w:rsid w:val="00D45D29"/>
    <w:rsid w:val="00D45D5C"/>
    <w:rsid w:val="00D45DBC"/>
    <w:rsid w:val="00D45E3D"/>
    <w:rsid w:val="00D45F73"/>
    <w:rsid w:val="00D46010"/>
    <w:rsid w:val="00D46026"/>
    <w:rsid w:val="00D4636D"/>
    <w:rsid w:val="00D46427"/>
    <w:rsid w:val="00D465B2"/>
    <w:rsid w:val="00D46625"/>
    <w:rsid w:val="00D46843"/>
    <w:rsid w:val="00D46ABF"/>
    <w:rsid w:val="00D46C10"/>
    <w:rsid w:val="00D46C5A"/>
    <w:rsid w:val="00D46CDB"/>
    <w:rsid w:val="00D46E95"/>
    <w:rsid w:val="00D46F4A"/>
    <w:rsid w:val="00D4709F"/>
    <w:rsid w:val="00D470C1"/>
    <w:rsid w:val="00D4713B"/>
    <w:rsid w:val="00D471AD"/>
    <w:rsid w:val="00D47461"/>
    <w:rsid w:val="00D47474"/>
    <w:rsid w:val="00D474DC"/>
    <w:rsid w:val="00D47598"/>
    <w:rsid w:val="00D4761A"/>
    <w:rsid w:val="00D476D1"/>
    <w:rsid w:val="00D47777"/>
    <w:rsid w:val="00D47900"/>
    <w:rsid w:val="00D4792C"/>
    <w:rsid w:val="00D47930"/>
    <w:rsid w:val="00D47A22"/>
    <w:rsid w:val="00D47C02"/>
    <w:rsid w:val="00D47C31"/>
    <w:rsid w:val="00D47D62"/>
    <w:rsid w:val="00D47D7C"/>
    <w:rsid w:val="00D47D97"/>
    <w:rsid w:val="00D47EE8"/>
    <w:rsid w:val="00D47F56"/>
    <w:rsid w:val="00D47F60"/>
    <w:rsid w:val="00D5004C"/>
    <w:rsid w:val="00D5008F"/>
    <w:rsid w:val="00D50119"/>
    <w:rsid w:val="00D50123"/>
    <w:rsid w:val="00D50247"/>
    <w:rsid w:val="00D502F9"/>
    <w:rsid w:val="00D50336"/>
    <w:rsid w:val="00D504BA"/>
    <w:rsid w:val="00D506E8"/>
    <w:rsid w:val="00D50705"/>
    <w:rsid w:val="00D507D1"/>
    <w:rsid w:val="00D50A05"/>
    <w:rsid w:val="00D50BF1"/>
    <w:rsid w:val="00D50C2C"/>
    <w:rsid w:val="00D50CAD"/>
    <w:rsid w:val="00D50DAA"/>
    <w:rsid w:val="00D50F42"/>
    <w:rsid w:val="00D510B0"/>
    <w:rsid w:val="00D510D6"/>
    <w:rsid w:val="00D51119"/>
    <w:rsid w:val="00D51279"/>
    <w:rsid w:val="00D51420"/>
    <w:rsid w:val="00D51556"/>
    <w:rsid w:val="00D51599"/>
    <w:rsid w:val="00D51639"/>
    <w:rsid w:val="00D5165C"/>
    <w:rsid w:val="00D51662"/>
    <w:rsid w:val="00D516BB"/>
    <w:rsid w:val="00D5172C"/>
    <w:rsid w:val="00D519E2"/>
    <w:rsid w:val="00D51AA7"/>
    <w:rsid w:val="00D51AF6"/>
    <w:rsid w:val="00D51B98"/>
    <w:rsid w:val="00D51BBC"/>
    <w:rsid w:val="00D51BED"/>
    <w:rsid w:val="00D51CD1"/>
    <w:rsid w:val="00D51DCD"/>
    <w:rsid w:val="00D51E0D"/>
    <w:rsid w:val="00D51E6E"/>
    <w:rsid w:val="00D51F3C"/>
    <w:rsid w:val="00D51F7C"/>
    <w:rsid w:val="00D51FAE"/>
    <w:rsid w:val="00D51FF8"/>
    <w:rsid w:val="00D52006"/>
    <w:rsid w:val="00D52007"/>
    <w:rsid w:val="00D52122"/>
    <w:rsid w:val="00D52246"/>
    <w:rsid w:val="00D52303"/>
    <w:rsid w:val="00D52304"/>
    <w:rsid w:val="00D5254D"/>
    <w:rsid w:val="00D52668"/>
    <w:rsid w:val="00D526A7"/>
    <w:rsid w:val="00D526EA"/>
    <w:rsid w:val="00D52712"/>
    <w:rsid w:val="00D5282A"/>
    <w:rsid w:val="00D5298B"/>
    <w:rsid w:val="00D52AFB"/>
    <w:rsid w:val="00D52B13"/>
    <w:rsid w:val="00D52B3E"/>
    <w:rsid w:val="00D52BD4"/>
    <w:rsid w:val="00D52CA8"/>
    <w:rsid w:val="00D52CB8"/>
    <w:rsid w:val="00D52D6D"/>
    <w:rsid w:val="00D52DBB"/>
    <w:rsid w:val="00D52E01"/>
    <w:rsid w:val="00D52EF3"/>
    <w:rsid w:val="00D52EF4"/>
    <w:rsid w:val="00D53014"/>
    <w:rsid w:val="00D530C8"/>
    <w:rsid w:val="00D5315E"/>
    <w:rsid w:val="00D531B5"/>
    <w:rsid w:val="00D53203"/>
    <w:rsid w:val="00D53519"/>
    <w:rsid w:val="00D5365D"/>
    <w:rsid w:val="00D537AF"/>
    <w:rsid w:val="00D537B9"/>
    <w:rsid w:val="00D53940"/>
    <w:rsid w:val="00D5396C"/>
    <w:rsid w:val="00D539F9"/>
    <w:rsid w:val="00D53A03"/>
    <w:rsid w:val="00D53A4B"/>
    <w:rsid w:val="00D53A4D"/>
    <w:rsid w:val="00D53AD4"/>
    <w:rsid w:val="00D53B50"/>
    <w:rsid w:val="00D53CA8"/>
    <w:rsid w:val="00D53D27"/>
    <w:rsid w:val="00D54072"/>
    <w:rsid w:val="00D540C6"/>
    <w:rsid w:val="00D54174"/>
    <w:rsid w:val="00D54182"/>
    <w:rsid w:val="00D542AB"/>
    <w:rsid w:val="00D54321"/>
    <w:rsid w:val="00D54436"/>
    <w:rsid w:val="00D54627"/>
    <w:rsid w:val="00D5481C"/>
    <w:rsid w:val="00D54937"/>
    <w:rsid w:val="00D54A6C"/>
    <w:rsid w:val="00D54B01"/>
    <w:rsid w:val="00D54BBA"/>
    <w:rsid w:val="00D54BBE"/>
    <w:rsid w:val="00D54BBF"/>
    <w:rsid w:val="00D54D24"/>
    <w:rsid w:val="00D54D49"/>
    <w:rsid w:val="00D54D54"/>
    <w:rsid w:val="00D54E29"/>
    <w:rsid w:val="00D54EC0"/>
    <w:rsid w:val="00D54F07"/>
    <w:rsid w:val="00D54F10"/>
    <w:rsid w:val="00D54F68"/>
    <w:rsid w:val="00D54F77"/>
    <w:rsid w:val="00D54FF7"/>
    <w:rsid w:val="00D5520A"/>
    <w:rsid w:val="00D5523C"/>
    <w:rsid w:val="00D552B5"/>
    <w:rsid w:val="00D552F7"/>
    <w:rsid w:val="00D5539B"/>
    <w:rsid w:val="00D553D6"/>
    <w:rsid w:val="00D553E4"/>
    <w:rsid w:val="00D553F3"/>
    <w:rsid w:val="00D5542B"/>
    <w:rsid w:val="00D5548F"/>
    <w:rsid w:val="00D55597"/>
    <w:rsid w:val="00D555EB"/>
    <w:rsid w:val="00D555F2"/>
    <w:rsid w:val="00D55820"/>
    <w:rsid w:val="00D55A84"/>
    <w:rsid w:val="00D55B0A"/>
    <w:rsid w:val="00D55B6F"/>
    <w:rsid w:val="00D55BBE"/>
    <w:rsid w:val="00D55BD2"/>
    <w:rsid w:val="00D55C56"/>
    <w:rsid w:val="00D55DBB"/>
    <w:rsid w:val="00D55ED3"/>
    <w:rsid w:val="00D560D3"/>
    <w:rsid w:val="00D56125"/>
    <w:rsid w:val="00D561E9"/>
    <w:rsid w:val="00D562B0"/>
    <w:rsid w:val="00D56377"/>
    <w:rsid w:val="00D565D8"/>
    <w:rsid w:val="00D56748"/>
    <w:rsid w:val="00D5683D"/>
    <w:rsid w:val="00D56843"/>
    <w:rsid w:val="00D5685A"/>
    <w:rsid w:val="00D56926"/>
    <w:rsid w:val="00D56AE4"/>
    <w:rsid w:val="00D56B82"/>
    <w:rsid w:val="00D56BD6"/>
    <w:rsid w:val="00D56E13"/>
    <w:rsid w:val="00D56E3B"/>
    <w:rsid w:val="00D56E41"/>
    <w:rsid w:val="00D56F6B"/>
    <w:rsid w:val="00D57044"/>
    <w:rsid w:val="00D570E2"/>
    <w:rsid w:val="00D5716E"/>
    <w:rsid w:val="00D5718F"/>
    <w:rsid w:val="00D571F8"/>
    <w:rsid w:val="00D57227"/>
    <w:rsid w:val="00D573CA"/>
    <w:rsid w:val="00D573FB"/>
    <w:rsid w:val="00D57445"/>
    <w:rsid w:val="00D5748D"/>
    <w:rsid w:val="00D57517"/>
    <w:rsid w:val="00D576F5"/>
    <w:rsid w:val="00D577D3"/>
    <w:rsid w:val="00D578CB"/>
    <w:rsid w:val="00D57B93"/>
    <w:rsid w:val="00D57BC1"/>
    <w:rsid w:val="00D57BD8"/>
    <w:rsid w:val="00D57EF9"/>
    <w:rsid w:val="00D57F37"/>
    <w:rsid w:val="00D57F70"/>
    <w:rsid w:val="00D57FE9"/>
    <w:rsid w:val="00D60300"/>
    <w:rsid w:val="00D6032D"/>
    <w:rsid w:val="00D603B5"/>
    <w:rsid w:val="00D60429"/>
    <w:rsid w:val="00D6042E"/>
    <w:rsid w:val="00D60544"/>
    <w:rsid w:val="00D60636"/>
    <w:rsid w:val="00D608D9"/>
    <w:rsid w:val="00D6095F"/>
    <w:rsid w:val="00D6098B"/>
    <w:rsid w:val="00D609AA"/>
    <w:rsid w:val="00D609B4"/>
    <w:rsid w:val="00D60A05"/>
    <w:rsid w:val="00D60B7B"/>
    <w:rsid w:val="00D60C94"/>
    <w:rsid w:val="00D60CA8"/>
    <w:rsid w:val="00D60DBA"/>
    <w:rsid w:val="00D60E02"/>
    <w:rsid w:val="00D60FBD"/>
    <w:rsid w:val="00D60FDD"/>
    <w:rsid w:val="00D61052"/>
    <w:rsid w:val="00D61189"/>
    <w:rsid w:val="00D61192"/>
    <w:rsid w:val="00D6134D"/>
    <w:rsid w:val="00D61385"/>
    <w:rsid w:val="00D613AC"/>
    <w:rsid w:val="00D61474"/>
    <w:rsid w:val="00D614F3"/>
    <w:rsid w:val="00D6160E"/>
    <w:rsid w:val="00D61652"/>
    <w:rsid w:val="00D6176B"/>
    <w:rsid w:val="00D618BF"/>
    <w:rsid w:val="00D61B1F"/>
    <w:rsid w:val="00D61BCA"/>
    <w:rsid w:val="00D61D81"/>
    <w:rsid w:val="00D61DD8"/>
    <w:rsid w:val="00D61E48"/>
    <w:rsid w:val="00D6209C"/>
    <w:rsid w:val="00D620A1"/>
    <w:rsid w:val="00D621D3"/>
    <w:rsid w:val="00D6224E"/>
    <w:rsid w:val="00D622EE"/>
    <w:rsid w:val="00D623FB"/>
    <w:rsid w:val="00D624D8"/>
    <w:rsid w:val="00D6254C"/>
    <w:rsid w:val="00D62574"/>
    <w:rsid w:val="00D62694"/>
    <w:rsid w:val="00D628BF"/>
    <w:rsid w:val="00D628F2"/>
    <w:rsid w:val="00D62A38"/>
    <w:rsid w:val="00D62A40"/>
    <w:rsid w:val="00D62AB7"/>
    <w:rsid w:val="00D62CB0"/>
    <w:rsid w:val="00D62E60"/>
    <w:rsid w:val="00D62E7E"/>
    <w:rsid w:val="00D62EA2"/>
    <w:rsid w:val="00D62FAF"/>
    <w:rsid w:val="00D63087"/>
    <w:rsid w:val="00D63151"/>
    <w:rsid w:val="00D63210"/>
    <w:rsid w:val="00D6324E"/>
    <w:rsid w:val="00D6331A"/>
    <w:rsid w:val="00D63664"/>
    <w:rsid w:val="00D6371F"/>
    <w:rsid w:val="00D6378D"/>
    <w:rsid w:val="00D637A7"/>
    <w:rsid w:val="00D638C1"/>
    <w:rsid w:val="00D6393A"/>
    <w:rsid w:val="00D63B5D"/>
    <w:rsid w:val="00D63E72"/>
    <w:rsid w:val="00D63E75"/>
    <w:rsid w:val="00D63EE1"/>
    <w:rsid w:val="00D63F37"/>
    <w:rsid w:val="00D63FBF"/>
    <w:rsid w:val="00D64049"/>
    <w:rsid w:val="00D64242"/>
    <w:rsid w:val="00D643B5"/>
    <w:rsid w:val="00D643B7"/>
    <w:rsid w:val="00D643F1"/>
    <w:rsid w:val="00D643F6"/>
    <w:rsid w:val="00D64406"/>
    <w:rsid w:val="00D64413"/>
    <w:rsid w:val="00D64451"/>
    <w:rsid w:val="00D64478"/>
    <w:rsid w:val="00D644E9"/>
    <w:rsid w:val="00D645BF"/>
    <w:rsid w:val="00D64782"/>
    <w:rsid w:val="00D6485F"/>
    <w:rsid w:val="00D648B5"/>
    <w:rsid w:val="00D64934"/>
    <w:rsid w:val="00D649BF"/>
    <w:rsid w:val="00D64A92"/>
    <w:rsid w:val="00D64D12"/>
    <w:rsid w:val="00D64D48"/>
    <w:rsid w:val="00D64D9D"/>
    <w:rsid w:val="00D64DF3"/>
    <w:rsid w:val="00D64EC9"/>
    <w:rsid w:val="00D65006"/>
    <w:rsid w:val="00D656A3"/>
    <w:rsid w:val="00D656A6"/>
    <w:rsid w:val="00D65750"/>
    <w:rsid w:val="00D6577B"/>
    <w:rsid w:val="00D657F6"/>
    <w:rsid w:val="00D65815"/>
    <w:rsid w:val="00D65899"/>
    <w:rsid w:val="00D6594A"/>
    <w:rsid w:val="00D65A0A"/>
    <w:rsid w:val="00D65ABE"/>
    <w:rsid w:val="00D65BFC"/>
    <w:rsid w:val="00D65D0D"/>
    <w:rsid w:val="00D65D5A"/>
    <w:rsid w:val="00D65D65"/>
    <w:rsid w:val="00D65F1E"/>
    <w:rsid w:val="00D661BE"/>
    <w:rsid w:val="00D6625F"/>
    <w:rsid w:val="00D66286"/>
    <w:rsid w:val="00D662C0"/>
    <w:rsid w:val="00D662F4"/>
    <w:rsid w:val="00D663BC"/>
    <w:rsid w:val="00D664BB"/>
    <w:rsid w:val="00D66534"/>
    <w:rsid w:val="00D66867"/>
    <w:rsid w:val="00D66913"/>
    <w:rsid w:val="00D66CE6"/>
    <w:rsid w:val="00D66FCC"/>
    <w:rsid w:val="00D67039"/>
    <w:rsid w:val="00D67161"/>
    <w:rsid w:val="00D6724F"/>
    <w:rsid w:val="00D672E5"/>
    <w:rsid w:val="00D674F1"/>
    <w:rsid w:val="00D675E5"/>
    <w:rsid w:val="00D67613"/>
    <w:rsid w:val="00D67661"/>
    <w:rsid w:val="00D6767F"/>
    <w:rsid w:val="00D6768D"/>
    <w:rsid w:val="00D6777B"/>
    <w:rsid w:val="00D678F9"/>
    <w:rsid w:val="00D67A35"/>
    <w:rsid w:val="00D67B27"/>
    <w:rsid w:val="00D67C03"/>
    <w:rsid w:val="00D67C48"/>
    <w:rsid w:val="00D67FB7"/>
    <w:rsid w:val="00D67FF7"/>
    <w:rsid w:val="00D70169"/>
    <w:rsid w:val="00D70182"/>
    <w:rsid w:val="00D701B4"/>
    <w:rsid w:val="00D702BB"/>
    <w:rsid w:val="00D7047A"/>
    <w:rsid w:val="00D704C0"/>
    <w:rsid w:val="00D704FF"/>
    <w:rsid w:val="00D70563"/>
    <w:rsid w:val="00D7066D"/>
    <w:rsid w:val="00D70806"/>
    <w:rsid w:val="00D70938"/>
    <w:rsid w:val="00D70B13"/>
    <w:rsid w:val="00D70BFA"/>
    <w:rsid w:val="00D70D16"/>
    <w:rsid w:val="00D70DE7"/>
    <w:rsid w:val="00D71227"/>
    <w:rsid w:val="00D7124A"/>
    <w:rsid w:val="00D7126D"/>
    <w:rsid w:val="00D71270"/>
    <w:rsid w:val="00D7139B"/>
    <w:rsid w:val="00D7139D"/>
    <w:rsid w:val="00D713B6"/>
    <w:rsid w:val="00D713FE"/>
    <w:rsid w:val="00D7144C"/>
    <w:rsid w:val="00D7150B"/>
    <w:rsid w:val="00D715A4"/>
    <w:rsid w:val="00D715E8"/>
    <w:rsid w:val="00D715ED"/>
    <w:rsid w:val="00D7174D"/>
    <w:rsid w:val="00D717FA"/>
    <w:rsid w:val="00D719AA"/>
    <w:rsid w:val="00D71A9D"/>
    <w:rsid w:val="00D71C85"/>
    <w:rsid w:val="00D71DC3"/>
    <w:rsid w:val="00D71E7B"/>
    <w:rsid w:val="00D71F9B"/>
    <w:rsid w:val="00D71F9E"/>
    <w:rsid w:val="00D724D4"/>
    <w:rsid w:val="00D7263F"/>
    <w:rsid w:val="00D72645"/>
    <w:rsid w:val="00D727E9"/>
    <w:rsid w:val="00D72853"/>
    <w:rsid w:val="00D729E9"/>
    <w:rsid w:val="00D72A31"/>
    <w:rsid w:val="00D72B7A"/>
    <w:rsid w:val="00D72C5C"/>
    <w:rsid w:val="00D72FAA"/>
    <w:rsid w:val="00D7306C"/>
    <w:rsid w:val="00D731C6"/>
    <w:rsid w:val="00D733D0"/>
    <w:rsid w:val="00D733F5"/>
    <w:rsid w:val="00D7349D"/>
    <w:rsid w:val="00D734BD"/>
    <w:rsid w:val="00D734BF"/>
    <w:rsid w:val="00D73503"/>
    <w:rsid w:val="00D7356E"/>
    <w:rsid w:val="00D73583"/>
    <w:rsid w:val="00D735A9"/>
    <w:rsid w:val="00D73679"/>
    <w:rsid w:val="00D73785"/>
    <w:rsid w:val="00D7397C"/>
    <w:rsid w:val="00D73BC4"/>
    <w:rsid w:val="00D73C43"/>
    <w:rsid w:val="00D73C59"/>
    <w:rsid w:val="00D73CF0"/>
    <w:rsid w:val="00D73E89"/>
    <w:rsid w:val="00D74056"/>
    <w:rsid w:val="00D74172"/>
    <w:rsid w:val="00D741F1"/>
    <w:rsid w:val="00D74253"/>
    <w:rsid w:val="00D7425D"/>
    <w:rsid w:val="00D74284"/>
    <w:rsid w:val="00D74339"/>
    <w:rsid w:val="00D7439F"/>
    <w:rsid w:val="00D743D8"/>
    <w:rsid w:val="00D74433"/>
    <w:rsid w:val="00D7467C"/>
    <w:rsid w:val="00D747D9"/>
    <w:rsid w:val="00D74834"/>
    <w:rsid w:val="00D74847"/>
    <w:rsid w:val="00D748E6"/>
    <w:rsid w:val="00D74BC6"/>
    <w:rsid w:val="00D74CDF"/>
    <w:rsid w:val="00D74E91"/>
    <w:rsid w:val="00D74FF3"/>
    <w:rsid w:val="00D7501E"/>
    <w:rsid w:val="00D7514D"/>
    <w:rsid w:val="00D75154"/>
    <w:rsid w:val="00D751C2"/>
    <w:rsid w:val="00D75321"/>
    <w:rsid w:val="00D75400"/>
    <w:rsid w:val="00D754D1"/>
    <w:rsid w:val="00D75519"/>
    <w:rsid w:val="00D75694"/>
    <w:rsid w:val="00D756A0"/>
    <w:rsid w:val="00D758E1"/>
    <w:rsid w:val="00D7595E"/>
    <w:rsid w:val="00D75B4A"/>
    <w:rsid w:val="00D75C7C"/>
    <w:rsid w:val="00D75CFC"/>
    <w:rsid w:val="00D75EA0"/>
    <w:rsid w:val="00D75EDF"/>
    <w:rsid w:val="00D75FAC"/>
    <w:rsid w:val="00D76036"/>
    <w:rsid w:val="00D7614D"/>
    <w:rsid w:val="00D761C2"/>
    <w:rsid w:val="00D761F3"/>
    <w:rsid w:val="00D76331"/>
    <w:rsid w:val="00D763B2"/>
    <w:rsid w:val="00D7647F"/>
    <w:rsid w:val="00D7649E"/>
    <w:rsid w:val="00D76522"/>
    <w:rsid w:val="00D7657C"/>
    <w:rsid w:val="00D767D5"/>
    <w:rsid w:val="00D7683D"/>
    <w:rsid w:val="00D768E8"/>
    <w:rsid w:val="00D7695E"/>
    <w:rsid w:val="00D76ACB"/>
    <w:rsid w:val="00D76BA5"/>
    <w:rsid w:val="00D76E24"/>
    <w:rsid w:val="00D76E34"/>
    <w:rsid w:val="00D76EA0"/>
    <w:rsid w:val="00D77292"/>
    <w:rsid w:val="00D77350"/>
    <w:rsid w:val="00D7756A"/>
    <w:rsid w:val="00D77647"/>
    <w:rsid w:val="00D7765E"/>
    <w:rsid w:val="00D778DB"/>
    <w:rsid w:val="00D77BEC"/>
    <w:rsid w:val="00D77C12"/>
    <w:rsid w:val="00D77D14"/>
    <w:rsid w:val="00D77D80"/>
    <w:rsid w:val="00D77E4E"/>
    <w:rsid w:val="00D77E50"/>
    <w:rsid w:val="00D77EF4"/>
    <w:rsid w:val="00D77F33"/>
    <w:rsid w:val="00D77F48"/>
    <w:rsid w:val="00D77F4C"/>
    <w:rsid w:val="00D80006"/>
    <w:rsid w:val="00D801AC"/>
    <w:rsid w:val="00D801E8"/>
    <w:rsid w:val="00D80291"/>
    <w:rsid w:val="00D803B7"/>
    <w:rsid w:val="00D8046B"/>
    <w:rsid w:val="00D80543"/>
    <w:rsid w:val="00D8082E"/>
    <w:rsid w:val="00D8089B"/>
    <w:rsid w:val="00D808A3"/>
    <w:rsid w:val="00D80966"/>
    <w:rsid w:val="00D80A31"/>
    <w:rsid w:val="00D80AC8"/>
    <w:rsid w:val="00D80B9C"/>
    <w:rsid w:val="00D80BB7"/>
    <w:rsid w:val="00D80BE7"/>
    <w:rsid w:val="00D80C4D"/>
    <w:rsid w:val="00D80CDA"/>
    <w:rsid w:val="00D80FBB"/>
    <w:rsid w:val="00D81131"/>
    <w:rsid w:val="00D81260"/>
    <w:rsid w:val="00D812A2"/>
    <w:rsid w:val="00D81430"/>
    <w:rsid w:val="00D81504"/>
    <w:rsid w:val="00D81534"/>
    <w:rsid w:val="00D8189B"/>
    <w:rsid w:val="00D818F0"/>
    <w:rsid w:val="00D8192D"/>
    <w:rsid w:val="00D81977"/>
    <w:rsid w:val="00D81A18"/>
    <w:rsid w:val="00D81A3C"/>
    <w:rsid w:val="00D81B33"/>
    <w:rsid w:val="00D81CD7"/>
    <w:rsid w:val="00D81D09"/>
    <w:rsid w:val="00D81E77"/>
    <w:rsid w:val="00D81F55"/>
    <w:rsid w:val="00D81FF0"/>
    <w:rsid w:val="00D82034"/>
    <w:rsid w:val="00D8208C"/>
    <w:rsid w:val="00D8219A"/>
    <w:rsid w:val="00D821E2"/>
    <w:rsid w:val="00D821F2"/>
    <w:rsid w:val="00D823ED"/>
    <w:rsid w:val="00D8244C"/>
    <w:rsid w:val="00D824AB"/>
    <w:rsid w:val="00D8269F"/>
    <w:rsid w:val="00D826DF"/>
    <w:rsid w:val="00D82B84"/>
    <w:rsid w:val="00D82B96"/>
    <w:rsid w:val="00D82C5B"/>
    <w:rsid w:val="00D82CA3"/>
    <w:rsid w:val="00D82D31"/>
    <w:rsid w:val="00D82DE9"/>
    <w:rsid w:val="00D82E73"/>
    <w:rsid w:val="00D82F3A"/>
    <w:rsid w:val="00D82F50"/>
    <w:rsid w:val="00D830E9"/>
    <w:rsid w:val="00D83119"/>
    <w:rsid w:val="00D831D1"/>
    <w:rsid w:val="00D831DD"/>
    <w:rsid w:val="00D83226"/>
    <w:rsid w:val="00D83228"/>
    <w:rsid w:val="00D83267"/>
    <w:rsid w:val="00D832F8"/>
    <w:rsid w:val="00D835E3"/>
    <w:rsid w:val="00D8366A"/>
    <w:rsid w:val="00D8367E"/>
    <w:rsid w:val="00D83700"/>
    <w:rsid w:val="00D83802"/>
    <w:rsid w:val="00D8380A"/>
    <w:rsid w:val="00D83853"/>
    <w:rsid w:val="00D8386B"/>
    <w:rsid w:val="00D838E9"/>
    <w:rsid w:val="00D838EA"/>
    <w:rsid w:val="00D838FF"/>
    <w:rsid w:val="00D83A76"/>
    <w:rsid w:val="00D83AF4"/>
    <w:rsid w:val="00D83B93"/>
    <w:rsid w:val="00D83BF5"/>
    <w:rsid w:val="00D83D49"/>
    <w:rsid w:val="00D83DC6"/>
    <w:rsid w:val="00D83E95"/>
    <w:rsid w:val="00D83F7C"/>
    <w:rsid w:val="00D84008"/>
    <w:rsid w:val="00D8405A"/>
    <w:rsid w:val="00D84096"/>
    <w:rsid w:val="00D841A9"/>
    <w:rsid w:val="00D842BA"/>
    <w:rsid w:val="00D84386"/>
    <w:rsid w:val="00D84434"/>
    <w:rsid w:val="00D84436"/>
    <w:rsid w:val="00D84581"/>
    <w:rsid w:val="00D8472E"/>
    <w:rsid w:val="00D84782"/>
    <w:rsid w:val="00D847AC"/>
    <w:rsid w:val="00D8486E"/>
    <w:rsid w:val="00D848CD"/>
    <w:rsid w:val="00D848CE"/>
    <w:rsid w:val="00D84927"/>
    <w:rsid w:val="00D849F5"/>
    <w:rsid w:val="00D84A17"/>
    <w:rsid w:val="00D84A4D"/>
    <w:rsid w:val="00D84AB4"/>
    <w:rsid w:val="00D84B25"/>
    <w:rsid w:val="00D84B42"/>
    <w:rsid w:val="00D84BE7"/>
    <w:rsid w:val="00D84CDE"/>
    <w:rsid w:val="00D84DC1"/>
    <w:rsid w:val="00D84E45"/>
    <w:rsid w:val="00D84E8A"/>
    <w:rsid w:val="00D84ED4"/>
    <w:rsid w:val="00D84FEF"/>
    <w:rsid w:val="00D84FFD"/>
    <w:rsid w:val="00D85164"/>
    <w:rsid w:val="00D85274"/>
    <w:rsid w:val="00D85302"/>
    <w:rsid w:val="00D85303"/>
    <w:rsid w:val="00D8530F"/>
    <w:rsid w:val="00D8538A"/>
    <w:rsid w:val="00D8540A"/>
    <w:rsid w:val="00D85428"/>
    <w:rsid w:val="00D85476"/>
    <w:rsid w:val="00D8549C"/>
    <w:rsid w:val="00D854A0"/>
    <w:rsid w:val="00D854CF"/>
    <w:rsid w:val="00D855D0"/>
    <w:rsid w:val="00D855D1"/>
    <w:rsid w:val="00D856E7"/>
    <w:rsid w:val="00D85715"/>
    <w:rsid w:val="00D85769"/>
    <w:rsid w:val="00D85871"/>
    <w:rsid w:val="00D85941"/>
    <w:rsid w:val="00D8595E"/>
    <w:rsid w:val="00D85B13"/>
    <w:rsid w:val="00D85B1B"/>
    <w:rsid w:val="00D85B8B"/>
    <w:rsid w:val="00D85E2A"/>
    <w:rsid w:val="00D85FCD"/>
    <w:rsid w:val="00D8603D"/>
    <w:rsid w:val="00D860C3"/>
    <w:rsid w:val="00D8610F"/>
    <w:rsid w:val="00D8623B"/>
    <w:rsid w:val="00D8635B"/>
    <w:rsid w:val="00D86373"/>
    <w:rsid w:val="00D8640F"/>
    <w:rsid w:val="00D864A2"/>
    <w:rsid w:val="00D865BF"/>
    <w:rsid w:val="00D86607"/>
    <w:rsid w:val="00D86713"/>
    <w:rsid w:val="00D868EA"/>
    <w:rsid w:val="00D8691C"/>
    <w:rsid w:val="00D869D6"/>
    <w:rsid w:val="00D86D77"/>
    <w:rsid w:val="00D86DD4"/>
    <w:rsid w:val="00D86DF0"/>
    <w:rsid w:val="00D86E0D"/>
    <w:rsid w:val="00D86E4A"/>
    <w:rsid w:val="00D86F17"/>
    <w:rsid w:val="00D86FC0"/>
    <w:rsid w:val="00D87001"/>
    <w:rsid w:val="00D87401"/>
    <w:rsid w:val="00D87409"/>
    <w:rsid w:val="00D876DC"/>
    <w:rsid w:val="00D87881"/>
    <w:rsid w:val="00D878CE"/>
    <w:rsid w:val="00D87AAD"/>
    <w:rsid w:val="00D87B4E"/>
    <w:rsid w:val="00D87CF8"/>
    <w:rsid w:val="00D87D4F"/>
    <w:rsid w:val="00D87E97"/>
    <w:rsid w:val="00D901C5"/>
    <w:rsid w:val="00D902B5"/>
    <w:rsid w:val="00D90463"/>
    <w:rsid w:val="00D904B9"/>
    <w:rsid w:val="00D90514"/>
    <w:rsid w:val="00D9053C"/>
    <w:rsid w:val="00D905FA"/>
    <w:rsid w:val="00D90659"/>
    <w:rsid w:val="00D906AD"/>
    <w:rsid w:val="00D9076C"/>
    <w:rsid w:val="00D90773"/>
    <w:rsid w:val="00D9079F"/>
    <w:rsid w:val="00D9080D"/>
    <w:rsid w:val="00D90818"/>
    <w:rsid w:val="00D908A5"/>
    <w:rsid w:val="00D90A6A"/>
    <w:rsid w:val="00D90C7E"/>
    <w:rsid w:val="00D90D88"/>
    <w:rsid w:val="00D90E34"/>
    <w:rsid w:val="00D90E84"/>
    <w:rsid w:val="00D90F8B"/>
    <w:rsid w:val="00D90F97"/>
    <w:rsid w:val="00D9104C"/>
    <w:rsid w:val="00D91205"/>
    <w:rsid w:val="00D9123A"/>
    <w:rsid w:val="00D914AC"/>
    <w:rsid w:val="00D917B5"/>
    <w:rsid w:val="00D917CE"/>
    <w:rsid w:val="00D917FC"/>
    <w:rsid w:val="00D918E4"/>
    <w:rsid w:val="00D9197D"/>
    <w:rsid w:val="00D919D6"/>
    <w:rsid w:val="00D919E4"/>
    <w:rsid w:val="00D91AB6"/>
    <w:rsid w:val="00D91B52"/>
    <w:rsid w:val="00D91C51"/>
    <w:rsid w:val="00D91E31"/>
    <w:rsid w:val="00D91F81"/>
    <w:rsid w:val="00D9210F"/>
    <w:rsid w:val="00D92159"/>
    <w:rsid w:val="00D92386"/>
    <w:rsid w:val="00D9239A"/>
    <w:rsid w:val="00D923FF"/>
    <w:rsid w:val="00D9240E"/>
    <w:rsid w:val="00D924DB"/>
    <w:rsid w:val="00D924DC"/>
    <w:rsid w:val="00D92510"/>
    <w:rsid w:val="00D9255B"/>
    <w:rsid w:val="00D92561"/>
    <w:rsid w:val="00D92616"/>
    <w:rsid w:val="00D92861"/>
    <w:rsid w:val="00D9287A"/>
    <w:rsid w:val="00D928E4"/>
    <w:rsid w:val="00D928F3"/>
    <w:rsid w:val="00D9292B"/>
    <w:rsid w:val="00D92BE5"/>
    <w:rsid w:val="00D92D3A"/>
    <w:rsid w:val="00D92D64"/>
    <w:rsid w:val="00D92DF3"/>
    <w:rsid w:val="00D92ECB"/>
    <w:rsid w:val="00D92FE2"/>
    <w:rsid w:val="00D93097"/>
    <w:rsid w:val="00D930F9"/>
    <w:rsid w:val="00D93101"/>
    <w:rsid w:val="00D93198"/>
    <w:rsid w:val="00D93258"/>
    <w:rsid w:val="00D932EA"/>
    <w:rsid w:val="00D93340"/>
    <w:rsid w:val="00D939E7"/>
    <w:rsid w:val="00D93AD6"/>
    <w:rsid w:val="00D93B03"/>
    <w:rsid w:val="00D93B07"/>
    <w:rsid w:val="00D93BB6"/>
    <w:rsid w:val="00D93DBE"/>
    <w:rsid w:val="00D93E2A"/>
    <w:rsid w:val="00D93F90"/>
    <w:rsid w:val="00D93FD6"/>
    <w:rsid w:val="00D93FD8"/>
    <w:rsid w:val="00D94144"/>
    <w:rsid w:val="00D94291"/>
    <w:rsid w:val="00D944D7"/>
    <w:rsid w:val="00D94512"/>
    <w:rsid w:val="00D945E0"/>
    <w:rsid w:val="00D94633"/>
    <w:rsid w:val="00D94663"/>
    <w:rsid w:val="00D94686"/>
    <w:rsid w:val="00D947F5"/>
    <w:rsid w:val="00D94A22"/>
    <w:rsid w:val="00D94D13"/>
    <w:rsid w:val="00D94EA8"/>
    <w:rsid w:val="00D94EB2"/>
    <w:rsid w:val="00D94FA2"/>
    <w:rsid w:val="00D94FAF"/>
    <w:rsid w:val="00D95060"/>
    <w:rsid w:val="00D95397"/>
    <w:rsid w:val="00D95577"/>
    <w:rsid w:val="00D95586"/>
    <w:rsid w:val="00D955B3"/>
    <w:rsid w:val="00D955FD"/>
    <w:rsid w:val="00D9575D"/>
    <w:rsid w:val="00D95796"/>
    <w:rsid w:val="00D957BD"/>
    <w:rsid w:val="00D957C0"/>
    <w:rsid w:val="00D95A4F"/>
    <w:rsid w:val="00D95B96"/>
    <w:rsid w:val="00D95C30"/>
    <w:rsid w:val="00D95CD2"/>
    <w:rsid w:val="00D95D2F"/>
    <w:rsid w:val="00D95D6E"/>
    <w:rsid w:val="00D95D9D"/>
    <w:rsid w:val="00D95E0F"/>
    <w:rsid w:val="00D95E64"/>
    <w:rsid w:val="00D95ECE"/>
    <w:rsid w:val="00D95F2A"/>
    <w:rsid w:val="00D95F95"/>
    <w:rsid w:val="00D9608D"/>
    <w:rsid w:val="00D96207"/>
    <w:rsid w:val="00D96377"/>
    <w:rsid w:val="00D963A3"/>
    <w:rsid w:val="00D9644F"/>
    <w:rsid w:val="00D96468"/>
    <w:rsid w:val="00D964B3"/>
    <w:rsid w:val="00D964E1"/>
    <w:rsid w:val="00D96833"/>
    <w:rsid w:val="00D96889"/>
    <w:rsid w:val="00D96AA5"/>
    <w:rsid w:val="00D96B9E"/>
    <w:rsid w:val="00D96C62"/>
    <w:rsid w:val="00D96D63"/>
    <w:rsid w:val="00D96DA3"/>
    <w:rsid w:val="00D96E56"/>
    <w:rsid w:val="00D97071"/>
    <w:rsid w:val="00D970A1"/>
    <w:rsid w:val="00D970AF"/>
    <w:rsid w:val="00D970E7"/>
    <w:rsid w:val="00D970FD"/>
    <w:rsid w:val="00D971AA"/>
    <w:rsid w:val="00D9723A"/>
    <w:rsid w:val="00D972FF"/>
    <w:rsid w:val="00D973FA"/>
    <w:rsid w:val="00D97486"/>
    <w:rsid w:val="00D974E5"/>
    <w:rsid w:val="00D9758C"/>
    <w:rsid w:val="00D975C9"/>
    <w:rsid w:val="00D976EF"/>
    <w:rsid w:val="00D977E0"/>
    <w:rsid w:val="00D97853"/>
    <w:rsid w:val="00D978E0"/>
    <w:rsid w:val="00D97A4E"/>
    <w:rsid w:val="00D97B31"/>
    <w:rsid w:val="00D97BA6"/>
    <w:rsid w:val="00D97C5D"/>
    <w:rsid w:val="00D97C95"/>
    <w:rsid w:val="00D97CD9"/>
    <w:rsid w:val="00D97D3F"/>
    <w:rsid w:val="00D97F44"/>
    <w:rsid w:val="00DA001C"/>
    <w:rsid w:val="00DA051E"/>
    <w:rsid w:val="00DA064E"/>
    <w:rsid w:val="00DA067A"/>
    <w:rsid w:val="00DA06F0"/>
    <w:rsid w:val="00DA0753"/>
    <w:rsid w:val="00DA0767"/>
    <w:rsid w:val="00DA08AD"/>
    <w:rsid w:val="00DA08E0"/>
    <w:rsid w:val="00DA09AE"/>
    <w:rsid w:val="00DA09E2"/>
    <w:rsid w:val="00DA0AEB"/>
    <w:rsid w:val="00DA0B21"/>
    <w:rsid w:val="00DA0D0B"/>
    <w:rsid w:val="00DA0D63"/>
    <w:rsid w:val="00DA0E1A"/>
    <w:rsid w:val="00DA0FD6"/>
    <w:rsid w:val="00DA1064"/>
    <w:rsid w:val="00DA12ED"/>
    <w:rsid w:val="00DA1399"/>
    <w:rsid w:val="00DA1553"/>
    <w:rsid w:val="00DA15A6"/>
    <w:rsid w:val="00DA16EB"/>
    <w:rsid w:val="00DA1708"/>
    <w:rsid w:val="00DA19DE"/>
    <w:rsid w:val="00DA1B28"/>
    <w:rsid w:val="00DA1B5F"/>
    <w:rsid w:val="00DA1C94"/>
    <w:rsid w:val="00DA1C96"/>
    <w:rsid w:val="00DA1D40"/>
    <w:rsid w:val="00DA1D79"/>
    <w:rsid w:val="00DA1D8B"/>
    <w:rsid w:val="00DA1DED"/>
    <w:rsid w:val="00DA1DF2"/>
    <w:rsid w:val="00DA1EC7"/>
    <w:rsid w:val="00DA202C"/>
    <w:rsid w:val="00DA203C"/>
    <w:rsid w:val="00DA20FA"/>
    <w:rsid w:val="00DA2162"/>
    <w:rsid w:val="00DA219F"/>
    <w:rsid w:val="00DA231C"/>
    <w:rsid w:val="00DA249D"/>
    <w:rsid w:val="00DA25A1"/>
    <w:rsid w:val="00DA266E"/>
    <w:rsid w:val="00DA26CC"/>
    <w:rsid w:val="00DA2704"/>
    <w:rsid w:val="00DA277D"/>
    <w:rsid w:val="00DA2780"/>
    <w:rsid w:val="00DA279B"/>
    <w:rsid w:val="00DA27A8"/>
    <w:rsid w:val="00DA280F"/>
    <w:rsid w:val="00DA28E4"/>
    <w:rsid w:val="00DA2992"/>
    <w:rsid w:val="00DA29DF"/>
    <w:rsid w:val="00DA2A18"/>
    <w:rsid w:val="00DA2A1F"/>
    <w:rsid w:val="00DA2BC9"/>
    <w:rsid w:val="00DA2CC6"/>
    <w:rsid w:val="00DA2ED8"/>
    <w:rsid w:val="00DA2EE2"/>
    <w:rsid w:val="00DA2F29"/>
    <w:rsid w:val="00DA2F4F"/>
    <w:rsid w:val="00DA2FD9"/>
    <w:rsid w:val="00DA2FF0"/>
    <w:rsid w:val="00DA31A0"/>
    <w:rsid w:val="00DA36E0"/>
    <w:rsid w:val="00DA36FE"/>
    <w:rsid w:val="00DA37E5"/>
    <w:rsid w:val="00DA380A"/>
    <w:rsid w:val="00DA3813"/>
    <w:rsid w:val="00DA384F"/>
    <w:rsid w:val="00DA3856"/>
    <w:rsid w:val="00DA38F9"/>
    <w:rsid w:val="00DA39DD"/>
    <w:rsid w:val="00DA3A35"/>
    <w:rsid w:val="00DA3BB8"/>
    <w:rsid w:val="00DA3BBD"/>
    <w:rsid w:val="00DA3CE2"/>
    <w:rsid w:val="00DA3E71"/>
    <w:rsid w:val="00DA3EAA"/>
    <w:rsid w:val="00DA3EAC"/>
    <w:rsid w:val="00DA3ED1"/>
    <w:rsid w:val="00DA3F1D"/>
    <w:rsid w:val="00DA3FCE"/>
    <w:rsid w:val="00DA3FE4"/>
    <w:rsid w:val="00DA4053"/>
    <w:rsid w:val="00DA426B"/>
    <w:rsid w:val="00DA43CD"/>
    <w:rsid w:val="00DA4882"/>
    <w:rsid w:val="00DA49C2"/>
    <w:rsid w:val="00DA4A2A"/>
    <w:rsid w:val="00DA4A7F"/>
    <w:rsid w:val="00DA4AF0"/>
    <w:rsid w:val="00DA4B6D"/>
    <w:rsid w:val="00DA4BEB"/>
    <w:rsid w:val="00DA4C17"/>
    <w:rsid w:val="00DA4CBC"/>
    <w:rsid w:val="00DA4CFD"/>
    <w:rsid w:val="00DA4E53"/>
    <w:rsid w:val="00DA4FC4"/>
    <w:rsid w:val="00DA502E"/>
    <w:rsid w:val="00DA5032"/>
    <w:rsid w:val="00DA507B"/>
    <w:rsid w:val="00DA516B"/>
    <w:rsid w:val="00DA51C1"/>
    <w:rsid w:val="00DA51E6"/>
    <w:rsid w:val="00DA52AA"/>
    <w:rsid w:val="00DA52C3"/>
    <w:rsid w:val="00DA535F"/>
    <w:rsid w:val="00DA5472"/>
    <w:rsid w:val="00DA55FA"/>
    <w:rsid w:val="00DA5845"/>
    <w:rsid w:val="00DA5872"/>
    <w:rsid w:val="00DA5887"/>
    <w:rsid w:val="00DA58E4"/>
    <w:rsid w:val="00DA59AE"/>
    <w:rsid w:val="00DA5B28"/>
    <w:rsid w:val="00DA5B31"/>
    <w:rsid w:val="00DA5C0F"/>
    <w:rsid w:val="00DA5D83"/>
    <w:rsid w:val="00DA6042"/>
    <w:rsid w:val="00DA611E"/>
    <w:rsid w:val="00DA612B"/>
    <w:rsid w:val="00DA61F0"/>
    <w:rsid w:val="00DA6320"/>
    <w:rsid w:val="00DA643E"/>
    <w:rsid w:val="00DA6467"/>
    <w:rsid w:val="00DA66BC"/>
    <w:rsid w:val="00DA66BF"/>
    <w:rsid w:val="00DA682C"/>
    <w:rsid w:val="00DA6B70"/>
    <w:rsid w:val="00DA6C31"/>
    <w:rsid w:val="00DA6C32"/>
    <w:rsid w:val="00DA6DB1"/>
    <w:rsid w:val="00DA6E14"/>
    <w:rsid w:val="00DA6E30"/>
    <w:rsid w:val="00DA6EC6"/>
    <w:rsid w:val="00DA6F8E"/>
    <w:rsid w:val="00DA70B9"/>
    <w:rsid w:val="00DA7209"/>
    <w:rsid w:val="00DA724A"/>
    <w:rsid w:val="00DA74F2"/>
    <w:rsid w:val="00DA7658"/>
    <w:rsid w:val="00DA7665"/>
    <w:rsid w:val="00DA76B2"/>
    <w:rsid w:val="00DA7925"/>
    <w:rsid w:val="00DA798A"/>
    <w:rsid w:val="00DA7AF0"/>
    <w:rsid w:val="00DA7BD0"/>
    <w:rsid w:val="00DA7ED6"/>
    <w:rsid w:val="00DA7F10"/>
    <w:rsid w:val="00DA7F20"/>
    <w:rsid w:val="00DB001F"/>
    <w:rsid w:val="00DB01FE"/>
    <w:rsid w:val="00DB022D"/>
    <w:rsid w:val="00DB023E"/>
    <w:rsid w:val="00DB0267"/>
    <w:rsid w:val="00DB047F"/>
    <w:rsid w:val="00DB0856"/>
    <w:rsid w:val="00DB0926"/>
    <w:rsid w:val="00DB0A5A"/>
    <w:rsid w:val="00DB0AF3"/>
    <w:rsid w:val="00DB0AF9"/>
    <w:rsid w:val="00DB0B0E"/>
    <w:rsid w:val="00DB0B17"/>
    <w:rsid w:val="00DB0D34"/>
    <w:rsid w:val="00DB0D74"/>
    <w:rsid w:val="00DB0DA3"/>
    <w:rsid w:val="00DB0E03"/>
    <w:rsid w:val="00DB10B3"/>
    <w:rsid w:val="00DB1105"/>
    <w:rsid w:val="00DB11D9"/>
    <w:rsid w:val="00DB1274"/>
    <w:rsid w:val="00DB1500"/>
    <w:rsid w:val="00DB154D"/>
    <w:rsid w:val="00DB1561"/>
    <w:rsid w:val="00DB15C1"/>
    <w:rsid w:val="00DB17EB"/>
    <w:rsid w:val="00DB1AE8"/>
    <w:rsid w:val="00DB1B24"/>
    <w:rsid w:val="00DB1C69"/>
    <w:rsid w:val="00DB1E81"/>
    <w:rsid w:val="00DB1F0E"/>
    <w:rsid w:val="00DB2197"/>
    <w:rsid w:val="00DB2681"/>
    <w:rsid w:val="00DB26EC"/>
    <w:rsid w:val="00DB26FC"/>
    <w:rsid w:val="00DB27E7"/>
    <w:rsid w:val="00DB28A0"/>
    <w:rsid w:val="00DB28FD"/>
    <w:rsid w:val="00DB2965"/>
    <w:rsid w:val="00DB29F9"/>
    <w:rsid w:val="00DB2BD7"/>
    <w:rsid w:val="00DB2BDC"/>
    <w:rsid w:val="00DB2F60"/>
    <w:rsid w:val="00DB3094"/>
    <w:rsid w:val="00DB30FE"/>
    <w:rsid w:val="00DB314E"/>
    <w:rsid w:val="00DB32EC"/>
    <w:rsid w:val="00DB3580"/>
    <w:rsid w:val="00DB35A3"/>
    <w:rsid w:val="00DB3651"/>
    <w:rsid w:val="00DB3660"/>
    <w:rsid w:val="00DB3775"/>
    <w:rsid w:val="00DB37A7"/>
    <w:rsid w:val="00DB37D3"/>
    <w:rsid w:val="00DB398F"/>
    <w:rsid w:val="00DB3A28"/>
    <w:rsid w:val="00DB3C1F"/>
    <w:rsid w:val="00DB3D8F"/>
    <w:rsid w:val="00DB3DD6"/>
    <w:rsid w:val="00DB3DE2"/>
    <w:rsid w:val="00DB3ED1"/>
    <w:rsid w:val="00DB3F99"/>
    <w:rsid w:val="00DB3FBD"/>
    <w:rsid w:val="00DB3FE9"/>
    <w:rsid w:val="00DB400B"/>
    <w:rsid w:val="00DB40A0"/>
    <w:rsid w:val="00DB4179"/>
    <w:rsid w:val="00DB42DA"/>
    <w:rsid w:val="00DB4391"/>
    <w:rsid w:val="00DB446E"/>
    <w:rsid w:val="00DB44D5"/>
    <w:rsid w:val="00DB451E"/>
    <w:rsid w:val="00DB4577"/>
    <w:rsid w:val="00DB45C4"/>
    <w:rsid w:val="00DB4A94"/>
    <w:rsid w:val="00DB4BDC"/>
    <w:rsid w:val="00DB4CB3"/>
    <w:rsid w:val="00DB4D6E"/>
    <w:rsid w:val="00DB4D8A"/>
    <w:rsid w:val="00DB4EC0"/>
    <w:rsid w:val="00DB4EC1"/>
    <w:rsid w:val="00DB5039"/>
    <w:rsid w:val="00DB503E"/>
    <w:rsid w:val="00DB5099"/>
    <w:rsid w:val="00DB5118"/>
    <w:rsid w:val="00DB5135"/>
    <w:rsid w:val="00DB518C"/>
    <w:rsid w:val="00DB51E3"/>
    <w:rsid w:val="00DB5245"/>
    <w:rsid w:val="00DB531E"/>
    <w:rsid w:val="00DB53E0"/>
    <w:rsid w:val="00DB54CD"/>
    <w:rsid w:val="00DB558B"/>
    <w:rsid w:val="00DB56CA"/>
    <w:rsid w:val="00DB5702"/>
    <w:rsid w:val="00DB5797"/>
    <w:rsid w:val="00DB599A"/>
    <w:rsid w:val="00DB5F60"/>
    <w:rsid w:val="00DB5FC5"/>
    <w:rsid w:val="00DB6254"/>
    <w:rsid w:val="00DB628E"/>
    <w:rsid w:val="00DB63B9"/>
    <w:rsid w:val="00DB63D6"/>
    <w:rsid w:val="00DB6474"/>
    <w:rsid w:val="00DB65F4"/>
    <w:rsid w:val="00DB6725"/>
    <w:rsid w:val="00DB6859"/>
    <w:rsid w:val="00DB6874"/>
    <w:rsid w:val="00DB6A68"/>
    <w:rsid w:val="00DB6AB9"/>
    <w:rsid w:val="00DB6AF5"/>
    <w:rsid w:val="00DB6B97"/>
    <w:rsid w:val="00DB6BD6"/>
    <w:rsid w:val="00DB6BDF"/>
    <w:rsid w:val="00DB6BE5"/>
    <w:rsid w:val="00DB6DBA"/>
    <w:rsid w:val="00DB6DD8"/>
    <w:rsid w:val="00DB6EDD"/>
    <w:rsid w:val="00DB6F32"/>
    <w:rsid w:val="00DB6F8D"/>
    <w:rsid w:val="00DB6FB5"/>
    <w:rsid w:val="00DB6FC5"/>
    <w:rsid w:val="00DB728F"/>
    <w:rsid w:val="00DB72BD"/>
    <w:rsid w:val="00DB731C"/>
    <w:rsid w:val="00DB738B"/>
    <w:rsid w:val="00DB7393"/>
    <w:rsid w:val="00DB73CC"/>
    <w:rsid w:val="00DB7516"/>
    <w:rsid w:val="00DB75B6"/>
    <w:rsid w:val="00DB7698"/>
    <w:rsid w:val="00DB78DD"/>
    <w:rsid w:val="00DB7980"/>
    <w:rsid w:val="00DB79EE"/>
    <w:rsid w:val="00DB7A10"/>
    <w:rsid w:val="00DB7A1E"/>
    <w:rsid w:val="00DB7A50"/>
    <w:rsid w:val="00DB7C32"/>
    <w:rsid w:val="00DB7CA3"/>
    <w:rsid w:val="00DB7FE6"/>
    <w:rsid w:val="00DC00E7"/>
    <w:rsid w:val="00DC05E4"/>
    <w:rsid w:val="00DC0668"/>
    <w:rsid w:val="00DC07B9"/>
    <w:rsid w:val="00DC08A3"/>
    <w:rsid w:val="00DC0953"/>
    <w:rsid w:val="00DC0A36"/>
    <w:rsid w:val="00DC0B18"/>
    <w:rsid w:val="00DC0D51"/>
    <w:rsid w:val="00DC0D95"/>
    <w:rsid w:val="00DC0F3C"/>
    <w:rsid w:val="00DC1079"/>
    <w:rsid w:val="00DC1096"/>
    <w:rsid w:val="00DC10F1"/>
    <w:rsid w:val="00DC11C3"/>
    <w:rsid w:val="00DC1575"/>
    <w:rsid w:val="00DC157C"/>
    <w:rsid w:val="00DC16DC"/>
    <w:rsid w:val="00DC1957"/>
    <w:rsid w:val="00DC1982"/>
    <w:rsid w:val="00DC19C4"/>
    <w:rsid w:val="00DC1B38"/>
    <w:rsid w:val="00DC1BBD"/>
    <w:rsid w:val="00DC1BDA"/>
    <w:rsid w:val="00DC1C6B"/>
    <w:rsid w:val="00DC1CE5"/>
    <w:rsid w:val="00DC1D52"/>
    <w:rsid w:val="00DC1E01"/>
    <w:rsid w:val="00DC1E75"/>
    <w:rsid w:val="00DC1FB6"/>
    <w:rsid w:val="00DC1FF2"/>
    <w:rsid w:val="00DC203B"/>
    <w:rsid w:val="00DC20BD"/>
    <w:rsid w:val="00DC20F6"/>
    <w:rsid w:val="00DC2106"/>
    <w:rsid w:val="00DC2268"/>
    <w:rsid w:val="00DC25CA"/>
    <w:rsid w:val="00DC25DA"/>
    <w:rsid w:val="00DC26B0"/>
    <w:rsid w:val="00DC27AC"/>
    <w:rsid w:val="00DC28A2"/>
    <w:rsid w:val="00DC2AB5"/>
    <w:rsid w:val="00DC2AD3"/>
    <w:rsid w:val="00DC2B15"/>
    <w:rsid w:val="00DC2BEA"/>
    <w:rsid w:val="00DC2C7D"/>
    <w:rsid w:val="00DC2CFB"/>
    <w:rsid w:val="00DC2D00"/>
    <w:rsid w:val="00DC2F01"/>
    <w:rsid w:val="00DC3008"/>
    <w:rsid w:val="00DC307A"/>
    <w:rsid w:val="00DC3323"/>
    <w:rsid w:val="00DC3448"/>
    <w:rsid w:val="00DC344E"/>
    <w:rsid w:val="00DC34A0"/>
    <w:rsid w:val="00DC351C"/>
    <w:rsid w:val="00DC3931"/>
    <w:rsid w:val="00DC39E7"/>
    <w:rsid w:val="00DC3A0C"/>
    <w:rsid w:val="00DC3A1B"/>
    <w:rsid w:val="00DC3B1B"/>
    <w:rsid w:val="00DC3B2B"/>
    <w:rsid w:val="00DC3B64"/>
    <w:rsid w:val="00DC3B6F"/>
    <w:rsid w:val="00DC3C7F"/>
    <w:rsid w:val="00DC3D2F"/>
    <w:rsid w:val="00DC3EB2"/>
    <w:rsid w:val="00DC3EEC"/>
    <w:rsid w:val="00DC42C4"/>
    <w:rsid w:val="00DC432D"/>
    <w:rsid w:val="00DC4346"/>
    <w:rsid w:val="00DC43C6"/>
    <w:rsid w:val="00DC4465"/>
    <w:rsid w:val="00DC4558"/>
    <w:rsid w:val="00DC45E8"/>
    <w:rsid w:val="00DC4677"/>
    <w:rsid w:val="00DC476E"/>
    <w:rsid w:val="00DC4790"/>
    <w:rsid w:val="00DC4864"/>
    <w:rsid w:val="00DC486F"/>
    <w:rsid w:val="00DC4B0B"/>
    <w:rsid w:val="00DC4BCD"/>
    <w:rsid w:val="00DC4DC5"/>
    <w:rsid w:val="00DC4E7A"/>
    <w:rsid w:val="00DC4EC3"/>
    <w:rsid w:val="00DC4FBD"/>
    <w:rsid w:val="00DC50CA"/>
    <w:rsid w:val="00DC519C"/>
    <w:rsid w:val="00DC52DE"/>
    <w:rsid w:val="00DC52F3"/>
    <w:rsid w:val="00DC5340"/>
    <w:rsid w:val="00DC544A"/>
    <w:rsid w:val="00DC5492"/>
    <w:rsid w:val="00DC549E"/>
    <w:rsid w:val="00DC5504"/>
    <w:rsid w:val="00DC556A"/>
    <w:rsid w:val="00DC56F2"/>
    <w:rsid w:val="00DC56F3"/>
    <w:rsid w:val="00DC59E8"/>
    <w:rsid w:val="00DC5BDB"/>
    <w:rsid w:val="00DC5C82"/>
    <w:rsid w:val="00DC5DE2"/>
    <w:rsid w:val="00DC5E55"/>
    <w:rsid w:val="00DC5E95"/>
    <w:rsid w:val="00DC5ECA"/>
    <w:rsid w:val="00DC5F5D"/>
    <w:rsid w:val="00DC600E"/>
    <w:rsid w:val="00DC6123"/>
    <w:rsid w:val="00DC6704"/>
    <w:rsid w:val="00DC6818"/>
    <w:rsid w:val="00DC69A5"/>
    <w:rsid w:val="00DC6BC6"/>
    <w:rsid w:val="00DC6BEE"/>
    <w:rsid w:val="00DC6BF1"/>
    <w:rsid w:val="00DC6C64"/>
    <w:rsid w:val="00DC6D55"/>
    <w:rsid w:val="00DC6E9A"/>
    <w:rsid w:val="00DC6EF6"/>
    <w:rsid w:val="00DC6F62"/>
    <w:rsid w:val="00DC700B"/>
    <w:rsid w:val="00DC7075"/>
    <w:rsid w:val="00DC716E"/>
    <w:rsid w:val="00DC720C"/>
    <w:rsid w:val="00DC72D4"/>
    <w:rsid w:val="00DC73D2"/>
    <w:rsid w:val="00DC74B4"/>
    <w:rsid w:val="00DC74D0"/>
    <w:rsid w:val="00DC75C0"/>
    <w:rsid w:val="00DC75E7"/>
    <w:rsid w:val="00DC75F6"/>
    <w:rsid w:val="00DC7773"/>
    <w:rsid w:val="00DC77F9"/>
    <w:rsid w:val="00DC782E"/>
    <w:rsid w:val="00DC786C"/>
    <w:rsid w:val="00DC788B"/>
    <w:rsid w:val="00DC78D1"/>
    <w:rsid w:val="00DC7902"/>
    <w:rsid w:val="00DC79AC"/>
    <w:rsid w:val="00DC79B0"/>
    <w:rsid w:val="00DC79CC"/>
    <w:rsid w:val="00DC7B00"/>
    <w:rsid w:val="00DC7B44"/>
    <w:rsid w:val="00DC7BF5"/>
    <w:rsid w:val="00DC7C84"/>
    <w:rsid w:val="00DC7D90"/>
    <w:rsid w:val="00DC7D9B"/>
    <w:rsid w:val="00DC7DDA"/>
    <w:rsid w:val="00DC7E69"/>
    <w:rsid w:val="00DC7FBE"/>
    <w:rsid w:val="00DD0027"/>
    <w:rsid w:val="00DD003B"/>
    <w:rsid w:val="00DD0453"/>
    <w:rsid w:val="00DD054E"/>
    <w:rsid w:val="00DD08DF"/>
    <w:rsid w:val="00DD094F"/>
    <w:rsid w:val="00DD0A2A"/>
    <w:rsid w:val="00DD0AB5"/>
    <w:rsid w:val="00DD0ADD"/>
    <w:rsid w:val="00DD0B53"/>
    <w:rsid w:val="00DD0B78"/>
    <w:rsid w:val="00DD0C02"/>
    <w:rsid w:val="00DD0C3D"/>
    <w:rsid w:val="00DD0C64"/>
    <w:rsid w:val="00DD0E0A"/>
    <w:rsid w:val="00DD0E2E"/>
    <w:rsid w:val="00DD0F5F"/>
    <w:rsid w:val="00DD1063"/>
    <w:rsid w:val="00DD11C7"/>
    <w:rsid w:val="00DD11E5"/>
    <w:rsid w:val="00DD11F9"/>
    <w:rsid w:val="00DD1321"/>
    <w:rsid w:val="00DD132A"/>
    <w:rsid w:val="00DD135F"/>
    <w:rsid w:val="00DD1417"/>
    <w:rsid w:val="00DD157E"/>
    <w:rsid w:val="00DD1587"/>
    <w:rsid w:val="00DD15BD"/>
    <w:rsid w:val="00DD15D8"/>
    <w:rsid w:val="00DD15FF"/>
    <w:rsid w:val="00DD163E"/>
    <w:rsid w:val="00DD1719"/>
    <w:rsid w:val="00DD1754"/>
    <w:rsid w:val="00DD189B"/>
    <w:rsid w:val="00DD1A61"/>
    <w:rsid w:val="00DD1B17"/>
    <w:rsid w:val="00DD1C10"/>
    <w:rsid w:val="00DD1C22"/>
    <w:rsid w:val="00DD1C47"/>
    <w:rsid w:val="00DD1CFA"/>
    <w:rsid w:val="00DD1D44"/>
    <w:rsid w:val="00DD1D8A"/>
    <w:rsid w:val="00DD1E90"/>
    <w:rsid w:val="00DD1FA2"/>
    <w:rsid w:val="00DD20C3"/>
    <w:rsid w:val="00DD2254"/>
    <w:rsid w:val="00DD2325"/>
    <w:rsid w:val="00DD234F"/>
    <w:rsid w:val="00DD2350"/>
    <w:rsid w:val="00DD2465"/>
    <w:rsid w:val="00DD249C"/>
    <w:rsid w:val="00DD2604"/>
    <w:rsid w:val="00DD2674"/>
    <w:rsid w:val="00DD26A1"/>
    <w:rsid w:val="00DD2797"/>
    <w:rsid w:val="00DD27C5"/>
    <w:rsid w:val="00DD290E"/>
    <w:rsid w:val="00DD2D23"/>
    <w:rsid w:val="00DD2DA8"/>
    <w:rsid w:val="00DD2EA6"/>
    <w:rsid w:val="00DD306D"/>
    <w:rsid w:val="00DD3296"/>
    <w:rsid w:val="00DD35D9"/>
    <w:rsid w:val="00DD3672"/>
    <w:rsid w:val="00DD376A"/>
    <w:rsid w:val="00DD37EE"/>
    <w:rsid w:val="00DD37F6"/>
    <w:rsid w:val="00DD3898"/>
    <w:rsid w:val="00DD38A7"/>
    <w:rsid w:val="00DD3B1F"/>
    <w:rsid w:val="00DD3C58"/>
    <w:rsid w:val="00DD3D27"/>
    <w:rsid w:val="00DD3D6F"/>
    <w:rsid w:val="00DD3D89"/>
    <w:rsid w:val="00DD4112"/>
    <w:rsid w:val="00DD413F"/>
    <w:rsid w:val="00DD4305"/>
    <w:rsid w:val="00DD4306"/>
    <w:rsid w:val="00DD4481"/>
    <w:rsid w:val="00DD4564"/>
    <w:rsid w:val="00DD46E0"/>
    <w:rsid w:val="00DD47B8"/>
    <w:rsid w:val="00DD4835"/>
    <w:rsid w:val="00DD4889"/>
    <w:rsid w:val="00DD48FC"/>
    <w:rsid w:val="00DD4915"/>
    <w:rsid w:val="00DD4AE4"/>
    <w:rsid w:val="00DD4B5C"/>
    <w:rsid w:val="00DD4C32"/>
    <w:rsid w:val="00DD4CB7"/>
    <w:rsid w:val="00DD4EA9"/>
    <w:rsid w:val="00DD4F9E"/>
    <w:rsid w:val="00DD5049"/>
    <w:rsid w:val="00DD50AF"/>
    <w:rsid w:val="00DD5147"/>
    <w:rsid w:val="00DD5172"/>
    <w:rsid w:val="00DD52EE"/>
    <w:rsid w:val="00DD5444"/>
    <w:rsid w:val="00DD549B"/>
    <w:rsid w:val="00DD549D"/>
    <w:rsid w:val="00DD56D9"/>
    <w:rsid w:val="00DD579E"/>
    <w:rsid w:val="00DD57D6"/>
    <w:rsid w:val="00DD5AE3"/>
    <w:rsid w:val="00DD5B53"/>
    <w:rsid w:val="00DD5BC6"/>
    <w:rsid w:val="00DD5BFE"/>
    <w:rsid w:val="00DD5D3D"/>
    <w:rsid w:val="00DD5DAB"/>
    <w:rsid w:val="00DD5EF2"/>
    <w:rsid w:val="00DD60DA"/>
    <w:rsid w:val="00DD6160"/>
    <w:rsid w:val="00DD6382"/>
    <w:rsid w:val="00DD644A"/>
    <w:rsid w:val="00DD645D"/>
    <w:rsid w:val="00DD64AA"/>
    <w:rsid w:val="00DD64CD"/>
    <w:rsid w:val="00DD6507"/>
    <w:rsid w:val="00DD652D"/>
    <w:rsid w:val="00DD6548"/>
    <w:rsid w:val="00DD6774"/>
    <w:rsid w:val="00DD683C"/>
    <w:rsid w:val="00DD6923"/>
    <w:rsid w:val="00DD6973"/>
    <w:rsid w:val="00DD6C5E"/>
    <w:rsid w:val="00DD6F92"/>
    <w:rsid w:val="00DD7298"/>
    <w:rsid w:val="00DD72C0"/>
    <w:rsid w:val="00DD72E7"/>
    <w:rsid w:val="00DD73BB"/>
    <w:rsid w:val="00DD7442"/>
    <w:rsid w:val="00DD74CD"/>
    <w:rsid w:val="00DD75EC"/>
    <w:rsid w:val="00DD77E1"/>
    <w:rsid w:val="00DD784E"/>
    <w:rsid w:val="00DD7921"/>
    <w:rsid w:val="00DD7940"/>
    <w:rsid w:val="00DD797C"/>
    <w:rsid w:val="00DD7AA4"/>
    <w:rsid w:val="00DD7B4C"/>
    <w:rsid w:val="00DD7BD6"/>
    <w:rsid w:val="00DD7BDB"/>
    <w:rsid w:val="00DD7C05"/>
    <w:rsid w:val="00DD7C80"/>
    <w:rsid w:val="00DD7CD2"/>
    <w:rsid w:val="00DE0215"/>
    <w:rsid w:val="00DE0269"/>
    <w:rsid w:val="00DE0308"/>
    <w:rsid w:val="00DE0353"/>
    <w:rsid w:val="00DE0361"/>
    <w:rsid w:val="00DE07D5"/>
    <w:rsid w:val="00DE082D"/>
    <w:rsid w:val="00DE08ED"/>
    <w:rsid w:val="00DE09B9"/>
    <w:rsid w:val="00DE0C12"/>
    <w:rsid w:val="00DE0CFC"/>
    <w:rsid w:val="00DE0D19"/>
    <w:rsid w:val="00DE0DC3"/>
    <w:rsid w:val="00DE0E6D"/>
    <w:rsid w:val="00DE0FC1"/>
    <w:rsid w:val="00DE105A"/>
    <w:rsid w:val="00DE10DB"/>
    <w:rsid w:val="00DE1280"/>
    <w:rsid w:val="00DE1287"/>
    <w:rsid w:val="00DE1348"/>
    <w:rsid w:val="00DE1386"/>
    <w:rsid w:val="00DE1387"/>
    <w:rsid w:val="00DE13BC"/>
    <w:rsid w:val="00DE140B"/>
    <w:rsid w:val="00DE1465"/>
    <w:rsid w:val="00DE1505"/>
    <w:rsid w:val="00DE1512"/>
    <w:rsid w:val="00DE15B1"/>
    <w:rsid w:val="00DE165B"/>
    <w:rsid w:val="00DE16D6"/>
    <w:rsid w:val="00DE1757"/>
    <w:rsid w:val="00DE18EA"/>
    <w:rsid w:val="00DE198D"/>
    <w:rsid w:val="00DE19F2"/>
    <w:rsid w:val="00DE1C93"/>
    <w:rsid w:val="00DE1D62"/>
    <w:rsid w:val="00DE1FF0"/>
    <w:rsid w:val="00DE2210"/>
    <w:rsid w:val="00DE227D"/>
    <w:rsid w:val="00DE241C"/>
    <w:rsid w:val="00DE25F7"/>
    <w:rsid w:val="00DE2717"/>
    <w:rsid w:val="00DE2859"/>
    <w:rsid w:val="00DE28A6"/>
    <w:rsid w:val="00DE2906"/>
    <w:rsid w:val="00DE2A8C"/>
    <w:rsid w:val="00DE2BC4"/>
    <w:rsid w:val="00DE2CC2"/>
    <w:rsid w:val="00DE2D6C"/>
    <w:rsid w:val="00DE2E59"/>
    <w:rsid w:val="00DE2E7F"/>
    <w:rsid w:val="00DE2E97"/>
    <w:rsid w:val="00DE2EC4"/>
    <w:rsid w:val="00DE2FB7"/>
    <w:rsid w:val="00DE3006"/>
    <w:rsid w:val="00DE3237"/>
    <w:rsid w:val="00DE3355"/>
    <w:rsid w:val="00DE33FF"/>
    <w:rsid w:val="00DE344B"/>
    <w:rsid w:val="00DE3463"/>
    <w:rsid w:val="00DE349D"/>
    <w:rsid w:val="00DE3560"/>
    <w:rsid w:val="00DE356B"/>
    <w:rsid w:val="00DE37D7"/>
    <w:rsid w:val="00DE3910"/>
    <w:rsid w:val="00DE3A20"/>
    <w:rsid w:val="00DE3A92"/>
    <w:rsid w:val="00DE3ABA"/>
    <w:rsid w:val="00DE3B38"/>
    <w:rsid w:val="00DE3B92"/>
    <w:rsid w:val="00DE3BD1"/>
    <w:rsid w:val="00DE3C03"/>
    <w:rsid w:val="00DE3CD3"/>
    <w:rsid w:val="00DE3CE4"/>
    <w:rsid w:val="00DE3D17"/>
    <w:rsid w:val="00DE3D78"/>
    <w:rsid w:val="00DE3D7F"/>
    <w:rsid w:val="00DE3DD6"/>
    <w:rsid w:val="00DE3DED"/>
    <w:rsid w:val="00DE3E0B"/>
    <w:rsid w:val="00DE3EEC"/>
    <w:rsid w:val="00DE3FC5"/>
    <w:rsid w:val="00DE41F6"/>
    <w:rsid w:val="00DE42D1"/>
    <w:rsid w:val="00DE4499"/>
    <w:rsid w:val="00DE45B3"/>
    <w:rsid w:val="00DE474F"/>
    <w:rsid w:val="00DE479E"/>
    <w:rsid w:val="00DE48EA"/>
    <w:rsid w:val="00DE4AFA"/>
    <w:rsid w:val="00DE4CCD"/>
    <w:rsid w:val="00DE4D8E"/>
    <w:rsid w:val="00DE4D92"/>
    <w:rsid w:val="00DE4FAF"/>
    <w:rsid w:val="00DE4FF6"/>
    <w:rsid w:val="00DE5229"/>
    <w:rsid w:val="00DE535E"/>
    <w:rsid w:val="00DE5557"/>
    <w:rsid w:val="00DE55DE"/>
    <w:rsid w:val="00DE55DF"/>
    <w:rsid w:val="00DE5678"/>
    <w:rsid w:val="00DE594A"/>
    <w:rsid w:val="00DE5A5E"/>
    <w:rsid w:val="00DE5A6D"/>
    <w:rsid w:val="00DE5C9E"/>
    <w:rsid w:val="00DE5CC7"/>
    <w:rsid w:val="00DE5E1E"/>
    <w:rsid w:val="00DE5E29"/>
    <w:rsid w:val="00DE5E64"/>
    <w:rsid w:val="00DE6073"/>
    <w:rsid w:val="00DE60A2"/>
    <w:rsid w:val="00DE63C2"/>
    <w:rsid w:val="00DE6481"/>
    <w:rsid w:val="00DE662B"/>
    <w:rsid w:val="00DE6644"/>
    <w:rsid w:val="00DE666D"/>
    <w:rsid w:val="00DE6685"/>
    <w:rsid w:val="00DE66A9"/>
    <w:rsid w:val="00DE67E4"/>
    <w:rsid w:val="00DE68AE"/>
    <w:rsid w:val="00DE68ED"/>
    <w:rsid w:val="00DE6AAA"/>
    <w:rsid w:val="00DE6B58"/>
    <w:rsid w:val="00DE6B5C"/>
    <w:rsid w:val="00DE6BD3"/>
    <w:rsid w:val="00DE6BFF"/>
    <w:rsid w:val="00DE6DDF"/>
    <w:rsid w:val="00DE709D"/>
    <w:rsid w:val="00DE7171"/>
    <w:rsid w:val="00DE72FD"/>
    <w:rsid w:val="00DE7352"/>
    <w:rsid w:val="00DE7402"/>
    <w:rsid w:val="00DE7425"/>
    <w:rsid w:val="00DE7486"/>
    <w:rsid w:val="00DE7894"/>
    <w:rsid w:val="00DE795A"/>
    <w:rsid w:val="00DE7B67"/>
    <w:rsid w:val="00DE7E53"/>
    <w:rsid w:val="00DE7FEA"/>
    <w:rsid w:val="00DE7FEC"/>
    <w:rsid w:val="00DF0202"/>
    <w:rsid w:val="00DF03E7"/>
    <w:rsid w:val="00DF0503"/>
    <w:rsid w:val="00DF05BD"/>
    <w:rsid w:val="00DF05E9"/>
    <w:rsid w:val="00DF0643"/>
    <w:rsid w:val="00DF072A"/>
    <w:rsid w:val="00DF075C"/>
    <w:rsid w:val="00DF078C"/>
    <w:rsid w:val="00DF0806"/>
    <w:rsid w:val="00DF089A"/>
    <w:rsid w:val="00DF08F2"/>
    <w:rsid w:val="00DF097C"/>
    <w:rsid w:val="00DF09B5"/>
    <w:rsid w:val="00DF0B98"/>
    <w:rsid w:val="00DF0D4D"/>
    <w:rsid w:val="00DF0E36"/>
    <w:rsid w:val="00DF0EF3"/>
    <w:rsid w:val="00DF0F0F"/>
    <w:rsid w:val="00DF0F76"/>
    <w:rsid w:val="00DF0FCF"/>
    <w:rsid w:val="00DF0FDE"/>
    <w:rsid w:val="00DF10B4"/>
    <w:rsid w:val="00DF112B"/>
    <w:rsid w:val="00DF1153"/>
    <w:rsid w:val="00DF125E"/>
    <w:rsid w:val="00DF14E2"/>
    <w:rsid w:val="00DF1560"/>
    <w:rsid w:val="00DF172A"/>
    <w:rsid w:val="00DF1BA0"/>
    <w:rsid w:val="00DF1FD7"/>
    <w:rsid w:val="00DF201F"/>
    <w:rsid w:val="00DF20BF"/>
    <w:rsid w:val="00DF21AF"/>
    <w:rsid w:val="00DF22C6"/>
    <w:rsid w:val="00DF2381"/>
    <w:rsid w:val="00DF23AE"/>
    <w:rsid w:val="00DF2419"/>
    <w:rsid w:val="00DF246E"/>
    <w:rsid w:val="00DF2508"/>
    <w:rsid w:val="00DF26E2"/>
    <w:rsid w:val="00DF2811"/>
    <w:rsid w:val="00DF2889"/>
    <w:rsid w:val="00DF2951"/>
    <w:rsid w:val="00DF298F"/>
    <w:rsid w:val="00DF29C8"/>
    <w:rsid w:val="00DF2C12"/>
    <w:rsid w:val="00DF2E82"/>
    <w:rsid w:val="00DF2EBB"/>
    <w:rsid w:val="00DF2F4E"/>
    <w:rsid w:val="00DF3035"/>
    <w:rsid w:val="00DF3038"/>
    <w:rsid w:val="00DF30F9"/>
    <w:rsid w:val="00DF3200"/>
    <w:rsid w:val="00DF326C"/>
    <w:rsid w:val="00DF329E"/>
    <w:rsid w:val="00DF3342"/>
    <w:rsid w:val="00DF343F"/>
    <w:rsid w:val="00DF3562"/>
    <w:rsid w:val="00DF3978"/>
    <w:rsid w:val="00DF3A52"/>
    <w:rsid w:val="00DF3A8E"/>
    <w:rsid w:val="00DF3B23"/>
    <w:rsid w:val="00DF3BB2"/>
    <w:rsid w:val="00DF3F48"/>
    <w:rsid w:val="00DF3F93"/>
    <w:rsid w:val="00DF4076"/>
    <w:rsid w:val="00DF40A9"/>
    <w:rsid w:val="00DF41A9"/>
    <w:rsid w:val="00DF42CD"/>
    <w:rsid w:val="00DF4316"/>
    <w:rsid w:val="00DF435B"/>
    <w:rsid w:val="00DF475F"/>
    <w:rsid w:val="00DF47E9"/>
    <w:rsid w:val="00DF4BE1"/>
    <w:rsid w:val="00DF4BE8"/>
    <w:rsid w:val="00DF4C38"/>
    <w:rsid w:val="00DF4C84"/>
    <w:rsid w:val="00DF503A"/>
    <w:rsid w:val="00DF50CE"/>
    <w:rsid w:val="00DF5139"/>
    <w:rsid w:val="00DF5536"/>
    <w:rsid w:val="00DF557B"/>
    <w:rsid w:val="00DF55A6"/>
    <w:rsid w:val="00DF5919"/>
    <w:rsid w:val="00DF5A67"/>
    <w:rsid w:val="00DF5B56"/>
    <w:rsid w:val="00DF5BE0"/>
    <w:rsid w:val="00DF5D5D"/>
    <w:rsid w:val="00DF5D69"/>
    <w:rsid w:val="00DF5D8D"/>
    <w:rsid w:val="00DF5E11"/>
    <w:rsid w:val="00DF5E15"/>
    <w:rsid w:val="00DF5E6A"/>
    <w:rsid w:val="00DF6258"/>
    <w:rsid w:val="00DF632C"/>
    <w:rsid w:val="00DF647E"/>
    <w:rsid w:val="00DF64CE"/>
    <w:rsid w:val="00DF6733"/>
    <w:rsid w:val="00DF6780"/>
    <w:rsid w:val="00DF69BB"/>
    <w:rsid w:val="00DF6AD4"/>
    <w:rsid w:val="00DF6AF1"/>
    <w:rsid w:val="00DF6B7B"/>
    <w:rsid w:val="00DF6BDD"/>
    <w:rsid w:val="00DF6BEC"/>
    <w:rsid w:val="00DF6ED2"/>
    <w:rsid w:val="00DF6F4E"/>
    <w:rsid w:val="00DF7047"/>
    <w:rsid w:val="00DF70F3"/>
    <w:rsid w:val="00DF71DD"/>
    <w:rsid w:val="00DF753E"/>
    <w:rsid w:val="00DF759F"/>
    <w:rsid w:val="00DF75BC"/>
    <w:rsid w:val="00DF776E"/>
    <w:rsid w:val="00DF7786"/>
    <w:rsid w:val="00DF77E5"/>
    <w:rsid w:val="00DF788F"/>
    <w:rsid w:val="00DF7896"/>
    <w:rsid w:val="00DF7C03"/>
    <w:rsid w:val="00DF7DA5"/>
    <w:rsid w:val="00DF7EBF"/>
    <w:rsid w:val="00E0017D"/>
    <w:rsid w:val="00E0034B"/>
    <w:rsid w:val="00E0053A"/>
    <w:rsid w:val="00E0058D"/>
    <w:rsid w:val="00E006B3"/>
    <w:rsid w:val="00E008AE"/>
    <w:rsid w:val="00E00AD7"/>
    <w:rsid w:val="00E00CFF"/>
    <w:rsid w:val="00E00D1D"/>
    <w:rsid w:val="00E00D4B"/>
    <w:rsid w:val="00E00D92"/>
    <w:rsid w:val="00E00E01"/>
    <w:rsid w:val="00E00E17"/>
    <w:rsid w:val="00E00EA5"/>
    <w:rsid w:val="00E00EE7"/>
    <w:rsid w:val="00E00FAA"/>
    <w:rsid w:val="00E010E9"/>
    <w:rsid w:val="00E01136"/>
    <w:rsid w:val="00E011B3"/>
    <w:rsid w:val="00E012B3"/>
    <w:rsid w:val="00E0137C"/>
    <w:rsid w:val="00E013CA"/>
    <w:rsid w:val="00E01492"/>
    <w:rsid w:val="00E01611"/>
    <w:rsid w:val="00E01620"/>
    <w:rsid w:val="00E0166C"/>
    <w:rsid w:val="00E0180C"/>
    <w:rsid w:val="00E01816"/>
    <w:rsid w:val="00E01A60"/>
    <w:rsid w:val="00E01A6B"/>
    <w:rsid w:val="00E01CDC"/>
    <w:rsid w:val="00E01D66"/>
    <w:rsid w:val="00E01FAE"/>
    <w:rsid w:val="00E02171"/>
    <w:rsid w:val="00E02232"/>
    <w:rsid w:val="00E022A8"/>
    <w:rsid w:val="00E022AE"/>
    <w:rsid w:val="00E024D8"/>
    <w:rsid w:val="00E025FC"/>
    <w:rsid w:val="00E02707"/>
    <w:rsid w:val="00E02753"/>
    <w:rsid w:val="00E02919"/>
    <w:rsid w:val="00E02B82"/>
    <w:rsid w:val="00E02BEF"/>
    <w:rsid w:val="00E02CBD"/>
    <w:rsid w:val="00E02DDF"/>
    <w:rsid w:val="00E02F81"/>
    <w:rsid w:val="00E0305D"/>
    <w:rsid w:val="00E031BF"/>
    <w:rsid w:val="00E03304"/>
    <w:rsid w:val="00E03342"/>
    <w:rsid w:val="00E034CA"/>
    <w:rsid w:val="00E03529"/>
    <w:rsid w:val="00E0373A"/>
    <w:rsid w:val="00E03857"/>
    <w:rsid w:val="00E038C4"/>
    <w:rsid w:val="00E038F9"/>
    <w:rsid w:val="00E03930"/>
    <w:rsid w:val="00E03BE1"/>
    <w:rsid w:val="00E03C26"/>
    <w:rsid w:val="00E03DCE"/>
    <w:rsid w:val="00E03E21"/>
    <w:rsid w:val="00E03F0D"/>
    <w:rsid w:val="00E040CB"/>
    <w:rsid w:val="00E04126"/>
    <w:rsid w:val="00E04195"/>
    <w:rsid w:val="00E041AD"/>
    <w:rsid w:val="00E0426F"/>
    <w:rsid w:val="00E04597"/>
    <w:rsid w:val="00E045C1"/>
    <w:rsid w:val="00E046B6"/>
    <w:rsid w:val="00E046ED"/>
    <w:rsid w:val="00E04790"/>
    <w:rsid w:val="00E0484A"/>
    <w:rsid w:val="00E048BE"/>
    <w:rsid w:val="00E048D0"/>
    <w:rsid w:val="00E04961"/>
    <w:rsid w:val="00E04F86"/>
    <w:rsid w:val="00E0507B"/>
    <w:rsid w:val="00E051CE"/>
    <w:rsid w:val="00E0524C"/>
    <w:rsid w:val="00E05338"/>
    <w:rsid w:val="00E053FE"/>
    <w:rsid w:val="00E0552C"/>
    <w:rsid w:val="00E05673"/>
    <w:rsid w:val="00E05681"/>
    <w:rsid w:val="00E05715"/>
    <w:rsid w:val="00E05789"/>
    <w:rsid w:val="00E057A6"/>
    <w:rsid w:val="00E05800"/>
    <w:rsid w:val="00E058B8"/>
    <w:rsid w:val="00E05B68"/>
    <w:rsid w:val="00E05C0C"/>
    <w:rsid w:val="00E05D12"/>
    <w:rsid w:val="00E05DCC"/>
    <w:rsid w:val="00E05FCC"/>
    <w:rsid w:val="00E06236"/>
    <w:rsid w:val="00E0639D"/>
    <w:rsid w:val="00E063B5"/>
    <w:rsid w:val="00E063F2"/>
    <w:rsid w:val="00E06402"/>
    <w:rsid w:val="00E065CC"/>
    <w:rsid w:val="00E0664D"/>
    <w:rsid w:val="00E068B5"/>
    <w:rsid w:val="00E06901"/>
    <w:rsid w:val="00E06905"/>
    <w:rsid w:val="00E069A1"/>
    <w:rsid w:val="00E06A74"/>
    <w:rsid w:val="00E06A9B"/>
    <w:rsid w:val="00E06ABA"/>
    <w:rsid w:val="00E06B53"/>
    <w:rsid w:val="00E06B90"/>
    <w:rsid w:val="00E06DE2"/>
    <w:rsid w:val="00E0714F"/>
    <w:rsid w:val="00E071CA"/>
    <w:rsid w:val="00E071D2"/>
    <w:rsid w:val="00E071E5"/>
    <w:rsid w:val="00E0729B"/>
    <w:rsid w:val="00E07508"/>
    <w:rsid w:val="00E07732"/>
    <w:rsid w:val="00E077C7"/>
    <w:rsid w:val="00E0788A"/>
    <w:rsid w:val="00E078AF"/>
    <w:rsid w:val="00E078CB"/>
    <w:rsid w:val="00E07995"/>
    <w:rsid w:val="00E07BE0"/>
    <w:rsid w:val="00E07D12"/>
    <w:rsid w:val="00E07E71"/>
    <w:rsid w:val="00E07EF0"/>
    <w:rsid w:val="00E07F03"/>
    <w:rsid w:val="00E07F58"/>
    <w:rsid w:val="00E10173"/>
    <w:rsid w:val="00E101F3"/>
    <w:rsid w:val="00E10214"/>
    <w:rsid w:val="00E1024E"/>
    <w:rsid w:val="00E102C9"/>
    <w:rsid w:val="00E102CD"/>
    <w:rsid w:val="00E103C6"/>
    <w:rsid w:val="00E10482"/>
    <w:rsid w:val="00E1050A"/>
    <w:rsid w:val="00E10576"/>
    <w:rsid w:val="00E10787"/>
    <w:rsid w:val="00E107A3"/>
    <w:rsid w:val="00E1080E"/>
    <w:rsid w:val="00E10827"/>
    <w:rsid w:val="00E10837"/>
    <w:rsid w:val="00E108CB"/>
    <w:rsid w:val="00E1094A"/>
    <w:rsid w:val="00E109A1"/>
    <w:rsid w:val="00E109DE"/>
    <w:rsid w:val="00E10A84"/>
    <w:rsid w:val="00E10AE2"/>
    <w:rsid w:val="00E10AFF"/>
    <w:rsid w:val="00E10B1D"/>
    <w:rsid w:val="00E10C0E"/>
    <w:rsid w:val="00E10C2B"/>
    <w:rsid w:val="00E10CAA"/>
    <w:rsid w:val="00E10EFD"/>
    <w:rsid w:val="00E1103F"/>
    <w:rsid w:val="00E110BA"/>
    <w:rsid w:val="00E110D1"/>
    <w:rsid w:val="00E11188"/>
    <w:rsid w:val="00E111E4"/>
    <w:rsid w:val="00E11337"/>
    <w:rsid w:val="00E114B0"/>
    <w:rsid w:val="00E11613"/>
    <w:rsid w:val="00E11754"/>
    <w:rsid w:val="00E11837"/>
    <w:rsid w:val="00E11843"/>
    <w:rsid w:val="00E11B9A"/>
    <w:rsid w:val="00E11C33"/>
    <w:rsid w:val="00E11EC5"/>
    <w:rsid w:val="00E11F7E"/>
    <w:rsid w:val="00E12251"/>
    <w:rsid w:val="00E12342"/>
    <w:rsid w:val="00E123EF"/>
    <w:rsid w:val="00E1247C"/>
    <w:rsid w:val="00E1254B"/>
    <w:rsid w:val="00E12576"/>
    <w:rsid w:val="00E12620"/>
    <w:rsid w:val="00E12632"/>
    <w:rsid w:val="00E12682"/>
    <w:rsid w:val="00E126AC"/>
    <w:rsid w:val="00E127FE"/>
    <w:rsid w:val="00E1281D"/>
    <w:rsid w:val="00E12898"/>
    <w:rsid w:val="00E128D7"/>
    <w:rsid w:val="00E12A73"/>
    <w:rsid w:val="00E12AD1"/>
    <w:rsid w:val="00E12BCF"/>
    <w:rsid w:val="00E12E65"/>
    <w:rsid w:val="00E131A2"/>
    <w:rsid w:val="00E131C8"/>
    <w:rsid w:val="00E132B5"/>
    <w:rsid w:val="00E13426"/>
    <w:rsid w:val="00E1352B"/>
    <w:rsid w:val="00E138EB"/>
    <w:rsid w:val="00E13A86"/>
    <w:rsid w:val="00E13B5C"/>
    <w:rsid w:val="00E13B7D"/>
    <w:rsid w:val="00E13C37"/>
    <w:rsid w:val="00E13DB7"/>
    <w:rsid w:val="00E13DEF"/>
    <w:rsid w:val="00E13F78"/>
    <w:rsid w:val="00E140FF"/>
    <w:rsid w:val="00E14191"/>
    <w:rsid w:val="00E14209"/>
    <w:rsid w:val="00E14260"/>
    <w:rsid w:val="00E1431D"/>
    <w:rsid w:val="00E14441"/>
    <w:rsid w:val="00E146D9"/>
    <w:rsid w:val="00E14790"/>
    <w:rsid w:val="00E14871"/>
    <w:rsid w:val="00E14875"/>
    <w:rsid w:val="00E14889"/>
    <w:rsid w:val="00E14AF5"/>
    <w:rsid w:val="00E14B83"/>
    <w:rsid w:val="00E14BDD"/>
    <w:rsid w:val="00E14C52"/>
    <w:rsid w:val="00E14D09"/>
    <w:rsid w:val="00E14E86"/>
    <w:rsid w:val="00E14E99"/>
    <w:rsid w:val="00E14EFD"/>
    <w:rsid w:val="00E14FCA"/>
    <w:rsid w:val="00E1504A"/>
    <w:rsid w:val="00E151CF"/>
    <w:rsid w:val="00E1529B"/>
    <w:rsid w:val="00E152D3"/>
    <w:rsid w:val="00E152E6"/>
    <w:rsid w:val="00E155BD"/>
    <w:rsid w:val="00E15833"/>
    <w:rsid w:val="00E158DF"/>
    <w:rsid w:val="00E15982"/>
    <w:rsid w:val="00E159CB"/>
    <w:rsid w:val="00E159DC"/>
    <w:rsid w:val="00E15AA6"/>
    <w:rsid w:val="00E15AD7"/>
    <w:rsid w:val="00E15D3F"/>
    <w:rsid w:val="00E15DCE"/>
    <w:rsid w:val="00E15F5E"/>
    <w:rsid w:val="00E15FE3"/>
    <w:rsid w:val="00E16065"/>
    <w:rsid w:val="00E16066"/>
    <w:rsid w:val="00E1609F"/>
    <w:rsid w:val="00E16168"/>
    <w:rsid w:val="00E164CF"/>
    <w:rsid w:val="00E1651F"/>
    <w:rsid w:val="00E16567"/>
    <w:rsid w:val="00E16605"/>
    <w:rsid w:val="00E16632"/>
    <w:rsid w:val="00E16661"/>
    <w:rsid w:val="00E16715"/>
    <w:rsid w:val="00E1672C"/>
    <w:rsid w:val="00E1693B"/>
    <w:rsid w:val="00E16993"/>
    <w:rsid w:val="00E16B2E"/>
    <w:rsid w:val="00E16B3F"/>
    <w:rsid w:val="00E16B47"/>
    <w:rsid w:val="00E16C53"/>
    <w:rsid w:val="00E16C95"/>
    <w:rsid w:val="00E16D6E"/>
    <w:rsid w:val="00E16E45"/>
    <w:rsid w:val="00E16E50"/>
    <w:rsid w:val="00E16F3E"/>
    <w:rsid w:val="00E16F87"/>
    <w:rsid w:val="00E16F8D"/>
    <w:rsid w:val="00E17070"/>
    <w:rsid w:val="00E170FE"/>
    <w:rsid w:val="00E17147"/>
    <w:rsid w:val="00E17187"/>
    <w:rsid w:val="00E1721D"/>
    <w:rsid w:val="00E1724C"/>
    <w:rsid w:val="00E173F7"/>
    <w:rsid w:val="00E17449"/>
    <w:rsid w:val="00E17617"/>
    <w:rsid w:val="00E17618"/>
    <w:rsid w:val="00E17670"/>
    <w:rsid w:val="00E178E9"/>
    <w:rsid w:val="00E179BE"/>
    <w:rsid w:val="00E179D8"/>
    <w:rsid w:val="00E17AB7"/>
    <w:rsid w:val="00E17BBA"/>
    <w:rsid w:val="00E17D77"/>
    <w:rsid w:val="00E17D90"/>
    <w:rsid w:val="00E200B3"/>
    <w:rsid w:val="00E200EA"/>
    <w:rsid w:val="00E20154"/>
    <w:rsid w:val="00E201CF"/>
    <w:rsid w:val="00E20244"/>
    <w:rsid w:val="00E202A4"/>
    <w:rsid w:val="00E205DF"/>
    <w:rsid w:val="00E206BD"/>
    <w:rsid w:val="00E207EA"/>
    <w:rsid w:val="00E20838"/>
    <w:rsid w:val="00E20884"/>
    <w:rsid w:val="00E208C0"/>
    <w:rsid w:val="00E20919"/>
    <w:rsid w:val="00E20A16"/>
    <w:rsid w:val="00E20B16"/>
    <w:rsid w:val="00E20CDB"/>
    <w:rsid w:val="00E20D5D"/>
    <w:rsid w:val="00E21008"/>
    <w:rsid w:val="00E212BB"/>
    <w:rsid w:val="00E2133B"/>
    <w:rsid w:val="00E21352"/>
    <w:rsid w:val="00E213DC"/>
    <w:rsid w:val="00E21582"/>
    <w:rsid w:val="00E215FA"/>
    <w:rsid w:val="00E21B24"/>
    <w:rsid w:val="00E21B33"/>
    <w:rsid w:val="00E21BE1"/>
    <w:rsid w:val="00E21C07"/>
    <w:rsid w:val="00E21C8E"/>
    <w:rsid w:val="00E21CFF"/>
    <w:rsid w:val="00E21E30"/>
    <w:rsid w:val="00E21E68"/>
    <w:rsid w:val="00E21EF2"/>
    <w:rsid w:val="00E21F5D"/>
    <w:rsid w:val="00E21FCE"/>
    <w:rsid w:val="00E221CC"/>
    <w:rsid w:val="00E222AA"/>
    <w:rsid w:val="00E2252C"/>
    <w:rsid w:val="00E225E4"/>
    <w:rsid w:val="00E2262F"/>
    <w:rsid w:val="00E22ACC"/>
    <w:rsid w:val="00E22B11"/>
    <w:rsid w:val="00E22B6B"/>
    <w:rsid w:val="00E22B9C"/>
    <w:rsid w:val="00E22BCD"/>
    <w:rsid w:val="00E22D21"/>
    <w:rsid w:val="00E22D35"/>
    <w:rsid w:val="00E22D5D"/>
    <w:rsid w:val="00E22EAC"/>
    <w:rsid w:val="00E22EC1"/>
    <w:rsid w:val="00E23059"/>
    <w:rsid w:val="00E23360"/>
    <w:rsid w:val="00E23402"/>
    <w:rsid w:val="00E23509"/>
    <w:rsid w:val="00E23531"/>
    <w:rsid w:val="00E23616"/>
    <w:rsid w:val="00E23631"/>
    <w:rsid w:val="00E2370E"/>
    <w:rsid w:val="00E238CE"/>
    <w:rsid w:val="00E23938"/>
    <w:rsid w:val="00E23A8A"/>
    <w:rsid w:val="00E23C65"/>
    <w:rsid w:val="00E23CDA"/>
    <w:rsid w:val="00E23DA0"/>
    <w:rsid w:val="00E23DBD"/>
    <w:rsid w:val="00E23E3A"/>
    <w:rsid w:val="00E240FC"/>
    <w:rsid w:val="00E2429D"/>
    <w:rsid w:val="00E242AF"/>
    <w:rsid w:val="00E2438C"/>
    <w:rsid w:val="00E243D0"/>
    <w:rsid w:val="00E243F6"/>
    <w:rsid w:val="00E24612"/>
    <w:rsid w:val="00E2470F"/>
    <w:rsid w:val="00E24784"/>
    <w:rsid w:val="00E248B8"/>
    <w:rsid w:val="00E248DE"/>
    <w:rsid w:val="00E249E7"/>
    <w:rsid w:val="00E24A51"/>
    <w:rsid w:val="00E24B2C"/>
    <w:rsid w:val="00E24BFE"/>
    <w:rsid w:val="00E24C25"/>
    <w:rsid w:val="00E24CC6"/>
    <w:rsid w:val="00E24D00"/>
    <w:rsid w:val="00E24DEE"/>
    <w:rsid w:val="00E24E41"/>
    <w:rsid w:val="00E24E49"/>
    <w:rsid w:val="00E24F0E"/>
    <w:rsid w:val="00E24F40"/>
    <w:rsid w:val="00E25037"/>
    <w:rsid w:val="00E252B5"/>
    <w:rsid w:val="00E252D6"/>
    <w:rsid w:val="00E2532F"/>
    <w:rsid w:val="00E25500"/>
    <w:rsid w:val="00E255BE"/>
    <w:rsid w:val="00E2569B"/>
    <w:rsid w:val="00E25773"/>
    <w:rsid w:val="00E25848"/>
    <w:rsid w:val="00E25854"/>
    <w:rsid w:val="00E259F4"/>
    <w:rsid w:val="00E25B4E"/>
    <w:rsid w:val="00E25C16"/>
    <w:rsid w:val="00E25C2A"/>
    <w:rsid w:val="00E25C40"/>
    <w:rsid w:val="00E25C43"/>
    <w:rsid w:val="00E25C7B"/>
    <w:rsid w:val="00E25DED"/>
    <w:rsid w:val="00E25EF7"/>
    <w:rsid w:val="00E260AD"/>
    <w:rsid w:val="00E26121"/>
    <w:rsid w:val="00E261E4"/>
    <w:rsid w:val="00E26207"/>
    <w:rsid w:val="00E26236"/>
    <w:rsid w:val="00E26393"/>
    <w:rsid w:val="00E263AC"/>
    <w:rsid w:val="00E263C3"/>
    <w:rsid w:val="00E263ED"/>
    <w:rsid w:val="00E26599"/>
    <w:rsid w:val="00E265B3"/>
    <w:rsid w:val="00E265D1"/>
    <w:rsid w:val="00E266B9"/>
    <w:rsid w:val="00E26707"/>
    <w:rsid w:val="00E26775"/>
    <w:rsid w:val="00E2691F"/>
    <w:rsid w:val="00E26940"/>
    <w:rsid w:val="00E26D05"/>
    <w:rsid w:val="00E26D84"/>
    <w:rsid w:val="00E26DE9"/>
    <w:rsid w:val="00E26E97"/>
    <w:rsid w:val="00E26F7F"/>
    <w:rsid w:val="00E26FA0"/>
    <w:rsid w:val="00E26FF8"/>
    <w:rsid w:val="00E2714B"/>
    <w:rsid w:val="00E2715A"/>
    <w:rsid w:val="00E271E8"/>
    <w:rsid w:val="00E275D2"/>
    <w:rsid w:val="00E275D3"/>
    <w:rsid w:val="00E2762D"/>
    <w:rsid w:val="00E276E8"/>
    <w:rsid w:val="00E27A0D"/>
    <w:rsid w:val="00E27B02"/>
    <w:rsid w:val="00E27C8B"/>
    <w:rsid w:val="00E27CE7"/>
    <w:rsid w:val="00E27D4D"/>
    <w:rsid w:val="00E27D8E"/>
    <w:rsid w:val="00E27DD9"/>
    <w:rsid w:val="00E27DE4"/>
    <w:rsid w:val="00E27E59"/>
    <w:rsid w:val="00E27E7D"/>
    <w:rsid w:val="00E27EE4"/>
    <w:rsid w:val="00E27F31"/>
    <w:rsid w:val="00E30194"/>
    <w:rsid w:val="00E3042C"/>
    <w:rsid w:val="00E30552"/>
    <w:rsid w:val="00E30556"/>
    <w:rsid w:val="00E3057F"/>
    <w:rsid w:val="00E3065D"/>
    <w:rsid w:val="00E308B6"/>
    <w:rsid w:val="00E309EB"/>
    <w:rsid w:val="00E30B06"/>
    <w:rsid w:val="00E30B35"/>
    <w:rsid w:val="00E30C5E"/>
    <w:rsid w:val="00E30D92"/>
    <w:rsid w:val="00E30E20"/>
    <w:rsid w:val="00E30ED3"/>
    <w:rsid w:val="00E30EF2"/>
    <w:rsid w:val="00E30F15"/>
    <w:rsid w:val="00E30F64"/>
    <w:rsid w:val="00E311DC"/>
    <w:rsid w:val="00E31356"/>
    <w:rsid w:val="00E31516"/>
    <w:rsid w:val="00E3159C"/>
    <w:rsid w:val="00E315B2"/>
    <w:rsid w:val="00E315F6"/>
    <w:rsid w:val="00E31614"/>
    <w:rsid w:val="00E31673"/>
    <w:rsid w:val="00E316D4"/>
    <w:rsid w:val="00E3187A"/>
    <w:rsid w:val="00E31A7B"/>
    <w:rsid w:val="00E31B2E"/>
    <w:rsid w:val="00E31C56"/>
    <w:rsid w:val="00E31C83"/>
    <w:rsid w:val="00E31C9C"/>
    <w:rsid w:val="00E31CBB"/>
    <w:rsid w:val="00E31CCE"/>
    <w:rsid w:val="00E31F0E"/>
    <w:rsid w:val="00E31F58"/>
    <w:rsid w:val="00E31F7C"/>
    <w:rsid w:val="00E31FDA"/>
    <w:rsid w:val="00E320E6"/>
    <w:rsid w:val="00E322B2"/>
    <w:rsid w:val="00E324A0"/>
    <w:rsid w:val="00E325A3"/>
    <w:rsid w:val="00E3274E"/>
    <w:rsid w:val="00E327FF"/>
    <w:rsid w:val="00E32A30"/>
    <w:rsid w:val="00E32A40"/>
    <w:rsid w:val="00E32C13"/>
    <w:rsid w:val="00E32D3E"/>
    <w:rsid w:val="00E32DBF"/>
    <w:rsid w:val="00E32DF6"/>
    <w:rsid w:val="00E32E8E"/>
    <w:rsid w:val="00E32EC4"/>
    <w:rsid w:val="00E3305A"/>
    <w:rsid w:val="00E332E2"/>
    <w:rsid w:val="00E333E1"/>
    <w:rsid w:val="00E33519"/>
    <w:rsid w:val="00E335FC"/>
    <w:rsid w:val="00E33707"/>
    <w:rsid w:val="00E337C2"/>
    <w:rsid w:val="00E337E0"/>
    <w:rsid w:val="00E33959"/>
    <w:rsid w:val="00E33A25"/>
    <w:rsid w:val="00E33B34"/>
    <w:rsid w:val="00E33B86"/>
    <w:rsid w:val="00E33CB2"/>
    <w:rsid w:val="00E33D3F"/>
    <w:rsid w:val="00E33D6A"/>
    <w:rsid w:val="00E33D6D"/>
    <w:rsid w:val="00E33F17"/>
    <w:rsid w:val="00E33F90"/>
    <w:rsid w:val="00E33FE0"/>
    <w:rsid w:val="00E34163"/>
    <w:rsid w:val="00E3440B"/>
    <w:rsid w:val="00E344A4"/>
    <w:rsid w:val="00E34615"/>
    <w:rsid w:val="00E346BE"/>
    <w:rsid w:val="00E34852"/>
    <w:rsid w:val="00E34ADC"/>
    <w:rsid w:val="00E34BB5"/>
    <w:rsid w:val="00E34C17"/>
    <w:rsid w:val="00E34D1A"/>
    <w:rsid w:val="00E34D27"/>
    <w:rsid w:val="00E34D8E"/>
    <w:rsid w:val="00E34E27"/>
    <w:rsid w:val="00E34E7A"/>
    <w:rsid w:val="00E34FA1"/>
    <w:rsid w:val="00E34FAD"/>
    <w:rsid w:val="00E3508C"/>
    <w:rsid w:val="00E350B2"/>
    <w:rsid w:val="00E350C4"/>
    <w:rsid w:val="00E350DE"/>
    <w:rsid w:val="00E35185"/>
    <w:rsid w:val="00E35186"/>
    <w:rsid w:val="00E35276"/>
    <w:rsid w:val="00E352AD"/>
    <w:rsid w:val="00E352FE"/>
    <w:rsid w:val="00E3532B"/>
    <w:rsid w:val="00E355E6"/>
    <w:rsid w:val="00E3560B"/>
    <w:rsid w:val="00E356BD"/>
    <w:rsid w:val="00E35924"/>
    <w:rsid w:val="00E359D9"/>
    <w:rsid w:val="00E35A3D"/>
    <w:rsid w:val="00E35A5A"/>
    <w:rsid w:val="00E35ADA"/>
    <w:rsid w:val="00E35C4E"/>
    <w:rsid w:val="00E35CFF"/>
    <w:rsid w:val="00E35D23"/>
    <w:rsid w:val="00E35EAF"/>
    <w:rsid w:val="00E35F74"/>
    <w:rsid w:val="00E36050"/>
    <w:rsid w:val="00E3616A"/>
    <w:rsid w:val="00E361E7"/>
    <w:rsid w:val="00E361F4"/>
    <w:rsid w:val="00E36307"/>
    <w:rsid w:val="00E36311"/>
    <w:rsid w:val="00E3634E"/>
    <w:rsid w:val="00E365CC"/>
    <w:rsid w:val="00E36637"/>
    <w:rsid w:val="00E36785"/>
    <w:rsid w:val="00E3679D"/>
    <w:rsid w:val="00E3683F"/>
    <w:rsid w:val="00E36C39"/>
    <w:rsid w:val="00E36C61"/>
    <w:rsid w:val="00E36CCB"/>
    <w:rsid w:val="00E36E89"/>
    <w:rsid w:val="00E36F97"/>
    <w:rsid w:val="00E37019"/>
    <w:rsid w:val="00E371A4"/>
    <w:rsid w:val="00E371C0"/>
    <w:rsid w:val="00E3720D"/>
    <w:rsid w:val="00E37245"/>
    <w:rsid w:val="00E37278"/>
    <w:rsid w:val="00E3736E"/>
    <w:rsid w:val="00E37446"/>
    <w:rsid w:val="00E375DD"/>
    <w:rsid w:val="00E3769A"/>
    <w:rsid w:val="00E378D6"/>
    <w:rsid w:val="00E37AAE"/>
    <w:rsid w:val="00E37B8B"/>
    <w:rsid w:val="00E37C6A"/>
    <w:rsid w:val="00E37CED"/>
    <w:rsid w:val="00E37D64"/>
    <w:rsid w:val="00E37D81"/>
    <w:rsid w:val="00E37DF9"/>
    <w:rsid w:val="00E37E36"/>
    <w:rsid w:val="00E37E65"/>
    <w:rsid w:val="00E400AA"/>
    <w:rsid w:val="00E4028B"/>
    <w:rsid w:val="00E402C3"/>
    <w:rsid w:val="00E40348"/>
    <w:rsid w:val="00E40456"/>
    <w:rsid w:val="00E4049B"/>
    <w:rsid w:val="00E40527"/>
    <w:rsid w:val="00E40651"/>
    <w:rsid w:val="00E40723"/>
    <w:rsid w:val="00E40813"/>
    <w:rsid w:val="00E40834"/>
    <w:rsid w:val="00E4090F"/>
    <w:rsid w:val="00E40AD9"/>
    <w:rsid w:val="00E40B03"/>
    <w:rsid w:val="00E40B7E"/>
    <w:rsid w:val="00E40BD9"/>
    <w:rsid w:val="00E40E62"/>
    <w:rsid w:val="00E4100A"/>
    <w:rsid w:val="00E411BB"/>
    <w:rsid w:val="00E41432"/>
    <w:rsid w:val="00E414A4"/>
    <w:rsid w:val="00E41529"/>
    <w:rsid w:val="00E415E2"/>
    <w:rsid w:val="00E41631"/>
    <w:rsid w:val="00E4167C"/>
    <w:rsid w:val="00E418FE"/>
    <w:rsid w:val="00E4196B"/>
    <w:rsid w:val="00E419BC"/>
    <w:rsid w:val="00E41A17"/>
    <w:rsid w:val="00E41AF1"/>
    <w:rsid w:val="00E41DA0"/>
    <w:rsid w:val="00E41E31"/>
    <w:rsid w:val="00E41F09"/>
    <w:rsid w:val="00E41F2F"/>
    <w:rsid w:val="00E41FAF"/>
    <w:rsid w:val="00E4205B"/>
    <w:rsid w:val="00E42119"/>
    <w:rsid w:val="00E4223F"/>
    <w:rsid w:val="00E4229B"/>
    <w:rsid w:val="00E424B9"/>
    <w:rsid w:val="00E4252C"/>
    <w:rsid w:val="00E42556"/>
    <w:rsid w:val="00E4257A"/>
    <w:rsid w:val="00E4258F"/>
    <w:rsid w:val="00E4263F"/>
    <w:rsid w:val="00E426A3"/>
    <w:rsid w:val="00E426D2"/>
    <w:rsid w:val="00E42781"/>
    <w:rsid w:val="00E42835"/>
    <w:rsid w:val="00E42925"/>
    <w:rsid w:val="00E42BFA"/>
    <w:rsid w:val="00E42C6A"/>
    <w:rsid w:val="00E42DF6"/>
    <w:rsid w:val="00E42E64"/>
    <w:rsid w:val="00E42F9D"/>
    <w:rsid w:val="00E42FEA"/>
    <w:rsid w:val="00E43079"/>
    <w:rsid w:val="00E4308D"/>
    <w:rsid w:val="00E4310E"/>
    <w:rsid w:val="00E43317"/>
    <w:rsid w:val="00E4345A"/>
    <w:rsid w:val="00E43567"/>
    <w:rsid w:val="00E43677"/>
    <w:rsid w:val="00E43802"/>
    <w:rsid w:val="00E43930"/>
    <w:rsid w:val="00E43A54"/>
    <w:rsid w:val="00E43A75"/>
    <w:rsid w:val="00E43B2A"/>
    <w:rsid w:val="00E43CBF"/>
    <w:rsid w:val="00E43D1D"/>
    <w:rsid w:val="00E43D25"/>
    <w:rsid w:val="00E43F2D"/>
    <w:rsid w:val="00E440C0"/>
    <w:rsid w:val="00E440F4"/>
    <w:rsid w:val="00E4426B"/>
    <w:rsid w:val="00E442DC"/>
    <w:rsid w:val="00E442E7"/>
    <w:rsid w:val="00E44586"/>
    <w:rsid w:val="00E445D9"/>
    <w:rsid w:val="00E4466F"/>
    <w:rsid w:val="00E4467D"/>
    <w:rsid w:val="00E446EA"/>
    <w:rsid w:val="00E44836"/>
    <w:rsid w:val="00E44A93"/>
    <w:rsid w:val="00E44B42"/>
    <w:rsid w:val="00E44C1A"/>
    <w:rsid w:val="00E44D9E"/>
    <w:rsid w:val="00E44E03"/>
    <w:rsid w:val="00E44F5E"/>
    <w:rsid w:val="00E4518C"/>
    <w:rsid w:val="00E4532A"/>
    <w:rsid w:val="00E4534A"/>
    <w:rsid w:val="00E45459"/>
    <w:rsid w:val="00E454E5"/>
    <w:rsid w:val="00E4556A"/>
    <w:rsid w:val="00E455CD"/>
    <w:rsid w:val="00E455E2"/>
    <w:rsid w:val="00E4566B"/>
    <w:rsid w:val="00E457AA"/>
    <w:rsid w:val="00E45CB0"/>
    <w:rsid w:val="00E45CED"/>
    <w:rsid w:val="00E45D30"/>
    <w:rsid w:val="00E45E73"/>
    <w:rsid w:val="00E45E88"/>
    <w:rsid w:val="00E46056"/>
    <w:rsid w:val="00E462DA"/>
    <w:rsid w:val="00E465B7"/>
    <w:rsid w:val="00E465C7"/>
    <w:rsid w:val="00E46631"/>
    <w:rsid w:val="00E4668D"/>
    <w:rsid w:val="00E4673A"/>
    <w:rsid w:val="00E46842"/>
    <w:rsid w:val="00E46921"/>
    <w:rsid w:val="00E46AD0"/>
    <w:rsid w:val="00E46B42"/>
    <w:rsid w:val="00E46D32"/>
    <w:rsid w:val="00E46DBE"/>
    <w:rsid w:val="00E46DEE"/>
    <w:rsid w:val="00E46E69"/>
    <w:rsid w:val="00E46E6A"/>
    <w:rsid w:val="00E4712B"/>
    <w:rsid w:val="00E47160"/>
    <w:rsid w:val="00E471D3"/>
    <w:rsid w:val="00E47360"/>
    <w:rsid w:val="00E474C5"/>
    <w:rsid w:val="00E474CA"/>
    <w:rsid w:val="00E4761C"/>
    <w:rsid w:val="00E476A7"/>
    <w:rsid w:val="00E47703"/>
    <w:rsid w:val="00E4785C"/>
    <w:rsid w:val="00E47903"/>
    <w:rsid w:val="00E479F2"/>
    <w:rsid w:val="00E47AA8"/>
    <w:rsid w:val="00E47B44"/>
    <w:rsid w:val="00E47C2D"/>
    <w:rsid w:val="00E47F14"/>
    <w:rsid w:val="00E50050"/>
    <w:rsid w:val="00E50066"/>
    <w:rsid w:val="00E50227"/>
    <w:rsid w:val="00E50251"/>
    <w:rsid w:val="00E50303"/>
    <w:rsid w:val="00E5034B"/>
    <w:rsid w:val="00E5045D"/>
    <w:rsid w:val="00E50489"/>
    <w:rsid w:val="00E50532"/>
    <w:rsid w:val="00E50632"/>
    <w:rsid w:val="00E50659"/>
    <w:rsid w:val="00E50663"/>
    <w:rsid w:val="00E506EE"/>
    <w:rsid w:val="00E50738"/>
    <w:rsid w:val="00E507C6"/>
    <w:rsid w:val="00E50872"/>
    <w:rsid w:val="00E5097D"/>
    <w:rsid w:val="00E50AC2"/>
    <w:rsid w:val="00E50AD6"/>
    <w:rsid w:val="00E50B24"/>
    <w:rsid w:val="00E50B29"/>
    <w:rsid w:val="00E50B95"/>
    <w:rsid w:val="00E50E82"/>
    <w:rsid w:val="00E50F26"/>
    <w:rsid w:val="00E50F53"/>
    <w:rsid w:val="00E50F86"/>
    <w:rsid w:val="00E50FC2"/>
    <w:rsid w:val="00E5100F"/>
    <w:rsid w:val="00E51023"/>
    <w:rsid w:val="00E51026"/>
    <w:rsid w:val="00E5110A"/>
    <w:rsid w:val="00E51179"/>
    <w:rsid w:val="00E511A2"/>
    <w:rsid w:val="00E511AC"/>
    <w:rsid w:val="00E512CB"/>
    <w:rsid w:val="00E51332"/>
    <w:rsid w:val="00E5135B"/>
    <w:rsid w:val="00E5146B"/>
    <w:rsid w:val="00E51537"/>
    <w:rsid w:val="00E5154D"/>
    <w:rsid w:val="00E5159E"/>
    <w:rsid w:val="00E5174C"/>
    <w:rsid w:val="00E517CD"/>
    <w:rsid w:val="00E517D1"/>
    <w:rsid w:val="00E51A62"/>
    <w:rsid w:val="00E51C02"/>
    <w:rsid w:val="00E51C16"/>
    <w:rsid w:val="00E51DA2"/>
    <w:rsid w:val="00E51F3A"/>
    <w:rsid w:val="00E51F44"/>
    <w:rsid w:val="00E51F70"/>
    <w:rsid w:val="00E51FDB"/>
    <w:rsid w:val="00E52098"/>
    <w:rsid w:val="00E521D3"/>
    <w:rsid w:val="00E52211"/>
    <w:rsid w:val="00E52356"/>
    <w:rsid w:val="00E5238B"/>
    <w:rsid w:val="00E5249B"/>
    <w:rsid w:val="00E5261C"/>
    <w:rsid w:val="00E52627"/>
    <w:rsid w:val="00E52801"/>
    <w:rsid w:val="00E52922"/>
    <w:rsid w:val="00E529E6"/>
    <w:rsid w:val="00E529FA"/>
    <w:rsid w:val="00E52A5C"/>
    <w:rsid w:val="00E52B42"/>
    <w:rsid w:val="00E52CE4"/>
    <w:rsid w:val="00E52D0B"/>
    <w:rsid w:val="00E52D56"/>
    <w:rsid w:val="00E52FC8"/>
    <w:rsid w:val="00E5304F"/>
    <w:rsid w:val="00E53057"/>
    <w:rsid w:val="00E5305B"/>
    <w:rsid w:val="00E5313A"/>
    <w:rsid w:val="00E5354A"/>
    <w:rsid w:val="00E53594"/>
    <w:rsid w:val="00E53775"/>
    <w:rsid w:val="00E539B6"/>
    <w:rsid w:val="00E53A5D"/>
    <w:rsid w:val="00E53A66"/>
    <w:rsid w:val="00E53C53"/>
    <w:rsid w:val="00E53CC1"/>
    <w:rsid w:val="00E53D6A"/>
    <w:rsid w:val="00E53E8C"/>
    <w:rsid w:val="00E54309"/>
    <w:rsid w:val="00E54417"/>
    <w:rsid w:val="00E54536"/>
    <w:rsid w:val="00E5455F"/>
    <w:rsid w:val="00E545DA"/>
    <w:rsid w:val="00E5460F"/>
    <w:rsid w:val="00E546C8"/>
    <w:rsid w:val="00E546F1"/>
    <w:rsid w:val="00E54714"/>
    <w:rsid w:val="00E5478C"/>
    <w:rsid w:val="00E54870"/>
    <w:rsid w:val="00E54916"/>
    <w:rsid w:val="00E54939"/>
    <w:rsid w:val="00E5497C"/>
    <w:rsid w:val="00E54AA3"/>
    <w:rsid w:val="00E54B0F"/>
    <w:rsid w:val="00E54B6E"/>
    <w:rsid w:val="00E54B7C"/>
    <w:rsid w:val="00E54D2B"/>
    <w:rsid w:val="00E54DAA"/>
    <w:rsid w:val="00E54E33"/>
    <w:rsid w:val="00E54F1C"/>
    <w:rsid w:val="00E54F29"/>
    <w:rsid w:val="00E54F5E"/>
    <w:rsid w:val="00E55033"/>
    <w:rsid w:val="00E5537F"/>
    <w:rsid w:val="00E554D8"/>
    <w:rsid w:val="00E5551E"/>
    <w:rsid w:val="00E5552E"/>
    <w:rsid w:val="00E555EE"/>
    <w:rsid w:val="00E556D8"/>
    <w:rsid w:val="00E557F2"/>
    <w:rsid w:val="00E558DF"/>
    <w:rsid w:val="00E5595D"/>
    <w:rsid w:val="00E559AA"/>
    <w:rsid w:val="00E55A7C"/>
    <w:rsid w:val="00E55AEF"/>
    <w:rsid w:val="00E55C99"/>
    <w:rsid w:val="00E55D72"/>
    <w:rsid w:val="00E55E2D"/>
    <w:rsid w:val="00E55F7E"/>
    <w:rsid w:val="00E56109"/>
    <w:rsid w:val="00E562EC"/>
    <w:rsid w:val="00E563FB"/>
    <w:rsid w:val="00E5640D"/>
    <w:rsid w:val="00E564CB"/>
    <w:rsid w:val="00E5653E"/>
    <w:rsid w:val="00E56560"/>
    <w:rsid w:val="00E56645"/>
    <w:rsid w:val="00E566D0"/>
    <w:rsid w:val="00E567A1"/>
    <w:rsid w:val="00E568EA"/>
    <w:rsid w:val="00E56963"/>
    <w:rsid w:val="00E569CF"/>
    <w:rsid w:val="00E56A19"/>
    <w:rsid w:val="00E56A6C"/>
    <w:rsid w:val="00E56A88"/>
    <w:rsid w:val="00E56ADA"/>
    <w:rsid w:val="00E56AF2"/>
    <w:rsid w:val="00E56C1F"/>
    <w:rsid w:val="00E56C40"/>
    <w:rsid w:val="00E56D20"/>
    <w:rsid w:val="00E56DF6"/>
    <w:rsid w:val="00E56E9E"/>
    <w:rsid w:val="00E56F21"/>
    <w:rsid w:val="00E56F9A"/>
    <w:rsid w:val="00E57019"/>
    <w:rsid w:val="00E57109"/>
    <w:rsid w:val="00E571CF"/>
    <w:rsid w:val="00E57213"/>
    <w:rsid w:val="00E5725F"/>
    <w:rsid w:val="00E572E5"/>
    <w:rsid w:val="00E57305"/>
    <w:rsid w:val="00E57308"/>
    <w:rsid w:val="00E57599"/>
    <w:rsid w:val="00E5766D"/>
    <w:rsid w:val="00E576D6"/>
    <w:rsid w:val="00E5770F"/>
    <w:rsid w:val="00E57972"/>
    <w:rsid w:val="00E57AA9"/>
    <w:rsid w:val="00E57C2F"/>
    <w:rsid w:val="00E57D36"/>
    <w:rsid w:val="00E57D5D"/>
    <w:rsid w:val="00E57D61"/>
    <w:rsid w:val="00E57ED8"/>
    <w:rsid w:val="00E57EF4"/>
    <w:rsid w:val="00E57FDD"/>
    <w:rsid w:val="00E57FE3"/>
    <w:rsid w:val="00E6005E"/>
    <w:rsid w:val="00E6009D"/>
    <w:rsid w:val="00E600CE"/>
    <w:rsid w:val="00E601BE"/>
    <w:rsid w:val="00E6037B"/>
    <w:rsid w:val="00E603CD"/>
    <w:rsid w:val="00E604DA"/>
    <w:rsid w:val="00E60586"/>
    <w:rsid w:val="00E606E1"/>
    <w:rsid w:val="00E607AB"/>
    <w:rsid w:val="00E607D2"/>
    <w:rsid w:val="00E609A1"/>
    <w:rsid w:val="00E60B38"/>
    <w:rsid w:val="00E60DDA"/>
    <w:rsid w:val="00E60E37"/>
    <w:rsid w:val="00E60EB2"/>
    <w:rsid w:val="00E61079"/>
    <w:rsid w:val="00E611EC"/>
    <w:rsid w:val="00E61284"/>
    <w:rsid w:val="00E612AE"/>
    <w:rsid w:val="00E612CC"/>
    <w:rsid w:val="00E612F0"/>
    <w:rsid w:val="00E6135A"/>
    <w:rsid w:val="00E6167E"/>
    <w:rsid w:val="00E6191A"/>
    <w:rsid w:val="00E619EB"/>
    <w:rsid w:val="00E61A11"/>
    <w:rsid w:val="00E61A2F"/>
    <w:rsid w:val="00E61B01"/>
    <w:rsid w:val="00E61B61"/>
    <w:rsid w:val="00E61D86"/>
    <w:rsid w:val="00E61DA2"/>
    <w:rsid w:val="00E61E65"/>
    <w:rsid w:val="00E61F1E"/>
    <w:rsid w:val="00E61F56"/>
    <w:rsid w:val="00E61FC8"/>
    <w:rsid w:val="00E62112"/>
    <w:rsid w:val="00E6218B"/>
    <w:rsid w:val="00E621CD"/>
    <w:rsid w:val="00E62276"/>
    <w:rsid w:val="00E62583"/>
    <w:rsid w:val="00E6259E"/>
    <w:rsid w:val="00E625D7"/>
    <w:rsid w:val="00E626CA"/>
    <w:rsid w:val="00E62771"/>
    <w:rsid w:val="00E6290B"/>
    <w:rsid w:val="00E62AD0"/>
    <w:rsid w:val="00E62B04"/>
    <w:rsid w:val="00E62BAB"/>
    <w:rsid w:val="00E62BB0"/>
    <w:rsid w:val="00E62CA9"/>
    <w:rsid w:val="00E62D07"/>
    <w:rsid w:val="00E62EED"/>
    <w:rsid w:val="00E63017"/>
    <w:rsid w:val="00E63153"/>
    <w:rsid w:val="00E631CF"/>
    <w:rsid w:val="00E631E8"/>
    <w:rsid w:val="00E6342F"/>
    <w:rsid w:val="00E634F9"/>
    <w:rsid w:val="00E634FD"/>
    <w:rsid w:val="00E636AD"/>
    <w:rsid w:val="00E63765"/>
    <w:rsid w:val="00E637A6"/>
    <w:rsid w:val="00E638C2"/>
    <w:rsid w:val="00E63929"/>
    <w:rsid w:val="00E6393E"/>
    <w:rsid w:val="00E63947"/>
    <w:rsid w:val="00E639B7"/>
    <w:rsid w:val="00E63A18"/>
    <w:rsid w:val="00E63A6F"/>
    <w:rsid w:val="00E63AEE"/>
    <w:rsid w:val="00E63B08"/>
    <w:rsid w:val="00E63B15"/>
    <w:rsid w:val="00E63C71"/>
    <w:rsid w:val="00E63C7D"/>
    <w:rsid w:val="00E63D23"/>
    <w:rsid w:val="00E63EE3"/>
    <w:rsid w:val="00E63EF2"/>
    <w:rsid w:val="00E63EFE"/>
    <w:rsid w:val="00E640B8"/>
    <w:rsid w:val="00E6413A"/>
    <w:rsid w:val="00E64234"/>
    <w:rsid w:val="00E6428A"/>
    <w:rsid w:val="00E643EC"/>
    <w:rsid w:val="00E6447D"/>
    <w:rsid w:val="00E644BF"/>
    <w:rsid w:val="00E64644"/>
    <w:rsid w:val="00E646FC"/>
    <w:rsid w:val="00E6482A"/>
    <w:rsid w:val="00E648EB"/>
    <w:rsid w:val="00E648EC"/>
    <w:rsid w:val="00E64C72"/>
    <w:rsid w:val="00E64D93"/>
    <w:rsid w:val="00E64DC1"/>
    <w:rsid w:val="00E64EFC"/>
    <w:rsid w:val="00E64F92"/>
    <w:rsid w:val="00E6502E"/>
    <w:rsid w:val="00E65162"/>
    <w:rsid w:val="00E65199"/>
    <w:rsid w:val="00E656FF"/>
    <w:rsid w:val="00E65A40"/>
    <w:rsid w:val="00E65B82"/>
    <w:rsid w:val="00E65B8D"/>
    <w:rsid w:val="00E65B8F"/>
    <w:rsid w:val="00E65BE9"/>
    <w:rsid w:val="00E65C3B"/>
    <w:rsid w:val="00E65D08"/>
    <w:rsid w:val="00E65D16"/>
    <w:rsid w:val="00E65F5A"/>
    <w:rsid w:val="00E66138"/>
    <w:rsid w:val="00E66269"/>
    <w:rsid w:val="00E66271"/>
    <w:rsid w:val="00E66401"/>
    <w:rsid w:val="00E665CD"/>
    <w:rsid w:val="00E6670F"/>
    <w:rsid w:val="00E667BD"/>
    <w:rsid w:val="00E66851"/>
    <w:rsid w:val="00E668FB"/>
    <w:rsid w:val="00E66AC2"/>
    <w:rsid w:val="00E66B5B"/>
    <w:rsid w:val="00E66B8E"/>
    <w:rsid w:val="00E66CFD"/>
    <w:rsid w:val="00E66E88"/>
    <w:rsid w:val="00E6705B"/>
    <w:rsid w:val="00E6709D"/>
    <w:rsid w:val="00E670B6"/>
    <w:rsid w:val="00E6720F"/>
    <w:rsid w:val="00E67310"/>
    <w:rsid w:val="00E67343"/>
    <w:rsid w:val="00E673A3"/>
    <w:rsid w:val="00E673F1"/>
    <w:rsid w:val="00E67538"/>
    <w:rsid w:val="00E6757D"/>
    <w:rsid w:val="00E6764E"/>
    <w:rsid w:val="00E67687"/>
    <w:rsid w:val="00E67814"/>
    <w:rsid w:val="00E67826"/>
    <w:rsid w:val="00E678A6"/>
    <w:rsid w:val="00E678FF"/>
    <w:rsid w:val="00E67B5D"/>
    <w:rsid w:val="00E67C18"/>
    <w:rsid w:val="00E67C1F"/>
    <w:rsid w:val="00E67C71"/>
    <w:rsid w:val="00E67D35"/>
    <w:rsid w:val="00E70051"/>
    <w:rsid w:val="00E7017E"/>
    <w:rsid w:val="00E701AB"/>
    <w:rsid w:val="00E70439"/>
    <w:rsid w:val="00E705A1"/>
    <w:rsid w:val="00E706C3"/>
    <w:rsid w:val="00E7070A"/>
    <w:rsid w:val="00E7088C"/>
    <w:rsid w:val="00E70910"/>
    <w:rsid w:val="00E70931"/>
    <w:rsid w:val="00E709BC"/>
    <w:rsid w:val="00E709E8"/>
    <w:rsid w:val="00E70A47"/>
    <w:rsid w:val="00E70BE6"/>
    <w:rsid w:val="00E70CD8"/>
    <w:rsid w:val="00E70CDF"/>
    <w:rsid w:val="00E70D89"/>
    <w:rsid w:val="00E70E6D"/>
    <w:rsid w:val="00E70E89"/>
    <w:rsid w:val="00E70EF9"/>
    <w:rsid w:val="00E70F6F"/>
    <w:rsid w:val="00E711B6"/>
    <w:rsid w:val="00E711D0"/>
    <w:rsid w:val="00E711F1"/>
    <w:rsid w:val="00E7123D"/>
    <w:rsid w:val="00E7156F"/>
    <w:rsid w:val="00E71611"/>
    <w:rsid w:val="00E7169A"/>
    <w:rsid w:val="00E716F1"/>
    <w:rsid w:val="00E71838"/>
    <w:rsid w:val="00E71850"/>
    <w:rsid w:val="00E71A00"/>
    <w:rsid w:val="00E71B2B"/>
    <w:rsid w:val="00E71B65"/>
    <w:rsid w:val="00E71B85"/>
    <w:rsid w:val="00E71CED"/>
    <w:rsid w:val="00E71D45"/>
    <w:rsid w:val="00E71DDF"/>
    <w:rsid w:val="00E720AE"/>
    <w:rsid w:val="00E7228E"/>
    <w:rsid w:val="00E7257F"/>
    <w:rsid w:val="00E725FF"/>
    <w:rsid w:val="00E72650"/>
    <w:rsid w:val="00E727E4"/>
    <w:rsid w:val="00E7290D"/>
    <w:rsid w:val="00E72A38"/>
    <w:rsid w:val="00E72A67"/>
    <w:rsid w:val="00E72AEC"/>
    <w:rsid w:val="00E72B3B"/>
    <w:rsid w:val="00E72BB3"/>
    <w:rsid w:val="00E72C72"/>
    <w:rsid w:val="00E72CF7"/>
    <w:rsid w:val="00E72D5D"/>
    <w:rsid w:val="00E72F4F"/>
    <w:rsid w:val="00E7308F"/>
    <w:rsid w:val="00E7321E"/>
    <w:rsid w:val="00E734FD"/>
    <w:rsid w:val="00E7355A"/>
    <w:rsid w:val="00E735B6"/>
    <w:rsid w:val="00E736BB"/>
    <w:rsid w:val="00E737BE"/>
    <w:rsid w:val="00E7386C"/>
    <w:rsid w:val="00E738E0"/>
    <w:rsid w:val="00E73A70"/>
    <w:rsid w:val="00E73AB2"/>
    <w:rsid w:val="00E73AD1"/>
    <w:rsid w:val="00E73CB2"/>
    <w:rsid w:val="00E73D35"/>
    <w:rsid w:val="00E73EF2"/>
    <w:rsid w:val="00E74268"/>
    <w:rsid w:val="00E74381"/>
    <w:rsid w:val="00E743D8"/>
    <w:rsid w:val="00E7451F"/>
    <w:rsid w:val="00E74699"/>
    <w:rsid w:val="00E746B5"/>
    <w:rsid w:val="00E74765"/>
    <w:rsid w:val="00E74916"/>
    <w:rsid w:val="00E74BB0"/>
    <w:rsid w:val="00E74C9A"/>
    <w:rsid w:val="00E74D00"/>
    <w:rsid w:val="00E74D48"/>
    <w:rsid w:val="00E74F52"/>
    <w:rsid w:val="00E7509C"/>
    <w:rsid w:val="00E75152"/>
    <w:rsid w:val="00E751B7"/>
    <w:rsid w:val="00E75289"/>
    <w:rsid w:val="00E75400"/>
    <w:rsid w:val="00E75425"/>
    <w:rsid w:val="00E7550A"/>
    <w:rsid w:val="00E759B8"/>
    <w:rsid w:val="00E759BD"/>
    <w:rsid w:val="00E75B95"/>
    <w:rsid w:val="00E75C17"/>
    <w:rsid w:val="00E75C67"/>
    <w:rsid w:val="00E75D06"/>
    <w:rsid w:val="00E75D62"/>
    <w:rsid w:val="00E75D74"/>
    <w:rsid w:val="00E75D8F"/>
    <w:rsid w:val="00E75E24"/>
    <w:rsid w:val="00E75EE5"/>
    <w:rsid w:val="00E75FAA"/>
    <w:rsid w:val="00E7612F"/>
    <w:rsid w:val="00E761C2"/>
    <w:rsid w:val="00E76275"/>
    <w:rsid w:val="00E762AF"/>
    <w:rsid w:val="00E76665"/>
    <w:rsid w:val="00E76671"/>
    <w:rsid w:val="00E767AF"/>
    <w:rsid w:val="00E76AFB"/>
    <w:rsid w:val="00E76BB7"/>
    <w:rsid w:val="00E76BC0"/>
    <w:rsid w:val="00E76C09"/>
    <w:rsid w:val="00E76C2D"/>
    <w:rsid w:val="00E76C45"/>
    <w:rsid w:val="00E76CB0"/>
    <w:rsid w:val="00E76D4F"/>
    <w:rsid w:val="00E76DE6"/>
    <w:rsid w:val="00E76DEB"/>
    <w:rsid w:val="00E76F58"/>
    <w:rsid w:val="00E77524"/>
    <w:rsid w:val="00E775D1"/>
    <w:rsid w:val="00E77678"/>
    <w:rsid w:val="00E7770B"/>
    <w:rsid w:val="00E777ED"/>
    <w:rsid w:val="00E7783E"/>
    <w:rsid w:val="00E77840"/>
    <w:rsid w:val="00E779AD"/>
    <w:rsid w:val="00E77ABC"/>
    <w:rsid w:val="00E77C33"/>
    <w:rsid w:val="00E77CBD"/>
    <w:rsid w:val="00E77DB5"/>
    <w:rsid w:val="00E77E42"/>
    <w:rsid w:val="00E77F6A"/>
    <w:rsid w:val="00E8008E"/>
    <w:rsid w:val="00E80197"/>
    <w:rsid w:val="00E8020A"/>
    <w:rsid w:val="00E8025C"/>
    <w:rsid w:val="00E802FC"/>
    <w:rsid w:val="00E804CE"/>
    <w:rsid w:val="00E8054B"/>
    <w:rsid w:val="00E80575"/>
    <w:rsid w:val="00E80904"/>
    <w:rsid w:val="00E809D7"/>
    <w:rsid w:val="00E80A30"/>
    <w:rsid w:val="00E80AD7"/>
    <w:rsid w:val="00E80DFA"/>
    <w:rsid w:val="00E80E48"/>
    <w:rsid w:val="00E80E84"/>
    <w:rsid w:val="00E80F99"/>
    <w:rsid w:val="00E8102D"/>
    <w:rsid w:val="00E81287"/>
    <w:rsid w:val="00E813DD"/>
    <w:rsid w:val="00E81459"/>
    <w:rsid w:val="00E81521"/>
    <w:rsid w:val="00E81690"/>
    <w:rsid w:val="00E81710"/>
    <w:rsid w:val="00E81B27"/>
    <w:rsid w:val="00E81CFD"/>
    <w:rsid w:val="00E81D1E"/>
    <w:rsid w:val="00E81EF4"/>
    <w:rsid w:val="00E820F0"/>
    <w:rsid w:val="00E8216B"/>
    <w:rsid w:val="00E821D1"/>
    <w:rsid w:val="00E821F6"/>
    <w:rsid w:val="00E82253"/>
    <w:rsid w:val="00E82329"/>
    <w:rsid w:val="00E8241D"/>
    <w:rsid w:val="00E82426"/>
    <w:rsid w:val="00E824C5"/>
    <w:rsid w:val="00E8252A"/>
    <w:rsid w:val="00E82577"/>
    <w:rsid w:val="00E826E8"/>
    <w:rsid w:val="00E82744"/>
    <w:rsid w:val="00E8274E"/>
    <w:rsid w:val="00E82918"/>
    <w:rsid w:val="00E8294B"/>
    <w:rsid w:val="00E82AD0"/>
    <w:rsid w:val="00E82B6C"/>
    <w:rsid w:val="00E82C28"/>
    <w:rsid w:val="00E830CA"/>
    <w:rsid w:val="00E8311D"/>
    <w:rsid w:val="00E8318F"/>
    <w:rsid w:val="00E8321D"/>
    <w:rsid w:val="00E83302"/>
    <w:rsid w:val="00E833B3"/>
    <w:rsid w:val="00E833C3"/>
    <w:rsid w:val="00E83516"/>
    <w:rsid w:val="00E83541"/>
    <w:rsid w:val="00E8364C"/>
    <w:rsid w:val="00E83725"/>
    <w:rsid w:val="00E83761"/>
    <w:rsid w:val="00E83958"/>
    <w:rsid w:val="00E83A1F"/>
    <w:rsid w:val="00E83BE3"/>
    <w:rsid w:val="00E83CCF"/>
    <w:rsid w:val="00E83D96"/>
    <w:rsid w:val="00E83DD4"/>
    <w:rsid w:val="00E83FAC"/>
    <w:rsid w:val="00E840AC"/>
    <w:rsid w:val="00E840FD"/>
    <w:rsid w:val="00E84119"/>
    <w:rsid w:val="00E8413F"/>
    <w:rsid w:val="00E84178"/>
    <w:rsid w:val="00E841B3"/>
    <w:rsid w:val="00E842AE"/>
    <w:rsid w:val="00E842E4"/>
    <w:rsid w:val="00E843E3"/>
    <w:rsid w:val="00E84492"/>
    <w:rsid w:val="00E848A2"/>
    <w:rsid w:val="00E84927"/>
    <w:rsid w:val="00E84972"/>
    <w:rsid w:val="00E84CAC"/>
    <w:rsid w:val="00E84F1C"/>
    <w:rsid w:val="00E85380"/>
    <w:rsid w:val="00E853FE"/>
    <w:rsid w:val="00E85454"/>
    <w:rsid w:val="00E85565"/>
    <w:rsid w:val="00E8559F"/>
    <w:rsid w:val="00E8571F"/>
    <w:rsid w:val="00E8572A"/>
    <w:rsid w:val="00E857A9"/>
    <w:rsid w:val="00E858ED"/>
    <w:rsid w:val="00E85BA3"/>
    <w:rsid w:val="00E85CBC"/>
    <w:rsid w:val="00E85DF3"/>
    <w:rsid w:val="00E85E42"/>
    <w:rsid w:val="00E85E94"/>
    <w:rsid w:val="00E85F02"/>
    <w:rsid w:val="00E86164"/>
    <w:rsid w:val="00E861DA"/>
    <w:rsid w:val="00E864E6"/>
    <w:rsid w:val="00E8655C"/>
    <w:rsid w:val="00E8682C"/>
    <w:rsid w:val="00E868FE"/>
    <w:rsid w:val="00E86905"/>
    <w:rsid w:val="00E86A75"/>
    <w:rsid w:val="00E86AD4"/>
    <w:rsid w:val="00E86AF6"/>
    <w:rsid w:val="00E86B00"/>
    <w:rsid w:val="00E86D6C"/>
    <w:rsid w:val="00E86E95"/>
    <w:rsid w:val="00E86E96"/>
    <w:rsid w:val="00E86ED6"/>
    <w:rsid w:val="00E86F09"/>
    <w:rsid w:val="00E8703C"/>
    <w:rsid w:val="00E870D6"/>
    <w:rsid w:val="00E87135"/>
    <w:rsid w:val="00E87243"/>
    <w:rsid w:val="00E87353"/>
    <w:rsid w:val="00E873F8"/>
    <w:rsid w:val="00E87463"/>
    <w:rsid w:val="00E874DC"/>
    <w:rsid w:val="00E874FA"/>
    <w:rsid w:val="00E876E0"/>
    <w:rsid w:val="00E876F8"/>
    <w:rsid w:val="00E876FB"/>
    <w:rsid w:val="00E87863"/>
    <w:rsid w:val="00E87950"/>
    <w:rsid w:val="00E87A10"/>
    <w:rsid w:val="00E87B80"/>
    <w:rsid w:val="00E87BB9"/>
    <w:rsid w:val="00E87D70"/>
    <w:rsid w:val="00E87E0C"/>
    <w:rsid w:val="00E87F11"/>
    <w:rsid w:val="00E87F8F"/>
    <w:rsid w:val="00E90081"/>
    <w:rsid w:val="00E90101"/>
    <w:rsid w:val="00E90150"/>
    <w:rsid w:val="00E901AB"/>
    <w:rsid w:val="00E901DA"/>
    <w:rsid w:val="00E901F9"/>
    <w:rsid w:val="00E902EA"/>
    <w:rsid w:val="00E90329"/>
    <w:rsid w:val="00E904AA"/>
    <w:rsid w:val="00E904BD"/>
    <w:rsid w:val="00E90586"/>
    <w:rsid w:val="00E90678"/>
    <w:rsid w:val="00E907F1"/>
    <w:rsid w:val="00E90829"/>
    <w:rsid w:val="00E9083F"/>
    <w:rsid w:val="00E90854"/>
    <w:rsid w:val="00E909C4"/>
    <w:rsid w:val="00E90A54"/>
    <w:rsid w:val="00E90AE0"/>
    <w:rsid w:val="00E90CF8"/>
    <w:rsid w:val="00E90D8D"/>
    <w:rsid w:val="00E90DCE"/>
    <w:rsid w:val="00E90ED8"/>
    <w:rsid w:val="00E90EE1"/>
    <w:rsid w:val="00E90F19"/>
    <w:rsid w:val="00E90F85"/>
    <w:rsid w:val="00E91046"/>
    <w:rsid w:val="00E9104B"/>
    <w:rsid w:val="00E910E9"/>
    <w:rsid w:val="00E91335"/>
    <w:rsid w:val="00E913D4"/>
    <w:rsid w:val="00E91445"/>
    <w:rsid w:val="00E91446"/>
    <w:rsid w:val="00E916EB"/>
    <w:rsid w:val="00E91752"/>
    <w:rsid w:val="00E918BA"/>
    <w:rsid w:val="00E91923"/>
    <w:rsid w:val="00E91A1F"/>
    <w:rsid w:val="00E91A83"/>
    <w:rsid w:val="00E91B48"/>
    <w:rsid w:val="00E91CCC"/>
    <w:rsid w:val="00E91D17"/>
    <w:rsid w:val="00E91D42"/>
    <w:rsid w:val="00E91E18"/>
    <w:rsid w:val="00E91F04"/>
    <w:rsid w:val="00E91F28"/>
    <w:rsid w:val="00E91FBC"/>
    <w:rsid w:val="00E92113"/>
    <w:rsid w:val="00E92629"/>
    <w:rsid w:val="00E92656"/>
    <w:rsid w:val="00E9273B"/>
    <w:rsid w:val="00E9284E"/>
    <w:rsid w:val="00E92919"/>
    <w:rsid w:val="00E9299A"/>
    <w:rsid w:val="00E92A06"/>
    <w:rsid w:val="00E92A33"/>
    <w:rsid w:val="00E92BD5"/>
    <w:rsid w:val="00E92D05"/>
    <w:rsid w:val="00E92E52"/>
    <w:rsid w:val="00E92E9D"/>
    <w:rsid w:val="00E92EE3"/>
    <w:rsid w:val="00E93091"/>
    <w:rsid w:val="00E93158"/>
    <w:rsid w:val="00E93178"/>
    <w:rsid w:val="00E9317E"/>
    <w:rsid w:val="00E932DF"/>
    <w:rsid w:val="00E936EE"/>
    <w:rsid w:val="00E937EC"/>
    <w:rsid w:val="00E9387D"/>
    <w:rsid w:val="00E93A06"/>
    <w:rsid w:val="00E93B07"/>
    <w:rsid w:val="00E93B75"/>
    <w:rsid w:val="00E93B97"/>
    <w:rsid w:val="00E93BE0"/>
    <w:rsid w:val="00E93BF7"/>
    <w:rsid w:val="00E93D0B"/>
    <w:rsid w:val="00E93D2B"/>
    <w:rsid w:val="00E93DF1"/>
    <w:rsid w:val="00E93E9A"/>
    <w:rsid w:val="00E94043"/>
    <w:rsid w:val="00E940DF"/>
    <w:rsid w:val="00E94349"/>
    <w:rsid w:val="00E94372"/>
    <w:rsid w:val="00E945BB"/>
    <w:rsid w:val="00E94651"/>
    <w:rsid w:val="00E94704"/>
    <w:rsid w:val="00E94883"/>
    <w:rsid w:val="00E94A51"/>
    <w:rsid w:val="00E94E3E"/>
    <w:rsid w:val="00E94E7B"/>
    <w:rsid w:val="00E9505C"/>
    <w:rsid w:val="00E9514C"/>
    <w:rsid w:val="00E951E0"/>
    <w:rsid w:val="00E95229"/>
    <w:rsid w:val="00E95431"/>
    <w:rsid w:val="00E9544C"/>
    <w:rsid w:val="00E95482"/>
    <w:rsid w:val="00E95553"/>
    <w:rsid w:val="00E9556D"/>
    <w:rsid w:val="00E95649"/>
    <w:rsid w:val="00E9565A"/>
    <w:rsid w:val="00E956D3"/>
    <w:rsid w:val="00E957D6"/>
    <w:rsid w:val="00E95837"/>
    <w:rsid w:val="00E9584C"/>
    <w:rsid w:val="00E95878"/>
    <w:rsid w:val="00E95969"/>
    <w:rsid w:val="00E95A8D"/>
    <w:rsid w:val="00E95C86"/>
    <w:rsid w:val="00E95DE0"/>
    <w:rsid w:val="00E95E71"/>
    <w:rsid w:val="00E96318"/>
    <w:rsid w:val="00E9642B"/>
    <w:rsid w:val="00E9648F"/>
    <w:rsid w:val="00E96540"/>
    <w:rsid w:val="00E96557"/>
    <w:rsid w:val="00E96601"/>
    <w:rsid w:val="00E9667E"/>
    <w:rsid w:val="00E966DF"/>
    <w:rsid w:val="00E966E8"/>
    <w:rsid w:val="00E9675E"/>
    <w:rsid w:val="00E96814"/>
    <w:rsid w:val="00E968D1"/>
    <w:rsid w:val="00E96960"/>
    <w:rsid w:val="00E96A80"/>
    <w:rsid w:val="00E96A9D"/>
    <w:rsid w:val="00E96AE2"/>
    <w:rsid w:val="00E96B6B"/>
    <w:rsid w:val="00E96BBA"/>
    <w:rsid w:val="00E96F91"/>
    <w:rsid w:val="00E96FB6"/>
    <w:rsid w:val="00E96FF2"/>
    <w:rsid w:val="00E97136"/>
    <w:rsid w:val="00E9716D"/>
    <w:rsid w:val="00E9720B"/>
    <w:rsid w:val="00E9722F"/>
    <w:rsid w:val="00E974C7"/>
    <w:rsid w:val="00E974F7"/>
    <w:rsid w:val="00E97548"/>
    <w:rsid w:val="00E97585"/>
    <w:rsid w:val="00E97685"/>
    <w:rsid w:val="00E976E1"/>
    <w:rsid w:val="00E976E4"/>
    <w:rsid w:val="00E976F2"/>
    <w:rsid w:val="00E97C80"/>
    <w:rsid w:val="00E97D2A"/>
    <w:rsid w:val="00E97E0C"/>
    <w:rsid w:val="00E97E1D"/>
    <w:rsid w:val="00E97EEC"/>
    <w:rsid w:val="00EA00BD"/>
    <w:rsid w:val="00EA00ED"/>
    <w:rsid w:val="00EA0139"/>
    <w:rsid w:val="00EA0279"/>
    <w:rsid w:val="00EA0285"/>
    <w:rsid w:val="00EA02E9"/>
    <w:rsid w:val="00EA030C"/>
    <w:rsid w:val="00EA035F"/>
    <w:rsid w:val="00EA0398"/>
    <w:rsid w:val="00EA06B6"/>
    <w:rsid w:val="00EA076C"/>
    <w:rsid w:val="00EA077E"/>
    <w:rsid w:val="00EA07D0"/>
    <w:rsid w:val="00EA07F1"/>
    <w:rsid w:val="00EA0837"/>
    <w:rsid w:val="00EA0857"/>
    <w:rsid w:val="00EA08F4"/>
    <w:rsid w:val="00EA090B"/>
    <w:rsid w:val="00EA09CB"/>
    <w:rsid w:val="00EA09D6"/>
    <w:rsid w:val="00EA0AB4"/>
    <w:rsid w:val="00EA0BEB"/>
    <w:rsid w:val="00EA0E9C"/>
    <w:rsid w:val="00EA0F28"/>
    <w:rsid w:val="00EA0F2D"/>
    <w:rsid w:val="00EA0F6A"/>
    <w:rsid w:val="00EA1131"/>
    <w:rsid w:val="00EA114B"/>
    <w:rsid w:val="00EA1250"/>
    <w:rsid w:val="00EA12E5"/>
    <w:rsid w:val="00EA137C"/>
    <w:rsid w:val="00EA139A"/>
    <w:rsid w:val="00EA159D"/>
    <w:rsid w:val="00EA16CF"/>
    <w:rsid w:val="00EA1711"/>
    <w:rsid w:val="00EA1739"/>
    <w:rsid w:val="00EA180B"/>
    <w:rsid w:val="00EA181B"/>
    <w:rsid w:val="00EA1954"/>
    <w:rsid w:val="00EA19DF"/>
    <w:rsid w:val="00EA1A96"/>
    <w:rsid w:val="00EA1AFE"/>
    <w:rsid w:val="00EA1B83"/>
    <w:rsid w:val="00EA1C4D"/>
    <w:rsid w:val="00EA215D"/>
    <w:rsid w:val="00EA2615"/>
    <w:rsid w:val="00EA26D7"/>
    <w:rsid w:val="00EA27E7"/>
    <w:rsid w:val="00EA2801"/>
    <w:rsid w:val="00EA28A6"/>
    <w:rsid w:val="00EA299A"/>
    <w:rsid w:val="00EA2A6F"/>
    <w:rsid w:val="00EA2BFA"/>
    <w:rsid w:val="00EA2C6D"/>
    <w:rsid w:val="00EA2C95"/>
    <w:rsid w:val="00EA2D96"/>
    <w:rsid w:val="00EA2EDB"/>
    <w:rsid w:val="00EA2F7F"/>
    <w:rsid w:val="00EA2F91"/>
    <w:rsid w:val="00EA2FB0"/>
    <w:rsid w:val="00EA2FE2"/>
    <w:rsid w:val="00EA3064"/>
    <w:rsid w:val="00EA30BB"/>
    <w:rsid w:val="00EA30E7"/>
    <w:rsid w:val="00EA3168"/>
    <w:rsid w:val="00EA31C5"/>
    <w:rsid w:val="00EA31D4"/>
    <w:rsid w:val="00EA31EE"/>
    <w:rsid w:val="00EA3270"/>
    <w:rsid w:val="00EA3279"/>
    <w:rsid w:val="00EA33A1"/>
    <w:rsid w:val="00EA349A"/>
    <w:rsid w:val="00EA3572"/>
    <w:rsid w:val="00EA3703"/>
    <w:rsid w:val="00EA38FB"/>
    <w:rsid w:val="00EA391E"/>
    <w:rsid w:val="00EA3ACA"/>
    <w:rsid w:val="00EA3AF8"/>
    <w:rsid w:val="00EA3CEA"/>
    <w:rsid w:val="00EA3D36"/>
    <w:rsid w:val="00EA3E5E"/>
    <w:rsid w:val="00EA3EED"/>
    <w:rsid w:val="00EA3F2B"/>
    <w:rsid w:val="00EA3F41"/>
    <w:rsid w:val="00EA3FB2"/>
    <w:rsid w:val="00EA4036"/>
    <w:rsid w:val="00EA404A"/>
    <w:rsid w:val="00EA416E"/>
    <w:rsid w:val="00EA4222"/>
    <w:rsid w:val="00EA4269"/>
    <w:rsid w:val="00EA4851"/>
    <w:rsid w:val="00EA4875"/>
    <w:rsid w:val="00EA487D"/>
    <w:rsid w:val="00EA48D7"/>
    <w:rsid w:val="00EA4948"/>
    <w:rsid w:val="00EA4BEF"/>
    <w:rsid w:val="00EA4CFF"/>
    <w:rsid w:val="00EA4D4A"/>
    <w:rsid w:val="00EA5031"/>
    <w:rsid w:val="00EA50C6"/>
    <w:rsid w:val="00EA52C9"/>
    <w:rsid w:val="00EA5333"/>
    <w:rsid w:val="00EA5347"/>
    <w:rsid w:val="00EA5630"/>
    <w:rsid w:val="00EA5744"/>
    <w:rsid w:val="00EA57F0"/>
    <w:rsid w:val="00EA5846"/>
    <w:rsid w:val="00EA58CD"/>
    <w:rsid w:val="00EA58D7"/>
    <w:rsid w:val="00EA5929"/>
    <w:rsid w:val="00EA5932"/>
    <w:rsid w:val="00EA599D"/>
    <w:rsid w:val="00EA59DE"/>
    <w:rsid w:val="00EA5A2B"/>
    <w:rsid w:val="00EA5A43"/>
    <w:rsid w:val="00EA5A86"/>
    <w:rsid w:val="00EA5BA5"/>
    <w:rsid w:val="00EA5BAC"/>
    <w:rsid w:val="00EA5F38"/>
    <w:rsid w:val="00EA61D1"/>
    <w:rsid w:val="00EA62A6"/>
    <w:rsid w:val="00EA62BA"/>
    <w:rsid w:val="00EA65A1"/>
    <w:rsid w:val="00EA65AD"/>
    <w:rsid w:val="00EA66C4"/>
    <w:rsid w:val="00EA66EE"/>
    <w:rsid w:val="00EA6728"/>
    <w:rsid w:val="00EA6837"/>
    <w:rsid w:val="00EA699A"/>
    <w:rsid w:val="00EA69A1"/>
    <w:rsid w:val="00EA6AC2"/>
    <w:rsid w:val="00EA6AEE"/>
    <w:rsid w:val="00EA6B32"/>
    <w:rsid w:val="00EA6B38"/>
    <w:rsid w:val="00EA6B8A"/>
    <w:rsid w:val="00EA6BE6"/>
    <w:rsid w:val="00EA6CCF"/>
    <w:rsid w:val="00EA6D19"/>
    <w:rsid w:val="00EA6D32"/>
    <w:rsid w:val="00EA6DAC"/>
    <w:rsid w:val="00EA6E35"/>
    <w:rsid w:val="00EA6E3B"/>
    <w:rsid w:val="00EA6E95"/>
    <w:rsid w:val="00EA6EEB"/>
    <w:rsid w:val="00EA6F72"/>
    <w:rsid w:val="00EA6FE6"/>
    <w:rsid w:val="00EA71E9"/>
    <w:rsid w:val="00EA726E"/>
    <w:rsid w:val="00EA727C"/>
    <w:rsid w:val="00EA72F6"/>
    <w:rsid w:val="00EA75DB"/>
    <w:rsid w:val="00EA7771"/>
    <w:rsid w:val="00EA778A"/>
    <w:rsid w:val="00EA7818"/>
    <w:rsid w:val="00EA791D"/>
    <w:rsid w:val="00EA791E"/>
    <w:rsid w:val="00EA79D6"/>
    <w:rsid w:val="00EA7A53"/>
    <w:rsid w:val="00EA7A73"/>
    <w:rsid w:val="00EA7B1A"/>
    <w:rsid w:val="00EA7B20"/>
    <w:rsid w:val="00EA7F93"/>
    <w:rsid w:val="00EA7FB9"/>
    <w:rsid w:val="00EA7FC7"/>
    <w:rsid w:val="00EB01AB"/>
    <w:rsid w:val="00EB01FE"/>
    <w:rsid w:val="00EB0289"/>
    <w:rsid w:val="00EB0474"/>
    <w:rsid w:val="00EB056A"/>
    <w:rsid w:val="00EB0624"/>
    <w:rsid w:val="00EB074B"/>
    <w:rsid w:val="00EB0751"/>
    <w:rsid w:val="00EB07BC"/>
    <w:rsid w:val="00EB088B"/>
    <w:rsid w:val="00EB0927"/>
    <w:rsid w:val="00EB09D7"/>
    <w:rsid w:val="00EB0A63"/>
    <w:rsid w:val="00EB0C00"/>
    <w:rsid w:val="00EB0D02"/>
    <w:rsid w:val="00EB0ECB"/>
    <w:rsid w:val="00EB0EE2"/>
    <w:rsid w:val="00EB1095"/>
    <w:rsid w:val="00EB1142"/>
    <w:rsid w:val="00EB1219"/>
    <w:rsid w:val="00EB122C"/>
    <w:rsid w:val="00EB1245"/>
    <w:rsid w:val="00EB1342"/>
    <w:rsid w:val="00EB14E5"/>
    <w:rsid w:val="00EB14EE"/>
    <w:rsid w:val="00EB1600"/>
    <w:rsid w:val="00EB1663"/>
    <w:rsid w:val="00EB1759"/>
    <w:rsid w:val="00EB1892"/>
    <w:rsid w:val="00EB18E3"/>
    <w:rsid w:val="00EB1AC5"/>
    <w:rsid w:val="00EB1B09"/>
    <w:rsid w:val="00EB1B1E"/>
    <w:rsid w:val="00EB1CDE"/>
    <w:rsid w:val="00EB1E8B"/>
    <w:rsid w:val="00EB2073"/>
    <w:rsid w:val="00EB2092"/>
    <w:rsid w:val="00EB211D"/>
    <w:rsid w:val="00EB237F"/>
    <w:rsid w:val="00EB239D"/>
    <w:rsid w:val="00EB26DE"/>
    <w:rsid w:val="00EB271D"/>
    <w:rsid w:val="00EB2827"/>
    <w:rsid w:val="00EB285F"/>
    <w:rsid w:val="00EB2902"/>
    <w:rsid w:val="00EB2BEE"/>
    <w:rsid w:val="00EB2C27"/>
    <w:rsid w:val="00EB2D12"/>
    <w:rsid w:val="00EB2D2F"/>
    <w:rsid w:val="00EB2E0A"/>
    <w:rsid w:val="00EB2ECE"/>
    <w:rsid w:val="00EB2ED6"/>
    <w:rsid w:val="00EB2F2C"/>
    <w:rsid w:val="00EB2FD6"/>
    <w:rsid w:val="00EB31AD"/>
    <w:rsid w:val="00EB31B8"/>
    <w:rsid w:val="00EB3690"/>
    <w:rsid w:val="00EB36B5"/>
    <w:rsid w:val="00EB3750"/>
    <w:rsid w:val="00EB399B"/>
    <w:rsid w:val="00EB3C24"/>
    <w:rsid w:val="00EB3C4C"/>
    <w:rsid w:val="00EB3DE5"/>
    <w:rsid w:val="00EB3EBB"/>
    <w:rsid w:val="00EB3FF4"/>
    <w:rsid w:val="00EB40F9"/>
    <w:rsid w:val="00EB421F"/>
    <w:rsid w:val="00EB4251"/>
    <w:rsid w:val="00EB42CE"/>
    <w:rsid w:val="00EB4373"/>
    <w:rsid w:val="00EB437B"/>
    <w:rsid w:val="00EB43AA"/>
    <w:rsid w:val="00EB4407"/>
    <w:rsid w:val="00EB4494"/>
    <w:rsid w:val="00EB4609"/>
    <w:rsid w:val="00EB4923"/>
    <w:rsid w:val="00EB4954"/>
    <w:rsid w:val="00EB495F"/>
    <w:rsid w:val="00EB4972"/>
    <w:rsid w:val="00EB4B07"/>
    <w:rsid w:val="00EB4B4D"/>
    <w:rsid w:val="00EB4BED"/>
    <w:rsid w:val="00EB4D20"/>
    <w:rsid w:val="00EB4D52"/>
    <w:rsid w:val="00EB4DAC"/>
    <w:rsid w:val="00EB4DF0"/>
    <w:rsid w:val="00EB50B6"/>
    <w:rsid w:val="00EB51A3"/>
    <w:rsid w:val="00EB52C0"/>
    <w:rsid w:val="00EB54A2"/>
    <w:rsid w:val="00EB54DD"/>
    <w:rsid w:val="00EB561A"/>
    <w:rsid w:val="00EB5686"/>
    <w:rsid w:val="00EB5703"/>
    <w:rsid w:val="00EB5762"/>
    <w:rsid w:val="00EB5846"/>
    <w:rsid w:val="00EB594E"/>
    <w:rsid w:val="00EB59E2"/>
    <w:rsid w:val="00EB5BE9"/>
    <w:rsid w:val="00EB5CB1"/>
    <w:rsid w:val="00EB5D4D"/>
    <w:rsid w:val="00EB5DBB"/>
    <w:rsid w:val="00EB5DE4"/>
    <w:rsid w:val="00EB5E36"/>
    <w:rsid w:val="00EB5FA2"/>
    <w:rsid w:val="00EB6041"/>
    <w:rsid w:val="00EB60E8"/>
    <w:rsid w:val="00EB6103"/>
    <w:rsid w:val="00EB614B"/>
    <w:rsid w:val="00EB6193"/>
    <w:rsid w:val="00EB61D6"/>
    <w:rsid w:val="00EB626E"/>
    <w:rsid w:val="00EB62F5"/>
    <w:rsid w:val="00EB6327"/>
    <w:rsid w:val="00EB63C7"/>
    <w:rsid w:val="00EB64BF"/>
    <w:rsid w:val="00EB651D"/>
    <w:rsid w:val="00EB68C8"/>
    <w:rsid w:val="00EB6927"/>
    <w:rsid w:val="00EB6A40"/>
    <w:rsid w:val="00EB6AA2"/>
    <w:rsid w:val="00EB6C28"/>
    <w:rsid w:val="00EB6D79"/>
    <w:rsid w:val="00EB6DAF"/>
    <w:rsid w:val="00EB6DC5"/>
    <w:rsid w:val="00EB6E54"/>
    <w:rsid w:val="00EB6F29"/>
    <w:rsid w:val="00EB6F91"/>
    <w:rsid w:val="00EB70C7"/>
    <w:rsid w:val="00EB7219"/>
    <w:rsid w:val="00EB72BF"/>
    <w:rsid w:val="00EB7426"/>
    <w:rsid w:val="00EB7485"/>
    <w:rsid w:val="00EB7525"/>
    <w:rsid w:val="00EB7553"/>
    <w:rsid w:val="00EB768C"/>
    <w:rsid w:val="00EB776B"/>
    <w:rsid w:val="00EB7801"/>
    <w:rsid w:val="00EB790F"/>
    <w:rsid w:val="00EB7979"/>
    <w:rsid w:val="00EB7A7E"/>
    <w:rsid w:val="00EB7B88"/>
    <w:rsid w:val="00EB7C47"/>
    <w:rsid w:val="00EB7D05"/>
    <w:rsid w:val="00EB7D39"/>
    <w:rsid w:val="00EB7EE6"/>
    <w:rsid w:val="00EB7FDE"/>
    <w:rsid w:val="00EC00E8"/>
    <w:rsid w:val="00EC0153"/>
    <w:rsid w:val="00EC0226"/>
    <w:rsid w:val="00EC03EA"/>
    <w:rsid w:val="00EC04BD"/>
    <w:rsid w:val="00EC0527"/>
    <w:rsid w:val="00EC0595"/>
    <w:rsid w:val="00EC064B"/>
    <w:rsid w:val="00EC0677"/>
    <w:rsid w:val="00EC06E5"/>
    <w:rsid w:val="00EC0955"/>
    <w:rsid w:val="00EC0A42"/>
    <w:rsid w:val="00EC0ACD"/>
    <w:rsid w:val="00EC0AED"/>
    <w:rsid w:val="00EC0BAE"/>
    <w:rsid w:val="00EC0C4C"/>
    <w:rsid w:val="00EC0D31"/>
    <w:rsid w:val="00EC0D4C"/>
    <w:rsid w:val="00EC0F6C"/>
    <w:rsid w:val="00EC1107"/>
    <w:rsid w:val="00EC11E4"/>
    <w:rsid w:val="00EC12C6"/>
    <w:rsid w:val="00EC13C8"/>
    <w:rsid w:val="00EC1433"/>
    <w:rsid w:val="00EC1487"/>
    <w:rsid w:val="00EC15C7"/>
    <w:rsid w:val="00EC170C"/>
    <w:rsid w:val="00EC18B6"/>
    <w:rsid w:val="00EC18F8"/>
    <w:rsid w:val="00EC1904"/>
    <w:rsid w:val="00EC1973"/>
    <w:rsid w:val="00EC1A54"/>
    <w:rsid w:val="00EC1AAF"/>
    <w:rsid w:val="00EC1CAA"/>
    <w:rsid w:val="00EC1D45"/>
    <w:rsid w:val="00EC1DEE"/>
    <w:rsid w:val="00EC1E75"/>
    <w:rsid w:val="00EC1F57"/>
    <w:rsid w:val="00EC1F69"/>
    <w:rsid w:val="00EC2229"/>
    <w:rsid w:val="00EC2377"/>
    <w:rsid w:val="00EC2407"/>
    <w:rsid w:val="00EC241F"/>
    <w:rsid w:val="00EC25E4"/>
    <w:rsid w:val="00EC2760"/>
    <w:rsid w:val="00EC2869"/>
    <w:rsid w:val="00EC293F"/>
    <w:rsid w:val="00EC2A7A"/>
    <w:rsid w:val="00EC2BBF"/>
    <w:rsid w:val="00EC2D7F"/>
    <w:rsid w:val="00EC2E0E"/>
    <w:rsid w:val="00EC2FF7"/>
    <w:rsid w:val="00EC3031"/>
    <w:rsid w:val="00EC3069"/>
    <w:rsid w:val="00EC32BC"/>
    <w:rsid w:val="00EC3336"/>
    <w:rsid w:val="00EC34C6"/>
    <w:rsid w:val="00EC3550"/>
    <w:rsid w:val="00EC3564"/>
    <w:rsid w:val="00EC357C"/>
    <w:rsid w:val="00EC370C"/>
    <w:rsid w:val="00EC3724"/>
    <w:rsid w:val="00EC3821"/>
    <w:rsid w:val="00EC3829"/>
    <w:rsid w:val="00EC39C6"/>
    <w:rsid w:val="00EC39EF"/>
    <w:rsid w:val="00EC3A81"/>
    <w:rsid w:val="00EC3B10"/>
    <w:rsid w:val="00EC3B80"/>
    <w:rsid w:val="00EC3C80"/>
    <w:rsid w:val="00EC3CB9"/>
    <w:rsid w:val="00EC3F78"/>
    <w:rsid w:val="00EC403D"/>
    <w:rsid w:val="00EC4051"/>
    <w:rsid w:val="00EC4052"/>
    <w:rsid w:val="00EC42E6"/>
    <w:rsid w:val="00EC44CB"/>
    <w:rsid w:val="00EC4695"/>
    <w:rsid w:val="00EC47FA"/>
    <w:rsid w:val="00EC4928"/>
    <w:rsid w:val="00EC4995"/>
    <w:rsid w:val="00EC4A84"/>
    <w:rsid w:val="00EC4B5F"/>
    <w:rsid w:val="00EC4CE8"/>
    <w:rsid w:val="00EC4D3D"/>
    <w:rsid w:val="00EC4DA2"/>
    <w:rsid w:val="00EC4DA4"/>
    <w:rsid w:val="00EC4E94"/>
    <w:rsid w:val="00EC4EEC"/>
    <w:rsid w:val="00EC52A1"/>
    <w:rsid w:val="00EC53EA"/>
    <w:rsid w:val="00EC5467"/>
    <w:rsid w:val="00EC5588"/>
    <w:rsid w:val="00EC56C3"/>
    <w:rsid w:val="00EC57D4"/>
    <w:rsid w:val="00EC57DA"/>
    <w:rsid w:val="00EC591F"/>
    <w:rsid w:val="00EC5A3E"/>
    <w:rsid w:val="00EC5B24"/>
    <w:rsid w:val="00EC5B2A"/>
    <w:rsid w:val="00EC5B72"/>
    <w:rsid w:val="00EC5C16"/>
    <w:rsid w:val="00EC5C5B"/>
    <w:rsid w:val="00EC5C66"/>
    <w:rsid w:val="00EC5DD5"/>
    <w:rsid w:val="00EC5EA2"/>
    <w:rsid w:val="00EC5EFF"/>
    <w:rsid w:val="00EC607A"/>
    <w:rsid w:val="00EC60DF"/>
    <w:rsid w:val="00EC6296"/>
    <w:rsid w:val="00EC64E9"/>
    <w:rsid w:val="00EC65BF"/>
    <w:rsid w:val="00EC6752"/>
    <w:rsid w:val="00EC6781"/>
    <w:rsid w:val="00EC67D5"/>
    <w:rsid w:val="00EC6819"/>
    <w:rsid w:val="00EC68DE"/>
    <w:rsid w:val="00EC69AD"/>
    <w:rsid w:val="00EC6A24"/>
    <w:rsid w:val="00EC6B4D"/>
    <w:rsid w:val="00EC6BD3"/>
    <w:rsid w:val="00EC6CDA"/>
    <w:rsid w:val="00EC6D0A"/>
    <w:rsid w:val="00EC6E5D"/>
    <w:rsid w:val="00EC6EE2"/>
    <w:rsid w:val="00EC6F1B"/>
    <w:rsid w:val="00EC6F68"/>
    <w:rsid w:val="00EC718A"/>
    <w:rsid w:val="00EC7246"/>
    <w:rsid w:val="00EC72A5"/>
    <w:rsid w:val="00EC72FE"/>
    <w:rsid w:val="00EC743E"/>
    <w:rsid w:val="00EC7506"/>
    <w:rsid w:val="00EC7593"/>
    <w:rsid w:val="00EC759B"/>
    <w:rsid w:val="00EC760D"/>
    <w:rsid w:val="00EC7615"/>
    <w:rsid w:val="00EC76E3"/>
    <w:rsid w:val="00EC781B"/>
    <w:rsid w:val="00EC790F"/>
    <w:rsid w:val="00EC79A4"/>
    <w:rsid w:val="00EC7A3D"/>
    <w:rsid w:val="00EC7A60"/>
    <w:rsid w:val="00EC7A84"/>
    <w:rsid w:val="00EC7AB9"/>
    <w:rsid w:val="00EC7AE6"/>
    <w:rsid w:val="00EC7C23"/>
    <w:rsid w:val="00EC7C2B"/>
    <w:rsid w:val="00EC7C40"/>
    <w:rsid w:val="00EC7CFE"/>
    <w:rsid w:val="00EC7D17"/>
    <w:rsid w:val="00EC7D59"/>
    <w:rsid w:val="00EC7F80"/>
    <w:rsid w:val="00ED0052"/>
    <w:rsid w:val="00ED0068"/>
    <w:rsid w:val="00ED0070"/>
    <w:rsid w:val="00ED0105"/>
    <w:rsid w:val="00ED01E6"/>
    <w:rsid w:val="00ED025B"/>
    <w:rsid w:val="00ED02E9"/>
    <w:rsid w:val="00ED0303"/>
    <w:rsid w:val="00ED04BF"/>
    <w:rsid w:val="00ED04C3"/>
    <w:rsid w:val="00ED05A1"/>
    <w:rsid w:val="00ED0635"/>
    <w:rsid w:val="00ED06FB"/>
    <w:rsid w:val="00ED07FD"/>
    <w:rsid w:val="00ED0941"/>
    <w:rsid w:val="00ED096E"/>
    <w:rsid w:val="00ED0A8F"/>
    <w:rsid w:val="00ED0A91"/>
    <w:rsid w:val="00ED0B47"/>
    <w:rsid w:val="00ED0BDC"/>
    <w:rsid w:val="00ED0C48"/>
    <w:rsid w:val="00ED0C6C"/>
    <w:rsid w:val="00ED0D04"/>
    <w:rsid w:val="00ED0D8C"/>
    <w:rsid w:val="00ED0EA5"/>
    <w:rsid w:val="00ED0EFC"/>
    <w:rsid w:val="00ED0F9D"/>
    <w:rsid w:val="00ED0FFC"/>
    <w:rsid w:val="00ED106A"/>
    <w:rsid w:val="00ED10B4"/>
    <w:rsid w:val="00ED1297"/>
    <w:rsid w:val="00ED12A7"/>
    <w:rsid w:val="00ED13A5"/>
    <w:rsid w:val="00ED1554"/>
    <w:rsid w:val="00ED15F9"/>
    <w:rsid w:val="00ED1716"/>
    <w:rsid w:val="00ED18A4"/>
    <w:rsid w:val="00ED18C2"/>
    <w:rsid w:val="00ED1A9A"/>
    <w:rsid w:val="00ED1BAF"/>
    <w:rsid w:val="00ED1E25"/>
    <w:rsid w:val="00ED1ED1"/>
    <w:rsid w:val="00ED204C"/>
    <w:rsid w:val="00ED2237"/>
    <w:rsid w:val="00ED2295"/>
    <w:rsid w:val="00ED2413"/>
    <w:rsid w:val="00ED24C6"/>
    <w:rsid w:val="00ED24EF"/>
    <w:rsid w:val="00ED2531"/>
    <w:rsid w:val="00ED26D6"/>
    <w:rsid w:val="00ED2A2A"/>
    <w:rsid w:val="00ED2B50"/>
    <w:rsid w:val="00ED2CA6"/>
    <w:rsid w:val="00ED2CC6"/>
    <w:rsid w:val="00ED2D1F"/>
    <w:rsid w:val="00ED2D64"/>
    <w:rsid w:val="00ED2DE2"/>
    <w:rsid w:val="00ED2DE4"/>
    <w:rsid w:val="00ED2E64"/>
    <w:rsid w:val="00ED2F5E"/>
    <w:rsid w:val="00ED304B"/>
    <w:rsid w:val="00ED30A6"/>
    <w:rsid w:val="00ED31B8"/>
    <w:rsid w:val="00ED3213"/>
    <w:rsid w:val="00ED3267"/>
    <w:rsid w:val="00ED342A"/>
    <w:rsid w:val="00ED3462"/>
    <w:rsid w:val="00ED3485"/>
    <w:rsid w:val="00ED3585"/>
    <w:rsid w:val="00ED38A1"/>
    <w:rsid w:val="00ED3AAB"/>
    <w:rsid w:val="00ED3B06"/>
    <w:rsid w:val="00ED3B24"/>
    <w:rsid w:val="00ED3B9A"/>
    <w:rsid w:val="00ED3CBB"/>
    <w:rsid w:val="00ED3E87"/>
    <w:rsid w:val="00ED3EA8"/>
    <w:rsid w:val="00ED3EB1"/>
    <w:rsid w:val="00ED3EE0"/>
    <w:rsid w:val="00ED3F26"/>
    <w:rsid w:val="00ED3FCF"/>
    <w:rsid w:val="00ED403C"/>
    <w:rsid w:val="00ED40DA"/>
    <w:rsid w:val="00ED4115"/>
    <w:rsid w:val="00ED419D"/>
    <w:rsid w:val="00ED422A"/>
    <w:rsid w:val="00ED4254"/>
    <w:rsid w:val="00ED4262"/>
    <w:rsid w:val="00ED42C0"/>
    <w:rsid w:val="00ED4309"/>
    <w:rsid w:val="00ED438F"/>
    <w:rsid w:val="00ED44D3"/>
    <w:rsid w:val="00ED450C"/>
    <w:rsid w:val="00ED4525"/>
    <w:rsid w:val="00ED460B"/>
    <w:rsid w:val="00ED4652"/>
    <w:rsid w:val="00ED4711"/>
    <w:rsid w:val="00ED49D9"/>
    <w:rsid w:val="00ED4A19"/>
    <w:rsid w:val="00ED4A7A"/>
    <w:rsid w:val="00ED4B3A"/>
    <w:rsid w:val="00ED4C54"/>
    <w:rsid w:val="00ED4E3E"/>
    <w:rsid w:val="00ED4E40"/>
    <w:rsid w:val="00ED4E4A"/>
    <w:rsid w:val="00ED4F0C"/>
    <w:rsid w:val="00ED4F1E"/>
    <w:rsid w:val="00ED4FCE"/>
    <w:rsid w:val="00ED5158"/>
    <w:rsid w:val="00ED518C"/>
    <w:rsid w:val="00ED51D4"/>
    <w:rsid w:val="00ED526C"/>
    <w:rsid w:val="00ED5279"/>
    <w:rsid w:val="00ED52EC"/>
    <w:rsid w:val="00ED536A"/>
    <w:rsid w:val="00ED5436"/>
    <w:rsid w:val="00ED545E"/>
    <w:rsid w:val="00ED5504"/>
    <w:rsid w:val="00ED5617"/>
    <w:rsid w:val="00ED5733"/>
    <w:rsid w:val="00ED584A"/>
    <w:rsid w:val="00ED595C"/>
    <w:rsid w:val="00ED5B41"/>
    <w:rsid w:val="00ED5B95"/>
    <w:rsid w:val="00ED5BD6"/>
    <w:rsid w:val="00ED5E01"/>
    <w:rsid w:val="00ED5EC4"/>
    <w:rsid w:val="00ED5F49"/>
    <w:rsid w:val="00ED6045"/>
    <w:rsid w:val="00ED6307"/>
    <w:rsid w:val="00ED633E"/>
    <w:rsid w:val="00ED674A"/>
    <w:rsid w:val="00ED685B"/>
    <w:rsid w:val="00ED691B"/>
    <w:rsid w:val="00ED6A15"/>
    <w:rsid w:val="00ED6B10"/>
    <w:rsid w:val="00ED6B1C"/>
    <w:rsid w:val="00ED6DC7"/>
    <w:rsid w:val="00ED6E84"/>
    <w:rsid w:val="00ED6EC6"/>
    <w:rsid w:val="00ED71F7"/>
    <w:rsid w:val="00ED72DA"/>
    <w:rsid w:val="00ED7310"/>
    <w:rsid w:val="00ED7430"/>
    <w:rsid w:val="00ED74F6"/>
    <w:rsid w:val="00ED778E"/>
    <w:rsid w:val="00ED798E"/>
    <w:rsid w:val="00ED7A4E"/>
    <w:rsid w:val="00ED7A7B"/>
    <w:rsid w:val="00ED7ADA"/>
    <w:rsid w:val="00ED7C8A"/>
    <w:rsid w:val="00ED7CB3"/>
    <w:rsid w:val="00ED7EDB"/>
    <w:rsid w:val="00ED7EEF"/>
    <w:rsid w:val="00ED7F53"/>
    <w:rsid w:val="00ED7FC6"/>
    <w:rsid w:val="00EE000A"/>
    <w:rsid w:val="00EE006C"/>
    <w:rsid w:val="00EE0086"/>
    <w:rsid w:val="00EE0169"/>
    <w:rsid w:val="00EE01CD"/>
    <w:rsid w:val="00EE01FD"/>
    <w:rsid w:val="00EE024C"/>
    <w:rsid w:val="00EE02B6"/>
    <w:rsid w:val="00EE0316"/>
    <w:rsid w:val="00EE0398"/>
    <w:rsid w:val="00EE03C6"/>
    <w:rsid w:val="00EE0411"/>
    <w:rsid w:val="00EE0755"/>
    <w:rsid w:val="00EE08A3"/>
    <w:rsid w:val="00EE0981"/>
    <w:rsid w:val="00EE0BCA"/>
    <w:rsid w:val="00EE0D68"/>
    <w:rsid w:val="00EE0EBE"/>
    <w:rsid w:val="00EE0EE6"/>
    <w:rsid w:val="00EE1075"/>
    <w:rsid w:val="00EE111D"/>
    <w:rsid w:val="00EE1135"/>
    <w:rsid w:val="00EE1181"/>
    <w:rsid w:val="00EE1267"/>
    <w:rsid w:val="00EE1315"/>
    <w:rsid w:val="00EE14A8"/>
    <w:rsid w:val="00EE156F"/>
    <w:rsid w:val="00EE1735"/>
    <w:rsid w:val="00EE1773"/>
    <w:rsid w:val="00EE17CD"/>
    <w:rsid w:val="00EE1872"/>
    <w:rsid w:val="00EE18B0"/>
    <w:rsid w:val="00EE19A7"/>
    <w:rsid w:val="00EE1A0B"/>
    <w:rsid w:val="00EE1AA4"/>
    <w:rsid w:val="00EE1ABA"/>
    <w:rsid w:val="00EE1ADF"/>
    <w:rsid w:val="00EE1BEA"/>
    <w:rsid w:val="00EE1CE1"/>
    <w:rsid w:val="00EE1EA3"/>
    <w:rsid w:val="00EE200C"/>
    <w:rsid w:val="00EE2146"/>
    <w:rsid w:val="00EE223D"/>
    <w:rsid w:val="00EE2440"/>
    <w:rsid w:val="00EE2537"/>
    <w:rsid w:val="00EE2570"/>
    <w:rsid w:val="00EE26D8"/>
    <w:rsid w:val="00EE27CD"/>
    <w:rsid w:val="00EE2801"/>
    <w:rsid w:val="00EE2867"/>
    <w:rsid w:val="00EE28B6"/>
    <w:rsid w:val="00EE2A05"/>
    <w:rsid w:val="00EE2A75"/>
    <w:rsid w:val="00EE2BAD"/>
    <w:rsid w:val="00EE2C80"/>
    <w:rsid w:val="00EE2D18"/>
    <w:rsid w:val="00EE2E31"/>
    <w:rsid w:val="00EE2E63"/>
    <w:rsid w:val="00EE2EB6"/>
    <w:rsid w:val="00EE3094"/>
    <w:rsid w:val="00EE30B8"/>
    <w:rsid w:val="00EE33FF"/>
    <w:rsid w:val="00EE3537"/>
    <w:rsid w:val="00EE3774"/>
    <w:rsid w:val="00EE38CD"/>
    <w:rsid w:val="00EE38F3"/>
    <w:rsid w:val="00EE3952"/>
    <w:rsid w:val="00EE3A35"/>
    <w:rsid w:val="00EE3AA6"/>
    <w:rsid w:val="00EE3B71"/>
    <w:rsid w:val="00EE3C1A"/>
    <w:rsid w:val="00EE3C56"/>
    <w:rsid w:val="00EE3CAA"/>
    <w:rsid w:val="00EE3CDC"/>
    <w:rsid w:val="00EE3D11"/>
    <w:rsid w:val="00EE3DB8"/>
    <w:rsid w:val="00EE3EF5"/>
    <w:rsid w:val="00EE3FE2"/>
    <w:rsid w:val="00EE4177"/>
    <w:rsid w:val="00EE4365"/>
    <w:rsid w:val="00EE4733"/>
    <w:rsid w:val="00EE485B"/>
    <w:rsid w:val="00EE4A2A"/>
    <w:rsid w:val="00EE4AA8"/>
    <w:rsid w:val="00EE4AFB"/>
    <w:rsid w:val="00EE4BB9"/>
    <w:rsid w:val="00EE4BE0"/>
    <w:rsid w:val="00EE4DCA"/>
    <w:rsid w:val="00EE4E60"/>
    <w:rsid w:val="00EE5168"/>
    <w:rsid w:val="00EE51F3"/>
    <w:rsid w:val="00EE52C7"/>
    <w:rsid w:val="00EE530D"/>
    <w:rsid w:val="00EE5453"/>
    <w:rsid w:val="00EE5499"/>
    <w:rsid w:val="00EE551F"/>
    <w:rsid w:val="00EE582E"/>
    <w:rsid w:val="00EE5840"/>
    <w:rsid w:val="00EE5909"/>
    <w:rsid w:val="00EE5B22"/>
    <w:rsid w:val="00EE5B8E"/>
    <w:rsid w:val="00EE5C03"/>
    <w:rsid w:val="00EE5C55"/>
    <w:rsid w:val="00EE5D34"/>
    <w:rsid w:val="00EE5F49"/>
    <w:rsid w:val="00EE5F58"/>
    <w:rsid w:val="00EE6044"/>
    <w:rsid w:val="00EE6101"/>
    <w:rsid w:val="00EE6118"/>
    <w:rsid w:val="00EE6365"/>
    <w:rsid w:val="00EE6399"/>
    <w:rsid w:val="00EE63CC"/>
    <w:rsid w:val="00EE64F3"/>
    <w:rsid w:val="00EE64FE"/>
    <w:rsid w:val="00EE664F"/>
    <w:rsid w:val="00EE6679"/>
    <w:rsid w:val="00EE68E4"/>
    <w:rsid w:val="00EE69F9"/>
    <w:rsid w:val="00EE6A2D"/>
    <w:rsid w:val="00EE6B2D"/>
    <w:rsid w:val="00EE6BD2"/>
    <w:rsid w:val="00EE6E11"/>
    <w:rsid w:val="00EE708E"/>
    <w:rsid w:val="00EE71AF"/>
    <w:rsid w:val="00EE7243"/>
    <w:rsid w:val="00EE73A8"/>
    <w:rsid w:val="00EE7405"/>
    <w:rsid w:val="00EE7544"/>
    <w:rsid w:val="00EE7739"/>
    <w:rsid w:val="00EE786A"/>
    <w:rsid w:val="00EE79E6"/>
    <w:rsid w:val="00EE7A89"/>
    <w:rsid w:val="00EE7D02"/>
    <w:rsid w:val="00EE7D78"/>
    <w:rsid w:val="00EE7F1F"/>
    <w:rsid w:val="00EE7FE1"/>
    <w:rsid w:val="00EF0006"/>
    <w:rsid w:val="00EF003C"/>
    <w:rsid w:val="00EF004E"/>
    <w:rsid w:val="00EF0147"/>
    <w:rsid w:val="00EF02A5"/>
    <w:rsid w:val="00EF030E"/>
    <w:rsid w:val="00EF03AB"/>
    <w:rsid w:val="00EF03DE"/>
    <w:rsid w:val="00EF05E0"/>
    <w:rsid w:val="00EF05E2"/>
    <w:rsid w:val="00EF0654"/>
    <w:rsid w:val="00EF0692"/>
    <w:rsid w:val="00EF069F"/>
    <w:rsid w:val="00EF06E6"/>
    <w:rsid w:val="00EF0715"/>
    <w:rsid w:val="00EF07B8"/>
    <w:rsid w:val="00EF0804"/>
    <w:rsid w:val="00EF0808"/>
    <w:rsid w:val="00EF080C"/>
    <w:rsid w:val="00EF0858"/>
    <w:rsid w:val="00EF0964"/>
    <w:rsid w:val="00EF0B92"/>
    <w:rsid w:val="00EF0CAC"/>
    <w:rsid w:val="00EF0E26"/>
    <w:rsid w:val="00EF0E84"/>
    <w:rsid w:val="00EF1111"/>
    <w:rsid w:val="00EF1238"/>
    <w:rsid w:val="00EF1305"/>
    <w:rsid w:val="00EF13DF"/>
    <w:rsid w:val="00EF1437"/>
    <w:rsid w:val="00EF1469"/>
    <w:rsid w:val="00EF15C4"/>
    <w:rsid w:val="00EF15D1"/>
    <w:rsid w:val="00EF17CD"/>
    <w:rsid w:val="00EF1912"/>
    <w:rsid w:val="00EF1969"/>
    <w:rsid w:val="00EF1D2A"/>
    <w:rsid w:val="00EF1E17"/>
    <w:rsid w:val="00EF1F24"/>
    <w:rsid w:val="00EF2089"/>
    <w:rsid w:val="00EF20D2"/>
    <w:rsid w:val="00EF2430"/>
    <w:rsid w:val="00EF2548"/>
    <w:rsid w:val="00EF25E4"/>
    <w:rsid w:val="00EF260A"/>
    <w:rsid w:val="00EF272F"/>
    <w:rsid w:val="00EF277D"/>
    <w:rsid w:val="00EF28C6"/>
    <w:rsid w:val="00EF28EA"/>
    <w:rsid w:val="00EF2A15"/>
    <w:rsid w:val="00EF2A79"/>
    <w:rsid w:val="00EF2BDA"/>
    <w:rsid w:val="00EF2C09"/>
    <w:rsid w:val="00EF2C2C"/>
    <w:rsid w:val="00EF2D92"/>
    <w:rsid w:val="00EF2E28"/>
    <w:rsid w:val="00EF2E48"/>
    <w:rsid w:val="00EF3008"/>
    <w:rsid w:val="00EF31FC"/>
    <w:rsid w:val="00EF321B"/>
    <w:rsid w:val="00EF3220"/>
    <w:rsid w:val="00EF3247"/>
    <w:rsid w:val="00EF32E0"/>
    <w:rsid w:val="00EF333D"/>
    <w:rsid w:val="00EF3412"/>
    <w:rsid w:val="00EF3496"/>
    <w:rsid w:val="00EF349D"/>
    <w:rsid w:val="00EF359B"/>
    <w:rsid w:val="00EF3605"/>
    <w:rsid w:val="00EF36BD"/>
    <w:rsid w:val="00EF370E"/>
    <w:rsid w:val="00EF37B8"/>
    <w:rsid w:val="00EF38CF"/>
    <w:rsid w:val="00EF38EB"/>
    <w:rsid w:val="00EF390E"/>
    <w:rsid w:val="00EF394A"/>
    <w:rsid w:val="00EF3968"/>
    <w:rsid w:val="00EF39A7"/>
    <w:rsid w:val="00EF39EC"/>
    <w:rsid w:val="00EF3A0A"/>
    <w:rsid w:val="00EF3A33"/>
    <w:rsid w:val="00EF3AA2"/>
    <w:rsid w:val="00EF3B1B"/>
    <w:rsid w:val="00EF3B91"/>
    <w:rsid w:val="00EF3EF5"/>
    <w:rsid w:val="00EF4196"/>
    <w:rsid w:val="00EF4214"/>
    <w:rsid w:val="00EF4292"/>
    <w:rsid w:val="00EF4360"/>
    <w:rsid w:val="00EF4386"/>
    <w:rsid w:val="00EF4427"/>
    <w:rsid w:val="00EF4445"/>
    <w:rsid w:val="00EF4630"/>
    <w:rsid w:val="00EF465A"/>
    <w:rsid w:val="00EF46D9"/>
    <w:rsid w:val="00EF4707"/>
    <w:rsid w:val="00EF4A62"/>
    <w:rsid w:val="00EF4AD8"/>
    <w:rsid w:val="00EF4C18"/>
    <w:rsid w:val="00EF4CD9"/>
    <w:rsid w:val="00EF4D00"/>
    <w:rsid w:val="00EF4E58"/>
    <w:rsid w:val="00EF4EA0"/>
    <w:rsid w:val="00EF4EC8"/>
    <w:rsid w:val="00EF4FC9"/>
    <w:rsid w:val="00EF5086"/>
    <w:rsid w:val="00EF5099"/>
    <w:rsid w:val="00EF5245"/>
    <w:rsid w:val="00EF53D4"/>
    <w:rsid w:val="00EF5479"/>
    <w:rsid w:val="00EF5541"/>
    <w:rsid w:val="00EF56EE"/>
    <w:rsid w:val="00EF57AC"/>
    <w:rsid w:val="00EF57DC"/>
    <w:rsid w:val="00EF5847"/>
    <w:rsid w:val="00EF5916"/>
    <w:rsid w:val="00EF5A9E"/>
    <w:rsid w:val="00EF5AE0"/>
    <w:rsid w:val="00EF5AE5"/>
    <w:rsid w:val="00EF5B14"/>
    <w:rsid w:val="00EF5D4F"/>
    <w:rsid w:val="00EF5D86"/>
    <w:rsid w:val="00EF5F58"/>
    <w:rsid w:val="00EF5F97"/>
    <w:rsid w:val="00EF5FBB"/>
    <w:rsid w:val="00EF619A"/>
    <w:rsid w:val="00EF6269"/>
    <w:rsid w:val="00EF6318"/>
    <w:rsid w:val="00EF6410"/>
    <w:rsid w:val="00EF65C2"/>
    <w:rsid w:val="00EF6607"/>
    <w:rsid w:val="00EF6608"/>
    <w:rsid w:val="00EF6662"/>
    <w:rsid w:val="00EF682C"/>
    <w:rsid w:val="00EF6923"/>
    <w:rsid w:val="00EF699C"/>
    <w:rsid w:val="00EF69FF"/>
    <w:rsid w:val="00EF6B62"/>
    <w:rsid w:val="00EF6D74"/>
    <w:rsid w:val="00EF6E5A"/>
    <w:rsid w:val="00EF7049"/>
    <w:rsid w:val="00EF70D5"/>
    <w:rsid w:val="00EF70E1"/>
    <w:rsid w:val="00EF7207"/>
    <w:rsid w:val="00EF7318"/>
    <w:rsid w:val="00EF753D"/>
    <w:rsid w:val="00EF7587"/>
    <w:rsid w:val="00EF7632"/>
    <w:rsid w:val="00EF77B2"/>
    <w:rsid w:val="00EF77CC"/>
    <w:rsid w:val="00EF7823"/>
    <w:rsid w:val="00EF782C"/>
    <w:rsid w:val="00EF7862"/>
    <w:rsid w:val="00EF7911"/>
    <w:rsid w:val="00EF79BB"/>
    <w:rsid w:val="00EF79D2"/>
    <w:rsid w:val="00EF7ABC"/>
    <w:rsid w:val="00EF7BD9"/>
    <w:rsid w:val="00EF7C3C"/>
    <w:rsid w:val="00EF7C3E"/>
    <w:rsid w:val="00EF7D1B"/>
    <w:rsid w:val="00EF7DB4"/>
    <w:rsid w:val="00EF7DFE"/>
    <w:rsid w:val="00EF7F8D"/>
    <w:rsid w:val="00F00045"/>
    <w:rsid w:val="00F001AE"/>
    <w:rsid w:val="00F00214"/>
    <w:rsid w:val="00F00291"/>
    <w:rsid w:val="00F0029E"/>
    <w:rsid w:val="00F0046A"/>
    <w:rsid w:val="00F005CB"/>
    <w:rsid w:val="00F006C9"/>
    <w:rsid w:val="00F00DBC"/>
    <w:rsid w:val="00F00E60"/>
    <w:rsid w:val="00F00EAD"/>
    <w:rsid w:val="00F00F00"/>
    <w:rsid w:val="00F0103E"/>
    <w:rsid w:val="00F01067"/>
    <w:rsid w:val="00F011DD"/>
    <w:rsid w:val="00F0122F"/>
    <w:rsid w:val="00F01346"/>
    <w:rsid w:val="00F0139F"/>
    <w:rsid w:val="00F0143B"/>
    <w:rsid w:val="00F01509"/>
    <w:rsid w:val="00F0156D"/>
    <w:rsid w:val="00F01631"/>
    <w:rsid w:val="00F01694"/>
    <w:rsid w:val="00F016DC"/>
    <w:rsid w:val="00F01706"/>
    <w:rsid w:val="00F0171D"/>
    <w:rsid w:val="00F0176F"/>
    <w:rsid w:val="00F017C5"/>
    <w:rsid w:val="00F01901"/>
    <w:rsid w:val="00F019B9"/>
    <w:rsid w:val="00F019FC"/>
    <w:rsid w:val="00F01AEE"/>
    <w:rsid w:val="00F01BE7"/>
    <w:rsid w:val="00F01D6B"/>
    <w:rsid w:val="00F01E1D"/>
    <w:rsid w:val="00F02223"/>
    <w:rsid w:val="00F02252"/>
    <w:rsid w:val="00F0239E"/>
    <w:rsid w:val="00F024D2"/>
    <w:rsid w:val="00F02516"/>
    <w:rsid w:val="00F02615"/>
    <w:rsid w:val="00F02624"/>
    <w:rsid w:val="00F027B3"/>
    <w:rsid w:val="00F029A5"/>
    <w:rsid w:val="00F02A34"/>
    <w:rsid w:val="00F02BC9"/>
    <w:rsid w:val="00F02D6D"/>
    <w:rsid w:val="00F02D9C"/>
    <w:rsid w:val="00F02E62"/>
    <w:rsid w:val="00F0314B"/>
    <w:rsid w:val="00F031F4"/>
    <w:rsid w:val="00F032B0"/>
    <w:rsid w:val="00F0345A"/>
    <w:rsid w:val="00F03513"/>
    <w:rsid w:val="00F03619"/>
    <w:rsid w:val="00F03728"/>
    <w:rsid w:val="00F03749"/>
    <w:rsid w:val="00F03826"/>
    <w:rsid w:val="00F03948"/>
    <w:rsid w:val="00F03979"/>
    <w:rsid w:val="00F039B7"/>
    <w:rsid w:val="00F03B31"/>
    <w:rsid w:val="00F03BD8"/>
    <w:rsid w:val="00F03C06"/>
    <w:rsid w:val="00F03C1D"/>
    <w:rsid w:val="00F03C64"/>
    <w:rsid w:val="00F03E5B"/>
    <w:rsid w:val="00F04019"/>
    <w:rsid w:val="00F04025"/>
    <w:rsid w:val="00F0405A"/>
    <w:rsid w:val="00F040C4"/>
    <w:rsid w:val="00F040F7"/>
    <w:rsid w:val="00F04152"/>
    <w:rsid w:val="00F04255"/>
    <w:rsid w:val="00F0427C"/>
    <w:rsid w:val="00F04280"/>
    <w:rsid w:val="00F044B6"/>
    <w:rsid w:val="00F04567"/>
    <w:rsid w:val="00F0461E"/>
    <w:rsid w:val="00F049D0"/>
    <w:rsid w:val="00F049E7"/>
    <w:rsid w:val="00F049ED"/>
    <w:rsid w:val="00F049EE"/>
    <w:rsid w:val="00F04A50"/>
    <w:rsid w:val="00F04A7F"/>
    <w:rsid w:val="00F04B12"/>
    <w:rsid w:val="00F04B78"/>
    <w:rsid w:val="00F04C18"/>
    <w:rsid w:val="00F04E07"/>
    <w:rsid w:val="00F04E82"/>
    <w:rsid w:val="00F04FBD"/>
    <w:rsid w:val="00F04FC0"/>
    <w:rsid w:val="00F05001"/>
    <w:rsid w:val="00F05074"/>
    <w:rsid w:val="00F050FA"/>
    <w:rsid w:val="00F05201"/>
    <w:rsid w:val="00F05254"/>
    <w:rsid w:val="00F052A8"/>
    <w:rsid w:val="00F052FC"/>
    <w:rsid w:val="00F0531A"/>
    <w:rsid w:val="00F054E8"/>
    <w:rsid w:val="00F055EF"/>
    <w:rsid w:val="00F05632"/>
    <w:rsid w:val="00F05639"/>
    <w:rsid w:val="00F05AFE"/>
    <w:rsid w:val="00F05C8F"/>
    <w:rsid w:val="00F05D94"/>
    <w:rsid w:val="00F05FF0"/>
    <w:rsid w:val="00F0605F"/>
    <w:rsid w:val="00F06276"/>
    <w:rsid w:val="00F06521"/>
    <w:rsid w:val="00F0655D"/>
    <w:rsid w:val="00F06673"/>
    <w:rsid w:val="00F06773"/>
    <w:rsid w:val="00F06A85"/>
    <w:rsid w:val="00F06AF2"/>
    <w:rsid w:val="00F06C76"/>
    <w:rsid w:val="00F06FA3"/>
    <w:rsid w:val="00F07004"/>
    <w:rsid w:val="00F07115"/>
    <w:rsid w:val="00F07139"/>
    <w:rsid w:val="00F07145"/>
    <w:rsid w:val="00F0717A"/>
    <w:rsid w:val="00F07206"/>
    <w:rsid w:val="00F07399"/>
    <w:rsid w:val="00F074F4"/>
    <w:rsid w:val="00F07552"/>
    <w:rsid w:val="00F07565"/>
    <w:rsid w:val="00F07623"/>
    <w:rsid w:val="00F078D4"/>
    <w:rsid w:val="00F079A3"/>
    <w:rsid w:val="00F079E5"/>
    <w:rsid w:val="00F07A58"/>
    <w:rsid w:val="00F07C9C"/>
    <w:rsid w:val="00F07CC4"/>
    <w:rsid w:val="00F07D85"/>
    <w:rsid w:val="00F07E3C"/>
    <w:rsid w:val="00F07E79"/>
    <w:rsid w:val="00F07ED8"/>
    <w:rsid w:val="00F07F1F"/>
    <w:rsid w:val="00F07F4D"/>
    <w:rsid w:val="00F10009"/>
    <w:rsid w:val="00F10074"/>
    <w:rsid w:val="00F100E3"/>
    <w:rsid w:val="00F1028D"/>
    <w:rsid w:val="00F10322"/>
    <w:rsid w:val="00F10427"/>
    <w:rsid w:val="00F10463"/>
    <w:rsid w:val="00F1059C"/>
    <w:rsid w:val="00F1059F"/>
    <w:rsid w:val="00F10614"/>
    <w:rsid w:val="00F10632"/>
    <w:rsid w:val="00F1066D"/>
    <w:rsid w:val="00F106FB"/>
    <w:rsid w:val="00F107A3"/>
    <w:rsid w:val="00F107A7"/>
    <w:rsid w:val="00F10938"/>
    <w:rsid w:val="00F10943"/>
    <w:rsid w:val="00F109F8"/>
    <w:rsid w:val="00F109FE"/>
    <w:rsid w:val="00F10A16"/>
    <w:rsid w:val="00F10B1F"/>
    <w:rsid w:val="00F10BC8"/>
    <w:rsid w:val="00F10C1F"/>
    <w:rsid w:val="00F10DA1"/>
    <w:rsid w:val="00F10E4C"/>
    <w:rsid w:val="00F10F9F"/>
    <w:rsid w:val="00F11093"/>
    <w:rsid w:val="00F1115A"/>
    <w:rsid w:val="00F111CE"/>
    <w:rsid w:val="00F1128D"/>
    <w:rsid w:val="00F11381"/>
    <w:rsid w:val="00F113CD"/>
    <w:rsid w:val="00F11412"/>
    <w:rsid w:val="00F1147D"/>
    <w:rsid w:val="00F11564"/>
    <w:rsid w:val="00F11568"/>
    <w:rsid w:val="00F1156F"/>
    <w:rsid w:val="00F115DA"/>
    <w:rsid w:val="00F115DE"/>
    <w:rsid w:val="00F11660"/>
    <w:rsid w:val="00F116FD"/>
    <w:rsid w:val="00F1198C"/>
    <w:rsid w:val="00F11C5E"/>
    <w:rsid w:val="00F11C75"/>
    <w:rsid w:val="00F11DBF"/>
    <w:rsid w:val="00F11DE9"/>
    <w:rsid w:val="00F11FBB"/>
    <w:rsid w:val="00F12087"/>
    <w:rsid w:val="00F12243"/>
    <w:rsid w:val="00F1229A"/>
    <w:rsid w:val="00F1237F"/>
    <w:rsid w:val="00F124CD"/>
    <w:rsid w:val="00F124E7"/>
    <w:rsid w:val="00F12605"/>
    <w:rsid w:val="00F1267B"/>
    <w:rsid w:val="00F12710"/>
    <w:rsid w:val="00F127CD"/>
    <w:rsid w:val="00F1284D"/>
    <w:rsid w:val="00F129DD"/>
    <w:rsid w:val="00F12B69"/>
    <w:rsid w:val="00F12D5C"/>
    <w:rsid w:val="00F12DEE"/>
    <w:rsid w:val="00F12E1E"/>
    <w:rsid w:val="00F131BF"/>
    <w:rsid w:val="00F13374"/>
    <w:rsid w:val="00F1346F"/>
    <w:rsid w:val="00F134A6"/>
    <w:rsid w:val="00F134D5"/>
    <w:rsid w:val="00F135AC"/>
    <w:rsid w:val="00F136BD"/>
    <w:rsid w:val="00F136CD"/>
    <w:rsid w:val="00F136DB"/>
    <w:rsid w:val="00F1375F"/>
    <w:rsid w:val="00F13893"/>
    <w:rsid w:val="00F13BF0"/>
    <w:rsid w:val="00F13C69"/>
    <w:rsid w:val="00F13D31"/>
    <w:rsid w:val="00F13EBC"/>
    <w:rsid w:val="00F13FAF"/>
    <w:rsid w:val="00F13FD5"/>
    <w:rsid w:val="00F13FFB"/>
    <w:rsid w:val="00F143E3"/>
    <w:rsid w:val="00F1491F"/>
    <w:rsid w:val="00F14927"/>
    <w:rsid w:val="00F1492A"/>
    <w:rsid w:val="00F149C7"/>
    <w:rsid w:val="00F14C73"/>
    <w:rsid w:val="00F14D9E"/>
    <w:rsid w:val="00F14E7E"/>
    <w:rsid w:val="00F14ED2"/>
    <w:rsid w:val="00F14FAE"/>
    <w:rsid w:val="00F14FF3"/>
    <w:rsid w:val="00F151A6"/>
    <w:rsid w:val="00F151E4"/>
    <w:rsid w:val="00F15379"/>
    <w:rsid w:val="00F153C8"/>
    <w:rsid w:val="00F1547E"/>
    <w:rsid w:val="00F156FF"/>
    <w:rsid w:val="00F15927"/>
    <w:rsid w:val="00F15A5C"/>
    <w:rsid w:val="00F15AC5"/>
    <w:rsid w:val="00F15B8F"/>
    <w:rsid w:val="00F15BBC"/>
    <w:rsid w:val="00F15CD6"/>
    <w:rsid w:val="00F15DAE"/>
    <w:rsid w:val="00F15DB5"/>
    <w:rsid w:val="00F15FFC"/>
    <w:rsid w:val="00F16025"/>
    <w:rsid w:val="00F16091"/>
    <w:rsid w:val="00F16148"/>
    <w:rsid w:val="00F162BE"/>
    <w:rsid w:val="00F163BA"/>
    <w:rsid w:val="00F16426"/>
    <w:rsid w:val="00F16594"/>
    <w:rsid w:val="00F1660D"/>
    <w:rsid w:val="00F166C9"/>
    <w:rsid w:val="00F1691F"/>
    <w:rsid w:val="00F16A25"/>
    <w:rsid w:val="00F16B63"/>
    <w:rsid w:val="00F16B75"/>
    <w:rsid w:val="00F16C89"/>
    <w:rsid w:val="00F16C8A"/>
    <w:rsid w:val="00F16CC2"/>
    <w:rsid w:val="00F16D9D"/>
    <w:rsid w:val="00F16E15"/>
    <w:rsid w:val="00F16E20"/>
    <w:rsid w:val="00F16FFB"/>
    <w:rsid w:val="00F17164"/>
    <w:rsid w:val="00F17414"/>
    <w:rsid w:val="00F17427"/>
    <w:rsid w:val="00F175C3"/>
    <w:rsid w:val="00F175E5"/>
    <w:rsid w:val="00F17639"/>
    <w:rsid w:val="00F17674"/>
    <w:rsid w:val="00F176E0"/>
    <w:rsid w:val="00F176FA"/>
    <w:rsid w:val="00F1770E"/>
    <w:rsid w:val="00F17802"/>
    <w:rsid w:val="00F17845"/>
    <w:rsid w:val="00F17906"/>
    <w:rsid w:val="00F17940"/>
    <w:rsid w:val="00F1796A"/>
    <w:rsid w:val="00F17AAA"/>
    <w:rsid w:val="00F17AB1"/>
    <w:rsid w:val="00F17CA4"/>
    <w:rsid w:val="00F17D50"/>
    <w:rsid w:val="00F17E1D"/>
    <w:rsid w:val="00F17E6D"/>
    <w:rsid w:val="00F17E6F"/>
    <w:rsid w:val="00F17FCE"/>
    <w:rsid w:val="00F201A4"/>
    <w:rsid w:val="00F20238"/>
    <w:rsid w:val="00F202E2"/>
    <w:rsid w:val="00F20619"/>
    <w:rsid w:val="00F208D0"/>
    <w:rsid w:val="00F2090E"/>
    <w:rsid w:val="00F209FE"/>
    <w:rsid w:val="00F20AB8"/>
    <w:rsid w:val="00F20C40"/>
    <w:rsid w:val="00F20C46"/>
    <w:rsid w:val="00F20C92"/>
    <w:rsid w:val="00F20C9B"/>
    <w:rsid w:val="00F20DA8"/>
    <w:rsid w:val="00F20E2C"/>
    <w:rsid w:val="00F2107F"/>
    <w:rsid w:val="00F21110"/>
    <w:rsid w:val="00F21389"/>
    <w:rsid w:val="00F2140C"/>
    <w:rsid w:val="00F215FA"/>
    <w:rsid w:val="00F216C3"/>
    <w:rsid w:val="00F217AA"/>
    <w:rsid w:val="00F217AE"/>
    <w:rsid w:val="00F217D9"/>
    <w:rsid w:val="00F2194A"/>
    <w:rsid w:val="00F219AB"/>
    <w:rsid w:val="00F219ED"/>
    <w:rsid w:val="00F21C22"/>
    <w:rsid w:val="00F21E76"/>
    <w:rsid w:val="00F21E8B"/>
    <w:rsid w:val="00F21F3E"/>
    <w:rsid w:val="00F223E8"/>
    <w:rsid w:val="00F225CB"/>
    <w:rsid w:val="00F2261A"/>
    <w:rsid w:val="00F22893"/>
    <w:rsid w:val="00F22B2C"/>
    <w:rsid w:val="00F22BA6"/>
    <w:rsid w:val="00F22CC8"/>
    <w:rsid w:val="00F22CD9"/>
    <w:rsid w:val="00F22EB0"/>
    <w:rsid w:val="00F22ED9"/>
    <w:rsid w:val="00F22F20"/>
    <w:rsid w:val="00F22F32"/>
    <w:rsid w:val="00F22FE9"/>
    <w:rsid w:val="00F23002"/>
    <w:rsid w:val="00F23067"/>
    <w:rsid w:val="00F23079"/>
    <w:rsid w:val="00F23126"/>
    <w:rsid w:val="00F23319"/>
    <w:rsid w:val="00F2331E"/>
    <w:rsid w:val="00F2340B"/>
    <w:rsid w:val="00F23518"/>
    <w:rsid w:val="00F235F2"/>
    <w:rsid w:val="00F235F9"/>
    <w:rsid w:val="00F23683"/>
    <w:rsid w:val="00F23797"/>
    <w:rsid w:val="00F237E1"/>
    <w:rsid w:val="00F238AE"/>
    <w:rsid w:val="00F238ED"/>
    <w:rsid w:val="00F239A0"/>
    <w:rsid w:val="00F23A1D"/>
    <w:rsid w:val="00F23A7D"/>
    <w:rsid w:val="00F23AFA"/>
    <w:rsid w:val="00F23B32"/>
    <w:rsid w:val="00F23B56"/>
    <w:rsid w:val="00F23B94"/>
    <w:rsid w:val="00F23BB6"/>
    <w:rsid w:val="00F23CB5"/>
    <w:rsid w:val="00F23D2B"/>
    <w:rsid w:val="00F23D34"/>
    <w:rsid w:val="00F23DDD"/>
    <w:rsid w:val="00F23E0B"/>
    <w:rsid w:val="00F23E71"/>
    <w:rsid w:val="00F240E2"/>
    <w:rsid w:val="00F243DC"/>
    <w:rsid w:val="00F24427"/>
    <w:rsid w:val="00F24471"/>
    <w:rsid w:val="00F24522"/>
    <w:rsid w:val="00F2462F"/>
    <w:rsid w:val="00F24778"/>
    <w:rsid w:val="00F247A1"/>
    <w:rsid w:val="00F247D2"/>
    <w:rsid w:val="00F24AFC"/>
    <w:rsid w:val="00F24BCF"/>
    <w:rsid w:val="00F24BD2"/>
    <w:rsid w:val="00F24C99"/>
    <w:rsid w:val="00F24D65"/>
    <w:rsid w:val="00F24DEF"/>
    <w:rsid w:val="00F24DFE"/>
    <w:rsid w:val="00F24E9E"/>
    <w:rsid w:val="00F24FF2"/>
    <w:rsid w:val="00F2523D"/>
    <w:rsid w:val="00F25291"/>
    <w:rsid w:val="00F253EE"/>
    <w:rsid w:val="00F2540D"/>
    <w:rsid w:val="00F256D5"/>
    <w:rsid w:val="00F25968"/>
    <w:rsid w:val="00F25990"/>
    <w:rsid w:val="00F259E9"/>
    <w:rsid w:val="00F25A13"/>
    <w:rsid w:val="00F25BCC"/>
    <w:rsid w:val="00F25E21"/>
    <w:rsid w:val="00F25E57"/>
    <w:rsid w:val="00F25E82"/>
    <w:rsid w:val="00F25ECA"/>
    <w:rsid w:val="00F25F4F"/>
    <w:rsid w:val="00F260E3"/>
    <w:rsid w:val="00F2613C"/>
    <w:rsid w:val="00F26189"/>
    <w:rsid w:val="00F2618B"/>
    <w:rsid w:val="00F261CD"/>
    <w:rsid w:val="00F26266"/>
    <w:rsid w:val="00F2638F"/>
    <w:rsid w:val="00F263F7"/>
    <w:rsid w:val="00F26469"/>
    <w:rsid w:val="00F26485"/>
    <w:rsid w:val="00F2657E"/>
    <w:rsid w:val="00F26617"/>
    <w:rsid w:val="00F26646"/>
    <w:rsid w:val="00F26780"/>
    <w:rsid w:val="00F26783"/>
    <w:rsid w:val="00F26799"/>
    <w:rsid w:val="00F267B6"/>
    <w:rsid w:val="00F26832"/>
    <w:rsid w:val="00F2691A"/>
    <w:rsid w:val="00F26B37"/>
    <w:rsid w:val="00F26C21"/>
    <w:rsid w:val="00F26C37"/>
    <w:rsid w:val="00F26CBD"/>
    <w:rsid w:val="00F26DBC"/>
    <w:rsid w:val="00F26F5F"/>
    <w:rsid w:val="00F270A6"/>
    <w:rsid w:val="00F2712B"/>
    <w:rsid w:val="00F2716E"/>
    <w:rsid w:val="00F2738C"/>
    <w:rsid w:val="00F2744F"/>
    <w:rsid w:val="00F27751"/>
    <w:rsid w:val="00F277DB"/>
    <w:rsid w:val="00F27A2E"/>
    <w:rsid w:val="00F27AA2"/>
    <w:rsid w:val="00F27B7F"/>
    <w:rsid w:val="00F27BD0"/>
    <w:rsid w:val="00F27D21"/>
    <w:rsid w:val="00F27E06"/>
    <w:rsid w:val="00F27EE7"/>
    <w:rsid w:val="00F27F74"/>
    <w:rsid w:val="00F30104"/>
    <w:rsid w:val="00F302BE"/>
    <w:rsid w:val="00F30307"/>
    <w:rsid w:val="00F30347"/>
    <w:rsid w:val="00F3034A"/>
    <w:rsid w:val="00F3039D"/>
    <w:rsid w:val="00F3040B"/>
    <w:rsid w:val="00F30458"/>
    <w:rsid w:val="00F30541"/>
    <w:rsid w:val="00F30575"/>
    <w:rsid w:val="00F30596"/>
    <w:rsid w:val="00F305A0"/>
    <w:rsid w:val="00F306A8"/>
    <w:rsid w:val="00F307D7"/>
    <w:rsid w:val="00F30807"/>
    <w:rsid w:val="00F30852"/>
    <w:rsid w:val="00F30AA8"/>
    <w:rsid w:val="00F30BF4"/>
    <w:rsid w:val="00F30C84"/>
    <w:rsid w:val="00F30D0B"/>
    <w:rsid w:val="00F30D11"/>
    <w:rsid w:val="00F30D27"/>
    <w:rsid w:val="00F30EFD"/>
    <w:rsid w:val="00F30F5F"/>
    <w:rsid w:val="00F30F8D"/>
    <w:rsid w:val="00F30FF2"/>
    <w:rsid w:val="00F3133F"/>
    <w:rsid w:val="00F31543"/>
    <w:rsid w:val="00F315A5"/>
    <w:rsid w:val="00F315D6"/>
    <w:rsid w:val="00F315DE"/>
    <w:rsid w:val="00F3170A"/>
    <w:rsid w:val="00F317F6"/>
    <w:rsid w:val="00F3193B"/>
    <w:rsid w:val="00F31950"/>
    <w:rsid w:val="00F319B6"/>
    <w:rsid w:val="00F31A1D"/>
    <w:rsid w:val="00F31D1B"/>
    <w:rsid w:val="00F31D4D"/>
    <w:rsid w:val="00F31FA3"/>
    <w:rsid w:val="00F3209B"/>
    <w:rsid w:val="00F32150"/>
    <w:rsid w:val="00F322A1"/>
    <w:rsid w:val="00F32359"/>
    <w:rsid w:val="00F32362"/>
    <w:rsid w:val="00F32385"/>
    <w:rsid w:val="00F323AA"/>
    <w:rsid w:val="00F32500"/>
    <w:rsid w:val="00F325FC"/>
    <w:rsid w:val="00F3286D"/>
    <w:rsid w:val="00F3289C"/>
    <w:rsid w:val="00F32ADF"/>
    <w:rsid w:val="00F32DE8"/>
    <w:rsid w:val="00F32FAA"/>
    <w:rsid w:val="00F3308A"/>
    <w:rsid w:val="00F3308E"/>
    <w:rsid w:val="00F330A5"/>
    <w:rsid w:val="00F330C7"/>
    <w:rsid w:val="00F33141"/>
    <w:rsid w:val="00F3322F"/>
    <w:rsid w:val="00F3324F"/>
    <w:rsid w:val="00F3330C"/>
    <w:rsid w:val="00F3333C"/>
    <w:rsid w:val="00F33505"/>
    <w:rsid w:val="00F33513"/>
    <w:rsid w:val="00F33583"/>
    <w:rsid w:val="00F335AC"/>
    <w:rsid w:val="00F337AC"/>
    <w:rsid w:val="00F3381E"/>
    <w:rsid w:val="00F338C9"/>
    <w:rsid w:val="00F339F3"/>
    <w:rsid w:val="00F33AE8"/>
    <w:rsid w:val="00F33BB7"/>
    <w:rsid w:val="00F33C01"/>
    <w:rsid w:val="00F33C20"/>
    <w:rsid w:val="00F33DC0"/>
    <w:rsid w:val="00F33EAF"/>
    <w:rsid w:val="00F33ED8"/>
    <w:rsid w:val="00F33FA6"/>
    <w:rsid w:val="00F341E4"/>
    <w:rsid w:val="00F342A1"/>
    <w:rsid w:val="00F34448"/>
    <w:rsid w:val="00F3453F"/>
    <w:rsid w:val="00F345C0"/>
    <w:rsid w:val="00F34619"/>
    <w:rsid w:val="00F349D0"/>
    <w:rsid w:val="00F34A3B"/>
    <w:rsid w:val="00F34A98"/>
    <w:rsid w:val="00F34ADA"/>
    <w:rsid w:val="00F34C57"/>
    <w:rsid w:val="00F34C96"/>
    <w:rsid w:val="00F3515B"/>
    <w:rsid w:val="00F351B5"/>
    <w:rsid w:val="00F3527F"/>
    <w:rsid w:val="00F35348"/>
    <w:rsid w:val="00F35773"/>
    <w:rsid w:val="00F357BF"/>
    <w:rsid w:val="00F358D5"/>
    <w:rsid w:val="00F3590D"/>
    <w:rsid w:val="00F35977"/>
    <w:rsid w:val="00F359D4"/>
    <w:rsid w:val="00F359DE"/>
    <w:rsid w:val="00F35B34"/>
    <w:rsid w:val="00F35B6C"/>
    <w:rsid w:val="00F35BD2"/>
    <w:rsid w:val="00F35C76"/>
    <w:rsid w:val="00F35D38"/>
    <w:rsid w:val="00F35D61"/>
    <w:rsid w:val="00F35E1E"/>
    <w:rsid w:val="00F35E83"/>
    <w:rsid w:val="00F35F82"/>
    <w:rsid w:val="00F35FB4"/>
    <w:rsid w:val="00F3606D"/>
    <w:rsid w:val="00F360F5"/>
    <w:rsid w:val="00F36279"/>
    <w:rsid w:val="00F3639E"/>
    <w:rsid w:val="00F3668A"/>
    <w:rsid w:val="00F366CD"/>
    <w:rsid w:val="00F36756"/>
    <w:rsid w:val="00F36759"/>
    <w:rsid w:val="00F3677C"/>
    <w:rsid w:val="00F36803"/>
    <w:rsid w:val="00F368B1"/>
    <w:rsid w:val="00F368DD"/>
    <w:rsid w:val="00F3695E"/>
    <w:rsid w:val="00F36993"/>
    <w:rsid w:val="00F36B67"/>
    <w:rsid w:val="00F36B9A"/>
    <w:rsid w:val="00F36BAD"/>
    <w:rsid w:val="00F36C29"/>
    <w:rsid w:val="00F36C91"/>
    <w:rsid w:val="00F374E1"/>
    <w:rsid w:val="00F37541"/>
    <w:rsid w:val="00F3754C"/>
    <w:rsid w:val="00F37575"/>
    <w:rsid w:val="00F376B0"/>
    <w:rsid w:val="00F376B1"/>
    <w:rsid w:val="00F3776B"/>
    <w:rsid w:val="00F37772"/>
    <w:rsid w:val="00F377A5"/>
    <w:rsid w:val="00F37850"/>
    <w:rsid w:val="00F37A39"/>
    <w:rsid w:val="00F37AEB"/>
    <w:rsid w:val="00F37BA7"/>
    <w:rsid w:val="00F37CDE"/>
    <w:rsid w:val="00F37CDF"/>
    <w:rsid w:val="00F37D10"/>
    <w:rsid w:val="00F37D6A"/>
    <w:rsid w:val="00F37E7C"/>
    <w:rsid w:val="00F37F8C"/>
    <w:rsid w:val="00F40070"/>
    <w:rsid w:val="00F40097"/>
    <w:rsid w:val="00F400B1"/>
    <w:rsid w:val="00F40310"/>
    <w:rsid w:val="00F404C8"/>
    <w:rsid w:val="00F40625"/>
    <w:rsid w:val="00F406B5"/>
    <w:rsid w:val="00F406C1"/>
    <w:rsid w:val="00F40708"/>
    <w:rsid w:val="00F407E8"/>
    <w:rsid w:val="00F40884"/>
    <w:rsid w:val="00F408AE"/>
    <w:rsid w:val="00F40968"/>
    <w:rsid w:val="00F40A36"/>
    <w:rsid w:val="00F40B02"/>
    <w:rsid w:val="00F40C2C"/>
    <w:rsid w:val="00F40D7C"/>
    <w:rsid w:val="00F40EF9"/>
    <w:rsid w:val="00F40F12"/>
    <w:rsid w:val="00F410C6"/>
    <w:rsid w:val="00F41106"/>
    <w:rsid w:val="00F4131E"/>
    <w:rsid w:val="00F41377"/>
    <w:rsid w:val="00F413DD"/>
    <w:rsid w:val="00F4146E"/>
    <w:rsid w:val="00F414CA"/>
    <w:rsid w:val="00F415FB"/>
    <w:rsid w:val="00F41708"/>
    <w:rsid w:val="00F41745"/>
    <w:rsid w:val="00F4179A"/>
    <w:rsid w:val="00F4180E"/>
    <w:rsid w:val="00F418E4"/>
    <w:rsid w:val="00F41910"/>
    <w:rsid w:val="00F41934"/>
    <w:rsid w:val="00F419C4"/>
    <w:rsid w:val="00F419C6"/>
    <w:rsid w:val="00F41C39"/>
    <w:rsid w:val="00F41CF4"/>
    <w:rsid w:val="00F41D03"/>
    <w:rsid w:val="00F41D07"/>
    <w:rsid w:val="00F41E72"/>
    <w:rsid w:val="00F41EB8"/>
    <w:rsid w:val="00F41F62"/>
    <w:rsid w:val="00F41F8D"/>
    <w:rsid w:val="00F42008"/>
    <w:rsid w:val="00F4200E"/>
    <w:rsid w:val="00F42020"/>
    <w:rsid w:val="00F42103"/>
    <w:rsid w:val="00F42476"/>
    <w:rsid w:val="00F42500"/>
    <w:rsid w:val="00F42884"/>
    <w:rsid w:val="00F42964"/>
    <w:rsid w:val="00F429CB"/>
    <w:rsid w:val="00F42B84"/>
    <w:rsid w:val="00F42C38"/>
    <w:rsid w:val="00F42C3F"/>
    <w:rsid w:val="00F42C41"/>
    <w:rsid w:val="00F42CD0"/>
    <w:rsid w:val="00F42D11"/>
    <w:rsid w:val="00F42D70"/>
    <w:rsid w:val="00F42E08"/>
    <w:rsid w:val="00F42E9E"/>
    <w:rsid w:val="00F4310F"/>
    <w:rsid w:val="00F43173"/>
    <w:rsid w:val="00F431B3"/>
    <w:rsid w:val="00F43292"/>
    <w:rsid w:val="00F43351"/>
    <w:rsid w:val="00F43366"/>
    <w:rsid w:val="00F433B3"/>
    <w:rsid w:val="00F4347B"/>
    <w:rsid w:val="00F435CE"/>
    <w:rsid w:val="00F4361A"/>
    <w:rsid w:val="00F43639"/>
    <w:rsid w:val="00F43650"/>
    <w:rsid w:val="00F43820"/>
    <w:rsid w:val="00F43946"/>
    <w:rsid w:val="00F43A04"/>
    <w:rsid w:val="00F43A29"/>
    <w:rsid w:val="00F43A2E"/>
    <w:rsid w:val="00F43A32"/>
    <w:rsid w:val="00F43A48"/>
    <w:rsid w:val="00F43BF4"/>
    <w:rsid w:val="00F43F21"/>
    <w:rsid w:val="00F43F2E"/>
    <w:rsid w:val="00F4406D"/>
    <w:rsid w:val="00F440C3"/>
    <w:rsid w:val="00F4411C"/>
    <w:rsid w:val="00F44333"/>
    <w:rsid w:val="00F444F2"/>
    <w:rsid w:val="00F4450D"/>
    <w:rsid w:val="00F445A6"/>
    <w:rsid w:val="00F446B8"/>
    <w:rsid w:val="00F447BF"/>
    <w:rsid w:val="00F44814"/>
    <w:rsid w:val="00F44D73"/>
    <w:rsid w:val="00F44DEC"/>
    <w:rsid w:val="00F44F27"/>
    <w:rsid w:val="00F44F79"/>
    <w:rsid w:val="00F44FEE"/>
    <w:rsid w:val="00F45027"/>
    <w:rsid w:val="00F4503D"/>
    <w:rsid w:val="00F45064"/>
    <w:rsid w:val="00F4509D"/>
    <w:rsid w:val="00F45234"/>
    <w:rsid w:val="00F452B8"/>
    <w:rsid w:val="00F452F2"/>
    <w:rsid w:val="00F45354"/>
    <w:rsid w:val="00F453BD"/>
    <w:rsid w:val="00F45416"/>
    <w:rsid w:val="00F4545A"/>
    <w:rsid w:val="00F454E8"/>
    <w:rsid w:val="00F45639"/>
    <w:rsid w:val="00F45732"/>
    <w:rsid w:val="00F45842"/>
    <w:rsid w:val="00F45955"/>
    <w:rsid w:val="00F45A46"/>
    <w:rsid w:val="00F45C1C"/>
    <w:rsid w:val="00F45C43"/>
    <w:rsid w:val="00F45D7A"/>
    <w:rsid w:val="00F45DB9"/>
    <w:rsid w:val="00F45E5A"/>
    <w:rsid w:val="00F45F25"/>
    <w:rsid w:val="00F4600B"/>
    <w:rsid w:val="00F4622D"/>
    <w:rsid w:val="00F46357"/>
    <w:rsid w:val="00F46582"/>
    <w:rsid w:val="00F465C1"/>
    <w:rsid w:val="00F467F7"/>
    <w:rsid w:val="00F46876"/>
    <w:rsid w:val="00F46899"/>
    <w:rsid w:val="00F46928"/>
    <w:rsid w:val="00F46A99"/>
    <w:rsid w:val="00F46EAC"/>
    <w:rsid w:val="00F46EB2"/>
    <w:rsid w:val="00F46FCC"/>
    <w:rsid w:val="00F4718C"/>
    <w:rsid w:val="00F47254"/>
    <w:rsid w:val="00F4767F"/>
    <w:rsid w:val="00F47740"/>
    <w:rsid w:val="00F477C3"/>
    <w:rsid w:val="00F47826"/>
    <w:rsid w:val="00F47867"/>
    <w:rsid w:val="00F478BC"/>
    <w:rsid w:val="00F478C8"/>
    <w:rsid w:val="00F47A04"/>
    <w:rsid w:val="00F47C59"/>
    <w:rsid w:val="00F47C70"/>
    <w:rsid w:val="00F47D32"/>
    <w:rsid w:val="00F47E17"/>
    <w:rsid w:val="00F47EFE"/>
    <w:rsid w:val="00F47F46"/>
    <w:rsid w:val="00F5009C"/>
    <w:rsid w:val="00F50251"/>
    <w:rsid w:val="00F502E8"/>
    <w:rsid w:val="00F503CF"/>
    <w:rsid w:val="00F503E2"/>
    <w:rsid w:val="00F503F9"/>
    <w:rsid w:val="00F504A7"/>
    <w:rsid w:val="00F5060E"/>
    <w:rsid w:val="00F506B1"/>
    <w:rsid w:val="00F506DC"/>
    <w:rsid w:val="00F506F6"/>
    <w:rsid w:val="00F50828"/>
    <w:rsid w:val="00F50884"/>
    <w:rsid w:val="00F50943"/>
    <w:rsid w:val="00F50970"/>
    <w:rsid w:val="00F50B3D"/>
    <w:rsid w:val="00F50C4F"/>
    <w:rsid w:val="00F50C61"/>
    <w:rsid w:val="00F50C77"/>
    <w:rsid w:val="00F50D78"/>
    <w:rsid w:val="00F510F5"/>
    <w:rsid w:val="00F51324"/>
    <w:rsid w:val="00F513A1"/>
    <w:rsid w:val="00F513A7"/>
    <w:rsid w:val="00F513BD"/>
    <w:rsid w:val="00F51406"/>
    <w:rsid w:val="00F514FA"/>
    <w:rsid w:val="00F5154B"/>
    <w:rsid w:val="00F515FD"/>
    <w:rsid w:val="00F517C2"/>
    <w:rsid w:val="00F518EC"/>
    <w:rsid w:val="00F519A0"/>
    <w:rsid w:val="00F519D5"/>
    <w:rsid w:val="00F51BF8"/>
    <w:rsid w:val="00F51DB0"/>
    <w:rsid w:val="00F51E7C"/>
    <w:rsid w:val="00F51EAB"/>
    <w:rsid w:val="00F51EFF"/>
    <w:rsid w:val="00F51F35"/>
    <w:rsid w:val="00F51F63"/>
    <w:rsid w:val="00F52360"/>
    <w:rsid w:val="00F525D8"/>
    <w:rsid w:val="00F52624"/>
    <w:rsid w:val="00F52877"/>
    <w:rsid w:val="00F52909"/>
    <w:rsid w:val="00F52986"/>
    <w:rsid w:val="00F52AAF"/>
    <w:rsid w:val="00F52B6C"/>
    <w:rsid w:val="00F52C3B"/>
    <w:rsid w:val="00F52C56"/>
    <w:rsid w:val="00F52D2B"/>
    <w:rsid w:val="00F52D7A"/>
    <w:rsid w:val="00F52D85"/>
    <w:rsid w:val="00F52F4A"/>
    <w:rsid w:val="00F5301B"/>
    <w:rsid w:val="00F5307E"/>
    <w:rsid w:val="00F5319A"/>
    <w:rsid w:val="00F53224"/>
    <w:rsid w:val="00F5325B"/>
    <w:rsid w:val="00F533CB"/>
    <w:rsid w:val="00F5347E"/>
    <w:rsid w:val="00F5370E"/>
    <w:rsid w:val="00F537D4"/>
    <w:rsid w:val="00F53803"/>
    <w:rsid w:val="00F53872"/>
    <w:rsid w:val="00F53913"/>
    <w:rsid w:val="00F539E1"/>
    <w:rsid w:val="00F53A7D"/>
    <w:rsid w:val="00F53AD2"/>
    <w:rsid w:val="00F53C6E"/>
    <w:rsid w:val="00F53C99"/>
    <w:rsid w:val="00F53CF9"/>
    <w:rsid w:val="00F53D02"/>
    <w:rsid w:val="00F53DBD"/>
    <w:rsid w:val="00F53E5F"/>
    <w:rsid w:val="00F53F0D"/>
    <w:rsid w:val="00F53F45"/>
    <w:rsid w:val="00F53FB8"/>
    <w:rsid w:val="00F54042"/>
    <w:rsid w:val="00F5410D"/>
    <w:rsid w:val="00F54147"/>
    <w:rsid w:val="00F541BF"/>
    <w:rsid w:val="00F544AB"/>
    <w:rsid w:val="00F54626"/>
    <w:rsid w:val="00F5474E"/>
    <w:rsid w:val="00F547CB"/>
    <w:rsid w:val="00F54850"/>
    <w:rsid w:val="00F549DB"/>
    <w:rsid w:val="00F54A7D"/>
    <w:rsid w:val="00F54A91"/>
    <w:rsid w:val="00F54CAC"/>
    <w:rsid w:val="00F54E29"/>
    <w:rsid w:val="00F54FCC"/>
    <w:rsid w:val="00F551A1"/>
    <w:rsid w:val="00F5521D"/>
    <w:rsid w:val="00F552DA"/>
    <w:rsid w:val="00F55374"/>
    <w:rsid w:val="00F5542D"/>
    <w:rsid w:val="00F55623"/>
    <w:rsid w:val="00F557C5"/>
    <w:rsid w:val="00F55848"/>
    <w:rsid w:val="00F558D5"/>
    <w:rsid w:val="00F559A0"/>
    <w:rsid w:val="00F559CE"/>
    <w:rsid w:val="00F55A04"/>
    <w:rsid w:val="00F55BB4"/>
    <w:rsid w:val="00F55C2B"/>
    <w:rsid w:val="00F55C95"/>
    <w:rsid w:val="00F55E07"/>
    <w:rsid w:val="00F560F3"/>
    <w:rsid w:val="00F56248"/>
    <w:rsid w:val="00F563B6"/>
    <w:rsid w:val="00F5644D"/>
    <w:rsid w:val="00F5651A"/>
    <w:rsid w:val="00F56636"/>
    <w:rsid w:val="00F56799"/>
    <w:rsid w:val="00F56877"/>
    <w:rsid w:val="00F568C6"/>
    <w:rsid w:val="00F56901"/>
    <w:rsid w:val="00F56933"/>
    <w:rsid w:val="00F56961"/>
    <w:rsid w:val="00F569E4"/>
    <w:rsid w:val="00F56B4F"/>
    <w:rsid w:val="00F56C22"/>
    <w:rsid w:val="00F56D0F"/>
    <w:rsid w:val="00F56D3B"/>
    <w:rsid w:val="00F56F5B"/>
    <w:rsid w:val="00F571E1"/>
    <w:rsid w:val="00F573AC"/>
    <w:rsid w:val="00F57446"/>
    <w:rsid w:val="00F57557"/>
    <w:rsid w:val="00F57623"/>
    <w:rsid w:val="00F578AD"/>
    <w:rsid w:val="00F578CA"/>
    <w:rsid w:val="00F579B2"/>
    <w:rsid w:val="00F57AC8"/>
    <w:rsid w:val="00F57B03"/>
    <w:rsid w:val="00F57B69"/>
    <w:rsid w:val="00F57C77"/>
    <w:rsid w:val="00F57C92"/>
    <w:rsid w:val="00F57CA6"/>
    <w:rsid w:val="00F57D9D"/>
    <w:rsid w:val="00F57E97"/>
    <w:rsid w:val="00F57EB3"/>
    <w:rsid w:val="00F57F21"/>
    <w:rsid w:val="00F57FC8"/>
    <w:rsid w:val="00F6004B"/>
    <w:rsid w:val="00F602C5"/>
    <w:rsid w:val="00F60348"/>
    <w:rsid w:val="00F60385"/>
    <w:rsid w:val="00F60534"/>
    <w:rsid w:val="00F60578"/>
    <w:rsid w:val="00F60581"/>
    <w:rsid w:val="00F605A1"/>
    <w:rsid w:val="00F605D0"/>
    <w:rsid w:val="00F60764"/>
    <w:rsid w:val="00F607B1"/>
    <w:rsid w:val="00F60919"/>
    <w:rsid w:val="00F609D8"/>
    <w:rsid w:val="00F609F3"/>
    <w:rsid w:val="00F60BD6"/>
    <w:rsid w:val="00F60BD7"/>
    <w:rsid w:val="00F60C34"/>
    <w:rsid w:val="00F60CE4"/>
    <w:rsid w:val="00F60D15"/>
    <w:rsid w:val="00F611D1"/>
    <w:rsid w:val="00F61206"/>
    <w:rsid w:val="00F6131F"/>
    <w:rsid w:val="00F613F0"/>
    <w:rsid w:val="00F61422"/>
    <w:rsid w:val="00F61639"/>
    <w:rsid w:val="00F6167C"/>
    <w:rsid w:val="00F616CD"/>
    <w:rsid w:val="00F61784"/>
    <w:rsid w:val="00F617AD"/>
    <w:rsid w:val="00F61B4E"/>
    <w:rsid w:val="00F61C38"/>
    <w:rsid w:val="00F61D05"/>
    <w:rsid w:val="00F61D4D"/>
    <w:rsid w:val="00F61DF2"/>
    <w:rsid w:val="00F61F4B"/>
    <w:rsid w:val="00F62078"/>
    <w:rsid w:val="00F6212A"/>
    <w:rsid w:val="00F621BE"/>
    <w:rsid w:val="00F62241"/>
    <w:rsid w:val="00F6244E"/>
    <w:rsid w:val="00F624A4"/>
    <w:rsid w:val="00F62520"/>
    <w:rsid w:val="00F62589"/>
    <w:rsid w:val="00F6259C"/>
    <w:rsid w:val="00F6284D"/>
    <w:rsid w:val="00F6290C"/>
    <w:rsid w:val="00F62993"/>
    <w:rsid w:val="00F629B9"/>
    <w:rsid w:val="00F62A7F"/>
    <w:rsid w:val="00F62C3E"/>
    <w:rsid w:val="00F62E16"/>
    <w:rsid w:val="00F62F30"/>
    <w:rsid w:val="00F6321C"/>
    <w:rsid w:val="00F63237"/>
    <w:rsid w:val="00F63368"/>
    <w:rsid w:val="00F63369"/>
    <w:rsid w:val="00F63439"/>
    <w:rsid w:val="00F63590"/>
    <w:rsid w:val="00F63630"/>
    <w:rsid w:val="00F636B2"/>
    <w:rsid w:val="00F638C4"/>
    <w:rsid w:val="00F639A4"/>
    <w:rsid w:val="00F63A1F"/>
    <w:rsid w:val="00F63AC0"/>
    <w:rsid w:val="00F63B21"/>
    <w:rsid w:val="00F63B96"/>
    <w:rsid w:val="00F63C2E"/>
    <w:rsid w:val="00F63D79"/>
    <w:rsid w:val="00F63DCB"/>
    <w:rsid w:val="00F63E0D"/>
    <w:rsid w:val="00F63EF9"/>
    <w:rsid w:val="00F640BE"/>
    <w:rsid w:val="00F64163"/>
    <w:rsid w:val="00F641C0"/>
    <w:rsid w:val="00F6450A"/>
    <w:rsid w:val="00F6466C"/>
    <w:rsid w:val="00F6478A"/>
    <w:rsid w:val="00F647BE"/>
    <w:rsid w:val="00F6480C"/>
    <w:rsid w:val="00F6494E"/>
    <w:rsid w:val="00F64B72"/>
    <w:rsid w:val="00F64B7C"/>
    <w:rsid w:val="00F64C53"/>
    <w:rsid w:val="00F64CDE"/>
    <w:rsid w:val="00F64D17"/>
    <w:rsid w:val="00F64DAD"/>
    <w:rsid w:val="00F64DE9"/>
    <w:rsid w:val="00F64E0A"/>
    <w:rsid w:val="00F64EC8"/>
    <w:rsid w:val="00F64F93"/>
    <w:rsid w:val="00F651B8"/>
    <w:rsid w:val="00F651F3"/>
    <w:rsid w:val="00F65214"/>
    <w:rsid w:val="00F655A7"/>
    <w:rsid w:val="00F655D3"/>
    <w:rsid w:val="00F65629"/>
    <w:rsid w:val="00F6578A"/>
    <w:rsid w:val="00F657FF"/>
    <w:rsid w:val="00F65829"/>
    <w:rsid w:val="00F65932"/>
    <w:rsid w:val="00F6595C"/>
    <w:rsid w:val="00F6596D"/>
    <w:rsid w:val="00F65AD1"/>
    <w:rsid w:val="00F65BD3"/>
    <w:rsid w:val="00F65BDC"/>
    <w:rsid w:val="00F65E43"/>
    <w:rsid w:val="00F65E92"/>
    <w:rsid w:val="00F65FD4"/>
    <w:rsid w:val="00F6613E"/>
    <w:rsid w:val="00F66299"/>
    <w:rsid w:val="00F662E0"/>
    <w:rsid w:val="00F66380"/>
    <w:rsid w:val="00F6642D"/>
    <w:rsid w:val="00F66556"/>
    <w:rsid w:val="00F6657C"/>
    <w:rsid w:val="00F665CB"/>
    <w:rsid w:val="00F66669"/>
    <w:rsid w:val="00F66736"/>
    <w:rsid w:val="00F6686F"/>
    <w:rsid w:val="00F66942"/>
    <w:rsid w:val="00F66958"/>
    <w:rsid w:val="00F669E8"/>
    <w:rsid w:val="00F669F4"/>
    <w:rsid w:val="00F66A3F"/>
    <w:rsid w:val="00F66B30"/>
    <w:rsid w:val="00F66C40"/>
    <w:rsid w:val="00F66C5F"/>
    <w:rsid w:val="00F66C96"/>
    <w:rsid w:val="00F66DB0"/>
    <w:rsid w:val="00F66DCD"/>
    <w:rsid w:val="00F66DE7"/>
    <w:rsid w:val="00F66F33"/>
    <w:rsid w:val="00F66F5C"/>
    <w:rsid w:val="00F66F7C"/>
    <w:rsid w:val="00F66F87"/>
    <w:rsid w:val="00F66FEA"/>
    <w:rsid w:val="00F67136"/>
    <w:rsid w:val="00F672A0"/>
    <w:rsid w:val="00F673A5"/>
    <w:rsid w:val="00F673E8"/>
    <w:rsid w:val="00F67505"/>
    <w:rsid w:val="00F675AC"/>
    <w:rsid w:val="00F67691"/>
    <w:rsid w:val="00F67758"/>
    <w:rsid w:val="00F6785F"/>
    <w:rsid w:val="00F678D9"/>
    <w:rsid w:val="00F679A6"/>
    <w:rsid w:val="00F67C27"/>
    <w:rsid w:val="00F67C2F"/>
    <w:rsid w:val="00F67EC4"/>
    <w:rsid w:val="00F67F4C"/>
    <w:rsid w:val="00F67FE1"/>
    <w:rsid w:val="00F700B7"/>
    <w:rsid w:val="00F7017F"/>
    <w:rsid w:val="00F70201"/>
    <w:rsid w:val="00F70370"/>
    <w:rsid w:val="00F70382"/>
    <w:rsid w:val="00F703FC"/>
    <w:rsid w:val="00F7053E"/>
    <w:rsid w:val="00F7058D"/>
    <w:rsid w:val="00F7061D"/>
    <w:rsid w:val="00F70745"/>
    <w:rsid w:val="00F70811"/>
    <w:rsid w:val="00F7081F"/>
    <w:rsid w:val="00F70867"/>
    <w:rsid w:val="00F708BF"/>
    <w:rsid w:val="00F70C7C"/>
    <w:rsid w:val="00F70CBB"/>
    <w:rsid w:val="00F70DE5"/>
    <w:rsid w:val="00F70ED6"/>
    <w:rsid w:val="00F70F2B"/>
    <w:rsid w:val="00F713C2"/>
    <w:rsid w:val="00F7142C"/>
    <w:rsid w:val="00F714AF"/>
    <w:rsid w:val="00F71528"/>
    <w:rsid w:val="00F7156E"/>
    <w:rsid w:val="00F71588"/>
    <w:rsid w:val="00F71608"/>
    <w:rsid w:val="00F71812"/>
    <w:rsid w:val="00F71889"/>
    <w:rsid w:val="00F71968"/>
    <w:rsid w:val="00F71B6E"/>
    <w:rsid w:val="00F71C4B"/>
    <w:rsid w:val="00F71D44"/>
    <w:rsid w:val="00F71E04"/>
    <w:rsid w:val="00F71E2E"/>
    <w:rsid w:val="00F71FA5"/>
    <w:rsid w:val="00F7206E"/>
    <w:rsid w:val="00F720E2"/>
    <w:rsid w:val="00F720E4"/>
    <w:rsid w:val="00F72249"/>
    <w:rsid w:val="00F72251"/>
    <w:rsid w:val="00F722CE"/>
    <w:rsid w:val="00F72326"/>
    <w:rsid w:val="00F724B0"/>
    <w:rsid w:val="00F725A1"/>
    <w:rsid w:val="00F7271D"/>
    <w:rsid w:val="00F7277F"/>
    <w:rsid w:val="00F727C7"/>
    <w:rsid w:val="00F7282E"/>
    <w:rsid w:val="00F72863"/>
    <w:rsid w:val="00F728E1"/>
    <w:rsid w:val="00F72982"/>
    <w:rsid w:val="00F72990"/>
    <w:rsid w:val="00F729FF"/>
    <w:rsid w:val="00F72BA3"/>
    <w:rsid w:val="00F72CF0"/>
    <w:rsid w:val="00F72E83"/>
    <w:rsid w:val="00F72F9E"/>
    <w:rsid w:val="00F72FD4"/>
    <w:rsid w:val="00F730E8"/>
    <w:rsid w:val="00F730E9"/>
    <w:rsid w:val="00F7312F"/>
    <w:rsid w:val="00F73238"/>
    <w:rsid w:val="00F73241"/>
    <w:rsid w:val="00F7327D"/>
    <w:rsid w:val="00F73335"/>
    <w:rsid w:val="00F733D2"/>
    <w:rsid w:val="00F733F9"/>
    <w:rsid w:val="00F7370E"/>
    <w:rsid w:val="00F73788"/>
    <w:rsid w:val="00F739B6"/>
    <w:rsid w:val="00F73AD2"/>
    <w:rsid w:val="00F73AE8"/>
    <w:rsid w:val="00F73C20"/>
    <w:rsid w:val="00F73CBE"/>
    <w:rsid w:val="00F73D30"/>
    <w:rsid w:val="00F73D4D"/>
    <w:rsid w:val="00F73DC6"/>
    <w:rsid w:val="00F73F7F"/>
    <w:rsid w:val="00F73FBE"/>
    <w:rsid w:val="00F7406C"/>
    <w:rsid w:val="00F74104"/>
    <w:rsid w:val="00F7419E"/>
    <w:rsid w:val="00F741C1"/>
    <w:rsid w:val="00F741C4"/>
    <w:rsid w:val="00F742B4"/>
    <w:rsid w:val="00F743AA"/>
    <w:rsid w:val="00F743FB"/>
    <w:rsid w:val="00F7458B"/>
    <w:rsid w:val="00F746F2"/>
    <w:rsid w:val="00F74787"/>
    <w:rsid w:val="00F74790"/>
    <w:rsid w:val="00F747EC"/>
    <w:rsid w:val="00F7482B"/>
    <w:rsid w:val="00F74874"/>
    <w:rsid w:val="00F7491E"/>
    <w:rsid w:val="00F74921"/>
    <w:rsid w:val="00F74996"/>
    <w:rsid w:val="00F74A2C"/>
    <w:rsid w:val="00F74B78"/>
    <w:rsid w:val="00F74C84"/>
    <w:rsid w:val="00F74D1B"/>
    <w:rsid w:val="00F74DAF"/>
    <w:rsid w:val="00F74EA3"/>
    <w:rsid w:val="00F74FB4"/>
    <w:rsid w:val="00F7506B"/>
    <w:rsid w:val="00F75082"/>
    <w:rsid w:val="00F750AE"/>
    <w:rsid w:val="00F752AD"/>
    <w:rsid w:val="00F75328"/>
    <w:rsid w:val="00F753D8"/>
    <w:rsid w:val="00F75495"/>
    <w:rsid w:val="00F75767"/>
    <w:rsid w:val="00F757B8"/>
    <w:rsid w:val="00F75894"/>
    <w:rsid w:val="00F758C4"/>
    <w:rsid w:val="00F758EA"/>
    <w:rsid w:val="00F75BCE"/>
    <w:rsid w:val="00F75C48"/>
    <w:rsid w:val="00F75D29"/>
    <w:rsid w:val="00F75D82"/>
    <w:rsid w:val="00F75E02"/>
    <w:rsid w:val="00F75E66"/>
    <w:rsid w:val="00F75FA8"/>
    <w:rsid w:val="00F76014"/>
    <w:rsid w:val="00F76097"/>
    <w:rsid w:val="00F76286"/>
    <w:rsid w:val="00F76306"/>
    <w:rsid w:val="00F76325"/>
    <w:rsid w:val="00F76429"/>
    <w:rsid w:val="00F765D2"/>
    <w:rsid w:val="00F76650"/>
    <w:rsid w:val="00F7668D"/>
    <w:rsid w:val="00F76909"/>
    <w:rsid w:val="00F76A36"/>
    <w:rsid w:val="00F76A55"/>
    <w:rsid w:val="00F76AE0"/>
    <w:rsid w:val="00F76B83"/>
    <w:rsid w:val="00F76E17"/>
    <w:rsid w:val="00F76EFA"/>
    <w:rsid w:val="00F76FE2"/>
    <w:rsid w:val="00F76FE8"/>
    <w:rsid w:val="00F76FFF"/>
    <w:rsid w:val="00F77034"/>
    <w:rsid w:val="00F77038"/>
    <w:rsid w:val="00F77059"/>
    <w:rsid w:val="00F77423"/>
    <w:rsid w:val="00F77505"/>
    <w:rsid w:val="00F7754B"/>
    <w:rsid w:val="00F775A0"/>
    <w:rsid w:val="00F77760"/>
    <w:rsid w:val="00F77794"/>
    <w:rsid w:val="00F77A07"/>
    <w:rsid w:val="00F77A7B"/>
    <w:rsid w:val="00F77CEE"/>
    <w:rsid w:val="00F77D82"/>
    <w:rsid w:val="00F77DD8"/>
    <w:rsid w:val="00F77E76"/>
    <w:rsid w:val="00F800D4"/>
    <w:rsid w:val="00F800F0"/>
    <w:rsid w:val="00F8010F"/>
    <w:rsid w:val="00F80139"/>
    <w:rsid w:val="00F8039D"/>
    <w:rsid w:val="00F8044F"/>
    <w:rsid w:val="00F8053F"/>
    <w:rsid w:val="00F80587"/>
    <w:rsid w:val="00F80589"/>
    <w:rsid w:val="00F805FE"/>
    <w:rsid w:val="00F8062A"/>
    <w:rsid w:val="00F8083E"/>
    <w:rsid w:val="00F80C4F"/>
    <w:rsid w:val="00F80FD0"/>
    <w:rsid w:val="00F80FE1"/>
    <w:rsid w:val="00F8104C"/>
    <w:rsid w:val="00F81093"/>
    <w:rsid w:val="00F8119A"/>
    <w:rsid w:val="00F81332"/>
    <w:rsid w:val="00F81492"/>
    <w:rsid w:val="00F8150F"/>
    <w:rsid w:val="00F81736"/>
    <w:rsid w:val="00F817DE"/>
    <w:rsid w:val="00F817F1"/>
    <w:rsid w:val="00F81B7B"/>
    <w:rsid w:val="00F81BBA"/>
    <w:rsid w:val="00F81BC2"/>
    <w:rsid w:val="00F81BDF"/>
    <w:rsid w:val="00F81C21"/>
    <w:rsid w:val="00F81DCC"/>
    <w:rsid w:val="00F81DFE"/>
    <w:rsid w:val="00F81E16"/>
    <w:rsid w:val="00F81F33"/>
    <w:rsid w:val="00F81FF5"/>
    <w:rsid w:val="00F82118"/>
    <w:rsid w:val="00F8213C"/>
    <w:rsid w:val="00F82257"/>
    <w:rsid w:val="00F8258D"/>
    <w:rsid w:val="00F82602"/>
    <w:rsid w:val="00F8269D"/>
    <w:rsid w:val="00F827D0"/>
    <w:rsid w:val="00F828B4"/>
    <w:rsid w:val="00F82A9F"/>
    <w:rsid w:val="00F82CD7"/>
    <w:rsid w:val="00F82D20"/>
    <w:rsid w:val="00F82EBD"/>
    <w:rsid w:val="00F8302E"/>
    <w:rsid w:val="00F83136"/>
    <w:rsid w:val="00F83207"/>
    <w:rsid w:val="00F833BA"/>
    <w:rsid w:val="00F834AF"/>
    <w:rsid w:val="00F834DF"/>
    <w:rsid w:val="00F8363E"/>
    <w:rsid w:val="00F83684"/>
    <w:rsid w:val="00F83771"/>
    <w:rsid w:val="00F83829"/>
    <w:rsid w:val="00F839AC"/>
    <w:rsid w:val="00F83B73"/>
    <w:rsid w:val="00F83C83"/>
    <w:rsid w:val="00F83CD9"/>
    <w:rsid w:val="00F83DCB"/>
    <w:rsid w:val="00F83FE9"/>
    <w:rsid w:val="00F84187"/>
    <w:rsid w:val="00F84387"/>
    <w:rsid w:val="00F844CB"/>
    <w:rsid w:val="00F844E8"/>
    <w:rsid w:val="00F84502"/>
    <w:rsid w:val="00F84552"/>
    <w:rsid w:val="00F84554"/>
    <w:rsid w:val="00F84739"/>
    <w:rsid w:val="00F84747"/>
    <w:rsid w:val="00F84833"/>
    <w:rsid w:val="00F8483D"/>
    <w:rsid w:val="00F848CD"/>
    <w:rsid w:val="00F84929"/>
    <w:rsid w:val="00F8492C"/>
    <w:rsid w:val="00F84A34"/>
    <w:rsid w:val="00F84A45"/>
    <w:rsid w:val="00F84A88"/>
    <w:rsid w:val="00F84D81"/>
    <w:rsid w:val="00F84EE0"/>
    <w:rsid w:val="00F84F00"/>
    <w:rsid w:val="00F8512E"/>
    <w:rsid w:val="00F85153"/>
    <w:rsid w:val="00F8520F"/>
    <w:rsid w:val="00F8521B"/>
    <w:rsid w:val="00F85237"/>
    <w:rsid w:val="00F8528D"/>
    <w:rsid w:val="00F852A2"/>
    <w:rsid w:val="00F853C4"/>
    <w:rsid w:val="00F85553"/>
    <w:rsid w:val="00F856C2"/>
    <w:rsid w:val="00F857A0"/>
    <w:rsid w:val="00F858FA"/>
    <w:rsid w:val="00F859E8"/>
    <w:rsid w:val="00F85B43"/>
    <w:rsid w:val="00F85DC2"/>
    <w:rsid w:val="00F85FB6"/>
    <w:rsid w:val="00F8606F"/>
    <w:rsid w:val="00F863C4"/>
    <w:rsid w:val="00F864B5"/>
    <w:rsid w:val="00F864D9"/>
    <w:rsid w:val="00F864FD"/>
    <w:rsid w:val="00F86590"/>
    <w:rsid w:val="00F865DE"/>
    <w:rsid w:val="00F8665F"/>
    <w:rsid w:val="00F8673D"/>
    <w:rsid w:val="00F86926"/>
    <w:rsid w:val="00F8696F"/>
    <w:rsid w:val="00F86986"/>
    <w:rsid w:val="00F869EE"/>
    <w:rsid w:val="00F86C04"/>
    <w:rsid w:val="00F86C1C"/>
    <w:rsid w:val="00F86C9D"/>
    <w:rsid w:val="00F86CCD"/>
    <w:rsid w:val="00F86EA6"/>
    <w:rsid w:val="00F871E0"/>
    <w:rsid w:val="00F87295"/>
    <w:rsid w:val="00F872CE"/>
    <w:rsid w:val="00F873AE"/>
    <w:rsid w:val="00F87504"/>
    <w:rsid w:val="00F87656"/>
    <w:rsid w:val="00F876E7"/>
    <w:rsid w:val="00F8775C"/>
    <w:rsid w:val="00F87842"/>
    <w:rsid w:val="00F87958"/>
    <w:rsid w:val="00F87968"/>
    <w:rsid w:val="00F87A6E"/>
    <w:rsid w:val="00F87B9C"/>
    <w:rsid w:val="00F87C63"/>
    <w:rsid w:val="00F87CBA"/>
    <w:rsid w:val="00F87CD3"/>
    <w:rsid w:val="00F87D10"/>
    <w:rsid w:val="00F87DD8"/>
    <w:rsid w:val="00F87E4B"/>
    <w:rsid w:val="00F87E6E"/>
    <w:rsid w:val="00F87E9F"/>
    <w:rsid w:val="00F87F14"/>
    <w:rsid w:val="00F900F3"/>
    <w:rsid w:val="00F90129"/>
    <w:rsid w:val="00F90134"/>
    <w:rsid w:val="00F90175"/>
    <w:rsid w:val="00F90186"/>
    <w:rsid w:val="00F901CD"/>
    <w:rsid w:val="00F90302"/>
    <w:rsid w:val="00F90431"/>
    <w:rsid w:val="00F90487"/>
    <w:rsid w:val="00F90503"/>
    <w:rsid w:val="00F90540"/>
    <w:rsid w:val="00F905DA"/>
    <w:rsid w:val="00F907A4"/>
    <w:rsid w:val="00F9091A"/>
    <w:rsid w:val="00F90AAA"/>
    <w:rsid w:val="00F90B9D"/>
    <w:rsid w:val="00F90C93"/>
    <w:rsid w:val="00F90CEE"/>
    <w:rsid w:val="00F90E82"/>
    <w:rsid w:val="00F90F20"/>
    <w:rsid w:val="00F90FDD"/>
    <w:rsid w:val="00F9103B"/>
    <w:rsid w:val="00F91115"/>
    <w:rsid w:val="00F91384"/>
    <w:rsid w:val="00F91387"/>
    <w:rsid w:val="00F913DB"/>
    <w:rsid w:val="00F91431"/>
    <w:rsid w:val="00F915AB"/>
    <w:rsid w:val="00F9170D"/>
    <w:rsid w:val="00F9184D"/>
    <w:rsid w:val="00F91990"/>
    <w:rsid w:val="00F91A7B"/>
    <w:rsid w:val="00F91B44"/>
    <w:rsid w:val="00F91D82"/>
    <w:rsid w:val="00F91E51"/>
    <w:rsid w:val="00F91F40"/>
    <w:rsid w:val="00F92046"/>
    <w:rsid w:val="00F9206C"/>
    <w:rsid w:val="00F9210B"/>
    <w:rsid w:val="00F92125"/>
    <w:rsid w:val="00F9219B"/>
    <w:rsid w:val="00F92207"/>
    <w:rsid w:val="00F923C1"/>
    <w:rsid w:val="00F923F3"/>
    <w:rsid w:val="00F9243F"/>
    <w:rsid w:val="00F924F2"/>
    <w:rsid w:val="00F92646"/>
    <w:rsid w:val="00F9266F"/>
    <w:rsid w:val="00F928A6"/>
    <w:rsid w:val="00F9296E"/>
    <w:rsid w:val="00F92A00"/>
    <w:rsid w:val="00F92A97"/>
    <w:rsid w:val="00F92A9C"/>
    <w:rsid w:val="00F92AB1"/>
    <w:rsid w:val="00F92B8A"/>
    <w:rsid w:val="00F92E2A"/>
    <w:rsid w:val="00F92EBA"/>
    <w:rsid w:val="00F92EC4"/>
    <w:rsid w:val="00F92FB9"/>
    <w:rsid w:val="00F931FA"/>
    <w:rsid w:val="00F932E1"/>
    <w:rsid w:val="00F9338B"/>
    <w:rsid w:val="00F93396"/>
    <w:rsid w:val="00F933E1"/>
    <w:rsid w:val="00F93482"/>
    <w:rsid w:val="00F93834"/>
    <w:rsid w:val="00F93932"/>
    <w:rsid w:val="00F9396E"/>
    <w:rsid w:val="00F939C7"/>
    <w:rsid w:val="00F93B27"/>
    <w:rsid w:val="00F93B34"/>
    <w:rsid w:val="00F93C36"/>
    <w:rsid w:val="00F93D89"/>
    <w:rsid w:val="00F93F08"/>
    <w:rsid w:val="00F93F30"/>
    <w:rsid w:val="00F9403C"/>
    <w:rsid w:val="00F941B1"/>
    <w:rsid w:val="00F94219"/>
    <w:rsid w:val="00F94367"/>
    <w:rsid w:val="00F9436C"/>
    <w:rsid w:val="00F94485"/>
    <w:rsid w:val="00F944AE"/>
    <w:rsid w:val="00F945E1"/>
    <w:rsid w:val="00F9468F"/>
    <w:rsid w:val="00F94816"/>
    <w:rsid w:val="00F94959"/>
    <w:rsid w:val="00F94BC7"/>
    <w:rsid w:val="00F950DC"/>
    <w:rsid w:val="00F95130"/>
    <w:rsid w:val="00F951F8"/>
    <w:rsid w:val="00F95347"/>
    <w:rsid w:val="00F9559B"/>
    <w:rsid w:val="00F955C5"/>
    <w:rsid w:val="00F95654"/>
    <w:rsid w:val="00F956B9"/>
    <w:rsid w:val="00F957EF"/>
    <w:rsid w:val="00F95988"/>
    <w:rsid w:val="00F95A2C"/>
    <w:rsid w:val="00F95A36"/>
    <w:rsid w:val="00F95ABE"/>
    <w:rsid w:val="00F95CD5"/>
    <w:rsid w:val="00F95D20"/>
    <w:rsid w:val="00F95D44"/>
    <w:rsid w:val="00F95D56"/>
    <w:rsid w:val="00F95D61"/>
    <w:rsid w:val="00F95E0C"/>
    <w:rsid w:val="00F96063"/>
    <w:rsid w:val="00F96129"/>
    <w:rsid w:val="00F96173"/>
    <w:rsid w:val="00F961FB"/>
    <w:rsid w:val="00F96261"/>
    <w:rsid w:val="00F9641B"/>
    <w:rsid w:val="00F9644D"/>
    <w:rsid w:val="00F964BA"/>
    <w:rsid w:val="00F965B4"/>
    <w:rsid w:val="00F965B6"/>
    <w:rsid w:val="00F967D2"/>
    <w:rsid w:val="00F96825"/>
    <w:rsid w:val="00F968DF"/>
    <w:rsid w:val="00F96A3F"/>
    <w:rsid w:val="00F96A68"/>
    <w:rsid w:val="00F96AE5"/>
    <w:rsid w:val="00F96B06"/>
    <w:rsid w:val="00F96CED"/>
    <w:rsid w:val="00F96DF4"/>
    <w:rsid w:val="00F96DFE"/>
    <w:rsid w:val="00F96F4B"/>
    <w:rsid w:val="00F96F90"/>
    <w:rsid w:val="00F970B3"/>
    <w:rsid w:val="00F97111"/>
    <w:rsid w:val="00F971DA"/>
    <w:rsid w:val="00F97352"/>
    <w:rsid w:val="00F973A0"/>
    <w:rsid w:val="00F973C7"/>
    <w:rsid w:val="00F976A7"/>
    <w:rsid w:val="00F976BE"/>
    <w:rsid w:val="00F976E4"/>
    <w:rsid w:val="00F97811"/>
    <w:rsid w:val="00F9783A"/>
    <w:rsid w:val="00F97846"/>
    <w:rsid w:val="00F9786D"/>
    <w:rsid w:val="00F97922"/>
    <w:rsid w:val="00F9793F"/>
    <w:rsid w:val="00F97A5D"/>
    <w:rsid w:val="00F97C0C"/>
    <w:rsid w:val="00F97F5A"/>
    <w:rsid w:val="00FA012E"/>
    <w:rsid w:val="00FA01D9"/>
    <w:rsid w:val="00FA02EE"/>
    <w:rsid w:val="00FA0523"/>
    <w:rsid w:val="00FA0572"/>
    <w:rsid w:val="00FA05A7"/>
    <w:rsid w:val="00FA0665"/>
    <w:rsid w:val="00FA0759"/>
    <w:rsid w:val="00FA0786"/>
    <w:rsid w:val="00FA0793"/>
    <w:rsid w:val="00FA084A"/>
    <w:rsid w:val="00FA09F5"/>
    <w:rsid w:val="00FA0AF3"/>
    <w:rsid w:val="00FA0BDF"/>
    <w:rsid w:val="00FA0C8E"/>
    <w:rsid w:val="00FA0ECB"/>
    <w:rsid w:val="00FA0F00"/>
    <w:rsid w:val="00FA0F6D"/>
    <w:rsid w:val="00FA1022"/>
    <w:rsid w:val="00FA1044"/>
    <w:rsid w:val="00FA11EC"/>
    <w:rsid w:val="00FA13E6"/>
    <w:rsid w:val="00FA16F9"/>
    <w:rsid w:val="00FA1762"/>
    <w:rsid w:val="00FA1773"/>
    <w:rsid w:val="00FA1851"/>
    <w:rsid w:val="00FA18BA"/>
    <w:rsid w:val="00FA1924"/>
    <w:rsid w:val="00FA19C1"/>
    <w:rsid w:val="00FA1B5F"/>
    <w:rsid w:val="00FA1C88"/>
    <w:rsid w:val="00FA1D00"/>
    <w:rsid w:val="00FA1D2A"/>
    <w:rsid w:val="00FA2020"/>
    <w:rsid w:val="00FA2036"/>
    <w:rsid w:val="00FA2064"/>
    <w:rsid w:val="00FA21D7"/>
    <w:rsid w:val="00FA223C"/>
    <w:rsid w:val="00FA2261"/>
    <w:rsid w:val="00FA2310"/>
    <w:rsid w:val="00FA2364"/>
    <w:rsid w:val="00FA251E"/>
    <w:rsid w:val="00FA254B"/>
    <w:rsid w:val="00FA25DC"/>
    <w:rsid w:val="00FA25E2"/>
    <w:rsid w:val="00FA2688"/>
    <w:rsid w:val="00FA26D2"/>
    <w:rsid w:val="00FA2720"/>
    <w:rsid w:val="00FA277F"/>
    <w:rsid w:val="00FA288C"/>
    <w:rsid w:val="00FA28ED"/>
    <w:rsid w:val="00FA2A70"/>
    <w:rsid w:val="00FA2B57"/>
    <w:rsid w:val="00FA2BBC"/>
    <w:rsid w:val="00FA2BF4"/>
    <w:rsid w:val="00FA2C8B"/>
    <w:rsid w:val="00FA2D50"/>
    <w:rsid w:val="00FA2E74"/>
    <w:rsid w:val="00FA2F35"/>
    <w:rsid w:val="00FA2F6D"/>
    <w:rsid w:val="00FA2F81"/>
    <w:rsid w:val="00FA2FFF"/>
    <w:rsid w:val="00FA301E"/>
    <w:rsid w:val="00FA3285"/>
    <w:rsid w:val="00FA3295"/>
    <w:rsid w:val="00FA3308"/>
    <w:rsid w:val="00FA333A"/>
    <w:rsid w:val="00FA347A"/>
    <w:rsid w:val="00FA3504"/>
    <w:rsid w:val="00FA3524"/>
    <w:rsid w:val="00FA3644"/>
    <w:rsid w:val="00FA3670"/>
    <w:rsid w:val="00FA3695"/>
    <w:rsid w:val="00FA3781"/>
    <w:rsid w:val="00FA3810"/>
    <w:rsid w:val="00FA3864"/>
    <w:rsid w:val="00FA3867"/>
    <w:rsid w:val="00FA38BB"/>
    <w:rsid w:val="00FA3977"/>
    <w:rsid w:val="00FA3A57"/>
    <w:rsid w:val="00FA3A7E"/>
    <w:rsid w:val="00FA3B66"/>
    <w:rsid w:val="00FA3BBB"/>
    <w:rsid w:val="00FA3DA1"/>
    <w:rsid w:val="00FA3DEE"/>
    <w:rsid w:val="00FA3F10"/>
    <w:rsid w:val="00FA41E1"/>
    <w:rsid w:val="00FA42BE"/>
    <w:rsid w:val="00FA441C"/>
    <w:rsid w:val="00FA4455"/>
    <w:rsid w:val="00FA44DA"/>
    <w:rsid w:val="00FA44F8"/>
    <w:rsid w:val="00FA4554"/>
    <w:rsid w:val="00FA4580"/>
    <w:rsid w:val="00FA45E8"/>
    <w:rsid w:val="00FA4602"/>
    <w:rsid w:val="00FA462C"/>
    <w:rsid w:val="00FA469F"/>
    <w:rsid w:val="00FA48AD"/>
    <w:rsid w:val="00FA48D1"/>
    <w:rsid w:val="00FA495F"/>
    <w:rsid w:val="00FA497B"/>
    <w:rsid w:val="00FA4B26"/>
    <w:rsid w:val="00FA4D0A"/>
    <w:rsid w:val="00FA4F37"/>
    <w:rsid w:val="00FA5012"/>
    <w:rsid w:val="00FA50DE"/>
    <w:rsid w:val="00FA517F"/>
    <w:rsid w:val="00FA51D2"/>
    <w:rsid w:val="00FA52B2"/>
    <w:rsid w:val="00FA53F9"/>
    <w:rsid w:val="00FA54A7"/>
    <w:rsid w:val="00FA54E4"/>
    <w:rsid w:val="00FA5539"/>
    <w:rsid w:val="00FA56F1"/>
    <w:rsid w:val="00FA5719"/>
    <w:rsid w:val="00FA57F5"/>
    <w:rsid w:val="00FA5A50"/>
    <w:rsid w:val="00FA5AAD"/>
    <w:rsid w:val="00FA5D13"/>
    <w:rsid w:val="00FA5E1B"/>
    <w:rsid w:val="00FA5E34"/>
    <w:rsid w:val="00FA5E94"/>
    <w:rsid w:val="00FA5F30"/>
    <w:rsid w:val="00FA5FB4"/>
    <w:rsid w:val="00FA622C"/>
    <w:rsid w:val="00FA62D2"/>
    <w:rsid w:val="00FA635C"/>
    <w:rsid w:val="00FA636A"/>
    <w:rsid w:val="00FA65EA"/>
    <w:rsid w:val="00FA666A"/>
    <w:rsid w:val="00FA667F"/>
    <w:rsid w:val="00FA66BA"/>
    <w:rsid w:val="00FA6984"/>
    <w:rsid w:val="00FA6B32"/>
    <w:rsid w:val="00FA6B5C"/>
    <w:rsid w:val="00FA6BC9"/>
    <w:rsid w:val="00FA6BF1"/>
    <w:rsid w:val="00FA6DB1"/>
    <w:rsid w:val="00FA6F50"/>
    <w:rsid w:val="00FA7110"/>
    <w:rsid w:val="00FA72F6"/>
    <w:rsid w:val="00FA755C"/>
    <w:rsid w:val="00FA75A3"/>
    <w:rsid w:val="00FA7667"/>
    <w:rsid w:val="00FA770D"/>
    <w:rsid w:val="00FA7783"/>
    <w:rsid w:val="00FA784C"/>
    <w:rsid w:val="00FA7903"/>
    <w:rsid w:val="00FA7A33"/>
    <w:rsid w:val="00FA7B0A"/>
    <w:rsid w:val="00FA7B17"/>
    <w:rsid w:val="00FA7C86"/>
    <w:rsid w:val="00FA7C98"/>
    <w:rsid w:val="00FB004F"/>
    <w:rsid w:val="00FB0095"/>
    <w:rsid w:val="00FB00D6"/>
    <w:rsid w:val="00FB014E"/>
    <w:rsid w:val="00FB0160"/>
    <w:rsid w:val="00FB0178"/>
    <w:rsid w:val="00FB01F9"/>
    <w:rsid w:val="00FB020D"/>
    <w:rsid w:val="00FB037E"/>
    <w:rsid w:val="00FB03C8"/>
    <w:rsid w:val="00FB0610"/>
    <w:rsid w:val="00FB065C"/>
    <w:rsid w:val="00FB07AD"/>
    <w:rsid w:val="00FB0AD7"/>
    <w:rsid w:val="00FB0AE2"/>
    <w:rsid w:val="00FB0BA0"/>
    <w:rsid w:val="00FB0CD4"/>
    <w:rsid w:val="00FB0D30"/>
    <w:rsid w:val="00FB0D44"/>
    <w:rsid w:val="00FB0DE6"/>
    <w:rsid w:val="00FB0E1C"/>
    <w:rsid w:val="00FB0E36"/>
    <w:rsid w:val="00FB10A9"/>
    <w:rsid w:val="00FB118E"/>
    <w:rsid w:val="00FB11CC"/>
    <w:rsid w:val="00FB12C4"/>
    <w:rsid w:val="00FB1336"/>
    <w:rsid w:val="00FB13E3"/>
    <w:rsid w:val="00FB149F"/>
    <w:rsid w:val="00FB1746"/>
    <w:rsid w:val="00FB1799"/>
    <w:rsid w:val="00FB17EC"/>
    <w:rsid w:val="00FB1849"/>
    <w:rsid w:val="00FB1868"/>
    <w:rsid w:val="00FB1871"/>
    <w:rsid w:val="00FB1935"/>
    <w:rsid w:val="00FB1B1C"/>
    <w:rsid w:val="00FB1B5F"/>
    <w:rsid w:val="00FB1C84"/>
    <w:rsid w:val="00FB1DC6"/>
    <w:rsid w:val="00FB1E00"/>
    <w:rsid w:val="00FB1F8D"/>
    <w:rsid w:val="00FB1FE0"/>
    <w:rsid w:val="00FB2101"/>
    <w:rsid w:val="00FB2292"/>
    <w:rsid w:val="00FB22C4"/>
    <w:rsid w:val="00FB2393"/>
    <w:rsid w:val="00FB23B9"/>
    <w:rsid w:val="00FB23E4"/>
    <w:rsid w:val="00FB2456"/>
    <w:rsid w:val="00FB25B6"/>
    <w:rsid w:val="00FB261F"/>
    <w:rsid w:val="00FB27D9"/>
    <w:rsid w:val="00FB2898"/>
    <w:rsid w:val="00FB2B03"/>
    <w:rsid w:val="00FB2C1F"/>
    <w:rsid w:val="00FB2D2F"/>
    <w:rsid w:val="00FB2DC8"/>
    <w:rsid w:val="00FB2F24"/>
    <w:rsid w:val="00FB2FD9"/>
    <w:rsid w:val="00FB3130"/>
    <w:rsid w:val="00FB32BA"/>
    <w:rsid w:val="00FB32CB"/>
    <w:rsid w:val="00FB33FF"/>
    <w:rsid w:val="00FB3707"/>
    <w:rsid w:val="00FB393D"/>
    <w:rsid w:val="00FB397C"/>
    <w:rsid w:val="00FB3A40"/>
    <w:rsid w:val="00FB3BB8"/>
    <w:rsid w:val="00FB3C0A"/>
    <w:rsid w:val="00FB3C42"/>
    <w:rsid w:val="00FB3CFC"/>
    <w:rsid w:val="00FB3EE6"/>
    <w:rsid w:val="00FB3F3D"/>
    <w:rsid w:val="00FB4223"/>
    <w:rsid w:val="00FB432E"/>
    <w:rsid w:val="00FB4503"/>
    <w:rsid w:val="00FB4509"/>
    <w:rsid w:val="00FB46B4"/>
    <w:rsid w:val="00FB4719"/>
    <w:rsid w:val="00FB4787"/>
    <w:rsid w:val="00FB47C8"/>
    <w:rsid w:val="00FB47D0"/>
    <w:rsid w:val="00FB4813"/>
    <w:rsid w:val="00FB488A"/>
    <w:rsid w:val="00FB4961"/>
    <w:rsid w:val="00FB4985"/>
    <w:rsid w:val="00FB4A70"/>
    <w:rsid w:val="00FB4C1F"/>
    <w:rsid w:val="00FB4CC1"/>
    <w:rsid w:val="00FB4D9B"/>
    <w:rsid w:val="00FB4EFE"/>
    <w:rsid w:val="00FB4F55"/>
    <w:rsid w:val="00FB4FB7"/>
    <w:rsid w:val="00FB51AB"/>
    <w:rsid w:val="00FB5318"/>
    <w:rsid w:val="00FB53F3"/>
    <w:rsid w:val="00FB551A"/>
    <w:rsid w:val="00FB55F9"/>
    <w:rsid w:val="00FB56B2"/>
    <w:rsid w:val="00FB58D3"/>
    <w:rsid w:val="00FB593C"/>
    <w:rsid w:val="00FB5ADE"/>
    <w:rsid w:val="00FB5B3A"/>
    <w:rsid w:val="00FB5B43"/>
    <w:rsid w:val="00FB5B6D"/>
    <w:rsid w:val="00FB5C04"/>
    <w:rsid w:val="00FB5CC1"/>
    <w:rsid w:val="00FB5D76"/>
    <w:rsid w:val="00FB5DF1"/>
    <w:rsid w:val="00FB5E9B"/>
    <w:rsid w:val="00FB5EBB"/>
    <w:rsid w:val="00FB5ED1"/>
    <w:rsid w:val="00FB5FA7"/>
    <w:rsid w:val="00FB5FD3"/>
    <w:rsid w:val="00FB604C"/>
    <w:rsid w:val="00FB606D"/>
    <w:rsid w:val="00FB60B9"/>
    <w:rsid w:val="00FB626A"/>
    <w:rsid w:val="00FB63A2"/>
    <w:rsid w:val="00FB6415"/>
    <w:rsid w:val="00FB641E"/>
    <w:rsid w:val="00FB65BF"/>
    <w:rsid w:val="00FB67A1"/>
    <w:rsid w:val="00FB681B"/>
    <w:rsid w:val="00FB688C"/>
    <w:rsid w:val="00FB68CA"/>
    <w:rsid w:val="00FB6908"/>
    <w:rsid w:val="00FB6A64"/>
    <w:rsid w:val="00FB6A88"/>
    <w:rsid w:val="00FB6B58"/>
    <w:rsid w:val="00FB6BAD"/>
    <w:rsid w:val="00FB6D6A"/>
    <w:rsid w:val="00FB6D76"/>
    <w:rsid w:val="00FB6EA0"/>
    <w:rsid w:val="00FB701D"/>
    <w:rsid w:val="00FB708E"/>
    <w:rsid w:val="00FB7140"/>
    <w:rsid w:val="00FB71B0"/>
    <w:rsid w:val="00FB71C9"/>
    <w:rsid w:val="00FB7205"/>
    <w:rsid w:val="00FB7231"/>
    <w:rsid w:val="00FB7287"/>
    <w:rsid w:val="00FB72A7"/>
    <w:rsid w:val="00FB735A"/>
    <w:rsid w:val="00FB7369"/>
    <w:rsid w:val="00FB7393"/>
    <w:rsid w:val="00FB746C"/>
    <w:rsid w:val="00FB747D"/>
    <w:rsid w:val="00FB76B4"/>
    <w:rsid w:val="00FB7807"/>
    <w:rsid w:val="00FB787B"/>
    <w:rsid w:val="00FB7939"/>
    <w:rsid w:val="00FB7C29"/>
    <w:rsid w:val="00FB7C32"/>
    <w:rsid w:val="00FB7D87"/>
    <w:rsid w:val="00FB7DCB"/>
    <w:rsid w:val="00FC000A"/>
    <w:rsid w:val="00FC0174"/>
    <w:rsid w:val="00FC01CD"/>
    <w:rsid w:val="00FC02E5"/>
    <w:rsid w:val="00FC031D"/>
    <w:rsid w:val="00FC038C"/>
    <w:rsid w:val="00FC0474"/>
    <w:rsid w:val="00FC0589"/>
    <w:rsid w:val="00FC0B14"/>
    <w:rsid w:val="00FC0B72"/>
    <w:rsid w:val="00FC0B89"/>
    <w:rsid w:val="00FC0BE2"/>
    <w:rsid w:val="00FC0C41"/>
    <w:rsid w:val="00FC0D06"/>
    <w:rsid w:val="00FC0DF7"/>
    <w:rsid w:val="00FC0EFF"/>
    <w:rsid w:val="00FC0FF5"/>
    <w:rsid w:val="00FC108F"/>
    <w:rsid w:val="00FC10C2"/>
    <w:rsid w:val="00FC10E5"/>
    <w:rsid w:val="00FC10ED"/>
    <w:rsid w:val="00FC11A0"/>
    <w:rsid w:val="00FC1208"/>
    <w:rsid w:val="00FC12DA"/>
    <w:rsid w:val="00FC137F"/>
    <w:rsid w:val="00FC1497"/>
    <w:rsid w:val="00FC150A"/>
    <w:rsid w:val="00FC163C"/>
    <w:rsid w:val="00FC16DD"/>
    <w:rsid w:val="00FC19FB"/>
    <w:rsid w:val="00FC1A76"/>
    <w:rsid w:val="00FC1BEB"/>
    <w:rsid w:val="00FC1BF5"/>
    <w:rsid w:val="00FC1CBC"/>
    <w:rsid w:val="00FC1E75"/>
    <w:rsid w:val="00FC1ECD"/>
    <w:rsid w:val="00FC1F0C"/>
    <w:rsid w:val="00FC1F51"/>
    <w:rsid w:val="00FC1FF2"/>
    <w:rsid w:val="00FC2070"/>
    <w:rsid w:val="00FC20CE"/>
    <w:rsid w:val="00FC2183"/>
    <w:rsid w:val="00FC219B"/>
    <w:rsid w:val="00FC221C"/>
    <w:rsid w:val="00FC227F"/>
    <w:rsid w:val="00FC22BB"/>
    <w:rsid w:val="00FC2518"/>
    <w:rsid w:val="00FC253E"/>
    <w:rsid w:val="00FC25CA"/>
    <w:rsid w:val="00FC2711"/>
    <w:rsid w:val="00FC2728"/>
    <w:rsid w:val="00FC28B8"/>
    <w:rsid w:val="00FC28CA"/>
    <w:rsid w:val="00FC2AA7"/>
    <w:rsid w:val="00FC2BA8"/>
    <w:rsid w:val="00FC2CBE"/>
    <w:rsid w:val="00FC2D28"/>
    <w:rsid w:val="00FC2E82"/>
    <w:rsid w:val="00FC2EEB"/>
    <w:rsid w:val="00FC3085"/>
    <w:rsid w:val="00FC3157"/>
    <w:rsid w:val="00FC3261"/>
    <w:rsid w:val="00FC34CA"/>
    <w:rsid w:val="00FC3504"/>
    <w:rsid w:val="00FC36C8"/>
    <w:rsid w:val="00FC3B64"/>
    <w:rsid w:val="00FC3BF3"/>
    <w:rsid w:val="00FC3BF9"/>
    <w:rsid w:val="00FC3C42"/>
    <w:rsid w:val="00FC3CB1"/>
    <w:rsid w:val="00FC3CB8"/>
    <w:rsid w:val="00FC3E1C"/>
    <w:rsid w:val="00FC3E2B"/>
    <w:rsid w:val="00FC3F20"/>
    <w:rsid w:val="00FC408E"/>
    <w:rsid w:val="00FC4113"/>
    <w:rsid w:val="00FC431D"/>
    <w:rsid w:val="00FC4381"/>
    <w:rsid w:val="00FC4437"/>
    <w:rsid w:val="00FC444D"/>
    <w:rsid w:val="00FC44CC"/>
    <w:rsid w:val="00FC44FC"/>
    <w:rsid w:val="00FC4503"/>
    <w:rsid w:val="00FC45EA"/>
    <w:rsid w:val="00FC472C"/>
    <w:rsid w:val="00FC4809"/>
    <w:rsid w:val="00FC482A"/>
    <w:rsid w:val="00FC4852"/>
    <w:rsid w:val="00FC48F7"/>
    <w:rsid w:val="00FC49F8"/>
    <w:rsid w:val="00FC4A96"/>
    <w:rsid w:val="00FC4B82"/>
    <w:rsid w:val="00FC4D87"/>
    <w:rsid w:val="00FC4D8F"/>
    <w:rsid w:val="00FC4EEF"/>
    <w:rsid w:val="00FC4F11"/>
    <w:rsid w:val="00FC506C"/>
    <w:rsid w:val="00FC509E"/>
    <w:rsid w:val="00FC50DF"/>
    <w:rsid w:val="00FC51C1"/>
    <w:rsid w:val="00FC520D"/>
    <w:rsid w:val="00FC5527"/>
    <w:rsid w:val="00FC5570"/>
    <w:rsid w:val="00FC559E"/>
    <w:rsid w:val="00FC5728"/>
    <w:rsid w:val="00FC574F"/>
    <w:rsid w:val="00FC58B0"/>
    <w:rsid w:val="00FC5914"/>
    <w:rsid w:val="00FC59FA"/>
    <w:rsid w:val="00FC5A29"/>
    <w:rsid w:val="00FC5AF2"/>
    <w:rsid w:val="00FC5B99"/>
    <w:rsid w:val="00FC5BDB"/>
    <w:rsid w:val="00FC5E4B"/>
    <w:rsid w:val="00FC604E"/>
    <w:rsid w:val="00FC606F"/>
    <w:rsid w:val="00FC6209"/>
    <w:rsid w:val="00FC63A8"/>
    <w:rsid w:val="00FC652F"/>
    <w:rsid w:val="00FC6622"/>
    <w:rsid w:val="00FC66F3"/>
    <w:rsid w:val="00FC676B"/>
    <w:rsid w:val="00FC6930"/>
    <w:rsid w:val="00FC6939"/>
    <w:rsid w:val="00FC6BA3"/>
    <w:rsid w:val="00FC6CF2"/>
    <w:rsid w:val="00FC6D0C"/>
    <w:rsid w:val="00FC6E60"/>
    <w:rsid w:val="00FC6EAE"/>
    <w:rsid w:val="00FC6EF3"/>
    <w:rsid w:val="00FC6F70"/>
    <w:rsid w:val="00FC6FA3"/>
    <w:rsid w:val="00FC7180"/>
    <w:rsid w:val="00FC7440"/>
    <w:rsid w:val="00FC74AF"/>
    <w:rsid w:val="00FC754C"/>
    <w:rsid w:val="00FC7761"/>
    <w:rsid w:val="00FC7770"/>
    <w:rsid w:val="00FC77CA"/>
    <w:rsid w:val="00FC781F"/>
    <w:rsid w:val="00FC7820"/>
    <w:rsid w:val="00FC7968"/>
    <w:rsid w:val="00FC7B68"/>
    <w:rsid w:val="00FC7D1D"/>
    <w:rsid w:val="00FC7D5D"/>
    <w:rsid w:val="00FC7E4A"/>
    <w:rsid w:val="00FC7E5E"/>
    <w:rsid w:val="00FC7F15"/>
    <w:rsid w:val="00FC7F43"/>
    <w:rsid w:val="00FC7FB6"/>
    <w:rsid w:val="00FD0142"/>
    <w:rsid w:val="00FD020C"/>
    <w:rsid w:val="00FD020D"/>
    <w:rsid w:val="00FD049C"/>
    <w:rsid w:val="00FD05A0"/>
    <w:rsid w:val="00FD05E5"/>
    <w:rsid w:val="00FD0878"/>
    <w:rsid w:val="00FD0B29"/>
    <w:rsid w:val="00FD0B2B"/>
    <w:rsid w:val="00FD0DCE"/>
    <w:rsid w:val="00FD0E79"/>
    <w:rsid w:val="00FD0EE4"/>
    <w:rsid w:val="00FD0FA4"/>
    <w:rsid w:val="00FD0FE8"/>
    <w:rsid w:val="00FD1015"/>
    <w:rsid w:val="00FD1022"/>
    <w:rsid w:val="00FD10A6"/>
    <w:rsid w:val="00FD11E5"/>
    <w:rsid w:val="00FD122D"/>
    <w:rsid w:val="00FD13F1"/>
    <w:rsid w:val="00FD1463"/>
    <w:rsid w:val="00FD15D8"/>
    <w:rsid w:val="00FD16C5"/>
    <w:rsid w:val="00FD17E5"/>
    <w:rsid w:val="00FD1968"/>
    <w:rsid w:val="00FD1A21"/>
    <w:rsid w:val="00FD1ACA"/>
    <w:rsid w:val="00FD1B0D"/>
    <w:rsid w:val="00FD1B9A"/>
    <w:rsid w:val="00FD1C7C"/>
    <w:rsid w:val="00FD1D16"/>
    <w:rsid w:val="00FD1D69"/>
    <w:rsid w:val="00FD1E86"/>
    <w:rsid w:val="00FD1E8E"/>
    <w:rsid w:val="00FD1EBE"/>
    <w:rsid w:val="00FD1F0A"/>
    <w:rsid w:val="00FD1F8A"/>
    <w:rsid w:val="00FD21EF"/>
    <w:rsid w:val="00FD21FC"/>
    <w:rsid w:val="00FD2288"/>
    <w:rsid w:val="00FD22EF"/>
    <w:rsid w:val="00FD2372"/>
    <w:rsid w:val="00FD23D9"/>
    <w:rsid w:val="00FD24BE"/>
    <w:rsid w:val="00FD24F4"/>
    <w:rsid w:val="00FD2506"/>
    <w:rsid w:val="00FD2624"/>
    <w:rsid w:val="00FD26B7"/>
    <w:rsid w:val="00FD276F"/>
    <w:rsid w:val="00FD2807"/>
    <w:rsid w:val="00FD282F"/>
    <w:rsid w:val="00FD2865"/>
    <w:rsid w:val="00FD28A0"/>
    <w:rsid w:val="00FD2969"/>
    <w:rsid w:val="00FD29AB"/>
    <w:rsid w:val="00FD2B41"/>
    <w:rsid w:val="00FD2D09"/>
    <w:rsid w:val="00FD2E6B"/>
    <w:rsid w:val="00FD2F6A"/>
    <w:rsid w:val="00FD30C3"/>
    <w:rsid w:val="00FD31CF"/>
    <w:rsid w:val="00FD347C"/>
    <w:rsid w:val="00FD3493"/>
    <w:rsid w:val="00FD35F3"/>
    <w:rsid w:val="00FD3634"/>
    <w:rsid w:val="00FD37FA"/>
    <w:rsid w:val="00FD3869"/>
    <w:rsid w:val="00FD39BB"/>
    <w:rsid w:val="00FD3A3A"/>
    <w:rsid w:val="00FD3AEB"/>
    <w:rsid w:val="00FD3C1A"/>
    <w:rsid w:val="00FD3C24"/>
    <w:rsid w:val="00FD3C7F"/>
    <w:rsid w:val="00FD3DB9"/>
    <w:rsid w:val="00FD3E29"/>
    <w:rsid w:val="00FD3E30"/>
    <w:rsid w:val="00FD3E32"/>
    <w:rsid w:val="00FD3E82"/>
    <w:rsid w:val="00FD3E9D"/>
    <w:rsid w:val="00FD402C"/>
    <w:rsid w:val="00FD412F"/>
    <w:rsid w:val="00FD418E"/>
    <w:rsid w:val="00FD42C2"/>
    <w:rsid w:val="00FD43C4"/>
    <w:rsid w:val="00FD43D4"/>
    <w:rsid w:val="00FD4457"/>
    <w:rsid w:val="00FD4555"/>
    <w:rsid w:val="00FD456D"/>
    <w:rsid w:val="00FD46D1"/>
    <w:rsid w:val="00FD46F6"/>
    <w:rsid w:val="00FD47DE"/>
    <w:rsid w:val="00FD4942"/>
    <w:rsid w:val="00FD4C8C"/>
    <w:rsid w:val="00FD4D03"/>
    <w:rsid w:val="00FD5005"/>
    <w:rsid w:val="00FD50B6"/>
    <w:rsid w:val="00FD513D"/>
    <w:rsid w:val="00FD5252"/>
    <w:rsid w:val="00FD5270"/>
    <w:rsid w:val="00FD5318"/>
    <w:rsid w:val="00FD537A"/>
    <w:rsid w:val="00FD540E"/>
    <w:rsid w:val="00FD5435"/>
    <w:rsid w:val="00FD549B"/>
    <w:rsid w:val="00FD55AD"/>
    <w:rsid w:val="00FD570B"/>
    <w:rsid w:val="00FD576C"/>
    <w:rsid w:val="00FD57FB"/>
    <w:rsid w:val="00FD581F"/>
    <w:rsid w:val="00FD5834"/>
    <w:rsid w:val="00FD58EB"/>
    <w:rsid w:val="00FD595D"/>
    <w:rsid w:val="00FD59AA"/>
    <w:rsid w:val="00FD59F8"/>
    <w:rsid w:val="00FD5A61"/>
    <w:rsid w:val="00FD5B05"/>
    <w:rsid w:val="00FD5D0B"/>
    <w:rsid w:val="00FD5D73"/>
    <w:rsid w:val="00FD5F0A"/>
    <w:rsid w:val="00FD5FF3"/>
    <w:rsid w:val="00FD6069"/>
    <w:rsid w:val="00FD60CB"/>
    <w:rsid w:val="00FD6140"/>
    <w:rsid w:val="00FD6143"/>
    <w:rsid w:val="00FD61F8"/>
    <w:rsid w:val="00FD61FA"/>
    <w:rsid w:val="00FD61FE"/>
    <w:rsid w:val="00FD624D"/>
    <w:rsid w:val="00FD6351"/>
    <w:rsid w:val="00FD63D4"/>
    <w:rsid w:val="00FD63F5"/>
    <w:rsid w:val="00FD6429"/>
    <w:rsid w:val="00FD655E"/>
    <w:rsid w:val="00FD656B"/>
    <w:rsid w:val="00FD6625"/>
    <w:rsid w:val="00FD6734"/>
    <w:rsid w:val="00FD67B7"/>
    <w:rsid w:val="00FD68BA"/>
    <w:rsid w:val="00FD6AC0"/>
    <w:rsid w:val="00FD6AC4"/>
    <w:rsid w:val="00FD6AE5"/>
    <w:rsid w:val="00FD6BDE"/>
    <w:rsid w:val="00FD6EC1"/>
    <w:rsid w:val="00FD6FA8"/>
    <w:rsid w:val="00FD6FC7"/>
    <w:rsid w:val="00FD7173"/>
    <w:rsid w:val="00FD71D3"/>
    <w:rsid w:val="00FD7340"/>
    <w:rsid w:val="00FD738C"/>
    <w:rsid w:val="00FD7425"/>
    <w:rsid w:val="00FD7528"/>
    <w:rsid w:val="00FD76BD"/>
    <w:rsid w:val="00FD777F"/>
    <w:rsid w:val="00FD77FB"/>
    <w:rsid w:val="00FD7887"/>
    <w:rsid w:val="00FD79B0"/>
    <w:rsid w:val="00FD7A96"/>
    <w:rsid w:val="00FD7C54"/>
    <w:rsid w:val="00FD7C57"/>
    <w:rsid w:val="00FD7CA0"/>
    <w:rsid w:val="00FD7D40"/>
    <w:rsid w:val="00FD7DA6"/>
    <w:rsid w:val="00FD7DBF"/>
    <w:rsid w:val="00FD7DE2"/>
    <w:rsid w:val="00FD7EEE"/>
    <w:rsid w:val="00FD7F72"/>
    <w:rsid w:val="00FE0053"/>
    <w:rsid w:val="00FE005A"/>
    <w:rsid w:val="00FE014C"/>
    <w:rsid w:val="00FE01E1"/>
    <w:rsid w:val="00FE0372"/>
    <w:rsid w:val="00FE050F"/>
    <w:rsid w:val="00FE055F"/>
    <w:rsid w:val="00FE061D"/>
    <w:rsid w:val="00FE0702"/>
    <w:rsid w:val="00FE07F3"/>
    <w:rsid w:val="00FE0BAC"/>
    <w:rsid w:val="00FE0D71"/>
    <w:rsid w:val="00FE0E5F"/>
    <w:rsid w:val="00FE0EAA"/>
    <w:rsid w:val="00FE0FA9"/>
    <w:rsid w:val="00FE1005"/>
    <w:rsid w:val="00FE1017"/>
    <w:rsid w:val="00FE1056"/>
    <w:rsid w:val="00FE10D0"/>
    <w:rsid w:val="00FE117A"/>
    <w:rsid w:val="00FE1250"/>
    <w:rsid w:val="00FE1277"/>
    <w:rsid w:val="00FE1539"/>
    <w:rsid w:val="00FE15C9"/>
    <w:rsid w:val="00FE16E1"/>
    <w:rsid w:val="00FE177B"/>
    <w:rsid w:val="00FE182F"/>
    <w:rsid w:val="00FE1867"/>
    <w:rsid w:val="00FE1A9C"/>
    <w:rsid w:val="00FE1B70"/>
    <w:rsid w:val="00FE1D28"/>
    <w:rsid w:val="00FE1E0D"/>
    <w:rsid w:val="00FE20EB"/>
    <w:rsid w:val="00FE2295"/>
    <w:rsid w:val="00FE22E4"/>
    <w:rsid w:val="00FE24D9"/>
    <w:rsid w:val="00FE27CB"/>
    <w:rsid w:val="00FE281B"/>
    <w:rsid w:val="00FE2874"/>
    <w:rsid w:val="00FE2892"/>
    <w:rsid w:val="00FE2898"/>
    <w:rsid w:val="00FE28C1"/>
    <w:rsid w:val="00FE28FF"/>
    <w:rsid w:val="00FE2A0A"/>
    <w:rsid w:val="00FE2BC4"/>
    <w:rsid w:val="00FE2BDC"/>
    <w:rsid w:val="00FE2BE7"/>
    <w:rsid w:val="00FE2DF3"/>
    <w:rsid w:val="00FE2E4B"/>
    <w:rsid w:val="00FE2E85"/>
    <w:rsid w:val="00FE2EC9"/>
    <w:rsid w:val="00FE2F5C"/>
    <w:rsid w:val="00FE3009"/>
    <w:rsid w:val="00FE318D"/>
    <w:rsid w:val="00FE324C"/>
    <w:rsid w:val="00FE3264"/>
    <w:rsid w:val="00FE3333"/>
    <w:rsid w:val="00FE3435"/>
    <w:rsid w:val="00FE34CB"/>
    <w:rsid w:val="00FE3591"/>
    <w:rsid w:val="00FE35D6"/>
    <w:rsid w:val="00FE360C"/>
    <w:rsid w:val="00FE36D7"/>
    <w:rsid w:val="00FE3717"/>
    <w:rsid w:val="00FE3894"/>
    <w:rsid w:val="00FE3A41"/>
    <w:rsid w:val="00FE3A5D"/>
    <w:rsid w:val="00FE3A92"/>
    <w:rsid w:val="00FE3B2A"/>
    <w:rsid w:val="00FE3B61"/>
    <w:rsid w:val="00FE3B9D"/>
    <w:rsid w:val="00FE3BCF"/>
    <w:rsid w:val="00FE3C89"/>
    <w:rsid w:val="00FE3CE3"/>
    <w:rsid w:val="00FE3DBE"/>
    <w:rsid w:val="00FE40E4"/>
    <w:rsid w:val="00FE412A"/>
    <w:rsid w:val="00FE41C3"/>
    <w:rsid w:val="00FE41D5"/>
    <w:rsid w:val="00FE42CD"/>
    <w:rsid w:val="00FE4438"/>
    <w:rsid w:val="00FE44CE"/>
    <w:rsid w:val="00FE4564"/>
    <w:rsid w:val="00FE46DE"/>
    <w:rsid w:val="00FE4795"/>
    <w:rsid w:val="00FE485E"/>
    <w:rsid w:val="00FE4B45"/>
    <w:rsid w:val="00FE4DAB"/>
    <w:rsid w:val="00FE4ED1"/>
    <w:rsid w:val="00FE4ED8"/>
    <w:rsid w:val="00FE4F7C"/>
    <w:rsid w:val="00FE4FA6"/>
    <w:rsid w:val="00FE508B"/>
    <w:rsid w:val="00FE515E"/>
    <w:rsid w:val="00FE51BC"/>
    <w:rsid w:val="00FE524F"/>
    <w:rsid w:val="00FE5299"/>
    <w:rsid w:val="00FE52D7"/>
    <w:rsid w:val="00FE542E"/>
    <w:rsid w:val="00FE5675"/>
    <w:rsid w:val="00FE56EC"/>
    <w:rsid w:val="00FE57CF"/>
    <w:rsid w:val="00FE595B"/>
    <w:rsid w:val="00FE5979"/>
    <w:rsid w:val="00FE5995"/>
    <w:rsid w:val="00FE59E8"/>
    <w:rsid w:val="00FE5A70"/>
    <w:rsid w:val="00FE5CB0"/>
    <w:rsid w:val="00FE5CCA"/>
    <w:rsid w:val="00FE5DC5"/>
    <w:rsid w:val="00FE5E67"/>
    <w:rsid w:val="00FE5EB0"/>
    <w:rsid w:val="00FE6042"/>
    <w:rsid w:val="00FE60DF"/>
    <w:rsid w:val="00FE62C0"/>
    <w:rsid w:val="00FE6713"/>
    <w:rsid w:val="00FE683F"/>
    <w:rsid w:val="00FE6924"/>
    <w:rsid w:val="00FE6932"/>
    <w:rsid w:val="00FE698B"/>
    <w:rsid w:val="00FE6DA8"/>
    <w:rsid w:val="00FE6E9C"/>
    <w:rsid w:val="00FE6F23"/>
    <w:rsid w:val="00FE70A7"/>
    <w:rsid w:val="00FE70BC"/>
    <w:rsid w:val="00FE7127"/>
    <w:rsid w:val="00FE7288"/>
    <w:rsid w:val="00FE72CE"/>
    <w:rsid w:val="00FE73E1"/>
    <w:rsid w:val="00FE742F"/>
    <w:rsid w:val="00FE746F"/>
    <w:rsid w:val="00FE75E4"/>
    <w:rsid w:val="00FE764D"/>
    <w:rsid w:val="00FE76BD"/>
    <w:rsid w:val="00FE7806"/>
    <w:rsid w:val="00FE7834"/>
    <w:rsid w:val="00FE78FF"/>
    <w:rsid w:val="00FE7977"/>
    <w:rsid w:val="00FE7A70"/>
    <w:rsid w:val="00FE7B6D"/>
    <w:rsid w:val="00FE7BD4"/>
    <w:rsid w:val="00FE7C41"/>
    <w:rsid w:val="00FE7C85"/>
    <w:rsid w:val="00FE7C87"/>
    <w:rsid w:val="00FE7E8E"/>
    <w:rsid w:val="00FE7F6D"/>
    <w:rsid w:val="00FE7FBE"/>
    <w:rsid w:val="00FF0013"/>
    <w:rsid w:val="00FF010F"/>
    <w:rsid w:val="00FF0269"/>
    <w:rsid w:val="00FF02D8"/>
    <w:rsid w:val="00FF0334"/>
    <w:rsid w:val="00FF057E"/>
    <w:rsid w:val="00FF077D"/>
    <w:rsid w:val="00FF0923"/>
    <w:rsid w:val="00FF09A7"/>
    <w:rsid w:val="00FF0B09"/>
    <w:rsid w:val="00FF0C5B"/>
    <w:rsid w:val="00FF0C8F"/>
    <w:rsid w:val="00FF0EE7"/>
    <w:rsid w:val="00FF1008"/>
    <w:rsid w:val="00FF1049"/>
    <w:rsid w:val="00FF134C"/>
    <w:rsid w:val="00FF1447"/>
    <w:rsid w:val="00FF1877"/>
    <w:rsid w:val="00FF19A2"/>
    <w:rsid w:val="00FF1A96"/>
    <w:rsid w:val="00FF1D1F"/>
    <w:rsid w:val="00FF1D68"/>
    <w:rsid w:val="00FF1EE6"/>
    <w:rsid w:val="00FF1F33"/>
    <w:rsid w:val="00FF1FD7"/>
    <w:rsid w:val="00FF206C"/>
    <w:rsid w:val="00FF216A"/>
    <w:rsid w:val="00FF2255"/>
    <w:rsid w:val="00FF2256"/>
    <w:rsid w:val="00FF25D7"/>
    <w:rsid w:val="00FF26A6"/>
    <w:rsid w:val="00FF2789"/>
    <w:rsid w:val="00FF28C8"/>
    <w:rsid w:val="00FF28EF"/>
    <w:rsid w:val="00FF2D4E"/>
    <w:rsid w:val="00FF3023"/>
    <w:rsid w:val="00FF30B0"/>
    <w:rsid w:val="00FF3110"/>
    <w:rsid w:val="00FF31B9"/>
    <w:rsid w:val="00FF32C8"/>
    <w:rsid w:val="00FF32F0"/>
    <w:rsid w:val="00FF33C1"/>
    <w:rsid w:val="00FF3472"/>
    <w:rsid w:val="00FF3486"/>
    <w:rsid w:val="00FF367E"/>
    <w:rsid w:val="00FF3759"/>
    <w:rsid w:val="00FF37B9"/>
    <w:rsid w:val="00FF3AF4"/>
    <w:rsid w:val="00FF3C23"/>
    <w:rsid w:val="00FF3CBB"/>
    <w:rsid w:val="00FF3D84"/>
    <w:rsid w:val="00FF3FF9"/>
    <w:rsid w:val="00FF4100"/>
    <w:rsid w:val="00FF43CF"/>
    <w:rsid w:val="00FF450F"/>
    <w:rsid w:val="00FF460C"/>
    <w:rsid w:val="00FF4625"/>
    <w:rsid w:val="00FF47CC"/>
    <w:rsid w:val="00FF487B"/>
    <w:rsid w:val="00FF489F"/>
    <w:rsid w:val="00FF490C"/>
    <w:rsid w:val="00FF4BB6"/>
    <w:rsid w:val="00FF4F76"/>
    <w:rsid w:val="00FF5020"/>
    <w:rsid w:val="00FF5091"/>
    <w:rsid w:val="00FF51AA"/>
    <w:rsid w:val="00FF52D5"/>
    <w:rsid w:val="00FF5329"/>
    <w:rsid w:val="00FF5365"/>
    <w:rsid w:val="00FF53FB"/>
    <w:rsid w:val="00FF5618"/>
    <w:rsid w:val="00FF566C"/>
    <w:rsid w:val="00FF5725"/>
    <w:rsid w:val="00FF575F"/>
    <w:rsid w:val="00FF59B9"/>
    <w:rsid w:val="00FF5AE5"/>
    <w:rsid w:val="00FF5B78"/>
    <w:rsid w:val="00FF5B8C"/>
    <w:rsid w:val="00FF5BAA"/>
    <w:rsid w:val="00FF5BE3"/>
    <w:rsid w:val="00FF5D49"/>
    <w:rsid w:val="00FF5D4E"/>
    <w:rsid w:val="00FF5DCF"/>
    <w:rsid w:val="00FF5E25"/>
    <w:rsid w:val="00FF5F2B"/>
    <w:rsid w:val="00FF601B"/>
    <w:rsid w:val="00FF6123"/>
    <w:rsid w:val="00FF62AD"/>
    <w:rsid w:val="00FF62C4"/>
    <w:rsid w:val="00FF62DF"/>
    <w:rsid w:val="00FF6629"/>
    <w:rsid w:val="00FF6630"/>
    <w:rsid w:val="00FF666C"/>
    <w:rsid w:val="00FF66A0"/>
    <w:rsid w:val="00FF66F5"/>
    <w:rsid w:val="00FF698D"/>
    <w:rsid w:val="00FF69DD"/>
    <w:rsid w:val="00FF6A10"/>
    <w:rsid w:val="00FF6B30"/>
    <w:rsid w:val="00FF6BCE"/>
    <w:rsid w:val="00FF6CDD"/>
    <w:rsid w:val="00FF6D2B"/>
    <w:rsid w:val="00FF6D89"/>
    <w:rsid w:val="00FF6DC6"/>
    <w:rsid w:val="00FF6ECF"/>
    <w:rsid w:val="00FF7039"/>
    <w:rsid w:val="00FF70D9"/>
    <w:rsid w:val="00FF70DB"/>
    <w:rsid w:val="00FF7252"/>
    <w:rsid w:val="00FF736E"/>
    <w:rsid w:val="00FF73B1"/>
    <w:rsid w:val="00FF7514"/>
    <w:rsid w:val="00FF755E"/>
    <w:rsid w:val="00FF76AC"/>
    <w:rsid w:val="00FF772A"/>
    <w:rsid w:val="00FF78C7"/>
    <w:rsid w:val="00FF78FB"/>
    <w:rsid w:val="00FF790D"/>
    <w:rsid w:val="00FF7936"/>
    <w:rsid w:val="00FF7969"/>
    <w:rsid w:val="00FF7976"/>
    <w:rsid w:val="00FF79F7"/>
    <w:rsid w:val="00FF7C3B"/>
    <w:rsid w:val="00FF7CEB"/>
    <w:rsid w:val="00FF7CFC"/>
    <w:rsid w:val="00FF7DB6"/>
    <w:rsid w:val="017B6299"/>
    <w:rsid w:val="01859C77"/>
    <w:rsid w:val="0197B094"/>
    <w:rsid w:val="01EA6EF3"/>
    <w:rsid w:val="01F9F50A"/>
    <w:rsid w:val="021C3FB4"/>
    <w:rsid w:val="02350B27"/>
    <w:rsid w:val="02C3623D"/>
    <w:rsid w:val="02CEFBC1"/>
    <w:rsid w:val="02D66D35"/>
    <w:rsid w:val="02E1DA22"/>
    <w:rsid w:val="02E2FF28"/>
    <w:rsid w:val="030BACFA"/>
    <w:rsid w:val="030F5475"/>
    <w:rsid w:val="03126548"/>
    <w:rsid w:val="031566EC"/>
    <w:rsid w:val="03386CDE"/>
    <w:rsid w:val="03487F6A"/>
    <w:rsid w:val="03609602"/>
    <w:rsid w:val="03689C9D"/>
    <w:rsid w:val="038BB7B5"/>
    <w:rsid w:val="03917F55"/>
    <w:rsid w:val="0391ACA9"/>
    <w:rsid w:val="03B70AB2"/>
    <w:rsid w:val="040CF08C"/>
    <w:rsid w:val="0427ABAF"/>
    <w:rsid w:val="0463A00E"/>
    <w:rsid w:val="047DF119"/>
    <w:rsid w:val="0480228C"/>
    <w:rsid w:val="04977CF0"/>
    <w:rsid w:val="04E3CEB3"/>
    <w:rsid w:val="04EA4371"/>
    <w:rsid w:val="04FBFF19"/>
    <w:rsid w:val="0500ECB1"/>
    <w:rsid w:val="050888D8"/>
    <w:rsid w:val="05353A9C"/>
    <w:rsid w:val="053FB6C9"/>
    <w:rsid w:val="0566E0C7"/>
    <w:rsid w:val="0578F9BB"/>
    <w:rsid w:val="05A9EC80"/>
    <w:rsid w:val="05B9220C"/>
    <w:rsid w:val="05D9BF84"/>
    <w:rsid w:val="05F03B24"/>
    <w:rsid w:val="05FC7293"/>
    <w:rsid w:val="06065E74"/>
    <w:rsid w:val="06163060"/>
    <w:rsid w:val="0618F769"/>
    <w:rsid w:val="061B94DC"/>
    <w:rsid w:val="062FA21C"/>
    <w:rsid w:val="0656D784"/>
    <w:rsid w:val="066147F9"/>
    <w:rsid w:val="06996B84"/>
    <w:rsid w:val="06BD7E55"/>
    <w:rsid w:val="06D23A88"/>
    <w:rsid w:val="070222A6"/>
    <w:rsid w:val="07077BDF"/>
    <w:rsid w:val="071727B9"/>
    <w:rsid w:val="073FA315"/>
    <w:rsid w:val="0747998B"/>
    <w:rsid w:val="075DC3BD"/>
    <w:rsid w:val="0763436F"/>
    <w:rsid w:val="0770F3E9"/>
    <w:rsid w:val="0773DF97"/>
    <w:rsid w:val="07AA70B2"/>
    <w:rsid w:val="07AB1855"/>
    <w:rsid w:val="07AF81FD"/>
    <w:rsid w:val="07B6181B"/>
    <w:rsid w:val="07D7E069"/>
    <w:rsid w:val="07DFF6EA"/>
    <w:rsid w:val="0808207E"/>
    <w:rsid w:val="080DE33A"/>
    <w:rsid w:val="08298405"/>
    <w:rsid w:val="0846BB07"/>
    <w:rsid w:val="086D45C1"/>
    <w:rsid w:val="086F9F17"/>
    <w:rsid w:val="08711DD1"/>
    <w:rsid w:val="0881B1E7"/>
    <w:rsid w:val="08B36D8C"/>
    <w:rsid w:val="08D2CCE8"/>
    <w:rsid w:val="08E1378E"/>
    <w:rsid w:val="08E1979E"/>
    <w:rsid w:val="09193B22"/>
    <w:rsid w:val="092A4A88"/>
    <w:rsid w:val="092B32BF"/>
    <w:rsid w:val="0945310E"/>
    <w:rsid w:val="09741224"/>
    <w:rsid w:val="098F84A0"/>
    <w:rsid w:val="09AC74BC"/>
    <w:rsid w:val="09C38EEA"/>
    <w:rsid w:val="09C6FE9E"/>
    <w:rsid w:val="0A059735"/>
    <w:rsid w:val="0A0C3E69"/>
    <w:rsid w:val="0A1CDC23"/>
    <w:rsid w:val="0A2A6196"/>
    <w:rsid w:val="0A5613DA"/>
    <w:rsid w:val="0A59A4D9"/>
    <w:rsid w:val="0A76F37F"/>
    <w:rsid w:val="0A9B121A"/>
    <w:rsid w:val="0AC1B0F6"/>
    <w:rsid w:val="0AC89504"/>
    <w:rsid w:val="0AC8D47F"/>
    <w:rsid w:val="0AF1357B"/>
    <w:rsid w:val="0AF1AFCF"/>
    <w:rsid w:val="0B04181C"/>
    <w:rsid w:val="0B09DF4D"/>
    <w:rsid w:val="0B334B9B"/>
    <w:rsid w:val="0B524D8F"/>
    <w:rsid w:val="0B605EA8"/>
    <w:rsid w:val="0B635AF5"/>
    <w:rsid w:val="0B803D7D"/>
    <w:rsid w:val="0B9C8E4A"/>
    <w:rsid w:val="0BB3DEDE"/>
    <w:rsid w:val="0BB66809"/>
    <w:rsid w:val="0BC9F5A5"/>
    <w:rsid w:val="0BD97008"/>
    <w:rsid w:val="0BEBDD95"/>
    <w:rsid w:val="0BECCA5C"/>
    <w:rsid w:val="0C036B77"/>
    <w:rsid w:val="0C142E62"/>
    <w:rsid w:val="0C1863E5"/>
    <w:rsid w:val="0C45CF28"/>
    <w:rsid w:val="0C688200"/>
    <w:rsid w:val="0C6E6EBE"/>
    <w:rsid w:val="0C7A0C00"/>
    <w:rsid w:val="0C87DF3E"/>
    <w:rsid w:val="0C905CF0"/>
    <w:rsid w:val="0CA135F4"/>
    <w:rsid w:val="0CB6061B"/>
    <w:rsid w:val="0CCA8DE4"/>
    <w:rsid w:val="0CD28F15"/>
    <w:rsid w:val="0CD45B14"/>
    <w:rsid w:val="0CE12979"/>
    <w:rsid w:val="0CE20F85"/>
    <w:rsid w:val="0CFB034C"/>
    <w:rsid w:val="0CFE98A5"/>
    <w:rsid w:val="0D087CB2"/>
    <w:rsid w:val="0D1424B1"/>
    <w:rsid w:val="0D187579"/>
    <w:rsid w:val="0D1F471C"/>
    <w:rsid w:val="0D230CE4"/>
    <w:rsid w:val="0D3B06D9"/>
    <w:rsid w:val="0D3F12A1"/>
    <w:rsid w:val="0D3F4431"/>
    <w:rsid w:val="0D4C3A69"/>
    <w:rsid w:val="0D52877A"/>
    <w:rsid w:val="0D560D81"/>
    <w:rsid w:val="0D5FBB8A"/>
    <w:rsid w:val="0DAF82A4"/>
    <w:rsid w:val="0DFE2299"/>
    <w:rsid w:val="0E0B9D57"/>
    <w:rsid w:val="0E28D602"/>
    <w:rsid w:val="0E8CC78B"/>
    <w:rsid w:val="0E955ED4"/>
    <w:rsid w:val="0EC42135"/>
    <w:rsid w:val="0ED5A3D2"/>
    <w:rsid w:val="0F199E3E"/>
    <w:rsid w:val="0F3CD275"/>
    <w:rsid w:val="0F3E2B00"/>
    <w:rsid w:val="0F3EC88E"/>
    <w:rsid w:val="0F46D05B"/>
    <w:rsid w:val="0F583C90"/>
    <w:rsid w:val="0F6F9353"/>
    <w:rsid w:val="0F9A64D1"/>
    <w:rsid w:val="0F9BDDF0"/>
    <w:rsid w:val="0FAC652F"/>
    <w:rsid w:val="0FC77D61"/>
    <w:rsid w:val="0FDCBB7E"/>
    <w:rsid w:val="0FDF0803"/>
    <w:rsid w:val="0FECAFD1"/>
    <w:rsid w:val="100B9586"/>
    <w:rsid w:val="1015D26C"/>
    <w:rsid w:val="10431A90"/>
    <w:rsid w:val="109A0254"/>
    <w:rsid w:val="10ADC16E"/>
    <w:rsid w:val="10B39F83"/>
    <w:rsid w:val="10C05576"/>
    <w:rsid w:val="10D90A99"/>
    <w:rsid w:val="11031497"/>
    <w:rsid w:val="111A8783"/>
    <w:rsid w:val="11731377"/>
    <w:rsid w:val="11A981AB"/>
    <w:rsid w:val="11B5BBCA"/>
    <w:rsid w:val="11D9445C"/>
    <w:rsid w:val="11EC118E"/>
    <w:rsid w:val="11F88870"/>
    <w:rsid w:val="11FA5699"/>
    <w:rsid w:val="12081378"/>
    <w:rsid w:val="121887BF"/>
    <w:rsid w:val="121A0D3B"/>
    <w:rsid w:val="12234748"/>
    <w:rsid w:val="12320F59"/>
    <w:rsid w:val="1248A9A9"/>
    <w:rsid w:val="125B8841"/>
    <w:rsid w:val="12780C93"/>
    <w:rsid w:val="128F65C1"/>
    <w:rsid w:val="12B00DAB"/>
    <w:rsid w:val="12B32FFA"/>
    <w:rsid w:val="12B9B899"/>
    <w:rsid w:val="12C3CEDD"/>
    <w:rsid w:val="12E88B2B"/>
    <w:rsid w:val="13205635"/>
    <w:rsid w:val="132185E8"/>
    <w:rsid w:val="1329F13F"/>
    <w:rsid w:val="13483548"/>
    <w:rsid w:val="134F3C53"/>
    <w:rsid w:val="138C7C57"/>
    <w:rsid w:val="1398DEDF"/>
    <w:rsid w:val="13A04426"/>
    <w:rsid w:val="13BF5E6C"/>
    <w:rsid w:val="13C139BB"/>
    <w:rsid w:val="13CDEB6A"/>
    <w:rsid w:val="13CF7FD4"/>
    <w:rsid w:val="13D8F0C7"/>
    <w:rsid w:val="13DEC2E6"/>
    <w:rsid w:val="13E37DBB"/>
    <w:rsid w:val="13E4159A"/>
    <w:rsid w:val="1434A6F6"/>
    <w:rsid w:val="1444FA8E"/>
    <w:rsid w:val="14A977C4"/>
    <w:rsid w:val="14A9ABB4"/>
    <w:rsid w:val="14BE04A9"/>
    <w:rsid w:val="14D0BE31"/>
    <w:rsid w:val="14DA4607"/>
    <w:rsid w:val="14DE5BDD"/>
    <w:rsid w:val="14E52FC0"/>
    <w:rsid w:val="14ECEB4E"/>
    <w:rsid w:val="14F04FC1"/>
    <w:rsid w:val="154A183D"/>
    <w:rsid w:val="15531DE0"/>
    <w:rsid w:val="159E074D"/>
    <w:rsid w:val="15CBF9D0"/>
    <w:rsid w:val="15CE6877"/>
    <w:rsid w:val="15EBAD64"/>
    <w:rsid w:val="15F5B38A"/>
    <w:rsid w:val="1615288E"/>
    <w:rsid w:val="1618B4B0"/>
    <w:rsid w:val="162D45DD"/>
    <w:rsid w:val="164B8D57"/>
    <w:rsid w:val="1664B7C6"/>
    <w:rsid w:val="168AA840"/>
    <w:rsid w:val="16933B4F"/>
    <w:rsid w:val="16A06167"/>
    <w:rsid w:val="16C116E5"/>
    <w:rsid w:val="16E09C5E"/>
    <w:rsid w:val="16E31921"/>
    <w:rsid w:val="1734DBFF"/>
    <w:rsid w:val="1749C617"/>
    <w:rsid w:val="174AE098"/>
    <w:rsid w:val="17611054"/>
    <w:rsid w:val="1792F41E"/>
    <w:rsid w:val="179A6F82"/>
    <w:rsid w:val="17AE5BCE"/>
    <w:rsid w:val="17CF212A"/>
    <w:rsid w:val="17D5A9B3"/>
    <w:rsid w:val="17FE04FF"/>
    <w:rsid w:val="1803908D"/>
    <w:rsid w:val="18046EA2"/>
    <w:rsid w:val="180B8531"/>
    <w:rsid w:val="180BDAB6"/>
    <w:rsid w:val="1810D4DF"/>
    <w:rsid w:val="1828CC72"/>
    <w:rsid w:val="182B8B7F"/>
    <w:rsid w:val="18300593"/>
    <w:rsid w:val="1865A35D"/>
    <w:rsid w:val="188D0822"/>
    <w:rsid w:val="18AEAD58"/>
    <w:rsid w:val="18DE81D1"/>
    <w:rsid w:val="1904A858"/>
    <w:rsid w:val="19092D81"/>
    <w:rsid w:val="190EF90B"/>
    <w:rsid w:val="192ABD0C"/>
    <w:rsid w:val="192EEDE4"/>
    <w:rsid w:val="19588368"/>
    <w:rsid w:val="1964FB98"/>
    <w:rsid w:val="1969FE01"/>
    <w:rsid w:val="196EF32B"/>
    <w:rsid w:val="1974F662"/>
    <w:rsid w:val="197977E7"/>
    <w:rsid w:val="198DBF3E"/>
    <w:rsid w:val="199DA368"/>
    <w:rsid w:val="19A7B2FE"/>
    <w:rsid w:val="19E84CE7"/>
    <w:rsid w:val="19FA3070"/>
    <w:rsid w:val="19FAAFD7"/>
    <w:rsid w:val="1A1FCE81"/>
    <w:rsid w:val="1A44FF92"/>
    <w:rsid w:val="1A45D571"/>
    <w:rsid w:val="1A4A5935"/>
    <w:rsid w:val="1A4BB922"/>
    <w:rsid w:val="1A5F39F3"/>
    <w:rsid w:val="1A70A4F1"/>
    <w:rsid w:val="1A7299C7"/>
    <w:rsid w:val="1A788403"/>
    <w:rsid w:val="1AC585A9"/>
    <w:rsid w:val="1ADDE67D"/>
    <w:rsid w:val="1B2962A3"/>
    <w:rsid w:val="1B39A96C"/>
    <w:rsid w:val="1B3F5279"/>
    <w:rsid w:val="1B4ED289"/>
    <w:rsid w:val="1B779134"/>
    <w:rsid w:val="1B7903B4"/>
    <w:rsid w:val="1BB5EB35"/>
    <w:rsid w:val="1BCAF71F"/>
    <w:rsid w:val="1BE59F1C"/>
    <w:rsid w:val="1C0FDB64"/>
    <w:rsid w:val="1C22C1B1"/>
    <w:rsid w:val="1C24E5DF"/>
    <w:rsid w:val="1C2F472F"/>
    <w:rsid w:val="1C304809"/>
    <w:rsid w:val="1C3F289B"/>
    <w:rsid w:val="1C416776"/>
    <w:rsid w:val="1C41A697"/>
    <w:rsid w:val="1C424933"/>
    <w:rsid w:val="1C44A2B0"/>
    <w:rsid w:val="1C734455"/>
    <w:rsid w:val="1CA98347"/>
    <w:rsid w:val="1CDEE0C3"/>
    <w:rsid w:val="1CF12DCB"/>
    <w:rsid w:val="1D1F525C"/>
    <w:rsid w:val="1D21C1B7"/>
    <w:rsid w:val="1D243B43"/>
    <w:rsid w:val="1D43F0C9"/>
    <w:rsid w:val="1D870E1D"/>
    <w:rsid w:val="1D8B45D4"/>
    <w:rsid w:val="1D8F0DE9"/>
    <w:rsid w:val="1D9EA725"/>
    <w:rsid w:val="1DAA4A0F"/>
    <w:rsid w:val="1DC4BD01"/>
    <w:rsid w:val="1DDF0E69"/>
    <w:rsid w:val="1DE39A53"/>
    <w:rsid w:val="1DEF9052"/>
    <w:rsid w:val="1DF9E2A8"/>
    <w:rsid w:val="1E01440E"/>
    <w:rsid w:val="1E3DFB8B"/>
    <w:rsid w:val="1E5087E4"/>
    <w:rsid w:val="1E6295F6"/>
    <w:rsid w:val="1E70BD06"/>
    <w:rsid w:val="1E721EC6"/>
    <w:rsid w:val="1E73BBE5"/>
    <w:rsid w:val="1E83DDC5"/>
    <w:rsid w:val="1E870672"/>
    <w:rsid w:val="1EB4610A"/>
    <w:rsid w:val="1EBEC394"/>
    <w:rsid w:val="1EC2EB74"/>
    <w:rsid w:val="1EC461F8"/>
    <w:rsid w:val="1ED017D9"/>
    <w:rsid w:val="1ED53D04"/>
    <w:rsid w:val="1EE75435"/>
    <w:rsid w:val="1EF131E5"/>
    <w:rsid w:val="1EF1E791"/>
    <w:rsid w:val="1EF779C3"/>
    <w:rsid w:val="1F009B3A"/>
    <w:rsid w:val="1F2693A6"/>
    <w:rsid w:val="1F26ECBD"/>
    <w:rsid w:val="1F4083AE"/>
    <w:rsid w:val="1F690B24"/>
    <w:rsid w:val="1F8C4449"/>
    <w:rsid w:val="1F93F176"/>
    <w:rsid w:val="1FC66EF5"/>
    <w:rsid w:val="1FD07AFB"/>
    <w:rsid w:val="1FD27C36"/>
    <w:rsid w:val="1FD43042"/>
    <w:rsid w:val="1FDF769F"/>
    <w:rsid w:val="1FFCA0B9"/>
    <w:rsid w:val="2000E02B"/>
    <w:rsid w:val="2007D424"/>
    <w:rsid w:val="201AA9D5"/>
    <w:rsid w:val="2037B763"/>
    <w:rsid w:val="204F0320"/>
    <w:rsid w:val="205F154A"/>
    <w:rsid w:val="207DF280"/>
    <w:rsid w:val="20A27200"/>
    <w:rsid w:val="20A321E3"/>
    <w:rsid w:val="20B65D60"/>
    <w:rsid w:val="20FD73CE"/>
    <w:rsid w:val="210B6AEF"/>
    <w:rsid w:val="210DA840"/>
    <w:rsid w:val="21606404"/>
    <w:rsid w:val="21797B28"/>
    <w:rsid w:val="21B34F31"/>
    <w:rsid w:val="21C52D4F"/>
    <w:rsid w:val="21C74ECD"/>
    <w:rsid w:val="21C84110"/>
    <w:rsid w:val="21F2C2A1"/>
    <w:rsid w:val="21FB90DB"/>
    <w:rsid w:val="225B0FCF"/>
    <w:rsid w:val="228F21A5"/>
    <w:rsid w:val="22B4005E"/>
    <w:rsid w:val="22C48B06"/>
    <w:rsid w:val="22CF3436"/>
    <w:rsid w:val="22E669E2"/>
    <w:rsid w:val="22F01C27"/>
    <w:rsid w:val="2305C7BE"/>
    <w:rsid w:val="2311EA56"/>
    <w:rsid w:val="23281850"/>
    <w:rsid w:val="232A1F25"/>
    <w:rsid w:val="23430CDC"/>
    <w:rsid w:val="23561208"/>
    <w:rsid w:val="235ACD16"/>
    <w:rsid w:val="2366A095"/>
    <w:rsid w:val="2389E3FC"/>
    <w:rsid w:val="238B0C08"/>
    <w:rsid w:val="23A5DC0E"/>
    <w:rsid w:val="23AF8C94"/>
    <w:rsid w:val="23ECACE1"/>
    <w:rsid w:val="23F9EB78"/>
    <w:rsid w:val="24009AB3"/>
    <w:rsid w:val="24223756"/>
    <w:rsid w:val="244AB831"/>
    <w:rsid w:val="244B4EAF"/>
    <w:rsid w:val="247F1CB8"/>
    <w:rsid w:val="2490B20E"/>
    <w:rsid w:val="24943A3F"/>
    <w:rsid w:val="24B5D8E5"/>
    <w:rsid w:val="250CAB4D"/>
    <w:rsid w:val="25134482"/>
    <w:rsid w:val="251772BC"/>
    <w:rsid w:val="25428648"/>
    <w:rsid w:val="25548A06"/>
    <w:rsid w:val="256A4FBB"/>
    <w:rsid w:val="257C8ABA"/>
    <w:rsid w:val="257CED63"/>
    <w:rsid w:val="259AE953"/>
    <w:rsid w:val="259CC230"/>
    <w:rsid w:val="25A9F7D1"/>
    <w:rsid w:val="25E39DC2"/>
    <w:rsid w:val="25E85BFC"/>
    <w:rsid w:val="26099DF1"/>
    <w:rsid w:val="261141DF"/>
    <w:rsid w:val="2620F6F0"/>
    <w:rsid w:val="26303FC2"/>
    <w:rsid w:val="26335CED"/>
    <w:rsid w:val="266B8473"/>
    <w:rsid w:val="26770218"/>
    <w:rsid w:val="267D1B9A"/>
    <w:rsid w:val="268EFF39"/>
    <w:rsid w:val="26AAE4B4"/>
    <w:rsid w:val="26B8C1D5"/>
    <w:rsid w:val="26C5AB6C"/>
    <w:rsid w:val="26C7F6E6"/>
    <w:rsid w:val="26D6599E"/>
    <w:rsid w:val="26DC7EA2"/>
    <w:rsid w:val="27025672"/>
    <w:rsid w:val="27316AC7"/>
    <w:rsid w:val="275B9A29"/>
    <w:rsid w:val="278378F1"/>
    <w:rsid w:val="2786B303"/>
    <w:rsid w:val="278EA232"/>
    <w:rsid w:val="27CA7915"/>
    <w:rsid w:val="27DA7DC0"/>
    <w:rsid w:val="27FF010A"/>
    <w:rsid w:val="28130CCC"/>
    <w:rsid w:val="2829B45A"/>
    <w:rsid w:val="2835D754"/>
    <w:rsid w:val="283D0A68"/>
    <w:rsid w:val="28482C43"/>
    <w:rsid w:val="285EBC9F"/>
    <w:rsid w:val="2864051E"/>
    <w:rsid w:val="287F3F2A"/>
    <w:rsid w:val="288D90A5"/>
    <w:rsid w:val="28A449A5"/>
    <w:rsid w:val="28BDEA1B"/>
    <w:rsid w:val="28C02DBD"/>
    <w:rsid w:val="28CE6FC1"/>
    <w:rsid w:val="28CE7BB1"/>
    <w:rsid w:val="28EC500F"/>
    <w:rsid w:val="28F10C3F"/>
    <w:rsid w:val="29096F29"/>
    <w:rsid w:val="29107108"/>
    <w:rsid w:val="291B1FD2"/>
    <w:rsid w:val="29320CE6"/>
    <w:rsid w:val="29369865"/>
    <w:rsid w:val="29371ED4"/>
    <w:rsid w:val="293CA978"/>
    <w:rsid w:val="29490C07"/>
    <w:rsid w:val="29528F2D"/>
    <w:rsid w:val="2967CDE1"/>
    <w:rsid w:val="29914E58"/>
    <w:rsid w:val="2997C874"/>
    <w:rsid w:val="29AA9208"/>
    <w:rsid w:val="29B19502"/>
    <w:rsid w:val="29BA174D"/>
    <w:rsid w:val="29BD2D9D"/>
    <w:rsid w:val="29C3C660"/>
    <w:rsid w:val="29D2CA21"/>
    <w:rsid w:val="29F0B973"/>
    <w:rsid w:val="29FA0FE1"/>
    <w:rsid w:val="2A0C6ADC"/>
    <w:rsid w:val="2A1B7592"/>
    <w:rsid w:val="2A244BF8"/>
    <w:rsid w:val="2A30B4AA"/>
    <w:rsid w:val="2A3E2D98"/>
    <w:rsid w:val="2A5CCC14"/>
    <w:rsid w:val="2A8BDA15"/>
    <w:rsid w:val="2A955B80"/>
    <w:rsid w:val="2A9625F8"/>
    <w:rsid w:val="2AB6D35D"/>
    <w:rsid w:val="2AC0399C"/>
    <w:rsid w:val="2AC9E483"/>
    <w:rsid w:val="2AD4798A"/>
    <w:rsid w:val="2AE4B3F2"/>
    <w:rsid w:val="2B05D9CF"/>
    <w:rsid w:val="2B14737E"/>
    <w:rsid w:val="2B213CFE"/>
    <w:rsid w:val="2B32125B"/>
    <w:rsid w:val="2B39F97F"/>
    <w:rsid w:val="2B49A1C5"/>
    <w:rsid w:val="2B703B36"/>
    <w:rsid w:val="2B7ACEAD"/>
    <w:rsid w:val="2B7B3B18"/>
    <w:rsid w:val="2B91199B"/>
    <w:rsid w:val="2BAA4218"/>
    <w:rsid w:val="2BAF597D"/>
    <w:rsid w:val="2BBCB262"/>
    <w:rsid w:val="2BC1C14A"/>
    <w:rsid w:val="2BC710FE"/>
    <w:rsid w:val="2BC73151"/>
    <w:rsid w:val="2BCC01B7"/>
    <w:rsid w:val="2BD22133"/>
    <w:rsid w:val="2BDF25C5"/>
    <w:rsid w:val="2BE5D41B"/>
    <w:rsid w:val="2BEB857E"/>
    <w:rsid w:val="2BF3C3E3"/>
    <w:rsid w:val="2BFB7533"/>
    <w:rsid w:val="2C0DB270"/>
    <w:rsid w:val="2C1D9584"/>
    <w:rsid w:val="2C1F2913"/>
    <w:rsid w:val="2C3E96A2"/>
    <w:rsid w:val="2C6297A5"/>
    <w:rsid w:val="2C634F7D"/>
    <w:rsid w:val="2C71246B"/>
    <w:rsid w:val="2C7D3A66"/>
    <w:rsid w:val="2C7D456D"/>
    <w:rsid w:val="2C9F4859"/>
    <w:rsid w:val="2CA902E6"/>
    <w:rsid w:val="2CCCD736"/>
    <w:rsid w:val="2CE6F01D"/>
    <w:rsid w:val="2CF7D02D"/>
    <w:rsid w:val="2D0A5838"/>
    <w:rsid w:val="2D10E868"/>
    <w:rsid w:val="2D5FB52E"/>
    <w:rsid w:val="2D6CFDD1"/>
    <w:rsid w:val="2D6E2EC7"/>
    <w:rsid w:val="2D7104EA"/>
    <w:rsid w:val="2D7B450B"/>
    <w:rsid w:val="2DD01A89"/>
    <w:rsid w:val="2DDB7C28"/>
    <w:rsid w:val="2DED51BB"/>
    <w:rsid w:val="2DF8759E"/>
    <w:rsid w:val="2E1330F4"/>
    <w:rsid w:val="2E1AE2BE"/>
    <w:rsid w:val="2E220C56"/>
    <w:rsid w:val="2E3EFD27"/>
    <w:rsid w:val="2E66134C"/>
    <w:rsid w:val="2E7E2932"/>
    <w:rsid w:val="2E97A58D"/>
    <w:rsid w:val="2EE86CB9"/>
    <w:rsid w:val="2EF36348"/>
    <w:rsid w:val="2F1E067A"/>
    <w:rsid w:val="2F222C75"/>
    <w:rsid w:val="2F2267DF"/>
    <w:rsid w:val="2F4D7890"/>
    <w:rsid w:val="2F4FB060"/>
    <w:rsid w:val="2F6F19F7"/>
    <w:rsid w:val="2F941DF5"/>
    <w:rsid w:val="2FA2FC3F"/>
    <w:rsid w:val="2FB07AE2"/>
    <w:rsid w:val="2FBFB01A"/>
    <w:rsid w:val="2FC048DD"/>
    <w:rsid w:val="2FC47C4C"/>
    <w:rsid w:val="2FFD245D"/>
    <w:rsid w:val="30183F7E"/>
    <w:rsid w:val="301C1D49"/>
    <w:rsid w:val="301C530C"/>
    <w:rsid w:val="302621ED"/>
    <w:rsid w:val="30285408"/>
    <w:rsid w:val="306E96D7"/>
    <w:rsid w:val="3073934D"/>
    <w:rsid w:val="3087FB47"/>
    <w:rsid w:val="30D2A244"/>
    <w:rsid w:val="30D70B3F"/>
    <w:rsid w:val="30E3F6A8"/>
    <w:rsid w:val="30E5D289"/>
    <w:rsid w:val="30E7A626"/>
    <w:rsid w:val="30F4AB20"/>
    <w:rsid w:val="3120146D"/>
    <w:rsid w:val="3128877F"/>
    <w:rsid w:val="3128DB5F"/>
    <w:rsid w:val="313265E3"/>
    <w:rsid w:val="313945F1"/>
    <w:rsid w:val="3139F52C"/>
    <w:rsid w:val="314BE438"/>
    <w:rsid w:val="31720230"/>
    <w:rsid w:val="318167CD"/>
    <w:rsid w:val="31B5C4B8"/>
    <w:rsid w:val="31B7142E"/>
    <w:rsid w:val="31CB070A"/>
    <w:rsid w:val="31D5EE56"/>
    <w:rsid w:val="31E88AB8"/>
    <w:rsid w:val="32226128"/>
    <w:rsid w:val="3264E2A9"/>
    <w:rsid w:val="32679F4B"/>
    <w:rsid w:val="3287F2E7"/>
    <w:rsid w:val="329F10B7"/>
    <w:rsid w:val="32B98307"/>
    <w:rsid w:val="32E0E0CA"/>
    <w:rsid w:val="32E851D7"/>
    <w:rsid w:val="32EEBF7E"/>
    <w:rsid w:val="330646A8"/>
    <w:rsid w:val="3306BB7C"/>
    <w:rsid w:val="330F8D3C"/>
    <w:rsid w:val="33103F6B"/>
    <w:rsid w:val="331E2954"/>
    <w:rsid w:val="331F312B"/>
    <w:rsid w:val="332498D3"/>
    <w:rsid w:val="332C0184"/>
    <w:rsid w:val="334D871F"/>
    <w:rsid w:val="3377EC8B"/>
    <w:rsid w:val="338C4A72"/>
    <w:rsid w:val="338F6A1C"/>
    <w:rsid w:val="33BE2903"/>
    <w:rsid w:val="33C343AA"/>
    <w:rsid w:val="33C406A5"/>
    <w:rsid w:val="33E329F0"/>
    <w:rsid w:val="33FBB2F6"/>
    <w:rsid w:val="340E28DA"/>
    <w:rsid w:val="341A5315"/>
    <w:rsid w:val="341C4C4E"/>
    <w:rsid w:val="34350E82"/>
    <w:rsid w:val="3436D27B"/>
    <w:rsid w:val="343C8846"/>
    <w:rsid w:val="34612236"/>
    <w:rsid w:val="3461992E"/>
    <w:rsid w:val="346F4C86"/>
    <w:rsid w:val="34BDE0B1"/>
    <w:rsid w:val="34CC9892"/>
    <w:rsid w:val="34D1EE6B"/>
    <w:rsid w:val="34D95DC3"/>
    <w:rsid w:val="34DD7090"/>
    <w:rsid w:val="34E5EACB"/>
    <w:rsid w:val="34FD81D6"/>
    <w:rsid w:val="3505654D"/>
    <w:rsid w:val="350EED7D"/>
    <w:rsid w:val="3545656F"/>
    <w:rsid w:val="356078E0"/>
    <w:rsid w:val="35886738"/>
    <w:rsid w:val="3596AA78"/>
    <w:rsid w:val="35993932"/>
    <w:rsid w:val="35A9C909"/>
    <w:rsid w:val="35ADE5EF"/>
    <w:rsid w:val="35C788EF"/>
    <w:rsid w:val="35E129EB"/>
    <w:rsid w:val="35EA7BF1"/>
    <w:rsid w:val="3604368F"/>
    <w:rsid w:val="361F54C0"/>
    <w:rsid w:val="36231952"/>
    <w:rsid w:val="36252B6C"/>
    <w:rsid w:val="36517273"/>
    <w:rsid w:val="367D2F95"/>
    <w:rsid w:val="36C95B7C"/>
    <w:rsid w:val="36DD582D"/>
    <w:rsid w:val="3700CC1F"/>
    <w:rsid w:val="373B0F31"/>
    <w:rsid w:val="373FB9F0"/>
    <w:rsid w:val="37A6A7E1"/>
    <w:rsid w:val="37BBAB1E"/>
    <w:rsid w:val="37C86788"/>
    <w:rsid w:val="37D696E4"/>
    <w:rsid w:val="37F9FA53"/>
    <w:rsid w:val="3825DF73"/>
    <w:rsid w:val="382F874F"/>
    <w:rsid w:val="3844880F"/>
    <w:rsid w:val="384A606A"/>
    <w:rsid w:val="387C1444"/>
    <w:rsid w:val="388181C7"/>
    <w:rsid w:val="38850618"/>
    <w:rsid w:val="38B056DE"/>
    <w:rsid w:val="38B9D1B0"/>
    <w:rsid w:val="38BB3509"/>
    <w:rsid w:val="38CA2BC4"/>
    <w:rsid w:val="38CDDF11"/>
    <w:rsid w:val="38D184DD"/>
    <w:rsid w:val="38F0EDA4"/>
    <w:rsid w:val="38F22029"/>
    <w:rsid w:val="38F555C1"/>
    <w:rsid w:val="391648DF"/>
    <w:rsid w:val="392472E5"/>
    <w:rsid w:val="393958B4"/>
    <w:rsid w:val="3958B58D"/>
    <w:rsid w:val="39763495"/>
    <w:rsid w:val="399DB01F"/>
    <w:rsid w:val="39ADC6AB"/>
    <w:rsid w:val="39CAC3EF"/>
    <w:rsid w:val="39D16336"/>
    <w:rsid w:val="39DB9650"/>
    <w:rsid w:val="39F0F6AD"/>
    <w:rsid w:val="3A0A1879"/>
    <w:rsid w:val="3A30729C"/>
    <w:rsid w:val="3A370B35"/>
    <w:rsid w:val="3A8EC3F7"/>
    <w:rsid w:val="3A903B14"/>
    <w:rsid w:val="3A97B485"/>
    <w:rsid w:val="3ABD2B1A"/>
    <w:rsid w:val="3AE41407"/>
    <w:rsid w:val="3B03D2A6"/>
    <w:rsid w:val="3B1B377F"/>
    <w:rsid w:val="3B3546A7"/>
    <w:rsid w:val="3B3731CE"/>
    <w:rsid w:val="3B76A4CA"/>
    <w:rsid w:val="3BA44B61"/>
    <w:rsid w:val="3BC070B1"/>
    <w:rsid w:val="3BCA22F1"/>
    <w:rsid w:val="3BD5F7D8"/>
    <w:rsid w:val="3C0B1097"/>
    <w:rsid w:val="3C1104AD"/>
    <w:rsid w:val="3C195E94"/>
    <w:rsid w:val="3C2F2740"/>
    <w:rsid w:val="3C6BE5C6"/>
    <w:rsid w:val="3C99BE17"/>
    <w:rsid w:val="3CA9A2D2"/>
    <w:rsid w:val="3CDA677A"/>
    <w:rsid w:val="3CDDF09B"/>
    <w:rsid w:val="3CDE6E50"/>
    <w:rsid w:val="3CE062B2"/>
    <w:rsid w:val="3CF6EAE1"/>
    <w:rsid w:val="3CFC12A1"/>
    <w:rsid w:val="3D76BE07"/>
    <w:rsid w:val="3D7BA32A"/>
    <w:rsid w:val="3D90463E"/>
    <w:rsid w:val="3D918F64"/>
    <w:rsid w:val="3DA74E99"/>
    <w:rsid w:val="3DBD239F"/>
    <w:rsid w:val="3DBEDD39"/>
    <w:rsid w:val="3DC82241"/>
    <w:rsid w:val="3DF947D1"/>
    <w:rsid w:val="3DFF404F"/>
    <w:rsid w:val="3E302C81"/>
    <w:rsid w:val="3E43B86D"/>
    <w:rsid w:val="3E45B5D7"/>
    <w:rsid w:val="3E5308CE"/>
    <w:rsid w:val="3E612F9E"/>
    <w:rsid w:val="3E98C578"/>
    <w:rsid w:val="3EAF0743"/>
    <w:rsid w:val="3ECE913F"/>
    <w:rsid w:val="3EF3F88F"/>
    <w:rsid w:val="3F2DC102"/>
    <w:rsid w:val="3F2F3CD7"/>
    <w:rsid w:val="3F49F8F1"/>
    <w:rsid w:val="3F55B3DB"/>
    <w:rsid w:val="3F8046EF"/>
    <w:rsid w:val="3FB0A10C"/>
    <w:rsid w:val="3FB25CBA"/>
    <w:rsid w:val="3FE67B55"/>
    <w:rsid w:val="3FF34C25"/>
    <w:rsid w:val="400749E2"/>
    <w:rsid w:val="400FFC5B"/>
    <w:rsid w:val="4027E883"/>
    <w:rsid w:val="402A2136"/>
    <w:rsid w:val="402D7256"/>
    <w:rsid w:val="40382304"/>
    <w:rsid w:val="403E71D9"/>
    <w:rsid w:val="404014FC"/>
    <w:rsid w:val="4040C35C"/>
    <w:rsid w:val="40532849"/>
    <w:rsid w:val="4062DBE1"/>
    <w:rsid w:val="407E9DDE"/>
    <w:rsid w:val="409E716C"/>
    <w:rsid w:val="40A4F3EF"/>
    <w:rsid w:val="40DB95A8"/>
    <w:rsid w:val="4129AFBE"/>
    <w:rsid w:val="4160EC22"/>
    <w:rsid w:val="416AD08E"/>
    <w:rsid w:val="417AED82"/>
    <w:rsid w:val="41A5F645"/>
    <w:rsid w:val="41B523F0"/>
    <w:rsid w:val="41E89ACA"/>
    <w:rsid w:val="420BB297"/>
    <w:rsid w:val="420BF258"/>
    <w:rsid w:val="42100366"/>
    <w:rsid w:val="42A739C2"/>
    <w:rsid w:val="42B046F4"/>
    <w:rsid w:val="42C44386"/>
    <w:rsid w:val="42E60DAB"/>
    <w:rsid w:val="42FAA572"/>
    <w:rsid w:val="42FF709B"/>
    <w:rsid w:val="4313B1B4"/>
    <w:rsid w:val="433EB0BD"/>
    <w:rsid w:val="435A2D10"/>
    <w:rsid w:val="4383D634"/>
    <w:rsid w:val="43929233"/>
    <w:rsid w:val="43CD2D3C"/>
    <w:rsid w:val="43F2CCED"/>
    <w:rsid w:val="44053FFD"/>
    <w:rsid w:val="443E0ACC"/>
    <w:rsid w:val="445ED057"/>
    <w:rsid w:val="44697642"/>
    <w:rsid w:val="447C0183"/>
    <w:rsid w:val="449F0588"/>
    <w:rsid w:val="44EFF7B0"/>
    <w:rsid w:val="44FD86BD"/>
    <w:rsid w:val="44FD8903"/>
    <w:rsid w:val="44FF5077"/>
    <w:rsid w:val="455304E4"/>
    <w:rsid w:val="457AC642"/>
    <w:rsid w:val="458204B4"/>
    <w:rsid w:val="45981ADF"/>
    <w:rsid w:val="45986C47"/>
    <w:rsid w:val="45E7B5A6"/>
    <w:rsid w:val="45F79380"/>
    <w:rsid w:val="4677B3E8"/>
    <w:rsid w:val="46A23DF5"/>
    <w:rsid w:val="46B0D52E"/>
    <w:rsid w:val="46CA7282"/>
    <w:rsid w:val="46CE2469"/>
    <w:rsid w:val="46DA119C"/>
    <w:rsid w:val="4704686B"/>
    <w:rsid w:val="47AA9EFC"/>
    <w:rsid w:val="47B628DD"/>
    <w:rsid w:val="47BCDC25"/>
    <w:rsid w:val="47C5696B"/>
    <w:rsid w:val="47CD3400"/>
    <w:rsid w:val="47DA8396"/>
    <w:rsid w:val="47E8B050"/>
    <w:rsid w:val="47F2D557"/>
    <w:rsid w:val="480CD83C"/>
    <w:rsid w:val="486C1580"/>
    <w:rsid w:val="4893BDBC"/>
    <w:rsid w:val="48999932"/>
    <w:rsid w:val="48B06546"/>
    <w:rsid w:val="48C7E907"/>
    <w:rsid w:val="48DE09E3"/>
    <w:rsid w:val="4908671D"/>
    <w:rsid w:val="4916B410"/>
    <w:rsid w:val="494CF5BC"/>
    <w:rsid w:val="494F83F5"/>
    <w:rsid w:val="4953A3AD"/>
    <w:rsid w:val="496DCEEE"/>
    <w:rsid w:val="497ACA15"/>
    <w:rsid w:val="4986F68E"/>
    <w:rsid w:val="49885CF0"/>
    <w:rsid w:val="49BFC891"/>
    <w:rsid w:val="49CA381C"/>
    <w:rsid w:val="4A1449D3"/>
    <w:rsid w:val="4A46A5AD"/>
    <w:rsid w:val="4A9FB62A"/>
    <w:rsid w:val="4AAC7719"/>
    <w:rsid w:val="4ABB7B23"/>
    <w:rsid w:val="4AD25A21"/>
    <w:rsid w:val="4AE51C20"/>
    <w:rsid w:val="4B12D18D"/>
    <w:rsid w:val="4B27FED9"/>
    <w:rsid w:val="4B54DAFA"/>
    <w:rsid w:val="4B686A7E"/>
    <w:rsid w:val="4B7BBDA3"/>
    <w:rsid w:val="4B8223FD"/>
    <w:rsid w:val="4B97F55B"/>
    <w:rsid w:val="4BB4931D"/>
    <w:rsid w:val="4BB908C1"/>
    <w:rsid w:val="4BCE63CB"/>
    <w:rsid w:val="4BD1E6C3"/>
    <w:rsid w:val="4BE27CE4"/>
    <w:rsid w:val="4C2B16AA"/>
    <w:rsid w:val="4C6D91F9"/>
    <w:rsid w:val="4C7A603E"/>
    <w:rsid w:val="4C7AE2F8"/>
    <w:rsid w:val="4C7BF8A4"/>
    <w:rsid w:val="4C862999"/>
    <w:rsid w:val="4C8D8A46"/>
    <w:rsid w:val="4C8E906A"/>
    <w:rsid w:val="4C94B9C3"/>
    <w:rsid w:val="4CA13AF6"/>
    <w:rsid w:val="4CC20C36"/>
    <w:rsid w:val="4CC21481"/>
    <w:rsid w:val="4CC6CB1C"/>
    <w:rsid w:val="4CCC2886"/>
    <w:rsid w:val="4CDF8B20"/>
    <w:rsid w:val="4CF1655E"/>
    <w:rsid w:val="4CF76F8C"/>
    <w:rsid w:val="4D07F639"/>
    <w:rsid w:val="4D09F701"/>
    <w:rsid w:val="4D13845F"/>
    <w:rsid w:val="4D43CF36"/>
    <w:rsid w:val="4D5CAF3C"/>
    <w:rsid w:val="4D5F48DE"/>
    <w:rsid w:val="4D708594"/>
    <w:rsid w:val="4DBC7E70"/>
    <w:rsid w:val="4DC5B735"/>
    <w:rsid w:val="4DCA725B"/>
    <w:rsid w:val="4DCB5717"/>
    <w:rsid w:val="4DCC9D02"/>
    <w:rsid w:val="4DDFA742"/>
    <w:rsid w:val="4DECDD2C"/>
    <w:rsid w:val="4E01B081"/>
    <w:rsid w:val="4E13AEB1"/>
    <w:rsid w:val="4E1A6547"/>
    <w:rsid w:val="4E275DB7"/>
    <w:rsid w:val="4E4C90B7"/>
    <w:rsid w:val="4E63D468"/>
    <w:rsid w:val="4E6DD055"/>
    <w:rsid w:val="4E6F7201"/>
    <w:rsid w:val="4E8468C5"/>
    <w:rsid w:val="4E8498A2"/>
    <w:rsid w:val="4E86C00B"/>
    <w:rsid w:val="4E9AFBB9"/>
    <w:rsid w:val="4E9C2031"/>
    <w:rsid w:val="4E9EDB82"/>
    <w:rsid w:val="4EA17AA6"/>
    <w:rsid w:val="4EC70BD6"/>
    <w:rsid w:val="4EFB05AA"/>
    <w:rsid w:val="4F063212"/>
    <w:rsid w:val="4F29948E"/>
    <w:rsid w:val="4F2FDA10"/>
    <w:rsid w:val="4F7740F2"/>
    <w:rsid w:val="4F7C619F"/>
    <w:rsid w:val="4F91BA7E"/>
    <w:rsid w:val="4F95AFB3"/>
    <w:rsid w:val="4FA22B50"/>
    <w:rsid w:val="5019D774"/>
    <w:rsid w:val="50443012"/>
    <w:rsid w:val="505236D9"/>
    <w:rsid w:val="505E4158"/>
    <w:rsid w:val="506821F4"/>
    <w:rsid w:val="50817ECB"/>
    <w:rsid w:val="5086DF7C"/>
    <w:rsid w:val="50AD3DAB"/>
    <w:rsid w:val="50CEE06F"/>
    <w:rsid w:val="50DD69E4"/>
    <w:rsid w:val="50E7E6CA"/>
    <w:rsid w:val="50E900A4"/>
    <w:rsid w:val="50ED27CE"/>
    <w:rsid w:val="511DB95E"/>
    <w:rsid w:val="51560FC7"/>
    <w:rsid w:val="515E8AD0"/>
    <w:rsid w:val="51629F59"/>
    <w:rsid w:val="51787B48"/>
    <w:rsid w:val="517AFF2B"/>
    <w:rsid w:val="518E0330"/>
    <w:rsid w:val="519377D5"/>
    <w:rsid w:val="51B8CB4F"/>
    <w:rsid w:val="51E22F32"/>
    <w:rsid w:val="52059A8C"/>
    <w:rsid w:val="52562211"/>
    <w:rsid w:val="525E9984"/>
    <w:rsid w:val="52841470"/>
    <w:rsid w:val="528741DB"/>
    <w:rsid w:val="52DBA867"/>
    <w:rsid w:val="52DE31A4"/>
    <w:rsid w:val="52E27C09"/>
    <w:rsid w:val="52F16E40"/>
    <w:rsid w:val="52F438D3"/>
    <w:rsid w:val="52FF72BF"/>
    <w:rsid w:val="5309A4BA"/>
    <w:rsid w:val="532307A7"/>
    <w:rsid w:val="5323E0E7"/>
    <w:rsid w:val="535D4727"/>
    <w:rsid w:val="535F2219"/>
    <w:rsid w:val="539BC741"/>
    <w:rsid w:val="53D63BDC"/>
    <w:rsid w:val="53D6667F"/>
    <w:rsid w:val="53DFFF7B"/>
    <w:rsid w:val="53ECB3A8"/>
    <w:rsid w:val="5412C5DF"/>
    <w:rsid w:val="543B9E0A"/>
    <w:rsid w:val="545B3B75"/>
    <w:rsid w:val="549410B7"/>
    <w:rsid w:val="54B0ADEF"/>
    <w:rsid w:val="54C5BB82"/>
    <w:rsid w:val="54CDAD6C"/>
    <w:rsid w:val="54DDA15A"/>
    <w:rsid w:val="54EB5D54"/>
    <w:rsid w:val="550C68F6"/>
    <w:rsid w:val="552B7C50"/>
    <w:rsid w:val="5530678E"/>
    <w:rsid w:val="5539E9A3"/>
    <w:rsid w:val="554852FC"/>
    <w:rsid w:val="5550EF14"/>
    <w:rsid w:val="55606019"/>
    <w:rsid w:val="558E50BE"/>
    <w:rsid w:val="55A2E170"/>
    <w:rsid w:val="55B42849"/>
    <w:rsid w:val="55BA5AE9"/>
    <w:rsid w:val="561C8D33"/>
    <w:rsid w:val="5625D47D"/>
    <w:rsid w:val="5628D6B8"/>
    <w:rsid w:val="56724A4D"/>
    <w:rsid w:val="5678CF53"/>
    <w:rsid w:val="56BF8B50"/>
    <w:rsid w:val="56BFAACF"/>
    <w:rsid w:val="56CBB55E"/>
    <w:rsid w:val="56D0BD8B"/>
    <w:rsid w:val="56E0D48B"/>
    <w:rsid w:val="56EA37C0"/>
    <w:rsid w:val="570036D1"/>
    <w:rsid w:val="570F950F"/>
    <w:rsid w:val="571D9B17"/>
    <w:rsid w:val="5727E63A"/>
    <w:rsid w:val="574D4C87"/>
    <w:rsid w:val="57618F41"/>
    <w:rsid w:val="5764EDCA"/>
    <w:rsid w:val="57660B5A"/>
    <w:rsid w:val="57732591"/>
    <w:rsid w:val="578073B5"/>
    <w:rsid w:val="5784937D"/>
    <w:rsid w:val="57885C58"/>
    <w:rsid w:val="57920B2C"/>
    <w:rsid w:val="57B03E6E"/>
    <w:rsid w:val="57B2F599"/>
    <w:rsid w:val="57BD99AC"/>
    <w:rsid w:val="57C27A1C"/>
    <w:rsid w:val="57FE7121"/>
    <w:rsid w:val="581F2D6F"/>
    <w:rsid w:val="58238A01"/>
    <w:rsid w:val="5834D08A"/>
    <w:rsid w:val="58440840"/>
    <w:rsid w:val="585254FC"/>
    <w:rsid w:val="5854EC6B"/>
    <w:rsid w:val="5860A063"/>
    <w:rsid w:val="5867A1D5"/>
    <w:rsid w:val="5873385A"/>
    <w:rsid w:val="58795F0F"/>
    <w:rsid w:val="58862268"/>
    <w:rsid w:val="58884272"/>
    <w:rsid w:val="58A5704A"/>
    <w:rsid w:val="58B4621C"/>
    <w:rsid w:val="58C16E9A"/>
    <w:rsid w:val="58E4F62F"/>
    <w:rsid w:val="58EA3B31"/>
    <w:rsid w:val="590D39AA"/>
    <w:rsid w:val="593DFAA4"/>
    <w:rsid w:val="597E7B66"/>
    <w:rsid w:val="59A1C25D"/>
    <w:rsid w:val="59A6B583"/>
    <w:rsid w:val="59B66F2B"/>
    <w:rsid w:val="59BD7717"/>
    <w:rsid w:val="59E7CF4D"/>
    <w:rsid w:val="59F4F9C0"/>
    <w:rsid w:val="59F8AFA9"/>
    <w:rsid w:val="5A170BE7"/>
    <w:rsid w:val="5A17B02D"/>
    <w:rsid w:val="5A7863EB"/>
    <w:rsid w:val="5A7B2CAA"/>
    <w:rsid w:val="5AB0B2C3"/>
    <w:rsid w:val="5ABF7136"/>
    <w:rsid w:val="5ACBDED7"/>
    <w:rsid w:val="5AD01131"/>
    <w:rsid w:val="5AEAB8AD"/>
    <w:rsid w:val="5B039EFE"/>
    <w:rsid w:val="5B0F4B03"/>
    <w:rsid w:val="5B0FAA30"/>
    <w:rsid w:val="5B3A7E86"/>
    <w:rsid w:val="5B4DE5DD"/>
    <w:rsid w:val="5B585C9F"/>
    <w:rsid w:val="5B61E19C"/>
    <w:rsid w:val="5B65BCE9"/>
    <w:rsid w:val="5B82EEB9"/>
    <w:rsid w:val="5B905B5C"/>
    <w:rsid w:val="5BADC842"/>
    <w:rsid w:val="5BC6DF70"/>
    <w:rsid w:val="5BC8AAA0"/>
    <w:rsid w:val="5BD0D4AC"/>
    <w:rsid w:val="5BD9DEDB"/>
    <w:rsid w:val="5BF8C499"/>
    <w:rsid w:val="5BFF689A"/>
    <w:rsid w:val="5C1DCCAA"/>
    <w:rsid w:val="5C2E5194"/>
    <w:rsid w:val="5C487B39"/>
    <w:rsid w:val="5CD003EC"/>
    <w:rsid w:val="5CDBF7AE"/>
    <w:rsid w:val="5CE22045"/>
    <w:rsid w:val="5CF6E03C"/>
    <w:rsid w:val="5CF77C25"/>
    <w:rsid w:val="5CFCAF3F"/>
    <w:rsid w:val="5D326284"/>
    <w:rsid w:val="5D460022"/>
    <w:rsid w:val="5D54048A"/>
    <w:rsid w:val="5D638A0A"/>
    <w:rsid w:val="5D69BDD0"/>
    <w:rsid w:val="5D6D788B"/>
    <w:rsid w:val="5DAAE51F"/>
    <w:rsid w:val="5E1787AD"/>
    <w:rsid w:val="5E26A187"/>
    <w:rsid w:val="5E317700"/>
    <w:rsid w:val="5E340D67"/>
    <w:rsid w:val="5E37D213"/>
    <w:rsid w:val="5E3D00A6"/>
    <w:rsid w:val="5E61A765"/>
    <w:rsid w:val="5E89672E"/>
    <w:rsid w:val="5E8B01C2"/>
    <w:rsid w:val="5E94FC4E"/>
    <w:rsid w:val="5E9D257B"/>
    <w:rsid w:val="5EC3061A"/>
    <w:rsid w:val="5EC74680"/>
    <w:rsid w:val="5ED0DCB0"/>
    <w:rsid w:val="5EE1ECA3"/>
    <w:rsid w:val="5EE71F73"/>
    <w:rsid w:val="5EF9E33C"/>
    <w:rsid w:val="5F018140"/>
    <w:rsid w:val="5F2BBF55"/>
    <w:rsid w:val="5F443561"/>
    <w:rsid w:val="5F497C0B"/>
    <w:rsid w:val="5F5E4DE1"/>
    <w:rsid w:val="5F6644D9"/>
    <w:rsid w:val="5FADD2FE"/>
    <w:rsid w:val="5FC101D4"/>
    <w:rsid w:val="5FD82283"/>
    <w:rsid w:val="5FE4C717"/>
    <w:rsid w:val="60381592"/>
    <w:rsid w:val="60613323"/>
    <w:rsid w:val="606C97AB"/>
    <w:rsid w:val="60762A36"/>
    <w:rsid w:val="6092D15E"/>
    <w:rsid w:val="60D71A2D"/>
    <w:rsid w:val="60E55F8B"/>
    <w:rsid w:val="612D0922"/>
    <w:rsid w:val="612E2DFF"/>
    <w:rsid w:val="614C3B09"/>
    <w:rsid w:val="6152CB94"/>
    <w:rsid w:val="617E9ACF"/>
    <w:rsid w:val="617EA0F0"/>
    <w:rsid w:val="619ECBB6"/>
    <w:rsid w:val="61A47E02"/>
    <w:rsid w:val="61B55051"/>
    <w:rsid w:val="61F01EBC"/>
    <w:rsid w:val="61F9B57B"/>
    <w:rsid w:val="61FAEB3F"/>
    <w:rsid w:val="62019819"/>
    <w:rsid w:val="6204EC79"/>
    <w:rsid w:val="62143965"/>
    <w:rsid w:val="62225836"/>
    <w:rsid w:val="62739201"/>
    <w:rsid w:val="627D32A9"/>
    <w:rsid w:val="627D7F50"/>
    <w:rsid w:val="62862202"/>
    <w:rsid w:val="62F87DD5"/>
    <w:rsid w:val="6315B9C9"/>
    <w:rsid w:val="6349113E"/>
    <w:rsid w:val="6359BD5A"/>
    <w:rsid w:val="63AF7BD7"/>
    <w:rsid w:val="63C66B02"/>
    <w:rsid w:val="63CFE659"/>
    <w:rsid w:val="63F1326B"/>
    <w:rsid w:val="63F30C15"/>
    <w:rsid w:val="6414E50E"/>
    <w:rsid w:val="6458D053"/>
    <w:rsid w:val="646B3200"/>
    <w:rsid w:val="647AE5CA"/>
    <w:rsid w:val="64883108"/>
    <w:rsid w:val="648D3B74"/>
    <w:rsid w:val="64DEF7D4"/>
    <w:rsid w:val="64E3F740"/>
    <w:rsid w:val="64F867DA"/>
    <w:rsid w:val="6502FA84"/>
    <w:rsid w:val="6518C695"/>
    <w:rsid w:val="653BECA3"/>
    <w:rsid w:val="656ECE04"/>
    <w:rsid w:val="65791E40"/>
    <w:rsid w:val="659A7CF9"/>
    <w:rsid w:val="65A4635C"/>
    <w:rsid w:val="65A47649"/>
    <w:rsid w:val="65B76340"/>
    <w:rsid w:val="65BC8575"/>
    <w:rsid w:val="65C33F80"/>
    <w:rsid w:val="65CF9247"/>
    <w:rsid w:val="65D614B0"/>
    <w:rsid w:val="6642F582"/>
    <w:rsid w:val="664C36A7"/>
    <w:rsid w:val="664E3302"/>
    <w:rsid w:val="66535E7C"/>
    <w:rsid w:val="666B2780"/>
    <w:rsid w:val="66CA692B"/>
    <w:rsid w:val="66E6544D"/>
    <w:rsid w:val="67331DE6"/>
    <w:rsid w:val="6734D103"/>
    <w:rsid w:val="67412880"/>
    <w:rsid w:val="678DA988"/>
    <w:rsid w:val="67A6CAF9"/>
    <w:rsid w:val="67D0931E"/>
    <w:rsid w:val="67E9A57E"/>
    <w:rsid w:val="67FCEEDB"/>
    <w:rsid w:val="684BC13D"/>
    <w:rsid w:val="686EEF74"/>
    <w:rsid w:val="6886A149"/>
    <w:rsid w:val="6889454C"/>
    <w:rsid w:val="68972A2F"/>
    <w:rsid w:val="68AB50AD"/>
    <w:rsid w:val="68ACB5A7"/>
    <w:rsid w:val="68C40F6F"/>
    <w:rsid w:val="68C48586"/>
    <w:rsid w:val="68E8D939"/>
    <w:rsid w:val="690957C5"/>
    <w:rsid w:val="69172E29"/>
    <w:rsid w:val="69208A1B"/>
    <w:rsid w:val="692432EA"/>
    <w:rsid w:val="69429DF8"/>
    <w:rsid w:val="6968A932"/>
    <w:rsid w:val="698C784C"/>
    <w:rsid w:val="69B6F303"/>
    <w:rsid w:val="69C3166E"/>
    <w:rsid w:val="69C92D69"/>
    <w:rsid w:val="69DBD52A"/>
    <w:rsid w:val="69E5D5F1"/>
    <w:rsid w:val="6A2D80ED"/>
    <w:rsid w:val="6A377053"/>
    <w:rsid w:val="6A86DBC5"/>
    <w:rsid w:val="6AC387FF"/>
    <w:rsid w:val="6ACC1D43"/>
    <w:rsid w:val="6AD799DB"/>
    <w:rsid w:val="6AE2091D"/>
    <w:rsid w:val="6B10C78E"/>
    <w:rsid w:val="6B244A0B"/>
    <w:rsid w:val="6B3823ED"/>
    <w:rsid w:val="6B3DBA0A"/>
    <w:rsid w:val="6B43F656"/>
    <w:rsid w:val="6B456729"/>
    <w:rsid w:val="6B6CFFA6"/>
    <w:rsid w:val="6BA47CF3"/>
    <w:rsid w:val="6BC5D4BE"/>
    <w:rsid w:val="6BC7DC74"/>
    <w:rsid w:val="6BD0ECA7"/>
    <w:rsid w:val="6BD8211E"/>
    <w:rsid w:val="6BE07FEA"/>
    <w:rsid w:val="6BEA2DF1"/>
    <w:rsid w:val="6C173013"/>
    <w:rsid w:val="6C2487FB"/>
    <w:rsid w:val="6C2C72A0"/>
    <w:rsid w:val="6C494595"/>
    <w:rsid w:val="6C4E0436"/>
    <w:rsid w:val="6C594CD8"/>
    <w:rsid w:val="6C630C5D"/>
    <w:rsid w:val="6C6571B1"/>
    <w:rsid w:val="6C66DB0E"/>
    <w:rsid w:val="6C67BC48"/>
    <w:rsid w:val="6C77D3F3"/>
    <w:rsid w:val="6C7A94EC"/>
    <w:rsid w:val="6CAAE6A9"/>
    <w:rsid w:val="6CE8A250"/>
    <w:rsid w:val="6D1772CC"/>
    <w:rsid w:val="6D44B547"/>
    <w:rsid w:val="6D63CF80"/>
    <w:rsid w:val="6D65B15A"/>
    <w:rsid w:val="6D8DA090"/>
    <w:rsid w:val="6D8E3EA0"/>
    <w:rsid w:val="6D906445"/>
    <w:rsid w:val="6DBDF784"/>
    <w:rsid w:val="6DD3CFCE"/>
    <w:rsid w:val="6E0EEAFF"/>
    <w:rsid w:val="6E344000"/>
    <w:rsid w:val="6E34756C"/>
    <w:rsid w:val="6E57C608"/>
    <w:rsid w:val="6E714430"/>
    <w:rsid w:val="6E7CDCCF"/>
    <w:rsid w:val="6E8A3A6F"/>
    <w:rsid w:val="6EAAF16C"/>
    <w:rsid w:val="6EAE0689"/>
    <w:rsid w:val="6EB6EAC4"/>
    <w:rsid w:val="6EBA7B07"/>
    <w:rsid w:val="6ED6EA5F"/>
    <w:rsid w:val="6EEEC11F"/>
    <w:rsid w:val="6F15C9C9"/>
    <w:rsid w:val="6F1612F3"/>
    <w:rsid w:val="6F2075B9"/>
    <w:rsid w:val="6F26A198"/>
    <w:rsid w:val="6F2ECB4A"/>
    <w:rsid w:val="6F7248D4"/>
    <w:rsid w:val="6FBF6170"/>
    <w:rsid w:val="6FF4D861"/>
    <w:rsid w:val="70038836"/>
    <w:rsid w:val="70085212"/>
    <w:rsid w:val="7012DCF5"/>
    <w:rsid w:val="703D8961"/>
    <w:rsid w:val="70456298"/>
    <w:rsid w:val="705B1398"/>
    <w:rsid w:val="70609D8E"/>
    <w:rsid w:val="7065FECA"/>
    <w:rsid w:val="709FAA65"/>
    <w:rsid w:val="70A4B7CB"/>
    <w:rsid w:val="70AFF71C"/>
    <w:rsid w:val="70B8254B"/>
    <w:rsid w:val="70B8AFFB"/>
    <w:rsid w:val="70C2688F"/>
    <w:rsid w:val="70E28FF4"/>
    <w:rsid w:val="7102B912"/>
    <w:rsid w:val="71352F98"/>
    <w:rsid w:val="7137A5EF"/>
    <w:rsid w:val="71428370"/>
    <w:rsid w:val="714A908F"/>
    <w:rsid w:val="714F0FA5"/>
    <w:rsid w:val="7160003A"/>
    <w:rsid w:val="71695E6D"/>
    <w:rsid w:val="716C3DEA"/>
    <w:rsid w:val="716EF061"/>
    <w:rsid w:val="71897955"/>
    <w:rsid w:val="718F4D94"/>
    <w:rsid w:val="71946F47"/>
    <w:rsid w:val="7198899E"/>
    <w:rsid w:val="71ABEEEF"/>
    <w:rsid w:val="71B09AE4"/>
    <w:rsid w:val="71C3FEEA"/>
    <w:rsid w:val="71CB90D3"/>
    <w:rsid w:val="71E34899"/>
    <w:rsid w:val="71F77944"/>
    <w:rsid w:val="7209B56E"/>
    <w:rsid w:val="721890B3"/>
    <w:rsid w:val="7240078A"/>
    <w:rsid w:val="72519F47"/>
    <w:rsid w:val="72752DEF"/>
    <w:rsid w:val="7290BE05"/>
    <w:rsid w:val="729CB12F"/>
    <w:rsid w:val="729F174B"/>
    <w:rsid w:val="72AF3BB6"/>
    <w:rsid w:val="72AF8864"/>
    <w:rsid w:val="72C4F294"/>
    <w:rsid w:val="734F121D"/>
    <w:rsid w:val="734FF065"/>
    <w:rsid w:val="73528238"/>
    <w:rsid w:val="7361FB15"/>
    <w:rsid w:val="736E3CC6"/>
    <w:rsid w:val="73D1283A"/>
    <w:rsid w:val="73ED7725"/>
    <w:rsid w:val="7444B4A8"/>
    <w:rsid w:val="745D44E2"/>
    <w:rsid w:val="74715385"/>
    <w:rsid w:val="747801D4"/>
    <w:rsid w:val="74977D4D"/>
    <w:rsid w:val="7498EB77"/>
    <w:rsid w:val="74AD6270"/>
    <w:rsid w:val="74B5A46A"/>
    <w:rsid w:val="74D2F168"/>
    <w:rsid w:val="74DEF63D"/>
    <w:rsid w:val="75089714"/>
    <w:rsid w:val="75093F68"/>
    <w:rsid w:val="7532C476"/>
    <w:rsid w:val="75439F0E"/>
    <w:rsid w:val="7557A4DC"/>
    <w:rsid w:val="7557AD7F"/>
    <w:rsid w:val="756A9BC5"/>
    <w:rsid w:val="756B05E7"/>
    <w:rsid w:val="758710DA"/>
    <w:rsid w:val="75969C46"/>
    <w:rsid w:val="759BFCC3"/>
    <w:rsid w:val="75C37B34"/>
    <w:rsid w:val="75EF4319"/>
    <w:rsid w:val="75F31F28"/>
    <w:rsid w:val="75FD6F4E"/>
    <w:rsid w:val="76185526"/>
    <w:rsid w:val="76332A6C"/>
    <w:rsid w:val="7637AEED"/>
    <w:rsid w:val="76574C84"/>
    <w:rsid w:val="7667A879"/>
    <w:rsid w:val="7668D876"/>
    <w:rsid w:val="7674892F"/>
    <w:rsid w:val="767FBCEC"/>
    <w:rsid w:val="7680FCAC"/>
    <w:rsid w:val="7686A697"/>
    <w:rsid w:val="76954C1C"/>
    <w:rsid w:val="76B03338"/>
    <w:rsid w:val="76B0742E"/>
    <w:rsid w:val="76B44CCB"/>
    <w:rsid w:val="76B7E29C"/>
    <w:rsid w:val="76C57B60"/>
    <w:rsid w:val="76E230EE"/>
    <w:rsid w:val="76EA00AC"/>
    <w:rsid w:val="76FF9C0F"/>
    <w:rsid w:val="7726F24D"/>
    <w:rsid w:val="7737AB21"/>
    <w:rsid w:val="7744AC28"/>
    <w:rsid w:val="77756630"/>
    <w:rsid w:val="779D2E05"/>
    <w:rsid w:val="77BF990B"/>
    <w:rsid w:val="77C833FF"/>
    <w:rsid w:val="7808B857"/>
    <w:rsid w:val="780C46AE"/>
    <w:rsid w:val="781FC107"/>
    <w:rsid w:val="78300D60"/>
    <w:rsid w:val="78702B80"/>
    <w:rsid w:val="787CA243"/>
    <w:rsid w:val="78807687"/>
    <w:rsid w:val="7885810F"/>
    <w:rsid w:val="788660FF"/>
    <w:rsid w:val="788F89DB"/>
    <w:rsid w:val="78A3FAAE"/>
    <w:rsid w:val="78A57589"/>
    <w:rsid w:val="78BA1841"/>
    <w:rsid w:val="78C9913E"/>
    <w:rsid w:val="7904986F"/>
    <w:rsid w:val="790FDA43"/>
    <w:rsid w:val="79189DB8"/>
    <w:rsid w:val="7921A7F2"/>
    <w:rsid w:val="79363D9E"/>
    <w:rsid w:val="793660BC"/>
    <w:rsid w:val="79664973"/>
    <w:rsid w:val="7980DD5F"/>
    <w:rsid w:val="798C73C0"/>
    <w:rsid w:val="799940F6"/>
    <w:rsid w:val="7999D869"/>
    <w:rsid w:val="79B1A1B6"/>
    <w:rsid w:val="79D53295"/>
    <w:rsid w:val="79F70DF7"/>
    <w:rsid w:val="79FA0553"/>
    <w:rsid w:val="7A12350D"/>
    <w:rsid w:val="7A1AE1DF"/>
    <w:rsid w:val="7A3B301A"/>
    <w:rsid w:val="7A3D197C"/>
    <w:rsid w:val="7A3F3AB1"/>
    <w:rsid w:val="7A5B0012"/>
    <w:rsid w:val="7A6C28BC"/>
    <w:rsid w:val="7A70A0AF"/>
    <w:rsid w:val="7A7B7B6A"/>
    <w:rsid w:val="7AACDCA1"/>
    <w:rsid w:val="7AAFDC36"/>
    <w:rsid w:val="7ABEEBAE"/>
    <w:rsid w:val="7AD0CABA"/>
    <w:rsid w:val="7AD52DA9"/>
    <w:rsid w:val="7ADE2E79"/>
    <w:rsid w:val="7B2C40E2"/>
    <w:rsid w:val="7B4105F4"/>
    <w:rsid w:val="7B64AF07"/>
    <w:rsid w:val="7B72C144"/>
    <w:rsid w:val="7B7E8CB8"/>
    <w:rsid w:val="7BBA87E8"/>
    <w:rsid w:val="7BD1D888"/>
    <w:rsid w:val="7BFD5C3A"/>
    <w:rsid w:val="7C166170"/>
    <w:rsid w:val="7C194FBC"/>
    <w:rsid w:val="7C21F530"/>
    <w:rsid w:val="7C28D3C4"/>
    <w:rsid w:val="7C3138C3"/>
    <w:rsid w:val="7C34BAAB"/>
    <w:rsid w:val="7C50779A"/>
    <w:rsid w:val="7C546E2C"/>
    <w:rsid w:val="7C56E89F"/>
    <w:rsid w:val="7C6394FC"/>
    <w:rsid w:val="7C657084"/>
    <w:rsid w:val="7C6EA963"/>
    <w:rsid w:val="7C79D08B"/>
    <w:rsid w:val="7C8A1918"/>
    <w:rsid w:val="7C8A25B8"/>
    <w:rsid w:val="7CAFC022"/>
    <w:rsid w:val="7CBE34DE"/>
    <w:rsid w:val="7CC7FF91"/>
    <w:rsid w:val="7CD3B021"/>
    <w:rsid w:val="7CD6632D"/>
    <w:rsid w:val="7CD83794"/>
    <w:rsid w:val="7D0BB043"/>
    <w:rsid w:val="7D196DBD"/>
    <w:rsid w:val="7D2A9DE9"/>
    <w:rsid w:val="7D4A3848"/>
    <w:rsid w:val="7D6B476A"/>
    <w:rsid w:val="7D9416C8"/>
    <w:rsid w:val="7DE65658"/>
    <w:rsid w:val="7E026967"/>
    <w:rsid w:val="7E159335"/>
    <w:rsid w:val="7E30CC83"/>
    <w:rsid w:val="7E397D9C"/>
    <w:rsid w:val="7E42ED84"/>
    <w:rsid w:val="7E492162"/>
    <w:rsid w:val="7E4B909A"/>
    <w:rsid w:val="7E58E3F3"/>
    <w:rsid w:val="7E6B85E7"/>
    <w:rsid w:val="7E842348"/>
    <w:rsid w:val="7E884A55"/>
    <w:rsid w:val="7E8A32EF"/>
    <w:rsid w:val="7E8C3A08"/>
    <w:rsid w:val="7EB1EFF6"/>
    <w:rsid w:val="7EB1F578"/>
    <w:rsid w:val="7EC67DBE"/>
    <w:rsid w:val="7ECA15F9"/>
    <w:rsid w:val="7ECE9912"/>
    <w:rsid w:val="7ED97931"/>
    <w:rsid w:val="7EF47EF4"/>
    <w:rsid w:val="7F1178D3"/>
    <w:rsid w:val="7F24377A"/>
    <w:rsid w:val="7F24F5E7"/>
    <w:rsid w:val="7F276CB1"/>
    <w:rsid w:val="7F5FBC06"/>
    <w:rsid w:val="7F7A8600"/>
    <w:rsid w:val="7F90FA99"/>
    <w:rsid w:val="7FBAB90B"/>
    <w:rsid w:val="7FEC2350"/>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03AA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3D3B"/>
    <w:rPr>
      <w:lang w:val="en-GB"/>
    </w:rPr>
  </w:style>
  <w:style w:type="paragraph" w:styleId="Heading1">
    <w:name w:val="heading 1"/>
    <w:basedOn w:val="Normal"/>
    <w:next w:val="Normal"/>
    <w:link w:val="Heading1Char"/>
    <w:uiPriority w:val="9"/>
    <w:qFormat/>
    <w:rsid w:val="00D656A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656A3"/>
    <w:pPr>
      <w:keepNext/>
      <w:keepLines/>
      <w:spacing w:before="40" w:after="0" w:line="240" w:lineRule="auto"/>
      <w:jc w:val="both"/>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656A3"/>
    <w:pPr>
      <w:keepNext/>
      <w:spacing w:before="120" w:after="120" w:line="240" w:lineRule="auto"/>
      <w:jc w:val="both"/>
      <w:outlineLvl w:val="2"/>
    </w:pPr>
    <w:rPr>
      <w:rFonts w:ascii="Times New Roman" w:eastAsia="Times New Roman" w:hAnsi="Times New Roman" w:cs="Times New Roman"/>
      <w:i/>
      <w:color w:val="000000" w:themeColor="text1"/>
      <w:sz w:val="24"/>
      <w:szCs w:val="24"/>
      <w:lang w:eastAsia="en-GB"/>
    </w:rPr>
  </w:style>
  <w:style w:type="paragraph" w:styleId="Heading4">
    <w:name w:val="heading 4"/>
    <w:basedOn w:val="Normal"/>
    <w:next w:val="Normal"/>
    <w:link w:val="Heading4Char"/>
    <w:uiPriority w:val="9"/>
    <w:unhideWhenUsed/>
    <w:qFormat/>
    <w:rsid w:val="00D656A3"/>
    <w:pPr>
      <w:keepNext/>
      <w:spacing w:before="120" w:after="0" w:line="240" w:lineRule="auto"/>
      <w:jc w:val="both"/>
      <w:outlineLvl w:val="3"/>
    </w:pPr>
    <w:rPr>
      <w:rFonts w:ascii="Times New Roman" w:eastAsia="Times New Roman" w:hAnsi="Times New Roman" w:cs="Times New Roman"/>
      <w:color w:val="000000" w:themeColor="text1"/>
      <w:sz w:val="24"/>
      <w:szCs w:val="24"/>
      <w:lang w:val="en-IE"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link w:val="FootnoteReference"/>
    <w:autoRedefine/>
    <w:qFormat/>
    <w:rsid w:val="00FF5B78"/>
    <w:pPr>
      <w:spacing w:line="240" w:lineRule="exact"/>
    </w:pPr>
    <w:rPr>
      <w:rFonts w:ascii="Times New Roman" w:hAnsi="Times New Roman"/>
      <w:sz w:val="20"/>
      <w:szCs w:val="20"/>
      <w:vertAlign w:val="superscript"/>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basedOn w:val="DefaultParagraphFont"/>
    <w:link w:val="CharCharChar"/>
    <w:uiPriority w:val="1"/>
    <w:unhideWhenUsed/>
    <w:qFormat/>
    <w:rsid w:val="00892AF3"/>
    <w:rPr>
      <w:rFonts w:ascii="Times New Roman" w:hAnsi="Times New Roman"/>
      <w:sz w:val="20"/>
      <w:szCs w:val="20"/>
      <w:vertAlign w:val="superscript"/>
      <w:lang w:val="en-GB"/>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oottextfra,A,ftx,Ch"/>
    <w:basedOn w:val="Normal"/>
    <w:link w:val="FootnoteTextChar"/>
    <w:autoRedefine/>
    <w:uiPriority w:val="1"/>
    <w:unhideWhenUsed/>
    <w:qFormat/>
    <w:rsid w:val="0017603E"/>
    <w:pPr>
      <w:spacing w:after="0" w:line="240" w:lineRule="auto"/>
      <w:ind w:left="284" w:hanging="284"/>
      <w:jc w:val="both"/>
    </w:pPr>
    <w:rPr>
      <w:rFonts w:ascii="Times New Roman" w:eastAsia="Calibri" w:hAnsi="Times New Roman" w:cs="Times New Roman"/>
      <w:sz w:val="20"/>
      <w:szCs w:val="20"/>
      <w:lang w:eastAsia="en-GB"/>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A Char"/>
    <w:basedOn w:val="DefaultParagraphFont"/>
    <w:link w:val="FootnoteText"/>
    <w:uiPriority w:val="1"/>
    <w:qFormat/>
    <w:rsid w:val="00892AF3"/>
    <w:rPr>
      <w:rFonts w:ascii="Times New Roman" w:eastAsia="Calibri" w:hAnsi="Times New Roman" w:cs="Times New Roman"/>
      <w:sz w:val="20"/>
      <w:szCs w:val="20"/>
      <w:lang w:val="en-GB" w:eastAsia="en-GB"/>
    </w:rPr>
  </w:style>
  <w:style w:type="paragraph" w:styleId="ListParagraph">
    <w:name w:val="List Paragraph"/>
    <w:basedOn w:val="Normal"/>
    <w:uiPriority w:val="34"/>
    <w:qFormat/>
    <w:rsid w:val="00CB4D3D"/>
    <w:pPr>
      <w:ind w:left="720"/>
      <w:contextualSpacing/>
    </w:pPr>
  </w:style>
  <w:style w:type="paragraph" w:styleId="Header">
    <w:name w:val="header"/>
    <w:basedOn w:val="Normal"/>
    <w:link w:val="HeaderChar"/>
    <w:uiPriority w:val="99"/>
    <w:unhideWhenUsed/>
    <w:rsid w:val="000D54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5478"/>
    <w:rPr>
      <w:lang w:val="en-GB"/>
    </w:rPr>
  </w:style>
  <w:style w:type="paragraph" w:styleId="Footer">
    <w:name w:val="footer"/>
    <w:basedOn w:val="Normal"/>
    <w:link w:val="FooterChar"/>
    <w:uiPriority w:val="99"/>
    <w:unhideWhenUsed/>
    <w:rsid w:val="000D54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5478"/>
    <w:rPr>
      <w:lang w:val="en-GB"/>
    </w:rPr>
  </w:style>
  <w:style w:type="character" w:styleId="CommentReference">
    <w:name w:val="annotation reference"/>
    <w:basedOn w:val="DefaultParagraphFont"/>
    <w:uiPriority w:val="99"/>
    <w:unhideWhenUsed/>
    <w:qFormat/>
    <w:rsid w:val="001C0540"/>
    <w:rPr>
      <w:sz w:val="16"/>
      <w:szCs w:val="16"/>
    </w:rPr>
  </w:style>
  <w:style w:type="paragraph" w:styleId="CommentText">
    <w:name w:val="annotation text"/>
    <w:basedOn w:val="Normal"/>
    <w:link w:val="CommentTextChar"/>
    <w:uiPriority w:val="99"/>
    <w:unhideWhenUsed/>
    <w:qFormat/>
    <w:rsid w:val="001C0540"/>
    <w:pPr>
      <w:spacing w:line="240" w:lineRule="auto"/>
    </w:pPr>
    <w:rPr>
      <w:sz w:val="20"/>
      <w:szCs w:val="20"/>
    </w:rPr>
  </w:style>
  <w:style w:type="character" w:customStyle="1" w:styleId="CommentTextChar">
    <w:name w:val="Comment Text Char"/>
    <w:basedOn w:val="DefaultParagraphFont"/>
    <w:link w:val="CommentText"/>
    <w:uiPriority w:val="99"/>
    <w:qFormat/>
    <w:rsid w:val="001C0540"/>
    <w:rPr>
      <w:sz w:val="20"/>
      <w:szCs w:val="20"/>
      <w:lang w:val="en-GB"/>
    </w:rPr>
  </w:style>
  <w:style w:type="paragraph" w:styleId="CommentSubject">
    <w:name w:val="annotation subject"/>
    <w:basedOn w:val="CommentText"/>
    <w:next w:val="CommentText"/>
    <w:link w:val="CommentSubjectChar"/>
    <w:uiPriority w:val="99"/>
    <w:semiHidden/>
    <w:unhideWhenUsed/>
    <w:rsid w:val="001C0540"/>
    <w:rPr>
      <w:b/>
      <w:bCs/>
    </w:rPr>
  </w:style>
  <w:style w:type="character" w:customStyle="1" w:styleId="CommentSubjectChar">
    <w:name w:val="Comment Subject Char"/>
    <w:basedOn w:val="CommentTextChar"/>
    <w:link w:val="CommentSubject"/>
    <w:uiPriority w:val="99"/>
    <w:semiHidden/>
    <w:rsid w:val="001C0540"/>
    <w:rPr>
      <w:b/>
      <w:bCs/>
      <w:sz w:val="20"/>
      <w:szCs w:val="20"/>
      <w:lang w:val="en-GB"/>
    </w:rPr>
  </w:style>
  <w:style w:type="character" w:customStyle="1" w:styleId="Heading1Char">
    <w:name w:val="Heading 1 Char"/>
    <w:basedOn w:val="DefaultParagraphFont"/>
    <w:link w:val="Heading1"/>
    <w:uiPriority w:val="9"/>
    <w:rsid w:val="00D656A3"/>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rsid w:val="00D656A3"/>
    <w:rPr>
      <w:rFonts w:ascii="Times New Roman" w:eastAsia="Times New Roman" w:hAnsi="Times New Roman" w:cs="Times New Roman"/>
      <w:i/>
      <w:color w:val="000000" w:themeColor="text1"/>
      <w:sz w:val="24"/>
      <w:szCs w:val="24"/>
      <w:lang w:val="en-GB" w:eastAsia="en-GB"/>
    </w:rPr>
  </w:style>
  <w:style w:type="paragraph" w:styleId="BalloonText">
    <w:name w:val="Balloon Text"/>
    <w:basedOn w:val="Normal"/>
    <w:link w:val="BalloonTextChar"/>
    <w:uiPriority w:val="99"/>
    <w:semiHidden/>
    <w:unhideWhenUsed/>
    <w:rsid w:val="00D656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56A3"/>
    <w:rPr>
      <w:rFonts w:ascii="Segoe UI" w:hAnsi="Segoe UI" w:cs="Segoe UI"/>
      <w:sz w:val="18"/>
      <w:szCs w:val="18"/>
      <w:lang w:val="en-GB"/>
    </w:rPr>
  </w:style>
  <w:style w:type="paragraph" w:styleId="Revision">
    <w:name w:val="Revision"/>
    <w:hidden/>
    <w:uiPriority w:val="99"/>
    <w:semiHidden/>
    <w:rsid w:val="00D656A3"/>
    <w:pPr>
      <w:spacing w:after="0" w:line="240" w:lineRule="auto"/>
    </w:pPr>
    <w:rPr>
      <w:lang w:val="en-GB"/>
    </w:rPr>
  </w:style>
  <w:style w:type="character" w:customStyle="1" w:styleId="normaltextrun">
    <w:name w:val="normaltextrun"/>
    <w:basedOn w:val="DefaultParagraphFont"/>
    <w:rsid w:val="00D656A3"/>
    <w:rPr>
      <w:rFonts w:asciiTheme="minorHAnsi" w:eastAsiaTheme="minorEastAsia" w:hAnsiTheme="minorHAnsi" w:cstheme="minorBidi"/>
      <w:sz w:val="24"/>
      <w:szCs w:val="24"/>
      <w:lang w:val="en-US" w:eastAsia="ja-JP" w:bidi="ar-SA"/>
    </w:rPr>
  </w:style>
  <w:style w:type="character" w:styleId="Hyperlink">
    <w:name w:val="Hyperlink"/>
    <w:basedOn w:val="DefaultParagraphFont"/>
    <w:uiPriority w:val="99"/>
    <w:unhideWhenUsed/>
    <w:rsid w:val="00325D7C"/>
    <w:rPr>
      <w:rFonts w:ascii="Times New Roman" w:hAnsi="Times New Roman"/>
      <w:color w:val="0563C1" w:themeColor="hyperlink"/>
      <w:sz w:val="24"/>
      <w:u w:val="single"/>
    </w:rPr>
  </w:style>
  <w:style w:type="paragraph" w:customStyle="1" w:styleId="Normal1">
    <w:name w:val="Normal1"/>
    <w:basedOn w:val="Normal"/>
    <w:rsid w:val="00D656A3"/>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footnotereference0">
    <w:name w:val="footnotereference"/>
    <w:basedOn w:val="DefaultParagraphFont"/>
    <w:rsid w:val="00D656A3"/>
  </w:style>
  <w:style w:type="character" w:customStyle="1" w:styleId="Heading2Char">
    <w:name w:val="Heading 2 Char"/>
    <w:basedOn w:val="DefaultParagraphFont"/>
    <w:link w:val="Heading2"/>
    <w:uiPriority w:val="9"/>
    <w:rsid w:val="00D656A3"/>
    <w:rPr>
      <w:rFonts w:asciiTheme="majorHAnsi" w:eastAsiaTheme="majorEastAsia" w:hAnsiTheme="majorHAnsi" w:cstheme="majorBidi"/>
      <w:color w:val="2F5496" w:themeColor="accent1" w:themeShade="BF"/>
      <w:sz w:val="26"/>
      <w:szCs w:val="26"/>
      <w:lang w:val="en-GB"/>
    </w:rPr>
  </w:style>
  <w:style w:type="character" w:customStyle="1" w:styleId="Heading4Char">
    <w:name w:val="Heading 4 Char"/>
    <w:basedOn w:val="DefaultParagraphFont"/>
    <w:link w:val="Heading4"/>
    <w:uiPriority w:val="9"/>
    <w:rsid w:val="00D656A3"/>
    <w:rPr>
      <w:rFonts w:ascii="Times New Roman" w:eastAsia="Times New Roman" w:hAnsi="Times New Roman" w:cs="Times New Roman"/>
      <w:color w:val="000000" w:themeColor="text1"/>
      <w:sz w:val="24"/>
      <w:szCs w:val="24"/>
      <w:lang w:eastAsia="en-GB"/>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uiPriority w:val="99"/>
    <w:rsid w:val="00D656A3"/>
    <w:pPr>
      <w:spacing w:after="240" w:line="240" w:lineRule="exact"/>
      <w:jc w:val="both"/>
    </w:pPr>
    <w:rPr>
      <w:rFonts w:ascii="Times New Roman" w:hAnsi="Times New Roman"/>
      <w:sz w:val="24"/>
      <w:vertAlign w:val="superscript"/>
      <w:lang w:val="fr-BE"/>
    </w:rPr>
  </w:style>
  <w:style w:type="paragraph" w:styleId="BodyText">
    <w:name w:val="Body Text"/>
    <w:basedOn w:val="Normal"/>
    <w:link w:val="BodyTextChar"/>
    <w:uiPriority w:val="99"/>
    <w:unhideWhenUsed/>
    <w:rsid w:val="00D656A3"/>
    <w:pPr>
      <w:spacing w:before="120" w:after="120" w:line="240" w:lineRule="auto"/>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D656A3"/>
    <w:rPr>
      <w:rFonts w:ascii="Times New Roman" w:hAnsi="Times New Roman" w:cs="Times New Roman"/>
      <w:sz w:val="24"/>
      <w:szCs w:val="24"/>
      <w:lang w:val="en-GB"/>
    </w:rPr>
  </w:style>
  <w:style w:type="paragraph" w:styleId="NormalWeb">
    <w:name w:val="Normal (Web)"/>
    <w:basedOn w:val="Normal"/>
    <w:uiPriority w:val="99"/>
    <w:unhideWhenUsed/>
    <w:rsid w:val="00D656A3"/>
    <w:pPr>
      <w:spacing w:before="100" w:beforeAutospacing="1" w:after="100" w:afterAutospacing="1" w:line="240" w:lineRule="auto"/>
    </w:pPr>
    <w:rPr>
      <w:rFonts w:ascii="Times New Roman" w:eastAsia="Times New Roman" w:hAnsi="Times New Roman" w:cs="Times New Roman"/>
      <w:sz w:val="24"/>
      <w:szCs w:val="24"/>
      <w:lang w:val="fr-BE" w:eastAsia="fr-BE"/>
    </w:rPr>
  </w:style>
  <w:style w:type="character" w:styleId="FollowedHyperlink">
    <w:name w:val="FollowedHyperlink"/>
    <w:basedOn w:val="DefaultParagraphFont"/>
    <w:uiPriority w:val="99"/>
    <w:semiHidden/>
    <w:unhideWhenUsed/>
    <w:rsid w:val="00D656A3"/>
    <w:rPr>
      <w:color w:val="954F72" w:themeColor="followedHyperlink"/>
      <w:u w:val="single"/>
    </w:rPr>
  </w:style>
  <w:style w:type="paragraph" w:styleId="BodyText2">
    <w:name w:val="Body Text 2"/>
    <w:basedOn w:val="Normal"/>
    <w:link w:val="BodyText2Char"/>
    <w:uiPriority w:val="99"/>
    <w:unhideWhenUsed/>
    <w:rsid w:val="00D656A3"/>
    <w:pPr>
      <w:spacing w:before="120" w:after="0" w:line="240" w:lineRule="auto"/>
      <w:jc w:val="both"/>
    </w:pPr>
    <w:rPr>
      <w:rFonts w:ascii="Times New Roman" w:hAnsi="Times New Roman"/>
      <w:b/>
      <w:sz w:val="24"/>
      <w:lang w:val="en-IE"/>
    </w:rPr>
  </w:style>
  <w:style w:type="character" w:customStyle="1" w:styleId="BodyText2Char">
    <w:name w:val="Body Text 2 Char"/>
    <w:basedOn w:val="DefaultParagraphFont"/>
    <w:link w:val="BodyText2"/>
    <w:uiPriority w:val="99"/>
    <w:rsid w:val="00D656A3"/>
    <w:rPr>
      <w:rFonts w:ascii="Times New Roman" w:hAnsi="Times New Roman"/>
      <w:b/>
      <w:sz w:val="24"/>
    </w:rPr>
  </w:style>
  <w:style w:type="paragraph" w:styleId="BodyText3">
    <w:name w:val="Body Text 3"/>
    <w:basedOn w:val="Normal"/>
    <w:link w:val="BodyText3Char"/>
    <w:uiPriority w:val="99"/>
    <w:unhideWhenUsed/>
    <w:rsid w:val="00D656A3"/>
    <w:pPr>
      <w:spacing w:before="120" w:after="0" w:line="240" w:lineRule="auto"/>
      <w:jc w:val="both"/>
    </w:pPr>
    <w:rPr>
      <w:rFonts w:ascii="Times New Roman" w:eastAsia="Times New Roman" w:hAnsi="Times New Roman" w:cs="Times New Roman"/>
      <w:color w:val="000000" w:themeColor="text1"/>
      <w:sz w:val="24"/>
      <w:szCs w:val="24"/>
      <w:lang w:val="en-IE" w:eastAsia="en-GB"/>
    </w:rPr>
  </w:style>
  <w:style w:type="character" w:customStyle="1" w:styleId="BodyText3Char">
    <w:name w:val="Body Text 3 Char"/>
    <w:basedOn w:val="DefaultParagraphFont"/>
    <w:link w:val="BodyText3"/>
    <w:uiPriority w:val="99"/>
    <w:rsid w:val="00D656A3"/>
    <w:rPr>
      <w:rFonts w:ascii="Times New Roman" w:eastAsia="Times New Roman" w:hAnsi="Times New Roman" w:cs="Times New Roman"/>
      <w:color w:val="000000" w:themeColor="text1"/>
      <w:sz w:val="24"/>
      <w:szCs w:val="24"/>
      <w:lang w:eastAsia="en-GB"/>
    </w:rPr>
  </w:style>
  <w:style w:type="paragraph" w:styleId="Title">
    <w:name w:val="Title"/>
    <w:basedOn w:val="Normal"/>
    <w:next w:val="Normal"/>
    <w:link w:val="TitleChar"/>
    <w:uiPriority w:val="10"/>
    <w:qFormat/>
    <w:rsid w:val="00D656A3"/>
    <w:pPr>
      <w:spacing w:before="120" w:after="0" w:line="240" w:lineRule="auto"/>
      <w:jc w:val="center"/>
    </w:pPr>
    <w:rPr>
      <w:rFonts w:ascii="Times New Roman" w:hAnsi="Times New Roman" w:cs="Times New Roman"/>
      <w:b/>
      <w:sz w:val="24"/>
      <w:szCs w:val="24"/>
    </w:rPr>
  </w:style>
  <w:style w:type="character" w:customStyle="1" w:styleId="TitleChar">
    <w:name w:val="Title Char"/>
    <w:basedOn w:val="DefaultParagraphFont"/>
    <w:link w:val="Title"/>
    <w:uiPriority w:val="10"/>
    <w:rsid w:val="00D656A3"/>
    <w:rPr>
      <w:rFonts w:ascii="Times New Roman" w:hAnsi="Times New Roman" w:cs="Times New Roman"/>
      <w:b/>
      <w:sz w:val="24"/>
      <w:szCs w:val="24"/>
      <w:lang w:val="en-GB"/>
    </w:rPr>
  </w:style>
  <w:style w:type="table" w:styleId="TableGrid">
    <w:name w:val="Table Grid"/>
    <w:basedOn w:val="TableNormal"/>
    <w:uiPriority w:val="39"/>
    <w:rsid w:val="00D656A3"/>
    <w:pPr>
      <w:spacing w:after="0" w:line="240" w:lineRule="auto"/>
    </w:pPr>
    <w:rPr>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sid w:val="00D656A3"/>
    <w:rPr>
      <w:color w:val="0000FF"/>
      <w:shd w:val="clear" w:color="auto" w:fill="auto"/>
    </w:rPr>
  </w:style>
  <w:style w:type="paragraph" w:customStyle="1" w:styleId="Pagedecouverture">
    <w:name w:val="Page de couverture"/>
    <w:basedOn w:val="Normal"/>
    <w:next w:val="Normal"/>
    <w:rsid w:val="00D656A3"/>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D656A3"/>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TitleChar"/>
    <w:link w:val="FooterCoverPage"/>
    <w:rsid w:val="00D656A3"/>
    <w:rPr>
      <w:rFonts w:ascii="Times New Roman" w:hAnsi="Times New Roman" w:cs="Times New Roman"/>
      <w:b w:val="0"/>
      <w:sz w:val="24"/>
      <w:szCs w:val="24"/>
      <w:lang w:val="en-GB"/>
    </w:rPr>
  </w:style>
  <w:style w:type="paragraph" w:customStyle="1" w:styleId="FooterSensitivity">
    <w:name w:val="Footer Sensitivity"/>
    <w:basedOn w:val="Normal"/>
    <w:link w:val="FooterSensitivityChar"/>
    <w:rsid w:val="00D656A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itleChar"/>
    <w:link w:val="FooterSensitivity"/>
    <w:rsid w:val="00D656A3"/>
    <w:rPr>
      <w:rFonts w:ascii="Times New Roman" w:hAnsi="Times New Roman" w:cs="Times New Roman"/>
      <w:b/>
      <w:sz w:val="32"/>
      <w:szCs w:val="24"/>
      <w:lang w:val="en-GB"/>
    </w:rPr>
  </w:style>
  <w:style w:type="paragraph" w:customStyle="1" w:styleId="HeaderCoverPage">
    <w:name w:val="Header Cover Page"/>
    <w:basedOn w:val="Normal"/>
    <w:link w:val="HeaderCoverPageChar"/>
    <w:rsid w:val="00D656A3"/>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itleChar"/>
    <w:link w:val="HeaderCoverPage"/>
    <w:rsid w:val="00D656A3"/>
    <w:rPr>
      <w:rFonts w:ascii="Times New Roman" w:hAnsi="Times New Roman" w:cs="Times New Roman"/>
      <w:b w:val="0"/>
      <w:sz w:val="24"/>
      <w:szCs w:val="24"/>
      <w:lang w:val="en-GB"/>
    </w:rPr>
  </w:style>
  <w:style w:type="paragraph" w:customStyle="1" w:styleId="HeaderSensitivity">
    <w:name w:val="Header Sensitivity"/>
    <w:basedOn w:val="Normal"/>
    <w:link w:val="HeaderSensitivityChar"/>
    <w:rsid w:val="00D656A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itleChar"/>
    <w:link w:val="HeaderSensitivity"/>
    <w:rsid w:val="00D656A3"/>
    <w:rPr>
      <w:rFonts w:ascii="Times New Roman" w:hAnsi="Times New Roman" w:cs="Times New Roman"/>
      <w:b/>
      <w:sz w:val="32"/>
      <w:szCs w:val="24"/>
      <w:lang w:val="en-GB"/>
    </w:rPr>
  </w:style>
  <w:style w:type="paragraph" w:customStyle="1" w:styleId="HeaderSensitivityRight">
    <w:name w:val="Header Sensitivity Right"/>
    <w:basedOn w:val="Normal"/>
    <w:link w:val="HeaderSensitivityRightChar"/>
    <w:rsid w:val="00D656A3"/>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TitleChar"/>
    <w:link w:val="HeaderSensitivityRight"/>
    <w:rsid w:val="00D656A3"/>
    <w:rPr>
      <w:rFonts w:ascii="Times New Roman" w:hAnsi="Times New Roman" w:cs="Times New Roman"/>
      <w:b w:val="0"/>
      <w:sz w:val="28"/>
      <w:szCs w:val="24"/>
      <w:lang w:val="en-GB"/>
    </w:rPr>
  </w:style>
  <w:style w:type="paragraph" w:customStyle="1" w:styleId="Disclaimer">
    <w:name w:val="Disclaimer"/>
    <w:basedOn w:val="Normal"/>
    <w:rsid w:val="00D656A3"/>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D656A3"/>
    <w:pPr>
      <w:spacing w:after="0" w:line="276" w:lineRule="auto"/>
      <w:ind w:left="5103"/>
    </w:pPr>
    <w:rPr>
      <w:rFonts w:ascii="Times New Roman" w:hAnsi="Times New Roman" w:cs="Times New Roman"/>
      <w:sz w:val="28"/>
    </w:rPr>
  </w:style>
  <w:style w:type="paragraph" w:customStyle="1" w:styleId="DateMarking">
    <w:name w:val="DateMarking"/>
    <w:basedOn w:val="Normal"/>
    <w:rsid w:val="00D656A3"/>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D656A3"/>
    <w:pPr>
      <w:spacing w:after="0" w:line="276" w:lineRule="auto"/>
      <w:ind w:left="5103"/>
    </w:pPr>
    <w:rPr>
      <w:rFonts w:ascii="Times New Roman" w:hAnsi="Times New Roman" w:cs="Times New Roman"/>
      <w:i/>
      <w:sz w:val="28"/>
    </w:rPr>
  </w:style>
  <w:style w:type="paragraph" w:customStyle="1" w:styleId="paragraph">
    <w:name w:val="paragraph"/>
    <w:basedOn w:val="Normal"/>
    <w:rsid w:val="00D656A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D656A3"/>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Times 10 Point Car... + Verdana,7..."/>
    <w:basedOn w:val="Normal"/>
    <w:uiPriority w:val="99"/>
    <w:rsid w:val="00D656A3"/>
    <w:pPr>
      <w:spacing w:after="240" w:line="240" w:lineRule="exact"/>
      <w:jc w:val="both"/>
    </w:pPr>
    <w:rPr>
      <w:rFonts w:ascii="Times New Roman" w:hAnsi="Times New Roman"/>
      <w:sz w:val="24"/>
      <w:vertAlign w:val="superscript"/>
    </w:rPr>
  </w:style>
  <w:style w:type="paragraph" w:customStyle="1" w:styleId="LTTSoundbite">
    <w:name w:val="LTT Sound bite"/>
    <w:basedOn w:val="Normal"/>
    <w:qFormat/>
    <w:rsid w:val="00D656A3"/>
    <w:pPr>
      <w:spacing w:after="0" w:line="240" w:lineRule="auto"/>
    </w:pPr>
    <w:rPr>
      <w:rFonts w:ascii="Calibri" w:eastAsia="Times New Roman" w:hAnsi="Calibri" w:cs="Calibri"/>
      <w:b/>
      <w:sz w:val="28"/>
      <w:szCs w:val="28"/>
      <w:lang w:eastAsia="en-GB"/>
    </w:rPr>
  </w:style>
  <w:style w:type="paragraph" w:customStyle="1" w:styleId="Briefinglist1">
    <w:name w:val="Briefing list 1"/>
    <w:basedOn w:val="Normal"/>
    <w:link w:val="Briefinglist1Char"/>
    <w:qFormat/>
    <w:rsid w:val="00D656A3"/>
    <w:pPr>
      <w:keepLines/>
      <w:numPr>
        <w:numId w:val="4"/>
      </w:numPr>
      <w:spacing w:after="120" w:line="240" w:lineRule="auto"/>
      <w:jc w:val="both"/>
    </w:pPr>
    <w:rPr>
      <w:rFonts w:ascii="Arial" w:eastAsia="Times New Roman" w:hAnsi="Arial" w:cs="Times New Roman"/>
      <w:sz w:val="24"/>
      <w:szCs w:val="24"/>
      <w:lang w:eastAsia="en-GB"/>
    </w:rPr>
  </w:style>
  <w:style w:type="character" w:customStyle="1" w:styleId="Briefinglist1Char">
    <w:name w:val="Briefing list 1 Char"/>
    <w:basedOn w:val="DefaultParagraphFont"/>
    <w:link w:val="Briefinglist1"/>
    <w:qFormat/>
    <w:rsid w:val="00D656A3"/>
    <w:rPr>
      <w:rFonts w:ascii="Arial" w:eastAsia="Times New Roman" w:hAnsi="Arial" w:cs="Times New Roman"/>
      <w:sz w:val="24"/>
      <w:szCs w:val="24"/>
      <w:lang w:val="en-GB" w:eastAsia="en-GB"/>
    </w:rPr>
  </w:style>
  <w:style w:type="character" w:customStyle="1" w:styleId="UnresolvedMention1">
    <w:name w:val="Unresolved Mention1"/>
    <w:basedOn w:val="DefaultParagraphFont"/>
    <w:uiPriority w:val="99"/>
    <w:semiHidden/>
    <w:unhideWhenUsed/>
    <w:rsid w:val="00D656A3"/>
    <w:rPr>
      <w:color w:val="605E5C"/>
      <w:shd w:val="clear" w:color="auto" w:fill="E1DFDD"/>
    </w:rPr>
  </w:style>
  <w:style w:type="numbering" w:customStyle="1" w:styleId="CurrentList1">
    <w:name w:val="Current List1"/>
    <w:uiPriority w:val="99"/>
    <w:rsid w:val="00D656A3"/>
    <w:pPr>
      <w:numPr>
        <w:numId w:val="5"/>
      </w:numPr>
    </w:p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rsid w:val="00D656A3"/>
    <w:rPr>
      <w:rFonts w:ascii="Courier New" w:hAnsi="Courier New"/>
      <w:lang w:val="en-GB" w:eastAsia="en-GB" w:bidi="ar-SA"/>
    </w:rPr>
  </w:style>
  <w:style w:type="character" w:customStyle="1" w:styleId="hgkelc">
    <w:name w:val="hgkelc"/>
    <w:basedOn w:val="DefaultParagraphFont"/>
    <w:rsid w:val="00D656A3"/>
  </w:style>
  <w:style w:type="paragraph" w:customStyle="1" w:styleId="calloutCharCharCharChar">
    <w:name w:val="callout Char Char Char Char"/>
    <w:aliases w:val="Footnotes refss Char Char Char Char,Fußnotenzeichen_Raxen Car Char Char Char Char,SUPERS Car Char Char Char Char,Footnote symbol Car Char Char Char Char,Times 10 Point Car Char Char Char Char"/>
    <w:basedOn w:val="Normal"/>
    <w:uiPriority w:val="99"/>
    <w:rsid w:val="00D656A3"/>
    <w:pPr>
      <w:spacing w:line="240" w:lineRule="exact"/>
    </w:pPr>
    <w:rPr>
      <w:vertAlign w:val="superscript"/>
      <w:lang w:val="en-US"/>
    </w:rPr>
  </w:style>
  <w:style w:type="character" w:customStyle="1" w:styleId="ui-provider">
    <w:name w:val="ui-provider"/>
    <w:basedOn w:val="DefaultParagraphFont"/>
    <w:rsid w:val="00D656A3"/>
  </w:style>
  <w:style w:type="character" w:styleId="Strong">
    <w:name w:val="Strong"/>
    <w:basedOn w:val="DefaultParagraphFont"/>
    <w:uiPriority w:val="22"/>
    <w:qFormat/>
    <w:rsid w:val="00D656A3"/>
    <w:rPr>
      <w:b/>
      <w:bCs/>
    </w:rPr>
  </w:style>
  <w:style w:type="paragraph" w:customStyle="1" w:styleId="Bullet3">
    <w:name w:val="Bullet 3"/>
    <w:basedOn w:val="Normal"/>
    <w:rsid w:val="00D656A3"/>
    <w:pPr>
      <w:numPr>
        <w:numId w:val="6"/>
      </w:numPr>
      <w:spacing w:before="120" w:after="120" w:line="240" w:lineRule="auto"/>
      <w:jc w:val="both"/>
    </w:pPr>
    <w:rPr>
      <w:rFonts w:ascii="Times New Roman" w:hAnsi="Times New Roman" w:cs="Times New Roman"/>
      <w:sz w:val="24"/>
    </w:rPr>
  </w:style>
  <w:style w:type="paragraph" w:customStyle="1" w:styleId="FootnoteRoLReport">
    <w:name w:val="Footnote RoL Report"/>
    <w:basedOn w:val="FootnoteText"/>
    <w:link w:val="FootnoteRoLReportChar"/>
    <w:autoRedefine/>
    <w:qFormat/>
    <w:rsid w:val="00D656A3"/>
    <w:pPr>
      <w:outlineLvl w:val="0"/>
    </w:pPr>
    <w:rPr>
      <w:rFonts w:eastAsiaTheme="minorHAnsi" w:cs="Arial"/>
      <w:lang w:val="en-IE" w:eastAsia="en-US"/>
    </w:rPr>
  </w:style>
  <w:style w:type="character" w:customStyle="1" w:styleId="FootnoteRoLReportChar">
    <w:name w:val="Footnote RoL Report Char"/>
    <w:basedOn w:val="DefaultParagraphFont"/>
    <w:link w:val="FootnoteRoLReport"/>
    <w:rsid w:val="00D656A3"/>
    <w:rPr>
      <w:rFonts w:ascii="Times New Roman" w:hAnsi="Times New Roman" w:cs="Arial"/>
      <w:sz w:val="20"/>
      <w:szCs w:val="20"/>
    </w:rPr>
  </w:style>
  <w:style w:type="character" w:customStyle="1" w:styleId="cf01">
    <w:name w:val="cf01"/>
    <w:basedOn w:val="DefaultParagraphFont"/>
    <w:rsid w:val="00D656A3"/>
    <w:rPr>
      <w:rFonts w:ascii="Segoe UI" w:hAnsi="Segoe UI" w:cs="Segoe UI" w:hint="default"/>
      <w:sz w:val="18"/>
      <w:szCs w:val="18"/>
    </w:rPr>
  </w:style>
  <w:style w:type="paragraph" w:customStyle="1" w:styleId="Insertfootnote">
    <w:name w:val="Insert footnote"/>
    <w:basedOn w:val="Normal"/>
    <w:link w:val="InsertfootnoteChar"/>
    <w:qFormat/>
    <w:rsid w:val="00193071"/>
    <w:pPr>
      <w:spacing w:before="240" w:after="240" w:line="240" w:lineRule="auto"/>
      <w:jc w:val="both"/>
    </w:pPr>
    <w:rPr>
      <w:rFonts w:cs="Times New Roman"/>
      <w:sz w:val="24"/>
      <w:szCs w:val="24"/>
    </w:rPr>
  </w:style>
  <w:style w:type="character" w:customStyle="1" w:styleId="InsertfootnoteChar">
    <w:name w:val="Insert footnote Char"/>
    <w:basedOn w:val="DefaultParagraphFont"/>
    <w:link w:val="Insertfootnote"/>
    <w:rsid w:val="00193071"/>
    <w:rPr>
      <w:rFonts w:cs="Times New Roman"/>
      <w:sz w:val="24"/>
      <w:szCs w:val="24"/>
      <w:lang w:val="en-GB"/>
    </w:rPr>
  </w:style>
  <w:style w:type="paragraph" w:customStyle="1" w:styleId="Speakingsub-points">
    <w:name w:val="Speaking sub-points"/>
    <w:basedOn w:val="Normal"/>
    <w:qFormat/>
    <w:rsid w:val="000C66D4"/>
    <w:pPr>
      <w:numPr>
        <w:ilvl w:val="1"/>
        <w:numId w:val="9"/>
      </w:numPr>
      <w:spacing w:before="200" w:after="200" w:line="240" w:lineRule="auto"/>
      <w:jc w:val="both"/>
    </w:pPr>
    <w:rPr>
      <w:rFonts w:ascii="Times New Roman" w:eastAsia="Times New Roman" w:hAnsi="Times New Roman" w:cs="Times New Roman"/>
      <w:sz w:val="32"/>
      <w:szCs w:val="32"/>
    </w:rPr>
  </w:style>
  <w:style w:type="paragraph" w:customStyle="1" w:styleId="FootnoteReference1">
    <w:name w:val="Footnote Reference1"/>
    <w:basedOn w:val="Normal"/>
    <w:qFormat/>
    <w:rsid w:val="003B0C75"/>
    <w:pPr>
      <w:jc w:val="both"/>
    </w:pPr>
    <w:rPr>
      <w:rFonts w:ascii="Times New Roman" w:hAnsi="Times New Roman" w:cs="Times New Roman"/>
      <w:sz w:val="24"/>
      <w:vertAlign w:val="superscript"/>
    </w:rPr>
  </w:style>
  <w:style w:type="character" w:customStyle="1" w:styleId="Mention1">
    <w:name w:val="Mention1"/>
    <w:basedOn w:val="DefaultParagraphFont"/>
    <w:uiPriority w:val="99"/>
    <w:unhideWhenUsed/>
    <w:rsid w:val="00877E4B"/>
    <w:rPr>
      <w:color w:val="2B579A"/>
      <w:shd w:val="clear" w:color="auto" w:fill="E1DFDD"/>
    </w:rPr>
  </w:style>
  <w:style w:type="character" w:customStyle="1" w:styleId="UnresolvedMention2">
    <w:name w:val="Unresolved Mention2"/>
    <w:basedOn w:val="DefaultParagraphFont"/>
    <w:uiPriority w:val="99"/>
    <w:semiHidden/>
    <w:unhideWhenUsed/>
    <w:rsid w:val="00F07552"/>
    <w:rPr>
      <w:color w:val="605E5C"/>
      <w:shd w:val="clear" w:color="auto" w:fill="E1DFDD"/>
    </w:rPr>
  </w:style>
  <w:style w:type="character" w:customStyle="1" w:styleId="UnresolvedMention">
    <w:name w:val="Unresolved Mention"/>
    <w:basedOn w:val="DefaultParagraphFont"/>
    <w:uiPriority w:val="99"/>
    <w:semiHidden/>
    <w:unhideWhenUsed/>
    <w:rsid w:val="00F408AE"/>
    <w:rPr>
      <w:color w:val="605E5C"/>
      <w:shd w:val="clear" w:color="auto" w:fill="E1DFDD"/>
    </w:rPr>
  </w:style>
  <w:style w:type="paragraph" w:customStyle="1" w:styleId="pf0">
    <w:name w:val="pf0"/>
    <w:basedOn w:val="Normal"/>
    <w:rsid w:val="009B40A4"/>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Mention">
    <w:name w:val="Mention"/>
    <w:basedOn w:val="DefaultParagraphFont"/>
    <w:uiPriority w:val="99"/>
    <w:unhideWhenUsed/>
    <w:rsid w:val="00E910E9"/>
    <w:rPr>
      <w:color w:val="2B579A"/>
      <w:shd w:val="clear" w:color="auto" w:fill="E1DFDD"/>
    </w:rPr>
  </w:style>
  <w:style w:type="paragraph" w:styleId="EndnoteText">
    <w:name w:val="endnote text"/>
    <w:basedOn w:val="Normal"/>
    <w:link w:val="EndnoteTextChar"/>
    <w:uiPriority w:val="99"/>
    <w:semiHidden/>
    <w:unhideWhenUsed/>
    <w:rsid w:val="00B91A1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91A19"/>
    <w:rPr>
      <w:sz w:val="20"/>
      <w:szCs w:val="20"/>
      <w:lang w:val="en-GB"/>
    </w:rPr>
  </w:style>
  <w:style w:type="character" w:styleId="EndnoteReference">
    <w:name w:val="endnote reference"/>
    <w:basedOn w:val="DefaultParagraphFont"/>
    <w:uiPriority w:val="99"/>
    <w:semiHidden/>
    <w:unhideWhenUsed/>
    <w:rsid w:val="00B91A19"/>
    <w:rPr>
      <w:vertAlign w:val="superscript"/>
    </w:rPr>
  </w:style>
  <w:style w:type="character" w:customStyle="1" w:styleId="Bodytext1">
    <w:name w:val="Body text|1_"/>
    <w:basedOn w:val="DefaultParagraphFont"/>
    <w:link w:val="Bodytext10"/>
    <w:rsid w:val="008A0E93"/>
  </w:style>
  <w:style w:type="paragraph" w:customStyle="1" w:styleId="Bodytext10">
    <w:name w:val="Body text|1"/>
    <w:basedOn w:val="Normal"/>
    <w:link w:val="Bodytext1"/>
    <w:rsid w:val="008A0E93"/>
    <w:pPr>
      <w:widowControl w:val="0"/>
      <w:spacing w:after="220" w:line="240" w:lineRule="auto"/>
    </w:pPr>
    <w:rPr>
      <w:lang w:val="en-IE"/>
    </w:rPr>
  </w:style>
  <w:style w:type="paragraph" w:customStyle="1" w:styleId="Languesfaisantfoi">
    <w:name w:val="Langues faisant foi"/>
    <w:basedOn w:val="Normal"/>
    <w:next w:val="Normal"/>
    <w:rsid w:val="00ED2DE4"/>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ED2DE4"/>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ED2DE4"/>
    <w:pPr>
      <w:spacing w:after="0"/>
    </w:pPr>
  </w:style>
  <w:style w:type="paragraph" w:customStyle="1" w:styleId="IntrtEEEPagedecouverture">
    <w:name w:val="Intérêt EEE (Page de couverture)"/>
    <w:basedOn w:val="IntrtEEE"/>
    <w:next w:val="Normal"/>
    <w:rsid w:val="00ED2DE4"/>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1"/>
    <w:qFormat/>
    <w:rsid w:val="009D7E21"/>
    <w:pPr>
      <w:spacing w:before="60" w:line="240" w:lineRule="exact"/>
      <w:jc w:val="both"/>
    </w:pPr>
    <w:rPr>
      <w:kern w:val="2"/>
      <w:vertAlign w:val="superscript"/>
      <w:lang w:val="en-IE"/>
      <w14:ligatures w14:val="standardContextual"/>
    </w:rPr>
  </w:style>
  <w:style w:type="character" w:customStyle="1" w:styleId="Hyperlink1">
    <w:name w:val="Hyperlink1"/>
    <w:basedOn w:val="DefaultParagraphFont"/>
    <w:uiPriority w:val="99"/>
    <w:unhideWhenUsed/>
    <w:rsid w:val="009D7E2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16387">
      <w:bodyDiv w:val="1"/>
      <w:marLeft w:val="0"/>
      <w:marRight w:val="0"/>
      <w:marTop w:val="0"/>
      <w:marBottom w:val="0"/>
      <w:divBdr>
        <w:top w:val="none" w:sz="0" w:space="0" w:color="auto"/>
        <w:left w:val="none" w:sz="0" w:space="0" w:color="auto"/>
        <w:bottom w:val="none" w:sz="0" w:space="0" w:color="auto"/>
        <w:right w:val="none" w:sz="0" w:space="0" w:color="auto"/>
      </w:divBdr>
    </w:div>
    <w:div w:id="14550384">
      <w:bodyDiv w:val="1"/>
      <w:marLeft w:val="0"/>
      <w:marRight w:val="0"/>
      <w:marTop w:val="0"/>
      <w:marBottom w:val="0"/>
      <w:divBdr>
        <w:top w:val="none" w:sz="0" w:space="0" w:color="auto"/>
        <w:left w:val="none" w:sz="0" w:space="0" w:color="auto"/>
        <w:bottom w:val="none" w:sz="0" w:space="0" w:color="auto"/>
        <w:right w:val="none" w:sz="0" w:space="0" w:color="auto"/>
      </w:divBdr>
    </w:div>
    <w:div w:id="29108778">
      <w:bodyDiv w:val="1"/>
      <w:marLeft w:val="0"/>
      <w:marRight w:val="0"/>
      <w:marTop w:val="0"/>
      <w:marBottom w:val="0"/>
      <w:divBdr>
        <w:top w:val="none" w:sz="0" w:space="0" w:color="auto"/>
        <w:left w:val="none" w:sz="0" w:space="0" w:color="auto"/>
        <w:bottom w:val="none" w:sz="0" w:space="0" w:color="auto"/>
        <w:right w:val="none" w:sz="0" w:space="0" w:color="auto"/>
      </w:divBdr>
    </w:div>
    <w:div w:id="34624001">
      <w:bodyDiv w:val="1"/>
      <w:marLeft w:val="0"/>
      <w:marRight w:val="0"/>
      <w:marTop w:val="0"/>
      <w:marBottom w:val="0"/>
      <w:divBdr>
        <w:top w:val="none" w:sz="0" w:space="0" w:color="auto"/>
        <w:left w:val="none" w:sz="0" w:space="0" w:color="auto"/>
        <w:bottom w:val="none" w:sz="0" w:space="0" w:color="auto"/>
        <w:right w:val="none" w:sz="0" w:space="0" w:color="auto"/>
      </w:divBdr>
    </w:div>
    <w:div w:id="48116833">
      <w:bodyDiv w:val="1"/>
      <w:marLeft w:val="0"/>
      <w:marRight w:val="0"/>
      <w:marTop w:val="0"/>
      <w:marBottom w:val="0"/>
      <w:divBdr>
        <w:top w:val="none" w:sz="0" w:space="0" w:color="auto"/>
        <w:left w:val="none" w:sz="0" w:space="0" w:color="auto"/>
        <w:bottom w:val="none" w:sz="0" w:space="0" w:color="auto"/>
        <w:right w:val="none" w:sz="0" w:space="0" w:color="auto"/>
      </w:divBdr>
    </w:div>
    <w:div w:id="62607146">
      <w:bodyDiv w:val="1"/>
      <w:marLeft w:val="0"/>
      <w:marRight w:val="0"/>
      <w:marTop w:val="0"/>
      <w:marBottom w:val="0"/>
      <w:divBdr>
        <w:top w:val="none" w:sz="0" w:space="0" w:color="auto"/>
        <w:left w:val="none" w:sz="0" w:space="0" w:color="auto"/>
        <w:bottom w:val="none" w:sz="0" w:space="0" w:color="auto"/>
        <w:right w:val="none" w:sz="0" w:space="0" w:color="auto"/>
      </w:divBdr>
    </w:div>
    <w:div w:id="73936384">
      <w:bodyDiv w:val="1"/>
      <w:marLeft w:val="0"/>
      <w:marRight w:val="0"/>
      <w:marTop w:val="0"/>
      <w:marBottom w:val="0"/>
      <w:divBdr>
        <w:top w:val="none" w:sz="0" w:space="0" w:color="auto"/>
        <w:left w:val="none" w:sz="0" w:space="0" w:color="auto"/>
        <w:bottom w:val="none" w:sz="0" w:space="0" w:color="auto"/>
        <w:right w:val="none" w:sz="0" w:space="0" w:color="auto"/>
      </w:divBdr>
      <w:divsChild>
        <w:div w:id="1575623508">
          <w:marLeft w:val="0"/>
          <w:marRight w:val="0"/>
          <w:marTop w:val="0"/>
          <w:marBottom w:val="0"/>
          <w:divBdr>
            <w:top w:val="none" w:sz="0" w:space="0" w:color="auto"/>
            <w:left w:val="none" w:sz="0" w:space="0" w:color="auto"/>
            <w:bottom w:val="none" w:sz="0" w:space="0" w:color="auto"/>
            <w:right w:val="none" w:sz="0" w:space="0" w:color="auto"/>
          </w:divBdr>
          <w:divsChild>
            <w:div w:id="235557866">
              <w:marLeft w:val="0"/>
              <w:marRight w:val="0"/>
              <w:marTop w:val="0"/>
              <w:marBottom w:val="0"/>
              <w:divBdr>
                <w:top w:val="none" w:sz="0" w:space="0" w:color="auto"/>
                <w:left w:val="none" w:sz="0" w:space="0" w:color="auto"/>
                <w:bottom w:val="none" w:sz="0" w:space="0" w:color="auto"/>
                <w:right w:val="none" w:sz="0" w:space="0" w:color="auto"/>
              </w:divBdr>
              <w:divsChild>
                <w:div w:id="2035619081">
                  <w:marLeft w:val="0"/>
                  <w:marRight w:val="0"/>
                  <w:marTop w:val="0"/>
                  <w:marBottom w:val="0"/>
                  <w:divBdr>
                    <w:top w:val="none" w:sz="0" w:space="0" w:color="auto"/>
                    <w:left w:val="none" w:sz="0" w:space="0" w:color="auto"/>
                    <w:bottom w:val="none" w:sz="0" w:space="0" w:color="auto"/>
                    <w:right w:val="none" w:sz="0" w:space="0" w:color="auto"/>
                  </w:divBdr>
                  <w:divsChild>
                    <w:div w:id="1813594927">
                      <w:marLeft w:val="0"/>
                      <w:marRight w:val="0"/>
                      <w:marTop w:val="0"/>
                      <w:marBottom w:val="0"/>
                      <w:divBdr>
                        <w:top w:val="none" w:sz="0" w:space="0" w:color="auto"/>
                        <w:left w:val="none" w:sz="0" w:space="0" w:color="auto"/>
                        <w:bottom w:val="none" w:sz="0" w:space="0" w:color="auto"/>
                        <w:right w:val="none" w:sz="0" w:space="0" w:color="auto"/>
                      </w:divBdr>
                      <w:divsChild>
                        <w:div w:id="962884662">
                          <w:marLeft w:val="0"/>
                          <w:marRight w:val="0"/>
                          <w:marTop w:val="0"/>
                          <w:marBottom w:val="0"/>
                          <w:divBdr>
                            <w:top w:val="none" w:sz="0" w:space="0" w:color="auto"/>
                            <w:left w:val="none" w:sz="0" w:space="0" w:color="auto"/>
                            <w:bottom w:val="none" w:sz="0" w:space="0" w:color="auto"/>
                            <w:right w:val="none" w:sz="0" w:space="0" w:color="auto"/>
                          </w:divBdr>
                          <w:divsChild>
                            <w:div w:id="190143382">
                              <w:marLeft w:val="0"/>
                              <w:marRight w:val="0"/>
                              <w:marTop w:val="0"/>
                              <w:marBottom w:val="0"/>
                              <w:divBdr>
                                <w:top w:val="none" w:sz="0" w:space="0" w:color="auto"/>
                                <w:left w:val="none" w:sz="0" w:space="0" w:color="auto"/>
                                <w:bottom w:val="none" w:sz="0" w:space="0" w:color="auto"/>
                                <w:right w:val="none" w:sz="0" w:space="0" w:color="auto"/>
                              </w:divBdr>
                              <w:divsChild>
                                <w:div w:id="174851126">
                                  <w:marLeft w:val="0"/>
                                  <w:marRight w:val="0"/>
                                  <w:marTop w:val="0"/>
                                  <w:marBottom w:val="0"/>
                                  <w:divBdr>
                                    <w:top w:val="none" w:sz="0" w:space="0" w:color="auto"/>
                                    <w:left w:val="none" w:sz="0" w:space="0" w:color="auto"/>
                                    <w:bottom w:val="none" w:sz="0" w:space="0" w:color="auto"/>
                                    <w:right w:val="none" w:sz="0" w:space="0" w:color="auto"/>
                                  </w:divBdr>
                                  <w:divsChild>
                                    <w:div w:id="40299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870756">
      <w:bodyDiv w:val="1"/>
      <w:marLeft w:val="0"/>
      <w:marRight w:val="0"/>
      <w:marTop w:val="0"/>
      <w:marBottom w:val="0"/>
      <w:divBdr>
        <w:top w:val="none" w:sz="0" w:space="0" w:color="auto"/>
        <w:left w:val="none" w:sz="0" w:space="0" w:color="auto"/>
        <w:bottom w:val="none" w:sz="0" w:space="0" w:color="auto"/>
        <w:right w:val="none" w:sz="0" w:space="0" w:color="auto"/>
      </w:divBdr>
      <w:divsChild>
        <w:div w:id="18659449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046097">
      <w:bodyDiv w:val="1"/>
      <w:marLeft w:val="0"/>
      <w:marRight w:val="0"/>
      <w:marTop w:val="0"/>
      <w:marBottom w:val="0"/>
      <w:divBdr>
        <w:top w:val="none" w:sz="0" w:space="0" w:color="auto"/>
        <w:left w:val="none" w:sz="0" w:space="0" w:color="auto"/>
        <w:bottom w:val="none" w:sz="0" w:space="0" w:color="auto"/>
        <w:right w:val="none" w:sz="0" w:space="0" w:color="auto"/>
      </w:divBdr>
      <w:divsChild>
        <w:div w:id="164245457">
          <w:marLeft w:val="0"/>
          <w:marRight w:val="0"/>
          <w:marTop w:val="0"/>
          <w:marBottom w:val="0"/>
          <w:divBdr>
            <w:top w:val="none" w:sz="0" w:space="0" w:color="auto"/>
            <w:left w:val="none" w:sz="0" w:space="0" w:color="auto"/>
            <w:bottom w:val="none" w:sz="0" w:space="0" w:color="auto"/>
            <w:right w:val="none" w:sz="0" w:space="0" w:color="auto"/>
          </w:divBdr>
          <w:divsChild>
            <w:div w:id="1302733536">
              <w:marLeft w:val="0"/>
              <w:marRight w:val="0"/>
              <w:marTop w:val="0"/>
              <w:marBottom w:val="0"/>
              <w:divBdr>
                <w:top w:val="none" w:sz="0" w:space="0" w:color="auto"/>
                <w:left w:val="none" w:sz="0" w:space="0" w:color="auto"/>
                <w:bottom w:val="none" w:sz="0" w:space="0" w:color="auto"/>
                <w:right w:val="none" w:sz="0" w:space="0" w:color="auto"/>
              </w:divBdr>
              <w:divsChild>
                <w:div w:id="192618780">
                  <w:marLeft w:val="0"/>
                  <w:marRight w:val="0"/>
                  <w:marTop w:val="0"/>
                  <w:marBottom w:val="0"/>
                  <w:divBdr>
                    <w:top w:val="none" w:sz="0" w:space="0" w:color="auto"/>
                    <w:left w:val="none" w:sz="0" w:space="0" w:color="auto"/>
                    <w:bottom w:val="none" w:sz="0" w:space="0" w:color="auto"/>
                    <w:right w:val="none" w:sz="0" w:space="0" w:color="auto"/>
                  </w:divBdr>
                  <w:divsChild>
                    <w:div w:id="117768719">
                      <w:marLeft w:val="0"/>
                      <w:marRight w:val="0"/>
                      <w:marTop w:val="0"/>
                      <w:marBottom w:val="0"/>
                      <w:divBdr>
                        <w:top w:val="none" w:sz="0" w:space="0" w:color="auto"/>
                        <w:left w:val="none" w:sz="0" w:space="0" w:color="auto"/>
                        <w:bottom w:val="none" w:sz="0" w:space="0" w:color="auto"/>
                        <w:right w:val="none" w:sz="0" w:space="0" w:color="auto"/>
                      </w:divBdr>
                      <w:divsChild>
                        <w:div w:id="1673531336">
                          <w:marLeft w:val="0"/>
                          <w:marRight w:val="0"/>
                          <w:marTop w:val="0"/>
                          <w:marBottom w:val="0"/>
                          <w:divBdr>
                            <w:top w:val="none" w:sz="0" w:space="0" w:color="auto"/>
                            <w:left w:val="none" w:sz="0" w:space="0" w:color="auto"/>
                            <w:bottom w:val="none" w:sz="0" w:space="0" w:color="auto"/>
                            <w:right w:val="none" w:sz="0" w:space="0" w:color="auto"/>
                          </w:divBdr>
                          <w:divsChild>
                            <w:div w:id="1275400496">
                              <w:marLeft w:val="0"/>
                              <w:marRight w:val="0"/>
                              <w:marTop w:val="0"/>
                              <w:marBottom w:val="0"/>
                              <w:divBdr>
                                <w:top w:val="none" w:sz="0" w:space="0" w:color="auto"/>
                                <w:left w:val="none" w:sz="0" w:space="0" w:color="auto"/>
                                <w:bottom w:val="none" w:sz="0" w:space="0" w:color="auto"/>
                                <w:right w:val="none" w:sz="0" w:space="0" w:color="auto"/>
                              </w:divBdr>
                              <w:divsChild>
                                <w:div w:id="172205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197932">
      <w:bodyDiv w:val="1"/>
      <w:marLeft w:val="0"/>
      <w:marRight w:val="0"/>
      <w:marTop w:val="0"/>
      <w:marBottom w:val="0"/>
      <w:divBdr>
        <w:top w:val="none" w:sz="0" w:space="0" w:color="auto"/>
        <w:left w:val="none" w:sz="0" w:space="0" w:color="auto"/>
        <w:bottom w:val="none" w:sz="0" w:space="0" w:color="auto"/>
        <w:right w:val="none" w:sz="0" w:space="0" w:color="auto"/>
      </w:divBdr>
    </w:div>
    <w:div w:id="151066503">
      <w:bodyDiv w:val="1"/>
      <w:marLeft w:val="0"/>
      <w:marRight w:val="0"/>
      <w:marTop w:val="0"/>
      <w:marBottom w:val="0"/>
      <w:divBdr>
        <w:top w:val="none" w:sz="0" w:space="0" w:color="auto"/>
        <w:left w:val="none" w:sz="0" w:space="0" w:color="auto"/>
        <w:bottom w:val="none" w:sz="0" w:space="0" w:color="auto"/>
        <w:right w:val="none" w:sz="0" w:space="0" w:color="auto"/>
      </w:divBdr>
      <w:divsChild>
        <w:div w:id="1684169078">
          <w:marLeft w:val="0"/>
          <w:marRight w:val="0"/>
          <w:marTop w:val="0"/>
          <w:marBottom w:val="0"/>
          <w:divBdr>
            <w:top w:val="none" w:sz="0" w:space="0" w:color="auto"/>
            <w:left w:val="none" w:sz="0" w:space="0" w:color="auto"/>
            <w:bottom w:val="none" w:sz="0" w:space="0" w:color="auto"/>
            <w:right w:val="none" w:sz="0" w:space="0" w:color="auto"/>
          </w:divBdr>
          <w:divsChild>
            <w:div w:id="658728589">
              <w:marLeft w:val="0"/>
              <w:marRight w:val="0"/>
              <w:marTop w:val="0"/>
              <w:marBottom w:val="0"/>
              <w:divBdr>
                <w:top w:val="none" w:sz="0" w:space="0" w:color="auto"/>
                <w:left w:val="none" w:sz="0" w:space="0" w:color="auto"/>
                <w:bottom w:val="none" w:sz="0" w:space="0" w:color="auto"/>
                <w:right w:val="none" w:sz="0" w:space="0" w:color="auto"/>
              </w:divBdr>
              <w:divsChild>
                <w:div w:id="2099986668">
                  <w:marLeft w:val="0"/>
                  <w:marRight w:val="0"/>
                  <w:marTop w:val="0"/>
                  <w:marBottom w:val="0"/>
                  <w:divBdr>
                    <w:top w:val="none" w:sz="0" w:space="0" w:color="auto"/>
                    <w:left w:val="none" w:sz="0" w:space="0" w:color="auto"/>
                    <w:bottom w:val="none" w:sz="0" w:space="0" w:color="auto"/>
                    <w:right w:val="none" w:sz="0" w:space="0" w:color="auto"/>
                  </w:divBdr>
                  <w:divsChild>
                    <w:div w:id="1047871412">
                      <w:marLeft w:val="0"/>
                      <w:marRight w:val="0"/>
                      <w:marTop w:val="0"/>
                      <w:marBottom w:val="0"/>
                      <w:divBdr>
                        <w:top w:val="none" w:sz="0" w:space="0" w:color="auto"/>
                        <w:left w:val="none" w:sz="0" w:space="0" w:color="auto"/>
                        <w:bottom w:val="none" w:sz="0" w:space="0" w:color="auto"/>
                        <w:right w:val="none" w:sz="0" w:space="0" w:color="auto"/>
                      </w:divBdr>
                      <w:divsChild>
                        <w:div w:id="1126851105">
                          <w:marLeft w:val="0"/>
                          <w:marRight w:val="0"/>
                          <w:marTop w:val="0"/>
                          <w:marBottom w:val="0"/>
                          <w:divBdr>
                            <w:top w:val="none" w:sz="0" w:space="0" w:color="auto"/>
                            <w:left w:val="none" w:sz="0" w:space="0" w:color="auto"/>
                            <w:bottom w:val="none" w:sz="0" w:space="0" w:color="auto"/>
                            <w:right w:val="none" w:sz="0" w:space="0" w:color="auto"/>
                          </w:divBdr>
                          <w:divsChild>
                            <w:div w:id="1788231526">
                              <w:marLeft w:val="0"/>
                              <w:marRight w:val="0"/>
                              <w:marTop w:val="0"/>
                              <w:marBottom w:val="0"/>
                              <w:divBdr>
                                <w:top w:val="none" w:sz="0" w:space="0" w:color="auto"/>
                                <w:left w:val="none" w:sz="0" w:space="0" w:color="auto"/>
                                <w:bottom w:val="none" w:sz="0" w:space="0" w:color="auto"/>
                                <w:right w:val="none" w:sz="0" w:space="0" w:color="auto"/>
                              </w:divBdr>
                              <w:divsChild>
                                <w:div w:id="420873920">
                                  <w:marLeft w:val="0"/>
                                  <w:marRight w:val="0"/>
                                  <w:marTop w:val="0"/>
                                  <w:marBottom w:val="0"/>
                                  <w:divBdr>
                                    <w:top w:val="none" w:sz="0" w:space="0" w:color="auto"/>
                                    <w:left w:val="none" w:sz="0" w:space="0" w:color="auto"/>
                                    <w:bottom w:val="none" w:sz="0" w:space="0" w:color="auto"/>
                                    <w:right w:val="none" w:sz="0" w:space="0" w:color="auto"/>
                                  </w:divBdr>
                                  <w:divsChild>
                                    <w:div w:id="18587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076888">
      <w:bodyDiv w:val="1"/>
      <w:marLeft w:val="0"/>
      <w:marRight w:val="0"/>
      <w:marTop w:val="0"/>
      <w:marBottom w:val="0"/>
      <w:divBdr>
        <w:top w:val="none" w:sz="0" w:space="0" w:color="auto"/>
        <w:left w:val="none" w:sz="0" w:space="0" w:color="auto"/>
        <w:bottom w:val="none" w:sz="0" w:space="0" w:color="auto"/>
        <w:right w:val="none" w:sz="0" w:space="0" w:color="auto"/>
      </w:divBdr>
    </w:div>
    <w:div w:id="157427659">
      <w:bodyDiv w:val="1"/>
      <w:marLeft w:val="0"/>
      <w:marRight w:val="0"/>
      <w:marTop w:val="0"/>
      <w:marBottom w:val="0"/>
      <w:divBdr>
        <w:top w:val="none" w:sz="0" w:space="0" w:color="auto"/>
        <w:left w:val="none" w:sz="0" w:space="0" w:color="auto"/>
        <w:bottom w:val="none" w:sz="0" w:space="0" w:color="auto"/>
        <w:right w:val="none" w:sz="0" w:space="0" w:color="auto"/>
      </w:divBdr>
    </w:div>
    <w:div w:id="212816725">
      <w:bodyDiv w:val="1"/>
      <w:marLeft w:val="0"/>
      <w:marRight w:val="0"/>
      <w:marTop w:val="0"/>
      <w:marBottom w:val="0"/>
      <w:divBdr>
        <w:top w:val="none" w:sz="0" w:space="0" w:color="auto"/>
        <w:left w:val="none" w:sz="0" w:space="0" w:color="auto"/>
        <w:bottom w:val="none" w:sz="0" w:space="0" w:color="auto"/>
        <w:right w:val="none" w:sz="0" w:space="0" w:color="auto"/>
      </w:divBdr>
      <w:divsChild>
        <w:div w:id="984505594">
          <w:marLeft w:val="0"/>
          <w:marRight w:val="0"/>
          <w:marTop w:val="0"/>
          <w:marBottom w:val="0"/>
          <w:divBdr>
            <w:top w:val="none" w:sz="0" w:space="0" w:color="auto"/>
            <w:left w:val="none" w:sz="0" w:space="0" w:color="auto"/>
            <w:bottom w:val="none" w:sz="0" w:space="0" w:color="auto"/>
            <w:right w:val="none" w:sz="0" w:space="0" w:color="auto"/>
          </w:divBdr>
          <w:divsChild>
            <w:div w:id="1368531158">
              <w:marLeft w:val="0"/>
              <w:marRight w:val="0"/>
              <w:marTop w:val="0"/>
              <w:marBottom w:val="0"/>
              <w:divBdr>
                <w:top w:val="none" w:sz="0" w:space="0" w:color="auto"/>
                <w:left w:val="none" w:sz="0" w:space="0" w:color="auto"/>
                <w:bottom w:val="none" w:sz="0" w:space="0" w:color="auto"/>
                <w:right w:val="none" w:sz="0" w:space="0" w:color="auto"/>
              </w:divBdr>
              <w:divsChild>
                <w:div w:id="802623561">
                  <w:marLeft w:val="0"/>
                  <w:marRight w:val="0"/>
                  <w:marTop w:val="0"/>
                  <w:marBottom w:val="0"/>
                  <w:divBdr>
                    <w:top w:val="none" w:sz="0" w:space="0" w:color="auto"/>
                    <w:left w:val="none" w:sz="0" w:space="0" w:color="auto"/>
                    <w:bottom w:val="none" w:sz="0" w:space="0" w:color="auto"/>
                    <w:right w:val="none" w:sz="0" w:space="0" w:color="auto"/>
                  </w:divBdr>
                  <w:divsChild>
                    <w:div w:id="847599460">
                      <w:marLeft w:val="0"/>
                      <w:marRight w:val="0"/>
                      <w:marTop w:val="0"/>
                      <w:marBottom w:val="0"/>
                      <w:divBdr>
                        <w:top w:val="none" w:sz="0" w:space="0" w:color="auto"/>
                        <w:left w:val="none" w:sz="0" w:space="0" w:color="auto"/>
                        <w:bottom w:val="none" w:sz="0" w:space="0" w:color="auto"/>
                        <w:right w:val="none" w:sz="0" w:space="0" w:color="auto"/>
                      </w:divBdr>
                      <w:divsChild>
                        <w:div w:id="1253469273">
                          <w:marLeft w:val="0"/>
                          <w:marRight w:val="0"/>
                          <w:marTop w:val="0"/>
                          <w:marBottom w:val="0"/>
                          <w:divBdr>
                            <w:top w:val="none" w:sz="0" w:space="0" w:color="auto"/>
                            <w:left w:val="none" w:sz="0" w:space="0" w:color="auto"/>
                            <w:bottom w:val="none" w:sz="0" w:space="0" w:color="auto"/>
                            <w:right w:val="none" w:sz="0" w:space="0" w:color="auto"/>
                          </w:divBdr>
                          <w:divsChild>
                            <w:div w:id="1258051906">
                              <w:marLeft w:val="0"/>
                              <w:marRight w:val="0"/>
                              <w:marTop w:val="0"/>
                              <w:marBottom w:val="0"/>
                              <w:divBdr>
                                <w:top w:val="none" w:sz="0" w:space="0" w:color="auto"/>
                                <w:left w:val="none" w:sz="0" w:space="0" w:color="auto"/>
                                <w:bottom w:val="none" w:sz="0" w:space="0" w:color="auto"/>
                                <w:right w:val="none" w:sz="0" w:space="0" w:color="auto"/>
                              </w:divBdr>
                              <w:divsChild>
                                <w:div w:id="340207714">
                                  <w:marLeft w:val="0"/>
                                  <w:marRight w:val="0"/>
                                  <w:marTop w:val="0"/>
                                  <w:marBottom w:val="0"/>
                                  <w:divBdr>
                                    <w:top w:val="none" w:sz="0" w:space="0" w:color="auto"/>
                                    <w:left w:val="none" w:sz="0" w:space="0" w:color="auto"/>
                                    <w:bottom w:val="none" w:sz="0" w:space="0" w:color="auto"/>
                                    <w:right w:val="none" w:sz="0" w:space="0" w:color="auto"/>
                                  </w:divBdr>
                                  <w:divsChild>
                                    <w:div w:id="23732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2565389">
      <w:bodyDiv w:val="1"/>
      <w:marLeft w:val="0"/>
      <w:marRight w:val="0"/>
      <w:marTop w:val="0"/>
      <w:marBottom w:val="0"/>
      <w:divBdr>
        <w:top w:val="none" w:sz="0" w:space="0" w:color="auto"/>
        <w:left w:val="none" w:sz="0" w:space="0" w:color="auto"/>
        <w:bottom w:val="none" w:sz="0" w:space="0" w:color="auto"/>
        <w:right w:val="none" w:sz="0" w:space="0" w:color="auto"/>
      </w:divBdr>
    </w:div>
    <w:div w:id="226689098">
      <w:bodyDiv w:val="1"/>
      <w:marLeft w:val="0"/>
      <w:marRight w:val="0"/>
      <w:marTop w:val="0"/>
      <w:marBottom w:val="0"/>
      <w:divBdr>
        <w:top w:val="none" w:sz="0" w:space="0" w:color="auto"/>
        <w:left w:val="none" w:sz="0" w:space="0" w:color="auto"/>
        <w:bottom w:val="none" w:sz="0" w:space="0" w:color="auto"/>
        <w:right w:val="none" w:sz="0" w:space="0" w:color="auto"/>
      </w:divBdr>
      <w:divsChild>
        <w:div w:id="1612928837">
          <w:marLeft w:val="0"/>
          <w:marRight w:val="0"/>
          <w:marTop w:val="0"/>
          <w:marBottom w:val="0"/>
          <w:divBdr>
            <w:top w:val="none" w:sz="0" w:space="0" w:color="auto"/>
            <w:left w:val="none" w:sz="0" w:space="0" w:color="auto"/>
            <w:bottom w:val="none" w:sz="0" w:space="0" w:color="auto"/>
            <w:right w:val="none" w:sz="0" w:space="0" w:color="auto"/>
          </w:divBdr>
          <w:divsChild>
            <w:div w:id="1197548802">
              <w:marLeft w:val="0"/>
              <w:marRight w:val="0"/>
              <w:marTop w:val="0"/>
              <w:marBottom w:val="0"/>
              <w:divBdr>
                <w:top w:val="none" w:sz="0" w:space="0" w:color="auto"/>
                <w:left w:val="none" w:sz="0" w:space="0" w:color="auto"/>
                <w:bottom w:val="none" w:sz="0" w:space="0" w:color="auto"/>
                <w:right w:val="none" w:sz="0" w:space="0" w:color="auto"/>
              </w:divBdr>
              <w:divsChild>
                <w:div w:id="37442364">
                  <w:marLeft w:val="0"/>
                  <w:marRight w:val="0"/>
                  <w:marTop w:val="0"/>
                  <w:marBottom w:val="0"/>
                  <w:divBdr>
                    <w:top w:val="none" w:sz="0" w:space="0" w:color="auto"/>
                    <w:left w:val="none" w:sz="0" w:space="0" w:color="auto"/>
                    <w:bottom w:val="none" w:sz="0" w:space="0" w:color="auto"/>
                    <w:right w:val="none" w:sz="0" w:space="0" w:color="auto"/>
                  </w:divBdr>
                  <w:divsChild>
                    <w:div w:id="2898745">
                      <w:marLeft w:val="0"/>
                      <w:marRight w:val="0"/>
                      <w:marTop w:val="0"/>
                      <w:marBottom w:val="0"/>
                      <w:divBdr>
                        <w:top w:val="none" w:sz="0" w:space="0" w:color="auto"/>
                        <w:left w:val="none" w:sz="0" w:space="0" w:color="auto"/>
                        <w:bottom w:val="none" w:sz="0" w:space="0" w:color="auto"/>
                        <w:right w:val="none" w:sz="0" w:space="0" w:color="auto"/>
                      </w:divBdr>
                      <w:divsChild>
                        <w:div w:id="8993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6841177">
      <w:bodyDiv w:val="1"/>
      <w:marLeft w:val="0"/>
      <w:marRight w:val="0"/>
      <w:marTop w:val="0"/>
      <w:marBottom w:val="0"/>
      <w:divBdr>
        <w:top w:val="none" w:sz="0" w:space="0" w:color="auto"/>
        <w:left w:val="none" w:sz="0" w:space="0" w:color="auto"/>
        <w:bottom w:val="none" w:sz="0" w:space="0" w:color="auto"/>
        <w:right w:val="none" w:sz="0" w:space="0" w:color="auto"/>
      </w:divBdr>
    </w:div>
    <w:div w:id="254365253">
      <w:bodyDiv w:val="1"/>
      <w:marLeft w:val="0"/>
      <w:marRight w:val="0"/>
      <w:marTop w:val="0"/>
      <w:marBottom w:val="0"/>
      <w:divBdr>
        <w:top w:val="none" w:sz="0" w:space="0" w:color="auto"/>
        <w:left w:val="none" w:sz="0" w:space="0" w:color="auto"/>
        <w:bottom w:val="none" w:sz="0" w:space="0" w:color="auto"/>
        <w:right w:val="none" w:sz="0" w:space="0" w:color="auto"/>
      </w:divBdr>
    </w:div>
    <w:div w:id="268316635">
      <w:bodyDiv w:val="1"/>
      <w:marLeft w:val="0"/>
      <w:marRight w:val="0"/>
      <w:marTop w:val="0"/>
      <w:marBottom w:val="0"/>
      <w:divBdr>
        <w:top w:val="none" w:sz="0" w:space="0" w:color="auto"/>
        <w:left w:val="none" w:sz="0" w:space="0" w:color="auto"/>
        <w:bottom w:val="none" w:sz="0" w:space="0" w:color="auto"/>
        <w:right w:val="none" w:sz="0" w:space="0" w:color="auto"/>
      </w:divBdr>
    </w:div>
    <w:div w:id="276723736">
      <w:bodyDiv w:val="1"/>
      <w:marLeft w:val="0"/>
      <w:marRight w:val="0"/>
      <w:marTop w:val="0"/>
      <w:marBottom w:val="0"/>
      <w:divBdr>
        <w:top w:val="none" w:sz="0" w:space="0" w:color="auto"/>
        <w:left w:val="none" w:sz="0" w:space="0" w:color="auto"/>
        <w:bottom w:val="none" w:sz="0" w:space="0" w:color="auto"/>
        <w:right w:val="none" w:sz="0" w:space="0" w:color="auto"/>
      </w:divBdr>
    </w:div>
    <w:div w:id="280301573">
      <w:bodyDiv w:val="1"/>
      <w:marLeft w:val="0"/>
      <w:marRight w:val="0"/>
      <w:marTop w:val="0"/>
      <w:marBottom w:val="0"/>
      <w:divBdr>
        <w:top w:val="none" w:sz="0" w:space="0" w:color="auto"/>
        <w:left w:val="none" w:sz="0" w:space="0" w:color="auto"/>
        <w:bottom w:val="none" w:sz="0" w:space="0" w:color="auto"/>
        <w:right w:val="none" w:sz="0" w:space="0" w:color="auto"/>
      </w:divBdr>
    </w:div>
    <w:div w:id="282542385">
      <w:bodyDiv w:val="1"/>
      <w:marLeft w:val="0"/>
      <w:marRight w:val="0"/>
      <w:marTop w:val="0"/>
      <w:marBottom w:val="0"/>
      <w:divBdr>
        <w:top w:val="none" w:sz="0" w:space="0" w:color="auto"/>
        <w:left w:val="none" w:sz="0" w:space="0" w:color="auto"/>
        <w:bottom w:val="none" w:sz="0" w:space="0" w:color="auto"/>
        <w:right w:val="none" w:sz="0" w:space="0" w:color="auto"/>
      </w:divBdr>
    </w:div>
    <w:div w:id="283848934">
      <w:bodyDiv w:val="1"/>
      <w:marLeft w:val="0"/>
      <w:marRight w:val="0"/>
      <w:marTop w:val="0"/>
      <w:marBottom w:val="0"/>
      <w:divBdr>
        <w:top w:val="none" w:sz="0" w:space="0" w:color="auto"/>
        <w:left w:val="none" w:sz="0" w:space="0" w:color="auto"/>
        <w:bottom w:val="none" w:sz="0" w:space="0" w:color="auto"/>
        <w:right w:val="none" w:sz="0" w:space="0" w:color="auto"/>
      </w:divBdr>
    </w:div>
    <w:div w:id="308825339">
      <w:bodyDiv w:val="1"/>
      <w:marLeft w:val="0"/>
      <w:marRight w:val="0"/>
      <w:marTop w:val="0"/>
      <w:marBottom w:val="0"/>
      <w:divBdr>
        <w:top w:val="none" w:sz="0" w:space="0" w:color="auto"/>
        <w:left w:val="none" w:sz="0" w:space="0" w:color="auto"/>
        <w:bottom w:val="none" w:sz="0" w:space="0" w:color="auto"/>
        <w:right w:val="none" w:sz="0" w:space="0" w:color="auto"/>
      </w:divBdr>
    </w:div>
    <w:div w:id="325255700">
      <w:bodyDiv w:val="1"/>
      <w:marLeft w:val="0"/>
      <w:marRight w:val="0"/>
      <w:marTop w:val="0"/>
      <w:marBottom w:val="0"/>
      <w:divBdr>
        <w:top w:val="none" w:sz="0" w:space="0" w:color="auto"/>
        <w:left w:val="none" w:sz="0" w:space="0" w:color="auto"/>
        <w:bottom w:val="none" w:sz="0" w:space="0" w:color="auto"/>
        <w:right w:val="none" w:sz="0" w:space="0" w:color="auto"/>
      </w:divBdr>
    </w:div>
    <w:div w:id="326128082">
      <w:bodyDiv w:val="1"/>
      <w:marLeft w:val="0"/>
      <w:marRight w:val="0"/>
      <w:marTop w:val="0"/>
      <w:marBottom w:val="0"/>
      <w:divBdr>
        <w:top w:val="none" w:sz="0" w:space="0" w:color="auto"/>
        <w:left w:val="none" w:sz="0" w:space="0" w:color="auto"/>
        <w:bottom w:val="none" w:sz="0" w:space="0" w:color="auto"/>
        <w:right w:val="none" w:sz="0" w:space="0" w:color="auto"/>
      </w:divBdr>
    </w:div>
    <w:div w:id="326902865">
      <w:bodyDiv w:val="1"/>
      <w:marLeft w:val="0"/>
      <w:marRight w:val="0"/>
      <w:marTop w:val="0"/>
      <w:marBottom w:val="0"/>
      <w:divBdr>
        <w:top w:val="none" w:sz="0" w:space="0" w:color="auto"/>
        <w:left w:val="none" w:sz="0" w:space="0" w:color="auto"/>
        <w:bottom w:val="none" w:sz="0" w:space="0" w:color="auto"/>
        <w:right w:val="none" w:sz="0" w:space="0" w:color="auto"/>
      </w:divBdr>
    </w:div>
    <w:div w:id="344526646">
      <w:bodyDiv w:val="1"/>
      <w:marLeft w:val="0"/>
      <w:marRight w:val="0"/>
      <w:marTop w:val="0"/>
      <w:marBottom w:val="0"/>
      <w:divBdr>
        <w:top w:val="none" w:sz="0" w:space="0" w:color="auto"/>
        <w:left w:val="none" w:sz="0" w:space="0" w:color="auto"/>
        <w:bottom w:val="none" w:sz="0" w:space="0" w:color="auto"/>
        <w:right w:val="none" w:sz="0" w:space="0" w:color="auto"/>
      </w:divBdr>
    </w:div>
    <w:div w:id="392847286">
      <w:bodyDiv w:val="1"/>
      <w:marLeft w:val="0"/>
      <w:marRight w:val="0"/>
      <w:marTop w:val="0"/>
      <w:marBottom w:val="0"/>
      <w:divBdr>
        <w:top w:val="none" w:sz="0" w:space="0" w:color="auto"/>
        <w:left w:val="none" w:sz="0" w:space="0" w:color="auto"/>
        <w:bottom w:val="none" w:sz="0" w:space="0" w:color="auto"/>
        <w:right w:val="none" w:sz="0" w:space="0" w:color="auto"/>
      </w:divBdr>
    </w:div>
    <w:div w:id="416555819">
      <w:bodyDiv w:val="1"/>
      <w:marLeft w:val="0"/>
      <w:marRight w:val="0"/>
      <w:marTop w:val="0"/>
      <w:marBottom w:val="0"/>
      <w:divBdr>
        <w:top w:val="none" w:sz="0" w:space="0" w:color="auto"/>
        <w:left w:val="none" w:sz="0" w:space="0" w:color="auto"/>
        <w:bottom w:val="none" w:sz="0" w:space="0" w:color="auto"/>
        <w:right w:val="none" w:sz="0" w:space="0" w:color="auto"/>
      </w:divBdr>
    </w:div>
    <w:div w:id="465466738">
      <w:bodyDiv w:val="1"/>
      <w:marLeft w:val="0"/>
      <w:marRight w:val="0"/>
      <w:marTop w:val="0"/>
      <w:marBottom w:val="0"/>
      <w:divBdr>
        <w:top w:val="none" w:sz="0" w:space="0" w:color="auto"/>
        <w:left w:val="none" w:sz="0" w:space="0" w:color="auto"/>
        <w:bottom w:val="none" w:sz="0" w:space="0" w:color="auto"/>
        <w:right w:val="none" w:sz="0" w:space="0" w:color="auto"/>
      </w:divBdr>
      <w:divsChild>
        <w:div w:id="1977953500">
          <w:marLeft w:val="0"/>
          <w:marRight w:val="0"/>
          <w:marTop w:val="0"/>
          <w:marBottom w:val="0"/>
          <w:divBdr>
            <w:top w:val="none" w:sz="0" w:space="0" w:color="auto"/>
            <w:left w:val="none" w:sz="0" w:space="0" w:color="auto"/>
            <w:bottom w:val="none" w:sz="0" w:space="0" w:color="auto"/>
            <w:right w:val="none" w:sz="0" w:space="0" w:color="auto"/>
          </w:divBdr>
          <w:divsChild>
            <w:div w:id="1656256160">
              <w:marLeft w:val="0"/>
              <w:marRight w:val="0"/>
              <w:marTop w:val="0"/>
              <w:marBottom w:val="0"/>
              <w:divBdr>
                <w:top w:val="none" w:sz="0" w:space="0" w:color="auto"/>
                <w:left w:val="none" w:sz="0" w:space="0" w:color="auto"/>
                <w:bottom w:val="none" w:sz="0" w:space="0" w:color="auto"/>
                <w:right w:val="none" w:sz="0" w:space="0" w:color="auto"/>
              </w:divBdr>
              <w:divsChild>
                <w:div w:id="2008512069">
                  <w:marLeft w:val="0"/>
                  <w:marRight w:val="0"/>
                  <w:marTop w:val="0"/>
                  <w:marBottom w:val="0"/>
                  <w:divBdr>
                    <w:top w:val="none" w:sz="0" w:space="0" w:color="auto"/>
                    <w:left w:val="none" w:sz="0" w:space="0" w:color="auto"/>
                    <w:bottom w:val="none" w:sz="0" w:space="0" w:color="auto"/>
                    <w:right w:val="none" w:sz="0" w:space="0" w:color="auto"/>
                  </w:divBdr>
                  <w:divsChild>
                    <w:div w:id="739443809">
                      <w:marLeft w:val="0"/>
                      <w:marRight w:val="0"/>
                      <w:marTop w:val="0"/>
                      <w:marBottom w:val="0"/>
                      <w:divBdr>
                        <w:top w:val="none" w:sz="0" w:space="0" w:color="auto"/>
                        <w:left w:val="none" w:sz="0" w:space="0" w:color="auto"/>
                        <w:bottom w:val="none" w:sz="0" w:space="0" w:color="auto"/>
                        <w:right w:val="none" w:sz="0" w:space="0" w:color="auto"/>
                      </w:divBdr>
                      <w:divsChild>
                        <w:div w:id="1657758588">
                          <w:marLeft w:val="0"/>
                          <w:marRight w:val="0"/>
                          <w:marTop w:val="0"/>
                          <w:marBottom w:val="0"/>
                          <w:divBdr>
                            <w:top w:val="none" w:sz="0" w:space="0" w:color="auto"/>
                            <w:left w:val="none" w:sz="0" w:space="0" w:color="auto"/>
                            <w:bottom w:val="none" w:sz="0" w:space="0" w:color="auto"/>
                            <w:right w:val="none" w:sz="0" w:space="0" w:color="auto"/>
                          </w:divBdr>
                          <w:divsChild>
                            <w:div w:id="1310864981">
                              <w:marLeft w:val="0"/>
                              <w:marRight w:val="0"/>
                              <w:marTop w:val="0"/>
                              <w:marBottom w:val="0"/>
                              <w:divBdr>
                                <w:top w:val="none" w:sz="0" w:space="0" w:color="auto"/>
                                <w:left w:val="none" w:sz="0" w:space="0" w:color="auto"/>
                                <w:bottom w:val="none" w:sz="0" w:space="0" w:color="auto"/>
                                <w:right w:val="none" w:sz="0" w:space="0" w:color="auto"/>
                              </w:divBdr>
                              <w:divsChild>
                                <w:div w:id="363559473">
                                  <w:marLeft w:val="0"/>
                                  <w:marRight w:val="0"/>
                                  <w:marTop w:val="0"/>
                                  <w:marBottom w:val="0"/>
                                  <w:divBdr>
                                    <w:top w:val="none" w:sz="0" w:space="0" w:color="auto"/>
                                    <w:left w:val="none" w:sz="0" w:space="0" w:color="auto"/>
                                    <w:bottom w:val="none" w:sz="0" w:space="0" w:color="auto"/>
                                    <w:right w:val="none" w:sz="0" w:space="0" w:color="auto"/>
                                  </w:divBdr>
                                  <w:divsChild>
                                    <w:div w:id="169129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0800048">
      <w:bodyDiv w:val="1"/>
      <w:marLeft w:val="0"/>
      <w:marRight w:val="0"/>
      <w:marTop w:val="0"/>
      <w:marBottom w:val="0"/>
      <w:divBdr>
        <w:top w:val="none" w:sz="0" w:space="0" w:color="auto"/>
        <w:left w:val="none" w:sz="0" w:space="0" w:color="auto"/>
        <w:bottom w:val="none" w:sz="0" w:space="0" w:color="auto"/>
        <w:right w:val="none" w:sz="0" w:space="0" w:color="auto"/>
      </w:divBdr>
    </w:div>
    <w:div w:id="500852820">
      <w:bodyDiv w:val="1"/>
      <w:marLeft w:val="0"/>
      <w:marRight w:val="0"/>
      <w:marTop w:val="0"/>
      <w:marBottom w:val="0"/>
      <w:divBdr>
        <w:top w:val="none" w:sz="0" w:space="0" w:color="auto"/>
        <w:left w:val="none" w:sz="0" w:space="0" w:color="auto"/>
        <w:bottom w:val="none" w:sz="0" w:space="0" w:color="auto"/>
        <w:right w:val="none" w:sz="0" w:space="0" w:color="auto"/>
      </w:divBdr>
    </w:div>
    <w:div w:id="503251424">
      <w:bodyDiv w:val="1"/>
      <w:marLeft w:val="0"/>
      <w:marRight w:val="0"/>
      <w:marTop w:val="0"/>
      <w:marBottom w:val="0"/>
      <w:divBdr>
        <w:top w:val="none" w:sz="0" w:space="0" w:color="auto"/>
        <w:left w:val="none" w:sz="0" w:space="0" w:color="auto"/>
        <w:bottom w:val="none" w:sz="0" w:space="0" w:color="auto"/>
        <w:right w:val="none" w:sz="0" w:space="0" w:color="auto"/>
      </w:divBdr>
    </w:div>
    <w:div w:id="533539430">
      <w:bodyDiv w:val="1"/>
      <w:marLeft w:val="0"/>
      <w:marRight w:val="0"/>
      <w:marTop w:val="0"/>
      <w:marBottom w:val="0"/>
      <w:divBdr>
        <w:top w:val="none" w:sz="0" w:space="0" w:color="auto"/>
        <w:left w:val="none" w:sz="0" w:space="0" w:color="auto"/>
        <w:bottom w:val="none" w:sz="0" w:space="0" w:color="auto"/>
        <w:right w:val="none" w:sz="0" w:space="0" w:color="auto"/>
      </w:divBdr>
    </w:div>
    <w:div w:id="542055678">
      <w:bodyDiv w:val="1"/>
      <w:marLeft w:val="0"/>
      <w:marRight w:val="0"/>
      <w:marTop w:val="0"/>
      <w:marBottom w:val="0"/>
      <w:divBdr>
        <w:top w:val="none" w:sz="0" w:space="0" w:color="auto"/>
        <w:left w:val="none" w:sz="0" w:space="0" w:color="auto"/>
        <w:bottom w:val="none" w:sz="0" w:space="0" w:color="auto"/>
        <w:right w:val="none" w:sz="0" w:space="0" w:color="auto"/>
      </w:divBdr>
    </w:div>
    <w:div w:id="565410113">
      <w:bodyDiv w:val="1"/>
      <w:marLeft w:val="0"/>
      <w:marRight w:val="0"/>
      <w:marTop w:val="0"/>
      <w:marBottom w:val="0"/>
      <w:divBdr>
        <w:top w:val="none" w:sz="0" w:space="0" w:color="auto"/>
        <w:left w:val="none" w:sz="0" w:space="0" w:color="auto"/>
        <w:bottom w:val="none" w:sz="0" w:space="0" w:color="auto"/>
        <w:right w:val="none" w:sz="0" w:space="0" w:color="auto"/>
      </w:divBdr>
    </w:div>
    <w:div w:id="598174812">
      <w:bodyDiv w:val="1"/>
      <w:marLeft w:val="0"/>
      <w:marRight w:val="0"/>
      <w:marTop w:val="0"/>
      <w:marBottom w:val="0"/>
      <w:divBdr>
        <w:top w:val="none" w:sz="0" w:space="0" w:color="auto"/>
        <w:left w:val="none" w:sz="0" w:space="0" w:color="auto"/>
        <w:bottom w:val="none" w:sz="0" w:space="0" w:color="auto"/>
        <w:right w:val="none" w:sz="0" w:space="0" w:color="auto"/>
      </w:divBdr>
      <w:divsChild>
        <w:div w:id="1803843767">
          <w:marLeft w:val="0"/>
          <w:marRight w:val="0"/>
          <w:marTop w:val="0"/>
          <w:marBottom w:val="0"/>
          <w:divBdr>
            <w:top w:val="none" w:sz="0" w:space="0" w:color="auto"/>
            <w:left w:val="none" w:sz="0" w:space="0" w:color="auto"/>
            <w:bottom w:val="none" w:sz="0" w:space="0" w:color="auto"/>
            <w:right w:val="none" w:sz="0" w:space="0" w:color="auto"/>
          </w:divBdr>
          <w:divsChild>
            <w:div w:id="739791974">
              <w:marLeft w:val="0"/>
              <w:marRight w:val="0"/>
              <w:marTop w:val="0"/>
              <w:marBottom w:val="0"/>
              <w:divBdr>
                <w:top w:val="none" w:sz="0" w:space="0" w:color="auto"/>
                <w:left w:val="none" w:sz="0" w:space="0" w:color="auto"/>
                <w:bottom w:val="none" w:sz="0" w:space="0" w:color="auto"/>
                <w:right w:val="none" w:sz="0" w:space="0" w:color="auto"/>
              </w:divBdr>
              <w:divsChild>
                <w:div w:id="1593587844">
                  <w:marLeft w:val="0"/>
                  <w:marRight w:val="0"/>
                  <w:marTop w:val="0"/>
                  <w:marBottom w:val="0"/>
                  <w:divBdr>
                    <w:top w:val="none" w:sz="0" w:space="0" w:color="auto"/>
                    <w:left w:val="none" w:sz="0" w:space="0" w:color="auto"/>
                    <w:bottom w:val="none" w:sz="0" w:space="0" w:color="auto"/>
                    <w:right w:val="none" w:sz="0" w:space="0" w:color="auto"/>
                  </w:divBdr>
                  <w:divsChild>
                    <w:div w:id="15153892">
                      <w:marLeft w:val="0"/>
                      <w:marRight w:val="0"/>
                      <w:marTop w:val="0"/>
                      <w:marBottom w:val="0"/>
                      <w:divBdr>
                        <w:top w:val="none" w:sz="0" w:space="0" w:color="auto"/>
                        <w:left w:val="none" w:sz="0" w:space="0" w:color="auto"/>
                        <w:bottom w:val="none" w:sz="0" w:space="0" w:color="auto"/>
                        <w:right w:val="none" w:sz="0" w:space="0" w:color="auto"/>
                      </w:divBdr>
                      <w:divsChild>
                        <w:div w:id="559706600">
                          <w:marLeft w:val="0"/>
                          <w:marRight w:val="0"/>
                          <w:marTop w:val="0"/>
                          <w:marBottom w:val="0"/>
                          <w:divBdr>
                            <w:top w:val="none" w:sz="0" w:space="0" w:color="auto"/>
                            <w:left w:val="none" w:sz="0" w:space="0" w:color="auto"/>
                            <w:bottom w:val="none" w:sz="0" w:space="0" w:color="auto"/>
                            <w:right w:val="none" w:sz="0" w:space="0" w:color="auto"/>
                          </w:divBdr>
                          <w:divsChild>
                            <w:div w:id="1247888039">
                              <w:marLeft w:val="0"/>
                              <w:marRight w:val="0"/>
                              <w:marTop w:val="0"/>
                              <w:marBottom w:val="0"/>
                              <w:divBdr>
                                <w:top w:val="none" w:sz="0" w:space="0" w:color="auto"/>
                                <w:left w:val="none" w:sz="0" w:space="0" w:color="auto"/>
                                <w:bottom w:val="none" w:sz="0" w:space="0" w:color="auto"/>
                                <w:right w:val="none" w:sz="0" w:space="0" w:color="auto"/>
                              </w:divBdr>
                              <w:divsChild>
                                <w:div w:id="1052729366">
                                  <w:marLeft w:val="0"/>
                                  <w:marRight w:val="0"/>
                                  <w:marTop w:val="0"/>
                                  <w:marBottom w:val="0"/>
                                  <w:divBdr>
                                    <w:top w:val="none" w:sz="0" w:space="0" w:color="auto"/>
                                    <w:left w:val="none" w:sz="0" w:space="0" w:color="auto"/>
                                    <w:bottom w:val="none" w:sz="0" w:space="0" w:color="auto"/>
                                    <w:right w:val="none" w:sz="0" w:space="0" w:color="auto"/>
                                  </w:divBdr>
                                  <w:divsChild>
                                    <w:div w:id="210121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233607">
      <w:bodyDiv w:val="1"/>
      <w:marLeft w:val="0"/>
      <w:marRight w:val="0"/>
      <w:marTop w:val="0"/>
      <w:marBottom w:val="0"/>
      <w:divBdr>
        <w:top w:val="none" w:sz="0" w:space="0" w:color="auto"/>
        <w:left w:val="none" w:sz="0" w:space="0" w:color="auto"/>
        <w:bottom w:val="none" w:sz="0" w:space="0" w:color="auto"/>
        <w:right w:val="none" w:sz="0" w:space="0" w:color="auto"/>
      </w:divBdr>
    </w:div>
    <w:div w:id="623585368">
      <w:bodyDiv w:val="1"/>
      <w:marLeft w:val="0"/>
      <w:marRight w:val="0"/>
      <w:marTop w:val="0"/>
      <w:marBottom w:val="0"/>
      <w:divBdr>
        <w:top w:val="none" w:sz="0" w:space="0" w:color="auto"/>
        <w:left w:val="none" w:sz="0" w:space="0" w:color="auto"/>
        <w:bottom w:val="none" w:sz="0" w:space="0" w:color="auto"/>
        <w:right w:val="none" w:sz="0" w:space="0" w:color="auto"/>
      </w:divBdr>
    </w:div>
    <w:div w:id="714696676">
      <w:bodyDiv w:val="1"/>
      <w:marLeft w:val="0"/>
      <w:marRight w:val="0"/>
      <w:marTop w:val="0"/>
      <w:marBottom w:val="0"/>
      <w:divBdr>
        <w:top w:val="none" w:sz="0" w:space="0" w:color="auto"/>
        <w:left w:val="none" w:sz="0" w:space="0" w:color="auto"/>
        <w:bottom w:val="none" w:sz="0" w:space="0" w:color="auto"/>
        <w:right w:val="none" w:sz="0" w:space="0" w:color="auto"/>
      </w:divBdr>
    </w:div>
    <w:div w:id="721946207">
      <w:bodyDiv w:val="1"/>
      <w:marLeft w:val="0"/>
      <w:marRight w:val="0"/>
      <w:marTop w:val="0"/>
      <w:marBottom w:val="0"/>
      <w:divBdr>
        <w:top w:val="none" w:sz="0" w:space="0" w:color="auto"/>
        <w:left w:val="none" w:sz="0" w:space="0" w:color="auto"/>
        <w:bottom w:val="none" w:sz="0" w:space="0" w:color="auto"/>
        <w:right w:val="none" w:sz="0" w:space="0" w:color="auto"/>
      </w:divBdr>
    </w:div>
    <w:div w:id="776605297">
      <w:bodyDiv w:val="1"/>
      <w:marLeft w:val="0"/>
      <w:marRight w:val="0"/>
      <w:marTop w:val="0"/>
      <w:marBottom w:val="0"/>
      <w:divBdr>
        <w:top w:val="none" w:sz="0" w:space="0" w:color="auto"/>
        <w:left w:val="none" w:sz="0" w:space="0" w:color="auto"/>
        <w:bottom w:val="none" w:sz="0" w:space="0" w:color="auto"/>
        <w:right w:val="none" w:sz="0" w:space="0" w:color="auto"/>
      </w:divBdr>
    </w:div>
    <w:div w:id="830484305">
      <w:bodyDiv w:val="1"/>
      <w:marLeft w:val="0"/>
      <w:marRight w:val="0"/>
      <w:marTop w:val="0"/>
      <w:marBottom w:val="0"/>
      <w:divBdr>
        <w:top w:val="none" w:sz="0" w:space="0" w:color="auto"/>
        <w:left w:val="none" w:sz="0" w:space="0" w:color="auto"/>
        <w:bottom w:val="none" w:sz="0" w:space="0" w:color="auto"/>
        <w:right w:val="none" w:sz="0" w:space="0" w:color="auto"/>
      </w:divBdr>
    </w:div>
    <w:div w:id="895354621">
      <w:bodyDiv w:val="1"/>
      <w:marLeft w:val="0"/>
      <w:marRight w:val="0"/>
      <w:marTop w:val="0"/>
      <w:marBottom w:val="0"/>
      <w:divBdr>
        <w:top w:val="none" w:sz="0" w:space="0" w:color="auto"/>
        <w:left w:val="none" w:sz="0" w:space="0" w:color="auto"/>
        <w:bottom w:val="none" w:sz="0" w:space="0" w:color="auto"/>
        <w:right w:val="none" w:sz="0" w:space="0" w:color="auto"/>
      </w:divBdr>
    </w:div>
    <w:div w:id="920911922">
      <w:bodyDiv w:val="1"/>
      <w:marLeft w:val="0"/>
      <w:marRight w:val="0"/>
      <w:marTop w:val="0"/>
      <w:marBottom w:val="0"/>
      <w:divBdr>
        <w:top w:val="none" w:sz="0" w:space="0" w:color="auto"/>
        <w:left w:val="none" w:sz="0" w:space="0" w:color="auto"/>
        <w:bottom w:val="none" w:sz="0" w:space="0" w:color="auto"/>
        <w:right w:val="none" w:sz="0" w:space="0" w:color="auto"/>
      </w:divBdr>
    </w:div>
    <w:div w:id="921792946">
      <w:bodyDiv w:val="1"/>
      <w:marLeft w:val="0"/>
      <w:marRight w:val="0"/>
      <w:marTop w:val="0"/>
      <w:marBottom w:val="0"/>
      <w:divBdr>
        <w:top w:val="none" w:sz="0" w:space="0" w:color="auto"/>
        <w:left w:val="none" w:sz="0" w:space="0" w:color="auto"/>
        <w:bottom w:val="none" w:sz="0" w:space="0" w:color="auto"/>
        <w:right w:val="none" w:sz="0" w:space="0" w:color="auto"/>
      </w:divBdr>
      <w:divsChild>
        <w:div w:id="6462826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1908597">
      <w:bodyDiv w:val="1"/>
      <w:marLeft w:val="0"/>
      <w:marRight w:val="0"/>
      <w:marTop w:val="0"/>
      <w:marBottom w:val="0"/>
      <w:divBdr>
        <w:top w:val="none" w:sz="0" w:space="0" w:color="auto"/>
        <w:left w:val="none" w:sz="0" w:space="0" w:color="auto"/>
        <w:bottom w:val="none" w:sz="0" w:space="0" w:color="auto"/>
        <w:right w:val="none" w:sz="0" w:space="0" w:color="auto"/>
      </w:divBdr>
    </w:div>
    <w:div w:id="922759221">
      <w:bodyDiv w:val="1"/>
      <w:marLeft w:val="0"/>
      <w:marRight w:val="0"/>
      <w:marTop w:val="0"/>
      <w:marBottom w:val="0"/>
      <w:divBdr>
        <w:top w:val="none" w:sz="0" w:space="0" w:color="auto"/>
        <w:left w:val="none" w:sz="0" w:space="0" w:color="auto"/>
        <w:bottom w:val="none" w:sz="0" w:space="0" w:color="auto"/>
        <w:right w:val="none" w:sz="0" w:space="0" w:color="auto"/>
      </w:divBdr>
    </w:div>
    <w:div w:id="926614583">
      <w:bodyDiv w:val="1"/>
      <w:marLeft w:val="0"/>
      <w:marRight w:val="0"/>
      <w:marTop w:val="0"/>
      <w:marBottom w:val="0"/>
      <w:divBdr>
        <w:top w:val="none" w:sz="0" w:space="0" w:color="auto"/>
        <w:left w:val="none" w:sz="0" w:space="0" w:color="auto"/>
        <w:bottom w:val="none" w:sz="0" w:space="0" w:color="auto"/>
        <w:right w:val="none" w:sz="0" w:space="0" w:color="auto"/>
      </w:divBdr>
    </w:div>
    <w:div w:id="936059480">
      <w:bodyDiv w:val="1"/>
      <w:marLeft w:val="0"/>
      <w:marRight w:val="0"/>
      <w:marTop w:val="0"/>
      <w:marBottom w:val="0"/>
      <w:divBdr>
        <w:top w:val="none" w:sz="0" w:space="0" w:color="auto"/>
        <w:left w:val="none" w:sz="0" w:space="0" w:color="auto"/>
        <w:bottom w:val="none" w:sz="0" w:space="0" w:color="auto"/>
        <w:right w:val="none" w:sz="0" w:space="0" w:color="auto"/>
      </w:divBdr>
    </w:div>
    <w:div w:id="955452276">
      <w:bodyDiv w:val="1"/>
      <w:marLeft w:val="0"/>
      <w:marRight w:val="0"/>
      <w:marTop w:val="0"/>
      <w:marBottom w:val="0"/>
      <w:divBdr>
        <w:top w:val="none" w:sz="0" w:space="0" w:color="auto"/>
        <w:left w:val="none" w:sz="0" w:space="0" w:color="auto"/>
        <w:bottom w:val="none" w:sz="0" w:space="0" w:color="auto"/>
        <w:right w:val="none" w:sz="0" w:space="0" w:color="auto"/>
      </w:divBdr>
    </w:div>
    <w:div w:id="956716906">
      <w:bodyDiv w:val="1"/>
      <w:marLeft w:val="0"/>
      <w:marRight w:val="0"/>
      <w:marTop w:val="0"/>
      <w:marBottom w:val="0"/>
      <w:divBdr>
        <w:top w:val="none" w:sz="0" w:space="0" w:color="auto"/>
        <w:left w:val="none" w:sz="0" w:space="0" w:color="auto"/>
        <w:bottom w:val="none" w:sz="0" w:space="0" w:color="auto"/>
        <w:right w:val="none" w:sz="0" w:space="0" w:color="auto"/>
      </w:divBdr>
      <w:divsChild>
        <w:div w:id="72549695">
          <w:marLeft w:val="0"/>
          <w:marRight w:val="0"/>
          <w:marTop w:val="0"/>
          <w:marBottom w:val="0"/>
          <w:divBdr>
            <w:top w:val="none" w:sz="0" w:space="0" w:color="auto"/>
            <w:left w:val="none" w:sz="0" w:space="0" w:color="auto"/>
            <w:bottom w:val="none" w:sz="0" w:space="0" w:color="auto"/>
            <w:right w:val="none" w:sz="0" w:space="0" w:color="auto"/>
          </w:divBdr>
          <w:divsChild>
            <w:div w:id="473370331">
              <w:marLeft w:val="0"/>
              <w:marRight w:val="0"/>
              <w:marTop w:val="0"/>
              <w:marBottom w:val="450"/>
              <w:divBdr>
                <w:top w:val="none" w:sz="0" w:space="0" w:color="auto"/>
                <w:left w:val="none" w:sz="0" w:space="0" w:color="auto"/>
                <w:bottom w:val="none" w:sz="0" w:space="0" w:color="auto"/>
                <w:right w:val="none" w:sz="0" w:space="0" w:color="auto"/>
              </w:divBdr>
              <w:divsChild>
                <w:div w:id="317612860">
                  <w:marLeft w:val="0"/>
                  <w:marRight w:val="0"/>
                  <w:marTop w:val="0"/>
                  <w:marBottom w:val="0"/>
                  <w:divBdr>
                    <w:top w:val="none" w:sz="0" w:space="0" w:color="auto"/>
                    <w:left w:val="none" w:sz="0" w:space="0" w:color="auto"/>
                    <w:bottom w:val="none" w:sz="0" w:space="0" w:color="auto"/>
                    <w:right w:val="none" w:sz="0" w:space="0" w:color="auto"/>
                  </w:divBdr>
                  <w:divsChild>
                    <w:div w:id="1029406075">
                      <w:marLeft w:val="0"/>
                      <w:marRight w:val="0"/>
                      <w:marTop w:val="0"/>
                      <w:marBottom w:val="0"/>
                      <w:divBdr>
                        <w:top w:val="none" w:sz="0" w:space="0" w:color="auto"/>
                        <w:left w:val="none" w:sz="0" w:space="0" w:color="auto"/>
                        <w:bottom w:val="none" w:sz="0" w:space="0" w:color="auto"/>
                        <w:right w:val="none" w:sz="0" w:space="0" w:color="auto"/>
                      </w:divBdr>
                      <w:divsChild>
                        <w:div w:id="193928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1348271">
      <w:bodyDiv w:val="1"/>
      <w:marLeft w:val="0"/>
      <w:marRight w:val="0"/>
      <w:marTop w:val="0"/>
      <w:marBottom w:val="0"/>
      <w:divBdr>
        <w:top w:val="none" w:sz="0" w:space="0" w:color="auto"/>
        <w:left w:val="none" w:sz="0" w:space="0" w:color="auto"/>
        <w:bottom w:val="none" w:sz="0" w:space="0" w:color="auto"/>
        <w:right w:val="none" w:sz="0" w:space="0" w:color="auto"/>
      </w:divBdr>
    </w:div>
    <w:div w:id="977302201">
      <w:bodyDiv w:val="1"/>
      <w:marLeft w:val="0"/>
      <w:marRight w:val="0"/>
      <w:marTop w:val="0"/>
      <w:marBottom w:val="0"/>
      <w:divBdr>
        <w:top w:val="none" w:sz="0" w:space="0" w:color="auto"/>
        <w:left w:val="none" w:sz="0" w:space="0" w:color="auto"/>
        <w:bottom w:val="none" w:sz="0" w:space="0" w:color="auto"/>
        <w:right w:val="none" w:sz="0" w:space="0" w:color="auto"/>
      </w:divBdr>
    </w:div>
    <w:div w:id="1007485931">
      <w:bodyDiv w:val="1"/>
      <w:marLeft w:val="0"/>
      <w:marRight w:val="0"/>
      <w:marTop w:val="0"/>
      <w:marBottom w:val="0"/>
      <w:divBdr>
        <w:top w:val="none" w:sz="0" w:space="0" w:color="auto"/>
        <w:left w:val="none" w:sz="0" w:space="0" w:color="auto"/>
        <w:bottom w:val="none" w:sz="0" w:space="0" w:color="auto"/>
        <w:right w:val="none" w:sz="0" w:space="0" w:color="auto"/>
      </w:divBdr>
    </w:div>
    <w:div w:id="1012533302">
      <w:bodyDiv w:val="1"/>
      <w:marLeft w:val="0"/>
      <w:marRight w:val="0"/>
      <w:marTop w:val="0"/>
      <w:marBottom w:val="0"/>
      <w:divBdr>
        <w:top w:val="none" w:sz="0" w:space="0" w:color="auto"/>
        <w:left w:val="none" w:sz="0" w:space="0" w:color="auto"/>
        <w:bottom w:val="none" w:sz="0" w:space="0" w:color="auto"/>
        <w:right w:val="none" w:sz="0" w:space="0" w:color="auto"/>
      </w:divBdr>
    </w:div>
    <w:div w:id="1025524623">
      <w:bodyDiv w:val="1"/>
      <w:marLeft w:val="0"/>
      <w:marRight w:val="0"/>
      <w:marTop w:val="0"/>
      <w:marBottom w:val="0"/>
      <w:divBdr>
        <w:top w:val="none" w:sz="0" w:space="0" w:color="auto"/>
        <w:left w:val="none" w:sz="0" w:space="0" w:color="auto"/>
        <w:bottom w:val="none" w:sz="0" w:space="0" w:color="auto"/>
        <w:right w:val="none" w:sz="0" w:space="0" w:color="auto"/>
      </w:divBdr>
    </w:div>
    <w:div w:id="1066536052">
      <w:bodyDiv w:val="1"/>
      <w:marLeft w:val="0"/>
      <w:marRight w:val="0"/>
      <w:marTop w:val="0"/>
      <w:marBottom w:val="0"/>
      <w:divBdr>
        <w:top w:val="none" w:sz="0" w:space="0" w:color="auto"/>
        <w:left w:val="none" w:sz="0" w:space="0" w:color="auto"/>
        <w:bottom w:val="none" w:sz="0" w:space="0" w:color="auto"/>
        <w:right w:val="none" w:sz="0" w:space="0" w:color="auto"/>
      </w:divBdr>
    </w:div>
    <w:div w:id="1092505966">
      <w:bodyDiv w:val="1"/>
      <w:marLeft w:val="0"/>
      <w:marRight w:val="0"/>
      <w:marTop w:val="0"/>
      <w:marBottom w:val="0"/>
      <w:divBdr>
        <w:top w:val="none" w:sz="0" w:space="0" w:color="auto"/>
        <w:left w:val="none" w:sz="0" w:space="0" w:color="auto"/>
        <w:bottom w:val="none" w:sz="0" w:space="0" w:color="auto"/>
        <w:right w:val="none" w:sz="0" w:space="0" w:color="auto"/>
      </w:divBdr>
    </w:div>
    <w:div w:id="1095517200">
      <w:bodyDiv w:val="1"/>
      <w:marLeft w:val="0"/>
      <w:marRight w:val="0"/>
      <w:marTop w:val="0"/>
      <w:marBottom w:val="0"/>
      <w:divBdr>
        <w:top w:val="none" w:sz="0" w:space="0" w:color="auto"/>
        <w:left w:val="none" w:sz="0" w:space="0" w:color="auto"/>
        <w:bottom w:val="none" w:sz="0" w:space="0" w:color="auto"/>
        <w:right w:val="none" w:sz="0" w:space="0" w:color="auto"/>
      </w:divBdr>
    </w:div>
    <w:div w:id="1103842641">
      <w:bodyDiv w:val="1"/>
      <w:marLeft w:val="0"/>
      <w:marRight w:val="0"/>
      <w:marTop w:val="0"/>
      <w:marBottom w:val="0"/>
      <w:divBdr>
        <w:top w:val="none" w:sz="0" w:space="0" w:color="auto"/>
        <w:left w:val="none" w:sz="0" w:space="0" w:color="auto"/>
        <w:bottom w:val="none" w:sz="0" w:space="0" w:color="auto"/>
        <w:right w:val="none" w:sz="0" w:space="0" w:color="auto"/>
      </w:divBdr>
    </w:div>
    <w:div w:id="1136723816">
      <w:bodyDiv w:val="1"/>
      <w:marLeft w:val="0"/>
      <w:marRight w:val="0"/>
      <w:marTop w:val="0"/>
      <w:marBottom w:val="0"/>
      <w:divBdr>
        <w:top w:val="none" w:sz="0" w:space="0" w:color="auto"/>
        <w:left w:val="none" w:sz="0" w:space="0" w:color="auto"/>
        <w:bottom w:val="none" w:sz="0" w:space="0" w:color="auto"/>
        <w:right w:val="none" w:sz="0" w:space="0" w:color="auto"/>
      </w:divBdr>
    </w:div>
    <w:div w:id="1144394785">
      <w:bodyDiv w:val="1"/>
      <w:marLeft w:val="0"/>
      <w:marRight w:val="0"/>
      <w:marTop w:val="0"/>
      <w:marBottom w:val="0"/>
      <w:divBdr>
        <w:top w:val="none" w:sz="0" w:space="0" w:color="auto"/>
        <w:left w:val="none" w:sz="0" w:space="0" w:color="auto"/>
        <w:bottom w:val="none" w:sz="0" w:space="0" w:color="auto"/>
        <w:right w:val="none" w:sz="0" w:space="0" w:color="auto"/>
      </w:divBdr>
    </w:div>
    <w:div w:id="1166283725">
      <w:bodyDiv w:val="1"/>
      <w:marLeft w:val="0"/>
      <w:marRight w:val="0"/>
      <w:marTop w:val="0"/>
      <w:marBottom w:val="0"/>
      <w:divBdr>
        <w:top w:val="none" w:sz="0" w:space="0" w:color="auto"/>
        <w:left w:val="none" w:sz="0" w:space="0" w:color="auto"/>
        <w:bottom w:val="none" w:sz="0" w:space="0" w:color="auto"/>
        <w:right w:val="none" w:sz="0" w:space="0" w:color="auto"/>
      </w:divBdr>
    </w:div>
    <w:div w:id="1181317129">
      <w:bodyDiv w:val="1"/>
      <w:marLeft w:val="0"/>
      <w:marRight w:val="0"/>
      <w:marTop w:val="0"/>
      <w:marBottom w:val="0"/>
      <w:divBdr>
        <w:top w:val="none" w:sz="0" w:space="0" w:color="auto"/>
        <w:left w:val="none" w:sz="0" w:space="0" w:color="auto"/>
        <w:bottom w:val="none" w:sz="0" w:space="0" w:color="auto"/>
        <w:right w:val="none" w:sz="0" w:space="0" w:color="auto"/>
      </w:divBdr>
    </w:div>
    <w:div w:id="1187914120">
      <w:bodyDiv w:val="1"/>
      <w:marLeft w:val="0"/>
      <w:marRight w:val="0"/>
      <w:marTop w:val="0"/>
      <w:marBottom w:val="0"/>
      <w:divBdr>
        <w:top w:val="none" w:sz="0" w:space="0" w:color="auto"/>
        <w:left w:val="none" w:sz="0" w:space="0" w:color="auto"/>
        <w:bottom w:val="none" w:sz="0" w:space="0" w:color="auto"/>
        <w:right w:val="none" w:sz="0" w:space="0" w:color="auto"/>
      </w:divBdr>
    </w:div>
    <w:div w:id="1189837221">
      <w:bodyDiv w:val="1"/>
      <w:marLeft w:val="0"/>
      <w:marRight w:val="0"/>
      <w:marTop w:val="0"/>
      <w:marBottom w:val="0"/>
      <w:divBdr>
        <w:top w:val="none" w:sz="0" w:space="0" w:color="auto"/>
        <w:left w:val="none" w:sz="0" w:space="0" w:color="auto"/>
        <w:bottom w:val="none" w:sz="0" w:space="0" w:color="auto"/>
        <w:right w:val="none" w:sz="0" w:space="0" w:color="auto"/>
      </w:divBdr>
    </w:div>
    <w:div w:id="1214805461">
      <w:bodyDiv w:val="1"/>
      <w:marLeft w:val="0"/>
      <w:marRight w:val="0"/>
      <w:marTop w:val="0"/>
      <w:marBottom w:val="0"/>
      <w:divBdr>
        <w:top w:val="none" w:sz="0" w:space="0" w:color="auto"/>
        <w:left w:val="none" w:sz="0" w:space="0" w:color="auto"/>
        <w:bottom w:val="none" w:sz="0" w:space="0" w:color="auto"/>
        <w:right w:val="none" w:sz="0" w:space="0" w:color="auto"/>
      </w:divBdr>
    </w:div>
    <w:div w:id="1234126862">
      <w:bodyDiv w:val="1"/>
      <w:marLeft w:val="0"/>
      <w:marRight w:val="0"/>
      <w:marTop w:val="0"/>
      <w:marBottom w:val="0"/>
      <w:divBdr>
        <w:top w:val="none" w:sz="0" w:space="0" w:color="auto"/>
        <w:left w:val="none" w:sz="0" w:space="0" w:color="auto"/>
        <w:bottom w:val="none" w:sz="0" w:space="0" w:color="auto"/>
        <w:right w:val="none" w:sz="0" w:space="0" w:color="auto"/>
      </w:divBdr>
      <w:divsChild>
        <w:div w:id="1584804015">
          <w:marLeft w:val="0"/>
          <w:marRight w:val="0"/>
          <w:marTop w:val="0"/>
          <w:marBottom w:val="0"/>
          <w:divBdr>
            <w:top w:val="none" w:sz="0" w:space="0" w:color="auto"/>
            <w:left w:val="none" w:sz="0" w:space="0" w:color="auto"/>
            <w:bottom w:val="none" w:sz="0" w:space="0" w:color="auto"/>
            <w:right w:val="none" w:sz="0" w:space="0" w:color="auto"/>
          </w:divBdr>
          <w:divsChild>
            <w:div w:id="1873416135">
              <w:marLeft w:val="0"/>
              <w:marRight w:val="0"/>
              <w:marTop w:val="0"/>
              <w:marBottom w:val="0"/>
              <w:divBdr>
                <w:top w:val="none" w:sz="0" w:space="0" w:color="auto"/>
                <w:left w:val="none" w:sz="0" w:space="0" w:color="auto"/>
                <w:bottom w:val="none" w:sz="0" w:space="0" w:color="auto"/>
                <w:right w:val="none" w:sz="0" w:space="0" w:color="auto"/>
              </w:divBdr>
              <w:divsChild>
                <w:div w:id="1366364347">
                  <w:marLeft w:val="0"/>
                  <w:marRight w:val="0"/>
                  <w:marTop w:val="0"/>
                  <w:marBottom w:val="0"/>
                  <w:divBdr>
                    <w:top w:val="none" w:sz="0" w:space="0" w:color="auto"/>
                    <w:left w:val="none" w:sz="0" w:space="0" w:color="auto"/>
                    <w:bottom w:val="none" w:sz="0" w:space="0" w:color="auto"/>
                    <w:right w:val="none" w:sz="0" w:space="0" w:color="auto"/>
                  </w:divBdr>
                  <w:divsChild>
                    <w:div w:id="1758135592">
                      <w:marLeft w:val="0"/>
                      <w:marRight w:val="0"/>
                      <w:marTop w:val="0"/>
                      <w:marBottom w:val="0"/>
                      <w:divBdr>
                        <w:top w:val="none" w:sz="0" w:space="0" w:color="auto"/>
                        <w:left w:val="none" w:sz="0" w:space="0" w:color="auto"/>
                        <w:bottom w:val="none" w:sz="0" w:space="0" w:color="auto"/>
                        <w:right w:val="none" w:sz="0" w:space="0" w:color="auto"/>
                      </w:divBdr>
                      <w:divsChild>
                        <w:div w:id="174155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1015145">
      <w:bodyDiv w:val="1"/>
      <w:marLeft w:val="0"/>
      <w:marRight w:val="0"/>
      <w:marTop w:val="0"/>
      <w:marBottom w:val="0"/>
      <w:divBdr>
        <w:top w:val="none" w:sz="0" w:space="0" w:color="auto"/>
        <w:left w:val="none" w:sz="0" w:space="0" w:color="auto"/>
        <w:bottom w:val="none" w:sz="0" w:space="0" w:color="auto"/>
        <w:right w:val="none" w:sz="0" w:space="0" w:color="auto"/>
      </w:divBdr>
    </w:div>
    <w:div w:id="1254901166">
      <w:bodyDiv w:val="1"/>
      <w:marLeft w:val="0"/>
      <w:marRight w:val="0"/>
      <w:marTop w:val="0"/>
      <w:marBottom w:val="0"/>
      <w:divBdr>
        <w:top w:val="none" w:sz="0" w:space="0" w:color="auto"/>
        <w:left w:val="none" w:sz="0" w:space="0" w:color="auto"/>
        <w:bottom w:val="none" w:sz="0" w:space="0" w:color="auto"/>
        <w:right w:val="none" w:sz="0" w:space="0" w:color="auto"/>
      </w:divBdr>
    </w:div>
    <w:div w:id="1277061809">
      <w:bodyDiv w:val="1"/>
      <w:marLeft w:val="0"/>
      <w:marRight w:val="0"/>
      <w:marTop w:val="0"/>
      <w:marBottom w:val="0"/>
      <w:divBdr>
        <w:top w:val="none" w:sz="0" w:space="0" w:color="auto"/>
        <w:left w:val="none" w:sz="0" w:space="0" w:color="auto"/>
        <w:bottom w:val="none" w:sz="0" w:space="0" w:color="auto"/>
        <w:right w:val="none" w:sz="0" w:space="0" w:color="auto"/>
      </w:divBdr>
    </w:div>
    <w:div w:id="1305693833">
      <w:bodyDiv w:val="1"/>
      <w:marLeft w:val="0"/>
      <w:marRight w:val="0"/>
      <w:marTop w:val="0"/>
      <w:marBottom w:val="0"/>
      <w:divBdr>
        <w:top w:val="none" w:sz="0" w:space="0" w:color="auto"/>
        <w:left w:val="none" w:sz="0" w:space="0" w:color="auto"/>
        <w:bottom w:val="none" w:sz="0" w:space="0" w:color="auto"/>
        <w:right w:val="none" w:sz="0" w:space="0" w:color="auto"/>
      </w:divBdr>
    </w:div>
    <w:div w:id="1339502793">
      <w:bodyDiv w:val="1"/>
      <w:marLeft w:val="0"/>
      <w:marRight w:val="0"/>
      <w:marTop w:val="0"/>
      <w:marBottom w:val="0"/>
      <w:divBdr>
        <w:top w:val="none" w:sz="0" w:space="0" w:color="auto"/>
        <w:left w:val="none" w:sz="0" w:space="0" w:color="auto"/>
        <w:bottom w:val="none" w:sz="0" w:space="0" w:color="auto"/>
        <w:right w:val="none" w:sz="0" w:space="0" w:color="auto"/>
      </w:divBdr>
    </w:div>
    <w:div w:id="1345353114">
      <w:bodyDiv w:val="1"/>
      <w:marLeft w:val="0"/>
      <w:marRight w:val="0"/>
      <w:marTop w:val="0"/>
      <w:marBottom w:val="0"/>
      <w:divBdr>
        <w:top w:val="none" w:sz="0" w:space="0" w:color="auto"/>
        <w:left w:val="none" w:sz="0" w:space="0" w:color="auto"/>
        <w:bottom w:val="none" w:sz="0" w:space="0" w:color="auto"/>
        <w:right w:val="none" w:sz="0" w:space="0" w:color="auto"/>
      </w:divBdr>
      <w:divsChild>
        <w:div w:id="895044325">
          <w:marLeft w:val="0"/>
          <w:marRight w:val="0"/>
          <w:marTop w:val="0"/>
          <w:marBottom w:val="0"/>
          <w:divBdr>
            <w:top w:val="none" w:sz="0" w:space="0" w:color="auto"/>
            <w:left w:val="none" w:sz="0" w:space="0" w:color="auto"/>
            <w:bottom w:val="none" w:sz="0" w:space="0" w:color="auto"/>
            <w:right w:val="none" w:sz="0" w:space="0" w:color="auto"/>
          </w:divBdr>
          <w:divsChild>
            <w:div w:id="730886910">
              <w:marLeft w:val="0"/>
              <w:marRight w:val="0"/>
              <w:marTop w:val="0"/>
              <w:marBottom w:val="0"/>
              <w:divBdr>
                <w:top w:val="none" w:sz="0" w:space="0" w:color="auto"/>
                <w:left w:val="none" w:sz="0" w:space="0" w:color="auto"/>
                <w:bottom w:val="none" w:sz="0" w:space="0" w:color="auto"/>
                <w:right w:val="none" w:sz="0" w:space="0" w:color="auto"/>
              </w:divBdr>
              <w:divsChild>
                <w:div w:id="2106608590">
                  <w:marLeft w:val="0"/>
                  <w:marRight w:val="0"/>
                  <w:marTop w:val="0"/>
                  <w:marBottom w:val="0"/>
                  <w:divBdr>
                    <w:top w:val="none" w:sz="0" w:space="0" w:color="auto"/>
                    <w:left w:val="none" w:sz="0" w:space="0" w:color="auto"/>
                    <w:bottom w:val="none" w:sz="0" w:space="0" w:color="auto"/>
                    <w:right w:val="none" w:sz="0" w:space="0" w:color="auto"/>
                  </w:divBdr>
                  <w:divsChild>
                    <w:div w:id="1634211885">
                      <w:marLeft w:val="0"/>
                      <w:marRight w:val="0"/>
                      <w:marTop w:val="0"/>
                      <w:marBottom w:val="0"/>
                      <w:divBdr>
                        <w:top w:val="none" w:sz="0" w:space="0" w:color="auto"/>
                        <w:left w:val="none" w:sz="0" w:space="0" w:color="auto"/>
                        <w:bottom w:val="none" w:sz="0" w:space="0" w:color="auto"/>
                        <w:right w:val="none" w:sz="0" w:space="0" w:color="auto"/>
                      </w:divBdr>
                      <w:divsChild>
                        <w:div w:id="206799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6204594">
      <w:bodyDiv w:val="1"/>
      <w:marLeft w:val="0"/>
      <w:marRight w:val="0"/>
      <w:marTop w:val="0"/>
      <w:marBottom w:val="0"/>
      <w:divBdr>
        <w:top w:val="none" w:sz="0" w:space="0" w:color="auto"/>
        <w:left w:val="none" w:sz="0" w:space="0" w:color="auto"/>
        <w:bottom w:val="none" w:sz="0" w:space="0" w:color="auto"/>
        <w:right w:val="none" w:sz="0" w:space="0" w:color="auto"/>
      </w:divBdr>
    </w:div>
    <w:div w:id="1350448506">
      <w:bodyDiv w:val="1"/>
      <w:marLeft w:val="0"/>
      <w:marRight w:val="0"/>
      <w:marTop w:val="0"/>
      <w:marBottom w:val="0"/>
      <w:divBdr>
        <w:top w:val="none" w:sz="0" w:space="0" w:color="auto"/>
        <w:left w:val="none" w:sz="0" w:space="0" w:color="auto"/>
        <w:bottom w:val="none" w:sz="0" w:space="0" w:color="auto"/>
        <w:right w:val="none" w:sz="0" w:space="0" w:color="auto"/>
      </w:divBdr>
    </w:div>
    <w:div w:id="1351297655">
      <w:bodyDiv w:val="1"/>
      <w:marLeft w:val="0"/>
      <w:marRight w:val="0"/>
      <w:marTop w:val="0"/>
      <w:marBottom w:val="0"/>
      <w:divBdr>
        <w:top w:val="none" w:sz="0" w:space="0" w:color="auto"/>
        <w:left w:val="none" w:sz="0" w:space="0" w:color="auto"/>
        <w:bottom w:val="none" w:sz="0" w:space="0" w:color="auto"/>
        <w:right w:val="none" w:sz="0" w:space="0" w:color="auto"/>
      </w:divBdr>
    </w:div>
    <w:div w:id="1374035209">
      <w:bodyDiv w:val="1"/>
      <w:marLeft w:val="0"/>
      <w:marRight w:val="0"/>
      <w:marTop w:val="0"/>
      <w:marBottom w:val="0"/>
      <w:divBdr>
        <w:top w:val="none" w:sz="0" w:space="0" w:color="auto"/>
        <w:left w:val="none" w:sz="0" w:space="0" w:color="auto"/>
        <w:bottom w:val="none" w:sz="0" w:space="0" w:color="auto"/>
        <w:right w:val="none" w:sz="0" w:space="0" w:color="auto"/>
      </w:divBdr>
    </w:div>
    <w:div w:id="1383674802">
      <w:bodyDiv w:val="1"/>
      <w:marLeft w:val="0"/>
      <w:marRight w:val="0"/>
      <w:marTop w:val="0"/>
      <w:marBottom w:val="0"/>
      <w:divBdr>
        <w:top w:val="none" w:sz="0" w:space="0" w:color="auto"/>
        <w:left w:val="none" w:sz="0" w:space="0" w:color="auto"/>
        <w:bottom w:val="none" w:sz="0" w:space="0" w:color="auto"/>
        <w:right w:val="none" w:sz="0" w:space="0" w:color="auto"/>
      </w:divBdr>
    </w:div>
    <w:div w:id="1389572433">
      <w:bodyDiv w:val="1"/>
      <w:marLeft w:val="0"/>
      <w:marRight w:val="0"/>
      <w:marTop w:val="0"/>
      <w:marBottom w:val="0"/>
      <w:divBdr>
        <w:top w:val="none" w:sz="0" w:space="0" w:color="auto"/>
        <w:left w:val="none" w:sz="0" w:space="0" w:color="auto"/>
        <w:bottom w:val="none" w:sz="0" w:space="0" w:color="auto"/>
        <w:right w:val="none" w:sz="0" w:space="0" w:color="auto"/>
      </w:divBdr>
    </w:div>
    <w:div w:id="1408188304">
      <w:bodyDiv w:val="1"/>
      <w:marLeft w:val="0"/>
      <w:marRight w:val="0"/>
      <w:marTop w:val="0"/>
      <w:marBottom w:val="0"/>
      <w:divBdr>
        <w:top w:val="none" w:sz="0" w:space="0" w:color="auto"/>
        <w:left w:val="none" w:sz="0" w:space="0" w:color="auto"/>
        <w:bottom w:val="none" w:sz="0" w:space="0" w:color="auto"/>
        <w:right w:val="none" w:sz="0" w:space="0" w:color="auto"/>
      </w:divBdr>
    </w:div>
    <w:div w:id="1416628867">
      <w:bodyDiv w:val="1"/>
      <w:marLeft w:val="0"/>
      <w:marRight w:val="0"/>
      <w:marTop w:val="0"/>
      <w:marBottom w:val="0"/>
      <w:divBdr>
        <w:top w:val="none" w:sz="0" w:space="0" w:color="auto"/>
        <w:left w:val="none" w:sz="0" w:space="0" w:color="auto"/>
        <w:bottom w:val="none" w:sz="0" w:space="0" w:color="auto"/>
        <w:right w:val="none" w:sz="0" w:space="0" w:color="auto"/>
      </w:divBdr>
      <w:divsChild>
        <w:div w:id="1715737834">
          <w:marLeft w:val="0"/>
          <w:marRight w:val="0"/>
          <w:marTop w:val="0"/>
          <w:marBottom w:val="0"/>
          <w:divBdr>
            <w:top w:val="none" w:sz="0" w:space="0" w:color="auto"/>
            <w:left w:val="none" w:sz="0" w:space="0" w:color="auto"/>
            <w:bottom w:val="none" w:sz="0" w:space="0" w:color="auto"/>
            <w:right w:val="none" w:sz="0" w:space="0" w:color="auto"/>
          </w:divBdr>
          <w:divsChild>
            <w:div w:id="613371362">
              <w:marLeft w:val="0"/>
              <w:marRight w:val="0"/>
              <w:marTop w:val="0"/>
              <w:marBottom w:val="0"/>
              <w:divBdr>
                <w:top w:val="none" w:sz="0" w:space="0" w:color="auto"/>
                <w:left w:val="none" w:sz="0" w:space="0" w:color="auto"/>
                <w:bottom w:val="none" w:sz="0" w:space="0" w:color="auto"/>
                <w:right w:val="none" w:sz="0" w:space="0" w:color="auto"/>
              </w:divBdr>
              <w:divsChild>
                <w:div w:id="196821665">
                  <w:marLeft w:val="0"/>
                  <w:marRight w:val="0"/>
                  <w:marTop w:val="0"/>
                  <w:marBottom w:val="0"/>
                  <w:divBdr>
                    <w:top w:val="none" w:sz="0" w:space="0" w:color="auto"/>
                    <w:left w:val="none" w:sz="0" w:space="0" w:color="auto"/>
                    <w:bottom w:val="none" w:sz="0" w:space="0" w:color="auto"/>
                    <w:right w:val="none" w:sz="0" w:space="0" w:color="auto"/>
                  </w:divBdr>
                  <w:divsChild>
                    <w:div w:id="949170360">
                      <w:marLeft w:val="0"/>
                      <w:marRight w:val="0"/>
                      <w:marTop w:val="0"/>
                      <w:marBottom w:val="0"/>
                      <w:divBdr>
                        <w:top w:val="none" w:sz="0" w:space="0" w:color="auto"/>
                        <w:left w:val="none" w:sz="0" w:space="0" w:color="auto"/>
                        <w:bottom w:val="none" w:sz="0" w:space="0" w:color="auto"/>
                        <w:right w:val="none" w:sz="0" w:space="0" w:color="auto"/>
                      </w:divBdr>
                      <w:divsChild>
                        <w:div w:id="113418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1099971">
      <w:bodyDiv w:val="1"/>
      <w:marLeft w:val="0"/>
      <w:marRight w:val="0"/>
      <w:marTop w:val="0"/>
      <w:marBottom w:val="0"/>
      <w:divBdr>
        <w:top w:val="none" w:sz="0" w:space="0" w:color="auto"/>
        <w:left w:val="none" w:sz="0" w:space="0" w:color="auto"/>
        <w:bottom w:val="none" w:sz="0" w:space="0" w:color="auto"/>
        <w:right w:val="none" w:sz="0" w:space="0" w:color="auto"/>
      </w:divBdr>
    </w:div>
    <w:div w:id="1476337466">
      <w:bodyDiv w:val="1"/>
      <w:marLeft w:val="0"/>
      <w:marRight w:val="0"/>
      <w:marTop w:val="0"/>
      <w:marBottom w:val="0"/>
      <w:divBdr>
        <w:top w:val="none" w:sz="0" w:space="0" w:color="auto"/>
        <w:left w:val="none" w:sz="0" w:space="0" w:color="auto"/>
        <w:bottom w:val="none" w:sz="0" w:space="0" w:color="auto"/>
        <w:right w:val="none" w:sz="0" w:space="0" w:color="auto"/>
      </w:divBdr>
    </w:div>
    <w:div w:id="1486318365">
      <w:bodyDiv w:val="1"/>
      <w:marLeft w:val="0"/>
      <w:marRight w:val="0"/>
      <w:marTop w:val="0"/>
      <w:marBottom w:val="0"/>
      <w:divBdr>
        <w:top w:val="none" w:sz="0" w:space="0" w:color="auto"/>
        <w:left w:val="none" w:sz="0" w:space="0" w:color="auto"/>
        <w:bottom w:val="none" w:sz="0" w:space="0" w:color="auto"/>
        <w:right w:val="none" w:sz="0" w:space="0" w:color="auto"/>
      </w:divBdr>
      <w:divsChild>
        <w:div w:id="610015059">
          <w:marLeft w:val="0"/>
          <w:marRight w:val="0"/>
          <w:marTop w:val="0"/>
          <w:marBottom w:val="0"/>
          <w:divBdr>
            <w:top w:val="none" w:sz="0" w:space="0" w:color="auto"/>
            <w:left w:val="none" w:sz="0" w:space="0" w:color="auto"/>
            <w:bottom w:val="none" w:sz="0" w:space="0" w:color="auto"/>
            <w:right w:val="none" w:sz="0" w:space="0" w:color="auto"/>
          </w:divBdr>
          <w:divsChild>
            <w:div w:id="2039237164">
              <w:marLeft w:val="0"/>
              <w:marRight w:val="0"/>
              <w:marTop w:val="0"/>
              <w:marBottom w:val="0"/>
              <w:divBdr>
                <w:top w:val="none" w:sz="0" w:space="0" w:color="auto"/>
                <w:left w:val="none" w:sz="0" w:space="0" w:color="auto"/>
                <w:bottom w:val="none" w:sz="0" w:space="0" w:color="auto"/>
                <w:right w:val="none" w:sz="0" w:space="0" w:color="auto"/>
              </w:divBdr>
              <w:divsChild>
                <w:div w:id="1944918898">
                  <w:marLeft w:val="0"/>
                  <w:marRight w:val="0"/>
                  <w:marTop w:val="0"/>
                  <w:marBottom w:val="0"/>
                  <w:divBdr>
                    <w:top w:val="none" w:sz="0" w:space="0" w:color="auto"/>
                    <w:left w:val="none" w:sz="0" w:space="0" w:color="auto"/>
                    <w:bottom w:val="none" w:sz="0" w:space="0" w:color="auto"/>
                    <w:right w:val="none" w:sz="0" w:space="0" w:color="auto"/>
                  </w:divBdr>
                  <w:divsChild>
                    <w:div w:id="656685256">
                      <w:marLeft w:val="0"/>
                      <w:marRight w:val="0"/>
                      <w:marTop w:val="0"/>
                      <w:marBottom w:val="0"/>
                      <w:divBdr>
                        <w:top w:val="none" w:sz="0" w:space="0" w:color="auto"/>
                        <w:left w:val="none" w:sz="0" w:space="0" w:color="auto"/>
                        <w:bottom w:val="none" w:sz="0" w:space="0" w:color="auto"/>
                        <w:right w:val="none" w:sz="0" w:space="0" w:color="auto"/>
                      </w:divBdr>
                      <w:divsChild>
                        <w:div w:id="1272933258">
                          <w:marLeft w:val="0"/>
                          <w:marRight w:val="0"/>
                          <w:marTop w:val="0"/>
                          <w:marBottom w:val="0"/>
                          <w:divBdr>
                            <w:top w:val="none" w:sz="0" w:space="0" w:color="auto"/>
                            <w:left w:val="none" w:sz="0" w:space="0" w:color="auto"/>
                            <w:bottom w:val="none" w:sz="0" w:space="0" w:color="auto"/>
                            <w:right w:val="none" w:sz="0" w:space="0" w:color="auto"/>
                          </w:divBdr>
                          <w:divsChild>
                            <w:div w:id="1133787886">
                              <w:marLeft w:val="0"/>
                              <w:marRight w:val="0"/>
                              <w:marTop w:val="0"/>
                              <w:marBottom w:val="0"/>
                              <w:divBdr>
                                <w:top w:val="none" w:sz="0" w:space="0" w:color="auto"/>
                                <w:left w:val="none" w:sz="0" w:space="0" w:color="auto"/>
                                <w:bottom w:val="none" w:sz="0" w:space="0" w:color="auto"/>
                                <w:right w:val="none" w:sz="0" w:space="0" w:color="auto"/>
                              </w:divBdr>
                              <w:divsChild>
                                <w:div w:id="611592517">
                                  <w:marLeft w:val="0"/>
                                  <w:marRight w:val="0"/>
                                  <w:marTop w:val="0"/>
                                  <w:marBottom w:val="0"/>
                                  <w:divBdr>
                                    <w:top w:val="none" w:sz="0" w:space="0" w:color="auto"/>
                                    <w:left w:val="none" w:sz="0" w:space="0" w:color="auto"/>
                                    <w:bottom w:val="none" w:sz="0" w:space="0" w:color="auto"/>
                                    <w:right w:val="none" w:sz="0" w:space="0" w:color="auto"/>
                                  </w:divBdr>
                                  <w:divsChild>
                                    <w:div w:id="87939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9617259">
      <w:bodyDiv w:val="1"/>
      <w:marLeft w:val="0"/>
      <w:marRight w:val="0"/>
      <w:marTop w:val="0"/>
      <w:marBottom w:val="0"/>
      <w:divBdr>
        <w:top w:val="none" w:sz="0" w:space="0" w:color="auto"/>
        <w:left w:val="none" w:sz="0" w:space="0" w:color="auto"/>
        <w:bottom w:val="none" w:sz="0" w:space="0" w:color="auto"/>
        <w:right w:val="none" w:sz="0" w:space="0" w:color="auto"/>
      </w:divBdr>
    </w:div>
    <w:div w:id="1559323121">
      <w:bodyDiv w:val="1"/>
      <w:marLeft w:val="0"/>
      <w:marRight w:val="0"/>
      <w:marTop w:val="0"/>
      <w:marBottom w:val="0"/>
      <w:divBdr>
        <w:top w:val="none" w:sz="0" w:space="0" w:color="auto"/>
        <w:left w:val="none" w:sz="0" w:space="0" w:color="auto"/>
        <w:bottom w:val="none" w:sz="0" w:space="0" w:color="auto"/>
        <w:right w:val="none" w:sz="0" w:space="0" w:color="auto"/>
      </w:divBdr>
      <w:divsChild>
        <w:div w:id="1587498248">
          <w:marLeft w:val="0"/>
          <w:marRight w:val="0"/>
          <w:marTop w:val="0"/>
          <w:marBottom w:val="0"/>
          <w:divBdr>
            <w:top w:val="none" w:sz="0" w:space="0" w:color="auto"/>
            <w:left w:val="none" w:sz="0" w:space="0" w:color="auto"/>
            <w:bottom w:val="none" w:sz="0" w:space="0" w:color="auto"/>
            <w:right w:val="none" w:sz="0" w:space="0" w:color="auto"/>
          </w:divBdr>
          <w:divsChild>
            <w:div w:id="554245541">
              <w:marLeft w:val="0"/>
              <w:marRight w:val="0"/>
              <w:marTop w:val="0"/>
              <w:marBottom w:val="0"/>
              <w:divBdr>
                <w:top w:val="none" w:sz="0" w:space="0" w:color="auto"/>
                <w:left w:val="none" w:sz="0" w:space="0" w:color="auto"/>
                <w:bottom w:val="none" w:sz="0" w:space="0" w:color="auto"/>
                <w:right w:val="none" w:sz="0" w:space="0" w:color="auto"/>
              </w:divBdr>
              <w:divsChild>
                <w:div w:id="1643733280">
                  <w:marLeft w:val="0"/>
                  <w:marRight w:val="0"/>
                  <w:marTop w:val="0"/>
                  <w:marBottom w:val="0"/>
                  <w:divBdr>
                    <w:top w:val="none" w:sz="0" w:space="0" w:color="auto"/>
                    <w:left w:val="none" w:sz="0" w:space="0" w:color="auto"/>
                    <w:bottom w:val="none" w:sz="0" w:space="0" w:color="auto"/>
                    <w:right w:val="none" w:sz="0" w:space="0" w:color="auto"/>
                  </w:divBdr>
                  <w:divsChild>
                    <w:div w:id="1523013634">
                      <w:marLeft w:val="0"/>
                      <w:marRight w:val="0"/>
                      <w:marTop w:val="0"/>
                      <w:marBottom w:val="0"/>
                      <w:divBdr>
                        <w:top w:val="none" w:sz="0" w:space="0" w:color="auto"/>
                        <w:left w:val="none" w:sz="0" w:space="0" w:color="auto"/>
                        <w:bottom w:val="none" w:sz="0" w:space="0" w:color="auto"/>
                        <w:right w:val="none" w:sz="0" w:space="0" w:color="auto"/>
                      </w:divBdr>
                      <w:divsChild>
                        <w:div w:id="1123184019">
                          <w:marLeft w:val="0"/>
                          <w:marRight w:val="0"/>
                          <w:marTop w:val="0"/>
                          <w:marBottom w:val="0"/>
                          <w:divBdr>
                            <w:top w:val="none" w:sz="0" w:space="0" w:color="auto"/>
                            <w:left w:val="none" w:sz="0" w:space="0" w:color="auto"/>
                            <w:bottom w:val="none" w:sz="0" w:space="0" w:color="auto"/>
                            <w:right w:val="none" w:sz="0" w:space="0" w:color="auto"/>
                          </w:divBdr>
                          <w:divsChild>
                            <w:div w:id="30958647">
                              <w:marLeft w:val="0"/>
                              <w:marRight w:val="0"/>
                              <w:marTop w:val="0"/>
                              <w:marBottom w:val="0"/>
                              <w:divBdr>
                                <w:top w:val="none" w:sz="0" w:space="0" w:color="auto"/>
                                <w:left w:val="none" w:sz="0" w:space="0" w:color="auto"/>
                                <w:bottom w:val="none" w:sz="0" w:space="0" w:color="auto"/>
                                <w:right w:val="none" w:sz="0" w:space="0" w:color="auto"/>
                              </w:divBdr>
                              <w:divsChild>
                                <w:div w:id="1009412310">
                                  <w:marLeft w:val="0"/>
                                  <w:marRight w:val="0"/>
                                  <w:marTop w:val="0"/>
                                  <w:marBottom w:val="0"/>
                                  <w:divBdr>
                                    <w:top w:val="none" w:sz="0" w:space="0" w:color="auto"/>
                                    <w:left w:val="none" w:sz="0" w:space="0" w:color="auto"/>
                                    <w:bottom w:val="none" w:sz="0" w:space="0" w:color="auto"/>
                                    <w:right w:val="none" w:sz="0" w:space="0" w:color="auto"/>
                                  </w:divBdr>
                                  <w:divsChild>
                                    <w:div w:id="4051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9703864">
      <w:bodyDiv w:val="1"/>
      <w:marLeft w:val="0"/>
      <w:marRight w:val="0"/>
      <w:marTop w:val="0"/>
      <w:marBottom w:val="0"/>
      <w:divBdr>
        <w:top w:val="none" w:sz="0" w:space="0" w:color="auto"/>
        <w:left w:val="none" w:sz="0" w:space="0" w:color="auto"/>
        <w:bottom w:val="none" w:sz="0" w:space="0" w:color="auto"/>
        <w:right w:val="none" w:sz="0" w:space="0" w:color="auto"/>
      </w:divBdr>
    </w:div>
    <w:div w:id="1570000908">
      <w:bodyDiv w:val="1"/>
      <w:marLeft w:val="0"/>
      <w:marRight w:val="0"/>
      <w:marTop w:val="0"/>
      <w:marBottom w:val="0"/>
      <w:divBdr>
        <w:top w:val="none" w:sz="0" w:space="0" w:color="auto"/>
        <w:left w:val="none" w:sz="0" w:space="0" w:color="auto"/>
        <w:bottom w:val="none" w:sz="0" w:space="0" w:color="auto"/>
        <w:right w:val="none" w:sz="0" w:space="0" w:color="auto"/>
      </w:divBdr>
    </w:div>
    <w:div w:id="1574121872">
      <w:bodyDiv w:val="1"/>
      <w:marLeft w:val="0"/>
      <w:marRight w:val="0"/>
      <w:marTop w:val="0"/>
      <w:marBottom w:val="0"/>
      <w:divBdr>
        <w:top w:val="none" w:sz="0" w:space="0" w:color="auto"/>
        <w:left w:val="none" w:sz="0" w:space="0" w:color="auto"/>
        <w:bottom w:val="none" w:sz="0" w:space="0" w:color="auto"/>
        <w:right w:val="none" w:sz="0" w:space="0" w:color="auto"/>
      </w:divBdr>
    </w:div>
    <w:div w:id="1614945741">
      <w:bodyDiv w:val="1"/>
      <w:marLeft w:val="0"/>
      <w:marRight w:val="0"/>
      <w:marTop w:val="0"/>
      <w:marBottom w:val="0"/>
      <w:divBdr>
        <w:top w:val="none" w:sz="0" w:space="0" w:color="auto"/>
        <w:left w:val="none" w:sz="0" w:space="0" w:color="auto"/>
        <w:bottom w:val="none" w:sz="0" w:space="0" w:color="auto"/>
        <w:right w:val="none" w:sz="0" w:space="0" w:color="auto"/>
      </w:divBdr>
    </w:div>
    <w:div w:id="1631402766">
      <w:bodyDiv w:val="1"/>
      <w:marLeft w:val="0"/>
      <w:marRight w:val="0"/>
      <w:marTop w:val="0"/>
      <w:marBottom w:val="0"/>
      <w:divBdr>
        <w:top w:val="none" w:sz="0" w:space="0" w:color="auto"/>
        <w:left w:val="none" w:sz="0" w:space="0" w:color="auto"/>
        <w:bottom w:val="none" w:sz="0" w:space="0" w:color="auto"/>
        <w:right w:val="none" w:sz="0" w:space="0" w:color="auto"/>
      </w:divBdr>
    </w:div>
    <w:div w:id="1635254667">
      <w:bodyDiv w:val="1"/>
      <w:marLeft w:val="0"/>
      <w:marRight w:val="0"/>
      <w:marTop w:val="0"/>
      <w:marBottom w:val="0"/>
      <w:divBdr>
        <w:top w:val="none" w:sz="0" w:space="0" w:color="auto"/>
        <w:left w:val="none" w:sz="0" w:space="0" w:color="auto"/>
        <w:bottom w:val="none" w:sz="0" w:space="0" w:color="auto"/>
        <w:right w:val="none" w:sz="0" w:space="0" w:color="auto"/>
      </w:divBdr>
    </w:div>
    <w:div w:id="1635722050">
      <w:bodyDiv w:val="1"/>
      <w:marLeft w:val="0"/>
      <w:marRight w:val="0"/>
      <w:marTop w:val="0"/>
      <w:marBottom w:val="0"/>
      <w:divBdr>
        <w:top w:val="none" w:sz="0" w:space="0" w:color="auto"/>
        <w:left w:val="none" w:sz="0" w:space="0" w:color="auto"/>
        <w:bottom w:val="none" w:sz="0" w:space="0" w:color="auto"/>
        <w:right w:val="none" w:sz="0" w:space="0" w:color="auto"/>
      </w:divBdr>
    </w:div>
    <w:div w:id="1642998436">
      <w:bodyDiv w:val="1"/>
      <w:marLeft w:val="0"/>
      <w:marRight w:val="0"/>
      <w:marTop w:val="0"/>
      <w:marBottom w:val="0"/>
      <w:divBdr>
        <w:top w:val="none" w:sz="0" w:space="0" w:color="auto"/>
        <w:left w:val="none" w:sz="0" w:space="0" w:color="auto"/>
        <w:bottom w:val="none" w:sz="0" w:space="0" w:color="auto"/>
        <w:right w:val="none" w:sz="0" w:space="0" w:color="auto"/>
      </w:divBdr>
    </w:div>
    <w:div w:id="1656373820">
      <w:bodyDiv w:val="1"/>
      <w:marLeft w:val="0"/>
      <w:marRight w:val="0"/>
      <w:marTop w:val="0"/>
      <w:marBottom w:val="0"/>
      <w:divBdr>
        <w:top w:val="none" w:sz="0" w:space="0" w:color="auto"/>
        <w:left w:val="none" w:sz="0" w:space="0" w:color="auto"/>
        <w:bottom w:val="none" w:sz="0" w:space="0" w:color="auto"/>
        <w:right w:val="none" w:sz="0" w:space="0" w:color="auto"/>
      </w:divBdr>
    </w:div>
    <w:div w:id="1662387831">
      <w:bodyDiv w:val="1"/>
      <w:marLeft w:val="0"/>
      <w:marRight w:val="0"/>
      <w:marTop w:val="0"/>
      <w:marBottom w:val="0"/>
      <w:divBdr>
        <w:top w:val="none" w:sz="0" w:space="0" w:color="auto"/>
        <w:left w:val="none" w:sz="0" w:space="0" w:color="auto"/>
        <w:bottom w:val="none" w:sz="0" w:space="0" w:color="auto"/>
        <w:right w:val="none" w:sz="0" w:space="0" w:color="auto"/>
      </w:divBdr>
    </w:div>
    <w:div w:id="1679111701">
      <w:bodyDiv w:val="1"/>
      <w:marLeft w:val="0"/>
      <w:marRight w:val="0"/>
      <w:marTop w:val="0"/>
      <w:marBottom w:val="0"/>
      <w:divBdr>
        <w:top w:val="none" w:sz="0" w:space="0" w:color="auto"/>
        <w:left w:val="none" w:sz="0" w:space="0" w:color="auto"/>
        <w:bottom w:val="none" w:sz="0" w:space="0" w:color="auto"/>
        <w:right w:val="none" w:sz="0" w:space="0" w:color="auto"/>
      </w:divBdr>
    </w:div>
    <w:div w:id="1688022241">
      <w:bodyDiv w:val="1"/>
      <w:marLeft w:val="0"/>
      <w:marRight w:val="0"/>
      <w:marTop w:val="0"/>
      <w:marBottom w:val="0"/>
      <w:divBdr>
        <w:top w:val="none" w:sz="0" w:space="0" w:color="auto"/>
        <w:left w:val="none" w:sz="0" w:space="0" w:color="auto"/>
        <w:bottom w:val="none" w:sz="0" w:space="0" w:color="auto"/>
        <w:right w:val="none" w:sz="0" w:space="0" w:color="auto"/>
      </w:divBdr>
    </w:div>
    <w:div w:id="1697343626">
      <w:bodyDiv w:val="1"/>
      <w:marLeft w:val="0"/>
      <w:marRight w:val="0"/>
      <w:marTop w:val="0"/>
      <w:marBottom w:val="0"/>
      <w:divBdr>
        <w:top w:val="none" w:sz="0" w:space="0" w:color="auto"/>
        <w:left w:val="none" w:sz="0" w:space="0" w:color="auto"/>
        <w:bottom w:val="none" w:sz="0" w:space="0" w:color="auto"/>
        <w:right w:val="none" w:sz="0" w:space="0" w:color="auto"/>
      </w:divBdr>
    </w:div>
    <w:div w:id="1737437662">
      <w:bodyDiv w:val="1"/>
      <w:marLeft w:val="0"/>
      <w:marRight w:val="0"/>
      <w:marTop w:val="0"/>
      <w:marBottom w:val="0"/>
      <w:divBdr>
        <w:top w:val="none" w:sz="0" w:space="0" w:color="auto"/>
        <w:left w:val="none" w:sz="0" w:space="0" w:color="auto"/>
        <w:bottom w:val="none" w:sz="0" w:space="0" w:color="auto"/>
        <w:right w:val="none" w:sz="0" w:space="0" w:color="auto"/>
      </w:divBdr>
      <w:divsChild>
        <w:div w:id="1279340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9615183">
      <w:bodyDiv w:val="1"/>
      <w:marLeft w:val="0"/>
      <w:marRight w:val="0"/>
      <w:marTop w:val="0"/>
      <w:marBottom w:val="0"/>
      <w:divBdr>
        <w:top w:val="none" w:sz="0" w:space="0" w:color="auto"/>
        <w:left w:val="none" w:sz="0" w:space="0" w:color="auto"/>
        <w:bottom w:val="none" w:sz="0" w:space="0" w:color="auto"/>
        <w:right w:val="none" w:sz="0" w:space="0" w:color="auto"/>
      </w:divBdr>
      <w:divsChild>
        <w:div w:id="12835360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7256793">
      <w:bodyDiv w:val="1"/>
      <w:marLeft w:val="0"/>
      <w:marRight w:val="0"/>
      <w:marTop w:val="0"/>
      <w:marBottom w:val="0"/>
      <w:divBdr>
        <w:top w:val="none" w:sz="0" w:space="0" w:color="auto"/>
        <w:left w:val="none" w:sz="0" w:space="0" w:color="auto"/>
        <w:bottom w:val="none" w:sz="0" w:space="0" w:color="auto"/>
        <w:right w:val="none" w:sz="0" w:space="0" w:color="auto"/>
      </w:divBdr>
    </w:div>
    <w:div w:id="1886717808">
      <w:bodyDiv w:val="1"/>
      <w:marLeft w:val="0"/>
      <w:marRight w:val="0"/>
      <w:marTop w:val="0"/>
      <w:marBottom w:val="0"/>
      <w:divBdr>
        <w:top w:val="none" w:sz="0" w:space="0" w:color="auto"/>
        <w:left w:val="none" w:sz="0" w:space="0" w:color="auto"/>
        <w:bottom w:val="none" w:sz="0" w:space="0" w:color="auto"/>
        <w:right w:val="none" w:sz="0" w:space="0" w:color="auto"/>
      </w:divBdr>
    </w:div>
    <w:div w:id="1913927954">
      <w:bodyDiv w:val="1"/>
      <w:marLeft w:val="0"/>
      <w:marRight w:val="0"/>
      <w:marTop w:val="0"/>
      <w:marBottom w:val="0"/>
      <w:divBdr>
        <w:top w:val="none" w:sz="0" w:space="0" w:color="auto"/>
        <w:left w:val="none" w:sz="0" w:space="0" w:color="auto"/>
        <w:bottom w:val="none" w:sz="0" w:space="0" w:color="auto"/>
        <w:right w:val="none" w:sz="0" w:space="0" w:color="auto"/>
      </w:divBdr>
    </w:div>
    <w:div w:id="1925676925">
      <w:bodyDiv w:val="1"/>
      <w:marLeft w:val="0"/>
      <w:marRight w:val="0"/>
      <w:marTop w:val="0"/>
      <w:marBottom w:val="0"/>
      <w:divBdr>
        <w:top w:val="none" w:sz="0" w:space="0" w:color="auto"/>
        <w:left w:val="none" w:sz="0" w:space="0" w:color="auto"/>
        <w:bottom w:val="none" w:sz="0" w:space="0" w:color="auto"/>
        <w:right w:val="none" w:sz="0" w:space="0" w:color="auto"/>
      </w:divBdr>
    </w:div>
    <w:div w:id="1949072541">
      <w:bodyDiv w:val="1"/>
      <w:marLeft w:val="0"/>
      <w:marRight w:val="0"/>
      <w:marTop w:val="0"/>
      <w:marBottom w:val="0"/>
      <w:divBdr>
        <w:top w:val="none" w:sz="0" w:space="0" w:color="auto"/>
        <w:left w:val="none" w:sz="0" w:space="0" w:color="auto"/>
        <w:bottom w:val="none" w:sz="0" w:space="0" w:color="auto"/>
        <w:right w:val="none" w:sz="0" w:space="0" w:color="auto"/>
      </w:divBdr>
    </w:div>
    <w:div w:id="1951084233">
      <w:bodyDiv w:val="1"/>
      <w:marLeft w:val="0"/>
      <w:marRight w:val="0"/>
      <w:marTop w:val="0"/>
      <w:marBottom w:val="0"/>
      <w:divBdr>
        <w:top w:val="none" w:sz="0" w:space="0" w:color="auto"/>
        <w:left w:val="none" w:sz="0" w:space="0" w:color="auto"/>
        <w:bottom w:val="none" w:sz="0" w:space="0" w:color="auto"/>
        <w:right w:val="none" w:sz="0" w:space="0" w:color="auto"/>
      </w:divBdr>
    </w:div>
    <w:div w:id="1981617606">
      <w:bodyDiv w:val="1"/>
      <w:marLeft w:val="0"/>
      <w:marRight w:val="0"/>
      <w:marTop w:val="0"/>
      <w:marBottom w:val="0"/>
      <w:divBdr>
        <w:top w:val="none" w:sz="0" w:space="0" w:color="auto"/>
        <w:left w:val="none" w:sz="0" w:space="0" w:color="auto"/>
        <w:bottom w:val="none" w:sz="0" w:space="0" w:color="auto"/>
        <w:right w:val="none" w:sz="0" w:space="0" w:color="auto"/>
      </w:divBdr>
    </w:div>
    <w:div w:id="1993872738">
      <w:bodyDiv w:val="1"/>
      <w:marLeft w:val="0"/>
      <w:marRight w:val="0"/>
      <w:marTop w:val="0"/>
      <w:marBottom w:val="0"/>
      <w:divBdr>
        <w:top w:val="none" w:sz="0" w:space="0" w:color="auto"/>
        <w:left w:val="none" w:sz="0" w:space="0" w:color="auto"/>
        <w:bottom w:val="none" w:sz="0" w:space="0" w:color="auto"/>
        <w:right w:val="none" w:sz="0" w:space="0" w:color="auto"/>
      </w:divBdr>
    </w:div>
    <w:div w:id="2042238928">
      <w:bodyDiv w:val="1"/>
      <w:marLeft w:val="0"/>
      <w:marRight w:val="0"/>
      <w:marTop w:val="0"/>
      <w:marBottom w:val="0"/>
      <w:divBdr>
        <w:top w:val="none" w:sz="0" w:space="0" w:color="auto"/>
        <w:left w:val="none" w:sz="0" w:space="0" w:color="auto"/>
        <w:bottom w:val="none" w:sz="0" w:space="0" w:color="auto"/>
        <w:right w:val="none" w:sz="0" w:space="0" w:color="auto"/>
      </w:divBdr>
    </w:div>
    <w:div w:id="2056468475">
      <w:bodyDiv w:val="1"/>
      <w:marLeft w:val="0"/>
      <w:marRight w:val="0"/>
      <w:marTop w:val="0"/>
      <w:marBottom w:val="0"/>
      <w:divBdr>
        <w:top w:val="none" w:sz="0" w:space="0" w:color="auto"/>
        <w:left w:val="none" w:sz="0" w:space="0" w:color="auto"/>
        <w:bottom w:val="none" w:sz="0" w:space="0" w:color="auto"/>
        <w:right w:val="none" w:sz="0" w:space="0" w:color="auto"/>
      </w:divBdr>
    </w:div>
    <w:div w:id="2105493240">
      <w:bodyDiv w:val="1"/>
      <w:marLeft w:val="0"/>
      <w:marRight w:val="0"/>
      <w:marTop w:val="0"/>
      <w:marBottom w:val="0"/>
      <w:divBdr>
        <w:top w:val="none" w:sz="0" w:space="0" w:color="auto"/>
        <w:left w:val="none" w:sz="0" w:space="0" w:color="auto"/>
        <w:bottom w:val="none" w:sz="0" w:space="0" w:color="auto"/>
        <w:right w:val="none" w:sz="0" w:space="0" w:color="auto"/>
      </w:divBdr>
    </w:div>
    <w:div w:id="2109885491">
      <w:bodyDiv w:val="1"/>
      <w:marLeft w:val="0"/>
      <w:marRight w:val="0"/>
      <w:marTop w:val="0"/>
      <w:marBottom w:val="0"/>
      <w:divBdr>
        <w:top w:val="none" w:sz="0" w:space="0" w:color="auto"/>
        <w:left w:val="none" w:sz="0" w:space="0" w:color="auto"/>
        <w:bottom w:val="none" w:sz="0" w:space="0" w:color="auto"/>
        <w:right w:val="none" w:sz="0" w:space="0" w:color="auto"/>
      </w:divBdr>
    </w:div>
    <w:div w:id="2112627009">
      <w:bodyDiv w:val="1"/>
      <w:marLeft w:val="0"/>
      <w:marRight w:val="0"/>
      <w:marTop w:val="0"/>
      <w:marBottom w:val="0"/>
      <w:divBdr>
        <w:top w:val="none" w:sz="0" w:space="0" w:color="auto"/>
        <w:left w:val="none" w:sz="0" w:space="0" w:color="auto"/>
        <w:bottom w:val="none" w:sz="0" w:space="0" w:color="auto"/>
        <w:right w:val="none" w:sz="0" w:space="0" w:color="auto"/>
      </w:divBdr>
    </w:div>
    <w:div w:id="2123455115">
      <w:bodyDiv w:val="1"/>
      <w:marLeft w:val="0"/>
      <w:marRight w:val="0"/>
      <w:marTop w:val="0"/>
      <w:marBottom w:val="0"/>
      <w:divBdr>
        <w:top w:val="none" w:sz="0" w:space="0" w:color="auto"/>
        <w:left w:val="none" w:sz="0" w:space="0" w:color="auto"/>
        <w:bottom w:val="none" w:sz="0" w:space="0" w:color="auto"/>
        <w:right w:val="none" w:sz="0" w:space="0" w:color="auto"/>
      </w:divBdr>
    </w:div>
    <w:div w:id="21368669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commission.europa.eu/document/b0b87aac-b88d-405b-bdc5-4e32f0765926_en" TargetMode="External"/><Relationship Id="rId299" Type="http://schemas.openxmlformats.org/officeDocument/2006/relationships/hyperlink" Target="https://commission.europa.eu/document/e4cbcb23-66f0-43d1-8230-6de47b62bb8b_en" TargetMode="External"/><Relationship Id="rId21" Type="http://schemas.openxmlformats.org/officeDocument/2006/relationships/hyperlink" Target="https://eur-lex.europa.eu/legal-content/EN/TXT/?uri=celex:52025PC0565R%2801%29" TargetMode="External"/><Relationship Id="rId63" Type="http://schemas.openxmlformats.org/officeDocument/2006/relationships/hyperlink" Target="https://commission.europa.eu/document/3f6405bc-f071-4e6c-a2b1-212832d588fe_en" TargetMode="External"/><Relationship Id="rId159" Type="http://schemas.openxmlformats.org/officeDocument/2006/relationships/hyperlink" Target="https://commission.europa.eu/document/0e737e3a-55fd-424e-883d-72c2d3092be1_en" TargetMode="External"/><Relationship Id="rId324" Type="http://schemas.openxmlformats.org/officeDocument/2006/relationships/hyperlink" Target="https://commission.europa.eu/document/cb87d151-e0ef-4111-b772-84bc679c55c9_en" TargetMode="External"/><Relationship Id="rId366" Type="http://schemas.openxmlformats.org/officeDocument/2006/relationships/hyperlink" Target="https://commission.europa.eu/document/c4aa0a4b-ebb0-47ca-8f73-d75d248e1470_en" TargetMode="External"/><Relationship Id="rId170" Type="http://schemas.openxmlformats.org/officeDocument/2006/relationships/hyperlink" Target="https://commission.europa.eu/document/82ce1391-cde5-49e9-9d1b-3f14f4975eb7_en" TargetMode="External"/><Relationship Id="rId226" Type="http://schemas.openxmlformats.org/officeDocument/2006/relationships/hyperlink" Target="https://commission.europa.eu/document/9c178b94-8070-4d30-84d5-1c2da7691b72_en" TargetMode="External"/><Relationship Id="rId433" Type="http://schemas.openxmlformats.org/officeDocument/2006/relationships/hyperlink" Target="https://commission.europa.eu/document/eb68862c-103b-441d-a85e-3424441f5218_en" TargetMode="External"/><Relationship Id="rId268" Type="http://schemas.openxmlformats.org/officeDocument/2006/relationships/hyperlink" Target="https://commission.europa.eu/document/1a478a70-1461-4bfc-9408-60595dff5d8c_en" TargetMode="External"/><Relationship Id="rId32" Type="http://schemas.openxmlformats.org/officeDocument/2006/relationships/hyperlink" Target="https://eur-lex.europa.eu/legal-content/EN/TXT/?uri=CELEX:52020DC0711" TargetMode="External"/><Relationship Id="rId74" Type="http://schemas.openxmlformats.org/officeDocument/2006/relationships/hyperlink" Target="https://commission.europa.eu/document/c4aa0a4b-ebb0-47ca-8f73-d75d248e1470_en" TargetMode="External"/><Relationship Id="rId128" Type="http://schemas.openxmlformats.org/officeDocument/2006/relationships/hyperlink" Target="https://commission.europa.eu/document/82ce1391-cde5-49e9-9d1b-3f14f4975eb7_en" TargetMode="External"/><Relationship Id="rId335" Type="http://schemas.openxmlformats.org/officeDocument/2006/relationships/hyperlink" Target="https://commission.europa.eu/document/e4cbcb23-66f0-43d1-8230-6de47b62bb8b_en" TargetMode="External"/><Relationship Id="rId377" Type="http://schemas.openxmlformats.org/officeDocument/2006/relationships/hyperlink" Target="https://commission.europa.eu/document/e6577383-66c2-48d2-8a2e-d029d254a4ec_en" TargetMode="External"/><Relationship Id="rId5" Type="http://schemas.openxmlformats.org/officeDocument/2006/relationships/numbering" Target="numbering.xml"/><Relationship Id="rId181" Type="http://schemas.openxmlformats.org/officeDocument/2006/relationships/hyperlink" Target="https://commission.europa.eu/document/3aab2482-4772-4579-bdf0-03f5a93a5a95_en" TargetMode="External"/><Relationship Id="rId237" Type="http://schemas.openxmlformats.org/officeDocument/2006/relationships/hyperlink" Target="https://commission.europa.eu/document/ead2f649-cf9d-48d0-b748-f0e797fd5dbf_en" TargetMode="External"/><Relationship Id="rId402" Type="http://schemas.openxmlformats.org/officeDocument/2006/relationships/hyperlink" Target="https://commission.europa.eu/document/9c3333e5-5ede-4917-8524-cbeea2f9f17d_en" TargetMode="External"/><Relationship Id="rId279" Type="http://schemas.openxmlformats.org/officeDocument/2006/relationships/hyperlink" Target="https://commission.europa.eu/document/ead2f649-cf9d-48d0-b748-f0e797fd5dbf_en" TargetMode="External"/><Relationship Id="rId444" Type="http://schemas.openxmlformats.org/officeDocument/2006/relationships/footer" Target="footer5.xml"/><Relationship Id="rId43" Type="http://schemas.openxmlformats.org/officeDocument/2006/relationships/hyperlink" Target="https://commission.europa.eu/document/75aa718d-b028-4d2b-a286-e07f3ad3b02f_en" TargetMode="External"/><Relationship Id="rId139" Type="http://schemas.openxmlformats.org/officeDocument/2006/relationships/hyperlink" Target="https://commission.europa.eu/document/0e737e3a-55fd-424e-883d-72c2d3092be1_en" TargetMode="External"/><Relationship Id="rId290" Type="http://schemas.openxmlformats.org/officeDocument/2006/relationships/hyperlink" Target="https://commission.europa.eu/document/9c3333e5-5ede-4917-8524-cbeea2f9f17d_en" TargetMode="External"/><Relationship Id="rId304" Type="http://schemas.openxmlformats.org/officeDocument/2006/relationships/hyperlink" Target="https://commission.europa.eu/document/a85449a7-4195-496f-adbb-a217f611451a_en" TargetMode="External"/><Relationship Id="rId346" Type="http://schemas.openxmlformats.org/officeDocument/2006/relationships/hyperlink" Target="https://commission.europa.eu/document/491770ba-4104-4367-8099-878ce1e3b034_en" TargetMode="External"/><Relationship Id="rId388" Type="http://schemas.openxmlformats.org/officeDocument/2006/relationships/hyperlink" Target="https://commission.europa.eu/document/c4aa0a4b-ebb0-47ca-8f73-d75d248e1470_en" TargetMode="External"/><Relationship Id="rId85" Type="http://schemas.openxmlformats.org/officeDocument/2006/relationships/hyperlink" Target="https://commission.europa.eu/document/e4cbcb23-66f0-43d1-8230-6de47b62bb8b_en" TargetMode="External"/><Relationship Id="rId150" Type="http://schemas.openxmlformats.org/officeDocument/2006/relationships/hyperlink" Target="https://commission.europa.eu/document/3f6405bc-f071-4e6c-a2b1-212832d588fe_en" TargetMode="External"/><Relationship Id="rId192" Type="http://schemas.openxmlformats.org/officeDocument/2006/relationships/hyperlink" Target="https://commission.europa.eu/document/88318b79-b6d9-4e2e-a5ca-160217594e45_en" TargetMode="External"/><Relationship Id="rId206" Type="http://schemas.openxmlformats.org/officeDocument/2006/relationships/hyperlink" Target="https://commission.europa.eu/document/3aab2482-4772-4579-bdf0-03f5a93a5a95_en" TargetMode="External"/><Relationship Id="rId413" Type="http://schemas.openxmlformats.org/officeDocument/2006/relationships/hyperlink" Target="https://commission.europa.eu/document/399e00c0-68ef-43f0-adaf-4fcaadec803e_en" TargetMode="External"/><Relationship Id="rId248" Type="http://schemas.openxmlformats.org/officeDocument/2006/relationships/hyperlink" Target="https://commission.europa.eu/document/5d8ff0c0-c2a7-413d-b35e-afe42dc98311_en" TargetMode="External"/><Relationship Id="rId12" Type="http://schemas.openxmlformats.org/officeDocument/2006/relationships/header" Target="header1.xml"/><Relationship Id="rId108" Type="http://schemas.openxmlformats.org/officeDocument/2006/relationships/hyperlink" Target="https://commission.europa.eu/document/f62ae9c3-a2d6-4da5-b70a-43397c30fc36_en" TargetMode="External"/><Relationship Id="rId315" Type="http://schemas.openxmlformats.org/officeDocument/2006/relationships/hyperlink" Target="https://commission.europa.eu/document/e4cbcb23-66f0-43d1-8230-6de47b62bb8b_en" TargetMode="External"/><Relationship Id="rId357" Type="http://schemas.openxmlformats.org/officeDocument/2006/relationships/hyperlink" Target="https://commission.europa.eu/document/c4aa0a4b-ebb0-47ca-8f73-d75d248e1470_en" TargetMode="External"/><Relationship Id="rId54" Type="http://schemas.openxmlformats.org/officeDocument/2006/relationships/hyperlink" Target="https://commission.europa.eu/document/e4cbcb23-66f0-43d1-8230-6de47b62bb8b_en" TargetMode="External"/><Relationship Id="rId75" Type="http://schemas.openxmlformats.org/officeDocument/2006/relationships/hyperlink" Target="https://commission.europa.eu/document/b0b87aac-b88d-405b-bdc5-4e32f0765926_en" TargetMode="External"/><Relationship Id="rId96" Type="http://schemas.openxmlformats.org/officeDocument/2006/relationships/hyperlink" Target="https://commission.europa.eu/document/f62ae9c3-a2d6-4da5-b70a-43397c30fc36_en" TargetMode="External"/><Relationship Id="rId140" Type="http://schemas.openxmlformats.org/officeDocument/2006/relationships/hyperlink" Target="https://commission.europa.eu/document/82ce1391-cde5-49e9-9d1b-3f14f4975eb7_en" TargetMode="External"/><Relationship Id="rId161" Type="http://schemas.openxmlformats.org/officeDocument/2006/relationships/hyperlink" Target="https://commission.europa.eu/document/3f6405bc-f071-4e6c-a2b1-212832d588fe_en" TargetMode="External"/><Relationship Id="rId182" Type="http://schemas.openxmlformats.org/officeDocument/2006/relationships/hyperlink" Target="https://commission.europa.eu/document/e6577383-66c2-48d2-8a2e-d029d254a4ec_en" TargetMode="External"/><Relationship Id="rId217" Type="http://schemas.openxmlformats.org/officeDocument/2006/relationships/hyperlink" Target="https://commission.europa.eu/document/dd8a5789-9309-4de1-ba0e-fe0d9118e7a6_en" TargetMode="External"/><Relationship Id="rId378" Type="http://schemas.openxmlformats.org/officeDocument/2006/relationships/hyperlink" Target="https://commission.europa.eu/document/491770ba-4104-4367-8099-878ce1e3b034_en" TargetMode="External"/><Relationship Id="rId399" Type="http://schemas.openxmlformats.org/officeDocument/2006/relationships/hyperlink" Target="https://commission.europa.eu/document/0e737e3a-55fd-424e-883d-72c2d3092be1_en" TargetMode="External"/><Relationship Id="rId403" Type="http://schemas.openxmlformats.org/officeDocument/2006/relationships/hyperlink" Target="https://commission.europa.eu/document/ead2f649-cf9d-48d0-b748-f0e797fd5dbf_en" TargetMode="External"/><Relationship Id="rId6" Type="http://schemas.openxmlformats.org/officeDocument/2006/relationships/styles" Target="styles.xml"/><Relationship Id="rId238" Type="http://schemas.openxmlformats.org/officeDocument/2006/relationships/hyperlink" Target="https://commission.europa.eu/document/cb87d151-e0ef-4111-b772-84bc679c55c9_en" TargetMode="External"/><Relationship Id="rId259" Type="http://schemas.openxmlformats.org/officeDocument/2006/relationships/hyperlink" Target="https://commission.europa.eu/document/e6577383-66c2-48d2-8a2e-d029d254a4ec_en" TargetMode="External"/><Relationship Id="rId424" Type="http://schemas.openxmlformats.org/officeDocument/2006/relationships/hyperlink" Target="https://commission.europa.eu/document/019229a1-8c23-4f90-bfe4-f842cd59c6a9_en" TargetMode="External"/><Relationship Id="rId445" Type="http://schemas.openxmlformats.org/officeDocument/2006/relationships/header" Target="header6.xml"/><Relationship Id="rId23" Type="http://schemas.openxmlformats.org/officeDocument/2006/relationships/hyperlink" Target="https://eur-lex.europa.eu/legal-content/EN/TXT/?uri=CELEX%3A52025PC0550" TargetMode="External"/><Relationship Id="rId119" Type="http://schemas.openxmlformats.org/officeDocument/2006/relationships/hyperlink" Target="https://commission.europa.eu/document/491770ba-4104-4367-8099-878ce1e3b034_en" TargetMode="External"/><Relationship Id="rId270" Type="http://schemas.openxmlformats.org/officeDocument/2006/relationships/hyperlink" Target="https://commission.europa.eu/document/b0b87aac-b88d-405b-bdc5-4e32f0765926_en" TargetMode="External"/><Relationship Id="rId291" Type="http://schemas.openxmlformats.org/officeDocument/2006/relationships/hyperlink" Target="https://commission.europa.eu/document/3e6bdff0-cfa7-4c9c-8497-f37286427e7b_en" TargetMode="External"/><Relationship Id="rId305" Type="http://schemas.openxmlformats.org/officeDocument/2006/relationships/hyperlink" Target="https://commission.europa.eu/document/0e737e3a-55fd-424e-883d-72c2d3092be1_en" TargetMode="External"/><Relationship Id="rId326" Type="http://schemas.openxmlformats.org/officeDocument/2006/relationships/hyperlink" Target="https://commission.europa.eu/document/e5772fb0-6b70-4b1c-b54c-def1c42363f0_en" TargetMode="External"/><Relationship Id="rId347" Type="http://schemas.openxmlformats.org/officeDocument/2006/relationships/hyperlink" Target="https://commission.europa.eu/document/5d8ff0c0-c2a7-413d-b35e-afe42dc98311_en" TargetMode="External"/><Relationship Id="rId44" Type="http://schemas.openxmlformats.org/officeDocument/2006/relationships/hyperlink" Target="https://commission.europa.eu/document/ead2f649-cf9d-48d0-b748-f0e797fd5dbf_en" TargetMode="External"/><Relationship Id="rId65" Type="http://schemas.openxmlformats.org/officeDocument/2006/relationships/hyperlink" Target="https://commission.europa.eu/document/b0b87aac-b88d-405b-bdc5-4e32f0765926_en" TargetMode="External"/><Relationship Id="rId86" Type="http://schemas.openxmlformats.org/officeDocument/2006/relationships/hyperlink" Target="https://commission.europa.eu/document/5d8ff0c0-c2a7-413d-b35e-afe42dc98311_en" TargetMode="External"/><Relationship Id="rId130" Type="http://schemas.openxmlformats.org/officeDocument/2006/relationships/hyperlink" Target="https://commission.europa.eu/document/82ce1391-cde5-49e9-9d1b-3f14f4975eb7_en" TargetMode="External"/><Relationship Id="rId151" Type="http://schemas.openxmlformats.org/officeDocument/2006/relationships/hyperlink" Target="https://commission.europa.eu/document/10b34393-adeb-40d8-a18d-a94813fe7001_en" TargetMode="External"/><Relationship Id="rId368" Type="http://schemas.openxmlformats.org/officeDocument/2006/relationships/hyperlink" Target="https://commission.europa.eu/document/3aab2482-4772-4579-bdf0-03f5a93a5a95_en" TargetMode="External"/><Relationship Id="rId389" Type="http://schemas.openxmlformats.org/officeDocument/2006/relationships/hyperlink" Target="https://commission.europa.eu/document/b0b87aac-b88d-405b-bdc5-4e32f0765926_en" TargetMode="External"/><Relationship Id="rId172" Type="http://schemas.openxmlformats.org/officeDocument/2006/relationships/hyperlink" Target="https://commission.europa.eu/document/3f6405bc-f071-4e6c-a2b1-212832d588fe_en" TargetMode="External"/><Relationship Id="rId193" Type="http://schemas.openxmlformats.org/officeDocument/2006/relationships/hyperlink" Target="https://commission.europa.eu/document/491770ba-4104-4367-8099-878ce1e3b034_en" TargetMode="External"/><Relationship Id="rId207" Type="http://schemas.openxmlformats.org/officeDocument/2006/relationships/hyperlink" Target="https://commission.europa.eu/document/b0b87aac-b88d-405b-bdc5-4e32f0765926_en" TargetMode="External"/><Relationship Id="rId228" Type="http://schemas.openxmlformats.org/officeDocument/2006/relationships/hyperlink" Target="https://commission.europa.eu/document/10b34393-adeb-40d8-a18d-a94813fe7001_en" TargetMode="External"/><Relationship Id="rId249" Type="http://schemas.openxmlformats.org/officeDocument/2006/relationships/hyperlink" Target="https://commission.europa.eu/document/24a9b587-6e2a-4078-b58d-65dabd1233b4_en" TargetMode="External"/><Relationship Id="rId414" Type="http://schemas.openxmlformats.org/officeDocument/2006/relationships/hyperlink" Target="https://commission.europa.eu/document/9c178b94-8070-4d30-84d5-1c2da7691b72_en" TargetMode="External"/><Relationship Id="rId435" Type="http://schemas.openxmlformats.org/officeDocument/2006/relationships/hyperlink" Target="https://commission.europa.eu/document/ead2f649-cf9d-48d0-b748-f0e797fd5dbf_en" TargetMode="External"/><Relationship Id="rId13" Type="http://schemas.openxmlformats.org/officeDocument/2006/relationships/header" Target="header2.xml"/><Relationship Id="rId109" Type="http://schemas.openxmlformats.org/officeDocument/2006/relationships/hyperlink" Target="https://commission.europa.eu/document/eb68862c-103b-441d-a85e-3424441f5218_en" TargetMode="External"/><Relationship Id="rId260" Type="http://schemas.openxmlformats.org/officeDocument/2006/relationships/hyperlink" Target="https://commission.europa.eu/document/d4e669ba-d722-4fbe-b5dc-efec5e27cbe0_en" TargetMode="External"/><Relationship Id="rId281" Type="http://schemas.openxmlformats.org/officeDocument/2006/relationships/hyperlink" Target="https://commission.europa.eu/document/82ce1391-cde5-49e9-9d1b-3f14f4975eb7_en" TargetMode="External"/><Relationship Id="rId316" Type="http://schemas.openxmlformats.org/officeDocument/2006/relationships/hyperlink" Target="https://commission.europa.eu/document/eb68862c-103b-441d-a85e-3424441f5218_en" TargetMode="External"/><Relationship Id="rId337" Type="http://schemas.openxmlformats.org/officeDocument/2006/relationships/hyperlink" Target="https://commission.europa.eu/document/cb87d151-e0ef-4111-b772-84bc679c55c9_en" TargetMode="External"/><Relationship Id="rId34" Type="http://schemas.openxmlformats.org/officeDocument/2006/relationships/hyperlink" Target="https://commission.europa.eu/protect-what-matters-our-democracy_en" TargetMode="External"/><Relationship Id="rId55" Type="http://schemas.openxmlformats.org/officeDocument/2006/relationships/hyperlink" Target="https://commission.europa.eu/document/88318b79-b6d9-4e2e-a5ca-160217594e45_en" TargetMode="External"/><Relationship Id="rId76" Type="http://schemas.openxmlformats.org/officeDocument/2006/relationships/hyperlink" Target="https://commission.europa.eu/document/1a478a70-1461-4bfc-9408-60595dff5d8c_en" TargetMode="External"/><Relationship Id="rId97" Type="http://schemas.openxmlformats.org/officeDocument/2006/relationships/hyperlink" Target="https://commission.europa.eu/document/3e6bdff0-cfa7-4c9c-8497-f37286427e7b_en" TargetMode="External"/><Relationship Id="rId120" Type="http://schemas.openxmlformats.org/officeDocument/2006/relationships/hyperlink" Target="https://commission.europa.eu/document/cb87d151-e0ef-4111-b772-84bc679c55c9_en" TargetMode="External"/><Relationship Id="rId141" Type="http://schemas.openxmlformats.org/officeDocument/2006/relationships/hyperlink" Target="https://commission.europa.eu/document/d4e669ba-d722-4fbe-b5dc-efec5e27cbe0_en" TargetMode="External"/><Relationship Id="rId358" Type="http://schemas.openxmlformats.org/officeDocument/2006/relationships/hyperlink" Target="https://commission.europa.eu/document/b0b87aac-b88d-405b-bdc5-4e32f0765926_en" TargetMode="External"/><Relationship Id="rId379" Type="http://schemas.openxmlformats.org/officeDocument/2006/relationships/hyperlink" Target="https://commission.europa.eu/document/0e737e3a-55fd-424e-883d-72c2d3092be1_en" TargetMode="External"/><Relationship Id="rId7" Type="http://schemas.openxmlformats.org/officeDocument/2006/relationships/settings" Target="settings.xml"/><Relationship Id="rId162" Type="http://schemas.openxmlformats.org/officeDocument/2006/relationships/hyperlink" Target="https://commission.europa.eu/document/c4aa0a4b-ebb0-47ca-8f73-d75d248e1470_en" TargetMode="External"/><Relationship Id="rId183" Type="http://schemas.openxmlformats.org/officeDocument/2006/relationships/hyperlink" Target="https://commission.europa.eu/document/593831c4-dde6-4443-89a1-fb81da85dd25_en" TargetMode="External"/><Relationship Id="rId218" Type="http://schemas.openxmlformats.org/officeDocument/2006/relationships/hyperlink" Target="https://commission.europa.eu/document/9c3333e5-5ede-4917-8524-cbeea2f9f17d_en" TargetMode="External"/><Relationship Id="rId239" Type="http://schemas.openxmlformats.org/officeDocument/2006/relationships/hyperlink" Target="https://commission.europa.eu/document/eb68862c-103b-441d-a85e-3424441f5218_en" TargetMode="External"/><Relationship Id="rId390" Type="http://schemas.openxmlformats.org/officeDocument/2006/relationships/hyperlink" Target="https://commission.europa.eu/document/eb68862c-103b-441d-a85e-3424441f5218_en" TargetMode="External"/><Relationship Id="rId404" Type="http://schemas.openxmlformats.org/officeDocument/2006/relationships/hyperlink" Target="https://commission.europa.eu/document/417a722f-93b6-4682-a52b-f08b80747e31_en" TargetMode="External"/><Relationship Id="rId425" Type="http://schemas.openxmlformats.org/officeDocument/2006/relationships/hyperlink" Target="https://commission.europa.eu/document/dd8a5789-9309-4de1-ba0e-fe0d9118e7a6_en" TargetMode="External"/><Relationship Id="rId446" Type="http://schemas.openxmlformats.org/officeDocument/2006/relationships/footer" Target="footer6.xml"/><Relationship Id="rId250" Type="http://schemas.openxmlformats.org/officeDocument/2006/relationships/hyperlink" Target="https://commission.europa.eu/document/dd8a5789-9309-4de1-ba0e-fe0d9118e7a6_en" TargetMode="External"/><Relationship Id="rId271" Type="http://schemas.openxmlformats.org/officeDocument/2006/relationships/hyperlink" Target="https://commission.europa.eu/document/f62ae9c3-a2d6-4da5-b70a-43397c30fc36_en" TargetMode="External"/><Relationship Id="rId292" Type="http://schemas.openxmlformats.org/officeDocument/2006/relationships/hyperlink" Target="https://commission.europa.eu/document/eb68862c-103b-441d-a85e-3424441f5218_en" TargetMode="External"/><Relationship Id="rId306" Type="http://schemas.openxmlformats.org/officeDocument/2006/relationships/hyperlink" Target="https://commission.europa.eu/document/88318b79-b6d9-4e2e-a5ca-160217594e45_en" TargetMode="External"/><Relationship Id="rId24" Type="http://schemas.openxmlformats.org/officeDocument/2006/relationships/hyperlink" Target="https://eur-lex.europa.eu/eli/reg/2024/1083/oj/eng" TargetMode="External"/><Relationship Id="rId45" Type="http://schemas.openxmlformats.org/officeDocument/2006/relationships/hyperlink" Target="https://commission.europa.eu/document/f62ae9c3-a2d6-4da5-b70a-43397c30fc36_en" TargetMode="External"/><Relationship Id="rId66" Type="http://schemas.openxmlformats.org/officeDocument/2006/relationships/hyperlink" Target="https://commission.europa.eu/document/417a722f-93b6-4682-a52b-f08b80747e31_en" TargetMode="External"/><Relationship Id="rId87" Type="http://schemas.openxmlformats.org/officeDocument/2006/relationships/hyperlink" Target="https://commission.europa.eu/document/0e737e3a-55fd-424e-883d-72c2d3092be1_en" TargetMode="External"/><Relationship Id="rId110" Type="http://schemas.openxmlformats.org/officeDocument/2006/relationships/hyperlink" Target="https://commission.europa.eu/document/82ce1391-cde5-49e9-9d1b-3f14f4975eb7_en" TargetMode="External"/><Relationship Id="rId131" Type="http://schemas.openxmlformats.org/officeDocument/2006/relationships/hyperlink" Target="https://commission.europa.eu/document/417a722f-93b6-4682-a52b-f08b80747e31_en" TargetMode="External"/><Relationship Id="rId327" Type="http://schemas.openxmlformats.org/officeDocument/2006/relationships/hyperlink" Target="https://commission.europa.eu/document/3e6bdff0-cfa7-4c9c-8497-f37286427e7b_en" TargetMode="External"/><Relationship Id="rId348" Type="http://schemas.openxmlformats.org/officeDocument/2006/relationships/hyperlink" Target="https://commission.europa.eu/document/88318b79-b6d9-4e2e-a5ca-160217594e45_en" TargetMode="External"/><Relationship Id="rId369" Type="http://schemas.openxmlformats.org/officeDocument/2006/relationships/hyperlink" Target="https://commission.europa.eu/document/019229a1-8c23-4f90-bfe4-f842cd59c6a9_en" TargetMode="External"/><Relationship Id="rId152" Type="http://schemas.openxmlformats.org/officeDocument/2006/relationships/hyperlink" Target="https://commission.europa.eu/document/b0b87aac-b88d-405b-bdc5-4e32f0765926_en" TargetMode="External"/><Relationship Id="rId173" Type="http://schemas.openxmlformats.org/officeDocument/2006/relationships/hyperlink" Target="https://commission.europa.eu/document/1a478a70-1461-4bfc-9408-60595dff5d8c_en" TargetMode="External"/><Relationship Id="rId194" Type="http://schemas.openxmlformats.org/officeDocument/2006/relationships/hyperlink" Target="https://commission.europa.eu/document/a85449a7-4195-496f-adbb-a217f611451a_en" TargetMode="External"/><Relationship Id="rId208" Type="http://schemas.openxmlformats.org/officeDocument/2006/relationships/hyperlink" Target="https://commission.europa.eu/document/9c3333e5-5ede-4917-8524-cbeea2f9f17d_en" TargetMode="External"/><Relationship Id="rId229" Type="http://schemas.openxmlformats.org/officeDocument/2006/relationships/hyperlink" Target="https://commission.europa.eu/document/b0b87aac-b88d-405b-bdc5-4e32f0765926_en" TargetMode="External"/><Relationship Id="rId380" Type="http://schemas.openxmlformats.org/officeDocument/2006/relationships/hyperlink" Target="https://commission.europa.eu/document/1a478a70-1461-4bfc-9408-60595dff5d8c_en" TargetMode="External"/><Relationship Id="rId415" Type="http://schemas.openxmlformats.org/officeDocument/2006/relationships/hyperlink" Target="https://commission.europa.eu/document/5d8ff0c0-c2a7-413d-b35e-afe42dc98311_en" TargetMode="External"/><Relationship Id="rId436" Type="http://schemas.openxmlformats.org/officeDocument/2006/relationships/hyperlink" Target="https://commission.europa.eu/document/e6577383-66c2-48d2-8a2e-d029d254a4ec_en" TargetMode="External"/><Relationship Id="rId240" Type="http://schemas.openxmlformats.org/officeDocument/2006/relationships/hyperlink" Target="https://commission.europa.eu/document/9c3333e5-5ede-4917-8524-cbeea2f9f17d_en" TargetMode="External"/><Relationship Id="rId261" Type="http://schemas.openxmlformats.org/officeDocument/2006/relationships/hyperlink" Target="https://commission.europa.eu/document/399e00c0-68ef-43f0-adaf-4fcaadec803e_en" TargetMode="External"/><Relationship Id="rId14" Type="http://schemas.openxmlformats.org/officeDocument/2006/relationships/footer" Target="footer1.xml"/><Relationship Id="rId35" Type="http://schemas.openxmlformats.org/officeDocument/2006/relationships/hyperlink" Target="https://eur-lex.europa.eu/legal-content/EN/TXT/?uri=celex:52025PC0551" TargetMode="External"/><Relationship Id="rId56" Type="http://schemas.openxmlformats.org/officeDocument/2006/relationships/hyperlink" Target="https://commission.europa.eu/document/eb68862c-103b-441d-a85e-3424441f5218_en" TargetMode="External"/><Relationship Id="rId77" Type="http://schemas.openxmlformats.org/officeDocument/2006/relationships/hyperlink" Target="https://commission.europa.eu/document/399e00c0-68ef-43f0-adaf-4fcaadec803e_en" TargetMode="External"/><Relationship Id="rId100" Type="http://schemas.openxmlformats.org/officeDocument/2006/relationships/hyperlink" Target="https://commission.europa.eu/document/9c178b94-8070-4d30-84d5-1c2da7691b72_en" TargetMode="External"/><Relationship Id="rId282" Type="http://schemas.openxmlformats.org/officeDocument/2006/relationships/hyperlink" Target="https://commission.europa.eu/document/1a478a70-1461-4bfc-9408-60595dff5d8c_en" TargetMode="External"/><Relationship Id="rId317" Type="http://schemas.openxmlformats.org/officeDocument/2006/relationships/hyperlink" Target="https://commission.europa.eu/document/9c178b94-8070-4d30-84d5-1c2da7691b72_en" TargetMode="External"/><Relationship Id="rId338" Type="http://schemas.openxmlformats.org/officeDocument/2006/relationships/hyperlink" Target="https://commission.europa.eu/document/9c178b94-8070-4d30-84d5-1c2da7691b72_en" TargetMode="External"/><Relationship Id="rId359" Type="http://schemas.openxmlformats.org/officeDocument/2006/relationships/hyperlink" Target="https://commission.europa.eu/document/cb87d151-e0ef-4111-b772-84bc679c55c9_en" TargetMode="External"/><Relationship Id="rId8" Type="http://schemas.openxmlformats.org/officeDocument/2006/relationships/webSettings" Target="webSettings.xml"/><Relationship Id="rId98" Type="http://schemas.openxmlformats.org/officeDocument/2006/relationships/hyperlink" Target="https://commission.europa.eu/document/019229a1-8c23-4f90-bfe4-f842cd59c6a9_en" TargetMode="External"/><Relationship Id="rId121" Type="http://schemas.openxmlformats.org/officeDocument/2006/relationships/hyperlink" Target="https://commission.europa.eu/document/9c3333e5-5ede-4917-8524-cbeea2f9f17d_en" TargetMode="External"/><Relationship Id="rId142" Type="http://schemas.openxmlformats.org/officeDocument/2006/relationships/hyperlink" Target="https://commission.europa.eu/document/ead2f649-cf9d-48d0-b748-f0e797fd5dbf_en" TargetMode="External"/><Relationship Id="rId163" Type="http://schemas.openxmlformats.org/officeDocument/2006/relationships/hyperlink" Target="https://commission.europa.eu/document/10b34393-adeb-40d8-a18d-a94813fe7001_en" TargetMode="External"/><Relationship Id="rId184" Type="http://schemas.openxmlformats.org/officeDocument/2006/relationships/hyperlink" Target="https://commission.europa.eu/document/dd8a5789-9309-4de1-ba0e-fe0d9118e7a6_en" TargetMode="External"/><Relationship Id="rId219" Type="http://schemas.openxmlformats.org/officeDocument/2006/relationships/hyperlink" Target="https://commission.europa.eu/document/75aa718d-b028-4d2b-a286-e07f3ad3b02f_en" TargetMode="External"/><Relationship Id="rId370" Type="http://schemas.openxmlformats.org/officeDocument/2006/relationships/hyperlink" Target="https://commission.europa.eu/document/d4e669ba-d722-4fbe-b5dc-efec5e27cbe0_en" TargetMode="External"/><Relationship Id="rId391" Type="http://schemas.openxmlformats.org/officeDocument/2006/relationships/hyperlink" Target="https://commission.europa.eu/document/019229a1-8c23-4f90-bfe4-f842cd59c6a9_en" TargetMode="External"/><Relationship Id="rId405" Type="http://schemas.openxmlformats.org/officeDocument/2006/relationships/hyperlink" Target="https://commission.europa.eu/document/eb68862c-103b-441d-a85e-3424441f5218_en" TargetMode="External"/><Relationship Id="rId426" Type="http://schemas.openxmlformats.org/officeDocument/2006/relationships/hyperlink" Target="https://commission.europa.eu/document/d4e669ba-d722-4fbe-b5dc-efec5e27cbe0_en" TargetMode="External"/><Relationship Id="rId447" Type="http://schemas.openxmlformats.org/officeDocument/2006/relationships/fontTable" Target="fontTable.xml"/><Relationship Id="rId230" Type="http://schemas.openxmlformats.org/officeDocument/2006/relationships/hyperlink" Target="https://eur-lex.europa.eu/eli/dir/2018/1808/oj/eng" TargetMode="External"/><Relationship Id="rId251" Type="http://schemas.openxmlformats.org/officeDocument/2006/relationships/hyperlink" Target="https://commission.europa.eu/document/d4e669ba-d722-4fbe-b5dc-efec5e27cbe0_en" TargetMode="External"/><Relationship Id="rId25" Type="http://schemas.openxmlformats.org/officeDocument/2006/relationships/hyperlink" Target="https://eur-lex.europa.eu/eli/dir/2024/1069/oj/eng" TargetMode="External"/><Relationship Id="rId46" Type="http://schemas.openxmlformats.org/officeDocument/2006/relationships/hyperlink" Target="https://commission.europa.eu/document/417a722f-93b6-4682-a52b-f08b80747e31_en" TargetMode="External"/><Relationship Id="rId67" Type="http://schemas.openxmlformats.org/officeDocument/2006/relationships/hyperlink" Target="https://commission.europa.eu/document/82ce1391-cde5-49e9-9d1b-3f14f4975eb7_en" TargetMode="External"/><Relationship Id="rId272" Type="http://schemas.openxmlformats.org/officeDocument/2006/relationships/hyperlink" Target="https://commission.europa.eu/document/88318b79-b6d9-4e2e-a5ca-160217594e45_en" TargetMode="External"/><Relationship Id="rId293" Type="http://schemas.openxmlformats.org/officeDocument/2006/relationships/hyperlink" Target="https://commission.europa.eu/document/d4e669ba-d722-4fbe-b5dc-efec5e27cbe0_en" TargetMode="External"/><Relationship Id="rId307" Type="http://schemas.openxmlformats.org/officeDocument/2006/relationships/hyperlink" Target="https://commission.europa.eu/document/1a478a70-1461-4bfc-9408-60595dff5d8c_en" TargetMode="External"/><Relationship Id="rId328" Type="http://schemas.openxmlformats.org/officeDocument/2006/relationships/hyperlink" Target="https://commission.europa.eu/document/eb68862c-103b-441d-a85e-3424441f5218_en" TargetMode="External"/><Relationship Id="rId349" Type="http://schemas.openxmlformats.org/officeDocument/2006/relationships/hyperlink" Target="https://commission.europa.eu/document/a85449a7-4195-496f-adbb-a217f611451a_en" TargetMode="External"/><Relationship Id="rId88" Type="http://schemas.openxmlformats.org/officeDocument/2006/relationships/hyperlink" Target="https://commission.europa.eu/document/ead2f649-cf9d-48d0-b748-f0e797fd5dbf_en" TargetMode="External"/><Relationship Id="rId111" Type="http://schemas.openxmlformats.org/officeDocument/2006/relationships/hyperlink" Target="https://commission.europa.eu/document/e6577383-66c2-48d2-8a2e-d029d254a4ec_en" TargetMode="External"/><Relationship Id="rId132" Type="http://schemas.openxmlformats.org/officeDocument/2006/relationships/hyperlink" Target="https://commission.europa.eu/document/88318b79-b6d9-4e2e-a5ca-160217594e45_en" TargetMode="External"/><Relationship Id="rId153" Type="http://schemas.openxmlformats.org/officeDocument/2006/relationships/hyperlink" Target="https://commission.europa.eu/document/e6577383-66c2-48d2-8a2e-d029d254a4ec_en" TargetMode="External"/><Relationship Id="rId174" Type="http://schemas.openxmlformats.org/officeDocument/2006/relationships/hyperlink" Target="https://commission.europa.eu/document/d4e669ba-d722-4fbe-b5dc-efec5e27cbe0_en" TargetMode="External"/><Relationship Id="rId195" Type="http://schemas.openxmlformats.org/officeDocument/2006/relationships/hyperlink" Target="https://commission.europa.eu/document/3aab2482-4772-4579-bdf0-03f5a93a5a95_en" TargetMode="External"/><Relationship Id="rId209" Type="http://schemas.openxmlformats.org/officeDocument/2006/relationships/hyperlink" Target="https://commission.europa.eu/document/6f4cd94b-e554-4b60-8f90-54c0b79606a3_en" TargetMode="External"/><Relationship Id="rId360" Type="http://schemas.openxmlformats.org/officeDocument/2006/relationships/hyperlink" Target="https://commission.europa.eu/document/10b34393-adeb-40d8-a18d-a94813fe7001_en" TargetMode="External"/><Relationship Id="rId381" Type="http://schemas.openxmlformats.org/officeDocument/2006/relationships/hyperlink" Target="https://commission.europa.eu/document/3e6bdff0-cfa7-4c9c-8497-f37286427e7b_en" TargetMode="External"/><Relationship Id="rId416" Type="http://schemas.openxmlformats.org/officeDocument/2006/relationships/hyperlink" Target="https://commission.europa.eu/document/eb68862c-103b-441d-a85e-3424441f5218_en" TargetMode="External"/><Relationship Id="rId220" Type="http://schemas.openxmlformats.org/officeDocument/2006/relationships/hyperlink" Target="https://commission.europa.eu/document/3f6405bc-f071-4e6c-a2b1-212832d588fe_en" TargetMode="External"/><Relationship Id="rId241" Type="http://schemas.openxmlformats.org/officeDocument/2006/relationships/hyperlink" Target="https://commission.europa.eu/document/f62ae9c3-a2d6-4da5-b70a-43397c30fc36_en" TargetMode="External"/><Relationship Id="rId437" Type="http://schemas.openxmlformats.org/officeDocument/2006/relationships/hyperlink" Target="https://commission.europa.eu/document/019229a1-8c23-4f90-bfe4-f842cd59c6a9_en" TargetMode="External"/><Relationship Id="rId15" Type="http://schemas.openxmlformats.org/officeDocument/2006/relationships/footer" Target="footer2.xml"/><Relationship Id="rId36" Type="http://schemas.openxmlformats.org/officeDocument/2006/relationships/hyperlink" Target="https://commission.europa.eu/document/5615c846-9e85-4dd2-9184-cda947c4d3e9_en" TargetMode="External"/><Relationship Id="rId57" Type="http://schemas.openxmlformats.org/officeDocument/2006/relationships/hyperlink" Target="https://commission.europa.eu/document/399e00c0-68ef-43f0-adaf-4fcaadec803e_en" TargetMode="External"/><Relationship Id="rId262" Type="http://schemas.openxmlformats.org/officeDocument/2006/relationships/hyperlink" Target="https://commission.europa.eu/document/417a722f-93b6-4682-a52b-f08b80747e31_en" TargetMode="External"/><Relationship Id="rId283" Type="http://schemas.openxmlformats.org/officeDocument/2006/relationships/hyperlink" Target="https://commission.europa.eu/document/e5772fb0-6b70-4b1c-b54c-def1c42363f0_en" TargetMode="External"/><Relationship Id="rId318" Type="http://schemas.openxmlformats.org/officeDocument/2006/relationships/hyperlink" Target="https://commission.europa.eu/document/9c3333e5-5ede-4917-8524-cbeea2f9f17d_en" TargetMode="External"/><Relationship Id="rId339" Type="http://schemas.openxmlformats.org/officeDocument/2006/relationships/hyperlink" Target="https://commission.europa.eu/document/e6577383-66c2-48d2-8a2e-d029d254a4ec_en" TargetMode="External"/><Relationship Id="rId78" Type="http://schemas.openxmlformats.org/officeDocument/2006/relationships/hyperlink" Target="https://commission.europa.eu/document/3aab2482-4772-4579-bdf0-03f5a93a5a95_en" TargetMode="External"/><Relationship Id="rId99" Type="http://schemas.openxmlformats.org/officeDocument/2006/relationships/hyperlink" Target="https://commission.europa.eu/document/e5772fb0-6b70-4b1c-b54c-def1c42363f0_en" TargetMode="External"/><Relationship Id="rId101" Type="http://schemas.openxmlformats.org/officeDocument/2006/relationships/hyperlink" Target="https://commission.europa.eu/document/1a478a70-1461-4bfc-9408-60595dff5d8c_en" TargetMode="External"/><Relationship Id="rId122" Type="http://schemas.openxmlformats.org/officeDocument/2006/relationships/hyperlink" Target="https://commission.europa.eu/document/ead2f649-cf9d-48d0-b748-f0e797fd5dbf_en" TargetMode="External"/><Relationship Id="rId143" Type="http://schemas.openxmlformats.org/officeDocument/2006/relationships/hyperlink" Target="https://commission.europa.eu/document/dd8a5789-9309-4de1-ba0e-fe0d9118e7a6_en" TargetMode="External"/><Relationship Id="rId164" Type="http://schemas.openxmlformats.org/officeDocument/2006/relationships/hyperlink" Target="https://commission.europa.eu/document/b0b87aac-b88d-405b-bdc5-4e32f0765926_en" TargetMode="External"/><Relationship Id="rId185" Type="http://schemas.openxmlformats.org/officeDocument/2006/relationships/hyperlink" Target="https://commission.europa.eu/document/24a9b587-6e2a-4078-b58d-65dabd1233b4_en" TargetMode="External"/><Relationship Id="rId350" Type="http://schemas.openxmlformats.org/officeDocument/2006/relationships/hyperlink" Target="https://commission.europa.eu/document/e5772fb0-6b70-4b1c-b54c-def1c42363f0_en" TargetMode="External"/><Relationship Id="rId371" Type="http://schemas.openxmlformats.org/officeDocument/2006/relationships/hyperlink" Target="https://commission.europa.eu/document/24a9b587-6e2a-4078-b58d-65dabd1233b4_en" TargetMode="External"/><Relationship Id="rId406" Type="http://schemas.openxmlformats.org/officeDocument/2006/relationships/hyperlink" Target="https://commission.europa.eu/document/0e737e3a-55fd-424e-883d-72c2d3092be1_en" TargetMode="External"/><Relationship Id="rId9" Type="http://schemas.openxmlformats.org/officeDocument/2006/relationships/footnotes" Target="footnotes.xml"/><Relationship Id="rId210" Type="http://schemas.openxmlformats.org/officeDocument/2006/relationships/hyperlink" Target="https://commission.europa.eu/document/399e00c0-68ef-43f0-adaf-4fcaadec803e_en" TargetMode="External"/><Relationship Id="rId392" Type="http://schemas.openxmlformats.org/officeDocument/2006/relationships/hyperlink" Target="https://commission.europa.eu/document/0e737e3a-55fd-424e-883d-72c2d3092be1_en" TargetMode="External"/><Relationship Id="rId427" Type="http://schemas.openxmlformats.org/officeDocument/2006/relationships/hyperlink" Target="https://commission.europa.eu/document/019229a1-8c23-4f90-bfe4-f842cd59c6a9_en" TargetMode="External"/><Relationship Id="rId448" Type="http://schemas.openxmlformats.org/officeDocument/2006/relationships/theme" Target="theme/theme1.xml"/><Relationship Id="rId26" Type="http://schemas.openxmlformats.org/officeDocument/2006/relationships/hyperlink" Target="https://eur-lex.europa.eu/eli/reco/2021/1534/oj/eng" TargetMode="External"/><Relationship Id="rId231" Type="http://schemas.openxmlformats.org/officeDocument/2006/relationships/hyperlink" Target="https://eur-lex.europa.eu/eli/reg/2022/2065/oj/eng" TargetMode="External"/><Relationship Id="rId252" Type="http://schemas.openxmlformats.org/officeDocument/2006/relationships/hyperlink" Target="https://commission.europa.eu/document/0e737e3a-55fd-424e-883d-72c2d3092be1_en" TargetMode="External"/><Relationship Id="rId273" Type="http://schemas.openxmlformats.org/officeDocument/2006/relationships/hyperlink" Target="https://commission.europa.eu/document/eb68862c-103b-441d-a85e-3424441f5218_en" TargetMode="External"/><Relationship Id="rId294" Type="http://schemas.openxmlformats.org/officeDocument/2006/relationships/hyperlink" Target="https://commission.europa.eu/document/417a722f-93b6-4682-a52b-f08b80747e31_en" TargetMode="External"/><Relationship Id="rId308" Type="http://schemas.openxmlformats.org/officeDocument/2006/relationships/hyperlink" Target="https://commission.europa.eu/document/6f4cd94b-e554-4b60-8f90-54c0b79606a3_en" TargetMode="External"/><Relationship Id="rId329" Type="http://schemas.openxmlformats.org/officeDocument/2006/relationships/hyperlink" Target="https://commission.europa.eu/document/417a722f-93b6-4682-a52b-f08b80747e31_en" TargetMode="External"/><Relationship Id="rId47" Type="http://schemas.openxmlformats.org/officeDocument/2006/relationships/hyperlink" Target="https://commission.europa.eu/document/491770ba-4104-4367-8099-878ce1e3b034_en" TargetMode="External"/><Relationship Id="rId68" Type="http://schemas.openxmlformats.org/officeDocument/2006/relationships/hyperlink" Target="https://commission.europa.eu/document/a85449a7-4195-496f-adbb-a217f611451a_en" TargetMode="External"/><Relationship Id="rId89" Type="http://schemas.openxmlformats.org/officeDocument/2006/relationships/hyperlink" Target="https://commission.europa.eu/document/eb68862c-103b-441d-a85e-3424441f5218_en" TargetMode="External"/><Relationship Id="rId112" Type="http://schemas.openxmlformats.org/officeDocument/2006/relationships/hyperlink" Target="https://commission.europa.eu/document/3aab2482-4772-4579-bdf0-03f5a93a5a95_en" TargetMode="External"/><Relationship Id="rId133" Type="http://schemas.openxmlformats.org/officeDocument/2006/relationships/hyperlink" Target="https://commission.europa.eu/document/c4aa0a4b-ebb0-47ca-8f73-d75d248e1470_en" TargetMode="External"/><Relationship Id="rId154" Type="http://schemas.openxmlformats.org/officeDocument/2006/relationships/hyperlink" Target="https://commission.europa.eu/document/75aa718d-b028-4d2b-a286-e07f3ad3b02f_en" TargetMode="External"/><Relationship Id="rId175" Type="http://schemas.openxmlformats.org/officeDocument/2006/relationships/hyperlink" Target="https://commission.europa.eu/document/ead2f649-cf9d-48d0-b748-f0e797fd5dbf_en" TargetMode="External"/><Relationship Id="rId340" Type="http://schemas.openxmlformats.org/officeDocument/2006/relationships/hyperlink" Target="https://commission.europa.eu/document/593831c4-dde6-4443-89a1-fb81da85dd25_en" TargetMode="External"/><Relationship Id="rId361" Type="http://schemas.openxmlformats.org/officeDocument/2006/relationships/hyperlink" Target="https://commission.europa.eu/document/1a478a70-1461-4bfc-9408-60595dff5d8c_en" TargetMode="External"/><Relationship Id="rId196" Type="http://schemas.openxmlformats.org/officeDocument/2006/relationships/hyperlink" Target="https://commission.europa.eu/document/1a478a70-1461-4bfc-9408-60595dff5d8c_en" TargetMode="External"/><Relationship Id="rId200" Type="http://schemas.openxmlformats.org/officeDocument/2006/relationships/hyperlink" Target="https://commission.europa.eu/document/f62ae9c3-a2d6-4da5-b70a-43397c30fc36_en" TargetMode="External"/><Relationship Id="rId382" Type="http://schemas.openxmlformats.org/officeDocument/2006/relationships/hyperlink" Target="https://commission.europa.eu/document/019229a1-8c23-4f90-bfe4-f842cd59c6a9_en" TargetMode="External"/><Relationship Id="rId417" Type="http://schemas.openxmlformats.org/officeDocument/2006/relationships/hyperlink" Target="https://commission.europa.eu/document/593831c4-dde6-4443-89a1-fb81da85dd25_en" TargetMode="External"/><Relationship Id="rId438" Type="http://schemas.openxmlformats.org/officeDocument/2006/relationships/hyperlink" Target="https://commission.europa.eu/document/3aab2482-4772-4579-bdf0-03f5a93a5a95_en" TargetMode="External"/><Relationship Id="rId16" Type="http://schemas.openxmlformats.org/officeDocument/2006/relationships/header" Target="header3.xml"/><Relationship Id="rId221" Type="http://schemas.openxmlformats.org/officeDocument/2006/relationships/hyperlink" Target="https://commission.europa.eu/document/10b34393-adeb-40d8-a18d-a94813fe7001_en" TargetMode="External"/><Relationship Id="rId242" Type="http://schemas.openxmlformats.org/officeDocument/2006/relationships/hyperlink" Target="https://commission.europa.eu/document/ead2f649-cf9d-48d0-b748-f0e797fd5dbf_en" TargetMode="External"/><Relationship Id="rId263" Type="http://schemas.openxmlformats.org/officeDocument/2006/relationships/hyperlink" Target="https://commission.europa.eu/document/a85449a7-4195-496f-adbb-a217f611451a_en" TargetMode="External"/><Relationship Id="rId284" Type="http://schemas.openxmlformats.org/officeDocument/2006/relationships/hyperlink" Target="https://commission.europa.eu/document/0e737e3a-55fd-424e-883d-72c2d3092be1_en" TargetMode="External"/><Relationship Id="rId319" Type="http://schemas.openxmlformats.org/officeDocument/2006/relationships/hyperlink" Target="https://commission.europa.eu/document/75aa718d-b028-4d2b-a286-e07f3ad3b02f_en" TargetMode="External"/><Relationship Id="rId37" Type="http://schemas.openxmlformats.org/officeDocument/2006/relationships/hyperlink" Target="https://commission.europa.eu/document/9c3333e5-5ede-4917-8524-cbeea2f9f17d_en" TargetMode="External"/><Relationship Id="rId58" Type="http://schemas.openxmlformats.org/officeDocument/2006/relationships/hyperlink" Target="https://commission.europa.eu/document/5d8ff0c0-c2a7-413d-b35e-afe42dc98311_en" TargetMode="External"/><Relationship Id="rId79" Type="http://schemas.openxmlformats.org/officeDocument/2006/relationships/hyperlink" Target="https://commission.europa.eu/document/88318b79-b6d9-4e2e-a5ca-160217594e45_en" TargetMode="External"/><Relationship Id="rId102" Type="http://schemas.openxmlformats.org/officeDocument/2006/relationships/hyperlink" Target="https://commission.europa.eu/document/d4e669ba-d722-4fbe-b5dc-efec5e27cbe0_en" TargetMode="External"/><Relationship Id="rId123" Type="http://schemas.openxmlformats.org/officeDocument/2006/relationships/hyperlink" Target="https://commission.europa.eu/document/417a722f-93b6-4682-a52b-f08b80747e31_en" TargetMode="External"/><Relationship Id="rId144" Type="http://schemas.openxmlformats.org/officeDocument/2006/relationships/hyperlink" Target="https://commission.europa.eu/document/ead2f649-cf9d-48d0-b748-f0e797fd5dbf_en" TargetMode="External"/><Relationship Id="rId330" Type="http://schemas.openxmlformats.org/officeDocument/2006/relationships/hyperlink" Target="https://commission.europa.eu/document/019229a1-8c23-4f90-bfe4-f842cd59c6a9_en" TargetMode="External"/><Relationship Id="rId90" Type="http://schemas.openxmlformats.org/officeDocument/2006/relationships/hyperlink" Target="https://commission.europa.eu/document/75aa718d-b028-4d2b-a286-e07f3ad3b02f_en" TargetMode="External"/><Relationship Id="rId165" Type="http://schemas.openxmlformats.org/officeDocument/2006/relationships/hyperlink" Target="https://commission.europa.eu/document/5d8ff0c0-c2a7-413d-b35e-afe42dc98311_en" TargetMode="External"/><Relationship Id="rId186" Type="http://schemas.openxmlformats.org/officeDocument/2006/relationships/hyperlink" Target="https://commission.europa.eu/document/9c3333e5-5ede-4917-8524-cbeea2f9f17d_en" TargetMode="External"/><Relationship Id="rId351" Type="http://schemas.openxmlformats.org/officeDocument/2006/relationships/hyperlink" Target="https://commission.europa.eu/document/3aab2482-4772-4579-bdf0-03f5a93a5a95_en" TargetMode="External"/><Relationship Id="rId372" Type="http://schemas.openxmlformats.org/officeDocument/2006/relationships/hyperlink" Target="https://commission.europa.eu/document/eb68862c-103b-441d-a85e-3424441f5218_en" TargetMode="External"/><Relationship Id="rId393" Type="http://schemas.openxmlformats.org/officeDocument/2006/relationships/hyperlink" Target="https://commission.europa.eu/document/download/d1367f58-9eed-4ebd-8eb3-68646b7c7ddc_en?filename=2026_eu_justice_scoreboard.PDF" TargetMode="External"/><Relationship Id="rId407" Type="http://schemas.openxmlformats.org/officeDocument/2006/relationships/hyperlink" Target="https://commission.europa.eu/document/9c3333e5-5ede-4917-8524-cbeea2f9f17d_en" TargetMode="External"/><Relationship Id="rId428" Type="http://schemas.openxmlformats.org/officeDocument/2006/relationships/hyperlink" Target="https://commission.europa.eu/document/e5772fb0-6b70-4b1c-b54c-def1c42363f0_en" TargetMode="External"/><Relationship Id="rId211" Type="http://schemas.openxmlformats.org/officeDocument/2006/relationships/hyperlink" Target="https://commission.europa.eu/document/3aab2482-4772-4579-bdf0-03f5a93a5a95_en" TargetMode="External"/><Relationship Id="rId232" Type="http://schemas.openxmlformats.org/officeDocument/2006/relationships/hyperlink" Target="https://commission.europa.eu/document/a85449a7-4195-496f-adbb-a217f611451a_en" TargetMode="External"/><Relationship Id="rId253" Type="http://schemas.openxmlformats.org/officeDocument/2006/relationships/hyperlink" Target="https://commission.europa.eu/document/82ce1391-cde5-49e9-9d1b-3f14f4975eb7_en" TargetMode="External"/><Relationship Id="rId274" Type="http://schemas.openxmlformats.org/officeDocument/2006/relationships/hyperlink" Target="https://commission.europa.eu/document/d4e669ba-d722-4fbe-b5dc-efec5e27cbe0_en" TargetMode="External"/><Relationship Id="rId295" Type="http://schemas.openxmlformats.org/officeDocument/2006/relationships/hyperlink" Target="https://commission.europa.eu/document/f62ae9c3-a2d6-4da5-b70a-43397c30fc36_en" TargetMode="External"/><Relationship Id="rId309" Type="http://schemas.openxmlformats.org/officeDocument/2006/relationships/hyperlink" Target="https://commission.europa.eu/document/3aab2482-4772-4579-bdf0-03f5a93a5a95_en" TargetMode="External"/><Relationship Id="rId27" Type="http://schemas.openxmlformats.org/officeDocument/2006/relationships/hyperlink" Target="https://eur-lex.europa.eu/legal-content/EN/TXT/?uri=celex:52025DC0790" TargetMode="External"/><Relationship Id="rId48" Type="http://schemas.openxmlformats.org/officeDocument/2006/relationships/hyperlink" Target="https://commission.europa.eu/document/82ce1391-cde5-49e9-9d1b-3f14f4975eb7_en" TargetMode="External"/><Relationship Id="rId69" Type="http://schemas.openxmlformats.org/officeDocument/2006/relationships/hyperlink" Target="https://commission.europa.eu/document/dd8a5789-9309-4de1-ba0e-fe0d9118e7a6_en" TargetMode="External"/><Relationship Id="rId113" Type="http://schemas.openxmlformats.org/officeDocument/2006/relationships/hyperlink" Target="https://commission.europa.eu/document/24a9b587-6e2a-4078-b58d-65dabd1233b4_en" TargetMode="External"/><Relationship Id="rId134" Type="http://schemas.openxmlformats.org/officeDocument/2006/relationships/hyperlink" Target="https://commission.europa.eu/document/24a9b587-6e2a-4078-b58d-65dabd1233b4_en" TargetMode="External"/><Relationship Id="rId320" Type="http://schemas.openxmlformats.org/officeDocument/2006/relationships/hyperlink" Target="https://commission.europa.eu/document/491770ba-4104-4367-8099-878ce1e3b034_en" TargetMode="External"/><Relationship Id="rId80" Type="http://schemas.openxmlformats.org/officeDocument/2006/relationships/hyperlink" Target="https://commission.europa.eu/document/3e6bdff0-cfa7-4c9c-8497-f37286427e7b_en" TargetMode="External"/><Relationship Id="rId155" Type="http://schemas.openxmlformats.org/officeDocument/2006/relationships/hyperlink" Target="https://commission.europa.eu/document/f62ae9c3-a2d6-4da5-b70a-43397c30fc36_en" TargetMode="External"/><Relationship Id="rId176" Type="http://schemas.openxmlformats.org/officeDocument/2006/relationships/hyperlink" Target="https://commission.europa.eu/document/019229a1-8c23-4f90-bfe4-f842cd59c6a9_en" TargetMode="External"/><Relationship Id="rId197" Type="http://schemas.openxmlformats.org/officeDocument/2006/relationships/hyperlink" Target="https://commission.europa.eu/document/5d8ff0c0-c2a7-413d-b35e-afe42dc98311_en" TargetMode="External"/><Relationship Id="rId341" Type="http://schemas.openxmlformats.org/officeDocument/2006/relationships/hyperlink" Target="https://commission.europa.eu/document/5d8ff0c0-c2a7-413d-b35e-afe42dc98311_en" TargetMode="External"/><Relationship Id="rId362" Type="http://schemas.openxmlformats.org/officeDocument/2006/relationships/hyperlink" Target="https://commission.europa.eu/document/f62ae9c3-a2d6-4da5-b70a-43397c30fc36_en" TargetMode="External"/><Relationship Id="rId383" Type="http://schemas.openxmlformats.org/officeDocument/2006/relationships/hyperlink" Target="https://commission.europa.eu/document/0e737e3a-55fd-424e-883d-72c2d3092be1_en" TargetMode="External"/><Relationship Id="rId418" Type="http://schemas.openxmlformats.org/officeDocument/2006/relationships/hyperlink" Target="https://commission.europa.eu/document/3f6405bc-f071-4e6c-a2b1-212832d588fe_en" TargetMode="External"/><Relationship Id="rId439" Type="http://schemas.openxmlformats.org/officeDocument/2006/relationships/hyperlink" Target="https://commission.europa.eu/document/d4e669ba-d722-4fbe-b5dc-efec5e27cbe0_en" TargetMode="External"/><Relationship Id="rId201" Type="http://schemas.openxmlformats.org/officeDocument/2006/relationships/hyperlink" Target="https://commission.europa.eu/document/eb68862c-103b-441d-a85e-3424441f5218_en" TargetMode="External"/><Relationship Id="rId222" Type="http://schemas.openxmlformats.org/officeDocument/2006/relationships/hyperlink" Target="https://commission.europa.eu/document/c4aa0a4b-ebb0-47ca-8f73-d75d248e1470_en" TargetMode="External"/><Relationship Id="rId243" Type="http://schemas.openxmlformats.org/officeDocument/2006/relationships/hyperlink" Target="https://commission.europa.eu/document/6f4cd94b-e554-4b60-8f90-54c0b79606a3_en" TargetMode="External"/><Relationship Id="rId264" Type="http://schemas.openxmlformats.org/officeDocument/2006/relationships/hyperlink" Target="https://commission.europa.eu/document/ead2f649-cf9d-48d0-b748-f0e797fd5dbf_en" TargetMode="External"/><Relationship Id="rId285" Type="http://schemas.openxmlformats.org/officeDocument/2006/relationships/hyperlink" Target="https://commission.europa.eu/document/3aab2482-4772-4579-bdf0-03f5a93a5a95_en" TargetMode="External"/><Relationship Id="rId17" Type="http://schemas.openxmlformats.org/officeDocument/2006/relationships/footer" Target="footer3.xml"/><Relationship Id="rId38" Type="http://schemas.openxmlformats.org/officeDocument/2006/relationships/hyperlink" Target="https://commission.europa.eu/document/9c178b94-8070-4d30-84d5-1c2da7691b72_en" TargetMode="External"/><Relationship Id="rId59" Type="http://schemas.openxmlformats.org/officeDocument/2006/relationships/hyperlink" Target="https://commission.europa.eu/document/d4e669ba-d722-4fbe-b5dc-efec5e27cbe0_en" TargetMode="External"/><Relationship Id="rId103" Type="http://schemas.openxmlformats.org/officeDocument/2006/relationships/hyperlink" Target="https://commission.europa.eu/document/82ce1391-cde5-49e9-9d1b-3f14f4975eb7_en" TargetMode="External"/><Relationship Id="rId124" Type="http://schemas.openxmlformats.org/officeDocument/2006/relationships/hyperlink" Target="https://commission.europa.eu/document/6f4cd94b-e554-4b60-8f90-54c0b79606a3_en" TargetMode="External"/><Relationship Id="rId310" Type="http://schemas.openxmlformats.org/officeDocument/2006/relationships/hyperlink" Target="https://commission.europa.eu/document/b0b87aac-b88d-405b-bdc5-4e32f0765926_en" TargetMode="External"/><Relationship Id="rId70" Type="http://schemas.openxmlformats.org/officeDocument/2006/relationships/hyperlink" Target="https://commission.europa.eu/document/593831c4-dde6-4443-89a1-fb81da85dd25_en" TargetMode="External"/><Relationship Id="rId91" Type="http://schemas.openxmlformats.org/officeDocument/2006/relationships/hyperlink" Target="https://commission.europa.eu/document/e6577383-66c2-48d2-8a2e-d029d254a4ec_en" TargetMode="External"/><Relationship Id="rId145" Type="http://schemas.openxmlformats.org/officeDocument/2006/relationships/hyperlink" Target="https://commission.europa.eu/document/9c178b94-8070-4d30-84d5-1c2da7691b72_en" TargetMode="External"/><Relationship Id="rId166" Type="http://schemas.openxmlformats.org/officeDocument/2006/relationships/hyperlink" Target="https://commission.europa.eu/document/491770ba-4104-4367-8099-878ce1e3b034_en" TargetMode="External"/><Relationship Id="rId187" Type="http://schemas.openxmlformats.org/officeDocument/2006/relationships/hyperlink" Target="https://commission.europa.eu/document/d4e669ba-d722-4fbe-b5dc-efec5e27cbe0_en" TargetMode="External"/><Relationship Id="rId331" Type="http://schemas.openxmlformats.org/officeDocument/2006/relationships/hyperlink" Target="https://commission.europa.eu/document/d4e669ba-d722-4fbe-b5dc-efec5e27cbe0_en" TargetMode="External"/><Relationship Id="rId352" Type="http://schemas.openxmlformats.org/officeDocument/2006/relationships/hyperlink" Target="https://commission.europa.eu/document/eb68862c-103b-441d-a85e-3424441f5218_en" TargetMode="External"/><Relationship Id="rId373" Type="http://schemas.openxmlformats.org/officeDocument/2006/relationships/hyperlink" Target="https://commission.europa.eu/document/a85449a7-4195-496f-adbb-a217f611451a_en" TargetMode="External"/><Relationship Id="rId394" Type="http://schemas.openxmlformats.org/officeDocument/2006/relationships/hyperlink" Target="https://commission.europa.eu/document/9c178b94-8070-4d30-84d5-1c2da7691b72_en" TargetMode="External"/><Relationship Id="rId408" Type="http://schemas.openxmlformats.org/officeDocument/2006/relationships/hyperlink" Target="https://commission.europa.eu/document/ead2f649-cf9d-48d0-b748-f0e797fd5dbf_en" TargetMode="External"/><Relationship Id="rId429" Type="http://schemas.openxmlformats.org/officeDocument/2006/relationships/hyperlink" Target="https://commission.europa.eu/document/eb68862c-103b-441d-a85e-3424441f5218_en" TargetMode="External"/><Relationship Id="rId1" Type="http://schemas.openxmlformats.org/officeDocument/2006/relationships/customXml" Target="../customXml/item1.xml"/><Relationship Id="rId212" Type="http://schemas.openxmlformats.org/officeDocument/2006/relationships/hyperlink" Target="https://commission.europa.eu/document/82ce1391-cde5-49e9-9d1b-3f14f4975eb7_en" TargetMode="External"/><Relationship Id="rId233" Type="http://schemas.openxmlformats.org/officeDocument/2006/relationships/hyperlink" Target="https://commission.europa.eu/document/9c3333e5-5ede-4917-8524-cbeea2f9f17d_en" TargetMode="External"/><Relationship Id="rId254" Type="http://schemas.openxmlformats.org/officeDocument/2006/relationships/hyperlink" Target="https://commission.europa.eu/document/75aa718d-b028-4d2b-a286-e07f3ad3b02f_en" TargetMode="External"/><Relationship Id="rId440" Type="http://schemas.openxmlformats.org/officeDocument/2006/relationships/hyperlink" Target="https://commission.europa.eu/document/a85449a7-4195-496f-adbb-a217f611451a_en" TargetMode="External"/><Relationship Id="rId28" Type="http://schemas.openxmlformats.org/officeDocument/2006/relationships/hyperlink" Target="https://eur-lex.europa.eu/eli/dir/2026/1021/oj/eng" TargetMode="External"/><Relationship Id="rId49" Type="http://schemas.openxmlformats.org/officeDocument/2006/relationships/hyperlink" Target="https://commission.europa.eu/document/e5772fb0-6b70-4b1c-b54c-def1c42363f0_en" TargetMode="External"/><Relationship Id="rId114" Type="http://schemas.openxmlformats.org/officeDocument/2006/relationships/hyperlink" Target="https://commission.europa.eu/document/e5772fb0-6b70-4b1c-b54c-def1c42363f0_en" TargetMode="External"/><Relationship Id="rId275" Type="http://schemas.openxmlformats.org/officeDocument/2006/relationships/hyperlink" Target="https://commission.europa.eu/document/cb87d151-e0ef-4111-b772-84bc679c55c9_en" TargetMode="External"/><Relationship Id="rId296" Type="http://schemas.openxmlformats.org/officeDocument/2006/relationships/hyperlink" Target="https://commission.europa.eu/document/ead2f649-cf9d-48d0-b748-f0e797fd5dbf_en" TargetMode="External"/><Relationship Id="rId300" Type="http://schemas.openxmlformats.org/officeDocument/2006/relationships/hyperlink" Target="https://commission.europa.eu/document/e6577383-66c2-48d2-8a2e-d029d254a4ec_en" TargetMode="External"/><Relationship Id="rId60" Type="http://schemas.openxmlformats.org/officeDocument/2006/relationships/hyperlink" Target="https://commission.europa.eu/document/9c178b94-8070-4d30-84d5-1c2da7691b72_en" TargetMode="External"/><Relationship Id="rId81" Type="http://schemas.openxmlformats.org/officeDocument/2006/relationships/hyperlink" Target="https://commission.europa.eu/document/24a9b587-6e2a-4078-b58d-65dabd1233b4_en" TargetMode="External"/><Relationship Id="rId135" Type="http://schemas.openxmlformats.org/officeDocument/2006/relationships/hyperlink" Target="https://commission.europa.eu/document/a85449a7-4195-496f-adbb-a217f611451a_en" TargetMode="External"/><Relationship Id="rId156" Type="http://schemas.openxmlformats.org/officeDocument/2006/relationships/hyperlink" Target="https://commission.europa.eu/document/d4e669ba-d722-4fbe-b5dc-efec5e27cbe0_en" TargetMode="External"/><Relationship Id="rId177" Type="http://schemas.openxmlformats.org/officeDocument/2006/relationships/hyperlink" Target="https://commission.europa.eu/document/1a478a70-1461-4bfc-9408-60595dff5d8c_en" TargetMode="External"/><Relationship Id="rId198" Type="http://schemas.openxmlformats.org/officeDocument/2006/relationships/hyperlink" Target="https://commission.europa.eu/document/9c3333e5-5ede-4917-8524-cbeea2f9f17d_en" TargetMode="External"/><Relationship Id="rId321" Type="http://schemas.openxmlformats.org/officeDocument/2006/relationships/hyperlink" Target="https://commission.europa.eu/document/10b34393-adeb-40d8-a18d-a94813fe7001_en" TargetMode="External"/><Relationship Id="rId342" Type="http://schemas.openxmlformats.org/officeDocument/2006/relationships/hyperlink" Target="https://commission.europa.eu/document/399e00c0-68ef-43f0-adaf-4fcaadec803e_en" TargetMode="External"/><Relationship Id="rId363" Type="http://schemas.openxmlformats.org/officeDocument/2006/relationships/hyperlink" Target="https://commission.europa.eu/document/e5772fb0-6b70-4b1c-b54c-def1c42363f0_en" TargetMode="External"/><Relationship Id="rId384" Type="http://schemas.openxmlformats.org/officeDocument/2006/relationships/hyperlink" Target="https://commission.europa.eu/document/3aab2482-4772-4579-bdf0-03f5a93a5a95_en" TargetMode="External"/><Relationship Id="rId419" Type="http://schemas.openxmlformats.org/officeDocument/2006/relationships/hyperlink" Target="https://commission.europa.eu/document/10b34393-adeb-40d8-a18d-a94813fe7001_en" TargetMode="External"/><Relationship Id="rId202" Type="http://schemas.openxmlformats.org/officeDocument/2006/relationships/hyperlink" Target="https://commission.europa.eu/document/82ce1391-cde5-49e9-9d1b-3f14f4975eb7_en" TargetMode="External"/><Relationship Id="rId223" Type="http://schemas.openxmlformats.org/officeDocument/2006/relationships/hyperlink" Target="https://op.europa.eu/en/publication-detail/-/publication/eb3c0e98-7c77-11f1-bf5e-01aa75ed71a1/language-en" TargetMode="External"/><Relationship Id="rId244" Type="http://schemas.openxmlformats.org/officeDocument/2006/relationships/hyperlink" Target="https://commission.europa.eu/document/3e6bdff0-cfa7-4c9c-8497-f37286427e7b_en" TargetMode="External"/><Relationship Id="rId430" Type="http://schemas.openxmlformats.org/officeDocument/2006/relationships/hyperlink" Target="https://commission.europa.eu/document/a85449a7-4195-496f-adbb-a217f611451a_en" TargetMode="External"/><Relationship Id="rId18" Type="http://schemas.openxmlformats.org/officeDocument/2006/relationships/hyperlink" Target="https://www.europarl.europa.eu/committees/en/libe/working-groups/drfmg" TargetMode="External"/><Relationship Id="rId39" Type="http://schemas.openxmlformats.org/officeDocument/2006/relationships/hyperlink" Target="https://commission.europa.eu/document/dd8a5789-9309-4de1-ba0e-fe0d9118e7a6_en" TargetMode="External"/><Relationship Id="rId265" Type="http://schemas.openxmlformats.org/officeDocument/2006/relationships/hyperlink" Target="https://commission.europa.eu/document/6f4cd94b-e554-4b60-8f90-54c0b79606a3_en" TargetMode="External"/><Relationship Id="rId286" Type="http://schemas.openxmlformats.org/officeDocument/2006/relationships/hyperlink" Target="https://commission.europa.eu/document/c4aa0a4b-ebb0-47ca-8f73-d75d248e1470_en" TargetMode="External"/><Relationship Id="rId50" Type="http://schemas.openxmlformats.org/officeDocument/2006/relationships/hyperlink" Target="https://commission.europa.eu/document/9c178b94-8070-4d30-84d5-1c2da7691b72_en" TargetMode="External"/><Relationship Id="rId104" Type="http://schemas.openxmlformats.org/officeDocument/2006/relationships/hyperlink" Target="https://commission.europa.eu/document/3f6405bc-f071-4e6c-a2b1-212832d588fe_en" TargetMode="External"/><Relationship Id="rId125" Type="http://schemas.openxmlformats.org/officeDocument/2006/relationships/hyperlink" Target="https://www.transparency.org/en/cpi/2025" TargetMode="External"/><Relationship Id="rId146" Type="http://schemas.openxmlformats.org/officeDocument/2006/relationships/hyperlink" Target="https://commission.europa.eu/document/593831c4-dde6-4443-89a1-fb81da85dd25_en" TargetMode="External"/><Relationship Id="rId167" Type="http://schemas.openxmlformats.org/officeDocument/2006/relationships/hyperlink" Target="https://commission.europa.eu/document/e6577383-66c2-48d2-8a2e-d029d254a4ec_en" TargetMode="External"/><Relationship Id="rId188" Type="http://schemas.openxmlformats.org/officeDocument/2006/relationships/hyperlink" Target="https://commission.europa.eu/document/82ce1391-cde5-49e9-9d1b-3f14f4975eb7_en" TargetMode="External"/><Relationship Id="rId311" Type="http://schemas.openxmlformats.org/officeDocument/2006/relationships/hyperlink" Target="https://commission.europa.eu/document/3f6405bc-f071-4e6c-a2b1-212832d588fe_en" TargetMode="External"/><Relationship Id="rId332" Type="http://schemas.openxmlformats.org/officeDocument/2006/relationships/hyperlink" Target="https://commission.europa.eu/document/88318b79-b6d9-4e2e-a5ca-160217594e45_en" TargetMode="External"/><Relationship Id="rId353" Type="http://schemas.openxmlformats.org/officeDocument/2006/relationships/hyperlink" Target="https://commission.europa.eu/document/417a722f-93b6-4682-a52b-f08b80747e31_en" TargetMode="External"/><Relationship Id="rId374" Type="http://schemas.openxmlformats.org/officeDocument/2006/relationships/hyperlink" Target="https://eur-lex.europa.eu/legal-content/EN/TXT/?uri=celex:52025DC0790" TargetMode="External"/><Relationship Id="rId395" Type="http://schemas.openxmlformats.org/officeDocument/2006/relationships/hyperlink" Target="https://commission.europa.eu/document/5d8ff0c0-c2a7-413d-b35e-afe42dc98311_en" TargetMode="External"/><Relationship Id="rId409" Type="http://schemas.openxmlformats.org/officeDocument/2006/relationships/hyperlink" Target="https://commission.europa.eu/document/75aa718d-b028-4d2b-a286-e07f3ad3b02f_en" TargetMode="External"/><Relationship Id="rId71" Type="http://schemas.openxmlformats.org/officeDocument/2006/relationships/hyperlink" Target="https://commission.europa.eu/document/88318b79-b6d9-4e2e-a5ca-160217594e45_en" TargetMode="External"/><Relationship Id="rId92" Type="http://schemas.openxmlformats.org/officeDocument/2006/relationships/hyperlink" Target="https://commission.europa.eu/document/399e00c0-68ef-43f0-adaf-4fcaadec803e_en" TargetMode="External"/><Relationship Id="rId213" Type="http://schemas.openxmlformats.org/officeDocument/2006/relationships/hyperlink" Target="https://commission.europa.eu/document/ead2f649-cf9d-48d0-b748-f0e797fd5dbf_en" TargetMode="External"/><Relationship Id="rId234" Type="http://schemas.openxmlformats.org/officeDocument/2006/relationships/hyperlink" Target="https://commission.europa.eu/document/019229a1-8c23-4f90-bfe4-f842cd59c6a9_en" TargetMode="External"/><Relationship Id="rId420" Type="http://schemas.openxmlformats.org/officeDocument/2006/relationships/hyperlink" Target="https://commission.europa.eu/document/b0b87aac-b88d-405b-bdc5-4e32f0765926_en" TargetMode="External"/><Relationship Id="rId2" Type="http://schemas.openxmlformats.org/officeDocument/2006/relationships/customXml" Target="../customXml/item2.xml"/><Relationship Id="rId29" Type="http://schemas.openxmlformats.org/officeDocument/2006/relationships/hyperlink" Target="https://eur-lex.europa.eu/legal-content/EN/TXT/?uri=celex:52025DC0801" TargetMode="External"/><Relationship Id="rId255" Type="http://schemas.openxmlformats.org/officeDocument/2006/relationships/hyperlink" Target="https://commission.europa.eu/document/593831c4-dde6-4443-89a1-fb81da85dd25_en" TargetMode="External"/><Relationship Id="rId276" Type="http://schemas.openxmlformats.org/officeDocument/2006/relationships/hyperlink" Target="https://commission.europa.eu/document/399e00c0-68ef-43f0-adaf-4fcaadec803e_en" TargetMode="External"/><Relationship Id="rId297" Type="http://schemas.openxmlformats.org/officeDocument/2006/relationships/hyperlink" Target="https://commission.europa.eu/document/019229a1-8c23-4f90-bfe4-f842cd59c6a9_en" TargetMode="External"/><Relationship Id="rId441" Type="http://schemas.openxmlformats.org/officeDocument/2006/relationships/header" Target="header4.xml"/><Relationship Id="rId40" Type="http://schemas.openxmlformats.org/officeDocument/2006/relationships/hyperlink" Target="https://commission.europa.eu/document/5d8ff0c0-c2a7-413d-b35e-afe42dc98311_en" TargetMode="External"/><Relationship Id="rId115" Type="http://schemas.openxmlformats.org/officeDocument/2006/relationships/hyperlink" Target="https://commission.europa.eu/document/019229a1-8c23-4f90-bfe4-f842cd59c6a9_en" TargetMode="External"/><Relationship Id="rId136" Type="http://schemas.openxmlformats.org/officeDocument/2006/relationships/hyperlink" Target="https://commission.europa.eu/document/82ce1391-cde5-49e9-9d1b-3f14f4975eb7_en" TargetMode="External"/><Relationship Id="rId157" Type="http://schemas.openxmlformats.org/officeDocument/2006/relationships/hyperlink" Target="https://commission.europa.eu/document/3aab2482-4772-4579-bdf0-03f5a93a5a95_en" TargetMode="External"/><Relationship Id="rId178" Type="http://schemas.openxmlformats.org/officeDocument/2006/relationships/hyperlink" Target="https://commission.europa.eu/document/75aa718d-b028-4d2b-a286-e07f3ad3b02f_en" TargetMode="External"/><Relationship Id="rId301" Type="http://schemas.openxmlformats.org/officeDocument/2006/relationships/hyperlink" Target="https://commission.europa.eu/document/593831c4-dde6-4443-89a1-fb81da85dd25_en" TargetMode="External"/><Relationship Id="rId322" Type="http://schemas.openxmlformats.org/officeDocument/2006/relationships/hyperlink" Target="https://commission.europa.eu/document/9c3333e5-5ede-4917-8524-cbeea2f9f17d_en" TargetMode="External"/><Relationship Id="rId343" Type="http://schemas.openxmlformats.org/officeDocument/2006/relationships/hyperlink" Target="https://commission.europa.eu/document/3f6405bc-f071-4e6c-a2b1-212832d588fe_en" TargetMode="External"/><Relationship Id="rId364" Type="http://schemas.openxmlformats.org/officeDocument/2006/relationships/hyperlink" Target="https://commission.europa.eu/document/e4cbcb23-66f0-43d1-8230-6de47b62bb8b_en" TargetMode="External"/><Relationship Id="rId61" Type="http://schemas.openxmlformats.org/officeDocument/2006/relationships/hyperlink" Target="https://commission.europa.eu/document/417a722f-93b6-4682-a52b-f08b80747e31_en" TargetMode="External"/><Relationship Id="rId82" Type="http://schemas.openxmlformats.org/officeDocument/2006/relationships/hyperlink" Target="https://commission.europa.eu/document/491770ba-4104-4367-8099-878ce1e3b034_en" TargetMode="External"/><Relationship Id="rId199" Type="http://schemas.openxmlformats.org/officeDocument/2006/relationships/hyperlink" Target="https://commission.europa.eu/document/491770ba-4104-4367-8099-878ce1e3b034_en" TargetMode="External"/><Relationship Id="rId203" Type="http://schemas.openxmlformats.org/officeDocument/2006/relationships/hyperlink" Target="https://commission.europa.eu/document/593831c4-dde6-4443-89a1-fb81da85dd25_en" TargetMode="External"/><Relationship Id="rId385" Type="http://schemas.openxmlformats.org/officeDocument/2006/relationships/hyperlink" Target="https://commission.europa.eu/document/88318b79-b6d9-4e2e-a5ca-160217594e45_en" TargetMode="External"/><Relationship Id="rId19" Type="http://schemas.openxmlformats.org/officeDocument/2006/relationships/hyperlink" Target="https://eur-lex.europa.eu/eli/reg/2021/241/oj/eng" TargetMode="External"/><Relationship Id="rId224" Type="http://schemas.openxmlformats.org/officeDocument/2006/relationships/hyperlink" Target="https://commission.europa.eu/document/019229a1-8c23-4f90-bfe4-f842cd59c6a9_en" TargetMode="External"/><Relationship Id="rId245" Type="http://schemas.openxmlformats.org/officeDocument/2006/relationships/hyperlink" Target="https://commission.europa.eu/document/eb68862c-103b-441d-a85e-3424441f5218_en" TargetMode="External"/><Relationship Id="rId266" Type="http://schemas.openxmlformats.org/officeDocument/2006/relationships/hyperlink" Target="https://commission.europa.eu/document/82ce1391-cde5-49e9-9d1b-3f14f4975eb7_en" TargetMode="External"/><Relationship Id="rId287" Type="http://schemas.openxmlformats.org/officeDocument/2006/relationships/hyperlink" Target="https://commission.europa.eu/document/3f6405bc-f071-4e6c-a2b1-212832d588fe_en" TargetMode="External"/><Relationship Id="rId410" Type="http://schemas.openxmlformats.org/officeDocument/2006/relationships/hyperlink" Target="https://commission.europa.eu/document/d4e669ba-d722-4fbe-b5dc-efec5e27cbe0_en" TargetMode="External"/><Relationship Id="rId431" Type="http://schemas.openxmlformats.org/officeDocument/2006/relationships/hyperlink" Target="https://commission.europa.eu/document/399e00c0-68ef-43f0-adaf-4fcaadec803e_en" TargetMode="External"/><Relationship Id="rId30" Type="http://schemas.openxmlformats.org/officeDocument/2006/relationships/hyperlink" Target="https://eur-lex.europa.eu/legal-content/EN/TXT/?uri=celex:52025DC0801" TargetMode="External"/><Relationship Id="rId105" Type="http://schemas.openxmlformats.org/officeDocument/2006/relationships/hyperlink" Target="https://commission.europa.eu/document/10b34393-adeb-40d8-a18d-a94813fe7001_en" TargetMode="External"/><Relationship Id="rId126" Type="http://schemas.openxmlformats.org/officeDocument/2006/relationships/hyperlink" Target="https://commission.europa.eu/document/ead2f649-cf9d-48d0-b748-f0e797fd5dbf_en" TargetMode="External"/><Relationship Id="rId147" Type="http://schemas.openxmlformats.org/officeDocument/2006/relationships/hyperlink" Target="https://commission.europa.eu/document/5d8ff0c0-c2a7-413d-b35e-afe42dc98311_en" TargetMode="External"/><Relationship Id="rId168" Type="http://schemas.openxmlformats.org/officeDocument/2006/relationships/hyperlink" Target="https://commission.europa.eu/document/a85449a7-4195-496f-adbb-a217f611451a_en" TargetMode="External"/><Relationship Id="rId312" Type="http://schemas.openxmlformats.org/officeDocument/2006/relationships/hyperlink" Target="https://commission.europa.eu/document/6f4cd94b-e554-4b60-8f90-54c0b79606a3_en" TargetMode="External"/><Relationship Id="rId333" Type="http://schemas.openxmlformats.org/officeDocument/2006/relationships/hyperlink" Target="https://commission.europa.eu/document/24a9b587-6e2a-4078-b58d-65dabd1233b4_en" TargetMode="External"/><Relationship Id="rId354" Type="http://schemas.openxmlformats.org/officeDocument/2006/relationships/hyperlink" Target="https://commission.europa.eu/document/1a478a70-1461-4bfc-9408-60595dff5d8c_en" TargetMode="External"/><Relationship Id="rId51" Type="http://schemas.openxmlformats.org/officeDocument/2006/relationships/hyperlink" Target="https://commission.europa.eu/document/c4aa0a4b-ebb0-47ca-8f73-d75d248e1470_en" TargetMode="External"/><Relationship Id="rId72" Type="http://schemas.openxmlformats.org/officeDocument/2006/relationships/hyperlink" Target="https://commission.europa.eu/document/0e737e3a-55fd-424e-883d-72c2d3092be1_en" TargetMode="External"/><Relationship Id="rId93" Type="http://schemas.openxmlformats.org/officeDocument/2006/relationships/hyperlink" Target="https://commission.europa.eu/document/e4cbcb23-66f0-43d1-8230-6de47b62bb8b_en" TargetMode="External"/><Relationship Id="rId189" Type="http://schemas.openxmlformats.org/officeDocument/2006/relationships/hyperlink" Target="https://commission.europa.eu/document/f62ae9c3-a2d6-4da5-b70a-43397c30fc36_en" TargetMode="External"/><Relationship Id="rId375" Type="http://schemas.openxmlformats.org/officeDocument/2006/relationships/hyperlink" Target="https://eur-lex.europa.eu/legal-content/EN/TXT/?uri=intcom:C%282023%298627" TargetMode="External"/><Relationship Id="rId396" Type="http://schemas.openxmlformats.org/officeDocument/2006/relationships/hyperlink" Target="https://commission.europa.eu/document/75aa718d-b028-4d2b-a286-e07f3ad3b02f_en" TargetMode="External"/><Relationship Id="rId3" Type="http://schemas.openxmlformats.org/officeDocument/2006/relationships/customXml" Target="../customXml/item3.xml"/><Relationship Id="rId214" Type="http://schemas.openxmlformats.org/officeDocument/2006/relationships/hyperlink" Target="https://commission.europa.eu/document/3aab2482-4772-4579-bdf0-03f5a93a5a95_en" TargetMode="External"/><Relationship Id="rId235" Type="http://schemas.openxmlformats.org/officeDocument/2006/relationships/hyperlink" Target="https://commission.europa.eu/document/5d8ff0c0-c2a7-413d-b35e-afe42dc98311_en" TargetMode="External"/><Relationship Id="rId256" Type="http://schemas.openxmlformats.org/officeDocument/2006/relationships/hyperlink" Target="https://commission.europa.eu/document/1a478a70-1461-4bfc-9408-60595dff5d8c_en" TargetMode="External"/><Relationship Id="rId277" Type="http://schemas.openxmlformats.org/officeDocument/2006/relationships/hyperlink" Target="https://commission.europa.eu/document/417a722f-93b6-4682-a52b-f08b80747e31_en" TargetMode="External"/><Relationship Id="rId298" Type="http://schemas.openxmlformats.org/officeDocument/2006/relationships/hyperlink" Target="https://commission.europa.eu/document/399e00c0-68ef-43f0-adaf-4fcaadec803e_en" TargetMode="External"/><Relationship Id="rId400" Type="http://schemas.openxmlformats.org/officeDocument/2006/relationships/hyperlink" Target="https://commission.europa.eu/document/9c178b94-8070-4d30-84d5-1c2da7691b72_en" TargetMode="External"/><Relationship Id="rId421" Type="http://schemas.openxmlformats.org/officeDocument/2006/relationships/hyperlink" Target="https://commission.europa.eu/document/c4aa0a4b-ebb0-47ca-8f73-d75d248e1470_en" TargetMode="External"/><Relationship Id="rId442" Type="http://schemas.openxmlformats.org/officeDocument/2006/relationships/header" Target="header5.xml"/><Relationship Id="rId116" Type="http://schemas.openxmlformats.org/officeDocument/2006/relationships/hyperlink" Target="https://commission.europa.eu/document/c4aa0a4b-ebb0-47ca-8f73-d75d248e1470_en" TargetMode="External"/><Relationship Id="rId137" Type="http://schemas.openxmlformats.org/officeDocument/2006/relationships/hyperlink" Target="https://commission.europa.eu/document/cb87d151-e0ef-4111-b772-84bc679c55c9_en" TargetMode="External"/><Relationship Id="rId158" Type="http://schemas.openxmlformats.org/officeDocument/2006/relationships/hyperlink" Target="https://commission.europa.eu/document/417a722f-93b6-4682-a52b-f08b80747e31_en" TargetMode="External"/><Relationship Id="rId302" Type="http://schemas.openxmlformats.org/officeDocument/2006/relationships/hyperlink" Target="https://commission.europa.eu/document/491770ba-4104-4367-8099-878ce1e3b034_en" TargetMode="External"/><Relationship Id="rId323" Type="http://schemas.openxmlformats.org/officeDocument/2006/relationships/hyperlink" Target="https://commission.europa.eu/document/f62ae9c3-a2d6-4da5-b70a-43397c30fc36_en" TargetMode="External"/><Relationship Id="rId344" Type="http://schemas.openxmlformats.org/officeDocument/2006/relationships/hyperlink" Target="https://commission.europa.eu/document/10b34393-adeb-40d8-a18d-a94813fe7001_en" TargetMode="External"/><Relationship Id="rId20" Type="http://schemas.openxmlformats.org/officeDocument/2006/relationships/hyperlink" Target="https://eur-lex.europa.eu/legal-content/EN/TXT/?uri=CELEX%3A52025DC0570" TargetMode="External"/><Relationship Id="rId41" Type="http://schemas.openxmlformats.org/officeDocument/2006/relationships/hyperlink" Target="https://commission.europa.eu/document/491770ba-4104-4367-8099-878ce1e3b034_en" TargetMode="External"/><Relationship Id="rId62" Type="http://schemas.openxmlformats.org/officeDocument/2006/relationships/hyperlink" Target="https://commission.europa.eu/document/3f6405bc-f071-4e6c-a2b1-212832d588fe_en" TargetMode="External"/><Relationship Id="rId83" Type="http://schemas.openxmlformats.org/officeDocument/2006/relationships/hyperlink" Target="https://commission.europa.eu/document/eb68862c-103b-441d-a85e-3424441f5218_en" TargetMode="External"/><Relationship Id="rId179" Type="http://schemas.openxmlformats.org/officeDocument/2006/relationships/hyperlink" Target="https://commission.europa.eu/document/e5772fb0-6b70-4b1c-b54c-def1c42363f0_en" TargetMode="External"/><Relationship Id="rId365" Type="http://schemas.openxmlformats.org/officeDocument/2006/relationships/hyperlink" Target="https://commission.europa.eu/document/3f6405bc-f071-4e6c-a2b1-212832d588fe_en" TargetMode="External"/><Relationship Id="rId386" Type="http://schemas.openxmlformats.org/officeDocument/2006/relationships/hyperlink" Target="https://commission.europa.eu/document/3f6405bc-f071-4e6c-a2b1-212832d588fe_en" TargetMode="External"/><Relationship Id="rId190" Type="http://schemas.openxmlformats.org/officeDocument/2006/relationships/hyperlink" Target="https://commission.europa.eu/document/eb68862c-103b-441d-a85e-3424441f5218_en" TargetMode="External"/><Relationship Id="rId204" Type="http://schemas.openxmlformats.org/officeDocument/2006/relationships/hyperlink" Target="https://commission.europa.eu/document/d4e669ba-d722-4fbe-b5dc-efec5e27cbe0_en" TargetMode="External"/><Relationship Id="rId225" Type="http://schemas.openxmlformats.org/officeDocument/2006/relationships/hyperlink" Target="https://commission.europa.eu/document/417a722f-93b6-4682-a52b-f08b80747e31_en" TargetMode="External"/><Relationship Id="rId246" Type="http://schemas.openxmlformats.org/officeDocument/2006/relationships/hyperlink" Target="https://commission.europa.eu/document/9c178b94-8070-4d30-84d5-1c2da7691b72_en" TargetMode="External"/><Relationship Id="rId267" Type="http://schemas.openxmlformats.org/officeDocument/2006/relationships/hyperlink" Target="https://commission.europa.eu/document/e5772fb0-6b70-4b1c-b54c-def1c42363f0_en" TargetMode="External"/><Relationship Id="rId288" Type="http://schemas.openxmlformats.org/officeDocument/2006/relationships/hyperlink" Target="https://commission.europa.eu/document/5d8ff0c0-c2a7-413d-b35e-afe42dc98311_en" TargetMode="External"/><Relationship Id="rId411" Type="http://schemas.openxmlformats.org/officeDocument/2006/relationships/hyperlink" Target="https://commission.europa.eu/document/491770ba-4104-4367-8099-878ce1e3b034_en" TargetMode="External"/><Relationship Id="rId432" Type="http://schemas.openxmlformats.org/officeDocument/2006/relationships/hyperlink" Target="https://commission.europa.eu/document/dd8a5789-9309-4de1-ba0e-fe0d9118e7a6_en" TargetMode="External"/><Relationship Id="rId106" Type="http://schemas.openxmlformats.org/officeDocument/2006/relationships/hyperlink" Target="https://commission.europa.eu/document/c4aa0a4b-ebb0-47ca-8f73-d75d248e1470_en" TargetMode="External"/><Relationship Id="rId127" Type="http://schemas.openxmlformats.org/officeDocument/2006/relationships/hyperlink" Target="https://commission.europa.eu/document/019229a1-8c23-4f90-bfe4-f842cd59c6a9_en" TargetMode="External"/><Relationship Id="rId313" Type="http://schemas.openxmlformats.org/officeDocument/2006/relationships/hyperlink" Target="https://commission.europa.eu/document/e4cbcb23-66f0-43d1-8230-6de47b62bb8b_en" TargetMode="External"/><Relationship Id="rId10" Type="http://schemas.openxmlformats.org/officeDocument/2006/relationships/endnotes" Target="endnotes.xml"/><Relationship Id="rId31" Type="http://schemas.openxmlformats.org/officeDocument/2006/relationships/hyperlink" Target="https://eur-lex.europa.eu/legal-content/EN/TXT/?uri=celex:52025JC0791" TargetMode="External"/><Relationship Id="rId52" Type="http://schemas.openxmlformats.org/officeDocument/2006/relationships/hyperlink" Target="https://commission.europa.eu/document/b0b87aac-b88d-405b-bdc5-4e32f0765926_en" TargetMode="External"/><Relationship Id="rId73" Type="http://schemas.openxmlformats.org/officeDocument/2006/relationships/hyperlink" Target="https://commission.europa.eu/document/10b34393-adeb-40d8-a18d-a94813fe7001_en" TargetMode="External"/><Relationship Id="rId94" Type="http://schemas.openxmlformats.org/officeDocument/2006/relationships/hyperlink" Target="https://commission.europa.eu/document/24a9b587-6e2a-4078-b58d-65dabd1233b4_en" TargetMode="External"/><Relationship Id="rId148" Type="http://schemas.openxmlformats.org/officeDocument/2006/relationships/hyperlink" Target="https://commission.europa.eu/document/0e737e3a-55fd-424e-883d-72c2d3092be1_en" TargetMode="External"/><Relationship Id="rId169" Type="http://schemas.openxmlformats.org/officeDocument/2006/relationships/hyperlink" Target="https://commission.europa.eu/document/88318b79-b6d9-4e2e-a5ca-160217594e45_en" TargetMode="External"/><Relationship Id="rId334" Type="http://schemas.openxmlformats.org/officeDocument/2006/relationships/hyperlink" Target="https://commission.europa.eu/document/a85449a7-4195-496f-adbb-a217f611451a_en" TargetMode="External"/><Relationship Id="rId355" Type="http://schemas.openxmlformats.org/officeDocument/2006/relationships/hyperlink" Target="https://commission.europa.eu/document/88318b79-b6d9-4e2e-a5ca-160217594e45_en" TargetMode="External"/><Relationship Id="rId376" Type="http://schemas.openxmlformats.org/officeDocument/2006/relationships/hyperlink" Target="https://commission.europa.eu/document/e4cbcb23-66f0-43d1-8230-6de47b62bb8b_en" TargetMode="External"/><Relationship Id="rId397" Type="http://schemas.openxmlformats.org/officeDocument/2006/relationships/hyperlink" Target="https://commission.europa.eu/document/417a722f-93b6-4682-a52b-f08b80747e31_en" TargetMode="External"/><Relationship Id="rId4" Type="http://schemas.openxmlformats.org/officeDocument/2006/relationships/customXml" Target="../customXml/item4.xml"/><Relationship Id="rId180" Type="http://schemas.openxmlformats.org/officeDocument/2006/relationships/hyperlink" Target="https://commission.europa.eu/document/5d8ff0c0-c2a7-413d-b35e-afe42dc98311_en" TargetMode="External"/><Relationship Id="rId215" Type="http://schemas.openxmlformats.org/officeDocument/2006/relationships/hyperlink" Target="https://commission.europa.eu/document/e4cbcb23-66f0-43d1-8230-6de47b62bb8b_en" TargetMode="External"/><Relationship Id="rId236" Type="http://schemas.openxmlformats.org/officeDocument/2006/relationships/hyperlink" Target="https://commission.europa.eu/document/e5772fb0-6b70-4b1c-b54c-def1c42363f0_en" TargetMode="External"/><Relationship Id="rId257" Type="http://schemas.openxmlformats.org/officeDocument/2006/relationships/hyperlink" Target="https://commission.europa.eu/document/88318b79-b6d9-4e2e-a5ca-160217594e45_en" TargetMode="External"/><Relationship Id="rId278" Type="http://schemas.openxmlformats.org/officeDocument/2006/relationships/hyperlink" Target="https://commission.europa.eu/document/a85449a7-4195-496f-adbb-a217f611451a_en" TargetMode="External"/><Relationship Id="rId401" Type="http://schemas.openxmlformats.org/officeDocument/2006/relationships/hyperlink" Target="https://commission.europa.eu/document/5d8ff0c0-c2a7-413d-b35e-afe42dc98311_en" TargetMode="External"/><Relationship Id="rId422" Type="http://schemas.openxmlformats.org/officeDocument/2006/relationships/hyperlink" Target="https://commission.europa.eu/document/3e6bdff0-cfa7-4c9c-8497-f37286427e7b_en" TargetMode="External"/><Relationship Id="rId443" Type="http://schemas.openxmlformats.org/officeDocument/2006/relationships/footer" Target="footer4.xml"/><Relationship Id="rId303" Type="http://schemas.openxmlformats.org/officeDocument/2006/relationships/hyperlink" Target="https://commission.europa.eu/document/e5772fb0-6b70-4b1c-b54c-def1c42363f0_en" TargetMode="External"/><Relationship Id="rId42" Type="http://schemas.openxmlformats.org/officeDocument/2006/relationships/hyperlink" Target="https://commission.europa.eu/document/3e6bdff0-cfa7-4c9c-8497-f37286427e7b_en" TargetMode="External"/><Relationship Id="rId84" Type="http://schemas.openxmlformats.org/officeDocument/2006/relationships/hyperlink" Target="https://commission.europa.eu/document/e5772fb0-6b70-4b1c-b54c-def1c42363f0_en" TargetMode="External"/><Relationship Id="rId138" Type="http://schemas.openxmlformats.org/officeDocument/2006/relationships/hyperlink" Target="https://commission.europa.eu/document/417a722f-93b6-4682-a52b-f08b80747e31_en" TargetMode="External"/><Relationship Id="rId345" Type="http://schemas.openxmlformats.org/officeDocument/2006/relationships/hyperlink" Target="https://commission.europa.eu/document/b0b87aac-b88d-405b-bdc5-4e32f0765926_en" TargetMode="External"/><Relationship Id="rId387" Type="http://schemas.openxmlformats.org/officeDocument/2006/relationships/hyperlink" Target="https://commission.europa.eu/document/10b34393-adeb-40d8-a18d-a94813fe7001_en" TargetMode="External"/><Relationship Id="rId191" Type="http://schemas.openxmlformats.org/officeDocument/2006/relationships/hyperlink" Target="https://commission.europa.eu/document/a85449a7-4195-496f-adbb-a217f611451a_en" TargetMode="External"/><Relationship Id="rId205" Type="http://schemas.openxmlformats.org/officeDocument/2006/relationships/hyperlink" Target="https://commission.europa.eu/document/e5772fb0-6b70-4b1c-b54c-def1c42363f0_en" TargetMode="External"/><Relationship Id="rId247" Type="http://schemas.openxmlformats.org/officeDocument/2006/relationships/hyperlink" Target="https://commission.europa.eu/document/e6577383-66c2-48d2-8a2e-d029d254a4ec_en" TargetMode="External"/><Relationship Id="rId412" Type="http://schemas.openxmlformats.org/officeDocument/2006/relationships/hyperlink" Target="https://commission.europa.eu/document/dd8a5789-9309-4de1-ba0e-fe0d9118e7a6_en" TargetMode="External"/><Relationship Id="rId107" Type="http://schemas.openxmlformats.org/officeDocument/2006/relationships/hyperlink" Target="https://commission.europa.eu/document/b0b87aac-b88d-405b-bdc5-4e32f0765926_en" TargetMode="External"/><Relationship Id="rId289" Type="http://schemas.openxmlformats.org/officeDocument/2006/relationships/hyperlink" Target="https://commission.europa.eu/document/9c178b94-8070-4d30-84d5-1c2da7691b72_en" TargetMode="External"/><Relationship Id="rId11" Type="http://schemas.openxmlformats.org/officeDocument/2006/relationships/image" Target="media/image1.emf"/><Relationship Id="rId53" Type="http://schemas.openxmlformats.org/officeDocument/2006/relationships/hyperlink" Target="https://commission.europa.eu/document/417a722f-93b6-4682-a52b-f08b80747e31_en" TargetMode="External"/><Relationship Id="rId149" Type="http://schemas.openxmlformats.org/officeDocument/2006/relationships/hyperlink" Target="https://commission.europa.eu/document/ead2f649-cf9d-48d0-b748-f0e797fd5dbf_en" TargetMode="External"/><Relationship Id="rId314" Type="http://schemas.openxmlformats.org/officeDocument/2006/relationships/hyperlink" Target="https://commission.europa.eu/document/dd8a5789-9309-4de1-ba0e-fe0d9118e7a6_en" TargetMode="External"/><Relationship Id="rId356" Type="http://schemas.openxmlformats.org/officeDocument/2006/relationships/hyperlink" Target="https://commission.europa.eu/document/3f6405bc-f071-4e6c-a2b1-212832d588fe_en" TargetMode="External"/><Relationship Id="rId398" Type="http://schemas.openxmlformats.org/officeDocument/2006/relationships/hyperlink" Target="https://commission.europa.eu/document/eb68862c-103b-441d-a85e-3424441f5218_en" TargetMode="External"/><Relationship Id="rId95" Type="http://schemas.openxmlformats.org/officeDocument/2006/relationships/hyperlink" Target="https://commission.europa.eu/document/417a722f-93b6-4682-a52b-f08b80747e31_en" TargetMode="External"/><Relationship Id="rId160" Type="http://schemas.openxmlformats.org/officeDocument/2006/relationships/hyperlink" Target="https://commission.europa.eu/document/88318b79-b6d9-4e2e-a5ca-160217594e45_en" TargetMode="External"/><Relationship Id="rId216" Type="http://schemas.openxmlformats.org/officeDocument/2006/relationships/hyperlink" Target="https://commission.europa.eu/document/5d8ff0c0-c2a7-413d-b35e-afe42dc98311_en" TargetMode="External"/><Relationship Id="rId423" Type="http://schemas.openxmlformats.org/officeDocument/2006/relationships/hyperlink" Target="https://commission.europa.eu/document/a85449a7-4195-496f-adbb-a217f611451a_en" TargetMode="External"/><Relationship Id="rId258" Type="http://schemas.openxmlformats.org/officeDocument/2006/relationships/hyperlink" Target="https://commission.europa.eu/document/c4aa0a4b-ebb0-47ca-8f73-d75d248e1470_en" TargetMode="External"/><Relationship Id="rId22" Type="http://schemas.openxmlformats.org/officeDocument/2006/relationships/hyperlink" Target="https://eur-lex.europa.eu/legal-content/EN/TXT/?uri=CELEX:52025PC0463" TargetMode="External"/><Relationship Id="rId64" Type="http://schemas.openxmlformats.org/officeDocument/2006/relationships/hyperlink" Target="https://commission.europa.eu/document/10b34393-adeb-40d8-a18d-a94813fe7001_en" TargetMode="External"/><Relationship Id="rId118" Type="http://schemas.openxmlformats.org/officeDocument/2006/relationships/hyperlink" Target="https://commission.europa.eu/document/24a9b587-6e2a-4078-b58d-65dabd1233b4_en" TargetMode="External"/><Relationship Id="rId325" Type="http://schemas.openxmlformats.org/officeDocument/2006/relationships/hyperlink" Target="https://commission.europa.eu/document/75aa718d-b028-4d2b-a286-e07f3ad3b02f_en" TargetMode="External"/><Relationship Id="rId367" Type="http://schemas.openxmlformats.org/officeDocument/2006/relationships/hyperlink" Target="https://commission.europa.eu/document/b0b87aac-b88d-405b-bdc5-4e32f0765926_en" TargetMode="External"/><Relationship Id="rId171" Type="http://schemas.openxmlformats.org/officeDocument/2006/relationships/hyperlink" Target="https://commission.europa.eu/document/417a722f-93b6-4682-a52b-f08b80747e31_en" TargetMode="External"/><Relationship Id="rId227" Type="http://schemas.openxmlformats.org/officeDocument/2006/relationships/hyperlink" Target="https://commission.europa.eu/document/f62ae9c3-a2d6-4da5-b70a-43397c30fc36_en" TargetMode="External"/><Relationship Id="rId269" Type="http://schemas.openxmlformats.org/officeDocument/2006/relationships/hyperlink" Target="https://commission.europa.eu/document/10b34393-adeb-40d8-a18d-a94813fe7001_en" TargetMode="External"/><Relationship Id="rId434" Type="http://schemas.openxmlformats.org/officeDocument/2006/relationships/hyperlink" Target="https://commission.europa.eu/document/dd8a5789-9309-4de1-ba0e-fe0d9118e7a6_en" TargetMode="External"/><Relationship Id="rId33" Type="http://schemas.openxmlformats.org/officeDocument/2006/relationships/hyperlink" Target="https://eur-lex.europa.eu/legal-content/EN/TXT/?uri=CELEX:52025DC0751" TargetMode="External"/><Relationship Id="rId129" Type="http://schemas.openxmlformats.org/officeDocument/2006/relationships/hyperlink" Target="https://commission.europa.eu/document/5d8ff0c0-c2a7-413d-b35e-afe42dc98311_en" TargetMode="External"/><Relationship Id="rId280" Type="http://schemas.openxmlformats.org/officeDocument/2006/relationships/hyperlink" Target="https://commission.europa.eu/document/cb87d151-e0ef-4111-b772-84bc679c55c9_en" TargetMode="External"/><Relationship Id="rId336" Type="http://schemas.openxmlformats.org/officeDocument/2006/relationships/hyperlink" Target="https://commission.europa.eu/document/6f4cd94b-e554-4b60-8f90-54c0b79606a3_en"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publications/2026-rule-law-report-targeted-stakeholder-consultation_en" TargetMode="External"/><Relationship Id="rId2" Type="http://schemas.openxmlformats.org/officeDocument/2006/relationships/hyperlink" Target="https://commission.europa.eu/strategy-and-policy/policies/justice-and-fundamental-rights/upholding-rule-law/rule-law/annual-rule-law-cycle/national-rule-law-dialogues_en" TargetMode="External"/><Relationship Id="rId1" Type="http://schemas.openxmlformats.org/officeDocument/2006/relationships/hyperlink" Target="https://danish-presidency.consilium.europa.eu/media/vxjfaazq/declaration-on-the-necessity-of-culture-and-media.pdf" TargetMode="External"/><Relationship Id="rId5" Type="http://schemas.openxmlformats.org/officeDocument/2006/relationships/hyperlink" Target="https://www.venice.coe.int/webforms/documents/?pdf=CDL-PI(2022)023-e" TargetMode="External"/><Relationship Id="rId4" Type="http://schemas.openxmlformats.org/officeDocument/2006/relationships/hyperlink" Target="https://commission.europa.eu/document/b2e4463e-772f-46d3-af7a-92658e1fe48e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92FCBF67B53A4EB1060DF04C43C986" ma:contentTypeVersion="3" ma:contentTypeDescription="Create a new document." ma:contentTypeScope="" ma:versionID="160458b40ae656039631239bfc2e4afa">
  <xsd:schema xmlns:xsd="http://www.w3.org/2001/XMLSchema" xmlns:xs="http://www.w3.org/2001/XMLSchema" xmlns:p="http://schemas.microsoft.com/office/2006/metadata/properties" xmlns:ns2="ffa05dec-e383-4a36-a526-3e8014669239" targetNamespace="http://schemas.microsoft.com/office/2006/metadata/properties" ma:root="true" ma:fieldsID="9ba3d3c4eea8e9002ee5e7ca0c66d8e2"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E5A34-1BC8-4F48-85AA-54FC10FF3F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B94583-B922-45AA-85B8-86705F5FC6E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0280A75-A25D-4AF1-A697-6519C9E8C079}">
  <ds:schemaRefs>
    <ds:schemaRef ds:uri="http://schemas.microsoft.com/sharepoint/v3/contenttype/forms"/>
  </ds:schemaRefs>
</ds:datastoreItem>
</file>

<file path=customXml/itemProps4.xml><?xml version="1.0" encoding="utf-8"?>
<ds:datastoreItem xmlns:ds="http://schemas.openxmlformats.org/officeDocument/2006/customXml" ds:itemID="{7A8C9F45-6B09-4F82-BACD-6B633C960AA9}">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22562</Words>
  <Characters>128604</Characters>
  <Application>Microsoft Office Word</Application>
  <DocSecurity>0</DocSecurity>
  <Lines>1071</Lines>
  <Paragraphs>301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150865</CharactersWithSpaces>
  <SharedDoc>false</SharedDoc>
  <HLinks>
    <vt:vector size="2574" baseType="variant">
      <vt:variant>
        <vt:i4>1048691</vt:i4>
      </vt:variant>
      <vt:variant>
        <vt:i4>1269</vt:i4>
      </vt:variant>
      <vt:variant>
        <vt:i4>0</vt:i4>
      </vt:variant>
      <vt:variant>
        <vt:i4>5</vt:i4>
      </vt:variant>
      <vt:variant>
        <vt:lpwstr>https://commission.europa.eu/document/a85449a7-4195-496f-adbb-a217f611451a_en</vt:lpwstr>
      </vt:variant>
      <vt:variant>
        <vt:lpwstr/>
      </vt:variant>
      <vt:variant>
        <vt:i4>1638433</vt:i4>
      </vt:variant>
      <vt:variant>
        <vt:i4>1266</vt:i4>
      </vt:variant>
      <vt:variant>
        <vt:i4>0</vt:i4>
      </vt:variant>
      <vt:variant>
        <vt:i4>5</vt:i4>
      </vt:variant>
      <vt:variant>
        <vt:lpwstr>https://commission.europa.eu/document/d4e669ba-d722-4fbe-b5dc-efec5e27cbe0_en</vt:lpwstr>
      </vt:variant>
      <vt:variant>
        <vt:lpwstr/>
      </vt:variant>
      <vt:variant>
        <vt:i4>1114226</vt:i4>
      </vt:variant>
      <vt:variant>
        <vt:i4>1263</vt:i4>
      </vt:variant>
      <vt:variant>
        <vt:i4>0</vt:i4>
      </vt:variant>
      <vt:variant>
        <vt:i4>5</vt:i4>
      </vt:variant>
      <vt:variant>
        <vt:lpwstr>https://commission.europa.eu/document/3aab2482-4772-4579-bdf0-03f5a93a5a95_en</vt:lpwstr>
      </vt:variant>
      <vt:variant>
        <vt:lpwstr/>
      </vt:variant>
      <vt:variant>
        <vt:i4>1900579</vt:i4>
      </vt:variant>
      <vt:variant>
        <vt:i4>1260</vt:i4>
      </vt:variant>
      <vt:variant>
        <vt:i4>0</vt:i4>
      </vt:variant>
      <vt:variant>
        <vt:i4>5</vt:i4>
      </vt:variant>
      <vt:variant>
        <vt:lpwstr>https://commission.europa.eu/document/019229a1-8c23-4f90-bfe4-f842cd59c6a9_en</vt:lpwstr>
      </vt:variant>
      <vt:variant>
        <vt:lpwstr/>
      </vt:variant>
      <vt:variant>
        <vt:i4>1638524</vt:i4>
      </vt:variant>
      <vt:variant>
        <vt:i4>1257</vt:i4>
      </vt:variant>
      <vt:variant>
        <vt:i4>0</vt:i4>
      </vt:variant>
      <vt:variant>
        <vt:i4>5</vt:i4>
      </vt:variant>
      <vt:variant>
        <vt:lpwstr>https://commission.europa.eu/document/e6577383-66c2-48d2-8a2e-d029d254a4ec_en</vt:lpwstr>
      </vt:variant>
      <vt:variant>
        <vt:lpwstr/>
      </vt:variant>
      <vt:variant>
        <vt:i4>1769589</vt:i4>
      </vt:variant>
      <vt:variant>
        <vt:i4>1254</vt:i4>
      </vt:variant>
      <vt:variant>
        <vt:i4>0</vt:i4>
      </vt:variant>
      <vt:variant>
        <vt:i4>5</vt:i4>
      </vt:variant>
      <vt:variant>
        <vt:lpwstr>https://commission.europa.eu/document/ead2f649-cf9d-48d0-b748-f0e797fd5dbf_en</vt:lpwstr>
      </vt:variant>
      <vt:variant>
        <vt:lpwstr/>
      </vt:variant>
      <vt:variant>
        <vt:i4>1638436</vt:i4>
      </vt:variant>
      <vt:variant>
        <vt:i4>1251</vt:i4>
      </vt:variant>
      <vt:variant>
        <vt:i4>0</vt:i4>
      </vt:variant>
      <vt:variant>
        <vt:i4>5</vt:i4>
      </vt:variant>
      <vt:variant>
        <vt:lpwstr>https://commission.europa.eu/document/dd8a5789-9309-4de1-ba0e-fe0d9118e7a6_en</vt:lpwstr>
      </vt:variant>
      <vt:variant>
        <vt:lpwstr/>
      </vt:variant>
      <vt:variant>
        <vt:i4>4456483</vt:i4>
      </vt:variant>
      <vt:variant>
        <vt:i4>1248</vt:i4>
      </vt:variant>
      <vt:variant>
        <vt:i4>0</vt:i4>
      </vt:variant>
      <vt:variant>
        <vt:i4>5</vt:i4>
      </vt:variant>
      <vt:variant>
        <vt:lpwstr>https://commission.europa.eu/document/eb68862c-103b-441d-a85e-3424441f5218_en</vt:lpwstr>
      </vt:variant>
      <vt:variant>
        <vt:lpwstr/>
      </vt:variant>
      <vt:variant>
        <vt:i4>1638436</vt:i4>
      </vt:variant>
      <vt:variant>
        <vt:i4>1245</vt:i4>
      </vt:variant>
      <vt:variant>
        <vt:i4>0</vt:i4>
      </vt:variant>
      <vt:variant>
        <vt:i4>5</vt:i4>
      </vt:variant>
      <vt:variant>
        <vt:lpwstr>https://commission.europa.eu/document/dd8a5789-9309-4de1-ba0e-fe0d9118e7a6_en</vt:lpwstr>
      </vt:variant>
      <vt:variant>
        <vt:lpwstr/>
      </vt:variant>
      <vt:variant>
        <vt:i4>4980863</vt:i4>
      </vt:variant>
      <vt:variant>
        <vt:i4>1242</vt:i4>
      </vt:variant>
      <vt:variant>
        <vt:i4>0</vt:i4>
      </vt:variant>
      <vt:variant>
        <vt:i4>5</vt:i4>
      </vt:variant>
      <vt:variant>
        <vt:lpwstr>https://commission.europa.eu/document/399e00c0-68ef-43f0-adaf-4fcaadec803e_en</vt:lpwstr>
      </vt:variant>
      <vt:variant>
        <vt:lpwstr/>
      </vt:variant>
      <vt:variant>
        <vt:i4>1048691</vt:i4>
      </vt:variant>
      <vt:variant>
        <vt:i4>1239</vt:i4>
      </vt:variant>
      <vt:variant>
        <vt:i4>0</vt:i4>
      </vt:variant>
      <vt:variant>
        <vt:i4>5</vt:i4>
      </vt:variant>
      <vt:variant>
        <vt:lpwstr>https://commission.europa.eu/document/a85449a7-4195-496f-adbb-a217f611451a_en</vt:lpwstr>
      </vt:variant>
      <vt:variant>
        <vt:lpwstr/>
      </vt:variant>
      <vt:variant>
        <vt:i4>4456483</vt:i4>
      </vt:variant>
      <vt:variant>
        <vt:i4>1236</vt:i4>
      </vt:variant>
      <vt:variant>
        <vt:i4>0</vt:i4>
      </vt:variant>
      <vt:variant>
        <vt:i4>5</vt:i4>
      </vt:variant>
      <vt:variant>
        <vt:lpwstr>https://commission.europa.eu/document/eb68862c-103b-441d-a85e-3424441f5218_en</vt:lpwstr>
      </vt:variant>
      <vt:variant>
        <vt:lpwstr/>
      </vt:variant>
      <vt:variant>
        <vt:i4>4653168</vt:i4>
      </vt:variant>
      <vt:variant>
        <vt:i4>1233</vt:i4>
      </vt:variant>
      <vt:variant>
        <vt:i4>0</vt:i4>
      </vt:variant>
      <vt:variant>
        <vt:i4>5</vt:i4>
      </vt:variant>
      <vt:variant>
        <vt:lpwstr>https://commission.europa.eu/document/e5772fb0-6b70-4b1c-b54c-def1c42363f0_en</vt:lpwstr>
      </vt:variant>
      <vt:variant>
        <vt:lpwstr/>
      </vt:variant>
      <vt:variant>
        <vt:i4>1900579</vt:i4>
      </vt:variant>
      <vt:variant>
        <vt:i4>1230</vt:i4>
      </vt:variant>
      <vt:variant>
        <vt:i4>0</vt:i4>
      </vt:variant>
      <vt:variant>
        <vt:i4>5</vt:i4>
      </vt:variant>
      <vt:variant>
        <vt:lpwstr>https://commission.europa.eu/document/019229a1-8c23-4f90-bfe4-f842cd59c6a9_en</vt:lpwstr>
      </vt:variant>
      <vt:variant>
        <vt:lpwstr/>
      </vt:variant>
      <vt:variant>
        <vt:i4>1638433</vt:i4>
      </vt:variant>
      <vt:variant>
        <vt:i4>1227</vt:i4>
      </vt:variant>
      <vt:variant>
        <vt:i4>0</vt:i4>
      </vt:variant>
      <vt:variant>
        <vt:i4>5</vt:i4>
      </vt:variant>
      <vt:variant>
        <vt:lpwstr>https://commission.europa.eu/document/d4e669ba-d722-4fbe-b5dc-efec5e27cbe0_en</vt:lpwstr>
      </vt:variant>
      <vt:variant>
        <vt:lpwstr/>
      </vt:variant>
      <vt:variant>
        <vt:i4>1638436</vt:i4>
      </vt:variant>
      <vt:variant>
        <vt:i4>1224</vt:i4>
      </vt:variant>
      <vt:variant>
        <vt:i4>0</vt:i4>
      </vt:variant>
      <vt:variant>
        <vt:i4>5</vt:i4>
      </vt:variant>
      <vt:variant>
        <vt:lpwstr>https://commission.europa.eu/document/dd8a5789-9309-4de1-ba0e-fe0d9118e7a6_en</vt:lpwstr>
      </vt:variant>
      <vt:variant>
        <vt:lpwstr/>
      </vt:variant>
      <vt:variant>
        <vt:i4>1900579</vt:i4>
      </vt:variant>
      <vt:variant>
        <vt:i4>1221</vt:i4>
      </vt:variant>
      <vt:variant>
        <vt:i4>0</vt:i4>
      </vt:variant>
      <vt:variant>
        <vt:i4>5</vt:i4>
      </vt:variant>
      <vt:variant>
        <vt:lpwstr>https://commission.europa.eu/document/019229a1-8c23-4f90-bfe4-f842cd59c6a9_en</vt:lpwstr>
      </vt:variant>
      <vt:variant>
        <vt:lpwstr/>
      </vt:variant>
      <vt:variant>
        <vt:i4>1048691</vt:i4>
      </vt:variant>
      <vt:variant>
        <vt:i4>1218</vt:i4>
      </vt:variant>
      <vt:variant>
        <vt:i4>0</vt:i4>
      </vt:variant>
      <vt:variant>
        <vt:i4>5</vt:i4>
      </vt:variant>
      <vt:variant>
        <vt:lpwstr>https://commission.europa.eu/document/a85449a7-4195-496f-adbb-a217f611451a_en</vt:lpwstr>
      </vt:variant>
      <vt:variant>
        <vt:lpwstr/>
      </vt:variant>
      <vt:variant>
        <vt:i4>4522101</vt:i4>
      </vt:variant>
      <vt:variant>
        <vt:i4>1215</vt:i4>
      </vt:variant>
      <vt:variant>
        <vt:i4>0</vt:i4>
      </vt:variant>
      <vt:variant>
        <vt:i4>5</vt:i4>
      </vt:variant>
      <vt:variant>
        <vt:lpwstr>https://commission.europa.eu/document/3e6bdff0-cfa7-4c9c-8497-f37286427e7b_en</vt:lpwstr>
      </vt:variant>
      <vt:variant>
        <vt:lpwstr/>
      </vt:variant>
      <vt:variant>
        <vt:i4>1769595</vt:i4>
      </vt:variant>
      <vt:variant>
        <vt:i4>1212</vt:i4>
      </vt:variant>
      <vt:variant>
        <vt:i4>0</vt:i4>
      </vt:variant>
      <vt:variant>
        <vt:i4>5</vt:i4>
      </vt:variant>
      <vt:variant>
        <vt:lpwstr>https://commission.europa.eu/document/c4aa0a4b-ebb0-47ca-8f73-d75d248e1470_en</vt:lpwstr>
      </vt:variant>
      <vt:variant>
        <vt:lpwstr/>
      </vt:variant>
      <vt:variant>
        <vt:i4>4718715</vt:i4>
      </vt:variant>
      <vt:variant>
        <vt:i4>1209</vt:i4>
      </vt:variant>
      <vt:variant>
        <vt:i4>0</vt:i4>
      </vt:variant>
      <vt:variant>
        <vt:i4>5</vt:i4>
      </vt:variant>
      <vt:variant>
        <vt:lpwstr>https://commission.europa.eu/document/b0b87aac-b88d-405b-bdc5-4e32f0765926_en</vt:lpwstr>
      </vt:variant>
      <vt:variant>
        <vt:lpwstr/>
      </vt:variant>
      <vt:variant>
        <vt:i4>1376296</vt:i4>
      </vt:variant>
      <vt:variant>
        <vt:i4>1206</vt:i4>
      </vt:variant>
      <vt:variant>
        <vt:i4>0</vt:i4>
      </vt:variant>
      <vt:variant>
        <vt:i4>5</vt:i4>
      </vt:variant>
      <vt:variant>
        <vt:lpwstr>https://commission.europa.eu/document/10b34393-adeb-40d8-a18d-a94813fe7001_en</vt:lpwstr>
      </vt:variant>
      <vt:variant>
        <vt:lpwstr/>
      </vt:variant>
      <vt:variant>
        <vt:i4>1441838</vt:i4>
      </vt:variant>
      <vt:variant>
        <vt:i4>1203</vt:i4>
      </vt:variant>
      <vt:variant>
        <vt:i4>0</vt:i4>
      </vt:variant>
      <vt:variant>
        <vt:i4>5</vt:i4>
      </vt:variant>
      <vt:variant>
        <vt:lpwstr>https://commission.europa.eu/document/3f6405bc-f071-4e6c-a2b1-212832d588fe_en</vt:lpwstr>
      </vt:variant>
      <vt:variant>
        <vt:lpwstr/>
      </vt:variant>
      <vt:variant>
        <vt:i4>1572904</vt:i4>
      </vt:variant>
      <vt:variant>
        <vt:i4>1200</vt:i4>
      </vt:variant>
      <vt:variant>
        <vt:i4>0</vt:i4>
      </vt:variant>
      <vt:variant>
        <vt:i4>5</vt:i4>
      </vt:variant>
      <vt:variant>
        <vt:lpwstr>https://commission.europa.eu/document/593831c4-dde6-4443-89a1-fb81da85dd25_en</vt:lpwstr>
      </vt:variant>
      <vt:variant>
        <vt:lpwstr/>
      </vt:variant>
      <vt:variant>
        <vt:i4>4456483</vt:i4>
      </vt:variant>
      <vt:variant>
        <vt:i4>1197</vt:i4>
      </vt:variant>
      <vt:variant>
        <vt:i4>0</vt:i4>
      </vt:variant>
      <vt:variant>
        <vt:i4>5</vt:i4>
      </vt:variant>
      <vt:variant>
        <vt:lpwstr>https://commission.europa.eu/document/eb68862c-103b-441d-a85e-3424441f5218_en</vt:lpwstr>
      </vt:variant>
      <vt:variant>
        <vt:lpwstr/>
      </vt:variant>
      <vt:variant>
        <vt:i4>1704048</vt:i4>
      </vt:variant>
      <vt:variant>
        <vt:i4>1194</vt:i4>
      </vt:variant>
      <vt:variant>
        <vt:i4>0</vt:i4>
      </vt:variant>
      <vt:variant>
        <vt:i4>5</vt:i4>
      </vt:variant>
      <vt:variant>
        <vt:lpwstr>https://commission.europa.eu/document/5d8ff0c0-c2a7-413d-b35e-afe42dc98311_en</vt:lpwstr>
      </vt:variant>
      <vt:variant>
        <vt:lpwstr/>
      </vt:variant>
      <vt:variant>
        <vt:i4>4784173</vt:i4>
      </vt:variant>
      <vt:variant>
        <vt:i4>1191</vt:i4>
      </vt:variant>
      <vt:variant>
        <vt:i4>0</vt:i4>
      </vt:variant>
      <vt:variant>
        <vt:i4>5</vt:i4>
      </vt:variant>
      <vt:variant>
        <vt:lpwstr>https://commission.europa.eu/document/9c178b94-8070-4d30-84d5-1c2da7691b72_en</vt:lpwstr>
      </vt:variant>
      <vt:variant>
        <vt:lpwstr/>
      </vt:variant>
      <vt:variant>
        <vt:i4>4980863</vt:i4>
      </vt:variant>
      <vt:variant>
        <vt:i4>1188</vt:i4>
      </vt:variant>
      <vt:variant>
        <vt:i4>0</vt:i4>
      </vt:variant>
      <vt:variant>
        <vt:i4>5</vt:i4>
      </vt:variant>
      <vt:variant>
        <vt:lpwstr>https://commission.europa.eu/document/399e00c0-68ef-43f0-adaf-4fcaadec803e_en</vt:lpwstr>
      </vt:variant>
      <vt:variant>
        <vt:lpwstr/>
      </vt:variant>
      <vt:variant>
        <vt:i4>1638436</vt:i4>
      </vt:variant>
      <vt:variant>
        <vt:i4>1185</vt:i4>
      </vt:variant>
      <vt:variant>
        <vt:i4>0</vt:i4>
      </vt:variant>
      <vt:variant>
        <vt:i4>5</vt:i4>
      </vt:variant>
      <vt:variant>
        <vt:lpwstr>https://commission.europa.eu/document/dd8a5789-9309-4de1-ba0e-fe0d9118e7a6_en</vt:lpwstr>
      </vt:variant>
      <vt:variant>
        <vt:lpwstr/>
      </vt:variant>
      <vt:variant>
        <vt:i4>1638527</vt:i4>
      </vt:variant>
      <vt:variant>
        <vt:i4>1182</vt:i4>
      </vt:variant>
      <vt:variant>
        <vt:i4>0</vt:i4>
      </vt:variant>
      <vt:variant>
        <vt:i4>5</vt:i4>
      </vt:variant>
      <vt:variant>
        <vt:lpwstr>https://commission.europa.eu/document/491770ba-4104-4367-8099-878ce1e3b034_en</vt:lpwstr>
      </vt:variant>
      <vt:variant>
        <vt:lpwstr/>
      </vt:variant>
      <vt:variant>
        <vt:i4>1638433</vt:i4>
      </vt:variant>
      <vt:variant>
        <vt:i4>1179</vt:i4>
      </vt:variant>
      <vt:variant>
        <vt:i4>0</vt:i4>
      </vt:variant>
      <vt:variant>
        <vt:i4>5</vt:i4>
      </vt:variant>
      <vt:variant>
        <vt:lpwstr>https://commission.europa.eu/document/d4e669ba-d722-4fbe-b5dc-efec5e27cbe0_en</vt:lpwstr>
      </vt:variant>
      <vt:variant>
        <vt:lpwstr/>
      </vt:variant>
      <vt:variant>
        <vt:i4>4784246</vt:i4>
      </vt:variant>
      <vt:variant>
        <vt:i4>1176</vt:i4>
      </vt:variant>
      <vt:variant>
        <vt:i4>0</vt:i4>
      </vt:variant>
      <vt:variant>
        <vt:i4>5</vt:i4>
      </vt:variant>
      <vt:variant>
        <vt:lpwstr>https://commission.europa.eu/document/75aa718d-b028-4d2b-a286-e07f3ad3b02f_en</vt:lpwstr>
      </vt:variant>
      <vt:variant>
        <vt:lpwstr/>
      </vt:variant>
      <vt:variant>
        <vt:i4>1769589</vt:i4>
      </vt:variant>
      <vt:variant>
        <vt:i4>1173</vt:i4>
      </vt:variant>
      <vt:variant>
        <vt:i4>0</vt:i4>
      </vt:variant>
      <vt:variant>
        <vt:i4>5</vt:i4>
      </vt:variant>
      <vt:variant>
        <vt:lpwstr>https://commission.europa.eu/document/ead2f649-cf9d-48d0-b748-f0e797fd5dbf_en</vt:lpwstr>
      </vt:variant>
      <vt:variant>
        <vt:lpwstr/>
      </vt:variant>
      <vt:variant>
        <vt:i4>5177464</vt:i4>
      </vt:variant>
      <vt:variant>
        <vt:i4>1170</vt:i4>
      </vt:variant>
      <vt:variant>
        <vt:i4>0</vt:i4>
      </vt:variant>
      <vt:variant>
        <vt:i4>5</vt:i4>
      </vt:variant>
      <vt:variant>
        <vt:lpwstr>https://commission.europa.eu/document/9c3333e5-5ede-4917-8524-cbeea2f9f17d_en</vt:lpwstr>
      </vt:variant>
      <vt:variant>
        <vt:lpwstr/>
      </vt:variant>
      <vt:variant>
        <vt:i4>1114153</vt:i4>
      </vt:variant>
      <vt:variant>
        <vt:i4>1167</vt:i4>
      </vt:variant>
      <vt:variant>
        <vt:i4>0</vt:i4>
      </vt:variant>
      <vt:variant>
        <vt:i4>5</vt:i4>
      </vt:variant>
      <vt:variant>
        <vt:lpwstr>https://commission.europa.eu/document/0e737e3a-55fd-424e-883d-72c2d3092be1_en</vt:lpwstr>
      </vt:variant>
      <vt:variant>
        <vt:lpwstr/>
      </vt:variant>
      <vt:variant>
        <vt:i4>4456483</vt:i4>
      </vt:variant>
      <vt:variant>
        <vt:i4>1164</vt:i4>
      </vt:variant>
      <vt:variant>
        <vt:i4>0</vt:i4>
      </vt:variant>
      <vt:variant>
        <vt:i4>5</vt:i4>
      </vt:variant>
      <vt:variant>
        <vt:lpwstr>https://commission.europa.eu/document/eb68862c-103b-441d-a85e-3424441f5218_en</vt:lpwstr>
      </vt:variant>
      <vt:variant>
        <vt:lpwstr/>
      </vt:variant>
      <vt:variant>
        <vt:i4>2031741</vt:i4>
      </vt:variant>
      <vt:variant>
        <vt:i4>1161</vt:i4>
      </vt:variant>
      <vt:variant>
        <vt:i4>0</vt:i4>
      </vt:variant>
      <vt:variant>
        <vt:i4>5</vt:i4>
      </vt:variant>
      <vt:variant>
        <vt:lpwstr>https://commission.europa.eu/document/417a722f-93b6-4682-a52b-f08b80747e31_en</vt:lpwstr>
      </vt:variant>
      <vt:variant>
        <vt:lpwstr/>
      </vt:variant>
      <vt:variant>
        <vt:i4>1769589</vt:i4>
      </vt:variant>
      <vt:variant>
        <vt:i4>1158</vt:i4>
      </vt:variant>
      <vt:variant>
        <vt:i4>0</vt:i4>
      </vt:variant>
      <vt:variant>
        <vt:i4>5</vt:i4>
      </vt:variant>
      <vt:variant>
        <vt:lpwstr>https://commission.europa.eu/document/ead2f649-cf9d-48d0-b748-f0e797fd5dbf_en</vt:lpwstr>
      </vt:variant>
      <vt:variant>
        <vt:lpwstr/>
      </vt:variant>
      <vt:variant>
        <vt:i4>5177464</vt:i4>
      </vt:variant>
      <vt:variant>
        <vt:i4>1155</vt:i4>
      </vt:variant>
      <vt:variant>
        <vt:i4>0</vt:i4>
      </vt:variant>
      <vt:variant>
        <vt:i4>5</vt:i4>
      </vt:variant>
      <vt:variant>
        <vt:lpwstr>https://commission.europa.eu/document/9c3333e5-5ede-4917-8524-cbeea2f9f17d_en</vt:lpwstr>
      </vt:variant>
      <vt:variant>
        <vt:lpwstr/>
      </vt:variant>
      <vt:variant>
        <vt:i4>1704048</vt:i4>
      </vt:variant>
      <vt:variant>
        <vt:i4>1152</vt:i4>
      </vt:variant>
      <vt:variant>
        <vt:i4>0</vt:i4>
      </vt:variant>
      <vt:variant>
        <vt:i4>5</vt:i4>
      </vt:variant>
      <vt:variant>
        <vt:lpwstr>https://commission.europa.eu/document/5d8ff0c0-c2a7-413d-b35e-afe42dc98311_en</vt:lpwstr>
      </vt:variant>
      <vt:variant>
        <vt:lpwstr/>
      </vt:variant>
      <vt:variant>
        <vt:i4>4784173</vt:i4>
      </vt:variant>
      <vt:variant>
        <vt:i4>1149</vt:i4>
      </vt:variant>
      <vt:variant>
        <vt:i4>0</vt:i4>
      </vt:variant>
      <vt:variant>
        <vt:i4>5</vt:i4>
      </vt:variant>
      <vt:variant>
        <vt:lpwstr>https://commission.europa.eu/document/9c178b94-8070-4d30-84d5-1c2da7691b72_en</vt:lpwstr>
      </vt:variant>
      <vt:variant>
        <vt:lpwstr/>
      </vt:variant>
      <vt:variant>
        <vt:i4>1114153</vt:i4>
      </vt:variant>
      <vt:variant>
        <vt:i4>1146</vt:i4>
      </vt:variant>
      <vt:variant>
        <vt:i4>0</vt:i4>
      </vt:variant>
      <vt:variant>
        <vt:i4>5</vt:i4>
      </vt:variant>
      <vt:variant>
        <vt:lpwstr>https://commission.europa.eu/document/0e737e3a-55fd-424e-883d-72c2d3092be1_en</vt:lpwstr>
      </vt:variant>
      <vt:variant>
        <vt:lpwstr/>
      </vt:variant>
      <vt:variant>
        <vt:i4>4456483</vt:i4>
      </vt:variant>
      <vt:variant>
        <vt:i4>1143</vt:i4>
      </vt:variant>
      <vt:variant>
        <vt:i4>0</vt:i4>
      </vt:variant>
      <vt:variant>
        <vt:i4>5</vt:i4>
      </vt:variant>
      <vt:variant>
        <vt:lpwstr>https://commission.europa.eu/document/eb68862c-103b-441d-a85e-3424441f5218_en</vt:lpwstr>
      </vt:variant>
      <vt:variant>
        <vt:lpwstr/>
      </vt:variant>
      <vt:variant>
        <vt:i4>2031741</vt:i4>
      </vt:variant>
      <vt:variant>
        <vt:i4>1140</vt:i4>
      </vt:variant>
      <vt:variant>
        <vt:i4>0</vt:i4>
      </vt:variant>
      <vt:variant>
        <vt:i4>5</vt:i4>
      </vt:variant>
      <vt:variant>
        <vt:lpwstr>https://commission.europa.eu/document/417a722f-93b6-4682-a52b-f08b80747e31_en</vt:lpwstr>
      </vt:variant>
      <vt:variant>
        <vt:lpwstr/>
      </vt:variant>
      <vt:variant>
        <vt:i4>4784246</vt:i4>
      </vt:variant>
      <vt:variant>
        <vt:i4>1137</vt:i4>
      </vt:variant>
      <vt:variant>
        <vt:i4>0</vt:i4>
      </vt:variant>
      <vt:variant>
        <vt:i4>5</vt:i4>
      </vt:variant>
      <vt:variant>
        <vt:lpwstr>https://commission.europa.eu/document/75aa718d-b028-4d2b-a286-e07f3ad3b02f_en</vt:lpwstr>
      </vt:variant>
      <vt:variant>
        <vt:lpwstr/>
      </vt:variant>
      <vt:variant>
        <vt:i4>1704048</vt:i4>
      </vt:variant>
      <vt:variant>
        <vt:i4>1134</vt:i4>
      </vt:variant>
      <vt:variant>
        <vt:i4>0</vt:i4>
      </vt:variant>
      <vt:variant>
        <vt:i4>5</vt:i4>
      </vt:variant>
      <vt:variant>
        <vt:lpwstr>https://commission.europa.eu/document/5d8ff0c0-c2a7-413d-b35e-afe42dc98311_en</vt:lpwstr>
      </vt:variant>
      <vt:variant>
        <vt:lpwstr/>
      </vt:variant>
      <vt:variant>
        <vt:i4>4784173</vt:i4>
      </vt:variant>
      <vt:variant>
        <vt:i4>1131</vt:i4>
      </vt:variant>
      <vt:variant>
        <vt:i4>0</vt:i4>
      </vt:variant>
      <vt:variant>
        <vt:i4>5</vt:i4>
      </vt:variant>
      <vt:variant>
        <vt:lpwstr>https://commission.europa.eu/document/9c178b94-8070-4d30-84d5-1c2da7691b72_en</vt:lpwstr>
      </vt:variant>
      <vt:variant>
        <vt:lpwstr/>
      </vt:variant>
      <vt:variant>
        <vt:i4>1572873</vt:i4>
      </vt:variant>
      <vt:variant>
        <vt:i4>1128</vt:i4>
      </vt:variant>
      <vt:variant>
        <vt:i4>0</vt:i4>
      </vt:variant>
      <vt:variant>
        <vt:i4>5</vt:i4>
      </vt:variant>
      <vt:variant>
        <vt:lpwstr>https://commission.europa.eu/document/download/d1367f58-9eed-4ebd-8eb3-68646b7c7ddc_en?filename=2026_eu_justice_scoreboard.PDF</vt:lpwstr>
      </vt:variant>
      <vt:variant>
        <vt:lpwstr/>
      </vt:variant>
      <vt:variant>
        <vt:i4>1114153</vt:i4>
      </vt:variant>
      <vt:variant>
        <vt:i4>1125</vt:i4>
      </vt:variant>
      <vt:variant>
        <vt:i4>0</vt:i4>
      </vt:variant>
      <vt:variant>
        <vt:i4>5</vt:i4>
      </vt:variant>
      <vt:variant>
        <vt:lpwstr>https://commission.europa.eu/document/0e737e3a-55fd-424e-883d-72c2d3092be1_en</vt:lpwstr>
      </vt:variant>
      <vt:variant>
        <vt:lpwstr/>
      </vt:variant>
      <vt:variant>
        <vt:i4>1900579</vt:i4>
      </vt:variant>
      <vt:variant>
        <vt:i4>1122</vt:i4>
      </vt:variant>
      <vt:variant>
        <vt:i4>0</vt:i4>
      </vt:variant>
      <vt:variant>
        <vt:i4>5</vt:i4>
      </vt:variant>
      <vt:variant>
        <vt:lpwstr>https://commission.europa.eu/document/019229a1-8c23-4f90-bfe4-f842cd59c6a9_en</vt:lpwstr>
      </vt:variant>
      <vt:variant>
        <vt:lpwstr/>
      </vt:variant>
      <vt:variant>
        <vt:i4>4456483</vt:i4>
      </vt:variant>
      <vt:variant>
        <vt:i4>1119</vt:i4>
      </vt:variant>
      <vt:variant>
        <vt:i4>0</vt:i4>
      </vt:variant>
      <vt:variant>
        <vt:i4>5</vt:i4>
      </vt:variant>
      <vt:variant>
        <vt:lpwstr>https://commission.europa.eu/document/eb68862c-103b-441d-a85e-3424441f5218_en</vt:lpwstr>
      </vt:variant>
      <vt:variant>
        <vt:lpwstr/>
      </vt:variant>
      <vt:variant>
        <vt:i4>4718715</vt:i4>
      </vt:variant>
      <vt:variant>
        <vt:i4>1116</vt:i4>
      </vt:variant>
      <vt:variant>
        <vt:i4>0</vt:i4>
      </vt:variant>
      <vt:variant>
        <vt:i4>5</vt:i4>
      </vt:variant>
      <vt:variant>
        <vt:lpwstr>https://commission.europa.eu/document/b0b87aac-b88d-405b-bdc5-4e32f0765926_en</vt:lpwstr>
      </vt:variant>
      <vt:variant>
        <vt:lpwstr/>
      </vt:variant>
      <vt:variant>
        <vt:i4>1769595</vt:i4>
      </vt:variant>
      <vt:variant>
        <vt:i4>1113</vt:i4>
      </vt:variant>
      <vt:variant>
        <vt:i4>0</vt:i4>
      </vt:variant>
      <vt:variant>
        <vt:i4>5</vt:i4>
      </vt:variant>
      <vt:variant>
        <vt:lpwstr>https://commission.europa.eu/document/c4aa0a4b-ebb0-47ca-8f73-d75d248e1470_en</vt:lpwstr>
      </vt:variant>
      <vt:variant>
        <vt:lpwstr/>
      </vt:variant>
      <vt:variant>
        <vt:i4>1376296</vt:i4>
      </vt:variant>
      <vt:variant>
        <vt:i4>1110</vt:i4>
      </vt:variant>
      <vt:variant>
        <vt:i4>0</vt:i4>
      </vt:variant>
      <vt:variant>
        <vt:i4>5</vt:i4>
      </vt:variant>
      <vt:variant>
        <vt:lpwstr>https://commission.europa.eu/document/10b34393-adeb-40d8-a18d-a94813fe7001_en</vt:lpwstr>
      </vt:variant>
      <vt:variant>
        <vt:lpwstr/>
      </vt:variant>
      <vt:variant>
        <vt:i4>1441838</vt:i4>
      </vt:variant>
      <vt:variant>
        <vt:i4>1107</vt:i4>
      </vt:variant>
      <vt:variant>
        <vt:i4>0</vt:i4>
      </vt:variant>
      <vt:variant>
        <vt:i4>5</vt:i4>
      </vt:variant>
      <vt:variant>
        <vt:lpwstr>https://commission.europa.eu/document/3f6405bc-f071-4e6c-a2b1-212832d588fe_en</vt:lpwstr>
      </vt:variant>
      <vt:variant>
        <vt:lpwstr/>
      </vt:variant>
      <vt:variant>
        <vt:i4>1638444</vt:i4>
      </vt:variant>
      <vt:variant>
        <vt:i4>1104</vt:i4>
      </vt:variant>
      <vt:variant>
        <vt:i4>0</vt:i4>
      </vt:variant>
      <vt:variant>
        <vt:i4>5</vt:i4>
      </vt:variant>
      <vt:variant>
        <vt:lpwstr>https://commission.europa.eu/document/88318b79-b6d9-4e2e-a5ca-160217594e45_en</vt:lpwstr>
      </vt:variant>
      <vt:variant>
        <vt:lpwstr/>
      </vt:variant>
      <vt:variant>
        <vt:i4>1114226</vt:i4>
      </vt:variant>
      <vt:variant>
        <vt:i4>1101</vt:i4>
      </vt:variant>
      <vt:variant>
        <vt:i4>0</vt:i4>
      </vt:variant>
      <vt:variant>
        <vt:i4>5</vt:i4>
      </vt:variant>
      <vt:variant>
        <vt:lpwstr>https://commission.europa.eu/document/3aab2482-4772-4579-bdf0-03f5a93a5a95_en</vt:lpwstr>
      </vt:variant>
      <vt:variant>
        <vt:lpwstr/>
      </vt:variant>
      <vt:variant>
        <vt:i4>1114153</vt:i4>
      </vt:variant>
      <vt:variant>
        <vt:i4>1098</vt:i4>
      </vt:variant>
      <vt:variant>
        <vt:i4>0</vt:i4>
      </vt:variant>
      <vt:variant>
        <vt:i4>5</vt:i4>
      </vt:variant>
      <vt:variant>
        <vt:lpwstr>https://commission.europa.eu/document/0e737e3a-55fd-424e-883d-72c2d3092be1_en</vt:lpwstr>
      </vt:variant>
      <vt:variant>
        <vt:lpwstr/>
      </vt:variant>
      <vt:variant>
        <vt:i4>1900579</vt:i4>
      </vt:variant>
      <vt:variant>
        <vt:i4>1095</vt:i4>
      </vt:variant>
      <vt:variant>
        <vt:i4>0</vt:i4>
      </vt:variant>
      <vt:variant>
        <vt:i4>5</vt:i4>
      </vt:variant>
      <vt:variant>
        <vt:lpwstr>https://commission.europa.eu/document/019229a1-8c23-4f90-bfe4-f842cd59c6a9_en</vt:lpwstr>
      </vt:variant>
      <vt:variant>
        <vt:lpwstr/>
      </vt:variant>
      <vt:variant>
        <vt:i4>4522101</vt:i4>
      </vt:variant>
      <vt:variant>
        <vt:i4>1092</vt:i4>
      </vt:variant>
      <vt:variant>
        <vt:i4>0</vt:i4>
      </vt:variant>
      <vt:variant>
        <vt:i4>5</vt:i4>
      </vt:variant>
      <vt:variant>
        <vt:lpwstr>https://commission.europa.eu/document/3e6bdff0-cfa7-4c9c-8497-f37286427e7b_en</vt:lpwstr>
      </vt:variant>
      <vt:variant>
        <vt:lpwstr/>
      </vt:variant>
      <vt:variant>
        <vt:i4>1114236</vt:i4>
      </vt:variant>
      <vt:variant>
        <vt:i4>1089</vt:i4>
      </vt:variant>
      <vt:variant>
        <vt:i4>0</vt:i4>
      </vt:variant>
      <vt:variant>
        <vt:i4>5</vt:i4>
      </vt:variant>
      <vt:variant>
        <vt:lpwstr>https://commission.europa.eu/document/1a478a70-1461-4bfc-9408-60595dff5d8c_en</vt:lpwstr>
      </vt:variant>
      <vt:variant>
        <vt:lpwstr/>
      </vt:variant>
      <vt:variant>
        <vt:i4>1114153</vt:i4>
      </vt:variant>
      <vt:variant>
        <vt:i4>1086</vt:i4>
      </vt:variant>
      <vt:variant>
        <vt:i4>0</vt:i4>
      </vt:variant>
      <vt:variant>
        <vt:i4>5</vt:i4>
      </vt:variant>
      <vt:variant>
        <vt:lpwstr>https://commission.europa.eu/document/0e737e3a-55fd-424e-883d-72c2d3092be1_en</vt:lpwstr>
      </vt:variant>
      <vt:variant>
        <vt:lpwstr/>
      </vt:variant>
      <vt:variant>
        <vt:i4>1638527</vt:i4>
      </vt:variant>
      <vt:variant>
        <vt:i4>1083</vt:i4>
      </vt:variant>
      <vt:variant>
        <vt:i4>0</vt:i4>
      </vt:variant>
      <vt:variant>
        <vt:i4>5</vt:i4>
      </vt:variant>
      <vt:variant>
        <vt:lpwstr>https://commission.europa.eu/document/491770ba-4104-4367-8099-878ce1e3b034_en</vt:lpwstr>
      </vt:variant>
      <vt:variant>
        <vt:lpwstr/>
      </vt:variant>
      <vt:variant>
        <vt:i4>1638524</vt:i4>
      </vt:variant>
      <vt:variant>
        <vt:i4>1080</vt:i4>
      </vt:variant>
      <vt:variant>
        <vt:i4>0</vt:i4>
      </vt:variant>
      <vt:variant>
        <vt:i4>5</vt:i4>
      </vt:variant>
      <vt:variant>
        <vt:lpwstr>https://commission.europa.eu/document/e6577383-66c2-48d2-8a2e-d029d254a4ec_en</vt:lpwstr>
      </vt:variant>
      <vt:variant>
        <vt:lpwstr/>
      </vt:variant>
      <vt:variant>
        <vt:i4>4915323</vt:i4>
      </vt:variant>
      <vt:variant>
        <vt:i4>1077</vt:i4>
      </vt:variant>
      <vt:variant>
        <vt:i4>0</vt:i4>
      </vt:variant>
      <vt:variant>
        <vt:i4>5</vt:i4>
      </vt:variant>
      <vt:variant>
        <vt:lpwstr>https://commission.europa.eu/document/e4cbcb23-66f0-43d1-8230-6de47b62bb8b_en</vt:lpwstr>
      </vt:variant>
      <vt:variant>
        <vt:lpwstr/>
      </vt:variant>
      <vt:variant>
        <vt:i4>7471211</vt:i4>
      </vt:variant>
      <vt:variant>
        <vt:i4>1074</vt:i4>
      </vt:variant>
      <vt:variant>
        <vt:i4>0</vt:i4>
      </vt:variant>
      <vt:variant>
        <vt:i4>5</vt:i4>
      </vt:variant>
      <vt:variant>
        <vt:lpwstr>https://eur-lex.europa.eu/legal-content/EN/TXT/?uri=intcom:C%282023%298627</vt:lpwstr>
      </vt:variant>
      <vt:variant>
        <vt:lpwstr/>
      </vt:variant>
      <vt:variant>
        <vt:i4>589846</vt:i4>
      </vt:variant>
      <vt:variant>
        <vt:i4>1071</vt:i4>
      </vt:variant>
      <vt:variant>
        <vt:i4>0</vt:i4>
      </vt:variant>
      <vt:variant>
        <vt:i4>5</vt:i4>
      </vt:variant>
      <vt:variant>
        <vt:lpwstr>https://eur-lex.europa.eu/legal-content/EN/TXT/?uri=celex:52025DC0790</vt:lpwstr>
      </vt:variant>
      <vt:variant>
        <vt:lpwstr/>
      </vt:variant>
      <vt:variant>
        <vt:i4>1048691</vt:i4>
      </vt:variant>
      <vt:variant>
        <vt:i4>1068</vt:i4>
      </vt:variant>
      <vt:variant>
        <vt:i4>0</vt:i4>
      </vt:variant>
      <vt:variant>
        <vt:i4>5</vt:i4>
      </vt:variant>
      <vt:variant>
        <vt:lpwstr>https://commission.europa.eu/document/a85449a7-4195-496f-adbb-a217f611451a_en</vt:lpwstr>
      </vt:variant>
      <vt:variant>
        <vt:lpwstr/>
      </vt:variant>
      <vt:variant>
        <vt:i4>4456483</vt:i4>
      </vt:variant>
      <vt:variant>
        <vt:i4>1065</vt:i4>
      </vt:variant>
      <vt:variant>
        <vt:i4>0</vt:i4>
      </vt:variant>
      <vt:variant>
        <vt:i4>5</vt:i4>
      </vt:variant>
      <vt:variant>
        <vt:lpwstr>https://commission.europa.eu/document/eb68862c-103b-441d-a85e-3424441f5218_en</vt:lpwstr>
      </vt:variant>
      <vt:variant>
        <vt:lpwstr/>
      </vt:variant>
      <vt:variant>
        <vt:i4>4784255</vt:i4>
      </vt:variant>
      <vt:variant>
        <vt:i4>1062</vt:i4>
      </vt:variant>
      <vt:variant>
        <vt:i4>0</vt:i4>
      </vt:variant>
      <vt:variant>
        <vt:i4>5</vt:i4>
      </vt:variant>
      <vt:variant>
        <vt:lpwstr>https://commission.europa.eu/document/24a9b587-6e2a-4078-b58d-65dabd1233b4_en</vt:lpwstr>
      </vt:variant>
      <vt:variant>
        <vt:lpwstr/>
      </vt:variant>
      <vt:variant>
        <vt:i4>1638433</vt:i4>
      </vt:variant>
      <vt:variant>
        <vt:i4>1059</vt:i4>
      </vt:variant>
      <vt:variant>
        <vt:i4>0</vt:i4>
      </vt:variant>
      <vt:variant>
        <vt:i4>5</vt:i4>
      </vt:variant>
      <vt:variant>
        <vt:lpwstr>https://commission.europa.eu/document/d4e669ba-d722-4fbe-b5dc-efec5e27cbe0_en</vt:lpwstr>
      </vt:variant>
      <vt:variant>
        <vt:lpwstr/>
      </vt:variant>
      <vt:variant>
        <vt:i4>1900579</vt:i4>
      </vt:variant>
      <vt:variant>
        <vt:i4>1056</vt:i4>
      </vt:variant>
      <vt:variant>
        <vt:i4>0</vt:i4>
      </vt:variant>
      <vt:variant>
        <vt:i4>5</vt:i4>
      </vt:variant>
      <vt:variant>
        <vt:lpwstr>https://commission.europa.eu/document/019229a1-8c23-4f90-bfe4-f842cd59c6a9_en</vt:lpwstr>
      </vt:variant>
      <vt:variant>
        <vt:lpwstr/>
      </vt:variant>
      <vt:variant>
        <vt:i4>1114226</vt:i4>
      </vt:variant>
      <vt:variant>
        <vt:i4>1053</vt:i4>
      </vt:variant>
      <vt:variant>
        <vt:i4>0</vt:i4>
      </vt:variant>
      <vt:variant>
        <vt:i4>5</vt:i4>
      </vt:variant>
      <vt:variant>
        <vt:lpwstr>https://commission.europa.eu/document/3aab2482-4772-4579-bdf0-03f5a93a5a95_en</vt:lpwstr>
      </vt:variant>
      <vt:variant>
        <vt:lpwstr/>
      </vt:variant>
      <vt:variant>
        <vt:i4>4718715</vt:i4>
      </vt:variant>
      <vt:variant>
        <vt:i4>1050</vt:i4>
      </vt:variant>
      <vt:variant>
        <vt:i4>0</vt:i4>
      </vt:variant>
      <vt:variant>
        <vt:i4>5</vt:i4>
      </vt:variant>
      <vt:variant>
        <vt:lpwstr>https://commission.europa.eu/document/b0b87aac-b88d-405b-bdc5-4e32f0765926_en</vt:lpwstr>
      </vt:variant>
      <vt:variant>
        <vt:lpwstr/>
      </vt:variant>
      <vt:variant>
        <vt:i4>1769595</vt:i4>
      </vt:variant>
      <vt:variant>
        <vt:i4>1047</vt:i4>
      </vt:variant>
      <vt:variant>
        <vt:i4>0</vt:i4>
      </vt:variant>
      <vt:variant>
        <vt:i4>5</vt:i4>
      </vt:variant>
      <vt:variant>
        <vt:lpwstr>https://commission.europa.eu/document/c4aa0a4b-ebb0-47ca-8f73-d75d248e1470_en</vt:lpwstr>
      </vt:variant>
      <vt:variant>
        <vt:lpwstr/>
      </vt:variant>
      <vt:variant>
        <vt:i4>1441838</vt:i4>
      </vt:variant>
      <vt:variant>
        <vt:i4>1044</vt:i4>
      </vt:variant>
      <vt:variant>
        <vt:i4>0</vt:i4>
      </vt:variant>
      <vt:variant>
        <vt:i4>5</vt:i4>
      </vt:variant>
      <vt:variant>
        <vt:lpwstr>https://commission.europa.eu/document/3f6405bc-f071-4e6c-a2b1-212832d588fe_en</vt:lpwstr>
      </vt:variant>
      <vt:variant>
        <vt:lpwstr/>
      </vt:variant>
      <vt:variant>
        <vt:i4>4915323</vt:i4>
      </vt:variant>
      <vt:variant>
        <vt:i4>1041</vt:i4>
      </vt:variant>
      <vt:variant>
        <vt:i4>0</vt:i4>
      </vt:variant>
      <vt:variant>
        <vt:i4>5</vt:i4>
      </vt:variant>
      <vt:variant>
        <vt:lpwstr>https://commission.europa.eu/document/e4cbcb23-66f0-43d1-8230-6de47b62bb8b_en</vt:lpwstr>
      </vt:variant>
      <vt:variant>
        <vt:lpwstr/>
      </vt:variant>
      <vt:variant>
        <vt:i4>4653168</vt:i4>
      </vt:variant>
      <vt:variant>
        <vt:i4>1038</vt:i4>
      </vt:variant>
      <vt:variant>
        <vt:i4>0</vt:i4>
      </vt:variant>
      <vt:variant>
        <vt:i4>5</vt:i4>
      </vt:variant>
      <vt:variant>
        <vt:lpwstr>https://commission.europa.eu/document/e5772fb0-6b70-4b1c-b54c-def1c42363f0_en</vt:lpwstr>
      </vt:variant>
      <vt:variant>
        <vt:lpwstr/>
      </vt:variant>
      <vt:variant>
        <vt:i4>4325491</vt:i4>
      </vt:variant>
      <vt:variant>
        <vt:i4>1035</vt:i4>
      </vt:variant>
      <vt:variant>
        <vt:i4>0</vt:i4>
      </vt:variant>
      <vt:variant>
        <vt:i4>5</vt:i4>
      </vt:variant>
      <vt:variant>
        <vt:lpwstr>https://commission.europa.eu/document/f62ae9c3-a2d6-4da5-b70a-43397c30fc36_en</vt:lpwstr>
      </vt:variant>
      <vt:variant>
        <vt:lpwstr/>
      </vt:variant>
      <vt:variant>
        <vt:i4>1114236</vt:i4>
      </vt:variant>
      <vt:variant>
        <vt:i4>1032</vt:i4>
      </vt:variant>
      <vt:variant>
        <vt:i4>0</vt:i4>
      </vt:variant>
      <vt:variant>
        <vt:i4>5</vt:i4>
      </vt:variant>
      <vt:variant>
        <vt:lpwstr>https://commission.europa.eu/document/1a478a70-1461-4bfc-9408-60595dff5d8c_en</vt:lpwstr>
      </vt:variant>
      <vt:variant>
        <vt:lpwstr/>
      </vt:variant>
      <vt:variant>
        <vt:i4>1376296</vt:i4>
      </vt:variant>
      <vt:variant>
        <vt:i4>1029</vt:i4>
      </vt:variant>
      <vt:variant>
        <vt:i4>0</vt:i4>
      </vt:variant>
      <vt:variant>
        <vt:i4>5</vt:i4>
      </vt:variant>
      <vt:variant>
        <vt:lpwstr>https://commission.europa.eu/document/10b34393-adeb-40d8-a18d-a94813fe7001_en</vt:lpwstr>
      </vt:variant>
      <vt:variant>
        <vt:lpwstr/>
      </vt:variant>
      <vt:variant>
        <vt:i4>1703983</vt:i4>
      </vt:variant>
      <vt:variant>
        <vt:i4>1026</vt:i4>
      </vt:variant>
      <vt:variant>
        <vt:i4>0</vt:i4>
      </vt:variant>
      <vt:variant>
        <vt:i4>5</vt:i4>
      </vt:variant>
      <vt:variant>
        <vt:lpwstr>https://commission.europa.eu/document/cb87d151-e0ef-4111-b772-84bc679c55c9_en</vt:lpwstr>
      </vt:variant>
      <vt:variant>
        <vt:lpwstr/>
      </vt:variant>
      <vt:variant>
        <vt:i4>4718715</vt:i4>
      </vt:variant>
      <vt:variant>
        <vt:i4>1023</vt:i4>
      </vt:variant>
      <vt:variant>
        <vt:i4>0</vt:i4>
      </vt:variant>
      <vt:variant>
        <vt:i4>5</vt:i4>
      </vt:variant>
      <vt:variant>
        <vt:lpwstr>https://commission.europa.eu/document/b0b87aac-b88d-405b-bdc5-4e32f0765926_en</vt:lpwstr>
      </vt:variant>
      <vt:variant>
        <vt:lpwstr/>
      </vt:variant>
      <vt:variant>
        <vt:i4>1769595</vt:i4>
      </vt:variant>
      <vt:variant>
        <vt:i4>1020</vt:i4>
      </vt:variant>
      <vt:variant>
        <vt:i4>0</vt:i4>
      </vt:variant>
      <vt:variant>
        <vt:i4>5</vt:i4>
      </vt:variant>
      <vt:variant>
        <vt:lpwstr>https://commission.europa.eu/document/c4aa0a4b-ebb0-47ca-8f73-d75d248e1470_en</vt:lpwstr>
      </vt:variant>
      <vt:variant>
        <vt:lpwstr/>
      </vt:variant>
      <vt:variant>
        <vt:i4>1441838</vt:i4>
      </vt:variant>
      <vt:variant>
        <vt:i4>1017</vt:i4>
      </vt:variant>
      <vt:variant>
        <vt:i4>0</vt:i4>
      </vt:variant>
      <vt:variant>
        <vt:i4>5</vt:i4>
      </vt:variant>
      <vt:variant>
        <vt:lpwstr>https://commission.europa.eu/document/3f6405bc-f071-4e6c-a2b1-212832d588fe_en</vt:lpwstr>
      </vt:variant>
      <vt:variant>
        <vt:lpwstr/>
      </vt:variant>
      <vt:variant>
        <vt:i4>1638444</vt:i4>
      </vt:variant>
      <vt:variant>
        <vt:i4>1014</vt:i4>
      </vt:variant>
      <vt:variant>
        <vt:i4>0</vt:i4>
      </vt:variant>
      <vt:variant>
        <vt:i4>5</vt:i4>
      </vt:variant>
      <vt:variant>
        <vt:lpwstr>https://commission.europa.eu/document/88318b79-b6d9-4e2e-a5ca-160217594e45_en</vt:lpwstr>
      </vt:variant>
      <vt:variant>
        <vt:lpwstr/>
      </vt:variant>
      <vt:variant>
        <vt:i4>1114236</vt:i4>
      </vt:variant>
      <vt:variant>
        <vt:i4>1011</vt:i4>
      </vt:variant>
      <vt:variant>
        <vt:i4>0</vt:i4>
      </vt:variant>
      <vt:variant>
        <vt:i4>5</vt:i4>
      </vt:variant>
      <vt:variant>
        <vt:lpwstr>https://commission.europa.eu/document/1a478a70-1461-4bfc-9408-60595dff5d8c_en</vt:lpwstr>
      </vt:variant>
      <vt:variant>
        <vt:lpwstr/>
      </vt:variant>
      <vt:variant>
        <vt:i4>2031741</vt:i4>
      </vt:variant>
      <vt:variant>
        <vt:i4>1008</vt:i4>
      </vt:variant>
      <vt:variant>
        <vt:i4>0</vt:i4>
      </vt:variant>
      <vt:variant>
        <vt:i4>5</vt:i4>
      </vt:variant>
      <vt:variant>
        <vt:lpwstr>https://commission.europa.eu/document/417a722f-93b6-4682-a52b-f08b80747e31_en</vt:lpwstr>
      </vt:variant>
      <vt:variant>
        <vt:lpwstr/>
      </vt:variant>
      <vt:variant>
        <vt:i4>4456483</vt:i4>
      </vt:variant>
      <vt:variant>
        <vt:i4>1005</vt:i4>
      </vt:variant>
      <vt:variant>
        <vt:i4>0</vt:i4>
      </vt:variant>
      <vt:variant>
        <vt:i4>5</vt:i4>
      </vt:variant>
      <vt:variant>
        <vt:lpwstr>https://commission.europa.eu/document/eb68862c-103b-441d-a85e-3424441f5218_en</vt:lpwstr>
      </vt:variant>
      <vt:variant>
        <vt:lpwstr/>
      </vt:variant>
      <vt:variant>
        <vt:i4>1114226</vt:i4>
      </vt:variant>
      <vt:variant>
        <vt:i4>1002</vt:i4>
      </vt:variant>
      <vt:variant>
        <vt:i4>0</vt:i4>
      </vt:variant>
      <vt:variant>
        <vt:i4>5</vt:i4>
      </vt:variant>
      <vt:variant>
        <vt:lpwstr>https://commission.europa.eu/document/3aab2482-4772-4579-bdf0-03f5a93a5a95_en</vt:lpwstr>
      </vt:variant>
      <vt:variant>
        <vt:lpwstr/>
      </vt:variant>
      <vt:variant>
        <vt:i4>4653168</vt:i4>
      </vt:variant>
      <vt:variant>
        <vt:i4>999</vt:i4>
      </vt:variant>
      <vt:variant>
        <vt:i4>0</vt:i4>
      </vt:variant>
      <vt:variant>
        <vt:i4>5</vt:i4>
      </vt:variant>
      <vt:variant>
        <vt:lpwstr>https://commission.europa.eu/document/e5772fb0-6b70-4b1c-b54c-def1c42363f0_en</vt:lpwstr>
      </vt:variant>
      <vt:variant>
        <vt:lpwstr/>
      </vt:variant>
      <vt:variant>
        <vt:i4>1048691</vt:i4>
      </vt:variant>
      <vt:variant>
        <vt:i4>996</vt:i4>
      </vt:variant>
      <vt:variant>
        <vt:i4>0</vt:i4>
      </vt:variant>
      <vt:variant>
        <vt:i4>5</vt:i4>
      </vt:variant>
      <vt:variant>
        <vt:lpwstr>https://commission.europa.eu/document/a85449a7-4195-496f-adbb-a217f611451a_en</vt:lpwstr>
      </vt:variant>
      <vt:variant>
        <vt:lpwstr/>
      </vt:variant>
      <vt:variant>
        <vt:i4>1638444</vt:i4>
      </vt:variant>
      <vt:variant>
        <vt:i4>993</vt:i4>
      </vt:variant>
      <vt:variant>
        <vt:i4>0</vt:i4>
      </vt:variant>
      <vt:variant>
        <vt:i4>5</vt:i4>
      </vt:variant>
      <vt:variant>
        <vt:lpwstr>https://commission.europa.eu/document/88318b79-b6d9-4e2e-a5ca-160217594e45_en</vt:lpwstr>
      </vt:variant>
      <vt:variant>
        <vt:lpwstr/>
      </vt:variant>
      <vt:variant>
        <vt:i4>1704048</vt:i4>
      </vt:variant>
      <vt:variant>
        <vt:i4>990</vt:i4>
      </vt:variant>
      <vt:variant>
        <vt:i4>0</vt:i4>
      </vt:variant>
      <vt:variant>
        <vt:i4>5</vt:i4>
      </vt:variant>
      <vt:variant>
        <vt:lpwstr>https://commission.europa.eu/document/5d8ff0c0-c2a7-413d-b35e-afe42dc98311_en</vt:lpwstr>
      </vt:variant>
      <vt:variant>
        <vt:lpwstr/>
      </vt:variant>
      <vt:variant>
        <vt:i4>1638527</vt:i4>
      </vt:variant>
      <vt:variant>
        <vt:i4>987</vt:i4>
      </vt:variant>
      <vt:variant>
        <vt:i4>0</vt:i4>
      </vt:variant>
      <vt:variant>
        <vt:i4>5</vt:i4>
      </vt:variant>
      <vt:variant>
        <vt:lpwstr>https://commission.europa.eu/document/491770ba-4104-4367-8099-878ce1e3b034_en</vt:lpwstr>
      </vt:variant>
      <vt:variant>
        <vt:lpwstr/>
      </vt:variant>
      <vt:variant>
        <vt:i4>4718715</vt:i4>
      </vt:variant>
      <vt:variant>
        <vt:i4>984</vt:i4>
      </vt:variant>
      <vt:variant>
        <vt:i4>0</vt:i4>
      </vt:variant>
      <vt:variant>
        <vt:i4>5</vt:i4>
      </vt:variant>
      <vt:variant>
        <vt:lpwstr>https://commission.europa.eu/document/b0b87aac-b88d-405b-bdc5-4e32f0765926_en</vt:lpwstr>
      </vt:variant>
      <vt:variant>
        <vt:lpwstr/>
      </vt:variant>
      <vt:variant>
        <vt:i4>1376296</vt:i4>
      </vt:variant>
      <vt:variant>
        <vt:i4>981</vt:i4>
      </vt:variant>
      <vt:variant>
        <vt:i4>0</vt:i4>
      </vt:variant>
      <vt:variant>
        <vt:i4>5</vt:i4>
      </vt:variant>
      <vt:variant>
        <vt:lpwstr>https://commission.europa.eu/document/10b34393-adeb-40d8-a18d-a94813fe7001_en</vt:lpwstr>
      </vt:variant>
      <vt:variant>
        <vt:lpwstr/>
      </vt:variant>
      <vt:variant>
        <vt:i4>1441838</vt:i4>
      </vt:variant>
      <vt:variant>
        <vt:i4>978</vt:i4>
      </vt:variant>
      <vt:variant>
        <vt:i4>0</vt:i4>
      </vt:variant>
      <vt:variant>
        <vt:i4>5</vt:i4>
      </vt:variant>
      <vt:variant>
        <vt:lpwstr>https://commission.europa.eu/document/3f6405bc-f071-4e6c-a2b1-212832d588fe_en</vt:lpwstr>
      </vt:variant>
      <vt:variant>
        <vt:lpwstr/>
      </vt:variant>
      <vt:variant>
        <vt:i4>4980863</vt:i4>
      </vt:variant>
      <vt:variant>
        <vt:i4>975</vt:i4>
      </vt:variant>
      <vt:variant>
        <vt:i4>0</vt:i4>
      </vt:variant>
      <vt:variant>
        <vt:i4>5</vt:i4>
      </vt:variant>
      <vt:variant>
        <vt:lpwstr>https://commission.europa.eu/document/399e00c0-68ef-43f0-adaf-4fcaadec803e_en</vt:lpwstr>
      </vt:variant>
      <vt:variant>
        <vt:lpwstr/>
      </vt:variant>
      <vt:variant>
        <vt:i4>1704048</vt:i4>
      </vt:variant>
      <vt:variant>
        <vt:i4>972</vt:i4>
      </vt:variant>
      <vt:variant>
        <vt:i4>0</vt:i4>
      </vt:variant>
      <vt:variant>
        <vt:i4>5</vt:i4>
      </vt:variant>
      <vt:variant>
        <vt:lpwstr>https://commission.europa.eu/document/5d8ff0c0-c2a7-413d-b35e-afe42dc98311_en</vt:lpwstr>
      </vt:variant>
      <vt:variant>
        <vt:lpwstr/>
      </vt:variant>
      <vt:variant>
        <vt:i4>1572904</vt:i4>
      </vt:variant>
      <vt:variant>
        <vt:i4>969</vt:i4>
      </vt:variant>
      <vt:variant>
        <vt:i4>0</vt:i4>
      </vt:variant>
      <vt:variant>
        <vt:i4>5</vt:i4>
      </vt:variant>
      <vt:variant>
        <vt:lpwstr>https://commission.europa.eu/document/593831c4-dde6-4443-89a1-fb81da85dd25_en</vt:lpwstr>
      </vt:variant>
      <vt:variant>
        <vt:lpwstr/>
      </vt:variant>
      <vt:variant>
        <vt:i4>1638524</vt:i4>
      </vt:variant>
      <vt:variant>
        <vt:i4>966</vt:i4>
      </vt:variant>
      <vt:variant>
        <vt:i4>0</vt:i4>
      </vt:variant>
      <vt:variant>
        <vt:i4>5</vt:i4>
      </vt:variant>
      <vt:variant>
        <vt:lpwstr>https://commission.europa.eu/document/e6577383-66c2-48d2-8a2e-d029d254a4ec_en</vt:lpwstr>
      </vt:variant>
      <vt:variant>
        <vt:lpwstr/>
      </vt:variant>
      <vt:variant>
        <vt:i4>4784173</vt:i4>
      </vt:variant>
      <vt:variant>
        <vt:i4>963</vt:i4>
      </vt:variant>
      <vt:variant>
        <vt:i4>0</vt:i4>
      </vt:variant>
      <vt:variant>
        <vt:i4>5</vt:i4>
      </vt:variant>
      <vt:variant>
        <vt:lpwstr>https://commission.europa.eu/document/9c178b94-8070-4d30-84d5-1c2da7691b72_en</vt:lpwstr>
      </vt:variant>
      <vt:variant>
        <vt:lpwstr/>
      </vt:variant>
      <vt:variant>
        <vt:i4>1703983</vt:i4>
      </vt:variant>
      <vt:variant>
        <vt:i4>960</vt:i4>
      </vt:variant>
      <vt:variant>
        <vt:i4>0</vt:i4>
      </vt:variant>
      <vt:variant>
        <vt:i4>5</vt:i4>
      </vt:variant>
      <vt:variant>
        <vt:lpwstr>https://commission.europa.eu/document/cb87d151-e0ef-4111-b772-84bc679c55c9_en</vt:lpwstr>
      </vt:variant>
      <vt:variant>
        <vt:lpwstr/>
      </vt:variant>
      <vt:variant>
        <vt:i4>4718635</vt:i4>
      </vt:variant>
      <vt:variant>
        <vt:i4>957</vt:i4>
      </vt:variant>
      <vt:variant>
        <vt:i4>0</vt:i4>
      </vt:variant>
      <vt:variant>
        <vt:i4>5</vt:i4>
      </vt:variant>
      <vt:variant>
        <vt:lpwstr>https://commission.europa.eu/document/6f4cd94b-e554-4b60-8f90-54c0b79606a3_en</vt:lpwstr>
      </vt:variant>
      <vt:variant>
        <vt:lpwstr/>
      </vt:variant>
      <vt:variant>
        <vt:i4>4915323</vt:i4>
      </vt:variant>
      <vt:variant>
        <vt:i4>954</vt:i4>
      </vt:variant>
      <vt:variant>
        <vt:i4>0</vt:i4>
      </vt:variant>
      <vt:variant>
        <vt:i4>5</vt:i4>
      </vt:variant>
      <vt:variant>
        <vt:lpwstr>https://commission.europa.eu/document/e4cbcb23-66f0-43d1-8230-6de47b62bb8b_en</vt:lpwstr>
      </vt:variant>
      <vt:variant>
        <vt:lpwstr/>
      </vt:variant>
      <vt:variant>
        <vt:i4>1048691</vt:i4>
      </vt:variant>
      <vt:variant>
        <vt:i4>951</vt:i4>
      </vt:variant>
      <vt:variant>
        <vt:i4>0</vt:i4>
      </vt:variant>
      <vt:variant>
        <vt:i4>5</vt:i4>
      </vt:variant>
      <vt:variant>
        <vt:lpwstr>https://commission.europa.eu/document/a85449a7-4195-496f-adbb-a217f611451a_en</vt:lpwstr>
      </vt:variant>
      <vt:variant>
        <vt:lpwstr/>
      </vt:variant>
      <vt:variant>
        <vt:i4>4784255</vt:i4>
      </vt:variant>
      <vt:variant>
        <vt:i4>948</vt:i4>
      </vt:variant>
      <vt:variant>
        <vt:i4>0</vt:i4>
      </vt:variant>
      <vt:variant>
        <vt:i4>5</vt:i4>
      </vt:variant>
      <vt:variant>
        <vt:lpwstr>https://commission.europa.eu/document/24a9b587-6e2a-4078-b58d-65dabd1233b4_en</vt:lpwstr>
      </vt:variant>
      <vt:variant>
        <vt:lpwstr/>
      </vt:variant>
      <vt:variant>
        <vt:i4>1638444</vt:i4>
      </vt:variant>
      <vt:variant>
        <vt:i4>945</vt:i4>
      </vt:variant>
      <vt:variant>
        <vt:i4>0</vt:i4>
      </vt:variant>
      <vt:variant>
        <vt:i4>5</vt:i4>
      </vt:variant>
      <vt:variant>
        <vt:lpwstr>https://commission.europa.eu/document/88318b79-b6d9-4e2e-a5ca-160217594e45_en</vt:lpwstr>
      </vt:variant>
      <vt:variant>
        <vt:lpwstr/>
      </vt:variant>
      <vt:variant>
        <vt:i4>1638433</vt:i4>
      </vt:variant>
      <vt:variant>
        <vt:i4>942</vt:i4>
      </vt:variant>
      <vt:variant>
        <vt:i4>0</vt:i4>
      </vt:variant>
      <vt:variant>
        <vt:i4>5</vt:i4>
      </vt:variant>
      <vt:variant>
        <vt:lpwstr>https://commission.europa.eu/document/d4e669ba-d722-4fbe-b5dc-efec5e27cbe0_en</vt:lpwstr>
      </vt:variant>
      <vt:variant>
        <vt:lpwstr/>
      </vt:variant>
      <vt:variant>
        <vt:i4>1900579</vt:i4>
      </vt:variant>
      <vt:variant>
        <vt:i4>939</vt:i4>
      </vt:variant>
      <vt:variant>
        <vt:i4>0</vt:i4>
      </vt:variant>
      <vt:variant>
        <vt:i4>5</vt:i4>
      </vt:variant>
      <vt:variant>
        <vt:lpwstr>https://commission.europa.eu/document/019229a1-8c23-4f90-bfe4-f842cd59c6a9_en</vt:lpwstr>
      </vt:variant>
      <vt:variant>
        <vt:lpwstr/>
      </vt:variant>
      <vt:variant>
        <vt:i4>2031741</vt:i4>
      </vt:variant>
      <vt:variant>
        <vt:i4>936</vt:i4>
      </vt:variant>
      <vt:variant>
        <vt:i4>0</vt:i4>
      </vt:variant>
      <vt:variant>
        <vt:i4>5</vt:i4>
      </vt:variant>
      <vt:variant>
        <vt:lpwstr>https://commission.europa.eu/document/417a722f-93b6-4682-a52b-f08b80747e31_en</vt:lpwstr>
      </vt:variant>
      <vt:variant>
        <vt:lpwstr/>
      </vt:variant>
      <vt:variant>
        <vt:i4>4456483</vt:i4>
      </vt:variant>
      <vt:variant>
        <vt:i4>933</vt:i4>
      </vt:variant>
      <vt:variant>
        <vt:i4>0</vt:i4>
      </vt:variant>
      <vt:variant>
        <vt:i4>5</vt:i4>
      </vt:variant>
      <vt:variant>
        <vt:lpwstr>https://commission.europa.eu/document/eb68862c-103b-441d-a85e-3424441f5218_en</vt:lpwstr>
      </vt:variant>
      <vt:variant>
        <vt:lpwstr/>
      </vt:variant>
      <vt:variant>
        <vt:i4>4522101</vt:i4>
      </vt:variant>
      <vt:variant>
        <vt:i4>930</vt:i4>
      </vt:variant>
      <vt:variant>
        <vt:i4>0</vt:i4>
      </vt:variant>
      <vt:variant>
        <vt:i4>5</vt:i4>
      </vt:variant>
      <vt:variant>
        <vt:lpwstr>https://commission.europa.eu/document/3e6bdff0-cfa7-4c9c-8497-f37286427e7b_en</vt:lpwstr>
      </vt:variant>
      <vt:variant>
        <vt:lpwstr/>
      </vt:variant>
      <vt:variant>
        <vt:i4>4653168</vt:i4>
      </vt:variant>
      <vt:variant>
        <vt:i4>927</vt:i4>
      </vt:variant>
      <vt:variant>
        <vt:i4>0</vt:i4>
      </vt:variant>
      <vt:variant>
        <vt:i4>5</vt:i4>
      </vt:variant>
      <vt:variant>
        <vt:lpwstr>https://commission.europa.eu/document/e5772fb0-6b70-4b1c-b54c-def1c42363f0_en</vt:lpwstr>
      </vt:variant>
      <vt:variant>
        <vt:lpwstr/>
      </vt:variant>
      <vt:variant>
        <vt:i4>4784246</vt:i4>
      </vt:variant>
      <vt:variant>
        <vt:i4>924</vt:i4>
      </vt:variant>
      <vt:variant>
        <vt:i4>0</vt:i4>
      </vt:variant>
      <vt:variant>
        <vt:i4>5</vt:i4>
      </vt:variant>
      <vt:variant>
        <vt:lpwstr>https://commission.europa.eu/document/75aa718d-b028-4d2b-a286-e07f3ad3b02f_en</vt:lpwstr>
      </vt:variant>
      <vt:variant>
        <vt:lpwstr/>
      </vt:variant>
      <vt:variant>
        <vt:i4>1703983</vt:i4>
      </vt:variant>
      <vt:variant>
        <vt:i4>921</vt:i4>
      </vt:variant>
      <vt:variant>
        <vt:i4>0</vt:i4>
      </vt:variant>
      <vt:variant>
        <vt:i4>5</vt:i4>
      </vt:variant>
      <vt:variant>
        <vt:lpwstr>https://commission.europa.eu/document/cb87d151-e0ef-4111-b772-84bc679c55c9_en</vt:lpwstr>
      </vt:variant>
      <vt:variant>
        <vt:lpwstr/>
      </vt:variant>
      <vt:variant>
        <vt:i4>4325491</vt:i4>
      </vt:variant>
      <vt:variant>
        <vt:i4>918</vt:i4>
      </vt:variant>
      <vt:variant>
        <vt:i4>0</vt:i4>
      </vt:variant>
      <vt:variant>
        <vt:i4>5</vt:i4>
      </vt:variant>
      <vt:variant>
        <vt:lpwstr>https://commission.europa.eu/document/f62ae9c3-a2d6-4da5-b70a-43397c30fc36_en</vt:lpwstr>
      </vt:variant>
      <vt:variant>
        <vt:lpwstr/>
      </vt:variant>
      <vt:variant>
        <vt:i4>5177464</vt:i4>
      </vt:variant>
      <vt:variant>
        <vt:i4>915</vt:i4>
      </vt:variant>
      <vt:variant>
        <vt:i4>0</vt:i4>
      </vt:variant>
      <vt:variant>
        <vt:i4>5</vt:i4>
      </vt:variant>
      <vt:variant>
        <vt:lpwstr>https://commission.europa.eu/document/9c3333e5-5ede-4917-8524-cbeea2f9f17d_en</vt:lpwstr>
      </vt:variant>
      <vt:variant>
        <vt:lpwstr/>
      </vt:variant>
      <vt:variant>
        <vt:i4>1376296</vt:i4>
      </vt:variant>
      <vt:variant>
        <vt:i4>912</vt:i4>
      </vt:variant>
      <vt:variant>
        <vt:i4>0</vt:i4>
      </vt:variant>
      <vt:variant>
        <vt:i4>5</vt:i4>
      </vt:variant>
      <vt:variant>
        <vt:lpwstr>https://commission.europa.eu/document/10b34393-adeb-40d8-a18d-a94813fe7001_en</vt:lpwstr>
      </vt:variant>
      <vt:variant>
        <vt:lpwstr/>
      </vt:variant>
      <vt:variant>
        <vt:i4>1638527</vt:i4>
      </vt:variant>
      <vt:variant>
        <vt:i4>909</vt:i4>
      </vt:variant>
      <vt:variant>
        <vt:i4>0</vt:i4>
      </vt:variant>
      <vt:variant>
        <vt:i4>5</vt:i4>
      </vt:variant>
      <vt:variant>
        <vt:lpwstr>https://commission.europa.eu/document/491770ba-4104-4367-8099-878ce1e3b034_en</vt:lpwstr>
      </vt:variant>
      <vt:variant>
        <vt:lpwstr/>
      </vt:variant>
      <vt:variant>
        <vt:i4>4784246</vt:i4>
      </vt:variant>
      <vt:variant>
        <vt:i4>906</vt:i4>
      </vt:variant>
      <vt:variant>
        <vt:i4>0</vt:i4>
      </vt:variant>
      <vt:variant>
        <vt:i4>5</vt:i4>
      </vt:variant>
      <vt:variant>
        <vt:lpwstr>https://commission.europa.eu/document/75aa718d-b028-4d2b-a286-e07f3ad3b02f_en</vt:lpwstr>
      </vt:variant>
      <vt:variant>
        <vt:lpwstr/>
      </vt:variant>
      <vt:variant>
        <vt:i4>5177464</vt:i4>
      </vt:variant>
      <vt:variant>
        <vt:i4>903</vt:i4>
      </vt:variant>
      <vt:variant>
        <vt:i4>0</vt:i4>
      </vt:variant>
      <vt:variant>
        <vt:i4>5</vt:i4>
      </vt:variant>
      <vt:variant>
        <vt:lpwstr>https://commission.europa.eu/document/9c3333e5-5ede-4917-8524-cbeea2f9f17d_en</vt:lpwstr>
      </vt:variant>
      <vt:variant>
        <vt:lpwstr/>
      </vt:variant>
      <vt:variant>
        <vt:i4>4784173</vt:i4>
      </vt:variant>
      <vt:variant>
        <vt:i4>900</vt:i4>
      </vt:variant>
      <vt:variant>
        <vt:i4>0</vt:i4>
      </vt:variant>
      <vt:variant>
        <vt:i4>5</vt:i4>
      </vt:variant>
      <vt:variant>
        <vt:lpwstr>https://commission.europa.eu/document/9c178b94-8070-4d30-84d5-1c2da7691b72_en</vt:lpwstr>
      </vt:variant>
      <vt:variant>
        <vt:lpwstr/>
      </vt:variant>
      <vt:variant>
        <vt:i4>4456483</vt:i4>
      </vt:variant>
      <vt:variant>
        <vt:i4>897</vt:i4>
      </vt:variant>
      <vt:variant>
        <vt:i4>0</vt:i4>
      </vt:variant>
      <vt:variant>
        <vt:i4>5</vt:i4>
      </vt:variant>
      <vt:variant>
        <vt:lpwstr>https://commission.europa.eu/document/eb68862c-103b-441d-a85e-3424441f5218_en</vt:lpwstr>
      </vt:variant>
      <vt:variant>
        <vt:lpwstr/>
      </vt:variant>
      <vt:variant>
        <vt:i4>4915323</vt:i4>
      </vt:variant>
      <vt:variant>
        <vt:i4>894</vt:i4>
      </vt:variant>
      <vt:variant>
        <vt:i4>0</vt:i4>
      </vt:variant>
      <vt:variant>
        <vt:i4>5</vt:i4>
      </vt:variant>
      <vt:variant>
        <vt:lpwstr>https://commission.europa.eu/document/e4cbcb23-66f0-43d1-8230-6de47b62bb8b_en</vt:lpwstr>
      </vt:variant>
      <vt:variant>
        <vt:lpwstr/>
      </vt:variant>
      <vt:variant>
        <vt:i4>1638436</vt:i4>
      </vt:variant>
      <vt:variant>
        <vt:i4>891</vt:i4>
      </vt:variant>
      <vt:variant>
        <vt:i4>0</vt:i4>
      </vt:variant>
      <vt:variant>
        <vt:i4>5</vt:i4>
      </vt:variant>
      <vt:variant>
        <vt:lpwstr>https://commission.europa.eu/document/dd8a5789-9309-4de1-ba0e-fe0d9118e7a6_en</vt:lpwstr>
      </vt:variant>
      <vt:variant>
        <vt:lpwstr/>
      </vt:variant>
      <vt:variant>
        <vt:i4>4915323</vt:i4>
      </vt:variant>
      <vt:variant>
        <vt:i4>888</vt:i4>
      </vt:variant>
      <vt:variant>
        <vt:i4>0</vt:i4>
      </vt:variant>
      <vt:variant>
        <vt:i4>5</vt:i4>
      </vt:variant>
      <vt:variant>
        <vt:lpwstr>https://commission.europa.eu/document/e4cbcb23-66f0-43d1-8230-6de47b62bb8b_en</vt:lpwstr>
      </vt:variant>
      <vt:variant>
        <vt:lpwstr/>
      </vt:variant>
      <vt:variant>
        <vt:i4>4718635</vt:i4>
      </vt:variant>
      <vt:variant>
        <vt:i4>885</vt:i4>
      </vt:variant>
      <vt:variant>
        <vt:i4>0</vt:i4>
      </vt:variant>
      <vt:variant>
        <vt:i4>5</vt:i4>
      </vt:variant>
      <vt:variant>
        <vt:lpwstr>https://commission.europa.eu/document/6f4cd94b-e554-4b60-8f90-54c0b79606a3_en</vt:lpwstr>
      </vt:variant>
      <vt:variant>
        <vt:lpwstr/>
      </vt:variant>
      <vt:variant>
        <vt:i4>1441838</vt:i4>
      </vt:variant>
      <vt:variant>
        <vt:i4>882</vt:i4>
      </vt:variant>
      <vt:variant>
        <vt:i4>0</vt:i4>
      </vt:variant>
      <vt:variant>
        <vt:i4>5</vt:i4>
      </vt:variant>
      <vt:variant>
        <vt:lpwstr>https://commission.europa.eu/document/3f6405bc-f071-4e6c-a2b1-212832d588fe_en</vt:lpwstr>
      </vt:variant>
      <vt:variant>
        <vt:lpwstr/>
      </vt:variant>
      <vt:variant>
        <vt:i4>4718715</vt:i4>
      </vt:variant>
      <vt:variant>
        <vt:i4>879</vt:i4>
      </vt:variant>
      <vt:variant>
        <vt:i4>0</vt:i4>
      </vt:variant>
      <vt:variant>
        <vt:i4>5</vt:i4>
      </vt:variant>
      <vt:variant>
        <vt:lpwstr>https://commission.europa.eu/document/b0b87aac-b88d-405b-bdc5-4e32f0765926_en</vt:lpwstr>
      </vt:variant>
      <vt:variant>
        <vt:lpwstr/>
      </vt:variant>
      <vt:variant>
        <vt:i4>1114226</vt:i4>
      </vt:variant>
      <vt:variant>
        <vt:i4>876</vt:i4>
      </vt:variant>
      <vt:variant>
        <vt:i4>0</vt:i4>
      </vt:variant>
      <vt:variant>
        <vt:i4>5</vt:i4>
      </vt:variant>
      <vt:variant>
        <vt:lpwstr>https://commission.europa.eu/document/3aab2482-4772-4579-bdf0-03f5a93a5a95_en</vt:lpwstr>
      </vt:variant>
      <vt:variant>
        <vt:lpwstr/>
      </vt:variant>
      <vt:variant>
        <vt:i4>4718635</vt:i4>
      </vt:variant>
      <vt:variant>
        <vt:i4>873</vt:i4>
      </vt:variant>
      <vt:variant>
        <vt:i4>0</vt:i4>
      </vt:variant>
      <vt:variant>
        <vt:i4>5</vt:i4>
      </vt:variant>
      <vt:variant>
        <vt:lpwstr>https://commission.europa.eu/document/6f4cd94b-e554-4b60-8f90-54c0b79606a3_en</vt:lpwstr>
      </vt:variant>
      <vt:variant>
        <vt:lpwstr/>
      </vt:variant>
      <vt:variant>
        <vt:i4>1114236</vt:i4>
      </vt:variant>
      <vt:variant>
        <vt:i4>870</vt:i4>
      </vt:variant>
      <vt:variant>
        <vt:i4>0</vt:i4>
      </vt:variant>
      <vt:variant>
        <vt:i4>5</vt:i4>
      </vt:variant>
      <vt:variant>
        <vt:lpwstr>https://commission.europa.eu/document/1a478a70-1461-4bfc-9408-60595dff5d8c_en</vt:lpwstr>
      </vt:variant>
      <vt:variant>
        <vt:lpwstr/>
      </vt:variant>
      <vt:variant>
        <vt:i4>1638444</vt:i4>
      </vt:variant>
      <vt:variant>
        <vt:i4>867</vt:i4>
      </vt:variant>
      <vt:variant>
        <vt:i4>0</vt:i4>
      </vt:variant>
      <vt:variant>
        <vt:i4>5</vt:i4>
      </vt:variant>
      <vt:variant>
        <vt:lpwstr>https://commission.europa.eu/document/88318b79-b6d9-4e2e-a5ca-160217594e45_en</vt:lpwstr>
      </vt:variant>
      <vt:variant>
        <vt:lpwstr/>
      </vt:variant>
      <vt:variant>
        <vt:i4>1114153</vt:i4>
      </vt:variant>
      <vt:variant>
        <vt:i4>864</vt:i4>
      </vt:variant>
      <vt:variant>
        <vt:i4>0</vt:i4>
      </vt:variant>
      <vt:variant>
        <vt:i4>5</vt:i4>
      </vt:variant>
      <vt:variant>
        <vt:lpwstr>https://commission.europa.eu/document/0e737e3a-55fd-424e-883d-72c2d3092be1_en</vt:lpwstr>
      </vt:variant>
      <vt:variant>
        <vt:lpwstr/>
      </vt:variant>
      <vt:variant>
        <vt:i4>1048691</vt:i4>
      </vt:variant>
      <vt:variant>
        <vt:i4>861</vt:i4>
      </vt:variant>
      <vt:variant>
        <vt:i4>0</vt:i4>
      </vt:variant>
      <vt:variant>
        <vt:i4>5</vt:i4>
      </vt:variant>
      <vt:variant>
        <vt:lpwstr>https://commission.europa.eu/document/a85449a7-4195-496f-adbb-a217f611451a_en</vt:lpwstr>
      </vt:variant>
      <vt:variant>
        <vt:lpwstr/>
      </vt:variant>
      <vt:variant>
        <vt:i4>4653168</vt:i4>
      </vt:variant>
      <vt:variant>
        <vt:i4>858</vt:i4>
      </vt:variant>
      <vt:variant>
        <vt:i4>0</vt:i4>
      </vt:variant>
      <vt:variant>
        <vt:i4>5</vt:i4>
      </vt:variant>
      <vt:variant>
        <vt:lpwstr>https://commission.europa.eu/document/e5772fb0-6b70-4b1c-b54c-def1c42363f0_en</vt:lpwstr>
      </vt:variant>
      <vt:variant>
        <vt:lpwstr/>
      </vt:variant>
      <vt:variant>
        <vt:i4>1638527</vt:i4>
      </vt:variant>
      <vt:variant>
        <vt:i4>855</vt:i4>
      </vt:variant>
      <vt:variant>
        <vt:i4>0</vt:i4>
      </vt:variant>
      <vt:variant>
        <vt:i4>5</vt:i4>
      </vt:variant>
      <vt:variant>
        <vt:lpwstr>https://commission.europa.eu/document/491770ba-4104-4367-8099-878ce1e3b034_en</vt:lpwstr>
      </vt:variant>
      <vt:variant>
        <vt:lpwstr/>
      </vt:variant>
      <vt:variant>
        <vt:i4>1572904</vt:i4>
      </vt:variant>
      <vt:variant>
        <vt:i4>852</vt:i4>
      </vt:variant>
      <vt:variant>
        <vt:i4>0</vt:i4>
      </vt:variant>
      <vt:variant>
        <vt:i4>5</vt:i4>
      </vt:variant>
      <vt:variant>
        <vt:lpwstr>https://commission.europa.eu/document/593831c4-dde6-4443-89a1-fb81da85dd25_en</vt:lpwstr>
      </vt:variant>
      <vt:variant>
        <vt:lpwstr/>
      </vt:variant>
      <vt:variant>
        <vt:i4>1638524</vt:i4>
      </vt:variant>
      <vt:variant>
        <vt:i4>849</vt:i4>
      </vt:variant>
      <vt:variant>
        <vt:i4>0</vt:i4>
      </vt:variant>
      <vt:variant>
        <vt:i4>5</vt:i4>
      </vt:variant>
      <vt:variant>
        <vt:lpwstr>https://commission.europa.eu/document/e6577383-66c2-48d2-8a2e-d029d254a4ec_en</vt:lpwstr>
      </vt:variant>
      <vt:variant>
        <vt:lpwstr/>
      </vt:variant>
      <vt:variant>
        <vt:i4>4915323</vt:i4>
      </vt:variant>
      <vt:variant>
        <vt:i4>846</vt:i4>
      </vt:variant>
      <vt:variant>
        <vt:i4>0</vt:i4>
      </vt:variant>
      <vt:variant>
        <vt:i4>5</vt:i4>
      </vt:variant>
      <vt:variant>
        <vt:lpwstr>https://commission.europa.eu/document/e4cbcb23-66f0-43d1-8230-6de47b62bb8b_en</vt:lpwstr>
      </vt:variant>
      <vt:variant>
        <vt:lpwstr/>
      </vt:variant>
      <vt:variant>
        <vt:i4>4980863</vt:i4>
      </vt:variant>
      <vt:variant>
        <vt:i4>843</vt:i4>
      </vt:variant>
      <vt:variant>
        <vt:i4>0</vt:i4>
      </vt:variant>
      <vt:variant>
        <vt:i4>5</vt:i4>
      </vt:variant>
      <vt:variant>
        <vt:lpwstr>https://commission.europa.eu/document/399e00c0-68ef-43f0-adaf-4fcaadec803e_en</vt:lpwstr>
      </vt:variant>
      <vt:variant>
        <vt:lpwstr/>
      </vt:variant>
      <vt:variant>
        <vt:i4>1900579</vt:i4>
      </vt:variant>
      <vt:variant>
        <vt:i4>840</vt:i4>
      </vt:variant>
      <vt:variant>
        <vt:i4>0</vt:i4>
      </vt:variant>
      <vt:variant>
        <vt:i4>5</vt:i4>
      </vt:variant>
      <vt:variant>
        <vt:lpwstr>https://commission.europa.eu/document/019229a1-8c23-4f90-bfe4-f842cd59c6a9_en</vt:lpwstr>
      </vt:variant>
      <vt:variant>
        <vt:lpwstr/>
      </vt:variant>
      <vt:variant>
        <vt:i4>1769589</vt:i4>
      </vt:variant>
      <vt:variant>
        <vt:i4>837</vt:i4>
      </vt:variant>
      <vt:variant>
        <vt:i4>0</vt:i4>
      </vt:variant>
      <vt:variant>
        <vt:i4>5</vt:i4>
      </vt:variant>
      <vt:variant>
        <vt:lpwstr>https://commission.europa.eu/document/ead2f649-cf9d-48d0-b748-f0e797fd5dbf_en</vt:lpwstr>
      </vt:variant>
      <vt:variant>
        <vt:lpwstr/>
      </vt:variant>
      <vt:variant>
        <vt:i4>4325491</vt:i4>
      </vt:variant>
      <vt:variant>
        <vt:i4>834</vt:i4>
      </vt:variant>
      <vt:variant>
        <vt:i4>0</vt:i4>
      </vt:variant>
      <vt:variant>
        <vt:i4>5</vt:i4>
      </vt:variant>
      <vt:variant>
        <vt:lpwstr>https://commission.europa.eu/document/f62ae9c3-a2d6-4da5-b70a-43397c30fc36_en</vt:lpwstr>
      </vt:variant>
      <vt:variant>
        <vt:lpwstr/>
      </vt:variant>
      <vt:variant>
        <vt:i4>2031741</vt:i4>
      </vt:variant>
      <vt:variant>
        <vt:i4>831</vt:i4>
      </vt:variant>
      <vt:variant>
        <vt:i4>0</vt:i4>
      </vt:variant>
      <vt:variant>
        <vt:i4>5</vt:i4>
      </vt:variant>
      <vt:variant>
        <vt:lpwstr>https://commission.europa.eu/document/417a722f-93b6-4682-a52b-f08b80747e31_en</vt:lpwstr>
      </vt:variant>
      <vt:variant>
        <vt:lpwstr/>
      </vt:variant>
      <vt:variant>
        <vt:i4>1638433</vt:i4>
      </vt:variant>
      <vt:variant>
        <vt:i4>828</vt:i4>
      </vt:variant>
      <vt:variant>
        <vt:i4>0</vt:i4>
      </vt:variant>
      <vt:variant>
        <vt:i4>5</vt:i4>
      </vt:variant>
      <vt:variant>
        <vt:lpwstr>https://commission.europa.eu/document/d4e669ba-d722-4fbe-b5dc-efec5e27cbe0_en</vt:lpwstr>
      </vt:variant>
      <vt:variant>
        <vt:lpwstr/>
      </vt:variant>
      <vt:variant>
        <vt:i4>4456483</vt:i4>
      </vt:variant>
      <vt:variant>
        <vt:i4>825</vt:i4>
      </vt:variant>
      <vt:variant>
        <vt:i4>0</vt:i4>
      </vt:variant>
      <vt:variant>
        <vt:i4>5</vt:i4>
      </vt:variant>
      <vt:variant>
        <vt:lpwstr>https://commission.europa.eu/document/eb68862c-103b-441d-a85e-3424441f5218_en</vt:lpwstr>
      </vt:variant>
      <vt:variant>
        <vt:lpwstr/>
      </vt:variant>
      <vt:variant>
        <vt:i4>4522101</vt:i4>
      </vt:variant>
      <vt:variant>
        <vt:i4>822</vt:i4>
      </vt:variant>
      <vt:variant>
        <vt:i4>0</vt:i4>
      </vt:variant>
      <vt:variant>
        <vt:i4>5</vt:i4>
      </vt:variant>
      <vt:variant>
        <vt:lpwstr>https://commission.europa.eu/document/3e6bdff0-cfa7-4c9c-8497-f37286427e7b_en</vt:lpwstr>
      </vt:variant>
      <vt:variant>
        <vt:lpwstr/>
      </vt:variant>
      <vt:variant>
        <vt:i4>5177464</vt:i4>
      </vt:variant>
      <vt:variant>
        <vt:i4>819</vt:i4>
      </vt:variant>
      <vt:variant>
        <vt:i4>0</vt:i4>
      </vt:variant>
      <vt:variant>
        <vt:i4>5</vt:i4>
      </vt:variant>
      <vt:variant>
        <vt:lpwstr>https://commission.europa.eu/document/9c3333e5-5ede-4917-8524-cbeea2f9f17d_en</vt:lpwstr>
      </vt:variant>
      <vt:variant>
        <vt:lpwstr/>
      </vt:variant>
      <vt:variant>
        <vt:i4>4784173</vt:i4>
      </vt:variant>
      <vt:variant>
        <vt:i4>816</vt:i4>
      </vt:variant>
      <vt:variant>
        <vt:i4>0</vt:i4>
      </vt:variant>
      <vt:variant>
        <vt:i4>5</vt:i4>
      </vt:variant>
      <vt:variant>
        <vt:lpwstr>https://commission.europa.eu/document/9c178b94-8070-4d30-84d5-1c2da7691b72_en</vt:lpwstr>
      </vt:variant>
      <vt:variant>
        <vt:lpwstr/>
      </vt:variant>
      <vt:variant>
        <vt:i4>1704048</vt:i4>
      </vt:variant>
      <vt:variant>
        <vt:i4>813</vt:i4>
      </vt:variant>
      <vt:variant>
        <vt:i4>0</vt:i4>
      </vt:variant>
      <vt:variant>
        <vt:i4>5</vt:i4>
      </vt:variant>
      <vt:variant>
        <vt:lpwstr>https://commission.europa.eu/document/5d8ff0c0-c2a7-413d-b35e-afe42dc98311_en</vt:lpwstr>
      </vt:variant>
      <vt:variant>
        <vt:lpwstr/>
      </vt:variant>
      <vt:variant>
        <vt:i4>1441838</vt:i4>
      </vt:variant>
      <vt:variant>
        <vt:i4>810</vt:i4>
      </vt:variant>
      <vt:variant>
        <vt:i4>0</vt:i4>
      </vt:variant>
      <vt:variant>
        <vt:i4>5</vt:i4>
      </vt:variant>
      <vt:variant>
        <vt:lpwstr>https://commission.europa.eu/document/3f6405bc-f071-4e6c-a2b1-212832d588fe_en</vt:lpwstr>
      </vt:variant>
      <vt:variant>
        <vt:lpwstr/>
      </vt:variant>
      <vt:variant>
        <vt:i4>1769595</vt:i4>
      </vt:variant>
      <vt:variant>
        <vt:i4>807</vt:i4>
      </vt:variant>
      <vt:variant>
        <vt:i4>0</vt:i4>
      </vt:variant>
      <vt:variant>
        <vt:i4>5</vt:i4>
      </vt:variant>
      <vt:variant>
        <vt:lpwstr>https://commission.europa.eu/document/c4aa0a4b-ebb0-47ca-8f73-d75d248e1470_en</vt:lpwstr>
      </vt:variant>
      <vt:variant>
        <vt:lpwstr/>
      </vt:variant>
      <vt:variant>
        <vt:i4>1114226</vt:i4>
      </vt:variant>
      <vt:variant>
        <vt:i4>804</vt:i4>
      </vt:variant>
      <vt:variant>
        <vt:i4>0</vt:i4>
      </vt:variant>
      <vt:variant>
        <vt:i4>5</vt:i4>
      </vt:variant>
      <vt:variant>
        <vt:lpwstr>https://commission.europa.eu/document/3aab2482-4772-4579-bdf0-03f5a93a5a95_en</vt:lpwstr>
      </vt:variant>
      <vt:variant>
        <vt:lpwstr/>
      </vt:variant>
      <vt:variant>
        <vt:i4>1114153</vt:i4>
      </vt:variant>
      <vt:variant>
        <vt:i4>801</vt:i4>
      </vt:variant>
      <vt:variant>
        <vt:i4>0</vt:i4>
      </vt:variant>
      <vt:variant>
        <vt:i4>5</vt:i4>
      </vt:variant>
      <vt:variant>
        <vt:lpwstr>https://commission.europa.eu/document/0e737e3a-55fd-424e-883d-72c2d3092be1_en</vt:lpwstr>
      </vt:variant>
      <vt:variant>
        <vt:lpwstr/>
      </vt:variant>
      <vt:variant>
        <vt:i4>4653168</vt:i4>
      </vt:variant>
      <vt:variant>
        <vt:i4>798</vt:i4>
      </vt:variant>
      <vt:variant>
        <vt:i4>0</vt:i4>
      </vt:variant>
      <vt:variant>
        <vt:i4>5</vt:i4>
      </vt:variant>
      <vt:variant>
        <vt:lpwstr>https://commission.europa.eu/document/e5772fb0-6b70-4b1c-b54c-def1c42363f0_en</vt:lpwstr>
      </vt:variant>
      <vt:variant>
        <vt:lpwstr/>
      </vt:variant>
      <vt:variant>
        <vt:i4>1114236</vt:i4>
      </vt:variant>
      <vt:variant>
        <vt:i4>795</vt:i4>
      </vt:variant>
      <vt:variant>
        <vt:i4>0</vt:i4>
      </vt:variant>
      <vt:variant>
        <vt:i4>5</vt:i4>
      </vt:variant>
      <vt:variant>
        <vt:lpwstr>https://commission.europa.eu/document/1a478a70-1461-4bfc-9408-60595dff5d8c_en</vt:lpwstr>
      </vt:variant>
      <vt:variant>
        <vt:lpwstr/>
      </vt:variant>
      <vt:variant>
        <vt:i4>5046319</vt:i4>
      </vt:variant>
      <vt:variant>
        <vt:i4>792</vt:i4>
      </vt:variant>
      <vt:variant>
        <vt:i4>0</vt:i4>
      </vt:variant>
      <vt:variant>
        <vt:i4>5</vt:i4>
      </vt:variant>
      <vt:variant>
        <vt:lpwstr>https://commission.europa.eu/document/82ce1391-cde5-49e9-9d1b-3f14f4975eb7_en</vt:lpwstr>
      </vt:variant>
      <vt:variant>
        <vt:lpwstr/>
      </vt:variant>
      <vt:variant>
        <vt:i4>1703983</vt:i4>
      </vt:variant>
      <vt:variant>
        <vt:i4>789</vt:i4>
      </vt:variant>
      <vt:variant>
        <vt:i4>0</vt:i4>
      </vt:variant>
      <vt:variant>
        <vt:i4>5</vt:i4>
      </vt:variant>
      <vt:variant>
        <vt:lpwstr>https://commission.europa.eu/document/cb87d151-e0ef-4111-b772-84bc679c55c9_en</vt:lpwstr>
      </vt:variant>
      <vt:variant>
        <vt:lpwstr/>
      </vt:variant>
      <vt:variant>
        <vt:i4>1769589</vt:i4>
      </vt:variant>
      <vt:variant>
        <vt:i4>786</vt:i4>
      </vt:variant>
      <vt:variant>
        <vt:i4>0</vt:i4>
      </vt:variant>
      <vt:variant>
        <vt:i4>5</vt:i4>
      </vt:variant>
      <vt:variant>
        <vt:lpwstr>https://commission.europa.eu/document/ead2f649-cf9d-48d0-b748-f0e797fd5dbf_en</vt:lpwstr>
      </vt:variant>
      <vt:variant>
        <vt:lpwstr/>
      </vt:variant>
      <vt:variant>
        <vt:i4>1048691</vt:i4>
      </vt:variant>
      <vt:variant>
        <vt:i4>783</vt:i4>
      </vt:variant>
      <vt:variant>
        <vt:i4>0</vt:i4>
      </vt:variant>
      <vt:variant>
        <vt:i4>5</vt:i4>
      </vt:variant>
      <vt:variant>
        <vt:lpwstr>https://commission.europa.eu/document/a85449a7-4195-496f-adbb-a217f611451a_en</vt:lpwstr>
      </vt:variant>
      <vt:variant>
        <vt:lpwstr/>
      </vt:variant>
      <vt:variant>
        <vt:i4>2031741</vt:i4>
      </vt:variant>
      <vt:variant>
        <vt:i4>780</vt:i4>
      </vt:variant>
      <vt:variant>
        <vt:i4>0</vt:i4>
      </vt:variant>
      <vt:variant>
        <vt:i4>5</vt:i4>
      </vt:variant>
      <vt:variant>
        <vt:lpwstr>https://commission.europa.eu/document/417a722f-93b6-4682-a52b-f08b80747e31_en</vt:lpwstr>
      </vt:variant>
      <vt:variant>
        <vt:lpwstr/>
      </vt:variant>
      <vt:variant>
        <vt:i4>4980863</vt:i4>
      </vt:variant>
      <vt:variant>
        <vt:i4>777</vt:i4>
      </vt:variant>
      <vt:variant>
        <vt:i4>0</vt:i4>
      </vt:variant>
      <vt:variant>
        <vt:i4>5</vt:i4>
      </vt:variant>
      <vt:variant>
        <vt:lpwstr>https://commission.europa.eu/document/399e00c0-68ef-43f0-adaf-4fcaadec803e_en</vt:lpwstr>
      </vt:variant>
      <vt:variant>
        <vt:lpwstr/>
      </vt:variant>
      <vt:variant>
        <vt:i4>1703983</vt:i4>
      </vt:variant>
      <vt:variant>
        <vt:i4>774</vt:i4>
      </vt:variant>
      <vt:variant>
        <vt:i4>0</vt:i4>
      </vt:variant>
      <vt:variant>
        <vt:i4>5</vt:i4>
      </vt:variant>
      <vt:variant>
        <vt:lpwstr>https://commission.europa.eu/document/cb87d151-e0ef-4111-b772-84bc679c55c9_en</vt:lpwstr>
      </vt:variant>
      <vt:variant>
        <vt:lpwstr/>
      </vt:variant>
      <vt:variant>
        <vt:i4>1638433</vt:i4>
      </vt:variant>
      <vt:variant>
        <vt:i4>771</vt:i4>
      </vt:variant>
      <vt:variant>
        <vt:i4>0</vt:i4>
      </vt:variant>
      <vt:variant>
        <vt:i4>5</vt:i4>
      </vt:variant>
      <vt:variant>
        <vt:lpwstr>https://commission.europa.eu/document/d4e669ba-d722-4fbe-b5dc-efec5e27cbe0_en</vt:lpwstr>
      </vt:variant>
      <vt:variant>
        <vt:lpwstr/>
      </vt:variant>
      <vt:variant>
        <vt:i4>4456483</vt:i4>
      </vt:variant>
      <vt:variant>
        <vt:i4>768</vt:i4>
      </vt:variant>
      <vt:variant>
        <vt:i4>0</vt:i4>
      </vt:variant>
      <vt:variant>
        <vt:i4>5</vt:i4>
      </vt:variant>
      <vt:variant>
        <vt:lpwstr>https://commission.europa.eu/document/eb68862c-103b-441d-a85e-3424441f5218_en</vt:lpwstr>
      </vt:variant>
      <vt:variant>
        <vt:lpwstr/>
      </vt:variant>
      <vt:variant>
        <vt:i4>1638444</vt:i4>
      </vt:variant>
      <vt:variant>
        <vt:i4>765</vt:i4>
      </vt:variant>
      <vt:variant>
        <vt:i4>0</vt:i4>
      </vt:variant>
      <vt:variant>
        <vt:i4>5</vt:i4>
      </vt:variant>
      <vt:variant>
        <vt:lpwstr>https://commission.europa.eu/document/88318b79-b6d9-4e2e-a5ca-160217594e45_en</vt:lpwstr>
      </vt:variant>
      <vt:variant>
        <vt:lpwstr/>
      </vt:variant>
      <vt:variant>
        <vt:i4>4325491</vt:i4>
      </vt:variant>
      <vt:variant>
        <vt:i4>762</vt:i4>
      </vt:variant>
      <vt:variant>
        <vt:i4>0</vt:i4>
      </vt:variant>
      <vt:variant>
        <vt:i4>5</vt:i4>
      </vt:variant>
      <vt:variant>
        <vt:lpwstr>https://commission.europa.eu/document/f62ae9c3-a2d6-4da5-b70a-43397c30fc36_en</vt:lpwstr>
      </vt:variant>
      <vt:variant>
        <vt:lpwstr/>
      </vt:variant>
      <vt:variant>
        <vt:i4>4718715</vt:i4>
      </vt:variant>
      <vt:variant>
        <vt:i4>759</vt:i4>
      </vt:variant>
      <vt:variant>
        <vt:i4>0</vt:i4>
      </vt:variant>
      <vt:variant>
        <vt:i4>5</vt:i4>
      </vt:variant>
      <vt:variant>
        <vt:lpwstr>https://commission.europa.eu/document/b0b87aac-b88d-405b-bdc5-4e32f0765926_en</vt:lpwstr>
      </vt:variant>
      <vt:variant>
        <vt:lpwstr/>
      </vt:variant>
      <vt:variant>
        <vt:i4>1376296</vt:i4>
      </vt:variant>
      <vt:variant>
        <vt:i4>756</vt:i4>
      </vt:variant>
      <vt:variant>
        <vt:i4>0</vt:i4>
      </vt:variant>
      <vt:variant>
        <vt:i4>5</vt:i4>
      </vt:variant>
      <vt:variant>
        <vt:lpwstr>https://commission.europa.eu/document/10b34393-adeb-40d8-a18d-a94813fe7001_en</vt:lpwstr>
      </vt:variant>
      <vt:variant>
        <vt:lpwstr/>
      </vt:variant>
      <vt:variant>
        <vt:i4>1114236</vt:i4>
      </vt:variant>
      <vt:variant>
        <vt:i4>753</vt:i4>
      </vt:variant>
      <vt:variant>
        <vt:i4>0</vt:i4>
      </vt:variant>
      <vt:variant>
        <vt:i4>5</vt:i4>
      </vt:variant>
      <vt:variant>
        <vt:lpwstr>https://commission.europa.eu/document/1a478a70-1461-4bfc-9408-60595dff5d8c_en</vt:lpwstr>
      </vt:variant>
      <vt:variant>
        <vt:lpwstr/>
      </vt:variant>
      <vt:variant>
        <vt:i4>4653168</vt:i4>
      </vt:variant>
      <vt:variant>
        <vt:i4>750</vt:i4>
      </vt:variant>
      <vt:variant>
        <vt:i4>0</vt:i4>
      </vt:variant>
      <vt:variant>
        <vt:i4>5</vt:i4>
      </vt:variant>
      <vt:variant>
        <vt:lpwstr>https://commission.europa.eu/document/e5772fb0-6b70-4b1c-b54c-def1c42363f0_en</vt:lpwstr>
      </vt:variant>
      <vt:variant>
        <vt:lpwstr/>
      </vt:variant>
      <vt:variant>
        <vt:i4>5046319</vt:i4>
      </vt:variant>
      <vt:variant>
        <vt:i4>747</vt:i4>
      </vt:variant>
      <vt:variant>
        <vt:i4>0</vt:i4>
      </vt:variant>
      <vt:variant>
        <vt:i4>5</vt:i4>
      </vt:variant>
      <vt:variant>
        <vt:lpwstr>https://commission.europa.eu/document/82ce1391-cde5-49e9-9d1b-3f14f4975eb7_en</vt:lpwstr>
      </vt:variant>
      <vt:variant>
        <vt:lpwstr/>
      </vt:variant>
      <vt:variant>
        <vt:i4>4718635</vt:i4>
      </vt:variant>
      <vt:variant>
        <vt:i4>744</vt:i4>
      </vt:variant>
      <vt:variant>
        <vt:i4>0</vt:i4>
      </vt:variant>
      <vt:variant>
        <vt:i4>5</vt:i4>
      </vt:variant>
      <vt:variant>
        <vt:lpwstr>https://commission.europa.eu/document/6f4cd94b-e554-4b60-8f90-54c0b79606a3_en</vt:lpwstr>
      </vt:variant>
      <vt:variant>
        <vt:lpwstr/>
      </vt:variant>
      <vt:variant>
        <vt:i4>1769589</vt:i4>
      </vt:variant>
      <vt:variant>
        <vt:i4>741</vt:i4>
      </vt:variant>
      <vt:variant>
        <vt:i4>0</vt:i4>
      </vt:variant>
      <vt:variant>
        <vt:i4>5</vt:i4>
      </vt:variant>
      <vt:variant>
        <vt:lpwstr>https://commission.europa.eu/document/ead2f649-cf9d-48d0-b748-f0e797fd5dbf_en</vt:lpwstr>
      </vt:variant>
      <vt:variant>
        <vt:lpwstr/>
      </vt:variant>
      <vt:variant>
        <vt:i4>1048691</vt:i4>
      </vt:variant>
      <vt:variant>
        <vt:i4>738</vt:i4>
      </vt:variant>
      <vt:variant>
        <vt:i4>0</vt:i4>
      </vt:variant>
      <vt:variant>
        <vt:i4>5</vt:i4>
      </vt:variant>
      <vt:variant>
        <vt:lpwstr>https://commission.europa.eu/document/a85449a7-4195-496f-adbb-a217f611451a_en</vt:lpwstr>
      </vt:variant>
      <vt:variant>
        <vt:lpwstr/>
      </vt:variant>
      <vt:variant>
        <vt:i4>2031741</vt:i4>
      </vt:variant>
      <vt:variant>
        <vt:i4>735</vt:i4>
      </vt:variant>
      <vt:variant>
        <vt:i4>0</vt:i4>
      </vt:variant>
      <vt:variant>
        <vt:i4>5</vt:i4>
      </vt:variant>
      <vt:variant>
        <vt:lpwstr>https://commission.europa.eu/document/417a722f-93b6-4682-a52b-f08b80747e31_en</vt:lpwstr>
      </vt:variant>
      <vt:variant>
        <vt:lpwstr/>
      </vt:variant>
      <vt:variant>
        <vt:i4>4980863</vt:i4>
      </vt:variant>
      <vt:variant>
        <vt:i4>732</vt:i4>
      </vt:variant>
      <vt:variant>
        <vt:i4>0</vt:i4>
      </vt:variant>
      <vt:variant>
        <vt:i4>5</vt:i4>
      </vt:variant>
      <vt:variant>
        <vt:lpwstr>https://commission.europa.eu/document/399e00c0-68ef-43f0-adaf-4fcaadec803e_en</vt:lpwstr>
      </vt:variant>
      <vt:variant>
        <vt:lpwstr/>
      </vt:variant>
      <vt:variant>
        <vt:i4>1638433</vt:i4>
      </vt:variant>
      <vt:variant>
        <vt:i4>729</vt:i4>
      </vt:variant>
      <vt:variant>
        <vt:i4>0</vt:i4>
      </vt:variant>
      <vt:variant>
        <vt:i4>5</vt:i4>
      </vt:variant>
      <vt:variant>
        <vt:lpwstr>https://commission.europa.eu/document/d4e669ba-d722-4fbe-b5dc-efec5e27cbe0_en</vt:lpwstr>
      </vt:variant>
      <vt:variant>
        <vt:lpwstr/>
      </vt:variant>
      <vt:variant>
        <vt:i4>1638524</vt:i4>
      </vt:variant>
      <vt:variant>
        <vt:i4>726</vt:i4>
      </vt:variant>
      <vt:variant>
        <vt:i4>0</vt:i4>
      </vt:variant>
      <vt:variant>
        <vt:i4>5</vt:i4>
      </vt:variant>
      <vt:variant>
        <vt:lpwstr>https://commission.europa.eu/document/e6577383-66c2-48d2-8a2e-d029d254a4ec_en</vt:lpwstr>
      </vt:variant>
      <vt:variant>
        <vt:lpwstr/>
      </vt:variant>
      <vt:variant>
        <vt:i4>1769595</vt:i4>
      </vt:variant>
      <vt:variant>
        <vt:i4>723</vt:i4>
      </vt:variant>
      <vt:variant>
        <vt:i4>0</vt:i4>
      </vt:variant>
      <vt:variant>
        <vt:i4>5</vt:i4>
      </vt:variant>
      <vt:variant>
        <vt:lpwstr>https://commission.europa.eu/document/c4aa0a4b-ebb0-47ca-8f73-d75d248e1470_en</vt:lpwstr>
      </vt:variant>
      <vt:variant>
        <vt:lpwstr/>
      </vt:variant>
      <vt:variant>
        <vt:i4>1638444</vt:i4>
      </vt:variant>
      <vt:variant>
        <vt:i4>720</vt:i4>
      </vt:variant>
      <vt:variant>
        <vt:i4>0</vt:i4>
      </vt:variant>
      <vt:variant>
        <vt:i4>5</vt:i4>
      </vt:variant>
      <vt:variant>
        <vt:lpwstr>https://commission.europa.eu/document/88318b79-b6d9-4e2e-a5ca-160217594e45_en</vt:lpwstr>
      </vt:variant>
      <vt:variant>
        <vt:lpwstr/>
      </vt:variant>
      <vt:variant>
        <vt:i4>1114236</vt:i4>
      </vt:variant>
      <vt:variant>
        <vt:i4>717</vt:i4>
      </vt:variant>
      <vt:variant>
        <vt:i4>0</vt:i4>
      </vt:variant>
      <vt:variant>
        <vt:i4>5</vt:i4>
      </vt:variant>
      <vt:variant>
        <vt:lpwstr>https://commission.europa.eu/document/1a478a70-1461-4bfc-9408-60595dff5d8c_en</vt:lpwstr>
      </vt:variant>
      <vt:variant>
        <vt:lpwstr/>
      </vt:variant>
      <vt:variant>
        <vt:i4>1572904</vt:i4>
      </vt:variant>
      <vt:variant>
        <vt:i4>714</vt:i4>
      </vt:variant>
      <vt:variant>
        <vt:i4>0</vt:i4>
      </vt:variant>
      <vt:variant>
        <vt:i4>5</vt:i4>
      </vt:variant>
      <vt:variant>
        <vt:lpwstr>https://commission.europa.eu/document/593831c4-dde6-4443-89a1-fb81da85dd25_en</vt:lpwstr>
      </vt:variant>
      <vt:variant>
        <vt:lpwstr/>
      </vt:variant>
      <vt:variant>
        <vt:i4>4784246</vt:i4>
      </vt:variant>
      <vt:variant>
        <vt:i4>711</vt:i4>
      </vt:variant>
      <vt:variant>
        <vt:i4>0</vt:i4>
      </vt:variant>
      <vt:variant>
        <vt:i4>5</vt:i4>
      </vt:variant>
      <vt:variant>
        <vt:lpwstr>https://commission.europa.eu/document/75aa718d-b028-4d2b-a286-e07f3ad3b02f_en</vt:lpwstr>
      </vt:variant>
      <vt:variant>
        <vt:lpwstr/>
      </vt:variant>
      <vt:variant>
        <vt:i4>5046319</vt:i4>
      </vt:variant>
      <vt:variant>
        <vt:i4>708</vt:i4>
      </vt:variant>
      <vt:variant>
        <vt:i4>0</vt:i4>
      </vt:variant>
      <vt:variant>
        <vt:i4>5</vt:i4>
      </vt:variant>
      <vt:variant>
        <vt:lpwstr>https://commission.europa.eu/document/82ce1391-cde5-49e9-9d1b-3f14f4975eb7_en</vt:lpwstr>
      </vt:variant>
      <vt:variant>
        <vt:lpwstr/>
      </vt:variant>
      <vt:variant>
        <vt:i4>1114153</vt:i4>
      </vt:variant>
      <vt:variant>
        <vt:i4>705</vt:i4>
      </vt:variant>
      <vt:variant>
        <vt:i4>0</vt:i4>
      </vt:variant>
      <vt:variant>
        <vt:i4>5</vt:i4>
      </vt:variant>
      <vt:variant>
        <vt:lpwstr>https://commission.europa.eu/document/0e737e3a-55fd-424e-883d-72c2d3092be1_en</vt:lpwstr>
      </vt:variant>
      <vt:variant>
        <vt:lpwstr/>
      </vt:variant>
      <vt:variant>
        <vt:i4>1638433</vt:i4>
      </vt:variant>
      <vt:variant>
        <vt:i4>702</vt:i4>
      </vt:variant>
      <vt:variant>
        <vt:i4>0</vt:i4>
      </vt:variant>
      <vt:variant>
        <vt:i4>5</vt:i4>
      </vt:variant>
      <vt:variant>
        <vt:lpwstr>https://commission.europa.eu/document/d4e669ba-d722-4fbe-b5dc-efec5e27cbe0_en</vt:lpwstr>
      </vt:variant>
      <vt:variant>
        <vt:lpwstr/>
      </vt:variant>
      <vt:variant>
        <vt:i4>1638436</vt:i4>
      </vt:variant>
      <vt:variant>
        <vt:i4>699</vt:i4>
      </vt:variant>
      <vt:variant>
        <vt:i4>0</vt:i4>
      </vt:variant>
      <vt:variant>
        <vt:i4>5</vt:i4>
      </vt:variant>
      <vt:variant>
        <vt:lpwstr>https://commission.europa.eu/document/dd8a5789-9309-4de1-ba0e-fe0d9118e7a6_en</vt:lpwstr>
      </vt:variant>
      <vt:variant>
        <vt:lpwstr/>
      </vt:variant>
      <vt:variant>
        <vt:i4>4784255</vt:i4>
      </vt:variant>
      <vt:variant>
        <vt:i4>696</vt:i4>
      </vt:variant>
      <vt:variant>
        <vt:i4>0</vt:i4>
      </vt:variant>
      <vt:variant>
        <vt:i4>5</vt:i4>
      </vt:variant>
      <vt:variant>
        <vt:lpwstr>https://commission.europa.eu/document/24a9b587-6e2a-4078-b58d-65dabd1233b4_en</vt:lpwstr>
      </vt:variant>
      <vt:variant>
        <vt:lpwstr/>
      </vt:variant>
      <vt:variant>
        <vt:i4>1704048</vt:i4>
      </vt:variant>
      <vt:variant>
        <vt:i4>693</vt:i4>
      </vt:variant>
      <vt:variant>
        <vt:i4>0</vt:i4>
      </vt:variant>
      <vt:variant>
        <vt:i4>5</vt:i4>
      </vt:variant>
      <vt:variant>
        <vt:lpwstr>https://commission.europa.eu/document/5d8ff0c0-c2a7-413d-b35e-afe42dc98311_en</vt:lpwstr>
      </vt:variant>
      <vt:variant>
        <vt:lpwstr/>
      </vt:variant>
      <vt:variant>
        <vt:i4>1638524</vt:i4>
      </vt:variant>
      <vt:variant>
        <vt:i4>690</vt:i4>
      </vt:variant>
      <vt:variant>
        <vt:i4>0</vt:i4>
      </vt:variant>
      <vt:variant>
        <vt:i4>5</vt:i4>
      </vt:variant>
      <vt:variant>
        <vt:lpwstr>https://commission.europa.eu/document/e6577383-66c2-48d2-8a2e-d029d254a4ec_en</vt:lpwstr>
      </vt:variant>
      <vt:variant>
        <vt:lpwstr/>
      </vt:variant>
      <vt:variant>
        <vt:i4>4784173</vt:i4>
      </vt:variant>
      <vt:variant>
        <vt:i4>687</vt:i4>
      </vt:variant>
      <vt:variant>
        <vt:i4>0</vt:i4>
      </vt:variant>
      <vt:variant>
        <vt:i4>5</vt:i4>
      </vt:variant>
      <vt:variant>
        <vt:lpwstr>https://commission.europa.eu/document/9c178b94-8070-4d30-84d5-1c2da7691b72_en</vt:lpwstr>
      </vt:variant>
      <vt:variant>
        <vt:lpwstr/>
      </vt:variant>
      <vt:variant>
        <vt:i4>4456483</vt:i4>
      </vt:variant>
      <vt:variant>
        <vt:i4>684</vt:i4>
      </vt:variant>
      <vt:variant>
        <vt:i4>0</vt:i4>
      </vt:variant>
      <vt:variant>
        <vt:i4>5</vt:i4>
      </vt:variant>
      <vt:variant>
        <vt:lpwstr>https://commission.europa.eu/document/eb68862c-103b-441d-a85e-3424441f5218_en</vt:lpwstr>
      </vt:variant>
      <vt:variant>
        <vt:lpwstr/>
      </vt:variant>
      <vt:variant>
        <vt:i4>4522101</vt:i4>
      </vt:variant>
      <vt:variant>
        <vt:i4>681</vt:i4>
      </vt:variant>
      <vt:variant>
        <vt:i4>0</vt:i4>
      </vt:variant>
      <vt:variant>
        <vt:i4>5</vt:i4>
      </vt:variant>
      <vt:variant>
        <vt:lpwstr>https://commission.europa.eu/document/3e6bdff0-cfa7-4c9c-8497-f37286427e7b_en</vt:lpwstr>
      </vt:variant>
      <vt:variant>
        <vt:lpwstr/>
      </vt:variant>
      <vt:variant>
        <vt:i4>4718635</vt:i4>
      </vt:variant>
      <vt:variant>
        <vt:i4>678</vt:i4>
      </vt:variant>
      <vt:variant>
        <vt:i4>0</vt:i4>
      </vt:variant>
      <vt:variant>
        <vt:i4>5</vt:i4>
      </vt:variant>
      <vt:variant>
        <vt:lpwstr>https://commission.europa.eu/document/6f4cd94b-e554-4b60-8f90-54c0b79606a3_en</vt:lpwstr>
      </vt:variant>
      <vt:variant>
        <vt:lpwstr/>
      </vt:variant>
      <vt:variant>
        <vt:i4>1769589</vt:i4>
      </vt:variant>
      <vt:variant>
        <vt:i4>675</vt:i4>
      </vt:variant>
      <vt:variant>
        <vt:i4>0</vt:i4>
      </vt:variant>
      <vt:variant>
        <vt:i4>5</vt:i4>
      </vt:variant>
      <vt:variant>
        <vt:lpwstr>https://commission.europa.eu/document/ead2f649-cf9d-48d0-b748-f0e797fd5dbf_en</vt:lpwstr>
      </vt:variant>
      <vt:variant>
        <vt:lpwstr/>
      </vt:variant>
      <vt:variant>
        <vt:i4>4325491</vt:i4>
      </vt:variant>
      <vt:variant>
        <vt:i4>672</vt:i4>
      </vt:variant>
      <vt:variant>
        <vt:i4>0</vt:i4>
      </vt:variant>
      <vt:variant>
        <vt:i4>5</vt:i4>
      </vt:variant>
      <vt:variant>
        <vt:lpwstr>https://commission.europa.eu/document/f62ae9c3-a2d6-4da5-b70a-43397c30fc36_en</vt:lpwstr>
      </vt:variant>
      <vt:variant>
        <vt:lpwstr/>
      </vt:variant>
      <vt:variant>
        <vt:i4>5177464</vt:i4>
      </vt:variant>
      <vt:variant>
        <vt:i4>669</vt:i4>
      </vt:variant>
      <vt:variant>
        <vt:i4>0</vt:i4>
      </vt:variant>
      <vt:variant>
        <vt:i4>5</vt:i4>
      </vt:variant>
      <vt:variant>
        <vt:lpwstr>https://commission.europa.eu/document/9c3333e5-5ede-4917-8524-cbeea2f9f17d_en</vt:lpwstr>
      </vt:variant>
      <vt:variant>
        <vt:lpwstr/>
      </vt:variant>
      <vt:variant>
        <vt:i4>4456483</vt:i4>
      </vt:variant>
      <vt:variant>
        <vt:i4>666</vt:i4>
      </vt:variant>
      <vt:variant>
        <vt:i4>0</vt:i4>
      </vt:variant>
      <vt:variant>
        <vt:i4>5</vt:i4>
      </vt:variant>
      <vt:variant>
        <vt:lpwstr>https://commission.europa.eu/document/eb68862c-103b-441d-a85e-3424441f5218_en</vt:lpwstr>
      </vt:variant>
      <vt:variant>
        <vt:lpwstr/>
      </vt:variant>
      <vt:variant>
        <vt:i4>1703983</vt:i4>
      </vt:variant>
      <vt:variant>
        <vt:i4>663</vt:i4>
      </vt:variant>
      <vt:variant>
        <vt:i4>0</vt:i4>
      </vt:variant>
      <vt:variant>
        <vt:i4>5</vt:i4>
      </vt:variant>
      <vt:variant>
        <vt:lpwstr>https://commission.europa.eu/document/cb87d151-e0ef-4111-b772-84bc679c55c9_en</vt:lpwstr>
      </vt:variant>
      <vt:variant>
        <vt:lpwstr/>
      </vt:variant>
      <vt:variant>
        <vt:i4>1769589</vt:i4>
      </vt:variant>
      <vt:variant>
        <vt:i4>660</vt:i4>
      </vt:variant>
      <vt:variant>
        <vt:i4>0</vt:i4>
      </vt:variant>
      <vt:variant>
        <vt:i4>5</vt:i4>
      </vt:variant>
      <vt:variant>
        <vt:lpwstr>https://commission.europa.eu/document/ead2f649-cf9d-48d0-b748-f0e797fd5dbf_en</vt:lpwstr>
      </vt:variant>
      <vt:variant>
        <vt:lpwstr/>
      </vt:variant>
      <vt:variant>
        <vt:i4>4653168</vt:i4>
      </vt:variant>
      <vt:variant>
        <vt:i4>657</vt:i4>
      </vt:variant>
      <vt:variant>
        <vt:i4>0</vt:i4>
      </vt:variant>
      <vt:variant>
        <vt:i4>5</vt:i4>
      </vt:variant>
      <vt:variant>
        <vt:lpwstr>https://commission.europa.eu/document/e5772fb0-6b70-4b1c-b54c-def1c42363f0_en</vt:lpwstr>
      </vt:variant>
      <vt:variant>
        <vt:lpwstr/>
      </vt:variant>
      <vt:variant>
        <vt:i4>1704048</vt:i4>
      </vt:variant>
      <vt:variant>
        <vt:i4>654</vt:i4>
      </vt:variant>
      <vt:variant>
        <vt:i4>0</vt:i4>
      </vt:variant>
      <vt:variant>
        <vt:i4>5</vt:i4>
      </vt:variant>
      <vt:variant>
        <vt:lpwstr>https://commission.europa.eu/document/5d8ff0c0-c2a7-413d-b35e-afe42dc98311_en</vt:lpwstr>
      </vt:variant>
      <vt:variant>
        <vt:lpwstr/>
      </vt:variant>
      <vt:variant>
        <vt:i4>1900579</vt:i4>
      </vt:variant>
      <vt:variant>
        <vt:i4>651</vt:i4>
      </vt:variant>
      <vt:variant>
        <vt:i4>0</vt:i4>
      </vt:variant>
      <vt:variant>
        <vt:i4>5</vt:i4>
      </vt:variant>
      <vt:variant>
        <vt:lpwstr>https://commission.europa.eu/document/019229a1-8c23-4f90-bfe4-f842cd59c6a9_en</vt:lpwstr>
      </vt:variant>
      <vt:variant>
        <vt:lpwstr/>
      </vt:variant>
      <vt:variant>
        <vt:i4>5177464</vt:i4>
      </vt:variant>
      <vt:variant>
        <vt:i4>648</vt:i4>
      </vt:variant>
      <vt:variant>
        <vt:i4>0</vt:i4>
      </vt:variant>
      <vt:variant>
        <vt:i4>5</vt:i4>
      </vt:variant>
      <vt:variant>
        <vt:lpwstr>https://commission.europa.eu/document/9c3333e5-5ede-4917-8524-cbeea2f9f17d_en</vt:lpwstr>
      </vt:variant>
      <vt:variant>
        <vt:lpwstr/>
      </vt:variant>
      <vt:variant>
        <vt:i4>1048691</vt:i4>
      </vt:variant>
      <vt:variant>
        <vt:i4>645</vt:i4>
      </vt:variant>
      <vt:variant>
        <vt:i4>0</vt:i4>
      </vt:variant>
      <vt:variant>
        <vt:i4>5</vt:i4>
      </vt:variant>
      <vt:variant>
        <vt:lpwstr>https://commission.europa.eu/document/a85449a7-4195-496f-adbb-a217f611451a_en</vt:lpwstr>
      </vt:variant>
      <vt:variant>
        <vt:lpwstr/>
      </vt:variant>
      <vt:variant>
        <vt:i4>8061026</vt:i4>
      </vt:variant>
      <vt:variant>
        <vt:i4>642</vt:i4>
      </vt:variant>
      <vt:variant>
        <vt:i4>0</vt:i4>
      </vt:variant>
      <vt:variant>
        <vt:i4>5</vt:i4>
      </vt:variant>
      <vt:variant>
        <vt:lpwstr>https://eur-lex.europa.eu/eli/reg/2022/2065/oj/eng</vt:lpwstr>
      </vt:variant>
      <vt:variant>
        <vt:lpwstr/>
      </vt:variant>
      <vt:variant>
        <vt:i4>7864423</vt:i4>
      </vt:variant>
      <vt:variant>
        <vt:i4>639</vt:i4>
      </vt:variant>
      <vt:variant>
        <vt:i4>0</vt:i4>
      </vt:variant>
      <vt:variant>
        <vt:i4>5</vt:i4>
      </vt:variant>
      <vt:variant>
        <vt:lpwstr>https://eur-lex.europa.eu/eli/dir/2018/1808/oj/eng</vt:lpwstr>
      </vt:variant>
      <vt:variant>
        <vt:lpwstr/>
      </vt:variant>
      <vt:variant>
        <vt:i4>4718715</vt:i4>
      </vt:variant>
      <vt:variant>
        <vt:i4>636</vt:i4>
      </vt:variant>
      <vt:variant>
        <vt:i4>0</vt:i4>
      </vt:variant>
      <vt:variant>
        <vt:i4>5</vt:i4>
      </vt:variant>
      <vt:variant>
        <vt:lpwstr>https://commission.europa.eu/document/b0b87aac-b88d-405b-bdc5-4e32f0765926_en</vt:lpwstr>
      </vt:variant>
      <vt:variant>
        <vt:lpwstr/>
      </vt:variant>
      <vt:variant>
        <vt:i4>1376296</vt:i4>
      </vt:variant>
      <vt:variant>
        <vt:i4>633</vt:i4>
      </vt:variant>
      <vt:variant>
        <vt:i4>0</vt:i4>
      </vt:variant>
      <vt:variant>
        <vt:i4>5</vt:i4>
      </vt:variant>
      <vt:variant>
        <vt:lpwstr>https://commission.europa.eu/document/10b34393-adeb-40d8-a18d-a94813fe7001_en</vt:lpwstr>
      </vt:variant>
      <vt:variant>
        <vt:lpwstr/>
      </vt:variant>
      <vt:variant>
        <vt:i4>4325491</vt:i4>
      </vt:variant>
      <vt:variant>
        <vt:i4>630</vt:i4>
      </vt:variant>
      <vt:variant>
        <vt:i4>0</vt:i4>
      </vt:variant>
      <vt:variant>
        <vt:i4>5</vt:i4>
      </vt:variant>
      <vt:variant>
        <vt:lpwstr>https://commission.europa.eu/document/f62ae9c3-a2d6-4da5-b70a-43397c30fc36_en</vt:lpwstr>
      </vt:variant>
      <vt:variant>
        <vt:lpwstr/>
      </vt:variant>
      <vt:variant>
        <vt:i4>4784173</vt:i4>
      </vt:variant>
      <vt:variant>
        <vt:i4>627</vt:i4>
      </vt:variant>
      <vt:variant>
        <vt:i4>0</vt:i4>
      </vt:variant>
      <vt:variant>
        <vt:i4>5</vt:i4>
      </vt:variant>
      <vt:variant>
        <vt:lpwstr>https://commission.europa.eu/document/9c178b94-8070-4d30-84d5-1c2da7691b72_en</vt:lpwstr>
      </vt:variant>
      <vt:variant>
        <vt:lpwstr/>
      </vt:variant>
      <vt:variant>
        <vt:i4>2031741</vt:i4>
      </vt:variant>
      <vt:variant>
        <vt:i4>624</vt:i4>
      </vt:variant>
      <vt:variant>
        <vt:i4>0</vt:i4>
      </vt:variant>
      <vt:variant>
        <vt:i4>5</vt:i4>
      </vt:variant>
      <vt:variant>
        <vt:lpwstr>https://commission.europa.eu/document/417a722f-93b6-4682-a52b-f08b80747e31_en</vt:lpwstr>
      </vt:variant>
      <vt:variant>
        <vt:lpwstr/>
      </vt:variant>
      <vt:variant>
        <vt:i4>1900579</vt:i4>
      </vt:variant>
      <vt:variant>
        <vt:i4>621</vt:i4>
      </vt:variant>
      <vt:variant>
        <vt:i4>0</vt:i4>
      </vt:variant>
      <vt:variant>
        <vt:i4>5</vt:i4>
      </vt:variant>
      <vt:variant>
        <vt:lpwstr>https://commission.europa.eu/document/019229a1-8c23-4f90-bfe4-f842cd59c6a9_en</vt:lpwstr>
      </vt:variant>
      <vt:variant>
        <vt:lpwstr/>
      </vt:variant>
      <vt:variant>
        <vt:i4>4259907</vt:i4>
      </vt:variant>
      <vt:variant>
        <vt:i4>618</vt:i4>
      </vt:variant>
      <vt:variant>
        <vt:i4>0</vt:i4>
      </vt:variant>
      <vt:variant>
        <vt:i4>5</vt:i4>
      </vt:variant>
      <vt:variant>
        <vt:lpwstr>https://op.europa.eu/en/publication-detail/-/publication/eb3c0e98-7c77-11f1-bf5e-01aa75ed71a1/language-en</vt:lpwstr>
      </vt:variant>
      <vt:variant>
        <vt:lpwstr/>
      </vt:variant>
      <vt:variant>
        <vt:i4>1769595</vt:i4>
      </vt:variant>
      <vt:variant>
        <vt:i4>615</vt:i4>
      </vt:variant>
      <vt:variant>
        <vt:i4>0</vt:i4>
      </vt:variant>
      <vt:variant>
        <vt:i4>5</vt:i4>
      </vt:variant>
      <vt:variant>
        <vt:lpwstr>https://commission.europa.eu/document/c4aa0a4b-ebb0-47ca-8f73-d75d248e1470_en</vt:lpwstr>
      </vt:variant>
      <vt:variant>
        <vt:lpwstr/>
      </vt:variant>
      <vt:variant>
        <vt:i4>1376296</vt:i4>
      </vt:variant>
      <vt:variant>
        <vt:i4>612</vt:i4>
      </vt:variant>
      <vt:variant>
        <vt:i4>0</vt:i4>
      </vt:variant>
      <vt:variant>
        <vt:i4>5</vt:i4>
      </vt:variant>
      <vt:variant>
        <vt:lpwstr>https://commission.europa.eu/document/10b34393-adeb-40d8-a18d-a94813fe7001_en</vt:lpwstr>
      </vt:variant>
      <vt:variant>
        <vt:lpwstr/>
      </vt:variant>
      <vt:variant>
        <vt:i4>1441838</vt:i4>
      </vt:variant>
      <vt:variant>
        <vt:i4>609</vt:i4>
      </vt:variant>
      <vt:variant>
        <vt:i4>0</vt:i4>
      </vt:variant>
      <vt:variant>
        <vt:i4>5</vt:i4>
      </vt:variant>
      <vt:variant>
        <vt:lpwstr>https://commission.europa.eu/document/3f6405bc-f071-4e6c-a2b1-212832d588fe_en</vt:lpwstr>
      </vt:variant>
      <vt:variant>
        <vt:lpwstr/>
      </vt:variant>
      <vt:variant>
        <vt:i4>4784246</vt:i4>
      </vt:variant>
      <vt:variant>
        <vt:i4>606</vt:i4>
      </vt:variant>
      <vt:variant>
        <vt:i4>0</vt:i4>
      </vt:variant>
      <vt:variant>
        <vt:i4>5</vt:i4>
      </vt:variant>
      <vt:variant>
        <vt:lpwstr>https://commission.europa.eu/document/75aa718d-b028-4d2b-a286-e07f3ad3b02f_en</vt:lpwstr>
      </vt:variant>
      <vt:variant>
        <vt:lpwstr/>
      </vt:variant>
      <vt:variant>
        <vt:i4>5177464</vt:i4>
      </vt:variant>
      <vt:variant>
        <vt:i4>603</vt:i4>
      </vt:variant>
      <vt:variant>
        <vt:i4>0</vt:i4>
      </vt:variant>
      <vt:variant>
        <vt:i4>5</vt:i4>
      </vt:variant>
      <vt:variant>
        <vt:lpwstr>https://commission.europa.eu/document/9c3333e5-5ede-4917-8524-cbeea2f9f17d_en</vt:lpwstr>
      </vt:variant>
      <vt:variant>
        <vt:lpwstr/>
      </vt:variant>
      <vt:variant>
        <vt:i4>1638436</vt:i4>
      </vt:variant>
      <vt:variant>
        <vt:i4>600</vt:i4>
      </vt:variant>
      <vt:variant>
        <vt:i4>0</vt:i4>
      </vt:variant>
      <vt:variant>
        <vt:i4>5</vt:i4>
      </vt:variant>
      <vt:variant>
        <vt:lpwstr>https://commission.europa.eu/document/dd8a5789-9309-4de1-ba0e-fe0d9118e7a6_en</vt:lpwstr>
      </vt:variant>
      <vt:variant>
        <vt:lpwstr/>
      </vt:variant>
      <vt:variant>
        <vt:i4>1704048</vt:i4>
      </vt:variant>
      <vt:variant>
        <vt:i4>597</vt:i4>
      </vt:variant>
      <vt:variant>
        <vt:i4>0</vt:i4>
      </vt:variant>
      <vt:variant>
        <vt:i4>5</vt:i4>
      </vt:variant>
      <vt:variant>
        <vt:lpwstr>https://commission.europa.eu/document/5d8ff0c0-c2a7-413d-b35e-afe42dc98311_en</vt:lpwstr>
      </vt:variant>
      <vt:variant>
        <vt:lpwstr/>
      </vt:variant>
      <vt:variant>
        <vt:i4>4915323</vt:i4>
      </vt:variant>
      <vt:variant>
        <vt:i4>594</vt:i4>
      </vt:variant>
      <vt:variant>
        <vt:i4>0</vt:i4>
      </vt:variant>
      <vt:variant>
        <vt:i4>5</vt:i4>
      </vt:variant>
      <vt:variant>
        <vt:lpwstr>https://commission.europa.eu/document/e4cbcb23-66f0-43d1-8230-6de47b62bb8b_en</vt:lpwstr>
      </vt:variant>
      <vt:variant>
        <vt:lpwstr/>
      </vt:variant>
      <vt:variant>
        <vt:i4>1114226</vt:i4>
      </vt:variant>
      <vt:variant>
        <vt:i4>591</vt:i4>
      </vt:variant>
      <vt:variant>
        <vt:i4>0</vt:i4>
      </vt:variant>
      <vt:variant>
        <vt:i4>5</vt:i4>
      </vt:variant>
      <vt:variant>
        <vt:lpwstr>https://commission.europa.eu/document/3aab2482-4772-4579-bdf0-03f5a93a5a95_en</vt:lpwstr>
      </vt:variant>
      <vt:variant>
        <vt:lpwstr/>
      </vt:variant>
      <vt:variant>
        <vt:i4>1769589</vt:i4>
      </vt:variant>
      <vt:variant>
        <vt:i4>588</vt:i4>
      </vt:variant>
      <vt:variant>
        <vt:i4>0</vt:i4>
      </vt:variant>
      <vt:variant>
        <vt:i4>5</vt:i4>
      </vt:variant>
      <vt:variant>
        <vt:lpwstr>https://commission.europa.eu/document/ead2f649-cf9d-48d0-b748-f0e797fd5dbf_en</vt:lpwstr>
      </vt:variant>
      <vt:variant>
        <vt:lpwstr/>
      </vt:variant>
      <vt:variant>
        <vt:i4>5046319</vt:i4>
      </vt:variant>
      <vt:variant>
        <vt:i4>585</vt:i4>
      </vt:variant>
      <vt:variant>
        <vt:i4>0</vt:i4>
      </vt:variant>
      <vt:variant>
        <vt:i4>5</vt:i4>
      </vt:variant>
      <vt:variant>
        <vt:lpwstr>https://commission.europa.eu/document/82ce1391-cde5-49e9-9d1b-3f14f4975eb7_en</vt:lpwstr>
      </vt:variant>
      <vt:variant>
        <vt:lpwstr/>
      </vt:variant>
      <vt:variant>
        <vt:i4>1114226</vt:i4>
      </vt:variant>
      <vt:variant>
        <vt:i4>582</vt:i4>
      </vt:variant>
      <vt:variant>
        <vt:i4>0</vt:i4>
      </vt:variant>
      <vt:variant>
        <vt:i4>5</vt:i4>
      </vt:variant>
      <vt:variant>
        <vt:lpwstr>https://commission.europa.eu/document/3aab2482-4772-4579-bdf0-03f5a93a5a95_en</vt:lpwstr>
      </vt:variant>
      <vt:variant>
        <vt:lpwstr/>
      </vt:variant>
      <vt:variant>
        <vt:i4>4980863</vt:i4>
      </vt:variant>
      <vt:variant>
        <vt:i4>579</vt:i4>
      </vt:variant>
      <vt:variant>
        <vt:i4>0</vt:i4>
      </vt:variant>
      <vt:variant>
        <vt:i4>5</vt:i4>
      </vt:variant>
      <vt:variant>
        <vt:lpwstr>https://commission.europa.eu/document/399e00c0-68ef-43f0-adaf-4fcaadec803e_en</vt:lpwstr>
      </vt:variant>
      <vt:variant>
        <vt:lpwstr/>
      </vt:variant>
      <vt:variant>
        <vt:i4>4718635</vt:i4>
      </vt:variant>
      <vt:variant>
        <vt:i4>576</vt:i4>
      </vt:variant>
      <vt:variant>
        <vt:i4>0</vt:i4>
      </vt:variant>
      <vt:variant>
        <vt:i4>5</vt:i4>
      </vt:variant>
      <vt:variant>
        <vt:lpwstr>https://commission.europa.eu/document/6f4cd94b-e554-4b60-8f90-54c0b79606a3_en</vt:lpwstr>
      </vt:variant>
      <vt:variant>
        <vt:lpwstr/>
      </vt:variant>
      <vt:variant>
        <vt:i4>5177464</vt:i4>
      </vt:variant>
      <vt:variant>
        <vt:i4>573</vt:i4>
      </vt:variant>
      <vt:variant>
        <vt:i4>0</vt:i4>
      </vt:variant>
      <vt:variant>
        <vt:i4>5</vt:i4>
      </vt:variant>
      <vt:variant>
        <vt:lpwstr>https://commission.europa.eu/document/9c3333e5-5ede-4917-8524-cbeea2f9f17d_en</vt:lpwstr>
      </vt:variant>
      <vt:variant>
        <vt:lpwstr/>
      </vt:variant>
      <vt:variant>
        <vt:i4>4718715</vt:i4>
      </vt:variant>
      <vt:variant>
        <vt:i4>570</vt:i4>
      </vt:variant>
      <vt:variant>
        <vt:i4>0</vt:i4>
      </vt:variant>
      <vt:variant>
        <vt:i4>5</vt:i4>
      </vt:variant>
      <vt:variant>
        <vt:lpwstr>https://commission.europa.eu/document/b0b87aac-b88d-405b-bdc5-4e32f0765926_en</vt:lpwstr>
      </vt:variant>
      <vt:variant>
        <vt:lpwstr/>
      </vt:variant>
      <vt:variant>
        <vt:i4>1114226</vt:i4>
      </vt:variant>
      <vt:variant>
        <vt:i4>567</vt:i4>
      </vt:variant>
      <vt:variant>
        <vt:i4>0</vt:i4>
      </vt:variant>
      <vt:variant>
        <vt:i4>5</vt:i4>
      </vt:variant>
      <vt:variant>
        <vt:lpwstr>https://commission.europa.eu/document/3aab2482-4772-4579-bdf0-03f5a93a5a95_en</vt:lpwstr>
      </vt:variant>
      <vt:variant>
        <vt:lpwstr/>
      </vt:variant>
      <vt:variant>
        <vt:i4>4653168</vt:i4>
      </vt:variant>
      <vt:variant>
        <vt:i4>564</vt:i4>
      </vt:variant>
      <vt:variant>
        <vt:i4>0</vt:i4>
      </vt:variant>
      <vt:variant>
        <vt:i4>5</vt:i4>
      </vt:variant>
      <vt:variant>
        <vt:lpwstr>https://commission.europa.eu/document/e5772fb0-6b70-4b1c-b54c-def1c42363f0_en</vt:lpwstr>
      </vt:variant>
      <vt:variant>
        <vt:lpwstr/>
      </vt:variant>
      <vt:variant>
        <vt:i4>1638433</vt:i4>
      </vt:variant>
      <vt:variant>
        <vt:i4>561</vt:i4>
      </vt:variant>
      <vt:variant>
        <vt:i4>0</vt:i4>
      </vt:variant>
      <vt:variant>
        <vt:i4>5</vt:i4>
      </vt:variant>
      <vt:variant>
        <vt:lpwstr>https://commission.europa.eu/document/d4e669ba-d722-4fbe-b5dc-efec5e27cbe0_en</vt:lpwstr>
      </vt:variant>
      <vt:variant>
        <vt:lpwstr/>
      </vt:variant>
      <vt:variant>
        <vt:i4>1572904</vt:i4>
      </vt:variant>
      <vt:variant>
        <vt:i4>558</vt:i4>
      </vt:variant>
      <vt:variant>
        <vt:i4>0</vt:i4>
      </vt:variant>
      <vt:variant>
        <vt:i4>5</vt:i4>
      </vt:variant>
      <vt:variant>
        <vt:lpwstr>https://commission.europa.eu/document/593831c4-dde6-4443-89a1-fb81da85dd25_en</vt:lpwstr>
      </vt:variant>
      <vt:variant>
        <vt:lpwstr/>
      </vt:variant>
      <vt:variant>
        <vt:i4>5046319</vt:i4>
      </vt:variant>
      <vt:variant>
        <vt:i4>555</vt:i4>
      </vt:variant>
      <vt:variant>
        <vt:i4>0</vt:i4>
      </vt:variant>
      <vt:variant>
        <vt:i4>5</vt:i4>
      </vt:variant>
      <vt:variant>
        <vt:lpwstr>https://commission.europa.eu/document/82ce1391-cde5-49e9-9d1b-3f14f4975eb7_en</vt:lpwstr>
      </vt:variant>
      <vt:variant>
        <vt:lpwstr/>
      </vt:variant>
      <vt:variant>
        <vt:i4>4456483</vt:i4>
      </vt:variant>
      <vt:variant>
        <vt:i4>552</vt:i4>
      </vt:variant>
      <vt:variant>
        <vt:i4>0</vt:i4>
      </vt:variant>
      <vt:variant>
        <vt:i4>5</vt:i4>
      </vt:variant>
      <vt:variant>
        <vt:lpwstr>https://commission.europa.eu/document/eb68862c-103b-441d-a85e-3424441f5218_en</vt:lpwstr>
      </vt:variant>
      <vt:variant>
        <vt:lpwstr/>
      </vt:variant>
      <vt:variant>
        <vt:i4>4325491</vt:i4>
      </vt:variant>
      <vt:variant>
        <vt:i4>549</vt:i4>
      </vt:variant>
      <vt:variant>
        <vt:i4>0</vt:i4>
      </vt:variant>
      <vt:variant>
        <vt:i4>5</vt:i4>
      </vt:variant>
      <vt:variant>
        <vt:lpwstr>https://commission.europa.eu/document/f62ae9c3-a2d6-4da5-b70a-43397c30fc36_en</vt:lpwstr>
      </vt:variant>
      <vt:variant>
        <vt:lpwstr/>
      </vt:variant>
      <vt:variant>
        <vt:i4>1638527</vt:i4>
      </vt:variant>
      <vt:variant>
        <vt:i4>546</vt:i4>
      </vt:variant>
      <vt:variant>
        <vt:i4>0</vt:i4>
      </vt:variant>
      <vt:variant>
        <vt:i4>5</vt:i4>
      </vt:variant>
      <vt:variant>
        <vt:lpwstr>https://commission.europa.eu/document/491770ba-4104-4367-8099-878ce1e3b034_en</vt:lpwstr>
      </vt:variant>
      <vt:variant>
        <vt:lpwstr/>
      </vt:variant>
      <vt:variant>
        <vt:i4>5177464</vt:i4>
      </vt:variant>
      <vt:variant>
        <vt:i4>543</vt:i4>
      </vt:variant>
      <vt:variant>
        <vt:i4>0</vt:i4>
      </vt:variant>
      <vt:variant>
        <vt:i4>5</vt:i4>
      </vt:variant>
      <vt:variant>
        <vt:lpwstr>https://commission.europa.eu/document/9c3333e5-5ede-4917-8524-cbeea2f9f17d_en</vt:lpwstr>
      </vt:variant>
      <vt:variant>
        <vt:lpwstr/>
      </vt:variant>
      <vt:variant>
        <vt:i4>1704048</vt:i4>
      </vt:variant>
      <vt:variant>
        <vt:i4>540</vt:i4>
      </vt:variant>
      <vt:variant>
        <vt:i4>0</vt:i4>
      </vt:variant>
      <vt:variant>
        <vt:i4>5</vt:i4>
      </vt:variant>
      <vt:variant>
        <vt:lpwstr>https://commission.europa.eu/document/5d8ff0c0-c2a7-413d-b35e-afe42dc98311_en</vt:lpwstr>
      </vt:variant>
      <vt:variant>
        <vt:lpwstr/>
      </vt:variant>
      <vt:variant>
        <vt:i4>1114236</vt:i4>
      </vt:variant>
      <vt:variant>
        <vt:i4>537</vt:i4>
      </vt:variant>
      <vt:variant>
        <vt:i4>0</vt:i4>
      </vt:variant>
      <vt:variant>
        <vt:i4>5</vt:i4>
      </vt:variant>
      <vt:variant>
        <vt:lpwstr>https://commission.europa.eu/document/1a478a70-1461-4bfc-9408-60595dff5d8c_en</vt:lpwstr>
      </vt:variant>
      <vt:variant>
        <vt:lpwstr/>
      </vt:variant>
      <vt:variant>
        <vt:i4>1114226</vt:i4>
      </vt:variant>
      <vt:variant>
        <vt:i4>534</vt:i4>
      </vt:variant>
      <vt:variant>
        <vt:i4>0</vt:i4>
      </vt:variant>
      <vt:variant>
        <vt:i4>5</vt:i4>
      </vt:variant>
      <vt:variant>
        <vt:lpwstr>https://commission.europa.eu/document/3aab2482-4772-4579-bdf0-03f5a93a5a95_en</vt:lpwstr>
      </vt:variant>
      <vt:variant>
        <vt:lpwstr/>
      </vt:variant>
      <vt:variant>
        <vt:i4>1048691</vt:i4>
      </vt:variant>
      <vt:variant>
        <vt:i4>531</vt:i4>
      </vt:variant>
      <vt:variant>
        <vt:i4>0</vt:i4>
      </vt:variant>
      <vt:variant>
        <vt:i4>5</vt:i4>
      </vt:variant>
      <vt:variant>
        <vt:lpwstr>https://commission.europa.eu/document/a85449a7-4195-496f-adbb-a217f611451a_en</vt:lpwstr>
      </vt:variant>
      <vt:variant>
        <vt:lpwstr/>
      </vt:variant>
      <vt:variant>
        <vt:i4>1638527</vt:i4>
      </vt:variant>
      <vt:variant>
        <vt:i4>528</vt:i4>
      </vt:variant>
      <vt:variant>
        <vt:i4>0</vt:i4>
      </vt:variant>
      <vt:variant>
        <vt:i4>5</vt:i4>
      </vt:variant>
      <vt:variant>
        <vt:lpwstr>https://commission.europa.eu/document/491770ba-4104-4367-8099-878ce1e3b034_en</vt:lpwstr>
      </vt:variant>
      <vt:variant>
        <vt:lpwstr/>
      </vt:variant>
      <vt:variant>
        <vt:i4>1638444</vt:i4>
      </vt:variant>
      <vt:variant>
        <vt:i4>525</vt:i4>
      </vt:variant>
      <vt:variant>
        <vt:i4>0</vt:i4>
      </vt:variant>
      <vt:variant>
        <vt:i4>5</vt:i4>
      </vt:variant>
      <vt:variant>
        <vt:lpwstr>https://commission.europa.eu/document/88318b79-b6d9-4e2e-a5ca-160217594e45_en</vt:lpwstr>
      </vt:variant>
      <vt:variant>
        <vt:lpwstr/>
      </vt:variant>
      <vt:variant>
        <vt:i4>1048691</vt:i4>
      </vt:variant>
      <vt:variant>
        <vt:i4>522</vt:i4>
      </vt:variant>
      <vt:variant>
        <vt:i4>0</vt:i4>
      </vt:variant>
      <vt:variant>
        <vt:i4>5</vt:i4>
      </vt:variant>
      <vt:variant>
        <vt:lpwstr>https://commission.europa.eu/document/a85449a7-4195-496f-adbb-a217f611451a_en</vt:lpwstr>
      </vt:variant>
      <vt:variant>
        <vt:lpwstr/>
      </vt:variant>
      <vt:variant>
        <vt:i4>4456483</vt:i4>
      </vt:variant>
      <vt:variant>
        <vt:i4>519</vt:i4>
      </vt:variant>
      <vt:variant>
        <vt:i4>0</vt:i4>
      </vt:variant>
      <vt:variant>
        <vt:i4>5</vt:i4>
      </vt:variant>
      <vt:variant>
        <vt:lpwstr>https://commission.europa.eu/document/eb68862c-103b-441d-a85e-3424441f5218_en</vt:lpwstr>
      </vt:variant>
      <vt:variant>
        <vt:lpwstr/>
      </vt:variant>
      <vt:variant>
        <vt:i4>4325491</vt:i4>
      </vt:variant>
      <vt:variant>
        <vt:i4>516</vt:i4>
      </vt:variant>
      <vt:variant>
        <vt:i4>0</vt:i4>
      </vt:variant>
      <vt:variant>
        <vt:i4>5</vt:i4>
      </vt:variant>
      <vt:variant>
        <vt:lpwstr>https://commission.europa.eu/document/f62ae9c3-a2d6-4da5-b70a-43397c30fc36_en</vt:lpwstr>
      </vt:variant>
      <vt:variant>
        <vt:lpwstr/>
      </vt:variant>
      <vt:variant>
        <vt:i4>5046319</vt:i4>
      </vt:variant>
      <vt:variant>
        <vt:i4>513</vt:i4>
      </vt:variant>
      <vt:variant>
        <vt:i4>0</vt:i4>
      </vt:variant>
      <vt:variant>
        <vt:i4>5</vt:i4>
      </vt:variant>
      <vt:variant>
        <vt:lpwstr>https://commission.europa.eu/document/82ce1391-cde5-49e9-9d1b-3f14f4975eb7_en</vt:lpwstr>
      </vt:variant>
      <vt:variant>
        <vt:lpwstr/>
      </vt:variant>
      <vt:variant>
        <vt:i4>1638433</vt:i4>
      </vt:variant>
      <vt:variant>
        <vt:i4>510</vt:i4>
      </vt:variant>
      <vt:variant>
        <vt:i4>0</vt:i4>
      </vt:variant>
      <vt:variant>
        <vt:i4>5</vt:i4>
      </vt:variant>
      <vt:variant>
        <vt:lpwstr>https://commission.europa.eu/document/d4e669ba-d722-4fbe-b5dc-efec5e27cbe0_en</vt:lpwstr>
      </vt:variant>
      <vt:variant>
        <vt:lpwstr/>
      </vt:variant>
      <vt:variant>
        <vt:i4>5177464</vt:i4>
      </vt:variant>
      <vt:variant>
        <vt:i4>507</vt:i4>
      </vt:variant>
      <vt:variant>
        <vt:i4>0</vt:i4>
      </vt:variant>
      <vt:variant>
        <vt:i4>5</vt:i4>
      </vt:variant>
      <vt:variant>
        <vt:lpwstr>https://commission.europa.eu/document/9c3333e5-5ede-4917-8524-cbeea2f9f17d_en</vt:lpwstr>
      </vt:variant>
      <vt:variant>
        <vt:lpwstr/>
      </vt:variant>
      <vt:variant>
        <vt:i4>4784255</vt:i4>
      </vt:variant>
      <vt:variant>
        <vt:i4>504</vt:i4>
      </vt:variant>
      <vt:variant>
        <vt:i4>0</vt:i4>
      </vt:variant>
      <vt:variant>
        <vt:i4>5</vt:i4>
      </vt:variant>
      <vt:variant>
        <vt:lpwstr>https://commission.europa.eu/document/24a9b587-6e2a-4078-b58d-65dabd1233b4_en</vt:lpwstr>
      </vt:variant>
      <vt:variant>
        <vt:lpwstr/>
      </vt:variant>
      <vt:variant>
        <vt:i4>1638436</vt:i4>
      </vt:variant>
      <vt:variant>
        <vt:i4>501</vt:i4>
      </vt:variant>
      <vt:variant>
        <vt:i4>0</vt:i4>
      </vt:variant>
      <vt:variant>
        <vt:i4>5</vt:i4>
      </vt:variant>
      <vt:variant>
        <vt:lpwstr>https://commission.europa.eu/document/dd8a5789-9309-4de1-ba0e-fe0d9118e7a6_en</vt:lpwstr>
      </vt:variant>
      <vt:variant>
        <vt:lpwstr/>
      </vt:variant>
      <vt:variant>
        <vt:i4>1572904</vt:i4>
      </vt:variant>
      <vt:variant>
        <vt:i4>498</vt:i4>
      </vt:variant>
      <vt:variant>
        <vt:i4>0</vt:i4>
      </vt:variant>
      <vt:variant>
        <vt:i4>5</vt:i4>
      </vt:variant>
      <vt:variant>
        <vt:lpwstr>https://commission.europa.eu/document/593831c4-dde6-4443-89a1-fb81da85dd25_en</vt:lpwstr>
      </vt:variant>
      <vt:variant>
        <vt:lpwstr/>
      </vt:variant>
      <vt:variant>
        <vt:i4>1638524</vt:i4>
      </vt:variant>
      <vt:variant>
        <vt:i4>495</vt:i4>
      </vt:variant>
      <vt:variant>
        <vt:i4>0</vt:i4>
      </vt:variant>
      <vt:variant>
        <vt:i4>5</vt:i4>
      </vt:variant>
      <vt:variant>
        <vt:lpwstr>https://commission.europa.eu/document/e6577383-66c2-48d2-8a2e-d029d254a4ec_en</vt:lpwstr>
      </vt:variant>
      <vt:variant>
        <vt:lpwstr/>
      </vt:variant>
      <vt:variant>
        <vt:i4>1114226</vt:i4>
      </vt:variant>
      <vt:variant>
        <vt:i4>492</vt:i4>
      </vt:variant>
      <vt:variant>
        <vt:i4>0</vt:i4>
      </vt:variant>
      <vt:variant>
        <vt:i4>5</vt:i4>
      </vt:variant>
      <vt:variant>
        <vt:lpwstr>https://commission.europa.eu/document/3aab2482-4772-4579-bdf0-03f5a93a5a95_en</vt:lpwstr>
      </vt:variant>
      <vt:variant>
        <vt:lpwstr/>
      </vt:variant>
      <vt:variant>
        <vt:i4>1704048</vt:i4>
      </vt:variant>
      <vt:variant>
        <vt:i4>489</vt:i4>
      </vt:variant>
      <vt:variant>
        <vt:i4>0</vt:i4>
      </vt:variant>
      <vt:variant>
        <vt:i4>5</vt:i4>
      </vt:variant>
      <vt:variant>
        <vt:lpwstr>https://commission.europa.eu/document/5d8ff0c0-c2a7-413d-b35e-afe42dc98311_en</vt:lpwstr>
      </vt:variant>
      <vt:variant>
        <vt:lpwstr/>
      </vt:variant>
      <vt:variant>
        <vt:i4>4653168</vt:i4>
      </vt:variant>
      <vt:variant>
        <vt:i4>486</vt:i4>
      </vt:variant>
      <vt:variant>
        <vt:i4>0</vt:i4>
      </vt:variant>
      <vt:variant>
        <vt:i4>5</vt:i4>
      </vt:variant>
      <vt:variant>
        <vt:lpwstr>https://commission.europa.eu/document/e5772fb0-6b70-4b1c-b54c-def1c42363f0_en</vt:lpwstr>
      </vt:variant>
      <vt:variant>
        <vt:lpwstr/>
      </vt:variant>
      <vt:variant>
        <vt:i4>4784246</vt:i4>
      </vt:variant>
      <vt:variant>
        <vt:i4>483</vt:i4>
      </vt:variant>
      <vt:variant>
        <vt:i4>0</vt:i4>
      </vt:variant>
      <vt:variant>
        <vt:i4>5</vt:i4>
      </vt:variant>
      <vt:variant>
        <vt:lpwstr>https://commission.europa.eu/document/75aa718d-b028-4d2b-a286-e07f3ad3b02f_en</vt:lpwstr>
      </vt:variant>
      <vt:variant>
        <vt:lpwstr/>
      </vt:variant>
      <vt:variant>
        <vt:i4>1114236</vt:i4>
      </vt:variant>
      <vt:variant>
        <vt:i4>480</vt:i4>
      </vt:variant>
      <vt:variant>
        <vt:i4>0</vt:i4>
      </vt:variant>
      <vt:variant>
        <vt:i4>5</vt:i4>
      </vt:variant>
      <vt:variant>
        <vt:lpwstr>https://commission.europa.eu/document/1a478a70-1461-4bfc-9408-60595dff5d8c_en</vt:lpwstr>
      </vt:variant>
      <vt:variant>
        <vt:lpwstr/>
      </vt:variant>
      <vt:variant>
        <vt:i4>1900579</vt:i4>
      </vt:variant>
      <vt:variant>
        <vt:i4>477</vt:i4>
      </vt:variant>
      <vt:variant>
        <vt:i4>0</vt:i4>
      </vt:variant>
      <vt:variant>
        <vt:i4>5</vt:i4>
      </vt:variant>
      <vt:variant>
        <vt:lpwstr>https://commission.europa.eu/document/019229a1-8c23-4f90-bfe4-f842cd59c6a9_en</vt:lpwstr>
      </vt:variant>
      <vt:variant>
        <vt:lpwstr/>
      </vt:variant>
      <vt:variant>
        <vt:i4>1769589</vt:i4>
      </vt:variant>
      <vt:variant>
        <vt:i4>474</vt:i4>
      </vt:variant>
      <vt:variant>
        <vt:i4>0</vt:i4>
      </vt:variant>
      <vt:variant>
        <vt:i4>5</vt:i4>
      </vt:variant>
      <vt:variant>
        <vt:lpwstr>https://commission.europa.eu/document/ead2f649-cf9d-48d0-b748-f0e797fd5dbf_en</vt:lpwstr>
      </vt:variant>
      <vt:variant>
        <vt:lpwstr/>
      </vt:variant>
      <vt:variant>
        <vt:i4>1638433</vt:i4>
      </vt:variant>
      <vt:variant>
        <vt:i4>471</vt:i4>
      </vt:variant>
      <vt:variant>
        <vt:i4>0</vt:i4>
      </vt:variant>
      <vt:variant>
        <vt:i4>5</vt:i4>
      </vt:variant>
      <vt:variant>
        <vt:lpwstr>https://commission.europa.eu/document/d4e669ba-d722-4fbe-b5dc-efec5e27cbe0_en</vt:lpwstr>
      </vt:variant>
      <vt:variant>
        <vt:lpwstr/>
      </vt:variant>
      <vt:variant>
        <vt:i4>1114236</vt:i4>
      </vt:variant>
      <vt:variant>
        <vt:i4>468</vt:i4>
      </vt:variant>
      <vt:variant>
        <vt:i4>0</vt:i4>
      </vt:variant>
      <vt:variant>
        <vt:i4>5</vt:i4>
      </vt:variant>
      <vt:variant>
        <vt:lpwstr>https://commission.europa.eu/document/1a478a70-1461-4bfc-9408-60595dff5d8c_en</vt:lpwstr>
      </vt:variant>
      <vt:variant>
        <vt:lpwstr/>
      </vt:variant>
      <vt:variant>
        <vt:i4>1441838</vt:i4>
      </vt:variant>
      <vt:variant>
        <vt:i4>465</vt:i4>
      </vt:variant>
      <vt:variant>
        <vt:i4>0</vt:i4>
      </vt:variant>
      <vt:variant>
        <vt:i4>5</vt:i4>
      </vt:variant>
      <vt:variant>
        <vt:lpwstr>https://commission.europa.eu/document/3f6405bc-f071-4e6c-a2b1-212832d588fe_en</vt:lpwstr>
      </vt:variant>
      <vt:variant>
        <vt:lpwstr/>
      </vt:variant>
      <vt:variant>
        <vt:i4>2031741</vt:i4>
      </vt:variant>
      <vt:variant>
        <vt:i4>462</vt:i4>
      </vt:variant>
      <vt:variant>
        <vt:i4>0</vt:i4>
      </vt:variant>
      <vt:variant>
        <vt:i4>5</vt:i4>
      </vt:variant>
      <vt:variant>
        <vt:lpwstr>https://commission.europa.eu/document/417a722f-93b6-4682-a52b-f08b80747e31_en</vt:lpwstr>
      </vt:variant>
      <vt:variant>
        <vt:lpwstr/>
      </vt:variant>
      <vt:variant>
        <vt:i4>5046319</vt:i4>
      </vt:variant>
      <vt:variant>
        <vt:i4>459</vt:i4>
      </vt:variant>
      <vt:variant>
        <vt:i4>0</vt:i4>
      </vt:variant>
      <vt:variant>
        <vt:i4>5</vt:i4>
      </vt:variant>
      <vt:variant>
        <vt:lpwstr>https://commission.europa.eu/document/82ce1391-cde5-49e9-9d1b-3f14f4975eb7_en</vt:lpwstr>
      </vt:variant>
      <vt:variant>
        <vt:lpwstr/>
      </vt:variant>
      <vt:variant>
        <vt:i4>1638444</vt:i4>
      </vt:variant>
      <vt:variant>
        <vt:i4>456</vt:i4>
      </vt:variant>
      <vt:variant>
        <vt:i4>0</vt:i4>
      </vt:variant>
      <vt:variant>
        <vt:i4>5</vt:i4>
      </vt:variant>
      <vt:variant>
        <vt:lpwstr>https://commission.europa.eu/document/88318b79-b6d9-4e2e-a5ca-160217594e45_en</vt:lpwstr>
      </vt:variant>
      <vt:variant>
        <vt:lpwstr/>
      </vt:variant>
      <vt:variant>
        <vt:i4>1048691</vt:i4>
      </vt:variant>
      <vt:variant>
        <vt:i4>453</vt:i4>
      </vt:variant>
      <vt:variant>
        <vt:i4>0</vt:i4>
      </vt:variant>
      <vt:variant>
        <vt:i4>5</vt:i4>
      </vt:variant>
      <vt:variant>
        <vt:lpwstr>https://commission.europa.eu/document/a85449a7-4195-496f-adbb-a217f611451a_en</vt:lpwstr>
      </vt:variant>
      <vt:variant>
        <vt:lpwstr/>
      </vt:variant>
      <vt:variant>
        <vt:i4>1638524</vt:i4>
      </vt:variant>
      <vt:variant>
        <vt:i4>450</vt:i4>
      </vt:variant>
      <vt:variant>
        <vt:i4>0</vt:i4>
      </vt:variant>
      <vt:variant>
        <vt:i4>5</vt:i4>
      </vt:variant>
      <vt:variant>
        <vt:lpwstr>https://commission.europa.eu/document/e6577383-66c2-48d2-8a2e-d029d254a4ec_en</vt:lpwstr>
      </vt:variant>
      <vt:variant>
        <vt:lpwstr/>
      </vt:variant>
      <vt:variant>
        <vt:i4>1638527</vt:i4>
      </vt:variant>
      <vt:variant>
        <vt:i4>447</vt:i4>
      </vt:variant>
      <vt:variant>
        <vt:i4>0</vt:i4>
      </vt:variant>
      <vt:variant>
        <vt:i4>5</vt:i4>
      </vt:variant>
      <vt:variant>
        <vt:lpwstr>https://commission.europa.eu/document/491770ba-4104-4367-8099-878ce1e3b034_en</vt:lpwstr>
      </vt:variant>
      <vt:variant>
        <vt:lpwstr/>
      </vt:variant>
      <vt:variant>
        <vt:i4>1704048</vt:i4>
      </vt:variant>
      <vt:variant>
        <vt:i4>444</vt:i4>
      </vt:variant>
      <vt:variant>
        <vt:i4>0</vt:i4>
      </vt:variant>
      <vt:variant>
        <vt:i4>5</vt:i4>
      </vt:variant>
      <vt:variant>
        <vt:lpwstr>https://commission.europa.eu/document/5d8ff0c0-c2a7-413d-b35e-afe42dc98311_en</vt:lpwstr>
      </vt:variant>
      <vt:variant>
        <vt:lpwstr/>
      </vt:variant>
      <vt:variant>
        <vt:i4>4718715</vt:i4>
      </vt:variant>
      <vt:variant>
        <vt:i4>441</vt:i4>
      </vt:variant>
      <vt:variant>
        <vt:i4>0</vt:i4>
      </vt:variant>
      <vt:variant>
        <vt:i4>5</vt:i4>
      </vt:variant>
      <vt:variant>
        <vt:lpwstr>https://commission.europa.eu/document/b0b87aac-b88d-405b-bdc5-4e32f0765926_en</vt:lpwstr>
      </vt:variant>
      <vt:variant>
        <vt:lpwstr/>
      </vt:variant>
      <vt:variant>
        <vt:i4>1376296</vt:i4>
      </vt:variant>
      <vt:variant>
        <vt:i4>438</vt:i4>
      </vt:variant>
      <vt:variant>
        <vt:i4>0</vt:i4>
      </vt:variant>
      <vt:variant>
        <vt:i4>5</vt:i4>
      </vt:variant>
      <vt:variant>
        <vt:lpwstr>https://commission.europa.eu/document/10b34393-adeb-40d8-a18d-a94813fe7001_en</vt:lpwstr>
      </vt:variant>
      <vt:variant>
        <vt:lpwstr/>
      </vt:variant>
      <vt:variant>
        <vt:i4>1769595</vt:i4>
      </vt:variant>
      <vt:variant>
        <vt:i4>435</vt:i4>
      </vt:variant>
      <vt:variant>
        <vt:i4>0</vt:i4>
      </vt:variant>
      <vt:variant>
        <vt:i4>5</vt:i4>
      </vt:variant>
      <vt:variant>
        <vt:lpwstr>https://commission.europa.eu/document/c4aa0a4b-ebb0-47ca-8f73-d75d248e1470_en</vt:lpwstr>
      </vt:variant>
      <vt:variant>
        <vt:lpwstr/>
      </vt:variant>
      <vt:variant>
        <vt:i4>1441838</vt:i4>
      </vt:variant>
      <vt:variant>
        <vt:i4>432</vt:i4>
      </vt:variant>
      <vt:variant>
        <vt:i4>0</vt:i4>
      </vt:variant>
      <vt:variant>
        <vt:i4>5</vt:i4>
      </vt:variant>
      <vt:variant>
        <vt:lpwstr>https://commission.europa.eu/document/3f6405bc-f071-4e6c-a2b1-212832d588fe_en</vt:lpwstr>
      </vt:variant>
      <vt:variant>
        <vt:lpwstr/>
      </vt:variant>
      <vt:variant>
        <vt:i4>1638444</vt:i4>
      </vt:variant>
      <vt:variant>
        <vt:i4>429</vt:i4>
      </vt:variant>
      <vt:variant>
        <vt:i4>0</vt:i4>
      </vt:variant>
      <vt:variant>
        <vt:i4>5</vt:i4>
      </vt:variant>
      <vt:variant>
        <vt:lpwstr>https://commission.europa.eu/document/88318b79-b6d9-4e2e-a5ca-160217594e45_en</vt:lpwstr>
      </vt:variant>
      <vt:variant>
        <vt:lpwstr/>
      </vt:variant>
      <vt:variant>
        <vt:i4>1114153</vt:i4>
      </vt:variant>
      <vt:variant>
        <vt:i4>426</vt:i4>
      </vt:variant>
      <vt:variant>
        <vt:i4>0</vt:i4>
      </vt:variant>
      <vt:variant>
        <vt:i4>5</vt:i4>
      </vt:variant>
      <vt:variant>
        <vt:lpwstr>https://commission.europa.eu/document/0e737e3a-55fd-424e-883d-72c2d3092be1_en</vt:lpwstr>
      </vt:variant>
      <vt:variant>
        <vt:lpwstr/>
      </vt:variant>
      <vt:variant>
        <vt:i4>2031741</vt:i4>
      </vt:variant>
      <vt:variant>
        <vt:i4>423</vt:i4>
      </vt:variant>
      <vt:variant>
        <vt:i4>0</vt:i4>
      </vt:variant>
      <vt:variant>
        <vt:i4>5</vt:i4>
      </vt:variant>
      <vt:variant>
        <vt:lpwstr>https://commission.europa.eu/document/417a722f-93b6-4682-a52b-f08b80747e31_en</vt:lpwstr>
      </vt:variant>
      <vt:variant>
        <vt:lpwstr/>
      </vt:variant>
      <vt:variant>
        <vt:i4>1114226</vt:i4>
      </vt:variant>
      <vt:variant>
        <vt:i4>420</vt:i4>
      </vt:variant>
      <vt:variant>
        <vt:i4>0</vt:i4>
      </vt:variant>
      <vt:variant>
        <vt:i4>5</vt:i4>
      </vt:variant>
      <vt:variant>
        <vt:lpwstr>https://commission.europa.eu/document/3aab2482-4772-4579-bdf0-03f5a93a5a95_en</vt:lpwstr>
      </vt:variant>
      <vt:variant>
        <vt:lpwstr/>
      </vt:variant>
      <vt:variant>
        <vt:i4>1638433</vt:i4>
      </vt:variant>
      <vt:variant>
        <vt:i4>417</vt:i4>
      </vt:variant>
      <vt:variant>
        <vt:i4>0</vt:i4>
      </vt:variant>
      <vt:variant>
        <vt:i4>5</vt:i4>
      </vt:variant>
      <vt:variant>
        <vt:lpwstr>https://commission.europa.eu/document/d4e669ba-d722-4fbe-b5dc-efec5e27cbe0_en</vt:lpwstr>
      </vt:variant>
      <vt:variant>
        <vt:lpwstr/>
      </vt:variant>
      <vt:variant>
        <vt:i4>4325491</vt:i4>
      </vt:variant>
      <vt:variant>
        <vt:i4>414</vt:i4>
      </vt:variant>
      <vt:variant>
        <vt:i4>0</vt:i4>
      </vt:variant>
      <vt:variant>
        <vt:i4>5</vt:i4>
      </vt:variant>
      <vt:variant>
        <vt:lpwstr>https://commission.europa.eu/document/f62ae9c3-a2d6-4da5-b70a-43397c30fc36_en</vt:lpwstr>
      </vt:variant>
      <vt:variant>
        <vt:lpwstr/>
      </vt:variant>
      <vt:variant>
        <vt:i4>4784246</vt:i4>
      </vt:variant>
      <vt:variant>
        <vt:i4>411</vt:i4>
      </vt:variant>
      <vt:variant>
        <vt:i4>0</vt:i4>
      </vt:variant>
      <vt:variant>
        <vt:i4>5</vt:i4>
      </vt:variant>
      <vt:variant>
        <vt:lpwstr>https://commission.europa.eu/document/75aa718d-b028-4d2b-a286-e07f3ad3b02f_en</vt:lpwstr>
      </vt:variant>
      <vt:variant>
        <vt:lpwstr/>
      </vt:variant>
      <vt:variant>
        <vt:i4>1638524</vt:i4>
      </vt:variant>
      <vt:variant>
        <vt:i4>408</vt:i4>
      </vt:variant>
      <vt:variant>
        <vt:i4>0</vt:i4>
      </vt:variant>
      <vt:variant>
        <vt:i4>5</vt:i4>
      </vt:variant>
      <vt:variant>
        <vt:lpwstr>https://commission.europa.eu/document/e6577383-66c2-48d2-8a2e-d029d254a4ec_en</vt:lpwstr>
      </vt:variant>
      <vt:variant>
        <vt:lpwstr/>
      </vt:variant>
      <vt:variant>
        <vt:i4>4718715</vt:i4>
      </vt:variant>
      <vt:variant>
        <vt:i4>405</vt:i4>
      </vt:variant>
      <vt:variant>
        <vt:i4>0</vt:i4>
      </vt:variant>
      <vt:variant>
        <vt:i4>5</vt:i4>
      </vt:variant>
      <vt:variant>
        <vt:lpwstr>https://commission.europa.eu/document/b0b87aac-b88d-405b-bdc5-4e32f0765926_en</vt:lpwstr>
      </vt:variant>
      <vt:variant>
        <vt:lpwstr/>
      </vt:variant>
      <vt:variant>
        <vt:i4>1376296</vt:i4>
      </vt:variant>
      <vt:variant>
        <vt:i4>402</vt:i4>
      </vt:variant>
      <vt:variant>
        <vt:i4>0</vt:i4>
      </vt:variant>
      <vt:variant>
        <vt:i4>5</vt:i4>
      </vt:variant>
      <vt:variant>
        <vt:lpwstr>https://commission.europa.eu/document/10b34393-adeb-40d8-a18d-a94813fe7001_en</vt:lpwstr>
      </vt:variant>
      <vt:variant>
        <vt:lpwstr/>
      </vt:variant>
      <vt:variant>
        <vt:i4>1441838</vt:i4>
      </vt:variant>
      <vt:variant>
        <vt:i4>399</vt:i4>
      </vt:variant>
      <vt:variant>
        <vt:i4>0</vt:i4>
      </vt:variant>
      <vt:variant>
        <vt:i4>5</vt:i4>
      </vt:variant>
      <vt:variant>
        <vt:lpwstr>https://commission.europa.eu/document/3f6405bc-f071-4e6c-a2b1-212832d588fe_en</vt:lpwstr>
      </vt:variant>
      <vt:variant>
        <vt:lpwstr/>
      </vt:variant>
      <vt:variant>
        <vt:i4>1769589</vt:i4>
      </vt:variant>
      <vt:variant>
        <vt:i4>396</vt:i4>
      </vt:variant>
      <vt:variant>
        <vt:i4>0</vt:i4>
      </vt:variant>
      <vt:variant>
        <vt:i4>5</vt:i4>
      </vt:variant>
      <vt:variant>
        <vt:lpwstr>https://commission.europa.eu/document/ead2f649-cf9d-48d0-b748-f0e797fd5dbf_en</vt:lpwstr>
      </vt:variant>
      <vt:variant>
        <vt:lpwstr/>
      </vt:variant>
      <vt:variant>
        <vt:i4>1114153</vt:i4>
      </vt:variant>
      <vt:variant>
        <vt:i4>393</vt:i4>
      </vt:variant>
      <vt:variant>
        <vt:i4>0</vt:i4>
      </vt:variant>
      <vt:variant>
        <vt:i4>5</vt:i4>
      </vt:variant>
      <vt:variant>
        <vt:lpwstr>https://commission.europa.eu/document/0e737e3a-55fd-424e-883d-72c2d3092be1_en</vt:lpwstr>
      </vt:variant>
      <vt:variant>
        <vt:lpwstr/>
      </vt:variant>
      <vt:variant>
        <vt:i4>1704048</vt:i4>
      </vt:variant>
      <vt:variant>
        <vt:i4>390</vt:i4>
      </vt:variant>
      <vt:variant>
        <vt:i4>0</vt:i4>
      </vt:variant>
      <vt:variant>
        <vt:i4>5</vt:i4>
      </vt:variant>
      <vt:variant>
        <vt:lpwstr>https://commission.europa.eu/document/5d8ff0c0-c2a7-413d-b35e-afe42dc98311_en</vt:lpwstr>
      </vt:variant>
      <vt:variant>
        <vt:lpwstr/>
      </vt:variant>
      <vt:variant>
        <vt:i4>1572904</vt:i4>
      </vt:variant>
      <vt:variant>
        <vt:i4>387</vt:i4>
      </vt:variant>
      <vt:variant>
        <vt:i4>0</vt:i4>
      </vt:variant>
      <vt:variant>
        <vt:i4>5</vt:i4>
      </vt:variant>
      <vt:variant>
        <vt:lpwstr>https://commission.europa.eu/document/593831c4-dde6-4443-89a1-fb81da85dd25_en</vt:lpwstr>
      </vt:variant>
      <vt:variant>
        <vt:lpwstr/>
      </vt:variant>
      <vt:variant>
        <vt:i4>4784173</vt:i4>
      </vt:variant>
      <vt:variant>
        <vt:i4>384</vt:i4>
      </vt:variant>
      <vt:variant>
        <vt:i4>0</vt:i4>
      </vt:variant>
      <vt:variant>
        <vt:i4>5</vt:i4>
      </vt:variant>
      <vt:variant>
        <vt:lpwstr>https://commission.europa.eu/document/9c178b94-8070-4d30-84d5-1c2da7691b72_en</vt:lpwstr>
      </vt:variant>
      <vt:variant>
        <vt:lpwstr/>
      </vt:variant>
      <vt:variant>
        <vt:i4>1769589</vt:i4>
      </vt:variant>
      <vt:variant>
        <vt:i4>381</vt:i4>
      </vt:variant>
      <vt:variant>
        <vt:i4>0</vt:i4>
      </vt:variant>
      <vt:variant>
        <vt:i4>5</vt:i4>
      </vt:variant>
      <vt:variant>
        <vt:lpwstr>https://commission.europa.eu/document/ead2f649-cf9d-48d0-b748-f0e797fd5dbf_en</vt:lpwstr>
      </vt:variant>
      <vt:variant>
        <vt:lpwstr/>
      </vt:variant>
      <vt:variant>
        <vt:i4>1638436</vt:i4>
      </vt:variant>
      <vt:variant>
        <vt:i4>378</vt:i4>
      </vt:variant>
      <vt:variant>
        <vt:i4>0</vt:i4>
      </vt:variant>
      <vt:variant>
        <vt:i4>5</vt:i4>
      </vt:variant>
      <vt:variant>
        <vt:lpwstr>https://commission.europa.eu/document/dd8a5789-9309-4de1-ba0e-fe0d9118e7a6_en</vt:lpwstr>
      </vt:variant>
      <vt:variant>
        <vt:lpwstr/>
      </vt:variant>
      <vt:variant>
        <vt:i4>1769589</vt:i4>
      </vt:variant>
      <vt:variant>
        <vt:i4>375</vt:i4>
      </vt:variant>
      <vt:variant>
        <vt:i4>0</vt:i4>
      </vt:variant>
      <vt:variant>
        <vt:i4>5</vt:i4>
      </vt:variant>
      <vt:variant>
        <vt:lpwstr>https://commission.europa.eu/document/ead2f649-cf9d-48d0-b748-f0e797fd5dbf_en</vt:lpwstr>
      </vt:variant>
      <vt:variant>
        <vt:lpwstr/>
      </vt:variant>
      <vt:variant>
        <vt:i4>1638433</vt:i4>
      </vt:variant>
      <vt:variant>
        <vt:i4>372</vt:i4>
      </vt:variant>
      <vt:variant>
        <vt:i4>0</vt:i4>
      </vt:variant>
      <vt:variant>
        <vt:i4>5</vt:i4>
      </vt:variant>
      <vt:variant>
        <vt:lpwstr>https://commission.europa.eu/document/d4e669ba-d722-4fbe-b5dc-efec5e27cbe0_en</vt:lpwstr>
      </vt:variant>
      <vt:variant>
        <vt:lpwstr/>
      </vt:variant>
      <vt:variant>
        <vt:i4>5046319</vt:i4>
      </vt:variant>
      <vt:variant>
        <vt:i4>369</vt:i4>
      </vt:variant>
      <vt:variant>
        <vt:i4>0</vt:i4>
      </vt:variant>
      <vt:variant>
        <vt:i4>5</vt:i4>
      </vt:variant>
      <vt:variant>
        <vt:lpwstr>https://commission.europa.eu/document/82ce1391-cde5-49e9-9d1b-3f14f4975eb7_en</vt:lpwstr>
      </vt:variant>
      <vt:variant>
        <vt:lpwstr/>
      </vt:variant>
      <vt:variant>
        <vt:i4>1114153</vt:i4>
      </vt:variant>
      <vt:variant>
        <vt:i4>366</vt:i4>
      </vt:variant>
      <vt:variant>
        <vt:i4>0</vt:i4>
      </vt:variant>
      <vt:variant>
        <vt:i4>5</vt:i4>
      </vt:variant>
      <vt:variant>
        <vt:lpwstr>https://commission.europa.eu/document/0e737e3a-55fd-424e-883d-72c2d3092be1_en</vt:lpwstr>
      </vt:variant>
      <vt:variant>
        <vt:lpwstr/>
      </vt:variant>
      <vt:variant>
        <vt:i4>2031741</vt:i4>
      </vt:variant>
      <vt:variant>
        <vt:i4>363</vt:i4>
      </vt:variant>
      <vt:variant>
        <vt:i4>0</vt:i4>
      </vt:variant>
      <vt:variant>
        <vt:i4>5</vt:i4>
      </vt:variant>
      <vt:variant>
        <vt:lpwstr>https://commission.europa.eu/document/417a722f-93b6-4682-a52b-f08b80747e31_en</vt:lpwstr>
      </vt:variant>
      <vt:variant>
        <vt:lpwstr/>
      </vt:variant>
      <vt:variant>
        <vt:i4>1703983</vt:i4>
      </vt:variant>
      <vt:variant>
        <vt:i4>360</vt:i4>
      </vt:variant>
      <vt:variant>
        <vt:i4>0</vt:i4>
      </vt:variant>
      <vt:variant>
        <vt:i4>5</vt:i4>
      </vt:variant>
      <vt:variant>
        <vt:lpwstr>https://commission.europa.eu/document/cb87d151-e0ef-4111-b772-84bc679c55c9_en</vt:lpwstr>
      </vt:variant>
      <vt:variant>
        <vt:lpwstr/>
      </vt:variant>
      <vt:variant>
        <vt:i4>5046319</vt:i4>
      </vt:variant>
      <vt:variant>
        <vt:i4>357</vt:i4>
      </vt:variant>
      <vt:variant>
        <vt:i4>0</vt:i4>
      </vt:variant>
      <vt:variant>
        <vt:i4>5</vt:i4>
      </vt:variant>
      <vt:variant>
        <vt:lpwstr>https://commission.europa.eu/document/82ce1391-cde5-49e9-9d1b-3f14f4975eb7_en</vt:lpwstr>
      </vt:variant>
      <vt:variant>
        <vt:lpwstr/>
      </vt:variant>
      <vt:variant>
        <vt:i4>1048691</vt:i4>
      </vt:variant>
      <vt:variant>
        <vt:i4>354</vt:i4>
      </vt:variant>
      <vt:variant>
        <vt:i4>0</vt:i4>
      </vt:variant>
      <vt:variant>
        <vt:i4>5</vt:i4>
      </vt:variant>
      <vt:variant>
        <vt:lpwstr>https://commission.europa.eu/document/a85449a7-4195-496f-adbb-a217f611451a_en</vt:lpwstr>
      </vt:variant>
      <vt:variant>
        <vt:lpwstr/>
      </vt:variant>
      <vt:variant>
        <vt:i4>4784255</vt:i4>
      </vt:variant>
      <vt:variant>
        <vt:i4>351</vt:i4>
      </vt:variant>
      <vt:variant>
        <vt:i4>0</vt:i4>
      </vt:variant>
      <vt:variant>
        <vt:i4>5</vt:i4>
      </vt:variant>
      <vt:variant>
        <vt:lpwstr>https://commission.europa.eu/document/24a9b587-6e2a-4078-b58d-65dabd1233b4_en</vt:lpwstr>
      </vt:variant>
      <vt:variant>
        <vt:lpwstr/>
      </vt:variant>
      <vt:variant>
        <vt:i4>1769595</vt:i4>
      </vt:variant>
      <vt:variant>
        <vt:i4>348</vt:i4>
      </vt:variant>
      <vt:variant>
        <vt:i4>0</vt:i4>
      </vt:variant>
      <vt:variant>
        <vt:i4>5</vt:i4>
      </vt:variant>
      <vt:variant>
        <vt:lpwstr>https://commission.europa.eu/document/c4aa0a4b-ebb0-47ca-8f73-d75d248e1470_en</vt:lpwstr>
      </vt:variant>
      <vt:variant>
        <vt:lpwstr/>
      </vt:variant>
      <vt:variant>
        <vt:i4>1638444</vt:i4>
      </vt:variant>
      <vt:variant>
        <vt:i4>345</vt:i4>
      </vt:variant>
      <vt:variant>
        <vt:i4>0</vt:i4>
      </vt:variant>
      <vt:variant>
        <vt:i4>5</vt:i4>
      </vt:variant>
      <vt:variant>
        <vt:lpwstr>https://commission.europa.eu/document/88318b79-b6d9-4e2e-a5ca-160217594e45_en</vt:lpwstr>
      </vt:variant>
      <vt:variant>
        <vt:lpwstr/>
      </vt:variant>
      <vt:variant>
        <vt:i4>2031741</vt:i4>
      </vt:variant>
      <vt:variant>
        <vt:i4>342</vt:i4>
      </vt:variant>
      <vt:variant>
        <vt:i4>0</vt:i4>
      </vt:variant>
      <vt:variant>
        <vt:i4>5</vt:i4>
      </vt:variant>
      <vt:variant>
        <vt:lpwstr>https://commission.europa.eu/document/417a722f-93b6-4682-a52b-f08b80747e31_en</vt:lpwstr>
      </vt:variant>
      <vt:variant>
        <vt:lpwstr/>
      </vt:variant>
      <vt:variant>
        <vt:i4>5046319</vt:i4>
      </vt:variant>
      <vt:variant>
        <vt:i4>339</vt:i4>
      </vt:variant>
      <vt:variant>
        <vt:i4>0</vt:i4>
      </vt:variant>
      <vt:variant>
        <vt:i4>5</vt:i4>
      </vt:variant>
      <vt:variant>
        <vt:lpwstr>https://commission.europa.eu/document/82ce1391-cde5-49e9-9d1b-3f14f4975eb7_en</vt:lpwstr>
      </vt:variant>
      <vt:variant>
        <vt:lpwstr/>
      </vt:variant>
      <vt:variant>
        <vt:i4>1704048</vt:i4>
      </vt:variant>
      <vt:variant>
        <vt:i4>336</vt:i4>
      </vt:variant>
      <vt:variant>
        <vt:i4>0</vt:i4>
      </vt:variant>
      <vt:variant>
        <vt:i4>5</vt:i4>
      </vt:variant>
      <vt:variant>
        <vt:lpwstr>https://commission.europa.eu/document/5d8ff0c0-c2a7-413d-b35e-afe42dc98311_en</vt:lpwstr>
      </vt:variant>
      <vt:variant>
        <vt:lpwstr/>
      </vt:variant>
      <vt:variant>
        <vt:i4>5046319</vt:i4>
      </vt:variant>
      <vt:variant>
        <vt:i4>333</vt:i4>
      </vt:variant>
      <vt:variant>
        <vt:i4>0</vt:i4>
      </vt:variant>
      <vt:variant>
        <vt:i4>5</vt:i4>
      </vt:variant>
      <vt:variant>
        <vt:lpwstr>https://commission.europa.eu/document/82ce1391-cde5-49e9-9d1b-3f14f4975eb7_en</vt:lpwstr>
      </vt:variant>
      <vt:variant>
        <vt:lpwstr/>
      </vt:variant>
      <vt:variant>
        <vt:i4>1900579</vt:i4>
      </vt:variant>
      <vt:variant>
        <vt:i4>330</vt:i4>
      </vt:variant>
      <vt:variant>
        <vt:i4>0</vt:i4>
      </vt:variant>
      <vt:variant>
        <vt:i4>5</vt:i4>
      </vt:variant>
      <vt:variant>
        <vt:lpwstr>https://commission.europa.eu/document/019229a1-8c23-4f90-bfe4-f842cd59c6a9_en</vt:lpwstr>
      </vt:variant>
      <vt:variant>
        <vt:lpwstr/>
      </vt:variant>
      <vt:variant>
        <vt:i4>1769589</vt:i4>
      </vt:variant>
      <vt:variant>
        <vt:i4>327</vt:i4>
      </vt:variant>
      <vt:variant>
        <vt:i4>0</vt:i4>
      </vt:variant>
      <vt:variant>
        <vt:i4>5</vt:i4>
      </vt:variant>
      <vt:variant>
        <vt:lpwstr>https://commission.europa.eu/document/ead2f649-cf9d-48d0-b748-f0e797fd5dbf_en</vt:lpwstr>
      </vt:variant>
      <vt:variant>
        <vt:lpwstr/>
      </vt:variant>
      <vt:variant>
        <vt:i4>5832790</vt:i4>
      </vt:variant>
      <vt:variant>
        <vt:i4>324</vt:i4>
      </vt:variant>
      <vt:variant>
        <vt:i4>0</vt:i4>
      </vt:variant>
      <vt:variant>
        <vt:i4>5</vt:i4>
      </vt:variant>
      <vt:variant>
        <vt:lpwstr>https://www.transparency.org/en/cpi/2025</vt:lpwstr>
      </vt:variant>
      <vt:variant>
        <vt:lpwstr/>
      </vt:variant>
      <vt:variant>
        <vt:i4>4718635</vt:i4>
      </vt:variant>
      <vt:variant>
        <vt:i4>321</vt:i4>
      </vt:variant>
      <vt:variant>
        <vt:i4>0</vt:i4>
      </vt:variant>
      <vt:variant>
        <vt:i4>5</vt:i4>
      </vt:variant>
      <vt:variant>
        <vt:lpwstr>https://commission.europa.eu/document/6f4cd94b-e554-4b60-8f90-54c0b79606a3_en</vt:lpwstr>
      </vt:variant>
      <vt:variant>
        <vt:lpwstr/>
      </vt:variant>
      <vt:variant>
        <vt:i4>2031741</vt:i4>
      </vt:variant>
      <vt:variant>
        <vt:i4>318</vt:i4>
      </vt:variant>
      <vt:variant>
        <vt:i4>0</vt:i4>
      </vt:variant>
      <vt:variant>
        <vt:i4>5</vt:i4>
      </vt:variant>
      <vt:variant>
        <vt:lpwstr>https://commission.europa.eu/document/417a722f-93b6-4682-a52b-f08b80747e31_en</vt:lpwstr>
      </vt:variant>
      <vt:variant>
        <vt:lpwstr/>
      </vt:variant>
      <vt:variant>
        <vt:i4>1769589</vt:i4>
      </vt:variant>
      <vt:variant>
        <vt:i4>315</vt:i4>
      </vt:variant>
      <vt:variant>
        <vt:i4>0</vt:i4>
      </vt:variant>
      <vt:variant>
        <vt:i4>5</vt:i4>
      </vt:variant>
      <vt:variant>
        <vt:lpwstr>https://commission.europa.eu/document/ead2f649-cf9d-48d0-b748-f0e797fd5dbf_en</vt:lpwstr>
      </vt:variant>
      <vt:variant>
        <vt:lpwstr/>
      </vt:variant>
      <vt:variant>
        <vt:i4>5177464</vt:i4>
      </vt:variant>
      <vt:variant>
        <vt:i4>312</vt:i4>
      </vt:variant>
      <vt:variant>
        <vt:i4>0</vt:i4>
      </vt:variant>
      <vt:variant>
        <vt:i4>5</vt:i4>
      </vt:variant>
      <vt:variant>
        <vt:lpwstr>https://commission.europa.eu/document/9c3333e5-5ede-4917-8524-cbeea2f9f17d_en</vt:lpwstr>
      </vt:variant>
      <vt:variant>
        <vt:lpwstr/>
      </vt:variant>
      <vt:variant>
        <vt:i4>1703983</vt:i4>
      </vt:variant>
      <vt:variant>
        <vt:i4>309</vt:i4>
      </vt:variant>
      <vt:variant>
        <vt:i4>0</vt:i4>
      </vt:variant>
      <vt:variant>
        <vt:i4>5</vt:i4>
      </vt:variant>
      <vt:variant>
        <vt:lpwstr>https://commission.europa.eu/document/cb87d151-e0ef-4111-b772-84bc679c55c9_en</vt:lpwstr>
      </vt:variant>
      <vt:variant>
        <vt:lpwstr/>
      </vt:variant>
      <vt:variant>
        <vt:i4>1638527</vt:i4>
      </vt:variant>
      <vt:variant>
        <vt:i4>306</vt:i4>
      </vt:variant>
      <vt:variant>
        <vt:i4>0</vt:i4>
      </vt:variant>
      <vt:variant>
        <vt:i4>5</vt:i4>
      </vt:variant>
      <vt:variant>
        <vt:lpwstr>https://commission.europa.eu/document/491770ba-4104-4367-8099-878ce1e3b034_en</vt:lpwstr>
      </vt:variant>
      <vt:variant>
        <vt:lpwstr/>
      </vt:variant>
      <vt:variant>
        <vt:i4>4784255</vt:i4>
      </vt:variant>
      <vt:variant>
        <vt:i4>303</vt:i4>
      </vt:variant>
      <vt:variant>
        <vt:i4>0</vt:i4>
      </vt:variant>
      <vt:variant>
        <vt:i4>5</vt:i4>
      </vt:variant>
      <vt:variant>
        <vt:lpwstr>https://commission.europa.eu/document/24a9b587-6e2a-4078-b58d-65dabd1233b4_en</vt:lpwstr>
      </vt:variant>
      <vt:variant>
        <vt:lpwstr/>
      </vt:variant>
      <vt:variant>
        <vt:i4>4718715</vt:i4>
      </vt:variant>
      <vt:variant>
        <vt:i4>300</vt:i4>
      </vt:variant>
      <vt:variant>
        <vt:i4>0</vt:i4>
      </vt:variant>
      <vt:variant>
        <vt:i4>5</vt:i4>
      </vt:variant>
      <vt:variant>
        <vt:lpwstr>https://commission.europa.eu/document/b0b87aac-b88d-405b-bdc5-4e32f0765926_en</vt:lpwstr>
      </vt:variant>
      <vt:variant>
        <vt:lpwstr/>
      </vt:variant>
      <vt:variant>
        <vt:i4>1769595</vt:i4>
      </vt:variant>
      <vt:variant>
        <vt:i4>297</vt:i4>
      </vt:variant>
      <vt:variant>
        <vt:i4>0</vt:i4>
      </vt:variant>
      <vt:variant>
        <vt:i4>5</vt:i4>
      </vt:variant>
      <vt:variant>
        <vt:lpwstr>https://commission.europa.eu/document/c4aa0a4b-ebb0-47ca-8f73-d75d248e1470_en</vt:lpwstr>
      </vt:variant>
      <vt:variant>
        <vt:lpwstr/>
      </vt:variant>
      <vt:variant>
        <vt:i4>1900579</vt:i4>
      </vt:variant>
      <vt:variant>
        <vt:i4>294</vt:i4>
      </vt:variant>
      <vt:variant>
        <vt:i4>0</vt:i4>
      </vt:variant>
      <vt:variant>
        <vt:i4>5</vt:i4>
      </vt:variant>
      <vt:variant>
        <vt:lpwstr>https://commission.europa.eu/document/019229a1-8c23-4f90-bfe4-f842cd59c6a9_en</vt:lpwstr>
      </vt:variant>
      <vt:variant>
        <vt:lpwstr/>
      </vt:variant>
      <vt:variant>
        <vt:i4>4653168</vt:i4>
      </vt:variant>
      <vt:variant>
        <vt:i4>291</vt:i4>
      </vt:variant>
      <vt:variant>
        <vt:i4>0</vt:i4>
      </vt:variant>
      <vt:variant>
        <vt:i4>5</vt:i4>
      </vt:variant>
      <vt:variant>
        <vt:lpwstr>https://commission.europa.eu/document/e5772fb0-6b70-4b1c-b54c-def1c42363f0_en</vt:lpwstr>
      </vt:variant>
      <vt:variant>
        <vt:lpwstr/>
      </vt:variant>
      <vt:variant>
        <vt:i4>4784255</vt:i4>
      </vt:variant>
      <vt:variant>
        <vt:i4>288</vt:i4>
      </vt:variant>
      <vt:variant>
        <vt:i4>0</vt:i4>
      </vt:variant>
      <vt:variant>
        <vt:i4>5</vt:i4>
      </vt:variant>
      <vt:variant>
        <vt:lpwstr>https://commission.europa.eu/document/24a9b587-6e2a-4078-b58d-65dabd1233b4_en</vt:lpwstr>
      </vt:variant>
      <vt:variant>
        <vt:lpwstr/>
      </vt:variant>
      <vt:variant>
        <vt:i4>1114226</vt:i4>
      </vt:variant>
      <vt:variant>
        <vt:i4>285</vt:i4>
      </vt:variant>
      <vt:variant>
        <vt:i4>0</vt:i4>
      </vt:variant>
      <vt:variant>
        <vt:i4>5</vt:i4>
      </vt:variant>
      <vt:variant>
        <vt:lpwstr>https://commission.europa.eu/document/3aab2482-4772-4579-bdf0-03f5a93a5a95_en</vt:lpwstr>
      </vt:variant>
      <vt:variant>
        <vt:lpwstr/>
      </vt:variant>
      <vt:variant>
        <vt:i4>1638524</vt:i4>
      </vt:variant>
      <vt:variant>
        <vt:i4>282</vt:i4>
      </vt:variant>
      <vt:variant>
        <vt:i4>0</vt:i4>
      </vt:variant>
      <vt:variant>
        <vt:i4>5</vt:i4>
      </vt:variant>
      <vt:variant>
        <vt:lpwstr>https://commission.europa.eu/document/e6577383-66c2-48d2-8a2e-d029d254a4ec_en</vt:lpwstr>
      </vt:variant>
      <vt:variant>
        <vt:lpwstr/>
      </vt:variant>
      <vt:variant>
        <vt:i4>5046319</vt:i4>
      </vt:variant>
      <vt:variant>
        <vt:i4>279</vt:i4>
      </vt:variant>
      <vt:variant>
        <vt:i4>0</vt:i4>
      </vt:variant>
      <vt:variant>
        <vt:i4>5</vt:i4>
      </vt:variant>
      <vt:variant>
        <vt:lpwstr>https://commission.europa.eu/document/82ce1391-cde5-49e9-9d1b-3f14f4975eb7_en</vt:lpwstr>
      </vt:variant>
      <vt:variant>
        <vt:lpwstr/>
      </vt:variant>
      <vt:variant>
        <vt:i4>4456483</vt:i4>
      </vt:variant>
      <vt:variant>
        <vt:i4>276</vt:i4>
      </vt:variant>
      <vt:variant>
        <vt:i4>0</vt:i4>
      </vt:variant>
      <vt:variant>
        <vt:i4>5</vt:i4>
      </vt:variant>
      <vt:variant>
        <vt:lpwstr>https://commission.europa.eu/document/eb68862c-103b-441d-a85e-3424441f5218_en</vt:lpwstr>
      </vt:variant>
      <vt:variant>
        <vt:lpwstr/>
      </vt:variant>
      <vt:variant>
        <vt:i4>4325491</vt:i4>
      </vt:variant>
      <vt:variant>
        <vt:i4>273</vt:i4>
      </vt:variant>
      <vt:variant>
        <vt:i4>0</vt:i4>
      </vt:variant>
      <vt:variant>
        <vt:i4>5</vt:i4>
      </vt:variant>
      <vt:variant>
        <vt:lpwstr>https://commission.europa.eu/document/f62ae9c3-a2d6-4da5-b70a-43397c30fc36_en</vt:lpwstr>
      </vt:variant>
      <vt:variant>
        <vt:lpwstr/>
      </vt:variant>
      <vt:variant>
        <vt:i4>4718715</vt:i4>
      </vt:variant>
      <vt:variant>
        <vt:i4>270</vt:i4>
      </vt:variant>
      <vt:variant>
        <vt:i4>0</vt:i4>
      </vt:variant>
      <vt:variant>
        <vt:i4>5</vt:i4>
      </vt:variant>
      <vt:variant>
        <vt:lpwstr>https://commission.europa.eu/document/b0b87aac-b88d-405b-bdc5-4e32f0765926_en</vt:lpwstr>
      </vt:variant>
      <vt:variant>
        <vt:lpwstr/>
      </vt:variant>
      <vt:variant>
        <vt:i4>1769595</vt:i4>
      </vt:variant>
      <vt:variant>
        <vt:i4>267</vt:i4>
      </vt:variant>
      <vt:variant>
        <vt:i4>0</vt:i4>
      </vt:variant>
      <vt:variant>
        <vt:i4>5</vt:i4>
      </vt:variant>
      <vt:variant>
        <vt:lpwstr>https://commission.europa.eu/document/c4aa0a4b-ebb0-47ca-8f73-d75d248e1470_en</vt:lpwstr>
      </vt:variant>
      <vt:variant>
        <vt:lpwstr/>
      </vt:variant>
      <vt:variant>
        <vt:i4>1376296</vt:i4>
      </vt:variant>
      <vt:variant>
        <vt:i4>264</vt:i4>
      </vt:variant>
      <vt:variant>
        <vt:i4>0</vt:i4>
      </vt:variant>
      <vt:variant>
        <vt:i4>5</vt:i4>
      </vt:variant>
      <vt:variant>
        <vt:lpwstr>https://commission.europa.eu/document/10b34393-adeb-40d8-a18d-a94813fe7001_en</vt:lpwstr>
      </vt:variant>
      <vt:variant>
        <vt:lpwstr/>
      </vt:variant>
      <vt:variant>
        <vt:i4>1441838</vt:i4>
      </vt:variant>
      <vt:variant>
        <vt:i4>261</vt:i4>
      </vt:variant>
      <vt:variant>
        <vt:i4>0</vt:i4>
      </vt:variant>
      <vt:variant>
        <vt:i4>5</vt:i4>
      </vt:variant>
      <vt:variant>
        <vt:lpwstr>https://commission.europa.eu/document/3f6405bc-f071-4e6c-a2b1-212832d588fe_en</vt:lpwstr>
      </vt:variant>
      <vt:variant>
        <vt:lpwstr/>
      </vt:variant>
      <vt:variant>
        <vt:i4>5046319</vt:i4>
      </vt:variant>
      <vt:variant>
        <vt:i4>258</vt:i4>
      </vt:variant>
      <vt:variant>
        <vt:i4>0</vt:i4>
      </vt:variant>
      <vt:variant>
        <vt:i4>5</vt:i4>
      </vt:variant>
      <vt:variant>
        <vt:lpwstr>https://commission.europa.eu/document/82ce1391-cde5-49e9-9d1b-3f14f4975eb7_en</vt:lpwstr>
      </vt:variant>
      <vt:variant>
        <vt:lpwstr/>
      </vt:variant>
      <vt:variant>
        <vt:i4>1638433</vt:i4>
      </vt:variant>
      <vt:variant>
        <vt:i4>255</vt:i4>
      </vt:variant>
      <vt:variant>
        <vt:i4>0</vt:i4>
      </vt:variant>
      <vt:variant>
        <vt:i4>5</vt:i4>
      </vt:variant>
      <vt:variant>
        <vt:lpwstr>https://commission.europa.eu/document/d4e669ba-d722-4fbe-b5dc-efec5e27cbe0_en</vt:lpwstr>
      </vt:variant>
      <vt:variant>
        <vt:lpwstr/>
      </vt:variant>
      <vt:variant>
        <vt:i4>1114236</vt:i4>
      </vt:variant>
      <vt:variant>
        <vt:i4>252</vt:i4>
      </vt:variant>
      <vt:variant>
        <vt:i4>0</vt:i4>
      </vt:variant>
      <vt:variant>
        <vt:i4>5</vt:i4>
      </vt:variant>
      <vt:variant>
        <vt:lpwstr>https://commission.europa.eu/document/1a478a70-1461-4bfc-9408-60595dff5d8c_en</vt:lpwstr>
      </vt:variant>
      <vt:variant>
        <vt:lpwstr/>
      </vt:variant>
      <vt:variant>
        <vt:i4>4784173</vt:i4>
      </vt:variant>
      <vt:variant>
        <vt:i4>249</vt:i4>
      </vt:variant>
      <vt:variant>
        <vt:i4>0</vt:i4>
      </vt:variant>
      <vt:variant>
        <vt:i4>5</vt:i4>
      </vt:variant>
      <vt:variant>
        <vt:lpwstr>https://commission.europa.eu/document/9c178b94-8070-4d30-84d5-1c2da7691b72_en</vt:lpwstr>
      </vt:variant>
      <vt:variant>
        <vt:lpwstr/>
      </vt:variant>
      <vt:variant>
        <vt:i4>4653168</vt:i4>
      </vt:variant>
      <vt:variant>
        <vt:i4>246</vt:i4>
      </vt:variant>
      <vt:variant>
        <vt:i4>0</vt:i4>
      </vt:variant>
      <vt:variant>
        <vt:i4>5</vt:i4>
      </vt:variant>
      <vt:variant>
        <vt:lpwstr>https://commission.europa.eu/document/e5772fb0-6b70-4b1c-b54c-def1c42363f0_en</vt:lpwstr>
      </vt:variant>
      <vt:variant>
        <vt:lpwstr/>
      </vt:variant>
      <vt:variant>
        <vt:i4>1900579</vt:i4>
      </vt:variant>
      <vt:variant>
        <vt:i4>243</vt:i4>
      </vt:variant>
      <vt:variant>
        <vt:i4>0</vt:i4>
      </vt:variant>
      <vt:variant>
        <vt:i4>5</vt:i4>
      </vt:variant>
      <vt:variant>
        <vt:lpwstr>https://commission.europa.eu/document/019229a1-8c23-4f90-bfe4-f842cd59c6a9_en</vt:lpwstr>
      </vt:variant>
      <vt:variant>
        <vt:lpwstr/>
      </vt:variant>
      <vt:variant>
        <vt:i4>4522101</vt:i4>
      </vt:variant>
      <vt:variant>
        <vt:i4>240</vt:i4>
      </vt:variant>
      <vt:variant>
        <vt:i4>0</vt:i4>
      </vt:variant>
      <vt:variant>
        <vt:i4>5</vt:i4>
      </vt:variant>
      <vt:variant>
        <vt:lpwstr>https://commission.europa.eu/document/3e6bdff0-cfa7-4c9c-8497-f37286427e7b_en</vt:lpwstr>
      </vt:variant>
      <vt:variant>
        <vt:lpwstr/>
      </vt:variant>
      <vt:variant>
        <vt:i4>4325491</vt:i4>
      </vt:variant>
      <vt:variant>
        <vt:i4>237</vt:i4>
      </vt:variant>
      <vt:variant>
        <vt:i4>0</vt:i4>
      </vt:variant>
      <vt:variant>
        <vt:i4>5</vt:i4>
      </vt:variant>
      <vt:variant>
        <vt:lpwstr>https://commission.europa.eu/document/f62ae9c3-a2d6-4da5-b70a-43397c30fc36_en</vt:lpwstr>
      </vt:variant>
      <vt:variant>
        <vt:lpwstr/>
      </vt:variant>
      <vt:variant>
        <vt:i4>2031741</vt:i4>
      </vt:variant>
      <vt:variant>
        <vt:i4>234</vt:i4>
      </vt:variant>
      <vt:variant>
        <vt:i4>0</vt:i4>
      </vt:variant>
      <vt:variant>
        <vt:i4>5</vt:i4>
      </vt:variant>
      <vt:variant>
        <vt:lpwstr>https://commission.europa.eu/document/417a722f-93b6-4682-a52b-f08b80747e31_en</vt:lpwstr>
      </vt:variant>
      <vt:variant>
        <vt:lpwstr/>
      </vt:variant>
      <vt:variant>
        <vt:i4>4784255</vt:i4>
      </vt:variant>
      <vt:variant>
        <vt:i4>231</vt:i4>
      </vt:variant>
      <vt:variant>
        <vt:i4>0</vt:i4>
      </vt:variant>
      <vt:variant>
        <vt:i4>5</vt:i4>
      </vt:variant>
      <vt:variant>
        <vt:lpwstr>https://commission.europa.eu/document/24a9b587-6e2a-4078-b58d-65dabd1233b4_en</vt:lpwstr>
      </vt:variant>
      <vt:variant>
        <vt:lpwstr/>
      </vt:variant>
      <vt:variant>
        <vt:i4>4915323</vt:i4>
      </vt:variant>
      <vt:variant>
        <vt:i4>228</vt:i4>
      </vt:variant>
      <vt:variant>
        <vt:i4>0</vt:i4>
      </vt:variant>
      <vt:variant>
        <vt:i4>5</vt:i4>
      </vt:variant>
      <vt:variant>
        <vt:lpwstr>https://commission.europa.eu/document/e4cbcb23-66f0-43d1-8230-6de47b62bb8b_en</vt:lpwstr>
      </vt:variant>
      <vt:variant>
        <vt:lpwstr/>
      </vt:variant>
      <vt:variant>
        <vt:i4>4980863</vt:i4>
      </vt:variant>
      <vt:variant>
        <vt:i4>225</vt:i4>
      </vt:variant>
      <vt:variant>
        <vt:i4>0</vt:i4>
      </vt:variant>
      <vt:variant>
        <vt:i4>5</vt:i4>
      </vt:variant>
      <vt:variant>
        <vt:lpwstr>https://commission.europa.eu/document/399e00c0-68ef-43f0-adaf-4fcaadec803e_en</vt:lpwstr>
      </vt:variant>
      <vt:variant>
        <vt:lpwstr/>
      </vt:variant>
      <vt:variant>
        <vt:i4>1638524</vt:i4>
      </vt:variant>
      <vt:variant>
        <vt:i4>222</vt:i4>
      </vt:variant>
      <vt:variant>
        <vt:i4>0</vt:i4>
      </vt:variant>
      <vt:variant>
        <vt:i4>5</vt:i4>
      </vt:variant>
      <vt:variant>
        <vt:lpwstr>https://commission.europa.eu/document/e6577383-66c2-48d2-8a2e-d029d254a4ec_en</vt:lpwstr>
      </vt:variant>
      <vt:variant>
        <vt:lpwstr/>
      </vt:variant>
      <vt:variant>
        <vt:i4>4784246</vt:i4>
      </vt:variant>
      <vt:variant>
        <vt:i4>219</vt:i4>
      </vt:variant>
      <vt:variant>
        <vt:i4>0</vt:i4>
      </vt:variant>
      <vt:variant>
        <vt:i4>5</vt:i4>
      </vt:variant>
      <vt:variant>
        <vt:lpwstr>https://commission.europa.eu/document/75aa718d-b028-4d2b-a286-e07f3ad3b02f_en</vt:lpwstr>
      </vt:variant>
      <vt:variant>
        <vt:lpwstr/>
      </vt:variant>
      <vt:variant>
        <vt:i4>4456483</vt:i4>
      </vt:variant>
      <vt:variant>
        <vt:i4>216</vt:i4>
      </vt:variant>
      <vt:variant>
        <vt:i4>0</vt:i4>
      </vt:variant>
      <vt:variant>
        <vt:i4>5</vt:i4>
      </vt:variant>
      <vt:variant>
        <vt:lpwstr>https://commission.europa.eu/document/eb68862c-103b-441d-a85e-3424441f5218_en</vt:lpwstr>
      </vt:variant>
      <vt:variant>
        <vt:lpwstr/>
      </vt:variant>
      <vt:variant>
        <vt:i4>1769589</vt:i4>
      </vt:variant>
      <vt:variant>
        <vt:i4>213</vt:i4>
      </vt:variant>
      <vt:variant>
        <vt:i4>0</vt:i4>
      </vt:variant>
      <vt:variant>
        <vt:i4>5</vt:i4>
      </vt:variant>
      <vt:variant>
        <vt:lpwstr>https://commission.europa.eu/document/ead2f649-cf9d-48d0-b748-f0e797fd5dbf_en</vt:lpwstr>
      </vt:variant>
      <vt:variant>
        <vt:lpwstr/>
      </vt:variant>
      <vt:variant>
        <vt:i4>1114153</vt:i4>
      </vt:variant>
      <vt:variant>
        <vt:i4>210</vt:i4>
      </vt:variant>
      <vt:variant>
        <vt:i4>0</vt:i4>
      </vt:variant>
      <vt:variant>
        <vt:i4>5</vt:i4>
      </vt:variant>
      <vt:variant>
        <vt:lpwstr>https://commission.europa.eu/document/0e737e3a-55fd-424e-883d-72c2d3092be1_en</vt:lpwstr>
      </vt:variant>
      <vt:variant>
        <vt:lpwstr/>
      </vt:variant>
      <vt:variant>
        <vt:i4>1704048</vt:i4>
      </vt:variant>
      <vt:variant>
        <vt:i4>207</vt:i4>
      </vt:variant>
      <vt:variant>
        <vt:i4>0</vt:i4>
      </vt:variant>
      <vt:variant>
        <vt:i4>5</vt:i4>
      </vt:variant>
      <vt:variant>
        <vt:lpwstr>https://commission.europa.eu/document/5d8ff0c0-c2a7-413d-b35e-afe42dc98311_en</vt:lpwstr>
      </vt:variant>
      <vt:variant>
        <vt:lpwstr/>
      </vt:variant>
      <vt:variant>
        <vt:i4>4915323</vt:i4>
      </vt:variant>
      <vt:variant>
        <vt:i4>204</vt:i4>
      </vt:variant>
      <vt:variant>
        <vt:i4>0</vt:i4>
      </vt:variant>
      <vt:variant>
        <vt:i4>5</vt:i4>
      </vt:variant>
      <vt:variant>
        <vt:lpwstr>https://commission.europa.eu/document/e4cbcb23-66f0-43d1-8230-6de47b62bb8b_en</vt:lpwstr>
      </vt:variant>
      <vt:variant>
        <vt:lpwstr/>
      </vt:variant>
      <vt:variant>
        <vt:i4>4653168</vt:i4>
      </vt:variant>
      <vt:variant>
        <vt:i4>201</vt:i4>
      </vt:variant>
      <vt:variant>
        <vt:i4>0</vt:i4>
      </vt:variant>
      <vt:variant>
        <vt:i4>5</vt:i4>
      </vt:variant>
      <vt:variant>
        <vt:lpwstr>https://commission.europa.eu/document/e5772fb0-6b70-4b1c-b54c-def1c42363f0_en</vt:lpwstr>
      </vt:variant>
      <vt:variant>
        <vt:lpwstr/>
      </vt:variant>
      <vt:variant>
        <vt:i4>4456483</vt:i4>
      </vt:variant>
      <vt:variant>
        <vt:i4>198</vt:i4>
      </vt:variant>
      <vt:variant>
        <vt:i4>0</vt:i4>
      </vt:variant>
      <vt:variant>
        <vt:i4>5</vt:i4>
      </vt:variant>
      <vt:variant>
        <vt:lpwstr>https://commission.europa.eu/document/eb68862c-103b-441d-a85e-3424441f5218_en</vt:lpwstr>
      </vt:variant>
      <vt:variant>
        <vt:lpwstr/>
      </vt:variant>
      <vt:variant>
        <vt:i4>1638527</vt:i4>
      </vt:variant>
      <vt:variant>
        <vt:i4>195</vt:i4>
      </vt:variant>
      <vt:variant>
        <vt:i4>0</vt:i4>
      </vt:variant>
      <vt:variant>
        <vt:i4>5</vt:i4>
      </vt:variant>
      <vt:variant>
        <vt:lpwstr>https://commission.europa.eu/document/491770ba-4104-4367-8099-878ce1e3b034_en</vt:lpwstr>
      </vt:variant>
      <vt:variant>
        <vt:lpwstr/>
      </vt:variant>
      <vt:variant>
        <vt:i4>4784255</vt:i4>
      </vt:variant>
      <vt:variant>
        <vt:i4>192</vt:i4>
      </vt:variant>
      <vt:variant>
        <vt:i4>0</vt:i4>
      </vt:variant>
      <vt:variant>
        <vt:i4>5</vt:i4>
      </vt:variant>
      <vt:variant>
        <vt:lpwstr>https://commission.europa.eu/document/24a9b587-6e2a-4078-b58d-65dabd1233b4_en</vt:lpwstr>
      </vt:variant>
      <vt:variant>
        <vt:lpwstr/>
      </vt:variant>
      <vt:variant>
        <vt:i4>4522101</vt:i4>
      </vt:variant>
      <vt:variant>
        <vt:i4>189</vt:i4>
      </vt:variant>
      <vt:variant>
        <vt:i4>0</vt:i4>
      </vt:variant>
      <vt:variant>
        <vt:i4>5</vt:i4>
      </vt:variant>
      <vt:variant>
        <vt:lpwstr>https://commission.europa.eu/document/3e6bdff0-cfa7-4c9c-8497-f37286427e7b_en</vt:lpwstr>
      </vt:variant>
      <vt:variant>
        <vt:lpwstr/>
      </vt:variant>
      <vt:variant>
        <vt:i4>1638444</vt:i4>
      </vt:variant>
      <vt:variant>
        <vt:i4>186</vt:i4>
      </vt:variant>
      <vt:variant>
        <vt:i4>0</vt:i4>
      </vt:variant>
      <vt:variant>
        <vt:i4>5</vt:i4>
      </vt:variant>
      <vt:variant>
        <vt:lpwstr>https://commission.europa.eu/document/88318b79-b6d9-4e2e-a5ca-160217594e45_en</vt:lpwstr>
      </vt:variant>
      <vt:variant>
        <vt:lpwstr/>
      </vt:variant>
      <vt:variant>
        <vt:i4>1114226</vt:i4>
      </vt:variant>
      <vt:variant>
        <vt:i4>183</vt:i4>
      </vt:variant>
      <vt:variant>
        <vt:i4>0</vt:i4>
      </vt:variant>
      <vt:variant>
        <vt:i4>5</vt:i4>
      </vt:variant>
      <vt:variant>
        <vt:lpwstr>https://commission.europa.eu/document/3aab2482-4772-4579-bdf0-03f5a93a5a95_en</vt:lpwstr>
      </vt:variant>
      <vt:variant>
        <vt:lpwstr/>
      </vt:variant>
      <vt:variant>
        <vt:i4>4980863</vt:i4>
      </vt:variant>
      <vt:variant>
        <vt:i4>180</vt:i4>
      </vt:variant>
      <vt:variant>
        <vt:i4>0</vt:i4>
      </vt:variant>
      <vt:variant>
        <vt:i4>5</vt:i4>
      </vt:variant>
      <vt:variant>
        <vt:lpwstr>https://commission.europa.eu/document/399e00c0-68ef-43f0-adaf-4fcaadec803e_en</vt:lpwstr>
      </vt:variant>
      <vt:variant>
        <vt:lpwstr/>
      </vt:variant>
      <vt:variant>
        <vt:i4>1114236</vt:i4>
      </vt:variant>
      <vt:variant>
        <vt:i4>177</vt:i4>
      </vt:variant>
      <vt:variant>
        <vt:i4>0</vt:i4>
      </vt:variant>
      <vt:variant>
        <vt:i4>5</vt:i4>
      </vt:variant>
      <vt:variant>
        <vt:lpwstr>https://commission.europa.eu/document/1a478a70-1461-4bfc-9408-60595dff5d8c_en</vt:lpwstr>
      </vt:variant>
      <vt:variant>
        <vt:lpwstr/>
      </vt:variant>
      <vt:variant>
        <vt:i4>4718715</vt:i4>
      </vt:variant>
      <vt:variant>
        <vt:i4>174</vt:i4>
      </vt:variant>
      <vt:variant>
        <vt:i4>0</vt:i4>
      </vt:variant>
      <vt:variant>
        <vt:i4>5</vt:i4>
      </vt:variant>
      <vt:variant>
        <vt:lpwstr>https://commission.europa.eu/document/b0b87aac-b88d-405b-bdc5-4e32f0765926_en</vt:lpwstr>
      </vt:variant>
      <vt:variant>
        <vt:lpwstr/>
      </vt:variant>
      <vt:variant>
        <vt:i4>1769595</vt:i4>
      </vt:variant>
      <vt:variant>
        <vt:i4>171</vt:i4>
      </vt:variant>
      <vt:variant>
        <vt:i4>0</vt:i4>
      </vt:variant>
      <vt:variant>
        <vt:i4>5</vt:i4>
      </vt:variant>
      <vt:variant>
        <vt:lpwstr>https://commission.europa.eu/document/c4aa0a4b-ebb0-47ca-8f73-d75d248e1470_en</vt:lpwstr>
      </vt:variant>
      <vt:variant>
        <vt:lpwstr/>
      </vt:variant>
      <vt:variant>
        <vt:i4>1376296</vt:i4>
      </vt:variant>
      <vt:variant>
        <vt:i4>168</vt:i4>
      </vt:variant>
      <vt:variant>
        <vt:i4>0</vt:i4>
      </vt:variant>
      <vt:variant>
        <vt:i4>5</vt:i4>
      </vt:variant>
      <vt:variant>
        <vt:lpwstr>https://commission.europa.eu/document/10b34393-adeb-40d8-a18d-a94813fe7001_en</vt:lpwstr>
      </vt:variant>
      <vt:variant>
        <vt:lpwstr/>
      </vt:variant>
      <vt:variant>
        <vt:i4>1114153</vt:i4>
      </vt:variant>
      <vt:variant>
        <vt:i4>165</vt:i4>
      </vt:variant>
      <vt:variant>
        <vt:i4>0</vt:i4>
      </vt:variant>
      <vt:variant>
        <vt:i4>5</vt:i4>
      </vt:variant>
      <vt:variant>
        <vt:lpwstr>https://commission.europa.eu/document/0e737e3a-55fd-424e-883d-72c2d3092be1_en</vt:lpwstr>
      </vt:variant>
      <vt:variant>
        <vt:lpwstr/>
      </vt:variant>
      <vt:variant>
        <vt:i4>1638444</vt:i4>
      </vt:variant>
      <vt:variant>
        <vt:i4>162</vt:i4>
      </vt:variant>
      <vt:variant>
        <vt:i4>0</vt:i4>
      </vt:variant>
      <vt:variant>
        <vt:i4>5</vt:i4>
      </vt:variant>
      <vt:variant>
        <vt:lpwstr>https://commission.europa.eu/document/88318b79-b6d9-4e2e-a5ca-160217594e45_en</vt:lpwstr>
      </vt:variant>
      <vt:variant>
        <vt:lpwstr/>
      </vt:variant>
      <vt:variant>
        <vt:i4>1572904</vt:i4>
      </vt:variant>
      <vt:variant>
        <vt:i4>159</vt:i4>
      </vt:variant>
      <vt:variant>
        <vt:i4>0</vt:i4>
      </vt:variant>
      <vt:variant>
        <vt:i4>5</vt:i4>
      </vt:variant>
      <vt:variant>
        <vt:lpwstr>https://commission.europa.eu/document/593831c4-dde6-4443-89a1-fb81da85dd25_en</vt:lpwstr>
      </vt:variant>
      <vt:variant>
        <vt:lpwstr/>
      </vt:variant>
      <vt:variant>
        <vt:i4>1638436</vt:i4>
      </vt:variant>
      <vt:variant>
        <vt:i4>156</vt:i4>
      </vt:variant>
      <vt:variant>
        <vt:i4>0</vt:i4>
      </vt:variant>
      <vt:variant>
        <vt:i4>5</vt:i4>
      </vt:variant>
      <vt:variant>
        <vt:lpwstr>https://commission.europa.eu/document/dd8a5789-9309-4de1-ba0e-fe0d9118e7a6_en</vt:lpwstr>
      </vt:variant>
      <vt:variant>
        <vt:lpwstr/>
      </vt:variant>
      <vt:variant>
        <vt:i4>1048691</vt:i4>
      </vt:variant>
      <vt:variant>
        <vt:i4>153</vt:i4>
      </vt:variant>
      <vt:variant>
        <vt:i4>0</vt:i4>
      </vt:variant>
      <vt:variant>
        <vt:i4>5</vt:i4>
      </vt:variant>
      <vt:variant>
        <vt:lpwstr>https://commission.europa.eu/document/a85449a7-4195-496f-adbb-a217f611451a_en</vt:lpwstr>
      </vt:variant>
      <vt:variant>
        <vt:lpwstr/>
      </vt:variant>
      <vt:variant>
        <vt:i4>5046319</vt:i4>
      </vt:variant>
      <vt:variant>
        <vt:i4>150</vt:i4>
      </vt:variant>
      <vt:variant>
        <vt:i4>0</vt:i4>
      </vt:variant>
      <vt:variant>
        <vt:i4>5</vt:i4>
      </vt:variant>
      <vt:variant>
        <vt:lpwstr>https://commission.europa.eu/document/82ce1391-cde5-49e9-9d1b-3f14f4975eb7_en</vt:lpwstr>
      </vt:variant>
      <vt:variant>
        <vt:lpwstr/>
      </vt:variant>
      <vt:variant>
        <vt:i4>2031741</vt:i4>
      </vt:variant>
      <vt:variant>
        <vt:i4>147</vt:i4>
      </vt:variant>
      <vt:variant>
        <vt:i4>0</vt:i4>
      </vt:variant>
      <vt:variant>
        <vt:i4>5</vt:i4>
      </vt:variant>
      <vt:variant>
        <vt:lpwstr>https://commission.europa.eu/document/417a722f-93b6-4682-a52b-f08b80747e31_en</vt:lpwstr>
      </vt:variant>
      <vt:variant>
        <vt:lpwstr/>
      </vt:variant>
      <vt:variant>
        <vt:i4>4718715</vt:i4>
      </vt:variant>
      <vt:variant>
        <vt:i4>144</vt:i4>
      </vt:variant>
      <vt:variant>
        <vt:i4>0</vt:i4>
      </vt:variant>
      <vt:variant>
        <vt:i4>5</vt:i4>
      </vt:variant>
      <vt:variant>
        <vt:lpwstr>https://commission.europa.eu/document/b0b87aac-b88d-405b-bdc5-4e32f0765926_en</vt:lpwstr>
      </vt:variant>
      <vt:variant>
        <vt:lpwstr/>
      </vt:variant>
      <vt:variant>
        <vt:i4>1376296</vt:i4>
      </vt:variant>
      <vt:variant>
        <vt:i4>141</vt:i4>
      </vt:variant>
      <vt:variant>
        <vt:i4>0</vt:i4>
      </vt:variant>
      <vt:variant>
        <vt:i4>5</vt:i4>
      </vt:variant>
      <vt:variant>
        <vt:lpwstr>https://commission.europa.eu/document/10b34393-adeb-40d8-a18d-a94813fe7001_en</vt:lpwstr>
      </vt:variant>
      <vt:variant>
        <vt:lpwstr/>
      </vt:variant>
      <vt:variant>
        <vt:i4>1441838</vt:i4>
      </vt:variant>
      <vt:variant>
        <vt:i4>138</vt:i4>
      </vt:variant>
      <vt:variant>
        <vt:i4>0</vt:i4>
      </vt:variant>
      <vt:variant>
        <vt:i4>5</vt:i4>
      </vt:variant>
      <vt:variant>
        <vt:lpwstr>https://commission.europa.eu/document/3f6405bc-f071-4e6c-a2b1-212832d588fe_en</vt:lpwstr>
      </vt:variant>
      <vt:variant>
        <vt:lpwstr/>
      </vt:variant>
      <vt:variant>
        <vt:i4>1441838</vt:i4>
      </vt:variant>
      <vt:variant>
        <vt:i4>135</vt:i4>
      </vt:variant>
      <vt:variant>
        <vt:i4>0</vt:i4>
      </vt:variant>
      <vt:variant>
        <vt:i4>5</vt:i4>
      </vt:variant>
      <vt:variant>
        <vt:lpwstr>https://commission.europa.eu/document/3f6405bc-f071-4e6c-a2b1-212832d588fe_en</vt:lpwstr>
      </vt:variant>
      <vt:variant>
        <vt:lpwstr/>
      </vt:variant>
      <vt:variant>
        <vt:i4>2031741</vt:i4>
      </vt:variant>
      <vt:variant>
        <vt:i4>132</vt:i4>
      </vt:variant>
      <vt:variant>
        <vt:i4>0</vt:i4>
      </vt:variant>
      <vt:variant>
        <vt:i4>5</vt:i4>
      </vt:variant>
      <vt:variant>
        <vt:lpwstr>https://commission.europa.eu/document/417a722f-93b6-4682-a52b-f08b80747e31_en</vt:lpwstr>
      </vt:variant>
      <vt:variant>
        <vt:lpwstr/>
      </vt:variant>
      <vt:variant>
        <vt:i4>4784173</vt:i4>
      </vt:variant>
      <vt:variant>
        <vt:i4>129</vt:i4>
      </vt:variant>
      <vt:variant>
        <vt:i4>0</vt:i4>
      </vt:variant>
      <vt:variant>
        <vt:i4>5</vt:i4>
      </vt:variant>
      <vt:variant>
        <vt:lpwstr>https://commission.europa.eu/document/9c178b94-8070-4d30-84d5-1c2da7691b72_en</vt:lpwstr>
      </vt:variant>
      <vt:variant>
        <vt:lpwstr/>
      </vt:variant>
      <vt:variant>
        <vt:i4>1638433</vt:i4>
      </vt:variant>
      <vt:variant>
        <vt:i4>126</vt:i4>
      </vt:variant>
      <vt:variant>
        <vt:i4>0</vt:i4>
      </vt:variant>
      <vt:variant>
        <vt:i4>5</vt:i4>
      </vt:variant>
      <vt:variant>
        <vt:lpwstr>https://commission.europa.eu/document/d4e669ba-d722-4fbe-b5dc-efec5e27cbe0_en</vt:lpwstr>
      </vt:variant>
      <vt:variant>
        <vt:lpwstr/>
      </vt:variant>
      <vt:variant>
        <vt:i4>1704048</vt:i4>
      </vt:variant>
      <vt:variant>
        <vt:i4>123</vt:i4>
      </vt:variant>
      <vt:variant>
        <vt:i4>0</vt:i4>
      </vt:variant>
      <vt:variant>
        <vt:i4>5</vt:i4>
      </vt:variant>
      <vt:variant>
        <vt:lpwstr>https://commission.europa.eu/document/5d8ff0c0-c2a7-413d-b35e-afe42dc98311_en</vt:lpwstr>
      </vt:variant>
      <vt:variant>
        <vt:lpwstr/>
      </vt:variant>
      <vt:variant>
        <vt:i4>1703983</vt:i4>
      </vt:variant>
      <vt:variant>
        <vt:i4>120</vt:i4>
      </vt:variant>
      <vt:variant>
        <vt:i4>0</vt:i4>
      </vt:variant>
      <vt:variant>
        <vt:i4>5</vt:i4>
      </vt:variant>
      <vt:variant>
        <vt:lpwstr>https://commission.europa.eu/document/cb87d151-e0ef-4111-b772-84bc679c55c9_en</vt:lpwstr>
      </vt:variant>
      <vt:variant>
        <vt:lpwstr/>
      </vt:variant>
      <vt:variant>
        <vt:i4>4980863</vt:i4>
      </vt:variant>
      <vt:variant>
        <vt:i4>117</vt:i4>
      </vt:variant>
      <vt:variant>
        <vt:i4>0</vt:i4>
      </vt:variant>
      <vt:variant>
        <vt:i4>5</vt:i4>
      </vt:variant>
      <vt:variant>
        <vt:lpwstr>https://commission.europa.eu/document/399e00c0-68ef-43f0-adaf-4fcaadec803e_en</vt:lpwstr>
      </vt:variant>
      <vt:variant>
        <vt:lpwstr/>
      </vt:variant>
      <vt:variant>
        <vt:i4>4456483</vt:i4>
      </vt:variant>
      <vt:variant>
        <vt:i4>114</vt:i4>
      </vt:variant>
      <vt:variant>
        <vt:i4>0</vt:i4>
      </vt:variant>
      <vt:variant>
        <vt:i4>5</vt:i4>
      </vt:variant>
      <vt:variant>
        <vt:lpwstr>https://commission.europa.eu/document/eb68862c-103b-441d-a85e-3424441f5218_en</vt:lpwstr>
      </vt:variant>
      <vt:variant>
        <vt:lpwstr/>
      </vt:variant>
      <vt:variant>
        <vt:i4>1638444</vt:i4>
      </vt:variant>
      <vt:variant>
        <vt:i4>111</vt:i4>
      </vt:variant>
      <vt:variant>
        <vt:i4>0</vt:i4>
      </vt:variant>
      <vt:variant>
        <vt:i4>5</vt:i4>
      </vt:variant>
      <vt:variant>
        <vt:lpwstr>https://commission.europa.eu/document/88318b79-b6d9-4e2e-a5ca-160217594e45_en</vt:lpwstr>
      </vt:variant>
      <vt:variant>
        <vt:lpwstr/>
      </vt:variant>
      <vt:variant>
        <vt:i4>4915323</vt:i4>
      </vt:variant>
      <vt:variant>
        <vt:i4>108</vt:i4>
      </vt:variant>
      <vt:variant>
        <vt:i4>0</vt:i4>
      </vt:variant>
      <vt:variant>
        <vt:i4>5</vt:i4>
      </vt:variant>
      <vt:variant>
        <vt:lpwstr>https://commission.europa.eu/document/e4cbcb23-66f0-43d1-8230-6de47b62bb8b_en</vt:lpwstr>
      </vt:variant>
      <vt:variant>
        <vt:lpwstr/>
      </vt:variant>
      <vt:variant>
        <vt:i4>2031741</vt:i4>
      </vt:variant>
      <vt:variant>
        <vt:i4>105</vt:i4>
      </vt:variant>
      <vt:variant>
        <vt:i4>0</vt:i4>
      </vt:variant>
      <vt:variant>
        <vt:i4>5</vt:i4>
      </vt:variant>
      <vt:variant>
        <vt:lpwstr>https://commission.europa.eu/document/417a722f-93b6-4682-a52b-f08b80747e31_en</vt:lpwstr>
      </vt:variant>
      <vt:variant>
        <vt:lpwstr/>
      </vt:variant>
      <vt:variant>
        <vt:i4>4718715</vt:i4>
      </vt:variant>
      <vt:variant>
        <vt:i4>102</vt:i4>
      </vt:variant>
      <vt:variant>
        <vt:i4>0</vt:i4>
      </vt:variant>
      <vt:variant>
        <vt:i4>5</vt:i4>
      </vt:variant>
      <vt:variant>
        <vt:lpwstr>https://commission.europa.eu/document/b0b87aac-b88d-405b-bdc5-4e32f0765926_en</vt:lpwstr>
      </vt:variant>
      <vt:variant>
        <vt:lpwstr/>
      </vt:variant>
      <vt:variant>
        <vt:i4>1769595</vt:i4>
      </vt:variant>
      <vt:variant>
        <vt:i4>99</vt:i4>
      </vt:variant>
      <vt:variant>
        <vt:i4>0</vt:i4>
      </vt:variant>
      <vt:variant>
        <vt:i4>5</vt:i4>
      </vt:variant>
      <vt:variant>
        <vt:lpwstr>https://commission.europa.eu/document/c4aa0a4b-ebb0-47ca-8f73-d75d248e1470_en</vt:lpwstr>
      </vt:variant>
      <vt:variant>
        <vt:lpwstr/>
      </vt:variant>
      <vt:variant>
        <vt:i4>4784173</vt:i4>
      </vt:variant>
      <vt:variant>
        <vt:i4>96</vt:i4>
      </vt:variant>
      <vt:variant>
        <vt:i4>0</vt:i4>
      </vt:variant>
      <vt:variant>
        <vt:i4>5</vt:i4>
      </vt:variant>
      <vt:variant>
        <vt:lpwstr>https://commission.europa.eu/document/9c178b94-8070-4d30-84d5-1c2da7691b72_en</vt:lpwstr>
      </vt:variant>
      <vt:variant>
        <vt:lpwstr/>
      </vt:variant>
      <vt:variant>
        <vt:i4>4653168</vt:i4>
      </vt:variant>
      <vt:variant>
        <vt:i4>93</vt:i4>
      </vt:variant>
      <vt:variant>
        <vt:i4>0</vt:i4>
      </vt:variant>
      <vt:variant>
        <vt:i4>5</vt:i4>
      </vt:variant>
      <vt:variant>
        <vt:lpwstr>https://commission.europa.eu/document/e5772fb0-6b70-4b1c-b54c-def1c42363f0_en</vt:lpwstr>
      </vt:variant>
      <vt:variant>
        <vt:lpwstr/>
      </vt:variant>
      <vt:variant>
        <vt:i4>5046319</vt:i4>
      </vt:variant>
      <vt:variant>
        <vt:i4>90</vt:i4>
      </vt:variant>
      <vt:variant>
        <vt:i4>0</vt:i4>
      </vt:variant>
      <vt:variant>
        <vt:i4>5</vt:i4>
      </vt:variant>
      <vt:variant>
        <vt:lpwstr>https://commission.europa.eu/document/82ce1391-cde5-49e9-9d1b-3f14f4975eb7_en</vt:lpwstr>
      </vt:variant>
      <vt:variant>
        <vt:lpwstr/>
      </vt:variant>
      <vt:variant>
        <vt:i4>1638527</vt:i4>
      </vt:variant>
      <vt:variant>
        <vt:i4>87</vt:i4>
      </vt:variant>
      <vt:variant>
        <vt:i4>0</vt:i4>
      </vt:variant>
      <vt:variant>
        <vt:i4>5</vt:i4>
      </vt:variant>
      <vt:variant>
        <vt:lpwstr>https://commission.europa.eu/document/491770ba-4104-4367-8099-878ce1e3b034_en</vt:lpwstr>
      </vt:variant>
      <vt:variant>
        <vt:lpwstr/>
      </vt:variant>
      <vt:variant>
        <vt:i4>2031741</vt:i4>
      </vt:variant>
      <vt:variant>
        <vt:i4>84</vt:i4>
      </vt:variant>
      <vt:variant>
        <vt:i4>0</vt:i4>
      </vt:variant>
      <vt:variant>
        <vt:i4>5</vt:i4>
      </vt:variant>
      <vt:variant>
        <vt:lpwstr>https://commission.europa.eu/document/417a722f-93b6-4682-a52b-f08b80747e31_en</vt:lpwstr>
      </vt:variant>
      <vt:variant>
        <vt:lpwstr/>
      </vt:variant>
      <vt:variant>
        <vt:i4>4325491</vt:i4>
      </vt:variant>
      <vt:variant>
        <vt:i4>81</vt:i4>
      </vt:variant>
      <vt:variant>
        <vt:i4>0</vt:i4>
      </vt:variant>
      <vt:variant>
        <vt:i4>5</vt:i4>
      </vt:variant>
      <vt:variant>
        <vt:lpwstr>https://commission.europa.eu/document/f62ae9c3-a2d6-4da5-b70a-43397c30fc36_en</vt:lpwstr>
      </vt:variant>
      <vt:variant>
        <vt:lpwstr/>
      </vt:variant>
      <vt:variant>
        <vt:i4>1769589</vt:i4>
      </vt:variant>
      <vt:variant>
        <vt:i4>78</vt:i4>
      </vt:variant>
      <vt:variant>
        <vt:i4>0</vt:i4>
      </vt:variant>
      <vt:variant>
        <vt:i4>5</vt:i4>
      </vt:variant>
      <vt:variant>
        <vt:lpwstr>https://commission.europa.eu/document/ead2f649-cf9d-48d0-b748-f0e797fd5dbf_en</vt:lpwstr>
      </vt:variant>
      <vt:variant>
        <vt:lpwstr/>
      </vt:variant>
      <vt:variant>
        <vt:i4>4784246</vt:i4>
      </vt:variant>
      <vt:variant>
        <vt:i4>75</vt:i4>
      </vt:variant>
      <vt:variant>
        <vt:i4>0</vt:i4>
      </vt:variant>
      <vt:variant>
        <vt:i4>5</vt:i4>
      </vt:variant>
      <vt:variant>
        <vt:lpwstr>https://commission.europa.eu/document/75aa718d-b028-4d2b-a286-e07f3ad3b02f_en</vt:lpwstr>
      </vt:variant>
      <vt:variant>
        <vt:lpwstr/>
      </vt:variant>
      <vt:variant>
        <vt:i4>4522101</vt:i4>
      </vt:variant>
      <vt:variant>
        <vt:i4>72</vt:i4>
      </vt:variant>
      <vt:variant>
        <vt:i4>0</vt:i4>
      </vt:variant>
      <vt:variant>
        <vt:i4>5</vt:i4>
      </vt:variant>
      <vt:variant>
        <vt:lpwstr>https://commission.europa.eu/document/3e6bdff0-cfa7-4c9c-8497-f37286427e7b_en</vt:lpwstr>
      </vt:variant>
      <vt:variant>
        <vt:lpwstr/>
      </vt:variant>
      <vt:variant>
        <vt:i4>1638527</vt:i4>
      </vt:variant>
      <vt:variant>
        <vt:i4>69</vt:i4>
      </vt:variant>
      <vt:variant>
        <vt:i4>0</vt:i4>
      </vt:variant>
      <vt:variant>
        <vt:i4>5</vt:i4>
      </vt:variant>
      <vt:variant>
        <vt:lpwstr>https://commission.europa.eu/document/491770ba-4104-4367-8099-878ce1e3b034_en</vt:lpwstr>
      </vt:variant>
      <vt:variant>
        <vt:lpwstr/>
      </vt:variant>
      <vt:variant>
        <vt:i4>1704048</vt:i4>
      </vt:variant>
      <vt:variant>
        <vt:i4>66</vt:i4>
      </vt:variant>
      <vt:variant>
        <vt:i4>0</vt:i4>
      </vt:variant>
      <vt:variant>
        <vt:i4>5</vt:i4>
      </vt:variant>
      <vt:variant>
        <vt:lpwstr>https://commission.europa.eu/document/5d8ff0c0-c2a7-413d-b35e-afe42dc98311_en</vt:lpwstr>
      </vt:variant>
      <vt:variant>
        <vt:lpwstr/>
      </vt:variant>
      <vt:variant>
        <vt:i4>1638436</vt:i4>
      </vt:variant>
      <vt:variant>
        <vt:i4>63</vt:i4>
      </vt:variant>
      <vt:variant>
        <vt:i4>0</vt:i4>
      </vt:variant>
      <vt:variant>
        <vt:i4>5</vt:i4>
      </vt:variant>
      <vt:variant>
        <vt:lpwstr>https://commission.europa.eu/document/dd8a5789-9309-4de1-ba0e-fe0d9118e7a6_en</vt:lpwstr>
      </vt:variant>
      <vt:variant>
        <vt:lpwstr/>
      </vt:variant>
      <vt:variant>
        <vt:i4>4784173</vt:i4>
      </vt:variant>
      <vt:variant>
        <vt:i4>60</vt:i4>
      </vt:variant>
      <vt:variant>
        <vt:i4>0</vt:i4>
      </vt:variant>
      <vt:variant>
        <vt:i4>5</vt:i4>
      </vt:variant>
      <vt:variant>
        <vt:lpwstr>https://commission.europa.eu/document/9c178b94-8070-4d30-84d5-1c2da7691b72_en</vt:lpwstr>
      </vt:variant>
      <vt:variant>
        <vt:lpwstr/>
      </vt:variant>
      <vt:variant>
        <vt:i4>5177464</vt:i4>
      </vt:variant>
      <vt:variant>
        <vt:i4>57</vt:i4>
      </vt:variant>
      <vt:variant>
        <vt:i4>0</vt:i4>
      </vt:variant>
      <vt:variant>
        <vt:i4>5</vt:i4>
      </vt:variant>
      <vt:variant>
        <vt:lpwstr>https://commission.europa.eu/document/9c3333e5-5ede-4917-8524-cbeea2f9f17d_en</vt:lpwstr>
      </vt:variant>
      <vt:variant>
        <vt:lpwstr/>
      </vt:variant>
      <vt:variant>
        <vt:i4>1704050</vt:i4>
      </vt:variant>
      <vt:variant>
        <vt:i4>54</vt:i4>
      </vt:variant>
      <vt:variant>
        <vt:i4>0</vt:i4>
      </vt:variant>
      <vt:variant>
        <vt:i4>5</vt:i4>
      </vt:variant>
      <vt:variant>
        <vt:lpwstr>https://commission.europa.eu/document/5615c846-9e85-4dd2-9184-cda947c4d3e9_en</vt:lpwstr>
      </vt:variant>
      <vt:variant>
        <vt:lpwstr/>
      </vt:variant>
      <vt:variant>
        <vt:i4>1114132</vt:i4>
      </vt:variant>
      <vt:variant>
        <vt:i4>51</vt:i4>
      </vt:variant>
      <vt:variant>
        <vt:i4>0</vt:i4>
      </vt:variant>
      <vt:variant>
        <vt:i4>5</vt:i4>
      </vt:variant>
      <vt:variant>
        <vt:lpwstr>https://eur-lex.europa.eu/legal-content/EN/TXT/?uri=celex:52025PC0551</vt:lpwstr>
      </vt:variant>
      <vt:variant>
        <vt:lpwstr/>
      </vt:variant>
      <vt:variant>
        <vt:i4>5636213</vt:i4>
      </vt:variant>
      <vt:variant>
        <vt:i4>48</vt:i4>
      </vt:variant>
      <vt:variant>
        <vt:i4>0</vt:i4>
      </vt:variant>
      <vt:variant>
        <vt:i4>5</vt:i4>
      </vt:variant>
      <vt:variant>
        <vt:lpwstr>https://commission.europa.eu/protect-what-matters-our-democracy_en</vt:lpwstr>
      </vt:variant>
      <vt:variant>
        <vt:lpwstr/>
      </vt:variant>
      <vt:variant>
        <vt:i4>327702</vt:i4>
      </vt:variant>
      <vt:variant>
        <vt:i4>45</vt:i4>
      </vt:variant>
      <vt:variant>
        <vt:i4>0</vt:i4>
      </vt:variant>
      <vt:variant>
        <vt:i4>5</vt:i4>
      </vt:variant>
      <vt:variant>
        <vt:lpwstr>https://eur-lex.europa.eu/legal-content/EN/TXT/?uri=CELEX:52025DC0751</vt:lpwstr>
      </vt:variant>
      <vt:variant>
        <vt:lpwstr/>
      </vt:variant>
      <vt:variant>
        <vt:i4>65555</vt:i4>
      </vt:variant>
      <vt:variant>
        <vt:i4>42</vt:i4>
      </vt:variant>
      <vt:variant>
        <vt:i4>0</vt:i4>
      </vt:variant>
      <vt:variant>
        <vt:i4>5</vt:i4>
      </vt:variant>
      <vt:variant>
        <vt:lpwstr>https://eur-lex.europa.eu/legal-content/EN/TXT/?uri=CELEX:52020DC0711</vt:lpwstr>
      </vt:variant>
      <vt:variant>
        <vt:lpwstr/>
      </vt:variant>
      <vt:variant>
        <vt:i4>458774</vt:i4>
      </vt:variant>
      <vt:variant>
        <vt:i4>39</vt:i4>
      </vt:variant>
      <vt:variant>
        <vt:i4>0</vt:i4>
      </vt:variant>
      <vt:variant>
        <vt:i4>5</vt:i4>
      </vt:variant>
      <vt:variant>
        <vt:lpwstr>https://eur-lex.europa.eu/legal-content/EN/TXT/?uri=celex:52025JC0791</vt:lpwstr>
      </vt:variant>
      <vt:variant>
        <vt:lpwstr/>
      </vt:variant>
      <vt:variant>
        <vt:i4>25</vt:i4>
      </vt:variant>
      <vt:variant>
        <vt:i4>36</vt:i4>
      </vt:variant>
      <vt:variant>
        <vt:i4>0</vt:i4>
      </vt:variant>
      <vt:variant>
        <vt:i4>5</vt:i4>
      </vt:variant>
      <vt:variant>
        <vt:lpwstr>https://eur-lex.europa.eu/legal-content/EN/TXT/?uri=celex:52025DC0801</vt:lpwstr>
      </vt:variant>
      <vt:variant>
        <vt:lpwstr/>
      </vt:variant>
      <vt:variant>
        <vt:i4>25</vt:i4>
      </vt:variant>
      <vt:variant>
        <vt:i4>33</vt:i4>
      </vt:variant>
      <vt:variant>
        <vt:i4>0</vt:i4>
      </vt:variant>
      <vt:variant>
        <vt:i4>5</vt:i4>
      </vt:variant>
      <vt:variant>
        <vt:lpwstr>https://eur-lex.europa.eu/legal-content/EN/TXT/?uri=celex:52025DC0801</vt:lpwstr>
      </vt:variant>
      <vt:variant>
        <vt:lpwstr/>
      </vt:variant>
      <vt:variant>
        <vt:i4>7602277</vt:i4>
      </vt:variant>
      <vt:variant>
        <vt:i4>30</vt:i4>
      </vt:variant>
      <vt:variant>
        <vt:i4>0</vt:i4>
      </vt:variant>
      <vt:variant>
        <vt:i4>5</vt:i4>
      </vt:variant>
      <vt:variant>
        <vt:lpwstr>https://eur-lex.europa.eu/eli/dir/2026/1021/oj/eng</vt:lpwstr>
      </vt:variant>
      <vt:variant>
        <vt:lpwstr/>
      </vt:variant>
      <vt:variant>
        <vt:i4>589846</vt:i4>
      </vt:variant>
      <vt:variant>
        <vt:i4>27</vt:i4>
      </vt:variant>
      <vt:variant>
        <vt:i4>0</vt:i4>
      </vt:variant>
      <vt:variant>
        <vt:i4>5</vt:i4>
      </vt:variant>
      <vt:variant>
        <vt:lpwstr>https://eur-lex.europa.eu/legal-content/EN/TXT/?uri=celex:52025DC0790</vt:lpwstr>
      </vt:variant>
      <vt:variant>
        <vt:lpwstr/>
      </vt:variant>
      <vt:variant>
        <vt:i4>7995502</vt:i4>
      </vt:variant>
      <vt:variant>
        <vt:i4>24</vt:i4>
      </vt:variant>
      <vt:variant>
        <vt:i4>0</vt:i4>
      </vt:variant>
      <vt:variant>
        <vt:i4>5</vt:i4>
      </vt:variant>
      <vt:variant>
        <vt:lpwstr>https://eur-lex.europa.eu/eli/reco/2021/1534/oj/eng</vt:lpwstr>
      </vt:variant>
      <vt:variant>
        <vt:lpwstr/>
      </vt:variant>
      <vt:variant>
        <vt:i4>7471213</vt:i4>
      </vt:variant>
      <vt:variant>
        <vt:i4>21</vt:i4>
      </vt:variant>
      <vt:variant>
        <vt:i4>0</vt:i4>
      </vt:variant>
      <vt:variant>
        <vt:i4>5</vt:i4>
      </vt:variant>
      <vt:variant>
        <vt:lpwstr>https://eur-lex.europa.eu/eli/dir/2024/1069/oj/eng</vt:lpwstr>
      </vt:variant>
      <vt:variant>
        <vt:lpwstr/>
      </vt:variant>
      <vt:variant>
        <vt:i4>7340132</vt:i4>
      </vt:variant>
      <vt:variant>
        <vt:i4>18</vt:i4>
      </vt:variant>
      <vt:variant>
        <vt:i4>0</vt:i4>
      </vt:variant>
      <vt:variant>
        <vt:i4>5</vt:i4>
      </vt:variant>
      <vt:variant>
        <vt:lpwstr>https://eur-lex.europa.eu/eli/reg/2024/1083/oj/eng</vt:lpwstr>
      </vt:variant>
      <vt:variant>
        <vt:lpwstr/>
      </vt:variant>
      <vt:variant>
        <vt:i4>7274535</vt:i4>
      </vt:variant>
      <vt:variant>
        <vt:i4>15</vt:i4>
      </vt:variant>
      <vt:variant>
        <vt:i4>0</vt:i4>
      </vt:variant>
      <vt:variant>
        <vt:i4>5</vt:i4>
      </vt:variant>
      <vt:variant>
        <vt:lpwstr>https://eur-lex.europa.eu/legal-content/EN/TXT/?uri=CELEX%3A52025PC0550</vt:lpwstr>
      </vt:variant>
      <vt:variant>
        <vt:lpwstr/>
      </vt:variant>
      <vt:variant>
        <vt:i4>1179669</vt:i4>
      </vt:variant>
      <vt:variant>
        <vt:i4>12</vt:i4>
      </vt:variant>
      <vt:variant>
        <vt:i4>0</vt:i4>
      </vt:variant>
      <vt:variant>
        <vt:i4>5</vt:i4>
      </vt:variant>
      <vt:variant>
        <vt:lpwstr>https://eur-lex.europa.eu/legal-content/EN/TXT/?uri=CELEX:52025PC0463</vt:lpwstr>
      </vt:variant>
      <vt:variant>
        <vt:lpwstr/>
      </vt:variant>
      <vt:variant>
        <vt:i4>8257599</vt:i4>
      </vt:variant>
      <vt:variant>
        <vt:i4>9</vt:i4>
      </vt:variant>
      <vt:variant>
        <vt:i4>0</vt:i4>
      </vt:variant>
      <vt:variant>
        <vt:i4>5</vt:i4>
      </vt:variant>
      <vt:variant>
        <vt:lpwstr>https://eur-lex.europa.eu/legal-content/EN/TXT/?uri=celex:52025PC0565R%2801%29</vt:lpwstr>
      </vt:variant>
      <vt:variant>
        <vt:lpwstr/>
      </vt:variant>
      <vt:variant>
        <vt:i4>7929895</vt:i4>
      </vt:variant>
      <vt:variant>
        <vt:i4>6</vt:i4>
      </vt:variant>
      <vt:variant>
        <vt:i4>0</vt:i4>
      </vt:variant>
      <vt:variant>
        <vt:i4>5</vt:i4>
      </vt:variant>
      <vt:variant>
        <vt:lpwstr>https://eur-lex.europa.eu/legal-content/EN/TXT/?uri=CELEX%3A52025DC0570</vt:lpwstr>
      </vt:variant>
      <vt:variant>
        <vt:lpwstr/>
      </vt:variant>
      <vt:variant>
        <vt:i4>1441885</vt:i4>
      </vt:variant>
      <vt:variant>
        <vt:i4>3</vt:i4>
      </vt:variant>
      <vt:variant>
        <vt:i4>0</vt:i4>
      </vt:variant>
      <vt:variant>
        <vt:i4>5</vt:i4>
      </vt:variant>
      <vt:variant>
        <vt:lpwstr>https://eur-lex.europa.eu/eli/reg/2021/241/oj/eng</vt:lpwstr>
      </vt:variant>
      <vt:variant>
        <vt:lpwstr/>
      </vt:variant>
      <vt:variant>
        <vt:i4>2293807</vt:i4>
      </vt:variant>
      <vt:variant>
        <vt:i4>0</vt:i4>
      </vt:variant>
      <vt:variant>
        <vt:i4>0</vt:i4>
      </vt:variant>
      <vt:variant>
        <vt:i4>5</vt:i4>
      </vt:variant>
      <vt:variant>
        <vt:lpwstr>https://www.europarl.europa.eu/committees/en/libe/working-groups/drfmg</vt:lpwstr>
      </vt:variant>
      <vt:variant>
        <vt:lpwstr/>
      </vt:variant>
      <vt:variant>
        <vt:i4>196624</vt:i4>
      </vt:variant>
      <vt:variant>
        <vt:i4>12</vt:i4>
      </vt:variant>
      <vt:variant>
        <vt:i4>0</vt:i4>
      </vt:variant>
      <vt:variant>
        <vt:i4>5</vt:i4>
      </vt:variant>
      <vt:variant>
        <vt:lpwstr>https://www.venice.coe.int/webforms/documents/?pdf=CDL-PI(2022)023-e</vt:lpwstr>
      </vt:variant>
      <vt:variant>
        <vt:lpwstr/>
      </vt:variant>
      <vt:variant>
        <vt:i4>4390957</vt:i4>
      </vt:variant>
      <vt:variant>
        <vt:i4>9</vt:i4>
      </vt:variant>
      <vt:variant>
        <vt:i4>0</vt:i4>
      </vt:variant>
      <vt:variant>
        <vt:i4>5</vt:i4>
      </vt:variant>
      <vt:variant>
        <vt:lpwstr>https://commission.europa.eu/document/b2e4463e-772f-46d3-af7a-92658e1fe48e_en</vt:lpwstr>
      </vt:variant>
      <vt:variant>
        <vt:lpwstr/>
      </vt:variant>
      <vt:variant>
        <vt:i4>6619165</vt:i4>
      </vt:variant>
      <vt:variant>
        <vt:i4>6</vt:i4>
      </vt:variant>
      <vt:variant>
        <vt:i4>0</vt:i4>
      </vt:variant>
      <vt:variant>
        <vt:i4>5</vt:i4>
      </vt:variant>
      <vt:variant>
        <vt:lpwstr>https://commission.europa.eu/publications/2026-rule-law-report-targeted-stakeholder-consultation_en</vt:lpwstr>
      </vt:variant>
      <vt:variant>
        <vt:lpwstr/>
      </vt:variant>
      <vt:variant>
        <vt:i4>5374079</vt:i4>
      </vt:variant>
      <vt:variant>
        <vt:i4>3</vt:i4>
      </vt:variant>
      <vt:variant>
        <vt:i4>0</vt:i4>
      </vt:variant>
      <vt:variant>
        <vt:i4>5</vt:i4>
      </vt:variant>
      <vt:variant>
        <vt:lpwstr>https://commission.europa.eu/strategy-and-policy/policies/justice-and-fundamental-rights/upholding-rule-law/rule-law/annual-rule-law-cycle/national-rule-law-dialogues_en</vt:lpwstr>
      </vt:variant>
      <vt:variant>
        <vt:lpwstr/>
      </vt:variant>
      <vt:variant>
        <vt:i4>3997759</vt:i4>
      </vt:variant>
      <vt:variant>
        <vt:i4>0</vt:i4>
      </vt:variant>
      <vt:variant>
        <vt:i4>0</vt:i4>
      </vt:variant>
      <vt:variant>
        <vt:i4>5</vt:i4>
      </vt:variant>
      <vt:variant>
        <vt:lpwstr>https://danish-presidency.consilium.europa.eu/media/vxjfaazq/declaration-on-the-necessity-of-culture-and-media.pdf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2026-07-12T11:25:00Z</dcterms:created>
  <dcterms:modified xsi:type="dcterms:W3CDTF">2026-07-16T19:28:00Z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Name">
    <vt:lpwstr>Commission Use</vt:lpwstr>
  </property>
  <property fmtid="{D5CDD505-2E9C-101B-9397-08002B2CF9AE}" pid="3" name="Order">
    <vt:r8>183800</vt:r8>
  </property>
  <property fmtid="{D5CDD505-2E9C-101B-9397-08002B2CF9AE}" pid="4" name="Part">
    <vt:lpwstr>1</vt:lpwstr>
  </property>
  <property fmtid="{D5CDD505-2E9C-101B-9397-08002B2CF9AE}" pid="5" name="EC_TX_All_World_Countries">
    <vt:lpwstr/>
  </property>
  <property fmtid="{D5CDD505-2E9C-101B-9397-08002B2CF9AE}" pid="6" name="Last edited using">
    <vt:lpwstr>LW 9.2, Build 20250828</vt:lpwstr>
  </property>
  <property fmtid="{D5CDD505-2E9C-101B-9397-08002B2CF9AE}" pid="7" name="MediaServiceImageTags">
    <vt:lpwstr/>
  </property>
  <property fmtid="{D5CDD505-2E9C-101B-9397-08002B2CF9AE}" pid="8" name="xd_ProgID">
    <vt:lpwstr/>
  </property>
  <property fmtid="{D5CDD505-2E9C-101B-9397-08002B2CF9AE}" pid="9" name="MSIP_Label_6bd9ddd1-4d20-43f6-abfa-fc3c07406f94_ContentBits">
    <vt:lpwstr>0</vt:lpwstr>
  </property>
  <property fmtid="{D5CDD505-2E9C-101B-9397-08002B2CF9AE}" pid="10" name="ContentTypeId">
    <vt:lpwstr>0x010100CD92FCBF67B53A4EB1060DF04C43C986</vt:lpwstr>
  </property>
  <property fmtid="{D5CDD505-2E9C-101B-9397-08002B2CF9AE}" pid="11" name="Typeofdocument">
    <vt:lpwstr>Unknown</vt:lpwstr>
  </property>
  <property fmtid="{D5CDD505-2E9C-101B-9397-08002B2CF9AE}" pid="12" name="ComplianceAssetId">
    <vt:lpwstr/>
  </property>
  <property fmtid="{D5CDD505-2E9C-101B-9397-08002B2CF9AE}" pid="13" name="TemplateUrl">
    <vt:lpwstr/>
  </property>
  <property fmtid="{D5CDD505-2E9C-101B-9397-08002B2CF9AE}" pid="14" name="EC_TX_Corporate Body">
    <vt:lpwstr/>
  </property>
  <property fmtid="{D5CDD505-2E9C-101B-9397-08002B2CF9AE}" pid="15" name="MSIP_Label_6bd9ddd1-4d20-43f6-abfa-fc3c07406f94_SiteId">
    <vt:lpwstr>b24c8b06-522c-46fe-9080-70926f8dddb1</vt:lpwstr>
  </property>
  <property fmtid="{D5CDD505-2E9C-101B-9397-08002B2CF9AE}" pid="16" name="i8c8ab8b63424c5d9f8c4a8434abf670">
    <vt:lpwstr/>
  </property>
  <property fmtid="{D5CDD505-2E9C-101B-9397-08002B2CF9AE}" pid="17" name="MSIP_Label_6bd9ddd1-4d20-43f6-abfa-fc3c07406f94_Method">
    <vt:lpwstr>Standard</vt:lpwstr>
  </property>
  <property fmtid="{D5CDD505-2E9C-101B-9397-08002B2CF9AE}" pid="18" name="MSIP_Label_6bd9ddd1-4d20-43f6-abfa-fc3c07406f94_Enabled">
    <vt:lpwstr>true</vt:lpwstr>
  </property>
  <property fmtid="{D5CDD505-2E9C-101B-9397-08002B2CF9AE}" pid="19" name="_ExtendedDescription">
    <vt:lpwstr/>
  </property>
  <property fmtid="{D5CDD505-2E9C-101B-9397-08002B2CF9AE}" pid="20" name="EC_TX_Resource_Type">
    <vt:lpwstr/>
  </property>
  <property fmtid="{D5CDD505-2E9C-101B-9397-08002B2CF9AE}" pid="21" name="EC_TX_Policy_Area">
    <vt:lpwstr/>
  </property>
  <property fmtid="{D5CDD505-2E9C-101B-9397-08002B2CF9AE}" pid="22" name="EC_TX_EU_Member_State">
    <vt:lpwstr/>
  </property>
  <property fmtid="{D5CDD505-2E9C-101B-9397-08002B2CF9AE}" pid="23" name="Total parts">
    <vt:lpwstr>1</vt:lpwstr>
  </property>
  <property fmtid="{D5CDD505-2E9C-101B-9397-08002B2CF9AE}" pid="24" name="DocStatus">
    <vt:lpwstr>Green</vt:lpwstr>
  </property>
  <property fmtid="{D5CDD505-2E9C-101B-9397-08002B2CF9AE}" pid="25" name="j8309f8bc3e645d1a2f07391f8e5795a">
    <vt:lpwstr/>
  </property>
  <property fmtid="{D5CDD505-2E9C-101B-9397-08002B2CF9AE}" pid="26" name="MSIP_Label_6bd9ddd1-4d20-43f6-abfa-fc3c07406f94_SetDate">
    <vt:lpwstr>2024-07-12T12:55:40Z</vt:lpwstr>
  </property>
  <property fmtid="{D5CDD505-2E9C-101B-9397-08002B2CF9AE}" pid="27" name="g81cb4d17be94922847ce418ea81f55a">
    <vt:lpwstr/>
  </property>
  <property fmtid="{D5CDD505-2E9C-101B-9397-08002B2CF9AE}" pid="28" name="xd_Signature">
    <vt:bool>false</vt:bool>
  </property>
  <property fmtid="{D5CDD505-2E9C-101B-9397-08002B2CF9AE}" pid="29" name="Level of sensitivity">
    <vt:lpwstr>Standard treatment</vt:lpwstr>
  </property>
  <property fmtid="{D5CDD505-2E9C-101B-9397-08002B2CF9AE}" pid="30" name="MSIP_Label_6bd9ddd1-4d20-43f6-abfa-fc3c07406f94_ActionId">
    <vt:lpwstr>bdde4676-a569-4b4d-b2dd-3b19641ff0a0</vt:lpwstr>
  </property>
  <property fmtid="{D5CDD505-2E9C-101B-9397-08002B2CF9AE}" pid="31" name="lcf76f155ced4ddcb4097134ff3c332f">
    <vt:lpwstr>|</vt:lpwstr>
  </property>
  <property fmtid="{D5CDD505-2E9C-101B-9397-08002B2CF9AE}" pid="32" name="k2c54712f93b47eb83e1835ba301b6c6">
    <vt:lpwstr/>
  </property>
  <property fmtid="{D5CDD505-2E9C-101B-9397-08002B2CF9AE}" pid="33" name="EC_TX_Strategic_Priority">
    <vt:lpwstr/>
  </property>
  <property fmtid="{D5CDD505-2E9C-101B-9397-08002B2CF9AE}" pid="34" name="CPTemplateID">
    <vt:lpwstr>CP-014</vt:lpwstr>
  </property>
  <property fmtid="{D5CDD505-2E9C-101B-9397-08002B2CF9AE}" pid="35" name="EC_TX_EU_Political_Leader">
    <vt:lpwstr/>
  </property>
  <property fmtid="{D5CDD505-2E9C-101B-9397-08002B2CF9AE}" pid="36" name="p6ffe5294acd41c38db3fcc8ababb05f">
    <vt:lpwstr/>
  </property>
  <property fmtid="{D5CDD505-2E9C-101B-9397-08002B2CF9AE}" pid="37" name="p26229aee9004b9f888149fd0449ec68">
    <vt:lpwstr/>
  </property>
  <property fmtid="{D5CDD505-2E9C-101B-9397-08002B2CF9AE}" pid="38" name="eff2cf69f10b4279bbb27215ca009b37">
    <vt:lpwstr/>
  </property>
  <property fmtid="{D5CDD505-2E9C-101B-9397-08002B2CF9AE}" pid="39" name="TriggerFlowInfo">
    <vt:lpwstr/>
  </property>
</Properties>
</file>