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20D" w:rsidRPr="00E05E39" w:rsidRDefault="003C5114" w:rsidP="003C511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7644861-2DF3-4DCF-9055-72A0C8B72ACD" style="width:455.25pt;height:371.25pt">
            <v:imagedata r:id="rId8" o:title=""/>
          </v:shape>
        </w:pict>
      </w:r>
    </w:p>
    <w:p w:rsidR="00F1620D" w:rsidRPr="00E05E39" w:rsidRDefault="00F1620D" w:rsidP="00F1620D">
      <w:pPr>
        <w:rPr>
          <w:noProof/>
        </w:rPr>
        <w:sectPr w:rsidR="00F1620D" w:rsidRPr="00E05E39" w:rsidSect="003C5114">
          <w:footerReference w:type="even" r:id="rId9"/>
          <w:footerReference w:type="default" r:id="rId10"/>
          <w:pgSz w:w="11907" w:h="16839"/>
          <w:pgMar w:top="1134" w:right="1417" w:bottom="1134" w:left="1417" w:header="709" w:footer="709" w:gutter="0"/>
          <w:pgNumType w:start="0"/>
          <w:cols w:space="720"/>
          <w:docGrid w:linePitch="360"/>
        </w:sectPr>
      </w:pPr>
    </w:p>
    <w:p w:rsidR="00F1620D" w:rsidRPr="00E05E39" w:rsidRDefault="00F1620D" w:rsidP="00751F57">
      <w:pPr>
        <w:pStyle w:val="Exposdesmotifstitre"/>
        <w:rPr>
          <w:noProof/>
        </w:rPr>
      </w:pPr>
      <w:bookmarkStart w:id="0" w:name="_GoBack"/>
      <w:bookmarkEnd w:id="0"/>
      <w:r w:rsidRPr="00E05E39">
        <w:rPr>
          <w:noProof/>
        </w:rPr>
        <w:lastRenderedPageBreak/>
        <w:t>EXPUNERE DE MOTIVE</w:t>
      </w:r>
    </w:p>
    <w:p w:rsidR="008D1785" w:rsidRPr="00E05E39" w:rsidRDefault="008D1785" w:rsidP="00D46F17">
      <w:pPr>
        <w:pStyle w:val="ManualHeading1"/>
        <w:rPr>
          <w:noProof/>
        </w:rPr>
      </w:pPr>
      <w:r>
        <w:rPr>
          <w:noProof/>
        </w:rPr>
        <w:t>1.</w:t>
      </w:r>
      <w:r>
        <w:rPr>
          <w:noProof/>
        </w:rPr>
        <w:tab/>
      </w:r>
      <w:r w:rsidRPr="00E05E39">
        <w:rPr>
          <w:noProof/>
        </w:rPr>
        <w:t>CONTEXTUL PROPUNERII</w:t>
      </w:r>
    </w:p>
    <w:p w:rsidR="00EB045D" w:rsidRPr="00E05E39" w:rsidRDefault="008D1785" w:rsidP="00D25A35">
      <w:pPr>
        <w:pStyle w:val="Bullet1"/>
        <w:numPr>
          <w:ilvl w:val="0"/>
          <w:numId w:val="18"/>
        </w:numPr>
        <w:rPr>
          <w:b/>
          <w:noProof/>
        </w:rPr>
      </w:pPr>
      <w:r w:rsidRPr="00E05E39">
        <w:rPr>
          <w:b/>
          <w:noProof/>
        </w:rPr>
        <w:t>Motivele și obiectivele propunerii</w:t>
      </w:r>
    </w:p>
    <w:p w:rsidR="00627533" w:rsidRPr="00E05E39" w:rsidRDefault="00627533" w:rsidP="00DC7635">
      <w:pPr>
        <w:pStyle w:val="Text2"/>
        <w:ind w:left="709"/>
        <w:rPr>
          <w:noProof/>
        </w:rPr>
      </w:pPr>
      <w:r w:rsidRPr="00E05E39">
        <w:rPr>
          <w:noProof/>
        </w:rPr>
        <w:t>Acordul comercial și de cooperare încheiat între Uniunea Europeană și Regatul Unit a fost semnat la 30 decembrie 2020, s-a aplicat cu titlu provizoriu de la 1 ianuarie 2021 și a intrat în vigoare la 1 mai 2021.</w:t>
      </w:r>
    </w:p>
    <w:p w:rsidR="00881CB5" w:rsidRPr="00E05E39" w:rsidRDefault="0005217A" w:rsidP="00A26D77">
      <w:pPr>
        <w:pStyle w:val="Text2"/>
        <w:ind w:left="720"/>
        <w:rPr>
          <w:noProof/>
        </w:rPr>
      </w:pPr>
      <w:r w:rsidRPr="00E05E39">
        <w:rPr>
          <w:noProof/>
        </w:rPr>
        <w:t>În conformitate cu directivele de negociere din 25 februarie 2020 [Decizia (UE, Euratom) 2020/266 a Consiliului</w:t>
      </w:r>
      <w:r w:rsidRPr="00E05E39">
        <w:rPr>
          <w:rStyle w:val="FootnoteReference"/>
          <w:noProof/>
        </w:rPr>
        <w:footnoteReference w:id="2"/>
      </w:r>
      <w:r w:rsidRPr="00E05E39">
        <w:rPr>
          <w:noProof/>
        </w:rPr>
        <w:t>], Acordul comercial și de cooperare nu include Gibraltarul și nu are niciun efect asupra acestuia. Acest lucru nu exclude posibilitatea de a avea acorduri separate între Uniune și Regatul Unit cu privire la Gibraltar, în concordanță cu Declarația Consiliului European și a Comisiei Europene inclusă în procesul-verbal al reuniunii Consiliului European (articolul 50) din 25</w:t>
      </w:r>
      <w:r w:rsidR="007F2DD2">
        <w:rPr>
          <w:noProof/>
        </w:rPr>
        <w:t> </w:t>
      </w:r>
      <w:r w:rsidRPr="00E05E39">
        <w:rPr>
          <w:noProof/>
        </w:rPr>
        <w:t>noiembrie</w:t>
      </w:r>
      <w:r w:rsidR="007F2DD2">
        <w:rPr>
          <w:noProof/>
        </w:rPr>
        <w:t> </w:t>
      </w:r>
      <w:r w:rsidRPr="00E05E39">
        <w:rPr>
          <w:noProof/>
        </w:rPr>
        <w:t>2018</w:t>
      </w:r>
      <w:r w:rsidRPr="00E05E39">
        <w:rPr>
          <w:rStyle w:val="FootnoteReference"/>
          <w:noProof/>
        </w:rPr>
        <w:footnoteReference w:id="3"/>
      </w:r>
      <w:r w:rsidRPr="00E05E39">
        <w:rPr>
          <w:noProof/>
        </w:rPr>
        <w:t>.</w:t>
      </w:r>
    </w:p>
    <w:p w:rsidR="001F5991" w:rsidRPr="00E05E39" w:rsidRDefault="001F5991" w:rsidP="00A26D77">
      <w:pPr>
        <w:pStyle w:val="Text2"/>
        <w:ind w:left="720"/>
        <w:rPr>
          <w:noProof/>
        </w:rPr>
      </w:pPr>
      <w:r w:rsidRPr="00E05E39">
        <w:rPr>
          <w:noProof/>
        </w:rPr>
        <w:t xml:space="preserve">La 31 decembrie 2020, Spania și Regatul Unit au convenit asupra unui cadru politic pentru un viitor acord cu privire la Gibraltar între Uniunea Europeană și Regatul Unit. </w:t>
      </w:r>
    </w:p>
    <w:p w:rsidR="00EB045D" w:rsidRPr="00E05E39" w:rsidRDefault="003A5520" w:rsidP="00A26D77">
      <w:pPr>
        <w:pStyle w:val="Text2"/>
        <w:ind w:left="720"/>
        <w:rPr>
          <w:noProof/>
        </w:rPr>
      </w:pPr>
      <w:r w:rsidRPr="00E05E39">
        <w:rPr>
          <w:noProof/>
        </w:rPr>
        <w:t xml:space="preserve">La 5 octombrie 2021, Consiliul a adoptat Decizia de autorizare a începerii negocierilor în vederea încheierii unui acord cu Regatul Unit al Marii Britanii și Irlandei de Nord cu privire la Gibraltar (denumit în continuare „acordul”). Comisia a fost desemnată negociator al Uniunii. Decizia Consiliului a inclus, de asemenea, un addendum cu directivele de negociere a unui astfel de acord („directivele de negociere”). </w:t>
      </w:r>
    </w:p>
    <w:p w:rsidR="0065377F" w:rsidRPr="00E05E39" w:rsidRDefault="0065377F" w:rsidP="00A26D77">
      <w:pPr>
        <w:pStyle w:val="Text2"/>
        <w:ind w:left="720"/>
        <w:rPr>
          <w:noProof/>
        </w:rPr>
      </w:pPr>
      <w:r w:rsidRPr="00E05E39">
        <w:rPr>
          <w:noProof/>
        </w:rPr>
        <w:t xml:space="preserve">Comisia a desfășurat negocierile în consultare cu Grupul de lucru pentru Regatul Unit al Consiliului și a informat pe deplin Parlamentul European, în special prin intermediul Grupului său de contact pentru Regatul Unit. </w:t>
      </w:r>
    </w:p>
    <w:p w:rsidR="00AC0440" w:rsidRPr="00E05E39" w:rsidRDefault="005B0FC7" w:rsidP="00A26D77">
      <w:pPr>
        <w:pStyle w:val="Text2"/>
        <w:ind w:left="720"/>
        <w:rPr>
          <w:noProof/>
        </w:rPr>
      </w:pPr>
      <w:r w:rsidRPr="00E05E39">
        <w:rPr>
          <w:noProof/>
        </w:rPr>
        <w:t xml:space="preserve">Negocierile s-au încheiat la 12 decembrie 2025, după mai mult de patru ani de la începerea acestora. Negocierile nu au putut fi finalizate decât după foarte mult timp din cauza problemelor politice și juridice complexe care trebuiau soluționate în domeniul circulației persoanelor și a mărfurilor care fac obiectul acordului. </w:t>
      </w:r>
    </w:p>
    <w:p w:rsidR="0059131A" w:rsidRPr="00E05E39" w:rsidRDefault="003F6DF2" w:rsidP="00A26D77">
      <w:pPr>
        <w:pStyle w:val="Text2"/>
        <w:ind w:left="720"/>
        <w:rPr>
          <w:noProof/>
        </w:rPr>
      </w:pPr>
      <w:r w:rsidRPr="00E05E39">
        <w:rPr>
          <w:noProof/>
        </w:rPr>
        <w:t>Întrucât viitorul acord conține o dispoziție privind cooperarea civilă în domeniul nuclear la care Comunitatea Europeană a Energiei Atomice este parte, se prezintă o recomandare de decizie a Consiliului privind aprobarea dispoziției respective împreună cu prezenta propunere în cadrul unei proceduri separate. Cu toate acestea, pentru facilitarea consultării, dispoziția privind cooperarea civilă în domeniul nuclear este menținută în corpul Acordului cu privire la Gibraltar dintre Uniunea Europeană și Regatul Unit al Marii Britanii și Irlandei de Nord.</w:t>
      </w:r>
    </w:p>
    <w:p w:rsidR="008D1785" w:rsidRPr="00E05E39" w:rsidRDefault="008D1785" w:rsidP="003B5055">
      <w:pPr>
        <w:pStyle w:val="Bullet1"/>
        <w:numPr>
          <w:ilvl w:val="0"/>
          <w:numId w:val="18"/>
        </w:numPr>
        <w:rPr>
          <w:b/>
          <w:noProof/>
        </w:rPr>
      </w:pPr>
      <w:r w:rsidRPr="00E05E39">
        <w:rPr>
          <w:b/>
          <w:noProof/>
        </w:rPr>
        <w:t>Coerența cu dispozițiile existente în domeniul de politică vizat</w:t>
      </w:r>
    </w:p>
    <w:p w:rsidR="0067067A" w:rsidRPr="00E05E39" w:rsidRDefault="008D1785" w:rsidP="00A26D77">
      <w:pPr>
        <w:pStyle w:val="Text2"/>
        <w:ind w:left="850"/>
        <w:rPr>
          <w:noProof/>
        </w:rPr>
      </w:pPr>
      <w:r w:rsidRPr="00E05E39">
        <w:rPr>
          <w:noProof/>
        </w:rPr>
        <w:t>Acordul comercial și de cooperare a stabilit o nouă relație între Uniune și Regatul</w:t>
      </w:r>
      <w:r w:rsidR="007F2DD2">
        <w:rPr>
          <w:noProof/>
        </w:rPr>
        <w:t> </w:t>
      </w:r>
      <w:r w:rsidRPr="00E05E39">
        <w:rPr>
          <w:noProof/>
        </w:rPr>
        <w:t>Unit în urma retragerii Regatului Unit din Uniunea Europeană și din Comunitatea Europeană a Energiei Atomice – fără a include Gibraltarul.</w:t>
      </w:r>
    </w:p>
    <w:p w:rsidR="00B202EC" w:rsidRPr="00E05E39" w:rsidRDefault="00544DFE" w:rsidP="00A26D77">
      <w:pPr>
        <w:pStyle w:val="Text2"/>
        <w:ind w:left="850"/>
        <w:rPr>
          <w:noProof/>
        </w:rPr>
      </w:pPr>
      <w:r w:rsidRPr="00E05E39">
        <w:rPr>
          <w:noProof/>
        </w:rPr>
        <w:t>Acordul completează Acordul comercial și de cooperare din această perspectivă și constituie ultimul element care mai lipsea pentru a completa parteneriatul strâns dintre Uniune și Regatul Unit, solicitat de Consiliul European în urma retragerii Regatului Unit.</w:t>
      </w:r>
    </w:p>
    <w:p w:rsidR="008D1785" w:rsidRPr="00E05E39" w:rsidRDefault="008D1785" w:rsidP="003B5055">
      <w:pPr>
        <w:pStyle w:val="Bullet1"/>
        <w:numPr>
          <w:ilvl w:val="0"/>
          <w:numId w:val="18"/>
        </w:numPr>
        <w:rPr>
          <w:b/>
          <w:noProof/>
        </w:rPr>
      </w:pPr>
      <w:r w:rsidRPr="00E05E39">
        <w:rPr>
          <w:b/>
          <w:noProof/>
        </w:rPr>
        <w:t>Coerența cu alte politici ale Uniunii</w:t>
      </w:r>
    </w:p>
    <w:p w:rsidR="008D1785" w:rsidRPr="00E05E39" w:rsidRDefault="008D1785" w:rsidP="00A26D77">
      <w:pPr>
        <w:pStyle w:val="Text2"/>
        <w:ind w:left="720"/>
        <w:rPr>
          <w:noProof/>
        </w:rPr>
      </w:pPr>
      <w:r w:rsidRPr="00E05E39">
        <w:rPr>
          <w:noProof/>
        </w:rPr>
        <w:t xml:space="preserve">Acordul respectă pe deplin tratatele și menține integritatea și autonomia ordinii juridice a Uniunii. Acordul nu va impune Uniunii să își modifice normele, reglementările sau standardele în niciun domeniu reglementat. Acesta promovează valorile, obiectivele și interesele Uniunii și asigură coerența, eficacitatea și continuitatea politicilor și acțiunilor sale. </w:t>
      </w:r>
    </w:p>
    <w:p w:rsidR="003012AE" w:rsidRPr="00E05E39" w:rsidRDefault="003012AE" w:rsidP="003B5055">
      <w:pPr>
        <w:pStyle w:val="ManualHeading1"/>
        <w:rPr>
          <w:b w:val="0"/>
          <w:smallCaps w:val="0"/>
          <w:noProof/>
        </w:rPr>
      </w:pPr>
      <w:r>
        <w:rPr>
          <w:noProof/>
        </w:rPr>
        <w:t>2.</w:t>
      </w:r>
      <w:r>
        <w:rPr>
          <w:noProof/>
        </w:rPr>
        <w:tab/>
      </w:r>
      <w:r w:rsidRPr="00E05E39">
        <w:rPr>
          <w:noProof/>
        </w:rPr>
        <w:t>TEMEI JURIDIC, SUBSIDIARITATE ȘI PROPORȚIONALITATE</w:t>
      </w:r>
    </w:p>
    <w:p w:rsidR="003012AE" w:rsidRPr="00E05E39" w:rsidRDefault="003012AE" w:rsidP="003B5055">
      <w:pPr>
        <w:pStyle w:val="Bullet1"/>
        <w:numPr>
          <w:ilvl w:val="0"/>
          <w:numId w:val="18"/>
        </w:numPr>
        <w:rPr>
          <w:b/>
          <w:bCs/>
          <w:noProof/>
        </w:rPr>
      </w:pPr>
      <w:r w:rsidRPr="00E05E39">
        <w:rPr>
          <w:b/>
          <w:noProof/>
        </w:rPr>
        <w:t xml:space="preserve">Temeiul juridic material </w:t>
      </w:r>
    </w:p>
    <w:p w:rsidR="003012AE" w:rsidRPr="00E05E39" w:rsidRDefault="003012AE" w:rsidP="00B77D6C">
      <w:pPr>
        <w:ind w:left="720"/>
        <w:rPr>
          <w:noProof/>
        </w:rPr>
      </w:pPr>
      <w:r w:rsidRPr="00E05E39">
        <w:rPr>
          <w:noProof/>
        </w:rPr>
        <w:t xml:space="preserve">Temeiul juridic material al propunerii de decizie a Consiliului privind semnarea acordului este articolul 217 din TFUE. Acest temei juridic este cel mai adecvat, având în vedere domeniul larg de aplicare al acordului preconizat și faptul că acesta completează, în ceea ce privește Gibraltarul, Acordul comercial și de cooperare. </w:t>
      </w:r>
    </w:p>
    <w:p w:rsidR="008A60E3" w:rsidRPr="00E05E39" w:rsidRDefault="003012AE" w:rsidP="00B77D6C">
      <w:pPr>
        <w:ind w:left="720"/>
        <w:rPr>
          <w:noProof/>
        </w:rPr>
      </w:pPr>
      <w:r w:rsidRPr="00E05E39">
        <w:rPr>
          <w:noProof/>
        </w:rPr>
        <w:t>Având în vedere că obiectivul principal și componenta principală a acordului sunt asocierea cu o țară terță, temeiul juridic material este articolul 217 din TFUE.</w:t>
      </w:r>
    </w:p>
    <w:p w:rsidR="003012AE" w:rsidRPr="00E05E39" w:rsidRDefault="003012AE" w:rsidP="00B77D6C">
      <w:pPr>
        <w:ind w:left="720"/>
        <w:rPr>
          <w:b/>
          <w:noProof/>
        </w:rPr>
      </w:pPr>
      <w:r w:rsidRPr="00E05E39">
        <w:rPr>
          <w:noProof/>
        </w:rPr>
        <w:t>Având în vedere obiectul acordului avut în vedere, este oportună prezentarea de către Comisie a unei propuneri adresate Consiliului. </w:t>
      </w:r>
    </w:p>
    <w:p w:rsidR="003012AE" w:rsidRPr="00E05E39" w:rsidRDefault="003012AE" w:rsidP="003B5055">
      <w:pPr>
        <w:pStyle w:val="Bullet1"/>
        <w:numPr>
          <w:ilvl w:val="0"/>
          <w:numId w:val="18"/>
        </w:numPr>
        <w:textAlignment w:val="baseline"/>
        <w:rPr>
          <w:rFonts w:eastAsia="Times New Roman"/>
          <w:b/>
          <w:noProof/>
          <w:szCs w:val="24"/>
        </w:rPr>
      </w:pPr>
      <w:r w:rsidRPr="00E05E39">
        <w:rPr>
          <w:b/>
          <w:noProof/>
        </w:rPr>
        <w:t>Temeiul juridic procedural</w:t>
      </w:r>
    </w:p>
    <w:p w:rsidR="003012AE" w:rsidRPr="00E05E39" w:rsidRDefault="003012AE" w:rsidP="00B77D6C">
      <w:pPr>
        <w:spacing w:after="240"/>
        <w:ind w:left="720"/>
        <w:rPr>
          <w:rFonts w:eastAsia="Arial Unicode MS"/>
          <w:noProof/>
          <w:szCs w:val="24"/>
        </w:rPr>
      </w:pPr>
      <w:r w:rsidRPr="00E05E39">
        <w:rPr>
          <w:noProof/>
        </w:rPr>
        <w:t xml:space="preserve">Articolul 218 alineatul (5) din TFUE prevede că, în cazul în care acordul preconizat nu se referă exclusiv sau în principal la politica externă și de securitate comună, Comisia prezintă o propunere Consiliului. Consiliul adoptă o decizie de autorizare a semnării acordului. </w:t>
      </w:r>
    </w:p>
    <w:p w:rsidR="003012AE" w:rsidRPr="00E05E39" w:rsidRDefault="003012AE" w:rsidP="00B77D6C">
      <w:pPr>
        <w:spacing w:after="240"/>
        <w:ind w:left="720"/>
        <w:rPr>
          <w:rFonts w:eastAsia="Arial Unicode MS"/>
          <w:noProof/>
          <w:szCs w:val="24"/>
        </w:rPr>
      </w:pPr>
      <w:r w:rsidRPr="00E05E39">
        <w:rPr>
          <w:noProof/>
        </w:rPr>
        <w:t>În temeiul articolului 218 alineatul (8) al doilea paragraf din TFUE, Consiliul hotărăște în unanimitate în cazul în care se prevede ca acordul să se refere la un domeniu pentru care este necesară unanimitatea în vederea adoptării unui act al Uniunii, precum și în cazul acordurilor de asociere și al acordurilor prevăzute la articolul 212 din TFUE care urmează să fie negociate cu țările candidate.</w:t>
      </w:r>
    </w:p>
    <w:p w:rsidR="003012AE" w:rsidRPr="00E05E39" w:rsidRDefault="003012AE" w:rsidP="00B77D6C">
      <w:pPr>
        <w:spacing w:after="240"/>
        <w:ind w:left="720"/>
        <w:rPr>
          <w:rFonts w:eastAsia="Arial Unicode MS"/>
          <w:noProof/>
          <w:szCs w:val="24"/>
        </w:rPr>
      </w:pPr>
      <w:r w:rsidRPr="00E05E39">
        <w:rPr>
          <w:noProof/>
        </w:rPr>
        <w:t>De asemenea, articolul 218 alineatul (7) din TFUE a fost adăugat ca temei juridic deoarece pentru aprobarea de către Comisie, în numele UE, a anumitor modificări ale acordului care se adoptă printr-o procedură simplificată sau de către un organism creat prin acord, este necesară autorizarea Consiliului.</w:t>
      </w:r>
    </w:p>
    <w:p w:rsidR="003012AE" w:rsidRPr="00E05E39" w:rsidRDefault="003012AE" w:rsidP="00B77D6C">
      <w:pPr>
        <w:spacing w:after="240"/>
        <w:ind w:left="720"/>
        <w:rPr>
          <w:rFonts w:eastAsia="Arial Unicode MS"/>
          <w:noProof/>
          <w:szCs w:val="24"/>
        </w:rPr>
      </w:pPr>
      <w:r w:rsidRPr="00E05E39">
        <w:rPr>
          <w:noProof/>
        </w:rPr>
        <w:t xml:space="preserve">Comisia propune autorizarea semnării acordului, sub rezerva încheierii sale la o dată ulterioară. </w:t>
      </w:r>
    </w:p>
    <w:p w:rsidR="003012AE" w:rsidRPr="00E05E39" w:rsidRDefault="003012AE" w:rsidP="00B77D6C">
      <w:pPr>
        <w:spacing w:after="240"/>
        <w:ind w:left="720"/>
        <w:rPr>
          <w:rFonts w:eastAsia="Arial Unicode MS"/>
          <w:noProof/>
          <w:szCs w:val="24"/>
        </w:rPr>
      </w:pPr>
      <w:r w:rsidRPr="00E05E39">
        <w:rPr>
          <w:noProof/>
        </w:rPr>
        <w:t>Temeiul juridic procedural al deciziei propuse de autorizare a semnării acordului avut în vedere este articolul 218 alineatul (5) din TFUE, articolul 218 alineatul (7) din TFUE și articolul 218 alineatul (8) al doilea paragraf din TFUE.</w:t>
      </w:r>
    </w:p>
    <w:p w:rsidR="003012AE" w:rsidRPr="00E05E39" w:rsidRDefault="003012AE" w:rsidP="00B77D6C">
      <w:pPr>
        <w:ind w:left="720"/>
        <w:rPr>
          <w:noProof/>
        </w:rPr>
      </w:pPr>
      <w:r w:rsidRPr="00E05E39">
        <w:rPr>
          <w:noProof/>
        </w:rPr>
        <w:t>Astfel, temeiul juridic al propunerii de decizie a Consiliului este articolul 217 din TFUE, coroborat cu articolul 218 alineatele (5) și (7) din TFUE și cu articolul 218 alineatul (8) al doilea paragraf din TFUE.</w:t>
      </w:r>
    </w:p>
    <w:p w:rsidR="003012AE" w:rsidRPr="00E05E39" w:rsidRDefault="003012AE" w:rsidP="003B5055">
      <w:pPr>
        <w:pStyle w:val="Bullet1"/>
        <w:numPr>
          <w:ilvl w:val="0"/>
          <w:numId w:val="18"/>
        </w:numPr>
        <w:rPr>
          <w:b/>
          <w:bCs/>
          <w:noProof/>
        </w:rPr>
      </w:pPr>
      <w:r w:rsidRPr="00E05E39">
        <w:rPr>
          <w:b/>
          <w:noProof/>
        </w:rPr>
        <w:t xml:space="preserve">Competența Uniunii </w:t>
      </w:r>
    </w:p>
    <w:p w:rsidR="003012AE" w:rsidRPr="00E05E39" w:rsidRDefault="003012AE" w:rsidP="00B77D6C">
      <w:pPr>
        <w:ind w:left="709"/>
        <w:rPr>
          <w:noProof/>
        </w:rPr>
      </w:pPr>
      <w:r w:rsidRPr="00E05E39">
        <w:rPr>
          <w:noProof/>
        </w:rPr>
        <w:t>Uniunea are competența de a încheia acorduri de asociere cu țările terțe în temeiul articolului 217 din TFUE. Toate aspectele care intră în domeniul de aplicare al acordului sunt de competența Uniunii.</w:t>
      </w:r>
    </w:p>
    <w:p w:rsidR="003012AE" w:rsidRPr="00E05E39" w:rsidRDefault="003012AE" w:rsidP="003B5055">
      <w:pPr>
        <w:pStyle w:val="Bullet1"/>
        <w:numPr>
          <w:ilvl w:val="0"/>
          <w:numId w:val="18"/>
        </w:numPr>
        <w:rPr>
          <w:noProof/>
        </w:rPr>
      </w:pPr>
      <w:r w:rsidRPr="00E05E39">
        <w:rPr>
          <w:b/>
          <w:noProof/>
        </w:rPr>
        <w:t xml:space="preserve">Alegerea instrumentului </w:t>
      </w:r>
    </w:p>
    <w:p w:rsidR="003012AE" w:rsidRPr="00E05E39" w:rsidRDefault="003012AE" w:rsidP="00B77D6C">
      <w:pPr>
        <w:ind w:left="709"/>
        <w:rPr>
          <w:noProof/>
        </w:rPr>
      </w:pPr>
      <w:r w:rsidRPr="00E05E39">
        <w:rPr>
          <w:noProof/>
        </w:rPr>
        <w:t>Prezenta propunere de decizie a Consiliului este prezentată în conformitate cu articolul</w:t>
      </w:r>
      <w:r w:rsidR="007F2DD2">
        <w:rPr>
          <w:noProof/>
        </w:rPr>
        <w:t> </w:t>
      </w:r>
      <w:r w:rsidRPr="00E05E39">
        <w:rPr>
          <w:noProof/>
        </w:rPr>
        <w:t xml:space="preserve">218 alineatul (5) din TFUE, care prevede adoptarea de către Consiliu a unei decizii de autorizare a semnării și a aplicării cu titlu provizoriu a acordului. Nu există un alt instrument juridic care ar putea fi folosit în scopul realizării obiectivului prevăzut în prezenta propunere. </w:t>
      </w:r>
    </w:p>
    <w:p w:rsidR="00646408" w:rsidRPr="00E05E39" w:rsidRDefault="00646408" w:rsidP="003B5055">
      <w:pPr>
        <w:pStyle w:val="ManualHeading1"/>
        <w:rPr>
          <w:noProof/>
        </w:rPr>
      </w:pPr>
      <w:r>
        <w:rPr>
          <w:noProof/>
        </w:rPr>
        <w:t>3.</w:t>
      </w:r>
      <w:r>
        <w:rPr>
          <w:noProof/>
        </w:rPr>
        <w:tab/>
      </w:r>
      <w:r w:rsidRPr="00E05E39">
        <w:rPr>
          <w:noProof/>
        </w:rPr>
        <w:t>ALTE ELEMENTE</w:t>
      </w:r>
    </w:p>
    <w:p w:rsidR="00EA229A" w:rsidRPr="00E05E39" w:rsidRDefault="00EA229A" w:rsidP="003B5055">
      <w:pPr>
        <w:pStyle w:val="Bullet1"/>
        <w:numPr>
          <w:ilvl w:val="0"/>
          <w:numId w:val="18"/>
        </w:numPr>
        <w:rPr>
          <w:b/>
          <w:noProof/>
        </w:rPr>
      </w:pPr>
      <w:r w:rsidRPr="00E05E39">
        <w:rPr>
          <w:b/>
          <w:noProof/>
        </w:rPr>
        <w:t xml:space="preserve">Punerea în aplicare de către organismele instituite în temeiul acordului </w:t>
      </w:r>
    </w:p>
    <w:p w:rsidR="00EA229A" w:rsidRPr="00E05E39" w:rsidRDefault="00EA229A" w:rsidP="00A26D77">
      <w:pPr>
        <w:pStyle w:val="Text2"/>
        <w:ind w:left="850"/>
        <w:rPr>
          <w:noProof/>
        </w:rPr>
      </w:pPr>
      <w:r w:rsidRPr="00E05E39">
        <w:rPr>
          <w:noProof/>
        </w:rPr>
        <w:t>Titlul V din partea întâi din acord instituie un Consiliu de cooperare care va supraveghea realizarea obiectivelor acordului menționat și ale oricărui acord de completare. Consiliul de cooperare este format din reprezentanți ai Uniunii și ai Regatului Unit, care se vor întruni cel puțin o dată pe an și vor supraveghea și facilita punerea în aplicare și executarea acordului și a oricărui acord de completare.</w:t>
      </w:r>
    </w:p>
    <w:p w:rsidR="00A26D77" w:rsidRPr="00E05E39" w:rsidRDefault="00EA229A" w:rsidP="00A26D77">
      <w:pPr>
        <w:pStyle w:val="Text2"/>
        <w:ind w:left="850"/>
        <w:rPr>
          <w:noProof/>
        </w:rPr>
      </w:pPr>
      <w:r w:rsidRPr="00E05E39">
        <w:rPr>
          <w:noProof/>
        </w:rPr>
        <w:t xml:space="preserve">Consiliul de cooperare poate adopta decizii cu privire la toate aspectele pentru care acordul sau orice acord de completare prevede acest lucru. Consiliul de cooperare poate lua decizii și formula recomandări numai pe baza unui acord comun între Uniune și Regatul Unit. Consiliul de cooperare nu poate în niciun caz să restricționeze procesul decizional de la nivelul Uniunii. Uniunea și Regatul Unit pot decide, prin intermediul Consiliului de cooperare sau al comitetelor specializate, să modifice anumite aspecte ale acordului sau ale oricărui acord de completare numai în cazurile prevăzute în mod specific în acestea. Atunci când părțile aprobă o astfel de decizie, aceasta trebuie să respecte cerințele și procedurile lor interne aplicabile. </w:t>
      </w:r>
    </w:p>
    <w:p w:rsidR="00A26D77" w:rsidRPr="00E05E39" w:rsidRDefault="00EA229A" w:rsidP="00A26D77">
      <w:pPr>
        <w:pStyle w:val="Text2"/>
        <w:ind w:left="850"/>
        <w:rPr>
          <w:noProof/>
        </w:rPr>
      </w:pPr>
      <w:r w:rsidRPr="00E05E39">
        <w:rPr>
          <w:noProof/>
        </w:rPr>
        <w:t>La îndeplinirea sarcinilor sale, Consiliul de cooperare va fi asistat de comitete specializate.</w:t>
      </w:r>
    </w:p>
    <w:p w:rsidR="00EA229A" w:rsidRPr="00E05E39" w:rsidRDefault="00EA229A" w:rsidP="00A26D77">
      <w:pPr>
        <w:pStyle w:val="Text2"/>
        <w:ind w:left="850"/>
        <w:rPr>
          <w:noProof/>
        </w:rPr>
      </w:pPr>
      <w:r w:rsidRPr="00E05E39">
        <w:rPr>
          <w:noProof/>
          <w:u w:color="000000"/>
          <w:bdr w:val="nil"/>
        </w:rPr>
        <w:t xml:space="preserve">Acordul instituie următoarele comitete specializate: </w:t>
      </w:r>
    </w:p>
    <w:p w:rsidR="00EA229A" w:rsidRPr="00E05E39" w:rsidRDefault="00EA229A" w:rsidP="00175F65">
      <w:pPr>
        <w:pStyle w:val="Point2"/>
        <w:rPr>
          <w:noProof/>
        </w:rPr>
      </w:pPr>
      <w:r>
        <w:rPr>
          <w:noProof/>
        </w:rPr>
        <w:t>(a)</w:t>
      </w:r>
      <w:r>
        <w:rPr>
          <w:noProof/>
        </w:rPr>
        <w:tab/>
      </w:r>
      <w:r w:rsidRPr="00E05E39">
        <w:rPr>
          <w:noProof/>
        </w:rPr>
        <w:t>Comitetul specializat privind circulația persoanelor;</w:t>
      </w:r>
    </w:p>
    <w:p w:rsidR="00EA229A" w:rsidRPr="00E05E39" w:rsidRDefault="00EA229A" w:rsidP="00EA229A">
      <w:pPr>
        <w:pStyle w:val="Point2"/>
        <w:rPr>
          <w:noProof/>
        </w:rPr>
      </w:pPr>
      <w:r>
        <w:rPr>
          <w:noProof/>
        </w:rPr>
        <w:t>(b)</w:t>
      </w:r>
      <w:r>
        <w:rPr>
          <w:noProof/>
        </w:rPr>
        <w:tab/>
      </w:r>
      <w:r w:rsidRPr="00E05E39">
        <w:rPr>
          <w:noProof/>
        </w:rPr>
        <w:t>Comitetul specializat privind economia și comerțul;</w:t>
      </w:r>
    </w:p>
    <w:p w:rsidR="0031130F" w:rsidRPr="00E05E39" w:rsidRDefault="00EA229A" w:rsidP="00EA229A">
      <w:pPr>
        <w:pStyle w:val="Point2"/>
        <w:rPr>
          <w:noProof/>
        </w:rPr>
      </w:pPr>
      <w:r>
        <w:rPr>
          <w:noProof/>
        </w:rPr>
        <w:t>(c)</w:t>
      </w:r>
      <w:r>
        <w:rPr>
          <w:noProof/>
        </w:rPr>
        <w:tab/>
      </w:r>
      <w:r w:rsidRPr="00E05E39">
        <w:rPr>
          <w:noProof/>
        </w:rPr>
        <w:t xml:space="preserve">Comitetul specializat privind aviația. </w:t>
      </w:r>
    </w:p>
    <w:p w:rsidR="00EA229A" w:rsidRPr="00E05E39" w:rsidRDefault="00EA229A" w:rsidP="00EA229A">
      <w:pPr>
        <w:pStyle w:val="Text2"/>
        <w:rPr>
          <w:noProof/>
        </w:rPr>
      </w:pPr>
      <w:r w:rsidRPr="00E05E39">
        <w:rPr>
          <w:noProof/>
        </w:rPr>
        <w:t>Consiliul de cooperare poate institui sau dizolva comitete specializate.</w:t>
      </w:r>
    </w:p>
    <w:p w:rsidR="00EA229A" w:rsidRPr="00E05E39" w:rsidRDefault="00EA229A" w:rsidP="00A26D77">
      <w:pPr>
        <w:pStyle w:val="Text2"/>
        <w:ind w:left="850"/>
        <w:rPr>
          <w:noProof/>
        </w:rPr>
      </w:pPr>
      <w:r w:rsidRPr="00E05E39">
        <w:rPr>
          <w:noProof/>
        </w:rPr>
        <w:t>Acordul prevede, de asemenea, pentru Consiliul de cooperare un rol în soluționarea litigiilor, care este abordat în capitolul 1 din partea a șasea a acordului.</w:t>
      </w:r>
    </w:p>
    <w:p w:rsidR="00EA229A" w:rsidRPr="00E05E39" w:rsidRDefault="00EA229A" w:rsidP="003B5055">
      <w:pPr>
        <w:pStyle w:val="Bullet1"/>
        <w:numPr>
          <w:ilvl w:val="0"/>
          <w:numId w:val="18"/>
        </w:numPr>
        <w:rPr>
          <w:b/>
          <w:noProof/>
          <w:u w:color="000000"/>
          <w:bdr w:val="nil"/>
        </w:rPr>
      </w:pPr>
      <w:r w:rsidRPr="00E05E39">
        <w:rPr>
          <w:b/>
          <w:noProof/>
        </w:rPr>
        <w:t>Punerea în aplicare și executarea acordului în Uniune</w:t>
      </w:r>
    </w:p>
    <w:p w:rsidR="00A26D77" w:rsidRPr="00E05E39" w:rsidRDefault="00EA229A" w:rsidP="00A26D77">
      <w:pPr>
        <w:pStyle w:val="Text2"/>
        <w:ind w:left="850"/>
        <w:rPr>
          <w:noProof/>
          <w:u w:color="000000"/>
          <w:bdr w:val="nil"/>
        </w:rPr>
      </w:pPr>
      <w:r w:rsidRPr="00E05E39">
        <w:rPr>
          <w:noProof/>
          <w:u w:color="000000"/>
          <w:bdr w:val="nil"/>
        </w:rPr>
        <w:t xml:space="preserve">În conformitate cu articolul 216 alineatul (2) din TFUE, acordurile încheiate de Uniune sunt obligatorii pentru instituțiile Uniunii și pentru statele membre ale acesteia. </w:t>
      </w:r>
    </w:p>
    <w:p w:rsidR="00A26D77" w:rsidRPr="00E05E39" w:rsidRDefault="00127211" w:rsidP="00A26D77">
      <w:pPr>
        <w:pStyle w:val="Text2"/>
        <w:ind w:left="850"/>
        <w:rPr>
          <w:noProof/>
          <w:u w:color="000000"/>
          <w:bdr w:val="nil"/>
        </w:rPr>
      </w:pPr>
      <w:r w:rsidRPr="00E05E39">
        <w:rPr>
          <w:noProof/>
        </w:rPr>
        <w:t>Pentru a garanta respectarea obligațiilor prevăzute în acord, există mecanisme solide de asigurare a respectării legii. Acordul prevede posibilitatea ca părțile să ia măsuri rapide, autonome și operaționale pentru a-și proteja interesele, inclusiv în ceea ce privește condițiile de concurență echitabile (și anume, măsuri de remediere și măsuri de reechilibrare), precum și, la un nivel mai general, în cazul unor dificultăți economice, societale sau de mediu grave, de natură sectorială sau regională. Este important ca Uniunea să fie pe deplin în măsură să pună în aplicare în mod rapid și eficace aceste măsuri de asigurare a respectării legii. În acest sens, Comisia ar trebui să fie împuternicită să suspende punerea în aplicare a obligațiilor în conformitate cu articolul 67, să ia măsuri de reechilibrare în domeniul combaterii spălării banilor în conformitate cu articolul 198 alineatul (6), să ia măsuri de remediere în domeniul ajutoarelor de stat în conformitate cu articolul 209 alineatul (3), să ia măsuri de salvgardare în domeniul impozitării indirecte în conformitate cu articolul 249 sau să suspende acordul, să ia măsurile corespunzătoare în conformitate cu articolul 252 sau să ia măsuri de remediere în domeniul transportului rutier în conformitate cu articolul 284.</w:t>
      </w:r>
    </w:p>
    <w:p w:rsidR="00EA229A" w:rsidRPr="00E05E39" w:rsidRDefault="00EA229A" w:rsidP="00A26D77">
      <w:pPr>
        <w:pStyle w:val="Text2"/>
        <w:ind w:left="850"/>
        <w:rPr>
          <w:noProof/>
          <w:u w:color="000000"/>
          <w:bdr w:val="nil"/>
        </w:rPr>
      </w:pPr>
      <w:r w:rsidRPr="00E05E39">
        <w:rPr>
          <w:noProof/>
        </w:rPr>
        <w:t>În conformitate cu tratatele, Comisia va acționa, de asemenea, în numele Uniunii cu privire la toate etapele procedurii de soluționare a litigiilor în temeiul capitolului I din partea a șasea a acordului.</w:t>
      </w:r>
    </w:p>
    <w:p w:rsidR="008D1785" w:rsidRPr="00E05E39" w:rsidRDefault="008D1785" w:rsidP="003B5055">
      <w:pPr>
        <w:pStyle w:val="Bullet1"/>
        <w:numPr>
          <w:ilvl w:val="0"/>
          <w:numId w:val="18"/>
        </w:numPr>
        <w:rPr>
          <w:b/>
          <w:noProof/>
        </w:rPr>
      </w:pPr>
      <w:r w:rsidRPr="00E05E39">
        <w:rPr>
          <w:b/>
          <w:noProof/>
        </w:rPr>
        <w:t>Explicarea detaliată a dispozițiilor specifice ale acordului</w:t>
      </w:r>
    </w:p>
    <w:p w:rsidR="00A26D77" w:rsidRPr="00E05E39" w:rsidRDefault="00725B6C" w:rsidP="00A26D77">
      <w:pPr>
        <w:pStyle w:val="Text2"/>
        <w:ind w:left="850"/>
        <w:rPr>
          <w:noProof/>
          <w:szCs w:val="24"/>
        </w:rPr>
      </w:pPr>
      <w:r w:rsidRPr="00E05E39">
        <w:rPr>
          <w:noProof/>
        </w:rPr>
        <w:t>Acordul se bazează pe recunoașterea democrației, a statului de drept și a drepturilor omului, precum și pe combaterea schimbărilor climatice și pe combaterea proliferării armelor de distrugere în masă. O încălcare a oricăruia dintre aceste elemente esențiale le permite părților să denunțe sau să suspende, integral sau parțial, funcționarea acordului sau a oricărui acord de completare. Părțile își afirmă, de asemenea, angajamentul de a aplica acquis-ul Uniunii privind protecția datelor cu caracter personal.</w:t>
      </w:r>
    </w:p>
    <w:p w:rsidR="00A26D77" w:rsidRPr="00E05E39" w:rsidRDefault="00725B6C" w:rsidP="00A26D77">
      <w:pPr>
        <w:pStyle w:val="Text2"/>
        <w:ind w:left="850"/>
        <w:rPr>
          <w:noProof/>
          <w:szCs w:val="24"/>
        </w:rPr>
      </w:pPr>
      <w:r w:rsidRPr="00E05E39">
        <w:rPr>
          <w:noProof/>
        </w:rPr>
        <w:t>Acordul vizează eliminarea tuturor barierelor fizice din calea circulației persoanelor și a mărfurilor între teritoriul Uniunii și Gibraltar și acoperă cooperarea în domeniile necesare pentru instituirea unei zone de prosperitate comună. Acesta nu aduce atingere pozițiilor privind suveranitatea și jurisdicția Spaniei și a Regatului Unit.</w:t>
      </w:r>
    </w:p>
    <w:p w:rsidR="00A26D77" w:rsidRPr="00E05E39" w:rsidRDefault="00725B6C" w:rsidP="00A26D77">
      <w:pPr>
        <w:pStyle w:val="Text2"/>
        <w:ind w:left="850"/>
        <w:rPr>
          <w:noProof/>
          <w:szCs w:val="24"/>
        </w:rPr>
      </w:pPr>
      <w:r w:rsidRPr="00E05E39">
        <w:rPr>
          <w:noProof/>
        </w:rPr>
        <w:t>Acordul conține șapte părți (împărțite în titluri și capitole), trei protocoale și o serie de anexe, după cum urmează:</w:t>
      </w:r>
    </w:p>
    <w:p w:rsidR="00A26D77" w:rsidRPr="00E05E39" w:rsidRDefault="004559C1" w:rsidP="00A26D77">
      <w:pPr>
        <w:pStyle w:val="Text2"/>
        <w:ind w:left="850"/>
        <w:rPr>
          <w:noProof/>
          <w:szCs w:val="24"/>
        </w:rPr>
      </w:pPr>
      <w:r w:rsidRPr="00E05E39">
        <w:rPr>
          <w:b/>
          <w:bCs/>
          <w:noProof/>
        </w:rPr>
        <w:t>Partea întâi (Dispoziții comune și instituționale)</w:t>
      </w:r>
      <w:r w:rsidRPr="00E05E39">
        <w:rPr>
          <w:noProof/>
        </w:rPr>
        <w:t xml:space="preserve"> conține dispozițiile comune care stabilesc baza cooperării, principiile de interpretare și definițiile, precum și cadrul instituțional. Aceasta subliniază faptul că acordul nu aduce atingere aspectelor legate de suveranitate și de jurisdicția asupra teritoriului Gibraltarului. </w:t>
      </w:r>
    </w:p>
    <w:p w:rsidR="00A26D77" w:rsidRPr="00E05E39" w:rsidRDefault="00747BEC" w:rsidP="00A26D77">
      <w:pPr>
        <w:pStyle w:val="Text2"/>
        <w:ind w:left="850"/>
        <w:rPr>
          <w:noProof/>
          <w:szCs w:val="24"/>
        </w:rPr>
      </w:pPr>
      <w:r w:rsidRPr="00E05E39">
        <w:rPr>
          <w:noProof/>
        </w:rPr>
        <w:t>Partea întâi prezintă elementele esențiale ale relației: protejarea drepturilor omului și a libertăților fundamentale, a principiilor democratice, a statului de drept, inclusiv angajamentul continuu al Regatului Unit de a respecta Convenția europeană a drepturilor omului, sprijinul pentru neproliferare, combaterea schimbărilor climatice, astfel cum a fost stabilită în cadrul procesului Convenției-cadru a Națiunilor Unite asupra schimbărilor climatice și, în special, în Acordul de la Paris. Această parte reamintește, de asemenea, angajamentul părților de a promova multilateralismul eficace și bazat pe norme. Aceasta conține dispoziții care asigură alinierea, cu timpul, a Regatului Unit la normele Uniunii în materie de protecție a datelor cu caracter personal. Aceasta prevede, de asemenea, norme care reglementează cooperarea civilă în domeniul nuclear între părți. În plus, partea întâi conține două principii orizontale importante: eliminarea tuturor barierelor din calea circulației mărfurilor și a persoanelor și comunicarea cu Gibraltarul prin intermediul Regatului Unit, întrucât Gibraltarul rămâne un teritoriu care nu se autoguvernează.</w:t>
      </w:r>
    </w:p>
    <w:p w:rsidR="00A26D77" w:rsidRPr="00E05E39" w:rsidRDefault="00DD4EB9" w:rsidP="00A26D77">
      <w:pPr>
        <w:pStyle w:val="Text2"/>
        <w:ind w:left="850"/>
        <w:rPr>
          <w:noProof/>
          <w:szCs w:val="24"/>
        </w:rPr>
      </w:pPr>
      <w:r w:rsidRPr="00E05E39">
        <w:rPr>
          <w:noProof/>
        </w:rPr>
        <w:t xml:space="preserve">Partea întâi stabilește, de asemenea, procedura de aplicare, cu timpul, de către Regatul Unit a dreptului Uniunii în cazurile în care acest lucru este prevăzut de acord, precum și dispozițiile instituționale pentru un cadru general de guvernanță care să acopere toate domeniile de cooperare. Această parte instituie un organ de conducere (Consiliul de cooperare), responsabil cu gestionarea și supravegherea punerii în aplicare și a executării acordului și cu facilitarea soluționării litigiilor, rol inspirat din modelul Acordului comercial și de cooperare, asigurând, în același timp, un rol pentru Curtea de Justiție a Uniunii Europene în interpretarea dreptului Uniunii aplicat în contextul acordului. Consiliul de cooperare ar urma să fie asistat de trei comitete specializate (Comitetul privind circulația persoanelor, Comitetul privind economia și comerțul și Comitetul privind aviația), cu competențe și sarcini specifice bazate pe nevoile fiecărui sector. </w:t>
      </w:r>
    </w:p>
    <w:p w:rsidR="00A26D77" w:rsidRPr="00E05E39" w:rsidRDefault="00422BD3" w:rsidP="00A26D77">
      <w:pPr>
        <w:pStyle w:val="Text2"/>
        <w:ind w:left="850"/>
        <w:rPr>
          <w:noProof/>
        </w:rPr>
      </w:pPr>
      <w:r w:rsidRPr="00E05E39">
        <w:rPr>
          <w:b/>
          <w:bCs/>
          <w:noProof/>
        </w:rPr>
        <w:t>Partea a doua (Circulația persoanelor)</w:t>
      </w:r>
      <w:r w:rsidRPr="00E05E39">
        <w:rPr>
          <w:noProof/>
        </w:rPr>
        <w:t xml:space="preserve"> prevede un model personalizat care stabilește normele pentru eliminarea frontierei existente și a verificărilor în ceea ce privește circulația persoanelor între Gibraltar și spațiul Schengen. Aceasta stabilește punctele de trecere a frontierei Schengen pentru efectuarea controlului la frontierele Schengen ca fiind aeroportul și portul din Gibraltar. </w:t>
      </w:r>
    </w:p>
    <w:p w:rsidR="00A26D77" w:rsidRPr="00E05E39" w:rsidRDefault="00FD2AD6" w:rsidP="00A26D77">
      <w:pPr>
        <w:pStyle w:val="Text2"/>
        <w:ind w:left="850"/>
        <w:rPr>
          <w:noProof/>
        </w:rPr>
      </w:pPr>
      <w:r w:rsidRPr="00E05E39">
        <w:rPr>
          <w:noProof/>
        </w:rPr>
        <w:t xml:space="preserve">Partea a doua prevede eliminarea infrastructurii fizice actuale dintre Gibraltar și Spania. Aceasta asigură faptul că efectuarea controlului la frontierele externe (verificări și supraveghere) are loc în aeroportul și în portul din Gibraltar, inclusiv în apele adiacente, sub responsabilitatea Spaniei, care va aplica normele relevante ale UE și care va avea competențele necesare pentru a aplica aceste norme, cu excepții limitate, în special în ceea ce privește acțiunile coercitive întreprinse pe baza alertelor din Sistemul de informații Schengen, care vor trebui convenite cu Regatul Unit în anumite cazuri. În plus, în cazul unui mandat european de arestare, persoana căutată va putea alege să i se refuze intrarea în loc să fie arestată. </w:t>
      </w:r>
    </w:p>
    <w:p w:rsidR="00A26D77" w:rsidRPr="00E05E39" w:rsidRDefault="00422BD3" w:rsidP="00A26D77">
      <w:pPr>
        <w:pStyle w:val="Text2"/>
        <w:ind w:left="850"/>
        <w:rPr>
          <w:noProof/>
        </w:rPr>
      </w:pPr>
      <w:r w:rsidRPr="00E05E39">
        <w:rPr>
          <w:noProof/>
        </w:rPr>
        <w:t>Deși normele Schengen se vor aplica la frontierele externe, Gibraltarul nu va deveni parte a spațiului Schengen. Partea a doua stabilește o serie de măsuri de salvgardare pentru a asigura integritatea și securitatea spațiului Schengen și pentru a aborda riscurile în materie de migrație ilegală. Aplicarea normelor Schengen în Gibraltar va face obiectul unei verificări periodice sub forma unor evaluări Schengen. Acordurile administrative dintre Spania și Regatul Unit vor detalia modalitățile practice relevante pentru aplicarea acestei părți.</w:t>
      </w:r>
    </w:p>
    <w:p w:rsidR="00422BD3" w:rsidRPr="00E05E39" w:rsidRDefault="00FD0B35" w:rsidP="00A26D77">
      <w:pPr>
        <w:pStyle w:val="Text2"/>
        <w:ind w:left="850"/>
        <w:rPr>
          <w:noProof/>
          <w:szCs w:val="24"/>
        </w:rPr>
      </w:pPr>
      <w:r w:rsidRPr="00E05E39">
        <w:rPr>
          <w:noProof/>
        </w:rPr>
        <w:t>Partea a doua prevede, de asemenea, o serie de măsuri de salvgardare suplimentare:</w:t>
      </w:r>
    </w:p>
    <w:p w:rsidR="00422BD3" w:rsidRPr="00E05E39" w:rsidRDefault="00422BD3" w:rsidP="0074714E">
      <w:pPr>
        <w:pStyle w:val="Tiret1"/>
        <w:numPr>
          <w:ilvl w:val="0"/>
          <w:numId w:val="22"/>
        </w:numPr>
        <w:rPr>
          <w:noProof/>
        </w:rPr>
      </w:pPr>
      <w:r w:rsidRPr="00E05E39">
        <w:rPr>
          <w:noProof/>
        </w:rPr>
        <w:t>norme privind eliberarea permiselor de ședere în Gibraltar – cu drept de veto pentru Spania;</w:t>
      </w:r>
    </w:p>
    <w:p w:rsidR="00422BD3" w:rsidRPr="00E05E39" w:rsidRDefault="00422BD3" w:rsidP="00A73FE3">
      <w:pPr>
        <w:pStyle w:val="Tiret1"/>
        <w:rPr>
          <w:noProof/>
        </w:rPr>
      </w:pPr>
      <w:r w:rsidRPr="00E05E39">
        <w:rPr>
          <w:noProof/>
        </w:rPr>
        <w:t>norme privind vizele – Spania fiind însărcinată cu eliberarea vizelor de scurtă ședere pentru șederi al căror scop principal este Gibraltarul, în cazul cărora prima intrare este în Gibraltar, și având un rol special în eliberarea vizelor excepționale la frontierele externe;</w:t>
      </w:r>
    </w:p>
    <w:p w:rsidR="00422BD3" w:rsidRPr="00E05E39" w:rsidRDefault="00422BD3" w:rsidP="00A73FE3">
      <w:pPr>
        <w:pStyle w:val="Tiret1"/>
        <w:rPr>
          <w:noProof/>
        </w:rPr>
      </w:pPr>
      <w:r w:rsidRPr="00E05E39">
        <w:rPr>
          <w:noProof/>
        </w:rPr>
        <w:t>norme speciale privind condițiile minime în care legislația poate permite un drept de ședere în Gibraltar, precum și evaluări ale riscurilor și impunerea de restricții de călătorie rezidenților din Gibraltar în cazuri justificate;</w:t>
      </w:r>
    </w:p>
    <w:p w:rsidR="00422BD3" w:rsidRPr="00E05E39" w:rsidRDefault="00422BD3" w:rsidP="00A73FE3">
      <w:pPr>
        <w:pStyle w:val="Tiret1"/>
        <w:rPr>
          <w:noProof/>
        </w:rPr>
      </w:pPr>
      <w:r w:rsidRPr="00E05E39">
        <w:rPr>
          <w:noProof/>
        </w:rPr>
        <w:t>norme privind examinarea cererilor de protecție internațională – cu rol consultativ pentru Spania;</w:t>
      </w:r>
    </w:p>
    <w:p w:rsidR="00422BD3" w:rsidRPr="00E05E39" w:rsidRDefault="00422BD3" w:rsidP="00A73FE3">
      <w:pPr>
        <w:pStyle w:val="Tiret1"/>
        <w:rPr>
          <w:noProof/>
        </w:rPr>
      </w:pPr>
      <w:r w:rsidRPr="00E05E39">
        <w:rPr>
          <w:noProof/>
        </w:rPr>
        <w:t>norme privind securitatea și cooperarea în materie de aplicare a legii;</w:t>
      </w:r>
    </w:p>
    <w:p w:rsidR="00422BD3" w:rsidRPr="00E05E39" w:rsidRDefault="00422BD3" w:rsidP="00A73FE3">
      <w:pPr>
        <w:pStyle w:val="Tiret1"/>
        <w:rPr>
          <w:noProof/>
        </w:rPr>
      </w:pPr>
      <w:r w:rsidRPr="00E05E39">
        <w:rPr>
          <w:noProof/>
        </w:rPr>
        <w:t>norme privind cooperarea judiciară în materie penală și cooperarea dintre autoritățile judiciare penale – similare celor incluse în Acordul comercial și de cooperare;</w:t>
      </w:r>
    </w:p>
    <w:p w:rsidR="00422BD3" w:rsidRPr="00E05E39" w:rsidRDefault="00422BD3" w:rsidP="00A73FE3">
      <w:pPr>
        <w:pStyle w:val="Tiret1"/>
        <w:rPr>
          <w:noProof/>
        </w:rPr>
      </w:pPr>
      <w:r w:rsidRPr="00E05E39">
        <w:rPr>
          <w:noProof/>
        </w:rPr>
        <w:t>norme specifice pentru punerea în aplicare, executarea, evaluarea și asigurarea respectării dispozițiilor privind circulația persoanelor – inclusiv un mecanism specific de evaluare după o perioadă inițială de patru ani de punere în aplicare, care poate duce la denunțarea acordului, inclusiv la cererea Spaniei.</w:t>
      </w:r>
    </w:p>
    <w:p w:rsidR="00A26D77" w:rsidRPr="00E05E39" w:rsidRDefault="00AB498F" w:rsidP="00A26D77">
      <w:pPr>
        <w:shd w:val="clear" w:color="auto" w:fill="FFFFFF" w:themeFill="background1"/>
        <w:ind w:left="720"/>
        <w:rPr>
          <w:noProof/>
        </w:rPr>
      </w:pPr>
      <w:r w:rsidRPr="00E05E39">
        <w:rPr>
          <w:noProof/>
        </w:rPr>
        <w:t>În fine, partea a doua acoperă combaterea spălării banilor și a finanțării terorismului, în cadrul căreia părțile și-au reiterat angajamentele de a sprijini eforturile internaționale de prevenire și combatere a spălării banilor și a finanțării terorismului. Această parte asigură, de asemenea, faptul că Regatul Unit nu aplică, în ceea ce privește Gibraltarul, standarde privind prevenirea spălării banilor și a finanțării terorismului mai reduse decât cele aplicabile în Uniune la momentul intrării în vigoare a acordului.</w:t>
      </w:r>
    </w:p>
    <w:p w:rsidR="00A26D77" w:rsidRPr="00E05E39" w:rsidRDefault="00CB4BC5" w:rsidP="00A26D77">
      <w:pPr>
        <w:shd w:val="clear" w:color="auto" w:fill="FFFFFF" w:themeFill="background1"/>
        <w:ind w:left="720"/>
        <w:rPr>
          <w:noProof/>
        </w:rPr>
      </w:pPr>
      <w:r w:rsidRPr="00E05E39">
        <w:rPr>
          <w:b/>
          <w:bCs/>
          <w:noProof/>
        </w:rPr>
        <w:t>Partea a treia (Economie și comerț)</w:t>
      </w:r>
      <w:r w:rsidRPr="00E05E39">
        <w:rPr>
          <w:noProof/>
        </w:rPr>
        <w:t xml:space="preserve"> stabilește dispozițiile menite să asigure eliminarea barierelor fizice existente între Gibraltar și Uniune, garantând, în același timp, o concurență deschisă și loială. Aceasta conține, de asemenea, dispoziții privind transportul rutier, aerian și maritim. </w:t>
      </w:r>
    </w:p>
    <w:p w:rsidR="00CB4BC5" w:rsidRPr="00E05E39" w:rsidRDefault="006977AA" w:rsidP="00A26D77">
      <w:pPr>
        <w:shd w:val="clear" w:color="auto" w:fill="FFFFFF" w:themeFill="background1"/>
        <w:ind w:left="720"/>
        <w:rPr>
          <w:noProof/>
        </w:rPr>
      </w:pPr>
      <w:r w:rsidRPr="00E05E39">
        <w:rPr>
          <w:noProof/>
        </w:rPr>
        <w:t xml:space="preserve">În ceea ce privește </w:t>
      </w:r>
      <w:r w:rsidRPr="00E05E39">
        <w:rPr>
          <w:b/>
          <w:bCs/>
          <w:noProof/>
        </w:rPr>
        <w:t>condițiile de concurență echitabile</w:t>
      </w:r>
      <w:r w:rsidRPr="00E05E39">
        <w:rPr>
          <w:noProof/>
        </w:rPr>
        <w:t xml:space="preserve">, partea a treia include un cadru solid de angajamente pentru a asigura o concurență deschisă și loială și pentru a contribui la dezvoltarea durabilă. Aceste angajamente țin seama de domeniul de aplicare și de profunzimea acordului, de relația globală și de legătura economică dintre Uniune și Gibraltar. Standardele Uniunii și standardele internaționale aplicate în cadrul Uniunii sunt menținute ca punct de referință. Acordul prevede un mecanism adecvat de asigurare a respectării acestor angajamente. </w:t>
      </w:r>
    </w:p>
    <w:p w:rsidR="00CB4BC5" w:rsidRPr="00E05E39" w:rsidRDefault="00CB4BC5" w:rsidP="00A73FE3">
      <w:pPr>
        <w:pStyle w:val="Tiret1"/>
        <w:rPr>
          <w:noProof/>
        </w:rPr>
      </w:pPr>
      <w:r w:rsidRPr="00E05E39">
        <w:rPr>
          <w:noProof/>
        </w:rPr>
        <w:t>În ceea ce privește</w:t>
      </w:r>
      <w:r w:rsidRPr="00E05E39">
        <w:rPr>
          <w:b/>
          <w:bCs/>
          <w:noProof/>
        </w:rPr>
        <w:t xml:space="preserve"> ajutoarele de stat</w:t>
      </w:r>
      <w:r w:rsidRPr="00E05E39">
        <w:rPr>
          <w:noProof/>
        </w:rPr>
        <w:t>, acordul asigură aplicarea legislației relevante a Uniunii de către autoritățile din Gibraltar atât Gibraltarului, cât și pe teritoriul acestuia. Această parte prevede mecanisme de abordare a evoluției în timp a unor astfel de norme pentru a evita denaturarea comerțului sau a concurenței și prevede un mecanism eficace de asigurare a respectării normelor;</w:t>
      </w:r>
    </w:p>
    <w:p w:rsidR="00CB4BC5" w:rsidRPr="00E05E39" w:rsidRDefault="00CB4BC5" w:rsidP="00A73FE3">
      <w:pPr>
        <w:pStyle w:val="Tiret1"/>
        <w:rPr>
          <w:noProof/>
        </w:rPr>
      </w:pPr>
      <w:r w:rsidRPr="00E05E39">
        <w:rPr>
          <w:noProof/>
        </w:rPr>
        <w:t xml:space="preserve">În ceea ce privește </w:t>
      </w:r>
      <w:r w:rsidRPr="00E05E39">
        <w:rPr>
          <w:b/>
          <w:bCs/>
          <w:noProof/>
        </w:rPr>
        <w:t>impozitarea directă</w:t>
      </w:r>
      <w:r w:rsidRPr="00E05E39">
        <w:rPr>
          <w:noProof/>
        </w:rPr>
        <w:t>, acordul urmează modelul Acordului comercial și de cooperare, prevăzând angajamente pentru ambele părți de punere în aplicare a principiilor bunei guvernanțe, inclusiv a standardelor globale privind transparența și schimbul de informații, a impozitării echitabile și a standardelor OCDE împotriva erodării bazei impozabile și a transferului profiturilor. Această parte include, de asemenea, o declarație comună privind combaterea practicilor fiscale dăunătoare. În plus, prevede angajamente de menținere a unor niveluri de protecție care fac trimitere la dreptul și standardele Uniunii, astfel cum sunt acestea la momentul semnării acordului;</w:t>
      </w:r>
    </w:p>
    <w:p w:rsidR="00CB4BC5" w:rsidRPr="00E05E39" w:rsidRDefault="00CB4BC5" w:rsidP="00A73FE3">
      <w:pPr>
        <w:pStyle w:val="Tiret1"/>
        <w:rPr>
          <w:noProof/>
        </w:rPr>
      </w:pPr>
      <w:r w:rsidRPr="00E05E39">
        <w:rPr>
          <w:noProof/>
        </w:rPr>
        <w:t xml:space="preserve">În ceea ce privește </w:t>
      </w:r>
      <w:r w:rsidRPr="00E05E39">
        <w:rPr>
          <w:b/>
          <w:bCs/>
          <w:noProof/>
        </w:rPr>
        <w:t>standardele sociale și de muncă</w:t>
      </w:r>
      <w:r w:rsidRPr="00E05E39">
        <w:rPr>
          <w:noProof/>
        </w:rPr>
        <w:t>, la fel ca în Acordul comercial și de cooperare, acordul prevede faptul că părțile vor menține nivelul ridicat de protecție existent la încheierea perioadei de tranziție, standardele Uniunii fiind puncte de referință în acest sens;</w:t>
      </w:r>
    </w:p>
    <w:p w:rsidR="00CB4BC5" w:rsidRPr="00E05E39" w:rsidRDefault="00CB4BC5" w:rsidP="00A73FE3">
      <w:pPr>
        <w:pStyle w:val="Tiret1"/>
        <w:rPr>
          <w:noProof/>
        </w:rPr>
      </w:pPr>
      <w:r w:rsidRPr="00E05E39">
        <w:rPr>
          <w:noProof/>
        </w:rPr>
        <w:t xml:space="preserve">În ceea ce privește </w:t>
      </w:r>
      <w:r w:rsidRPr="00E05E39">
        <w:rPr>
          <w:b/>
          <w:bCs/>
          <w:noProof/>
        </w:rPr>
        <w:t>mediul și clima</w:t>
      </w:r>
      <w:r w:rsidRPr="00E05E39">
        <w:rPr>
          <w:noProof/>
        </w:rPr>
        <w:t>, acordul angajează Regatul Unit, în ceea ce privește Gibraltarul, să mențină niveluri de protecție a mediului și a climei echivalente cu nivelurile în vigoare în Uniune, inclusiv cu evoluția în timp a acestora. Această parte include angajamente care asigură faptul că sistemul de stabilire a prețului carbonului care se aplică în Gibraltar va avea, cu timpul, un domeniu de aplicare și o eficacitate echivalente cu cele existente în Uniune. În plus, aceasta prevede că ambele părți vor respecta principiile de mediu recunoscute la nivel internațional pe care și le-au asumat. În fine, aceasta prevede faptul că ar putea fi susținută cooperarea în domeniul mediului prin acorduri administrative între Spania și Regatul Unit în ceea ce privește Gibraltarul;</w:t>
      </w:r>
    </w:p>
    <w:p w:rsidR="00CB4BC5" w:rsidRPr="00E05E39" w:rsidRDefault="00CB4BC5" w:rsidP="00A73FE3">
      <w:pPr>
        <w:pStyle w:val="Tiret1"/>
        <w:rPr>
          <w:noProof/>
        </w:rPr>
      </w:pPr>
      <w:r w:rsidRPr="00E05E39">
        <w:rPr>
          <w:noProof/>
        </w:rPr>
        <w:t xml:space="preserve">În ceea ce privește alte </w:t>
      </w:r>
      <w:r w:rsidRPr="00E05E39">
        <w:rPr>
          <w:b/>
          <w:bCs/>
          <w:noProof/>
        </w:rPr>
        <w:t>instrumente pentru comerț și dezvoltarea durabilă</w:t>
      </w:r>
      <w:r w:rsidRPr="00E05E39">
        <w:rPr>
          <w:noProof/>
        </w:rPr>
        <w:t xml:space="preserve">, acordul corespunde, în linii mari, angajamentelor incluse în Acordul comercial și de cooperare, fiind, în același timp, proporțional cu relația cu Regatul Unit în ceea ce privește Gibraltarul. </w:t>
      </w:r>
    </w:p>
    <w:p w:rsidR="00A26D77" w:rsidRPr="00E05E39" w:rsidRDefault="00CB4BC5" w:rsidP="00A26D77">
      <w:pPr>
        <w:shd w:val="clear" w:color="auto" w:fill="FFFFFF" w:themeFill="background1"/>
        <w:ind w:left="720"/>
        <w:rPr>
          <w:noProof/>
        </w:rPr>
      </w:pPr>
      <w:r w:rsidRPr="00E05E39">
        <w:rPr>
          <w:noProof/>
        </w:rPr>
        <w:t xml:space="preserve">În ceea ce privește </w:t>
      </w:r>
      <w:r w:rsidRPr="00E05E39">
        <w:rPr>
          <w:b/>
          <w:bCs/>
          <w:noProof/>
        </w:rPr>
        <w:t>chestiunile vamale și aspectele conexe</w:t>
      </w:r>
      <w:r w:rsidRPr="00E05E39">
        <w:rPr>
          <w:noProof/>
        </w:rPr>
        <w:t>, acordul instituie o uniune vamală între Uniune și Regatul Unit, în ceea ce privește Gibraltarul, care, împreună cu aplicarea acquis-ului relevant al Uniunii în Gibraltar, ar trebui să permită eliminarea barierelor fizice (inclusiv a oricăror formalități conexe pentru mărfurile care circulă între Gibraltar și Uniune după perioada de tranziție cu o durată nedeterminată), protejând, în același timp, integritatea pieței unice a Uniunii și interesele financiare ale Uniunii. Aceasta este însoțită de cooperare fiscală și vamală și de alinierea integrală a sistemului de impozitare indirectă din Gibraltar la legislația Uniunii după o perioadă de tranziție. În cursul perioadei de tranziție, autoritățile competente din Uniune vor îndeplini toate formalitățile vamale în numele Gibraltarului, în timp ce Gibraltarul ar urma să perceapă o taxă proprie pe tranzacții și impozite similare accizelor la import și producție, precum și accize, acestea fiind, în principiu, aliniate la ratele UE, după o perioadă de tranziție de trei ani. Cu unele excepții, portul și aeroportul din Gibraltar vor fi închise traficului comercial până când Gibraltarul va deveni, de asemenea, parte a teritoriului fiscal al Uniunii și va aplica în mod direct legislația Uniunii privind impozitarea indirectă și privind importurile și exporturile. Acordul prevede, de asemenea, verificări și controale adecvate efectuate fie de către autoritățile spaniole, fie împreună de către autoritățile din Spania și cele din Regatul Unit în ceea ce privește Gibraltarul, utilizarea infrastructurii informatice spaniole și monitorizarea de către autoritățile Uniunii și de către autoritățile spaniole a unor activități conexe desfășurate de autoritățile competente în ceea ce privește Gibraltarul. Acordurile administrative dintre Spania și Regatul Unit, în ceea ce privește Gibraltarul, vor prevedea modalitățile practice relevante de aplicare a acestei părți.</w:t>
      </w:r>
    </w:p>
    <w:p w:rsidR="00A26D77" w:rsidRPr="00E05E39" w:rsidRDefault="00CB4BC5" w:rsidP="00A26D77">
      <w:pPr>
        <w:shd w:val="clear" w:color="auto" w:fill="FFFFFF" w:themeFill="background1"/>
        <w:ind w:left="720"/>
        <w:rPr>
          <w:noProof/>
        </w:rPr>
      </w:pPr>
      <w:r w:rsidRPr="00E05E39">
        <w:rPr>
          <w:noProof/>
        </w:rPr>
        <w:t xml:space="preserve">În ceea ce privește </w:t>
      </w:r>
      <w:r w:rsidRPr="00E05E39">
        <w:rPr>
          <w:b/>
          <w:bCs/>
          <w:noProof/>
        </w:rPr>
        <w:t>transporturile</w:t>
      </w:r>
      <w:r w:rsidRPr="00E05E39">
        <w:rPr>
          <w:noProof/>
        </w:rPr>
        <w:t>, acordul include dispoziții care asigură transportul rutier de mărfuri și de pasageri similare cu cele din Acordul comercial și de cooperare. Această parte include o dispoziție suplimentară privind transportul maritim, care prevede accesul la porturile și serviciile portuare ale UE, în conformitate cu standardele internaționale. Aceasta conține, de asemenea, dispoziții privind aviația referitoare la repartizarea responsabilităților de supraveghere și gestionare pe aeroportul din Gibraltar. Acordul prevede operațiunile autorizate ale companiilor aeriene ale fiecărei părți.</w:t>
      </w:r>
    </w:p>
    <w:p w:rsidR="00A26D77" w:rsidRPr="00E05E39" w:rsidRDefault="005A2B27" w:rsidP="00A26D77">
      <w:pPr>
        <w:shd w:val="clear" w:color="auto" w:fill="FFFFFF" w:themeFill="background1"/>
        <w:ind w:left="720"/>
        <w:rPr>
          <w:noProof/>
        </w:rPr>
      </w:pPr>
      <w:r w:rsidRPr="00E05E39">
        <w:rPr>
          <w:b/>
          <w:bCs/>
          <w:noProof/>
        </w:rPr>
        <w:t>Partea a patra (Lucrătorii frontalieri)</w:t>
      </w:r>
      <w:r w:rsidRPr="00E05E39">
        <w:rPr>
          <w:noProof/>
        </w:rPr>
        <w:t xml:space="preserve"> stabilește dispozițiile care asigură drepturile lucrătorilor frontalieri. Această parte oferă un nivel de protecție similar cu cel prevăzut în Acordul de retragere. Dispozițiile detaliate privind securitatea socială sunt incluse într-un protocol separat. </w:t>
      </w:r>
    </w:p>
    <w:p w:rsidR="00A26D77" w:rsidRPr="00E05E39" w:rsidRDefault="005A2B27" w:rsidP="00A26D77">
      <w:pPr>
        <w:shd w:val="clear" w:color="auto" w:fill="FFFFFF" w:themeFill="background1"/>
        <w:ind w:left="720"/>
        <w:rPr>
          <w:noProof/>
        </w:rPr>
      </w:pPr>
      <w:r w:rsidRPr="00E05E39">
        <w:rPr>
          <w:noProof/>
        </w:rPr>
        <w:t xml:space="preserve">În ceea ce privește </w:t>
      </w:r>
      <w:r w:rsidRPr="00E05E39">
        <w:rPr>
          <w:b/>
          <w:bCs/>
          <w:noProof/>
        </w:rPr>
        <w:t>lucrătorii frontalieri</w:t>
      </w:r>
      <w:r w:rsidRPr="00E05E39">
        <w:rPr>
          <w:noProof/>
        </w:rPr>
        <w:t>, acordul asigură faptul că cetățenii Uniunii care își au reședința legală în Spania și resortisanții Regatului Unit care își au reședința legală în Gibraltar</w:t>
      </w:r>
      <w:r w:rsidRPr="00E05E39">
        <w:rPr>
          <w:rStyle w:val="FootnoteReference"/>
          <w:noProof/>
        </w:rPr>
        <w:footnoteReference w:id="4"/>
      </w:r>
      <w:r w:rsidRPr="00E05E39">
        <w:rPr>
          <w:noProof/>
        </w:rPr>
        <w:t xml:space="preserve">, precum și membrii familiilor acestora beneficiază în Gibraltar și, respectiv, în Spania de dreptul de a desfășura o activitate salariată și de a desfășura o astfel de activitate în conformitate cu normele aplicabile în Regatul Unit, în ceea ce privește Gibraltarul, și în Spania. Aceasta include, de asemenea, dispoziții privind lucrătorii care sunt detașați în temeiul acordului pentru a presta servicii care sunt atât produse la nivel local, cât și consumate în zona de frontieră contiguă. În fine, aceasta prevede coordonarea securității sociale între Spania și Regatul Unit în ceea ce privește Gibraltarul, în conformitate cu mobilitatea menționată mai sus. </w:t>
      </w:r>
    </w:p>
    <w:p w:rsidR="0080598C" w:rsidRPr="00E05E39" w:rsidRDefault="005A2B27" w:rsidP="0080598C">
      <w:pPr>
        <w:shd w:val="clear" w:color="auto" w:fill="FFFFFF" w:themeFill="background1"/>
        <w:ind w:left="720"/>
        <w:rPr>
          <w:noProof/>
        </w:rPr>
      </w:pPr>
      <w:r w:rsidRPr="00E05E39">
        <w:rPr>
          <w:b/>
          <w:bCs/>
          <w:noProof/>
        </w:rPr>
        <w:t>Partea a cincea (Dispoziții financiare)</w:t>
      </w:r>
      <w:r w:rsidRPr="00E05E39">
        <w:rPr>
          <w:noProof/>
        </w:rPr>
        <w:t xml:space="preserve"> conține dispoziții privind un mecanism financiar legat de acord. </w:t>
      </w:r>
    </w:p>
    <w:p w:rsidR="00A26D77" w:rsidRPr="00E05E39" w:rsidRDefault="00185D67" w:rsidP="00A26D77">
      <w:pPr>
        <w:shd w:val="clear" w:color="auto" w:fill="FFFFFF" w:themeFill="background1"/>
        <w:ind w:left="720"/>
        <w:rPr>
          <w:noProof/>
        </w:rPr>
      </w:pPr>
      <w:r w:rsidRPr="00E05E39">
        <w:rPr>
          <w:noProof/>
        </w:rPr>
        <w:t>Un astfel de mecanism financiar va promova coeziunea dintre Gibraltar și Campo de Gibraltar, inclusiv în ceea ce privește formarea și ocuparea forței de muncă, va fi finanțat de ambele părți și va include măsuri de protecție a intereselor financiare ale Uniunii împotriva fraudei și a altor activități ilegale. Particularitățile mecanismului urmează să fie stabilite într-o etapă ulterioară de către Consiliul de cooperare. Uniunea își va îndeplini obligația financiară prin realocarea fondurilor existente acordate Spaniei. De comun acord cu Regatul Spaniei, pachetul aferent fondurilor de coeziune pentru Spania va fi utilizat pentru contribuția UE la mecanism.</w:t>
      </w:r>
    </w:p>
    <w:p w:rsidR="00A26D77" w:rsidRPr="00E05E39" w:rsidRDefault="005A2B27" w:rsidP="00A26D77">
      <w:pPr>
        <w:shd w:val="clear" w:color="auto" w:fill="FFFFFF" w:themeFill="background1"/>
        <w:ind w:left="720"/>
        <w:rPr>
          <w:noProof/>
        </w:rPr>
      </w:pPr>
      <w:r w:rsidRPr="00E05E39">
        <w:rPr>
          <w:b/>
          <w:bCs/>
          <w:noProof/>
        </w:rPr>
        <w:t>Partea a șasea (Soluționarea litigiilor)</w:t>
      </w:r>
      <w:r w:rsidRPr="00E05E39">
        <w:rPr>
          <w:noProof/>
        </w:rPr>
        <w:t xml:space="preserve"> conține dispoziții privind soluționarea litigiilor și îndeplinirea obligațiilor, supravegherea și asigurarea respectării legislației.</w:t>
      </w:r>
      <w:r w:rsidRPr="00E05E39">
        <w:rPr>
          <w:b/>
          <w:noProof/>
        </w:rPr>
        <w:t xml:space="preserve"> </w:t>
      </w:r>
    </w:p>
    <w:p w:rsidR="00A26D77" w:rsidRPr="00E05E39" w:rsidRDefault="005A2B27" w:rsidP="00A26D77">
      <w:pPr>
        <w:shd w:val="clear" w:color="auto" w:fill="FFFFFF" w:themeFill="background1"/>
        <w:ind w:left="720"/>
        <w:rPr>
          <w:noProof/>
        </w:rPr>
      </w:pPr>
      <w:r w:rsidRPr="00E05E39">
        <w:rPr>
          <w:noProof/>
        </w:rPr>
        <w:t>Acordul stabilește modalități eficiente și eficace de gestionare, supraveghere, punere în aplicare și revizuire a acordului, precum și de soluționare a litigiilor și de asigurare a respectării acordului, cu respectarea deplină a autonomiei ordinilor juridice ale părților. Aceasta prevede posibilitatea unor măsuri autonome, inclusiv suspendarea aplicării acordului, precum și a oricăror acorduri de completare, integral sau parțial, în cazul unei încălcări a elementelor esențiale sau al nerespectării obligațiilor în domeniul circulației persoanelor și a mărfurilor. Această parte include mecanisme de soluționare a litigiilor de către o comisie de arbitraj independentă și prevede un rol al Curții de Justiție a Uniunii Europene în litigiile care ridică o problemă de interpretare a dreptului Uniunii.</w:t>
      </w:r>
    </w:p>
    <w:p w:rsidR="00A26D77" w:rsidRPr="00E05E39" w:rsidRDefault="005A2B27" w:rsidP="00A26D77">
      <w:pPr>
        <w:shd w:val="clear" w:color="auto" w:fill="FFFFFF" w:themeFill="background1"/>
        <w:ind w:left="720"/>
        <w:rPr>
          <w:noProof/>
        </w:rPr>
      </w:pPr>
      <w:r w:rsidRPr="00E05E39">
        <w:rPr>
          <w:b/>
          <w:bCs/>
          <w:noProof/>
        </w:rPr>
        <w:t>Partea a șaptea (Dispoziții finale)</w:t>
      </w:r>
      <w:r w:rsidRPr="00E05E39">
        <w:rPr>
          <w:noProof/>
        </w:rPr>
        <w:t xml:space="preserve"> vizează diverse elemente, de la relația cu alte acorduri, revizuire, informații confidențiale, informații clasificate și informații sensibile neclasificate până la rezilierea și intrarea în vigoare a acordului. Intrarea în vigoare și funcționarea acordului sunt condiționate de încheierea unor acorduri administrative între Spania și Regatul Unit în ceea ce privește Gibraltarul, precum și de instituirea anumitor măsuri prevăzute de acord.</w:t>
      </w:r>
    </w:p>
    <w:p w:rsidR="00A26D77" w:rsidRPr="00E05E39" w:rsidRDefault="00725B6C" w:rsidP="00A26D77">
      <w:pPr>
        <w:shd w:val="clear" w:color="auto" w:fill="FFFFFF" w:themeFill="background1"/>
        <w:ind w:left="720"/>
        <w:rPr>
          <w:noProof/>
        </w:rPr>
      </w:pPr>
      <w:r w:rsidRPr="00E05E39">
        <w:rPr>
          <w:noProof/>
        </w:rPr>
        <w:t xml:space="preserve">Două </w:t>
      </w:r>
      <w:r w:rsidRPr="00E05E39">
        <w:rPr>
          <w:b/>
          <w:bCs/>
          <w:noProof/>
        </w:rPr>
        <w:t>protocoale</w:t>
      </w:r>
      <w:r w:rsidRPr="00E05E39">
        <w:rPr>
          <w:noProof/>
        </w:rPr>
        <w:t xml:space="preserve"> prevăd </w:t>
      </w:r>
      <w:r w:rsidRPr="00E05E39">
        <w:rPr>
          <w:b/>
          <w:bCs/>
          <w:noProof/>
        </w:rPr>
        <w:t>cooperarea administrativă și combaterea fraudelor în domeniul taxei pe valoarea adăugată și al accizelor, asistența reciprocă în materie de recuperare a creanțelor legate de taxe și impozite</w:t>
      </w:r>
      <w:r w:rsidRPr="00E05E39">
        <w:rPr>
          <w:noProof/>
        </w:rPr>
        <w:t xml:space="preserve"> și </w:t>
      </w:r>
      <w:r w:rsidRPr="00E05E39">
        <w:rPr>
          <w:b/>
          <w:bCs/>
          <w:noProof/>
        </w:rPr>
        <w:t>asistența administrativă reciprocă în domeniul vamal</w:t>
      </w:r>
      <w:r w:rsidRPr="00E05E39">
        <w:rPr>
          <w:noProof/>
        </w:rPr>
        <w:t xml:space="preserve">. Acordul conține, de asemenea, un </w:t>
      </w:r>
      <w:r w:rsidRPr="00E05E39">
        <w:rPr>
          <w:b/>
          <w:bCs/>
          <w:noProof/>
        </w:rPr>
        <w:t>Protocol privind trasabilitatea, cooperarea pentru combaterea contrabandei cu tutun</w:t>
      </w:r>
      <w:r w:rsidRPr="00E05E39">
        <w:rPr>
          <w:noProof/>
        </w:rPr>
        <w:t xml:space="preserve"> și măsuri suplimentare referitoare la produsele din tutun. </w:t>
      </w:r>
    </w:p>
    <w:p w:rsidR="00725B6C" w:rsidRPr="00E05E39" w:rsidRDefault="00725B6C" w:rsidP="00A26D77">
      <w:pPr>
        <w:shd w:val="clear" w:color="auto" w:fill="FFFFFF" w:themeFill="background1"/>
        <w:ind w:left="720"/>
        <w:rPr>
          <w:noProof/>
        </w:rPr>
      </w:pPr>
      <w:r w:rsidRPr="00E05E39">
        <w:rPr>
          <w:b/>
          <w:bCs/>
          <w:noProof/>
        </w:rPr>
        <w:t>Protocolul privind coordonarea sistemelor de securitate socială</w:t>
      </w:r>
      <w:r w:rsidRPr="00E05E39">
        <w:rPr>
          <w:noProof/>
        </w:rPr>
        <w:t xml:space="preserve"> stabilește o serie de măsuri de coordonare a sistemelor de securitate socială menite să protejeze drepturile de securitate socială ale lucrătorilor frontalieri, astfel cum sunt definite de acord. </w:t>
      </w:r>
    </w:p>
    <w:p w:rsidR="003012AE" w:rsidRPr="00E05E39" w:rsidRDefault="003012AE" w:rsidP="003B5055">
      <w:pPr>
        <w:pStyle w:val="Bullet1"/>
        <w:numPr>
          <w:ilvl w:val="0"/>
          <w:numId w:val="18"/>
        </w:numPr>
        <w:pBdr>
          <w:top w:val="nil"/>
          <w:left w:val="nil"/>
          <w:bottom w:val="nil"/>
          <w:right w:val="nil"/>
          <w:between w:val="nil"/>
          <w:bar w:val="nil"/>
        </w:pBdr>
        <w:spacing w:before="0" w:after="240"/>
        <w:rPr>
          <w:b/>
          <w:bCs/>
          <w:noProof/>
        </w:rPr>
      </w:pPr>
      <w:r w:rsidRPr="00E05E39">
        <w:rPr>
          <w:b/>
          <w:noProof/>
        </w:rPr>
        <w:t xml:space="preserve">Semnare și textul acordului </w:t>
      </w:r>
    </w:p>
    <w:p w:rsidR="003012AE" w:rsidRPr="00E05E39" w:rsidRDefault="003012AE" w:rsidP="008A60E3">
      <w:pPr>
        <w:pBdr>
          <w:top w:val="nil"/>
          <w:left w:val="nil"/>
          <w:bottom w:val="nil"/>
          <w:right w:val="nil"/>
          <w:between w:val="nil"/>
          <w:bar w:val="nil"/>
        </w:pBdr>
        <w:spacing w:before="0" w:after="240"/>
        <w:ind w:left="709"/>
        <w:rPr>
          <w:noProof/>
        </w:rPr>
      </w:pPr>
      <w:r w:rsidRPr="00E05E39">
        <w:rPr>
          <w:noProof/>
        </w:rPr>
        <w:t>Textul acordului este transmis Consiliului împreună cu prezenta propunere. Textul declarațiilor este transmis împreună cu prezenta propunere.</w:t>
      </w:r>
    </w:p>
    <w:p w:rsidR="003012AE" w:rsidRPr="00E05E39" w:rsidRDefault="003012AE" w:rsidP="008A60E3">
      <w:pPr>
        <w:pBdr>
          <w:top w:val="nil"/>
          <w:left w:val="nil"/>
          <w:bottom w:val="nil"/>
          <w:right w:val="nil"/>
          <w:between w:val="nil"/>
          <w:bar w:val="nil"/>
        </w:pBdr>
        <w:spacing w:before="0" w:after="240"/>
        <w:ind w:left="709"/>
        <w:rPr>
          <w:noProof/>
        </w:rPr>
      </w:pPr>
      <w:r w:rsidRPr="00E05E39">
        <w:rPr>
          <w:noProof/>
        </w:rPr>
        <w:t>În conformitate cu tratatele, Comisiei îi revine sarcina de a asigura semnarea acordului, sub rezerva încheierii sale la o dată ulterioară.</w:t>
      </w:r>
    </w:p>
    <w:p w:rsidR="0034333E" w:rsidRPr="00E05E39" w:rsidRDefault="003012AE" w:rsidP="00B77D6C">
      <w:pPr>
        <w:pStyle w:val="Text2"/>
        <w:ind w:left="709"/>
        <w:rPr>
          <w:noProof/>
        </w:rPr>
      </w:pPr>
      <w:r w:rsidRPr="00E05E39">
        <w:rPr>
          <w:noProof/>
        </w:rPr>
        <w:t>În conformitate cu tratatele, este, de asemenea, sarcina Comisiei să notifice Regatului</w:t>
      </w:r>
      <w:r w:rsidR="007F2DD2">
        <w:rPr>
          <w:noProof/>
        </w:rPr>
        <w:t> </w:t>
      </w:r>
      <w:r w:rsidRPr="00E05E39">
        <w:rPr>
          <w:noProof/>
        </w:rPr>
        <w:t>Unit intenția Uniunii de a aplica acordul cu titlu provizoriu începând cu 10</w:t>
      </w:r>
      <w:r w:rsidR="007F2DD2">
        <w:rPr>
          <w:noProof/>
        </w:rPr>
        <w:t> </w:t>
      </w:r>
      <w:r w:rsidRPr="00E05E39">
        <w:rPr>
          <w:noProof/>
        </w:rPr>
        <w:t xml:space="preserve">aprilie 2026. </w:t>
      </w:r>
    </w:p>
    <w:p w:rsidR="0034333E" w:rsidRPr="00E05E39" w:rsidRDefault="0034333E" w:rsidP="00B77D6C">
      <w:pPr>
        <w:pStyle w:val="Text2"/>
        <w:ind w:left="709"/>
        <w:rPr>
          <w:noProof/>
        </w:rPr>
      </w:pPr>
      <w:r w:rsidRPr="00E05E39">
        <w:rPr>
          <w:noProof/>
        </w:rPr>
        <w:t xml:space="preserve">Începerea aplicării acordului reprezintă o chestiune de maximă urgență. Acordul prevede eliminarea tuturor barierelor fizice dintre teritoriul Uniunii și Gibraltar. Noul sistem de intrare/ieșire al Uniunii Europene, care înlocuiește ștampilarea manuală a pașapoartelor cu înregistrarea digitală a resortisanților țărilor terțe care intră în spațiul Schengen, este în prezent în curs de implementare progresivă, preconizându-se o implementare operațională deplină la toate frontierele externe ale celor 29 de țări participante până la 10 aprilie 2026. Dacă acordul nu va începe să se aplice înainte de 10 aprilie 2026, va trebui instituit un control integral la frontieră între teritoriul Uniunii și Gibraltar. Acest lucru va perturba în mod semnificativ persoanele fizice, întreprinderile și alte părți interesate care își desfășoară activitatea în zona Campo del Gibraltar și contravine însuși scopului acordului, și anume de a crea o zonă de prosperitate comună atât în beneficiul Uniunii, cât și al Gibraltarului. </w:t>
      </w:r>
    </w:p>
    <w:p w:rsidR="0034333E" w:rsidRPr="00E05E39" w:rsidRDefault="0034333E" w:rsidP="00B77D6C">
      <w:pPr>
        <w:pStyle w:val="Text2"/>
        <w:ind w:left="709"/>
        <w:rPr>
          <w:noProof/>
        </w:rPr>
      </w:pPr>
      <w:r w:rsidRPr="00E05E39">
        <w:rPr>
          <w:noProof/>
        </w:rPr>
        <w:t>Având în vedere aceste circumstanțe excepționale, Comisia propune aplicarea</w:t>
      </w:r>
      <w:r w:rsidR="007F2DD2">
        <w:rPr>
          <w:noProof/>
        </w:rPr>
        <w:t> </w:t>
      </w:r>
      <w:r w:rsidRPr="00E05E39">
        <w:rPr>
          <w:noProof/>
        </w:rPr>
        <w:t xml:space="preserve">acordului cu titlu provizoriu o perioadă scurtă de timp de la data implementării depline a sistemului de intrare/ieșire până în prima zi a lunii următoare celei în care părțile și-au notificat reciproc îndeplinirea cerințelor și procedurilor lor interne pentru a-și exprima consimțământul de a-și asuma obligații în temeiul acordului. </w:t>
      </w:r>
    </w:p>
    <w:p w:rsidR="003012AE" w:rsidRPr="00E05E39" w:rsidRDefault="003012AE" w:rsidP="008A60E3">
      <w:pPr>
        <w:pBdr>
          <w:top w:val="nil"/>
          <w:left w:val="nil"/>
          <w:bottom w:val="nil"/>
          <w:right w:val="nil"/>
          <w:between w:val="nil"/>
          <w:bar w:val="nil"/>
        </w:pBdr>
        <w:spacing w:before="0" w:after="240"/>
        <w:ind w:left="709"/>
        <w:rPr>
          <w:noProof/>
        </w:rPr>
      </w:pPr>
      <w:r w:rsidRPr="00E05E39">
        <w:rPr>
          <w:noProof/>
        </w:rPr>
        <w:t>Aplicarea cu titlu provizoriu este propusă pentru a oferi facilități cetățenilor Uniunii care trebuie să călătorească în Gibraltar.</w:t>
      </w:r>
    </w:p>
    <w:p w:rsidR="008A60E3" w:rsidRPr="00E05E39" w:rsidRDefault="008A60E3" w:rsidP="008A60E3">
      <w:pPr>
        <w:pBdr>
          <w:top w:val="nil"/>
          <w:left w:val="nil"/>
          <w:bottom w:val="nil"/>
          <w:right w:val="nil"/>
          <w:between w:val="nil"/>
          <w:bar w:val="nil"/>
        </w:pBdr>
        <w:spacing w:before="0" w:after="240"/>
        <w:ind w:left="709"/>
        <w:rPr>
          <w:noProof/>
        </w:rPr>
        <w:sectPr w:rsidR="008A60E3" w:rsidRPr="00E05E39" w:rsidSect="003C5114">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FD7F7E" w:rsidRDefault="00771962">
      <w:pPr>
        <w:pStyle w:val="Rfrenceinterinstitutionnelle"/>
        <w:rPr>
          <w:noProof/>
        </w:rPr>
      </w:pPr>
      <w:r>
        <w:rPr>
          <w:noProof/>
        </w:rPr>
        <w:t>2026/0057 (NLE)</w:t>
      </w:r>
    </w:p>
    <w:p w:rsidR="00F1620D" w:rsidRPr="00E05E39" w:rsidRDefault="00E05E39" w:rsidP="00E05E39">
      <w:pPr>
        <w:pStyle w:val="Statut"/>
        <w:rPr>
          <w:noProof/>
        </w:rPr>
      </w:pPr>
      <w:r w:rsidRPr="00E05E39">
        <w:rPr>
          <w:noProof/>
        </w:rPr>
        <w:t>Propunere de</w:t>
      </w:r>
    </w:p>
    <w:p w:rsidR="00F1620D" w:rsidRPr="00E05E39" w:rsidRDefault="00E05E39" w:rsidP="00E05E39">
      <w:pPr>
        <w:pStyle w:val="Typedudocument"/>
        <w:rPr>
          <w:noProof/>
        </w:rPr>
      </w:pPr>
      <w:r w:rsidRPr="00E05E39">
        <w:rPr>
          <w:noProof/>
        </w:rPr>
        <w:t>DECIZIE A CONSILIULUI</w:t>
      </w:r>
    </w:p>
    <w:p w:rsidR="008E270D" w:rsidRPr="00E05E39" w:rsidRDefault="00E05E39" w:rsidP="00E05E39">
      <w:pPr>
        <w:pStyle w:val="Titreobjet"/>
        <w:rPr>
          <w:noProof/>
        </w:rPr>
      </w:pPr>
      <w:r w:rsidRPr="00E05E39">
        <w:rPr>
          <w:noProof/>
        </w:rPr>
        <w:t>privind semnarea, în numele Uniunii, și aplicarea cu titlu provizoriu a Acordului cu privire la Gibraltar dintre Uniunea Europeană și Comunitatea Europeană a Energiei Atomice, pe de o parte, și Regatul Unit al Marii Britanii și Irlandei de Nord, pe de altă parte</w:t>
      </w:r>
    </w:p>
    <w:p w:rsidR="00F1620D" w:rsidRPr="00E05E39" w:rsidRDefault="00F1620D" w:rsidP="00751F57">
      <w:pPr>
        <w:pStyle w:val="Institutionquiagit"/>
        <w:rPr>
          <w:noProof/>
        </w:rPr>
      </w:pPr>
      <w:r w:rsidRPr="00E05E39">
        <w:rPr>
          <w:noProof/>
        </w:rPr>
        <w:t>CONSILIUL UNIUNII EUROPENE,</w:t>
      </w:r>
    </w:p>
    <w:p w:rsidR="00F1620D" w:rsidRPr="00E05E39" w:rsidRDefault="0072050C" w:rsidP="000277B8">
      <w:pPr>
        <w:rPr>
          <w:noProof/>
        </w:rPr>
      </w:pPr>
      <w:bookmarkStart w:id="1" w:name="_Hlk221190741"/>
      <w:r w:rsidRPr="00E05E39">
        <w:rPr>
          <w:noProof/>
        </w:rPr>
        <w:t xml:space="preserve">având în vedere Tratatul privind funcționarea Uniunii Europene, în special articolul 217, coroborat cu articolul 218 alineatele (5) și (7) și cu articolul 218 alineatul (8) al doilea paragraf, </w:t>
      </w:r>
    </w:p>
    <w:bookmarkEnd w:id="1"/>
    <w:p w:rsidR="00F1620D" w:rsidRPr="00E05E39" w:rsidRDefault="00F1620D" w:rsidP="00751F57">
      <w:pPr>
        <w:rPr>
          <w:noProof/>
        </w:rPr>
      </w:pPr>
      <w:r w:rsidRPr="00E05E39">
        <w:rPr>
          <w:noProof/>
        </w:rPr>
        <w:t>având în vedere propunerea Comisiei,</w:t>
      </w:r>
    </w:p>
    <w:p w:rsidR="00841C54" w:rsidRPr="00E05E39" w:rsidRDefault="00F1620D" w:rsidP="00115829">
      <w:pPr>
        <w:rPr>
          <w:noProof/>
        </w:rPr>
      </w:pPr>
      <w:r w:rsidRPr="00E05E39">
        <w:rPr>
          <w:noProof/>
        </w:rPr>
        <w:t>întrucât:</w:t>
      </w:r>
    </w:p>
    <w:p w:rsidR="00A26D77" w:rsidRPr="00E05E39" w:rsidRDefault="00A26D77" w:rsidP="00A26D77">
      <w:pPr>
        <w:pStyle w:val="ManualConsidrant"/>
        <w:rPr>
          <w:noProof/>
          <w:szCs w:val="24"/>
        </w:rPr>
      </w:pPr>
      <w:r>
        <w:rPr>
          <w:noProof/>
        </w:rPr>
        <w:t>(1)</w:t>
      </w:r>
      <w:r>
        <w:rPr>
          <w:noProof/>
        </w:rPr>
        <w:tab/>
      </w:r>
      <w:r w:rsidRPr="00E05E39">
        <w:rPr>
          <w:noProof/>
        </w:rPr>
        <w:t>Rezoluțiile Adunării Generale a Organizației Națiunilor Unite privind decolonizarea teritoriului Gibraltarului (denumit în continuare „Gibraltar”) enumeră Gibraltarul ca fiind un „teritoriu neautonom administrat de Regatul Unit al Marii Britanii și Irlandei de Nord”, în aplicarea capitolului XI din Carta Organizației Națiunilor Unite.</w:t>
      </w:r>
    </w:p>
    <w:p w:rsidR="00A26D77" w:rsidRPr="00E05E39" w:rsidRDefault="00A26D77" w:rsidP="00A26D77">
      <w:pPr>
        <w:pStyle w:val="ManualConsidrant"/>
        <w:rPr>
          <w:noProof/>
          <w:szCs w:val="24"/>
        </w:rPr>
      </w:pPr>
      <w:r>
        <w:rPr>
          <w:noProof/>
        </w:rPr>
        <w:t>(2)</w:t>
      </w:r>
      <w:r>
        <w:rPr>
          <w:noProof/>
        </w:rPr>
        <w:tab/>
      </w:r>
      <w:r w:rsidRPr="00E05E39">
        <w:rPr>
          <w:noProof/>
        </w:rPr>
        <w:t>În conformitate cu articolul 774 alineatul (3) din Acordul comercial și de cooperare</w:t>
      </w:r>
      <w:r w:rsidRPr="00E05E39">
        <w:rPr>
          <w:rStyle w:val="FootnoteReference"/>
          <w:noProof/>
          <w:szCs w:val="24"/>
        </w:rPr>
        <w:footnoteReference w:id="5"/>
      </w:r>
      <w:r w:rsidRPr="00E05E39">
        <w:rPr>
          <w:noProof/>
        </w:rPr>
        <w:t xml:space="preserve"> și în concordanță cu Declarația Consiliului European și a Comisiei Europene privind domeniul de aplicare teritorială al viitoarelor acorduri, consemnată în procesul-verbal al reuniunii Consiliului European din 25 noiembrie 2018, Acordul comercial și de cooperare nu se aplică Gibraltarului și nu are efecte pe teritoriul acestuia. După cum se prevede în declarația menționată, „acest lucru nu exclude posibilitatea de a avea acorduri separate între Uniune și Regatul Unit în ceea ce privește Gibraltarul. Fără a aduce atingere competențelor Uniunii și cu deplina respectare a integrității teritoriale a statelor sale membre, astfel cum se garantează la articolul 4 alineatul (2) din Tratatul privind Uniunea Europeană, astfel de acorduri separate vor necesita un acord prealabil al Regatului Spaniei”.</w:t>
      </w:r>
    </w:p>
    <w:p w:rsidR="00A26D77" w:rsidRPr="00E05E39" w:rsidRDefault="00A26D77" w:rsidP="00A26D77">
      <w:pPr>
        <w:pStyle w:val="ManualConsidrant"/>
        <w:rPr>
          <w:noProof/>
        </w:rPr>
      </w:pPr>
      <w:r>
        <w:rPr>
          <w:noProof/>
        </w:rPr>
        <w:t>(3)</w:t>
      </w:r>
      <w:r>
        <w:rPr>
          <w:noProof/>
        </w:rPr>
        <w:tab/>
      </w:r>
      <w:r w:rsidRPr="00E05E39">
        <w:rPr>
          <w:noProof/>
        </w:rPr>
        <w:t>La 31 decembrie 2020, Regatul Spaniei și Regatul Unit au convenit asupra unui cadru politic pentru un viitor acord cu privire la Gibraltar între Uniune și Regatul Unit.</w:t>
      </w:r>
    </w:p>
    <w:p w:rsidR="00A26D77" w:rsidRPr="00E05E39" w:rsidRDefault="00A26D77" w:rsidP="00A26D77">
      <w:pPr>
        <w:pStyle w:val="ManualConsidrant"/>
        <w:rPr>
          <w:noProof/>
        </w:rPr>
      </w:pPr>
      <w:r>
        <w:rPr>
          <w:noProof/>
        </w:rPr>
        <w:t>(4)</w:t>
      </w:r>
      <w:r>
        <w:rPr>
          <w:noProof/>
        </w:rPr>
        <w:tab/>
      </w:r>
      <w:r w:rsidRPr="00E05E39">
        <w:rPr>
          <w:noProof/>
        </w:rPr>
        <w:t>La 5 octombrie 2021, Consiliul a autorizat Comisia să înceapă negocieri în vederea încheierii unui acord cu Regatul Unit al Marii Britanii și Irlandei de Nord cu privire la Gibraltar. Negocierile s-au desfășurat în baza directivelor de negociere din 5</w:t>
      </w:r>
      <w:r w:rsidR="007F2DD2">
        <w:rPr>
          <w:noProof/>
        </w:rPr>
        <w:t> </w:t>
      </w:r>
      <w:r w:rsidRPr="00E05E39">
        <w:rPr>
          <w:noProof/>
        </w:rPr>
        <w:t>octombrie 2021.</w:t>
      </w:r>
    </w:p>
    <w:p w:rsidR="00A26D77" w:rsidRPr="00E05E39" w:rsidRDefault="00A26D77" w:rsidP="00A26D77">
      <w:pPr>
        <w:pStyle w:val="ManualConsidrant"/>
        <w:rPr>
          <w:noProof/>
        </w:rPr>
      </w:pPr>
      <w:r>
        <w:rPr>
          <w:noProof/>
        </w:rPr>
        <w:t>(5)</w:t>
      </w:r>
      <w:r>
        <w:rPr>
          <w:noProof/>
        </w:rPr>
        <w:tab/>
      </w:r>
      <w:r w:rsidRPr="00E05E39">
        <w:rPr>
          <w:noProof/>
        </w:rPr>
        <w:t>Negocierile s-au încheiat la 12 decembrie 2025. Acestea au dus la un Acord cu privire la Gibraltar între Uniunea Europeană și Comunitatea Europeană a Energiei Atomice, pe de o parte, și Regatul Unit al Marii Britanii și Irlandei de Nord, pe de altă parte („acordul”).</w:t>
      </w:r>
    </w:p>
    <w:p w:rsidR="006A6EFD" w:rsidRPr="00E05E39" w:rsidRDefault="00A26D77" w:rsidP="006A6EFD">
      <w:pPr>
        <w:pStyle w:val="ManualConsidrant"/>
        <w:rPr>
          <w:noProof/>
          <w:szCs w:val="24"/>
        </w:rPr>
      </w:pPr>
      <w:r>
        <w:rPr>
          <w:noProof/>
        </w:rPr>
        <w:t>(6)</w:t>
      </w:r>
      <w:r>
        <w:rPr>
          <w:noProof/>
        </w:rPr>
        <w:tab/>
      </w:r>
      <w:r w:rsidRPr="00E05E39">
        <w:rPr>
          <w:noProof/>
        </w:rPr>
        <w:t>Acordul sau orice activitate ori măsură întreprinsă în aplicarea sau ca urmare a acestuia nu implică nicio modificare a poziției juridice a Regatului Spaniei în ceea ce privește suveranitatea și jurisdicția în ceea ce privește Gibraltarul.</w:t>
      </w:r>
    </w:p>
    <w:p w:rsidR="00311DDA" w:rsidRPr="00E05E39" w:rsidRDefault="00311DDA" w:rsidP="00DD40B9">
      <w:pPr>
        <w:pStyle w:val="ManualConsidrant"/>
        <w:rPr>
          <w:noProof/>
          <w:szCs w:val="24"/>
        </w:rPr>
      </w:pPr>
      <w:r>
        <w:rPr>
          <w:noProof/>
        </w:rPr>
        <w:t>(7)</w:t>
      </w:r>
      <w:r>
        <w:rPr>
          <w:noProof/>
        </w:rPr>
        <w:tab/>
      </w:r>
      <w:r w:rsidRPr="00E05E39">
        <w:rPr>
          <w:noProof/>
        </w:rPr>
        <w:t xml:space="preserve">Întrucât autoritățile din Gibraltar au un caracter local și exercită exclusiv competențe interne, orice participare a acestor autorități la aplicarea prezentului acord ar trebui considerată ca având loc exclusiv în cadrul competențelor interne ale Gibraltarului, cu excepția cazului în care se prevede în mod expres altfel. </w:t>
      </w:r>
    </w:p>
    <w:p w:rsidR="00A26D77" w:rsidRPr="00E05E39" w:rsidRDefault="00A26D77" w:rsidP="00A26D77">
      <w:pPr>
        <w:pStyle w:val="ManualConsidrant"/>
        <w:rPr>
          <w:noProof/>
        </w:rPr>
      </w:pPr>
      <w:r>
        <w:rPr>
          <w:noProof/>
        </w:rPr>
        <w:t>(8)</w:t>
      </w:r>
      <w:r>
        <w:rPr>
          <w:noProof/>
        </w:rPr>
        <w:tab/>
      </w:r>
      <w:r w:rsidRPr="00E05E39">
        <w:rPr>
          <w:noProof/>
        </w:rPr>
        <w:t>Acordul stabilește baza pentru eliminarea tuturor barierelor fizice dintre teritoriul Uniunii și Gibraltar și pentru instituirea unei zone de prosperitate comună, în ceea ce privește Gibraltarul, pe teritoriul adiacent al Spaniei, care implică drepturi și obligații reciproce, acțiuni comune și proceduri speciale. Prin urmare, decizia privind semnarea acordului ar trebui să se bazeze pe temeiul juridic care prevede constituirea unei asocieri care să permită Uniunii să își asume angajamente în toate domeniile reglementate de tratate.</w:t>
      </w:r>
    </w:p>
    <w:p w:rsidR="00B52476" w:rsidRPr="00E05E39" w:rsidRDefault="00B52476" w:rsidP="00A26D77">
      <w:pPr>
        <w:pStyle w:val="ManualConsidrant"/>
        <w:rPr>
          <w:noProof/>
        </w:rPr>
      </w:pPr>
      <w:r>
        <w:rPr>
          <w:noProof/>
        </w:rPr>
        <w:t>(9)</w:t>
      </w:r>
      <w:r>
        <w:rPr>
          <w:noProof/>
        </w:rPr>
        <w:tab/>
      </w:r>
      <w:r w:rsidRPr="00E05E39">
        <w:rPr>
          <w:noProof/>
        </w:rPr>
        <w:t>Eliminarea barierelor fizice dintre teritoriul Uniunii și Gibraltar nu aduce atingere responsabilităților Spaniei în ceea ce privește frontierele sale externe în temeiul dreptului Uniunii.</w:t>
      </w:r>
    </w:p>
    <w:p w:rsidR="00A26D77" w:rsidRPr="00E05E39" w:rsidRDefault="00A26D77" w:rsidP="00DD40B9">
      <w:pPr>
        <w:pStyle w:val="ManualConsidrant"/>
        <w:rPr>
          <w:noProof/>
        </w:rPr>
      </w:pPr>
      <w:r>
        <w:rPr>
          <w:noProof/>
        </w:rPr>
        <w:t>(10)</w:t>
      </w:r>
      <w:r>
        <w:rPr>
          <w:noProof/>
        </w:rPr>
        <w:tab/>
      </w:r>
      <w:r w:rsidRPr="00E05E39">
        <w:rPr>
          <w:noProof/>
        </w:rPr>
        <w:t>Semnarea acordului în privința aspectelor care intră în competența Comunității</w:t>
      </w:r>
      <w:r w:rsidR="007F2DD2">
        <w:rPr>
          <w:noProof/>
        </w:rPr>
        <w:t> </w:t>
      </w:r>
      <w:r w:rsidRPr="00E05E39">
        <w:rPr>
          <w:noProof/>
        </w:rPr>
        <w:t>Europene a Energiei Atomice face obiectul unei proceduri separate.</w:t>
      </w:r>
    </w:p>
    <w:p w:rsidR="003D3C6E" w:rsidRPr="00E05E39" w:rsidRDefault="003D3C6E" w:rsidP="003D3C6E">
      <w:pPr>
        <w:pStyle w:val="ManualConsidrant"/>
        <w:rPr>
          <w:noProof/>
        </w:rPr>
      </w:pPr>
      <w:r>
        <w:rPr>
          <w:noProof/>
        </w:rPr>
        <w:t>(11)</w:t>
      </w:r>
      <w:r>
        <w:rPr>
          <w:noProof/>
        </w:rPr>
        <w:tab/>
      </w:r>
      <w:r w:rsidRPr="00E05E39">
        <w:rPr>
          <w:noProof/>
        </w:rPr>
        <w:t>În conformitate cu articolul 17 alineatul (1) din Tratatul privind Uniunea Europeană („TUE”), Comisia reprezintă Uniunea și exprimă pozițiile Uniunii, astfel cum au fost stabilite de Consiliu în conformitate cu tratatele. Consiliul își exercită funcțiile de definire a politicilor și de coordonare, astfel cum se prevede la articolul 16 alineatul</w:t>
      </w:r>
      <w:r w:rsidR="007F2DD2">
        <w:rPr>
          <w:noProof/>
        </w:rPr>
        <w:t> </w:t>
      </w:r>
      <w:r w:rsidRPr="00E05E39">
        <w:rPr>
          <w:noProof/>
        </w:rPr>
        <w:t xml:space="preserve">(1) din TUE, prin stabilirea pozițiilor care urmează să fie adoptate în numele Uniunii în cadrul Consiliului de cooperare și al comitetelor specializate instituite prin acord. În plus, în cazul în care Consiliul de cooperare sau comitetele specializate instituite prin acord sunt invitate să adopte acte cu efecte juridice, pozițiile care urmează să fie adoptate în numele Uniunii în cadrul acestor organisme se stabilesc în conformitate cu procedura prevăzută la articolul 218 alineatul (9) din TFUE. </w:t>
      </w:r>
    </w:p>
    <w:p w:rsidR="003D3C6E" w:rsidRPr="00E05E39" w:rsidRDefault="003D3C6E" w:rsidP="0058136F">
      <w:pPr>
        <w:pStyle w:val="ManualConsidrant"/>
        <w:rPr>
          <w:noProof/>
        </w:rPr>
      </w:pPr>
      <w:r>
        <w:rPr>
          <w:noProof/>
        </w:rPr>
        <w:t>(12)</w:t>
      </w:r>
      <w:r>
        <w:rPr>
          <w:noProof/>
        </w:rPr>
        <w:tab/>
      </w:r>
      <w:r w:rsidRPr="00E05E39">
        <w:rPr>
          <w:noProof/>
        </w:rPr>
        <w:t>Unul sau mai multe state membre pot solicita ca reprezentantul Comisiei să fie însoțit, ca parte a delegației Uniunii, de un reprezentant al statului membru respectiv sau al statelor membre respective la o reuniune a Consiliului de cooperare sau a comitetelor specializate instituite prin acord.</w:t>
      </w:r>
    </w:p>
    <w:p w:rsidR="003355A0" w:rsidRPr="00E05E39" w:rsidRDefault="003355A0" w:rsidP="0058136F">
      <w:pPr>
        <w:pStyle w:val="ManualConsidrant"/>
        <w:rPr>
          <w:noProof/>
        </w:rPr>
      </w:pPr>
      <w:r>
        <w:rPr>
          <w:noProof/>
        </w:rPr>
        <w:t>(13)</w:t>
      </w:r>
      <w:r>
        <w:rPr>
          <w:noProof/>
        </w:rPr>
        <w:tab/>
      </w:r>
      <w:r w:rsidRPr="00E05E39">
        <w:rPr>
          <w:noProof/>
        </w:rPr>
        <w:t>Parlamentul European trebuie informat de îndată și pe deplin, astfel cum se prevede la articolul 218 alineatul (10) din TFUE, pentru a i se permite să își exercite pe deplin prerogativele în conformitate cu tratatele.</w:t>
      </w:r>
    </w:p>
    <w:p w:rsidR="000267CB" w:rsidRPr="00E05E39" w:rsidRDefault="009A6AD8" w:rsidP="00D43BEE">
      <w:pPr>
        <w:pStyle w:val="ManualConsidrant"/>
        <w:rPr>
          <w:noProof/>
        </w:rPr>
      </w:pPr>
      <w:r>
        <w:rPr>
          <w:noProof/>
        </w:rPr>
        <w:t>(14)</w:t>
      </w:r>
      <w:r>
        <w:rPr>
          <w:noProof/>
        </w:rPr>
        <w:tab/>
      </w:r>
      <w:r w:rsidRPr="00E05E39">
        <w:rPr>
          <w:noProof/>
        </w:rPr>
        <w:t>Regatul Spaniei, în calitate de stat Schengen învecinat responsabil cu efectuarea controlului la frontierele externe în portul și în aeroportul din Gibraltar, poate solicita Uniunii, după o evaluare a punerii în aplicare a părții din acord referitoare la circulația persoanelor, să denunțe acordul.</w:t>
      </w:r>
    </w:p>
    <w:p w:rsidR="009A6AD8" w:rsidRPr="00E05E39" w:rsidRDefault="009A6AD8" w:rsidP="00D43BEE">
      <w:pPr>
        <w:pStyle w:val="ManualConsidrant"/>
        <w:rPr>
          <w:noProof/>
        </w:rPr>
      </w:pPr>
      <w:r>
        <w:rPr>
          <w:noProof/>
        </w:rPr>
        <w:t>(15)</w:t>
      </w:r>
      <w:r>
        <w:rPr>
          <w:noProof/>
        </w:rPr>
        <w:tab/>
      </w:r>
      <w:r w:rsidRPr="00E05E39">
        <w:rPr>
          <w:noProof/>
        </w:rPr>
        <w:t>Autoritățile Regatului Spaniei ar trebui să fie autoritățile competente din Uniune pentru aplicarea dispozițiilor din acord referitoare la domeniul vamal, cu excepția cazului în care se prevede altfel.</w:t>
      </w:r>
    </w:p>
    <w:p w:rsidR="00E75C2D" w:rsidRPr="00E05E39" w:rsidRDefault="00E75C2D" w:rsidP="00C92A0B">
      <w:pPr>
        <w:pStyle w:val="ManualConsidrant"/>
        <w:rPr>
          <w:noProof/>
        </w:rPr>
      </w:pPr>
      <w:r>
        <w:rPr>
          <w:noProof/>
        </w:rPr>
        <w:t>(16)</w:t>
      </w:r>
      <w:r>
        <w:rPr>
          <w:noProof/>
        </w:rPr>
        <w:tab/>
      </w:r>
      <w:r w:rsidRPr="00E05E39">
        <w:rPr>
          <w:noProof/>
        </w:rPr>
        <w:t>Autoritățile Regatului Spaniei ar trebui să furnizeze evaluarea funcționării acordurilor administrative bilaterale relevante, care va face parte din evaluarea de către Consiliul de cooperare a punerii în aplicare a părții a doua a acordului după o perioadă de 4 ani.</w:t>
      </w:r>
    </w:p>
    <w:p w:rsidR="00224E76" w:rsidRPr="00E05E39" w:rsidRDefault="00224E76" w:rsidP="00D43BEE">
      <w:pPr>
        <w:pStyle w:val="ManualConsidrant"/>
        <w:rPr>
          <w:noProof/>
        </w:rPr>
      </w:pPr>
      <w:r>
        <w:rPr>
          <w:noProof/>
        </w:rPr>
        <w:t>(17)</w:t>
      </w:r>
      <w:r>
        <w:rPr>
          <w:noProof/>
        </w:rPr>
        <w:tab/>
      </w:r>
      <w:r w:rsidRPr="00E05E39">
        <w:rPr>
          <w:noProof/>
        </w:rPr>
        <w:t>În temeiul articolului 218 alineatul (7) din TFUE, este, de asemenea, adecvat să fie autorizată Comisia să definească modalitățile de luare a deciziilor cu privire la pozițiile care urmează să fie adoptate, în consultare cu Spania, în numele Uniunii în cadrul comitetelor specializate instituite prin acord pentru a asigura faptul că actele juridice adoptate de Uniune în domeniile reglementate de acord sunt încorporate în acord cât mai curând posibil după adoptarea și notificarea lor către Regatul Unit, în vederea asigurării, în măsura posibilului, a aplicării simultane a respectivelor acte juridice în Uniune și în Regatul Unit, în ceea ce privește Gibraltarul.</w:t>
      </w:r>
    </w:p>
    <w:p w:rsidR="00224E76" w:rsidRPr="00E05E39" w:rsidRDefault="00224E76" w:rsidP="00D43BEE">
      <w:pPr>
        <w:pStyle w:val="ManualConsidrant"/>
        <w:rPr>
          <w:noProof/>
        </w:rPr>
      </w:pPr>
      <w:r>
        <w:rPr>
          <w:noProof/>
        </w:rPr>
        <w:t>(18)</w:t>
      </w:r>
      <w:r>
        <w:rPr>
          <w:noProof/>
        </w:rPr>
        <w:tab/>
      </w:r>
      <w:r w:rsidRPr="00E05E39">
        <w:rPr>
          <w:noProof/>
        </w:rPr>
        <w:t>Este adecvat, de asemenea, ca, în temeiul articolului 218 alineatul (7) din TFUE, Comisia să fie autorizată să aprobe, în consultare cu Spania, în numele Uniunii, anumite modificări ale acordului care se adoptă printr-o procedură simplificată sau de către un organism creat prin acord în conformitate cu dispozițiile acordului. Ar trebui stabilită procedura de consultare a Consiliului cu privire la astfel de modificări.</w:t>
      </w:r>
    </w:p>
    <w:p w:rsidR="00E953A5" w:rsidRPr="00E05E39" w:rsidRDefault="003D3C6E" w:rsidP="00D43BEE">
      <w:pPr>
        <w:pStyle w:val="ManualConsidrant"/>
        <w:rPr>
          <w:noProof/>
        </w:rPr>
      </w:pPr>
      <w:r>
        <w:rPr>
          <w:noProof/>
        </w:rPr>
        <w:t>(19)</w:t>
      </w:r>
      <w:r>
        <w:rPr>
          <w:noProof/>
        </w:rPr>
        <w:tab/>
      </w:r>
      <w:r w:rsidRPr="00E05E39">
        <w:rPr>
          <w:noProof/>
        </w:rPr>
        <w:t>Pentru a permite Uniunii să ia măsuri rapide și eficace pentru a-și proteja interesele în conformitate cu acordul și în conformitate cu condițiile stabilite în dispozițiile corespunzătoare ale acordului, Comisia ar trebui să fie împuternicită să ia, în consultare cu Spania, măsuri de remediere, ca de exemplu suspendarea acordului sau a oricărui acord de completare, în cazul încălcării anumitor dispoziții ale acordului sau al neîndeplinirii anumitor condiții, în special în domeniul circulației persoanelor, al ajutoarelor de stat, al impozitării indirecte și al comerțului cu mărfuri, precum și să ia măsuri de remediere și de reechilibrare adecvate. Drepturile Consiliului trebuie menținute în acest context printr-o procedură de consultare.</w:t>
      </w:r>
    </w:p>
    <w:p w:rsidR="003D3C6E" w:rsidRPr="00E05E39" w:rsidRDefault="003D3C6E" w:rsidP="003D3C6E">
      <w:pPr>
        <w:pStyle w:val="ManualConsidrant"/>
        <w:rPr>
          <w:noProof/>
        </w:rPr>
      </w:pPr>
      <w:r>
        <w:rPr>
          <w:noProof/>
        </w:rPr>
        <w:t>(20)</w:t>
      </w:r>
      <w:r>
        <w:rPr>
          <w:noProof/>
        </w:rPr>
        <w:tab/>
      </w:r>
      <w:r w:rsidRPr="00E05E39">
        <w:rPr>
          <w:noProof/>
        </w:rPr>
        <w:t>Ori de câte ori Uniunea trebuie să acționeze pentru a se conforma dispozițiilor acordului, o astfel de acțiune trebuie întreprinsă în conformitate cu dispozițiile tratatelor, cu respectarea limitelor competențelor conferite fiecărei instituții. Prin urmare, Comisia este cea care trebuie să îi transmită Regatului Unit informațiile sau notificările prevăzute în acord, cu excepția cazului în care acordul face trimitere la alte instituții, organe, oficii și agenții specifice ale Uniunii, și care trebuie să consulte Regatul Unit cu privire la chestiuni specifice. De asemenea, Comisia este cea care reprezintă Uniunea în fața instanței de arbitraj atunci când un litigiu este supus arbitrajului în conformitate cu acordul.</w:t>
      </w:r>
    </w:p>
    <w:p w:rsidR="00422F00" w:rsidRPr="00E05E39" w:rsidRDefault="002F54E3" w:rsidP="00E52251">
      <w:pPr>
        <w:pStyle w:val="ManualConsidrant"/>
        <w:rPr>
          <w:noProof/>
        </w:rPr>
      </w:pPr>
      <w:r>
        <w:rPr>
          <w:noProof/>
        </w:rPr>
        <w:t>(21)</w:t>
      </w:r>
      <w:r>
        <w:rPr>
          <w:noProof/>
        </w:rPr>
        <w:tab/>
      </w:r>
      <w:r w:rsidRPr="00E05E39">
        <w:rPr>
          <w:noProof/>
        </w:rPr>
        <w:t>Acordul prevede eliminarea tuturor barierelor fizice dintre teritoriul Uniunii și Gibraltar. Sistemul de intrare/ieșire al Uniunii ar trebui să fie pe deplin implementat la toate frontierele externe ale spațiului Schengen până la 10 aprilie 2026. Dacă acordul nu va începe să se aplice înainte de 10 aprilie 2026, va trebui instituit un control integral la frontieră între teritoriul Uniunii și Gibraltar. Acest lucru va perturba în mod semnificativ persoanele fizice, întreprinderile și alte părți interesate care își desfășoară activitatea în zonă și contravine însuși scopului acordului, și anume de a crea o zonă de prosperitate comună. Astfel de perturbări pot fi limitate prin aplicarea cu titlu provizoriu a acordului.</w:t>
      </w:r>
    </w:p>
    <w:p w:rsidR="00422F00" w:rsidRPr="00E05E39" w:rsidRDefault="00422F00" w:rsidP="00E52251">
      <w:pPr>
        <w:pStyle w:val="ManualConsidrant"/>
        <w:rPr>
          <w:noProof/>
        </w:rPr>
      </w:pPr>
      <w:r>
        <w:rPr>
          <w:noProof/>
        </w:rPr>
        <w:t>(22)</w:t>
      </w:r>
      <w:r>
        <w:rPr>
          <w:noProof/>
        </w:rPr>
        <w:tab/>
      </w:r>
      <w:r w:rsidRPr="00E05E39">
        <w:rPr>
          <w:noProof/>
        </w:rPr>
        <w:t>Prin urmare, având în vedere situația excepțională a Regatului Unit în ceea ce privește Gibraltarul și urgența situației, dat fiind că sistemul de intrare/ieșire urmează să fie implementat integral la toate frontierele externe până la 10 aprilie 2026, acordul ar trebui să se aplice cu titlu provizoriu, pentru o perioadă scurtă, în conformitate cu articolul 336 din acord, până la finalizarea procedurilor necesare pentru intrarea sa în vigoare.</w:t>
      </w:r>
    </w:p>
    <w:p w:rsidR="00501484" w:rsidRPr="00E05E39" w:rsidRDefault="00841C54" w:rsidP="00501484">
      <w:pPr>
        <w:pStyle w:val="ManualConsidrant"/>
        <w:rPr>
          <w:noProof/>
        </w:rPr>
      </w:pPr>
      <w:r>
        <w:rPr>
          <w:noProof/>
        </w:rPr>
        <w:t>(23)</w:t>
      </w:r>
      <w:r>
        <w:rPr>
          <w:noProof/>
        </w:rPr>
        <w:tab/>
      </w:r>
      <w:r w:rsidRPr="00E05E39">
        <w:rPr>
          <w:noProof/>
        </w:rPr>
        <w:t xml:space="preserve">Acordul ar trebui semnat în numele Uniunii, sub rezerva îndeplinirii procedurilor necesare pentru încheierea sa la o dată ulterioară, </w:t>
      </w:r>
    </w:p>
    <w:p w:rsidR="00F1620D" w:rsidRPr="00E05E39" w:rsidRDefault="00F1620D" w:rsidP="00B20009">
      <w:pPr>
        <w:pStyle w:val="Formuledadoption"/>
        <w:spacing w:before="360" w:after="360"/>
        <w:rPr>
          <w:noProof/>
        </w:rPr>
      </w:pPr>
      <w:r w:rsidRPr="00E05E39">
        <w:rPr>
          <w:noProof/>
        </w:rPr>
        <w:t xml:space="preserve">ADOPTĂ PREZENTA DECIZIE: </w:t>
      </w:r>
    </w:p>
    <w:p w:rsidR="0065377F" w:rsidRPr="00E05E39" w:rsidRDefault="0065377F" w:rsidP="00AF33B1">
      <w:pPr>
        <w:pStyle w:val="Titrearticle"/>
        <w:rPr>
          <w:noProof/>
        </w:rPr>
      </w:pPr>
      <w:r w:rsidRPr="00E05E39">
        <w:rPr>
          <w:noProof/>
        </w:rPr>
        <w:t>Articolul 1</w:t>
      </w:r>
    </w:p>
    <w:p w:rsidR="005D4854" w:rsidRPr="00E05E39" w:rsidRDefault="005D4854" w:rsidP="00861AC5">
      <w:pPr>
        <w:rPr>
          <w:noProof/>
        </w:rPr>
      </w:pPr>
      <w:r w:rsidRPr="00E05E39">
        <w:rPr>
          <w:noProof/>
        </w:rPr>
        <w:t>Se autorizează semnarea, în ceea ce privește părțile care nu intră în sfera de competență a Comunității Europene a Energiei Atomice, a Acordului cu privire la Gibraltar dintre Uniunea</w:t>
      </w:r>
      <w:r w:rsidR="007F2DD2">
        <w:rPr>
          <w:noProof/>
        </w:rPr>
        <w:t> </w:t>
      </w:r>
      <w:r w:rsidRPr="00E05E39">
        <w:rPr>
          <w:noProof/>
        </w:rPr>
        <w:t>Europeană și Comunitatea Europeană a Energiei Atomice, pe de o parte, și Regatul</w:t>
      </w:r>
      <w:r w:rsidR="007F2DD2">
        <w:rPr>
          <w:noProof/>
        </w:rPr>
        <w:t> </w:t>
      </w:r>
      <w:r w:rsidRPr="00E05E39">
        <w:rPr>
          <w:noProof/>
        </w:rPr>
        <w:t>Unit al Marii Britanii și Irlandei de Nord („acordul”), pe de altă parte, sub rezerva încheierii acordului menționat</w:t>
      </w:r>
      <w:r w:rsidRPr="00E05E39">
        <w:rPr>
          <w:rStyle w:val="FootnoteReference"/>
          <w:noProof/>
        </w:rPr>
        <w:footnoteReference w:id="6"/>
      </w:r>
      <w:r w:rsidRPr="00E05E39">
        <w:rPr>
          <w:noProof/>
        </w:rPr>
        <w:t>.</w:t>
      </w:r>
    </w:p>
    <w:p w:rsidR="006D098B" w:rsidRPr="00E05E39" w:rsidRDefault="006D098B" w:rsidP="006D098B">
      <w:pPr>
        <w:rPr>
          <w:noProof/>
        </w:rPr>
      </w:pPr>
      <w:r w:rsidRPr="00E05E39">
        <w:rPr>
          <w:noProof/>
        </w:rPr>
        <w:t>Textul acordului este atașat la prezenta decizie.</w:t>
      </w:r>
    </w:p>
    <w:p w:rsidR="00501484" w:rsidRPr="00E05E39" w:rsidRDefault="00501484" w:rsidP="00207378">
      <w:pPr>
        <w:pStyle w:val="Titrearticle"/>
        <w:rPr>
          <w:noProof/>
        </w:rPr>
      </w:pPr>
      <w:r w:rsidRPr="00E05E39">
        <w:rPr>
          <w:noProof/>
        </w:rPr>
        <w:t>Articolul 2</w:t>
      </w:r>
    </w:p>
    <w:p w:rsidR="00BC0B49" w:rsidRPr="00E05E39" w:rsidRDefault="00165609" w:rsidP="00CF6548">
      <w:pPr>
        <w:pStyle w:val="Point3"/>
        <w:ind w:left="851" w:hanging="851"/>
        <w:rPr>
          <w:noProof/>
        </w:rPr>
      </w:pPr>
      <w:r>
        <w:rPr>
          <w:noProof/>
        </w:rPr>
        <w:t>(1)</w:t>
      </w:r>
      <w:r>
        <w:rPr>
          <w:noProof/>
        </w:rPr>
        <w:tab/>
      </w:r>
      <w:r w:rsidRPr="00E05E39">
        <w:rPr>
          <w:noProof/>
        </w:rPr>
        <w:t xml:space="preserve">Unul sau mai multe state membre pot solicita ca reprezentantul Comisiei să fie însoțit, ca parte a delegației Uniunii, de un reprezentant al statului membru respectiv sau al statelor membre respective la o reuniune a Consiliului de cooperare sau a unui comitet specializat în cazul în care anumite aspecte care urmează să fie abordate în cadrul reuniunii respective sunt de interes specific pentru statul membru sau statele membre în cauză. În special, Regatul Spaniei poate solicita ca reprezentantul Comisiei să fie însoțit de un reprezentant al Regatului Spaniei la toate reuniunile relevante organizate în temeiul acordului. </w:t>
      </w:r>
    </w:p>
    <w:p w:rsidR="00FE2530" w:rsidRPr="00E05E39" w:rsidRDefault="00FE2530" w:rsidP="001C02DB">
      <w:pPr>
        <w:pStyle w:val="Point0"/>
        <w:rPr>
          <w:noProof/>
        </w:rPr>
      </w:pPr>
      <w:r>
        <w:rPr>
          <w:noProof/>
        </w:rPr>
        <w:t>(2)</w:t>
      </w:r>
      <w:r>
        <w:rPr>
          <w:noProof/>
        </w:rPr>
        <w:tab/>
      </w:r>
      <w:r w:rsidRPr="00E05E39">
        <w:rPr>
          <w:noProof/>
        </w:rPr>
        <w:t>Atunci când reprezintă Uniunea în cadrul Consiliului de cooperare și al comitetelor specializate instituite prin acord, Comisia informează Consiliul în timp util cu privire la discuțiile și rezultatele reuniunilor respective și cu privire la actele adoptate în cadrul reuniunilor menționate și, la cerere, pune la dispoziție procesele-verbale și alte documente legate de astfel de reuniuni sau de o astfel de procedură. Comisia informează, de asemenea, Parlamentul European, după caz.</w:t>
      </w:r>
    </w:p>
    <w:p w:rsidR="00501484" w:rsidRPr="00E05E39" w:rsidRDefault="00501484" w:rsidP="00501484">
      <w:pPr>
        <w:pStyle w:val="Titrearticle"/>
        <w:keepNext w:val="0"/>
        <w:rPr>
          <w:noProof/>
        </w:rPr>
      </w:pPr>
      <w:r w:rsidRPr="00E05E39">
        <w:rPr>
          <w:noProof/>
        </w:rPr>
        <w:t>Articolul 3</w:t>
      </w:r>
    </w:p>
    <w:p w:rsidR="00264C81" w:rsidRPr="00E05E39" w:rsidRDefault="00832A09" w:rsidP="00CA096F">
      <w:pPr>
        <w:rPr>
          <w:noProof/>
        </w:rPr>
      </w:pPr>
      <w:r w:rsidRPr="00E05E39">
        <w:rPr>
          <w:noProof/>
        </w:rPr>
        <w:t>Poziția care urmează să fie adoptată, în numele Uniunii, în ceea ce privește deciziile comitetelor specializate instituite prin acord în vederea aplicării actelor juridice ale Uniunii în cazul Regatului Unit, în ceea ce privește Gibraltarul, sub rezerva oricăror ajustări tehnice necesare, se adoptă de către Comisie în consultare cu Spania.</w:t>
      </w:r>
    </w:p>
    <w:p w:rsidR="00264C81" w:rsidRPr="00E05E39" w:rsidRDefault="00264C81" w:rsidP="00264C81">
      <w:pPr>
        <w:rPr>
          <w:noProof/>
        </w:rPr>
      </w:pPr>
    </w:p>
    <w:p w:rsidR="00264C81" w:rsidRPr="00E05E39" w:rsidRDefault="00264C81" w:rsidP="00EA4AC4">
      <w:pPr>
        <w:jc w:val="center"/>
        <w:rPr>
          <w:iCs/>
          <w:noProof/>
        </w:rPr>
      </w:pPr>
      <w:r w:rsidRPr="00E05E39">
        <w:rPr>
          <w:i/>
          <w:noProof/>
        </w:rPr>
        <w:t>Articolul 4</w:t>
      </w:r>
    </w:p>
    <w:p w:rsidR="00501484" w:rsidRPr="00E05E39" w:rsidRDefault="00832A09" w:rsidP="00BB4005">
      <w:pPr>
        <w:pStyle w:val="Point0"/>
        <w:rPr>
          <w:noProof/>
        </w:rPr>
      </w:pPr>
      <w:r>
        <w:rPr>
          <w:noProof/>
        </w:rPr>
        <w:t>(1)</w:t>
      </w:r>
      <w:r>
        <w:rPr>
          <w:noProof/>
        </w:rPr>
        <w:tab/>
      </w:r>
      <w:r w:rsidRPr="00E05E39">
        <w:rPr>
          <w:noProof/>
        </w:rPr>
        <w:t>Orice decizie a Uniunii de a lua următoarele măsuri în temeiul acordului se adoptă de către Comisie în consultare cu Spania, în conformitate cu condițiile stabilite în dispozițiile corespunzătoare din acord:</w:t>
      </w:r>
    </w:p>
    <w:p w:rsidR="00175F65" w:rsidRPr="00E05E39" w:rsidRDefault="00175F65" w:rsidP="00175F65">
      <w:pPr>
        <w:pStyle w:val="Point1"/>
        <w:rPr>
          <w:noProof/>
        </w:rPr>
      </w:pPr>
      <w:r>
        <w:rPr>
          <w:noProof/>
        </w:rPr>
        <w:t>(a)</w:t>
      </w:r>
      <w:r>
        <w:rPr>
          <w:noProof/>
        </w:rPr>
        <w:tab/>
      </w:r>
      <w:r w:rsidRPr="00E05E39">
        <w:rPr>
          <w:noProof/>
        </w:rPr>
        <w:t>suspendarea punerii în aplicare a obligațiilor în conformitate cu articolul 67;</w:t>
      </w:r>
    </w:p>
    <w:p w:rsidR="00F81F90" w:rsidRPr="00E05E39" w:rsidRDefault="00F81F90" w:rsidP="00175F65">
      <w:pPr>
        <w:pStyle w:val="Point1"/>
        <w:rPr>
          <w:noProof/>
        </w:rPr>
      </w:pPr>
      <w:r>
        <w:rPr>
          <w:noProof/>
        </w:rPr>
        <w:t>(b)</w:t>
      </w:r>
      <w:r>
        <w:rPr>
          <w:noProof/>
        </w:rPr>
        <w:tab/>
      </w:r>
      <w:r w:rsidRPr="00E05E39">
        <w:rPr>
          <w:noProof/>
        </w:rPr>
        <w:t>aplicarea măsurilor de reechilibrare, astfel cum se prevede la articolul 198 alineatul (6);</w:t>
      </w:r>
    </w:p>
    <w:p w:rsidR="00501484" w:rsidRPr="00E05E39" w:rsidRDefault="00501484" w:rsidP="00175F65">
      <w:pPr>
        <w:pStyle w:val="Point1"/>
        <w:rPr>
          <w:noProof/>
        </w:rPr>
      </w:pPr>
      <w:r>
        <w:rPr>
          <w:noProof/>
        </w:rPr>
        <w:t>(c)</w:t>
      </w:r>
      <w:r>
        <w:rPr>
          <w:noProof/>
        </w:rPr>
        <w:tab/>
      </w:r>
      <w:r w:rsidRPr="00E05E39">
        <w:rPr>
          <w:noProof/>
        </w:rPr>
        <w:t>aplicarea măsurilor de remediere, astfel cum se prevede la articolul 209 alineatul (3);</w:t>
      </w:r>
    </w:p>
    <w:p w:rsidR="00225124" w:rsidRPr="00E05E39" w:rsidRDefault="00BF06FF" w:rsidP="00175F65">
      <w:pPr>
        <w:pStyle w:val="Point1"/>
        <w:rPr>
          <w:noProof/>
        </w:rPr>
      </w:pPr>
      <w:r>
        <w:rPr>
          <w:noProof/>
        </w:rPr>
        <w:t>(d)</w:t>
      </w:r>
      <w:r>
        <w:rPr>
          <w:noProof/>
        </w:rPr>
        <w:tab/>
      </w:r>
      <w:r w:rsidRPr="00E05E39">
        <w:rPr>
          <w:noProof/>
        </w:rPr>
        <w:t>utilizarea procedurii de salvgardare prevăzute la articolul 249;</w:t>
      </w:r>
    </w:p>
    <w:p w:rsidR="00B005BC" w:rsidRPr="00E05E39" w:rsidRDefault="00B5038B" w:rsidP="00175F65">
      <w:pPr>
        <w:pStyle w:val="Point1"/>
        <w:rPr>
          <w:noProof/>
        </w:rPr>
      </w:pPr>
      <w:r>
        <w:rPr>
          <w:noProof/>
        </w:rPr>
        <w:t>(e)</w:t>
      </w:r>
      <w:r>
        <w:rPr>
          <w:noProof/>
        </w:rPr>
        <w:tab/>
      </w:r>
      <w:r w:rsidRPr="00E05E39">
        <w:rPr>
          <w:noProof/>
        </w:rPr>
        <w:t>suspendarea acordului sau aplicarea măsurilor prevăzute la articolul 252;</w:t>
      </w:r>
    </w:p>
    <w:p w:rsidR="00BF06FF" w:rsidRPr="00E05E39" w:rsidRDefault="00B005BC" w:rsidP="00175F65">
      <w:pPr>
        <w:pStyle w:val="Point1"/>
        <w:rPr>
          <w:noProof/>
        </w:rPr>
      </w:pPr>
      <w:r>
        <w:rPr>
          <w:noProof/>
        </w:rPr>
        <w:t>(f)</w:t>
      </w:r>
      <w:r>
        <w:rPr>
          <w:noProof/>
        </w:rPr>
        <w:tab/>
      </w:r>
      <w:r w:rsidRPr="00E05E39">
        <w:rPr>
          <w:noProof/>
        </w:rPr>
        <w:t>aplicarea măsurilor de remediere prevăzute la articolul 284.</w:t>
      </w:r>
    </w:p>
    <w:p w:rsidR="00E922D2" w:rsidRPr="00E05E39" w:rsidRDefault="00501484" w:rsidP="001C02DB">
      <w:pPr>
        <w:pStyle w:val="Point0"/>
        <w:rPr>
          <w:noProof/>
        </w:rPr>
      </w:pPr>
      <w:r>
        <w:rPr>
          <w:noProof/>
        </w:rPr>
        <w:t>(2)</w:t>
      </w:r>
      <w:r>
        <w:rPr>
          <w:noProof/>
        </w:rPr>
        <w:tab/>
      </w:r>
      <w:r w:rsidRPr="00E05E39">
        <w:rPr>
          <w:noProof/>
        </w:rPr>
        <w:t>Comisia informează pe deplin Consiliul în timp util cu privire la intenția sa de a adopta măsurile propuse prevăzute la alineatul (1) și ține seama de eventualele puncte de vedere exprimate de acesta. Comisia informează, de asemenea, Parlamentul European, după caz.</w:t>
      </w:r>
    </w:p>
    <w:p w:rsidR="00501484" w:rsidRPr="00E05E39" w:rsidRDefault="00501484" w:rsidP="001C02DB">
      <w:pPr>
        <w:pStyle w:val="Point0"/>
        <w:rPr>
          <w:noProof/>
        </w:rPr>
      </w:pPr>
      <w:r>
        <w:rPr>
          <w:noProof/>
        </w:rPr>
        <w:t>(3)</w:t>
      </w:r>
      <w:r>
        <w:rPr>
          <w:noProof/>
        </w:rPr>
        <w:tab/>
      </w:r>
      <w:r w:rsidRPr="00E05E39">
        <w:rPr>
          <w:noProof/>
        </w:rPr>
        <w:t>Comisia poate, de asemenea, în consultare cu Spania, să adopte măsuri de restabilire a drepturilor și obligațiilor care decurg din acord, astfel cum existau acestea înainte de adoptarea măsurilor menționate la alineatul (1).</w:t>
      </w:r>
    </w:p>
    <w:p w:rsidR="0058157E" w:rsidRPr="00E05E39" w:rsidRDefault="005541E9" w:rsidP="0058157E">
      <w:pPr>
        <w:pStyle w:val="Titrearticle"/>
        <w:rPr>
          <w:noProof/>
        </w:rPr>
      </w:pPr>
      <w:r w:rsidRPr="00E05E39">
        <w:rPr>
          <w:noProof/>
        </w:rPr>
        <w:t>Articolul 5</w:t>
      </w:r>
    </w:p>
    <w:p w:rsidR="0041296C" w:rsidRPr="00E05E39" w:rsidRDefault="0058157E" w:rsidP="00DD680A">
      <w:pPr>
        <w:rPr>
          <w:noProof/>
        </w:rPr>
      </w:pPr>
      <w:r w:rsidRPr="00E05E39">
        <w:rPr>
          <w:noProof/>
        </w:rPr>
        <w:t xml:space="preserve">Sub rezerva încheierii sale la o dată ulterioară și până la intrarea sa în vigoare, acordul se aplică cu titlu provizoriu, în conformitate cu articolul 336 din acord, de la 10 aprilie 2026. </w:t>
      </w:r>
    </w:p>
    <w:p w:rsidR="005D4854" w:rsidRPr="00E05E39" w:rsidRDefault="005D4854" w:rsidP="00AF33B1">
      <w:pPr>
        <w:pStyle w:val="Titrearticle"/>
        <w:rPr>
          <w:noProof/>
        </w:rPr>
      </w:pPr>
      <w:r w:rsidRPr="00E05E39">
        <w:rPr>
          <w:noProof/>
        </w:rPr>
        <w:t>Articolul 6</w:t>
      </w:r>
    </w:p>
    <w:p w:rsidR="00370608" w:rsidRPr="00E05E39" w:rsidRDefault="00370608" w:rsidP="00370608">
      <w:pPr>
        <w:rPr>
          <w:noProof/>
        </w:rPr>
      </w:pPr>
      <w:r w:rsidRPr="00E05E39">
        <w:rPr>
          <w:noProof/>
        </w:rPr>
        <w:t xml:space="preserve">Se aprobă declarațiile atașate la prezenta decizie. </w:t>
      </w:r>
    </w:p>
    <w:p w:rsidR="005D4854" w:rsidRPr="00E05E39" w:rsidRDefault="005D4854" w:rsidP="008F3E1D">
      <w:pPr>
        <w:pStyle w:val="Titrearticle"/>
        <w:rPr>
          <w:noProof/>
        </w:rPr>
      </w:pPr>
      <w:r w:rsidRPr="00E05E39">
        <w:rPr>
          <w:noProof/>
        </w:rPr>
        <w:t>Articolul 7</w:t>
      </w:r>
    </w:p>
    <w:p w:rsidR="0072050C" w:rsidRPr="00E05E39" w:rsidRDefault="0072050C" w:rsidP="0072050C">
      <w:pPr>
        <w:rPr>
          <w:noProof/>
        </w:rPr>
      </w:pPr>
      <w:r w:rsidRPr="00E05E39">
        <w:rPr>
          <w:noProof/>
        </w:rPr>
        <w:t>Prezenta decizie intră în vigoare la data adoptării.</w:t>
      </w:r>
    </w:p>
    <w:p w:rsidR="00F1620D" w:rsidRPr="00E05E39" w:rsidRDefault="00E05E39" w:rsidP="008F3E1D">
      <w:pPr>
        <w:pStyle w:val="Fait"/>
        <w:rPr>
          <w:noProof/>
        </w:rPr>
      </w:pPr>
      <w:r>
        <w:rPr>
          <w:noProof/>
        </w:rPr>
        <w:t>Adoptată la Bruxelles,</w:t>
      </w:r>
    </w:p>
    <w:p w:rsidR="00F1620D" w:rsidRPr="00E05E39" w:rsidRDefault="00F1620D" w:rsidP="008F3E1D">
      <w:pPr>
        <w:pStyle w:val="Institutionquisigne"/>
        <w:rPr>
          <w:noProof/>
        </w:rPr>
      </w:pPr>
      <w:r w:rsidRPr="00E05E39">
        <w:rPr>
          <w:noProof/>
        </w:rPr>
        <w:tab/>
        <w:t>Pentru Consiliu</w:t>
      </w:r>
    </w:p>
    <w:p w:rsidR="00F1620D" w:rsidRPr="00E05E39" w:rsidRDefault="00F1620D" w:rsidP="00861AC5">
      <w:pPr>
        <w:pStyle w:val="Personnequisigne"/>
        <w:rPr>
          <w:noProof/>
        </w:rPr>
      </w:pPr>
      <w:r w:rsidRPr="00E05E39">
        <w:rPr>
          <w:noProof/>
        </w:rPr>
        <w:tab/>
        <w:t>Președintele</w:t>
      </w:r>
    </w:p>
    <w:sectPr w:rsidR="00F1620D" w:rsidRPr="00E05E39" w:rsidSect="003C5114">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85B" w:rsidRDefault="00A2385B" w:rsidP="00F1620D">
      <w:pPr>
        <w:spacing w:before="0" w:after="0"/>
      </w:pPr>
      <w:r>
        <w:separator/>
      </w:r>
    </w:p>
  </w:endnote>
  <w:endnote w:type="continuationSeparator" w:id="0">
    <w:p w:rsidR="00A2385B" w:rsidRDefault="00A2385B" w:rsidP="00F1620D">
      <w:pPr>
        <w:spacing w:before="0" w:after="0"/>
      </w:pPr>
      <w:r>
        <w:continuationSeparator/>
      </w:r>
    </w:p>
  </w:endnote>
  <w:endnote w:type="continuationNotice" w:id="1">
    <w:p w:rsidR="00A2385B" w:rsidRDefault="00A2385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14" w:rsidRPr="003C5114" w:rsidRDefault="003C5114" w:rsidP="003C5114">
    <w:pPr>
      <w:pStyle w:val="Footer"/>
      <w:rPr>
        <w:rFonts w:ascii="Arial" w:hAnsi="Arial" w:cs="Arial"/>
        <w:b/>
        <w:sz w:val="48"/>
      </w:rPr>
    </w:pPr>
    <w:r w:rsidRPr="003C5114">
      <w:rPr>
        <w:rFonts w:ascii="Arial" w:hAnsi="Arial" w:cs="Arial"/>
        <w:b/>
        <w:sz w:val="48"/>
      </w:rPr>
      <w:t>RO</w:t>
    </w:r>
    <w:r w:rsidRPr="003C5114">
      <w:rPr>
        <w:rFonts w:ascii="Arial" w:hAnsi="Arial" w:cs="Arial"/>
        <w:b/>
        <w:sz w:val="48"/>
      </w:rPr>
      <w:tab/>
    </w:r>
    <w:r w:rsidRPr="003C5114">
      <w:rPr>
        <w:rFonts w:ascii="Arial" w:hAnsi="Arial" w:cs="Arial"/>
        <w:b/>
        <w:sz w:val="48"/>
      </w:rPr>
      <w:tab/>
    </w:r>
    <w:r w:rsidRPr="003C5114">
      <w:tab/>
    </w:r>
    <w:r w:rsidRPr="003C511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14" w:rsidRPr="003C5114" w:rsidRDefault="003C5114" w:rsidP="003C5114">
    <w:pPr>
      <w:pStyle w:val="Footer"/>
      <w:rPr>
        <w:rFonts w:ascii="Arial" w:hAnsi="Arial" w:cs="Arial"/>
        <w:b/>
        <w:sz w:val="48"/>
      </w:rPr>
    </w:pPr>
    <w:r w:rsidRPr="003C5114">
      <w:rPr>
        <w:rFonts w:ascii="Arial" w:hAnsi="Arial" w:cs="Arial"/>
        <w:b/>
        <w:sz w:val="48"/>
      </w:rPr>
      <w:t>RO</w:t>
    </w:r>
    <w:r w:rsidRPr="003C5114">
      <w:rPr>
        <w:rFonts w:ascii="Arial" w:hAnsi="Arial" w:cs="Arial"/>
        <w:b/>
        <w:sz w:val="48"/>
      </w:rPr>
      <w:tab/>
    </w:r>
    <w:r w:rsidRPr="003C5114">
      <w:rPr>
        <w:rFonts w:ascii="Arial" w:hAnsi="Arial" w:cs="Arial"/>
        <w:b/>
        <w:sz w:val="48"/>
      </w:rPr>
      <w:tab/>
    </w:r>
    <w:r w:rsidRPr="003C5114">
      <w:tab/>
    </w:r>
    <w:r w:rsidRPr="003C511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14" w:rsidRDefault="003C51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14" w:rsidRPr="003C5114" w:rsidRDefault="003C5114" w:rsidP="003C5114">
    <w:pPr>
      <w:pStyle w:val="Footer"/>
      <w:rPr>
        <w:rFonts w:ascii="Arial" w:hAnsi="Arial" w:cs="Arial"/>
        <w:b/>
        <w:sz w:val="48"/>
      </w:rPr>
    </w:pPr>
    <w:r w:rsidRPr="003C5114">
      <w:rPr>
        <w:rFonts w:ascii="Arial" w:hAnsi="Arial" w:cs="Arial"/>
        <w:b/>
        <w:sz w:val="48"/>
      </w:rPr>
      <w:t>RO</w:t>
    </w:r>
    <w:r w:rsidRPr="003C5114">
      <w:rPr>
        <w:rFonts w:ascii="Arial" w:hAnsi="Arial" w:cs="Arial"/>
        <w:b/>
        <w:sz w:val="48"/>
      </w:rPr>
      <w:tab/>
    </w:r>
    <w:r>
      <w:fldChar w:fldCharType="begin"/>
    </w:r>
    <w:r>
      <w:instrText xml:space="preserve"> PAGE  \* MERGEFORMAT </w:instrText>
    </w:r>
    <w:r>
      <w:fldChar w:fldCharType="separate"/>
    </w:r>
    <w:r w:rsidR="008F3E1D">
      <w:rPr>
        <w:noProof/>
      </w:rPr>
      <w:t>14</w:t>
    </w:r>
    <w:r>
      <w:fldChar w:fldCharType="end"/>
    </w:r>
    <w:r>
      <w:tab/>
    </w:r>
    <w:r w:rsidRPr="003C5114">
      <w:tab/>
    </w:r>
    <w:r w:rsidRPr="003C511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14" w:rsidRDefault="003C5114" w:rsidP="003C5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85B" w:rsidRDefault="00A2385B" w:rsidP="00F1620D">
      <w:pPr>
        <w:spacing w:before="0" w:after="0"/>
      </w:pPr>
      <w:r>
        <w:separator/>
      </w:r>
    </w:p>
  </w:footnote>
  <w:footnote w:type="continuationSeparator" w:id="0">
    <w:p w:rsidR="00A2385B" w:rsidRDefault="00A2385B" w:rsidP="00F1620D">
      <w:pPr>
        <w:spacing w:before="0" w:after="0"/>
      </w:pPr>
      <w:r>
        <w:continuationSeparator/>
      </w:r>
    </w:p>
  </w:footnote>
  <w:footnote w:type="continuationNotice" w:id="1">
    <w:p w:rsidR="00A2385B" w:rsidRDefault="00A2385B">
      <w:pPr>
        <w:spacing w:before="0" w:after="0"/>
      </w:pPr>
    </w:p>
  </w:footnote>
  <w:footnote w:id="2">
    <w:p w:rsidR="001A07E1" w:rsidRPr="00026321" w:rsidRDefault="001A07E1" w:rsidP="00026321">
      <w:pPr>
        <w:pStyle w:val="Text2"/>
        <w:ind w:left="0"/>
        <w:rPr>
          <w:sz w:val="20"/>
          <w:szCs w:val="20"/>
        </w:rPr>
      </w:pPr>
      <w:r>
        <w:rPr>
          <w:rStyle w:val="FootnoteReference"/>
        </w:rPr>
        <w:footnoteRef/>
      </w:r>
      <w:r>
        <w:tab/>
      </w:r>
      <w:r>
        <w:rPr>
          <w:sz w:val="20"/>
        </w:rPr>
        <w:t xml:space="preserve">Decizia (UE, Euratom) 2020/266 a Consiliului de autorizare a începerii negocierilor cu Regatul Unit al Marii Britanii și Irlandei de Nord pentru un nou acord de parteneriat (JO L 58, 27.2.2020, p. 53). </w:t>
      </w:r>
    </w:p>
  </w:footnote>
  <w:footnote w:id="3">
    <w:p w:rsidR="00026321" w:rsidRPr="00026321" w:rsidRDefault="00026321">
      <w:pPr>
        <w:pStyle w:val="FootnoteText"/>
      </w:pPr>
      <w:r>
        <w:rPr>
          <w:rStyle w:val="FootnoteReference"/>
        </w:rPr>
        <w:footnoteRef/>
      </w:r>
      <w:r>
        <w:tab/>
        <w:t>EUCO XT 20017/18.</w:t>
      </w:r>
    </w:p>
  </w:footnote>
  <w:footnote w:id="4">
    <w:p w:rsidR="005A2B27" w:rsidRPr="00801624" w:rsidRDefault="005A2B27" w:rsidP="005A2B27">
      <w:pPr>
        <w:pStyle w:val="FootnoteText"/>
      </w:pPr>
      <w:r>
        <w:rPr>
          <w:rStyle w:val="FootnoteReference"/>
        </w:rPr>
        <w:footnoteRef/>
      </w:r>
      <w:r>
        <w:tab/>
        <w:t xml:space="preserve">Cu excepția celor care dobândesc drept de ședere după semnarea viitorului acord. </w:t>
      </w:r>
    </w:p>
  </w:footnote>
  <w:footnote w:id="5">
    <w:p w:rsidR="00117BF3" w:rsidRPr="00B77D6C" w:rsidRDefault="00117BF3">
      <w:pPr>
        <w:pStyle w:val="FootnoteText"/>
      </w:pPr>
      <w:r>
        <w:rPr>
          <w:rStyle w:val="FootnoteReference"/>
        </w:rPr>
        <w:footnoteRef/>
      </w:r>
      <w:r>
        <w:tab/>
        <w:t>Acordul comercial și de cooperare încheiat între Uniunea Europeană și Regatul Unit a fost semnat la 30</w:t>
      </w:r>
      <w:r w:rsidR="007F2DD2">
        <w:t> </w:t>
      </w:r>
      <w:r>
        <w:t>decembrie 2020, s-a aplicat cu titlu provizoriu de la 1 ianuarie 2021 și a intrat în vigoare la 1</w:t>
      </w:r>
      <w:r w:rsidR="007F2DD2">
        <w:t> </w:t>
      </w:r>
      <w:r>
        <w:t>mai</w:t>
      </w:r>
      <w:r w:rsidR="007F2DD2">
        <w:t> </w:t>
      </w:r>
      <w:r>
        <w:t>2021.</w:t>
      </w:r>
    </w:p>
  </w:footnote>
  <w:footnote w:id="6">
    <w:p w:rsidR="003012AE" w:rsidRPr="00B77D6C" w:rsidRDefault="003012AE">
      <w:pPr>
        <w:pStyle w:val="FootnoteText"/>
      </w:pPr>
      <w:r>
        <w:rPr>
          <w:rStyle w:val="FootnoteReference"/>
        </w:rPr>
        <w:footnoteRef/>
      </w:r>
      <w:r>
        <w:tab/>
        <w:t>Textul acordului este publicat în JO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14" w:rsidRDefault="003C51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14" w:rsidRDefault="003C51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A602E6B"/>
    <w:multiLevelType w:val="hybridMultilevel"/>
    <w:tmpl w:val="22406BFC"/>
    <w:lvl w:ilvl="0" w:tplc="0D9EDED0">
      <w:start w:val="1"/>
      <w:numFmt w:val="lowerLetter"/>
      <w:lvlText w:val="(%1)"/>
      <w:lvlJc w:val="left"/>
      <w:pPr>
        <w:ind w:left="720" w:hanging="360"/>
      </w:pPr>
      <w:rPr>
        <w:rFonts w:hint="default"/>
      </w:rPr>
    </w:lvl>
    <w:lvl w:ilvl="1" w:tplc="9E686B92">
      <w:start w:val="1"/>
      <w:numFmt w:val="lowerRoman"/>
      <w:pStyle w:val="Indent"/>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7"/>
  </w:num>
  <w:num w:numId="7">
    <w:abstractNumId w:val="23"/>
  </w:num>
  <w:num w:numId="8">
    <w:abstractNumId w:val="28"/>
  </w:num>
  <w:num w:numId="9">
    <w:abstractNumId w:val="29"/>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6"/>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num>
  <w:num w:numId="19">
    <w:abstractNumId w:val="30"/>
    <w:lvlOverride w:ilvl="0">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11"/>
  </w:num>
  <w:num w:numId="26">
    <w:abstractNumId w:val="25"/>
  </w:num>
  <w:num w:numId="27">
    <w:abstractNumId w:val="6"/>
  </w:num>
  <w:num w:numId="28">
    <w:abstractNumId w:val="12"/>
  </w:num>
  <w:num w:numId="29">
    <w:abstractNumId w:val="13"/>
  </w:num>
  <w:num w:numId="30">
    <w:abstractNumId w:val="4"/>
  </w:num>
  <w:num w:numId="31">
    <w:abstractNumId w:val="24"/>
  </w:num>
  <w:num w:numId="32">
    <w:abstractNumId w:val="3"/>
  </w:num>
  <w:num w:numId="33">
    <w:abstractNumId w:val="14"/>
  </w:num>
  <w:num w:numId="34">
    <w:abstractNumId w:val="20"/>
  </w:num>
  <w:num w:numId="35">
    <w:abstractNumId w:val="21"/>
  </w:num>
  <w:num w:numId="36">
    <w:abstractNumId w:val="5"/>
  </w:num>
  <w:num w:numId="37">
    <w:abstractNumId w:val="18"/>
  </w:num>
  <w:num w:numId="38">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16 09:19: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7644861-2DF3-4DCF-9055-72A0C8B72ACD"/>
    <w:docVar w:name="LW_COVERPAGE_TYPE" w:val="1"/>
    <w:docVar w:name="LW_CROSSREFERENCE" w:val="&lt;UNUSED&gt;"/>
    <w:docVar w:name="LW_DocType" w:val="COM"/>
    <w:docVar w:name="LW_EMISSION" w:val="17.2.2026"/>
    <w:docVar w:name="LW_EMISSION_ISODATE" w:val="2026-02-17"/>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57"/>
    <w:docVar w:name="LW_REF.II.NEW.CP_YEAR" w:val="2026"/>
    <w:docVar w:name="LW_REF.INST.NEW" w:val="COM"/>
    <w:docVar w:name="LW_REF.INST.NEW_ADOPTED" w:val="final"/>
    <w:docVar w:name="LW_REF.INST.NEW_TEXT" w:val="(2026) 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în numele Uniunii, \u537?i aplicarea cu titlu provizoriu a Acordului cu privire la Gibraltar dintre Uniunea European\u259? \u537?i Comunitatea European\u259? a Energiei Atomice, pe de o parte, \u537?i Regatul Unit al Marii Britanii \u537?i Irlandei de Nord, pe de alt\u259? parte"/>
    <w:docVar w:name="LW_TYPE.DOC.CP" w:val="DECIZIE A CONSILIULUI"/>
    <w:docVar w:name="LwApiVersions" w:val="LW4CoDe 1.24.5.0; LW 9.2, Build 20251112"/>
  </w:docVars>
  <w:rsids>
    <w:rsidRoot w:val="00F1620D"/>
    <w:rsid w:val="00000FC9"/>
    <w:rsid w:val="00001CD8"/>
    <w:rsid w:val="00004421"/>
    <w:rsid w:val="00004983"/>
    <w:rsid w:val="00005913"/>
    <w:rsid w:val="00005927"/>
    <w:rsid w:val="00005BC0"/>
    <w:rsid w:val="00005CAD"/>
    <w:rsid w:val="00006DDE"/>
    <w:rsid w:val="0000775E"/>
    <w:rsid w:val="00011D92"/>
    <w:rsid w:val="000121CB"/>
    <w:rsid w:val="00012D7C"/>
    <w:rsid w:val="00013416"/>
    <w:rsid w:val="0001488A"/>
    <w:rsid w:val="00015734"/>
    <w:rsid w:val="0001635C"/>
    <w:rsid w:val="00017834"/>
    <w:rsid w:val="00021AF7"/>
    <w:rsid w:val="00024212"/>
    <w:rsid w:val="00026321"/>
    <w:rsid w:val="000265B5"/>
    <w:rsid w:val="000267CB"/>
    <w:rsid w:val="00026DEE"/>
    <w:rsid w:val="000277B8"/>
    <w:rsid w:val="0003153D"/>
    <w:rsid w:val="00031DED"/>
    <w:rsid w:val="00036B67"/>
    <w:rsid w:val="00041A3D"/>
    <w:rsid w:val="00042762"/>
    <w:rsid w:val="0005217A"/>
    <w:rsid w:val="00057D90"/>
    <w:rsid w:val="000611EE"/>
    <w:rsid w:val="000634F2"/>
    <w:rsid w:val="00063BB3"/>
    <w:rsid w:val="0007008B"/>
    <w:rsid w:val="00070C03"/>
    <w:rsid w:val="000717C0"/>
    <w:rsid w:val="0007368A"/>
    <w:rsid w:val="0007417C"/>
    <w:rsid w:val="000756BC"/>
    <w:rsid w:val="0007597E"/>
    <w:rsid w:val="000771AE"/>
    <w:rsid w:val="00080505"/>
    <w:rsid w:val="00084DD4"/>
    <w:rsid w:val="00090C9A"/>
    <w:rsid w:val="00094CB4"/>
    <w:rsid w:val="00095475"/>
    <w:rsid w:val="000976FA"/>
    <w:rsid w:val="000A092F"/>
    <w:rsid w:val="000A225C"/>
    <w:rsid w:val="000A2F58"/>
    <w:rsid w:val="000A7517"/>
    <w:rsid w:val="000A7667"/>
    <w:rsid w:val="000B30FD"/>
    <w:rsid w:val="000B4A49"/>
    <w:rsid w:val="000C0597"/>
    <w:rsid w:val="000C4197"/>
    <w:rsid w:val="000C5BB6"/>
    <w:rsid w:val="000D23A6"/>
    <w:rsid w:val="000D2582"/>
    <w:rsid w:val="000D3DCA"/>
    <w:rsid w:val="000D5B8E"/>
    <w:rsid w:val="000D5F78"/>
    <w:rsid w:val="000D7A7C"/>
    <w:rsid w:val="000E198E"/>
    <w:rsid w:val="000E25BC"/>
    <w:rsid w:val="000E4376"/>
    <w:rsid w:val="000E725C"/>
    <w:rsid w:val="000F0368"/>
    <w:rsid w:val="000F070D"/>
    <w:rsid w:val="000F1C30"/>
    <w:rsid w:val="000F4FF3"/>
    <w:rsid w:val="000F51D0"/>
    <w:rsid w:val="000F7229"/>
    <w:rsid w:val="000F7354"/>
    <w:rsid w:val="001013D9"/>
    <w:rsid w:val="001020E3"/>
    <w:rsid w:val="00102479"/>
    <w:rsid w:val="00102BA6"/>
    <w:rsid w:val="00102F22"/>
    <w:rsid w:val="00105E2F"/>
    <w:rsid w:val="0010618E"/>
    <w:rsid w:val="001124F7"/>
    <w:rsid w:val="00115829"/>
    <w:rsid w:val="00117BF3"/>
    <w:rsid w:val="00120248"/>
    <w:rsid w:val="0012218D"/>
    <w:rsid w:val="00124BE7"/>
    <w:rsid w:val="00126B39"/>
    <w:rsid w:val="00127211"/>
    <w:rsid w:val="00127C40"/>
    <w:rsid w:val="001351C1"/>
    <w:rsid w:val="00135B04"/>
    <w:rsid w:val="00136828"/>
    <w:rsid w:val="00137C8D"/>
    <w:rsid w:val="00141E38"/>
    <w:rsid w:val="00143516"/>
    <w:rsid w:val="0014430B"/>
    <w:rsid w:val="00146F43"/>
    <w:rsid w:val="001501E8"/>
    <w:rsid w:val="001513D6"/>
    <w:rsid w:val="00151C65"/>
    <w:rsid w:val="00152B75"/>
    <w:rsid w:val="00153748"/>
    <w:rsid w:val="00153894"/>
    <w:rsid w:val="00154028"/>
    <w:rsid w:val="00154CA7"/>
    <w:rsid w:val="0015501E"/>
    <w:rsid w:val="001570FE"/>
    <w:rsid w:val="00157D2C"/>
    <w:rsid w:val="001613FA"/>
    <w:rsid w:val="00161A17"/>
    <w:rsid w:val="001624E1"/>
    <w:rsid w:val="001655CC"/>
    <w:rsid w:val="00165609"/>
    <w:rsid w:val="0016680D"/>
    <w:rsid w:val="00166A9D"/>
    <w:rsid w:val="00167BEA"/>
    <w:rsid w:val="00171FCB"/>
    <w:rsid w:val="0017273F"/>
    <w:rsid w:val="00175F65"/>
    <w:rsid w:val="00176EB8"/>
    <w:rsid w:val="00177E8C"/>
    <w:rsid w:val="00180F0B"/>
    <w:rsid w:val="00181477"/>
    <w:rsid w:val="00181C4B"/>
    <w:rsid w:val="00183482"/>
    <w:rsid w:val="00185607"/>
    <w:rsid w:val="001859A7"/>
    <w:rsid w:val="00185D67"/>
    <w:rsid w:val="00187138"/>
    <w:rsid w:val="00190308"/>
    <w:rsid w:val="00190B6D"/>
    <w:rsid w:val="00192B70"/>
    <w:rsid w:val="00193100"/>
    <w:rsid w:val="001947C6"/>
    <w:rsid w:val="001952F1"/>
    <w:rsid w:val="00195FA8"/>
    <w:rsid w:val="00196C7C"/>
    <w:rsid w:val="001A07E1"/>
    <w:rsid w:val="001A1574"/>
    <w:rsid w:val="001B1169"/>
    <w:rsid w:val="001B1609"/>
    <w:rsid w:val="001B6400"/>
    <w:rsid w:val="001B6EB1"/>
    <w:rsid w:val="001B7A5F"/>
    <w:rsid w:val="001C00B5"/>
    <w:rsid w:val="001C02DB"/>
    <w:rsid w:val="001C2816"/>
    <w:rsid w:val="001C3A38"/>
    <w:rsid w:val="001C72F8"/>
    <w:rsid w:val="001D2966"/>
    <w:rsid w:val="001D305F"/>
    <w:rsid w:val="001D463A"/>
    <w:rsid w:val="001D4B05"/>
    <w:rsid w:val="001D6481"/>
    <w:rsid w:val="001D7BAD"/>
    <w:rsid w:val="001E0216"/>
    <w:rsid w:val="001E0D16"/>
    <w:rsid w:val="001E413E"/>
    <w:rsid w:val="001E6A4B"/>
    <w:rsid w:val="001F15EB"/>
    <w:rsid w:val="001F3DA0"/>
    <w:rsid w:val="001F4A2E"/>
    <w:rsid w:val="001F54B5"/>
    <w:rsid w:val="001F5742"/>
    <w:rsid w:val="001F5991"/>
    <w:rsid w:val="001F69F5"/>
    <w:rsid w:val="001F7F01"/>
    <w:rsid w:val="00200ABA"/>
    <w:rsid w:val="00204ECB"/>
    <w:rsid w:val="00207378"/>
    <w:rsid w:val="00210B27"/>
    <w:rsid w:val="0021144F"/>
    <w:rsid w:val="002120FE"/>
    <w:rsid w:val="0021250E"/>
    <w:rsid w:val="00216C79"/>
    <w:rsid w:val="00217623"/>
    <w:rsid w:val="00220364"/>
    <w:rsid w:val="00220F9C"/>
    <w:rsid w:val="002218D8"/>
    <w:rsid w:val="002240E1"/>
    <w:rsid w:val="00224303"/>
    <w:rsid w:val="00224E76"/>
    <w:rsid w:val="00225124"/>
    <w:rsid w:val="002251AE"/>
    <w:rsid w:val="00230E7A"/>
    <w:rsid w:val="00232358"/>
    <w:rsid w:val="00232E98"/>
    <w:rsid w:val="0023392E"/>
    <w:rsid w:val="00233C04"/>
    <w:rsid w:val="00233ED7"/>
    <w:rsid w:val="00234A92"/>
    <w:rsid w:val="00236AD1"/>
    <w:rsid w:val="00240328"/>
    <w:rsid w:val="00243F73"/>
    <w:rsid w:val="0024452D"/>
    <w:rsid w:val="00246951"/>
    <w:rsid w:val="002472D0"/>
    <w:rsid w:val="002506B0"/>
    <w:rsid w:val="00251959"/>
    <w:rsid w:val="002522D8"/>
    <w:rsid w:val="00252CC6"/>
    <w:rsid w:val="00253B6F"/>
    <w:rsid w:val="00255E23"/>
    <w:rsid w:val="00262FBB"/>
    <w:rsid w:val="00263DA5"/>
    <w:rsid w:val="0026409C"/>
    <w:rsid w:val="00264C81"/>
    <w:rsid w:val="0026591D"/>
    <w:rsid w:val="00265B2F"/>
    <w:rsid w:val="00267952"/>
    <w:rsid w:val="00267993"/>
    <w:rsid w:val="00270284"/>
    <w:rsid w:val="002702E7"/>
    <w:rsid w:val="0027140C"/>
    <w:rsid w:val="00272400"/>
    <w:rsid w:val="00277B65"/>
    <w:rsid w:val="00280433"/>
    <w:rsid w:val="0028094A"/>
    <w:rsid w:val="00280BCB"/>
    <w:rsid w:val="002821C8"/>
    <w:rsid w:val="0028295E"/>
    <w:rsid w:val="00282E6B"/>
    <w:rsid w:val="002832D4"/>
    <w:rsid w:val="00285201"/>
    <w:rsid w:val="00285C94"/>
    <w:rsid w:val="00291874"/>
    <w:rsid w:val="00293E86"/>
    <w:rsid w:val="002950E0"/>
    <w:rsid w:val="002951B3"/>
    <w:rsid w:val="00295C0F"/>
    <w:rsid w:val="002A258D"/>
    <w:rsid w:val="002A337D"/>
    <w:rsid w:val="002A43BB"/>
    <w:rsid w:val="002A49E5"/>
    <w:rsid w:val="002A549F"/>
    <w:rsid w:val="002B1395"/>
    <w:rsid w:val="002B5AAB"/>
    <w:rsid w:val="002B6829"/>
    <w:rsid w:val="002B6C11"/>
    <w:rsid w:val="002C4B10"/>
    <w:rsid w:val="002C602E"/>
    <w:rsid w:val="002C658B"/>
    <w:rsid w:val="002C65CD"/>
    <w:rsid w:val="002D132D"/>
    <w:rsid w:val="002D281E"/>
    <w:rsid w:val="002D33A2"/>
    <w:rsid w:val="002D4769"/>
    <w:rsid w:val="002D5B21"/>
    <w:rsid w:val="002D626C"/>
    <w:rsid w:val="002D6824"/>
    <w:rsid w:val="002D713E"/>
    <w:rsid w:val="002D762C"/>
    <w:rsid w:val="002E4D5B"/>
    <w:rsid w:val="002F03C2"/>
    <w:rsid w:val="002F1A9E"/>
    <w:rsid w:val="002F39F6"/>
    <w:rsid w:val="002F4D92"/>
    <w:rsid w:val="002F54E3"/>
    <w:rsid w:val="002F7073"/>
    <w:rsid w:val="002F7FF4"/>
    <w:rsid w:val="00300D68"/>
    <w:rsid w:val="003012AE"/>
    <w:rsid w:val="00304C11"/>
    <w:rsid w:val="00307140"/>
    <w:rsid w:val="00307386"/>
    <w:rsid w:val="00310245"/>
    <w:rsid w:val="003105EE"/>
    <w:rsid w:val="0031130F"/>
    <w:rsid w:val="00311DDA"/>
    <w:rsid w:val="003143FB"/>
    <w:rsid w:val="0031611B"/>
    <w:rsid w:val="003172F7"/>
    <w:rsid w:val="00320E3F"/>
    <w:rsid w:val="003225D5"/>
    <w:rsid w:val="00324CAA"/>
    <w:rsid w:val="00326272"/>
    <w:rsid w:val="0033041E"/>
    <w:rsid w:val="003355A0"/>
    <w:rsid w:val="003371D8"/>
    <w:rsid w:val="003420E6"/>
    <w:rsid w:val="003421BC"/>
    <w:rsid w:val="00342BB8"/>
    <w:rsid w:val="0034333E"/>
    <w:rsid w:val="003458B8"/>
    <w:rsid w:val="00346C50"/>
    <w:rsid w:val="0035057C"/>
    <w:rsid w:val="00353CFE"/>
    <w:rsid w:val="00353DBB"/>
    <w:rsid w:val="00354029"/>
    <w:rsid w:val="00354949"/>
    <w:rsid w:val="00354999"/>
    <w:rsid w:val="0036798D"/>
    <w:rsid w:val="00370608"/>
    <w:rsid w:val="00375FD6"/>
    <w:rsid w:val="003760C2"/>
    <w:rsid w:val="00377A38"/>
    <w:rsid w:val="00382404"/>
    <w:rsid w:val="0038710C"/>
    <w:rsid w:val="00391305"/>
    <w:rsid w:val="00392B9D"/>
    <w:rsid w:val="003A01EB"/>
    <w:rsid w:val="003A3FC6"/>
    <w:rsid w:val="003A5520"/>
    <w:rsid w:val="003A6774"/>
    <w:rsid w:val="003A6BB7"/>
    <w:rsid w:val="003A702D"/>
    <w:rsid w:val="003B3AB8"/>
    <w:rsid w:val="003B5055"/>
    <w:rsid w:val="003B5DFD"/>
    <w:rsid w:val="003B67CD"/>
    <w:rsid w:val="003B6CA6"/>
    <w:rsid w:val="003C191E"/>
    <w:rsid w:val="003C2F08"/>
    <w:rsid w:val="003C2F14"/>
    <w:rsid w:val="003C39AA"/>
    <w:rsid w:val="003C5114"/>
    <w:rsid w:val="003C6E57"/>
    <w:rsid w:val="003D0A57"/>
    <w:rsid w:val="003D21D4"/>
    <w:rsid w:val="003D2380"/>
    <w:rsid w:val="003D3C6E"/>
    <w:rsid w:val="003D47DC"/>
    <w:rsid w:val="003D6C37"/>
    <w:rsid w:val="003E19EC"/>
    <w:rsid w:val="003E23FD"/>
    <w:rsid w:val="003E40E2"/>
    <w:rsid w:val="003F0EFD"/>
    <w:rsid w:val="003F5487"/>
    <w:rsid w:val="003F6DF2"/>
    <w:rsid w:val="003F712A"/>
    <w:rsid w:val="00401669"/>
    <w:rsid w:val="00401DEB"/>
    <w:rsid w:val="0040777E"/>
    <w:rsid w:val="004108D3"/>
    <w:rsid w:val="00411EA9"/>
    <w:rsid w:val="0041267B"/>
    <w:rsid w:val="0041296C"/>
    <w:rsid w:val="00412B74"/>
    <w:rsid w:val="00412C7F"/>
    <w:rsid w:val="00414223"/>
    <w:rsid w:val="00414528"/>
    <w:rsid w:val="004150E2"/>
    <w:rsid w:val="00415477"/>
    <w:rsid w:val="00420241"/>
    <w:rsid w:val="00422BD3"/>
    <w:rsid w:val="00422F00"/>
    <w:rsid w:val="004245B4"/>
    <w:rsid w:val="00426197"/>
    <w:rsid w:val="004306C5"/>
    <w:rsid w:val="00430FFF"/>
    <w:rsid w:val="004318B1"/>
    <w:rsid w:val="00432218"/>
    <w:rsid w:val="004341F9"/>
    <w:rsid w:val="00435BFF"/>
    <w:rsid w:val="00445A0B"/>
    <w:rsid w:val="004472FF"/>
    <w:rsid w:val="00450B46"/>
    <w:rsid w:val="00454CE7"/>
    <w:rsid w:val="004559C1"/>
    <w:rsid w:val="00456DB6"/>
    <w:rsid w:val="004604BC"/>
    <w:rsid w:val="00464C94"/>
    <w:rsid w:val="00465E8F"/>
    <w:rsid w:val="00466AD1"/>
    <w:rsid w:val="004703A7"/>
    <w:rsid w:val="004753A6"/>
    <w:rsid w:val="00477DC4"/>
    <w:rsid w:val="004816A3"/>
    <w:rsid w:val="00484C14"/>
    <w:rsid w:val="004850D0"/>
    <w:rsid w:val="004851FB"/>
    <w:rsid w:val="00485AED"/>
    <w:rsid w:val="00485BF7"/>
    <w:rsid w:val="00492252"/>
    <w:rsid w:val="004931F2"/>
    <w:rsid w:val="00495B84"/>
    <w:rsid w:val="004969CA"/>
    <w:rsid w:val="004A3280"/>
    <w:rsid w:val="004A48A7"/>
    <w:rsid w:val="004A5016"/>
    <w:rsid w:val="004B004B"/>
    <w:rsid w:val="004B0334"/>
    <w:rsid w:val="004B43A8"/>
    <w:rsid w:val="004B55C7"/>
    <w:rsid w:val="004C4F0D"/>
    <w:rsid w:val="004C7109"/>
    <w:rsid w:val="004C75AE"/>
    <w:rsid w:val="004D098D"/>
    <w:rsid w:val="004D2C99"/>
    <w:rsid w:val="004D31ED"/>
    <w:rsid w:val="004D7CF8"/>
    <w:rsid w:val="004E187A"/>
    <w:rsid w:val="004E2B23"/>
    <w:rsid w:val="004E2B8B"/>
    <w:rsid w:val="004E3758"/>
    <w:rsid w:val="004E424E"/>
    <w:rsid w:val="004E7D2D"/>
    <w:rsid w:val="004F0A2D"/>
    <w:rsid w:val="004F21C3"/>
    <w:rsid w:val="004F2A19"/>
    <w:rsid w:val="00501484"/>
    <w:rsid w:val="00503D55"/>
    <w:rsid w:val="00505DE8"/>
    <w:rsid w:val="00507BED"/>
    <w:rsid w:val="005112AC"/>
    <w:rsid w:val="00511458"/>
    <w:rsid w:val="005130EF"/>
    <w:rsid w:val="0051382A"/>
    <w:rsid w:val="00513959"/>
    <w:rsid w:val="005146A6"/>
    <w:rsid w:val="00517EA4"/>
    <w:rsid w:val="00520734"/>
    <w:rsid w:val="00534A1E"/>
    <w:rsid w:val="00535154"/>
    <w:rsid w:val="005357EA"/>
    <w:rsid w:val="005418B1"/>
    <w:rsid w:val="00541E7D"/>
    <w:rsid w:val="00542F73"/>
    <w:rsid w:val="00544DFE"/>
    <w:rsid w:val="00545697"/>
    <w:rsid w:val="005457A9"/>
    <w:rsid w:val="00550420"/>
    <w:rsid w:val="00553078"/>
    <w:rsid w:val="00553BF3"/>
    <w:rsid w:val="005541E9"/>
    <w:rsid w:val="00554DCE"/>
    <w:rsid w:val="00560C65"/>
    <w:rsid w:val="00561AB5"/>
    <w:rsid w:val="0056318D"/>
    <w:rsid w:val="005631CC"/>
    <w:rsid w:val="00563260"/>
    <w:rsid w:val="00564221"/>
    <w:rsid w:val="005672E3"/>
    <w:rsid w:val="00567F88"/>
    <w:rsid w:val="00570266"/>
    <w:rsid w:val="00571252"/>
    <w:rsid w:val="005759E9"/>
    <w:rsid w:val="00576026"/>
    <w:rsid w:val="00576D37"/>
    <w:rsid w:val="00580EAF"/>
    <w:rsid w:val="0058136F"/>
    <w:rsid w:val="005813AD"/>
    <w:rsid w:val="0058157E"/>
    <w:rsid w:val="005831A8"/>
    <w:rsid w:val="00584180"/>
    <w:rsid w:val="00587696"/>
    <w:rsid w:val="0059131A"/>
    <w:rsid w:val="00591B79"/>
    <w:rsid w:val="0059242A"/>
    <w:rsid w:val="00592840"/>
    <w:rsid w:val="00593583"/>
    <w:rsid w:val="0059575D"/>
    <w:rsid w:val="0059678A"/>
    <w:rsid w:val="005A0EDE"/>
    <w:rsid w:val="005A2B27"/>
    <w:rsid w:val="005A539C"/>
    <w:rsid w:val="005B0FC7"/>
    <w:rsid w:val="005B1F33"/>
    <w:rsid w:val="005B24CC"/>
    <w:rsid w:val="005C3B0F"/>
    <w:rsid w:val="005C4783"/>
    <w:rsid w:val="005C6CB0"/>
    <w:rsid w:val="005C7921"/>
    <w:rsid w:val="005C7BF9"/>
    <w:rsid w:val="005C7E82"/>
    <w:rsid w:val="005D1321"/>
    <w:rsid w:val="005D23B5"/>
    <w:rsid w:val="005D2910"/>
    <w:rsid w:val="005D3CD7"/>
    <w:rsid w:val="005D3E7A"/>
    <w:rsid w:val="005D4854"/>
    <w:rsid w:val="005D687E"/>
    <w:rsid w:val="005D6CD8"/>
    <w:rsid w:val="005E0046"/>
    <w:rsid w:val="005E5448"/>
    <w:rsid w:val="005E562D"/>
    <w:rsid w:val="005E6040"/>
    <w:rsid w:val="005E6AF7"/>
    <w:rsid w:val="005F10C4"/>
    <w:rsid w:val="005F10D0"/>
    <w:rsid w:val="005F33AB"/>
    <w:rsid w:val="00601EBD"/>
    <w:rsid w:val="00607972"/>
    <w:rsid w:val="00610F84"/>
    <w:rsid w:val="00612F54"/>
    <w:rsid w:val="00613C31"/>
    <w:rsid w:val="006207FA"/>
    <w:rsid w:val="00620E1A"/>
    <w:rsid w:val="006222BB"/>
    <w:rsid w:val="006223AE"/>
    <w:rsid w:val="0062321C"/>
    <w:rsid w:val="00627533"/>
    <w:rsid w:val="00632052"/>
    <w:rsid w:val="006329E8"/>
    <w:rsid w:val="00634385"/>
    <w:rsid w:val="00635768"/>
    <w:rsid w:val="00641A12"/>
    <w:rsid w:val="00642731"/>
    <w:rsid w:val="006427FC"/>
    <w:rsid w:val="00643BDA"/>
    <w:rsid w:val="00646408"/>
    <w:rsid w:val="0064727B"/>
    <w:rsid w:val="006501F7"/>
    <w:rsid w:val="00652B99"/>
    <w:rsid w:val="00652F47"/>
    <w:rsid w:val="0065318E"/>
    <w:rsid w:val="0065377F"/>
    <w:rsid w:val="006545DE"/>
    <w:rsid w:val="006546CA"/>
    <w:rsid w:val="006547C9"/>
    <w:rsid w:val="00654DD7"/>
    <w:rsid w:val="00654E9E"/>
    <w:rsid w:val="00660768"/>
    <w:rsid w:val="00660EA3"/>
    <w:rsid w:val="00661CCD"/>
    <w:rsid w:val="00662335"/>
    <w:rsid w:val="006629D9"/>
    <w:rsid w:val="006640E5"/>
    <w:rsid w:val="00664ED8"/>
    <w:rsid w:val="00665620"/>
    <w:rsid w:val="0067067A"/>
    <w:rsid w:val="00670901"/>
    <w:rsid w:val="00671600"/>
    <w:rsid w:val="00671C9A"/>
    <w:rsid w:val="00671DA7"/>
    <w:rsid w:val="0067583D"/>
    <w:rsid w:val="00675950"/>
    <w:rsid w:val="006801CA"/>
    <w:rsid w:val="00680987"/>
    <w:rsid w:val="0068366B"/>
    <w:rsid w:val="006863E9"/>
    <w:rsid w:val="00687B9F"/>
    <w:rsid w:val="00687D84"/>
    <w:rsid w:val="006911E5"/>
    <w:rsid w:val="00691D8A"/>
    <w:rsid w:val="006925BF"/>
    <w:rsid w:val="00693AF7"/>
    <w:rsid w:val="00694062"/>
    <w:rsid w:val="00695359"/>
    <w:rsid w:val="006977AA"/>
    <w:rsid w:val="00697CCF"/>
    <w:rsid w:val="006A02DD"/>
    <w:rsid w:val="006A02E4"/>
    <w:rsid w:val="006A2F82"/>
    <w:rsid w:val="006A383D"/>
    <w:rsid w:val="006A6EFD"/>
    <w:rsid w:val="006B02CB"/>
    <w:rsid w:val="006B1B17"/>
    <w:rsid w:val="006B53FC"/>
    <w:rsid w:val="006B698A"/>
    <w:rsid w:val="006B6A15"/>
    <w:rsid w:val="006B6AEC"/>
    <w:rsid w:val="006C0118"/>
    <w:rsid w:val="006C0954"/>
    <w:rsid w:val="006C33DF"/>
    <w:rsid w:val="006C79C8"/>
    <w:rsid w:val="006C7CDF"/>
    <w:rsid w:val="006C7EAA"/>
    <w:rsid w:val="006D03CD"/>
    <w:rsid w:val="006D040A"/>
    <w:rsid w:val="006D098B"/>
    <w:rsid w:val="006D5ED4"/>
    <w:rsid w:val="006E28B5"/>
    <w:rsid w:val="006E2FFB"/>
    <w:rsid w:val="006E7621"/>
    <w:rsid w:val="006F2CC3"/>
    <w:rsid w:val="006F2D17"/>
    <w:rsid w:val="006F55F5"/>
    <w:rsid w:val="0070003D"/>
    <w:rsid w:val="00700388"/>
    <w:rsid w:val="0070128F"/>
    <w:rsid w:val="00701BD0"/>
    <w:rsid w:val="00702BB6"/>
    <w:rsid w:val="0070417B"/>
    <w:rsid w:val="00706769"/>
    <w:rsid w:val="00707CE1"/>
    <w:rsid w:val="007135D9"/>
    <w:rsid w:val="00716D45"/>
    <w:rsid w:val="0071768E"/>
    <w:rsid w:val="00720364"/>
    <w:rsid w:val="0072050C"/>
    <w:rsid w:val="00720834"/>
    <w:rsid w:val="00725B6C"/>
    <w:rsid w:val="00727B77"/>
    <w:rsid w:val="00732CD6"/>
    <w:rsid w:val="00733F57"/>
    <w:rsid w:val="00735E88"/>
    <w:rsid w:val="0073759B"/>
    <w:rsid w:val="007375CF"/>
    <w:rsid w:val="00741E8C"/>
    <w:rsid w:val="00746A98"/>
    <w:rsid w:val="0074714E"/>
    <w:rsid w:val="00747BEC"/>
    <w:rsid w:val="00750133"/>
    <w:rsid w:val="00751583"/>
    <w:rsid w:val="00751F57"/>
    <w:rsid w:val="00752434"/>
    <w:rsid w:val="0075326E"/>
    <w:rsid w:val="00757F60"/>
    <w:rsid w:val="00760A96"/>
    <w:rsid w:val="00762489"/>
    <w:rsid w:val="007643FD"/>
    <w:rsid w:val="0076498F"/>
    <w:rsid w:val="0076633A"/>
    <w:rsid w:val="00767D68"/>
    <w:rsid w:val="007742BD"/>
    <w:rsid w:val="00774B08"/>
    <w:rsid w:val="00776E2F"/>
    <w:rsid w:val="007810C5"/>
    <w:rsid w:val="007841F3"/>
    <w:rsid w:val="0078610C"/>
    <w:rsid w:val="00793081"/>
    <w:rsid w:val="007944F8"/>
    <w:rsid w:val="007952DA"/>
    <w:rsid w:val="00797030"/>
    <w:rsid w:val="007A0AD1"/>
    <w:rsid w:val="007A2052"/>
    <w:rsid w:val="007A2D56"/>
    <w:rsid w:val="007B69BF"/>
    <w:rsid w:val="007C06F6"/>
    <w:rsid w:val="007C3A20"/>
    <w:rsid w:val="007C4547"/>
    <w:rsid w:val="007C5148"/>
    <w:rsid w:val="007C56E9"/>
    <w:rsid w:val="007C5704"/>
    <w:rsid w:val="007D1535"/>
    <w:rsid w:val="007D5F92"/>
    <w:rsid w:val="007D60DC"/>
    <w:rsid w:val="007E0E12"/>
    <w:rsid w:val="007E3A4C"/>
    <w:rsid w:val="007E612C"/>
    <w:rsid w:val="007F125D"/>
    <w:rsid w:val="007F2DD2"/>
    <w:rsid w:val="007F3C21"/>
    <w:rsid w:val="007F42A9"/>
    <w:rsid w:val="007F5891"/>
    <w:rsid w:val="008030B5"/>
    <w:rsid w:val="00803921"/>
    <w:rsid w:val="00804A43"/>
    <w:rsid w:val="0080598C"/>
    <w:rsid w:val="008059E4"/>
    <w:rsid w:val="00805CA2"/>
    <w:rsid w:val="00805FEE"/>
    <w:rsid w:val="0080672C"/>
    <w:rsid w:val="00811E47"/>
    <w:rsid w:val="00812C16"/>
    <w:rsid w:val="0081544B"/>
    <w:rsid w:val="008168C4"/>
    <w:rsid w:val="00817F34"/>
    <w:rsid w:val="00822ACD"/>
    <w:rsid w:val="00822E41"/>
    <w:rsid w:val="00823298"/>
    <w:rsid w:val="00824A4F"/>
    <w:rsid w:val="0082538D"/>
    <w:rsid w:val="008276E7"/>
    <w:rsid w:val="00827E96"/>
    <w:rsid w:val="0083239D"/>
    <w:rsid w:val="008325FB"/>
    <w:rsid w:val="00832782"/>
    <w:rsid w:val="00832A09"/>
    <w:rsid w:val="00837006"/>
    <w:rsid w:val="00837C26"/>
    <w:rsid w:val="00837ED6"/>
    <w:rsid w:val="00840FA3"/>
    <w:rsid w:val="00841C54"/>
    <w:rsid w:val="00843418"/>
    <w:rsid w:val="00843723"/>
    <w:rsid w:val="00845B3E"/>
    <w:rsid w:val="0084656D"/>
    <w:rsid w:val="00850707"/>
    <w:rsid w:val="0085105F"/>
    <w:rsid w:val="00852357"/>
    <w:rsid w:val="0085624F"/>
    <w:rsid w:val="00861AC5"/>
    <w:rsid w:val="00870991"/>
    <w:rsid w:val="00871ED8"/>
    <w:rsid w:val="00873923"/>
    <w:rsid w:val="008744DC"/>
    <w:rsid w:val="008748AA"/>
    <w:rsid w:val="00875D14"/>
    <w:rsid w:val="0087665F"/>
    <w:rsid w:val="00877F9E"/>
    <w:rsid w:val="008801D4"/>
    <w:rsid w:val="00881CB5"/>
    <w:rsid w:val="00881D57"/>
    <w:rsid w:val="008824FE"/>
    <w:rsid w:val="00882970"/>
    <w:rsid w:val="00884B37"/>
    <w:rsid w:val="00894B80"/>
    <w:rsid w:val="00894DB9"/>
    <w:rsid w:val="00895C45"/>
    <w:rsid w:val="008969C8"/>
    <w:rsid w:val="00897AC1"/>
    <w:rsid w:val="008A4854"/>
    <w:rsid w:val="008A4997"/>
    <w:rsid w:val="008A564D"/>
    <w:rsid w:val="008A60E3"/>
    <w:rsid w:val="008A6EB8"/>
    <w:rsid w:val="008B1734"/>
    <w:rsid w:val="008B6D18"/>
    <w:rsid w:val="008C0533"/>
    <w:rsid w:val="008C29D1"/>
    <w:rsid w:val="008C5767"/>
    <w:rsid w:val="008C7780"/>
    <w:rsid w:val="008C7D86"/>
    <w:rsid w:val="008D1785"/>
    <w:rsid w:val="008D5FCE"/>
    <w:rsid w:val="008D6DC0"/>
    <w:rsid w:val="008E141E"/>
    <w:rsid w:val="008E1F00"/>
    <w:rsid w:val="008E270D"/>
    <w:rsid w:val="008E2DF2"/>
    <w:rsid w:val="008E46D0"/>
    <w:rsid w:val="008F0CC0"/>
    <w:rsid w:val="008F3E1D"/>
    <w:rsid w:val="008F5A4E"/>
    <w:rsid w:val="008F6328"/>
    <w:rsid w:val="008F6F4C"/>
    <w:rsid w:val="00902F21"/>
    <w:rsid w:val="00912F40"/>
    <w:rsid w:val="0091395E"/>
    <w:rsid w:val="00913BBC"/>
    <w:rsid w:val="00915933"/>
    <w:rsid w:val="00917217"/>
    <w:rsid w:val="0092311B"/>
    <w:rsid w:val="009231FB"/>
    <w:rsid w:val="00923F5D"/>
    <w:rsid w:val="00925BB3"/>
    <w:rsid w:val="00925D3E"/>
    <w:rsid w:val="009262E1"/>
    <w:rsid w:val="00927A5E"/>
    <w:rsid w:val="00931832"/>
    <w:rsid w:val="00931FEB"/>
    <w:rsid w:val="009331B6"/>
    <w:rsid w:val="009365C1"/>
    <w:rsid w:val="00936E38"/>
    <w:rsid w:val="00936F90"/>
    <w:rsid w:val="00940C73"/>
    <w:rsid w:val="0094191C"/>
    <w:rsid w:val="00941933"/>
    <w:rsid w:val="0094419A"/>
    <w:rsid w:val="0094576D"/>
    <w:rsid w:val="00945854"/>
    <w:rsid w:val="00945E5C"/>
    <w:rsid w:val="00950578"/>
    <w:rsid w:val="00951D09"/>
    <w:rsid w:val="00954D91"/>
    <w:rsid w:val="009602F2"/>
    <w:rsid w:val="00960AAE"/>
    <w:rsid w:val="00960ED8"/>
    <w:rsid w:val="00965082"/>
    <w:rsid w:val="00965BFB"/>
    <w:rsid w:val="00966142"/>
    <w:rsid w:val="009723C7"/>
    <w:rsid w:val="00975341"/>
    <w:rsid w:val="00981DC4"/>
    <w:rsid w:val="009830AF"/>
    <w:rsid w:val="00986B33"/>
    <w:rsid w:val="00987AD5"/>
    <w:rsid w:val="00987EA0"/>
    <w:rsid w:val="00987F50"/>
    <w:rsid w:val="00991412"/>
    <w:rsid w:val="00992D4C"/>
    <w:rsid w:val="00993BA4"/>
    <w:rsid w:val="009966C2"/>
    <w:rsid w:val="009A4B15"/>
    <w:rsid w:val="009A6AD8"/>
    <w:rsid w:val="009A6B40"/>
    <w:rsid w:val="009A6C70"/>
    <w:rsid w:val="009B0399"/>
    <w:rsid w:val="009B142C"/>
    <w:rsid w:val="009B367A"/>
    <w:rsid w:val="009B44E2"/>
    <w:rsid w:val="009B47D3"/>
    <w:rsid w:val="009B5A34"/>
    <w:rsid w:val="009B7138"/>
    <w:rsid w:val="009B7C59"/>
    <w:rsid w:val="009C1BDD"/>
    <w:rsid w:val="009C3AA1"/>
    <w:rsid w:val="009C4CE5"/>
    <w:rsid w:val="009D0F3C"/>
    <w:rsid w:val="009D1BD7"/>
    <w:rsid w:val="009D2668"/>
    <w:rsid w:val="009E0805"/>
    <w:rsid w:val="009E0FC8"/>
    <w:rsid w:val="009E276F"/>
    <w:rsid w:val="009E46FB"/>
    <w:rsid w:val="009E6622"/>
    <w:rsid w:val="009F0248"/>
    <w:rsid w:val="009F43D7"/>
    <w:rsid w:val="009F5D99"/>
    <w:rsid w:val="00A036E5"/>
    <w:rsid w:val="00A07CB2"/>
    <w:rsid w:val="00A10AF5"/>
    <w:rsid w:val="00A12E63"/>
    <w:rsid w:val="00A21131"/>
    <w:rsid w:val="00A22D9F"/>
    <w:rsid w:val="00A2385B"/>
    <w:rsid w:val="00A25835"/>
    <w:rsid w:val="00A25E4E"/>
    <w:rsid w:val="00A26271"/>
    <w:rsid w:val="00A26D77"/>
    <w:rsid w:val="00A27B3A"/>
    <w:rsid w:val="00A31BE3"/>
    <w:rsid w:val="00A377C4"/>
    <w:rsid w:val="00A402E2"/>
    <w:rsid w:val="00A41D70"/>
    <w:rsid w:val="00A42A2A"/>
    <w:rsid w:val="00A42ACA"/>
    <w:rsid w:val="00A478EE"/>
    <w:rsid w:val="00A5321C"/>
    <w:rsid w:val="00A552BF"/>
    <w:rsid w:val="00A559CC"/>
    <w:rsid w:val="00A5636C"/>
    <w:rsid w:val="00A56D0E"/>
    <w:rsid w:val="00A6044A"/>
    <w:rsid w:val="00A6374A"/>
    <w:rsid w:val="00A64129"/>
    <w:rsid w:val="00A65600"/>
    <w:rsid w:val="00A66B42"/>
    <w:rsid w:val="00A7335C"/>
    <w:rsid w:val="00A73FE3"/>
    <w:rsid w:val="00A75F9E"/>
    <w:rsid w:val="00A803A5"/>
    <w:rsid w:val="00A80CB8"/>
    <w:rsid w:val="00A818D8"/>
    <w:rsid w:val="00A81F82"/>
    <w:rsid w:val="00A8597D"/>
    <w:rsid w:val="00A85C80"/>
    <w:rsid w:val="00A87E41"/>
    <w:rsid w:val="00A91094"/>
    <w:rsid w:val="00A93BBE"/>
    <w:rsid w:val="00A94244"/>
    <w:rsid w:val="00A96B3E"/>
    <w:rsid w:val="00AA3768"/>
    <w:rsid w:val="00AA48B6"/>
    <w:rsid w:val="00AB0557"/>
    <w:rsid w:val="00AB29EB"/>
    <w:rsid w:val="00AB2BD5"/>
    <w:rsid w:val="00AB3F66"/>
    <w:rsid w:val="00AB498F"/>
    <w:rsid w:val="00AB631B"/>
    <w:rsid w:val="00AB7FE1"/>
    <w:rsid w:val="00AC0440"/>
    <w:rsid w:val="00AC1701"/>
    <w:rsid w:val="00AC313A"/>
    <w:rsid w:val="00AC3743"/>
    <w:rsid w:val="00AC46B1"/>
    <w:rsid w:val="00AC4EDB"/>
    <w:rsid w:val="00AC4F33"/>
    <w:rsid w:val="00AC5543"/>
    <w:rsid w:val="00AC570D"/>
    <w:rsid w:val="00AD03BF"/>
    <w:rsid w:val="00AD1FB9"/>
    <w:rsid w:val="00AD457E"/>
    <w:rsid w:val="00AE029C"/>
    <w:rsid w:val="00AE2104"/>
    <w:rsid w:val="00AE2A1B"/>
    <w:rsid w:val="00AE5BEF"/>
    <w:rsid w:val="00AE5CC5"/>
    <w:rsid w:val="00AE6090"/>
    <w:rsid w:val="00AE6AEE"/>
    <w:rsid w:val="00AF1FF7"/>
    <w:rsid w:val="00AF33B1"/>
    <w:rsid w:val="00AF4AC6"/>
    <w:rsid w:val="00AF4BD2"/>
    <w:rsid w:val="00AF61E2"/>
    <w:rsid w:val="00B005BC"/>
    <w:rsid w:val="00B00E0E"/>
    <w:rsid w:val="00B05689"/>
    <w:rsid w:val="00B077A3"/>
    <w:rsid w:val="00B12934"/>
    <w:rsid w:val="00B16457"/>
    <w:rsid w:val="00B168F7"/>
    <w:rsid w:val="00B17969"/>
    <w:rsid w:val="00B20009"/>
    <w:rsid w:val="00B202EC"/>
    <w:rsid w:val="00B25AAE"/>
    <w:rsid w:val="00B300A4"/>
    <w:rsid w:val="00B31473"/>
    <w:rsid w:val="00B3261F"/>
    <w:rsid w:val="00B36B0C"/>
    <w:rsid w:val="00B37E8F"/>
    <w:rsid w:val="00B40C75"/>
    <w:rsid w:val="00B413C2"/>
    <w:rsid w:val="00B41847"/>
    <w:rsid w:val="00B42B80"/>
    <w:rsid w:val="00B46769"/>
    <w:rsid w:val="00B4681B"/>
    <w:rsid w:val="00B47440"/>
    <w:rsid w:val="00B5038B"/>
    <w:rsid w:val="00B52476"/>
    <w:rsid w:val="00B52B11"/>
    <w:rsid w:val="00B579AC"/>
    <w:rsid w:val="00B617E4"/>
    <w:rsid w:val="00B629AF"/>
    <w:rsid w:val="00B64C4E"/>
    <w:rsid w:val="00B664DE"/>
    <w:rsid w:val="00B713FD"/>
    <w:rsid w:val="00B729A7"/>
    <w:rsid w:val="00B731F7"/>
    <w:rsid w:val="00B77D6C"/>
    <w:rsid w:val="00B80B5A"/>
    <w:rsid w:val="00B80EFB"/>
    <w:rsid w:val="00B83B0F"/>
    <w:rsid w:val="00B83CCF"/>
    <w:rsid w:val="00B84E77"/>
    <w:rsid w:val="00BA0BDC"/>
    <w:rsid w:val="00BA0CC7"/>
    <w:rsid w:val="00BA38CD"/>
    <w:rsid w:val="00BA4995"/>
    <w:rsid w:val="00BA6294"/>
    <w:rsid w:val="00BA6568"/>
    <w:rsid w:val="00BA7EB1"/>
    <w:rsid w:val="00BB0999"/>
    <w:rsid w:val="00BB4005"/>
    <w:rsid w:val="00BB5AFC"/>
    <w:rsid w:val="00BB7536"/>
    <w:rsid w:val="00BC0951"/>
    <w:rsid w:val="00BC0B49"/>
    <w:rsid w:val="00BC3885"/>
    <w:rsid w:val="00BC3DEF"/>
    <w:rsid w:val="00BC3FBB"/>
    <w:rsid w:val="00BC57C6"/>
    <w:rsid w:val="00BC6067"/>
    <w:rsid w:val="00BD1E3C"/>
    <w:rsid w:val="00BD360D"/>
    <w:rsid w:val="00BD397D"/>
    <w:rsid w:val="00BE0412"/>
    <w:rsid w:val="00BE1672"/>
    <w:rsid w:val="00BE246D"/>
    <w:rsid w:val="00BE4545"/>
    <w:rsid w:val="00BE54BB"/>
    <w:rsid w:val="00BF06FF"/>
    <w:rsid w:val="00BF17AA"/>
    <w:rsid w:val="00BF210F"/>
    <w:rsid w:val="00BF226E"/>
    <w:rsid w:val="00BF32BA"/>
    <w:rsid w:val="00BF5364"/>
    <w:rsid w:val="00C0400F"/>
    <w:rsid w:val="00C05D62"/>
    <w:rsid w:val="00C06F9C"/>
    <w:rsid w:val="00C079DC"/>
    <w:rsid w:val="00C102C6"/>
    <w:rsid w:val="00C12524"/>
    <w:rsid w:val="00C13A88"/>
    <w:rsid w:val="00C215E0"/>
    <w:rsid w:val="00C2388B"/>
    <w:rsid w:val="00C23985"/>
    <w:rsid w:val="00C24556"/>
    <w:rsid w:val="00C2532A"/>
    <w:rsid w:val="00C25920"/>
    <w:rsid w:val="00C26A37"/>
    <w:rsid w:val="00C278FC"/>
    <w:rsid w:val="00C31567"/>
    <w:rsid w:val="00C31ED1"/>
    <w:rsid w:val="00C334A1"/>
    <w:rsid w:val="00C34D9E"/>
    <w:rsid w:val="00C414C4"/>
    <w:rsid w:val="00C41D30"/>
    <w:rsid w:val="00C5208D"/>
    <w:rsid w:val="00C54996"/>
    <w:rsid w:val="00C5647C"/>
    <w:rsid w:val="00C574D3"/>
    <w:rsid w:val="00C57631"/>
    <w:rsid w:val="00C5785C"/>
    <w:rsid w:val="00C578F5"/>
    <w:rsid w:val="00C613B3"/>
    <w:rsid w:val="00C61CA3"/>
    <w:rsid w:val="00C7089A"/>
    <w:rsid w:val="00C721B4"/>
    <w:rsid w:val="00C75F2F"/>
    <w:rsid w:val="00C76360"/>
    <w:rsid w:val="00C76DD8"/>
    <w:rsid w:val="00C83582"/>
    <w:rsid w:val="00C83B69"/>
    <w:rsid w:val="00C842DF"/>
    <w:rsid w:val="00C85860"/>
    <w:rsid w:val="00C863BA"/>
    <w:rsid w:val="00C8669F"/>
    <w:rsid w:val="00C91692"/>
    <w:rsid w:val="00C923B4"/>
    <w:rsid w:val="00C92A0B"/>
    <w:rsid w:val="00C96B47"/>
    <w:rsid w:val="00CA00D0"/>
    <w:rsid w:val="00CA096F"/>
    <w:rsid w:val="00CA0D90"/>
    <w:rsid w:val="00CA280B"/>
    <w:rsid w:val="00CB05C9"/>
    <w:rsid w:val="00CB4BC5"/>
    <w:rsid w:val="00CC0071"/>
    <w:rsid w:val="00CC15E1"/>
    <w:rsid w:val="00CC2A1F"/>
    <w:rsid w:val="00CD046F"/>
    <w:rsid w:val="00CD1C69"/>
    <w:rsid w:val="00CD2DCF"/>
    <w:rsid w:val="00CD303D"/>
    <w:rsid w:val="00CD5B18"/>
    <w:rsid w:val="00CD6719"/>
    <w:rsid w:val="00CD7038"/>
    <w:rsid w:val="00CD7B2E"/>
    <w:rsid w:val="00CE0290"/>
    <w:rsid w:val="00CE1187"/>
    <w:rsid w:val="00CE203C"/>
    <w:rsid w:val="00CE2692"/>
    <w:rsid w:val="00CE5D57"/>
    <w:rsid w:val="00CE63E9"/>
    <w:rsid w:val="00CE6544"/>
    <w:rsid w:val="00CE6798"/>
    <w:rsid w:val="00CF28E9"/>
    <w:rsid w:val="00CF3369"/>
    <w:rsid w:val="00CF37D1"/>
    <w:rsid w:val="00CF3FBE"/>
    <w:rsid w:val="00CF6206"/>
    <w:rsid w:val="00CF6548"/>
    <w:rsid w:val="00D006B0"/>
    <w:rsid w:val="00D00BEC"/>
    <w:rsid w:val="00D0341A"/>
    <w:rsid w:val="00D04539"/>
    <w:rsid w:val="00D06CDD"/>
    <w:rsid w:val="00D06FBC"/>
    <w:rsid w:val="00D11094"/>
    <w:rsid w:val="00D1547D"/>
    <w:rsid w:val="00D15BF2"/>
    <w:rsid w:val="00D21CEA"/>
    <w:rsid w:val="00D25A35"/>
    <w:rsid w:val="00D26413"/>
    <w:rsid w:val="00D305FC"/>
    <w:rsid w:val="00D42A81"/>
    <w:rsid w:val="00D43BEE"/>
    <w:rsid w:val="00D44E51"/>
    <w:rsid w:val="00D46F17"/>
    <w:rsid w:val="00D4780B"/>
    <w:rsid w:val="00D54232"/>
    <w:rsid w:val="00D54823"/>
    <w:rsid w:val="00D550B2"/>
    <w:rsid w:val="00D6664E"/>
    <w:rsid w:val="00D67659"/>
    <w:rsid w:val="00D71BD5"/>
    <w:rsid w:val="00D733F5"/>
    <w:rsid w:val="00D743B2"/>
    <w:rsid w:val="00D74C80"/>
    <w:rsid w:val="00D75268"/>
    <w:rsid w:val="00D75C16"/>
    <w:rsid w:val="00D7639C"/>
    <w:rsid w:val="00D771A8"/>
    <w:rsid w:val="00D809E7"/>
    <w:rsid w:val="00D81407"/>
    <w:rsid w:val="00D81C0B"/>
    <w:rsid w:val="00D83720"/>
    <w:rsid w:val="00D841D2"/>
    <w:rsid w:val="00D9075D"/>
    <w:rsid w:val="00D90913"/>
    <w:rsid w:val="00D90A04"/>
    <w:rsid w:val="00D915B9"/>
    <w:rsid w:val="00D94FDB"/>
    <w:rsid w:val="00D96024"/>
    <w:rsid w:val="00DA47AB"/>
    <w:rsid w:val="00DA485C"/>
    <w:rsid w:val="00DA4A77"/>
    <w:rsid w:val="00DA7F8B"/>
    <w:rsid w:val="00DB0582"/>
    <w:rsid w:val="00DB20D7"/>
    <w:rsid w:val="00DB545B"/>
    <w:rsid w:val="00DB67CB"/>
    <w:rsid w:val="00DC15BF"/>
    <w:rsid w:val="00DC39B9"/>
    <w:rsid w:val="00DC4D0F"/>
    <w:rsid w:val="00DC61E4"/>
    <w:rsid w:val="00DC7635"/>
    <w:rsid w:val="00DD40B9"/>
    <w:rsid w:val="00DD4101"/>
    <w:rsid w:val="00DD4EB9"/>
    <w:rsid w:val="00DD594E"/>
    <w:rsid w:val="00DD680A"/>
    <w:rsid w:val="00DE0286"/>
    <w:rsid w:val="00DE14FD"/>
    <w:rsid w:val="00DE5FE0"/>
    <w:rsid w:val="00DE7A58"/>
    <w:rsid w:val="00DF21E5"/>
    <w:rsid w:val="00DF25F0"/>
    <w:rsid w:val="00DF2C25"/>
    <w:rsid w:val="00DF2FD3"/>
    <w:rsid w:val="00E006DC"/>
    <w:rsid w:val="00E00B59"/>
    <w:rsid w:val="00E00E7F"/>
    <w:rsid w:val="00E028CA"/>
    <w:rsid w:val="00E03B93"/>
    <w:rsid w:val="00E049ED"/>
    <w:rsid w:val="00E05E39"/>
    <w:rsid w:val="00E115E9"/>
    <w:rsid w:val="00E11A6C"/>
    <w:rsid w:val="00E12656"/>
    <w:rsid w:val="00E13B7F"/>
    <w:rsid w:val="00E16FE4"/>
    <w:rsid w:val="00E172E5"/>
    <w:rsid w:val="00E2067C"/>
    <w:rsid w:val="00E220C5"/>
    <w:rsid w:val="00E225A9"/>
    <w:rsid w:val="00E245D4"/>
    <w:rsid w:val="00E30BD5"/>
    <w:rsid w:val="00E31103"/>
    <w:rsid w:val="00E360B3"/>
    <w:rsid w:val="00E368E5"/>
    <w:rsid w:val="00E3781D"/>
    <w:rsid w:val="00E37ADD"/>
    <w:rsid w:val="00E431C5"/>
    <w:rsid w:val="00E45E5B"/>
    <w:rsid w:val="00E47389"/>
    <w:rsid w:val="00E5165F"/>
    <w:rsid w:val="00E52251"/>
    <w:rsid w:val="00E537D6"/>
    <w:rsid w:val="00E537FE"/>
    <w:rsid w:val="00E56B87"/>
    <w:rsid w:val="00E57D90"/>
    <w:rsid w:val="00E63ADB"/>
    <w:rsid w:val="00E640C7"/>
    <w:rsid w:val="00E648A4"/>
    <w:rsid w:val="00E64FD9"/>
    <w:rsid w:val="00E66486"/>
    <w:rsid w:val="00E6750F"/>
    <w:rsid w:val="00E706E9"/>
    <w:rsid w:val="00E73D6B"/>
    <w:rsid w:val="00E7401C"/>
    <w:rsid w:val="00E74728"/>
    <w:rsid w:val="00E75429"/>
    <w:rsid w:val="00E75780"/>
    <w:rsid w:val="00E75C2D"/>
    <w:rsid w:val="00E7718E"/>
    <w:rsid w:val="00E803E1"/>
    <w:rsid w:val="00E806E6"/>
    <w:rsid w:val="00E81810"/>
    <w:rsid w:val="00E83DC2"/>
    <w:rsid w:val="00E84EA2"/>
    <w:rsid w:val="00E85399"/>
    <w:rsid w:val="00E86CFC"/>
    <w:rsid w:val="00E922D2"/>
    <w:rsid w:val="00E92908"/>
    <w:rsid w:val="00E92956"/>
    <w:rsid w:val="00E953A5"/>
    <w:rsid w:val="00E9734C"/>
    <w:rsid w:val="00EA0BB7"/>
    <w:rsid w:val="00EA1F43"/>
    <w:rsid w:val="00EA229A"/>
    <w:rsid w:val="00EA3178"/>
    <w:rsid w:val="00EA4AC4"/>
    <w:rsid w:val="00EA4B79"/>
    <w:rsid w:val="00EA68CA"/>
    <w:rsid w:val="00EB045D"/>
    <w:rsid w:val="00EB079A"/>
    <w:rsid w:val="00EB0FD2"/>
    <w:rsid w:val="00EB1D6A"/>
    <w:rsid w:val="00EB2868"/>
    <w:rsid w:val="00EB5101"/>
    <w:rsid w:val="00EC2C2A"/>
    <w:rsid w:val="00EC5B9B"/>
    <w:rsid w:val="00EC7DE7"/>
    <w:rsid w:val="00ED0110"/>
    <w:rsid w:val="00ED1820"/>
    <w:rsid w:val="00ED2545"/>
    <w:rsid w:val="00EE0575"/>
    <w:rsid w:val="00EE07BE"/>
    <w:rsid w:val="00EE208F"/>
    <w:rsid w:val="00EE445B"/>
    <w:rsid w:val="00EE69BF"/>
    <w:rsid w:val="00EF1FCA"/>
    <w:rsid w:val="00EF2FBC"/>
    <w:rsid w:val="00EF6103"/>
    <w:rsid w:val="00EF76BE"/>
    <w:rsid w:val="00F035C8"/>
    <w:rsid w:val="00F03E53"/>
    <w:rsid w:val="00F04246"/>
    <w:rsid w:val="00F04A56"/>
    <w:rsid w:val="00F0527D"/>
    <w:rsid w:val="00F11D41"/>
    <w:rsid w:val="00F15936"/>
    <w:rsid w:val="00F1620D"/>
    <w:rsid w:val="00F16C3C"/>
    <w:rsid w:val="00F20062"/>
    <w:rsid w:val="00F30330"/>
    <w:rsid w:val="00F32FD2"/>
    <w:rsid w:val="00F36FA0"/>
    <w:rsid w:val="00F4373E"/>
    <w:rsid w:val="00F448A1"/>
    <w:rsid w:val="00F45E9B"/>
    <w:rsid w:val="00F46C28"/>
    <w:rsid w:val="00F46E2F"/>
    <w:rsid w:val="00F50166"/>
    <w:rsid w:val="00F53589"/>
    <w:rsid w:val="00F5729E"/>
    <w:rsid w:val="00F575CD"/>
    <w:rsid w:val="00F60278"/>
    <w:rsid w:val="00F61B8F"/>
    <w:rsid w:val="00F62D13"/>
    <w:rsid w:val="00F63CF0"/>
    <w:rsid w:val="00F65891"/>
    <w:rsid w:val="00F65D57"/>
    <w:rsid w:val="00F666EB"/>
    <w:rsid w:val="00F70504"/>
    <w:rsid w:val="00F71821"/>
    <w:rsid w:val="00F72843"/>
    <w:rsid w:val="00F754C3"/>
    <w:rsid w:val="00F75F9C"/>
    <w:rsid w:val="00F76EC6"/>
    <w:rsid w:val="00F81F90"/>
    <w:rsid w:val="00F8225C"/>
    <w:rsid w:val="00F84F17"/>
    <w:rsid w:val="00F85782"/>
    <w:rsid w:val="00F86201"/>
    <w:rsid w:val="00F90253"/>
    <w:rsid w:val="00F90615"/>
    <w:rsid w:val="00F906E7"/>
    <w:rsid w:val="00F932E3"/>
    <w:rsid w:val="00F95C51"/>
    <w:rsid w:val="00F96A00"/>
    <w:rsid w:val="00FA0996"/>
    <w:rsid w:val="00FA1674"/>
    <w:rsid w:val="00FA28DC"/>
    <w:rsid w:val="00FA5E92"/>
    <w:rsid w:val="00FA741C"/>
    <w:rsid w:val="00FA7A92"/>
    <w:rsid w:val="00FB0EC8"/>
    <w:rsid w:val="00FB15FF"/>
    <w:rsid w:val="00FB32A1"/>
    <w:rsid w:val="00FB599A"/>
    <w:rsid w:val="00FC3407"/>
    <w:rsid w:val="00FC3AD5"/>
    <w:rsid w:val="00FC403B"/>
    <w:rsid w:val="00FC5B61"/>
    <w:rsid w:val="00FC5E7F"/>
    <w:rsid w:val="00FC67ED"/>
    <w:rsid w:val="00FD0B35"/>
    <w:rsid w:val="00FD2927"/>
    <w:rsid w:val="00FD2AD6"/>
    <w:rsid w:val="00FD56F1"/>
    <w:rsid w:val="00FD690E"/>
    <w:rsid w:val="00FD6A92"/>
    <w:rsid w:val="00FD6EFE"/>
    <w:rsid w:val="00FD7F7E"/>
    <w:rsid w:val="00FE2530"/>
    <w:rsid w:val="00FE349E"/>
    <w:rsid w:val="00FE37FF"/>
    <w:rsid w:val="00FE3D98"/>
    <w:rsid w:val="00FE4313"/>
    <w:rsid w:val="00FE4CB8"/>
    <w:rsid w:val="00FF0091"/>
    <w:rsid w:val="00FF4E9B"/>
    <w:rsid w:val="00FF62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D95CDDC-9A21-482A-8333-3E25FAA0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1620D"/>
    <w:pPr>
      <w:numPr>
        <w:numId w:val="2"/>
      </w:numPr>
    </w:pPr>
    <w:rPr>
      <w:rFonts w:eastAsia="Times New Roman"/>
      <w:lang w:eastAsia="de-DE"/>
    </w:rPr>
  </w:style>
  <w:style w:type="paragraph" w:styleId="ListNumber">
    <w:name w:val="List Number"/>
    <w:basedOn w:val="Normal"/>
    <w:rsid w:val="00F1620D"/>
    <w:pPr>
      <w:numPr>
        <w:numId w:val="6"/>
      </w:numPr>
    </w:pPr>
    <w:rPr>
      <w:rFonts w:eastAsia="Times New Roman"/>
      <w:lang w:eastAsia="de-DE"/>
    </w:rPr>
  </w:style>
  <w:style w:type="paragraph" w:customStyle="1" w:styleId="ListBullet1">
    <w:name w:val="List Bullet 1"/>
    <w:basedOn w:val="Normal"/>
    <w:rsid w:val="00F1620D"/>
    <w:pPr>
      <w:numPr>
        <w:numId w:val="1"/>
      </w:numPr>
    </w:pPr>
    <w:rPr>
      <w:rFonts w:eastAsia="Times New Roman"/>
      <w:lang w:eastAsia="de-DE"/>
    </w:rPr>
  </w:style>
  <w:style w:type="paragraph" w:customStyle="1" w:styleId="ListDash">
    <w:name w:val="List Dash"/>
    <w:basedOn w:val="Normal"/>
    <w:rsid w:val="00F1620D"/>
    <w:pPr>
      <w:numPr>
        <w:numId w:val="3"/>
      </w:numPr>
    </w:pPr>
    <w:rPr>
      <w:rFonts w:eastAsia="Times New Roman"/>
      <w:lang w:eastAsia="de-DE"/>
    </w:rPr>
  </w:style>
  <w:style w:type="paragraph" w:customStyle="1" w:styleId="ListDash1">
    <w:name w:val="List Dash 1"/>
    <w:basedOn w:val="Normal"/>
    <w:rsid w:val="00F1620D"/>
    <w:pPr>
      <w:numPr>
        <w:numId w:val="4"/>
      </w:numPr>
    </w:pPr>
    <w:rPr>
      <w:rFonts w:eastAsia="Times New Roman"/>
      <w:lang w:eastAsia="de-DE"/>
    </w:rPr>
  </w:style>
  <w:style w:type="paragraph" w:customStyle="1" w:styleId="ListDash2">
    <w:name w:val="List Dash 2"/>
    <w:basedOn w:val="Normal"/>
    <w:rsid w:val="00F1620D"/>
    <w:pPr>
      <w:numPr>
        <w:numId w:val="5"/>
      </w:numPr>
    </w:pPr>
    <w:rPr>
      <w:rFonts w:eastAsia="Times New Roman"/>
      <w:lang w:eastAsia="de-DE"/>
    </w:rPr>
  </w:style>
  <w:style w:type="paragraph" w:customStyle="1" w:styleId="ListNumberLevel2">
    <w:name w:val="List Number (Level 2)"/>
    <w:basedOn w:val="Normal"/>
    <w:rsid w:val="00F1620D"/>
    <w:pPr>
      <w:numPr>
        <w:ilvl w:val="1"/>
        <w:numId w:val="6"/>
      </w:numPr>
    </w:pPr>
    <w:rPr>
      <w:rFonts w:eastAsia="Times New Roman"/>
      <w:lang w:eastAsia="de-DE"/>
    </w:rPr>
  </w:style>
  <w:style w:type="paragraph" w:customStyle="1" w:styleId="ListNumberLevel3">
    <w:name w:val="List Number (Level 3)"/>
    <w:basedOn w:val="Normal"/>
    <w:rsid w:val="00F1620D"/>
    <w:pPr>
      <w:numPr>
        <w:ilvl w:val="2"/>
        <w:numId w:val="6"/>
      </w:numPr>
    </w:pPr>
    <w:rPr>
      <w:rFonts w:eastAsia="Times New Roman"/>
      <w:lang w:eastAsia="de-DE"/>
    </w:rPr>
  </w:style>
  <w:style w:type="paragraph" w:customStyle="1" w:styleId="ListNumberLevel4">
    <w:name w:val="List Number (Level 4)"/>
    <w:basedOn w:val="Normal"/>
    <w:rsid w:val="00F1620D"/>
    <w:pPr>
      <w:numPr>
        <w:ilvl w:val="3"/>
        <w:numId w:val="6"/>
      </w:numPr>
    </w:pPr>
    <w:rPr>
      <w:rFonts w:eastAsia="Times New Roman"/>
      <w:lang w:eastAsia="de-DE"/>
    </w:rPr>
  </w:style>
  <w:style w:type="character" w:styleId="Hyperlink">
    <w:name w:val="Hyperlink"/>
    <w:rsid w:val="00F1620D"/>
    <w:rPr>
      <w:color w:val="0000FF"/>
      <w:u w:val="single"/>
    </w:rPr>
  </w:style>
  <w:style w:type="paragraph" w:styleId="ListBullet">
    <w:name w:val="List Bullet"/>
    <w:basedOn w:val="Normal"/>
    <w:rsid w:val="00F1620D"/>
    <w:pPr>
      <w:numPr>
        <w:numId w:val="7"/>
      </w:numPr>
    </w:pPr>
    <w:rPr>
      <w:rFonts w:eastAsia="Times New Roman"/>
      <w:lang w:eastAsia="en-GB"/>
    </w:rPr>
  </w:style>
  <w:style w:type="paragraph" w:styleId="ListBullet2">
    <w:name w:val="List Bullet 2"/>
    <w:basedOn w:val="Normal"/>
    <w:rsid w:val="00F1620D"/>
    <w:pPr>
      <w:numPr>
        <w:numId w:val="8"/>
      </w:numPr>
    </w:pPr>
    <w:rPr>
      <w:rFonts w:eastAsia="Times New Roman"/>
      <w:lang w:eastAsia="en-GB"/>
    </w:rPr>
  </w:style>
  <w:style w:type="paragraph" w:styleId="ListBullet3">
    <w:name w:val="List Bullet 3"/>
    <w:basedOn w:val="Normal"/>
    <w:rsid w:val="00F1620D"/>
    <w:pPr>
      <w:numPr>
        <w:numId w:val="9"/>
      </w:numPr>
    </w:pPr>
    <w:rPr>
      <w:rFonts w:eastAsia="Times New Roman"/>
      <w:lang w:eastAsia="en-GB"/>
    </w:rPr>
  </w:style>
  <w:style w:type="paragraph" w:styleId="ListNumber2">
    <w:name w:val="List Number 2"/>
    <w:basedOn w:val="Normal"/>
    <w:rsid w:val="00F1620D"/>
    <w:pPr>
      <w:numPr>
        <w:numId w:val="13"/>
      </w:numPr>
    </w:pPr>
    <w:rPr>
      <w:rFonts w:eastAsia="Times New Roman"/>
      <w:lang w:eastAsia="en-GB"/>
    </w:rPr>
  </w:style>
  <w:style w:type="paragraph" w:styleId="ListNumber3">
    <w:name w:val="List Number 3"/>
    <w:basedOn w:val="Normal"/>
    <w:rsid w:val="00F1620D"/>
    <w:pPr>
      <w:numPr>
        <w:numId w:val="14"/>
      </w:numPr>
    </w:pPr>
    <w:rPr>
      <w:rFonts w:eastAsia="Times New Roman"/>
      <w:lang w:eastAsia="en-GB"/>
    </w:rPr>
  </w:style>
  <w:style w:type="paragraph" w:styleId="ListNumber4">
    <w:name w:val="List Number 4"/>
    <w:basedOn w:val="Normal"/>
    <w:rsid w:val="00F1620D"/>
    <w:pPr>
      <w:numPr>
        <w:numId w:val="15"/>
      </w:numPr>
    </w:pPr>
    <w:rPr>
      <w:rFonts w:eastAsia="Times New Roman"/>
      <w:lang w:eastAsia="en-GB"/>
    </w:rPr>
  </w:style>
  <w:style w:type="paragraph" w:customStyle="1" w:styleId="ListDash3">
    <w:name w:val="List Dash 3"/>
    <w:basedOn w:val="Normal"/>
    <w:rsid w:val="00F1620D"/>
    <w:pPr>
      <w:numPr>
        <w:numId w:val="10"/>
      </w:numPr>
    </w:pPr>
    <w:rPr>
      <w:rFonts w:eastAsia="Times New Roman"/>
      <w:lang w:eastAsia="en-GB"/>
    </w:rPr>
  </w:style>
  <w:style w:type="paragraph" w:customStyle="1" w:styleId="ListDash4">
    <w:name w:val="List Dash 4"/>
    <w:basedOn w:val="Normal"/>
    <w:rsid w:val="00F1620D"/>
    <w:pPr>
      <w:numPr>
        <w:numId w:val="11"/>
      </w:numPr>
    </w:pPr>
    <w:rPr>
      <w:rFonts w:eastAsia="Times New Roman"/>
      <w:lang w:eastAsia="en-GB"/>
    </w:rPr>
  </w:style>
  <w:style w:type="paragraph" w:customStyle="1" w:styleId="ListNumber1">
    <w:name w:val="List Number 1"/>
    <w:basedOn w:val="Text1"/>
    <w:rsid w:val="00F1620D"/>
    <w:pPr>
      <w:tabs>
        <w:tab w:val="num" w:pos="1560"/>
      </w:tabs>
      <w:ind w:left="1560" w:hanging="709"/>
    </w:pPr>
    <w:rPr>
      <w:rFonts w:eastAsia="Times New Roman"/>
      <w:lang w:eastAsia="en-GB"/>
    </w:rPr>
  </w:style>
  <w:style w:type="paragraph" w:customStyle="1" w:styleId="ListNumber1Level2">
    <w:name w:val="List Number 1 (Level 2)"/>
    <w:basedOn w:val="Text1"/>
    <w:rsid w:val="00F1620D"/>
    <w:pPr>
      <w:numPr>
        <w:ilvl w:val="1"/>
        <w:numId w:val="12"/>
      </w:numPr>
    </w:pPr>
    <w:rPr>
      <w:rFonts w:eastAsia="Times New Roman"/>
      <w:lang w:eastAsia="en-GB"/>
    </w:rPr>
  </w:style>
  <w:style w:type="paragraph" w:customStyle="1" w:styleId="ListNumber2Level2">
    <w:name w:val="List Number 2 (Level 2)"/>
    <w:basedOn w:val="Text2"/>
    <w:rsid w:val="00F1620D"/>
    <w:pPr>
      <w:numPr>
        <w:ilvl w:val="1"/>
        <w:numId w:val="13"/>
      </w:numPr>
    </w:pPr>
    <w:rPr>
      <w:rFonts w:eastAsia="Times New Roman"/>
      <w:lang w:eastAsia="en-GB"/>
    </w:rPr>
  </w:style>
  <w:style w:type="paragraph" w:customStyle="1" w:styleId="ListNumber3Level2">
    <w:name w:val="List Number 3 (Level 2)"/>
    <w:basedOn w:val="Text3"/>
    <w:rsid w:val="00F1620D"/>
    <w:pPr>
      <w:numPr>
        <w:ilvl w:val="1"/>
        <w:numId w:val="14"/>
      </w:numPr>
    </w:pPr>
    <w:rPr>
      <w:rFonts w:eastAsia="Times New Roman"/>
      <w:lang w:eastAsia="en-GB"/>
    </w:rPr>
  </w:style>
  <w:style w:type="paragraph" w:customStyle="1" w:styleId="ListNumber4Level2">
    <w:name w:val="List Number 4 (Level 2)"/>
    <w:basedOn w:val="Text4"/>
    <w:rsid w:val="00F1620D"/>
    <w:pPr>
      <w:numPr>
        <w:ilvl w:val="1"/>
        <w:numId w:val="15"/>
      </w:numPr>
    </w:pPr>
    <w:rPr>
      <w:rFonts w:eastAsia="Times New Roman"/>
      <w:lang w:eastAsia="en-GB"/>
    </w:rPr>
  </w:style>
  <w:style w:type="paragraph" w:customStyle="1" w:styleId="ListNumber1Level3">
    <w:name w:val="List Number 1 (Level 3)"/>
    <w:basedOn w:val="Text1"/>
    <w:rsid w:val="00F1620D"/>
    <w:pPr>
      <w:numPr>
        <w:ilvl w:val="2"/>
        <w:numId w:val="12"/>
      </w:numPr>
    </w:pPr>
    <w:rPr>
      <w:rFonts w:eastAsia="Times New Roman"/>
      <w:lang w:eastAsia="en-GB"/>
    </w:rPr>
  </w:style>
  <w:style w:type="paragraph" w:customStyle="1" w:styleId="ListNumber2Level3">
    <w:name w:val="List Number 2 (Level 3)"/>
    <w:basedOn w:val="Text2"/>
    <w:rsid w:val="00F1620D"/>
    <w:pPr>
      <w:numPr>
        <w:ilvl w:val="2"/>
        <w:numId w:val="13"/>
      </w:numPr>
    </w:pPr>
    <w:rPr>
      <w:rFonts w:eastAsia="Times New Roman"/>
      <w:lang w:eastAsia="en-GB"/>
    </w:rPr>
  </w:style>
  <w:style w:type="paragraph" w:customStyle="1" w:styleId="ListNumber3Level3">
    <w:name w:val="List Number 3 (Level 3)"/>
    <w:basedOn w:val="Text3"/>
    <w:rsid w:val="00F1620D"/>
    <w:pPr>
      <w:numPr>
        <w:ilvl w:val="2"/>
        <w:numId w:val="14"/>
      </w:numPr>
    </w:pPr>
    <w:rPr>
      <w:rFonts w:eastAsia="Times New Roman"/>
      <w:lang w:eastAsia="en-GB"/>
    </w:rPr>
  </w:style>
  <w:style w:type="paragraph" w:customStyle="1" w:styleId="ListNumber4Level3">
    <w:name w:val="List Number 4 (Level 3)"/>
    <w:basedOn w:val="Text4"/>
    <w:rsid w:val="00F1620D"/>
    <w:pPr>
      <w:numPr>
        <w:ilvl w:val="2"/>
        <w:numId w:val="15"/>
      </w:numPr>
    </w:pPr>
    <w:rPr>
      <w:rFonts w:eastAsia="Times New Roman"/>
      <w:lang w:eastAsia="en-GB"/>
    </w:rPr>
  </w:style>
  <w:style w:type="paragraph" w:customStyle="1" w:styleId="ListNumber1Level4">
    <w:name w:val="List Number 1 (Level 4)"/>
    <w:basedOn w:val="Text1"/>
    <w:rsid w:val="00F1620D"/>
    <w:pPr>
      <w:numPr>
        <w:ilvl w:val="3"/>
        <w:numId w:val="12"/>
      </w:numPr>
    </w:pPr>
    <w:rPr>
      <w:rFonts w:eastAsia="Times New Roman"/>
      <w:lang w:eastAsia="en-GB"/>
    </w:rPr>
  </w:style>
  <w:style w:type="paragraph" w:customStyle="1" w:styleId="ListNumber2Level4">
    <w:name w:val="List Number 2 (Level 4)"/>
    <w:basedOn w:val="Text2"/>
    <w:rsid w:val="00F1620D"/>
    <w:pPr>
      <w:numPr>
        <w:ilvl w:val="3"/>
        <w:numId w:val="13"/>
      </w:numPr>
    </w:pPr>
    <w:rPr>
      <w:rFonts w:eastAsia="Times New Roman"/>
      <w:lang w:eastAsia="en-GB"/>
    </w:rPr>
  </w:style>
  <w:style w:type="paragraph" w:customStyle="1" w:styleId="ListNumber3Level4">
    <w:name w:val="List Number 3 (Level 4)"/>
    <w:basedOn w:val="Text3"/>
    <w:rsid w:val="00F1620D"/>
    <w:pPr>
      <w:numPr>
        <w:ilvl w:val="3"/>
        <w:numId w:val="14"/>
      </w:numPr>
    </w:pPr>
    <w:rPr>
      <w:rFonts w:eastAsia="Times New Roman"/>
      <w:lang w:eastAsia="en-GB"/>
    </w:rPr>
  </w:style>
  <w:style w:type="paragraph" w:customStyle="1" w:styleId="ListNumber4Level4">
    <w:name w:val="List Number 4 (Level 4)"/>
    <w:basedOn w:val="Text4"/>
    <w:rsid w:val="00F1620D"/>
    <w:pPr>
      <w:numPr>
        <w:ilvl w:val="3"/>
        <w:numId w:val="15"/>
      </w:numPr>
    </w:pPr>
    <w:rPr>
      <w:rFonts w:eastAsia="Times New Roman"/>
      <w:lang w:eastAsia="en-GB"/>
    </w:rPr>
  </w:style>
  <w:style w:type="paragraph" w:customStyle="1" w:styleId="Annexetitreacte">
    <w:name w:val="Annexe titre (acte)"/>
    <w:basedOn w:val="Normal"/>
    <w:next w:val="Normal"/>
    <w:rsid w:val="00F1620D"/>
    <w:pPr>
      <w:jc w:val="center"/>
    </w:pPr>
    <w:rPr>
      <w:rFonts w:eastAsia="Times New Roman"/>
      <w:b/>
      <w:u w:val="single"/>
      <w:lang w:eastAsia="en-GB"/>
    </w:rPr>
  </w:style>
  <w:style w:type="paragraph" w:customStyle="1" w:styleId="Annexetitreexposglobal">
    <w:name w:val="Annexe titre (exposé global)"/>
    <w:basedOn w:val="Normal"/>
    <w:next w:val="Normal"/>
    <w:rsid w:val="00F1620D"/>
    <w:pPr>
      <w:jc w:val="center"/>
    </w:pPr>
    <w:rPr>
      <w:rFonts w:eastAsia="Times New Roman"/>
      <w:b/>
      <w:u w:val="single"/>
      <w:lang w:eastAsia="en-GB"/>
    </w:rPr>
  </w:style>
  <w:style w:type="paragraph" w:customStyle="1" w:styleId="Annexetitrefichefinacte">
    <w:name w:val="Annexe titre (fiche fin. acte)"/>
    <w:basedOn w:val="Normal"/>
    <w:next w:val="Normal"/>
    <w:rsid w:val="00F1620D"/>
    <w:pPr>
      <w:jc w:val="center"/>
    </w:pPr>
    <w:rPr>
      <w:rFonts w:eastAsia="Times New Roman"/>
      <w:b/>
      <w:u w:val="single"/>
      <w:lang w:eastAsia="en-GB"/>
    </w:rPr>
  </w:style>
  <w:style w:type="paragraph" w:customStyle="1" w:styleId="Annexetitrefichefinglobale">
    <w:name w:val="Annexe titre (fiche fin. globale)"/>
    <w:basedOn w:val="Normal"/>
    <w:next w:val="Normal"/>
    <w:rsid w:val="00F1620D"/>
    <w:pPr>
      <w:jc w:val="center"/>
    </w:pPr>
    <w:rPr>
      <w:rFonts w:eastAsia="Times New Roman"/>
      <w:b/>
      <w:u w:val="single"/>
      <w:lang w:eastAsia="en-GB"/>
    </w:rPr>
  </w:style>
  <w:style w:type="paragraph" w:customStyle="1" w:styleId="Annexetitreglobale">
    <w:name w:val="Annexe titre (globale)"/>
    <w:basedOn w:val="Normal"/>
    <w:next w:val="Normal"/>
    <w:rsid w:val="00F1620D"/>
    <w:pPr>
      <w:jc w:val="center"/>
    </w:pPr>
    <w:rPr>
      <w:rFonts w:eastAsia="Times New Roman"/>
      <w:b/>
      <w:u w:val="single"/>
      <w:lang w:eastAsia="en-GB"/>
    </w:rPr>
  </w:style>
  <w:style w:type="paragraph" w:customStyle="1" w:styleId="Exposdesmotifstitreglobal">
    <w:name w:val="Exposé des motifs titre (global)"/>
    <w:basedOn w:val="Normal"/>
    <w:next w:val="Normal"/>
    <w:rsid w:val="00F1620D"/>
    <w:pPr>
      <w:jc w:val="center"/>
    </w:pPr>
    <w:rPr>
      <w:rFonts w:eastAsia="Times New Roman"/>
      <w:b/>
      <w:u w:val="single"/>
      <w:lang w:eastAsia="en-GB"/>
    </w:rPr>
  </w:style>
  <w:style w:type="paragraph" w:customStyle="1" w:styleId="Langueoriginale">
    <w:name w:val="Langue originale"/>
    <w:basedOn w:val="Normal"/>
    <w:rsid w:val="00F1620D"/>
    <w:pPr>
      <w:spacing w:before="360"/>
      <w:jc w:val="center"/>
    </w:pPr>
    <w:rPr>
      <w:rFonts w:eastAsia="Times New Roman"/>
      <w:caps/>
      <w:lang w:eastAsia="en-GB"/>
    </w:rPr>
  </w:style>
  <w:style w:type="paragraph" w:customStyle="1" w:styleId="Phrasefinale">
    <w:name w:val="Phrase finale"/>
    <w:basedOn w:val="Normal"/>
    <w:next w:val="Normal"/>
    <w:rsid w:val="00F1620D"/>
    <w:pPr>
      <w:spacing w:before="360" w:after="0"/>
      <w:jc w:val="center"/>
    </w:pPr>
    <w:rPr>
      <w:rFonts w:eastAsia="Times New Roman"/>
      <w:lang w:eastAsia="en-GB"/>
    </w:rPr>
  </w:style>
  <w:style w:type="paragraph" w:customStyle="1" w:styleId="Prliminairetitre">
    <w:name w:val="Préliminaire titre"/>
    <w:basedOn w:val="Normal"/>
    <w:next w:val="Normal"/>
    <w:rsid w:val="00F1620D"/>
    <w:pPr>
      <w:spacing w:before="360" w:after="360"/>
      <w:jc w:val="center"/>
    </w:pPr>
    <w:rPr>
      <w:rFonts w:eastAsia="Times New Roman"/>
      <w:b/>
      <w:lang w:eastAsia="en-GB"/>
    </w:rPr>
  </w:style>
  <w:style w:type="paragraph" w:customStyle="1" w:styleId="Prliminairetype">
    <w:name w:val="Préliminaire type"/>
    <w:basedOn w:val="Normal"/>
    <w:next w:val="Normal"/>
    <w:rsid w:val="00F1620D"/>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F1620D"/>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F1620D"/>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F1620D"/>
    <w:pPr>
      <w:spacing w:before="0" w:after="0"/>
      <w:ind w:left="5103"/>
      <w:jc w:val="left"/>
    </w:pPr>
    <w:rPr>
      <w:rFonts w:eastAsia="Times New Roman"/>
      <w:lang w:eastAsia="en-GB"/>
    </w:rPr>
  </w:style>
  <w:style w:type="paragraph" w:customStyle="1" w:styleId="Sous-titreobjetprliminaire">
    <w:name w:val="Sous-titre objet (préliminaire)"/>
    <w:basedOn w:val="Normal"/>
    <w:rsid w:val="00F1620D"/>
    <w:pPr>
      <w:spacing w:before="0" w:after="0"/>
      <w:jc w:val="center"/>
    </w:pPr>
    <w:rPr>
      <w:rFonts w:eastAsia="Times New Roman"/>
      <w:b/>
      <w:lang w:eastAsia="en-GB"/>
    </w:rPr>
  </w:style>
  <w:style w:type="paragraph" w:customStyle="1" w:styleId="Statutprliminaire">
    <w:name w:val="Statut (préliminaire)"/>
    <w:basedOn w:val="Normal"/>
    <w:next w:val="Normal"/>
    <w:rsid w:val="00F1620D"/>
    <w:pPr>
      <w:spacing w:before="360" w:after="0"/>
      <w:jc w:val="center"/>
    </w:pPr>
    <w:rPr>
      <w:rFonts w:eastAsia="Times New Roman"/>
      <w:lang w:eastAsia="en-GB"/>
    </w:rPr>
  </w:style>
  <w:style w:type="paragraph" w:customStyle="1" w:styleId="Titreobjetprliminaire">
    <w:name w:val="Titre objet (préliminaire)"/>
    <w:basedOn w:val="Normal"/>
    <w:next w:val="Normal"/>
    <w:rsid w:val="00F1620D"/>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F1620D"/>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F1620D"/>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F1620D"/>
    <w:pPr>
      <w:jc w:val="center"/>
    </w:pPr>
    <w:rPr>
      <w:rFonts w:eastAsia="Times New Roman"/>
      <w:b/>
      <w:u w:val="single"/>
      <w:lang w:eastAsia="en-GB"/>
    </w:rPr>
  </w:style>
  <w:style w:type="paragraph" w:customStyle="1" w:styleId="Fichefinanciretravailtitre">
    <w:name w:val="Fiche financière (travail) titre"/>
    <w:basedOn w:val="Normal"/>
    <w:next w:val="Normal"/>
    <w:rsid w:val="00F1620D"/>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F1620D"/>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F1620D"/>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F1620D"/>
    <w:pPr>
      <w:jc w:val="center"/>
    </w:pPr>
    <w:rPr>
      <w:rFonts w:eastAsia="Times New Roman"/>
      <w:b/>
      <w:u w:val="single"/>
      <w:lang w:eastAsia="en-GB"/>
    </w:rPr>
  </w:style>
  <w:style w:type="character" w:styleId="CommentReference">
    <w:name w:val="annotation reference"/>
    <w:uiPriority w:val="99"/>
    <w:rsid w:val="00F1620D"/>
    <w:rPr>
      <w:rFonts w:cs="Times New Roman"/>
      <w:sz w:val="16"/>
      <w:szCs w:val="16"/>
    </w:rPr>
  </w:style>
  <w:style w:type="paragraph" w:styleId="CommentText">
    <w:name w:val="annotation text"/>
    <w:basedOn w:val="Normal"/>
    <w:link w:val="CommentTextChar"/>
    <w:uiPriority w:val="99"/>
    <w:rsid w:val="00F1620D"/>
    <w:rPr>
      <w:rFonts w:eastAsia="Times New Roman"/>
      <w:sz w:val="20"/>
      <w:szCs w:val="20"/>
      <w:lang w:eastAsia="en-GB"/>
    </w:rPr>
  </w:style>
  <w:style w:type="character" w:customStyle="1" w:styleId="CommentTextChar">
    <w:name w:val="Comment Text Char"/>
    <w:basedOn w:val="DefaultParagraphFont"/>
    <w:link w:val="CommentText"/>
    <w:uiPriority w:val="99"/>
    <w:rsid w:val="00F1620D"/>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F1620D"/>
    <w:rPr>
      <w:b/>
      <w:bCs/>
    </w:rPr>
  </w:style>
  <w:style w:type="character" w:customStyle="1" w:styleId="CommentSubjectChar">
    <w:name w:val="Comment Subject Char"/>
    <w:basedOn w:val="CommentTextChar"/>
    <w:link w:val="CommentSubject"/>
    <w:rsid w:val="00F1620D"/>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F1620D"/>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1620D"/>
    <w:rPr>
      <w:rFonts w:ascii="Tahoma" w:eastAsia="Times New Roman" w:hAnsi="Tahoma" w:cs="Tahoma"/>
      <w:sz w:val="16"/>
      <w:szCs w:val="16"/>
      <w:lang w:val="ro-RO" w:eastAsia="en-GB"/>
    </w:rPr>
  </w:style>
  <w:style w:type="paragraph" w:styleId="Caption">
    <w:name w:val="caption"/>
    <w:basedOn w:val="Normal"/>
    <w:next w:val="Normal"/>
    <w:qFormat/>
    <w:rsid w:val="00F1620D"/>
    <w:rPr>
      <w:rFonts w:eastAsia="Times New Roman"/>
      <w:b/>
      <w:bCs/>
      <w:sz w:val="20"/>
      <w:szCs w:val="20"/>
      <w:lang w:eastAsia="en-GB"/>
    </w:rPr>
  </w:style>
  <w:style w:type="paragraph" w:styleId="TableofFigures">
    <w:name w:val="table of figures"/>
    <w:basedOn w:val="Normal"/>
    <w:next w:val="Normal"/>
    <w:rsid w:val="00F1620D"/>
    <w:rPr>
      <w:rFonts w:eastAsia="Times New Roman"/>
      <w:lang w:eastAsia="en-GB"/>
    </w:rPr>
  </w:style>
  <w:style w:type="character" w:styleId="PageNumber">
    <w:name w:val="page number"/>
    <w:rsid w:val="00F1620D"/>
  </w:style>
  <w:style w:type="character" w:customStyle="1" w:styleId="tw4winMark">
    <w:name w:val="tw4winMark"/>
    <w:rsid w:val="00F1620D"/>
    <w:rPr>
      <w:vanish/>
      <w:color w:val="800080"/>
      <w:vertAlign w:val="subscript"/>
    </w:rPr>
  </w:style>
  <w:style w:type="character" w:styleId="FollowedHyperlink">
    <w:name w:val="FollowedHyperlink"/>
    <w:rsid w:val="00F1620D"/>
    <w:rPr>
      <w:color w:val="800080"/>
      <w:u w:val="single"/>
    </w:rPr>
  </w:style>
  <w:style w:type="paragraph" w:customStyle="1" w:styleId="Sous-titreobjet">
    <w:name w:val="Sous-titre objet"/>
    <w:basedOn w:val="Normal"/>
    <w:rsid w:val="00F1620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1620D"/>
  </w:style>
  <w:style w:type="paragraph" w:customStyle="1" w:styleId="Default">
    <w:name w:val="Default"/>
    <w:rsid w:val="0056318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34"/>
    <w:qFormat/>
    <w:rsid w:val="0056318D"/>
    <w:pPr>
      <w:ind w:left="720"/>
      <w:contextualSpacing/>
    </w:pPr>
  </w:style>
  <w:style w:type="paragraph" w:customStyle="1" w:styleId="Freetext">
    <w:name w:val="Free text"/>
    <w:basedOn w:val="Normal"/>
    <w:link w:val="FreetextChar"/>
    <w:qFormat/>
    <w:rsid w:val="004F21C3"/>
    <w:pPr>
      <w:spacing w:before="0" w:after="240"/>
    </w:pPr>
    <w:rPr>
      <w:rFonts w:asciiTheme="minorHAnsi" w:hAnsiTheme="minorHAnsi" w:cstheme="minorHAnsi"/>
      <w:sz w:val="22"/>
    </w:rPr>
  </w:style>
  <w:style w:type="character" w:customStyle="1" w:styleId="FreetextChar">
    <w:name w:val="Free text Char"/>
    <w:basedOn w:val="DefaultParagraphFont"/>
    <w:link w:val="Freetext"/>
    <w:rsid w:val="004F21C3"/>
    <w:rPr>
      <w:rFonts w:cstheme="minorHAnsi"/>
      <w:lang w:val="ro-RO"/>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sid w:val="00BC57C6"/>
    <w:rPr>
      <w:rFonts w:ascii="Times New Roman" w:hAnsi="Times New Roman" w:cs="Times New Roman"/>
      <w:sz w:val="24"/>
      <w:lang w:val="ro-RO"/>
    </w:rPr>
  </w:style>
  <w:style w:type="paragraph" w:customStyle="1" w:styleId="Indent">
    <w:name w:val="Indent"/>
    <w:basedOn w:val="Normal"/>
    <w:rsid w:val="00BC57C6"/>
    <w:pPr>
      <w:numPr>
        <w:ilvl w:val="1"/>
        <w:numId w:val="16"/>
      </w:numPr>
      <w:spacing w:before="0" w:after="240"/>
    </w:pPr>
    <w:rPr>
      <w:rFonts w:asciiTheme="minorHAnsi" w:hAnsiTheme="minorHAnsi" w:cstheme="minorBidi"/>
      <w:sz w:val="22"/>
    </w:rPr>
  </w:style>
  <w:style w:type="paragraph" w:styleId="Revision">
    <w:name w:val="Revision"/>
    <w:hidden/>
    <w:uiPriority w:val="99"/>
    <w:semiHidden/>
    <w:rsid w:val="00CD7B2E"/>
    <w:pPr>
      <w:spacing w:after="0" w:line="240" w:lineRule="auto"/>
    </w:pPr>
    <w:rPr>
      <w:rFonts w:ascii="Times New Roman" w:hAnsi="Times New Roman" w:cs="Times New Roman"/>
      <w:sz w:val="24"/>
    </w:rPr>
  </w:style>
  <w:style w:type="paragraph" w:customStyle="1" w:styleId="std">
    <w:name w:val="std"/>
    <w:basedOn w:val="Normal"/>
    <w:rsid w:val="00D96024"/>
    <w:pPr>
      <w:spacing w:before="0" w:after="0"/>
      <w:jc w:val="left"/>
    </w:pPr>
    <w:rPr>
      <w:rFonts w:eastAsia="Times New Roman"/>
      <w:szCs w:val="24"/>
      <w:lang w:eastAsia="en-GB"/>
    </w:rPr>
  </w:style>
  <w:style w:type="character" w:customStyle="1" w:styleId="Bodytext2">
    <w:name w:val="Body text|2_"/>
    <w:basedOn w:val="DefaultParagraphFont"/>
    <w:link w:val="Bodytext20"/>
    <w:rsid w:val="00CA0D90"/>
    <w:rPr>
      <w:rFonts w:ascii="Calibri" w:eastAsia="Calibri" w:hAnsi="Calibri" w:cs="Calibri"/>
      <w:shd w:val="clear" w:color="auto" w:fill="FFFFFF"/>
    </w:rPr>
  </w:style>
  <w:style w:type="paragraph" w:customStyle="1" w:styleId="Bodytext20">
    <w:name w:val="Body text|2"/>
    <w:basedOn w:val="Normal"/>
    <w:link w:val="Bodytext2"/>
    <w:qFormat/>
    <w:rsid w:val="00CA0D90"/>
    <w:pPr>
      <w:widowControl w:val="0"/>
      <w:shd w:val="clear" w:color="auto" w:fill="FFFFFF"/>
      <w:spacing w:before="0" w:after="100" w:line="268" w:lineRule="exact"/>
      <w:ind w:hanging="740"/>
    </w:pPr>
    <w:rPr>
      <w:rFonts w:ascii="Calibri" w:eastAsia="Calibri" w:hAnsi="Calibri" w:cs="Calibri"/>
      <w:sz w:val="22"/>
    </w:rPr>
  </w:style>
  <w:style w:type="paragraph" w:customStyle="1" w:styleId="Normal1">
    <w:name w:val="Normal1"/>
    <w:basedOn w:val="Normal"/>
    <w:rsid w:val="00D1547D"/>
    <w:pPr>
      <w:spacing w:before="100" w:beforeAutospacing="1" w:after="100" w:afterAutospacing="1"/>
      <w:jc w:val="left"/>
    </w:pPr>
    <w:rPr>
      <w:rFonts w:eastAsia="Times New Roman"/>
      <w:szCs w:val="24"/>
    </w:rPr>
  </w:style>
  <w:style w:type="character" w:customStyle="1" w:styleId="super">
    <w:name w:val="super"/>
    <w:basedOn w:val="DefaultParagraphFont"/>
    <w:rsid w:val="00D1547D"/>
  </w:style>
  <w:style w:type="paragraph" w:customStyle="1" w:styleId="ti-art">
    <w:name w:val="ti-art"/>
    <w:basedOn w:val="Normal"/>
    <w:rsid w:val="00D1547D"/>
    <w:pPr>
      <w:spacing w:before="100" w:beforeAutospacing="1" w:after="100" w:afterAutospacing="1"/>
      <w:jc w:val="left"/>
    </w:pPr>
    <w:rPr>
      <w:rFonts w:eastAsia="Times New Roman"/>
      <w:szCs w:val="24"/>
    </w:rPr>
  </w:style>
  <w:style w:type="table" w:styleId="TableGrid">
    <w:name w:val="Table Grid"/>
    <w:basedOn w:val="TableNormal"/>
    <w:uiPriority w:val="59"/>
    <w:rsid w:val="00C5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F21E5"/>
    <w:rPr>
      <w:i/>
      <w:iCs/>
    </w:rPr>
  </w:style>
  <w:style w:type="paragraph" w:customStyle="1" w:styleId="Article">
    <w:name w:val="Article"/>
    <w:basedOn w:val="ti-art"/>
    <w:rsid w:val="009365C1"/>
    <w:pPr>
      <w:spacing w:before="360" w:beforeAutospacing="0" w:after="120" w:afterAutospacing="0" w:line="312" w:lineRule="atLeast"/>
      <w:jc w:val="center"/>
    </w:pPr>
    <w:rPr>
      <w:i/>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B045D"/>
    <w:pPr>
      <w:spacing w:before="0" w:after="160" w:line="240" w:lineRule="exact"/>
      <w:jc w:val="left"/>
    </w:pPr>
    <w:rPr>
      <w:rFonts w:asciiTheme="minorHAnsi" w:hAnsiTheme="minorHAnsi" w:cstheme="minorBidi"/>
      <w:sz w:val="22"/>
      <w:vertAlign w:val="superscript"/>
    </w:rPr>
  </w:style>
  <w:style w:type="character" w:customStyle="1" w:styleId="UnresolvedMention">
    <w:name w:val="Unresolved Mention"/>
    <w:basedOn w:val="DefaultParagraphFont"/>
    <w:uiPriority w:val="99"/>
    <w:semiHidden/>
    <w:unhideWhenUsed/>
    <w:rsid w:val="00A26271"/>
    <w:rPr>
      <w:color w:val="605E5C"/>
      <w:shd w:val="clear" w:color="auto" w:fill="E1DFDD"/>
    </w:rPr>
  </w:style>
  <w:style w:type="character" w:customStyle="1" w:styleId="HeaderChar">
    <w:name w:val="Header Char"/>
    <w:basedOn w:val="DefaultParagraphFont"/>
    <w:link w:val="Header"/>
    <w:uiPriority w:val="99"/>
    <w:rsid w:val="003C5114"/>
    <w:rPr>
      <w:rFonts w:ascii="Times New Roman" w:hAnsi="Times New Roman" w:cs="Times New Roman"/>
      <w:sz w:val="24"/>
      <w:lang w:val="ro-RO"/>
    </w:rPr>
  </w:style>
  <w:style w:type="character" w:customStyle="1" w:styleId="FooterChar">
    <w:name w:val="Footer Char"/>
    <w:basedOn w:val="DefaultParagraphFont"/>
    <w:link w:val="Footer"/>
    <w:uiPriority w:val="99"/>
    <w:rsid w:val="003C511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3C511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C5114"/>
    <w:pPr>
      <w:spacing w:before="0"/>
      <w:jc w:val="right"/>
    </w:pPr>
    <w:rPr>
      <w:sz w:val="28"/>
    </w:rPr>
  </w:style>
  <w:style w:type="paragraph" w:customStyle="1" w:styleId="FooterSensitivity">
    <w:name w:val="Footer Sensitivity"/>
    <w:basedOn w:val="Normal"/>
    <w:rsid w:val="003C511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C5114"/>
    <w:pPr>
      <w:tabs>
        <w:tab w:val="center" w:pos="4535"/>
        <w:tab w:val="right" w:pos="9071"/>
      </w:tabs>
      <w:spacing w:before="0"/>
    </w:pPr>
  </w:style>
  <w:style w:type="paragraph" w:customStyle="1" w:styleId="HeaderLandscape">
    <w:name w:val="HeaderLandscape"/>
    <w:basedOn w:val="Normal"/>
    <w:rsid w:val="003C5114"/>
    <w:pPr>
      <w:tabs>
        <w:tab w:val="center" w:pos="7285"/>
        <w:tab w:val="right" w:pos="14003"/>
      </w:tabs>
      <w:spacing w:before="0"/>
    </w:pPr>
  </w:style>
  <w:style w:type="paragraph" w:styleId="Footer">
    <w:name w:val="footer"/>
    <w:basedOn w:val="Normal"/>
    <w:link w:val="FooterChar"/>
    <w:uiPriority w:val="99"/>
    <w:unhideWhenUsed/>
    <w:rsid w:val="003C511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C511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823033">
      <w:bodyDiv w:val="1"/>
      <w:marLeft w:val="0"/>
      <w:marRight w:val="0"/>
      <w:marTop w:val="0"/>
      <w:marBottom w:val="0"/>
      <w:divBdr>
        <w:top w:val="none" w:sz="0" w:space="0" w:color="auto"/>
        <w:left w:val="none" w:sz="0" w:space="0" w:color="auto"/>
        <w:bottom w:val="none" w:sz="0" w:space="0" w:color="auto"/>
        <w:right w:val="none" w:sz="0" w:space="0" w:color="auto"/>
      </w:divBdr>
    </w:div>
    <w:div w:id="705984162">
      <w:bodyDiv w:val="1"/>
      <w:marLeft w:val="0"/>
      <w:marRight w:val="0"/>
      <w:marTop w:val="0"/>
      <w:marBottom w:val="0"/>
      <w:divBdr>
        <w:top w:val="none" w:sz="0" w:space="0" w:color="auto"/>
        <w:left w:val="none" w:sz="0" w:space="0" w:color="auto"/>
        <w:bottom w:val="none" w:sz="0" w:space="0" w:color="auto"/>
        <w:right w:val="none" w:sz="0" w:space="0" w:color="auto"/>
      </w:divBdr>
    </w:div>
    <w:div w:id="1351417917">
      <w:bodyDiv w:val="1"/>
      <w:marLeft w:val="0"/>
      <w:marRight w:val="0"/>
      <w:marTop w:val="0"/>
      <w:marBottom w:val="0"/>
      <w:divBdr>
        <w:top w:val="none" w:sz="0" w:space="0" w:color="auto"/>
        <w:left w:val="none" w:sz="0" w:space="0" w:color="auto"/>
        <w:bottom w:val="none" w:sz="0" w:space="0" w:color="auto"/>
        <w:right w:val="none" w:sz="0" w:space="0" w:color="auto"/>
      </w:divBdr>
    </w:div>
    <w:div w:id="1722434634">
      <w:bodyDiv w:val="1"/>
      <w:marLeft w:val="0"/>
      <w:marRight w:val="0"/>
      <w:marTop w:val="0"/>
      <w:marBottom w:val="0"/>
      <w:divBdr>
        <w:top w:val="none" w:sz="0" w:space="0" w:color="auto"/>
        <w:left w:val="none" w:sz="0" w:space="0" w:color="auto"/>
        <w:bottom w:val="none" w:sz="0" w:space="0" w:color="auto"/>
        <w:right w:val="none" w:sz="0" w:space="0" w:color="auto"/>
      </w:divBdr>
    </w:div>
    <w:div w:id="1722555789">
      <w:bodyDiv w:val="1"/>
      <w:marLeft w:val="0"/>
      <w:marRight w:val="0"/>
      <w:marTop w:val="0"/>
      <w:marBottom w:val="0"/>
      <w:divBdr>
        <w:top w:val="none" w:sz="0" w:space="0" w:color="auto"/>
        <w:left w:val="none" w:sz="0" w:space="0" w:color="auto"/>
        <w:bottom w:val="none" w:sz="0" w:space="0" w:color="auto"/>
        <w:right w:val="none" w:sz="0" w:space="0" w:color="auto"/>
      </w:divBdr>
    </w:div>
    <w:div w:id="1764766708">
      <w:bodyDiv w:val="1"/>
      <w:marLeft w:val="0"/>
      <w:marRight w:val="0"/>
      <w:marTop w:val="0"/>
      <w:marBottom w:val="0"/>
      <w:divBdr>
        <w:top w:val="none" w:sz="0" w:space="0" w:color="auto"/>
        <w:left w:val="none" w:sz="0" w:space="0" w:color="auto"/>
        <w:bottom w:val="none" w:sz="0" w:space="0" w:color="auto"/>
        <w:right w:val="none" w:sz="0" w:space="0" w:color="auto"/>
      </w:divBdr>
    </w:div>
    <w:div w:id="1972856287">
      <w:bodyDiv w:val="1"/>
      <w:marLeft w:val="0"/>
      <w:marRight w:val="0"/>
      <w:marTop w:val="0"/>
      <w:marBottom w:val="0"/>
      <w:divBdr>
        <w:top w:val="none" w:sz="0" w:space="0" w:color="auto"/>
        <w:left w:val="none" w:sz="0" w:space="0" w:color="auto"/>
        <w:bottom w:val="none" w:sz="0" w:space="0" w:color="auto"/>
        <w:right w:val="none" w:sz="0" w:space="0" w:color="auto"/>
      </w:divBdr>
    </w:div>
    <w:div w:id="19822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73020-279E-4C44-8ED4-506A93E13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13</Pages>
  <Words>6343</Words>
  <Characters>36159</Characters>
  <Application>Microsoft Office Word</Application>
  <DocSecurity>0</DocSecurity>
  <Lines>301</Lines>
  <Paragraphs>84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42418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cp:lastPrinted>2026-02-02T12:58:00Z</cp:lastPrinted>
  <dcterms:created xsi:type="dcterms:W3CDTF">2026-02-13T16:19:00Z</dcterms:created>
  <dcterms:modified xsi:type="dcterms:W3CDTF">2026-03-16T08:19:00Z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2026-02-01T14:22:26Z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f5ea5c1e-8b1c-478e-a23c-1fbdb8c1efc2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