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20D" w:rsidRPr="00D1090B" w:rsidRDefault="00587831" w:rsidP="0058783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ADA897-4EA9-4467-80E4-98B4BE413C63" style="width:455.25pt;height:357.75pt">
            <v:imagedata r:id="rId8" o:title=""/>
          </v:shape>
        </w:pict>
      </w:r>
    </w:p>
    <w:p w:rsidR="00F1620D" w:rsidRPr="00D1090B" w:rsidRDefault="00F1620D" w:rsidP="00F1620D">
      <w:pPr>
        <w:rPr>
          <w:noProof/>
        </w:rPr>
        <w:sectPr w:rsidR="00F1620D" w:rsidRPr="00D1090B" w:rsidSect="00587831">
          <w:footerReference w:type="even" r:id="rId9"/>
          <w:footerReference w:type="default" r:id="rId10"/>
          <w:pgSz w:w="11907" w:h="16839"/>
          <w:pgMar w:top="1134" w:right="1417" w:bottom="1134" w:left="1417" w:header="709" w:footer="709" w:gutter="0"/>
          <w:pgNumType w:start="0"/>
          <w:cols w:space="720"/>
          <w:docGrid w:linePitch="360"/>
        </w:sectPr>
      </w:pPr>
    </w:p>
    <w:p w:rsidR="00F1620D" w:rsidRPr="00D1090B" w:rsidRDefault="00F1620D" w:rsidP="00751F57">
      <w:pPr>
        <w:pStyle w:val="Exposdesmotifstitre"/>
        <w:rPr>
          <w:noProof/>
        </w:rPr>
      </w:pPr>
      <w:bookmarkStart w:id="0" w:name="_GoBack"/>
      <w:bookmarkEnd w:id="0"/>
      <w:r w:rsidRPr="00D1090B">
        <w:rPr>
          <w:noProof/>
        </w:rPr>
        <w:lastRenderedPageBreak/>
        <w:t>EXPUNERE DE MOTIVE</w:t>
      </w:r>
    </w:p>
    <w:p w:rsidR="008D1785" w:rsidRPr="00D1090B" w:rsidRDefault="008D1785" w:rsidP="002B3E31">
      <w:pPr>
        <w:pStyle w:val="ManualHeading1"/>
        <w:rPr>
          <w:noProof/>
        </w:rPr>
      </w:pPr>
      <w:r>
        <w:rPr>
          <w:noProof/>
        </w:rPr>
        <w:t>1.</w:t>
      </w:r>
      <w:r>
        <w:rPr>
          <w:noProof/>
        </w:rPr>
        <w:tab/>
      </w:r>
      <w:r w:rsidRPr="00D1090B">
        <w:rPr>
          <w:noProof/>
        </w:rPr>
        <w:t>CONTEXTUL PROPUNERII</w:t>
      </w:r>
    </w:p>
    <w:p w:rsidR="00EB045D" w:rsidRPr="00D1090B" w:rsidRDefault="008D1785" w:rsidP="00090EF4">
      <w:pPr>
        <w:pStyle w:val="Bullet1"/>
        <w:numPr>
          <w:ilvl w:val="0"/>
          <w:numId w:val="17"/>
        </w:numPr>
        <w:rPr>
          <w:b/>
          <w:noProof/>
        </w:rPr>
      </w:pPr>
      <w:r w:rsidRPr="00D1090B">
        <w:rPr>
          <w:b/>
          <w:noProof/>
        </w:rPr>
        <w:t>Motivele și obiectivele propunerii</w:t>
      </w:r>
    </w:p>
    <w:p w:rsidR="00627533" w:rsidRPr="00D1090B" w:rsidRDefault="00627533" w:rsidP="00756C4C">
      <w:pPr>
        <w:pStyle w:val="Text2"/>
        <w:ind w:left="850"/>
        <w:rPr>
          <w:noProof/>
        </w:rPr>
      </w:pPr>
      <w:r w:rsidRPr="00D1090B">
        <w:rPr>
          <w:noProof/>
        </w:rPr>
        <w:t>Acordul comercial și de cooperare încheiat între Uniunea Europeană și Regatul Unit a fost semnat la 30 decembrie 2020, s-a aplicat cu titlu provizoriu de la 1</w:t>
      </w:r>
      <w:r w:rsidR="00D40B56">
        <w:rPr>
          <w:noProof/>
        </w:rPr>
        <w:t> </w:t>
      </w:r>
      <w:r w:rsidRPr="00D1090B">
        <w:rPr>
          <w:noProof/>
        </w:rPr>
        <w:t>ianuarie</w:t>
      </w:r>
      <w:r w:rsidR="00D40B56">
        <w:rPr>
          <w:noProof/>
        </w:rPr>
        <w:t> </w:t>
      </w:r>
      <w:r w:rsidRPr="00D1090B">
        <w:rPr>
          <w:noProof/>
        </w:rPr>
        <w:t>2021 și a intrat în vigoare la 1 mai 2021.</w:t>
      </w:r>
    </w:p>
    <w:p w:rsidR="00756C4C" w:rsidRPr="00D1090B" w:rsidRDefault="0005217A" w:rsidP="00756C4C">
      <w:pPr>
        <w:pStyle w:val="Text2"/>
        <w:ind w:left="850"/>
        <w:rPr>
          <w:noProof/>
        </w:rPr>
      </w:pPr>
      <w:r w:rsidRPr="00D1090B">
        <w:rPr>
          <w:noProof/>
        </w:rPr>
        <w:t>În conformitate cu directivele de negociere din 25 februarie 2020 [Decizia (UE, Euratom) 2020/266 a Consiliului</w:t>
      </w:r>
      <w:r w:rsidRPr="00D1090B">
        <w:rPr>
          <w:rStyle w:val="FootnoteReference"/>
          <w:noProof/>
        </w:rPr>
        <w:footnoteReference w:id="2"/>
      </w:r>
      <w:r w:rsidRPr="00D1090B">
        <w:rPr>
          <w:noProof/>
        </w:rPr>
        <w:t>], Acordul comercial și de cooperare nu include Gibraltarul și nu are niciun efect asupra acestuia. Acest lucru nu exclude posibilitatea de a avea acorduri separate între Uniune și Regatul Unit cu privire la Gibraltar, în concordanță cu Declarația Consiliului European și a Comisiei Europene inclusă în procesul-verbal al reuniunii Consiliului European (articolul 50) din 25</w:t>
      </w:r>
      <w:r w:rsidR="00D40B56">
        <w:rPr>
          <w:noProof/>
        </w:rPr>
        <w:t> </w:t>
      </w:r>
      <w:r w:rsidRPr="00D1090B">
        <w:rPr>
          <w:noProof/>
        </w:rPr>
        <w:t>noiembrie</w:t>
      </w:r>
      <w:r w:rsidR="00D40B56">
        <w:rPr>
          <w:noProof/>
        </w:rPr>
        <w:t> </w:t>
      </w:r>
      <w:r w:rsidRPr="00D1090B">
        <w:rPr>
          <w:noProof/>
        </w:rPr>
        <w:t>2018</w:t>
      </w:r>
      <w:r w:rsidRPr="00D1090B">
        <w:rPr>
          <w:rStyle w:val="FootnoteReference"/>
          <w:noProof/>
        </w:rPr>
        <w:footnoteReference w:id="3"/>
      </w:r>
      <w:r w:rsidRPr="00D1090B">
        <w:rPr>
          <w:noProof/>
        </w:rPr>
        <w:t>.</w:t>
      </w:r>
    </w:p>
    <w:p w:rsidR="00756C4C" w:rsidRPr="00D1090B" w:rsidRDefault="001F5991" w:rsidP="00756C4C">
      <w:pPr>
        <w:pStyle w:val="Text2"/>
        <w:ind w:left="850"/>
        <w:rPr>
          <w:noProof/>
        </w:rPr>
      </w:pPr>
      <w:r w:rsidRPr="00D1090B">
        <w:rPr>
          <w:noProof/>
        </w:rPr>
        <w:t>La 31 decembrie 2020, Spania și Regatul Unit au convenit asupra unui cadru politic pentru un viitor acord cu privire la Gibraltar între Uniunea Europeană și Regatul</w:t>
      </w:r>
      <w:r w:rsidR="00D40B56">
        <w:rPr>
          <w:noProof/>
        </w:rPr>
        <w:t> </w:t>
      </w:r>
      <w:r w:rsidRPr="00D1090B">
        <w:rPr>
          <w:noProof/>
        </w:rPr>
        <w:t xml:space="preserve">Unit. </w:t>
      </w:r>
    </w:p>
    <w:p w:rsidR="00756C4C" w:rsidRPr="00D1090B" w:rsidRDefault="003A5520" w:rsidP="00756C4C">
      <w:pPr>
        <w:pStyle w:val="Text2"/>
        <w:ind w:left="850"/>
        <w:rPr>
          <w:noProof/>
        </w:rPr>
      </w:pPr>
      <w:r w:rsidRPr="00D1090B">
        <w:rPr>
          <w:noProof/>
        </w:rPr>
        <w:t xml:space="preserve">La 5 octombrie 2021, Consiliul a adoptat Decizia de autorizare a începerii negocierilor în vederea încheierii unui acord cu Regatul Unit al Marii Britanii și Irlandei de Nord cu privire la Gibraltar. Comisia a fost desemnată negociator al Uniunii. Decizia Consiliului a inclus, de asemenea, un addendum cu directivele de negociere a unui astfel de acord („directivele de negociere”). </w:t>
      </w:r>
    </w:p>
    <w:p w:rsidR="00756C4C" w:rsidRPr="00D1090B" w:rsidRDefault="0065377F" w:rsidP="00756C4C">
      <w:pPr>
        <w:pStyle w:val="Text2"/>
        <w:ind w:left="850"/>
        <w:rPr>
          <w:noProof/>
        </w:rPr>
      </w:pPr>
      <w:r w:rsidRPr="00D1090B">
        <w:rPr>
          <w:noProof/>
        </w:rPr>
        <w:t>Comisia a desfășurat negocierile în consultare cu Grupul de lucru pentru Regatul</w:t>
      </w:r>
      <w:r w:rsidR="00D40B56">
        <w:rPr>
          <w:noProof/>
        </w:rPr>
        <w:t> </w:t>
      </w:r>
      <w:r w:rsidRPr="00D1090B">
        <w:rPr>
          <w:noProof/>
        </w:rPr>
        <w:t xml:space="preserve">Unit al Consiliului și a informat pe deplin Parlamentul European, în special prin intermediul Grupului său de contact pentru Regatul Unit. </w:t>
      </w:r>
    </w:p>
    <w:p w:rsidR="00756C4C" w:rsidRPr="00D1090B" w:rsidRDefault="005B0FC7" w:rsidP="00756C4C">
      <w:pPr>
        <w:pStyle w:val="Text2"/>
        <w:ind w:left="850"/>
        <w:rPr>
          <w:noProof/>
        </w:rPr>
      </w:pPr>
      <w:r w:rsidRPr="00D1090B">
        <w:rPr>
          <w:noProof/>
        </w:rPr>
        <w:t xml:space="preserve">Negocierile s-au încheiat la 12 decembrie 2025, după mai mult de patru ani de la începerea acestora. Negocierile nu au putut fi finalizate decât după foarte mult timp din cauza problemelor politice și juridice complexe care trebuiau soluționate în domeniul circulației persoanelor și a mărfurilor care fac obiectul acordului. </w:t>
      </w:r>
    </w:p>
    <w:p w:rsidR="00756C4C" w:rsidRPr="00D1090B" w:rsidRDefault="003F6DF2" w:rsidP="00756C4C">
      <w:pPr>
        <w:pStyle w:val="Text2"/>
        <w:ind w:left="850"/>
        <w:rPr>
          <w:noProof/>
        </w:rPr>
      </w:pPr>
      <w:r w:rsidRPr="00D1090B">
        <w:rPr>
          <w:noProof/>
        </w:rPr>
        <w:t>Întrucât viitorul acord conține o dispoziție privind cooperarea civilă în domeniul nuclear la care Comunitatea Europeană a Energiei Atomice este parte, se prezintă o recomandare de decizie a Consiliului privind aprobarea dispoziției respective împreună cu prezenta propunere în cadrul unei proceduri separate. Cu toate acestea, pentru facilitarea consultării, dispoziția privind cooperarea civilă în domeniul nuclear este menținută în corpul Acordului cu privire la Gibraltar dintre Uniunea Europeană și Regatul Unit al Marii Britanii și Irlandei de Nord.</w:t>
      </w:r>
    </w:p>
    <w:p w:rsidR="00756C4C" w:rsidRPr="00D1090B" w:rsidRDefault="000D5F78" w:rsidP="00756C4C">
      <w:pPr>
        <w:pStyle w:val="Text2"/>
        <w:ind w:left="850"/>
        <w:rPr>
          <w:noProof/>
        </w:rPr>
      </w:pPr>
      <w:bookmarkStart w:id="1" w:name="_Hlk221190592"/>
      <w:r w:rsidRPr="00D1090B">
        <w:rPr>
          <w:noProof/>
        </w:rPr>
        <w:t>Începerea aplicării acordului reprezintă o chestiune de maximă urgență. Acordul prevede eliminarea tuturor barierelor fizice dintre teritoriul Uniunii și Gibraltar. Noul sistem de intrare/ieșire al Uniunii Europene, care înlocuiește ștampilarea manuală a pașapoartelor cu înregistrarea digitală a resortisanților țărilor terțe care intră în spațiul Schengen, este în prezent în curs de implementare progresivă, preconizându-se o implementare operațională deplină la toate frontierele externe ale celor 29 de țări participante până la 10 aprilie 2026. Dacă Acordul cu privire la Gibraltar nu va începe să se aplice înainte de 10 aprilie 2026, va trebui instituit un control integral la frontieră între teritoriul Uniunii și Gibraltar. Acest lucru va perturba în mod semnificativ persoanele fizice, întreprinderile și alte părți interesate care își desfășoară activitatea în zona Campo del Gibraltar și contravine însuși scopului acordului, și anume de a crea o zonă de prosperitate comună atât în beneficiul Uniunii, cât și al Gibraltarului.</w:t>
      </w:r>
      <w:bookmarkEnd w:id="1"/>
      <w:r w:rsidRPr="00D1090B">
        <w:rPr>
          <w:noProof/>
        </w:rPr>
        <w:t xml:space="preserve"> </w:t>
      </w:r>
    </w:p>
    <w:p w:rsidR="0070417B" w:rsidRPr="00D1090B" w:rsidRDefault="000D5F78" w:rsidP="00756C4C">
      <w:pPr>
        <w:pStyle w:val="Text2"/>
        <w:ind w:left="850"/>
        <w:rPr>
          <w:noProof/>
        </w:rPr>
      </w:pPr>
      <w:bookmarkStart w:id="2" w:name="_Hlk221191755"/>
      <w:r w:rsidRPr="00D1090B">
        <w:rPr>
          <w:noProof/>
        </w:rPr>
        <w:t>Având în vedere aceste circumstanțe excepționale, Comisia propune aplicarea acordului cu titlu provizoriu o perioadă scurtă de timp de la data implementării depline a sistemului de intrare/ieșire până în prima zi a lunii următoare celei în care părțile și-au notificat reciproc îndeplinirea cerințelor și procedurilor lor interne pentru a-și exprima consimțământul de a-și asuma obligații în temeiul acordului.</w:t>
      </w:r>
      <w:bookmarkEnd w:id="2"/>
      <w:r w:rsidR="00D40B56">
        <w:rPr>
          <w:noProof/>
        </w:rPr>
        <w:t xml:space="preserve"> </w:t>
      </w:r>
    </w:p>
    <w:p w:rsidR="008D1785" w:rsidRPr="00D1090B" w:rsidRDefault="008D1785" w:rsidP="00090EF4">
      <w:pPr>
        <w:pStyle w:val="Bullet1"/>
        <w:numPr>
          <w:ilvl w:val="0"/>
          <w:numId w:val="17"/>
        </w:numPr>
        <w:rPr>
          <w:b/>
          <w:noProof/>
        </w:rPr>
      </w:pPr>
      <w:r w:rsidRPr="00D1090B">
        <w:rPr>
          <w:b/>
          <w:noProof/>
        </w:rPr>
        <w:t>Coerența cu dispozițiile existente în domeniul de politică vizat</w:t>
      </w:r>
    </w:p>
    <w:p w:rsidR="00756C4C" w:rsidRPr="00D1090B" w:rsidRDefault="008D1785" w:rsidP="00756C4C">
      <w:pPr>
        <w:pStyle w:val="Text2"/>
        <w:ind w:left="850"/>
        <w:rPr>
          <w:noProof/>
        </w:rPr>
      </w:pPr>
      <w:r w:rsidRPr="00D1090B">
        <w:rPr>
          <w:noProof/>
        </w:rPr>
        <w:t>Acordul comercial și de cooperare a stabilit o nouă relație între Uniune și Regatul</w:t>
      </w:r>
      <w:r w:rsidR="00D40B56">
        <w:rPr>
          <w:noProof/>
        </w:rPr>
        <w:t> </w:t>
      </w:r>
      <w:r w:rsidRPr="00D1090B">
        <w:rPr>
          <w:noProof/>
        </w:rPr>
        <w:t>Unit în urma retragerii Regatului Unit din Uniunea Europeană și din Comunitatea Europeană a Energiei Atomice – fără a include Gibraltarul.</w:t>
      </w:r>
    </w:p>
    <w:p w:rsidR="00B202EC" w:rsidRPr="00D1090B" w:rsidRDefault="00544DFE" w:rsidP="00756C4C">
      <w:pPr>
        <w:pStyle w:val="Text2"/>
        <w:ind w:left="850"/>
        <w:rPr>
          <w:noProof/>
        </w:rPr>
      </w:pPr>
      <w:r w:rsidRPr="00D1090B">
        <w:rPr>
          <w:noProof/>
        </w:rPr>
        <w:t>Acordul completează Acordul comercial și de cooperare din această perspectivă și constituie ultimul element care mai lipsea pentru a completa parteneriatul strâns dintre Uniune și Regatul Unit, solicitat de Consiliul European în urma retragerii Regatului Unit.</w:t>
      </w:r>
    </w:p>
    <w:p w:rsidR="008D1785" w:rsidRPr="00D1090B" w:rsidRDefault="008D1785" w:rsidP="00090EF4">
      <w:pPr>
        <w:pStyle w:val="Bullet1"/>
        <w:numPr>
          <w:ilvl w:val="0"/>
          <w:numId w:val="17"/>
        </w:numPr>
        <w:rPr>
          <w:b/>
          <w:noProof/>
        </w:rPr>
      </w:pPr>
      <w:r w:rsidRPr="00D1090B">
        <w:rPr>
          <w:b/>
          <w:noProof/>
        </w:rPr>
        <w:t>Coerența cu alte politici ale Uniunii</w:t>
      </w:r>
    </w:p>
    <w:p w:rsidR="00380A04" w:rsidRPr="00D1090B" w:rsidRDefault="008D1785" w:rsidP="00380A04">
      <w:pPr>
        <w:pStyle w:val="Text2"/>
        <w:ind w:left="850"/>
        <w:rPr>
          <w:noProof/>
        </w:rPr>
      </w:pPr>
      <w:r w:rsidRPr="00D1090B">
        <w:rPr>
          <w:noProof/>
        </w:rPr>
        <w:t xml:space="preserve">Acordul respectă pe deplin tratatele și menține integritatea și autonomia ordinii juridice a Uniunii. Acordul nu va impune Uniunii să își modifice normele, reglementările sau standardele în niciun domeniu reglementat. Acesta promovează valorile, obiectivele și interesele Uniunii și asigură coerența, eficacitatea și continuitatea politicilor și acțiunilor sale. </w:t>
      </w:r>
    </w:p>
    <w:p w:rsidR="00BA07F6" w:rsidRPr="00D1090B" w:rsidRDefault="009008E2" w:rsidP="00380A04">
      <w:pPr>
        <w:pStyle w:val="ManualHeading1"/>
        <w:rPr>
          <w:noProof/>
        </w:rPr>
      </w:pPr>
      <w:r>
        <w:rPr>
          <w:noProof/>
        </w:rPr>
        <w:t>2.</w:t>
      </w:r>
      <w:r>
        <w:rPr>
          <w:noProof/>
        </w:rPr>
        <w:tab/>
      </w:r>
      <w:r w:rsidRPr="00D1090B">
        <w:rPr>
          <w:noProof/>
        </w:rPr>
        <w:t>TEMEI JURIDIC, SUBSIDIARITATE ȘI PROPORȚIONALITATE</w:t>
      </w:r>
    </w:p>
    <w:p w:rsidR="009008E2" w:rsidRPr="00D1090B" w:rsidRDefault="009008E2" w:rsidP="00090EF4">
      <w:pPr>
        <w:pStyle w:val="Bullet1"/>
        <w:numPr>
          <w:ilvl w:val="0"/>
          <w:numId w:val="17"/>
        </w:numPr>
        <w:rPr>
          <w:noProof/>
        </w:rPr>
      </w:pPr>
      <w:r w:rsidRPr="00D1090B">
        <w:rPr>
          <w:b/>
          <w:noProof/>
        </w:rPr>
        <w:t xml:space="preserve">Temeiul juridic material </w:t>
      </w:r>
    </w:p>
    <w:p w:rsidR="0065377F" w:rsidRPr="00D1090B" w:rsidRDefault="0065377F" w:rsidP="00931832">
      <w:pPr>
        <w:pStyle w:val="Text1"/>
        <w:rPr>
          <w:noProof/>
        </w:rPr>
      </w:pPr>
      <w:r w:rsidRPr="00D1090B">
        <w:rPr>
          <w:noProof/>
        </w:rPr>
        <w:t xml:space="preserve">Temeiul juridic material propus pentru decizia Consiliului privind încheierea acordului este articolul 217 din TFUE. Acest temei juridic este cel mai adecvat, având în vedere domeniul larg de aplicare al acordului preconizat și faptul că acesta completează, în ceea ce privește Gibraltarul, Acordul comercial și de cooperare. </w:t>
      </w:r>
    </w:p>
    <w:p w:rsidR="009008E2" w:rsidRPr="00D1090B" w:rsidRDefault="009008E2" w:rsidP="009008E2">
      <w:pPr>
        <w:pStyle w:val="Text1"/>
        <w:rPr>
          <w:noProof/>
        </w:rPr>
      </w:pPr>
      <w:r w:rsidRPr="00D1090B">
        <w:rPr>
          <w:noProof/>
        </w:rPr>
        <w:t>Articolul 217 din Tratatul privind funcționarea Uniunii Europene (TFUE) prevede posibilitatea instituirii unei asocieri între Uniune și o țară terță.</w:t>
      </w:r>
    </w:p>
    <w:p w:rsidR="009008E2" w:rsidRPr="00D1090B" w:rsidRDefault="009008E2" w:rsidP="009008E2">
      <w:pPr>
        <w:pStyle w:val="Text1"/>
        <w:rPr>
          <w:noProof/>
        </w:rPr>
      </w:pPr>
      <w:r w:rsidRPr="00D1090B">
        <w:rPr>
          <w:noProof/>
        </w:rPr>
        <w:t>Având în vedere că obiectivul principal și componenta principală a acordului sunt asocierea cu o țară terță, temeiul juridic material este articolul 217 din TFUE.</w:t>
      </w:r>
    </w:p>
    <w:p w:rsidR="009008E2" w:rsidRPr="00D1090B" w:rsidRDefault="009008E2" w:rsidP="00090EF4">
      <w:pPr>
        <w:pStyle w:val="Bullet1"/>
        <w:numPr>
          <w:ilvl w:val="0"/>
          <w:numId w:val="17"/>
        </w:numPr>
        <w:rPr>
          <w:b/>
          <w:bCs/>
          <w:noProof/>
        </w:rPr>
      </w:pPr>
      <w:r w:rsidRPr="00D1090B">
        <w:rPr>
          <w:b/>
          <w:noProof/>
        </w:rPr>
        <w:t>Temeiul juridic procedural</w:t>
      </w:r>
    </w:p>
    <w:p w:rsidR="009008E2" w:rsidRPr="00D1090B" w:rsidRDefault="009008E2" w:rsidP="009008E2">
      <w:pPr>
        <w:pStyle w:val="Text1"/>
        <w:rPr>
          <w:noProof/>
        </w:rPr>
      </w:pPr>
      <w:r w:rsidRPr="00D1090B">
        <w:rPr>
          <w:noProof/>
        </w:rPr>
        <w:t>În conformitate cu articolul 218 alineatul (6) din TFUE, în cazul în care acordul se referă la aspecte care nu intră în domeniul de aplicare al politicii externe și de securitate comune (PESC), Consiliul adoptă o decizie privind încheierea acordului, la propunerea Comisiei, în calitate de negociator.</w:t>
      </w:r>
    </w:p>
    <w:p w:rsidR="009008E2" w:rsidRPr="00D1090B" w:rsidRDefault="009008E2" w:rsidP="009008E2">
      <w:pPr>
        <w:pStyle w:val="Text1"/>
        <w:rPr>
          <w:noProof/>
        </w:rPr>
      </w:pPr>
      <w:r w:rsidRPr="00D1090B">
        <w:rPr>
          <w:noProof/>
        </w:rPr>
        <w:t>Având în vedere că articolul 217 din TFUE este temeiul juridic material, Consiliul trebuie să adopte decizia privind încheierea acordului după obținerea aprobării Parlamentului European, în conformitate cu articolul 218 alineatul (6) litera (a) punctul (i).</w:t>
      </w:r>
    </w:p>
    <w:p w:rsidR="00CF3FBE" w:rsidRPr="00D1090B" w:rsidRDefault="009008E2" w:rsidP="00CF3FBE">
      <w:pPr>
        <w:pStyle w:val="Text1"/>
        <w:rPr>
          <w:noProof/>
        </w:rPr>
      </w:pPr>
      <w:r w:rsidRPr="00D1090B">
        <w:rPr>
          <w:noProof/>
        </w:rPr>
        <w:t>În temeiul articolului 218 alineatul (8) al doilea paragraf din TFUE, Consiliul hotărăște în unanimitate în cazul acordurilor de asociere. În plus, articolul 218 alineatul (7) din TFUE a fost adăugat ca temei juridic deoarece este oportună autorizarea Comisiei de către Consiliu să aprobe, în numele UE, anumite modificări ale acordului care se adoptă printr-o procedură simplificată sau de către un organism creat prin acord.</w:t>
      </w:r>
    </w:p>
    <w:p w:rsidR="005672E3" w:rsidRPr="00D1090B" w:rsidRDefault="009008E2" w:rsidP="00CF3FBE">
      <w:pPr>
        <w:pStyle w:val="Text1"/>
        <w:rPr>
          <w:noProof/>
        </w:rPr>
      </w:pPr>
      <w:r w:rsidRPr="00D1090B">
        <w:rPr>
          <w:noProof/>
        </w:rPr>
        <w:t>Prin urmare, temeiul juridic procedural al deciziei propuse privind încheierea acordului este articolul 218 alineatul (6) al doilea paragraf litera (a) din TFUE, articolul 218 alineatul (7) din TFUE și articolul 218 alineatul (8) al doilea paragraf din TFUE.</w:t>
      </w:r>
    </w:p>
    <w:p w:rsidR="009008E2" w:rsidRPr="00D1090B" w:rsidRDefault="009008E2" w:rsidP="00F42944">
      <w:pPr>
        <w:pStyle w:val="Bullet1"/>
        <w:rPr>
          <w:b/>
          <w:bCs/>
          <w:noProof/>
        </w:rPr>
      </w:pPr>
      <w:r w:rsidRPr="00D1090B">
        <w:rPr>
          <w:b/>
          <w:noProof/>
        </w:rPr>
        <w:t xml:space="preserve">Competența Uniunii </w:t>
      </w:r>
    </w:p>
    <w:p w:rsidR="009008E2" w:rsidRPr="00D1090B" w:rsidRDefault="009008E2" w:rsidP="009008E2">
      <w:pPr>
        <w:pStyle w:val="Text1"/>
        <w:rPr>
          <w:noProof/>
        </w:rPr>
      </w:pPr>
      <w:r w:rsidRPr="00D1090B">
        <w:rPr>
          <w:noProof/>
        </w:rPr>
        <w:t>În temeiul articolului 217 din TFUE, Uniunea are competența de a încheia acorduri de asociere cu țări terțe.</w:t>
      </w:r>
    </w:p>
    <w:p w:rsidR="009008E2" w:rsidRPr="00D1090B" w:rsidRDefault="009008E2" w:rsidP="00F42944">
      <w:pPr>
        <w:pStyle w:val="Bullet1"/>
        <w:rPr>
          <w:b/>
          <w:bCs/>
          <w:noProof/>
        </w:rPr>
      </w:pPr>
      <w:r w:rsidRPr="00D1090B">
        <w:rPr>
          <w:b/>
          <w:noProof/>
        </w:rPr>
        <w:t>Alegerea instrumentului</w:t>
      </w:r>
    </w:p>
    <w:p w:rsidR="009008E2" w:rsidRPr="00D1090B" w:rsidRDefault="009008E2" w:rsidP="009008E2">
      <w:pPr>
        <w:pStyle w:val="Text1"/>
        <w:rPr>
          <w:noProof/>
        </w:rPr>
      </w:pPr>
      <w:r w:rsidRPr="00D1090B">
        <w:rPr>
          <w:noProof/>
        </w:rPr>
        <w:t>Prezenta propunere de decizie a Consiliului este prezentată în conformitate cu articolul 218 alineatul (6) din TFUE, care prevede adoptarea de către Consiliu a unei decizii privind încheierea acordului. Nu există un alt instrument juridic care ar putea fi folosit în scopul realizării obiectivului exprimat în prezenta propunere.</w:t>
      </w:r>
    </w:p>
    <w:p w:rsidR="00646408" w:rsidRPr="00D1090B" w:rsidRDefault="00646408" w:rsidP="00380A04">
      <w:pPr>
        <w:pStyle w:val="ManualHeading1"/>
        <w:rPr>
          <w:noProof/>
        </w:rPr>
      </w:pPr>
      <w:r>
        <w:rPr>
          <w:noProof/>
        </w:rPr>
        <w:t>3.</w:t>
      </w:r>
      <w:r>
        <w:rPr>
          <w:noProof/>
        </w:rPr>
        <w:tab/>
      </w:r>
      <w:r w:rsidRPr="00D1090B">
        <w:rPr>
          <w:noProof/>
        </w:rPr>
        <w:t>ALTE ELEMENTE</w:t>
      </w:r>
    </w:p>
    <w:p w:rsidR="00EA229A" w:rsidRPr="00D1090B" w:rsidRDefault="00EA229A" w:rsidP="00090EF4">
      <w:pPr>
        <w:pStyle w:val="Bullet1"/>
        <w:numPr>
          <w:ilvl w:val="0"/>
          <w:numId w:val="17"/>
        </w:numPr>
        <w:rPr>
          <w:b/>
          <w:noProof/>
        </w:rPr>
      </w:pPr>
      <w:r w:rsidRPr="00D1090B">
        <w:rPr>
          <w:b/>
          <w:noProof/>
        </w:rPr>
        <w:t xml:space="preserve">Punerea în aplicare de către organismele instituite în temeiul acordului </w:t>
      </w:r>
    </w:p>
    <w:p w:rsidR="00756C4C" w:rsidRPr="00D1090B" w:rsidRDefault="00EA229A" w:rsidP="00756C4C">
      <w:pPr>
        <w:pStyle w:val="Text2"/>
        <w:ind w:left="850"/>
        <w:rPr>
          <w:noProof/>
        </w:rPr>
      </w:pPr>
      <w:r w:rsidRPr="00D1090B">
        <w:rPr>
          <w:noProof/>
        </w:rPr>
        <w:t>Titlul V din partea întâi din acord instituie un Consiliu de cooperare care va supraveghea realizarea obiectivelor acordului menționat și ale oricărui acord de completare. Consiliul de cooperare este format din reprezentanți ai Uniunii și ai Regatului Unit, care se vor întruni cel puțin o dată pe an și vor supraveghea și facilita punerea în aplicare și executarea acordului și a oricărui acord de completare.</w:t>
      </w:r>
    </w:p>
    <w:p w:rsidR="00756C4C" w:rsidRPr="00D1090B" w:rsidRDefault="00EA229A" w:rsidP="00756C4C">
      <w:pPr>
        <w:pStyle w:val="Text2"/>
        <w:ind w:left="850"/>
        <w:rPr>
          <w:noProof/>
        </w:rPr>
      </w:pPr>
      <w:r w:rsidRPr="00D1090B">
        <w:rPr>
          <w:noProof/>
        </w:rPr>
        <w:t xml:space="preserve">Consiliul de cooperare poate adopta decizii cu privire la toate aspectele pentru care acordul sau orice acord de completare prevede acest lucru. Consiliul de cooperare poate lua decizii și formula recomandări numai pe baza unui acord comun între Uniune și Regatul Unit. Consiliul de cooperare nu poate în niciun caz să restricționeze procesul decizional de la nivelul Uniunii. Uniunea și Regatul Unit pot decide, prin intermediul Consiliului de cooperare sau al comitetelor specializate, să modifice anumite aspecte ale acordului sau ale oricărui acord de completare numai în cazurile prevăzute în mod specific în acestea. Atunci când părțile aprobă o astfel de decizie, aceasta trebuie să respecte cerințele și procedurile lor interne aplicabile. </w:t>
      </w:r>
    </w:p>
    <w:p w:rsidR="00EA229A" w:rsidRPr="00D1090B" w:rsidRDefault="00EA229A" w:rsidP="00756C4C">
      <w:pPr>
        <w:pStyle w:val="Text2"/>
        <w:ind w:left="850"/>
        <w:rPr>
          <w:noProof/>
        </w:rPr>
      </w:pPr>
      <w:r w:rsidRPr="00D1090B">
        <w:rPr>
          <w:noProof/>
        </w:rPr>
        <w:t>La îndeplinirea sarcinilor sale, Consiliul de cooperare va fi asistat de comitete specializate.</w:t>
      </w:r>
    </w:p>
    <w:p w:rsidR="00EA229A" w:rsidRPr="00D1090B" w:rsidRDefault="00EA229A" w:rsidP="00EA229A">
      <w:pPr>
        <w:pStyle w:val="Text2"/>
        <w:rPr>
          <w:noProof/>
          <w:u w:color="000000"/>
          <w:bdr w:val="nil"/>
        </w:rPr>
      </w:pPr>
      <w:r w:rsidRPr="00D1090B">
        <w:rPr>
          <w:noProof/>
          <w:u w:color="000000"/>
          <w:bdr w:val="nil"/>
        </w:rPr>
        <w:t xml:space="preserve">Acordul instituie următoarele comitete specializate: </w:t>
      </w:r>
    </w:p>
    <w:p w:rsidR="00EA229A" w:rsidRPr="00D1090B" w:rsidRDefault="00EA229A" w:rsidP="00090EF4">
      <w:pPr>
        <w:pStyle w:val="Point2"/>
        <w:rPr>
          <w:noProof/>
        </w:rPr>
      </w:pPr>
      <w:r>
        <w:rPr>
          <w:noProof/>
        </w:rPr>
        <w:t>(a)</w:t>
      </w:r>
      <w:r>
        <w:rPr>
          <w:noProof/>
        </w:rPr>
        <w:tab/>
      </w:r>
      <w:r w:rsidRPr="00D1090B">
        <w:rPr>
          <w:noProof/>
        </w:rPr>
        <w:t>Comitetul specializat privind circulația persoanelor;</w:t>
      </w:r>
    </w:p>
    <w:p w:rsidR="00EA229A" w:rsidRPr="00D1090B" w:rsidRDefault="00EA229A" w:rsidP="00EA229A">
      <w:pPr>
        <w:pStyle w:val="Point2"/>
        <w:rPr>
          <w:noProof/>
        </w:rPr>
      </w:pPr>
      <w:r>
        <w:rPr>
          <w:noProof/>
        </w:rPr>
        <w:t>(b)</w:t>
      </w:r>
      <w:r>
        <w:rPr>
          <w:noProof/>
        </w:rPr>
        <w:tab/>
      </w:r>
      <w:r w:rsidRPr="00D1090B">
        <w:rPr>
          <w:noProof/>
        </w:rPr>
        <w:t>Comitetul specializat privind economia și comerțul;</w:t>
      </w:r>
    </w:p>
    <w:p w:rsidR="0031130F" w:rsidRPr="00D1090B" w:rsidRDefault="00EA229A" w:rsidP="00EA229A">
      <w:pPr>
        <w:pStyle w:val="Point2"/>
        <w:rPr>
          <w:noProof/>
        </w:rPr>
      </w:pPr>
      <w:r>
        <w:rPr>
          <w:noProof/>
        </w:rPr>
        <w:t>(c)</w:t>
      </w:r>
      <w:r>
        <w:rPr>
          <w:noProof/>
        </w:rPr>
        <w:tab/>
      </w:r>
      <w:r w:rsidRPr="00D1090B">
        <w:rPr>
          <w:noProof/>
        </w:rPr>
        <w:t xml:space="preserve">Comitetul specializat privind aviația. </w:t>
      </w:r>
    </w:p>
    <w:p w:rsidR="00EA229A" w:rsidRPr="00D1090B" w:rsidRDefault="00EA229A" w:rsidP="00EA229A">
      <w:pPr>
        <w:pStyle w:val="Text2"/>
        <w:rPr>
          <w:noProof/>
        </w:rPr>
      </w:pPr>
      <w:r w:rsidRPr="00D1090B">
        <w:rPr>
          <w:noProof/>
        </w:rPr>
        <w:t>Consiliul de cooperare poate institui sau dizolva comitete specializate.</w:t>
      </w:r>
    </w:p>
    <w:p w:rsidR="00EA229A" w:rsidRPr="00D1090B" w:rsidRDefault="00EA229A" w:rsidP="00756C4C">
      <w:pPr>
        <w:pStyle w:val="Text2"/>
        <w:ind w:left="850"/>
        <w:rPr>
          <w:noProof/>
        </w:rPr>
      </w:pPr>
      <w:r w:rsidRPr="00D1090B">
        <w:rPr>
          <w:noProof/>
        </w:rPr>
        <w:t>Acordul prevede, de asemenea, pentru Consiliul de cooperare un rol în soluționarea litigiilor, care este abordat în capitolul 1 din partea a șasea a acordului.</w:t>
      </w:r>
    </w:p>
    <w:p w:rsidR="00EA229A" w:rsidRPr="00D1090B" w:rsidRDefault="00EA229A" w:rsidP="00090EF4">
      <w:pPr>
        <w:pStyle w:val="Bullet1"/>
        <w:numPr>
          <w:ilvl w:val="0"/>
          <w:numId w:val="17"/>
        </w:numPr>
        <w:rPr>
          <w:b/>
          <w:noProof/>
          <w:u w:color="000000"/>
          <w:bdr w:val="nil"/>
        </w:rPr>
      </w:pPr>
      <w:r w:rsidRPr="00D1090B">
        <w:rPr>
          <w:b/>
          <w:noProof/>
        </w:rPr>
        <w:t>Punerea în aplicare și executarea acordului în Uniune</w:t>
      </w:r>
    </w:p>
    <w:p w:rsidR="00756C4C" w:rsidRPr="00D1090B" w:rsidRDefault="00EA229A" w:rsidP="00756C4C">
      <w:pPr>
        <w:pStyle w:val="Text2"/>
        <w:ind w:left="850"/>
        <w:rPr>
          <w:noProof/>
          <w:u w:color="000000"/>
          <w:bdr w:val="nil"/>
        </w:rPr>
      </w:pPr>
      <w:r w:rsidRPr="00D1090B">
        <w:rPr>
          <w:noProof/>
          <w:u w:color="000000"/>
          <w:bdr w:val="nil"/>
        </w:rPr>
        <w:t xml:space="preserve">În conformitate cu articolul 216 alineatul (2) din TFUE, acordurile încheiate de Uniune sunt obligatorii pentru instituțiile Uniunii și pentru statele membre ale acesteia. </w:t>
      </w:r>
    </w:p>
    <w:p w:rsidR="00756C4C" w:rsidRPr="00D1090B" w:rsidRDefault="00127211" w:rsidP="00756C4C">
      <w:pPr>
        <w:pStyle w:val="Text2"/>
        <w:ind w:left="850"/>
        <w:rPr>
          <w:noProof/>
          <w:u w:color="000000"/>
          <w:bdr w:val="nil"/>
        </w:rPr>
      </w:pPr>
      <w:r w:rsidRPr="00D1090B">
        <w:rPr>
          <w:noProof/>
        </w:rPr>
        <w:t>Pentru a garanta respectarea obligațiilor prevăzute în acord, există mecanisme solide de asigurare a respectării legii. Acordul prevede posibilitatea ca părțile să ia măsuri rapide, autonome și operaționale pentru a-și proteja interesele, inclusiv în ceea ce privește condițiile de concurență echitabile (și anume, măsuri de remediere și măsuri de reechilibrare), precum și, la un nivel mai general, în cazul unor dificultăți economice, societale sau de mediu grave, de natură sectorială sau regională. Este important ca Uniunea să fie pe deplin în măsură să pună în aplicare în mod rapid și eficace aceste măsuri de asigurare a respectării legii. În acest sens, Comisia ar trebui să fie împuternicită să suspende punerea în aplicare a obligațiilor în conformitate cu articolul 67, să ia măsuri de reechilibrare în domeniul combaterii spălării banilor în conformitate cu articolul 198 alineatul (6), să ia măsuri de remediere în domeniul ajutoarelor de stat în conformitate cu articolul 209 alineatul (3), să ia măsuri de salvgardare în domeniul impozitării indirecte în conformitate cu articolul 249 sau să suspende acordul, să ia măsurile corespunzătoare în conformitate cu articolul 252 sau să ia măsuri de remediere în domeniul transportului rutier în conformitate cu articolul 284.</w:t>
      </w:r>
    </w:p>
    <w:p w:rsidR="00EA229A" w:rsidRPr="00D1090B" w:rsidRDefault="00EA229A" w:rsidP="00756C4C">
      <w:pPr>
        <w:pStyle w:val="Text2"/>
        <w:ind w:left="850"/>
        <w:rPr>
          <w:noProof/>
          <w:u w:color="000000"/>
          <w:bdr w:val="nil"/>
        </w:rPr>
      </w:pPr>
      <w:r w:rsidRPr="00D1090B">
        <w:rPr>
          <w:noProof/>
        </w:rPr>
        <w:t>În conformitate cu tratatele, Comisia va acționa, de asemenea, în numele Uniunii cu privire la toate etapele procedurii de soluționare a litigiilor în temeiul capitolului I din partea a șasea a acordului.</w:t>
      </w:r>
    </w:p>
    <w:p w:rsidR="008D1785" w:rsidRPr="00D1090B" w:rsidRDefault="008D1785" w:rsidP="00090EF4">
      <w:pPr>
        <w:pStyle w:val="Bullet1"/>
        <w:numPr>
          <w:ilvl w:val="0"/>
          <w:numId w:val="17"/>
        </w:numPr>
        <w:rPr>
          <w:b/>
          <w:noProof/>
        </w:rPr>
      </w:pPr>
      <w:r w:rsidRPr="00D1090B">
        <w:rPr>
          <w:b/>
          <w:noProof/>
        </w:rPr>
        <w:t>Explicarea detaliată a dispozițiilor specifice ale acordului</w:t>
      </w:r>
    </w:p>
    <w:p w:rsidR="00756C4C" w:rsidRPr="00D1090B" w:rsidRDefault="00725B6C" w:rsidP="00756C4C">
      <w:pPr>
        <w:pStyle w:val="Text2"/>
        <w:ind w:left="850"/>
        <w:rPr>
          <w:noProof/>
          <w:szCs w:val="24"/>
        </w:rPr>
      </w:pPr>
      <w:r w:rsidRPr="00D1090B">
        <w:rPr>
          <w:noProof/>
        </w:rPr>
        <w:t>Acordul se bazează pe recunoașterea democrației, a statului de drept și a drepturilor omului, precum și pe combaterea schimbărilor climatice și pe combaterea proliferării armelor de distrugere în masă. O încălcare a oricăruia dintre aceste elemente esențiale le permite părților să denunțe sau să suspende, integral sau parțial, funcționarea acordului sau a oricărui acord de completare. Părțile își afirmă, de asemenea, angajamentul de a aplica acquis-ul Uniunii privind protecția datelor cu caracter personal.</w:t>
      </w:r>
    </w:p>
    <w:p w:rsidR="00756C4C" w:rsidRPr="00D1090B" w:rsidRDefault="00725B6C" w:rsidP="00756C4C">
      <w:pPr>
        <w:pStyle w:val="Text2"/>
        <w:ind w:left="850"/>
        <w:rPr>
          <w:noProof/>
          <w:szCs w:val="24"/>
        </w:rPr>
      </w:pPr>
      <w:r w:rsidRPr="00D1090B">
        <w:rPr>
          <w:noProof/>
        </w:rPr>
        <w:t>Acordul vizează eliminarea tuturor barierelor fizice din calea circulației persoanelor și a mărfurilor între teritoriul Uniunii și Gibraltar și acoperă cooperarea în domeniile necesare pentru instituirea unei zone de prosperitate comună. Acesta nu aduce atingere pozițiilor privind suveranitatea și jurisdicția Spaniei și a Regatului Unit.</w:t>
      </w:r>
    </w:p>
    <w:p w:rsidR="00756C4C" w:rsidRPr="00D1090B" w:rsidRDefault="00725B6C" w:rsidP="00756C4C">
      <w:pPr>
        <w:pStyle w:val="Text2"/>
        <w:ind w:left="850"/>
        <w:rPr>
          <w:noProof/>
          <w:szCs w:val="24"/>
        </w:rPr>
      </w:pPr>
      <w:r w:rsidRPr="00D1090B">
        <w:rPr>
          <w:noProof/>
        </w:rPr>
        <w:t>Acordul conține șapte părți (împărțite în titluri și capitole), trei protocoale și o serie de anexe, după cum urmează:</w:t>
      </w:r>
    </w:p>
    <w:p w:rsidR="00756C4C" w:rsidRPr="00D1090B" w:rsidRDefault="004559C1" w:rsidP="00756C4C">
      <w:pPr>
        <w:pStyle w:val="Text2"/>
        <w:ind w:left="850"/>
        <w:rPr>
          <w:noProof/>
          <w:szCs w:val="24"/>
        </w:rPr>
      </w:pPr>
      <w:r w:rsidRPr="00D1090B">
        <w:rPr>
          <w:b/>
          <w:noProof/>
        </w:rPr>
        <w:t>Partea întâi (Dispoziții comune și instituționale)</w:t>
      </w:r>
      <w:r w:rsidRPr="00D1090B">
        <w:rPr>
          <w:noProof/>
        </w:rPr>
        <w:t xml:space="preserve"> conține dispozițiile comune care stabilesc baza cooperării, principiile de interpretare și definițiile, precum și cadrul instituțional. Aceasta subliniază faptul că acordul nu aduce atingere aspectelor legate de suveranitate și de jurisdicția asupra teritoriului Gibraltarului. </w:t>
      </w:r>
    </w:p>
    <w:p w:rsidR="00756C4C" w:rsidRPr="00D1090B" w:rsidRDefault="00747BEC" w:rsidP="00756C4C">
      <w:pPr>
        <w:pStyle w:val="Text2"/>
        <w:ind w:left="850"/>
        <w:rPr>
          <w:noProof/>
          <w:szCs w:val="24"/>
        </w:rPr>
      </w:pPr>
      <w:r w:rsidRPr="00D1090B">
        <w:rPr>
          <w:noProof/>
        </w:rPr>
        <w:t>Partea întâi prezintă elementele esențiale ale relației: protejarea drepturilor omului și a libertăților fundamentale, a principiilor democratice, a statului de drept, inclusiv angajamentul continuu al Regatului Unit de a respecta Convenția europeană a drepturilor omului, sprijinul pentru neproliferare, combaterea schimbărilor climatice, astfel cum a fost stabilită în cadrul procesului Convenției-cadru a Națiunilor Unite asupra schimbărilor climatice și, în special, în Acordul de la Paris. Această parte reamintește, de asemenea, angajamentul părților de a promova multilateralismul eficace și bazat pe norme. Aceasta conține dispoziții care asigură alinierea, cu timpul, a Regatului Unit la normele Uniunii în materie de protecție a datelor cu caracter personal. Aceasta prevede, de asemenea, norme care reglementează cooperarea civilă în domeniul nuclear între părți. În plus, partea întâi conține două principii orizontale importante: eliminarea tuturor barierelor din calea circulației mărfurilor și a persoanelor și comunicarea cu Gibraltarul prin intermediul Regatului Unit, întrucât Gibraltarul rămâne un teritoriu care nu se autoguvernează.</w:t>
      </w:r>
    </w:p>
    <w:p w:rsidR="00756C4C" w:rsidRPr="00D1090B" w:rsidRDefault="00DD4EB9" w:rsidP="00756C4C">
      <w:pPr>
        <w:pStyle w:val="Text2"/>
        <w:ind w:left="850"/>
        <w:rPr>
          <w:noProof/>
          <w:szCs w:val="24"/>
        </w:rPr>
      </w:pPr>
      <w:r w:rsidRPr="00D1090B">
        <w:rPr>
          <w:noProof/>
        </w:rPr>
        <w:t xml:space="preserve">Partea întâi stabilește, de asemenea, procedura de aplicare, cu timpul, de către Regatul Unit a dreptului Uniunii în cazurile în care acest lucru este prevăzut de acord, precum și dispozițiile instituționale pentru un cadru general de guvernanță care să acopere toate domeniile de cooperare. Această parte instituie un organ de conducere (Consiliul de cooperare), responsabil cu gestionarea și supravegherea punerii în aplicare și a executării acordului și cu facilitarea soluționării litigiilor, rol inspirat din modelul Acordului comercial și de cooperare, asigurând, în același timp, un rol pentru Curtea de Justiție a Uniunii Europene în interpretarea dreptului Uniunii aplicat în contextul acordului. Consiliul de cooperare ar urma să fie asistat de trei comitete specializate (Comitetul privind circulația persoanelor, Comitetul privind economia și comerțul și Comitetul privind aviația), cu competențe și sarcini specifice bazate pe nevoile fiecărui sector. </w:t>
      </w:r>
    </w:p>
    <w:p w:rsidR="00756C4C" w:rsidRPr="00D1090B" w:rsidRDefault="00422BD3" w:rsidP="00756C4C">
      <w:pPr>
        <w:pStyle w:val="Text2"/>
        <w:ind w:left="850"/>
        <w:rPr>
          <w:noProof/>
        </w:rPr>
      </w:pPr>
      <w:r w:rsidRPr="00D1090B">
        <w:rPr>
          <w:b/>
          <w:noProof/>
        </w:rPr>
        <w:t>Partea a doua (Circulația persoanelor)</w:t>
      </w:r>
      <w:r w:rsidRPr="00D1090B">
        <w:rPr>
          <w:noProof/>
        </w:rPr>
        <w:t xml:space="preserve"> prevede un model personalizat care stabilește normele pentru eliminarea frontierei existente și a verificărilor în ceea ce privește circulația persoanelor între Gibraltar și spațiul Schengen. Aceasta stabilește punctele de trecere a frontierei Schengen pentru efectuarea controlului la frontierele Schengen ca fiind aeroportul și portul din Gibraltar. </w:t>
      </w:r>
    </w:p>
    <w:p w:rsidR="00756C4C" w:rsidRPr="00D1090B" w:rsidRDefault="00FD2AD6" w:rsidP="00756C4C">
      <w:pPr>
        <w:pStyle w:val="Text2"/>
        <w:ind w:left="850"/>
        <w:rPr>
          <w:noProof/>
        </w:rPr>
      </w:pPr>
      <w:r w:rsidRPr="00D1090B">
        <w:rPr>
          <w:noProof/>
        </w:rPr>
        <w:t xml:space="preserve">Partea a doua prevede eliminarea infrastructurii fizice actuale dintre Gibraltar și Spania. Aceasta asigură faptul că efectuarea controlului la frontierele externe (verificări și supraveghere) are loc în aeroportul și în portul din Gibraltar, inclusiv în apele adiacente, sub responsabilitatea Spaniei, care va aplica normele relevante ale UE și care va avea competențele necesare pentru a aplica aceste norme, cu excepții limitate, în special în ceea ce privește acțiunile coercitive întreprinse pe baza alertelor din Sistemul de informații Schengen, care vor trebui convenite cu Regatul Unit în anumite cazuri. În plus, în cazul unui mandat european de arestare, persoana căutată va putea alege să i se refuze intrarea în loc să fie arestată. </w:t>
      </w:r>
    </w:p>
    <w:p w:rsidR="00756C4C" w:rsidRPr="00D1090B" w:rsidRDefault="00422BD3" w:rsidP="00756C4C">
      <w:pPr>
        <w:pStyle w:val="Text2"/>
        <w:ind w:left="850"/>
        <w:rPr>
          <w:noProof/>
        </w:rPr>
      </w:pPr>
      <w:r w:rsidRPr="00D1090B">
        <w:rPr>
          <w:noProof/>
        </w:rPr>
        <w:t>Deși normele Schengen se vor aplica la frontierele externe, Gibraltarul nu va deveni parte a spațiului Schengen. Partea a doua stabilește o serie de măsuri de salvgardare pentru a asigura integritatea și securitatea spațiului Schengen și pentru a aborda riscurile în materie de migrație ilegală. Aplicarea normelor Schengen în Gibraltar va face obiectul unei verificări periodice sub forma unor evaluări Schengen. Acordurile administrative dintre Spania și Regatul Unit vor detalia modalitățile practice relevante pentru aplicarea acestei părți.</w:t>
      </w:r>
    </w:p>
    <w:p w:rsidR="00422BD3" w:rsidRPr="00D1090B" w:rsidRDefault="00FD0B35" w:rsidP="00756C4C">
      <w:pPr>
        <w:pStyle w:val="Text2"/>
        <w:ind w:left="850"/>
        <w:rPr>
          <w:noProof/>
          <w:szCs w:val="24"/>
        </w:rPr>
      </w:pPr>
      <w:r w:rsidRPr="00D1090B">
        <w:rPr>
          <w:noProof/>
        </w:rPr>
        <w:t>Partea a doua prevede, de asemenea, o serie de măsuri de salvgardare suplimentare:</w:t>
      </w:r>
    </w:p>
    <w:p w:rsidR="00422BD3" w:rsidRPr="00D1090B" w:rsidRDefault="00422BD3" w:rsidP="00090EF4">
      <w:pPr>
        <w:pStyle w:val="Tiret1"/>
        <w:numPr>
          <w:ilvl w:val="0"/>
          <w:numId w:val="23"/>
        </w:numPr>
        <w:rPr>
          <w:noProof/>
        </w:rPr>
      </w:pPr>
      <w:r w:rsidRPr="00D1090B">
        <w:rPr>
          <w:noProof/>
        </w:rPr>
        <w:t>norme privind eliberarea permiselor de ședere în Gibraltar – cu drept de veto pentru Spania;</w:t>
      </w:r>
    </w:p>
    <w:p w:rsidR="00422BD3" w:rsidRPr="00D1090B" w:rsidRDefault="00422BD3" w:rsidP="00E827E1">
      <w:pPr>
        <w:pStyle w:val="Tiret1"/>
        <w:rPr>
          <w:noProof/>
        </w:rPr>
      </w:pPr>
      <w:r w:rsidRPr="00D1090B">
        <w:rPr>
          <w:noProof/>
        </w:rPr>
        <w:t>norme privind vizele – Spania fiind însărcinată cu eliberarea vizelor de scurtă ședere pentru șederi al căror scop principal este Gibraltarul, în cazul cărora prima intrare este în Gibraltar, și având un rol special în eliberarea vizelor excepționale la frontierele externe;</w:t>
      </w:r>
    </w:p>
    <w:p w:rsidR="00422BD3" w:rsidRPr="00D1090B" w:rsidRDefault="00422BD3" w:rsidP="00E827E1">
      <w:pPr>
        <w:pStyle w:val="Tiret1"/>
        <w:rPr>
          <w:noProof/>
        </w:rPr>
      </w:pPr>
      <w:r w:rsidRPr="00D1090B">
        <w:rPr>
          <w:noProof/>
        </w:rPr>
        <w:t>norme speciale privind condițiile minime în care legislația poate permite un drept de ședere în Gibraltar, precum și evaluări ale riscurilor și impunerea de restricții de călătorie rezidenților din Gibraltar în cazuri justificate;</w:t>
      </w:r>
    </w:p>
    <w:p w:rsidR="00422BD3" w:rsidRPr="00D1090B" w:rsidRDefault="00422BD3" w:rsidP="00E827E1">
      <w:pPr>
        <w:pStyle w:val="Tiret1"/>
        <w:rPr>
          <w:noProof/>
        </w:rPr>
      </w:pPr>
      <w:r w:rsidRPr="00D1090B">
        <w:rPr>
          <w:noProof/>
        </w:rPr>
        <w:t>norme privind examinarea cererilor de protecție internațională – cu rol consultativ pentru Spania;</w:t>
      </w:r>
    </w:p>
    <w:p w:rsidR="00422BD3" w:rsidRPr="00D1090B" w:rsidRDefault="00422BD3" w:rsidP="00E827E1">
      <w:pPr>
        <w:pStyle w:val="Tiret1"/>
        <w:rPr>
          <w:noProof/>
        </w:rPr>
      </w:pPr>
      <w:r w:rsidRPr="00D1090B">
        <w:rPr>
          <w:noProof/>
        </w:rPr>
        <w:t>norme privind securitatea și cooperarea în materie de aplicare a legii;</w:t>
      </w:r>
    </w:p>
    <w:p w:rsidR="00422BD3" w:rsidRPr="00D1090B" w:rsidRDefault="00422BD3" w:rsidP="00E827E1">
      <w:pPr>
        <w:pStyle w:val="Tiret1"/>
        <w:rPr>
          <w:noProof/>
        </w:rPr>
      </w:pPr>
      <w:r w:rsidRPr="00D1090B">
        <w:rPr>
          <w:noProof/>
        </w:rPr>
        <w:t>norme privind cooperarea judiciară în materie penală și cooperarea dintre autoritățile judiciare penale – similare celor incluse în Acordul comercial și de cooperare;</w:t>
      </w:r>
    </w:p>
    <w:p w:rsidR="00422BD3" w:rsidRPr="00D1090B" w:rsidRDefault="00422BD3" w:rsidP="00E827E1">
      <w:pPr>
        <w:pStyle w:val="Tiret1"/>
        <w:rPr>
          <w:noProof/>
        </w:rPr>
      </w:pPr>
      <w:r w:rsidRPr="00D1090B">
        <w:rPr>
          <w:noProof/>
        </w:rPr>
        <w:t>norme specifice pentru punerea în aplicare, executarea, evaluarea și asigurarea respectării dispozițiilor privind circulația persoanelor – inclusiv un mecanism specific de evaluare după o perioadă inițială de patru ani de punere în aplicare, care poate duce la denunțarea acordului, inclusiv la cererea Spaniei.</w:t>
      </w:r>
    </w:p>
    <w:p w:rsidR="00756C4C" w:rsidRPr="00D1090B" w:rsidRDefault="00AB498F" w:rsidP="00756C4C">
      <w:pPr>
        <w:shd w:val="clear" w:color="auto" w:fill="FFFFFF" w:themeFill="background1"/>
        <w:ind w:left="720"/>
        <w:rPr>
          <w:noProof/>
        </w:rPr>
      </w:pPr>
      <w:r w:rsidRPr="00D1090B">
        <w:rPr>
          <w:noProof/>
        </w:rPr>
        <w:t>În fine, partea a doua acoperă combaterea spălării banilor și a finanțării terorismului, în cadrul căreia părțile și-au reiterat angajamentele de a sprijini eforturile internaționale de prevenire și combatere a spălării banilor și a finanțării terorismului. Această parte asigură, de asemenea, faptul că Regatul Unit nu aplică, în ceea ce privește Gibraltarul, standarde privind prevenirea spălării banilor și a finanțării terorismului mai reduse decât cele aplicabile în Uniune la momentul intrării în vigoare a acordului.</w:t>
      </w:r>
    </w:p>
    <w:p w:rsidR="00756C4C" w:rsidRPr="00D1090B" w:rsidRDefault="00CB4BC5" w:rsidP="00756C4C">
      <w:pPr>
        <w:shd w:val="clear" w:color="auto" w:fill="FFFFFF" w:themeFill="background1"/>
        <w:ind w:left="720"/>
        <w:rPr>
          <w:noProof/>
        </w:rPr>
      </w:pPr>
      <w:r w:rsidRPr="00D1090B">
        <w:rPr>
          <w:b/>
          <w:noProof/>
        </w:rPr>
        <w:t>Partea a treia (Economie și comerț)</w:t>
      </w:r>
      <w:r w:rsidRPr="00D1090B">
        <w:rPr>
          <w:noProof/>
        </w:rPr>
        <w:t xml:space="preserve"> stabilește dispozițiile menite să asigure eliminarea barierelor fizice existente între Gibraltar și Uniune, garantând, în același timp, o concurență deschisă și loială. Aceasta conține, de asemenea, dispoziții privind transportul rutier, aerian și maritim. </w:t>
      </w:r>
    </w:p>
    <w:p w:rsidR="00CB4BC5" w:rsidRPr="00D1090B" w:rsidRDefault="006977AA" w:rsidP="00756C4C">
      <w:pPr>
        <w:shd w:val="clear" w:color="auto" w:fill="FFFFFF" w:themeFill="background1"/>
        <w:ind w:left="720"/>
        <w:rPr>
          <w:noProof/>
        </w:rPr>
      </w:pPr>
      <w:r w:rsidRPr="00D1090B">
        <w:rPr>
          <w:noProof/>
        </w:rPr>
        <w:t xml:space="preserve">În ceea ce privește </w:t>
      </w:r>
      <w:r w:rsidRPr="00D1090B">
        <w:rPr>
          <w:b/>
          <w:noProof/>
        </w:rPr>
        <w:t>condițiile de concurență echitabile</w:t>
      </w:r>
      <w:r w:rsidRPr="00D1090B">
        <w:rPr>
          <w:noProof/>
        </w:rPr>
        <w:t xml:space="preserve">, partea a treia include un cadru solid de angajamente pentru a asigura o concurență deschisă și loială și pentru a contribui la dezvoltarea durabilă. Aceste angajamente țin seama de domeniul de aplicare și de profunzimea acordului, de relația globală și de legătura economică dintre Uniune și Gibraltar. Standardele Uniunii și standardele internaționale aplicate în cadrul Uniunii sunt menținute ca punct de referință. Acordul prevede un mecanism adecvat de asigurare a respectării acestor angajamente. </w:t>
      </w:r>
    </w:p>
    <w:p w:rsidR="00CB4BC5" w:rsidRPr="00D1090B" w:rsidRDefault="00CB4BC5" w:rsidP="00E827E1">
      <w:pPr>
        <w:pStyle w:val="Tiret1"/>
        <w:rPr>
          <w:noProof/>
        </w:rPr>
      </w:pPr>
      <w:r w:rsidRPr="00D1090B">
        <w:rPr>
          <w:noProof/>
        </w:rPr>
        <w:t>În ceea ce privește</w:t>
      </w:r>
      <w:r w:rsidRPr="00D1090B">
        <w:rPr>
          <w:b/>
          <w:noProof/>
        </w:rPr>
        <w:t xml:space="preserve"> ajutoarele de stat</w:t>
      </w:r>
      <w:r w:rsidRPr="00D1090B">
        <w:rPr>
          <w:noProof/>
        </w:rPr>
        <w:t>, acordul asigură aplicarea legislației relevante a Uniunii de către autoritățile din Gibraltar atât Gibraltarului, cât și pe teritoriul acestuia. Această parte prevede mecanisme de abordare a evoluției în timp a unor astfel de norme pentru a evita denaturarea comerțului sau a concurenței și prevede un mecanism eficace de asigurare a respectării normelor;</w:t>
      </w:r>
    </w:p>
    <w:p w:rsidR="00CB4BC5" w:rsidRPr="00D1090B" w:rsidRDefault="00CB4BC5" w:rsidP="00E827E1">
      <w:pPr>
        <w:pStyle w:val="Tiret1"/>
        <w:rPr>
          <w:noProof/>
        </w:rPr>
      </w:pPr>
      <w:r w:rsidRPr="00D1090B">
        <w:rPr>
          <w:noProof/>
        </w:rPr>
        <w:t xml:space="preserve">În ceea ce privește </w:t>
      </w:r>
      <w:r w:rsidRPr="00D1090B">
        <w:rPr>
          <w:b/>
          <w:noProof/>
        </w:rPr>
        <w:t>impozitarea directă</w:t>
      </w:r>
      <w:r w:rsidRPr="00D1090B">
        <w:rPr>
          <w:noProof/>
        </w:rPr>
        <w:t>, acordul urmează modelul Acordului comercial și de cooperare, prevăzând angajamente pentru ambele părți de punere în aplicare a principiilor bunei guvernanțe, inclusiv a standardelor globale privind transparența și schimbul de informații, a impozitării echitabile și a standardelor OCDE împotriva erodării bazei impozabile și a transferului profiturilor. Această parte include, de asemenea, o declarație comună privind combaterea practicilor fiscale dăunătoare. În plus, prevede angajamente de menținere a unor niveluri de protecție care fac trimitere la dreptul și standardele Uniunii, astfel cum sunt acestea la momentul semnării acordului;</w:t>
      </w:r>
    </w:p>
    <w:p w:rsidR="00CB4BC5" w:rsidRPr="00D1090B" w:rsidRDefault="00CB4BC5" w:rsidP="00E827E1">
      <w:pPr>
        <w:pStyle w:val="Tiret1"/>
        <w:rPr>
          <w:noProof/>
        </w:rPr>
      </w:pPr>
      <w:r w:rsidRPr="00D1090B">
        <w:rPr>
          <w:noProof/>
        </w:rPr>
        <w:t xml:space="preserve">În ceea ce privește </w:t>
      </w:r>
      <w:r w:rsidRPr="00D1090B">
        <w:rPr>
          <w:b/>
          <w:noProof/>
        </w:rPr>
        <w:t>standardele sociale și de muncă</w:t>
      </w:r>
      <w:r w:rsidRPr="00D1090B">
        <w:rPr>
          <w:noProof/>
        </w:rPr>
        <w:t>, la fel ca în Acordul comercial și de cooperare, acordul prevede faptul că părțile vor menține nivelul ridicat de protecție existent la încheierea perioadei de tranziție, standardele Uniunii fiind puncte de referință în acest sens;</w:t>
      </w:r>
    </w:p>
    <w:p w:rsidR="00CB4BC5" w:rsidRPr="00D1090B" w:rsidRDefault="00CB4BC5" w:rsidP="00E827E1">
      <w:pPr>
        <w:pStyle w:val="Tiret1"/>
        <w:rPr>
          <w:noProof/>
        </w:rPr>
      </w:pPr>
      <w:r w:rsidRPr="00D1090B">
        <w:rPr>
          <w:noProof/>
        </w:rPr>
        <w:t xml:space="preserve">În ceea ce privește </w:t>
      </w:r>
      <w:r w:rsidRPr="00D1090B">
        <w:rPr>
          <w:b/>
          <w:noProof/>
        </w:rPr>
        <w:t>mediul și clima</w:t>
      </w:r>
      <w:r w:rsidRPr="00D1090B">
        <w:rPr>
          <w:noProof/>
        </w:rPr>
        <w:t>, acordul angajează Regatul Unit, în ceea ce privește Gibraltarul, să mențină niveluri de protecție a mediului și a climei echivalente cu nivelurile în vigoare în Uniune, inclusiv cu evoluția în timp a acestora. Această parte include angajamente care asigură faptul că sistemul de stabilire a prețului carbonului care se aplică în Gibraltar va avea, cu timpul, un domeniu de aplicare și o eficacitate echivalente cu cele existente în Uniune. În plus, aceasta prevede că ambele părți vor respecta principiile de mediu recunoscute la nivel internațional pe care și le-au asumat. În fine, aceasta prevede faptul că ar putea fi susținută cooperarea în domeniul mediului prin acorduri administrative între Spania și Regatul Unit în ceea ce privește Gibraltarul;</w:t>
      </w:r>
    </w:p>
    <w:p w:rsidR="00CB4BC5" w:rsidRPr="00D1090B" w:rsidRDefault="00CB4BC5" w:rsidP="00E827E1">
      <w:pPr>
        <w:pStyle w:val="Tiret1"/>
        <w:rPr>
          <w:noProof/>
        </w:rPr>
      </w:pPr>
      <w:r w:rsidRPr="00D1090B">
        <w:rPr>
          <w:noProof/>
        </w:rPr>
        <w:t xml:space="preserve">În ceea ce privește alte </w:t>
      </w:r>
      <w:r w:rsidRPr="00D1090B">
        <w:rPr>
          <w:b/>
          <w:noProof/>
        </w:rPr>
        <w:t>instrumente pentru comerț și dezvoltarea durabilă</w:t>
      </w:r>
      <w:r w:rsidRPr="00D1090B">
        <w:rPr>
          <w:noProof/>
        </w:rPr>
        <w:t xml:space="preserve">, acordul corespunde, în linii mari, angajamentelor incluse în Acordul comercial și de cooperare, fiind, în același timp, proporțional cu relația cu Regatul Unit în ceea ce privește Gibraltarul. </w:t>
      </w:r>
    </w:p>
    <w:p w:rsidR="00756C4C" w:rsidRPr="00D1090B" w:rsidRDefault="00CB4BC5" w:rsidP="00756C4C">
      <w:pPr>
        <w:shd w:val="clear" w:color="auto" w:fill="FFFFFF" w:themeFill="background1"/>
        <w:ind w:left="720"/>
        <w:rPr>
          <w:noProof/>
        </w:rPr>
      </w:pPr>
      <w:r w:rsidRPr="00D1090B">
        <w:rPr>
          <w:noProof/>
        </w:rPr>
        <w:t xml:space="preserve">În ceea ce privește </w:t>
      </w:r>
      <w:r w:rsidRPr="00D1090B">
        <w:rPr>
          <w:b/>
          <w:noProof/>
        </w:rPr>
        <w:t>chestiunile vamale și aspectele conexe</w:t>
      </w:r>
      <w:r w:rsidRPr="00D1090B">
        <w:rPr>
          <w:noProof/>
        </w:rPr>
        <w:t>, acordul instituie o uniune vamală între Uniune și Regatul Unit, în ceea ce privește Gibraltarul, care, împreună cu aplicarea acquis-ului relevant al Uniunii în Gibraltar, ar trebui să permită eliminarea barierelor fizice (inclusiv a oricăror formalități conexe pentru mărfurile care circulă între Gibraltar și Uniune după perioada de tranziție cu o durată nedeterminată), protejând, în același timp, integritatea pieței unice a Uniunii și interesele financiare ale Uniunii. Aceasta este însoțită de cooperare fiscală și vamală și de alinierea integrală a sistemului de impozitare indirectă din Gibraltar la legislația Uniunii după o perioadă de tranziție. În cursul perioadei de tranziție, autoritățile competente din Uniune vor îndeplini toate formalitățile vamale în numele Gibraltarului, în timp ce Gibraltarul ar urma să perceapă o taxă proprie pe tranzacții și impozite similare accizelor la import și producție, precum și accize, acestea fiind, în principiu, aliniate la ratele UE, după o perioadă de tranziție de trei ani. Cu unele excepții, portul și aeroportul din Gibraltar vor fi închise traficului comercial până când Gibraltarul va deveni, de asemenea, parte a teritoriului fiscal al Uniunii și va aplica în mod direct legislația Uniunii privind impozitarea indirectă și privind importurile și exporturile. Acordul prevede, de asemenea, verificări și controale adecvate efectuate fie de către autoritățile spaniole, fie împreună de către autoritățile din Spania și cele din Regatul Unit în ceea ce privește Gibraltarul, utilizarea infrastructurii informatice spaniole și monitorizarea de către autoritățile Uniunii și de către autoritățile spaniole a unor activități conexe desfășurate de autoritățile competente în ceea ce privește Gibraltarul. Acordurile administrative dintre Spania și Regatul Unit, în ceea ce privește Gibraltarul, vor prevedea modalitățile practice relevante de aplicare a acestei părți.</w:t>
      </w:r>
    </w:p>
    <w:p w:rsidR="00756C4C" w:rsidRPr="00D1090B" w:rsidRDefault="00CB4BC5" w:rsidP="00756C4C">
      <w:pPr>
        <w:shd w:val="clear" w:color="auto" w:fill="FFFFFF" w:themeFill="background1"/>
        <w:ind w:left="720"/>
        <w:rPr>
          <w:noProof/>
        </w:rPr>
      </w:pPr>
      <w:r w:rsidRPr="00D1090B">
        <w:rPr>
          <w:noProof/>
        </w:rPr>
        <w:t xml:space="preserve">În ceea ce privește </w:t>
      </w:r>
      <w:r w:rsidRPr="00D1090B">
        <w:rPr>
          <w:b/>
          <w:noProof/>
        </w:rPr>
        <w:t>transporturile</w:t>
      </w:r>
      <w:r w:rsidRPr="00D1090B">
        <w:rPr>
          <w:noProof/>
        </w:rPr>
        <w:t>, acordul include dispoziții care asigură transportul rutier de mărfuri și de pasageri similare cu cele din Acordul comercial și de cooperare. Această parte include o dispoziție suplimentară privind transportul maritim, care prevede accesul la porturile și serviciile portuare ale UE, în conformitate cu standardele internaționale. Aceasta conține, de asemenea, dispoziții privind aviația referitoare la repartizarea responsabilităților de supraveghere și gestionare pe aeroportul din Gibraltar. Acordul prevede operațiunile autorizate ale companiilor aeriene ale fiecărei părți.</w:t>
      </w:r>
    </w:p>
    <w:p w:rsidR="00756C4C" w:rsidRPr="00D1090B" w:rsidRDefault="005A2B27" w:rsidP="00756C4C">
      <w:pPr>
        <w:shd w:val="clear" w:color="auto" w:fill="FFFFFF" w:themeFill="background1"/>
        <w:ind w:left="720"/>
        <w:rPr>
          <w:noProof/>
        </w:rPr>
      </w:pPr>
      <w:r w:rsidRPr="00D1090B">
        <w:rPr>
          <w:b/>
          <w:noProof/>
        </w:rPr>
        <w:t>Partea a patra (Lucrătorii frontalieri)</w:t>
      </w:r>
      <w:r w:rsidRPr="00D1090B">
        <w:rPr>
          <w:noProof/>
        </w:rPr>
        <w:t xml:space="preserve"> stabilește dispozițiile care asigură drepturile lucrătorilor frontalieri. Această parte oferă un nivel de protecție similar cu cel prevăzut în Acordul de retragere. Dispozițiile detaliate privind securitatea socială sunt incluse într-un protocol separat. </w:t>
      </w:r>
    </w:p>
    <w:p w:rsidR="00756C4C" w:rsidRPr="00D1090B" w:rsidRDefault="005A2B27" w:rsidP="00756C4C">
      <w:pPr>
        <w:shd w:val="clear" w:color="auto" w:fill="FFFFFF" w:themeFill="background1"/>
        <w:ind w:left="720"/>
        <w:rPr>
          <w:noProof/>
        </w:rPr>
      </w:pPr>
      <w:r w:rsidRPr="00D1090B">
        <w:rPr>
          <w:noProof/>
        </w:rPr>
        <w:t xml:space="preserve">În ceea ce privește </w:t>
      </w:r>
      <w:r w:rsidRPr="00D1090B">
        <w:rPr>
          <w:b/>
          <w:noProof/>
        </w:rPr>
        <w:t>lucrătorii frontalieri</w:t>
      </w:r>
      <w:r w:rsidRPr="00D1090B">
        <w:rPr>
          <w:noProof/>
        </w:rPr>
        <w:t>, acordul asigură faptul că cetățenii Uniunii care își au reședința legală în Spania și resortisanții Regatului Unit care își au reședința legală în Gibraltar</w:t>
      </w:r>
      <w:r w:rsidRPr="00D1090B">
        <w:rPr>
          <w:rStyle w:val="FootnoteReference"/>
          <w:noProof/>
        </w:rPr>
        <w:footnoteReference w:id="4"/>
      </w:r>
      <w:r w:rsidRPr="00D1090B">
        <w:rPr>
          <w:noProof/>
        </w:rPr>
        <w:t xml:space="preserve">, precum și membrii familiilor acestora beneficiază în Gibraltar și, respectiv, în Spania de dreptul de a desfășura o activitate salariată și de a desfășura o astfel de activitate în conformitate cu normele aplicabile în Regatul Unit, în ceea ce privește Gibraltarul, și în Spania. Aceasta include, de asemenea, dispoziții privind lucrătorii care sunt detașați în temeiul acordului pentru a presta servicii care sunt atât produse la nivel local, cât și consumate în zona de frontieră contiguă. În fine, aceasta prevede coordonarea securității sociale între Spania și Regatul Unit în ceea ce privește Gibraltarul, în conformitate cu mobilitatea menționată mai sus. </w:t>
      </w:r>
    </w:p>
    <w:p w:rsidR="00756C4C" w:rsidRPr="00D1090B" w:rsidRDefault="005A2B27" w:rsidP="00756C4C">
      <w:pPr>
        <w:shd w:val="clear" w:color="auto" w:fill="FFFFFF" w:themeFill="background1"/>
        <w:ind w:left="720"/>
        <w:rPr>
          <w:noProof/>
        </w:rPr>
      </w:pPr>
      <w:r w:rsidRPr="00D1090B">
        <w:rPr>
          <w:b/>
          <w:noProof/>
        </w:rPr>
        <w:t>Partea a cincea (Dispoziții financiare)</w:t>
      </w:r>
      <w:r w:rsidRPr="00D1090B">
        <w:rPr>
          <w:noProof/>
        </w:rPr>
        <w:t xml:space="preserve"> conține dispoziții privind un mecanism financiar legat de acord. </w:t>
      </w:r>
    </w:p>
    <w:p w:rsidR="00756C4C" w:rsidRPr="00D1090B" w:rsidRDefault="00185D67" w:rsidP="00FE7F26">
      <w:pPr>
        <w:shd w:val="clear" w:color="auto" w:fill="FFFFFF" w:themeFill="background1"/>
        <w:ind w:left="720"/>
        <w:rPr>
          <w:noProof/>
        </w:rPr>
      </w:pPr>
      <w:r w:rsidRPr="00D1090B">
        <w:rPr>
          <w:noProof/>
        </w:rPr>
        <w:t>Un astfel de mecanism financiar va promova coeziunea dintre Gibraltar și Campo de Gibraltar, inclusiv în ceea ce privește formarea și ocuparea forței de muncă, va fi finanțat de ambele părți și va include măsuri de protecție a intereselor financiare ale Uniunii împotriva fraudei și a altor activități ilegale. Particularitățile mecanismului urmează să fie stabilite într-o etapă ulterioară de către Consiliul de cooperare. Uniunea își va îndeplini obligația financiară prin realocarea fondurilor existente acordate Spaniei. Cu acordul Regatului Spaniei, pachetul aferent fondurilor de coeziune pentru Spania va fi utilizat pentru contribuția UE la mecanism.</w:t>
      </w:r>
    </w:p>
    <w:p w:rsidR="00756C4C" w:rsidRPr="00D1090B" w:rsidRDefault="005A2B27" w:rsidP="00756C4C">
      <w:pPr>
        <w:shd w:val="clear" w:color="auto" w:fill="FFFFFF" w:themeFill="background1"/>
        <w:ind w:left="720"/>
        <w:rPr>
          <w:noProof/>
        </w:rPr>
      </w:pPr>
      <w:r w:rsidRPr="00D1090B">
        <w:rPr>
          <w:b/>
          <w:noProof/>
        </w:rPr>
        <w:t>Partea a șasea (Soluționarea litigiilor)</w:t>
      </w:r>
      <w:r w:rsidRPr="00D1090B">
        <w:rPr>
          <w:noProof/>
        </w:rPr>
        <w:t xml:space="preserve"> conține dispoziții privind soluționarea litigiilor și îndeplinirea obligațiilor, supravegherea și asigurarea respectării legislației.</w:t>
      </w:r>
      <w:r w:rsidRPr="00D1090B">
        <w:rPr>
          <w:b/>
          <w:noProof/>
        </w:rPr>
        <w:t xml:space="preserve"> </w:t>
      </w:r>
    </w:p>
    <w:p w:rsidR="00756C4C" w:rsidRPr="00D1090B" w:rsidRDefault="005A2B27" w:rsidP="00756C4C">
      <w:pPr>
        <w:shd w:val="clear" w:color="auto" w:fill="FFFFFF" w:themeFill="background1"/>
        <w:ind w:left="720"/>
        <w:rPr>
          <w:noProof/>
        </w:rPr>
      </w:pPr>
      <w:r w:rsidRPr="00D1090B">
        <w:rPr>
          <w:noProof/>
        </w:rPr>
        <w:t>Acordul stabilește modalități eficiente și eficace de gestionare, supraveghere, punere în aplicare și revizuire a acordului, precum și de soluționare a litigiilor și de asigurare a respectării acordului, cu respectarea deplină a autonomiei ordinilor juridice ale părților. Aceasta prevede posibilitatea unor măsuri autonome, inclusiv suspendarea aplicării acordului, precum și a oricăror acorduri de completare, integral sau parțial, în cazul unei încălcări a elementelor esențiale sau al nerespectării obligațiilor în domeniul circulației persoanelor și a mărfurilor. Această parte include mecanisme de soluționare a litigiilor de către o comisie de arbitraj independentă și prevede un rol al Curții de Justiție a Uniunii Europene în litigiile care ridică o problemă de interpretare a dreptului Uniunii.</w:t>
      </w:r>
    </w:p>
    <w:p w:rsidR="00756C4C" w:rsidRPr="00D1090B" w:rsidRDefault="005A2B27" w:rsidP="00756C4C">
      <w:pPr>
        <w:shd w:val="clear" w:color="auto" w:fill="FFFFFF" w:themeFill="background1"/>
        <w:ind w:left="720"/>
        <w:rPr>
          <w:noProof/>
        </w:rPr>
      </w:pPr>
      <w:r w:rsidRPr="00D1090B">
        <w:rPr>
          <w:b/>
          <w:noProof/>
        </w:rPr>
        <w:t>Partea a șaptea (Dispoziții finale)</w:t>
      </w:r>
      <w:r w:rsidRPr="00D1090B">
        <w:rPr>
          <w:noProof/>
        </w:rPr>
        <w:t xml:space="preserve"> vizează diverse elemente, de la relația cu alte acorduri, revizuire, informații confidențiale, informații clasificate și informații sensibile neclasificate până la rezilierea și intrarea în vigoare a acordului. Intrarea în vigoare și funcționarea acordului sunt condiționate de încheierea unor acorduri administrative între Spania și Regatul Unit în ceea ce privește Gibraltarul, precum și de instituirea anumitor măsuri prevăzute de acord.</w:t>
      </w:r>
    </w:p>
    <w:p w:rsidR="00756C4C" w:rsidRPr="00D1090B" w:rsidRDefault="00725B6C" w:rsidP="00756C4C">
      <w:pPr>
        <w:shd w:val="clear" w:color="auto" w:fill="FFFFFF" w:themeFill="background1"/>
        <w:ind w:left="720"/>
        <w:rPr>
          <w:noProof/>
        </w:rPr>
      </w:pPr>
      <w:r w:rsidRPr="00D1090B">
        <w:rPr>
          <w:noProof/>
        </w:rPr>
        <w:t xml:space="preserve">Două </w:t>
      </w:r>
      <w:r w:rsidRPr="00D1090B">
        <w:rPr>
          <w:b/>
          <w:noProof/>
        </w:rPr>
        <w:t>protocoale</w:t>
      </w:r>
      <w:r w:rsidRPr="00D1090B">
        <w:rPr>
          <w:noProof/>
        </w:rPr>
        <w:t xml:space="preserve"> prevăd </w:t>
      </w:r>
      <w:r w:rsidRPr="00D1090B">
        <w:rPr>
          <w:b/>
          <w:noProof/>
        </w:rPr>
        <w:t>cooperarea administrativă și combaterea fraudelor în domeniul taxei pe valoarea adăugată și al accizelor, asistența reciprocă în materie de recuperare a creanțelor legate de taxe și impozite</w:t>
      </w:r>
      <w:r w:rsidRPr="00D1090B">
        <w:rPr>
          <w:noProof/>
        </w:rPr>
        <w:t xml:space="preserve"> și </w:t>
      </w:r>
      <w:r w:rsidRPr="00D1090B">
        <w:rPr>
          <w:b/>
          <w:noProof/>
        </w:rPr>
        <w:t>asistența administrativă reciprocă în domeniul vamal</w:t>
      </w:r>
      <w:r w:rsidRPr="00D1090B">
        <w:rPr>
          <w:noProof/>
        </w:rPr>
        <w:t xml:space="preserve">. Acordul conține, de asemenea, un </w:t>
      </w:r>
      <w:r w:rsidRPr="00D1090B">
        <w:rPr>
          <w:b/>
          <w:noProof/>
        </w:rPr>
        <w:t>Protocol privind trasabilitatea, cooperarea pentru combaterea contrabandei cu tutun</w:t>
      </w:r>
      <w:r w:rsidRPr="00D1090B">
        <w:rPr>
          <w:noProof/>
        </w:rPr>
        <w:t xml:space="preserve"> și măsuri suplimentare referitoare la produsele din tutun. </w:t>
      </w:r>
    </w:p>
    <w:p w:rsidR="00725B6C" w:rsidRPr="00D1090B" w:rsidRDefault="00725B6C" w:rsidP="00756C4C">
      <w:pPr>
        <w:shd w:val="clear" w:color="auto" w:fill="FFFFFF" w:themeFill="background1"/>
        <w:ind w:left="720"/>
        <w:rPr>
          <w:noProof/>
        </w:rPr>
      </w:pPr>
      <w:r w:rsidRPr="00D1090B">
        <w:rPr>
          <w:b/>
          <w:noProof/>
        </w:rPr>
        <w:t>Protocolul privind coordonarea sistemelor de securitate socială</w:t>
      </w:r>
      <w:r w:rsidRPr="00D1090B">
        <w:rPr>
          <w:noProof/>
        </w:rPr>
        <w:t xml:space="preserve"> stabilește o serie de măsuri de coordonare a sistemelor de securitate socială menite să protejeze drepturile de securitate socială ale lucrătorilor frontalieri, astfel cum sunt definite de acord. </w:t>
      </w:r>
    </w:p>
    <w:p w:rsidR="009008E2" w:rsidRPr="00D1090B" w:rsidRDefault="009008E2" w:rsidP="004D5F09">
      <w:pPr>
        <w:pStyle w:val="Bullet0"/>
        <w:numPr>
          <w:ilvl w:val="0"/>
          <w:numId w:val="25"/>
        </w:numPr>
        <w:rPr>
          <w:b/>
          <w:bCs/>
          <w:noProof/>
        </w:rPr>
      </w:pPr>
      <w:r w:rsidRPr="00D1090B">
        <w:rPr>
          <w:b/>
          <w:noProof/>
        </w:rPr>
        <w:t>Textul acordului și al notificărilor</w:t>
      </w:r>
    </w:p>
    <w:p w:rsidR="009008E2" w:rsidRPr="00D1090B" w:rsidRDefault="009008E2" w:rsidP="00277B4E">
      <w:pPr>
        <w:pBdr>
          <w:top w:val="nil"/>
          <w:left w:val="nil"/>
          <w:bottom w:val="nil"/>
          <w:right w:val="nil"/>
          <w:between w:val="nil"/>
          <w:bar w:val="nil"/>
        </w:pBdr>
        <w:spacing w:before="0" w:after="240"/>
        <w:ind w:left="709"/>
        <w:rPr>
          <w:noProof/>
        </w:rPr>
      </w:pPr>
      <w:r w:rsidRPr="00D1090B">
        <w:rPr>
          <w:noProof/>
        </w:rPr>
        <w:t xml:space="preserve">Textul acordului este transmis Consiliului împreună cu prezenta propunere. Textul declarațiilor este transmis împreună cu prezenta propunere. Întrucât declarațiile au fost formulate în etapa semnării, acestea ar trebui să fie confirmate ulterior în decizia Consiliului privind încheierea acordului. </w:t>
      </w:r>
    </w:p>
    <w:p w:rsidR="009008E2" w:rsidRPr="00D1090B" w:rsidRDefault="009008E2" w:rsidP="00BA07F6">
      <w:pPr>
        <w:pBdr>
          <w:top w:val="nil"/>
          <w:left w:val="nil"/>
          <w:bottom w:val="nil"/>
          <w:right w:val="nil"/>
          <w:between w:val="nil"/>
          <w:bar w:val="nil"/>
        </w:pBdr>
        <w:spacing w:before="0" w:after="240"/>
        <w:ind w:left="709"/>
        <w:rPr>
          <w:noProof/>
        </w:rPr>
      </w:pPr>
      <w:r w:rsidRPr="00D1090B">
        <w:rPr>
          <w:noProof/>
        </w:rPr>
        <w:t>În conformitate cu tratatele, este de competența Comisiei să efectueze notificarea prevăzută la articolul 336 din acord, pentru a exprima consimțământul Uniunii de a-și asuma obligații în temeiul acordului,</w:t>
      </w:r>
    </w:p>
    <w:p w:rsidR="00BA07F6" w:rsidRPr="00D1090B" w:rsidRDefault="00BA07F6" w:rsidP="00277B4E">
      <w:pPr>
        <w:pBdr>
          <w:top w:val="nil"/>
          <w:left w:val="nil"/>
          <w:bottom w:val="nil"/>
          <w:right w:val="nil"/>
          <w:between w:val="nil"/>
          <w:bar w:val="nil"/>
        </w:pBdr>
        <w:spacing w:before="0" w:after="240"/>
        <w:ind w:left="709"/>
        <w:rPr>
          <w:noProof/>
        </w:rPr>
        <w:sectPr w:rsidR="00BA07F6" w:rsidRPr="00D1090B" w:rsidSect="0058783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A97A73" w:rsidRDefault="00645D3E">
      <w:pPr>
        <w:pStyle w:val="Rfrenceinterinstitutionnelle"/>
        <w:rPr>
          <w:noProof/>
        </w:rPr>
      </w:pPr>
      <w:r>
        <w:rPr>
          <w:noProof/>
        </w:rPr>
        <w:t>2026/0058 (NLE)</w:t>
      </w:r>
    </w:p>
    <w:p w:rsidR="00F1620D" w:rsidRPr="00D1090B" w:rsidRDefault="00D1090B" w:rsidP="00D1090B">
      <w:pPr>
        <w:pStyle w:val="Statut"/>
        <w:rPr>
          <w:noProof/>
        </w:rPr>
      </w:pPr>
      <w:r w:rsidRPr="00D1090B">
        <w:rPr>
          <w:noProof/>
        </w:rPr>
        <w:t>Propunere de</w:t>
      </w:r>
    </w:p>
    <w:p w:rsidR="00F1620D" w:rsidRPr="00D1090B" w:rsidRDefault="00D1090B" w:rsidP="00D1090B">
      <w:pPr>
        <w:pStyle w:val="Typedudocument"/>
        <w:rPr>
          <w:noProof/>
        </w:rPr>
      </w:pPr>
      <w:r w:rsidRPr="00D1090B">
        <w:rPr>
          <w:noProof/>
        </w:rPr>
        <w:t>DECIZIE A CONSILIULUI</w:t>
      </w:r>
    </w:p>
    <w:p w:rsidR="008E270D" w:rsidRPr="00D1090B" w:rsidRDefault="00D1090B" w:rsidP="00D1090B">
      <w:pPr>
        <w:pStyle w:val="Titreobjet"/>
        <w:rPr>
          <w:noProof/>
        </w:rPr>
      </w:pPr>
      <w:r w:rsidRPr="00D1090B">
        <w:rPr>
          <w:noProof/>
        </w:rPr>
        <w:t>privind încheierea, în numele Uniunii, a Acordului cu privire la Gibraltar dintre Uniunea Europeană și Comunitatea Europeană a Energiei Atomice, pe de o parte, și Regatul Unit al Marii Britanii și Irlandei de Nord, pe de altă parte</w:t>
      </w:r>
    </w:p>
    <w:p w:rsidR="00F1620D" w:rsidRPr="00D1090B" w:rsidRDefault="00F1620D" w:rsidP="00751F57">
      <w:pPr>
        <w:pStyle w:val="Institutionquiagit"/>
        <w:rPr>
          <w:noProof/>
        </w:rPr>
      </w:pPr>
      <w:r w:rsidRPr="00D1090B">
        <w:rPr>
          <w:noProof/>
        </w:rPr>
        <w:t>CONSILIUL UNIUNII EUROPENE,</w:t>
      </w:r>
    </w:p>
    <w:p w:rsidR="00F1620D" w:rsidRPr="00D1090B" w:rsidRDefault="0072050C" w:rsidP="000277B8">
      <w:pPr>
        <w:rPr>
          <w:noProof/>
        </w:rPr>
      </w:pPr>
      <w:bookmarkStart w:id="3" w:name="_Hlk221190780"/>
      <w:r w:rsidRPr="00D1090B">
        <w:rPr>
          <w:noProof/>
        </w:rPr>
        <w:t>având în vedere Tratatul privind funcționarea Uniunii Europene, în special articolul 217, coroborat cu articolul 218 alineatele (6) și (7) și cu articolul 218 alineatul (8) al doilea paragraf,</w:t>
      </w:r>
      <w:bookmarkEnd w:id="3"/>
      <w:r w:rsidRPr="00D1090B">
        <w:rPr>
          <w:noProof/>
        </w:rPr>
        <w:t xml:space="preserve"> </w:t>
      </w:r>
    </w:p>
    <w:p w:rsidR="00F1620D" w:rsidRPr="00D1090B" w:rsidRDefault="00F1620D" w:rsidP="00751F57">
      <w:pPr>
        <w:rPr>
          <w:noProof/>
        </w:rPr>
      </w:pPr>
      <w:r w:rsidRPr="00D1090B">
        <w:rPr>
          <w:noProof/>
        </w:rPr>
        <w:t>având în vedere propunerea Comisiei Europene,</w:t>
      </w:r>
    </w:p>
    <w:p w:rsidR="007A7144" w:rsidRPr="00D1090B" w:rsidRDefault="007A7144" w:rsidP="00751F57">
      <w:pPr>
        <w:rPr>
          <w:noProof/>
        </w:rPr>
      </w:pPr>
      <w:r w:rsidRPr="00D1090B">
        <w:rPr>
          <w:noProof/>
        </w:rPr>
        <w:t>având în vedere aprobarea Parlamentului European,</w:t>
      </w:r>
    </w:p>
    <w:p w:rsidR="00841C54" w:rsidRPr="00D1090B" w:rsidRDefault="00F1620D" w:rsidP="00115829">
      <w:pPr>
        <w:rPr>
          <w:noProof/>
        </w:rPr>
      </w:pPr>
      <w:r w:rsidRPr="00D1090B">
        <w:rPr>
          <w:noProof/>
        </w:rPr>
        <w:t>întrucât:</w:t>
      </w:r>
    </w:p>
    <w:p w:rsidR="003D60A8" w:rsidRPr="00D1090B" w:rsidRDefault="003D60A8" w:rsidP="00090EF4">
      <w:pPr>
        <w:pStyle w:val="ManualConsidrant"/>
        <w:rPr>
          <w:noProof/>
          <w:szCs w:val="24"/>
        </w:rPr>
      </w:pPr>
      <w:r>
        <w:rPr>
          <w:noProof/>
        </w:rPr>
        <w:t>(1)</w:t>
      </w:r>
      <w:r>
        <w:rPr>
          <w:noProof/>
        </w:rPr>
        <w:tab/>
      </w:r>
      <w:r w:rsidRPr="00D1090B">
        <w:rPr>
          <w:noProof/>
        </w:rPr>
        <w:t>Rezoluțiile Adunării Generale a Organizației Națiunilor Unite privind decolonizarea teritoriului Gibraltarului (denumit în continuare „Gibraltar”) enumeră Gibraltarul ca fiind un „teritoriu neautonom administrat de Regatul Unit al Marii Britanii și Irlandei de Nord”, în aplicarea capitolului XI din Carta Organizației Națiunilor Unite.</w:t>
      </w:r>
    </w:p>
    <w:p w:rsidR="003D60A8" w:rsidRPr="00D1090B" w:rsidRDefault="003D60A8" w:rsidP="00090EF4">
      <w:pPr>
        <w:pStyle w:val="ManualConsidrant"/>
        <w:rPr>
          <w:noProof/>
          <w:szCs w:val="24"/>
        </w:rPr>
      </w:pPr>
      <w:r>
        <w:rPr>
          <w:noProof/>
        </w:rPr>
        <w:t>(2)</w:t>
      </w:r>
      <w:r>
        <w:rPr>
          <w:noProof/>
        </w:rPr>
        <w:tab/>
      </w:r>
      <w:r w:rsidRPr="00D1090B">
        <w:rPr>
          <w:noProof/>
        </w:rPr>
        <w:t>În conformitate cu articolul 774 alineatul (3) din Acordul comercial și de cooperare</w:t>
      </w:r>
      <w:r w:rsidRPr="00D1090B">
        <w:rPr>
          <w:rStyle w:val="FootnoteReference"/>
          <w:noProof/>
          <w:szCs w:val="24"/>
        </w:rPr>
        <w:footnoteReference w:id="5"/>
      </w:r>
      <w:r w:rsidRPr="00D1090B">
        <w:rPr>
          <w:noProof/>
        </w:rPr>
        <w:t xml:space="preserve"> și în concordanță cu Declarația Consiliului European și a Comisiei Europene privind domeniul de aplicare teritorială al viitoarelor acorduri, consemnată în procesul-verbal al reuniunii Consiliului European din 25 noiembrie 2018, Acordul comercial și de cooperare nu se aplică Gibraltarului și nu are efecte pe teritoriul acestuia. După cum se prevede în declarația menționată, „acest lucru nu exclude posibilitatea de a avea acorduri separate între Uniune și Regatul Unit în ceea ce privește Gibraltarul. Fără a aduce atingere competențelor Uniunii și cu deplina respectare a integrității teritoriale a statelor sale membre, astfel cum se garantează la articolul 4 alineatul (2) din Tratatul privind Uniunea Europeană, astfel de acorduri separate vor necesita un acord prealabil al Regatului Spaniei”.</w:t>
      </w:r>
    </w:p>
    <w:p w:rsidR="001E0347" w:rsidRPr="00D1090B" w:rsidRDefault="004F703A" w:rsidP="00090EF4">
      <w:pPr>
        <w:pStyle w:val="ManualConsidrant"/>
        <w:rPr>
          <w:noProof/>
        </w:rPr>
      </w:pPr>
      <w:r>
        <w:rPr>
          <w:noProof/>
        </w:rPr>
        <w:t>(3)</w:t>
      </w:r>
      <w:r>
        <w:rPr>
          <w:noProof/>
        </w:rPr>
        <w:tab/>
      </w:r>
      <w:r w:rsidRPr="00D1090B">
        <w:rPr>
          <w:noProof/>
        </w:rPr>
        <w:t>În conformitate cu Decizia (UE) nr. ... a Consiliului, Acordul cu privire la Gibraltar dintre Uniunea Europeană și Comunitatea Europeană a Energiei Atomice, pe de o parte, și Regatul Unit al Marii Britanii și Irlandei de Nord, pe de altă parte („acordul”) a fost semnat la [...], sub rezerva încheierii sale la o dată ulterioară, [și a fost aplicat cu titlu provizoriu de la 10 aprilie 2026 până la intrarea sa în vigoare].</w:t>
      </w:r>
    </w:p>
    <w:p w:rsidR="00756C4C" w:rsidRPr="00D1090B" w:rsidRDefault="00756C4C" w:rsidP="00090EF4">
      <w:pPr>
        <w:pStyle w:val="ManualConsidrant"/>
        <w:rPr>
          <w:noProof/>
          <w:szCs w:val="24"/>
        </w:rPr>
      </w:pPr>
      <w:r>
        <w:rPr>
          <w:noProof/>
        </w:rPr>
        <w:t>(4)</w:t>
      </w:r>
      <w:r>
        <w:rPr>
          <w:noProof/>
        </w:rPr>
        <w:tab/>
      </w:r>
      <w:r w:rsidRPr="00D1090B">
        <w:rPr>
          <w:noProof/>
        </w:rPr>
        <w:t>Acordul sau orice activitate ori măsură întreprinsă în aplicarea sau ca urmare a acestuia nu implică nicio modificare a poziției juridice a Regatului Spaniei în ceea ce privește suveranitatea și jurisdicția în ceea ce privește Gibraltarul.</w:t>
      </w:r>
    </w:p>
    <w:p w:rsidR="007230D5" w:rsidRPr="00D1090B" w:rsidRDefault="007230D5" w:rsidP="00090EF4">
      <w:pPr>
        <w:pStyle w:val="ManualConsidrant"/>
        <w:rPr>
          <w:noProof/>
          <w:szCs w:val="24"/>
        </w:rPr>
      </w:pPr>
      <w:r>
        <w:rPr>
          <w:noProof/>
        </w:rPr>
        <w:t>(5)</w:t>
      </w:r>
      <w:r>
        <w:rPr>
          <w:noProof/>
        </w:rPr>
        <w:tab/>
      </w:r>
      <w:r w:rsidRPr="00D1090B">
        <w:rPr>
          <w:noProof/>
        </w:rPr>
        <w:t xml:space="preserve">Întrucât autoritățile din Gibraltar au un caracter local și exercită exclusiv competențe interne, orice participare a acestor autorități la aplicarea prezentului acord ar trebui considerată ca având loc exclusiv în cadrul competențelor interne ale Gibraltarului, cu excepția cazului în care se prevede în mod expres altfel. </w:t>
      </w:r>
    </w:p>
    <w:p w:rsidR="00B31473" w:rsidRPr="00D1090B" w:rsidRDefault="00B12934" w:rsidP="00090EF4">
      <w:pPr>
        <w:pStyle w:val="ManualConsidrant"/>
        <w:rPr>
          <w:noProof/>
        </w:rPr>
      </w:pPr>
      <w:r>
        <w:rPr>
          <w:noProof/>
        </w:rPr>
        <w:t>(6)</w:t>
      </w:r>
      <w:r>
        <w:rPr>
          <w:noProof/>
        </w:rPr>
        <w:tab/>
      </w:r>
      <w:r w:rsidRPr="00D1090B">
        <w:rPr>
          <w:noProof/>
        </w:rPr>
        <w:t>Acordul stabilește baza pentru eliminarea tuturor barierelor fizice dintre teritoriul Uniunii și Gibraltar și pentru instituirea unei zone de prosperitate comună, în ceea ce privește Gibraltarul, pe teritoriul adiacent al Spaniei, care implică drepturi și obligații reciproce, acțiuni comune și proceduri speciale. Prin urmare, decizia privind semnarea acordului ar trebui să se bazeze pe temeiul juridic care prevede constituirea unei asocieri care să permită Uniunii să își asume angajamente în toate domeniile reglementate de tratate.</w:t>
      </w:r>
    </w:p>
    <w:p w:rsidR="004C0945" w:rsidRPr="00D1090B" w:rsidRDefault="004C0945" w:rsidP="00090EF4">
      <w:pPr>
        <w:pStyle w:val="ManualConsidrant"/>
        <w:rPr>
          <w:noProof/>
        </w:rPr>
      </w:pPr>
      <w:r>
        <w:rPr>
          <w:noProof/>
        </w:rPr>
        <w:t>(7)</w:t>
      </w:r>
      <w:r>
        <w:rPr>
          <w:noProof/>
        </w:rPr>
        <w:tab/>
      </w:r>
      <w:r w:rsidRPr="00D1090B">
        <w:rPr>
          <w:noProof/>
        </w:rPr>
        <w:t>Eliminarea barierelor fizice dintre teritoriul Uniunii și Gibraltar nu aduce atingere responsabilităților Spaniei în ceea ce privește frontierele sale externe în temeiul dreptului Uniunii Europene.</w:t>
      </w:r>
    </w:p>
    <w:p w:rsidR="002F7FF4" w:rsidRPr="00D1090B" w:rsidRDefault="002F7FF4">
      <w:pPr>
        <w:pStyle w:val="ManualConsidrant"/>
        <w:rPr>
          <w:noProof/>
        </w:rPr>
      </w:pPr>
      <w:r>
        <w:rPr>
          <w:noProof/>
        </w:rPr>
        <w:t>(8)</w:t>
      </w:r>
      <w:r>
        <w:rPr>
          <w:noProof/>
        </w:rPr>
        <w:tab/>
      </w:r>
      <w:r w:rsidRPr="00D1090B">
        <w:rPr>
          <w:noProof/>
        </w:rPr>
        <w:t>Încheierea acordului în privința aspectelor care intră în competența Comunității</w:t>
      </w:r>
      <w:r w:rsidR="00D40B56">
        <w:rPr>
          <w:noProof/>
        </w:rPr>
        <w:t> </w:t>
      </w:r>
      <w:r w:rsidRPr="00D1090B">
        <w:rPr>
          <w:noProof/>
        </w:rPr>
        <w:t>Europene a Energiei Atomice face obiectul unei proceduri separate.</w:t>
      </w:r>
    </w:p>
    <w:p w:rsidR="003D3C6E" w:rsidRPr="00D1090B" w:rsidRDefault="003D3C6E" w:rsidP="003D3C6E">
      <w:pPr>
        <w:pStyle w:val="ManualConsidrant"/>
        <w:rPr>
          <w:noProof/>
        </w:rPr>
      </w:pPr>
      <w:r>
        <w:rPr>
          <w:noProof/>
        </w:rPr>
        <w:t>(9)</w:t>
      </w:r>
      <w:r>
        <w:rPr>
          <w:noProof/>
        </w:rPr>
        <w:tab/>
      </w:r>
      <w:r w:rsidRPr="00D1090B">
        <w:rPr>
          <w:noProof/>
        </w:rPr>
        <w:t>În conformitate cu articolul 17 alineatul (1) din Tratatul privind Uniunea Europeană („TUE”), Comisia reprezintă Uniunea și exprimă pozițiile Uniunii, astfel cum au fost stabilite de Consiliu în conformitate cu tratatele. Consiliul își exercită funcțiile de definire a politicilor și de coordonare, astfel cum se prevede la articolul 16 alineatul</w:t>
      </w:r>
      <w:r w:rsidR="00D40B56">
        <w:rPr>
          <w:noProof/>
        </w:rPr>
        <w:t> </w:t>
      </w:r>
      <w:r w:rsidRPr="00D1090B">
        <w:rPr>
          <w:noProof/>
        </w:rPr>
        <w:t xml:space="preserve">(1) din TUE, prin stabilirea pozițiilor care urmează să fie adoptate în numele Uniunii în cadrul Consiliului de cooperare și al comitetelor specializate instituite prin acord. În plus, în cazul în care Consiliul de cooperare sau comitetele specializate instituite prin acord sunt invitate să adopte acte cu efecte juridice, pozițiile care urmează să fie adoptate în numele Uniunii în cadrul acestor organisme se stabilesc în conformitate cu procedura prevăzută la articolul 218 alineatul (9) din TFUE. </w:t>
      </w:r>
    </w:p>
    <w:p w:rsidR="003D3C6E" w:rsidRPr="00D1090B" w:rsidRDefault="003D3C6E" w:rsidP="0058136F">
      <w:pPr>
        <w:pStyle w:val="ManualConsidrant"/>
        <w:rPr>
          <w:noProof/>
        </w:rPr>
      </w:pPr>
      <w:r>
        <w:rPr>
          <w:noProof/>
        </w:rPr>
        <w:t>(10)</w:t>
      </w:r>
      <w:r>
        <w:rPr>
          <w:noProof/>
        </w:rPr>
        <w:tab/>
      </w:r>
      <w:r w:rsidRPr="00D1090B">
        <w:rPr>
          <w:noProof/>
        </w:rPr>
        <w:t>Unul sau mai multe state membre pot solicita ca reprezentantul Comisiei să fie însoțit, ca parte a delegației Uniunii, de un reprezentant al statului membru respectiv sau al statelor membre respective la o reuniune a Consiliului de cooperare sau a comitetelor specializate instituite prin acord.</w:t>
      </w:r>
    </w:p>
    <w:p w:rsidR="003355A0" w:rsidRPr="00D1090B" w:rsidRDefault="003355A0" w:rsidP="0058136F">
      <w:pPr>
        <w:pStyle w:val="ManualConsidrant"/>
        <w:rPr>
          <w:noProof/>
        </w:rPr>
      </w:pPr>
      <w:r>
        <w:rPr>
          <w:noProof/>
        </w:rPr>
        <w:t>(11)</w:t>
      </w:r>
      <w:r>
        <w:rPr>
          <w:noProof/>
        </w:rPr>
        <w:tab/>
      </w:r>
      <w:r w:rsidRPr="00D1090B">
        <w:rPr>
          <w:noProof/>
        </w:rPr>
        <w:t>Parlamentul European trebuie informat de îndată și pe deplin, astfel cum se prevede la articolul 218 alineatul (10) din TFUE, pentru a i se permite să își exercite pe deplin prerogativele în conformitate cu tratatele.</w:t>
      </w:r>
    </w:p>
    <w:p w:rsidR="000267CB" w:rsidRPr="00D1090B" w:rsidRDefault="004C0945" w:rsidP="00D43BEE">
      <w:pPr>
        <w:pStyle w:val="ManualConsidrant"/>
        <w:rPr>
          <w:noProof/>
        </w:rPr>
      </w:pPr>
      <w:r>
        <w:rPr>
          <w:noProof/>
        </w:rPr>
        <w:t>(12)</w:t>
      </w:r>
      <w:r>
        <w:rPr>
          <w:noProof/>
        </w:rPr>
        <w:tab/>
      </w:r>
      <w:r w:rsidRPr="00D1090B">
        <w:rPr>
          <w:noProof/>
        </w:rPr>
        <w:t>Regatul Spaniei, în calitate de stat Schengen învecinat responsabil cu efectuarea controlului la frontierele externe în portul și în aeroportul din Gibraltar, poate solicita Uniunii, după o evaluare a punerii în aplicare a părții din acord referitoare la circulația persoanelor, să denunțe acordul.</w:t>
      </w:r>
    </w:p>
    <w:p w:rsidR="000165D9" w:rsidRPr="00D1090B" w:rsidRDefault="000165D9" w:rsidP="000165D9">
      <w:pPr>
        <w:pStyle w:val="ManualConsidrant"/>
        <w:rPr>
          <w:noProof/>
        </w:rPr>
      </w:pPr>
      <w:r>
        <w:rPr>
          <w:noProof/>
        </w:rPr>
        <w:t>(13)</w:t>
      </w:r>
      <w:r>
        <w:rPr>
          <w:noProof/>
        </w:rPr>
        <w:tab/>
      </w:r>
      <w:r w:rsidRPr="00D1090B">
        <w:rPr>
          <w:noProof/>
        </w:rPr>
        <w:t>Autoritățile Regatului Spaniei ar trebui să fie autoritățile competente din Uniune pentru aplicarea dispozițiilor din acord referitoare la domeniul vamal, cu excepția cazului în care se prevede altfel.</w:t>
      </w:r>
    </w:p>
    <w:p w:rsidR="000165D9" w:rsidRPr="00D1090B" w:rsidRDefault="000165D9" w:rsidP="000165D9">
      <w:pPr>
        <w:pStyle w:val="ManualConsidrant"/>
        <w:rPr>
          <w:noProof/>
        </w:rPr>
      </w:pPr>
      <w:r>
        <w:rPr>
          <w:noProof/>
        </w:rPr>
        <w:t>(14)</w:t>
      </w:r>
      <w:r>
        <w:rPr>
          <w:noProof/>
        </w:rPr>
        <w:tab/>
      </w:r>
      <w:r w:rsidRPr="00D1090B">
        <w:rPr>
          <w:noProof/>
        </w:rPr>
        <w:t>Autoritățile Regatului Spaniei ar trebui să furnizeze evaluarea funcționării acordurilor administrative bilaterale relevante, care va face parte din evaluarea de către Consiliul de cooperare a punerii în aplicare a părții a doua a acordului după o perioadă de 4 ani.</w:t>
      </w:r>
    </w:p>
    <w:p w:rsidR="00224E76" w:rsidRPr="00D1090B" w:rsidRDefault="00224E76" w:rsidP="00D43BEE">
      <w:pPr>
        <w:pStyle w:val="ManualConsidrant"/>
        <w:rPr>
          <w:noProof/>
        </w:rPr>
      </w:pPr>
      <w:r>
        <w:rPr>
          <w:noProof/>
        </w:rPr>
        <w:t>(15)</w:t>
      </w:r>
      <w:r>
        <w:rPr>
          <w:noProof/>
        </w:rPr>
        <w:tab/>
      </w:r>
      <w:bookmarkStart w:id="4" w:name="_Hlk221540815"/>
      <w:r w:rsidRPr="00D1090B">
        <w:rPr>
          <w:noProof/>
        </w:rPr>
        <w:t xml:space="preserve">În temeiul articolului 218 alineatul (7) din TFUE, este, de asemenea, adecvat </w:t>
      </w:r>
      <w:bookmarkStart w:id="5" w:name="_Hlk221541613"/>
      <w:r w:rsidRPr="00D1090B">
        <w:rPr>
          <w:noProof/>
        </w:rPr>
        <w:t xml:space="preserve">să fie autorizată Comisia </w:t>
      </w:r>
      <w:bookmarkEnd w:id="5"/>
      <w:r w:rsidRPr="00D1090B">
        <w:rPr>
          <w:noProof/>
        </w:rPr>
        <w:t>să definească modalitățile de luare a deciziilor cu privire la pozițiile care urmează să fie adoptate, în consultare cu Spania, în numele Uniunii în cadrul comitetelor specializate instituite prin acord pentru a asigura faptul că actele juridice adoptate de Uniune în domeniile reglementate de acord sunt încorporate în acord cât mai curând posibil după adoptarea și notificarea lor către Regatul Unit, în vederea asigurării, în măsura posibilului, a aplicării simultane a respectivelor acte juridice în Uniune și în Regatul Unit, în ceea ce privește Gibraltarul.</w:t>
      </w:r>
    </w:p>
    <w:bookmarkEnd w:id="4"/>
    <w:p w:rsidR="00224E76" w:rsidRPr="00D1090B" w:rsidRDefault="00224E76" w:rsidP="00D43BEE">
      <w:pPr>
        <w:pStyle w:val="ManualConsidrant"/>
        <w:rPr>
          <w:noProof/>
        </w:rPr>
      </w:pPr>
      <w:r>
        <w:rPr>
          <w:noProof/>
        </w:rPr>
        <w:t>(16)</w:t>
      </w:r>
      <w:r>
        <w:rPr>
          <w:noProof/>
        </w:rPr>
        <w:tab/>
      </w:r>
      <w:r w:rsidRPr="00D1090B">
        <w:rPr>
          <w:noProof/>
        </w:rPr>
        <w:t>Este adecvat, de asemenea, ca, în temeiul articolului 218 alineatul (7) din TFUE, Comisia Europeană să fie autorizată să aprobe, în consultare cu Spania, în numele Uniunii, anumite modificări ale acordului care se adoptă printr-o procedură simplificată sau de către un organism creat prin acord în conformitate cu dispozițiile acordului. Ar trebui stabilită procedura de consultare a Consiliului cu privire la astfel de modificări.</w:t>
      </w:r>
    </w:p>
    <w:p w:rsidR="00E953A5" w:rsidRPr="00D1090B" w:rsidRDefault="003D3C6E" w:rsidP="00D43BEE">
      <w:pPr>
        <w:pStyle w:val="ManualConsidrant"/>
        <w:rPr>
          <w:noProof/>
        </w:rPr>
      </w:pPr>
      <w:r>
        <w:rPr>
          <w:noProof/>
        </w:rPr>
        <w:t>(17)</w:t>
      </w:r>
      <w:r>
        <w:rPr>
          <w:noProof/>
        </w:rPr>
        <w:tab/>
      </w:r>
      <w:r w:rsidRPr="00D1090B">
        <w:rPr>
          <w:noProof/>
        </w:rPr>
        <w:t>Pentru a permite Uniunii să ia măsuri rapide și eficace pentru a-și proteja interesele în conformitate cu acordul și în conformitate cu condițiile stabilite în dispozițiile corespunzătoare ale acordului, Comisia ar trebui să fie împuternicită să ia, în consultare cu Spania, măsuri de remediere, ca de exemplu suspendarea acordului sau a oricărui acord de completare, în cazul încălcării anumitor dispoziții ale acordului sau al neîndeplinirii anumitor condiții, în special în domeniul circulației persoanelor, al ajutoarelor de stat, al impozitării indirecte și al comerțului cu mărfuri, precum și să ia măsuri de remediere și de reechilibrare adecvate. Drepturile Consiliului ar trebui menținute în acest context printr-o procedură de consultare.</w:t>
      </w:r>
    </w:p>
    <w:p w:rsidR="003D3C6E" w:rsidRPr="00D1090B" w:rsidRDefault="003D3C6E" w:rsidP="003D3C6E">
      <w:pPr>
        <w:pStyle w:val="ManualConsidrant"/>
        <w:rPr>
          <w:noProof/>
        </w:rPr>
      </w:pPr>
      <w:r>
        <w:rPr>
          <w:noProof/>
        </w:rPr>
        <w:t>(18)</w:t>
      </w:r>
      <w:r>
        <w:rPr>
          <w:noProof/>
        </w:rPr>
        <w:tab/>
      </w:r>
      <w:r w:rsidRPr="00D1090B">
        <w:rPr>
          <w:noProof/>
        </w:rPr>
        <w:t>Ori de câte ori Uniunea trebuie să acționeze pentru a se conforma dispozițiilor acordului, o astfel de acțiune trebuie întreprinsă în conformitate cu dispozițiile tratatelor, cu respectarea limitelor competențelor conferite fiecărei instituții. Prin urmare, Comisia este cea care trebuie să îi transmită Regatului Unit informațiile sau notificările prevăzute în acord, cu excepția cazului în care acordul face trimitere la alte instituții, organe, oficii și agenții specifice ale Uniunii, și care trebuie să consulte Regatul Unit cu privire la chestiuni specifice. De asemenea, Comisia este cea care reprezintă Uniunea în fața instanței de arbitraj atunci când un litigiu este supus arbitrajului în conformitate cu acordul.</w:t>
      </w:r>
    </w:p>
    <w:p w:rsidR="009C5943" w:rsidRPr="00D1090B" w:rsidRDefault="0086539E" w:rsidP="003D3C6E">
      <w:pPr>
        <w:pStyle w:val="ManualConsidrant"/>
        <w:rPr>
          <w:noProof/>
        </w:rPr>
      </w:pPr>
      <w:r>
        <w:rPr>
          <w:noProof/>
        </w:rPr>
        <w:t>(19)</w:t>
      </w:r>
      <w:r>
        <w:rPr>
          <w:noProof/>
        </w:rPr>
        <w:tab/>
      </w:r>
      <w:r w:rsidRPr="00D1090B">
        <w:rPr>
          <w:noProof/>
        </w:rPr>
        <w:t>Acordul ar trebui aprobat și ar trebui făcute declarațiile atașate la prezenta decizie.</w:t>
      </w:r>
    </w:p>
    <w:p w:rsidR="00501484" w:rsidRPr="00D1090B" w:rsidRDefault="00863BD3" w:rsidP="00655FA4">
      <w:pPr>
        <w:pStyle w:val="ManualConsidrant"/>
        <w:rPr>
          <w:noProof/>
        </w:rPr>
      </w:pPr>
      <w:r>
        <w:rPr>
          <w:noProof/>
        </w:rPr>
        <w:t>(20)</w:t>
      </w:r>
      <w:r>
        <w:rPr>
          <w:noProof/>
        </w:rPr>
        <w:tab/>
      </w:r>
      <w:r w:rsidRPr="00D1090B">
        <w:rPr>
          <w:noProof/>
        </w:rPr>
        <w:t>Comisia ar trebui să depună, în numele Uniunii, instrumentul de aprobare prevăzut la articolul 336 din acord, pentru a exprima consimțământul Uniunii de a-și asuma obligații în temeiul acordului,</w:t>
      </w:r>
    </w:p>
    <w:p w:rsidR="00F1620D" w:rsidRPr="00D1090B" w:rsidRDefault="00F1620D" w:rsidP="00B20009">
      <w:pPr>
        <w:pStyle w:val="Formuledadoption"/>
        <w:spacing w:before="360" w:after="360"/>
        <w:rPr>
          <w:noProof/>
        </w:rPr>
      </w:pPr>
      <w:r w:rsidRPr="00D1090B">
        <w:rPr>
          <w:noProof/>
        </w:rPr>
        <w:t xml:space="preserve">ADOPTĂ PREZENTA DECIZIE: </w:t>
      </w:r>
    </w:p>
    <w:p w:rsidR="0065377F" w:rsidRPr="00D1090B" w:rsidRDefault="0065377F" w:rsidP="00AF33B1">
      <w:pPr>
        <w:pStyle w:val="Titrearticle"/>
        <w:rPr>
          <w:noProof/>
        </w:rPr>
      </w:pPr>
      <w:r w:rsidRPr="00D1090B">
        <w:rPr>
          <w:noProof/>
        </w:rPr>
        <w:t>Articolul 1</w:t>
      </w:r>
    </w:p>
    <w:p w:rsidR="002F36F8" w:rsidRPr="00D1090B" w:rsidRDefault="002F36F8" w:rsidP="002F36F8">
      <w:pPr>
        <w:rPr>
          <w:noProof/>
        </w:rPr>
      </w:pPr>
      <w:r w:rsidRPr="00D1090B">
        <w:rPr>
          <w:noProof/>
        </w:rPr>
        <w:t>Se aprobă Acordul cu privire la Gibraltar dintre Uniunea Europeană și Comunitatea</w:t>
      </w:r>
      <w:r w:rsidR="00D40B56">
        <w:rPr>
          <w:noProof/>
        </w:rPr>
        <w:t> </w:t>
      </w:r>
      <w:r w:rsidRPr="00D1090B">
        <w:rPr>
          <w:noProof/>
        </w:rPr>
        <w:t>Europeană a Energiei Atomice, pe de o parte, și Regatul Unit al Marii Britanii și Irlandei de Nord, pe de altă parte („acordul”).</w:t>
      </w:r>
    </w:p>
    <w:p w:rsidR="009008E2" w:rsidRPr="00D1090B" w:rsidRDefault="009008E2" w:rsidP="009008E2">
      <w:pPr>
        <w:rPr>
          <w:noProof/>
        </w:rPr>
      </w:pPr>
      <w:r w:rsidRPr="00D1090B">
        <w:rPr>
          <w:noProof/>
        </w:rPr>
        <w:t>Se aprobă declarațiile atașate la prezenta decizie</w:t>
      </w:r>
      <w:r w:rsidRPr="00D1090B">
        <w:rPr>
          <w:rStyle w:val="FootnoteReference"/>
          <w:noProof/>
        </w:rPr>
        <w:footnoteReference w:id="6"/>
      </w:r>
      <w:r w:rsidRPr="00D1090B">
        <w:rPr>
          <w:noProof/>
        </w:rPr>
        <w:t>.</w:t>
      </w:r>
    </w:p>
    <w:p w:rsidR="00501484" w:rsidRPr="00D1090B" w:rsidRDefault="00501484" w:rsidP="00207378">
      <w:pPr>
        <w:pStyle w:val="Titrearticle"/>
        <w:rPr>
          <w:noProof/>
        </w:rPr>
      </w:pPr>
      <w:r w:rsidRPr="00D1090B">
        <w:rPr>
          <w:noProof/>
        </w:rPr>
        <w:t>Articolul 2</w:t>
      </w:r>
    </w:p>
    <w:p w:rsidR="00756C4C" w:rsidRPr="00D1090B" w:rsidRDefault="00264C81" w:rsidP="00090EF4">
      <w:pPr>
        <w:pStyle w:val="Point0"/>
        <w:rPr>
          <w:noProof/>
        </w:rPr>
      </w:pPr>
      <w:r>
        <w:rPr>
          <w:noProof/>
        </w:rPr>
        <w:t>(1)</w:t>
      </w:r>
      <w:r>
        <w:rPr>
          <w:noProof/>
        </w:rPr>
        <w:tab/>
      </w:r>
      <w:r w:rsidRPr="00D1090B">
        <w:rPr>
          <w:noProof/>
        </w:rPr>
        <w:t xml:space="preserve">Comisia Europeană reprezintă Uniunea în cadrul Consiliului de cooperare și al comitetelor specializate instituite prin acord. </w:t>
      </w:r>
    </w:p>
    <w:p w:rsidR="00D912B3" w:rsidRPr="00D1090B" w:rsidRDefault="00D912B3" w:rsidP="00E827E1">
      <w:pPr>
        <w:pStyle w:val="Point0"/>
        <w:rPr>
          <w:noProof/>
        </w:rPr>
      </w:pPr>
      <w:r>
        <w:rPr>
          <w:noProof/>
        </w:rPr>
        <w:t>(2)</w:t>
      </w:r>
      <w:r>
        <w:rPr>
          <w:noProof/>
        </w:rPr>
        <w:tab/>
      </w:r>
      <w:r w:rsidRPr="00D1090B">
        <w:rPr>
          <w:noProof/>
        </w:rPr>
        <w:t>Unul sau mai multe state membre pot solicita ca reprezentantul Comisiei să fie însoțit, ca parte a delegației Uniunii, de un reprezentant al statului membru respectiv sau al statelor membre respective la o reuniune a Consiliului de cooperare sau a unui comitet specializat în cazul în care anumite aspecte care urmează să fie abordate în cadrul reuniunii respective sunt de interes specific pentru statul membru sau statele membre în cauză. În special, Regatul Spaniei poate solicita ca reprezentantul Comisiei să fie însoțit de un reprezentant al Regatului Spaniei la toate reuniunile relevante organizate în temeiul acordului.</w:t>
      </w:r>
      <w:bookmarkStart w:id="6" w:name="_Hlk221541664"/>
    </w:p>
    <w:bookmarkEnd w:id="6"/>
    <w:p w:rsidR="00FE2530" w:rsidRPr="00D1090B" w:rsidRDefault="00FE2530" w:rsidP="00E827E1">
      <w:pPr>
        <w:pStyle w:val="Point0"/>
        <w:rPr>
          <w:noProof/>
        </w:rPr>
      </w:pPr>
      <w:r>
        <w:rPr>
          <w:noProof/>
        </w:rPr>
        <w:t>(3)</w:t>
      </w:r>
      <w:r>
        <w:rPr>
          <w:noProof/>
        </w:rPr>
        <w:tab/>
      </w:r>
      <w:r w:rsidRPr="00D1090B">
        <w:rPr>
          <w:noProof/>
        </w:rPr>
        <w:t>Atunci când reprezintă Uniunea în cadrul Consiliului de cooperare și al comitetelor specializate instituite prin acord, Comisia informează Consiliul în timp util cu privire la discuțiile și rezultatele reuniunilor respective și cu privire la actele adoptate în cadrul reuniunilor menționate și, la cerere, pune la dispoziție procesele-verbale și alte documente legate de astfel de reuniuni sau de o astfel de procedură. Comisia informează, de asemenea, Parlamentul European, după caz.</w:t>
      </w:r>
    </w:p>
    <w:p w:rsidR="00501484" w:rsidRPr="00D1090B" w:rsidRDefault="00501484" w:rsidP="00501484">
      <w:pPr>
        <w:pStyle w:val="Titrearticle"/>
        <w:keepNext w:val="0"/>
        <w:rPr>
          <w:noProof/>
        </w:rPr>
      </w:pPr>
      <w:r w:rsidRPr="00D1090B">
        <w:rPr>
          <w:noProof/>
        </w:rPr>
        <w:t>Articolul 3</w:t>
      </w:r>
    </w:p>
    <w:p w:rsidR="00BA07F6" w:rsidRPr="00D1090B" w:rsidRDefault="00BA07F6" w:rsidP="00BA07F6">
      <w:pPr>
        <w:rPr>
          <w:noProof/>
        </w:rPr>
      </w:pPr>
      <w:r w:rsidRPr="00D1090B">
        <w:rPr>
          <w:noProof/>
        </w:rPr>
        <w:t>Poziția care urmează să fie adoptată, în numele Uniunii, în ceea ce privește deciziile comitetelor specializate instituite prin acord în vederea aplicării actelor juridice ale Uniunii în cazul Regatului Unit, în ceea ce privește Gibraltarul, sub rezerva oricăror ajustări tehnice necesare, se adoptă de către Comisie în consultare cu Spania.</w:t>
      </w:r>
    </w:p>
    <w:p w:rsidR="00BA07F6" w:rsidRPr="00D1090B" w:rsidRDefault="00BA07F6" w:rsidP="00BA07F6">
      <w:pPr>
        <w:rPr>
          <w:noProof/>
        </w:rPr>
      </w:pPr>
    </w:p>
    <w:p w:rsidR="00264C81" w:rsidRPr="00D1090B" w:rsidRDefault="00264C81" w:rsidP="00EA4AC4">
      <w:pPr>
        <w:jc w:val="center"/>
        <w:rPr>
          <w:iCs/>
          <w:noProof/>
        </w:rPr>
      </w:pPr>
      <w:r w:rsidRPr="00D1090B">
        <w:rPr>
          <w:i/>
          <w:noProof/>
        </w:rPr>
        <w:t>Articolul 4</w:t>
      </w:r>
    </w:p>
    <w:p w:rsidR="00501484" w:rsidRPr="00D1090B" w:rsidRDefault="00832A09" w:rsidP="00090EF4">
      <w:pPr>
        <w:pStyle w:val="Point0"/>
        <w:rPr>
          <w:noProof/>
        </w:rPr>
      </w:pPr>
      <w:r>
        <w:rPr>
          <w:noProof/>
        </w:rPr>
        <w:t>(1)</w:t>
      </w:r>
      <w:r>
        <w:rPr>
          <w:noProof/>
        </w:rPr>
        <w:tab/>
      </w:r>
      <w:r w:rsidRPr="00D1090B">
        <w:rPr>
          <w:noProof/>
        </w:rPr>
        <w:t>Orice decizie a Uniunii de a lua următoarele măsuri în temeiul acordului se adoptă de către Comisie în consultare cu Spania, în conformitate cu condițiile stabilite în dispozițiile corespunzătoare din acord:</w:t>
      </w:r>
    </w:p>
    <w:p w:rsidR="00175F65" w:rsidRPr="00D1090B" w:rsidRDefault="00175F65" w:rsidP="00090EF4">
      <w:pPr>
        <w:pStyle w:val="Point1"/>
        <w:rPr>
          <w:noProof/>
        </w:rPr>
      </w:pPr>
      <w:r>
        <w:rPr>
          <w:noProof/>
        </w:rPr>
        <w:t>(a)</w:t>
      </w:r>
      <w:r>
        <w:rPr>
          <w:noProof/>
        </w:rPr>
        <w:tab/>
      </w:r>
      <w:r w:rsidRPr="00D1090B">
        <w:rPr>
          <w:noProof/>
        </w:rPr>
        <w:t>suspendarea punerii în aplicare a obligațiilor în conformitate cu articolul 67;</w:t>
      </w:r>
    </w:p>
    <w:p w:rsidR="00F81F90" w:rsidRPr="00D1090B" w:rsidRDefault="00F81F90" w:rsidP="00090EF4">
      <w:pPr>
        <w:pStyle w:val="Point1"/>
        <w:rPr>
          <w:noProof/>
        </w:rPr>
      </w:pPr>
      <w:r>
        <w:rPr>
          <w:noProof/>
        </w:rPr>
        <w:t>(b)</w:t>
      </w:r>
      <w:r>
        <w:rPr>
          <w:noProof/>
        </w:rPr>
        <w:tab/>
      </w:r>
      <w:r w:rsidRPr="00D1090B">
        <w:rPr>
          <w:noProof/>
        </w:rPr>
        <w:t>aplicarea măsurilor de reechilibrare, astfel cum se prevede la articolul 198 alineatul (6);</w:t>
      </w:r>
    </w:p>
    <w:p w:rsidR="00501484" w:rsidRPr="00D1090B" w:rsidRDefault="00501484" w:rsidP="00090EF4">
      <w:pPr>
        <w:pStyle w:val="Point1"/>
        <w:rPr>
          <w:noProof/>
        </w:rPr>
      </w:pPr>
      <w:r>
        <w:rPr>
          <w:noProof/>
        </w:rPr>
        <w:t>(c)</w:t>
      </w:r>
      <w:r>
        <w:rPr>
          <w:noProof/>
        </w:rPr>
        <w:tab/>
      </w:r>
      <w:r w:rsidRPr="00D1090B">
        <w:rPr>
          <w:noProof/>
        </w:rPr>
        <w:t>aplicarea măsurilor de remediere, astfel cum se prevede la articolul 209 alineatul (3);</w:t>
      </w:r>
    </w:p>
    <w:p w:rsidR="00225124" w:rsidRPr="00D1090B" w:rsidRDefault="00BF06FF" w:rsidP="00090EF4">
      <w:pPr>
        <w:pStyle w:val="Point1"/>
        <w:rPr>
          <w:noProof/>
        </w:rPr>
      </w:pPr>
      <w:r>
        <w:rPr>
          <w:noProof/>
        </w:rPr>
        <w:t>(d)</w:t>
      </w:r>
      <w:r>
        <w:rPr>
          <w:noProof/>
        </w:rPr>
        <w:tab/>
      </w:r>
      <w:r w:rsidRPr="00D1090B">
        <w:rPr>
          <w:noProof/>
        </w:rPr>
        <w:t>utilizarea procedurii de salvgardare prevăzute la articolul 249;</w:t>
      </w:r>
    </w:p>
    <w:p w:rsidR="00B005BC" w:rsidRPr="00D1090B" w:rsidRDefault="00B5038B" w:rsidP="00090EF4">
      <w:pPr>
        <w:pStyle w:val="Point1"/>
        <w:rPr>
          <w:noProof/>
        </w:rPr>
      </w:pPr>
      <w:r>
        <w:rPr>
          <w:noProof/>
        </w:rPr>
        <w:t>(e)</w:t>
      </w:r>
      <w:r>
        <w:rPr>
          <w:noProof/>
        </w:rPr>
        <w:tab/>
      </w:r>
      <w:r w:rsidRPr="00D1090B">
        <w:rPr>
          <w:noProof/>
        </w:rPr>
        <w:t>suspendarea acordului sau aplicarea măsurilor prevăzute la articolul 252;</w:t>
      </w:r>
    </w:p>
    <w:p w:rsidR="00BF06FF" w:rsidRPr="00D1090B" w:rsidRDefault="00B005BC" w:rsidP="00090EF4">
      <w:pPr>
        <w:pStyle w:val="Point1"/>
        <w:rPr>
          <w:noProof/>
        </w:rPr>
      </w:pPr>
      <w:r>
        <w:rPr>
          <w:noProof/>
        </w:rPr>
        <w:t>(f)</w:t>
      </w:r>
      <w:r>
        <w:rPr>
          <w:noProof/>
        </w:rPr>
        <w:tab/>
      </w:r>
      <w:r w:rsidRPr="00D1090B">
        <w:rPr>
          <w:noProof/>
        </w:rPr>
        <w:t>aplicarea măsurilor de remediere prevăzute la articolul 284.</w:t>
      </w:r>
    </w:p>
    <w:p w:rsidR="00E922D2" w:rsidRPr="00D1090B" w:rsidRDefault="00501484" w:rsidP="00E827E1">
      <w:pPr>
        <w:pStyle w:val="Point0"/>
        <w:rPr>
          <w:noProof/>
        </w:rPr>
      </w:pPr>
      <w:r>
        <w:rPr>
          <w:noProof/>
        </w:rPr>
        <w:t>(2)</w:t>
      </w:r>
      <w:r>
        <w:rPr>
          <w:noProof/>
        </w:rPr>
        <w:tab/>
      </w:r>
      <w:r w:rsidRPr="00D1090B">
        <w:rPr>
          <w:noProof/>
        </w:rPr>
        <w:t>Comisia informează pe deplin Consiliul în timp util cu privire la intenția sa de a adopta măsurile propuse prevăzute la alineatul (1) și ține seama de eventualele puncte de vedere exprimate de acesta. Comisia informează, de asemenea, Parlamentul European, după caz.</w:t>
      </w:r>
    </w:p>
    <w:p w:rsidR="00C863BA" w:rsidRPr="00D1090B" w:rsidRDefault="00501484" w:rsidP="00E827E1">
      <w:pPr>
        <w:pStyle w:val="Point0"/>
        <w:rPr>
          <w:noProof/>
        </w:rPr>
      </w:pPr>
      <w:r>
        <w:rPr>
          <w:noProof/>
        </w:rPr>
        <w:t>(3)</w:t>
      </w:r>
      <w:r>
        <w:rPr>
          <w:noProof/>
        </w:rPr>
        <w:tab/>
      </w:r>
      <w:r w:rsidRPr="00D1090B">
        <w:rPr>
          <w:noProof/>
        </w:rPr>
        <w:t>Comisia poate, de asemenea, în consultare cu Spania, să adopte măsuri de restabilire a drepturilor și obligațiilor care decurg din acord, astfel cum acestea existau înainte de adoptarea măsurilor menționate la alineatul (1).</w:t>
      </w:r>
    </w:p>
    <w:p w:rsidR="005D4854" w:rsidRPr="00D1090B" w:rsidRDefault="005D4854" w:rsidP="00AF33B1">
      <w:pPr>
        <w:pStyle w:val="Titrearticle"/>
        <w:rPr>
          <w:noProof/>
        </w:rPr>
      </w:pPr>
      <w:r w:rsidRPr="00D1090B">
        <w:rPr>
          <w:noProof/>
        </w:rPr>
        <w:t>Articolul 5</w:t>
      </w:r>
    </w:p>
    <w:p w:rsidR="005D4854" w:rsidRPr="00D1090B" w:rsidRDefault="00FE700B" w:rsidP="00F810FC">
      <w:pPr>
        <w:pStyle w:val="Titrearticle"/>
        <w:spacing w:before="120"/>
        <w:jc w:val="both"/>
        <w:rPr>
          <w:noProof/>
        </w:rPr>
      </w:pPr>
      <w:r w:rsidRPr="00D1090B">
        <w:rPr>
          <w:i w:val="0"/>
          <w:noProof/>
        </w:rPr>
        <w:t>Prezenta decizie intră în vigoare la data adoptării.</w:t>
      </w:r>
    </w:p>
    <w:p w:rsidR="0072050C" w:rsidRPr="00D1090B" w:rsidRDefault="0072050C" w:rsidP="0072050C">
      <w:pPr>
        <w:rPr>
          <w:noProof/>
        </w:rPr>
      </w:pPr>
    </w:p>
    <w:p w:rsidR="00F1620D" w:rsidRPr="00D1090B" w:rsidRDefault="00D1090B" w:rsidP="00F810FC">
      <w:pPr>
        <w:pStyle w:val="Fait"/>
        <w:rPr>
          <w:noProof/>
        </w:rPr>
      </w:pPr>
      <w:r>
        <w:rPr>
          <w:noProof/>
        </w:rPr>
        <w:t>Adoptată la Bruxelles,</w:t>
      </w:r>
    </w:p>
    <w:p w:rsidR="00F1620D" w:rsidRPr="00D1090B" w:rsidRDefault="00F1620D" w:rsidP="00F810FC">
      <w:pPr>
        <w:pStyle w:val="Institutionquisigne"/>
        <w:rPr>
          <w:noProof/>
        </w:rPr>
      </w:pPr>
      <w:r w:rsidRPr="00D1090B">
        <w:rPr>
          <w:noProof/>
        </w:rPr>
        <w:tab/>
        <w:t>Pentru Consiliu</w:t>
      </w:r>
    </w:p>
    <w:p w:rsidR="00F1620D" w:rsidRPr="00D1090B" w:rsidRDefault="00F1620D" w:rsidP="00861AC5">
      <w:pPr>
        <w:pStyle w:val="Personnequisigne"/>
        <w:rPr>
          <w:noProof/>
        </w:rPr>
      </w:pPr>
      <w:r w:rsidRPr="00D1090B">
        <w:rPr>
          <w:noProof/>
        </w:rPr>
        <w:tab/>
        <w:t>Președintele</w:t>
      </w:r>
    </w:p>
    <w:sectPr w:rsidR="00F1620D" w:rsidRPr="00D1090B" w:rsidSect="00587831">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C33" w:rsidRDefault="00811C33" w:rsidP="00F1620D">
      <w:pPr>
        <w:spacing w:before="0" w:after="0"/>
      </w:pPr>
      <w:r>
        <w:separator/>
      </w:r>
    </w:p>
  </w:endnote>
  <w:endnote w:type="continuationSeparator" w:id="0">
    <w:p w:rsidR="00811C33" w:rsidRDefault="00811C33" w:rsidP="00F1620D">
      <w:pPr>
        <w:spacing w:before="0" w:after="0"/>
      </w:pPr>
      <w:r>
        <w:continuationSeparator/>
      </w:r>
    </w:p>
  </w:endnote>
  <w:endnote w:type="continuationNotice" w:id="1">
    <w:p w:rsidR="00811C33" w:rsidRDefault="00811C3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31" w:rsidRPr="00587831" w:rsidRDefault="00587831" w:rsidP="00587831">
    <w:pPr>
      <w:pStyle w:val="Footer"/>
      <w:rPr>
        <w:rFonts w:ascii="Arial" w:hAnsi="Arial" w:cs="Arial"/>
        <w:b/>
        <w:sz w:val="48"/>
      </w:rPr>
    </w:pPr>
    <w:r w:rsidRPr="00587831">
      <w:rPr>
        <w:rFonts w:ascii="Arial" w:hAnsi="Arial" w:cs="Arial"/>
        <w:b/>
        <w:sz w:val="48"/>
      </w:rPr>
      <w:t>RO</w:t>
    </w:r>
    <w:r w:rsidRPr="00587831">
      <w:rPr>
        <w:rFonts w:ascii="Arial" w:hAnsi="Arial" w:cs="Arial"/>
        <w:b/>
        <w:sz w:val="48"/>
      </w:rPr>
      <w:tab/>
    </w:r>
    <w:r w:rsidRPr="00587831">
      <w:rPr>
        <w:rFonts w:ascii="Arial" w:hAnsi="Arial" w:cs="Arial"/>
        <w:b/>
        <w:sz w:val="48"/>
      </w:rPr>
      <w:tab/>
    </w:r>
    <w:r w:rsidRPr="00587831">
      <w:tab/>
    </w:r>
    <w:r w:rsidRPr="0058783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31" w:rsidRPr="00587831" w:rsidRDefault="00587831" w:rsidP="00587831">
    <w:pPr>
      <w:pStyle w:val="Footer"/>
      <w:rPr>
        <w:rFonts w:ascii="Arial" w:hAnsi="Arial" w:cs="Arial"/>
        <w:b/>
        <w:sz w:val="48"/>
      </w:rPr>
    </w:pPr>
    <w:r w:rsidRPr="00587831">
      <w:rPr>
        <w:rFonts w:ascii="Arial" w:hAnsi="Arial" w:cs="Arial"/>
        <w:b/>
        <w:sz w:val="48"/>
      </w:rPr>
      <w:t>RO</w:t>
    </w:r>
    <w:r w:rsidRPr="00587831">
      <w:rPr>
        <w:rFonts w:ascii="Arial" w:hAnsi="Arial" w:cs="Arial"/>
        <w:b/>
        <w:sz w:val="48"/>
      </w:rPr>
      <w:tab/>
    </w:r>
    <w:r w:rsidRPr="00587831">
      <w:rPr>
        <w:rFonts w:ascii="Arial" w:hAnsi="Arial" w:cs="Arial"/>
        <w:b/>
        <w:sz w:val="48"/>
      </w:rPr>
      <w:tab/>
    </w:r>
    <w:r w:rsidRPr="00587831">
      <w:tab/>
    </w:r>
    <w:r w:rsidRPr="0058783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31" w:rsidRDefault="005878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31" w:rsidRPr="00587831" w:rsidRDefault="00587831" w:rsidP="00587831">
    <w:pPr>
      <w:pStyle w:val="Footer"/>
      <w:rPr>
        <w:rFonts w:ascii="Arial" w:hAnsi="Arial" w:cs="Arial"/>
        <w:b/>
        <w:sz w:val="48"/>
      </w:rPr>
    </w:pPr>
    <w:r w:rsidRPr="00587831">
      <w:rPr>
        <w:rFonts w:ascii="Arial" w:hAnsi="Arial" w:cs="Arial"/>
        <w:b/>
        <w:sz w:val="48"/>
      </w:rPr>
      <w:t>RO</w:t>
    </w:r>
    <w:r w:rsidRPr="00587831">
      <w:rPr>
        <w:rFonts w:ascii="Arial" w:hAnsi="Arial" w:cs="Arial"/>
        <w:b/>
        <w:sz w:val="48"/>
      </w:rPr>
      <w:tab/>
    </w:r>
    <w:r>
      <w:fldChar w:fldCharType="begin"/>
    </w:r>
    <w:r>
      <w:instrText xml:space="preserve"> PAGE  \* MERGEFORMAT </w:instrText>
    </w:r>
    <w:r>
      <w:fldChar w:fldCharType="separate"/>
    </w:r>
    <w:r w:rsidR="00F810FC">
      <w:rPr>
        <w:noProof/>
      </w:rPr>
      <w:t>14</w:t>
    </w:r>
    <w:r>
      <w:fldChar w:fldCharType="end"/>
    </w:r>
    <w:r>
      <w:tab/>
    </w:r>
    <w:r w:rsidRPr="00587831">
      <w:tab/>
    </w:r>
    <w:r w:rsidRPr="0058783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31" w:rsidRDefault="00587831" w:rsidP="00587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C33" w:rsidRDefault="00811C33" w:rsidP="00F1620D">
      <w:pPr>
        <w:spacing w:before="0" w:after="0"/>
      </w:pPr>
      <w:r>
        <w:separator/>
      </w:r>
    </w:p>
  </w:footnote>
  <w:footnote w:type="continuationSeparator" w:id="0">
    <w:p w:rsidR="00811C33" w:rsidRDefault="00811C33" w:rsidP="00F1620D">
      <w:pPr>
        <w:spacing w:before="0" w:after="0"/>
      </w:pPr>
      <w:r>
        <w:continuationSeparator/>
      </w:r>
    </w:p>
  </w:footnote>
  <w:footnote w:type="continuationNotice" w:id="1">
    <w:p w:rsidR="00811C33" w:rsidRDefault="00811C33">
      <w:pPr>
        <w:spacing w:before="0" w:after="0"/>
      </w:pPr>
    </w:p>
  </w:footnote>
  <w:footnote w:id="2">
    <w:p w:rsidR="001A07E1" w:rsidRPr="00026321" w:rsidRDefault="001A07E1" w:rsidP="00026321">
      <w:pPr>
        <w:pStyle w:val="Text2"/>
        <w:ind w:left="0"/>
        <w:rPr>
          <w:sz w:val="20"/>
          <w:szCs w:val="20"/>
        </w:rPr>
      </w:pPr>
      <w:r>
        <w:rPr>
          <w:rStyle w:val="FootnoteReference"/>
        </w:rPr>
        <w:footnoteRef/>
      </w:r>
      <w:r>
        <w:tab/>
      </w:r>
      <w:r>
        <w:rPr>
          <w:sz w:val="20"/>
        </w:rPr>
        <w:t xml:space="preserve">Decizia (UE, Euratom) 2020/266 a Consiliului de autorizare a începerii negocierilor cu Regatul Unit al Marii Britanii și Irlandei de Nord pentru un nou acord de parteneriat (JO L 58, 27.2.2020, p. 53). </w:t>
      </w:r>
    </w:p>
  </w:footnote>
  <w:footnote w:id="3">
    <w:p w:rsidR="00026321" w:rsidRPr="00026321" w:rsidRDefault="00026321">
      <w:pPr>
        <w:pStyle w:val="FootnoteText"/>
      </w:pPr>
      <w:r>
        <w:rPr>
          <w:rStyle w:val="FootnoteReference"/>
        </w:rPr>
        <w:footnoteRef/>
      </w:r>
      <w:r>
        <w:tab/>
        <w:t>EUCO XT 20017/18.</w:t>
      </w:r>
    </w:p>
  </w:footnote>
  <w:footnote w:id="4">
    <w:p w:rsidR="005A2B27" w:rsidRPr="00801624" w:rsidRDefault="005A2B27" w:rsidP="005A2B27">
      <w:pPr>
        <w:pStyle w:val="FootnoteText"/>
      </w:pPr>
      <w:r>
        <w:rPr>
          <w:rStyle w:val="FootnoteReference"/>
        </w:rPr>
        <w:footnoteRef/>
      </w:r>
      <w:r>
        <w:tab/>
        <w:t xml:space="preserve">Cu excepția celor care dobândesc drept de ședere după semnarea viitorului acord. </w:t>
      </w:r>
    </w:p>
  </w:footnote>
  <w:footnote w:id="5">
    <w:p w:rsidR="005D756E" w:rsidRPr="00277B4E" w:rsidRDefault="005D756E">
      <w:pPr>
        <w:pStyle w:val="FootnoteText"/>
      </w:pPr>
      <w:r>
        <w:rPr>
          <w:rStyle w:val="FootnoteReference"/>
        </w:rPr>
        <w:footnoteRef/>
      </w:r>
      <w:r>
        <w:tab/>
        <w:t>Acordul comercial și de cooperare încheiat între Uniunea Europeană și Regatul Unit a fost semnat la 30</w:t>
      </w:r>
      <w:r w:rsidR="00D40B56">
        <w:t> </w:t>
      </w:r>
      <w:r>
        <w:t>decembrie 2020, s-a aplicat cu titlu provizoriu de la 1 ianuarie 2021 și a intrat în vigoare la 1</w:t>
      </w:r>
      <w:r w:rsidR="00D40B56">
        <w:t> </w:t>
      </w:r>
      <w:r>
        <w:t>mai</w:t>
      </w:r>
      <w:r w:rsidR="00D40B56">
        <w:t> </w:t>
      </w:r>
      <w:r>
        <w:t>2021.</w:t>
      </w:r>
    </w:p>
  </w:footnote>
  <w:footnote w:id="6">
    <w:p w:rsidR="009008E2" w:rsidRPr="00277B4E" w:rsidRDefault="009008E2">
      <w:pPr>
        <w:pStyle w:val="FootnoteText"/>
      </w:pPr>
      <w:r>
        <w:rPr>
          <w:rStyle w:val="FootnoteReference"/>
        </w:rPr>
        <w:footnoteRef/>
      </w:r>
      <w:r>
        <w:tab/>
        <w:t>Declarația (declarațiile) este (sunt) publicată (publicate) în JO L,...., ELI....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31" w:rsidRDefault="00587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31" w:rsidRDefault="00587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0"/>
    <w:lvlOverride w:ilvl="0">
      <w:startOverride w:val="1"/>
    </w:lvlOverride>
  </w:num>
  <w:num w:numId="18">
    <w:abstractNumId w:val="30"/>
    <w:lvlOverride w:ilvl="0">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num>
  <w:num w:numId="26">
    <w:abstractNumId w:val="22"/>
  </w:num>
  <w:num w:numId="27">
    <w:abstractNumId w:val="11"/>
  </w:num>
  <w:num w:numId="28">
    <w:abstractNumId w:val="25"/>
  </w:num>
  <w:num w:numId="29">
    <w:abstractNumId w:val="6"/>
  </w:num>
  <w:num w:numId="30">
    <w:abstractNumId w:val="12"/>
  </w:num>
  <w:num w:numId="31">
    <w:abstractNumId w:val="13"/>
  </w:num>
  <w:num w:numId="32">
    <w:abstractNumId w:val="4"/>
  </w:num>
  <w:num w:numId="33">
    <w:abstractNumId w:val="24"/>
  </w:num>
  <w:num w:numId="34">
    <w:abstractNumId w:val="3"/>
  </w:num>
  <w:num w:numId="35">
    <w:abstractNumId w:val="14"/>
  </w:num>
  <w:num w:numId="36">
    <w:abstractNumId w:val="20"/>
  </w:num>
  <w:num w:numId="37">
    <w:abstractNumId w:val="21"/>
  </w:num>
  <w:num w:numId="38">
    <w:abstractNumId w:val="5"/>
  </w:num>
  <w:num w:numId="39">
    <w:abstractNumId w:val="18"/>
  </w:num>
  <w:num w:numId="40">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16 08:05: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AADA897-4EA9-4467-80E4-98B4BE413C63"/>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8"/>
    <w:docVar w:name="LW_REF.II.NEW.CP_YEAR" w:val="2026"/>
    <w:docVar w:name="LW_REF.INST.NEW" w:val="COM"/>
    <w:docVar w:name="LW_REF.INST.NEW_ADOPTED" w:val="final"/>
    <w:docVar w:name="LW_REF.INST.NEW_TEXT" w:val="(2026) 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în numele Uniunii, a Acordului cu privire la Gibraltar dintre Uniunea European\u259? \u537?i Comunitatea European\u259? a Energiei Atomice, pe de o parte, \u537?i Regatul Unit al Marii Britanii \u537?i Irlandei de Nord, pe de alt\u259? parte"/>
    <w:docVar w:name="LW_TYPE.DOC.CP" w:val="DECIZIE A CONSILIULUI"/>
    <w:docVar w:name="LwApiVersions" w:val="LW4CoDe 1.24.5.0; LW 9.2, Build 20251112"/>
  </w:docVars>
  <w:rsids>
    <w:rsidRoot w:val="00F1620D"/>
    <w:rsid w:val="00000FC9"/>
    <w:rsid w:val="00001CD8"/>
    <w:rsid w:val="00004421"/>
    <w:rsid w:val="00004983"/>
    <w:rsid w:val="00005913"/>
    <w:rsid w:val="00005927"/>
    <w:rsid w:val="00005BC0"/>
    <w:rsid w:val="00005CAD"/>
    <w:rsid w:val="00006DDE"/>
    <w:rsid w:val="0000775E"/>
    <w:rsid w:val="00011D92"/>
    <w:rsid w:val="000121CB"/>
    <w:rsid w:val="00012D7C"/>
    <w:rsid w:val="00013416"/>
    <w:rsid w:val="0001488A"/>
    <w:rsid w:val="00015734"/>
    <w:rsid w:val="00015840"/>
    <w:rsid w:val="0001635C"/>
    <w:rsid w:val="000165D9"/>
    <w:rsid w:val="00021AF7"/>
    <w:rsid w:val="00026321"/>
    <w:rsid w:val="000265B5"/>
    <w:rsid w:val="000267CB"/>
    <w:rsid w:val="00026DEE"/>
    <w:rsid w:val="00026F56"/>
    <w:rsid w:val="000277B8"/>
    <w:rsid w:val="0003153D"/>
    <w:rsid w:val="00031DED"/>
    <w:rsid w:val="00036B67"/>
    <w:rsid w:val="00041A3D"/>
    <w:rsid w:val="00042762"/>
    <w:rsid w:val="0005217A"/>
    <w:rsid w:val="00057D90"/>
    <w:rsid w:val="000611EE"/>
    <w:rsid w:val="00063BB3"/>
    <w:rsid w:val="00070C03"/>
    <w:rsid w:val="0007368A"/>
    <w:rsid w:val="000756BC"/>
    <w:rsid w:val="0007597E"/>
    <w:rsid w:val="00075D28"/>
    <w:rsid w:val="000771AE"/>
    <w:rsid w:val="00080505"/>
    <w:rsid w:val="00084DD4"/>
    <w:rsid w:val="00090C9A"/>
    <w:rsid w:val="00090EF4"/>
    <w:rsid w:val="00094CB4"/>
    <w:rsid w:val="000976FA"/>
    <w:rsid w:val="000A092F"/>
    <w:rsid w:val="000A225C"/>
    <w:rsid w:val="000A7517"/>
    <w:rsid w:val="000A7667"/>
    <w:rsid w:val="000B30FD"/>
    <w:rsid w:val="000B4A49"/>
    <w:rsid w:val="000C0597"/>
    <w:rsid w:val="000C4197"/>
    <w:rsid w:val="000C5BB6"/>
    <w:rsid w:val="000D23A6"/>
    <w:rsid w:val="000D3DCA"/>
    <w:rsid w:val="000D5B8E"/>
    <w:rsid w:val="000D5F78"/>
    <w:rsid w:val="000D76B7"/>
    <w:rsid w:val="000D7A7C"/>
    <w:rsid w:val="000E198E"/>
    <w:rsid w:val="000E25BC"/>
    <w:rsid w:val="000E4376"/>
    <w:rsid w:val="000E725C"/>
    <w:rsid w:val="000F070D"/>
    <w:rsid w:val="000F1C30"/>
    <w:rsid w:val="000F4FF3"/>
    <w:rsid w:val="000F7229"/>
    <w:rsid w:val="000F7354"/>
    <w:rsid w:val="001013D9"/>
    <w:rsid w:val="00102479"/>
    <w:rsid w:val="00102BA6"/>
    <w:rsid w:val="00102F22"/>
    <w:rsid w:val="00105E2F"/>
    <w:rsid w:val="0010618E"/>
    <w:rsid w:val="001124F7"/>
    <w:rsid w:val="00113B82"/>
    <w:rsid w:val="00115829"/>
    <w:rsid w:val="00120248"/>
    <w:rsid w:val="0012218D"/>
    <w:rsid w:val="00124431"/>
    <w:rsid w:val="00126B39"/>
    <w:rsid w:val="00127211"/>
    <w:rsid w:val="00127C40"/>
    <w:rsid w:val="001308A2"/>
    <w:rsid w:val="00133810"/>
    <w:rsid w:val="001351C1"/>
    <w:rsid w:val="00135B04"/>
    <w:rsid w:val="00136828"/>
    <w:rsid w:val="00137C8D"/>
    <w:rsid w:val="00141E38"/>
    <w:rsid w:val="00143516"/>
    <w:rsid w:val="00146F43"/>
    <w:rsid w:val="001513D6"/>
    <w:rsid w:val="00151C65"/>
    <w:rsid w:val="00152317"/>
    <w:rsid w:val="00152B75"/>
    <w:rsid w:val="00153748"/>
    <w:rsid w:val="00153894"/>
    <w:rsid w:val="00154028"/>
    <w:rsid w:val="00154CA7"/>
    <w:rsid w:val="0015501E"/>
    <w:rsid w:val="00156881"/>
    <w:rsid w:val="00157D2C"/>
    <w:rsid w:val="001613FA"/>
    <w:rsid w:val="00161A17"/>
    <w:rsid w:val="001624E1"/>
    <w:rsid w:val="0016680D"/>
    <w:rsid w:val="00166A9D"/>
    <w:rsid w:val="00167BEA"/>
    <w:rsid w:val="00171FCB"/>
    <w:rsid w:val="0017273F"/>
    <w:rsid w:val="00175F65"/>
    <w:rsid w:val="00176D7F"/>
    <w:rsid w:val="00177E8C"/>
    <w:rsid w:val="001810C2"/>
    <w:rsid w:val="00181477"/>
    <w:rsid w:val="00181C4B"/>
    <w:rsid w:val="00182F37"/>
    <w:rsid w:val="00183482"/>
    <w:rsid w:val="00185607"/>
    <w:rsid w:val="001859A7"/>
    <w:rsid w:val="00185D67"/>
    <w:rsid w:val="00190308"/>
    <w:rsid w:val="00190B6D"/>
    <w:rsid w:val="001947C6"/>
    <w:rsid w:val="001952F1"/>
    <w:rsid w:val="001A07E1"/>
    <w:rsid w:val="001A1574"/>
    <w:rsid w:val="001B1169"/>
    <w:rsid w:val="001B1609"/>
    <w:rsid w:val="001B6400"/>
    <w:rsid w:val="001B6EB1"/>
    <w:rsid w:val="001B7A5F"/>
    <w:rsid w:val="001C00B5"/>
    <w:rsid w:val="001C2816"/>
    <w:rsid w:val="001C3A38"/>
    <w:rsid w:val="001C72F8"/>
    <w:rsid w:val="001D305F"/>
    <w:rsid w:val="001D463A"/>
    <w:rsid w:val="001D4B05"/>
    <w:rsid w:val="001D7BAD"/>
    <w:rsid w:val="001E0216"/>
    <w:rsid w:val="001E0347"/>
    <w:rsid w:val="001E0D16"/>
    <w:rsid w:val="001E413E"/>
    <w:rsid w:val="001E5008"/>
    <w:rsid w:val="001F15EB"/>
    <w:rsid w:val="001F3DA0"/>
    <w:rsid w:val="001F5742"/>
    <w:rsid w:val="001F5991"/>
    <w:rsid w:val="001F69F5"/>
    <w:rsid w:val="001F7F01"/>
    <w:rsid w:val="00200ABA"/>
    <w:rsid w:val="00204ECB"/>
    <w:rsid w:val="00207378"/>
    <w:rsid w:val="00210B27"/>
    <w:rsid w:val="0021144F"/>
    <w:rsid w:val="002120FE"/>
    <w:rsid w:val="0021250E"/>
    <w:rsid w:val="0021477B"/>
    <w:rsid w:val="00216C79"/>
    <w:rsid w:val="00217623"/>
    <w:rsid w:val="00220364"/>
    <w:rsid w:val="00220F9C"/>
    <w:rsid w:val="002218D8"/>
    <w:rsid w:val="00223882"/>
    <w:rsid w:val="002240E1"/>
    <w:rsid w:val="00224303"/>
    <w:rsid w:val="00224E76"/>
    <w:rsid w:val="00225124"/>
    <w:rsid w:val="002251AE"/>
    <w:rsid w:val="00230C1E"/>
    <w:rsid w:val="00230E7A"/>
    <w:rsid w:val="00232358"/>
    <w:rsid w:val="00232E98"/>
    <w:rsid w:val="0023392E"/>
    <w:rsid w:val="00233C04"/>
    <w:rsid w:val="00233ED7"/>
    <w:rsid w:val="00234A92"/>
    <w:rsid w:val="00236AD1"/>
    <w:rsid w:val="00240328"/>
    <w:rsid w:val="00243F73"/>
    <w:rsid w:val="0024439D"/>
    <w:rsid w:val="0024452D"/>
    <w:rsid w:val="00246951"/>
    <w:rsid w:val="002472D0"/>
    <w:rsid w:val="002506B0"/>
    <w:rsid w:val="00251959"/>
    <w:rsid w:val="002522D8"/>
    <w:rsid w:val="00252CC6"/>
    <w:rsid w:val="00255E23"/>
    <w:rsid w:val="00262FBB"/>
    <w:rsid w:val="00263DA5"/>
    <w:rsid w:val="0026409C"/>
    <w:rsid w:val="00264C81"/>
    <w:rsid w:val="0026591D"/>
    <w:rsid w:val="00265B2F"/>
    <w:rsid w:val="00267952"/>
    <w:rsid w:val="00267993"/>
    <w:rsid w:val="00270284"/>
    <w:rsid w:val="002702E7"/>
    <w:rsid w:val="0027140C"/>
    <w:rsid w:val="00272400"/>
    <w:rsid w:val="00277B4E"/>
    <w:rsid w:val="00277B65"/>
    <w:rsid w:val="00280433"/>
    <w:rsid w:val="0028094A"/>
    <w:rsid w:val="00280BCB"/>
    <w:rsid w:val="002821C8"/>
    <w:rsid w:val="0028295E"/>
    <w:rsid w:val="00282E6B"/>
    <w:rsid w:val="002832D4"/>
    <w:rsid w:val="00285201"/>
    <w:rsid w:val="00285C94"/>
    <w:rsid w:val="00291874"/>
    <w:rsid w:val="00293E86"/>
    <w:rsid w:val="002951B3"/>
    <w:rsid w:val="00295C0F"/>
    <w:rsid w:val="002A258D"/>
    <w:rsid w:val="002A337D"/>
    <w:rsid w:val="002A49E5"/>
    <w:rsid w:val="002A549F"/>
    <w:rsid w:val="002A7543"/>
    <w:rsid w:val="002B09EA"/>
    <w:rsid w:val="002B1395"/>
    <w:rsid w:val="002B3E31"/>
    <w:rsid w:val="002B6829"/>
    <w:rsid w:val="002B6C11"/>
    <w:rsid w:val="002C4B10"/>
    <w:rsid w:val="002C602E"/>
    <w:rsid w:val="002C658B"/>
    <w:rsid w:val="002C65CD"/>
    <w:rsid w:val="002D281E"/>
    <w:rsid w:val="002D4769"/>
    <w:rsid w:val="002D5B21"/>
    <w:rsid w:val="002D626C"/>
    <w:rsid w:val="002D6824"/>
    <w:rsid w:val="002D713E"/>
    <w:rsid w:val="002D762C"/>
    <w:rsid w:val="002E4D5B"/>
    <w:rsid w:val="002F03C2"/>
    <w:rsid w:val="002F08BE"/>
    <w:rsid w:val="002F1A9E"/>
    <w:rsid w:val="002F36F8"/>
    <w:rsid w:val="002F39F6"/>
    <w:rsid w:val="002F4D92"/>
    <w:rsid w:val="002F54E3"/>
    <w:rsid w:val="002F7073"/>
    <w:rsid w:val="002F7FF4"/>
    <w:rsid w:val="00300D68"/>
    <w:rsid w:val="00304C11"/>
    <w:rsid w:val="00307140"/>
    <w:rsid w:val="00307386"/>
    <w:rsid w:val="00310245"/>
    <w:rsid w:val="0031130F"/>
    <w:rsid w:val="003125AD"/>
    <w:rsid w:val="003143FB"/>
    <w:rsid w:val="0031611B"/>
    <w:rsid w:val="003172F7"/>
    <w:rsid w:val="00320E3F"/>
    <w:rsid w:val="003225D5"/>
    <w:rsid w:val="00324CAA"/>
    <w:rsid w:val="00326272"/>
    <w:rsid w:val="0033041E"/>
    <w:rsid w:val="003319E6"/>
    <w:rsid w:val="003355A0"/>
    <w:rsid w:val="003371D8"/>
    <w:rsid w:val="003420E6"/>
    <w:rsid w:val="00342BB8"/>
    <w:rsid w:val="003458B8"/>
    <w:rsid w:val="0035057C"/>
    <w:rsid w:val="00353CFE"/>
    <w:rsid w:val="00353DBB"/>
    <w:rsid w:val="00354949"/>
    <w:rsid w:val="00354999"/>
    <w:rsid w:val="00357C80"/>
    <w:rsid w:val="00370608"/>
    <w:rsid w:val="00375FD6"/>
    <w:rsid w:val="00377A38"/>
    <w:rsid w:val="0038030E"/>
    <w:rsid w:val="00380A04"/>
    <w:rsid w:val="00382404"/>
    <w:rsid w:val="003873E7"/>
    <w:rsid w:val="00391305"/>
    <w:rsid w:val="00392B9D"/>
    <w:rsid w:val="003A01EB"/>
    <w:rsid w:val="003A2A20"/>
    <w:rsid w:val="003A3FC6"/>
    <w:rsid w:val="003A5520"/>
    <w:rsid w:val="003A6774"/>
    <w:rsid w:val="003A702D"/>
    <w:rsid w:val="003B1D00"/>
    <w:rsid w:val="003B3AB8"/>
    <w:rsid w:val="003B67CD"/>
    <w:rsid w:val="003B6CA6"/>
    <w:rsid w:val="003C191E"/>
    <w:rsid w:val="003C2F08"/>
    <w:rsid w:val="003C50B6"/>
    <w:rsid w:val="003C6E57"/>
    <w:rsid w:val="003D0A57"/>
    <w:rsid w:val="003D21D4"/>
    <w:rsid w:val="003D2380"/>
    <w:rsid w:val="003D3C6E"/>
    <w:rsid w:val="003D47DC"/>
    <w:rsid w:val="003D4DB4"/>
    <w:rsid w:val="003D60A8"/>
    <w:rsid w:val="003D6C37"/>
    <w:rsid w:val="003E19EC"/>
    <w:rsid w:val="003E23FD"/>
    <w:rsid w:val="003E40E2"/>
    <w:rsid w:val="003F0EFD"/>
    <w:rsid w:val="003F5487"/>
    <w:rsid w:val="003F68AD"/>
    <w:rsid w:val="003F6DF2"/>
    <w:rsid w:val="003F712A"/>
    <w:rsid w:val="00401669"/>
    <w:rsid w:val="00402E61"/>
    <w:rsid w:val="0040777E"/>
    <w:rsid w:val="004108D3"/>
    <w:rsid w:val="00411B1B"/>
    <w:rsid w:val="00411EA9"/>
    <w:rsid w:val="0041267B"/>
    <w:rsid w:val="0041296C"/>
    <w:rsid w:val="00412B74"/>
    <w:rsid w:val="00412C7F"/>
    <w:rsid w:val="00414223"/>
    <w:rsid w:val="00414528"/>
    <w:rsid w:val="004150E2"/>
    <w:rsid w:val="00415477"/>
    <w:rsid w:val="00421906"/>
    <w:rsid w:val="00422BD3"/>
    <w:rsid w:val="00422F00"/>
    <w:rsid w:val="004245B4"/>
    <w:rsid w:val="00426197"/>
    <w:rsid w:val="004264C1"/>
    <w:rsid w:val="004306C5"/>
    <w:rsid w:val="004318B1"/>
    <w:rsid w:val="00432218"/>
    <w:rsid w:val="004341F9"/>
    <w:rsid w:val="00435BFF"/>
    <w:rsid w:val="004472FF"/>
    <w:rsid w:val="00450B46"/>
    <w:rsid w:val="00454CE7"/>
    <w:rsid w:val="004559C1"/>
    <w:rsid w:val="00456DB6"/>
    <w:rsid w:val="004604BC"/>
    <w:rsid w:val="00465E8F"/>
    <w:rsid w:val="00466AD1"/>
    <w:rsid w:val="004753A6"/>
    <w:rsid w:val="004816A3"/>
    <w:rsid w:val="00484C14"/>
    <w:rsid w:val="004850D0"/>
    <w:rsid w:val="004851FB"/>
    <w:rsid w:val="00485AED"/>
    <w:rsid w:val="00485BF7"/>
    <w:rsid w:val="00492252"/>
    <w:rsid w:val="004931F2"/>
    <w:rsid w:val="0049481C"/>
    <w:rsid w:val="00495B84"/>
    <w:rsid w:val="004969CA"/>
    <w:rsid w:val="004A17D9"/>
    <w:rsid w:val="004A22F8"/>
    <w:rsid w:val="004A3280"/>
    <w:rsid w:val="004A48A7"/>
    <w:rsid w:val="004A5016"/>
    <w:rsid w:val="004B004B"/>
    <w:rsid w:val="004B0334"/>
    <w:rsid w:val="004B43A8"/>
    <w:rsid w:val="004B5549"/>
    <w:rsid w:val="004B55C7"/>
    <w:rsid w:val="004B6452"/>
    <w:rsid w:val="004C0945"/>
    <w:rsid w:val="004C4F0D"/>
    <w:rsid w:val="004C7109"/>
    <w:rsid w:val="004C75AE"/>
    <w:rsid w:val="004C7FC4"/>
    <w:rsid w:val="004D2C99"/>
    <w:rsid w:val="004D31ED"/>
    <w:rsid w:val="004D5F09"/>
    <w:rsid w:val="004D7CF8"/>
    <w:rsid w:val="004E187A"/>
    <w:rsid w:val="004E2B23"/>
    <w:rsid w:val="004E2B8B"/>
    <w:rsid w:val="004E3758"/>
    <w:rsid w:val="004E424E"/>
    <w:rsid w:val="004E5C26"/>
    <w:rsid w:val="004E7D2D"/>
    <w:rsid w:val="004F0A2D"/>
    <w:rsid w:val="004F21C3"/>
    <w:rsid w:val="004F2A19"/>
    <w:rsid w:val="004F703A"/>
    <w:rsid w:val="00501484"/>
    <w:rsid w:val="00503D55"/>
    <w:rsid w:val="00505DE8"/>
    <w:rsid w:val="005112AC"/>
    <w:rsid w:val="00511458"/>
    <w:rsid w:val="005130EF"/>
    <w:rsid w:val="0051382A"/>
    <w:rsid w:val="005146A6"/>
    <w:rsid w:val="00517EA4"/>
    <w:rsid w:val="00520734"/>
    <w:rsid w:val="00534A1E"/>
    <w:rsid w:val="00535154"/>
    <w:rsid w:val="005357EA"/>
    <w:rsid w:val="00536C6B"/>
    <w:rsid w:val="005418B1"/>
    <w:rsid w:val="00541E7D"/>
    <w:rsid w:val="00542F73"/>
    <w:rsid w:val="00544DFE"/>
    <w:rsid w:val="00545697"/>
    <w:rsid w:val="005457A9"/>
    <w:rsid w:val="00550420"/>
    <w:rsid w:val="00550664"/>
    <w:rsid w:val="00553078"/>
    <w:rsid w:val="00553BF3"/>
    <w:rsid w:val="00553DEF"/>
    <w:rsid w:val="005541E9"/>
    <w:rsid w:val="00554DCE"/>
    <w:rsid w:val="00560C65"/>
    <w:rsid w:val="00561AB5"/>
    <w:rsid w:val="0056318D"/>
    <w:rsid w:val="00563260"/>
    <w:rsid w:val="00564221"/>
    <w:rsid w:val="005672E3"/>
    <w:rsid w:val="00567F88"/>
    <w:rsid w:val="00570C67"/>
    <w:rsid w:val="00571252"/>
    <w:rsid w:val="005759E9"/>
    <w:rsid w:val="00576026"/>
    <w:rsid w:val="00580EAF"/>
    <w:rsid w:val="0058136F"/>
    <w:rsid w:val="005813AD"/>
    <w:rsid w:val="0058157E"/>
    <w:rsid w:val="005831A8"/>
    <w:rsid w:val="00584180"/>
    <w:rsid w:val="00587696"/>
    <w:rsid w:val="00587831"/>
    <w:rsid w:val="0059131A"/>
    <w:rsid w:val="00591B79"/>
    <w:rsid w:val="0059242A"/>
    <w:rsid w:val="00592840"/>
    <w:rsid w:val="0059380D"/>
    <w:rsid w:val="0059575D"/>
    <w:rsid w:val="0059678A"/>
    <w:rsid w:val="005A0EDE"/>
    <w:rsid w:val="005A2B27"/>
    <w:rsid w:val="005A539C"/>
    <w:rsid w:val="005B0FC7"/>
    <w:rsid w:val="005B1F33"/>
    <w:rsid w:val="005B24CC"/>
    <w:rsid w:val="005C19A7"/>
    <w:rsid w:val="005C4783"/>
    <w:rsid w:val="005C6CB0"/>
    <w:rsid w:val="005C7BF9"/>
    <w:rsid w:val="005C7E82"/>
    <w:rsid w:val="005D1321"/>
    <w:rsid w:val="005D23B5"/>
    <w:rsid w:val="005D2910"/>
    <w:rsid w:val="005D3CD7"/>
    <w:rsid w:val="005D4854"/>
    <w:rsid w:val="005D687E"/>
    <w:rsid w:val="005D6CD8"/>
    <w:rsid w:val="005D756E"/>
    <w:rsid w:val="005E0046"/>
    <w:rsid w:val="005E5448"/>
    <w:rsid w:val="005E562D"/>
    <w:rsid w:val="005E6040"/>
    <w:rsid w:val="005E6AF7"/>
    <w:rsid w:val="005F10C4"/>
    <w:rsid w:val="005F10D0"/>
    <w:rsid w:val="005F33AB"/>
    <w:rsid w:val="005F50D3"/>
    <w:rsid w:val="00601C36"/>
    <w:rsid w:val="00601EBD"/>
    <w:rsid w:val="00610F84"/>
    <w:rsid w:val="00611665"/>
    <w:rsid w:val="00612F54"/>
    <w:rsid w:val="00613C31"/>
    <w:rsid w:val="006207FA"/>
    <w:rsid w:val="00620E1A"/>
    <w:rsid w:val="006222BB"/>
    <w:rsid w:val="006223AE"/>
    <w:rsid w:val="0062321C"/>
    <w:rsid w:val="00627533"/>
    <w:rsid w:val="00632052"/>
    <w:rsid w:val="006329E8"/>
    <w:rsid w:val="00635768"/>
    <w:rsid w:val="00641A12"/>
    <w:rsid w:val="00642731"/>
    <w:rsid w:val="006427FC"/>
    <w:rsid w:val="00643BDA"/>
    <w:rsid w:val="00646408"/>
    <w:rsid w:val="0064727B"/>
    <w:rsid w:val="006476DE"/>
    <w:rsid w:val="006501F7"/>
    <w:rsid w:val="00652B99"/>
    <w:rsid w:val="00652F47"/>
    <w:rsid w:val="0065318E"/>
    <w:rsid w:val="0065377F"/>
    <w:rsid w:val="006545DE"/>
    <w:rsid w:val="006546CA"/>
    <w:rsid w:val="006547C9"/>
    <w:rsid w:val="00654E9E"/>
    <w:rsid w:val="00655FA4"/>
    <w:rsid w:val="00660768"/>
    <w:rsid w:val="00660EA3"/>
    <w:rsid w:val="00661CCD"/>
    <w:rsid w:val="00662335"/>
    <w:rsid w:val="006629D9"/>
    <w:rsid w:val="00664ED8"/>
    <w:rsid w:val="00665E30"/>
    <w:rsid w:val="0067067A"/>
    <w:rsid w:val="00670901"/>
    <w:rsid w:val="00671600"/>
    <w:rsid w:val="00671C9A"/>
    <w:rsid w:val="00671DA7"/>
    <w:rsid w:val="0067583D"/>
    <w:rsid w:val="00675950"/>
    <w:rsid w:val="006801CA"/>
    <w:rsid w:val="00680987"/>
    <w:rsid w:val="006863E9"/>
    <w:rsid w:val="00687B9F"/>
    <w:rsid w:val="00687D84"/>
    <w:rsid w:val="006911E5"/>
    <w:rsid w:val="00691D8A"/>
    <w:rsid w:val="006925BF"/>
    <w:rsid w:val="00695359"/>
    <w:rsid w:val="006977AA"/>
    <w:rsid w:val="00697CCF"/>
    <w:rsid w:val="006A02DD"/>
    <w:rsid w:val="006A02E4"/>
    <w:rsid w:val="006A2F82"/>
    <w:rsid w:val="006A383D"/>
    <w:rsid w:val="006B02CB"/>
    <w:rsid w:val="006B1B17"/>
    <w:rsid w:val="006B53FC"/>
    <w:rsid w:val="006B698A"/>
    <w:rsid w:val="006B6A15"/>
    <w:rsid w:val="006B6AEC"/>
    <w:rsid w:val="006C0118"/>
    <w:rsid w:val="006C0954"/>
    <w:rsid w:val="006C33DF"/>
    <w:rsid w:val="006C79C8"/>
    <w:rsid w:val="006C7CDF"/>
    <w:rsid w:val="006C7EAA"/>
    <w:rsid w:val="006D03CD"/>
    <w:rsid w:val="006D040A"/>
    <w:rsid w:val="006D098B"/>
    <w:rsid w:val="006D71FA"/>
    <w:rsid w:val="006E28B5"/>
    <w:rsid w:val="006E2FFB"/>
    <w:rsid w:val="006E7621"/>
    <w:rsid w:val="006F2CC3"/>
    <w:rsid w:val="006F2D17"/>
    <w:rsid w:val="006F55F5"/>
    <w:rsid w:val="0070003D"/>
    <w:rsid w:val="00700388"/>
    <w:rsid w:val="0070128F"/>
    <w:rsid w:val="00701BD0"/>
    <w:rsid w:val="00702BB6"/>
    <w:rsid w:val="0070417B"/>
    <w:rsid w:val="00706769"/>
    <w:rsid w:val="00707CE1"/>
    <w:rsid w:val="007135D9"/>
    <w:rsid w:val="00716D45"/>
    <w:rsid w:val="0071768E"/>
    <w:rsid w:val="00720364"/>
    <w:rsid w:val="0072050C"/>
    <w:rsid w:val="00720834"/>
    <w:rsid w:val="007230D5"/>
    <w:rsid w:val="00725B6C"/>
    <w:rsid w:val="007270E4"/>
    <w:rsid w:val="00727B77"/>
    <w:rsid w:val="00732CD6"/>
    <w:rsid w:val="00733F57"/>
    <w:rsid w:val="00735E88"/>
    <w:rsid w:val="0073759B"/>
    <w:rsid w:val="007375CF"/>
    <w:rsid w:val="00741E8C"/>
    <w:rsid w:val="00746A98"/>
    <w:rsid w:val="00747BEC"/>
    <w:rsid w:val="00750133"/>
    <w:rsid w:val="00751F57"/>
    <w:rsid w:val="00752434"/>
    <w:rsid w:val="0075326E"/>
    <w:rsid w:val="007536AE"/>
    <w:rsid w:val="00756C4C"/>
    <w:rsid w:val="00757F60"/>
    <w:rsid w:val="00760A96"/>
    <w:rsid w:val="00762489"/>
    <w:rsid w:val="007643FD"/>
    <w:rsid w:val="0076498F"/>
    <w:rsid w:val="0076633A"/>
    <w:rsid w:val="007742BD"/>
    <w:rsid w:val="00774B08"/>
    <w:rsid w:val="00776E2F"/>
    <w:rsid w:val="007810C5"/>
    <w:rsid w:val="007841F3"/>
    <w:rsid w:val="0078610C"/>
    <w:rsid w:val="007944F8"/>
    <w:rsid w:val="00797030"/>
    <w:rsid w:val="007A0AD1"/>
    <w:rsid w:val="007A2052"/>
    <w:rsid w:val="007A2D56"/>
    <w:rsid w:val="007A7144"/>
    <w:rsid w:val="007B69BF"/>
    <w:rsid w:val="007C06F6"/>
    <w:rsid w:val="007C4547"/>
    <w:rsid w:val="007C56E9"/>
    <w:rsid w:val="007C5704"/>
    <w:rsid w:val="007D1535"/>
    <w:rsid w:val="007D5F92"/>
    <w:rsid w:val="007D60DC"/>
    <w:rsid w:val="007E0E12"/>
    <w:rsid w:val="007E3A4C"/>
    <w:rsid w:val="007E612C"/>
    <w:rsid w:val="007F125D"/>
    <w:rsid w:val="007F3C21"/>
    <w:rsid w:val="007F42A9"/>
    <w:rsid w:val="007F5891"/>
    <w:rsid w:val="008030B5"/>
    <w:rsid w:val="00804A43"/>
    <w:rsid w:val="008059E4"/>
    <w:rsid w:val="00805CA2"/>
    <w:rsid w:val="00805FEE"/>
    <w:rsid w:val="0080672C"/>
    <w:rsid w:val="00811C33"/>
    <w:rsid w:val="00811E47"/>
    <w:rsid w:val="00811FDA"/>
    <w:rsid w:val="00812BDC"/>
    <w:rsid w:val="00812C16"/>
    <w:rsid w:val="008168C4"/>
    <w:rsid w:val="00817F34"/>
    <w:rsid w:val="00822ACD"/>
    <w:rsid w:val="00822E41"/>
    <w:rsid w:val="00823298"/>
    <w:rsid w:val="00824A4F"/>
    <w:rsid w:val="0082538D"/>
    <w:rsid w:val="008276E7"/>
    <w:rsid w:val="00827E96"/>
    <w:rsid w:val="0083239D"/>
    <w:rsid w:val="008325FB"/>
    <w:rsid w:val="00832782"/>
    <w:rsid w:val="00832A09"/>
    <w:rsid w:val="00837006"/>
    <w:rsid w:val="00837ED6"/>
    <w:rsid w:val="00840FA3"/>
    <w:rsid w:val="00841C54"/>
    <w:rsid w:val="00843418"/>
    <w:rsid w:val="00843723"/>
    <w:rsid w:val="00845B3E"/>
    <w:rsid w:val="0084656D"/>
    <w:rsid w:val="00850707"/>
    <w:rsid w:val="00852357"/>
    <w:rsid w:val="0085624F"/>
    <w:rsid w:val="00861AC5"/>
    <w:rsid w:val="00863BD3"/>
    <w:rsid w:val="0086539E"/>
    <w:rsid w:val="00870991"/>
    <w:rsid w:val="00871E6C"/>
    <w:rsid w:val="00871ED8"/>
    <w:rsid w:val="00873923"/>
    <w:rsid w:val="008744DC"/>
    <w:rsid w:val="008748AA"/>
    <w:rsid w:val="00875D14"/>
    <w:rsid w:val="00877F9E"/>
    <w:rsid w:val="008801D4"/>
    <w:rsid w:val="008811DE"/>
    <w:rsid w:val="00881CB5"/>
    <w:rsid w:val="00881D57"/>
    <w:rsid w:val="008824FE"/>
    <w:rsid w:val="00882970"/>
    <w:rsid w:val="00884B37"/>
    <w:rsid w:val="00885B3E"/>
    <w:rsid w:val="008914FA"/>
    <w:rsid w:val="00894B80"/>
    <w:rsid w:val="00894DB9"/>
    <w:rsid w:val="00895C45"/>
    <w:rsid w:val="00895C95"/>
    <w:rsid w:val="008969C8"/>
    <w:rsid w:val="00897AC1"/>
    <w:rsid w:val="008A4854"/>
    <w:rsid w:val="008A564D"/>
    <w:rsid w:val="008B1734"/>
    <w:rsid w:val="008B47B9"/>
    <w:rsid w:val="008B6D18"/>
    <w:rsid w:val="008C0533"/>
    <w:rsid w:val="008C29D1"/>
    <w:rsid w:val="008C5767"/>
    <w:rsid w:val="008C7780"/>
    <w:rsid w:val="008C7D86"/>
    <w:rsid w:val="008D1785"/>
    <w:rsid w:val="008D5FCE"/>
    <w:rsid w:val="008D6DC0"/>
    <w:rsid w:val="008E0820"/>
    <w:rsid w:val="008E141E"/>
    <w:rsid w:val="008E270D"/>
    <w:rsid w:val="008E2DF2"/>
    <w:rsid w:val="008E46D0"/>
    <w:rsid w:val="008F0CC0"/>
    <w:rsid w:val="008F2E89"/>
    <w:rsid w:val="008F5A4E"/>
    <w:rsid w:val="008F608E"/>
    <w:rsid w:val="008F6F4C"/>
    <w:rsid w:val="009008E2"/>
    <w:rsid w:val="00902F21"/>
    <w:rsid w:val="00912F40"/>
    <w:rsid w:val="00913BBC"/>
    <w:rsid w:val="00915933"/>
    <w:rsid w:val="00917217"/>
    <w:rsid w:val="0092311B"/>
    <w:rsid w:val="009231FB"/>
    <w:rsid w:val="00923F5D"/>
    <w:rsid w:val="0092473C"/>
    <w:rsid w:val="00925BB3"/>
    <w:rsid w:val="009262E1"/>
    <w:rsid w:val="00931832"/>
    <w:rsid w:val="00931FEB"/>
    <w:rsid w:val="009331B6"/>
    <w:rsid w:val="009365C1"/>
    <w:rsid w:val="00936E38"/>
    <w:rsid w:val="00936F90"/>
    <w:rsid w:val="00940C73"/>
    <w:rsid w:val="0094191C"/>
    <w:rsid w:val="00941933"/>
    <w:rsid w:val="0094419A"/>
    <w:rsid w:val="0094576D"/>
    <w:rsid w:val="00945854"/>
    <w:rsid w:val="00945E5C"/>
    <w:rsid w:val="009475C2"/>
    <w:rsid w:val="00947B69"/>
    <w:rsid w:val="00950578"/>
    <w:rsid w:val="00951D09"/>
    <w:rsid w:val="00954D91"/>
    <w:rsid w:val="009602F2"/>
    <w:rsid w:val="00960AAE"/>
    <w:rsid w:val="00960ED8"/>
    <w:rsid w:val="00965082"/>
    <w:rsid w:val="00965366"/>
    <w:rsid w:val="00965BFB"/>
    <w:rsid w:val="00966142"/>
    <w:rsid w:val="00966D3A"/>
    <w:rsid w:val="009723C7"/>
    <w:rsid w:val="00975341"/>
    <w:rsid w:val="00981DC4"/>
    <w:rsid w:val="00986B33"/>
    <w:rsid w:val="00987AD5"/>
    <w:rsid w:val="00987F50"/>
    <w:rsid w:val="00991412"/>
    <w:rsid w:val="00992D4C"/>
    <w:rsid w:val="00993BA4"/>
    <w:rsid w:val="009966C2"/>
    <w:rsid w:val="009A4B15"/>
    <w:rsid w:val="009A6B40"/>
    <w:rsid w:val="009A6C70"/>
    <w:rsid w:val="009B0399"/>
    <w:rsid w:val="009B142C"/>
    <w:rsid w:val="009B367A"/>
    <w:rsid w:val="009B36B4"/>
    <w:rsid w:val="009B47D3"/>
    <w:rsid w:val="009B5A34"/>
    <w:rsid w:val="009B7138"/>
    <w:rsid w:val="009B7C59"/>
    <w:rsid w:val="009C1BDD"/>
    <w:rsid w:val="009C4CE5"/>
    <w:rsid w:val="009C5943"/>
    <w:rsid w:val="009D0F3C"/>
    <w:rsid w:val="009D1BD7"/>
    <w:rsid w:val="009D2668"/>
    <w:rsid w:val="009E0805"/>
    <w:rsid w:val="009E0FC8"/>
    <w:rsid w:val="009E276F"/>
    <w:rsid w:val="009E46FB"/>
    <w:rsid w:val="009E6622"/>
    <w:rsid w:val="009F0248"/>
    <w:rsid w:val="009F43D7"/>
    <w:rsid w:val="009F5D99"/>
    <w:rsid w:val="00A07CB2"/>
    <w:rsid w:val="00A12E63"/>
    <w:rsid w:val="00A21131"/>
    <w:rsid w:val="00A22D9F"/>
    <w:rsid w:val="00A25835"/>
    <w:rsid w:val="00A25E4E"/>
    <w:rsid w:val="00A27B3A"/>
    <w:rsid w:val="00A31563"/>
    <w:rsid w:val="00A31BE3"/>
    <w:rsid w:val="00A33273"/>
    <w:rsid w:val="00A377C4"/>
    <w:rsid w:val="00A402E2"/>
    <w:rsid w:val="00A41D70"/>
    <w:rsid w:val="00A42A2A"/>
    <w:rsid w:val="00A42ACA"/>
    <w:rsid w:val="00A46D27"/>
    <w:rsid w:val="00A478EE"/>
    <w:rsid w:val="00A5321C"/>
    <w:rsid w:val="00A552BF"/>
    <w:rsid w:val="00A559CC"/>
    <w:rsid w:val="00A56D0E"/>
    <w:rsid w:val="00A6044A"/>
    <w:rsid w:val="00A605E9"/>
    <w:rsid w:val="00A6374A"/>
    <w:rsid w:val="00A64129"/>
    <w:rsid w:val="00A7335C"/>
    <w:rsid w:val="00A75F9E"/>
    <w:rsid w:val="00A803A5"/>
    <w:rsid w:val="00A80CB8"/>
    <w:rsid w:val="00A81F82"/>
    <w:rsid w:val="00A8597D"/>
    <w:rsid w:val="00A87E41"/>
    <w:rsid w:val="00A91094"/>
    <w:rsid w:val="00A93BBE"/>
    <w:rsid w:val="00A94244"/>
    <w:rsid w:val="00A95D13"/>
    <w:rsid w:val="00A96B3E"/>
    <w:rsid w:val="00A97A73"/>
    <w:rsid w:val="00AA1CFC"/>
    <w:rsid w:val="00AA3768"/>
    <w:rsid w:val="00AA48B6"/>
    <w:rsid w:val="00AA4FEC"/>
    <w:rsid w:val="00AB0557"/>
    <w:rsid w:val="00AB29EB"/>
    <w:rsid w:val="00AB3F66"/>
    <w:rsid w:val="00AB498F"/>
    <w:rsid w:val="00AB631B"/>
    <w:rsid w:val="00AB7FE1"/>
    <w:rsid w:val="00AC0440"/>
    <w:rsid w:val="00AC1701"/>
    <w:rsid w:val="00AC313A"/>
    <w:rsid w:val="00AC3743"/>
    <w:rsid w:val="00AC46B1"/>
    <w:rsid w:val="00AC4D07"/>
    <w:rsid w:val="00AC4EDB"/>
    <w:rsid w:val="00AC4F33"/>
    <w:rsid w:val="00AC570D"/>
    <w:rsid w:val="00AD03BF"/>
    <w:rsid w:val="00AD1FB9"/>
    <w:rsid w:val="00AE029C"/>
    <w:rsid w:val="00AE2104"/>
    <w:rsid w:val="00AE2A1B"/>
    <w:rsid w:val="00AE4022"/>
    <w:rsid w:val="00AE5BEF"/>
    <w:rsid w:val="00AE5CC5"/>
    <w:rsid w:val="00AE6090"/>
    <w:rsid w:val="00AE6AEE"/>
    <w:rsid w:val="00AE7C2C"/>
    <w:rsid w:val="00AF1FF7"/>
    <w:rsid w:val="00AF33B1"/>
    <w:rsid w:val="00AF4AC6"/>
    <w:rsid w:val="00AF54B6"/>
    <w:rsid w:val="00B003CA"/>
    <w:rsid w:val="00B005BC"/>
    <w:rsid w:val="00B00E0E"/>
    <w:rsid w:val="00B05689"/>
    <w:rsid w:val="00B077A3"/>
    <w:rsid w:val="00B12934"/>
    <w:rsid w:val="00B1313B"/>
    <w:rsid w:val="00B16457"/>
    <w:rsid w:val="00B168F7"/>
    <w:rsid w:val="00B17969"/>
    <w:rsid w:val="00B20009"/>
    <w:rsid w:val="00B202EC"/>
    <w:rsid w:val="00B300A4"/>
    <w:rsid w:val="00B31473"/>
    <w:rsid w:val="00B3261F"/>
    <w:rsid w:val="00B36B0C"/>
    <w:rsid w:val="00B37E8F"/>
    <w:rsid w:val="00B40C75"/>
    <w:rsid w:val="00B413C2"/>
    <w:rsid w:val="00B41847"/>
    <w:rsid w:val="00B42B80"/>
    <w:rsid w:val="00B4681B"/>
    <w:rsid w:val="00B47440"/>
    <w:rsid w:val="00B5038B"/>
    <w:rsid w:val="00B52B11"/>
    <w:rsid w:val="00B579AC"/>
    <w:rsid w:val="00B617E4"/>
    <w:rsid w:val="00B629AF"/>
    <w:rsid w:val="00B664DE"/>
    <w:rsid w:val="00B729A7"/>
    <w:rsid w:val="00B731F7"/>
    <w:rsid w:val="00B80B5A"/>
    <w:rsid w:val="00B80EFB"/>
    <w:rsid w:val="00B83B0F"/>
    <w:rsid w:val="00B83CCF"/>
    <w:rsid w:val="00B84E77"/>
    <w:rsid w:val="00BA07F6"/>
    <w:rsid w:val="00BA0CC7"/>
    <w:rsid w:val="00BA38CD"/>
    <w:rsid w:val="00BA4995"/>
    <w:rsid w:val="00BA6568"/>
    <w:rsid w:val="00BA7EB1"/>
    <w:rsid w:val="00BB5AFC"/>
    <w:rsid w:val="00BB7536"/>
    <w:rsid w:val="00BC0951"/>
    <w:rsid w:val="00BC3885"/>
    <w:rsid w:val="00BC3DEF"/>
    <w:rsid w:val="00BC3FBB"/>
    <w:rsid w:val="00BC57C6"/>
    <w:rsid w:val="00BC6067"/>
    <w:rsid w:val="00BD1E3C"/>
    <w:rsid w:val="00BD360D"/>
    <w:rsid w:val="00BD397D"/>
    <w:rsid w:val="00BE0412"/>
    <w:rsid w:val="00BE1672"/>
    <w:rsid w:val="00BE246D"/>
    <w:rsid w:val="00BE4545"/>
    <w:rsid w:val="00BE54BB"/>
    <w:rsid w:val="00BF06FF"/>
    <w:rsid w:val="00BF17AA"/>
    <w:rsid w:val="00BF1C85"/>
    <w:rsid w:val="00BF210F"/>
    <w:rsid w:val="00BF226E"/>
    <w:rsid w:val="00BF32BA"/>
    <w:rsid w:val="00BF5364"/>
    <w:rsid w:val="00C0400F"/>
    <w:rsid w:val="00C05D62"/>
    <w:rsid w:val="00C06F9C"/>
    <w:rsid w:val="00C079DC"/>
    <w:rsid w:val="00C102C6"/>
    <w:rsid w:val="00C12524"/>
    <w:rsid w:val="00C13A88"/>
    <w:rsid w:val="00C215E0"/>
    <w:rsid w:val="00C2388B"/>
    <w:rsid w:val="00C24556"/>
    <w:rsid w:val="00C2532A"/>
    <w:rsid w:val="00C25920"/>
    <w:rsid w:val="00C26A37"/>
    <w:rsid w:val="00C278FC"/>
    <w:rsid w:val="00C31567"/>
    <w:rsid w:val="00C31ED1"/>
    <w:rsid w:val="00C334A1"/>
    <w:rsid w:val="00C34D9E"/>
    <w:rsid w:val="00C414C4"/>
    <w:rsid w:val="00C418BB"/>
    <w:rsid w:val="00C41D30"/>
    <w:rsid w:val="00C47006"/>
    <w:rsid w:val="00C54996"/>
    <w:rsid w:val="00C5647C"/>
    <w:rsid w:val="00C574D3"/>
    <w:rsid w:val="00C57631"/>
    <w:rsid w:val="00C5785C"/>
    <w:rsid w:val="00C578F5"/>
    <w:rsid w:val="00C613B3"/>
    <w:rsid w:val="00C61CA3"/>
    <w:rsid w:val="00C7089A"/>
    <w:rsid w:val="00C75F2F"/>
    <w:rsid w:val="00C76360"/>
    <w:rsid w:val="00C76DD8"/>
    <w:rsid w:val="00C83B69"/>
    <w:rsid w:val="00C842DF"/>
    <w:rsid w:val="00C863BA"/>
    <w:rsid w:val="00C8669F"/>
    <w:rsid w:val="00C923B4"/>
    <w:rsid w:val="00C95DCC"/>
    <w:rsid w:val="00C96B47"/>
    <w:rsid w:val="00CA0D90"/>
    <w:rsid w:val="00CA280B"/>
    <w:rsid w:val="00CB05C9"/>
    <w:rsid w:val="00CB4BC5"/>
    <w:rsid w:val="00CC0071"/>
    <w:rsid w:val="00CC15E1"/>
    <w:rsid w:val="00CD046F"/>
    <w:rsid w:val="00CD1C69"/>
    <w:rsid w:val="00CD2DCF"/>
    <w:rsid w:val="00CD303D"/>
    <w:rsid w:val="00CD5B18"/>
    <w:rsid w:val="00CD6719"/>
    <w:rsid w:val="00CD7038"/>
    <w:rsid w:val="00CD7B2E"/>
    <w:rsid w:val="00CE0290"/>
    <w:rsid w:val="00CE1187"/>
    <w:rsid w:val="00CE203C"/>
    <w:rsid w:val="00CE2692"/>
    <w:rsid w:val="00CE5D57"/>
    <w:rsid w:val="00CE63E9"/>
    <w:rsid w:val="00CE6544"/>
    <w:rsid w:val="00CF0394"/>
    <w:rsid w:val="00CF28E9"/>
    <w:rsid w:val="00CF3369"/>
    <w:rsid w:val="00CF37D1"/>
    <w:rsid w:val="00CF3FBE"/>
    <w:rsid w:val="00CF6206"/>
    <w:rsid w:val="00D006B0"/>
    <w:rsid w:val="00D00BEC"/>
    <w:rsid w:val="00D0341A"/>
    <w:rsid w:val="00D04539"/>
    <w:rsid w:val="00D05D93"/>
    <w:rsid w:val="00D06CDD"/>
    <w:rsid w:val="00D06FBC"/>
    <w:rsid w:val="00D1090B"/>
    <w:rsid w:val="00D11094"/>
    <w:rsid w:val="00D1547D"/>
    <w:rsid w:val="00D21CEA"/>
    <w:rsid w:val="00D22A71"/>
    <w:rsid w:val="00D25A35"/>
    <w:rsid w:val="00D26413"/>
    <w:rsid w:val="00D305FC"/>
    <w:rsid w:val="00D40B56"/>
    <w:rsid w:val="00D42A81"/>
    <w:rsid w:val="00D43BEE"/>
    <w:rsid w:val="00D44E51"/>
    <w:rsid w:val="00D46F17"/>
    <w:rsid w:val="00D4780B"/>
    <w:rsid w:val="00D5337A"/>
    <w:rsid w:val="00D53F47"/>
    <w:rsid w:val="00D54232"/>
    <w:rsid w:val="00D54823"/>
    <w:rsid w:val="00D550B2"/>
    <w:rsid w:val="00D64E9A"/>
    <w:rsid w:val="00D6664E"/>
    <w:rsid w:val="00D67659"/>
    <w:rsid w:val="00D71BD5"/>
    <w:rsid w:val="00D743B2"/>
    <w:rsid w:val="00D74C80"/>
    <w:rsid w:val="00D761DA"/>
    <w:rsid w:val="00D7639C"/>
    <w:rsid w:val="00D771A8"/>
    <w:rsid w:val="00D809E7"/>
    <w:rsid w:val="00D81407"/>
    <w:rsid w:val="00D81C0B"/>
    <w:rsid w:val="00D83720"/>
    <w:rsid w:val="00D841D2"/>
    <w:rsid w:val="00D9075D"/>
    <w:rsid w:val="00D90913"/>
    <w:rsid w:val="00D90A04"/>
    <w:rsid w:val="00D912B3"/>
    <w:rsid w:val="00D915B9"/>
    <w:rsid w:val="00D9257B"/>
    <w:rsid w:val="00D94FDB"/>
    <w:rsid w:val="00D96024"/>
    <w:rsid w:val="00DA485C"/>
    <w:rsid w:val="00DA4A77"/>
    <w:rsid w:val="00DA7AA2"/>
    <w:rsid w:val="00DA7F8B"/>
    <w:rsid w:val="00DB0582"/>
    <w:rsid w:val="00DB134D"/>
    <w:rsid w:val="00DB20D7"/>
    <w:rsid w:val="00DB545B"/>
    <w:rsid w:val="00DB67CB"/>
    <w:rsid w:val="00DC15BF"/>
    <w:rsid w:val="00DC39B9"/>
    <w:rsid w:val="00DC61E4"/>
    <w:rsid w:val="00DD4101"/>
    <w:rsid w:val="00DD4EB9"/>
    <w:rsid w:val="00DD594E"/>
    <w:rsid w:val="00DD680A"/>
    <w:rsid w:val="00DE0286"/>
    <w:rsid w:val="00DE14FD"/>
    <w:rsid w:val="00DE5FE0"/>
    <w:rsid w:val="00DE7A58"/>
    <w:rsid w:val="00DF21E5"/>
    <w:rsid w:val="00DF25F0"/>
    <w:rsid w:val="00DF2C25"/>
    <w:rsid w:val="00DF2FD3"/>
    <w:rsid w:val="00E006DC"/>
    <w:rsid w:val="00E00B59"/>
    <w:rsid w:val="00E00E7F"/>
    <w:rsid w:val="00E028CA"/>
    <w:rsid w:val="00E03B93"/>
    <w:rsid w:val="00E049ED"/>
    <w:rsid w:val="00E115E9"/>
    <w:rsid w:val="00E11A6C"/>
    <w:rsid w:val="00E12656"/>
    <w:rsid w:val="00E13B7F"/>
    <w:rsid w:val="00E15FE0"/>
    <w:rsid w:val="00E172E5"/>
    <w:rsid w:val="00E2067C"/>
    <w:rsid w:val="00E220C5"/>
    <w:rsid w:val="00E225A9"/>
    <w:rsid w:val="00E245D4"/>
    <w:rsid w:val="00E30BD5"/>
    <w:rsid w:val="00E31103"/>
    <w:rsid w:val="00E3234C"/>
    <w:rsid w:val="00E33311"/>
    <w:rsid w:val="00E368E5"/>
    <w:rsid w:val="00E3781D"/>
    <w:rsid w:val="00E37ADD"/>
    <w:rsid w:val="00E431C5"/>
    <w:rsid w:val="00E45E5B"/>
    <w:rsid w:val="00E5165F"/>
    <w:rsid w:val="00E52251"/>
    <w:rsid w:val="00E537D6"/>
    <w:rsid w:val="00E537FE"/>
    <w:rsid w:val="00E56B87"/>
    <w:rsid w:val="00E57D90"/>
    <w:rsid w:val="00E634B0"/>
    <w:rsid w:val="00E63ADB"/>
    <w:rsid w:val="00E640C7"/>
    <w:rsid w:val="00E648A4"/>
    <w:rsid w:val="00E66486"/>
    <w:rsid w:val="00E706E9"/>
    <w:rsid w:val="00E73D6B"/>
    <w:rsid w:val="00E75429"/>
    <w:rsid w:val="00E75780"/>
    <w:rsid w:val="00E7718E"/>
    <w:rsid w:val="00E803E1"/>
    <w:rsid w:val="00E806E6"/>
    <w:rsid w:val="00E81810"/>
    <w:rsid w:val="00E827E1"/>
    <w:rsid w:val="00E83DC2"/>
    <w:rsid w:val="00E84EA2"/>
    <w:rsid w:val="00E86CFC"/>
    <w:rsid w:val="00E922D2"/>
    <w:rsid w:val="00E92908"/>
    <w:rsid w:val="00E92956"/>
    <w:rsid w:val="00E953A5"/>
    <w:rsid w:val="00E9734C"/>
    <w:rsid w:val="00EA1F43"/>
    <w:rsid w:val="00EA229A"/>
    <w:rsid w:val="00EA3178"/>
    <w:rsid w:val="00EA3E73"/>
    <w:rsid w:val="00EA4AC4"/>
    <w:rsid w:val="00EA4B79"/>
    <w:rsid w:val="00EA68CA"/>
    <w:rsid w:val="00EB045D"/>
    <w:rsid w:val="00EB079A"/>
    <w:rsid w:val="00EB0FD2"/>
    <w:rsid w:val="00EB1D6A"/>
    <w:rsid w:val="00EB2868"/>
    <w:rsid w:val="00EC2C2A"/>
    <w:rsid w:val="00EC5B9B"/>
    <w:rsid w:val="00EC5F73"/>
    <w:rsid w:val="00EC7DE7"/>
    <w:rsid w:val="00ED0110"/>
    <w:rsid w:val="00ED1820"/>
    <w:rsid w:val="00ED2545"/>
    <w:rsid w:val="00ED45AB"/>
    <w:rsid w:val="00ED5B8E"/>
    <w:rsid w:val="00EE0575"/>
    <w:rsid w:val="00EE07BE"/>
    <w:rsid w:val="00EE445B"/>
    <w:rsid w:val="00EE69BF"/>
    <w:rsid w:val="00EF1FCA"/>
    <w:rsid w:val="00EF2FBC"/>
    <w:rsid w:val="00EF76BE"/>
    <w:rsid w:val="00F035C8"/>
    <w:rsid w:val="00F03E53"/>
    <w:rsid w:val="00F04246"/>
    <w:rsid w:val="00F04A56"/>
    <w:rsid w:val="00F0527D"/>
    <w:rsid w:val="00F11D41"/>
    <w:rsid w:val="00F15936"/>
    <w:rsid w:val="00F1620D"/>
    <w:rsid w:val="00F16C3C"/>
    <w:rsid w:val="00F20062"/>
    <w:rsid w:val="00F32FD2"/>
    <w:rsid w:val="00F36FA0"/>
    <w:rsid w:val="00F379EF"/>
    <w:rsid w:val="00F42944"/>
    <w:rsid w:val="00F4373E"/>
    <w:rsid w:val="00F448A1"/>
    <w:rsid w:val="00F45E9B"/>
    <w:rsid w:val="00F46C28"/>
    <w:rsid w:val="00F46E2F"/>
    <w:rsid w:val="00F50166"/>
    <w:rsid w:val="00F5729E"/>
    <w:rsid w:val="00F575CD"/>
    <w:rsid w:val="00F60278"/>
    <w:rsid w:val="00F61B8F"/>
    <w:rsid w:val="00F62D13"/>
    <w:rsid w:val="00F63CF0"/>
    <w:rsid w:val="00F65891"/>
    <w:rsid w:val="00F65D57"/>
    <w:rsid w:val="00F666EB"/>
    <w:rsid w:val="00F70504"/>
    <w:rsid w:val="00F71821"/>
    <w:rsid w:val="00F71C1F"/>
    <w:rsid w:val="00F72843"/>
    <w:rsid w:val="00F754C3"/>
    <w:rsid w:val="00F75F9C"/>
    <w:rsid w:val="00F76EC6"/>
    <w:rsid w:val="00F810FC"/>
    <w:rsid w:val="00F81F90"/>
    <w:rsid w:val="00F8225C"/>
    <w:rsid w:val="00F84F17"/>
    <w:rsid w:val="00F85782"/>
    <w:rsid w:val="00F86201"/>
    <w:rsid w:val="00F86770"/>
    <w:rsid w:val="00F90253"/>
    <w:rsid w:val="00F906E7"/>
    <w:rsid w:val="00F932E3"/>
    <w:rsid w:val="00F93C53"/>
    <w:rsid w:val="00F93EA1"/>
    <w:rsid w:val="00F95C51"/>
    <w:rsid w:val="00F95E27"/>
    <w:rsid w:val="00F96A00"/>
    <w:rsid w:val="00FA1674"/>
    <w:rsid w:val="00FA5E92"/>
    <w:rsid w:val="00FA649D"/>
    <w:rsid w:val="00FA741C"/>
    <w:rsid w:val="00FA7A92"/>
    <w:rsid w:val="00FB0EC8"/>
    <w:rsid w:val="00FB15FF"/>
    <w:rsid w:val="00FB599A"/>
    <w:rsid w:val="00FC040B"/>
    <w:rsid w:val="00FC3407"/>
    <w:rsid w:val="00FC3AD5"/>
    <w:rsid w:val="00FC403B"/>
    <w:rsid w:val="00FC5B61"/>
    <w:rsid w:val="00FC5E7F"/>
    <w:rsid w:val="00FC67ED"/>
    <w:rsid w:val="00FD0B35"/>
    <w:rsid w:val="00FD21AF"/>
    <w:rsid w:val="00FD2927"/>
    <w:rsid w:val="00FD2AD6"/>
    <w:rsid w:val="00FD56F1"/>
    <w:rsid w:val="00FD6A92"/>
    <w:rsid w:val="00FD6EFE"/>
    <w:rsid w:val="00FE2530"/>
    <w:rsid w:val="00FE349E"/>
    <w:rsid w:val="00FE3D98"/>
    <w:rsid w:val="00FE4313"/>
    <w:rsid w:val="00FE67D3"/>
    <w:rsid w:val="00FE700B"/>
    <w:rsid w:val="00FE7F26"/>
    <w:rsid w:val="00FF0091"/>
    <w:rsid w:val="00FF4E9B"/>
    <w:rsid w:val="00FF62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D95CDDC-9A21-482A-8333-3E25FAA0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1620D"/>
    <w:pPr>
      <w:numPr>
        <w:numId w:val="2"/>
      </w:numPr>
    </w:pPr>
    <w:rPr>
      <w:rFonts w:eastAsia="Times New Roman"/>
      <w:lang w:eastAsia="de-DE"/>
    </w:rPr>
  </w:style>
  <w:style w:type="paragraph" w:styleId="ListNumber">
    <w:name w:val="List Number"/>
    <w:basedOn w:val="Normal"/>
    <w:rsid w:val="00F1620D"/>
    <w:pPr>
      <w:numPr>
        <w:numId w:val="6"/>
      </w:numPr>
    </w:pPr>
    <w:rPr>
      <w:rFonts w:eastAsia="Times New Roman"/>
      <w:lang w:eastAsia="de-DE"/>
    </w:rPr>
  </w:style>
  <w:style w:type="paragraph" w:customStyle="1" w:styleId="ListBullet1">
    <w:name w:val="List Bullet 1"/>
    <w:basedOn w:val="Normal"/>
    <w:rsid w:val="00F1620D"/>
    <w:pPr>
      <w:numPr>
        <w:numId w:val="1"/>
      </w:numPr>
    </w:pPr>
    <w:rPr>
      <w:rFonts w:eastAsia="Times New Roman"/>
      <w:lang w:eastAsia="de-DE"/>
    </w:rPr>
  </w:style>
  <w:style w:type="paragraph" w:customStyle="1" w:styleId="ListDash">
    <w:name w:val="List Dash"/>
    <w:basedOn w:val="Normal"/>
    <w:rsid w:val="00F1620D"/>
    <w:pPr>
      <w:numPr>
        <w:numId w:val="3"/>
      </w:numPr>
    </w:pPr>
    <w:rPr>
      <w:rFonts w:eastAsia="Times New Roman"/>
      <w:lang w:eastAsia="de-DE"/>
    </w:rPr>
  </w:style>
  <w:style w:type="paragraph" w:customStyle="1" w:styleId="ListDash1">
    <w:name w:val="List Dash 1"/>
    <w:basedOn w:val="Normal"/>
    <w:rsid w:val="00F1620D"/>
    <w:pPr>
      <w:numPr>
        <w:numId w:val="4"/>
      </w:numPr>
    </w:pPr>
    <w:rPr>
      <w:rFonts w:eastAsia="Times New Roman"/>
      <w:lang w:eastAsia="de-DE"/>
    </w:rPr>
  </w:style>
  <w:style w:type="paragraph" w:customStyle="1" w:styleId="ListDash2">
    <w:name w:val="List Dash 2"/>
    <w:basedOn w:val="Normal"/>
    <w:rsid w:val="00F1620D"/>
    <w:pPr>
      <w:numPr>
        <w:numId w:val="5"/>
      </w:numPr>
    </w:pPr>
    <w:rPr>
      <w:rFonts w:eastAsia="Times New Roman"/>
      <w:lang w:eastAsia="de-DE"/>
    </w:rPr>
  </w:style>
  <w:style w:type="paragraph" w:customStyle="1" w:styleId="ListNumberLevel2">
    <w:name w:val="List Number (Level 2)"/>
    <w:basedOn w:val="Normal"/>
    <w:rsid w:val="00F1620D"/>
    <w:pPr>
      <w:numPr>
        <w:ilvl w:val="1"/>
        <w:numId w:val="6"/>
      </w:numPr>
    </w:pPr>
    <w:rPr>
      <w:rFonts w:eastAsia="Times New Roman"/>
      <w:lang w:eastAsia="de-DE"/>
    </w:rPr>
  </w:style>
  <w:style w:type="paragraph" w:customStyle="1" w:styleId="ListNumberLevel3">
    <w:name w:val="List Number (Level 3)"/>
    <w:basedOn w:val="Normal"/>
    <w:rsid w:val="00F1620D"/>
    <w:pPr>
      <w:numPr>
        <w:ilvl w:val="2"/>
        <w:numId w:val="6"/>
      </w:numPr>
    </w:pPr>
    <w:rPr>
      <w:rFonts w:eastAsia="Times New Roman"/>
      <w:lang w:eastAsia="de-DE"/>
    </w:rPr>
  </w:style>
  <w:style w:type="paragraph" w:customStyle="1" w:styleId="ListNumberLevel4">
    <w:name w:val="List Number (Level 4)"/>
    <w:basedOn w:val="Normal"/>
    <w:rsid w:val="00F1620D"/>
    <w:pPr>
      <w:numPr>
        <w:ilvl w:val="3"/>
        <w:numId w:val="6"/>
      </w:numPr>
    </w:pPr>
    <w:rPr>
      <w:rFonts w:eastAsia="Times New Roman"/>
      <w:lang w:eastAsia="de-DE"/>
    </w:rPr>
  </w:style>
  <w:style w:type="character" w:styleId="Hyperlink">
    <w:name w:val="Hyperlink"/>
    <w:rsid w:val="00F1620D"/>
    <w:rPr>
      <w:color w:val="0000FF"/>
      <w:u w:val="single"/>
    </w:rPr>
  </w:style>
  <w:style w:type="paragraph" w:styleId="ListBullet">
    <w:name w:val="List Bullet"/>
    <w:basedOn w:val="Normal"/>
    <w:rsid w:val="00F1620D"/>
    <w:pPr>
      <w:numPr>
        <w:numId w:val="7"/>
      </w:numPr>
    </w:pPr>
    <w:rPr>
      <w:rFonts w:eastAsia="Times New Roman"/>
      <w:lang w:eastAsia="en-GB"/>
    </w:rPr>
  </w:style>
  <w:style w:type="paragraph" w:styleId="ListBullet2">
    <w:name w:val="List Bullet 2"/>
    <w:basedOn w:val="Normal"/>
    <w:rsid w:val="00F1620D"/>
    <w:pPr>
      <w:numPr>
        <w:numId w:val="8"/>
      </w:numPr>
    </w:pPr>
    <w:rPr>
      <w:rFonts w:eastAsia="Times New Roman"/>
      <w:lang w:eastAsia="en-GB"/>
    </w:rPr>
  </w:style>
  <w:style w:type="paragraph" w:styleId="ListBullet3">
    <w:name w:val="List Bullet 3"/>
    <w:basedOn w:val="Normal"/>
    <w:rsid w:val="00F1620D"/>
    <w:pPr>
      <w:numPr>
        <w:numId w:val="9"/>
      </w:numPr>
    </w:pPr>
    <w:rPr>
      <w:rFonts w:eastAsia="Times New Roman"/>
      <w:lang w:eastAsia="en-GB"/>
    </w:rPr>
  </w:style>
  <w:style w:type="paragraph" w:styleId="ListNumber2">
    <w:name w:val="List Number 2"/>
    <w:basedOn w:val="Normal"/>
    <w:rsid w:val="00F1620D"/>
    <w:pPr>
      <w:numPr>
        <w:numId w:val="13"/>
      </w:numPr>
    </w:pPr>
    <w:rPr>
      <w:rFonts w:eastAsia="Times New Roman"/>
      <w:lang w:eastAsia="en-GB"/>
    </w:rPr>
  </w:style>
  <w:style w:type="paragraph" w:styleId="ListNumber3">
    <w:name w:val="List Number 3"/>
    <w:basedOn w:val="Normal"/>
    <w:rsid w:val="00F1620D"/>
    <w:pPr>
      <w:numPr>
        <w:numId w:val="14"/>
      </w:numPr>
    </w:pPr>
    <w:rPr>
      <w:rFonts w:eastAsia="Times New Roman"/>
      <w:lang w:eastAsia="en-GB"/>
    </w:rPr>
  </w:style>
  <w:style w:type="paragraph" w:styleId="ListNumber4">
    <w:name w:val="List Number 4"/>
    <w:basedOn w:val="Normal"/>
    <w:rsid w:val="00F1620D"/>
    <w:pPr>
      <w:numPr>
        <w:numId w:val="15"/>
      </w:numPr>
    </w:pPr>
    <w:rPr>
      <w:rFonts w:eastAsia="Times New Roman"/>
      <w:lang w:eastAsia="en-GB"/>
    </w:rPr>
  </w:style>
  <w:style w:type="paragraph" w:customStyle="1" w:styleId="ListDash3">
    <w:name w:val="List Dash 3"/>
    <w:basedOn w:val="Normal"/>
    <w:rsid w:val="00F1620D"/>
    <w:pPr>
      <w:numPr>
        <w:numId w:val="10"/>
      </w:numPr>
    </w:pPr>
    <w:rPr>
      <w:rFonts w:eastAsia="Times New Roman"/>
      <w:lang w:eastAsia="en-GB"/>
    </w:rPr>
  </w:style>
  <w:style w:type="paragraph" w:customStyle="1" w:styleId="ListDash4">
    <w:name w:val="List Dash 4"/>
    <w:basedOn w:val="Normal"/>
    <w:rsid w:val="00F1620D"/>
    <w:pPr>
      <w:numPr>
        <w:numId w:val="11"/>
      </w:numPr>
    </w:pPr>
    <w:rPr>
      <w:rFonts w:eastAsia="Times New Roman"/>
      <w:lang w:eastAsia="en-GB"/>
    </w:rPr>
  </w:style>
  <w:style w:type="paragraph" w:customStyle="1" w:styleId="ListNumber1">
    <w:name w:val="List Number 1"/>
    <w:basedOn w:val="Text1"/>
    <w:rsid w:val="00F1620D"/>
    <w:pPr>
      <w:tabs>
        <w:tab w:val="num" w:pos="1560"/>
      </w:tabs>
      <w:ind w:left="1560" w:hanging="709"/>
    </w:pPr>
    <w:rPr>
      <w:rFonts w:eastAsia="Times New Roman"/>
      <w:lang w:eastAsia="en-GB"/>
    </w:rPr>
  </w:style>
  <w:style w:type="paragraph" w:customStyle="1" w:styleId="ListNumber1Level2">
    <w:name w:val="List Number 1 (Level 2)"/>
    <w:basedOn w:val="Text1"/>
    <w:rsid w:val="00F1620D"/>
    <w:pPr>
      <w:numPr>
        <w:ilvl w:val="1"/>
        <w:numId w:val="12"/>
      </w:numPr>
    </w:pPr>
    <w:rPr>
      <w:rFonts w:eastAsia="Times New Roman"/>
      <w:lang w:eastAsia="en-GB"/>
    </w:rPr>
  </w:style>
  <w:style w:type="paragraph" w:customStyle="1" w:styleId="ListNumber2Level2">
    <w:name w:val="List Number 2 (Level 2)"/>
    <w:basedOn w:val="Text2"/>
    <w:rsid w:val="00F1620D"/>
    <w:pPr>
      <w:numPr>
        <w:ilvl w:val="1"/>
        <w:numId w:val="13"/>
      </w:numPr>
    </w:pPr>
    <w:rPr>
      <w:rFonts w:eastAsia="Times New Roman"/>
      <w:lang w:eastAsia="en-GB"/>
    </w:rPr>
  </w:style>
  <w:style w:type="paragraph" w:customStyle="1" w:styleId="ListNumber3Level2">
    <w:name w:val="List Number 3 (Level 2)"/>
    <w:basedOn w:val="Text3"/>
    <w:rsid w:val="00F1620D"/>
    <w:pPr>
      <w:numPr>
        <w:ilvl w:val="1"/>
        <w:numId w:val="14"/>
      </w:numPr>
    </w:pPr>
    <w:rPr>
      <w:rFonts w:eastAsia="Times New Roman"/>
      <w:lang w:eastAsia="en-GB"/>
    </w:rPr>
  </w:style>
  <w:style w:type="paragraph" w:customStyle="1" w:styleId="ListNumber4Level2">
    <w:name w:val="List Number 4 (Level 2)"/>
    <w:basedOn w:val="Text4"/>
    <w:rsid w:val="00F1620D"/>
    <w:pPr>
      <w:numPr>
        <w:ilvl w:val="1"/>
        <w:numId w:val="15"/>
      </w:numPr>
    </w:pPr>
    <w:rPr>
      <w:rFonts w:eastAsia="Times New Roman"/>
      <w:lang w:eastAsia="en-GB"/>
    </w:rPr>
  </w:style>
  <w:style w:type="paragraph" w:customStyle="1" w:styleId="ListNumber1Level3">
    <w:name w:val="List Number 1 (Level 3)"/>
    <w:basedOn w:val="Text1"/>
    <w:rsid w:val="00F1620D"/>
    <w:pPr>
      <w:numPr>
        <w:ilvl w:val="2"/>
        <w:numId w:val="12"/>
      </w:numPr>
    </w:pPr>
    <w:rPr>
      <w:rFonts w:eastAsia="Times New Roman"/>
      <w:lang w:eastAsia="en-GB"/>
    </w:rPr>
  </w:style>
  <w:style w:type="paragraph" w:customStyle="1" w:styleId="ListNumber2Level3">
    <w:name w:val="List Number 2 (Level 3)"/>
    <w:basedOn w:val="Text2"/>
    <w:rsid w:val="00F1620D"/>
    <w:pPr>
      <w:numPr>
        <w:ilvl w:val="2"/>
        <w:numId w:val="13"/>
      </w:numPr>
    </w:pPr>
    <w:rPr>
      <w:rFonts w:eastAsia="Times New Roman"/>
      <w:lang w:eastAsia="en-GB"/>
    </w:rPr>
  </w:style>
  <w:style w:type="paragraph" w:customStyle="1" w:styleId="ListNumber3Level3">
    <w:name w:val="List Number 3 (Level 3)"/>
    <w:basedOn w:val="Text3"/>
    <w:rsid w:val="00F1620D"/>
    <w:pPr>
      <w:numPr>
        <w:ilvl w:val="2"/>
        <w:numId w:val="14"/>
      </w:numPr>
    </w:pPr>
    <w:rPr>
      <w:rFonts w:eastAsia="Times New Roman"/>
      <w:lang w:eastAsia="en-GB"/>
    </w:rPr>
  </w:style>
  <w:style w:type="paragraph" w:customStyle="1" w:styleId="ListNumber4Level3">
    <w:name w:val="List Number 4 (Level 3)"/>
    <w:basedOn w:val="Text4"/>
    <w:rsid w:val="00F1620D"/>
    <w:pPr>
      <w:numPr>
        <w:ilvl w:val="2"/>
        <w:numId w:val="15"/>
      </w:numPr>
    </w:pPr>
    <w:rPr>
      <w:rFonts w:eastAsia="Times New Roman"/>
      <w:lang w:eastAsia="en-GB"/>
    </w:rPr>
  </w:style>
  <w:style w:type="paragraph" w:customStyle="1" w:styleId="ListNumber1Level4">
    <w:name w:val="List Number 1 (Level 4)"/>
    <w:basedOn w:val="Text1"/>
    <w:rsid w:val="00F1620D"/>
    <w:pPr>
      <w:numPr>
        <w:ilvl w:val="3"/>
        <w:numId w:val="12"/>
      </w:numPr>
    </w:pPr>
    <w:rPr>
      <w:rFonts w:eastAsia="Times New Roman"/>
      <w:lang w:eastAsia="en-GB"/>
    </w:rPr>
  </w:style>
  <w:style w:type="paragraph" w:customStyle="1" w:styleId="ListNumber2Level4">
    <w:name w:val="List Number 2 (Level 4)"/>
    <w:basedOn w:val="Text2"/>
    <w:rsid w:val="00F1620D"/>
    <w:pPr>
      <w:numPr>
        <w:ilvl w:val="3"/>
        <w:numId w:val="13"/>
      </w:numPr>
    </w:pPr>
    <w:rPr>
      <w:rFonts w:eastAsia="Times New Roman"/>
      <w:lang w:eastAsia="en-GB"/>
    </w:rPr>
  </w:style>
  <w:style w:type="paragraph" w:customStyle="1" w:styleId="ListNumber3Level4">
    <w:name w:val="List Number 3 (Level 4)"/>
    <w:basedOn w:val="Text3"/>
    <w:rsid w:val="00F1620D"/>
    <w:pPr>
      <w:numPr>
        <w:ilvl w:val="3"/>
        <w:numId w:val="14"/>
      </w:numPr>
    </w:pPr>
    <w:rPr>
      <w:rFonts w:eastAsia="Times New Roman"/>
      <w:lang w:eastAsia="en-GB"/>
    </w:rPr>
  </w:style>
  <w:style w:type="paragraph" w:customStyle="1" w:styleId="ListNumber4Level4">
    <w:name w:val="List Number 4 (Level 4)"/>
    <w:basedOn w:val="Text4"/>
    <w:rsid w:val="00F1620D"/>
    <w:pPr>
      <w:numPr>
        <w:ilvl w:val="3"/>
        <w:numId w:val="15"/>
      </w:numPr>
    </w:pPr>
    <w:rPr>
      <w:rFonts w:eastAsia="Times New Roman"/>
      <w:lang w:eastAsia="en-GB"/>
    </w:rPr>
  </w:style>
  <w:style w:type="paragraph" w:customStyle="1" w:styleId="Annexetitreacte">
    <w:name w:val="Annexe titre (acte)"/>
    <w:basedOn w:val="Normal"/>
    <w:next w:val="Normal"/>
    <w:rsid w:val="00F1620D"/>
    <w:pPr>
      <w:jc w:val="center"/>
    </w:pPr>
    <w:rPr>
      <w:rFonts w:eastAsia="Times New Roman"/>
      <w:b/>
      <w:u w:val="single"/>
      <w:lang w:eastAsia="en-GB"/>
    </w:rPr>
  </w:style>
  <w:style w:type="paragraph" w:customStyle="1" w:styleId="Annexetitreexposglobal">
    <w:name w:val="Annexe titre (exposé global)"/>
    <w:basedOn w:val="Normal"/>
    <w:next w:val="Normal"/>
    <w:rsid w:val="00F1620D"/>
    <w:pPr>
      <w:jc w:val="center"/>
    </w:pPr>
    <w:rPr>
      <w:rFonts w:eastAsia="Times New Roman"/>
      <w:b/>
      <w:u w:val="single"/>
      <w:lang w:eastAsia="en-GB"/>
    </w:rPr>
  </w:style>
  <w:style w:type="paragraph" w:customStyle="1" w:styleId="Annexetitrefichefinacte">
    <w:name w:val="Annexe titre (fiche fin. acte)"/>
    <w:basedOn w:val="Normal"/>
    <w:next w:val="Normal"/>
    <w:rsid w:val="00F1620D"/>
    <w:pPr>
      <w:jc w:val="center"/>
    </w:pPr>
    <w:rPr>
      <w:rFonts w:eastAsia="Times New Roman"/>
      <w:b/>
      <w:u w:val="single"/>
      <w:lang w:eastAsia="en-GB"/>
    </w:rPr>
  </w:style>
  <w:style w:type="paragraph" w:customStyle="1" w:styleId="Annexetitrefichefinglobale">
    <w:name w:val="Annexe titre (fiche fin. globale)"/>
    <w:basedOn w:val="Normal"/>
    <w:next w:val="Normal"/>
    <w:rsid w:val="00F1620D"/>
    <w:pPr>
      <w:jc w:val="center"/>
    </w:pPr>
    <w:rPr>
      <w:rFonts w:eastAsia="Times New Roman"/>
      <w:b/>
      <w:u w:val="single"/>
      <w:lang w:eastAsia="en-GB"/>
    </w:rPr>
  </w:style>
  <w:style w:type="paragraph" w:customStyle="1" w:styleId="Annexetitreglobale">
    <w:name w:val="Annexe titre (globale)"/>
    <w:basedOn w:val="Normal"/>
    <w:next w:val="Normal"/>
    <w:rsid w:val="00F1620D"/>
    <w:pPr>
      <w:jc w:val="center"/>
    </w:pPr>
    <w:rPr>
      <w:rFonts w:eastAsia="Times New Roman"/>
      <w:b/>
      <w:u w:val="single"/>
      <w:lang w:eastAsia="en-GB"/>
    </w:rPr>
  </w:style>
  <w:style w:type="paragraph" w:customStyle="1" w:styleId="Exposdesmotifstitreglobal">
    <w:name w:val="Exposé des motifs titre (global)"/>
    <w:basedOn w:val="Normal"/>
    <w:next w:val="Normal"/>
    <w:rsid w:val="00F1620D"/>
    <w:pPr>
      <w:jc w:val="center"/>
    </w:pPr>
    <w:rPr>
      <w:rFonts w:eastAsia="Times New Roman"/>
      <w:b/>
      <w:u w:val="single"/>
      <w:lang w:eastAsia="en-GB"/>
    </w:rPr>
  </w:style>
  <w:style w:type="paragraph" w:customStyle="1" w:styleId="Langueoriginale">
    <w:name w:val="Langue originale"/>
    <w:basedOn w:val="Normal"/>
    <w:rsid w:val="00F1620D"/>
    <w:pPr>
      <w:spacing w:before="360"/>
      <w:jc w:val="center"/>
    </w:pPr>
    <w:rPr>
      <w:rFonts w:eastAsia="Times New Roman"/>
      <w:caps/>
      <w:lang w:eastAsia="en-GB"/>
    </w:rPr>
  </w:style>
  <w:style w:type="paragraph" w:customStyle="1" w:styleId="Phrasefinale">
    <w:name w:val="Phrase finale"/>
    <w:basedOn w:val="Normal"/>
    <w:next w:val="Normal"/>
    <w:rsid w:val="00F1620D"/>
    <w:pPr>
      <w:spacing w:before="360" w:after="0"/>
      <w:jc w:val="center"/>
    </w:pPr>
    <w:rPr>
      <w:rFonts w:eastAsia="Times New Roman"/>
      <w:lang w:eastAsia="en-GB"/>
    </w:rPr>
  </w:style>
  <w:style w:type="paragraph" w:customStyle="1" w:styleId="Prliminairetitre">
    <w:name w:val="Préliminaire titre"/>
    <w:basedOn w:val="Normal"/>
    <w:next w:val="Normal"/>
    <w:rsid w:val="00F1620D"/>
    <w:pPr>
      <w:spacing w:before="360" w:after="360"/>
      <w:jc w:val="center"/>
    </w:pPr>
    <w:rPr>
      <w:rFonts w:eastAsia="Times New Roman"/>
      <w:b/>
      <w:lang w:eastAsia="en-GB"/>
    </w:rPr>
  </w:style>
  <w:style w:type="paragraph" w:customStyle="1" w:styleId="Prliminairetype">
    <w:name w:val="Préliminaire type"/>
    <w:basedOn w:val="Normal"/>
    <w:next w:val="Normal"/>
    <w:rsid w:val="00F1620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1620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1620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1620D"/>
    <w:pPr>
      <w:spacing w:before="0" w:after="0"/>
      <w:ind w:left="5103"/>
      <w:jc w:val="left"/>
    </w:pPr>
    <w:rPr>
      <w:rFonts w:eastAsia="Times New Roman"/>
      <w:lang w:eastAsia="en-GB"/>
    </w:rPr>
  </w:style>
  <w:style w:type="paragraph" w:customStyle="1" w:styleId="Sous-titreobjetprliminaire">
    <w:name w:val="Sous-titre objet (préliminaire)"/>
    <w:basedOn w:val="Normal"/>
    <w:rsid w:val="00F1620D"/>
    <w:pPr>
      <w:spacing w:before="0" w:after="0"/>
      <w:jc w:val="center"/>
    </w:pPr>
    <w:rPr>
      <w:rFonts w:eastAsia="Times New Roman"/>
      <w:b/>
      <w:lang w:eastAsia="en-GB"/>
    </w:rPr>
  </w:style>
  <w:style w:type="paragraph" w:customStyle="1" w:styleId="Statutprliminaire">
    <w:name w:val="Statut (préliminaire)"/>
    <w:basedOn w:val="Normal"/>
    <w:next w:val="Normal"/>
    <w:rsid w:val="00F1620D"/>
    <w:pPr>
      <w:spacing w:before="360" w:after="0"/>
      <w:jc w:val="center"/>
    </w:pPr>
    <w:rPr>
      <w:rFonts w:eastAsia="Times New Roman"/>
      <w:lang w:eastAsia="en-GB"/>
    </w:rPr>
  </w:style>
  <w:style w:type="paragraph" w:customStyle="1" w:styleId="Titreobjetprliminaire">
    <w:name w:val="Titre objet (préliminaire)"/>
    <w:basedOn w:val="Normal"/>
    <w:next w:val="Normal"/>
    <w:rsid w:val="00F1620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1620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1620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1620D"/>
    <w:pPr>
      <w:jc w:val="center"/>
    </w:pPr>
    <w:rPr>
      <w:rFonts w:eastAsia="Times New Roman"/>
      <w:b/>
      <w:u w:val="single"/>
      <w:lang w:eastAsia="en-GB"/>
    </w:rPr>
  </w:style>
  <w:style w:type="paragraph" w:customStyle="1" w:styleId="Fichefinanciretravailtitre">
    <w:name w:val="Fiche financière (travail) titre"/>
    <w:basedOn w:val="Normal"/>
    <w:next w:val="Normal"/>
    <w:rsid w:val="00F1620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1620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1620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1620D"/>
    <w:pPr>
      <w:jc w:val="center"/>
    </w:pPr>
    <w:rPr>
      <w:rFonts w:eastAsia="Times New Roman"/>
      <w:b/>
      <w:u w:val="single"/>
      <w:lang w:eastAsia="en-GB"/>
    </w:rPr>
  </w:style>
  <w:style w:type="character" w:styleId="CommentReference">
    <w:name w:val="annotation reference"/>
    <w:uiPriority w:val="99"/>
    <w:rsid w:val="00F1620D"/>
    <w:rPr>
      <w:rFonts w:cs="Times New Roman"/>
      <w:sz w:val="16"/>
      <w:szCs w:val="16"/>
    </w:rPr>
  </w:style>
  <w:style w:type="paragraph" w:styleId="CommentText">
    <w:name w:val="annotation text"/>
    <w:basedOn w:val="Normal"/>
    <w:link w:val="CommentTextChar"/>
    <w:uiPriority w:val="99"/>
    <w:rsid w:val="00F1620D"/>
    <w:rPr>
      <w:rFonts w:eastAsia="Times New Roman"/>
      <w:sz w:val="20"/>
      <w:szCs w:val="20"/>
      <w:lang w:eastAsia="en-GB"/>
    </w:rPr>
  </w:style>
  <w:style w:type="character" w:customStyle="1" w:styleId="CommentTextChar">
    <w:name w:val="Comment Text Char"/>
    <w:basedOn w:val="DefaultParagraphFont"/>
    <w:link w:val="CommentText"/>
    <w:uiPriority w:val="99"/>
    <w:rsid w:val="00F1620D"/>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F1620D"/>
    <w:rPr>
      <w:b/>
      <w:bCs/>
    </w:rPr>
  </w:style>
  <w:style w:type="character" w:customStyle="1" w:styleId="CommentSubjectChar">
    <w:name w:val="Comment Subject Char"/>
    <w:basedOn w:val="CommentTextChar"/>
    <w:link w:val="CommentSubject"/>
    <w:rsid w:val="00F1620D"/>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F1620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1620D"/>
    <w:rPr>
      <w:rFonts w:ascii="Tahoma" w:eastAsia="Times New Roman" w:hAnsi="Tahoma" w:cs="Tahoma"/>
      <w:sz w:val="16"/>
      <w:szCs w:val="16"/>
      <w:lang w:val="ro-RO" w:eastAsia="en-GB"/>
    </w:rPr>
  </w:style>
  <w:style w:type="paragraph" w:styleId="Caption">
    <w:name w:val="caption"/>
    <w:basedOn w:val="Normal"/>
    <w:next w:val="Normal"/>
    <w:qFormat/>
    <w:rsid w:val="00F1620D"/>
    <w:rPr>
      <w:rFonts w:eastAsia="Times New Roman"/>
      <w:b/>
      <w:bCs/>
      <w:sz w:val="20"/>
      <w:szCs w:val="20"/>
      <w:lang w:eastAsia="en-GB"/>
    </w:rPr>
  </w:style>
  <w:style w:type="paragraph" w:styleId="TableofFigures">
    <w:name w:val="table of figures"/>
    <w:basedOn w:val="Normal"/>
    <w:next w:val="Normal"/>
    <w:rsid w:val="00F1620D"/>
    <w:rPr>
      <w:rFonts w:eastAsia="Times New Roman"/>
      <w:lang w:eastAsia="en-GB"/>
    </w:rPr>
  </w:style>
  <w:style w:type="character" w:styleId="PageNumber">
    <w:name w:val="page number"/>
    <w:rsid w:val="00F1620D"/>
  </w:style>
  <w:style w:type="character" w:customStyle="1" w:styleId="tw4winMark">
    <w:name w:val="tw4winMark"/>
    <w:rsid w:val="00F1620D"/>
    <w:rPr>
      <w:vanish/>
      <w:color w:val="800080"/>
      <w:vertAlign w:val="subscript"/>
    </w:rPr>
  </w:style>
  <w:style w:type="character" w:styleId="FollowedHyperlink">
    <w:name w:val="FollowedHyperlink"/>
    <w:rsid w:val="00F1620D"/>
    <w:rPr>
      <w:color w:val="800080"/>
      <w:u w:val="single"/>
    </w:rPr>
  </w:style>
  <w:style w:type="paragraph" w:customStyle="1" w:styleId="Sous-titreobjet">
    <w:name w:val="Sous-titre objet"/>
    <w:basedOn w:val="Normal"/>
    <w:rsid w:val="00F1620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1620D"/>
  </w:style>
  <w:style w:type="paragraph" w:customStyle="1" w:styleId="Default">
    <w:name w:val="Default"/>
    <w:rsid w:val="0056318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34"/>
    <w:qFormat/>
    <w:rsid w:val="0056318D"/>
    <w:pPr>
      <w:ind w:left="720"/>
      <w:contextualSpacing/>
    </w:pPr>
  </w:style>
  <w:style w:type="paragraph" w:customStyle="1" w:styleId="Freetext">
    <w:name w:val="Free text"/>
    <w:basedOn w:val="Normal"/>
    <w:link w:val="FreetextChar"/>
    <w:qFormat/>
    <w:rsid w:val="004F21C3"/>
    <w:pPr>
      <w:spacing w:before="0" w:after="240"/>
    </w:pPr>
    <w:rPr>
      <w:rFonts w:asciiTheme="minorHAnsi" w:hAnsiTheme="minorHAnsi" w:cstheme="minorHAnsi"/>
      <w:sz w:val="22"/>
    </w:rPr>
  </w:style>
  <w:style w:type="character" w:customStyle="1" w:styleId="FreetextChar">
    <w:name w:val="Free text Char"/>
    <w:basedOn w:val="DefaultParagraphFont"/>
    <w:link w:val="Freetext"/>
    <w:rsid w:val="004F21C3"/>
    <w:rPr>
      <w:rFonts w:cstheme="minorHAnsi"/>
      <w:lang w:val="ro-RO"/>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sid w:val="00BC57C6"/>
    <w:rPr>
      <w:rFonts w:ascii="Times New Roman" w:hAnsi="Times New Roman" w:cs="Times New Roman"/>
      <w:sz w:val="24"/>
      <w:lang w:val="ro-RO"/>
    </w:rPr>
  </w:style>
  <w:style w:type="paragraph" w:customStyle="1" w:styleId="Indent">
    <w:name w:val="Indent"/>
    <w:basedOn w:val="Normal"/>
    <w:rsid w:val="00BC57C6"/>
    <w:pPr>
      <w:numPr>
        <w:ilvl w:val="1"/>
        <w:numId w:val="16"/>
      </w:numPr>
      <w:spacing w:before="0" w:after="240"/>
    </w:pPr>
    <w:rPr>
      <w:rFonts w:asciiTheme="minorHAnsi" w:hAnsiTheme="minorHAnsi" w:cstheme="minorBidi"/>
      <w:sz w:val="22"/>
    </w:rPr>
  </w:style>
  <w:style w:type="paragraph" w:styleId="Revision">
    <w:name w:val="Revision"/>
    <w:hidden/>
    <w:uiPriority w:val="99"/>
    <w:semiHidden/>
    <w:rsid w:val="00CD7B2E"/>
    <w:pPr>
      <w:spacing w:after="0" w:line="240" w:lineRule="auto"/>
    </w:pPr>
    <w:rPr>
      <w:rFonts w:ascii="Times New Roman" w:hAnsi="Times New Roman" w:cs="Times New Roman"/>
      <w:sz w:val="24"/>
    </w:rPr>
  </w:style>
  <w:style w:type="paragraph" w:customStyle="1" w:styleId="std">
    <w:name w:val="std"/>
    <w:basedOn w:val="Normal"/>
    <w:rsid w:val="00D96024"/>
    <w:pPr>
      <w:spacing w:before="0" w:after="0"/>
      <w:jc w:val="left"/>
    </w:pPr>
    <w:rPr>
      <w:rFonts w:eastAsia="Times New Roman"/>
      <w:szCs w:val="24"/>
      <w:lang w:eastAsia="en-GB"/>
    </w:rPr>
  </w:style>
  <w:style w:type="character" w:customStyle="1" w:styleId="Bodytext2">
    <w:name w:val="Body text|2_"/>
    <w:basedOn w:val="DefaultParagraphFont"/>
    <w:link w:val="Bodytext20"/>
    <w:rsid w:val="00CA0D90"/>
    <w:rPr>
      <w:rFonts w:ascii="Calibri" w:eastAsia="Calibri" w:hAnsi="Calibri" w:cs="Calibri"/>
      <w:shd w:val="clear" w:color="auto" w:fill="FFFFFF"/>
    </w:rPr>
  </w:style>
  <w:style w:type="paragraph" w:customStyle="1" w:styleId="Bodytext20">
    <w:name w:val="Body text|2"/>
    <w:basedOn w:val="Normal"/>
    <w:link w:val="Bodytext2"/>
    <w:qFormat/>
    <w:rsid w:val="00CA0D90"/>
    <w:pPr>
      <w:widowControl w:val="0"/>
      <w:shd w:val="clear" w:color="auto" w:fill="FFFFFF"/>
      <w:spacing w:before="0" w:after="100" w:line="268" w:lineRule="exact"/>
      <w:ind w:hanging="740"/>
    </w:pPr>
    <w:rPr>
      <w:rFonts w:ascii="Calibri" w:eastAsia="Calibri" w:hAnsi="Calibri" w:cs="Calibri"/>
      <w:sz w:val="22"/>
    </w:rPr>
  </w:style>
  <w:style w:type="paragraph" w:customStyle="1" w:styleId="Normal1">
    <w:name w:val="Normal1"/>
    <w:basedOn w:val="Normal"/>
    <w:rsid w:val="00D1547D"/>
    <w:pPr>
      <w:spacing w:before="100" w:beforeAutospacing="1" w:after="100" w:afterAutospacing="1"/>
      <w:jc w:val="left"/>
    </w:pPr>
    <w:rPr>
      <w:rFonts w:eastAsia="Times New Roman"/>
      <w:szCs w:val="24"/>
    </w:rPr>
  </w:style>
  <w:style w:type="character" w:customStyle="1" w:styleId="super">
    <w:name w:val="super"/>
    <w:basedOn w:val="DefaultParagraphFont"/>
    <w:rsid w:val="00D1547D"/>
  </w:style>
  <w:style w:type="paragraph" w:customStyle="1" w:styleId="ti-art">
    <w:name w:val="ti-art"/>
    <w:basedOn w:val="Normal"/>
    <w:rsid w:val="00D1547D"/>
    <w:pPr>
      <w:spacing w:before="100" w:beforeAutospacing="1" w:after="100" w:afterAutospacing="1"/>
      <w:jc w:val="left"/>
    </w:pPr>
    <w:rPr>
      <w:rFonts w:eastAsia="Times New Roman"/>
      <w:szCs w:val="24"/>
    </w:rPr>
  </w:style>
  <w:style w:type="table" w:styleId="TableGrid">
    <w:name w:val="Table Grid"/>
    <w:basedOn w:val="TableNormal"/>
    <w:uiPriority w:val="59"/>
    <w:rsid w:val="00C5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F21E5"/>
    <w:rPr>
      <w:i/>
      <w:iCs/>
    </w:rPr>
  </w:style>
  <w:style w:type="paragraph" w:customStyle="1" w:styleId="Article">
    <w:name w:val="Article"/>
    <w:basedOn w:val="ti-art"/>
    <w:rsid w:val="009365C1"/>
    <w:pPr>
      <w:spacing w:before="360" w:beforeAutospacing="0" w:after="120" w:afterAutospacing="0" w:line="312" w:lineRule="atLeast"/>
      <w:jc w:val="center"/>
    </w:pPr>
    <w:rPr>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B045D"/>
    <w:pPr>
      <w:spacing w:before="0" w:after="160" w:line="240" w:lineRule="exact"/>
      <w:jc w:val="left"/>
    </w:pPr>
    <w:rPr>
      <w:rFonts w:asciiTheme="minorHAnsi" w:hAnsiTheme="minorHAnsi" w:cstheme="minorBidi"/>
      <w:sz w:val="22"/>
      <w:vertAlign w:val="superscript"/>
    </w:rPr>
  </w:style>
  <w:style w:type="paragraph" w:customStyle="1" w:styleId="li">
    <w:name w:val="li"/>
    <w:basedOn w:val="Normal"/>
    <w:rsid w:val="00863BD3"/>
    <w:pPr>
      <w:spacing w:before="100" w:beforeAutospacing="1" w:after="100" w:afterAutospacing="1"/>
      <w:jc w:val="left"/>
    </w:pPr>
    <w:rPr>
      <w:rFonts w:eastAsia="Times New Roman"/>
      <w:szCs w:val="24"/>
      <w:lang w:eastAsia="en-IE"/>
    </w:rPr>
  </w:style>
  <w:style w:type="character" w:customStyle="1" w:styleId="num">
    <w:name w:val="num"/>
    <w:basedOn w:val="DefaultParagraphFont"/>
    <w:rsid w:val="00863BD3"/>
  </w:style>
  <w:style w:type="character" w:customStyle="1" w:styleId="HeaderChar">
    <w:name w:val="Header Char"/>
    <w:basedOn w:val="DefaultParagraphFont"/>
    <w:link w:val="Header"/>
    <w:uiPriority w:val="99"/>
    <w:rsid w:val="00587831"/>
    <w:rPr>
      <w:rFonts w:ascii="Times New Roman" w:hAnsi="Times New Roman" w:cs="Times New Roman"/>
      <w:sz w:val="24"/>
      <w:lang w:val="ro-RO"/>
    </w:rPr>
  </w:style>
  <w:style w:type="character" w:customStyle="1" w:styleId="FooterChar">
    <w:name w:val="Footer Char"/>
    <w:basedOn w:val="DefaultParagraphFont"/>
    <w:link w:val="Footer"/>
    <w:uiPriority w:val="99"/>
    <w:rsid w:val="0058783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58783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87831"/>
    <w:pPr>
      <w:spacing w:before="0"/>
      <w:jc w:val="right"/>
    </w:pPr>
    <w:rPr>
      <w:sz w:val="28"/>
    </w:rPr>
  </w:style>
  <w:style w:type="paragraph" w:customStyle="1" w:styleId="FooterSensitivity">
    <w:name w:val="Footer Sensitivity"/>
    <w:basedOn w:val="Normal"/>
    <w:rsid w:val="0058783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87831"/>
    <w:pPr>
      <w:tabs>
        <w:tab w:val="center" w:pos="4535"/>
        <w:tab w:val="right" w:pos="9071"/>
      </w:tabs>
      <w:spacing w:before="0"/>
    </w:pPr>
  </w:style>
  <w:style w:type="paragraph" w:customStyle="1" w:styleId="HeaderLandscape">
    <w:name w:val="HeaderLandscape"/>
    <w:basedOn w:val="Normal"/>
    <w:rsid w:val="00587831"/>
    <w:pPr>
      <w:tabs>
        <w:tab w:val="center" w:pos="7285"/>
        <w:tab w:val="right" w:pos="14003"/>
      </w:tabs>
      <w:spacing w:before="0"/>
    </w:pPr>
  </w:style>
  <w:style w:type="paragraph" w:styleId="Footer">
    <w:name w:val="footer"/>
    <w:basedOn w:val="Normal"/>
    <w:link w:val="FooterChar"/>
    <w:uiPriority w:val="99"/>
    <w:unhideWhenUsed/>
    <w:rsid w:val="0058783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8783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379016851">
      <w:bodyDiv w:val="1"/>
      <w:marLeft w:val="0"/>
      <w:marRight w:val="0"/>
      <w:marTop w:val="0"/>
      <w:marBottom w:val="0"/>
      <w:divBdr>
        <w:top w:val="none" w:sz="0" w:space="0" w:color="auto"/>
        <w:left w:val="none" w:sz="0" w:space="0" w:color="auto"/>
        <w:bottom w:val="none" w:sz="0" w:space="0" w:color="auto"/>
        <w:right w:val="none" w:sz="0" w:space="0" w:color="auto"/>
      </w:divBdr>
    </w:div>
    <w:div w:id="705787989">
      <w:bodyDiv w:val="1"/>
      <w:marLeft w:val="0"/>
      <w:marRight w:val="0"/>
      <w:marTop w:val="0"/>
      <w:marBottom w:val="0"/>
      <w:divBdr>
        <w:top w:val="none" w:sz="0" w:space="0" w:color="auto"/>
        <w:left w:val="none" w:sz="0" w:space="0" w:color="auto"/>
        <w:bottom w:val="none" w:sz="0" w:space="0" w:color="auto"/>
        <w:right w:val="none" w:sz="0" w:space="0" w:color="auto"/>
      </w:divBdr>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546914194">
      <w:bodyDiv w:val="1"/>
      <w:marLeft w:val="0"/>
      <w:marRight w:val="0"/>
      <w:marTop w:val="0"/>
      <w:marBottom w:val="0"/>
      <w:divBdr>
        <w:top w:val="none" w:sz="0" w:space="0" w:color="auto"/>
        <w:left w:val="none" w:sz="0" w:space="0" w:color="auto"/>
        <w:bottom w:val="none" w:sz="0" w:space="0" w:color="auto"/>
        <w:right w:val="none" w:sz="0" w:space="0" w:color="auto"/>
      </w:divBdr>
    </w:div>
    <w:div w:id="1620912889">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879276873">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1B781-1E67-4374-9C38-11867A565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45</TotalTime>
  <Pages>15</Pages>
  <Words>6033</Words>
  <Characters>34392</Characters>
  <Application>Microsoft Office Word</Application>
  <DocSecurity>0</DocSecurity>
  <Lines>286</Lines>
  <Paragraphs>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40345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cp:lastPrinted>2026-02-02T12:58:00Z</cp:lastPrinted>
  <dcterms:created xsi:type="dcterms:W3CDTF">2026-02-13T05:19:00Z</dcterms:created>
  <dcterms:modified xsi:type="dcterms:W3CDTF">2026-03-16T07:05:00Z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