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EE405" w14:textId="41C92E72" w:rsidR="00FF07FA" w:rsidRPr="00C952AC" w:rsidRDefault="0016687C" w:rsidP="0016687C">
      <w:pPr>
        <w:pStyle w:val="Pagedecouverture"/>
        <w:rPr>
          <w:noProof/>
        </w:rPr>
      </w:pPr>
      <w:r>
        <w:rPr>
          <w:noProof/>
        </w:rPr>
        <w:pict w14:anchorId="0E567D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ED65829-DC91-4349-A87E-31B12FC9FCEA" style="width:455.25pt;height:330.75pt">
            <v:imagedata r:id="rId11" o:title=""/>
          </v:shape>
        </w:pict>
      </w:r>
    </w:p>
    <w:p w14:paraId="01DE4ABE" w14:textId="77777777" w:rsidR="00FF07FA" w:rsidRPr="00C952AC" w:rsidRDefault="00FF07FA" w:rsidP="00FF07FA">
      <w:pPr>
        <w:rPr>
          <w:noProof/>
        </w:rPr>
        <w:sectPr w:rsidR="00FF07FA" w:rsidRPr="00C952AC" w:rsidSect="0016687C">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47E613F8" w14:textId="77777777" w:rsidR="00FF07FA" w:rsidRPr="00C952AC" w:rsidRDefault="00FF07FA" w:rsidP="00BB6B30">
      <w:pPr>
        <w:pStyle w:val="Exposdesmotifstitre"/>
        <w:rPr>
          <w:noProof/>
        </w:rPr>
      </w:pPr>
      <w:bookmarkStart w:id="0" w:name="_GoBack"/>
      <w:bookmarkEnd w:id="0"/>
      <w:r w:rsidRPr="00C952AC">
        <w:rPr>
          <w:noProof/>
        </w:rPr>
        <w:lastRenderedPageBreak/>
        <w:t>EXPUNERE DE MOTIVE</w:t>
      </w:r>
    </w:p>
    <w:p w14:paraId="6098F83B" w14:textId="77777777" w:rsidR="00FF07FA" w:rsidRPr="00C952AC" w:rsidRDefault="00FF07FA" w:rsidP="00BB6B30">
      <w:pPr>
        <w:pStyle w:val="ManualHeading1"/>
        <w:rPr>
          <w:noProof/>
        </w:rPr>
      </w:pPr>
      <w:r w:rsidRPr="00C952AC">
        <w:rPr>
          <w:noProof/>
        </w:rPr>
        <w:t>1.</w:t>
      </w:r>
      <w:r w:rsidRPr="00C952AC">
        <w:rPr>
          <w:noProof/>
        </w:rPr>
        <w:tab/>
        <w:t>CONTEXTUL PROPUNERII</w:t>
      </w:r>
    </w:p>
    <w:p w14:paraId="6777C693" w14:textId="77777777" w:rsidR="00FF07FA" w:rsidRPr="00C952AC" w:rsidRDefault="00FF07FA" w:rsidP="00044058">
      <w:pPr>
        <w:pStyle w:val="ManualHeading2"/>
        <w:rPr>
          <w:rFonts w:eastAsia="Arial Unicode MS"/>
          <w:noProof/>
        </w:rPr>
      </w:pPr>
      <w:r w:rsidRPr="00C952AC">
        <w:rPr>
          <w:noProof/>
          <w:color w:val="000000"/>
          <w:u w:color="000000"/>
          <w:bdr w:val="nil"/>
        </w:rPr>
        <w:t>•</w:t>
      </w:r>
      <w:r w:rsidRPr="00C952AC">
        <w:rPr>
          <w:noProof/>
        </w:rPr>
        <w:tab/>
        <w:t>Motivele și obiectivele propunerii</w:t>
      </w:r>
    </w:p>
    <w:p w14:paraId="7909D8C1" w14:textId="4A942D79" w:rsidR="00F77ADD" w:rsidRPr="00C952AC" w:rsidRDefault="00F77ADD" w:rsidP="00F77ADD">
      <w:pPr>
        <w:pStyle w:val="Text2"/>
        <w:rPr>
          <w:noProof/>
        </w:rPr>
      </w:pPr>
      <w:r w:rsidRPr="00C952AC">
        <w:rPr>
          <w:noProof/>
        </w:rPr>
        <w:t>Acordul comercial și de cooperare încheiat între Uniunea Europeană și Regatul</w:t>
      </w:r>
      <w:r w:rsidR="00500576">
        <w:rPr>
          <w:noProof/>
        </w:rPr>
        <w:t> </w:t>
      </w:r>
      <w:r w:rsidRPr="00C952AC">
        <w:rPr>
          <w:noProof/>
        </w:rPr>
        <w:t>Unit a fost semnat la 30 decembrie 2020, s-a aplicat cu titlu provizoriu de la 1 ianuarie 2021 și a intrat în vigoare la 1 mai 2021.</w:t>
      </w:r>
    </w:p>
    <w:p w14:paraId="09CD5EC6" w14:textId="77777777" w:rsidR="00F77ADD" w:rsidRPr="00C952AC" w:rsidRDefault="00F77ADD" w:rsidP="00F77ADD">
      <w:pPr>
        <w:pStyle w:val="Text2"/>
        <w:rPr>
          <w:noProof/>
        </w:rPr>
      </w:pPr>
      <w:r w:rsidRPr="00C952AC">
        <w:rPr>
          <w:noProof/>
        </w:rPr>
        <w:t>În conformitate cu directivele de negociere din 25 februarie 2020 [Decizia (UE, Euratom) 2020/266 a Consiliului</w:t>
      </w:r>
      <w:r w:rsidRPr="00C952AC">
        <w:rPr>
          <w:rStyle w:val="FootnoteReference"/>
          <w:noProof/>
        </w:rPr>
        <w:footnoteReference w:id="1"/>
      </w:r>
      <w:r w:rsidRPr="00C952AC">
        <w:rPr>
          <w:noProof/>
        </w:rPr>
        <w:t>], Acordul comercial și de cooperare nu include Gibraltarul și nici nu are vreun efect asupra acestuia. Acest lucru nu exclude posibilitatea de a avea acorduri separate între Uniune și Regatul Unit în ceea ce privește Gibraltarul, în concordanță cu Declarația Consiliului European și a Comisiei Europene inclusă în procesul-verbal al reuniunii Consiliului European (articolul 50) din 25 noiembrie 2018</w:t>
      </w:r>
      <w:r w:rsidRPr="00C952AC">
        <w:rPr>
          <w:rStyle w:val="FootnoteReference"/>
          <w:noProof/>
        </w:rPr>
        <w:footnoteReference w:id="2"/>
      </w:r>
      <w:r w:rsidRPr="00C952AC">
        <w:rPr>
          <w:noProof/>
        </w:rPr>
        <w:t>.</w:t>
      </w:r>
    </w:p>
    <w:p w14:paraId="26B992BF" w14:textId="77777777" w:rsidR="00F77ADD" w:rsidRPr="00C952AC" w:rsidRDefault="00F77ADD" w:rsidP="00F77ADD">
      <w:pPr>
        <w:pStyle w:val="Text2"/>
        <w:rPr>
          <w:noProof/>
        </w:rPr>
      </w:pPr>
      <w:r w:rsidRPr="00C952AC">
        <w:rPr>
          <w:noProof/>
        </w:rPr>
        <w:t xml:space="preserve">La 31 decembrie 2020, Spania și Regatul Unit au convenit asupra unui cadru politic pentru un viitor acord cu privire la Gibraltar între Uniunea Europeană și Regatul Unit. </w:t>
      </w:r>
    </w:p>
    <w:p w14:paraId="383F616F" w14:textId="77777777" w:rsidR="00F77ADD" w:rsidRPr="00C952AC" w:rsidRDefault="00F77ADD" w:rsidP="00F77ADD">
      <w:pPr>
        <w:pStyle w:val="Text2"/>
        <w:rPr>
          <w:noProof/>
        </w:rPr>
      </w:pPr>
      <w:r w:rsidRPr="00C952AC">
        <w:rPr>
          <w:noProof/>
        </w:rPr>
        <w:t xml:space="preserve">La 5 octombrie 2021, Consiliul a adoptat Decizia de autorizare a începerii negocierilor în vederea unui acord cu Regatul Unit al Marii Britanii și Irlandei de Nord în ceea ce privește Gibraltarul. Comisia a fost desemnată negociator al Uniunii. Decizia Consiliului includea, de asemenea, un addendum cu directivele de negociere a unui astfel de acord (denumite în continuare „directivele de negociere”). </w:t>
      </w:r>
    </w:p>
    <w:p w14:paraId="7289B411" w14:textId="77777777" w:rsidR="00F77ADD" w:rsidRPr="00C952AC" w:rsidRDefault="00F77ADD" w:rsidP="00F77ADD">
      <w:pPr>
        <w:pStyle w:val="Text2"/>
        <w:rPr>
          <w:noProof/>
        </w:rPr>
      </w:pPr>
      <w:r w:rsidRPr="00C952AC">
        <w:rPr>
          <w:noProof/>
        </w:rPr>
        <w:t>În ceea ce privește energia nucleară civilă, directivele de negociere prevăd posibilitatea ca acordul avut în vedere să acopere aspecte care intră în domeniul de aplicare al Tratatului Euratom și al dreptului derivat, în special dispoziții referitoare la sănătate și securitate, la piața comună nucleară și la garanțiile nucleare, dar fără a se limita la acestea.</w:t>
      </w:r>
    </w:p>
    <w:p w14:paraId="27CDDABA" w14:textId="706E8E7E" w:rsidR="00F77ADD" w:rsidRPr="00C952AC" w:rsidRDefault="00F77ADD" w:rsidP="00F77ADD">
      <w:pPr>
        <w:pStyle w:val="Text2"/>
        <w:rPr>
          <w:noProof/>
        </w:rPr>
      </w:pPr>
      <w:r w:rsidRPr="00C952AC">
        <w:rPr>
          <w:noProof/>
        </w:rPr>
        <w:t>Comisia a purtat negocierile în consultare cu Grupul de lucru pentru Regatul</w:t>
      </w:r>
      <w:r w:rsidR="00500576">
        <w:rPr>
          <w:noProof/>
        </w:rPr>
        <w:t> </w:t>
      </w:r>
      <w:r w:rsidRPr="00C952AC">
        <w:rPr>
          <w:noProof/>
        </w:rPr>
        <w:t xml:space="preserve">Unit al Consiliului și a informat pe deplin Parlamentul European, în special prin intermediul Grupului său de coordonare pentru Regatul Unit. </w:t>
      </w:r>
    </w:p>
    <w:p w14:paraId="1F4CD070" w14:textId="77777777" w:rsidR="00865F45" w:rsidRPr="00C952AC" w:rsidRDefault="00865F45" w:rsidP="00865F45">
      <w:pPr>
        <w:pStyle w:val="Text2"/>
        <w:rPr>
          <w:noProof/>
        </w:rPr>
      </w:pPr>
      <w:r w:rsidRPr="00C952AC">
        <w:rPr>
          <w:noProof/>
        </w:rPr>
        <w:t xml:space="preserve">Negocierile s-au încheiat la 12 decembrie 2025, după mai bine de patru ani. Acestea nu au putut fi finalizate decât foarte tardiv, din cauza problemelor politice și juridice complexe care au trebuit soluționate în domeniul circulației persoanelor și a mărfurilor, domeniu care face obiectul acordului. </w:t>
      </w:r>
    </w:p>
    <w:p w14:paraId="60E51B5F" w14:textId="08E1C2CB" w:rsidR="008B27C1" w:rsidRPr="00C952AC" w:rsidRDefault="008B27C1" w:rsidP="008B27C1">
      <w:pPr>
        <w:pStyle w:val="Text2"/>
        <w:rPr>
          <w:noProof/>
        </w:rPr>
      </w:pPr>
      <w:r w:rsidRPr="00C952AC">
        <w:rPr>
          <w:noProof/>
        </w:rPr>
        <w:t>Întrucât acordul conține doar o singură dispoziție privind cooperarea civilă în domeniul nuclear la care Comunitatea Europeană a Energiei Atomice este parte, această dispoziție a fost păstrată în textul Acordului dintre Uniunea</w:t>
      </w:r>
      <w:r w:rsidR="00500576">
        <w:rPr>
          <w:noProof/>
        </w:rPr>
        <w:t> </w:t>
      </w:r>
      <w:r w:rsidRPr="00C952AC">
        <w:rPr>
          <w:noProof/>
        </w:rPr>
        <w:t>Europeană și Regatul Unit al Marii Britanii și Irlandei de Nord.</w:t>
      </w:r>
    </w:p>
    <w:p w14:paraId="5057FEAD" w14:textId="77777777" w:rsidR="008B27C1" w:rsidRPr="00C952AC" w:rsidRDefault="008B27C1" w:rsidP="008B27C1">
      <w:pPr>
        <w:pStyle w:val="Text2"/>
        <w:rPr>
          <w:noProof/>
        </w:rPr>
      </w:pPr>
      <w:r w:rsidRPr="00C952AC">
        <w:rPr>
          <w:noProof/>
        </w:rPr>
        <w:t xml:space="preserve">Începerea aplicării acordului reprezintă o chestiune de maximă urgență. Acordul prevede eliminarea tuturor barierelor fizice dintre teritoriul Uniunii și Gibraltar. Noul sistem de intrare/ieșire al Uniunii Europene, care înlocuiește ștampilarea manuală a pașapoartelor cu înregistrarea digitală a resortisanților țărilor terțe care intră în spațiul Schengen, este în curs de a fi implementat progresiv, urmând să devină pe deplin operațional la toate frontierele externe ale celor 29 de țări participante până la 10 aprilie 2026. În cazul în care acordul cu privire la Gibraltar nu se aplică până la 10 aprilie 2026, vor trebui instituite controale depline la frontieră între teritoriul Uniunii și Gibraltar. Acest lucru va perturba semnificativ persoanele fizice, întreprinderile și alte părți interesate care își desfășoară activitatea în zona Campo del Gibraltar și va contraveni însuși scopului acordului, care este crearea unei zone de prosperitate comune atât în beneficiul Uniunii, cât și al Gibraltarului. </w:t>
      </w:r>
    </w:p>
    <w:p w14:paraId="5AD213A7" w14:textId="77777777" w:rsidR="00865F45" w:rsidRPr="00C952AC" w:rsidRDefault="008B27C1" w:rsidP="0056449F">
      <w:pPr>
        <w:pStyle w:val="Text2"/>
        <w:rPr>
          <w:noProof/>
        </w:rPr>
      </w:pPr>
      <w:r w:rsidRPr="00C952AC">
        <w:rPr>
          <w:noProof/>
        </w:rPr>
        <w:t xml:space="preserve">Având în vedere aceste circumstanțe excepționale, Comisia recomandă aplicarea acordului, în ceea ce privește aspectele care țin de competența Euratom, cu titlu provizoriu, pentru o perioadă scurtă de la data implementării depline a sistemului de intrare/ieșire până în prima zi a lunii următoare celei în care părțile și-au notificat reciproc îndeplinirea cerințelor și a procedurilor interne pentru a-și exprima consimțământul de a-și asuma obligații. </w:t>
      </w:r>
    </w:p>
    <w:p w14:paraId="4848E195" w14:textId="77777777" w:rsidR="00D17909" w:rsidRPr="00C952AC" w:rsidRDefault="00D17909" w:rsidP="00F77ADD">
      <w:pPr>
        <w:pStyle w:val="Text2"/>
        <w:rPr>
          <w:noProof/>
        </w:rPr>
      </w:pPr>
    </w:p>
    <w:p w14:paraId="2F02EAE5" w14:textId="77777777" w:rsidR="00FF07FA" w:rsidRPr="00C952AC" w:rsidRDefault="00FF07FA" w:rsidP="00044058">
      <w:pPr>
        <w:pStyle w:val="ManualHeading2"/>
        <w:rPr>
          <w:rFonts w:eastAsia="Arial Unicode MS"/>
          <w:noProof/>
          <w:color w:val="000000"/>
          <w:u w:color="000000"/>
          <w:bdr w:val="nil"/>
        </w:rPr>
      </w:pPr>
      <w:r w:rsidRPr="00C952AC">
        <w:rPr>
          <w:noProof/>
          <w:color w:val="000000"/>
          <w:u w:color="000000"/>
          <w:bdr w:val="nil"/>
        </w:rPr>
        <w:t>•</w:t>
      </w:r>
      <w:r w:rsidRPr="00C952AC">
        <w:rPr>
          <w:noProof/>
        </w:rPr>
        <w:tab/>
        <w:t>Coerența cu dispozițiile existente în domeniul de politică vizat</w:t>
      </w:r>
    </w:p>
    <w:p w14:paraId="1DFA1DE6" w14:textId="77777777" w:rsidR="006F6D96" w:rsidRPr="00C952AC" w:rsidRDefault="006F6D96" w:rsidP="006F6D96">
      <w:pPr>
        <w:pStyle w:val="Text2"/>
        <w:rPr>
          <w:noProof/>
        </w:rPr>
      </w:pPr>
      <w:r w:rsidRPr="00C952AC">
        <w:rPr>
          <w:noProof/>
        </w:rPr>
        <w:t>Acordul comercial și de cooperare a stabilit o nouă relație între Uniune și Regatul Unit în urma retragerii Regatului Unit din Uniunea Europeană și din Comunitatea Europeană a Energiei Atomice – fără a include Gibraltarul. Acordul comercial și de cooperare este însoțit de un Acord între Guvernul Regatului Unit al Marii Britanii și Irlandei de Nord și Comunitatea Europeană a Energiei Atomice privind cooperarea în ceea ce privește utilizarea în condiții de siguranță și în scopuri pașnice a energiei nucleare.</w:t>
      </w:r>
    </w:p>
    <w:p w14:paraId="1F59B7B4" w14:textId="77777777" w:rsidR="006F6D96" w:rsidRPr="00C952AC" w:rsidRDefault="006F6D96" w:rsidP="006F6D96">
      <w:pPr>
        <w:pStyle w:val="Text2"/>
        <w:rPr>
          <w:noProof/>
        </w:rPr>
      </w:pPr>
      <w:r w:rsidRPr="00C952AC">
        <w:rPr>
          <w:noProof/>
        </w:rPr>
        <w:t>Acesta completează Acordul comercial și de cooperare din această perspectivă și constituie ultimul element al parteneriatului strâns dintre Uniune și Regatul Unit solicitat de Consiliul European în urma retragerii Regatului Unit.</w:t>
      </w:r>
    </w:p>
    <w:p w14:paraId="4FE9423E" w14:textId="77777777" w:rsidR="00FF07FA" w:rsidRPr="00C952AC" w:rsidRDefault="00FF07FA" w:rsidP="00A4693B">
      <w:pPr>
        <w:pStyle w:val="ManualHeading2"/>
        <w:rPr>
          <w:rFonts w:eastAsia="Arial Unicode MS"/>
          <w:noProof/>
        </w:rPr>
      </w:pPr>
      <w:r w:rsidRPr="00C952AC">
        <w:rPr>
          <w:noProof/>
          <w:color w:val="000000"/>
          <w:u w:color="000000"/>
          <w:bdr w:val="nil"/>
        </w:rPr>
        <w:t>•</w:t>
      </w:r>
      <w:r w:rsidRPr="00C952AC">
        <w:rPr>
          <w:noProof/>
        </w:rPr>
        <w:tab/>
        <w:t>Coerența cu alte politici ale Uniunii și ale Comunității Euratom</w:t>
      </w:r>
    </w:p>
    <w:p w14:paraId="429F13CC" w14:textId="17FC483A" w:rsidR="00FF07FA" w:rsidRPr="00C952AC" w:rsidRDefault="00D21E43" w:rsidP="00842D5D">
      <w:pPr>
        <w:pBdr>
          <w:top w:val="nil"/>
          <w:left w:val="nil"/>
          <w:bottom w:val="nil"/>
          <w:right w:val="nil"/>
          <w:between w:val="nil"/>
          <w:bar w:val="nil"/>
        </w:pBdr>
        <w:spacing w:before="0" w:after="240"/>
        <w:ind w:left="1440"/>
        <w:rPr>
          <w:rFonts w:eastAsia="Arial Unicode MS"/>
          <w:noProof/>
        </w:rPr>
      </w:pPr>
      <w:r w:rsidRPr="00C952AC">
        <w:rPr>
          <w:noProof/>
        </w:rPr>
        <w:t>Acordul confirmă angajamentul clar al celor două părți în favoarea neproliferării și a unui nivel ridicat de securitate nucleară pentru a garanta utilizarea în condiții de siguranță și în scopuri pașnice a energiei nucleare.</w:t>
      </w:r>
      <w:r w:rsidR="00500576">
        <w:rPr>
          <w:noProof/>
        </w:rPr>
        <w:t xml:space="preserve"> </w:t>
      </w:r>
      <w:r w:rsidRPr="00C952AC">
        <w:rPr>
          <w:noProof/>
        </w:rPr>
        <w:t>Acordul asigură, de asemenea, cooperarea continuă în domeniul siguranței și securității nucleare și al garanțiilor nucleare, iar acest lucru este esențial având în vedere proximitatea geografică dintre cele două părți. Acordul este în concordanță cu relația generală de cooperare dintre Euratom și Regatul Unit după Brexit.</w:t>
      </w:r>
    </w:p>
    <w:p w14:paraId="6BC759B1" w14:textId="77777777" w:rsidR="00FF07FA" w:rsidRPr="00C952AC" w:rsidRDefault="00FF07FA" w:rsidP="00550536">
      <w:pPr>
        <w:pStyle w:val="ManualHeading1"/>
        <w:rPr>
          <w:noProof/>
        </w:rPr>
      </w:pPr>
      <w:r w:rsidRPr="00C952AC">
        <w:rPr>
          <w:noProof/>
        </w:rPr>
        <w:t>2.</w:t>
      </w:r>
      <w:r w:rsidRPr="00C952AC">
        <w:rPr>
          <w:noProof/>
        </w:rPr>
        <w:tab/>
        <w:t>TEMEI JURIDIC</w:t>
      </w:r>
    </w:p>
    <w:p w14:paraId="59C8BA4F" w14:textId="77777777" w:rsidR="00FF07FA" w:rsidRPr="00C952AC" w:rsidRDefault="00FF07FA" w:rsidP="00A4693B">
      <w:pPr>
        <w:pStyle w:val="ManualHeading2"/>
        <w:rPr>
          <w:rFonts w:eastAsia="Arial Unicode MS"/>
          <w:noProof/>
          <w:u w:color="000000"/>
          <w:bdr w:val="nil"/>
        </w:rPr>
      </w:pPr>
      <w:r w:rsidRPr="00C952AC">
        <w:rPr>
          <w:noProof/>
          <w:u w:color="000000"/>
          <w:bdr w:val="nil"/>
        </w:rPr>
        <w:t>•</w:t>
      </w:r>
      <w:r w:rsidRPr="00C952AC">
        <w:rPr>
          <w:noProof/>
        </w:rPr>
        <w:tab/>
      </w:r>
      <w:r w:rsidRPr="00C952AC">
        <w:rPr>
          <w:noProof/>
          <w:u w:color="000000"/>
          <w:bdr w:val="nil"/>
        </w:rPr>
        <w:t>Temeiul juridic</w:t>
      </w:r>
    </w:p>
    <w:p w14:paraId="04A04ED5" w14:textId="77777777" w:rsidR="00FF07FA" w:rsidRPr="00C952AC" w:rsidRDefault="000564A2" w:rsidP="00C60242">
      <w:pPr>
        <w:pBdr>
          <w:top w:val="nil"/>
          <w:left w:val="nil"/>
          <w:bottom w:val="nil"/>
          <w:right w:val="nil"/>
          <w:between w:val="nil"/>
          <w:bar w:val="nil"/>
        </w:pBdr>
        <w:spacing w:before="0" w:after="240"/>
        <w:ind w:left="1440"/>
        <w:rPr>
          <w:rFonts w:eastAsia="Arial Unicode MS"/>
          <w:noProof/>
        </w:rPr>
      </w:pPr>
      <w:r w:rsidRPr="00C952AC">
        <w:rPr>
          <w:noProof/>
        </w:rPr>
        <w:t>Temeiul juridic specific pentru negocierea și încheierea Acordului cu privire la Gibraltar dintre Uniunea Europeană și Comunitatea Europeană a Energiei Atomice, pe de o parte, și Regatul Unit al Marii Britanii și Irlandei de Nord, pe de altă parte, în ceea ce privește aspectele care intră în sfera de competență a Comunității Europene a Energiei Atomice este articolul 101 din Tratatul de instituire a Comunității Europene a Energiei Atomice.</w:t>
      </w:r>
    </w:p>
    <w:p w14:paraId="14FCE499" w14:textId="77777777" w:rsidR="00FF07FA" w:rsidRPr="00C952AC" w:rsidRDefault="00C60242" w:rsidP="00550536">
      <w:pPr>
        <w:pStyle w:val="ManualHeading1"/>
        <w:rPr>
          <w:noProof/>
        </w:rPr>
      </w:pPr>
      <w:r w:rsidRPr="00C952AC">
        <w:rPr>
          <w:noProof/>
        </w:rPr>
        <w:t>3.</w:t>
      </w:r>
      <w:r w:rsidRPr="00C952AC">
        <w:rPr>
          <w:noProof/>
        </w:rPr>
        <w:tab/>
        <w:t>ALTE ELEMENTE</w:t>
      </w:r>
    </w:p>
    <w:p w14:paraId="44DA834B" w14:textId="77777777" w:rsidR="00FF07FA" w:rsidRPr="00C952AC" w:rsidRDefault="00FF07FA" w:rsidP="00C60242">
      <w:pPr>
        <w:pStyle w:val="ManualHeading2"/>
        <w:rPr>
          <w:rFonts w:eastAsia="Arial Unicode MS"/>
          <w:noProof/>
        </w:rPr>
      </w:pPr>
    </w:p>
    <w:p w14:paraId="0DEBB98D" w14:textId="77777777" w:rsidR="00FF07FA" w:rsidRPr="00C952AC" w:rsidRDefault="00FF07FA" w:rsidP="00A4693B">
      <w:pPr>
        <w:pStyle w:val="ManualHeading2"/>
        <w:rPr>
          <w:rFonts w:eastAsia="Arial Unicode MS"/>
          <w:noProof/>
          <w:u w:color="000000"/>
          <w:bdr w:val="nil"/>
        </w:rPr>
      </w:pPr>
      <w:r w:rsidRPr="00C952AC">
        <w:rPr>
          <w:noProof/>
          <w:u w:color="000000"/>
          <w:bdr w:val="nil"/>
        </w:rPr>
        <w:t>•</w:t>
      </w:r>
      <w:r w:rsidRPr="00C952AC">
        <w:rPr>
          <w:noProof/>
        </w:rPr>
        <w:tab/>
      </w:r>
      <w:r w:rsidRPr="00C952AC">
        <w:rPr>
          <w:noProof/>
          <w:u w:color="000000"/>
          <w:bdr w:val="nil"/>
        </w:rPr>
        <w:t>Explicarea detaliată a dispozițiilor specifice ale propunerii</w:t>
      </w:r>
    </w:p>
    <w:p w14:paraId="273A1FE1" w14:textId="77777777" w:rsidR="00FF07FA" w:rsidRPr="00C952AC" w:rsidRDefault="009D054C" w:rsidP="001C4F57">
      <w:pPr>
        <w:pBdr>
          <w:top w:val="nil"/>
          <w:left w:val="nil"/>
          <w:bottom w:val="nil"/>
          <w:right w:val="nil"/>
          <w:between w:val="nil"/>
          <w:bar w:val="nil"/>
        </w:pBdr>
        <w:spacing w:before="0" w:after="240"/>
        <w:ind w:left="1440"/>
        <w:rPr>
          <w:noProof/>
        </w:rPr>
      </w:pPr>
      <w:r w:rsidRPr="00C952AC">
        <w:rPr>
          <w:noProof/>
        </w:rPr>
        <w:t>Dispoziția privind cooperarea nucleară civilă vizează confirmarea angajamentelor internaționale ale celor două părți în ceea ce privește stabilirea unor standarde eficace în materie de securitate nucleară și punerea lor în aplicare. Regatul Unit se va asigura că Gibraltarul aplică standardele de protecție în acest domeniu și asigură respectarea acestora.</w:t>
      </w:r>
    </w:p>
    <w:p w14:paraId="7BE5C36A" w14:textId="77777777" w:rsidR="006F0056" w:rsidRPr="00C952AC" w:rsidRDefault="0029177C" w:rsidP="001C4F57">
      <w:pPr>
        <w:pBdr>
          <w:top w:val="nil"/>
          <w:left w:val="nil"/>
          <w:bottom w:val="nil"/>
          <w:right w:val="nil"/>
          <w:between w:val="nil"/>
          <w:bar w:val="nil"/>
        </w:pBdr>
        <w:spacing w:before="0" w:after="240"/>
        <w:ind w:left="1440"/>
        <w:rPr>
          <w:noProof/>
        </w:rPr>
      </w:pPr>
      <w:r w:rsidRPr="00C952AC">
        <w:rPr>
          <w:noProof/>
        </w:rPr>
        <w:t xml:space="preserve">Regatul Unit se angajează să pună în aplicare atât un sistem eficace de evidență a materialelor nucleare în Gibraltar, cât și măsuri de siguranță și securitate în legătură cu orice instalație nucleară civilă și cu orice sursă radioactivă relevantă din Gibraltar, atunci când acest lucru va fi necesar. </w:t>
      </w:r>
    </w:p>
    <w:p w14:paraId="3886C10E" w14:textId="77777777" w:rsidR="00231CAD" w:rsidRPr="00C952AC" w:rsidRDefault="00231CAD" w:rsidP="001C4F57">
      <w:pPr>
        <w:pBdr>
          <w:top w:val="nil"/>
          <w:left w:val="nil"/>
          <w:bottom w:val="nil"/>
          <w:right w:val="nil"/>
          <w:between w:val="nil"/>
          <w:bar w:val="nil"/>
        </w:pBdr>
        <w:spacing w:before="0" w:after="240"/>
        <w:ind w:left="1440"/>
        <w:rPr>
          <w:noProof/>
        </w:rPr>
      </w:pPr>
      <w:r w:rsidRPr="00C952AC">
        <w:rPr>
          <w:noProof/>
        </w:rPr>
        <w:t>Regatul Unit se angajează să extindă la Gibraltar aplicarea Convenției privind răspunderea civilă în domeniul energiei nucleare, astfel cum a fost modificată ultima dată prin Protocolul din 12 februarie 2004, și să mențină acordurile operaționale cu Gibraltarul în ceea ce privește evenimentele care au loc în Gibraltar sau care afectează Gibraltarul ce intră sub incidența Convenției cu privire la notificarea rapidă a unui accident nuclear și a Convenției cu privire la asistența în caz de accident nuclear sau de urgență radiologică.</w:t>
      </w:r>
    </w:p>
    <w:p w14:paraId="24A90031" w14:textId="77777777" w:rsidR="004F6B0C" w:rsidRPr="00C952AC" w:rsidRDefault="004F6B0C" w:rsidP="001C4F57">
      <w:pPr>
        <w:pBdr>
          <w:top w:val="nil"/>
          <w:left w:val="nil"/>
          <w:bottom w:val="nil"/>
          <w:right w:val="nil"/>
          <w:between w:val="nil"/>
          <w:bar w:val="nil"/>
        </w:pBdr>
        <w:spacing w:before="0" w:after="240"/>
        <w:ind w:left="1440"/>
        <w:rPr>
          <w:rFonts w:eastAsia="Arial Unicode MS"/>
          <w:noProof/>
        </w:rPr>
      </w:pPr>
      <w:r w:rsidRPr="00C952AC">
        <w:rPr>
          <w:noProof/>
        </w:rPr>
        <w:t>În cele din urmă, Regatul Unit se angajează să asigure, în timp, o eficacitate și o acoperire echivalente cu cele prevăzute atât de Directiva 2008/68/CE privind transportul interior de mărfuri periculoase, cât și de Directiva 2013/59/Euratom a Consiliului de stabilire a normelor de securitate de bază privind protecția împotriva pericolelor prezentate de expunerea la radiațiile ionizante.</w:t>
      </w:r>
    </w:p>
    <w:p w14:paraId="027923EF" w14:textId="77777777" w:rsidR="00FF07FA" w:rsidRPr="00C952AC" w:rsidRDefault="00FF07FA" w:rsidP="00750C38">
      <w:pPr>
        <w:rPr>
          <w:noProof/>
        </w:rPr>
        <w:sectPr w:rsidR="00FF07FA" w:rsidRPr="00C952AC" w:rsidSect="0016687C">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14:paraId="7C6429EA" w14:textId="3720B087" w:rsidR="00FF07FA" w:rsidRPr="00C952AC" w:rsidRDefault="00C952AC" w:rsidP="00C952AC">
      <w:pPr>
        <w:pStyle w:val="Statut"/>
        <w:rPr>
          <w:noProof/>
        </w:rPr>
      </w:pPr>
      <w:r w:rsidRPr="00C952AC">
        <w:rPr>
          <w:noProof/>
        </w:rPr>
        <w:t>Recomandare de</w:t>
      </w:r>
    </w:p>
    <w:p w14:paraId="29A8E8A7" w14:textId="16A047FD" w:rsidR="00FF07FA" w:rsidRPr="00C952AC" w:rsidRDefault="00C952AC" w:rsidP="00C952AC">
      <w:pPr>
        <w:pStyle w:val="Typedudocument"/>
        <w:rPr>
          <w:noProof/>
        </w:rPr>
      </w:pPr>
      <w:r w:rsidRPr="00C952AC">
        <w:rPr>
          <w:noProof/>
        </w:rPr>
        <w:t>DECIZIE A CONSILIULUI</w:t>
      </w:r>
    </w:p>
    <w:p w14:paraId="4FF215C6" w14:textId="1176EAFC" w:rsidR="00FF07FA" w:rsidRPr="00C952AC" w:rsidRDefault="00C952AC" w:rsidP="00C952AC">
      <w:pPr>
        <w:pStyle w:val="Titreobjet"/>
        <w:rPr>
          <w:noProof/>
        </w:rPr>
      </w:pPr>
      <w:r w:rsidRPr="00C952AC">
        <w:rPr>
          <w:noProof/>
        </w:rPr>
        <w:t>de aprobare a încheierii, de către Comisia Europeană, a Acordului cu privire la Gibraltar dintre Uniunea Europeană și Comunitatea Europeană a Energiei Atomice, pe de o parte, și Regatul Unit al Marii Britanii și Irlandei de Nord, pe de altă parte</w:t>
      </w:r>
    </w:p>
    <w:p w14:paraId="153A353C" w14:textId="77777777" w:rsidR="00FF07FA" w:rsidRPr="00C952AC" w:rsidRDefault="00FF07FA" w:rsidP="00750C38">
      <w:pPr>
        <w:pStyle w:val="Institutionquiagit"/>
        <w:rPr>
          <w:noProof/>
        </w:rPr>
      </w:pPr>
      <w:r w:rsidRPr="00C952AC">
        <w:rPr>
          <w:noProof/>
        </w:rPr>
        <w:t>CONSILIUL UNIUNII EUROPENE,</w:t>
      </w:r>
    </w:p>
    <w:p w14:paraId="7518EC47" w14:textId="6B2F7A0C" w:rsidR="00563907" w:rsidRPr="00C952AC" w:rsidRDefault="00563907" w:rsidP="00563907">
      <w:pPr>
        <w:rPr>
          <w:noProof/>
        </w:rPr>
      </w:pPr>
      <w:r w:rsidRPr="00C952AC">
        <w:rPr>
          <w:noProof/>
        </w:rPr>
        <w:t>având în vedere Tratatul de instituire a Comunității Europene a Energiei Atomice, în special articolul 101 al doilea paragraf,</w:t>
      </w:r>
    </w:p>
    <w:p w14:paraId="582D4372" w14:textId="77777777" w:rsidR="00563907" w:rsidRPr="00C952AC" w:rsidRDefault="00563907" w:rsidP="00563907">
      <w:pPr>
        <w:rPr>
          <w:noProof/>
        </w:rPr>
      </w:pPr>
      <w:r w:rsidRPr="00C952AC">
        <w:rPr>
          <w:noProof/>
        </w:rPr>
        <w:t>având în vedere recomandarea Comisiei Europene,</w:t>
      </w:r>
    </w:p>
    <w:p w14:paraId="5B815CBB" w14:textId="77777777" w:rsidR="00563907" w:rsidRPr="00C952AC" w:rsidRDefault="00563907" w:rsidP="00563907">
      <w:pPr>
        <w:rPr>
          <w:noProof/>
        </w:rPr>
      </w:pPr>
      <w:r w:rsidRPr="00C952AC">
        <w:rPr>
          <w:noProof/>
        </w:rPr>
        <w:t>întrucât:</w:t>
      </w:r>
    </w:p>
    <w:p w14:paraId="0CCF567E" w14:textId="46DA2E97" w:rsidR="005434F1" w:rsidRPr="00C952AC" w:rsidRDefault="005434F1" w:rsidP="00545EEC">
      <w:pPr>
        <w:pStyle w:val="ManualConsidrant"/>
        <w:rPr>
          <w:noProof/>
          <w:szCs w:val="24"/>
        </w:rPr>
      </w:pPr>
      <w:r>
        <w:rPr>
          <w:noProof/>
        </w:rPr>
        <w:t>(1)</w:t>
      </w:r>
      <w:r>
        <w:rPr>
          <w:noProof/>
        </w:rPr>
        <w:tab/>
      </w:r>
      <w:r w:rsidRPr="00C952AC">
        <w:rPr>
          <w:noProof/>
        </w:rPr>
        <w:t>Potrivit rezoluțiilor Adunării Generale a Organizației Națiunilor Unite privind decolonizarea teritoriului Gibraltarului (denumit în continuare „Gibraltar”), Gibraltarul este un „teritoriu care nu se autoguvernează administrat de Regatul Unit al Marii</w:t>
      </w:r>
      <w:r w:rsidR="00500576">
        <w:rPr>
          <w:noProof/>
        </w:rPr>
        <w:t> </w:t>
      </w:r>
      <w:r w:rsidRPr="00C952AC">
        <w:rPr>
          <w:noProof/>
        </w:rPr>
        <w:t>Britanii și Irlandei de Nord”, în aplicarea capitolului XI din Carta Organizației Națiunilor Unite.</w:t>
      </w:r>
    </w:p>
    <w:p w14:paraId="2A542658" w14:textId="77777777" w:rsidR="00AC602B" w:rsidRPr="00C952AC" w:rsidRDefault="00AC602B" w:rsidP="00545EEC">
      <w:pPr>
        <w:pStyle w:val="ManualConsidrant"/>
        <w:rPr>
          <w:noProof/>
        </w:rPr>
      </w:pPr>
      <w:r>
        <w:rPr>
          <w:noProof/>
        </w:rPr>
        <w:t>(2)</w:t>
      </w:r>
      <w:r>
        <w:rPr>
          <w:noProof/>
        </w:rPr>
        <w:tab/>
      </w:r>
      <w:r w:rsidRPr="00C952AC">
        <w:rPr>
          <w:noProof/>
        </w:rPr>
        <w:t>La 5 octombrie 2021, Consiliul a autorizat Comisia Europeană să deschidă negocieri în vederea unui acord cu Regatul Unit în ceea ce privește Gibraltarul. În urma negocierilor, părțile au convenit la nivel de negociatori asupra unui acord cu privire la Gibraltar între Uniunea Europeană și Comunitatea Europeană a Energiei Atomice, pe de o parte, și Regatul Unit al Marii Britanii și Irlandei de Nord, pe de altă parte.</w:t>
      </w:r>
    </w:p>
    <w:p w14:paraId="76C0E154" w14:textId="1769FDE5" w:rsidR="00AC602B" w:rsidRPr="00C952AC" w:rsidRDefault="00AC602B" w:rsidP="00545EEC">
      <w:pPr>
        <w:pStyle w:val="ManualConsidrant"/>
        <w:rPr>
          <w:noProof/>
        </w:rPr>
      </w:pPr>
      <w:r>
        <w:rPr>
          <w:noProof/>
        </w:rPr>
        <w:t>(3)</w:t>
      </w:r>
      <w:r>
        <w:rPr>
          <w:noProof/>
        </w:rPr>
        <w:tab/>
      </w:r>
      <w:r w:rsidRPr="00C952AC">
        <w:rPr>
          <w:noProof/>
        </w:rPr>
        <w:t>Acordul acoperă aspecte care intră în sfera de competență a Comunității Europene a Energiei Atomice, și anume dispozițiile privind cooperarea civilă în domeniul nuclear. Prin urmare, acordul ar trebui să fie încheiat și în numele Comunității în ceea ce privește aspectele care intră sub incidența Tratatului Euratom. Semnarea și încheierea acordului în numele Uniunii fac obiectul unei proceduri separate.</w:t>
      </w:r>
    </w:p>
    <w:p w14:paraId="1D3F3377" w14:textId="5A407B23" w:rsidR="00721805" w:rsidRPr="00C952AC" w:rsidRDefault="00721805" w:rsidP="00545EEC">
      <w:pPr>
        <w:pStyle w:val="ManualConsidrant"/>
        <w:rPr>
          <w:noProof/>
        </w:rPr>
      </w:pPr>
      <w:r>
        <w:rPr>
          <w:noProof/>
        </w:rPr>
        <w:t>(4)</w:t>
      </w:r>
      <w:r>
        <w:rPr>
          <w:noProof/>
        </w:rPr>
        <w:tab/>
      </w:r>
      <w:r w:rsidRPr="00C952AC">
        <w:rPr>
          <w:noProof/>
        </w:rPr>
        <w:t xml:space="preserve">Prin urmare, ar trebui să fie aprobată încheierea acordului de către Comisie, care acționează în numele Comunității Europene a Energiei Atomice. </w:t>
      </w:r>
    </w:p>
    <w:p w14:paraId="1CA62331" w14:textId="77777777" w:rsidR="005434F1" w:rsidRPr="00C952AC" w:rsidRDefault="005434F1" w:rsidP="00545EEC">
      <w:pPr>
        <w:pStyle w:val="ManualConsidrant"/>
        <w:rPr>
          <w:noProof/>
          <w:szCs w:val="24"/>
        </w:rPr>
      </w:pPr>
      <w:r>
        <w:rPr>
          <w:noProof/>
        </w:rPr>
        <w:t>(5)</w:t>
      </w:r>
      <w:r>
        <w:rPr>
          <w:noProof/>
        </w:rPr>
        <w:tab/>
      </w:r>
      <w:r w:rsidRPr="00C952AC">
        <w:rPr>
          <w:noProof/>
        </w:rPr>
        <w:t>Acordul sau orice activitate sau măsură adoptată în aplicarea sau ca urmare a acestuia nu implică nicio modificare a poziției juridice a Regatului Spaniei în ceea ce privește suveranitatea și jurisdicția în raport cu Gibraltarul.</w:t>
      </w:r>
    </w:p>
    <w:p w14:paraId="2CA0C2CD" w14:textId="4FFF3480" w:rsidR="005434F1" w:rsidRPr="00C952AC" w:rsidRDefault="005434F1" w:rsidP="00545EEC">
      <w:pPr>
        <w:pStyle w:val="ManualConsidrant"/>
        <w:rPr>
          <w:noProof/>
          <w:szCs w:val="24"/>
        </w:rPr>
      </w:pPr>
      <w:r>
        <w:rPr>
          <w:noProof/>
        </w:rPr>
        <w:t>(6)</w:t>
      </w:r>
      <w:r>
        <w:rPr>
          <w:noProof/>
        </w:rPr>
        <w:tab/>
      </w:r>
      <w:r w:rsidRPr="00C952AC">
        <w:rPr>
          <w:noProof/>
        </w:rPr>
        <w:t xml:space="preserve">Întrucât autoritățile din Gibraltar au un caracter local și exercită exclusiv competențe interne, orice participare a acestor autorități la aplicarea prezentului acord ar trebui considerată ca desfășurându-se exclusiv în cadrul competențelor interne ale Gibraltarului, cu excepția cazului în care se prevede altfel în mod expres. </w:t>
      </w:r>
    </w:p>
    <w:p w14:paraId="2E5E0E90" w14:textId="0C8DF3D6" w:rsidR="00645A67" w:rsidRPr="00C952AC" w:rsidRDefault="00645A67" w:rsidP="00545EEC">
      <w:pPr>
        <w:pStyle w:val="ManualConsidrant"/>
        <w:rPr>
          <w:noProof/>
        </w:rPr>
      </w:pPr>
      <w:r>
        <w:rPr>
          <w:noProof/>
        </w:rPr>
        <w:t>(7)</w:t>
      </w:r>
      <w:r>
        <w:rPr>
          <w:noProof/>
        </w:rPr>
        <w:tab/>
      </w:r>
      <w:r w:rsidRPr="00C952AC">
        <w:rPr>
          <w:noProof/>
        </w:rPr>
        <w:t>Acordul prevede eliminarea tuturor barierelor fizice dintre teritoriul Uniunii și Gibraltar. Sistemul de intrare/ieșire al Uniunii ar trebui să fie implementat integral la toate frontierele externe ale spațiului Schengen până la 10 aprilie 2026. În cazul în care acordul nu intră în vigoare până la 10 aprilie 2026, ar trebui instituite controale depline la frontieră între Uniune și Gibraltar. Acest lucru va perturba semnificativ persoanele fizice, întreprinderile și alte părți interesate care își desfășoară activitatea în zonă și va contraveni scopului acordului, care este crearea unei zone de prosperitate comune. Astfel de perturbări pot fi limitate prin aplicarea cu titlu provizoriu a acordului.</w:t>
      </w:r>
    </w:p>
    <w:p w14:paraId="696166DA" w14:textId="3CD00A58" w:rsidR="00645A67" w:rsidRPr="00C952AC" w:rsidRDefault="00645A67" w:rsidP="00545EEC">
      <w:pPr>
        <w:pStyle w:val="ManualConsidrant"/>
        <w:rPr>
          <w:noProof/>
        </w:rPr>
      </w:pPr>
      <w:r>
        <w:rPr>
          <w:noProof/>
        </w:rPr>
        <w:t>(8)</w:t>
      </w:r>
      <w:r>
        <w:rPr>
          <w:noProof/>
        </w:rPr>
        <w:tab/>
      </w:r>
      <w:r w:rsidRPr="00C952AC">
        <w:rPr>
          <w:noProof/>
        </w:rPr>
        <w:t>Prin urmare, având în vedere situația excepțională a Regatului Unit în ceea ce privește Gibraltarul și urgența situației, sistemul de intrare/ieșire urmând să fie implementat integral la toate frontierele externe până la 10 aprilie 2026, acordul ar trebui să se aplice cu titlu provizoriu, pentru o perioadă scurtă, în conformitate cu articolul 336 din acord, până la finalizarea procedurilor necesare pentru intrarea sa în vigoare,</w:t>
      </w:r>
    </w:p>
    <w:p w14:paraId="58B3B068" w14:textId="77777777" w:rsidR="007F7122" w:rsidRPr="00C952AC" w:rsidRDefault="007F7122" w:rsidP="00534C2A">
      <w:pPr>
        <w:ind w:left="360"/>
        <w:rPr>
          <w:noProof/>
        </w:rPr>
      </w:pPr>
    </w:p>
    <w:p w14:paraId="00835F40" w14:textId="77777777" w:rsidR="00FF07FA" w:rsidRPr="00C952AC" w:rsidRDefault="00FF07FA" w:rsidP="00750C38">
      <w:pPr>
        <w:pStyle w:val="Formuledadoption"/>
        <w:rPr>
          <w:noProof/>
        </w:rPr>
      </w:pPr>
      <w:r w:rsidRPr="00C952AC">
        <w:rPr>
          <w:noProof/>
        </w:rPr>
        <w:t xml:space="preserve">ADOPTĂ PREZENTA DECIZIE: </w:t>
      </w:r>
    </w:p>
    <w:p w14:paraId="4AE9C914" w14:textId="77777777" w:rsidR="006D36B2" w:rsidRPr="00C952AC" w:rsidRDefault="006D36B2" w:rsidP="006D36B2">
      <w:pPr>
        <w:pStyle w:val="Titrearticle"/>
        <w:rPr>
          <w:noProof/>
        </w:rPr>
      </w:pPr>
      <w:r w:rsidRPr="00C952AC">
        <w:rPr>
          <w:noProof/>
        </w:rPr>
        <w:t>Articolul 1</w:t>
      </w:r>
    </w:p>
    <w:p w14:paraId="05D3F244" w14:textId="42F20842" w:rsidR="006D36B2" w:rsidRPr="00C952AC" w:rsidRDefault="006D36B2" w:rsidP="006D36B2">
      <w:pPr>
        <w:rPr>
          <w:noProof/>
          <w:sz w:val="16"/>
          <w:szCs w:val="16"/>
        </w:rPr>
      </w:pPr>
      <w:r w:rsidRPr="00C952AC">
        <w:rPr>
          <w:noProof/>
        </w:rPr>
        <w:t>Se aprobă încheierea de către Comisia Europeană, în numele Comunității Europene a Energiei Atomice, a Acordului cu privire la Gibraltar dintre Uniunea Europeană și Comunitatea</w:t>
      </w:r>
      <w:r w:rsidR="00500576">
        <w:rPr>
          <w:noProof/>
        </w:rPr>
        <w:t> </w:t>
      </w:r>
      <w:r w:rsidRPr="00C952AC">
        <w:rPr>
          <w:noProof/>
        </w:rPr>
        <w:t xml:space="preserve">Europeană a Energiei Atomice, pe de o parte, și Regatul Unit al Marii Britanii și Irlandei de Nord, pe de altă parte, inclusiv prevederile privind aplicarea provizorie, în ceea ce privește aspectele care intră sub incidența Tratatului de instituire a Comunității Europene a Energiei Atomice. </w:t>
      </w:r>
    </w:p>
    <w:p w14:paraId="2F01CC28" w14:textId="77777777" w:rsidR="006D36B2" w:rsidRPr="00C952AC" w:rsidRDefault="006D36B2" w:rsidP="006D36B2">
      <w:pPr>
        <w:rPr>
          <w:noProof/>
        </w:rPr>
      </w:pPr>
      <w:r w:rsidRPr="00C952AC">
        <w:rPr>
          <w:noProof/>
        </w:rPr>
        <w:t>Textul acordului este anexat la prezenta decizie.</w:t>
      </w:r>
    </w:p>
    <w:p w14:paraId="7301EFDF" w14:textId="77777777" w:rsidR="006D36B2" w:rsidRPr="00C952AC" w:rsidRDefault="006D36B2" w:rsidP="006D36B2">
      <w:pPr>
        <w:pStyle w:val="Titrearticle"/>
        <w:rPr>
          <w:noProof/>
        </w:rPr>
      </w:pPr>
      <w:r w:rsidRPr="00C952AC">
        <w:rPr>
          <w:noProof/>
        </w:rPr>
        <w:t>Articolul 2</w:t>
      </w:r>
    </w:p>
    <w:p w14:paraId="2C5C39F2" w14:textId="77777777" w:rsidR="006D36B2" w:rsidRPr="00C952AC" w:rsidRDefault="006D36B2" w:rsidP="006D36B2">
      <w:pPr>
        <w:rPr>
          <w:noProof/>
        </w:rPr>
      </w:pPr>
      <w:r w:rsidRPr="00C952AC">
        <w:rPr>
          <w:noProof/>
        </w:rPr>
        <w:t>Prezenta decizie se adresează Comisiei și intră în vigoare la data adoptării.</w:t>
      </w:r>
    </w:p>
    <w:p w14:paraId="6927BD2C" w14:textId="77777777" w:rsidR="006D36B2" w:rsidRPr="00C952AC" w:rsidRDefault="006D36B2" w:rsidP="006D36B2">
      <w:pPr>
        <w:keepLines/>
        <w:rPr>
          <w:noProof/>
        </w:rPr>
      </w:pPr>
    </w:p>
    <w:p w14:paraId="34912D08" w14:textId="793AD05E" w:rsidR="00FF07FA" w:rsidRPr="00C952AC" w:rsidRDefault="00C952AC" w:rsidP="003B1EAA">
      <w:pPr>
        <w:pStyle w:val="Fait"/>
        <w:rPr>
          <w:noProof/>
        </w:rPr>
      </w:pPr>
      <w:r>
        <w:rPr>
          <w:noProof/>
        </w:rPr>
        <w:t>Adoptată la Bruxelles,</w:t>
      </w:r>
    </w:p>
    <w:p w14:paraId="407962E6" w14:textId="77777777" w:rsidR="00FF07FA" w:rsidRPr="00C952AC" w:rsidRDefault="00FF07FA" w:rsidP="003B1EAA">
      <w:pPr>
        <w:pStyle w:val="Institutionquisigne"/>
        <w:rPr>
          <w:noProof/>
        </w:rPr>
      </w:pPr>
      <w:r w:rsidRPr="00C952AC">
        <w:rPr>
          <w:noProof/>
        </w:rPr>
        <w:tab/>
        <w:t>Pentru Consiliu</w:t>
      </w:r>
    </w:p>
    <w:p w14:paraId="0BD3E6FA" w14:textId="77777777" w:rsidR="00FF07FA" w:rsidRPr="00C952AC" w:rsidRDefault="00FF07FA" w:rsidP="00FF07FA">
      <w:pPr>
        <w:pStyle w:val="Personnequisigne"/>
        <w:rPr>
          <w:noProof/>
        </w:rPr>
      </w:pPr>
      <w:r w:rsidRPr="00C952AC">
        <w:rPr>
          <w:noProof/>
        </w:rPr>
        <w:tab/>
        <w:t>Președintele</w:t>
      </w:r>
    </w:p>
    <w:sectPr w:rsidR="00FF07FA" w:rsidRPr="00C952AC" w:rsidSect="0016687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03393" w14:textId="77777777" w:rsidR="008C6EB8" w:rsidRDefault="008C6EB8" w:rsidP="00FF07FA">
      <w:pPr>
        <w:spacing w:before="0" w:after="0"/>
      </w:pPr>
      <w:r>
        <w:separator/>
      </w:r>
    </w:p>
  </w:endnote>
  <w:endnote w:type="continuationSeparator" w:id="0">
    <w:p w14:paraId="492A5B67" w14:textId="77777777" w:rsidR="008C6EB8" w:rsidRDefault="008C6EB8" w:rsidP="00FF07F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A4051" w14:textId="1494941F" w:rsidR="0016687C" w:rsidRPr="0016687C" w:rsidRDefault="0016687C" w:rsidP="0016687C">
    <w:pPr>
      <w:pStyle w:val="Footer"/>
      <w:rPr>
        <w:rFonts w:ascii="Arial" w:hAnsi="Arial" w:cs="Arial"/>
        <w:b/>
        <w:sz w:val="48"/>
      </w:rPr>
    </w:pPr>
    <w:r w:rsidRPr="0016687C">
      <w:rPr>
        <w:rFonts w:ascii="Arial" w:hAnsi="Arial" w:cs="Arial"/>
        <w:b/>
        <w:sz w:val="48"/>
      </w:rPr>
      <w:t>RO</w:t>
    </w:r>
    <w:r w:rsidRPr="0016687C">
      <w:rPr>
        <w:rFonts w:ascii="Arial" w:hAnsi="Arial" w:cs="Arial"/>
        <w:b/>
        <w:sz w:val="48"/>
      </w:rPr>
      <w:tab/>
    </w:r>
    <w:r w:rsidRPr="0016687C">
      <w:rPr>
        <w:rFonts w:ascii="Arial" w:hAnsi="Arial" w:cs="Arial"/>
        <w:b/>
        <w:sz w:val="48"/>
      </w:rPr>
      <w:tab/>
    </w:r>
    <w:r w:rsidRPr="0016687C">
      <w:tab/>
    </w:r>
    <w:r w:rsidRPr="0016687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38494" w14:textId="4899E5FB" w:rsidR="0016687C" w:rsidRPr="0016687C" w:rsidRDefault="0016687C" w:rsidP="0016687C">
    <w:pPr>
      <w:pStyle w:val="Footer"/>
      <w:rPr>
        <w:rFonts w:ascii="Arial" w:hAnsi="Arial" w:cs="Arial"/>
        <w:b/>
        <w:sz w:val="48"/>
      </w:rPr>
    </w:pPr>
    <w:r w:rsidRPr="0016687C">
      <w:rPr>
        <w:rFonts w:ascii="Arial" w:hAnsi="Arial" w:cs="Arial"/>
        <w:b/>
        <w:sz w:val="48"/>
      </w:rPr>
      <w:t>RO</w:t>
    </w:r>
    <w:r w:rsidRPr="0016687C">
      <w:rPr>
        <w:rFonts w:ascii="Arial" w:hAnsi="Arial" w:cs="Arial"/>
        <w:b/>
        <w:sz w:val="48"/>
      </w:rPr>
      <w:tab/>
    </w:r>
    <w:r w:rsidRPr="0016687C">
      <w:rPr>
        <w:rFonts w:ascii="Arial" w:hAnsi="Arial" w:cs="Arial"/>
        <w:b/>
        <w:sz w:val="48"/>
      </w:rPr>
      <w:tab/>
    </w:r>
    <w:r w:rsidRPr="0016687C">
      <w:tab/>
    </w:r>
    <w:r w:rsidRPr="0016687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B04E4" w14:textId="77777777" w:rsidR="0016687C" w:rsidRPr="0016687C" w:rsidRDefault="0016687C" w:rsidP="00166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BC364" w14:textId="77777777" w:rsidR="0016687C" w:rsidRDefault="001668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154CD" w14:textId="35A17314" w:rsidR="0016687C" w:rsidRPr="0016687C" w:rsidRDefault="0016687C" w:rsidP="0016687C">
    <w:pPr>
      <w:pStyle w:val="Footer"/>
      <w:rPr>
        <w:rFonts w:ascii="Arial" w:hAnsi="Arial" w:cs="Arial"/>
        <w:b/>
        <w:sz w:val="48"/>
      </w:rPr>
    </w:pPr>
    <w:r w:rsidRPr="0016687C">
      <w:rPr>
        <w:rFonts w:ascii="Arial" w:hAnsi="Arial" w:cs="Arial"/>
        <w:b/>
        <w:sz w:val="48"/>
      </w:rPr>
      <w:t>RO</w:t>
    </w:r>
    <w:r w:rsidRPr="0016687C">
      <w:rPr>
        <w:rFonts w:ascii="Arial" w:hAnsi="Arial" w:cs="Arial"/>
        <w:b/>
        <w:sz w:val="48"/>
      </w:rPr>
      <w:tab/>
    </w:r>
    <w:r>
      <w:fldChar w:fldCharType="begin"/>
    </w:r>
    <w:r>
      <w:instrText xml:space="preserve"> PAGE  \* MERGEFORMAT </w:instrText>
    </w:r>
    <w:r>
      <w:fldChar w:fldCharType="separate"/>
    </w:r>
    <w:r w:rsidR="003B1EAA">
      <w:rPr>
        <w:noProof/>
      </w:rPr>
      <w:t>5</w:t>
    </w:r>
    <w:r>
      <w:fldChar w:fldCharType="end"/>
    </w:r>
    <w:r>
      <w:tab/>
    </w:r>
    <w:r w:rsidRPr="0016687C">
      <w:tab/>
    </w:r>
    <w:r w:rsidRPr="0016687C">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01C45" w14:textId="77777777" w:rsidR="0016687C" w:rsidRDefault="0016687C" w:rsidP="001668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E1D27E" w14:textId="77777777" w:rsidR="008C6EB8" w:rsidRDefault="008C6EB8" w:rsidP="00FF07FA">
      <w:pPr>
        <w:spacing w:before="0" w:after="0"/>
      </w:pPr>
      <w:r>
        <w:separator/>
      </w:r>
    </w:p>
  </w:footnote>
  <w:footnote w:type="continuationSeparator" w:id="0">
    <w:p w14:paraId="24A5089A" w14:textId="77777777" w:rsidR="008C6EB8" w:rsidRDefault="008C6EB8" w:rsidP="00FF07FA">
      <w:pPr>
        <w:spacing w:before="0" w:after="0"/>
      </w:pPr>
      <w:r>
        <w:continuationSeparator/>
      </w:r>
    </w:p>
  </w:footnote>
  <w:footnote w:id="1">
    <w:p w14:paraId="40D27847" w14:textId="7AC647C3" w:rsidR="00F77ADD" w:rsidRPr="00026321" w:rsidRDefault="00F77ADD" w:rsidP="00F77ADD">
      <w:pPr>
        <w:pStyle w:val="Text2"/>
        <w:ind w:left="0"/>
        <w:rPr>
          <w:sz w:val="20"/>
          <w:szCs w:val="20"/>
        </w:rPr>
      </w:pPr>
      <w:r>
        <w:rPr>
          <w:rStyle w:val="FootnoteReference"/>
        </w:rPr>
        <w:footnoteRef/>
      </w:r>
      <w:r>
        <w:tab/>
      </w:r>
      <w:r>
        <w:rPr>
          <w:sz w:val="20"/>
        </w:rPr>
        <w:t xml:space="preserve">Decizia (UE, Euratom) 2020/266 a Consiliului de autorizare a începerii negocierilor cu Regatul Unit al Marii Britanii și Irlandei de Nord pentru un nou acord de parteneriat (JO L 58, 27.2.2020, p. 53). </w:t>
      </w:r>
    </w:p>
  </w:footnote>
  <w:footnote w:id="2">
    <w:p w14:paraId="655D1B8D" w14:textId="7E58B2B9" w:rsidR="00F77ADD" w:rsidRPr="00026321" w:rsidRDefault="00F77ADD" w:rsidP="00F77ADD">
      <w:pPr>
        <w:pStyle w:val="FootnoteText"/>
      </w:pPr>
      <w:r>
        <w:rPr>
          <w:rStyle w:val="FootnoteReference"/>
        </w:rPr>
        <w:footnoteRef/>
      </w:r>
      <w:r>
        <w:tab/>
        <w:t>EUCO XT 20017/18.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5E1A6" w14:textId="77777777" w:rsidR="0016687C" w:rsidRPr="0016687C" w:rsidRDefault="0016687C" w:rsidP="001668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8698F" w14:textId="77777777" w:rsidR="0016687C" w:rsidRPr="0016687C" w:rsidRDefault="0016687C" w:rsidP="001668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F8AC3" w14:textId="77777777" w:rsidR="0016687C" w:rsidRPr="0016687C" w:rsidRDefault="0016687C" w:rsidP="001668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22070" w14:textId="77777777" w:rsidR="0016687C" w:rsidRDefault="001668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9F054" w14:textId="77777777" w:rsidR="0016687C" w:rsidRDefault="001668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6CCB1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32002E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3CE4B3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17245F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6 08:26: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ED65829-DC91-4349-A87E-31B12FC9FCEA"/>
    <w:docVar w:name="LW_COVERPAGE_TYPE" w:val="1"/>
    <w:docVar w:name="LW_CreatedUtc" w:val="2026-01-30T15:02:36.8757689Z"/>
    <w:docVar w:name="LW_CROSSREFERENCE" w:val="&lt;UNUSED&gt;"/>
    <w:docVar w:name="LW_DocType" w:val="COM"/>
    <w:docVar w:name="LW_EMISSION" w:val="17.2.2026"/>
    <w:docVar w:name="LW_EMISSION_ISODATE" w:val="2026-02-17"/>
    <w:docVar w:name="LW_EMISSION_LOCATION" w:val="BRX"/>
    <w:docVar w:name="LW_EMISSION_PREFIX" w:val="Bruxelle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9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probare a încheierii, de c\u259?tre Comisia European\u259?, a Acordului cu privire la Gibraltar dintre Uniunea European\u259? \u537?i Comunitatea European\u259? a Energiei Atomice, pe de o parte, \u537?i Regatul Unit al Marii Britanii \u537?i Irlandei de Nord, pe de alt\u259? parte"/>
    <w:docVar w:name="LW_TYPE.DOC.CP" w:val="DECIZIE A CONSILIULUI"/>
    <w:docVar w:name="LwApiVersions" w:val="LW4CoDe 1.24.5.0; LW 9.2, Build 20251112"/>
  </w:docVars>
  <w:rsids>
    <w:rsidRoot w:val="00FF07FA"/>
    <w:rsid w:val="000564A2"/>
    <w:rsid w:val="00057F8F"/>
    <w:rsid w:val="00065814"/>
    <w:rsid w:val="0006771C"/>
    <w:rsid w:val="000716F5"/>
    <w:rsid w:val="000775DC"/>
    <w:rsid w:val="000846B1"/>
    <w:rsid w:val="000C6B67"/>
    <w:rsid w:val="000D61F3"/>
    <w:rsid w:val="000F66BF"/>
    <w:rsid w:val="001004D0"/>
    <w:rsid w:val="001065F5"/>
    <w:rsid w:val="00121260"/>
    <w:rsid w:val="001238EF"/>
    <w:rsid w:val="00123969"/>
    <w:rsid w:val="0016687C"/>
    <w:rsid w:val="00197613"/>
    <w:rsid w:val="001C4F57"/>
    <w:rsid w:val="00231CAD"/>
    <w:rsid w:val="00233DC7"/>
    <w:rsid w:val="00247779"/>
    <w:rsid w:val="0026714E"/>
    <w:rsid w:val="002826C2"/>
    <w:rsid w:val="00285BEE"/>
    <w:rsid w:val="0029177C"/>
    <w:rsid w:val="002918AF"/>
    <w:rsid w:val="0029533F"/>
    <w:rsid w:val="002B0866"/>
    <w:rsid w:val="002B30AF"/>
    <w:rsid w:val="002C23CF"/>
    <w:rsid w:val="002D0A42"/>
    <w:rsid w:val="003225D5"/>
    <w:rsid w:val="00323B87"/>
    <w:rsid w:val="00326703"/>
    <w:rsid w:val="0032693C"/>
    <w:rsid w:val="0033344A"/>
    <w:rsid w:val="00340E01"/>
    <w:rsid w:val="00384CD2"/>
    <w:rsid w:val="003B1EAA"/>
    <w:rsid w:val="003B7158"/>
    <w:rsid w:val="003B756F"/>
    <w:rsid w:val="003C2619"/>
    <w:rsid w:val="003E19EC"/>
    <w:rsid w:val="003F099C"/>
    <w:rsid w:val="0042648E"/>
    <w:rsid w:val="00447FEB"/>
    <w:rsid w:val="00473D05"/>
    <w:rsid w:val="00485BF7"/>
    <w:rsid w:val="00486248"/>
    <w:rsid w:val="004936D2"/>
    <w:rsid w:val="004A79BD"/>
    <w:rsid w:val="004F6B0C"/>
    <w:rsid w:val="00500576"/>
    <w:rsid w:val="005160A0"/>
    <w:rsid w:val="00534C2A"/>
    <w:rsid w:val="005434F1"/>
    <w:rsid w:val="00545EEC"/>
    <w:rsid w:val="005474A7"/>
    <w:rsid w:val="00563907"/>
    <w:rsid w:val="0056449F"/>
    <w:rsid w:val="0056614A"/>
    <w:rsid w:val="005665D9"/>
    <w:rsid w:val="005668DF"/>
    <w:rsid w:val="005A794F"/>
    <w:rsid w:val="005B1EB6"/>
    <w:rsid w:val="005D1F90"/>
    <w:rsid w:val="005E00DE"/>
    <w:rsid w:val="005E7E37"/>
    <w:rsid w:val="00606F48"/>
    <w:rsid w:val="00634218"/>
    <w:rsid w:val="0063478A"/>
    <w:rsid w:val="00645A67"/>
    <w:rsid w:val="006507C8"/>
    <w:rsid w:val="0065318E"/>
    <w:rsid w:val="00660BB8"/>
    <w:rsid w:val="006819B2"/>
    <w:rsid w:val="006A4526"/>
    <w:rsid w:val="006A7D1C"/>
    <w:rsid w:val="006D36B2"/>
    <w:rsid w:val="006D46B0"/>
    <w:rsid w:val="006D60B5"/>
    <w:rsid w:val="006F0056"/>
    <w:rsid w:val="006F69DC"/>
    <w:rsid w:val="006F6D96"/>
    <w:rsid w:val="007071AB"/>
    <w:rsid w:val="00721805"/>
    <w:rsid w:val="00722D88"/>
    <w:rsid w:val="0074609F"/>
    <w:rsid w:val="00773331"/>
    <w:rsid w:val="0078246B"/>
    <w:rsid w:val="007932EF"/>
    <w:rsid w:val="007A1A07"/>
    <w:rsid w:val="007A7586"/>
    <w:rsid w:val="007B672D"/>
    <w:rsid w:val="007C1058"/>
    <w:rsid w:val="007D0C65"/>
    <w:rsid w:val="007D31FE"/>
    <w:rsid w:val="007E05B0"/>
    <w:rsid w:val="007F7122"/>
    <w:rsid w:val="00842D5D"/>
    <w:rsid w:val="008479E0"/>
    <w:rsid w:val="00847C53"/>
    <w:rsid w:val="00865F45"/>
    <w:rsid w:val="00874D22"/>
    <w:rsid w:val="008A2914"/>
    <w:rsid w:val="008B25F6"/>
    <w:rsid w:val="008B27C1"/>
    <w:rsid w:val="008C6EB8"/>
    <w:rsid w:val="008D068F"/>
    <w:rsid w:val="008D0A99"/>
    <w:rsid w:val="008E4D8E"/>
    <w:rsid w:val="00912493"/>
    <w:rsid w:val="00932541"/>
    <w:rsid w:val="00941F6F"/>
    <w:rsid w:val="00945D32"/>
    <w:rsid w:val="00964A07"/>
    <w:rsid w:val="009B1EC0"/>
    <w:rsid w:val="009C0A64"/>
    <w:rsid w:val="009D054C"/>
    <w:rsid w:val="009D3BA9"/>
    <w:rsid w:val="009E40C8"/>
    <w:rsid w:val="009E4395"/>
    <w:rsid w:val="009F49EC"/>
    <w:rsid w:val="00A04C72"/>
    <w:rsid w:val="00A155E2"/>
    <w:rsid w:val="00A26890"/>
    <w:rsid w:val="00A559CC"/>
    <w:rsid w:val="00AC602B"/>
    <w:rsid w:val="00AC700F"/>
    <w:rsid w:val="00AD1867"/>
    <w:rsid w:val="00AE285B"/>
    <w:rsid w:val="00AF4EEA"/>
    <w:rsid w:val="00B34A09"/>
    <w:rsid w:val="00B415C9"/>
    <w:rsid w:val="00B4221D"/>
    <w:rsid w:val="00B92C9F"/>
    <w:rsid w:val="00BA51BE"/>
    <w:rsid w:val="00BA54AA"/>
    <w:rsid w:val="00BB4127"/>
    <w:rsid w:val="00BC1E38"/>
    <w:rsid w:val="00BD16A2"/>
    <w:rsid w:val="00C10B9C"/>
    <w:rsid w:val="00C12301"/>
    <w:rsid w:val="00C60242"/>
    <w:rsid w:val="00C904FC"/>
    <w:rsid w:val="00C952AC"/>
    <w:rsid w:val="00CB4A20"/>
    <w:rsid w:val="00CD01E4"/>
    <w:rsid w:val="00CD73F7"/>
    <w:rsid w:val="00CE7EF9"/>
    <w:rsid w:val="00CF5B56"/>
    <w:rsid w:val="00D17909"/>
    <w:rsid w:val="00D20381"/>
    <w:rsid w:val="00D21E43"/>
    <w:rsid w:val="00DA7A19"/>
    <w:rsid w:val="00DB1F36"/>
    <w:rsid w:val="00DB3B71"/>
    <w:rsid w:val="00DB7D13"/>
    <w:rsid w:val="00DC078B"/>
    <w:rsid w:val="00DF4DC7"/>
    <w:rsid w:val="00E00428"/>
    <w:rsid w:val="00E02047"/>
    <w:rsid w:val="00E33780"/>
    <w:rsid w:val="00E41DF1"/>
    <w:rsid w:val="00E62671"/>
    <w:rsid w:val="00E664ED"/>
    <w:rsid w:val="00E87D45"/>
    <w:rsid w:val="00EA3ED4"/>
    <w:rsid w:val="00EF5A38"/>
    <w:rsid w:val="00F02584"/>
    <w:rsid w:val="00F12921"/>
    <w:rsid w:val="00F165DF"/>
    <w:rsid w:val="00F77ADD"/>
    <w:rsid w:val="00F803C2"/>
    <w:rsid w:val="00FA461B"/>
    <w:rsid w:val="00FB3255"/>
    <w:rsid w:val="00FC38F8"/>
    <w:rsid w:val="00FD0E9F"/>
    <w:rsid w:val="00FD5445"/>
    <w:rsid w:val="00FE5876"/>
    <w:rsid w:val="00FF07FA"/>
    <w:rsid w:val="00FF3657"/>
    <w:rsid w:val="00FF3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197989"/>
  <w15:docId w15:val="{6024DAA1-9C4F-4A7C-BC5D-958FEDE78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DB7D13"/>
    <w:pPr>
      <w:numPr>
        <w:numId w:val="1"/>
      </w:numPr>
      <w:contextualSpacing/>
    </w:pPr>
  </w:style>
  <w:style w:type="paragraph" w:styleId="ListBullet2">
    <w:name w:val="List Bullet 2"/>
    <w:basedOn w:val="Normal"/>
    <w:uiPriority w:val="99"/>
    <w:semiHidden/>
    <w:unhideWhenUsed/>
    <w:rsid w:val="00DB7D13"/>
    <w:pPr>
      <w:numPr>
        <w:numId w:val="2"/>
      </w:numPr>
      <w:contextualSpacing/>
    </w:pPr>
  </w:style>
  <w:style w:type="paragraph" w:styleId="ListBullet3">
    <w:name w:val="List Bullet 3"/>
    <w:basedOn w:val="Normal"/>
    <w:uiPriority w:val="99"/>
    <w:semiHidden/>
    <w:unhideWhenUsed/>
    <w:rsid w:val="00DB7D13"/>
    <w:pPr>
      <w:numPr>
        <w:numId w:val="3"/>
      </w:numPr>
      <w:contextualSpacing/>
    </w:pPr>
  </w:style>
  <w:style w:type="paragraph" w:styleId="ListBullet4">
    <w:name w:val="List Bullet 4"/>
    <w:basedOn w:val="Normal"/>
    <w:uiPriority w:val="99"/>
    <w:semiHidden/>
    <w:unhideWhenUsed/>
    <w:rsid w:val="00DB7D13"/>
    <w:pPr>
      <w:numPr>
        <w:numId w:val="4"/>
      </w:numPr>
      <w:contextualSpacing/>
    </w:p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F77ADD"/>
    <w:pPr>
      <w:spacing w:before="0" w:after="160" w:line="240" w:lineRule="exact"/>
      <w:jc w:val="left"/>
    </w:pPr>
    <w:rPr>
      <w:rFonts w:asciiTheme="minorHAnsi" w:hAnsiTheme="minorHAnsi" w:cstheme="minorBidi"/>
      <w:sz w:val="22"/>
      <w:vertAlign w:val="superscript"/>
    </w:rPr>
  </w:style>
  <w:style w:type="paragraph" w:styleId="ListParagraph">
    <w:name w:val="List Paragraph"/>
    <w:basedOn w:val="Normal"/>
    <w:uiPriority w:val="34"/>
    <w:qFormat/>
    <w:rsid w:val="007F7122"/>
    <w:pPr>
      <w:ind w:left="720"/>
      <w:contextualSpacing/>
    </w:pPr>
  </w:style>
  <w:style w:type="paragraph" w:styleId="Revision">
    <w:name w:val="Revision"/>
    <w:hidden/>
    <w:uiPriority w:val="99"/>
    <w:semiHidden/>
    <w:rsid w:val="008479E0"/>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634218"/>
    <w:rPr>
      <w:sz w:val="16"/>
      <w:szCs w:val="16"/>
    </w:rPr>
  </w:style>
  <w:style w:type="paragraph" w:styleId="CommentText">
    <w:name w:val="annotation text"/>
    <w:basedOn w:val="Normal"/>
    <w:link w:val="CommentTextChar"/>
    <w:uiPriority w:val="99"/>
    <w:unhideWhenUsed/>
    <w:rsid w:val="00634218"/>
    <w:rPr>
      <w:sz w:val="20"/>
      <w:szCs w:val="20"/>
    </w:rPr>
  </w:style>
  <w:style w:type="character" w:customStyle="1" w:styleId="CommentTextChar">
    <w:name w:val="Comment Text Char"/>
    <w:basedOn w:val="DefaultParagraphFont"/>
    <w:link w:val="CommentText"/>
    <w:uiPriority w:val="99"/>
    <w:rsid w:val="0063421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34218"/>
    <w:rPr>
      <w:b/>
      <w:bCs/>
    </w:rPr>
  </w:style>
  <w:style w:type="character" w:customStyle="1" w:styleId="CommentSubjectChar">
    <w:name w:val="Comment Subject Char"/>
    <w:basedOn w:val="CommentTextChar"/>
    <w:link w:val="CommentSubject"/>
    <w:uiPriority w:val="99"/>
    <w:semiHidden/>
    <w:rsid w:val="00634218"/>
    <w:rPr>
      <w:rFonts w:ascii="Times New Roman" w:hAnsi="Times New Roman" w:cs="Times New Roman"/>
      <w:b/>
      <w:bCs/>
      <w:sz w:val="20"/>
      <w:szCs w:val="20"/>
      <w:lang w:val="ro-RO"/>
    </w:rPr>
  </w:style>
  <w:style w:type="character" w:styleId="Hyperlink">
    <w:name w:val="Hyperlink"/>
    <w:basedOn w:val="DefaultParagraphFont"/>
    <w:uiPriority w:val="99"/>
    <w:unhideWhenUsed/>
    <w:rsid w:val="005A794F"/>
    <w:rPr>
      <w:color w:val="0000FF" w:themeColor="hyperlink"/>
      <w:u w:val="single"/>
    </w:rPr>
  </w:style>
  <w:style w:type="character" w:customStyle="1" w:styleId="UnresolvedMention">
    <w:name w:val="Unresolved Mention"/>
    <w:basedOn w:val="DefaultParagraphFont"/>
    <w:uiPriority w:val="99"/>
    <w:semiHidden/>
    <w:unhideWhenUsed/>
    <w:rsid w:val="006819B2"/>
    <w:rPr>
      <w:color w:val="605E5C"/>
      <w:shd w:val="clear" w:color="auto" w:fill="E1DFDD"/>
    </w:rPr>
  </w:style>
  <w:style w:type="character" w:customStyle="1" w:styleId="HeaderChar">
    <w:name w:val="Header Char"/>
    <w:basedOn w:val="DefaultParagraphFont"/>
    <w:link w:val="Header"/>
    <w:uiPriority w:val="99"/>
    <w:rsid w:val="0016687C"/>
    <w:rPr>
      <w:rFonts w:ascii="Times New Roman" w:hAnsi="Times New Roman" w:cs="Times New Roman"/>
      <w:sz w:val="24"/>
      <w:lang w:val="ro-RO"/>
    </w:rPr>
  </w:style>
  <w:style w:type="character" w:customStyle="1" w:styleId="FooterChar">
    <w:name w:val="Footer Char"/>
    <w:basedOn w:val="DefaultParagraphFont"/>
    <w:link w:val="Footer"/>
    <w:uiPriority w:val="99"/>
    <w:rsid w:val="0016687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16687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6687C"/>
    <w:pPr>
      <w:spacing w:before="0"/>
      <w:jc w:val="right"/>
    </w:pPr>
    <w:rPr>
      <w:sz w:val="28"/>
    </w:rPr>
  </w:style>
  <w:style w:type="paragraph" w:customStyle="1" w:styleId="FooterSensitivity">
    <w:name w:val="Footer Sensitivity"/>
    <w:basedOn w:val="Normal"/>
    <w:rsid w:val="0016687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6687C"/>
    <w:pPr>
      <w:tabs>
        <w:tab w:val="center" w:pos="4535"/>
        <w:tab w:val="right" w:pos="9071"/>
      </w:tabs>
      <w:spacing w:before="0"/>
    </w:pPr>
  </w:style>
  <w:style w:type="paragraph" w:customStyle="1" w:styleId="HeaderLandscape">
    <w:name w:val="HeaderLandscape"/>
    <w:basedOn w:val="Normal"/>
    <w:rsid w:val="0016687C"/>
    <w:pPr>
      <w:tabs>
        <w:tab w:val="center" w:pos="7285"/>
        <w:tab w:val="right" w:pos="14003"/>
      </w:tabs>
      <w:spacing w:before="0"/>
    </w:pPr>
  </w:style>
  <w:style w:type="paragraph" w:styleId="Footer">
    <w:name w:val="footer"/>
    <w:basedOn w:val="Normal"/>
    <w:link w:val="FooterChar"/>
    <w:uiPriority w:val="99"/>
    <w:unhideWhenUsed/>
    <w:rsid w:val="0016687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6687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92C60-9370-4449-BD32-110F752B5820}">
  <ds:schemaRefs>
    <ds:schemaRef ds:uri="http://schemas.microsoft.com/sharepoint/v3/contenttype/forms"/>
  </ds:schemaRefs>
</ds:datastoreItem>
</file>

<file path=customXml/itemProps2.xml><?xml version="1.0" encoding="utf-8"?>
<ds:datastoreItem xmlns:ds="http://schemas.openxmlformats.org/officeDocument/2006/customXml" ds:itemID="{3236B92D-E290-4C0C-B02D-5437B37D3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5F9BD5-5A1B-4FF7-B1FD-FBAA425B7EC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D4571EC-8311-4F2E-9308-E0F7CDBBD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TotalTime>
  <Pages>6</Pages>
  <Words>1771</Words>
  <Characters>10096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dcterms:created xsi:type="dcterms:W3CDTF">2026-02-12T11:26:00Z</dcterms:created>
  <dcterms:modified xsi:type="dcterms:W3CDTF">2026-03-16T07:26:00Z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2026-01-30T15:02:53Z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a9e15aea-1fc8-4951-bd78-93506b8cf8b6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