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99E6B" w14:textId="50F52281" w:rsidR="00E86113" w:rsidRPr="001D16EB" w:rsidRDefault="003E3F98" w:rsidP="003E3F98">
      <w:pPr>
        <w:pStyle w:val="Pagedecouverture"/>
        <w:rPr>
          <w:noProof/>
        </w:rPr>
      </w:pPr>
      <w:r>
        <w:rPr>
          <w:noProof/>
        </w:rPr>
        <w:pict w14:anchorId="7DE662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4DD9E4-66E3-4DFC-8370-944E884095DD" style="width:455.25pt;height:424.5pt">
            <v:imagedata r:id="rId8" o:title=""/>
          </v:shape>
        </w:pict>
      </w:r>
    </w:p>
    <w:p w14:paraId="3C2F3CF2" w14:textId="77777777" w:rsidR="00E86113" w:rsidRPr="001D16EB" w:rsidRDefault="00E86113" w:rsidP="00E86113">
      <w:pPr>
        <w:rPr>
          <w:noProof/>
        </w:rPr>
        <w:sectPr w:rsidR="00E86113" w:rsidRPr="001D16EB" w:rsidSect="003E3F9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B41F417" w14:textId="4B6EDB06" w:rsidR="00E86113" w:rsidRPr="001D16EB" w:rsidRDefault="00E86113" w:rsidP="00E86113">
      <w:pPr>
        <w:pStyle w:val="Annexetitre"/>
        <w:rPr>
          <w:noProof/>
        </w:rPr>
      </w:pPr>
      <w:bookmarkStart w:id="0" w:name="_GoBack"/>
      <w:bookmarkEnd w:id="0"/>
      <w:r w:rsidRPr="001D16EB">
        <w:rPr>
          <w:noProof/>
        </w:rPr>
        <w:lastRenderedPageBreak/>
        <w:t>ANNEX</w:t>
      </w:r>
    </w:p>
    <w:p w14:paraId="37F165CC" w14:textId="77777777" w:rsidR="008A3216" w:rsidRPr="001D16EB" w:rsidRDefault="008A3216" w:rsidP="008A3216">
      <w:pPr>
        <w:pStyle w:val="Titrearticle"/>
        <w:jc w:val="both"/>
        <w:rPr>
          <w:b/>
          <w:i w:val="0"/>
          <w:noProof/>
          <w:u w:val="single"/>
        </w:rPr>
      </w:pPr>
      <w:r w:rsidRPr="001D16EB">
        <w:rPr>
          <w:b/>
          <w:i w:val="0"/>
          <w:noProof/>
          <w:u w:val="single"/>
        </w:rPr>
        <w:t>Negotiating directives</w:t>
      </w:r>
    </w:p>
    <w:p w14:paraId="42DB0E1D" w14:textId="3D1D9C4A" w:rsidR="008A3216" w:rsidRPr="001D16EB" w:rsidRDefault="008A3216" w:rsidP="0021361E">
      <w:pPr>
        <w:pStyle w:val="Tiret0"/>
        <w:numPr>
          <w:ilvl w:val="0"/>
          <w:numId w:val="1"/>
        </w:numPr>
        <w:rPr>
          <w:noProof/>
        </w:rPr>
      </w:pPr>
      <w:bookmarkStart w:id="1" w:name="_Hlk220055360"/>
      <w:r w:rsidRPr="001D16EB">
        <w:rPr>
          <w:noProof/>
        </w:rPr>
        <w:t xml:space="preserve">The objective of the negotiations is the </w:t>
      </w:r>
      <w:r w:rsidR="00A0733F">
        <w:rPr>
          <w:noProof/>
        </w:rPr>
        <w:t xml:space="preserve">signature and </w:t>
      </w:r>
      <w:r w:rsidRPr="001D16EB">
        <w:rPr>
          <w:noProof/>
        </w:rPr>
        <w:t>conclusion of a</w:t>
      </w:r>
      <w:r w:rsidR="00721E8B" w:rsidRPr="001D16EB">
        <w:rPr>
          <w:noProof/>
        </w:rPr>
        <w:t xml:space="preserve"> </w:t>
      </w:r>
      <w:r w:rsidRPr="001D16EB">
        <w:rPr>
          <w:noProof/>
        </w:rPr>
        <w:t>n</w:t>
      </w:r>
      <w:r w:rsidR="00721E8B" w:rsidRPr="001D16EB">
        <w:rPr>
          <w:noProof/>
        </w:rPr>
        <w:t>ew</w:t>
      </w:r>
      <w:r w:rsidR="00BE1852" w:rsidRPr="001D16EB">
        <w:rPr>
          <w:noProof/>
        </w:rPr>
        <w:t xml:space="preserve"> Sustainable Fisheries Partnership Agreement (SFPA) </w:t>
      </w:r>
      <w:r w:rsidR="00B61BB8" w:rsidRPr="001D16EB">
        <w:rPr>
          <w:noProof/>
        </w:rPr>
        <w:t xml:space="preserve">between the European Union and Mauritius and a </w:t>
      </w:r>
      <w:r w:rsidR="00677EA7">
        <w:rPr>
          <w:noProof/>
        </w:rPr>
        <w:t>P</w:t>
      </w:r>
      <w:r w:rsidR="00B61BB8" w:rsidRPr="001D16EB">
        <w:rPr>
          <w:noProof/>
        </w:rPr>
        <w:t xml:space="preserve">rotocol for the implementation of </w:t>
      </w:r>
      <w:r w:rsidR="00B61BB8">
        <w:rPr>
          <w:noProof/>
        </w:rPr>
        <w:t xml:space="preserve">that SFPA (Implementing Protocol) </w:t>
      </w:r>
      <w:r w:rsidRPr="001D16EB">
        <w:rPr>
          <w:noProof/>
        </w:rPr>
        <w:t xml:space="preserve">in accordance </w:t>
      </w:r>
      <w:r w:rsidR="002C3E6D" w:rsidRPr="001D16EB">
        <w:rPr>
          <w:noProof/>
        </w:rPr>
        <w:t xml:space="preserve">with </w:t>
      </w:r>
      <w:r w:rsidRPr="001D16EB">
        <w:rPr>
          <w:noProof/>
        </w:rPr>
        <w:t>Articles</w:t>
      </w:r>
      <w:r w:rsidR="00B61BB8">
        <w:rPr>
          <w:noProof/>
        </w:rPr>
        <w:t> </w:t>
      </w:r>
      <w:r w:rsidRPr="001D16EB">
        <w:rPr>
          <w:noProof/>
        </w:rPr>
        <w:t>28, 31 and 32 of Regulation (EU) No</w:t>
      </w:r>
      <w:r w:rsidR="001D16EB">
        <w:rPr>
          <w:noProof/>
        </w:rPr>
        <w:t> </w:t>
      </w:r>
      <w:r w:rsidRPr="001D16EB">
        <w:rPr>
          <w:noProof/>
        </w:rPr>
        <w:t>1380/2013 on the Common Fisheries Policy</w:t>
      </w:r>
      <w:r w:rsidRPr="001D16EB">
        <w:rPr>
          <w:rStyle w:val="FootnoteReference"/>
          <w:noProof/>
        </w:rPr>
        <w:footnoteReference w:id="1"/>
      </w:r>
      <w:r w:rsidRPr="001D16EB">
        <w:rPr>
          <w:noProof/>
        </w:rPr>
        <w:t xml:space="preserve"> and with the Council Conclusions of 19</w:t>
      </w:r>
      <w:r w:rsidR="001D16EB">
        <w:rPr>
          <w:noProof/>
        </w:rPr>
        <w:t> </w:t>
      </w:r>
      <w:r w:rsidRPr="001D16EB">
        <w:rPr>
          <w:noProof/>
        </w:rPr>
        <w:t>Marc</w:t>
      </w:r>
      <w:r w:rsidR="00363868" w:rsidRPr="001D16EB">
        <w:rPr>
          <w:noProof/>
        </w:rPr>
        <w:t xml:space="preserve">h </w:t>
      </w:r>
      <w:r w:rsidRPr="001D16EB">
        <w:rPr>
          <w:noProof/>
        </w:rPr>
        <w:t>2012 on the Commission Communication of 13</w:t>
      </w:r>
      <w:r w:rsidR="00B61BB8">
        <w:rPr>
          <w:noProof/>
        </w:rPr>
        <w:t> </w:t>
      </w:r>
      <w:r w:rsidRPr="001D16EB">
        <w:rPr>
          <w:noProof/>
        </w:rPr>
        <w:t>July 2011 on the external dimension of the Common Fisheries Policy.</w:t>
      </w:r>
    </w:p>
    <w:bookmarkEnd w:id="1"/>
    <w:p w14:paraId="68B9418E" w14:textId="6A370306" w:rsidR="008A3216" w:rsidRPr="001D16EB" w:rsidRDefault="008A3216" w:rsidP="0021361E">
      <w:pPr>
        <w:pStyle w:val="Tiret0"/>
        <w:numPr>
          <w:ilvl w:val="0"/>
          <w:numId w:val="1"/>
        </w:numPr>
        <w:rPr>
          <w:noProof/>
        </w:rPr>
      </w:pPr>
      <w:r w:rsidRPr="001D16EB">
        <w:rPr>
          <w:noProof/>
        </w:rPr>
        <w:t xml:space="preserve">The </w:t>
      </w:r>
      <w:r w:rsidR="00624E9A">
        <w:rPr>
          <w:noProof/>
        </w:rPr>
        <w:t xml:space="preserve">SFPA and its </w:t>
      </w:r>
      <w:r w:rsidR="00B61BB8">
        <w:rPr>
          <w:noProof/>
        </w:rPr>
        <w:t>I</w:t>
      </w:r>
      <w:r w:rsidRPr="001D16EB">
        <w:rPr>
          <w:noProof/>
        </w:rPr>
        <w:t xml:space="preserve">mplementing </w:t>
      </w:r>
      <w:r w:rsidR="00B61BB8">
        <w:rPr>
          <w:noProof/>
        </w:rPr>
        <w:t>P</w:t>
      </w:r>
      <w:r w:rsidRPr="001D16EB">
        <w:rPr>
          <w:noProof/>
        </w:rPr>
        <w:t xml:space="preserve">rotocol should </w:t>
      </w:r>
      <w:r w:rsidR="00B61BB8">
        <w:rPr>
          <w:noProof/>
        </w:rPr>
        <w:t>set out</w:t>
      </w:r>
      <w:r w:rsidR="00B61BB8" w:rsidRPr="001D16EB">
        <w:rPr>
          <w:noProof/>
        </w:rPr>
        <w:t xml:space="preserve"> </w:t>
      </w:r>
      <w:r w:rsidRPr="001D16EB">
        <w:rPr>
          <w:noProof/>
        </w:rPr>
        <w:t xml:space="preserve">the general framework of the fishing activities of Union vessels in </w:t>
      </w:r>
      <w:r w:rsidR="004B5814" w:rsidRPr="001D16EB">
        <w:rPr>
          <w:noProof/>
        </w:rPr>
        <w:t xml:space="preserve">the waters of </w:t>
      </w:r>
      <w:r w:rsidR="00BE1852" w:rsidRPr="001D16EB">
        <w:rPr>
          <w:noProof/>
        </w:rPr>
        <w:t>Mauritiu</w:t>
      </w:r>
      <w:r w:rsidR="00363868" w:rsidRPr="001D16EB">
        <w:rPr>
          <w:noProof/>
        </w:rPr>
        <w:t>s</w:t>
      </w:r>
      <w:r w:rsidR="004B5814" w:rsidRPr="001D16EB">
        <w:rPr>
          <w:noProof/>
        </w:rPr>
        <w:t xml:space="preserve"> </w:t>
      </w:r>
      <w:r w:rsidR="00F47A9A">
        <w:rPr>
          <w:noProof/>
        </w:rPr>
        <w:t>and the</w:t>
      </w:r>
      <w:r w:rsidRPr="001D16EB">
        <w:rPr>
          <w:noProof/>
        </w:rPr>
        <w:t xml:space="preserve"> </w:t>
      </w:r>
      <w:r w:rsidR="00721E8B" w:rsidRPr="001D16EB">
        <w:rPr>
          <w:noProof/>
        </w:rPr>
        <w:t xml:space="preserve">modalities of </w:t>
      </w:r>
      <w:r w:rsidRPr="001D16EB">
        <w:rPr>
          <w:noProof/>
        </w:rPr>
        <w:t xml:space="preserve">cooperation with </w:t>
      </w:r>
      <w:r w:rsidR="00BE1852" w:rsidRPr="001D16EB">
        <w:rPr>
          <w:noProof/>
        </w:rPr>
        <w:t>Mauritius</w:t>
      </w:r>
      <w:r w:rsidRPr="001D16EB">
        <w:rPr>
          <w:noProof/>
        </w:rPr>
        <w:t xml:space="preserve"> in the field of fisheries</w:t>
      </w:r>
      <w:r w:rsidR="00545DF2">
        <w:rPr>
          <w:noProof/>
        </w:rPr>
        <w:t>.</w:t>
      </w:r>
    </w:p>
    <w:p w14:paraId="2614C851" w14:textId="0D4F103F" w:rsidR="008A3216" w:rsidRPr="001D16EB" w:rsidRDefault="00FC6C57" w:rsidP="008A3216">
      <w:pPr>
        <w:pStyle w:val="Tiret0"/>
        <w:rPr>
          <w:noProof/>
        </w:rPr>
      </w:pPr>
      <w:r>
        <w:rPr>
          <w:noProof/>
        </w:rPr>
        <w:t xml:space="preserve">To </w:t>
      </w:r>
      <w:r w:rsidRPr="00FC6C57">
        <w:rPr>
          <w:noProof/>
        </w:rPr>
        <w:t xml:space="preserve">promote sustainable and responsible fishing while ensuring mutual benefits for the EU and </w:t>
      </w:r>
      <w:r w:rsidR="002F0DDB">
        <w:rPr>
          <w:noProof/>
        </w:rPr>
        <w:t>Mauritius</w:t>
      </w:r>
      <w:r w:rsidRPr="00FC6C57">
        <w:rPr>
          <w:noProof/>
        </w:rPr>
        <w:t>, the Commission's negotiating objectives should be based on the following elements:</w:t>
      </w:r>
    </w:p>
    <w:p w14:paraId="592B6307" w14:textId="7442DC99" w:rsidR="00BE1852" w:rsidRPr="001D16EB" w:rsidRDefault="00BE1852" w:rsidP="0021361E">
      <w:pPr>
        <w:pStyle w:val="Bullet1"/>
        <w:numPr>
          <w:ilvl w:val="0"/>
          <w:numId w:val="2"/>
        </w:numPr>
        <w:rPr>
          <w:noProof/>
        </w:rPr>
      </w:pPr>
      <w:r w:rsidRPr="001D16EB">
        <w:rPr>
          <w:noProof/>
        </w:rPr>
        <w:t>Establishing a stable framework for bilateral cooperation in the field of sustainable fisheries;</w:t>
      </w:r>
    </w:p>
    <w:p w14:paraId="06559C34" w14:textId="5F93D89E" w:rsidR="008A3216" w:rsidRPr="001D16EB" w:rsidRDefault="008A3216" w:rsidP="0021361E">
      <w:pPr>
        <w:pStyle w:val="Bullet1"/>
        <w:numPr>
          <w:ilvl w:val="0"/>
          <w:numId w:val="2"/>
        </w:numPr>
        <w:rPr>
          <w:noProof/>
        </w:rPr>
      </w:pPr>
      <w:r w:rsidRPr="001D16EB">
        <w:rPr>
          <w:noProof/>
        </w:rPr>
        <w:t xml:space="preserve">Ensuring access to </w:t>
      </w:r>
      <w:r w:rsidR="00BE1852" w:rsidRPr="001D16EB">
        <w:rPr>
          <w:noProof/>
        </w:rPr>
        <w:t>Mauritiu</w:t>
      </w:r>
      <w:r w:rsidR="00363868" w:rsidRPr="001D16EB">
        <w:rPr>
          <w:noProof/>
        </w:rPr>
        <w:t>s’</w:t>
      </w:r>
      <w:r w:rsidRPr="001D16EB">
        <w:rPr>
          <w:noProof/>
        </w:rPr>
        <w:t xml:space="preserve"> fishing zone and the necessary authorisations for vessels of the Union fleet to fish in that zone, thereby</w:t>
      </w:r>
      <w:r w:rsidR="00121E26">
        <w:rPr>
          <w:i/>
          <w:noProof/>
        </w:rPr>
        <w:t xml:space="preserve"> </w:t>
      </w:r>
      <w:r w:rsidR="00545DF2">
        <w:rPr>
          <w:noProof/>
        </w:rPr>
        <w:t>extending</w:t>
      </w:r>
      <w:r w:rsidR="00545DF2" w:rsidRPr="001D16EB">
        <w:rPr>
          <w:noProof/>
        </w:rPr>
        <w:t xml:space="preserve"> </w:t>
      </w:r>
      <w:r w:rsidRPr="001D16EB">
        <w:rPr>
          <w:noProof/>
        </w:rPr>
        <w:t xml:space="preserve">the network of Sustainable Fisheries Partnership Agreements available to Union operators in the </w:t>
      </w:r>
      <w:r w:rsidR="00363868" w:rsidRPr="001D16EB">
        <w:rPr>
          <w:noProof/>
        </w:rPr>
        <w:t>Indian</w:t>
      </w:r>
      <w:r w:rsidRPr="001D16EB">
        <w:rPr>
          <w:noProof/>
        </w:rPr>
        <w:t xml:space="preserve"> Ocean;</w:t>
      </w:r>
    </w:p>
    <w:p w14:paraId="1D562307" w14:textId="0F26378B" w:rsidR="008A3216" w:rsidRPr="001D16EB" w:rsidRDefault="008A3216" w:rsidP="56B8DDB9">
      <w:pPr>
        <w:pStyle w:val="Bullet1"/>
        <w:rPr>
          <w:noProof/>
          <w:sz w:val="22"/>
        </w:rPr>
      </w:pPr>
      <w:r w:rsidRPr="001D16EB">
        <w:rPr>
          <w:noProof/>
        </w:rPr>
        <w:t xml:space="preserve">Taking due account </w:t>
      </w:r>
      <w:r w:rsidR="00C041A3">
        <w:rPr>
          <w:noProof/>
        </w:rPr>
        <w:t xml:space="preserve">of </w:t>
      </w:r>
      <w:r w:rsidRPr="001D16EB">
        <w:rPr>
          <w:noProof/>
        </w:rPr>
        <w:t xml:space="preserve">the best available scientific advice and relevant management plans adopted by </w:t>
      </w:r>
      <w:r w:rsidR="00C041A3" w:rsidRPr="001D16EB">
        <w:rPr>
          <w:noProof/>
        </w:rPr>
        <w:t xml:space="preserve">regional fisheries management organisations </w:t>
      </w:r>
      <w:r w:rsidRPr="001D16EB">
        <w:rPr>
          <w:noProof/>
        </w:rPr>
        <w:t xml:space="preserve">(RFMO) in order to ensure the environmental sustainability of fishing activities and to promote ocean governance at </w:t>
      </w:r>
      <w:r w:rsidR="00C041A3">
        <w:rPr>
          <w:noProof/>
        </w:rPr>
        <w:t>international level</w:t>
      </w:r>
      <w:r w:rsidRPr="001D16EB">
        <w:rPr>
          <w:noProof/>
        </w:rPr>
        <w:t>. The fishing activities should exclusively</w:t>
      </w:r>
      <w:r w:rsidR="00721E8B" w:rsidRPr="001D16EB">
        <w:rPr>
          <w:noProof/>
        </w:rPr>
        <w:t xml:space="preserve"> target available resources</w:t>
      </w:r>
      <w:r w:rsidRPr="001D16EB">
        <w:rPr>
          <w:noProof/>
        </w:rPr>
        <w:t>, taking into account the local fleet</w:t>
      </w:r>
      <w:r w:rsidR="001D16EB">
        <w:rPr>
          <w:noProof/>
        </w:rPr>
        <w:t>’</w:t>
      </w:r>
      <w:r w:rsidRPr="001D16EB">
        <w:rPr>
          <w:noProof/>
        </w:rPr>
        <w:t>s fishing capacity, while paying special attention to the highly migratory nature of the stocks concerned;</w:t>
      </w:r>
    </w:p>
    <w:p w14:paraId="765AE451" w14:textId="1FFF574D" w:rsidR="00C041A3" w:rsidRDefault="008A3216" w:rsidP="56B8DDB9">
      <w:pPr>
        <w:pStyle w:val="Bullet1"/>
        <w:rPr>
          <w:noProof/>
        </w:rPr>
      </w:pPr>
      <w:r w:rsidRPr="001D16EB">
        <w:rPr>
          <w:noProof/>
        </w:rPr>
        <w:t>Seeking an appropriate share of the fisheries resources, fully commensurate with the Union fleets</w:t>
      </w:r>
      <w:r w:rsidR="001D16EB">
        <w:rPr>
          <w:noProof/>
        </w:rPr>
        <w:t>’</w:t>
      </w:r>
      <w:r w:rsidRPr="001D16EB">
        <w:rPr>
          <w:noProof/>
        </w:rPr>
        <w:t xml:space="preserve"> interests, when they also interest other foreign fleets</w:t>
      </w:r>
      <w:r w:rsidR="00C041A3">
        <w:rPr>
          <w:noProof/>
        </w:rPr>
        <w:t>;</w:t>
      </w:r>
    </w:p>
    <w:p w14:paraId="0C8A767F" w14:textId="289D2552" w:rsidR="008A3216" w:rsidRPr="001D16EB" w:rsidRDefault="00C041A3" w:rsidP="56B8DDB9">
      <w:pPr>
        <w:pStyle w:val="Bullet1"/>
        <w:rPr>
          <w:noProof/>
        </w:rPr>
      </w:pPr>
      <w:r>
        <w:rPr>
          <w:noProof/>
        </w:rPr>
        <w:t xml:space="preserve">Seeking </w:t>
      </w:r>
      <w:r w:rsidR="008A3216" w:rsidRPr="001D16EB">
        <w:rPr>
          <w:noProof/>
        </w:rPr>
        <w:t>the application of the same technical conditions to all foreign fleets;</w:t>
      </w:r>
    </w:p>
    <w:p w14:paraId="36F0AD65" w14:textId="4D312DF3" w:rsidR="008A3216" w:rsidRPr="001D16EB" w:rsidRDefault="008A3216" w:rsidP="008A3216">
      <w:pPr>
        <w:pStyle w:val="Bullet1"/>
        <w:rPr>
          <w:noProof/>
        </w:rPr>
      </w:pPr>
      <w:r w:rsidRPr="001D16EB">
        <w:rPr>
          <w:noProof/>
        </w:rPr>
        <w:t xml:space="preserve">Ensuring that access to fisheries is based on </w:t>
      </w:r>
      <w:r w:rsidR="0085073C">
        <w:rPr>
          <w:noProof/>
        </w:rPr>
        <w:t xml:space="preserve">both </w:t>
      </w:r>
      <w:r w:rsidRPr="001D16EB">
        <w:rPr>
          <w:noProof/>
        </w:rPr>
        <w:t xml:space="preserve">the historical and the expected future activity of the Union fleet in the region, in light of the </w:t>
      </w:r>
      <w:r w:rsidR="0085073C">
        <w:rPr>
          <w:noProof/>
        </w:rPr>
        <w:t xml:space="preserve">latest </w:t>
      </w:r>
      <w:r w:rsidRPr="001D16EB">
        <w:rPr>
          <w:noProof/>
        </w:rPr>
        <w:t xml:space="preserve">and best available scientific assessments and </w:t>
      </w:r>
      <w:r w:rsidR="00F315DC">
        <w:rPr>
          <w:noProof/>
        </w:rPr>
        <w:t xml:space="preserve">in </w:t>
      </w:r>
      <w:r w:rsidRPr="001D16EB">
        <w:rPr>
          <w:noProof/>
        </w:rPr>
        <w:t xml:space="preserve">consideration </w:t>
      </w:r>
      <w:r w:rsidR="00F315DC">
        <w:rPr>
          <w:noProof/>
        </w:rPr>
        <w:t xml:space="preserve">of </w:t>
      </w:r>
      <w:r w:rsidRPr="001D16EB">
        <w:rPr>
          <w:noProof/>
        </w:rPr>
        <w:t xml:space="preserve">the interests of </w:t>
      </w:r>
      <w:r w:rsidR="00F315DC">
        <w:rPr>
          <w:noProof/>
        </w:rPr>
        <w:t xml:space="preserve">the </w:t>
      </w:r>
      <w:r w:rsidRPr="001D16EB">
        <w:rPr>
          <w:noProof/>
        </w:rPr>
        <w:t>Union</w:t>
      </w:r>
      <w:r w:rsidR="00F315DC">
        <w:rPr>
          <w:noProof/>
        </w:rPr>
        <w:t>’s</w:t>
      </w:r>
      <w:r w:rsidRPr="001D16EB">
        <w:rPr>
          <w:noProof/>
        </w:rPr>
        <w:t xml:space="preserve"> outermost regions;</w:t>
      </w:r>
    </w:p>
    <w:p w14:paraId="4A38CB91" w14:textId="62676729" w:rsidR="008A3216" w:rsidRPr="001D16EB" w:rsidRDefault="008A3216" w:rsidP="56B8DDB9">
      <w:pPr>
        <w:pStyle w:val="Bullet1"/>
        <w:rPr>
          <w:noProof/>
        </w:rPr>
      </w:pPr>
      <w:r w:rsidRPr="001D16EB">
        <w:rPr>
          <w:noProof/>
        </w:rPr>
        <w:t xml:space="preserve">Establishing a dialogue to reinforce the sectoral policy with a view to encouraging the implementation of a responsible fisheries policy in connection with </w:t>
      </w:r>
      <w:r w:rsidR="70984A11" w:rsidRPr="001D16EB">
        <w:rPr>
          <w:noProof/>
        </w:rPr>
        <w:t>Mauritiu</w:t>
      </w:r>
      <w:r w:rsidR="00363868" w:rsidRPr="001D16EB">
        <w:rPr>
          <w:noProof/>
        </w:rPr>
        <w:t>s’</w:t>
      </w:r>
      <w:r w:rsidRPr="001D16EB">
        <w:rPr>
          <w:noProof/>
        </w:rPr>
        <w:t xml:space="preserve"> development objectives, in particular as regards</w:t>
      </w:r>
      <w:r w:rsidR="00F315DC">
        <w:rPr>
          <w:noProof/>
        </w:rPr>
        <w:t xml:space="preserve"> (i) </w:t>
      </w:r>
      <w:r w:rsidRPr="001D16EB">
        <w:rPr>
          <w:noProof/>
        </w:rPr>
        <w:t xml:space="preserve">fisheries governance, </w:t>
      </w:r>
      <w:r w:rsidR="00F315DC">
        <w:rPr>
          <w:noProof/>
        </w:rPr>
        <w:t>(ii)</w:t>
      </w:r>
      <w:r w:rsidR="004654A0">
        <w:rPr>
          <w:noProof/>
        </w:rPr>
        <w:t xml:space="preserve"> enforcement action and </w:t>
      </w:r>
      <w:r w:rsidR="00F315DC">
        <w:rPr>
          <w:noProof/>
        </w:rPr>
        <w:t> </w:t>
      </w:r>
      <w:r w:rsidRPr="001D16EB">
        <w:rPr>
          <w:noProof/>
        </w:rPr>
        <w:t xml:space="preserve">the fight against illegal, unreported and unregulated fishing, </w:t>
      </w:r>
      <w:r w:rsidR="00F315DC">
        <w:rPr>
          <w:noProof/>
        </w:rPr>
        <w:t>(iii)</w:t>
      </w:r>
      <w:r w:rsidR="004654A0">
        <w:rPr>
          <w:noProof/>
        </w:rPr>
        <w:t xml:space="preserve"> control, </w:t>
      </w:r>
      <w:r w:rsidR="00F315DC">
        <w:rPr>
          <w:noProof/>
        </w:rPr>
        <w:t> </w:t>
      </w:r>
      <w:r w:rsidRPr="001D16EB">
        <w:rPr>
          <w:noProof/>
        </w:rPr>
        <w:t>monitoring and surveillance of fishing activities</w:t>
      </w:r>
      <w:r w:rsidR="00F315DC">
        <w:rPr>
          <w:noProof/>
        </w:rPr>
        <w:t>,</w:t>
      </w:r>
      <w:r w:rsidRPr="001D16EB">
        <w:rPr>
          <w:noProof/>
        </w:rPr>
        <w:t xml:space="preserve"> </w:t>
      </w:r>
      <w:r w:rsidR="00F315DC">
        <w:rPr>
          <w:noProof/>
        </w:rPr>
        <w:t>(iv) </w:t>
      </w:r>
      <w:r w:rsidR="002C3E6D" w:rsidRPr="001D16EB">
        <w:rPr>
          <w:noProof/>
        </w:rPr>
        <w:t xml:space="preserve">the </w:t>
      </w:r>
      <w:r w:rsidRPr="001D16EB">
        <w:rPr>
          <w:noProof/>
        </w:rPr>
        <w:t>provision of scientific advice</w:t>
      </w:r>
      <w:r w:rsidR="002C30E1" w:rsidRPr="001D16EB">
        <w:rPr>
          <w:noProof/>
        </w:rPr>
        <w:t xml:space="preserve">, </w:t>
      </w:r>
      <w:r w:rsidR="00F315DC">
        <w:rPr>
          <w:noProof/>
        </w:rPr>
        <w:t>(v) </w:t>
      </w:r>
      <w:r w:rsidR="00E534E8" w:rsidRPr="001D16EB">
        <w:rPr>
          <w:noProof/>
        </w:rPr>
        <w:t>labour rights of fisher</w:t>
      </w:r>
      <w:r w:rsidR="00363868" w:rsidRPr="001D16EB">
        <w:rPr>
          <w:noProof/>
        </w:rPr>
        <w:t>s</w:t>
      </w:r>
      <w:r w:rsidR="00E534E8" w:rsidRPr="001D16EB">
        <w:rPr>
          <w:noProof/>
        </w:rPr>
        <w:t xml:space="preserve"> </w:t>
      </w:r>
      <w:r w:rsidRPr="001D16EB">
        <w:rPr>
          <w:noProof/>
        </w:rPr>
        <w:t xml:space="preserve">and </w:t>
      </w:r>
      <w:r w:rsidR="00F315DC">
        <w:rPr>
          <w:noProof/>
        </w:rPr>
        <w:t xml:space="preserve">(vi) </w:t>
      </w:r>
      <w:r w:rsidRPr="001D16EB">
        <w:rPr>
          <w:noProof/>
        </w:rPr>
        <w:t xml:space="preserve">fostering </w:t>
      </w:r>
      <w:r w:rsidR="003C2C15">
        <w:rPr>
          <w:noProof/>
        </w:rPr>
        <w:t xml:space="preserve">private investment and </w:t>
      </w:r>
      <w:r w:rsidRPr="001D16EB">
        <w:rPr>
          <w:noProof/>
        </w:rPr>
        <w:t>economic activity</w:t>
      </w:r>
      <w:r w:rsidR="003C2C15">
        <w:rPr>
          <w:noProof/>
        </w:rPr>
        <w:t xml:space="preserve"> for the benefit of the EU fleet and the local population. </w:t>
      </w:r>
      <w:r w:rsidR="00AA6BAA" w:rsidRPr="001D16EB">
        <w:rPr>
          <w:noProof/>
        </w:rPr>
        <w:t>Th</w:t>
      </w:r>
      <w:r w:rsidR="00EC59AD" w:rsidRPr="001D16EB">
        <w:rPr>
          <w:noProof/>
        </w:rPr>
        <w:t>e</w:t>
      </w:r>
      <w:r w:rsidR="00AA6BAA" w:rsidRPr="001D16EB">
        <w:rPr>
          <w:noProof/>
        </w:rPr>
        <w:t>s</w:t>
      </w:r>
      <w:r w:rsidR="00EC59AD" w:rsidRPr="001D16EB">
        <w:rPr>
          <w:noProof/>
        </w:rPr>
        <w:t>e</w:t>
      </w:r>
      <w:r w:rsidR="00AA6BAA" w:rsidRPr="001D16EB">
        <w:rPr>
          <w:noProof/>
        </w:rPr>
        <w:t xml:space="preserve"> efforts will complement other Union instruments </w:t>
      </w:r>
      <w:r w:rsidR="00F315DC">
        <w:rPr>
          <w:noProof/>
        </w:rPr>
        <w:t>(</w:t>
      </w:r>
      <w:r w:rsidR="00AA6BAA" w:rsidRPr="001D16EB">
        <w:rPr>
          <w:noProof/>
        </w:rPr>
        <w:t>including</w:t>
      </w:r>
      <w:r w:rsidR="004B5814" w:rsidRPr="001D16EB">
        <w:rPr>
          <w:noProof/>
        </w:rPr>
        <w:t xml:space="preserve"> the</w:t>
      </w:r>
      <w:r w:rsidR="00AA6BAA" w:rsidRPr="001D16EB">
        <w:rPr>
          <w:noProof/>
        </w:rPr>
        <w:t xml:space="preserve"> </w:t>
      </w:r>
      <w:bookmarkStart w:id="2" w:name="_Hlk197589096"/>
      <w:r w:rsidR="00AA6BAA" w:rsidRPr="001D16EB">
        <w:rPr>
          <w:noProof/>
        </w:rPr>
        <w:t>N</w:t>
      </w:r>
      <w:r w:rsidR="00EC59AD" w:rsidRPr="001D16EB">
        <w:rPr>
          <w:noProof/>
        </w:rPr>
        <w:t>eighbourhood, Development and International Cooperation Instrument</w:t>
      </w:r>
      <w:bookmarkEnd w:id="2"/>
      <w:r w:rsidR="00EC59AD" w:rsidRPr="001D16EB">
        <w:rPr>
          <w:noProof/>
        </w:rPr>
        <w:t>)</w:t>
      </w:r>
      <w:r w:rsidRPr="001D16EB">
        <w:rPr>
          <w:noProof/>
        </w:rPr>
        <w:t>;</w:t>
      </w:r>
    </w:p>
    <w:p w14:paraId="3B3437F9" w14:textId="54376908" w:rsidR="00F235BF" w:rsidRPr="001D16EB" w:rsidRDefault="00F235BF" w:rsidP="00965A50">
      <w:pPr>
        <w:pStyle w:val="Bullet1"/>
        <w:rPr>
          <w:noProof/>
        </w:rPr>
      </w:pPr>
      <w:r w:rsidRPr="001D16EB">
        <w:rPr>
          <w:noProof/>
        </w:rPr>
        <w:t>Ensuring that the Protocol will</w:t>
      </w:r>
      <w:r w:rsidR="00713E70">
        <w:rPr>
          <w:noProof/>
        </w:rPr>
        <w:t xml:space="preserve"> help promote </w:t>
      </w:r>
      <w:r w:rsidRPr="001D16EB">
        <w:rPr>
          <w:noProof/>
        </w:rPr>
        <w:t xml:space="preserve">sustainable growth and decent work linked to fishing activities, taking into account relevant </w:t>
      </w:r>
      <w:r w:rsidR="00713E70">
        <w:rPr>
          <w:noProof/>
        </w:rPr>
        <w:t>ILO c</w:t>
      </w:r>
      <w:r w:rsidRPr="001D16EB">
        <w:rPr>
          <w:noProof/>
        </w:rPr>
        <w:t>onventions. In particular, the social clause should indicate that the employment and working conditions of fishers on board EU vessels shall not contradict the instruments applicable to fishers of the ILO and the International Maritime Organisation, in particular the ILO Declaration on Fundamental Principles and Rights at Work (1998), as amended in 2022, and ILO Convention 188 on Work in Fishing</w:t>
      </w:r>
      <w:r w:rsidR="00761F21">
        <w:rPr>
          <w:noProof/>
        </w:rPr>
        <w:t>;</w:t>
      </w:r>
    </w:p>
    <w:p w14:paraId="04102001" w14:textId="4E472990" w:rsidR="00F235BF" w:rsidRPr="001D16EB" w:rsidRDefault="00F235BF" w:rsidP="00965A50">
      <w:pPr>
        <w:pStyle w:val="Bullet1"/>
        <w:rPr>
          <w:noProof/>
        </w:rPr>
      </w:pPr>
      <w:r w:rsidRPr="001D16EB">
        <w:rPr>
          <w:noProof/>
        </w:rPr>
        <w:t xml:space="preserve">Promoting an appropriate involvement of stakeholders in the programming and implementation of activities deriving from the </w:t>
      </w:r>
      <w:r w:rsidR="00545DF2">
        <w:rPr>
          <w:noProof/>
        </w:rPr>
        <w:t>SFPA</w:t>
      </w:r>
      <w:r w:rsidRPr="001D16EB">
        <w:rPr>
          <w:noProof/>
        </w:rPr>
        <w:t>;</w:t>
      </w:r>
    </w:p>
    <w:p w14:paraId="7FE64546" w14:textId="1D86E9F9" w:rsidR="008A3216" w:rsidRPr="001D16EB" w:rsidRDefault="008A3216" w:rsidP="008A3216">
      <w:pPr>
        <w:pStyle w:val="Bullet1"/>
        <w:rPr>
          <w:noProof/>
        </w:rPr>
      </w:pPr>
      <w:r w:rsidRPr="001D16EB">
        <w:rPr>
          <w:noProof/>
        </w:rPr>
        <w:t>Including a clause on the consequences of violations of human rights</w:t>
      </w:r>
      <w:r w:rsidR="00E534E8" w:rsidRPr="001D16EB">
        <w:rPr>
          <w:noProof/>
        </w:rPr>
        <w:t xml:space="preserve"> (including labour rights)</w:t>
      </w:r>
      <w:r w:rsidRPr="001D16EB">
        <w:rPr>
          <w:noProof/>
        </w:rPr>
        <w:t xml:space="preserve"> and democratic principles</w:t>
      </w:r>
      <w:r w:rsidR="00713E70">
        <w:rPr>
          <w:noProof/>
        </w:rPr>
        <w:t>;</w:t>
      </w:r>
    </w:p>
    <w:p w14:paraId="3FFC9932" w14:textId="77777777" w:rsidR="008A3216" w:rsidRPr="001D16EB" w:rsidRDefault="008A3216" w:rsidP="008A3216">
      <w:pPr>
        <w:pStyle w:val="Bullet1"/>
        <w:rPr>
          <w:noProof/>
        </w:rPr>
      </w:pPr>
      <w:r w:rsidRPr="001D16EB">
        <w:rPr>
          <w:noProof/>
        </w:rPr>
        <w:t>Including a clause on non-discrimination between the different fleets and transparency.</w:t>
      </w:r>
    </w:p>
    <w:p w14:paraId="588DFC4A" w14:textId="25CC19DE" w:rsidR="008A3216" w:rsidRPr="001D16EB" w:rsidRDefault="008A3216" w:rsidP="008A3216">
      <w:pPr>
        <w:pStyle w:val="Tiret0"/>
        <w:rPr>
          <w:noProof/>
        </w:rPr>
      </w:pPr>
      <w:r w:rsidRPr="001D16EB">
        <w:rPr>
          <w:noProof/>
        </w:rPr>
        <w:t xml:space="preserve">In particular, the </w:t>
      </w:r>
      <w:r w:rsidR="00761F21">
        <w:rPr>
          <w:noProof/>
        </w:rPr>
        <w:t>P</w:t>
      </w:r>
      <w:r w:rsidRPr="001D16EB">
        <w:rPr>
          <w:noProof/>
        </w:rPr>
        <w:t xml:space="preserve">rotocol should </w:t>
      </w:r>
      <w:r w:rsidR="00545DF2">
        <w:rPr>
          <w:noProof/>
        </w:rPr>
        <w:t>set out</w:t>
      </w:r>
      <w:r w:rsidRPr="001D16EB">
        <w:rPr>
          <w:noProof/>
        </w:rPr>
        <w:t>:</w:t>
      </w:r>
    </w:p>
    <w:p w14:paraId="5A1476A7" w14:textId="77777777" w:rsidR="008A3216" w:rsidRPr="001D16EB" w:rsidRDefault="008A3216" w:rsidP="008A3216">
      <w:pPr>
        <w:pStyle w:val="Bullet1"/>
        <w:rPr>
          <w:noProof/>
        </w:rPr>
      </w:pPr>
      <w:r w:rsidRPr="001D16EB">
        <w:rPr>
          <w:noProof/>
        </w:rPr>
        <w:t>the fishing opportunities to be granted to Union vessels;</w:t>
      </w:r>
    </w:p>
    <w:p w14:paraId="5E18C15A" w14:textId="77777777" w:rsidR="008A3216" w:rsidRPr="001D16EB" w:rsidRDefault="008A3216" w:rsidP="008A3216">
      <w:pPr>
        <w:pStyle w:val="Bullet1"/>
        <w:rPr>
          <w:noProof/>
        </w:rPr>
      </w:pPr>
      <w:r w:rsidRPr="001D16EB">
        <w:rPr>
          <w:noProof/>
        </w:rPr>
        <w:t>the financial compensation and the conditions for its payment; and</w:t>
      </w:r>
    </w:p>
    <w:p w14:paraId="63AC2965" w14:textId="0B003A2D" w:rsidR="001C2816" w:rsidRPr="001D16EB" w:rsidRDefault="008A3216" w:rsidP="00E86113">
      <w:pPr>
        <w:pStyle w:val="Bullet1"/>
        <w:rPr>
          <w:noProof/>
        </w:rPr>
      </w:pPr>
      <w:r w:rsidRPr="001D16EB">
        <w:rPr>
          <w:noProof/>
        </w:rPr>
        <w:t>the mechanisms for implementing sectoral support.</w:t>
      </w:r>
    </w:p>
    <w:sectPr w:rsidR="001C2816" w:rsidRPr="001D16EB" w:rsidSect="003E3F9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16B44" w14:textId="77777777" w:rsidR="00027009" w:rsidRPr="001D16EB" w:rsidRDefault="00027009" w:rsidP="00E86113">
      <w:pPr>
        <w:spacing w:before="0" w:after="0"/>
      </w:pPr>
      <w:r w:rsidRPr="001D16EB">
        <w:separator/>
      </w:r>
    </w:p>
  </w:endnote>
  <w:endnote w:type="continuationSeparator" w:id="0">
    <w:p w14:paraId="5F1126D8" w14:textId="77777777" w:rsidR="00027009" w:rsidRPr="001D16EB" w:rsidRDefault="00027009" w:rsidP="00E86113">
      <w:pPr>
        <w:spacing w:before="0" w:after="0"/>
      </w:pPr>
      <w:r w:rsidRPr="001D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41EE4" w14:textId="54F5CF46" w:rsidR="003E3F98" w:rsidRPr="003E3F98" w:rsidRDefault="003E3F98" w:rsidP="003E3F98">
    <w:pPr>
      <w:pStyle w:val="Footer"/>
      <w:rPr>
        <w:rFonts w:ascii="Arial" w:hAnsi="Arial" w:cs="Arial"/>
        <w:b/>
        <w:sz w:val="48"/>
      </w:rPr>
    </w:pPr>
    <w:r w:rsidRPr="003E3F98">
      <w:rPr>
        <w:rFonts w:ascii="Arial" w:hAnsi="Arial" w:cs="Arial"/>
        <w:b/>
        <w:sz w:val="48"/>
      </w:rPr>
      <w:t>EN</w:t>
    </w:r>
    <w:r w:rsidRPr="003E3F98">
      <w:rPr>
        <w:rFonts w:ascii="Arial" w:hAnsi="Arial" w:cs="Arial"/>
        <w:b/>
        <w:sz w:val="48"/>
      </w:rPr>
      <w:tab/>
    </w:r>
    <w:r w:rsidRPr="003E3F98">
      <w:rPr>
        <w:rFonts w:ascii="Arial" w:hAnsi="Arial" w:cs="Arial"/>
        <w:b/>
        <w:sz w:val="48"/>
      </w:rPr>
      <w:tab/>
    </w:r>
    <w:r w:rsidRPr="003E3F98">
      <w:tab/>
    </w:r>
    <w:r w:rsidRPr="003E3F9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3BDE" w14:textId="07722308" w:rsidR="003E3F98" w:rsidRPr="003E3F98" w:rsidRDefault="003E3F98" w:rsidP="003E3F98">
    <w:pPr>
      <w:pStyle w:val="Footer"/>
      <w:rPr>
        <w:rFonts w:ascii="Arial" w:hAnsi="Arial" w:cs="Arial"/>
        <w:b/>
        <w:sz w:val="48"/>
      </w:rPr>
    </w:pPr>
    <w:r w:rsidRPr="003E3F98">
      <w:rPr>
        <w:rFonts w:ascii="Arial" w:hAnsi="Arial" w:cs="Arial"/>
        <w:b/>
        <w:sz w:val="48"/>
      </w:rPr>
      <w:t>EN</w:t>
    </w:r>
    <w:r w:rsidRPr="003E3F98">
      <w:rPr>
        <w:rFonts w:ascii="Arial" w:hAnsi="Arial" w:cs="Arial"/>
        <w:b/>
        <w:sz w:val="48"/>
      </w:rPr>
      <w:tab/>
    </w:r>
    <w:r w:rsidRPr="003E3F98">
      <w:rPr>
        <w:rFonts w:ascii="Arial" w:hAnsi="Arial" w:cs="Arial"/>
        <w:b/>
        <w:sz w:val="48"/>
      </w:rPr>
      <w:tab/>
    </w:r>
    <w:r w:rsidRPr="003E3F98">
      <w:tab/>
    </w:r>
    <w:r w:rsidRPr="003E3F9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82302" w14:textId="77777777" w:rsidR="003E3F98" w:rsidRPr="003E3F98" w:rsidRDefault="003E3F98" w:rsidP="003E3F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4904E" w14:textId="77777777" w:rsidR="003E3F98" w:rsidRDefault="003E3F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CE8E7" w14:textId="7AB2C921" w:rsidR="003E3F98" w:rsidRPr="003E3F98" w:rsidRDefault="003E3F98" w:rsidP="003E3F98">
    <w:pPr>
      <w:pStyle w:val="Footer"/>
      <w:rPr>
        <w:rFonts w:ascii="Arial" w:hAnsi="Arial" w:cs="Arial"/>
        <w:b/>
        <w:sz w:val="48"/>
      </w:rPr>
    </w:pPr>
    <w:r w:rsidRPr="003E3F98">
      <w:rPr>
        <w:rFonts w:ascii="Arial" w:hAnsi="Arial" w:cs="Arial"/>
        <w:b/>
        <w:sz w:val="48"/>
      </w:rPr>
      <w:t>EN</w:t>
    </w:r>
    <w:r w:rsidRPr="003E3F9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E3F98">
      <w:tab/>
    </w:r>
    <w:r w:rsidRPr="003E3F9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2865B" w14:textId="77777777" w:rsidR="003E3F98" w:rsidRDefault="003E3F98" w:rsidP="003E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98DBB" w14:textId="77777777" w:rsidR="00027009" w:rsidRPr="001D16EB" w:rsidRDefault="00027009" w:rsidP="00E86113">
      <w:pPr>
        <w:spacing w:before="0" w:after="0"/>
      </w:pPr>
      <w:r w:rsidRPr="001D16EB">
        <w:separator/>
      </w:r>
    </w:p>
  </w:footnote>
  <w:footnote w:type="continuationSeparator" w:id="0">
    <w:p w14:paraId="42CFB304" w14:textId="77777777" w:rsidR="00027009" w:rsidRPr="001D16EB" w:rsidRDefault="00027009" w:rsidP="00E86113">
      <w:pPr>
        <w:spacing w:before="0" w:after="0"/>
      </w:pPr>
      <w:r w:rsidRPr="001D16EB">
        <w:continuationSeparator/>
      </w:r>
    </w:p>
  </w:footnote>
  <w:footnote w:id="1">
    <w:p w14:paraId="0759D2CB" w14:textId="5D1A0E1B" w:rsidR="008A3216" w:rsidRPr="001D16EB" w:rsidRDefault="008A3216" w:rsidP="008A3216">
      <w:pPr>
        <w:pStyle w:val="FootnoteText"/>
      </w:pPr>
      <w:r w:rsidRPr="001D16EB">
        <w:rPr>
          <w:rStyle w:val="FootnoteReference"/>
        </w:rPr>
        <w:footnoteRef/>
      </w:r>
      <w:r w:rsidR="00EA19F9" w:rsidRPr="001D16EB">
        <w:tab/>
      </w:r>
      <w:r w:rsidRPr="001D16EB">
        <w:t>Regulation (EU) No</w:t>
      </w:r>
      <w:r w:rsidR="001D16EB">
        <w:t> </w:t>
      </w:r>
      <w:r w:rsidRPr="001D16EB">
        <w:t>1380/2013 of the European Parliament and of the Council of 11</w:t>
      </w:r>
      <w:r w:rsidR="001D16EB">
        <w:t> </w:t>
      </w:r>
      <w:r w:rsidRPr="001D16EB">
        <w:t>December 2013 on the Common Fisheries Policy, amending Council Regulations (EC) No</w:t>
      </w:r>
      <w:r w:rsidR="001D16EB">
        <w:t> </w:t>
      </w:r>
      <w:r w:rsidRPr="001D16EB">
        <w:t>1954/2003 and (EC) No</w:t>
      </w:r>
      <w:r w:rsidR="001D16EB">
        <w:t> </w:t>
      </w:r>
      <w:r w:rsidRPr="001D16EB">
        <w:t>1224/2009 and repealing Council Regulations (EC) No</w:t>
      </w:r>
      <w:r w:rsidR="001D16EB">
        <w:t> </w:t>
      </w:r>
      <w:r w:rsidRPr="001D16EB">
        <w:t>2371/2002 and (EC) No</w:t>
      </w:r>
      <w:r w:rsidR="001D16EB">
        <w:t> </w:t>
      </w:r>
      <w:r w:rsidRPr="001D16EB">
        <w:t>639/2004 and Council Decision 2004/585/EC (OJ L 354, 28.12.2013, p.</w:t>
      </w:r>
      <w:r w:rsidR="001D16EB">
        <w:t> </w:t>
      </w:r>
      <w:r w:rsidRPr="001D16EB">
        <w:t>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4C00E" w14:textId="77777777" w:rsidR="003E3F98" w:rsidRPr="003E3F98" w:rsidRDefault="003E3F98" w:rsidP="003E3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794EC" w14:textId="77777777" w:rsidR="003E3F98" w:rsidRPr="003E3F98" w:rsidRDefault="003E3F98" w:rsidP="003E3F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35E73" w14:textId="77777777" w:rsidR="003E3F98" w:rsidRPr="003E3F98" w:rsidRDefault="003E3F98" w:rsidP="003E3F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00EEC" w14:textId="77777777" w:rsidR="003E3F98" w:rsidRDefault="003E3F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65E04" w14:textId="77777777" w:rsidR="003E3F98" w:rsidRDefault="003E3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3E51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95E309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34A299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23A77D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22A668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06A667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2507A7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5E59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7"/>
    <w:lvlOverride w:ilvl="0">
      <w:startOverride w:val="1"/>
    </w:lvlOverride>
  </w:num>
  <w:num w:numId="3">
    <w:abstractNumId w:val="3"/>
  </w:num>
  <w:num w:numId="4">
    <w:abstractNumId w:val="7"/>
  </w:num>
  <w:num w:numId="5">
    <w:abstractNumId w:val="5"/>
  </w:num>
  <w:num w:numId="6">
    <w:abstractNumId w:val="4"/>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08:49:57"/>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A4DD9E4-66E3-4DFC-8370-944E884095DD"/>
    <w:docVar w:name="LW_COVERPAGE_TYPE" w:val="1"/>
    <w:docVar w:name="LW_CROSSREFERENCE" w:val="{SWD(2026) 68 final}"/>
    <w:docVar w:name="LW_DocType" w:val="ANNEX"/>
    <w:docVar w:name="LW_EMISSION" w:val="3.3.2026"/>
    <w:docVar w:name="LW_EMISSION_ISODATE" w:val="2026-03-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opening of the negotiations on behalf of the European Union for the conclusion of a Sustainable Fisheries Partnership Agreement and its Implementing Protocol between the European Union and the Republic of Mauritius_x000d__x000d__x000d__x000d__x000d__x000d__x000b_"/>
    <w:docVar w:name="LW_OBJETACTEPRINCIPAL.CP" w:val="authorising the opening of the negotiations on behalf of the European Union for the conclusion of a Sustainable Fisheries Partnership Agreement and its Implementing Protocol between the European Union and the Republic of Mauritius_x000d__x000d__x000d__x000d__x000d__x000d__x000b_"/>
    <w:docVar w:name="LW_PART_NBR" w:val="1"/>
    <w:docVar w:name="LW_PART_NBR_TOTAL" w:val="1"/>
    <w:docVar w:name="LW_REF.INST.NEW" w:val="COM"/>
    <w:docVar w:name="LW_REF.INST.NEW_ADOPTED" w:val="final"/>
    <w:docVar w:name="LW_REF.INST.NEW_TEXT" w:val="(2026) 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_x000b__x000b_COUNCIL DECISION"/>
    <w:docVar w:name="LW_TYPEACTEPRINCIPAL.CP" w:val="Recommendation for a _x000b__x000b_COUNCIL DECISION"/>
    <w:docVar w:name="LwApiVersions" w:val="LW4CoDe 1.24.5.0; LW 9.2, Build 20251112"/>
  </w:docVars>
  <w:rsids>
    <w:rsidRoot w:val="00E86113"/>
    <w:rsid w:val="00022279"/>
    <w:rsid w:val="000244E6"/>
    <w:rsid w:val="00027009"/>
    <w:rsid w:val="0002796E"/>
    <w:rsid w:val="00080B5B"/>
    <w:rsid w:val="00083F67"/>
    <w:rsid w:val="000A12D5"/>
    <w:rsid w:val="000A73FD"/>
    <w:rsid w:val="000B31E9"/>
    <w:rsid w:val="000C61D4"/>
    <w:rsid w:val="000D0158"/>
    <w:rsid w:val="000E198E"/>
    <w:rsid w:val="00113D87"/>
    <w:rsid w:val="00121E26"/>
    <w:rsid w:val="0014033D"/>
    <w:rsid w:val="00145A7F"/>
    <w:rsid w:val="00153AD1"/>
    <w:rsid w:val="001C2816"/>
    <w:rsid w:val="001C3BA4"/>
    <w:rsid w:val="001D16EB"/>
    <w:rsid w:val="001D2B95"/>
    <w:rsid w:val="001D3D33"/>
    <w:rsid w:val="001D6F25"/>
    <w:rsid w:val="001E1284"/>
    <w:rsid w:val="001E7273"/>
    <w:rsid w:val="001F732A"/>
    <w:rsid w:val="00210FDA"/>
    <w:rsid w:val="0021361E"/>
    <w:rsid w:val="00215E52"/>
    <w:rsid w:val="002239BD"/>
    <w:rsid w:val="0023180B"/>
    <w:rsid w:val="00275E8E"/>
    <w:rsid w:val="00292CB6"/>
    <w:rsid w:val="002A2E41"/>
    <w:rsid w:val="002A5B2B"/>
    <w:rsid w:val="002C30E1"/>
    <w:rsid w:val="002C3E6D"/>
    <w:rsid w:val="002F0DDB"/>
    <w:rsid w:val="002F3B64"/>
    <w:rsid w:val="002F4BD8"/>
    <w:rsid w:val="00307534"/>
    <w:rsid w:val="00312E7B"/>
    <w:rsid w:val="00324225"/>
    <w:rsid w:val="00325F8C"/>
    <w:rsid w:val="003267BB"/>
    <w:rsid w:val="00347FCD"/>
    <w:rsid w:val="00355631"/>
    <w:rsid w:val="0036235A"/>
    <w:rsid w:val="003631AC"/>
    <w:rsid w:val="00363868"/>
    <w:rsid w:val="003938C5"/>
    <w:rsid w:val="003B6712"/>
    <w:rsid w:val="003C2C15"/>
    <w:rsid w:val="003E3F98"/>
    <w:rsid w:val="004261E7"/>
    <w:rsid w:val="0043350F"/>
    <w:rsid w:val="0043791D"/>
    <w:rsid w:val="0044602B"/>
    <w:rsid w:val="00462096"/>
    <w:rsid w:val="004654A0"/>
    <w:rsid w:val="004667B3"/>
    <w:rsid w:val="00497EC3"/>
    <w:rsid w:val="004B5814"/>
    <w:rsid w:val="00520E9B"/>
    <w:rsid w:val="00545DF2"/>
    <w:rsid w:val="0055139F"/>
    <w:rsid w:val="005522B4"/>
    <w:rsid w:val="00593A24"/>
    <w:rsid w:val="005E216E"/>
    <w:rsid w:val="005F0D70"/>
    <w:rsid w:val="005F12E4"/>
    <w:rsid w:val="00605EDD"/>
    <w:rsid w:val="00624E9A"/>
    <w:rsid w:val="00677EA7"/>
    <w:rsid w:val="00680F1C"/>
    <w:rsid w:val="006A2586"/>
    <w:rsid w:val="006A56BE"/>
    <w:rsid w:val="006C5544"/>
    <w:rsid w:val="006F37E8"/>
    <w:rsid w:val="007004F5"/>
    <w:rsid w:val="00710191"/>
    <w:rsid w:val="00713E70"/>
    <w:rsid w:val="00721E8B"/>
    <w:rsid w:val="007305DC"/>
    <w:rsid w:val="00731592"/>
    <w:rsid w:val="007508A3"/>
    <w:rsid w:val="00752CCD"/>
    <w:rsid w:val="00753DE9"/>
    <w:rsid w:val="00761D40"/>
    <w:rsid w:val="00761F21"/>
    <w:rsid w:val="00770F22"/>
    <w:rsid w:val="0077614F"/>
    <w:rsid w:val="007768EA"/>
    <w:rsid w:val="00780D31"/>
    <w:rsid w:val="00782F31"/>
    <w:rsid w:val="00786CF7"/>
    <w:rsid w:val="00797ED6"/>
    <w:rsid w:val="007C3131"/>
    <w:rsid w:val="007C5B53"/>
    <w:rsid w:val="007E20D8"/>
    <w:rsid w:val="007F740B"/>
    <w:rsid w:val="00810D5D"/>
    <w:rsid w:val="00817165"/>
    <w:rsid w:val="00817CE7"/>
    <w:rsid w:val="00827348"/>
    <w:rsid w:val="00827826"/>
    <w:rsid w:val="0083588B"/>
    <w:rsid w:val="0085073C"/>
    <w:rsid w:val="00892607"/>
    <w:rsid w:val="008A16A0"/>
    <w:rsid w:val="008A3216"/>
    <w:rsid w:val="008A771D"/>
    <w:rsid w:val="008B4201"/>
    <w:rsid w:val="008B7114"/>
    <w:rsid w:val="008E00F0"/>
    <w:rsid w:val="0091260E"/>
    <w:rsid w:val="0094107B"/>
    <w:rsid w:val="00953D1C"/>
    <w:rsid w:val="00962B01"/>
    <w:rsid w:val="00965A50"/>
    <w:rsid w:val="00986B33"/>
    <w:rsid w:val="00987AD5"/>
    <w:rsid w:val="009B49FD"/>
    <w:rsid w:val="009B70AE"/>
    <w:rsid w:val="009E741F"/>
    <w:rsid w:val="00A0733F"/>
    <w:rsid w:val="00A11EAC"/>
    <w:rsid w:val="00A145EF"/>
    <w:rsid w:val="00A22C7C"/>
    <w:rsid w:val="00A32599"/>
    <w:rsid w:val="00A3673B"/>
    <w:rsid w:val="00A663AE"/>
    <w:rsid w:val="00A9691E"/>
    <w:rsid w:val="00AA2AC2"/>
    <w:rsid w:val="00AA31E4"/>
    <w:rsid w:val="00AA6BAA"/>
    <w:rsid w:val="00AF60FF"/>
    <w:rsid w:val="00B0336D"/>
    <w:rsid w:val="00B078B1"/>
    <w:rsid w:val="00B61BB8"/>
    <w:rsid w:val="00B711EC"/>
    <w:rsid w:val="00B81121"/>
    <w:rsid w:val="00B856AB"/>
    <w:rsid w:val="00BB0CF3"/>
    <w:rsid w:val="00BE1852"/>
    <w:rsid w:val="00BF17AA"/>
    <w:rsid w:val="00C03605"/>
    <w:rsid w:val="00C041A3"/>
    <w:rsid w:val="00C06026"/>
    <w:rsid w:val="00C13A55"/>
    <w:rsid w:val="00C24556"/>
    <w:rsid w:val="00C461DC"/>
    <w:rsid w:val="00C50A67"/>
    <w:rsid w:val="00C82EAF"/>
    <w:rsid w:val="00C91FCE"/>
    <w:rsid w:val="00C94A09"/>
    <w:rsid w:val="00CB4AD0"/>
    <w:rsid w:val="00CC62D3"/>
    <w:rsid w:val="00D22B6A"/>
    <w:rsid w:val="00D53D2E"/>
    <w:rsid w:val="00D5584C"/>
    <w:rsid w:val="00DA1263"/>
    <w:rsid w:val="00DA1A61"/>
    <w:rsid w:val="00DA2F71"/>
    <w:rsid w:val="00DA4782"/>
    <w:rsid w:val="00DA75E7"/>
    <w:rsid w:val="00DB138B"/>
    <w:rsid w:val="00DE073A"/>
    <w:rsid w:val="00E02DB6"/>
    <w:rsid w:val="00E06BF9"/>
    <w:rsid w:val="00E370C6"/>
    <w:rsid w:val="00E534E8"/>
    <w:rsid w:val="00E53566"/>
    <w:rsid w:val="00E54FE0"/>
    <w:rsid w:val="00E636FA"/>
    <w:rsid w:val="00E86113"/>
    <w:rsid w:val="00E871BC"/>
    <w:rsid w:val="00EA19F9"/>
    <w:rsid w:val="00EC59AD"/>
    <w:rsid w:val="00EF3FF8"/>
    <w:rsid w:val="00F20BC4"/>
    <w:rsid w:val="00F235BF"/>
    <w:rsid w:val="00F315DC"/>
    <w:rsid w:val="00F47A9A"/>
    <w:rsid w:val="00F86B4B"/>
    <w:rsid w:val="00F91206"/>
    <w:rsid w:val="00FA68C8"/>
    <w:rsid w:val="00FB0C1F"/>
    <w:rsid w:val="00FB3214"/>
    <w:rsid w:val="00FB658D"/>
    <w:rsid w:val="00FC5B52"/>
    <w:rsid w:val="00FC6C57"/>
    <w:rsid w:val="00FD0FD3"/>
    <w:rsid w:val="00FE3993"/>
    <w:rsid w:val="56B8DDB9"/>
    <w:rsid w:val="70984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770E4"/>
  <w15:docId w15:val="{56327693-08A7-4D3A-A33A-11122AA97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11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113"/>
    <w:rPr>
      <w:rFonts w:ascii="Segoe UI" w:hAnsi="Segoe UI" w:cs="Segoe UI"/>
      <w:sz w:val="18"/>
      <w:szCs w:val="18"/>
      <w:lang w:val="en-GB"/>
    </w:rPr>
  </w:style>
  <w:style w:type="paragraph" w:styleId="ListBullet4">
    <w:name w:val="List Bullet 4"/>
    <w:basedOn w:val="Normal"/>
    <w:uiPriority w:val="99"/>
    <w:semiHidden/>
    <w:unhideWhenUsed/>
    <w:rsid w:val="00AF60FF"/>
    <w:pPr>
      <w:numPr>
        <w:numId w:val="3"/>
      </w:numPr>
      <w:contextualSpacing/>
    </w:pPr>
  </w:style>
  <w:style w:type="character" w:styleId="CommentReference">
    <w:name w:val="annotation reference"/>
    <w:basedOn w:val="DefaultParagraphFont"/>
    <w:uiPriority w:val="99"/>
    <w:semiHidden/>
    <w:unhideWhenUsed/>
    <w:rsid w:val="00605EDD"/>
    <w:rPr>
      <w:sz w:val="16"/>
      <w:szCs w:val="16"/>
    </w:rPr>
  </w:style>
  <w:style w:type="paragraph" w:styleId="CommentText">
    <w:name w:val="annotation text"/>
    <w:basedOn w:val="Normal"/>
    <w:link w:val="CommentTextChar"/>
    <w:uiPriority w:val="99"/>
    <w:unhideWhenUsed/>
    <w:rsid w:val="00605EDD"/>
    <w:rPr>
      <w:sz w:val="20"/>
      <w:szCs w:val="20"/>
    </w:rPr>
  </w:style>
  <w:style w:type="character" w:customStyle="1" w:styleId="CommentTextChar">
    <w:name w:val="Comment Text Char"/>
    <w:basedOn w:val="DefaultParagraphFont"/>
    <w:link w:val="CommentText"/>
    <w:uiPriority w:val="99"/>
    <w:rsid w:val="00605ED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05EDD"/>
    <w:rPr>
      <w:b/>
      <w:bCs/>
    </w:rPr>
  </w:style>
  <w:style w:type="character" w:customStyle="1" w:styleId="CommentSubjectChar">
    <w:name w:val="Comment Subject Char"/>
    <w:basedOn w:val="CommentTextChar"/>
    <w:link w:val="CommentSubject"/>
    <w:uiPriority w:val="99"/>
    <w:semiHidden/>
    <w:rsid w:val="00605EDD"/>
    <w:rPr>
      <w:rFonts w:ascii="Times New Roman" w:hAnsi="Times New Roman" w:cs="Times New Roman"/>
      <w:b/>
      <w:bCs/>
      <w:sz w:val="20"/>
      <w:szCs w:val="20"/>
      <w:lang w:val="en-GB"/>
    </w:rPr>
  </w:style>
  <w:style w:type="paragraph" w:styleId="ListBullet">
    <w:name w:val="List Bullet"/>
    <w:basedOn w:val="Normal"/>
    <w:uiPriority w:val="99"/>
    <w:semiHidden/>
    <w:unhideWhenUsed/>
    <w:rsid w:val="00817165"/>
    <w:pPr>
      <w:numPr>
        <w:numId w:val="4"/>
      </w:numPr>
      <w:contextualSpacing/>
    </w:pPr>
  </w:style>
  <w:style w:type="paragraph" w:styleId="ListBullet2">
    <w:name w:val="List Bullet 2"/>
    <w:basedOn w:val="Normal"/>
    <w:uiPriority w:val="99"/>
    <w:semiHidden/>
    <w:unhideWhenUsed/>
    <w:rsid w:val="00817165"/>
    <w:pPr>
      <w:numPr>
        <w:numId w:val="5"/>
      </w:numPr>
      <w:contextualSpacing/>
    </w:pPr>
  </w:style>
  <w:style w:type="paragraph" w:styleId="ListBullet3">
    <w:name w:val="List Bullet 3"/>
    <w:basedOn w:val="Normal"/>
    <w:uiPriority w:val="99"/>
    <w:semiHidden/>
    <w:unhideWhenUsed/>
    <w:rsid w:val="00817165"/>
    <w:pPr>
      <w:numPr>
        <w:numId w:val="6"/>
      </w:numPr>
      <w:contextualSpacing/>
    </w:pPr>
  </w:style>
  <w:style w:type="paragraph" w:styleId="Caption">
    <w:name w:val="caption"/>
    <w:basedOn w:val="Normal"/>
    <w:next w:val="Normal"/>
    <w:uiPriority w:val="35"/>
    <w:semiHidden/>
    <w:unhideWhenUsed/>
    <w:qFormat/>
    <w:rsid w:val="008A771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A771D"/>
    <w:pPr>
      <w:spacing w:after="0"/>
    </w:pPr>
  </w:style>
  <w:style w:type="paragraph" w:styleId="ListNumber">
    <w:name w:val="List Number"/>
    <w:basedOn w:val="Normal"/>
    <w:uiPriority w:val="99"/>
    <w:semiHidden/>
    <w:unhideWhenUsed/>
    <w:rsid w:val="008A771D"/>
    <w:pPr>
      <w:numPr>
        <w:numId w:val="7"/>
      </w:numPr>
      <w:contextualSpacing/>
    </w:pPr>
  </w:style>
  <w:style w:type="paragraph" w:styleId="ListNumber2">
    <w:name w:val="List Number 2"/>
    <w:basedOn w:val="Normal"/>
    <w:uiPriority w:val="99"/>
    <w:semiHidden/>
    <w:unhideWhenUsed/>
    <w:rsid w:val="008A771D"/>
    <w:pPr>
      <w:numPr>
        <w:numId w:val="8"/>
      </w:numPr>
      <w:contextualSpacing/>
    </w:pPr>
  </w:style>
  <w:style w:type="paragraph" w:styleId="ListNumber3">
    <w:name w:val="List Number 3"/>
    <w:basedOn w:val="Normal"/>
    <w:uiPriority w:val="99"/>
    <w:semiHidden/>
    <w:unhideWhenUsed/>
    <w:rsid w:val="008A771D"/>
    <w:pPr>
      <w:numPr>
        <w:numId w:val="9"/>
      </w:numPr>
      <w:contextualSpacing/>
    </w:pPr>
  </w:style>
  <w:style w:type="paragraph" w:styleId="ListNumber4">
    <w:name w:val="List Number 4"/>
    <w:basedOn w:val="Normal"/>
    <w:uiPriority w:val="99"/>
    <w:semiHidden/>
    <w:unhideWhenUsed/>
    <w:rsid w:val="008A771D"/>
    <w:pPr>
      <w:numPr>
        <w:numId w:val="10"/>
      </w:numPr>
      <w:contextualSpacing/>
    </w:pPr>
  </w:style>
  <w:style w:type="character" w:styleId="Hyperlink">
    <w:name w:val="Hyperlink"/>
    <w:basedOn w:val="DefaultParagraphFont"/>
    <w:uiPriority w:val="99"/>
    <w:unhideWhenUsed/>
    <w:rsid w:val="00EA19F9"/>
    <w:rPr>
      <w:color w:val="0000FF" w:themeColor="hyperlink"/>
      <w:u w:val="single"/>
    </w:rPr>
  </w:style>
  <w:style w:type="character" w:customStyle="1" w:styleId="UnresolvedMention1">
    <w:name w:val="Unresolved Mention1"/>
    <w:basedOn w:val="DefaultParagraphFont"/>
    <w:uiPriority w:val="99"/>
    <w:semiHidden/>
    <w:unhideWhenUsed/>
    <w:rsid w:val="00EA19F9"/>
    <w:rPr>
      <w:color w:val="605E5C"/>
      <w:shd w:val="clear" w:color="auto" w:fill="E1DFDD"/>
    </w:rPr>
  </w:style>
  <w:style w:type="paragraph" w:styleId="Revision">
    <w:name w:val="Revision"/>
    <w:hidden/>
    <w:uiPriority w:val="99"/>
    <w:semiHidden/>
    <w:rsid w:val="002C3E6D"/>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545DF2"/>
    <w:rPr>
      <w:color w:val="605E5C"/>
      <w:shd w:val="clear" w:color="auto" w:fill="E1DFDD"/>
    </w:rPr>
  </w:style>
  <w:style w:type="character" w:customStyle="1" w:styleId="HeaderChar">
    <w:name w:val="Header Char"/>
    <w:basedOn w:val="DefaultParagraphFont"/>
    <w:link w:val="Header"/>
    <w:uiPriority w:val="99"/>
    <w:rsid w:val="003E3F98"/>
    <w:rPr>
      <w:rFonts w:ascii="Times New Roman" w:hAnsi="Times New Roman" w:cs="Times New Roman"/>
      <w:sz w:val="24"/>
      <w:lang w:val="en-GB"/>
    </w:rPr>
  </w:style>
  <w:style w:type="character" w:customStyle="1" w:styleId="FooterChar">
    <w:name w:val="Footer Char"/>
    <w:basedOn w:val="DefaultParagraphFont"/>
    <w:link w:val="Footer"/>
    <w:uiPriority w:val="99"/>
    <w:rsid w:val="003E3F9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E3F9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E3F98"/>
    <w:pPr>
      <w:spacing w:before="0"/>
      <w:jc w:val="right"/>
    </w:pPr>
    <w:rPr>
      <w:sz w:val="28"/>
    </w:rPr>
  </w:style>
  <w:style w:type="paragraph" w:customStyle="1" w:styleId="FooterSensitivity">
    <w:name w:val="Footer Sensitivity"/>
    <w:basedOn w:val="Normal"/>
    <w:rsid w:val="003E3F9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E3F98"/>
    <w:pPr>
      <w:tabs>
        <w:tab w:val="center" w:pos="4535"/>
        <w:tab w:val="right" w:pos="9071"/>
      </w:tabs>
      <w:spacing w:before="0"/>
    </w:pPr>
  </w:style>
  <w:style w:type="paragraph" w:customStyle="1" w:styleId="HeaderLandscape">
    <w:name w:val="HeaderLandscape"/>
    <w:basedOn w:val="Normal"/>
    <w:rsid w:val="003E3F98"/>
    <w:pPr>
      <w:tabs>
        <w:tab w:val="center" w:pos="7285"/>
        <w:tab w:val="right" w:pos="14003"/>
      </w:tabs>
      <w:spacing w:before="0"/>
    </w:pPr>
  </w:style>
  <w:style w:type="paragraph" w:styleId="Footer">
    <w:name w:val="footer"/>
    <w:basedOn w:val="Normal"/>
    <w:link w:val="FooterChar"/>
    <w:uiPriority w:val="99"/>
    <w:unhideWhenUsed/>
    <w:rsid w:val="003E3F9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E3F9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12DC2-C7D6-4553-89FF-F6E561B7F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2026-02-10T08:51:00Z</dcterms:created>
  <dcterms:modified xsi:type="dcterms:W3CDTF">2026-02-24T16:14:00Z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COM/ANNEX</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2026-01-30T11:26:03Z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c782101a-7911-410b-bdb4-b4488bb7a474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DQCStatus">
    <vt:lpwstr>Yellow (DQC version 03)</vt:lpwstr>
  </property>
</Properties>
</file>