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010A46" w14:textId="49138B3C" w:rsidR="008824B5" w:rsidRPr="00A702E4" w:rsidRDefault="00D10844" w:rsidP="00D10844">
      <w:pPr>
        <w:pStyle w:val="Pagedecouverture"/>
        <w:rPr>
          <w:noProof/>
        </w:rPr>
      </w:pPr>
      <w:r>
        <w:rPr>
          <w:noProof/>
        </w:rPr>
        <w:pict w14:anchorId="14F41E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989DEF9-7A8B-4578-8D2A-607C9E0666A4" style="width:455.25pt;height:372.75pt">
            <v:imagedata r:id="rId8" o:title=""/>
          </v:shape>
        </w:pict>
      </w:r>
    </w:p>
    <w:p w14:paraId="01BA4A64" w14:textId="77777777" w:rsidR="004E377C" w:rsidRPr="00A702E4" w:rsidRDefault="004E377C" w:rsidP="00D52239">
      <w:pPr>
        <w:pStyle w:val="Typedudocument"/>
        <w:rPr>
          <w:noProof/>
        </w:rPr>
        <w:sectPr w:rsidR="004E377C" w:rsidRPr="00A702E4" w:rsidSect="00D10844">
          <w:footerReference w:type="even" r:id="rId9"/>
          <w:footerReference w:type="default" r:id="rId10"/>
          <w:pgSz w:w="11907" w:h="16839"/>
          <w:pgMar w:top="1134" w:right="1417" w:bottom="1134" w:left="1417" w:header="709" w:footer="709" w:gutter="0"/>
          <w:pgNumType w:start="0"/>
          <w:cols w:space="720"/>
          <w:docGrid w:linePitch="360"/>
        </w:sectPr>
      </w:pPr>
    </w:p>
    <w:p w14:paraId="2F51AD2C" w14:textId="77777777" w:rsidR="00DC622D" w:rsidRPr="00A702E4" w:rsidRDefault="00DC622D" w:rsidP="00BB6B30">
      <w:pPr>
        <w:pStyle w:val="Exposdesmotifstitre"/>
        <w:rPr>
          <w:noProof/>
        </w:rPr>
      </w:pPr>
      <w:bookmarkStart w:id="0" w:name="_GoBack"/>
      <w:bookmarkEnd w:id="0"/>
      <w:r w:rsidRPr="00A702E4">
        <w:rPr>
          <w:noProof/>
        </w:rPr>
        <w:lastRenderedPageBreak/>
        <w:t>EXPUNERE DE MOTIVE</w:t>
      </w:r>
    </w:p>
    <w:p w14:paraId="6B6D3CBC" w14:textId="77777777" w:rsidR="00DC622D" w:rsidRPr="00A702E4" w:rsidRDefault="00DC622D" w:rsidP="00BB6B30">
      <w:pPr>
        <w:pStyle w:val="ManualHeading1"/>
        <w:rPr>
          <w:noProof/>
        </w:rPr>
      </w:pPr>
      <w:r w:rsidRPr="00A702E4">
        <w:rPr>
          <w:noProof/>
        </w:rPr>
        <w:t>(1)</w:t>
      </w:r>
      <w:r w:rsidRPr="00A702E4">
        <w:rPr>
          <w:noProof/>
        </w:rPr>
        <w:tab/>
        <w:t>CONTEXTUL PROPUNERII</w:t>
      </w:r>
    </w:p>
    <w:p w14:paraId="58BFEAA3" w14:textId="77777777" w:rsidR="00DC622D" w:rsidRPr="00A702E4" w:rsidRDefault="00DC622D" w:rsidP="00044058">
      <w:pPr>
        <w:pStyle w:val="ManualHeading2"/>
        <w:rPr>
          <w:rFonts w:eastAsia="Arial Unicode MS"/>
          <w:noProof/>
        </w:rPr>
      </w:pPr>
      <w:r w:rsidRPr="00A702E4">
        <w:rPr>
          <w:noProof/>
          <w:color w:val="000000"/>
          <w:u w:color="000000"/>
          <w:bdr w:val="nil"/>
        </w:rPr>
        <w:t>•</w:t>
      </w:r>
      <w:r w:rsidRPr="00A702E4">
        <w:rPr>
          <w:noProof/>
        </w:rPr>
        <w:tab/>
        <w:t>Motivele și obiectivele propunerii</w:t>
      </w:r>
    </w:p>
    <w:p w14:paraId="5599503F" w14:textId="77777777" w:rsidR="00D36DE8" w:rsidRPr="00A702E4" w:rsidRDefault="006F01D6" w:rsidP="006F01D6">
      <w:pPr>
        <w:spacing w:before="60" w:after="60"/>
        <w:rPr>
          <w:rFonts w:eastAsia="Arial Unicode MS"/>
          <w:noProof/>
        </w:rPr>
      </w:pPr>
      <w:r w:rsidRPr="00A702E4">
        <w:rPr>
          <w:noProof/>
        </w:rPr>
        <w:t>Comisia recomandă negocierea cu Mauritius a unui nou Acord de parteneriat în domeniul pescuitului sustenabil și a Protocolului de punere în aplicare a acestuia, care să răspundă necesităților flotei Uniunii și să fie în conformitate cu articolele 28, 31 și 32 din Regulamentul (UE) nr. 1380/2013 privind politica comună în domeniul pescuitului („PCP”)</w:t>
      </w:r>
      <w:r w:rsidRPr="00A702E4">
        <w:rPr>
          <w:rStyle w:val="FootnoteReference"/>
          <w:rFonts w:eastAsia="Arial Unicode MS"/>
          <w:noProof/>
        </w:rPr>
        <w:footnoteReference w:id="1"/>
      </w:r>
      <w:r w:rsidRPr="00A702E4">
        <w:rPr>
          <w:noProof/>
        </w:rPr>
        <w:t xml:space="preserve"> și cu Concluziile Consiliului din 19 martie 2012 cu privire la o comunicare a Comisiei privind dimensiunea externă a PCP.</w:t>
      </w:r>
    </w:p>
    <w:p w14:paraId="75A86357" w14:textId="77777777" w:rsidR="003A2487" w:rsidRPr="00A702E4" w:rsidRDefault="00D36DE8" w:rsidP="003A2487">
      <w:pPr>
        <w:spacing w:before="60" w:after="60"/>
        <w:rPr>
          <w:rFonts w:eastAsia="Arial Unicode MS"/>
          <w:noProof/>
        </w:rPr>
      </w:pPr>
      <w:r w:rsidRPr="00A702E4">
        <w:rPr>
          <w:noProof/>
        </w:rPr>
        <w:t>Înlocuirea actualului Acord de parteneriat în domeniul pescuitului (APP) dintre Uniunea Europeană și Mauritius cu un Acord de parteneriat în domeniul pescuitului sustenabil (APPS) ar reflecta mai bine schimbările care rezultă din reforma PCP din 2013, în special accentul mai mare pus pe sustenabilitate.</w:t>
      </w:r>
    </w:p>
    <w:p w14:paraId="57F7F45E" w14:textId="77777777" w:rsidR="006F01D6" w:rsidRPr="00A702E4" w:rsidRDefault="003A2487" w:rsidP="003A2487">
      <w:pPr>
        <w:pStyle w:val="ManualHeading2"/>
        <w:rPr>
          <w:rFonts w:eastAsia="Arial Unicode MS"/>
          <w:noProof/>
        </w:rPr>
      </w:pPr>
      <w:r w:rsidRPr="00A702E4">
        <w:rPr>
          <w:noProof/>
          <w:color w:val="000000"/>
          <w:u w:color="000000"/>
          <w:bdr w:val="nil"/>
        </w:rPr>
        <w:t>•</w:t>
      </w:r>
      <w:r w:rsidRPr="00A702E4">
        <w:rPr>
          <w:noProof/>
        </w:rPr>
        <w:tab/>
        <w:t>Coerența cu dispozițiile de politică deja existente în domeniul de politică vizat</w:t>
      </w:r>
    </w:p>
    <w:p w14:paraId="5E66AC6A" w14:textId="77777777" w:rsidR="006F01D6" w:rsidRPr="00A702E4" w:rsidRDefault="006F01D6" w:rsidP="2E95D13C">
      <w:pPr>
        <w:pBdr>
          <w:top w:val="nil"/>
          <w:left w:val="nil"/>
          <w:bottom w:val="nil"/>
          <w:right w:val="nil"/>
          <w:between w:val="nil"/>
          <w:bar w:val="nil"/>
        </w:pBdr>
        <w:spacing w:before="0" w:after="240"/>
        <w:rPr>
          <w:rFonts w:eastAsia="Arial Unicode MS"/>
          <w:noProof/>
        </w:rPr>
      </w:pPr>
      <w:r w:rsidRPr="00A702E4">
        <w:rPr>
          <w:noProof/>
        </w:rPr>
        <w:t>Actualul acord de parteneriat în domeniul pescuitului dintre Uniunea Europeană și Mauritius</w:t>
      </w:r>
      <w:r w:rsidRPr="00A702E4">
        <w:rPr>
          <w:rStyle w:val="FootnoteReference"/>
          <w:rFonts w:eastAsia="Arial Unicode MS"/>
          <w:noProof/>
        </w:rPr>
        <w:footnoteReference w:id="2"/>
      </w:r>
      <w:r w:rsidRPr="00A702E4">
        <w:rPr>
          <w:noProof/>
        </w:rPr>
        <w:t xml:space="preserve"> a intrat în vigoare la 28 ianuarie 2014 pentru o durată de 6 ani și poate fi reînnoit tacit pentru perioade suplimentare de 3 ani. Actualul Protocol de punere în aplicare pe 4 ani</w:t>
      </w:r>
      <w:r w:rsidRPr="00A702E4">
        <w:rPr>
          <w:rStyle w:val="FootnoteReference"/>
          <w:noProof/>
        </w:rPr>
        <w:footnoteReference w:id="3"/>
      </w:r>
      <w:r w:rsidRPr="00A702E4">
        <w:rPr>
          <w:noProof/>
        </w:rPr>
        <w:t xml:space="preserve"> a început să se aplice la 21 decembrie 2022 și va expira la 21 decembrie 2026. El stabilește posibilitățile de pescuit acordate flotei Uniunii și contribuția financiară corespunzătoare plătită de Uniune și de armatori. Se recomandă negocierea cu Mauritius a unui nou Acord de parteneriat în domeniul pescuitului sustenabil și a Protocolului de punere în aplicare a acestuia.</w:t>
      </w:r>
    </w:p>
    <w:p w14:paraId="23F1386C" w14:textId="77777777" w:rsidR="006F01D6" w:rsidRPr="00A702E4" w:rsidRDefault="006F01D6" w:rsidP="006F01D6">
      <w:pPr>
        <w:pBdr>
          <w:top w:val="nil"/>
          <w:left w:val="nil"/>
          <w:bottom w:val="nil"/>
          <w:right w:val="nil"/>
          <w:between w:val="nil"/>
          <w:bar w:val="nil"/>
        </w:pBdr>
        <w:spacing w:before="0" w:after="240"/>
        <w:rPr>
          <w:rFonts w:eastAsia="Arial Unicode MS"/>
          <w:noProof/>
          <w:szCs w:val="24"/>
        </w:rPr>
      </w:pPr>
      <w:r w:rsidRPr="00A702E4">
        <w:rPr>
          <w:noProof/>
        </w:rPr>
        <w:t>Contribuția financiară publică anuală a Uniunii datorată Mauritius se ridică la 275 000 EUR pentru acces, la care se adaugă încă 450 000 EUR alocați în mod specific sprijinului sectorial pentru politica în domeniul pescuitului și politicile conexe.</w:t>
      </w:r>
    </w:p>
    <w:p w14:paraId="780E5FDF" w14:textId="77777777" w:rsidR="006F01D6" w:rsidRPr="00A702E4" w:rsidRDefault="006F01D6" w:rsidP="006F01D6">
      <w:pPr>
        <w:spacing w:before="60" w:after="240"/>
        <w:rPr>
          <w:rFonts w:eastAsia="Arial Unicode MS"/>
          <w:noProof/>
        </w:rPr>
      </w:pPr>
      <w:r w:rsidRPr="00A702E4">
        <w:rPr>
          <w:noProof/>
        </w:rPr>
        <w:t xml:space="preserve">Actualul Protocol de punere în aplicare la Acordul de parteneriat în domeniul pescuitului cu Mauritius prevede posibilități de pescuit care vizează tonul și speciile mari migratoare pentru nave provenind din 4 state membre ale Uniunii (Spania, Franța, Italia și Portugalia). </w:t>
      </w:r>
    </w:p>
    <w:p w14:paraId="5A80E9A4" w14:textId="77777777" w:rsidR="00F11638" w:rsidRPr="00A702E4" w:rsidRDefault="006F01D6" w:rsidP="004218DF">
      <w:pPr>
        <w:rPr>
          <w:rFonts w:eastAsia="Arial Unicode MS"/>
          <w:noProof/>
        </w:rPr>
      </w:pPr>
      <w:bookmarkStart w:id="2" w:name="_Hlk219802092"/>
      <w:r w:rsidRPr="00A702E4">
        <w:rPr>
          <w:noProof/>
        </w:rPr>
        <w:t xml:space="preserve">APPS-urile contribuie la promovarea obiectivelor PCP la nivel internațional, garantând că activitățile de pescuit ale Uniunii desfășurate în afara apelor Uniunii se bazează pe aceleași principii și standarde ca cele aplicabile în temeiul legislației Uniunii. În plus, APPS-urile susțin cooperarea științifică între UE și partenerii săi, promovează transparența și sustenabilitatea în vederea unei mai bune gestionări a resurselor piscicole și consolidează guvernanța prin construirea de capacități pentru monitorizarea, controlul și supravegherea activităților flotelor naționale și străine și prin furnizarea de finanțare pentru a lupta împotriva pescuitului ilegal, nedeclarat și nereglementat (INN) și pentru a contribui la dezvoltarea durabilă a industriei de pescuit locale. APPS-urile completează alte instrumente ale Uniunii, inclusiv Instrumentul de vecinătate, cooperare pentru dezvoltare și cooperare internațională (IVCDCI), în ceea ce privește consolidarea capacităților naționale și regionale de gestionare a </w:t>
      </w:r>
      <w:r w:rsidRPr="00A702E4">
        <w:rPr>
          <w:noProof/>
        </w:rPr>
        <w:lastRenderedPageBreak/>
        <w:t>pescuitului și se bazează pe oportunitățile existente, cum ar fi cursurile de formare oferite de Centrul Comun de Cercetare (JRC) și de Agenția Europeană pentru Controlul Pescuitului (EFCA). APPS-urile consolidează poziția Uniunii în cadrul organizațiilor de pescuit internaționale și regionale: în cazul Mauritius, în special în cadrul Comisiei Tonului din Oceanul Indian (IOTC) și al Acordului privind pescuitul în sudul Oceanului Indian (SIOFA). Uniunea Europeană a dezvoltat deja o rețea de APPS-uri bilaterale în Oceanul Indian, și anume cu Seychelles și Madagascar.</w:t>
      </w:r>
    </w:p>
    <w:bookmarkEnd w:id="2"/>
    <w:p w14:paraId="1E902DB2" w14:textId="77777777" w:rsidR="006F01D6" w:rsidRPr="00A702E4" w:rsidRDefault="006F01D6" w:rsidP="006F01D6">
      <w:pPr>
        <w:pStyle w:val="ManualHeading2"/>
        <w:rPr>
          <w:rFonts w:eastAsia="Arial Unicode MS"/>
          <w:noProof/>
        </w:rPr>
      </w:pPr>
      <w:r w:rsidRPr="00A702E4">
        <w:rPr>
          <w:noProof/>
          <w:color w:val="000000"/>
          <w:u w:color="000000"/>
          <w:bdr w:val="nil"/>
        </w:rPr>
        <w:t>•</w:t>
      </w:r>
      <w:r w:rsidRPr="00A702E4">
        <w:rPr>
          <w:noProof/>
        </w:rPr>
        <w:tab/>
        <w:t>Coerența cu alte politici ale Uniunii</w:t>
      </w:r>
    </w:p>
    <w:p w14:paraId="1C35B579" w14:textId="77777777" w:rsidR="006F01D6" w:rsidRPr="00A702E4" w:rsidRDefault="006F01D6" w:rsidP="006F01D6">
      <w:pPr>
        <w:pBdr>
          <w:top w:val="nil"/>
          <w:left w:val="nil"/>
          <w:bottom w:val="nil"/>
          <w:right w:val="nil"/>
          <w:between w:val="nil"/>
          <w:bar w:val="nil"/>
        </w:pBdr>
        <w:spacing w:before="0" w:after="240"/>
        <w:rPr>
          <w:rFonts w:eastAsia="Arial Unicode MS"/>
          <w:noProof/>
        </w:rPr>
      </w:pPr>
      <w:r w:rsidRPr="00A702E4">
        <w:rPr>
          <w:noProof/>
        </w:rPr>
        <w:t>Negocierea cu Mauritius a unui nou Acorduri de parteneriat în domeniul pescuitului sustenabil și a Protocolului de punere în aplicare a acestuia este în concordanță cu acțiunea externă a Uniunii care vizează țările din Africa, zona Caraibilor și Pacific (ACP), în special cu obiectivele Uniunii referitoare la respectarea principiilor democratice și a drepturilor omului.</w:t>
      </w:r>
    </w:p>
    <w:p w14:paraId="537F9216" w14:textId="77777777" w:rsidR="00D36DE8" w:rsidRPr="00A702E4" w:rsidRDefault="00D36DE8" w:rsidP="006F01D6">
      <w:pPr>
        <w:pBdr>
          <w:top w:val="nil"/>
          <w:left w:val="nil"/>
          <w:bottom w:val="nil"/>
          <w:right w:val="nil"/>
          <w:between w:val="nil"/>
          <w:bar w:val="nil"/>
        </w:pBdr>
        <w:spacing w:before="0" w:after="240"/>
        <w:rPr>
          <w:rFonts w:eastAsia="Arial Unicode MS"/>
          <w:noProof/>
        </w:rPr>
      </w:pPr>
      <w:r w:rsidRPr="00A702E4">
        <w:rPr>
          <w:noProof/>
        </w:rPr>
        <w:t>Promovarea muncii decente ar trebui asigurată prin negocierea preconizată a unei clauze sociale în conformitate cu Convenția OIM C188 pentru lucrătorii din țara parteneră care urmează să fie angajați de navele Uniunii.</w:t>
      </w:r>
    </w:p>
    <w:p w14:paraId="6014397F" w14:textId="77777777" w:rsidR="006F01D6" w:rsidRPr="00A702E4" w:rsidRDefault="006F01D6" w:rsidP="006F01D6">
      <w:pPr>
        <w:pStyle w:val="ManualHeading1"/>
        <w:rPr>
          <w:noProof/>
        </w:rPr>
      </w:pPr>
      <w:r w:rsidRPr="00A702E4">
        <w:rPr>
          <w:noProof/>
        </w:rPr>
        <w:t>(2)</w:t>
      </w:r>
      <w:r w:rsidRPr="00A702E4">
        <w:rPr>
          <w:noProof/>
        </w:rPr>
        <w:tab/>
        <w:t>TEMEI JURIDIC, SUBSIDIARITATE ȘI PROPORȚIONALITATE</w:t>
      </w:r>
    </w:p>
    <w:p w14:paraId="02EE9F5F" w14:textId="77777777" w:rsidR="006F01D6" w:rsidRPr="00A702E4" w:rsidRDefault="006F01D6" w:rsidP="006F01D6">
      <w:pPr>
        <w:pStyle w:val="ManualHeading2"/>
        <w:rPr>
          <w:rFonts w:eastAsia="Arial Unicode MS"/>
          <w:noProof/>
          <w:u w:color="000000"/>
          <w:bdr w:val="nil"/>
        </w:rPr>
      </w:pPr>
      <w:r w:rsidRPr="00A702E4">
        <w:rPr>
          <w:noProof/>
          <w:u w:color="000000"/>
          <w:bdr w:val="nil"/>
        </w:rPr>
        <w:t>•</w:t>
      </w:r>
      <w:r w:rsidRPr="00A702E4">
        <w:rPr>
          <w:noProof/>
        </w:rPr>
        <w:tab/>
      </w:r>
      <w:r w:rsidRPr="00A702E4">
        <w:rPr>
          <w:noProof/>
          <w:u w:color="000000"/>
          <w:bdr w:val="nil"/>
        </w:rPr>
        <w:t>Temeiul juridic</w:t>
      </w:r>
    </w:p>
    <w:p w14:paraId="1764B803" w14:textId="77777777" w:rsidR="006D7569" w:rsidRPr="00A702E4" w:rsidRDefault="006D7569" w:rsidP="006F01D6">
      <w:pPr>
        <w:pBdr>
          <w:top w:val="nil"/>
          <w:left w:val="nil"/>
          <w:bottom w:val="nil"/>
          <w:right w:val="nil"/>
          <w:between w:val="nil"/>
          <w:bar w:val="nil"/>
        </w:pBdr>
        <w:spacing w:before="0" w:after="240"/>
        <w:rPr>
          <w:rFonts w:eastAsia="Arial Unicode MS"/>
          <w:noProof/>
        </w:rPr>
      </w:pPr>
      <w:r w:rsidRPr="00A702E4">
        <w:rPr>
          <w:noProof/>
        </w:rPr>
        <w:t xml:space="preserve">Temeiul juridic procedural al deciziei îl constituie articolul 218 alineatele (3) și (4) din Tratatul privind funcționarea Uniunii Europene (TFUE). Temeiul juridic material este articolul 43 alineatul (2) din TFUE în ceea ce privește politica comună în domeniul pescuitului. </w:t>
      </w:r>
    </w:p>
    <w:p w14:paraId="0DF3FCEC" w14:textId="77777777" w:rsidR="006F01D6" w:rsidRPr="00A702E4" w:rsidRDefault="006F01D6" w:rsidP="006F01D6">
      <w:pPr>
        <w:pStyle w:val="ManualHeading2"/>
        <w:rPr>
          <w:rFonts w:eastAsia="Arial Unicode MS"/>
          <w:noProof/>
          <w:u w:color="000000"/>
          <w:bdr w:val="nil"/>
        </w:rPr>
      </w:pPr>
      <w:r w:rsidRPr="00A702E4">
        <w:rPr>
          <w:noProof/>
          <w:u w:color="000000"/>
          <w:bdr w:val="nil"/>
        </w:rPr>
        <w:t>•</w:t>
      </w:r>
      <w:r w:rsidRPr="00A702E4">
        <w:rPr>
          <w:noProof/>
        </w:rPr>
        <w:tab/>
      </w:r>
      <w:r w:rsidRPr="00A702E4">
        <w:rPr>
          <w:noProof/>
          <w:u w:color="000000"/>
          <w:bdr w:val="nil"/>
        </w:rPr>
        <w:t>Subsidiaritatea (în cazul competențelor neexclusive)</w:t>
      </w:r>
    </w:p>
    <w:p w14:paraId="643AAC32" w14:textId="77777777" w:rsidR="006F01D6" w:rsidRPr="00A702E4" w:rsidRDefault="006F01D6" w:rsidP="006F01D6">
      <w:pPr>
        <w:pBdr>
          <w:top w:val="nil"/>
          <w:left w:val="nil"/>
          <w:bottom w:val="nil"/>
          <w:right w:val="nil"/>
          <w:between w:val="nil"/>
          <w:bar w:val="nil"/>
        </w:pBdr>
        <w:spacing w:before="0" w:after="240"/>
        <w:rPr>
          <w:rFonts w:eastAsia="Arial Unicode MS"/>
          <w:noProof/>
        </w:rPr>
      </w:pPr>
      <w:r w:rsidRPr="00A702E4">
        <w:rPr>
          <w:noProof/>
        </w:rPr>
        <w:t>Nu se aplică, politica în domeniul pescuitului este un domeniu de competență exclusivă a UE.</w:t>
      </w:r>
    </w:p>
    <w:p w14:paraId="39ECD86D" w14:textId="77777777" w:rsidR="006F01D6" w:rsidRPr="00A702E4" w:rsidRDefault="006F01D6" w:rsidP="006F01D6">
      <w:pPr>
        <w:pStyle w:val="ManualHeading2"/>
        <w:rPr>
          <w:rFonts w:eastAsia="Arial Unicode MS"/>
          <w:noProof/>
          <w:u w:color="000000"/>
          <w:bdr w:val="nil"/>
        </w:rPr>
      </w:pPr>
      <w:r w:rsidRPr="00A702E4">
        <w:rPr>
          <w:noProof/>
          <w:u w:color="000000"/>
          <w:bdr w:val="nil"/>
        </w:rPr>
        <w:t>•</w:t>
      </w:r>
      <w:r w:rsidRPr="00A702E4">
        <w:rPr>
          <w:noProof/>
        </w:rPr>
        <w:tab/>
      </w:r>
      <w:r w:rsidRPr="00A702E4">
        <w:rPr>
          <w:noProof/>
          <w:u w:color="000000"/>
          <w:bdr w:val="nil"/>
        </w:rPr>
        <w:t>Proporționalitatea</w:t>
      </w:r>
    </w:p>
    <w:p w14:paraId="4E379468" w14:textId="77777777" w:rsidR="006F01D6" w:rsidRPr="00A702E4" w:rsidRDefault="006F01D6" w:rsidP="00520C33">
      <w:pPr>
        <w:pBdr>
          <w:top w:val="nil"/>
          <w:left w:val="nil"/>
          <w:bottom w:val="nil"/>
          <w:right w:val="nil"/>
          <w:between w:val="nil"/>
          <w:bar w:val="nil"/>
        </w:pBdr>
        <w:spacing w:before="0" w:after="240"/>
        <w:rPr>
          <w:rFonts w:eastAsia="Arial Unicode MS"/>
          <w:noProof/>
        </w:rPr>
      </w:pPr>
      <w:r w:rsidRPr="00A702E4">
        <w:rPr>
          <w:noProof/>
        </w:rPr>
        <w:t>Decizia este proporțională cu obiectivul de stabilire a unui cadru de guvernanță juridic, economic, social și de mediu pentru activitățile de pescuit desfășurate de navele din Uniune în apele țărilor terțe, în conformitate cu articolul 31 din Regulamentul (UE) nr. 1380/2013 privind politica comună în domeniul pescuitului.</w:t>
      </w:r>
    </w:p>
    <w:p w14:paraId="45452635" w14:textId="77777777" w:rsidR="006F01D6" w:rsidRPr="00A702E4" w:rsidRDefault="006F01D6" w:rsidP="006F01D6">
      <w:pPr>
        <w:pStyle w:val="ManualHeading2"/>
        <w:rPr>
          <w:rFonts w:eastAsia="Arial Unicode MS"/>
          <w:noProof/>
          <w:u w:color="000000"/>
          <w:bdr w:val="nil"/>
        </w:rPr>
      </w:pPr>
      <w:r w:rsidRPr="00A702E4">
        <w:rPr>
          <w:noProof/>
          <w:u w:color="000000"/>
          <w:bdr w:val="nil"/>
        </w:rPr>
        <w:t>•</w:t>
      </w:r>
      <w:r w:rsidRPr="00A702E4">
        <w:rPr>
          <w:noProof/>
        </w:rPr>
        <w:tab/>
      </w:r>
      <w:r w:rsidRPr="00A702E4">
        <w:rPr>
          <w:noProof/>
          <w:u w:color="000000"/>
          <w:bdr w:val="nil"/>
        </w:rPr>
        <w:t>Alegerea instrumentului</w:t>
      </w:r>
    </w:p>
    <w:p w14:paraId="08D7A396" w14:textId="77777777" w:rsidR="006F01D6" w:rsidRPr="00A702E4" w:rsidRDefault="006F01D6" w:rsidP="006F01D6">
      <w:pPr>
        <w:pBdr>
          <w:top w:val="nil"/>
          <w:left w:val="nil"/>
          <w:bottom w:val="nil"/>
          <w:right w:val="nil"/>
          <w:between w:val="nil"/>
          <w:bar w:val="nil"/>
        </w:pBdr>
        <w:spacing w:before="0" w:after="240"/>
        <w:rPr>
          <w:rFonts w:eastAsia="Arial Unicode MS"/>
          <w:noProof/>
        </w:rPr>
      </w:pPr>
      <w:r w:rsidRPr="00A702E4">
        <w:rPr>
          <w:noProof/>
        </w:rPr>
        <w:t>Instrumentul este prevăzut la articolul 218 alineatul (3) din TFUE.</w:t>
      </w:r>
    </w:p>
    <w:p w14:paraId="53AB6D49" w14:textId="77777777" w:rsidR="006F01D6" w:rsidRPr="00A702E4" w:rsidRDefault="006F01D6" w:rsidP="006F01D6">
      <w:pPr>
        <w:pStyle w:val="ManualHeading1"/>
        <w:rPr>
          <w:noProof/>
        </w:rPr>
      </w:pPr>
      <w:r w:rsidRPr="00A702E4">
        <w:rPr>
          <w:noProof/>
        </w:rPr>
        <w:t>(3)</w:t>
      </w:r>
      <w:r w:rsidRPr="00A702E4">
        <w:rPr>
          <w:noProof/>
        </w:rPr>
        <w:tab/>
        <w:t xml:space="preserve">REZULTATELE EVALUĂRILOR </w:t>
      </w:r>
      <w:r w:rsidRPr="00A702E4">
        <w:rPr>
          <w:i/>
          <w:noProof/>
        </w:rPr>
        <w:t>EX POST</w:t>
      </w:r>
      <w:r w:rsidRPr="00A702E4">
        <w:rPr>
          <w:noProof/>
        </w:rPr>
        <w:t>, ALE CONSULTĂRILOR CU PĂRȚILE INTERESATE ȘI ALE EVALUĂRILOR IMPACTULUI</w:t>
      </w:r>
    </w:p>
    <w:p w14:paraId="728C6168" w14:textId="77777777" w:rsidR="006F01D6" w:rsidRPr="00A702E4" w:rsidRDefault="006F01D6" w:rsidP="006F01D6">
      <w:pPr>
        <w:pStyle w:val="ManualHeading2"/>
        <w:rPr>
          <w:rFonts w:eastAsia="Arial Unicode MS"/>
          <w:noProof/>
          <w:u w:color="000000"/>
          <w:bdr w:val="nil"/>
        </w:rPr>
      </w:pPr>
      <w:r w:rsidRPr="00A702E4">
        <w:rPr>
          <w:noProof/>
          <w:u w:color="000000"/>
          <w:bdr w:val="nil"/>
        </w:rPr>
        <w:t>•</w:t>
      </w:r>
      <w:r w:rsidRPr="00A702E4">
        <w:rPr>
          <w:noProof/>
        </w:rPr>
        <w:tab/>
      </w:r>
      <w:r w:rsidRPr="00A702E4">
        <w:rPr>
          <w:noProof/>
          <w:u w:color="000000"/>
          <w:bdr w:val="nil"/>
        </w:rPr>
        <w:t xml:space="preserve">Evaluările </w:t>
      </w:r>
      <w:r w:rsidRPr="00A702E4">
        <w:rPr>
          <w:i/>
          <w:noProof/>
          <w:u w:color="000000"/>
          <w:bdr w:val="nil"/>
        </w:rPr>
        <w:t>ex post</w:t>
      </w:r>
      <w:r w:rsidRPr="00A702E4">
        <w:rPr>
          <w:noProof/>
          <w:u w:color="000000"/>
          <w:bdr w:val="nil"/>
        </w:rPr>
        <w:t>/verificarea adecvării legislației existente</w:t>
      </w:r>
    </w:p>
    <w:p w14:paraId="0E81D576" w14:textId="77777777" w:rsidR="006F01D6" w:rsidRPr="00A702E4" w:rsidRDefault="00D30F47" w:rsidP="006F01D6">
      <w:pPr>
        <w:pBdr>
          <w:top w:val="nil"/>
          <w:left w:val="nil"/>
          <w:bottom w:val="nil"/>
          <w:right w:val="nil"/>
          <w:between w:val="nil"/>
          <w:bar w:val="nil"/>
        </w:pBdr>
        <w:spacing w:before="0" w:after="240"/>
        <w:rPr>
          <w:rFonts w:eastAsia="Arial Unicode MS"/>
          <w:noProof/>
        </w:rPr>
      </w:pPr>
      <w:r w:rsidRPr="00A702E4">
        <w:rPr>
          <w:noProof/>
        </w:rPr>
        <w:t xml:space="preserve">În 2025, Comisia a efectuat o evaluare </w:t>
      </w:r>
      <w:r w:rsidRPr="00A702E4">
        <w:rPr>
          <w:i/>
          <w:noProof/>
        </w:rPr>
        <w:t>ex post</w:t>
      </w:r>
      <w:r w:rsidRPr="00A702E4">
        <w:rPr>
          <w:noProof/>
        </w:rPr>
        <w:t xml:space="preserve"> a actualului protocol de punere în aplicare la APPS-ul încheiat cu Mauritius, precum și o evaluare </w:t>
      </w:r>
      <w:r w:rsidRPr="00A702E4">
        <w:rPr>
          <w:i/>
          <w:noProof/>
        </w:rPr>
        <w:t>ex ante</w:t>
      </w:r>
      <w:r w:rsidRPr="00A702E4">
        <w:rPr>
          <w:noProof/>
        </w:rPr>
        <w:t xml:space="preserve"> a unei eventuale reînnoiri a actualului acord și al protocolului aferent. Concluziile evaluării sunt prezentate într-un document de lucru al serviciilor Comisiei separat.</w:t>
      </w:r>
    </w:p>
    <w:p w14:paraId="25E6BAF4" w14:textId="77777777" w:rsidR="006F01D6" w:rsidRPr="00A702E4" w:rsidRDefault="006F01D6" w:rsidP="006F01D6">
      <w:pPr>
        <w:pBdr>
          <w:top w:val="nil"/>
          <w:left w:val="nil"/>
          <w:bottom w:val="nil"/>
          <w:right w:val="nil"/>
          <w:between w:val="nil"/>
          <w:bar w:val="nil"/>
        </w:pBdr>
        <w:spacing w:before="0" w:after="240"/>
        <w:rPr>
          <w:rFonts w:eastAsia="Arial Unicode MS"/>
          <w:noProof/>
        </w:rPr>
      </w:pPr>
      <w:r w:rsidRPr="00A702E4">
        <w:rPr>
          <w:noProof/>
        </w:rPr>
        <w:t xml:space="preserve">Evaluarea a concluzionat că sectorul pescuitului din Uniune este foarte interesat să desfășoare activități în Mauritius și că negocierea unui nou acord și a protocolului de punere în aplicare aferent este în interesul ambelor părți. Raportul de evaluare evidențiază, de asemenea, o </w:t>
      </w:r>
      <w:r w:rsidRPr="00A702E4">
        <w:rPr>
          <w:noProof/>
        </w:rPr>
        <w:lastRenderedPageBreak/>
        <w:t>discrepanță existentă în cel mai recent protocol între numărul de posibilități de pescuit oferite și utilizarea acestora. Orice protocol viitor ar trebui să reducă numărul posibilităților de pescuit oferite, ceea ce ar trebui să conducă la o reducere a contribuției financiare în temeiul protocolului. În plus, reînnoirea protocolului ar contribui și la consolidarea monitorizării, a controlului și a supravegherii, precum și la îmbunătățirea guvernanței activităților de pescuit din regiune.</w:t>
      </w:r>
    </w:p>
    <w:p w14:paraId="1F9EE721" w14:textId="77777777" w:rsidR="006F01D6" w:rsidRPr="00A702E4" w:rsidRDefault="006F01D6" w:rsidP="006F01D6">
      <w:pPr>
        <w:pBdr>
          <w:top w:val="nil"/>
          <w:left w:val="nil"/>
          <w:bottom w:val="nil"/>
          <w:right w:val="nil"/>
          <w:between w:val="nil"/>
          <w:bar w:val="nil"/>
        </w:pBdr>
        <w:spacing w:before="0" w:after="240"/>
        <w:rPr>
          <w:rFonts w:eastAsia="Arial Unicode MS"/>
          <w:noProof/>
        </w:rPr>
      </w:pPr>
      <w:r w:rsidRPr="00A702E4">
        <w:rPr>
          <w:noProof/>
        </w:rPr>
        <w:t>Pentru Uniune, este important să mențină un instrument care permite o cooperare sectorială aprofundată cu Mauritius, care reprezintă un actor strategic în regiune, datorită zonei de pescuit aflate sub jurisdicția sa, și un aliat important în cadrul IOTC. Pentru strategiile de recoltare ale flotei Uniunii, acest lucru înseamnă menținerea accesului la o zonă de pescuit importantă într-un cadru juridic internațional multianual. În plus, importanța Mauritius în ceea ce privește prelucrarea tonului capturat în Oceanul Indian și exporturile de produse din ton către Uniune contribuie la relevanța noului protocol preconizat, atât pentru industria pescuitului din Mauritius, cât și pentru cea din Uniune. Pentru autoritățile din Mauritius, continuarea relațiilor cu Uniunea ar contribui, de asemenea, la consolidarea guvernanței oceanelor, datorită sprijinului specific al Uniunii care oferă oportunități de finanțare multianuale pentru acest sector.</w:t>
      </w:r>
    </w:p>
    <w:p w14:paraId="2E159137" w14:textId="77777777" w:rsidR="006F01D6" w:rsidRPr="00A702E4" w:rsidRDefault="006F01D6" w:rsidP="006F01D6">
      <w:pPr>
        <w:pStyle w:val="ManualHeading2"/>
        <w:rPr>
          <w:rFonts w:eastAsia="Arial Unicode MS"/>
          <w:noProof/>
          <w:u w:color="000000"/>
          <w:bdr w:val="nil"/>
        </w:rPr>
      </w:pPr>
      <w:r w:rsidRPr="00A702E4">
        <w:rPr>
          <w:noProof/>
          <w:u w:color="000000"/>
          <w:bdr w:val="nil"/>
        </w:rPr>
        <w:t>•</w:t>
      </w:r>
      <w:r w:rsidRPr="00A702E4">
        <w:rPr>
          <w:noProof/>
        </w:rPr>
        <w:tab/>
      </w:r>
      <w:r w:rsidRPr="00A702E4">
        <w:rPr>
          <w:noProof/>
          <w:u w:color="000000"/>
          <w:bdr w:val="nil"/>
        </w:rPr>
        <w:t>Consultarea cu părțile interesate</w:t>
      </w:r>
    </w:p>
    <w:p w14:paraId="0C70B59D" w14:textId="77777777" w:rsidR="006F01D6" w:rsidRPr="00A702E4" w:rsidRDefault="006F01D6" w:rsidP="006F01D6">
      <w:pPr>
        <w:pBdr>
          <w:top w:val="nil"/>
          <w:left w:val="nil"/>
          <w:bottom w:val="nil"/>
          <w:right w:val="nil"/>
          <w:between w:val="nil"/>
          <w:bar w:val="nil"/>
        </w:pBdr>
        <w:spacing w:before="0" w:after="240"/>
        <w:rPr>
          <w:rFonts w:eastAsia="Arial Unicode MS"/>
          <w:noProof/>
        </w:rPr>
      </w:pPr>
      <w:r w:rsidRPr="00A702E4">
        <w:rPr>
          <w:noProof/>
        </w:rPr>
        <w:t>În cadrul evaluării au fost consultate statele membre, reprezentanți ai industriei, organizații internaționale ale societății civile, precum și administrația pescuitului și societatea civilă din Mauritius. Au avut loc consultări și cu părțile interesate în cadrul reuniunilor Consiliului consultativ pentru flota de lungă distanță.</w:t>
      </w:r>
    </w:p>
    <w:p w14:paraId="5AF3F836" w14:textId="77777777" w:rsidR="006F01D6" w:rsidRPr="00A702E4" w:rsidRDefault="006F01D6" w:rsidP="006F01D6">
      <w:pPr>
        <w:pStyle w:val="ManualHeading2"/>
        <w:rPr>
          <w:rFonts w:eastAsia="Arial Unicode MS"/>
          <w:noProof/>
          <w:u w:color="000000"/>
          <w:bdr w:val="nil"/>
        </w:rPr>
      </w:pPr>
      <w:r w:rsidRPr="00A702E4">
        <w:rPr>
          <w:noProof/>
          <w:u w:color="000000"/>
          <w:bdr w:val="nil"/>
        </w:rPr>
        <w:t>•</w:t>
      </w:r>
      <w:r w:rsidRPr="00A702E4">
        <w:rPr>
          <w:noProof/>
        </w:rPr>
        <w:tab/>
      </w:r>
      <w:r w:rsidRPr="00A702E4">
        <w:rPr>
          <w:noProof/>
          <w:u w:color="000000"/>
          <w:bdr w:val="nil"/>
        </w:rPr>
        <w:t>Obținerea și utilizarea cunoștințelor de specialitate</w:t>
      </w:r>
    </w:p>
    <w:p w14:paraId="5C8627F3" w14:textId="77777777" w:rsidR="006F01D6" w:rsidRPr="00A702E4" w:rsidRDefault="006F01D6" w:rsidP="006F01D6">
      <w:pPr>
        <w:pBdr>
          <w:top w:val="nil"/>
          <w:left w:val="nil"/>
          <w:bottom w:val="nil"/>
          <w:right w:val="nil"/>
          <w:between w:val="nil"/>
          <w:bar w:val="nil"/>
        </w:pBdr>
        <w:spacing w:before="0" w:after="240"/>
        <w:rPr>
          <w:rFonts w:eastAsia="Arial Unicode MS"/>
          <w:noProof/>
        </w:rPr>
      </w:pPr>
      <w:r w:rsidRPr="00A702E4">
        <w:rPr>
          <w:noProof/>
        </w:rPr>
        <w:t>Nu se aplică.</w:t>
      </w:r>
    </w:p>
    <w:p w14:paraId="21B78A8B" w14:textId="77777777" w:rsidR="006F01D6" w:rsidRPr="00A702E4" w:rsidRDefault="006F01D6" w:rsidP="006F01D6">
      <w:pPr>
        <w:pStyle w:val="ManualHeading2"/>
        <w:rPr>
          <w:rFonts w:eastAsia="Arial Unicode MS"/>
          <w:noProof/>
          <w:u w:color="000000"/>
          <w:bdr w:val="nil"/>
        </w:rPr>
      </w:pPr>
      <w:r w:rsidRPr="00A702E4">
        <w:rPr>
          <w:noProof/>
          <w:u w:color="000000"/>
          <w:bdr w:val="nil"/>
        </w:rPr>
        <w:t>•</w:t>
      </w:r>
      <w:r w:rsidRPr="00A702E4">
        <w:rPr>
          <w:noProof/>
        </w:rPr>
        <w:tab/>
      </w:r>
      <w:r w:rsidRPr="00A702E4">
        <w:rPr>
          <w:noProof/>
          <w:u w:color="000000"/>
          <w:bdr w:val="nil"/>
        </w:rPr>
        <w:t>Evaluarea impactului</w:t>
      </w:r>
    </w:p>
    <w:p w14:paraId="194AB43D" w14:textId="77777777" w:rsidR="006F01D6" w:rsidRPr="00A702E4" w:rsidRDefault="006F01D6" w:rsidP="006F01D6">
      <w:pPr>
        <w:pBdr>
          <w:top w:val="nil"/>
          <w:left w:val="nil"/>
          <w:bottom w:val="nil"/>
          <w:right w:val="nil"/>
          <w:between w:val="nil"/>
          <w:bar w:val="nil"/>
        </w:pBdr>
        <w:spacing w:before="0" w:after="240"/>
        <w:rPr>
          <w:rFonts w:eastAsia="Arial Unicode MS"/>
          <w:noProof/>
        </w:rPr>
      </w:pPr>
      <w:r w:rsidRPr="00A702E4">
        <w:rPr>
          <w:noProof/>
        </w:rPr>
        <w:t>Nu se aplică.</w:t>
      </w:r>
    </w:p>
    <w:p w14:paraId="61F15569" w14:textId="77777777" w:rsidR="006F01D6" w:rsidRPr="00A702E4" w:rsidRDefault="006F01D6" w:rsidP="006F01D6">
      <w:pPr>
        <w:pStyle w:val="ManualHeading2"/>
        <w:rPr>
          <w:rFonts w:eastAsia="Arial Unicode MS"/>
          <w:noProof/>
          <w:u w:color="000000"/>
          <w:bdr w:val="nil"/>
        </w:rPr>
      </w:pPr>
      <w:r w:rsidRPr="00A702E4">
        <w:rPr>
          <w:noProof/>
          <w:u w:color="000000"/>
          <w:bdr w:val="nil"/>
        </w:rPr>
        <w:t>•</w:t>
      </w:r>
      <w:r w:rsidRPr="00A702E4">
        <w:rPr>
          <w:noProof/>
        </w:rPr>
        <w:tab/>
      </w:r>
      <w:r w:rsidRPr="00A702E4">
        <w:rPr>
          <w:noProof/>
          <w:u w:color="000000"/>
          <w:bdr w:val="nil"/>
        </w:rPr>
        <w:t>Adecvarea reglementărilor și simplificarea</w:t>
      </w:r>
    </w:p>
    <w:p w14:paraId="02668167" w14:textId="77777777" w:rsidR="006F01D6" w:rsidRPr="00A702E4" w:rsidRDefault="006F01D6" w:rsidP="006F01D6">
      <w:pPr>
        <w:pBdr>
          <w:top w:val="nil"/>
          <w:left w:val="nil"/>
          <w:bottom w:val="nil"/>
          <w:right w:val="nil"/>
          <w:between w:val="nil"/>
          <w:bar w:val="nil"/>
        </w:pBdr>
        <w:spacing w:before="0" w:after="240"/>
        <w:rPr>
          <w:rFonts w:eastAsia="Arial Unicode MS"/>
          <w:noProof/>
        </w:rPr>
      </w:pPr>
      <w:r w:rsidRPr="00A702E4">
        <w:rPr>
          <w:noProof/>
        </w:rPr>
        <w:t>Nu se aplică.</w:t>
      </w:r>
    </w:p>
    <w:p w14:paraId="317F013E" w14:textId="77777777" w:rsidR="006F01D6" w:rsidRPr="00A702E4" w:rsidRDefault="006F01D6" w:rsidP="006F01D6">
      <w:pPr>
        <w:pStyle w:val="ManualHeading2"/>
        <w:rPr>
          <w:rFonts w:eastAsia="Arial Unicode MS"/>
          <w:noProof/>
          <w:u w:color="000000"/>
          <w:bdr w:val="nil"/>
        </w:rPr>
      </w:pPr>
      <w:r w:rsidRPr="00A702E4">
        <w:rPr>
          <w:noProof/>
          <w:u w:color="000000"/>
          <w:bdr w:val="nil"/>
        </w:rPr>
        <w:t>•</w:t>
      </w:r>
      <w:r w:rsidRPr="00A702E4">
        <w:rPr>
          <w:noProof/>
        </w:rPr>
        <w:tab/>
      </w:r>
      <w:r w:rsidRPr="00A702E4">
        <w:rPr>
          <w:noProof/>
          <w:u w:color="000000"/>
          <w:bdr w:val="nil"/>
        </w:rPr>
        <w:t>Drepturile fundamentale</w:t>
      </w:r>
    </w:p>
    <w:p w14:paraId="705F8389" w14:textId="77777777" w:rsidR="006F01D6" w:rsidRPr="00A702E4" w:rsidRDefault="006F01D6" w:rsidP="006F01D6">
      <w:pPr>
        <w:pBdr>
          <w:top w:val="nil"/>
          <w:left w:val="nil"/>
          <w:bottom w:val="nil"/>
          <w:right w:val="nil"/>
          <w:between w:val="nil"/>
          <w:bar w:val="nil"/>
        </w:pBdr>
        <w:spacing w:before="0" w:after="240"/>
        <w:rPr>
          <w:rFonts w:eastAsia="Arial Unicode MS"/>
          <w:noProof/>
        </w:rPr>
      </w:pPr>
      <w:r w:rsidRPr="00A702E4">
        <w:rPr>
          <w:noProof/>
        </w:rPr>
        <w:t>Directivele de negociere, propuse ca anexă la decizie, includ o clauză privind consecințele încălcării drepturilor omului și a principiilor democratice.</w:t>
      </w:r>
    </w:p>
    <w:p w14:paraId="1B4611B6" w14:textId="77777777" w:rsidR="006F01D6" w:rsidRPr="00A702E4" w:rsidRDefault="006F01D6" w:rsidP="006F01D6">
      <w:pPr>
        <w:pStyle w:val="ManualHeading1"/>
        <w:rPr>
          <w:noProof/>
        </w:rPr>
      </w:pPr>
      <w:r w:rsidRPr="00A702E4">
        <w:rPr>
          <w:noProof/>
        </w:rPr>
        <w:t>(4)</w:t>
      </w:r>
      <w:r w:rsidRPr="00A702E4">
        <w:rPr>
          <w:noProof/>
        </w:rPr>
        <w:tab/>
        <w:t>IMPLICAȚIILE BUGETARE</w:t>
      </w:r>
    </w:p>
    <w:p w14:paraId="6A223F2B" w14:textId="77777777" w:rsidR="006F01D6" w:rsidRPr="00A702E4" w:rsidRDefault="001B5615" w:rsidP="006F01D6">
      <w:pPr>
        <w:rPr>
          <w:noProof/>
        </w:rPr>
      </w:pPr>
      <w:r w:rsidRPr="00A702E4">
        <w:rPr>
          <w:noProof/>
        </w:rPr>
        <w:t>Noul protocol de punere în aplicare ar urma să includă plata unei contribuții financiare către Mauritius. Alocările bugetare aferente (credite de angajament și credite de plată) trebuie să fie înscrise în fiecare an la linia bugetară dedicată APPS-urilor (08 05 01) și să fie compatibile cu programarea financiară a cadrului financiar multianual</w:t>
      </w:r>
      <w:r w:rsidRPr="00A702E4">
        <w:rPr>
          <w:rStyle w:val="FootnoteReference"/>
          <w:noProof/>
        </w:rPr>
        <w:footnoteReference w:id="4"/>
      </w:r>
      <w:r w:rsidRPr="00A702E4">
        <w:rPr>
          <w:noProof/>
        </w:rPr>
        <w:t xml:space="preserve"> pentru 2021-2027. Cuantumurile </w:t>
      </w:r>
      <w:r w:rsidRPr="00A702E4">
        <w:rPr>
          <w:noProof/>
        </w:rPr>
        <w:lastRenderedPageBreak/>
        <w:t>anuale ale angajamentelor și plăților sunt stabilite în cadrul procedurii bugetare anuale, inclusiv linia de rezervă pentru propunerile care nu au intrat în vigoare la începutul anului</w:t>
      </w:r>
      <w:r w:rsidRPr="00A702E4">
        <w:rPr>
          <w:rStyle w:val="FootnoteReference"/>
          <w:noProof/>
        </w:rPr>
        <w:footnoteReference w:id="5"/>
      </w:r>
      <w:r w:rsidRPr="00A702E4">
        <w:rPr>
          <w:noProof/>
        </w:rPr>
        <w:t>.</w:t>
      </w:r>
    </w:p>
    <w:p w14:paraId="3EDE3C79" w14:textId="77777777" w:rsidR="006F01D6" w:rsidRPr="00A702E4" w:rsidRDefault="006F01D6" w:rsidP="006F01D6">
      <w:pPr>
        <w:pStyle w:val="ManualHeading1"/>
        <w:rPr>
          <w:noProof/>
        </w:rPr>
      </w:pPr>
      <w:r w:rsidRPr="00A702E4">
        <w:rPr>
          <w:noProof/>
        </w:rPr>
        <w:t>(5)</w:t>
      </w:r>
      <w:r w:rsidRPr="00A702E4">
        <w:rPr>
          <w:noProof/>
        </w:rPr>
        <w:tab/>
        <w:t>ALTE ELEMENTE</w:t>
      </w:r>
    </w:p>
    <w:p w14:paraId="6EC2BE5A" w14:textId="77777777" w:rsidR="006F01D6" w:rsidRPr="00A702E4" w:rsidRDefault="006F01D6" w:rsidP="006F01D6">
      <w:pPr>
        <w:pStyle w:val="ManualHeading2"/>
        <w:rPr>
          <w:rFonts w:eastAsia="Arial Unicode MS"/>
          <w:noProof/>
          <w:u w:color="000000"/>
          <w:bdr w:val="nil"/>
        </w:rPr>
      </w:pPr>
      <w:r w:rsidRPr="00A702E4">
        <w:rPr>
          <w:noProof/>
          <w:u w:color="000000"/>
          <w:bdr w:val="nil"/>
        </w:rPr>
        <w:t>•</w:t>
      </w:r>
      <w:r w:rsidRPr="00A702E4">
        <w:rPr>
          <w:noProof/>
        </w:rPr>
        <w:tab/>
      </w:r>
      <w:r w:rsidRPr="00A702E4">
        <w:rPr>
          <w:noProof/>
          <w:u w:color="000000"/>
          <w:bdr w:val="nil"/>
        </w:rPr>
        <w:t>Planurile de punere în aplicare și măsurile de monitorizare, evaluare și raportare</w:t>
      </w:r>
    </w:p>
    <w:p w14:paraId="400D7F14" w14:textId="77777777" w:rsidR="006F01D6" w:rsidRPr="00A702E4" w:rsidRDefault="006F01D6" w:rsidP="006F01D6">
      <w:pPr>
        <w:pBdr>
          <w:top w:val="nil"/>
          <w:left w:val="nil"/>
          <w:bottom w:val="nil"/>
          <w:right w:val="nil"/>
          <w:between w:val="nil"/>
          <w:bar w:val="nil"/>
        </w:pBdr>
        <w:spacing w:before="0" w:after="240"/>
        <w:rPr>
          <w:rFonts w:eastAsia="Arial Unicode MS"/>
          <w:noProof/>
        </w:rPr>
      </w:pPr>
      <w:r w:rsidRPr="00A702E4">
        <w:rPr>
          <w:noProof/>
        </w:rPr>
        <w:t>Se preconizează că negocierile vor fi deschise la începutul celui de al doilea trimestru al anului 2026.</w:t>
      </w:r>
    </w:p>
    <w:p w14:paraId="60D0E9D2" w14:textId="77777777" w:rsidR="006F01D6" w:rsidRPr="00A702E4" w:rsidRDefault="006F01D6" w:rsidP="006F01D6">
      <w:pPr>
        <w:pStyle w:val="ManualHeading2"/>
        <w:rPr>
          <w:rFonts w:eastAsia="Arial Unicode MS"/>
          <w:noProof/>
          <w:u w:color="000000"/>
          <w:bdr w:val="nil"/>
        </w:rPr>
      </w:pPr>
      <w:r w:rsidRPr="00A702E4">
        <w:rPr>
          <w:noProof/>
          <w:u w:color="000000"/>
          <w:bdr w:val="nil"/>
        </w:rPr>
        <w:t>•</w:t>
      </w:r>
      <w:r w:rsidRPr="00A702E4">
        <w:rPr>
          <w:noProof/>
        </w:rPr>
        <w:tab/>
      </w:r>
      <w:r w:rsidRPr="00A702E4">
        <w:rPr>
          <w:noProof/>
          <w:u w:color="000000"/>
          <w:bdr w:val="nil"/>
        </w:rPr>
        <w:t>Explicarea detaliată a dispozițiilor specifice ale propunerii</w:t>
      </w:r>
    </w:p>
    <w:p w14:paraId="49A70909" w14:textId="77777777" w:rsidR="006F01D6" w:rsidRPr="00A702E4" w:rsidRDefault="006F01D6" w:rsidP="006F01D6">
      <w:pPr>
        <w:pBdr>
          <w:top w:val="nil"/>
          <w:left w:val="nil"/>
          <w:bottom w:val="nil"/>
          <w:right w:val="nil"/>
          <w:between w:val="nil"/>
          <w:bar w:val="nil"/>
        </w:pBdr>
        <w:spacing w:before="0" w:after="240"/>
        <w:rPr>
          <w:rFonts w:eastAsia="Arial Unicode MS"/>
          <w:noProof/>
        </w:rPr>
      </w:pPr>
      <w:r w:rsidRPr="00A702E4">
        <w:rPr>
          <w:noProof/>
        </w:rPr>
        <w:t>Comisia recomandă ca:</w:t>
      </w:r>
    </w:p>
    <w:p w14:paraId="28127FC1" w14:textId="77777777" w:rsidR="006F01D6" w:rsidRPr="00A702E4" w:rsidRDefault="00F41829" w:rsidP="00A57B60">
      <w:pPr>
        <w:rPr>
          <w:noProof/>
        </w:rPr>
      </w:pPr>
      <w:r w:rsidRPr="00A702E4">
        <w:rPr>
          <w:noProof/>
        </w:rPr>
        <w:t>Consiliul să autorizeze Comisia să deschidă și să poarte negocieri pentru semnarea și încheierea unui nou Acord de parteneriat în domeniul pescuitului sustenabil și a Protocolului de punere în aplicare a acestuia cu Mauritius;</w:t>
      </w:r>
    </w:p>
    <w:p w14:paraId="68BBCEA6" w14:textId="77777777" w:rsidR="006F01D6" w:rsidRPr="00A702E4" w:rsidRDefault="00F41829" w:rsidP="00A57B60">
      <w:pPr>
        <w:rPr>
          <w:noProof/>
        </w:rPr>
      </w:pPr>
      <w:r w:rsidRPr="00A702E4">
        <w:rPr>
          <w:noProof/>
        </w:rPr>
        <w:t>Comisia ar trebui să fie numită negociatorul UE în această chestiune;</w:t>
      </w:r>
    </w:p>
    <w:p w14:paraId="07F3B7B6" w14:textId="77777777" w:rsidR="006F01D6" w:rsidRPr="00A702E4" w:rsidRDefault="00F41829" w:rsidP="00A57B60">
      <w:pPr>
        <w:rPr>
          <w:noProof/>
        </w:rPr>
      </w:pPr>
      <w:r w:rsidRPr="00A702E4">
        <w:rPr>
          <w:noProof/>
        </w:rPr>
        <w:t>Comisia să poarte negocierile în consultare cu comitetul special, în temeiul dispozițiilor Tratatului privind funcționarea Uniunii Europene;</w:t>
      </w:r>
    </w:p>
    <w:p w14:paraId="2BDB68D5" w14:textId="77777777" w:rsidR="00DC622D" w:rsidRPr="00A702E4" w:rsidRDefault="00F41829" w:rsidP="00A57B60">
      <w:pPr>
        <w:rPr>
          <w:noProof/>
        </w:rPr>
        <w:sectPr w:rsidR="00DC622D" w:rsidRPr="00A702E4" w:rsidSect="00D10844">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r w:rsidRPr="00A702E4">
        <w:rPr>
          <w:noProof/>
        </w:rPr>
        <w:t>Consiliul să adreseze Comisiei directivele de negociere anexate prezentei recomandări.</w:t>
      </w:r>
    </w:p>
    <w:p w14:paraId="1B517133" w14:textId="5EEFD120" w:rsidR="00DC622D" w:rsidRPr="00A702E4" w:rsidRDefault="00A702E4" w:rsidP="00A702E4">
      <w:pPr>
        <w:pStyle w:val="Statut"/>
        <w:rPr>
          <w:noProof/>
        </w:rPr>
      </w:pPr>
      <w:r w:rsidRPr="00A702E4">
        <w:rPr>
          <w:noProof/>
        </w:rPr>
        <w:lastRenderedPageBreak/>
        <w:t>Recomandare de</w:t>
      </w:r>
    </w:p>
    <w:p w14:paraId="1E705F63" w14:textId="17979A25" w:rsidR="00DC622D" w:rsidRPr="00A702E4" w:rsidRDefault="00A702E4" w:rsidP="00A702E4">
      <w:pPr>
        <w:pStyle w:val="Typedudocument"/>
        <w:rPr>
          <w:noProof/>
        </w:rPr>
      </w:pPr>
      <w:r w:rsidRPr="00A702E4">
        <w:rPr>
          <w:noProof/>
        </w:rPr>
        <w:t>DECIZIE A CONSILIULUI</w:t>
      </w:r>
    </w:p>
    <w:p w14:paraId="580812BC" w14:textId="5B4200EC" w:rsidR="00DC622D" w:rsidRPr="00A702E4" w:rsidRDefault="00A702E4" w:rsidP="00A702E4">
      <w:pPr>
        <w:pStyle w:val="Titreobjet"/>
        <w:rPr>
          <w:noProof/>
        </w:rPr>
      </w:pPr>
      <w:r w:rsidRPr="00A702E4">
        <w:rPr>
          <w:noProof/>
        </w:rPr>
        <w:t xml:space="preserve">de autorizare a deschiderii de negocieri în numele Uniunii Europene pentru încheierea unui Acord de parteneriat în domeniul pescuitului sustenabil și a Protocolului de punere în aplicare a acestuia între Uniunea Europeană și Republica Mauritius </w:t>
      </w:r>
      <w:r w:rsidRPr="00A702E4">
        <w:rPr>
          <w:noProof/>
        </w:rPr>
        <w:br/>
        <w:t xml:space="preserve"> </w:t>
      </w:r>
      <w:r w:rsidRPr="00A702E4">
        <w:rPr>
          <w:noProof/>
        </w:rPr>
        <w:br/>
      </w:r>
    </w:p>
    <w:p w14:paraId="48C391DC" w14:textId="77777777" w:rsidR="00DC622D" w:rsidRPr="00A702E4" w:rsidRDefault="00DC622D" w:rsidP="00750C38">
      <w:pPr>
        <w:pStyle w:val="Institutionquiagit"/>
        <w:rPr>
          <w:noProof/>
        </w:rPr>
      </w:pPr>
      <w:r w:rsidRPr="00A702E4">
        <w:rPr>
          <w:noProof/>
        </w:rPr>
        <w:t>CONSILIUL UNIUNII EUROPENE,</w:t>
      </w:r>
    </w:p>
    <w:p w14:paraId="11BF7D6A" w14:textId="77777777" w:rsidR="008F1611" w:rsidRPr="00A702E4" w:rsidRDefault="00910689" w:rsidP="008F1611">
      <w:pPr>
        <w:rPr>
          <w:noProof/>
        </w:rPr>
      </w:pPr>
      <w:r w:rsidRPr="00A702E4">
        <w:rPr>
          <w:noProof/>
        </w:rPr>
        <w:t>având în vedere Tratatul privind funcționarea Uniunii Europene, în special articolul 43 alineatul (2) coroborat cu articolul 218 alineatele (3) și (4),</w:t>
      </w:r>
    </w:p>
    <w:p w14:paraId="7A3B12D6" w14:textId="77777777" w:rsidR="008F1611" w:rsidRPr="00A702E4" w:rsidRDefault="008F1611" w:rsidP="008F1611">
      <w:pPr>
        <w:rPr>
          <w:noProof/>
        </w:rPr>
      </w:pPr>
      <w:r w:rsidRPr="00A702E4">
        <w:rPr>
          <w:noProof/>
        </w:rPr>
        <w:t>având în vedere recomandarea Comisiei Europene,</w:t>
      </w:r>
    </w:p>
    <w:p w14:paraId="474E98F2" w14:textId="77777777" w:rsidR="008F1611" w:rsidRPr="00A702E4" w:rsidRDefault="008F1611" w:rsidP="008F1611">
      <w:pPr>
        <w:rPr>
          <w:noProof/>
          <w:szCs w:val="24"/>
        </w:rPr>
      </w:pPr>
      <w:r w:rsidRPr="00A702E4">
        <w:rPr>
          <w:noProof/>
        </w:rPr>
        <w:t>Întrucât ar trebui deschise negocieri cu Mauritius în vederea încheierii unui nou Acord de parteneriat în domeniul pescuitului sustenabil și a Protocolului de punere în aplicare a acestuia,</w:t>
      </w:r>
    </w:p>
    <w:p w14:paraId="2D4E69D6" w14:textId="77777777" w:rsidR="00DC622D" w:rsidRPr="00A702E4" w:rsidRDefault="00DC622D" w:rsidP="00750C38">
      <w:pPr>
        <w:pStyle w:val="Formuledadoption"/>
        <w:rPr>
          <w:noProof/>
        </w:rPr>
      </w:pPr>
      <w:r w:rsidRPr="00A702E4">
        <w:rPr>
          <w:noProof/>
        </w:rPr>
        <w:t>ADOPTĂ PREZENTA DECIZIE:</w:t>
      </w:r>
    </w:p>
    <w:p w14:paraId="343EFC20" w14:textId="77777777" w:rsidR="00DC622D" w:rsidRPr="00A702E4" w:rsidRDefault="00DC622D" w:rsidP="00750C38">
      <w:pPr>
        <w:pStyle w:val="Titrearticle"/>
        <w:rPr>
          <w:noProof/>
        </w:rPr>
      </w:pPr>
      <w:r w:rsidRPr="00A702E4">
        <w:rPr>
          <w:noProof/>
        </w:rPr>
        <w:t>Articolul 1</w:t>
      </w:r>
    </w:p>
    <w:p w14:paraId="6F5B391B" w14:textId="77777777" w:rsidR="00DC622D" w:rsidRPr="00A702E4" w:rsidRDefault="008F1611" w:rsidP="00213050">
      <w:pPr>
        <w:rPr>
          <w:noProof/>
        </w:rPr>
      </w:pPr>
      <w:bookmarkStart w:id="3" w:name="_CopyToNewDocument_"/>
      <w:bookmarkEnd w:id="3"/>
      <w:r w:rsidRPr="00A702E4">
        <w:rPr>
          <w:noProof/>
        </w:rPr>
        <w:t>Comisia este autorizată să negocieze cu Mauritius, în numele Uniunii, un nou Acord de parteneriat în domeniul pescuitului sustenabil și Protocolul de punere în aplicare a acestuia.</w:t>
      </w:r>
    </w:p>
    <w:p w14:paraId="19AAA6B7" w14:textId="77777777" w:rsidR="008F1611" w:rsidRPr="00A702E4" w:rsidRDefault="008F1611" w:rsidP="008F1611">
      <w:pPr>
        <w:pStyle w:val="Titrearticle"/>
        <w:rPr>
          <w:noProof/>
        </w:rPr>
      </w:pPr>
      <w:r w:rsidRPr="00A702E4">
        <w:rPr>
          <w:noProof/>
        </w:rPr>
        <w:t>Articolul 2</w:t>
      </w:r>
    </w:p>
    <w:p w14:paraId="42CA6F28" w14:textId="77777777" w:rsidR="006B715B" w:rsidRPr="00A702E4" w:rsidRDefault="006B715B" w:rsidP="00213050">
      <w:pPr>
        <w:rPr>
          <w:noProof/>
        </w:rPr>
      </w:pPr>
      <w:r w:rsidRPr="00A702E4">
        <w:rPr>
          <w:noProof/>
        </w:rPr>
        <w:t>Directivele de negociere sunt prevăzute în anexă.</w:t>
      </w:r>
    </w:p>
    <w:p w14:paraId="6B171F9B" w14:textId="77777777" w:rsidR="006B715B" w:rsidRPr="00A702E4" w:rsidRDefault="006B715B" w:rsidP="006B715B">
      <w:pPr>
        <w:pStyle w:val="Titrearticle"/>
        <w:rPr>
          <w:noProof/>
        </w:rPr>
      </w:pPr>
      <w:r w:rsidRPr="00A702E4">
        <w:rPr>
          <w:noProof/>
        </w:rPr>
        <w:t>Articolul 3</w:t>
      </w:r>
    </w:p>
    <w:p w14:paraId="7124617C" w14:textId="77777777" w:rsidR="008F1611" w:rsidRPr="00A702E4" w:rsidRDefault="008F1611" w:rsidP="00213050">
      <w:pPr>
        <w:rPr>
          <w:noProof/>
        </w:rPr>
      </w:pPr>
      <w:r w:rsidRPr="00A702E4">
        <w:rPr>
          <w:noProof/>
        </w:rPr>
        <w:t>Negocierile trebuie să se desfășoare în consultare cu Grupul de lucru al Consiliului pentru politica externă privind pescuitul.</w:t>
      </w:r>
    </w:p>
    <w:p w14:paraId="1BBCCCB5" w14:textId="77777777" w:rsidR="008F1611" w:rsidRPr="00A702E4" w:rsidRDefault="008F1611" w:rsidP="00915E75">
      <w:pPr>
        <w:pStyle w:val="Titrearticle"/>
        <w:rPr>
          <w:noProof/>
        </w:rPr>
      </w:pPr>
      <w:r w:rsidRPr="00A702E4">
        <w:rPr>
          <w:noProof/>
        </w:rPr>
        <w:t>Articolul 4</w:t>
      </w:r>
    </w:p>
    <w:p w14:paraId="3505FC91" w14:textId="77777777" w:rsidR="008F1611" w:rsidRPr="00A702E4" w:rsidRDefault="008F1611" w:rsidP="00213050">
      <w:pPr>
        <w:rPr>
          <w:noProof/>
        </w:rPr>
      </w:pPr>
      <w:r w:rsidRPr="00A702E4">
        <w:rPr>
          <w:noProof/>
        </w:rPr>
        <w:t>Prezenta decizie se adresează Comisiei.</w:t>
      </w:r>
    </w:p>
    <w:p w14:paraId="41B72516" w14:textId="1DAF33A4" w:rsidR="00DC622D" w:rsidRPr="00A702E4" w:rsidRDefault="00A702E4" w:rsidP="00915E75">
      <w:pPr>
        <w:pStyle w:val="Fait"/>
        <w:rPr>
          <w:noProof/>
        </w:rPr>
      </w:pPr>
      <w:r>
        <w:rPr>
          <w:noProof/>
        </w:rPr>
        <w:t>Adoptată la Bruxelles,</w:t>
      </w:r>
    </w:p>
    <w:p w14:paraId="2A1691BD" w14:textId="77777777" w:rsidR="00DC622D" w:rsidRPr="00A702E4" w:rsidRDefault="00DC622D" w:rsidP="00915E75">
      <w:pPr>
        <w:pStyle w:val="Institutionquisigne"/>
        <w:rPr>
          <w:noProof/>
        </w:rPr>
      </w:pPr>
      <w:r w:rsidRPr="00A702E4">
        <w:rPr>
          <w:noProof/>
        </w:rPr>
        <w:tab/>
        <w:t>Pentru Consiliu,</w:t>
      </w:r>
    </w:p>
    <w:p w14:paraId="3EE1C3D8" w14:textId="77777777" w:rsidR="00DC622D" w:rsidRPr="00A702E4" w:rsidRDefault="00DC622D" w:rsidP="00DC622D">
      <w:pPr>
        <w:pStyle w:val="Personnequisigne"/>
        <w:rPr>
          <w:noProof/>
        </w:rPr>
      </w:pPr>
      <w:r w:rsidRPr="00A702E4">
        <w:rPr>
          <w:noProof/>
        </w:rPr>
        <w:tab/>
        <w:t>Președintele</w:t>
      </w:r>
    </w:p>
    <w:sectPr w:rsidR="00DC622D" w:rsidRPr="00A702E4" w:rsidSect="00D10844">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2D0762" w14:textId="77777777" w:rsidR="006C6EFE" w:rsidRPr="00910689" w:rsidRDefault="006C6EFE" w:rsidP="00DC622D">
      <w:pPr>
        <w:spacing w:before="0" w:after="0"/>
      </w:pPr>
      <w:r>
        <w:separator/>
      </w:r>
    </w:p>
  </w:endnote>
  <w:endnote w:type="continuationSeparator" w:id="0">
    <w:p w14:paraId="5F9206FF" w14:textId="77777777" w:rsidR="006C6EFE" w:rsidRPr="00910689" w:rsidRDefault="006C6EFE" w:rsidP="00DC622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03AF3" w14:textId="15D67250" w:rsidR="00D10844" w:rsidRPr="00D10844" w:rsidRDefault="00D10844" w:rsidP="00D10844">
    <w:pPr>
      <w:pStyle w:val="Footer"/>
      <w:rPr>
        <w:rFonts w:ascii="Arial" w:hAnsi="Arial" w:cs="Arial"/>
        <w:b/>
        <w:sz w:val="48"/>
      </w:rPr>
    </w:pPr>
    <w:r w:rsidRPr="00D10844">
      <w:rPr>
        <w:rFonts w:ascii="Arial" w:hAnsi="Arial" w:cs="Arial"/>
        <w:b/>
        <w:sz w:val="48"/>
      </w:rPr>
      <w:t>RO</w:t>
    </w:r>
    <w:r w:rsidRPr="00D10844">
      <w:rPr>
        <w:rFonts w:ascii="Arial" w:hAnsi="Arial" w:cs="Arial"/>
        <w:b/>
        <w:sz w:val="48"/>
      </w:rPr>
      <w:tab/>
    </w:r>
    <w:r w:rsidRPr="00D10844">
      <w:rPr>
        <w:rFonts w:ascii="Arial" w:hAnsi="Arial" w:cs="Arial"/>
        <w:b/>
        <w:sz w:val="48"/>
      </w:rPr>
      <w:tab/>
    </w:r>
    <w:r w:rsidRPr="00D10844">
      <w:tab/>
    </w:r>
    <w:r w:rsidRPr="00D1084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A862F" w14:textId="67BEC7A8" w:rsidR="00D10844" w:rsidRPr="00D10844" w:rsidRDefault="00D10844" w:rsidP="00D10844">
    <w:pPr>
      <w:pStyle w:val="Footer"/>
      <w:rPr>
        <w:rFonts w:ascii="Arial" w:hAnsi="Arial" w:cs="Arial"/>
        <w:b/>
        <w:sz w:val="48"/>
      </w:rPr>
    </w:pPr>
    <w:r w:rsidRPr="00D10844">
      <w:rPr>
        <w:rFonts w:ascii="Arial" w:hAnsi="Arial" w:cs="Arial"/>
        <w:b/>
        <w:sz w:val="48"/>
      </w:rPr>
      <w:t>RO</w:t>
    </w:r>
    <w:r w:rsidRPr="00D10844">
      <w:rPr>
        <w:rFonts w:ascii="Arial" w:hAnsi="Arial" w:cs="Arial"/>
        <w:b/>
        <w:sz w:val="48"/>
      </w:rPr>
      <w:tab/>
    </w:r>
    <w:r w:rsidRPr="00D10844">
      <w:rPr>
        <w:rFonts w:ascii="Arial" w:hAnsi="Arial" w:cs="Arial"/>
        <w:b/>
        <w:sz w:val="48"/>
      </w:rPr>
      <w:tab/>
    </w:r>
    <w:r w:rsidRPr="00D10844">
      <w:tab/>
    </w:r>
    <w:r w:rsidRPr="00D1084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A713A" w14:textId="77777777" w:rsidR="00D10844" w:rsidRDefault="00D1084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790C8" w14:textId="3F9A4276" w:rsidR="00D10844" w:rsidRPr="00D10844" w:rsidRDefault="00D10844" w:rsidP="00D10844">
    <w:pPr>
      <w:pStyle w:val="Footer"/>
      <w:rPr>
        <w:rFonts w:ascii="Arial" w:hAnsi="Arial" w:cs="Arial"/>
        <w:b/>
        <w:sz w:val="48"/>
      </w:rPr>
    </w:pPr>
    <w:r w:rsidRPr="00D10844">
      <w:rPr>
        <w:rFonts w:ascii="Arial" w:hAnsi="Arial" w:cs="Arial"/>
        <w:b/>
        <w:sz w:val="48"/>
      </w:rPr>
      <w:t>RO</w:t>
    </w:r>
    <w:r w:rsidRPr="00D10844">
      <w:rPr>
        <w:rFonts w:ascii="Arial" w:hAnsi="Arial" w:cs="Arial"/>
        <w:b/>
        <w:sz w:val="48"/>
      </w:rPr>
      <w:tab/>
    </w:r>
    <w:r>
      <w:fldChar w:fldCharType="begin"/>
    </w:r>
    <w:r>
      <w:instrText xml:space="preserve"> PAGE  \* MERGEFORMAT </w:instrText>
    </w:r>
    <w:r>
      <w:fldChar w:fldCharType="separate"/>
    </w:r>
    <w:r w:rsidR="00915E75">
      <w:rPr>
        <w:noProof/>
      </w:rPr>
      <w:t>5</w:t>
    </w:r>
    <w:r>
      <w:fldChar w:fldCharType="end"/>
    </w:r>
    <w:r>
      <w:tab/>
    </w:r>
    <w:r w:rsidRPr="00D10844">
      <w:tab/>
    </w:r>
    <w:r w:rsidRPr="00D10844">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D58D9" w14:textId="77777777" w:rsidR="00D10844" w:rsidRDefault="00D10844" w:rsidP="00D108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CA6A77" w14:textId="77777777" w:rsidR="006C6EFE" w:rsidRPr="00910689" w:rsidRDefault="006C6EFE" w:rsidP="00DC622D">
      <w:pPr>
        <w:spacing w:before="0" w:after="0"/>
      </w:pPr>
      <w:r>
        <w:separator/>
      </w:r>
    </w:p>
  </w:footnote>
  <w:footnote w:type="continuationSeparator" w:id="0">
    <w:p w14:paraId="12110BBA" w14:textId="77777777" w:rsidR="006C6EFE" w:rsidRPr="00910689" w:rsidRDefault="006C6EFE" w:rsidP="00DC622D">
      <w:pPr>
        <w:spacing w:before="0" w:after="0"/>
      </w:pPr>
      <w:r>
        <w:continuationSeparator/>
      </w:r>
    </w:p>
  </w:footnote>
  <w:footnote w:id="1">
    <w:p w14:paraId="47443C9E" w14:textId="77777777" w:rsidR="006F01D6" w:rsidRPr="00910689" w:rsidRDefault="006F01D6" w:rsidP="006F01D6">
      <w:pPr>
        <w:pStyle w:val="FootnoteText"/>
      </w:pPr>
      <w:r>
        <w:rPr>
          <w:rStyle w:val="FootnoteReference"/>
        </w:rPr>
        <w:footnoteRef/>
      </w:r>
      <w:r>
        <w:tab/>
      </w:r>
      <w:bookmarkStart w:id="1" w:name="_Hlk141886230"/>
      <w:r>
        <w:t>Regulamentul (UE) nr. 1380/2013 al Parlamentului European și al Consiliului din 11 decembrie 2013 privind politica comună în domeniul pescuitului, de modificare a Regulamentelor (CE) nr. 1954/2003 și (CE) nr. 1224/2009 ale Consiliului și de abrogare a Regulamentelor (CE) nr. 2371/2002 și (CE) nr. 639/2004 ale Consiliului și a Deciziei 2004/585/CE a Consiliului (JO L 354, 28.12.2013, p. 22)</w:t>
      </w:r>
      <w:bookmarkEnd w:id="1"/>
      <w:r>
        <w:t>.</w:t>
      </w:r>
    </w:p>
  </w:footnote>
  <w:footnote w:id="2">
    <w:p w14:paraId="1FD65CDE" w14:textId="77777777" w:rsidR="006F01D6" w:rsidRPr="00910689" w:rsidRDefault="006F01D6" w:rsidP="006F01D6">
      <w:pPr>
        <w:pStyle w:val="FootnoteText"/>
        <w:rPr>
          <w:iCs/>
          <w:sz w:val="16"/>
          <w:szCs w:val="16"/>
        </w:rPr>
      </w:pPr>
      <w:r>
        <w:rPr>
          <w:rStyle w:val="FootnoteReference"/>
        </w:rPr>
        <w:footnoteRef/>
      </w:r>
      <w:r>
        <w:tab/>
      </w:r>
      <w:hyperlink r:id="rId1" w:history="1">
        <w:r>
          <w:rPr>
            <w:rStyle w:val="Hyperlink"/>
            <w:sz w:val="16"/>
          </w:rPr>
          <w:t>http://data.europa.eu/eli/agree_internation/2014/146/oj</w:t>
        </w:r>
      </w:hyperlink>
    </w:p>
  </w:footnote>
  <w:footnote w:id="3">
    <w:p w14:paraId="7DB5653F" w14:textId="77777777" w:rsidR="006F01D6" w:rsidRPr="00910689" w:rsidRDefault="006F01D6" w:rsidP="006F01D6">
      <w:pPr>
        <w:pStyle w:val="FootnoteText"/>
      </w:pPr>
      <w:r>
        <w:rPr>
          <w:rStyle w:val="FootnoteReference"/>
        </w:rPr>
        <w:footnoteRef/>
      </w:r>
      <w:r>
        <w:tab/>
      </w:r>
      <w:hyperlink r:id="rId2" w:history="1">
        <w:r>
          <w:rPr>
            <w:rStyle w:val="Hyperlink"/>
            <w:sz w:val="16"/>
          </w:rPr>
          <w:t>http://data.europa.eu/eli/prot/2022/2585/oj</w:t>
        </w:r>
      </w:hyperlink>
    </w:p>
  </w:footnote>
  <w:footnote w:id="4">
    <w:p w14:paraId="32FA0F5C" w14:textId="77777777" w:rsidR="00E050C3" w:rsidRPr="00910689" w:rsidRDefault="00E050C3" w:rsidP="00E050C3">
      <w:pPr>
        <w:pStyle w:val="FootnoteText"/>
      </w:pPr>
      <w:r>
        <w:rPr>
          <w:rStyle w:val="FootnoteReference"/>
        </w:rPr>
        <w:footnoteRef/>
      </w:r>
      <w:r>
        <w:tab/>
        <w:t xml:space="preserve">Articolul 20 din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 (JO L 433I, 22.12.2020, p. 28-46) </w:t>
      </w:r>
      <w:hyperlink r:id="rId3" w:history="1">
        <w:r>
          <w:rPr>
            <w:rStyle w:val="Hyperlink"/>
          </w:rPr>
          <w:t>eur-lex.europa.eu/legal-content/RO/TXT/PDF/?uri=OJ:L:2020:433I:FULL</w:t>
        </w:r>
      </w:hyperlink>
    </w:p>
  </w:footnote>
  <w:footnote w:id="5">
    <w:p w14:paraId="3E2BFE6F" w14:textId="77777777" w:rsidR="006F01D6" w:rsidRPr="00910689" w:rsidRDefault="006F01D6" w:rsidP="006F01D6">
      <w:pPr>
        <w:pStyle w:val="FootnoteText"/>
      </w:pPr>
      <w:r>
        <w:rPr>
          <w:rStyle w:val="FootnoteReference"/>
        </w:rPr>
        <w:footnoteRef/>
      </w:r>
      <w:r>
        <w:tab/>
        <w:t>Capitolul 40 (linia de rezervă 30 02 02) în conformitate cu acordul interinstituțional privind CFM (2013/C 373/01).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12412" w14:textId="77777777" w:rsidR="00D10844" w:rsidRDefault="00D108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33560" w14:textId="77777777" w:rsidR="00D10844" w:rsidRDefault="00D108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A745A7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98A5FB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E56681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9E5CBF1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0636AF5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136AF5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198CE8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1F8984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19"/>
  </w:num>
  <w:num w:numId="25">
    <w:abstractNumId w:val="12"/>
  </w:num>
  <w:num w:numId="26">
    <w:abstractNumId w:val="21"/>
  </w:num>
  <w:num w:numId="27">
    <w:abstractNumId w:val="11"/>
  </w:num>
  <w:num w:numId="28">
    <w:abstractNumId w:val="13"/>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24 17:14:3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989DEF9-7A8B-4578-8D2A-607C9E0666A4"/>
    <w:docVar w:name="LW_COVERPAGE_TYPE" w:val="1"/>
    <w:docVar w:name="LW_CROSSREFERENCE" w:val="{SWD(2026) 68 final}"/>
    <w:docVar w:name="LW_DocType" w:val="COM"/>
    <w:docVar w:name="LW_EMISSION" w:val="3.3.2026"/>
    <w:docVar w:name="LW_EMISSION_ISODATE" w:val="2026-03-03"/>
    <w:docVar w:name="LW_EMISSION_LOCATION" w:val="BRX"/>
    <w:docVar w:name="LW_EMISSION_PREFIX" w:val="Bruxelles, "/>
    <w:docVar w:name="LW_EMISSION_SUFFIX" w:val=" "/>
    <w:docVar w:name="LW_ID_DOCMODEL" w:val="SG-001"/>
    <w:docVar w:name="LW_ID_DOCSIGNATURE" w:val="SG-001"/>
    <w:docVar w:name="LW_ID_DOCSTRUCTURE" w:val="COM/PL/ORG/NOEEA"/>
    <w:docVar w:name="LW_ID_DOCTYPE" w:val="SG-001"/>
    <w:docVar w:name="LW_ID_EXP.MOTIFS.NEW" w:val="EM_PL_"/>
    <w:docVar w:name="LW_ID_STATUT" w:val="SG-001"/>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9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de autorizare a deschiderii de negocieri în numele Uniunii Europene pentru încheierea unui Acord de parteneriat în domeniul pescuitului sustenabil \u537?i a Protocolului de punere în aplicare a acestuia între Uniunea European\u259? \u537?i Republica Mauritius _x000b_ _x000b_"/>
    <w:docVar w:name="LW_TYPE.DOC.CP" w:val="DECIZIE A CONSILIULUI"/>
    <w:docVar w:name="LwApiVersions" w:val="LW4CoDe 1.24.5.0; LW 9.2, Build 20251112"/>
  </w:docVars>
  <w:rsids>
    <w:rsidRoot w:val="00DC622D"/>
    <w:rsid w:val="00001530"/>
    <w:rsid w:val="000021F5"/>
    <w:rsid w:val="0000453D"/>
    <w:rsid w:val="000061CA"/>
    <w:rsid w:val="00012602"/>
    <w:rsid w:val="00026517"/>
    <w:rsid w:val="0002667B"/>
    <w:rsid w:val="000518A2"/>
    <w:rsid w:val="00056D18"/>
    <w:rsid w:val="00064673"/>
    <w:rsid w:val="00075E15"/>
    <w:rsid w:val="000813F3"/>
    <w:rsid w:val="00081A77"/>
    <w:rsid w:val="00085053"/>
    <w:rsid w:val="00095A87"/>
    <w:rsid w:val="000A53A1"/>
    <w:rsid w:val="000A7517"/>
    <w:rsid w:val="000B7F6B"/>
    <w:rsid w:val="000D3460"/>
    <w:rsid w:val="000E198E"/>
    <w:rsid w:val="000F79F9"/>
    <w:rsid w:val="000F7FB5"/>
    <w:rsid w:val="0011222B"/>
    <w:rsid w:val="00123A32"/>
    <w:rsid w:val="00124FFE"/>
    <w:rsid w:val="00133342"/>
    <w:rsid w:val="00143290"/>
    <w:rsid w:val="00150F6F"/>
    <w:rsid w:val="001526E4"/>
    <w:rsid w:val="0015442B"/>
    <w:rsid w:val="001553B2"/>
    <w:rsid w:val="0015584C"/>
    <w:rsid w:val="00161920"/>
    <w:rsid w:val="00180D8C"/>
    <w:rsid w:val="00197CC2"/>
    <w:rsid w:val="001B5615"/>
    <w:rsid w:val="001C2816"/>
    <w:rsid w:val="001C5732"/>
    <w:rsid w:val="001D22D8"/>
    <w:rsid w:val="001F0833"/>
    <w:rsid w:val="00202909"/>
    <w:rsid w:val="00204010"/>
    <w:rsid w:val="00216ECA"/>
    <w:rsid w:val="00224C3C"/>
    <w:rsid w:val="00227881"/>
    <w:rsid w:val="002378F9"/>
    <w:rsid w:val="00261FCB"/>
    <w:rsid w:val="002829FC"/>
    <w:rsid w:val="002D413A"/>
    <w:rsid w:val="002D7CA8"/>
    <w:rsid w:val="003119F6"/>
    <w:rsid w:val="00311BB7"/>
    <w:rsid w:val="0031345A"/>
    <w:rsid w:val="003350A8"/>
    <w:rsid w:val="00350B7E"/>
    <w:rsid w:val="0036600B"/>
    <w:rsid w:val="00370F75"/>
    <w:rsid w:val="00371BA7"/>
    <w:rsid w:val="0037552F"/>
    <w:rsid w:val="003779DC"/>
    <w:rsid w:val="00381D31"/>
    <w:rsid w:val="0038584D"/>
    <w:rsid w:val="00391774"/>
    <w:rsid w:val="003A071B"/>
    <w:rsid w:val="003A2487"/>
    <w:rsid w:val="003A7E8F"/>
    <w:rsid w:val="003B4772"/>
    <w:rsid w:val="003E6BD6"/>
    <w:rsid w:val="003E70B1"/>
    <w:rsid w:val="004063D1"/>
    <w:rsid w:val="004064EC"/>
    <w:rsid w:val="004218DF"/>
    <w:rsid w:val="0043350F"/>
    <w:rsid w:val="00461C72"/>
    <w:rsid w:val="00463DF9"/>
    <w:rsid w:val="004A67DE"/>
    <w:rsid w:val="004C4141"/>
    <w:rsid w:val="004D02B4"/>
    <w:rsid w:val="004D068D"/>
    <w:rsid w:val="004D35A8"/>
    <w:rsid w:val="004E2FE9"/>
    <w:rsid w:val="004E377C"/>
    <w:rsid w:val="004E42DD"/>
    <w:rsid w:val="004E4CC3"/>
    <w:rsid w:val="004E7126"/>
    <w:rsid w:val="00515CFA"/>
    <w:rsid w:val="00520C33"/>
    <w:rsid w:val="00532616"/>
    <w:rsid w:val="00541BBC"/>
    <w:rsid w:val="0054241C"/>
    <w:rsid w:val="00561C8C"/>
    <w:rsid w:val="00561CD2"/>
    <w:rsid w:val="00562B6D"/>
    <w:rsid w:val="005920E1"/>
    <w:rsid w:val="005A1FED"/>
    <w:rsid w:val="005C721A"/>
    <w:rsid w:val="005C7C87"/>
    <w:rsid w:val="005D660C"/>
    <w:rsid w:val="005D70A7"/>
    <w:rsid w:val="005E186B"/>
    <w:rsid w:val="005E51DF"/>
    <w:rsid w:val="006048DD"/>
    <w:rsid w:val="0060591A"/>
    <w:rsid w:val="00611D2B"/>
    <w:rsid w:val="006339E1"/>
    <w:rsid w:val="00633B5F"/>
    <w:rsid w:val="00636A28"/>
    <w:rsid w:val="006408DE"/>
    <w:rsid w:val="00644E20"/>
    <w:rsid w:val="00655703"/>
    <w:rsid w:val="006617E8"/>
    <w:rsid w:val="00675DCE"/>
    <w:rsid w:val="006811B9"/>
    <w:rsid w:val="006839DE"/>
    <w:rsid w:val="006941D4"/>
    <w:rsid w:val="0069799B"/>
    <w:rsid w:val="006A0C51"/>
    <w:rsid w:val="006A263C"/>
    <w:rsid w:val="006B04C6"/>
    <w:rsid w:val="006B715B"/>
    <w:rsid w:val="006C6EFE"/>
    <w:rsid w:val="006D4828"/>
    <w:rsid w:val="006D7569"/>
    <w:rsid w:val="006E15F8"/>
    <w:rsid w:val="006E3509"/>
    <w:rsid w:val="006E3C62"/>
    <w:rsid w:val="006F01D6"/>
    <w:rsid w:val="006F1D03"/>
    <w:rsid w:val="006F3443"/>
    <w:rsid w:val="006F4DB2"/>
    <w:rsid w:val="0070128F"/>
    <w:rsid w:val="00714EB7"/>
    <w:rsid w:val="00724D9C"/>
    <w:rsid w:val="00755309"/>
    <w:rsid w:val="00760ADB"/>
    <w:rsid w:val="007623A6"/>
    <w:rsid w:val="007677C4"/>
    <w:rsid w:val="00767DC9"/>
    <w:rsid w:val="007710A2"/>
    <w:rsid w:val="0078063A"/>
    <w:rsid w:val="00791D70"/>
    <w:rsid w:val="007A11EA"/>
    <w:rsid w:val="007A4CDC"/>
    <w:rsid w:val="007C05A8"/>
    <w:rsid w:val="007C06F6"/>
    <w:rsid w:val="007C702C"/>
    <w:rsid w:val="007D0631"/>
    <w:rsid w:val="007E4450"/>
    <w:rsid w:val="007E7E37"/>
    <w:rsid w:val="007F73B0"/>
    <w:rsid w:val="0080781C"/>
    <w:rsid w:val="00817EE0"/>
    <w:rsid w:val="00820720"/>
    <w:rsid w:val="0082129A"/>
    <w:rsid w:val="008338BA"/>
    <w:rsid w:val="008412A3"/>
    <w:rsid w:val="0085737D"/>
    <w:rsid w:val="00861DE4"/>
    <w:rsid w:val="008630BC"/>
    <w:rsid w:val="00872DC4"/>
    <w:rsid w:val="00876865"/>
    <w:rsid w:val="008824B5"/>
    <w:rsid w:val="00885EE2"/>
    <w:rsid w:val="0089067F"/>
    <w:rsid w:val="008B03E4"/>
    <w:rsid w:val="008B0467"/>
    <w:rsid w:val="008C10AA"/>
    <w:rsid w:val="008D009F"/>
    <w:rsid w:val="008D4685"/>
    <w:rsid w:val="008E00F0"/>
    <w:rsid w:val="008E38A0"/>
    <w:rsid w:val="008E51B1"/>
    <w:rsid w:val="008F1611"/>
    <w:rsid w:val="008F5633"/>
    <w:rsid w:val="008F5DE3"/>
    <w:rsid w:val="0090646E"/>
    <w:rsid w:val="00910689"/>
    <w:rsid w:val="0091121E"/>
    <w:rsid w:val="00915E75"/>
    <w:rsid w:val="009163DE"/>
    <w:rsid w:val="009167C1"/>
    <w:rsid w:val="00936CDA"/>
    <w:rsid w:val="00944AF0"/>
    <w:rsid w:val="009454D6"/>
    <w:rsid w:val="00980062"/>
    <w:rsid w:val="00986B33"/>
    <w:rsid w:val="00987AD5"/>
    <w:rsid w:val="00992771"/>
    <w:rsid w:val="00993E93"/>
    <w:rsid w:val="00994633"/>
    <w:rsid w:val="009A3931"/>
    <w:rsid w:val="009A462F"/>
    <w:rsid w:val="009B02E2"/>
    <w:rsid w:val="009B7138"/>
    <w:rsid w:val="009C656C"/>
    <w:rsid w:val="009D5369"/>
    <w:rsid w:val="009E03C6"/>
    <w:rsid w:val="009F22C0"/>
    <w:rsid w:val="00A1008C"/>
    <w:rsid w:val="00A12495"/>
    <w:rsid w:val="00A1283C"/>
    <w:rsid w:val="00A2229D"/>
    <w:rsid w:val="00A310B4"/>
    <w:rsid w:val="00A36D00"/>
    <w:rsid w:val="00A36D27"/>
    <w:rsid w:val="00A376CE"/>
    <w:rsid w:val="00A50BB2"/>
    <w:rsid w:val="00A56379"/>
    <w:rsid w:val="00A57B60"/>
    <w:rsid w:val="00A608B8"/>
    <w:rsid w:val="00A702E4"/>
    <w:rsid w:val="00A80E73"/>
    <w:rsid w:val="00A966C9"/>
    <w:rsid w:val="00AA36B2"/>
    <w:rsid w:val="00AA484D"/>
    <w:rsid w:val="00AB6390"/>
    <w:rsid w:val="00AC012F"/>
    <w:rsid w:val="00AD1E29"/>
    <w:rsid w:val="00AE64C9"/>
    <w:rsid w:val="00AE77EA"/>
    <w:rsid w:val="00AF1F99"/>
    <w:rsid w:val="00B14D9E"/>
    <w:rsid w:val="00B24060"/>
    <w:rsid w:val="00B57F08"/>
    <w:rsid w:val="00B6090C"/>
    <w:rsid w:val="00B630B2"/>
    <w:rsid w:val="00B7015F"/>
    <w:rsid w:val="00B747A9"/>
    <w:rsid w:val="00B81121"/>
    <w:rsid w:val="00B832C1"/>
    <w:rsid w:val="00BA2537"/>
    <w:rsid w:val="00BB1F73"/>
    <w:rsid w:val="00BB71F7"/>
    <w:rsid w:val="00BC240A"/>
    <w:rsid w:val="00BC3955"/>
    <w:rsid w:val="00BC711C"/>
    <w:rsid w:val="00BD1B0A"/>
    <w:rsid w:val="00BD34B0"/>
    <w:rsid w:val="00BE23FB"/>
    <w:rsid w:val="00BE246D"/>
    <w:rsid w:val="00BF17AA"/>
    <w:rsid w:val="00BF6050"/>
    <w:rsid w:val="00C05338"/>
    <w:rsid w:val="00C20103"/>
    <w:rsid w:val="00C24214"/>
    <w:rsid w:val="00C24556"/>
    <w:rsid w:val="00C25A5F"/>
    <w:rsid w:val="00C3447D"/>
    <w:rsid w:val="00C417F9"/>
    <w:rsid w:val="00C454C0"/>
    <w:rsid w:val="00C66130"/>
    <w:rsid w:val="00C70818"/>
    <w:rsid w:val="00C82EAF"/>
    <w:rsid w:val="00C94E62"/>
    <w:rsid w:val="00C94E9A"/>
    <w:rsid w:val="00C974F8"/>
    <w:rsid w:val="00CC00CD"/>
    <w:rsid w:val="00D10844"/>
    <w:rsid w:val="00D30F47"/>
    <w:rsid w:val="00D36DE8"/>
    <w:rsid w:val="00D43525"/>
    <w:rsid w:val="00D52239"/>
    <w:rsid w:val="00D56504"/>
    <w:rsid w:val="00D5726C"/>
    <w:rsid w:val="00D60149"/>
    <w:rsid w:val="00D63656"/>
    <w:rsid w:val="00D64535"/>
    <w:rsid w:val="00D704EB"/>
    <w:rsid w:val="00D754DD"/>
    <w:rsid w:val="00D80360"/>
    <w:rsid w:val="00D860B1"/>
    <w:rsid w:val="00D90CFF"/>
    <w:rsid w:val="00DA2F71"/>
    <w:rsid w:val="00DB2804"/>
    <w:rsid w:val="00DB37B3"/>
    <w:rsid w:val="00DB750D"/>
    <w:rsid w:val="00DC622D"/>
    <w:rsid w:val="00DD6506"/>
    <w:rsid w:val="00DE7B7E"/>
    <w:rsid w:val="00E008DE"/>
    <w:rsid w:val="00E050C3"/>
    <w:rsid w:val="00E114CE"/>
    <w:rsid w:val="00E4265E"/>
    <w:rsid w:val="00E46700"/>
    <w:rsid w:val="00E46AFE"/>
    <w:rsid w:val="00E613F5"/>
    <w:rsid w:val="00E65C01"/>
    <w:rsid w:val="00E7274A"/>
    <w:rsid w:val="00E940BE"/>
    <w:rsid w:val="00E954B6"/>
    <w:rsid w:val="00E96F5D"/>
    <w:rsid w:val="00EB5F64"/>
    <w:rsid w:val="00EB625E"/>
    <w:rsid w:val="00EC586F"/>
    <w:rsid w:val="00ED1032"/>
    <w:rsid w:val="00ED3E62"/>
    <w:rsid w:val="00EE1582"/>
    <w:rsid w:val="00EE4AFF"/>
    <w:rsid w:val="00EE6717"/>
    <w:rsid w:val="00EF58C5"/>
    <w:rsid w:val="00F005F7"/>
    <w:rsid w:val="00F11638"/>
    <w:rsid w:val="00F1195B"/>
    <w:rsid w:val="00F15E60"/>
    <w:rsid w:val="00F20010"/>
    <w:rsid w:val="00F20062"/>
    <w:rsid w:val="00F334CD"/>
    <w:rsid w:val="00F41829"/>
    <w:rsid w:val="00F461EF"/>
    <w:rsid w:val="00F46D1E"/>
    <w:rsid w:val="00F6127A"/>
    <w:rsid w:val="00F617F3"/>
    <w:rsid w:val="00F6317F"/>
    <w:rsid w:val="00F70198"/>
    <w:rsid w:val="00F76750"/>
    <w:rsid w:val="00F7746C"/>
    <w:rsid w:val="00F86FE2"/>
    <w:rsid w:val="00F91E8E"/>
    <w:rsid w:val="00FA6DD0"/>
    <w:rsid w:val="00FD3980"/>
    <w:rsid w:val="00FD6D35"/>
    <w:rsid w:val="00FF0B17"/>
    <w:rsid w:val="0188FC45"/>
    <w:rsid w:val="0749DE4D"/>
    <w:rsid w:val="119EE191"/>
    <w:rsid w:val="1597192A"/>
    <w:rsid w:val="1C9FA9CA"/>
    <w:rsid w:val="205042D7"/>
    <w:rsid w:val="28B52155"/>
    <w:rsid w:val="2934CE96"/>
    <w:rsid w:val="2E95D13C"/>
    <w:rsid w:val="31837F53"/>
    <w:rsid w:val="46B8A591"/>
    <w:rsid w:val="4B8E2128"/>
    <w:rsid w:val="54586FB2"/>
    <w:rsid w:val="57F567F1"/>
    <w:rsid w:val="72F68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55BE90F"/>
  <w15:docId w15:val="{3398501F-D9D4-4918-8398-AFD9EEDB5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0518A2"/>
    <w:pPr>
      <w:numPr>
        <w:numId w:val="1"/>
      </w:numPr>
      <w:contextualSpacing/>
    </w:pPr>
  </w:style>
  <w:style w:type="paragraph" w:styleId="ListBullet2">
    <w:name w:val="List Bullet 2"/>
    <w:basedOn w:val="Normal"/>
    <w:uiPriority w:val="99"/>
    <w:semiHidden/>
    <w:unhideWhenUsed/>
    <w:rsid w:val="000518A2"/>
    <w:pPr>
      <w:numPr>
        <w:numId w:val="2"/>
      </w:numPr>
      <w:contextualSpacing/>
    </w:pPr>
  </w:style>
  <w:style w:type="paragraph" w:styleId="ListBullet3">
    <w:name w:val="List Bullet 3"/>
    <w:basedOn w:val="Normal"/>
    <w:uiPriority w:val="99"/>
    <w:semiHidden/>
    <w:unhideWhenUsed/>
    <w:rsid w:val="000518A2"/>
    <w:pPr>
      <w:numPr>
        <w:numId w:val="3"/>
      </w:numPr>
      <w:contextualSpacing/>
    </w:pPr>
  </w:style>
  <w:style w:type="paragraph" w:styleId="ListBullet4">
    <w:name w:val="List Bullet 4"/>
    <w:basedOn w:val="Normal"/>
    <w:uiPriority w:val="99"/>
    <w:semiHidden/>
    <w:unhideWhenUsed/>
    <w:rsid w:val="000518A2"/>
    <w:pPr>
      <w:numPr>
        <w:numId w:val="4"/>
      </w:numPr>
      <w:contextualSpacing/>
    </w:pPr>
  </w:style>
  <w:style w:type="character" w:styleId="Hyperlink">
    <w:name w:val="Hyperlink"/>
    <w:basedOn w:val="DefaultParagraphFont"/>
    <w:uiPriority w:val="99"/>
    <w:unhideWhenUsed/>
    <w:rsid w:val="00D64535"/>
    <w:rPr>
      <w:color w:val="0000FF" w:themeColor="hyperlink"/>
      <w:u w:val="single"/>
    </w:rPr>
  </w:style>
  <w:style w:type="paragraph" w:styleId="NormalWeb">
    <w:name w:val="Normal (Web)"/>
    <w:basedOn w:val="Normal"/>
    <w:uiPriority w:val="99"/>
    <w:unhideWhenUsed/>
    <w:rsid w:val="00D64535"/>
    <w:pPr>
      <w:spacing w:before="100" w:beforeAutospacing="1" w:after="100" w:afterAutospacing="1"/>
      <w:jc w:val="left"/>
    </w:pPr>
    <w:rPr>
      <w:rFonts w:eastAsia="Times New Roman"/>
      <w:szCs w:val="24"/>
      <w:lang w:eastAsia="fr-BE"/>
    </w:rPr>
  </w:style>
  <w:style w:type="character" w:styleId="Emphasis">
    <w:name w:val="Emphasis"/>
    <w:basedOn w:val="DefaultParagraphFont"/>
    <w:uiPriority w:val="20"/>
    <w:qFormat/>
    <w:rsid w:val="00A36D00"/>
    <w:rPr>
      <w:i/>
      <w:iCs/>
    </w:rPr>
  </w:style>
  <w:style w:type="character" w:styleId="CommentReference">
    <w:name w:val="annotation reference"/>
    <w:basedOn w:val="DefaultParagraphFont"/>
    <w:uiPriority w:val="99"/>
    <w:semiHidden/>
    <w:unhideWhenUsed/>
    <w:rsid w:val="00633B5F"/>
    <w:rPr>
      <w:sz w:val="16"/>
      <w:szCs w:val="16"/>
    </w:rPr>
  </w:style>
  <w:style w:type="paragraph" w:styleId="CommentText">
    <w:name w:val="annotation text"/>
    <w:basedOn w:val="Normal"/>
    <w:link w:val="CommentTextChar"/>
    <w:uiPriority w:val="99"/>
    <w:unhideWhenUsed/>
    <w:rsid w:val="00633B5F"/>
    <w:rPr>
      <w:sz w:val="20"/>
      <w:szCs w:val="20"/>
    </w:rPr>
  </w:style>
  <w:style w:type="character" w:customStyle="1" w:styleId="CommentTextChar">
    <w:name w:val="Comment Text Char"/>
    <w:basedOn w:val="DefaultParagraphFont"/>
    <w:link w:val="CommentText"/>
    <w:uiPriority w:val="99"/>
    <w:rsid w:val="00633B5F"/>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633B5F"/>
    <w:rPr>
      <w:b/>
      <w:bCs/>
    </w:rPr>
  </w:style>
  <w:style w:type="character" w:customStyle="1" w:styleId="CommentSubjectChar">
    <w:name w:val="Comment Subject Char"/>
    <w:basedOn w:val="CommentTextChar"/>
    <w:link w:val="CommentSubject"/>
    <w:uiPriority w:val="99"/>
    <w:semiHidden/>
    <w:rsid w:val="00633B5F"/>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633B5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B5F"/>
    <w:rPr>
      <w:rFonts w:ascii="Segoe UI" w:hAnsi="Segoe UI" w:cs="Segoe UI"/>
      <w:sz w:val="18"/>
      <w:szCs w:val="18"/>
      <w:lang w:val="ro-RO"/>
    </w:rPr>
  </w:style>
  <w:style w:type="paragraph" w:styleId="Caption">
    <w:name w:val="caption"/>
    <w:basedOn w:val="Normal"/>
    <w:next w:val="Normal"/>
    <w:uiPriority w:val="35"/>
    <w:semiHidden/>
    <w:unhideWhenUsed/>
    <w:qFormat/>
    <w:rsid w:val="006E350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E3509"/>
    <w:pPr>
      <w:spacing w:after="0"/>
    </w:pPr>
  </w:style>
  <w:style w:type="paragraph" w:styleId="ListNumber">
    <w:name w:val="List Number"/>
    <w:basedOn w:val="Normal"/>
    <w:uiPriority w:val="99"/>
    <w:semiHidden/>
    <w:unhideWhenUsed/>
    <w:rsid w:val="006E3509"/>
    <w:pPr>
      <w:numPr>
        <w:numId w:val="5"/>
      </w:numPr>
      <w:contextualSpacing/>
    </w:pPr>
  </w:style>
  <w:style w:type="paragraph" w:styleId="ListNumber2">
    <w:name w:val="List Number 2"/>
    <w:basedOn w:val="Normal"/>
    <w:uiPriority w:val="99"/>
    <w:semiHidden/>
    <w:unhideWhenUsed/>
    <w:rsid w:val="006E3509"/>
    <w:pPr>
      <w:numPr>
        <w:numId w:val="6"/>
      </w:numPr>
      <w:contextualSpacing/>
    </w:pPr>
  </w:style>
  <w:style w:type="paragraph" w:styleId="ListNumber3">
    <w:name w:val="List Number 3"/>
    <w:basedOn w:val="Normal"/>
    <w:uiPriority w:val="99"/>
    <w:semiHidden/>
    <w:unhideWhenUsed/>
    <w:rsid w:val="006E3509"/>
    <w:pPr>
      <w:numPr>
        <w:numId w:val="7"/>
      </w:numPr>
      <w:contextualSpacing/>
    </w:pPr>
  </w:style>
  <w:style w:type="paragraph" w:styleId="ListNumber4">
    <w:name w:val="List Number 4"/>
    <w:basedOn w:val="Normal"/>
    <w:uiPriority w:val="99"/>
    <w:semiHidden/>
    <w:unhideWhenUsed/>
    <w:rsid w:val="006E3509"/>
    <w:pPr>
      <w:numPr>
        <w:numId w:val="8"/>
      </w:numPr>
      <w:contextualSpacing/>
    </w:pPr>
  </w:style>
  <w:style w:type="character" w:customStyle="1" w:styleId="UnresolvedMention1">
    <w:name w:val="Unresolved Mention1"/>
    <w:basedOn w:val="DefaultParagraphFont"/>
    <w:uiPriority w:val="99"/>
    <w:semiHidden/>
    <w:unhideWhenUsed/>
    <w:rsid w:val="00DB2804"/>
    <w:rPr>
      <w:color w:val="605E5C"/>
      <w:shd w:val="clear" w:color="auto" w:fill="E1DFDD"/>
    </w:rPr>
  </w:style>
  <w:style w:type="character" w:customStyle="1" w:styleId="UnresolvedMention2">
    <w:name w:val="Unresolved Mention2"/>
    <w:basedOn w:val="DefaultParagraphFont"/>
    <w:uiPriority w:val="99"/>
    <w:semiHidden/>
    <w:unhideWhenUsed/>
    <w:rsid w:val="00C94E62"/>
    <w:rPr>
      <w:color w:val="605E5C"/>
      <w:shd w:val="clear" w:color="auto" w:fill="E1DFDD"/>
    </w:rPr>
  </w:style>
  <w:style w:type="paragraph" w:styleId="Revision">
    <w:name w:val="Revision"/>
    <w:hidden/>
    <w:uiPriority w:val="99"/>
    <w:semiHidden/>
    <w:rsid w:val="004063D1"/>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C24214"/>
    <w:rPr>
      <w:color w:val="605E5C"/>
      <w:shd w:val="clear" w:color="auto" w:fill="E1DFDD"/>
    </w:rPr>
  </w:style>
  <w:style w:type="paragraph" w:styleId="ListParagraph">
    <w:name w:val="List Paragraph"/>
    <w:basedOn w:val="Normal"/>
    <w:uiPriority w:val="34"/>
    <w:qFormat/>
    <w:rsid w:val="006941D4"/>
    <w:pPr>
      <w:ind w:left="720"/>
      <w:contextualSpacing/>
    </w:pPr>
  </w:style>
  <w:style w:type="paragraph" w:customStyle="1" w:styleId="Pagebreak">
    <w:name w:val="Page break"/>
    <w:basedOn w:val="Pagedecouverture"/>
    <w:rsid w:val="00F334CD"/>
  </w:style>
  <w:style w:type="paragraph" w:customStyle="1" w:styleId="Page">
    <w:name w:val="Page"/>
    <w:basedOn w:val="Pagebreak"/>
    <w:rsid w:val="00F334CD"/>
  </w:style>
  <w:style w:type="character" w:customStyle="1" w:styleId="HeaderChar">
    <w:name w:val="Header Char"/>
    <w:basedOn w:val="DefaultParagraphFont"/>
    <w:link w:val="Header"/>
    <w:uiPriority w:val="99"/>
    <w:rsid w:val="00D10844"/>
    <w:rPr>
      <w:rFonts w:ascii="Times New Roman" w:hAnsi="Times New Roman" w:cs="Times New Roman"/>
      <w:sz w:val="24"/>
      <w:lang w:val="ro-RO"/>
    </w:rPr>
  </w:style>
  <w:style w:type="character" w:customStyle="1" w:styleId="FooterChar">
    <w:name w:val="Footer Char"/>
    <w:basedOn w:val="DefaultParagraphFont"/>
    <w:link w:val="Footer"/>
    <w:uiPriority w:val="99"/>
    <w:rsid w:val="00D10844"/>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1084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10844"/>
    <w:pPr>
      <w:spacing w:before="0"/>
      <w:jc w:val="right"/>
    </w:pPr>
    <w:rPr>
      <w:sz w:val="28"/>
    </w:rPr>
  </w:style>
  <w:style w:type="paragraph" w:customStyle="1" w:styleId="FooterSensitivity">
    <w:name w:val="Footer Sensitivity"/>
    <w:basedOn w:val="Normal"/>
    <w:rsid w:val="00D1084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10844"/>
    <w:pPr>
      <w:tabs>
        <w:tab w:val="center" w:pos="4535"/>
        <w:tab w:val="right" w:pos="9071"/>
      </w:tabs>
      <w:spacing w:before="0"/>
    </w:pPr>
  </w:style>
  <w:style w:type="paragraph" w:customStyle="1" w:styleId="HeaderLandscape">
    <w:name w:val="HeaderLandscape"/>
    <w:basedOn w:val="Normal"/>
    <w:rsid w:val="00D10844"/>
    <w:pPr>
      <w:tabs>
        <w:tab w:val="center" w:pos="7285"/>
        <w:tab w:val="right" w:pos="14003"/>
      </w:tabs>
      <w:spacing w:before="0"/>
    </w:pPr>
  </w:style>
  <w:style w:type="paragraph" w:styleId="Footer">
    <w:name w:val="footer"/>
    <w:basedOn w:val="Normal"/>
    <w:link w:val="FooterChar"/>
    <w:uiPriority w:val="99"/>
    <w:unhideWhenUsed/>
    <w:rsid w:val="00D1084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1084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RO/TXT/PDF/?uri=OJ:L:2020:433I:FULL" TargetMode="External"/><Relationship Id="rId2" Type="http://schemas.openxmlformats.org/officeDocument/2006/relationships/hyperlink" Target="http://data.europa.eu/eli/prot/2022/2585/oj" TargetMode="External"/><Relationship Id="rId1" Type="http://schemas.openxmlformats.org/officeDocument/2006/relationships/hyperlink" Target="http://data.europa.eu/eli/agree_internation/2014/14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19735-5EFD-4B4A-9DEB-7AA1C0206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TotalTime>
  <Pages>6</Pages>
  <Words>1620</Words>
  <Characters>9239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dcterms:created xsi:type="dcterms:W3CDTF">2026-02-23T08:48:00Z</dcterms:created>
  <dcterms:modified xsi:type="dcterms:W3CDTF">2026-02-24T16:14:00Z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2026-01-30T09:12:16Z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3cecc57a-a28b-43c2-8653-9adbf356913d</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SG-001</vt:lpwstr>
  </property>
  <property fmtid="{D5CDD505-2E9C-101B-9397-08002B2CF9AE}" pid="16" name="DQCStatus">
    <vt:lpwstr>Green (DQC version 03)</vt:lpwstr>
  </property>
</Properties>
</file>