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F484C" w14:textId="2EB0484C" w:rsidR="00145727" w:rsidRPr="00D05EA1" w:rsidRDefault="00650C7D" w:rsidP="00650C7D">
      <w:pPr>
        <w:pStyle w:val="Pagedecouverture"/>
        <w:rPr>
          <w:noProof/>
        </w:rPr>
      </w:pPr>
      <w:bookmarkStart w:id="0" w:name="LW_BM_COVERPAGE"/>
      <w:r>
        <w:rPr>
          <w:noProof/>
        </w:rPr>
        <w:pict w14:anchorId="367E84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61C93D-60B2-4B0E-93D5-3266C2958B99" style="width:455.25pt;height:286.5pt">
            <v:imagedata r:id="rId11" o:title=""/>
          </v:shape>
        </w:pict>
      </w:r>
    </w:p>
    <w:bookmarkEnd w:id="0"/>
    <w:p w14:paraId="43203B7C" w14:textId="77777777" w:rsidR="00CA1C29" w:rsidRDefault="00CA1C29" w:rsidP="00CA1C29">
      <w:pPr>
        <w:rPr>
          <w:noProof/>
        </w:rPr>
        <w:sectPr w:rsidR="00CA1C29" w:rsidSect="00650C7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5B8980F" w14:textId="2EC5D1A1" w:rsidR="00912308" w:rsidRPr="00D05EA1" w:rsidRDefault="3BE4434B" w:rsidP="0047717E">
      <w:pPr>
        <w:pStyle w:val="ListParagraph"/>
        <w:numPr>
          <w:ilvl w:val="0"/>
          <w:numId w:val="11"/>
        </w:numPr>
        <w:spacing w:after="120" w:line="276" w:lineRule="auto"/>
        <w:ind w:left="357" w:hanging="357"/>
        <w:jc w:val="both"/>
        <w:rPr>
          <w:b/>
          <w:noProof/>
          <w:szCs w:val="20"/>
        </w:rPr>
      </w:pPr>
      <w:bookmarkStart w:id="1" w:name="_GoBack"/>
      <w:bookmarkEnd w:id="1"/>
      <w:r>
        <w:rPr>
          <w:b/>
          <w:smallCaps/>
          <w:noProof/>
        </w:rPr>
        <w:lastRenderedPageBreak/>
        <w:t>Introduction</w:t>
      </w:r>
    </w:p>
    <w:p w14:paraId="0A73B7DF" w14:textId="747F1712" w:rsidR="00EF58D0" w:rsidRPr="00111FB3" w:rsidRDefault="00EF58D0"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 communication sur l’approche mondiale de la recherche et de l’innovation (R&amp;I)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a été adoptée en mai 2021, à un moment où le monde était très différent de ce qu’il est aujourd’hui. Néanmoins, ses grands objectifs et principes restent valables, tels que la défense et la promotion des valeurs fondamentales de la recherche et de l’innovation, l’action en faveur de conditions de concurrence équitables et de la réciprocité dans la coopération internationale en matière de R&amp;I, le déploiement d’efforts communs pour relever des défis planétaires comme le changement climatique, la perte de biodiversité et les crises sanitaires mondiales, et l’adoption d’une approche nuancée et modulée de la coopération avec les pays et régions tiers.</w:t>
      </w:r>
    </w:p>
    <w:p w14:paraId="6691B078" w14:textId="6D6F99F2" w:rsidR="00126C71" w:rsidRDefault="00C570E8" w:rsidP="00126C71">
      <w:pPr>
        <w:jc w:val="both"/>
        <w:rPr>
          <w:rFonts w:ascii="Times New Roman" w:hAnsi="Times New Roman" w:cs="Times New Roman"/>
          <w:noProof/>
          <w:sz w:val="24"/>
          <w:szCs w:val="24"/>
        </w:rPr>
      </w:pPr>
      <w:r>
        <w:rPr>
          <w:rFonts w:ascii="Times New Roman" w:hAnsi="Times New Roman"/>
          <w:noProof/>
          <w:sz w:val="24"/>
        </w:rPr>
        <w:t xml:space="preserve">La coopération internationale en matière de R&amp;I accroît l’excellence et la compétitivité, donne accès aux compétences internationales grâce à la mobilité et à la coopération, permet d’élaborer des solutions aux défis mondiaux et promeut des normes scientifiques et techniques communes, réduisant ainsi les obstacles au commerce et améliorant l’accès aux marchés potentiels. Elle permet également de constituer un capital politique et diplomatique, et contribue à la réalisation des objectifs géopolitiques de l’UE. Sa promotion est consacrée par l’article 180, point b), du traité sur le fonctionnement de l’Union européenne. </w:t>
      </w:r>
    </w:p>
    <w:p w14:paraId="146193F2" w14:textId="0DE808AE" w:rsidR="00EF58D0" w:rsidRDefault="009F4A63"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Dans un contexte de rivalités géostratégiques, l’UE doit s’affirmer davantage dans la poursuite de ses intérêts stratégiques tout en renforçant sa coopération avec des partenaires partageant les mêmes valeurs</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La mise en œuvre de l’approche mondiale doit par conséquent tenir compte à la fois des nouvelles réalités géopolitiques et des avancées majeures dans les domaines de la science et de la technologie. Le premier rapport bisannuel sur la mise en œuvre de l’approche mondiale de la recherche et de l’innovation, adopté en 2023, a tenu compte de ces réalités, par exemple en soulignant le soutien de l’UE à l’Ukraine à la suite de l’invasion illégale à grande échelle lancée par la Russie. </w:t>
      </w:r>
    </w:p>
    <w:p w14:paraId="165837E4" w14:textId="20CB7263" w:rsidR="00565D84" w:rsidRPr="006A4D52" w:rsidRDefault="001A2E27" w:rsidP="0047717E">
      <w:pPr>
        <w:spacing w:after="120" w:line="276" w:lineRule="auto"/>
        <w:jc w:val="both"/>
        <w:rPr>
          <w:noProof/>
        </w:rPr>
      </w:pPr>
      <w:r>
        <w:rPr>
          <w:rFonts w:ascii="Times New Roman" w:hAnsi="Times New Roman"/>
          <w:noProof/>
          <w:sz w:val="24"/>
        </w:rPr>
        <w:t>Ces deux dernières années, l’UE a pris des mesures fermes pour relever ces défis en adoptant des initiatives clés visant à garantir que l’UE reste à la pointe de l’innovation et que son système de R&amp;I demeure à la fois ouvert et sûr</w:t>
      </w:r>
      <w:r>
        <w:rPr>
          <w:rStyle w:val="FootnoteReference"/>
          <w:rFonts w:ascii="Times New Roman" w:hAnsi="Times New Roman" w:cs="Times New Roman"/>
          <w:noProof/>
          <w:sz w:val="24"/>
          <w:szCs w:val="24"/>
        </w:rPr>
        <w:footnoteReference w:id="4"/>
      </w:r>
      <w:r>
        <w:rPr>
          <w:rFonts w:ascii="Times New Roman" w:hAnsi="Times New Roman"/>
          <w:noProof/>
          <w:sz w:val="24"/>
        </w:rPr>
        <w:t>. L’UE est et restera la gardienne du multilatéralisme, d’un ordre international fondé sur des règles et de l’élaboration de politiques fondées sur des données probantes, qui sont essentiels dans le monde actuel pour défendre les principes fondamentaux de la démocratie, notamment des sociétés démocratiques plus résilientes et plus fortes. Alors que les principes et les valeurs prônés par l’UE sont de plus en plus menacés dans le monde entier, l’Union doit plus que jamais défendre la liberté académique et la liberté de la recherche scientifique, ainsi que la diversité, l’équité et l’inclusion. Cela implique notamment de promouvoir l’égalité et la non-discrimination pour les femmes et d’autres groupes particulièrement exposés au risque de discrimination, et de garantir leur participation effective et à part entière aux systèmes de R&amp;I. Ces valeurs constituent non seulement un impératif moral, mais également l’un des atouts les plus précieux dont dispose l’UE dans la course mondiale aux talents.</w:t>
      </w:r>
    </w:p>
    <w:p w14:paraId="65F6B41C" w14:textId="6015356A" w:rsidR="00EF58D0" w:rsidRDefault="00F5535D"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Le présent rapport offre une vue d’ensemble des travaux de la Commission en ce qui concerne la mise en œuvre de l’approche mondiale de la recherche et de l’innovation et des conclusions du Conseil</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y afférentes depuis la publication du premier rapport bisannuel en 2023</w:t>
      </w:r>
      <w:r>
        <w:rPr>
          <w:rStyle w:val="FootnoteReference"/>
          <w:rFonts w:ascii="Times New Roman" w:hAnsi="Times New Roman" w:cs="Times New Roman"/>
          <w:noProof/>
          <w:sz w:val="24"/>
          <w:szCs w:val="24"/>
        </w:rPr>
        <w:footnoteReference w:id="6"/>
      </w:r>
      <w:r>
        <w:rPr>
          <w:rFonts w:ascii="Times New Roman" w:hAnsi="Times New Roman"/>
          <w:noProof/>
          <w:sz w:val="24"/>
        </w:rPr>
        <w:t>. Il vise à donner un aperçu de la manière dont l’UE fait face aux nouveaux défis et exigences en matière de R&amp;I dans un contexte international de plus en plus concurrentiel et instable, et défend ainsi ses intérêts stratégiques.</w:t>
      </w:r>
    </w:p>
    <w:p w14:paraId="7B29877D" w14:textId="77777777" w:rsidR="0047717E" w:rsidRPr="004D7378" w:rsidRDefault="0047717E" w:rsidP="0047717E">
      <w:pPr>
        <w:spacing w:after="120" w:line="276" w:lineRule="auto"/>
        <w:jc w:val="both"/>
        <w:rPr>
          <w:noProof/>
        </w:rPr>
      </w:pPr>
    </w:p>
    <w:p w14:paraId="05F03E12" w14:textId="77777777" w:rsidR="0087419C" w:rsidRPr="00D05EA1" w:rsidRDefault="0087419C" w:rsidP="0047717E">
      <w:pPr>
        <w:pStyle w:val="ListParagraph"/>
        <w:numPr>
          <w:ilvl w:val="0"/>
          <w:numId w:val="11"/>
        </w:numPr>
        <w:spacing w:after="120" w:line="276" w:lineRule="auto"/>
        <w:ind w:left="357" w:hanging="357"/>
        <w:jc w:val="both"/>
        <w:rPr>
          <w:b/>
          <w:smallCaps/>
          <w:noProof/>
          <w:szCs w:val="20"/>
        </w:rPr>
      </w:pPr>
      <w:r>
        <w:rPr>
          <w:b/>
          <w:smallCaps/>
          <w:noProof/>
        </w:rPr>
        <w:t>Réaffirmer l’engagement de l’UE en faveur de l’ouverture internationale et des valeurs fondamentales dans la recherche et l’innovation</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87419C" w:rsidRPr="00D05EA1" w14:paraId="341738CA" w14:textId="77777777" w:rsidTr="62291281">
        <w:tc>
          <w:tcPr>
            <w:tcW w:w="9242" w:type="dxa"/>
            <w:shd w:val="clear" w:color="auto" w:fill="D9D9D9" w:themeFill="background1" w:themeFillShade="D9"/>
          </w:tcPr>
          <w:p w14:paraId="000DFFB3" w14:textId="6F7272B9" w:rsidR="00BE147A" w:rsidRPr="00D05EA1" w:rsidRDefault="69480CEF"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L’UE a mis en œuvre, avec des partenaires dans le monde entier, le dialogue multilatéral sur les principes et les valeurs de la coopération internationale en matière de R&amp;I, qui a abouti à l’adoption de la déclaration de Bruxelles lors d’une conférence ministérielle internationale tenue en février 2024. La Commission a proposé de lancer la prochaine phase de ce dialogue en élargissant sa couverture géographique et thématique. La Commission a également commencé à élaborer un cadre européen pour la diplomatie scientifique et a publié un rapport contenant des recommandations d’experts rédigées conjointement par des scientifiques et des diplomates. Grâce à l’association de la Nouvelle-Zélande, du Canada, du Royaume-Uni, de la République de Corée, de la Suisse et de l’Égypte au programme Horizon Europe, l’UE a continué avec succès à tisser des liens solides en matière de R&amp;I avec des partenaires clés à l’étranger.</w:t>
            </w:r>
          </w:p>
        </w:tc>
      </w:tr>
    </w:tbl>
    <w:p w14:paraId="42570695" w14:textId="77777777" w:rsidR="00D73D8F" w:rsidRPr="0017745C" w:rsidRDefault="00D73D8F" w:rsidP="00352ED0">
      <w:pPr>
        <w:pStyle w:val="ListParagraph"/>
        <w:spacing w:after="120" w:line="276" w:lineRule="auto"/>
        <w:ind w:left="788" w:hanging="431"/>
        <w:jc w:val="both"/>
        <w:rPr>
          <w:b/>
          <w:bCs/>
          <w:noProof/>
          <w:lang w:val="fr-BE"/>
        </w:rPr>
      </w:pPr>
    </w:p>
    <w:p w14:paraId="79EA7127" w14:textId="067C006B" w:rsidR="006925C6" w:rsidRPr="00D05EA1" w:rsidRDefault="006925C6" w:rsidP="00352ED0">
      <w:pPr>
        <w:pStyle w:val="ListParagraph"/>
        <w:spacing w:after="120" w:line="276" w:lineRule="auto"/>
        <w:ind w:left="788" w:hanging="431"/>
        <w:jc w:val="both"/>
        <w:rPr>
          <w:b/>
          <w:bCs/>
          <w:noProof/>
        </w:rPr>
      </w:pPr>
      <w:r>
        <w:rPr>
          <w:b/>
          <w:noProof/>
        </w:rPr>
        <w:t>2.1 Principes et valeurs de la coopération internationale en matière de recherche et d’innovation</w:t>
      </w:r>
    </w:p>
    <w:p w14:paraId="645708B3" w14:textId="2D9FC58E" w:rsidR="00864467" w:rsidRPr="00231A79" w:rsidRDefault="00864467"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À la suite du lancement du dialogue multilatéral sur les principes et les valeurs de la coopération internationale en matière de R&amp;I en juillet 2022, la Commission a engagé des discussions avec ses partenaires mondiaux sur des questions liées à l’excellence de la recherche, à la valorisation des connaissances, à la sécurité de la recherche et à des partenariats équitables en matière de R&amp;I avec des pays à revenu faible et intermédiaire. Ces discussions ont abouti à une conférence ministérielle internationale organisée sous la présidence belge du Conseil de l’UE en février 2024, qui s’est achevée par l’adoption d’une déclaration ministérielle sur les principes et les valeurs de la coopération internationale en matière de R&amp;I, connue sous le nom de déclaration de Bruxelles</w:t>
      </w:r>
      <w:r>
        <w:rPr>
          <w:rStyle w:val="FootnoteReference"/>
          <w:rFonts w:ascii="Times New Roman" w:hAnsi="Times New Roman" w:cs="Times New Roman"/>
          <w:noProof/>
          <w:sz w:val="24"/>
          <w:szCs w:val="24"/>
          <w:lang w:val="en-GB"/>
        </w:rPr>
        <w:footnoteReference w:id="7"/>
      </w:r>
      <w:r>
        <w:rPr>
          <w:rFonts w:ascii="Times New Roman" w:hAnsi="Times New Roman"/>
          <w:noProof/>
          <w:sz w:val="24"/>
        </w:rPr>
        <w:t xml:space="preserve">. </w:t>
      </w:r>
    </w:p>
    <w:p w14:paraId="0DE1483A" w14:textId="7F44C89A" w:rsidR="00CB1B78" w:rsidRDefault="00CB1B78" w:rsidP="0047717E">
      <w:pPr>
        <w:spacing w:after="120" w:line="276" w:lineRule="auto"/>
        <w:jc w:val="both"/>
        <w:rPr>
          <w:rFonts w:ascii="Times New Roman" w:hAnsi="Times New Roman" w:cs="Times New Roman"/>
          <w:noProof/>
          <w:sz w:val="24"/>
          <w:szCs w:val="24"/>
        </w:rPr>
      </w:pPr>
      <w:r>
        <w:rPr>
          <w:rStyle w:val="markedcontent"/>
          <w:rFonts w:ascii="Times New Roman" w:hAnsi="Times New Roman"/>
          <w:noProof/>
          <w:sz w:val="24"/>
        </w:rPr>
        <w:t>À la suite de la demande formulée dans les conclusions du Conseil sur l’approche mondiale de la recherche et de l’innovation concernant l’élaboration d’un programme européen en matière de diplomatie scientifique</w:t>
      </w:r>
      <w:r>
        <w:rPr>
          <w:rStyle w:val="FootnoteReference"/>
          <w:rFonts w:ascii="Times New Roman" w:hAnsi="Times New Roman" w:cs="Times New Roman"/>
          <w:noProof/>
          <w:sz w:val="24"/>
          <w:szCs w:val="24"/>
          <w:lang w:val="en-US"/>
        </w:rPr>
        <w:footnoteReference w:id="8"/>
      </w:r>
      <w:r>
        <w:rPr>
          <w:rStyle w:val="markedcontent"/>
          <w:rFonts w:ascii="Times New Roman" w:hAnsi="Times New Roman"/>
          <w:noProof/>
          <w:sz w:val="24"/>
        </w:rPr>
        <w:t xml:space="preserve"> et des discussions qui ont suivi lors du Conseil «Compétitivité» de juillet 2023, la Commission</w:t>
      </w:r>
      <w:r>
        <w:rPr>
          <w:rFonts w:ascii="Times New Roman" w:hAnsi="Times New Roman"/>
          <w:noProof/>
          <w:sz w:val="24"/>
        </w:rPr>
        <w:t xml:space="preserve"> a chargé </w:t>
      </w:r>
      <w:r>
        <w:rPr>
          <w:rStyle w:val="markedcontent"/>
          <w:rFonts w:ascii="Times New Roman" w:hAnsi="Times New Roman"/>
          <w:noProof/>
          <w:sz w:val="24"/>
        </w:rPr>
        <w:t>un groupe de scientifiques et de diplomates</w:t>
      </w:r>
      <w:r>
        <w:rPr>
          <w:rFonts w:ascii="Times New Roman" w:hAnsi="Times New Roman"/>
          <w:noProof/>
          <w:sz w:val="24"/>
        </w:rPr>
        <w:t xml:space="preserve"> de présenter des recommandations spécifiques en vue d’un futur cadre européen pour la diplomatie scientifique</w:t>
      </w:r>
      <w:r>
        <w:rPr>
          <w:rStyle w:val="FootnoteReference"/>
          <w:rFonts w:ascii="Times New Roman" w:hAnsi="Times New Roman" w:cs="Times New Roman"/>
          <w:noProof/>
          <w:sz w:val="24"/>
          <w:szCs w:val="24"/>
          <w:lang w:val="en-US"/>
        </w:rPr>
        <w:footnoteReference w:id="9"/>
      </w:r>
      <w:r>
        <w:rPr>
          <w:rFonts w:ascii="Times New Roman" w:hAnsi="Times New Roman"/>
          <w:noProof/>
          <w:sz w:val="24"/>
        </w:rPr>
        <w:t>. Les recommandations formulées par les 130 experts en diplomatie scientifique, proposant les instruments stratégiques, opérationnels et de facilitation nécessaires pour soutenir le rôle prépondérant de l’Europe en matière de diplomatie scientifique, ont été publiées en février 2025 dans un rapport d’experts</w:t>
      </w:r>
      <w:r>
        <w:rPr>
          <w:rStyle w:val="FootnoteReference"/>
          <w:rFonts w:ascii="Times New Roman" w:hAnsi="Times New Roman" w:cs="Times New Roman"/>
          <w:noProof/>
          <w:sz w:val="24"/>
          <w:szCs w:val="24"/>
        </w:rPr>
        <w:footnoteReference w:id="10"/>
      </w:r>
      <w:r>
        <w:rPr>
          <w:rFonts w:ascii="Times New Roman" w:hAnsi="Times New Roman"/>
          <w:noProof/>
          <w:sz w:val="24"/>
        </w:rPr>
        <w:t>. La tenue de la première conférence européenne sur la diplomatie scientifique en décembre 2023 a été un jalon important dans ce processus étant donné qu’elle a permis à la communauté européenne de la diplomatie scientifique de réfléchir à une approche stratégique</w:t>
      </w:r>
      <w:r>
        <w:rPr>
          <w:rStyle w:val="FootnoteReference"/>
          <w:rFonts w:ascii="Times New Roman" w:hAnsi="Times New Roman" w:cs="Times New Roman"/>
          <w:noProof/>
          <w:sz w:val="24"/>
          <w:szCs w:val="24"/>
        </w:rPr>
        <w:footnoteReference w:id="11"/>
      </w:r>
      <w:r>
        <w:rPr>
          <w:rFonts w:ascii="Times New Roman" w:hAnsi="Times New Roman"/>
          <w:noProof/>
          <w:sz w:val="24"/>
        </w:rPr>
        <w:t>.</w:t>
      </w:r>
    </w:p>
    <w:p w14:paraId="08B55ACE" w14:textId="23148A5F" w:rsidR="006320D6" w:rsidRPr="00D05EA1" w:rsidRDefault="005A1686" w:rsidP="0047717E">
      <w:pPr>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Des ateliers et des discussions ciblés, notamment sur la diplomatie scientifique dans la région méditerranéenne et sur la gestion des eaux transfrontières du Nil, ont été soutenus par la Commission afin de montrer la valeur de la diplomatie scientifique dans la pratique. En octobre 2025, le premier dialogue Union africaine-Union européenne sur la diplomatie scientifique a été organisé, ce qui a conduit à la reconnaissance de la diplomatie scientifique en tant que nouveau volet du dialogue politique de haut niveau sur la science, la technologie et l’innovation entre l’Union africaine et l’Union européenne. En outre, la Commission a soutenu l’Alliance de l’UE pour la diplomatie scientifique</w:t>
      </w:r>
      <w:r>
        <w:rPr>
          <w:rStyle w:val="FootnoteReference"/>
          <w:rFonts w:ascii="Times New Roman" w:hAnsi="Times New Roman" w:cs="Times New Roman"/>
          <w:noProof/>
          <w:sz w:val="24"/>
          <w:szCs w:val="24"/>
        </w:rPr>
        <w:footnoteReference w:id="12"/>
      </w:r>
      <w:r>
        <w:rPr>
          <w:rFonts w:ascii="Times New Roman" w:hAnsi="Times New Roman"/>
          <w:noProof/>
          <w:sz w:val="24"/>
        </w:rPr>
        <w:t>, qui réunit des institutions de premier plan en la matière.</w:t>
      </w:r>
    </w:p>
    <w:p w14:paraId="67FE0F92" w14:textId="1E63C97D" w:rsidR="00973825" w:rsidRPr="00D05EA1" w:rsidRDefault="00446F90"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En avril 2024, l’UE a signé la déclaration ministérielle de l’Organisation de coopération et de développement économiques (OCDE) sur des politiques de science, de technologie et d’innovation transformatives au service d’un avenir durable et inclusif, qui renforce les valeurs et principes partagés de la coopération internationale en matière de R&amp;I, notamment la réciprocité, la transparence, la responsabilité et l’avantage mutuel</w:t>
      </w:r>
      <w:r>
        <w:rPr>
          <w:rStyle w:val="FootnoteReference"/>
          <w:rFonts w:ascii="Times New Roman" w:hAnsi="Times New Roman" w:cs="Times New Roman"/>
          <w:noProof/>
          <w:sz w:val="24"/>
          <w:szCs w:val="24"/>
        </w:rPr>
        <w:footnoteReference w:id="13"/>
      </w:r>
      <w:r>
        <w:rPr>
          <w:rFonts w:ascii="Times New Roman" w:hAnsi="Times New Roman"/>
          <w:noProof/>
          <w:sz w:val="24"/>
        </w:rPr>
        <w:t>. L’UE copréside le groupe de travail du G7 sur la science ouverte, qui contribue à l’harmonisation et à la collaboration internationales en matière d’élaboration et de mise en œuvre des politiques relatives à la science ouverte. L’UE et ses États membres ont également apporté un soutien aux chercheurs en danger, notamment dans le cadre du projet SAFE</w:t>
      </w:r>
      <w:r>
        <w:rPr>
          <w:rStyle w:val="FootnoteReference"/>
          <w:rFonts w:ascii="Times New Roman" w:hAnsi="Times New Roman" w:cs="Times New Roman"/>
          <w:noProof/>
          <w:sz w:val="24"/>
          <w:szCs w:val="24"/>
        </w:rPr>
        <w:footnoteReference w:id="14"/>
      </w:r>
      <w:r>
        <w:rPr>
          <w:rFonts w:ascii="Times New Roman" w:hAnsi="Times New Roman"/>
          <w:noProof/>
          <w:sz w:val="24"/>
        </w:rPr>
        <w:t>.</w:t>
      </w:r>
    </w:p>
    <w:p w14:paraId="2FD38B83" w14:textId="154473EC" w:rsidR="00E020E2" w:rsidRPr="00D05EA1" w:rsidRDefault="00F53ED3"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Conformément à la résolution du Parlement européen du 17 janvier 2024, la Commission a lancé une étude spécifique visant à fournir une base factuelle pour l’élaboration d’une proposition législative sur la promotion et la protection de la liberté de la recherche scientifique dans l’UE, qui a été publiée en octobre 2025</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w:t>
      </w:r>
      <w:r>
        <w:rPr>
          <w:rFonts w:ascii="Times New Roman" w:hAnsi="Times New Roman"/>
          <w:noProof/>
          <w:color w:val="000000" w:themeColor="text1"/>
          <w:sz w:val="24"/>
        </w:rPr>
        <w:t>La Commission a promu au niveau international le Code de conduite européen pour l’intégrité en recherche</w:t>
      </w:r>
      <w:r>
        <w:rPr>
          <w:rStyle w:val="FootnoteReference"/>
          <w:rFonts w:ascii="Times New Roman" w:eastAsia="Times New Roman" w:hAnsi="Times New Roman" w:cs="Times New Roman"/>
          <w:noProof/>
          <w:color w:val="000000" w:themeColor="text1"/>
          <w:sz w:val="24"/>
          <w:szCs w:val="24"/>
        </w:rPr>
        <w:footnoteReference w:id="16"/>
      </w:r>
      <w:r>
        <w:rPr>
          <w:rFonts w:ascii="Times New Roman" w:hAnsi="Times New Roman"/>
          <w:noProof/>
          <w:color w:val="000000" w:themeColor="text1"/>
          <w:sz w:val="24"/>
        </w:rPr>
        <w:t xml:space="preserve"> ainsi que le Code mondial de conduite pour des partenariats de recherche équitables</w:t>
      </w:r>
      <w:r>
        <w:rPr>
          <w:rStyle w:val="FootnoteReference"/>
          <w:rFonts w:ascii="Times New Roman" w:eastAsia="Times New Roman" w:hAnsi="Times New Roman" w:cs="Times New Roman"/>
          <w:noProof/>
          <w:color w:val="000000" w:themeColor="text1"/>
          <w:sz w:val="24"/>
          <w:szCs w:val="24"/>
        </w:rPr>
        <w:footnoteReference w:id="17"/>
      </w:r>
      <w:r>
        <w:rPr>
          <w:rFonts w:ascii="Times New Roman" w:hAnsi="Times New Roman"/>
          <w:noProof/>
          <w:color w:val="000000" w:themeColor="text1"/>
          <w:sz w:val="24"/>
        </w:rPr>
        <w:t>, a continué d’organiser deux fois par an le Forum des comités nationaux d’éthique (CNE) et a participé activement à l’initiative VolREthics</w:t>
      </w:r>
      <w:r>
        <w:rPr>
          <w:rStyle w:val="FootnoteReference"/>
          <w:rFonts w:ascii="Times New Roman" w:eastAsia="Times New Roman" w:hAnsi="Times New Roman" w:cs="Times New Roman"/>
          <w:noProof/>
          <w:color w:val="000000" w:themeColor="text1"/>
          <w:sz w:val="24"/>
          <w:szCs w:val="24"/>
        </w:rPr>
        <w:footnoteReference w:id="18"/>
      </w:r>
      <w:r>
        <w:rPr>
          <w:rFonts w:ascii="Times New Roman" w:hAnsi="Times New Roman"/>
          <w:noProof/>
          <w:color w:val="000000" w:themeColor="text1"/>
          <w:sz w:val="24"/>
        </w:rPr>
        <w:t xml:space="preserve"> (Volunteers in Research and Ethics, volontaires en recherche et éthique). </w:t>
      </w:r>
      <w:r>
        <w:rPr>
          <w:rFonts w:ascii="Times New Roman" w:hAnsi="Times New Roman"/>
          <w:noProof/>
          <w:sz w:val="24"/>
        </w:rPr>
        <w:t>L’intégration du critère d’éligibilité relatif au plan en faveur de l’égalité hommes-femmes dans le programme Horizon Europe</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a été une étape essentielle pour promouvoir l’égalité de genre dans la R&amp;I, y compris au niveau international.</w:t>
      </w:r>
      <w:bookmarkStart w:id="2" w:name="_Hlk192510855"/>
      <w:r>
        <w:rPr>
          <w:rFonts w:ascii="Times New Roman" w:hAnsi="Times New Roman"/>
          <w:noProof/>
          <w:sz w:val="24"/>
        </w:rPr>
        <w:t xml:space="preserve"> </w:t>
      </w:r>
    </w:p>
    <w:bookmarkEnd w:id="2"/>
    <w:p w14:paraId="7BA7B453" w14:textId="7E1FEEFC" w:rsidR="006925C6" w:rsidRPr="00D05EA1" w:rsidRDefault="006925C6" w:rsidP="00352ED0">
      <w:pPr>
        <w:pStyle w:val="ListParagraph"/>
        <w:spacing w:after="120" w:line="276" w:lineRule="auto"/>
        <w:ind w:left="788" w:hanging="431"/>
        <w:jc w:val="both"/>
        <w:rPr>
          <w:b/>
          <w:noProof/>
        </w:rPr>
      </w:pPr>
      <w:r>
        <w:rPr>
          <w:b/>
          <w:noProof/>
        </w:rPr>
        <w:t xml:space="preserve">2.2. La dimension internationale du programme Horizon Europe </w:t>
      </w:r>
    </w:p>
    <w:p w14:paraId="743A1449" w14:textId="6E8EE336" w:rsidR="00597C48" w:rsidRPr="00D05EA1" w:rsidRDefault="00C96F71"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La participation au programme-cadre au moyen d’une association est la forme la plus étroite de coopération en matière de R&amp;I avec des pays tiers. </w:t>
      </w:r>
      <w:r>
        <w:rPr>
          <w:rFonts w:ascii="Times New Roman" w:hAnsi="Times New Roman"/>
          <w:noProof/>
          <w:sz w:val="24"/>
        </w:rPr>
        <w:t>En juillet 2023, la Nouvelle-Zélande est devenue le premier pays non situé à proximité immédiate de l’UE à être associé au programme Horizon Europe; elle a été suivie du Royaume-Uni et du Canada en 2024, puis de la République de Corée, de la Suisse et de l’Égypte en 2025. Les négociations d’association ont été conclues avec le Japon et des discussions exploratoires ont été engagées avec l’Australie.</w:t>
      </w:r>
    </w:p>
    <w:p w14:paraId="61F9FDE2" w14:textId="7AAF7245" w:rsidR="00A221EC" w:rsidRPr="005E06B7" w:rsidRDefault="00A221EC" w:rsidP="00A221EC">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Le pilier I d’Horizon Europe se distingue par sa dimension internationale, avec 8,7 % de participants provenant de pays tiers non associés, suivis du pilier II (5,5 %), du pilier III (2,5 %) et, enfin, des actions menées au titre de la partie «Élargir la participation et renforcer l’espace européen de la recherche» (2,4 %). Les pays associés représentent 11,8 % des participants au pilier I, 9,7 % des participants au pilier II, 7,8 % des participants au pilier III et 14,8 % des participants aux actions menées au titre de la partie «Élargir la participation et renforcer l’espace européen de la recherche» du programme</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w:t>
      </w:r>
      <w:r>
        <w:rPr>
          <w:rFonts w:ascii="Times New Roman" w:hAnsi="Times New Roman"/>
          <w:noProof/>
          <w:sz w:val="24"/>
          <w:vertAlign w:val="superscript"/>
        </w:rPr>
        <w:t xml:space="preserve"> </w:t>
      </w:r>
    </w:p>
    <w:p w14:paraId="2568F453" w14:textId="000C2664" w:rsidR="00E86276" w:rsidRPr="008B3CCF" w:rsidRDefault="00E86276" w:rsidP="00E86276">
      <w:pPr>
        <w:spacing w:after="120" w:line="276" w:lineRule="auto"/>
        <w:jc w:val="both"/>
        <w:rPr>
          <w:rFonts w:ascii="Times New Roman" w:hAnsi="Times New Roman" w:cs="Times New Roman"/>
          <w:noProof/>
          <w:sz w:val="24"/>
          <w:szCs w:val="24"/>
        </w:rPr>
      </w:pPr>
      <w:r>
        <w:rPr>
          <w:rFonts w:ascii="Times New Roman" w:hAnsi="Times New Roman"/>
          <w:noProof/>
          <w:sz w:val="24"/>
        </w:rPr>
        <w:t>Les actions Marie Skłodowska-Curie (AMSC), qui constituent la composante la plus internationale d’Horizon Europe, sont essentielles à l’établissement de partenariats internationaux en matière de R&amp;I. Parmi les chercheurs sélectionnés dans le cadre des bourses AMSC, 46 % étaient des ressortissants de pays tiers (37 % étaient originaires de pays tiers non associés et 9 % de pays associés). Les AMSC représentent environ 50 % de la participation totale des organisations issues de pays tiers non associés à Horizon Europe. Pour de nombreux pays, plus de 50 % de la participation aux projets menés dans le cadre d’Horizon Europe ont lieu par l’intermédiaire de ces actions. Une nouvelle action de coordination et de soutien a été lancée en mai 2025 afin de renforcer la coopération internationale et la participation mondiale aux AMSC</w:t>
      </w:r>
      <w:r>
        <w:rPr>
          <w:rStyle w:val="FootnoteReference"/>
          <w:rFonts w:ascii="Times New Roman" w:hAnsi="Times New Roman" w:cs="Times New Roman"/>
          <w:noProof/>
          <w:sz w:val="24"/>
          <w:szCs w:val="24"/>
        </w:rPr>
        <w:footnoteReference w:id="21"/>
      </w:r>
      <w:r>
        <w:rPr>
          <w:rFonts w:ascii="Times New Roman" w:hAnsi="Times New Roman"/>
          <w:noProof/>
          <w:sz w:val="24"/>
        </w:rPr>
        <w:t>.</w:t>
      </w:r>
    </w:p>
    <w:p w14:paraId="735D12EA" w14:textId="5EE43B8E" w:rsidR="001F5F3C" w:rsidRDefault="00F64EEB" w:rsidP="001F5F3C">
      <w:pPr>
        <w:spacing w:after="120" w:line="276" w:lineRule="auto"/>
        <w:jc w:val="both"/>
        <w:rPr>
          <w:rFonts w:ascii="Times New Roman" w:eastAsia="Times New Roman" w:hAnsi="Times New Roman" w:cs="Times New Roman"/>
          <w:noProof/>
          <w:color w:val="1D2021"/>
          <w:sz w:val="24"/>
          <w:szCs w:val="24"/>
        </w:rPr>
      </w:pPr>
      <w:r>
        <w:rPr>
          <w:rFonts w:ascii="Times New Roman" w:hAnsi="Times New Roman"/>
          <w:noProof/>
          <w:sz w:val="24"/>
        </w:rPr>
        <w:t>Afin de tirer parti de leur rôle en tant que pôles de coopération internationale en matière de R&amp;I, l’UE a continué à financer l’accès transnational aux infrastructures de recherche, y compris celles gérées par le Centre commun de recherche (JRC)</w:t>
      </w:r>
      <w:r>
        <w:rPr>
          <w:rStyle w:val="FootnoteReference"/>
          <w:rFonts w:ascii="Times New Roman" w:hAnsi="Times New Roman" w:cs="Times New Roman"/>
          <w:noProof/>
          <w:sz w:val="24"/>
          <w:szCs w:val="24"/>
        </w:rPr>
        <w:footnoteReference w:id="22"/>
      </w:r>
      <w:r>
        <w:rPr>
          <w:rFonts w:ascii="Times New Roman" w:hAnsi="Times New Roman"/>
          <w:noProof/>
          <w:sz w:val="24"/>
        </w:rPr>
        <w:t xml:space="preserve"> de la Commission, pour les utilisateurs des pays tiers non associés également. L’UE promeut également des programmes d’accès internationaux au sein du Groupe de hauts fonctionnaires du G7 sur les infrastructures de recherche mondiales</w:t>
      </w:r>
      <w:r>
        <w:rPr>
          <w:rStyle w:val="FootnoteReference"/>
          <w:rFonts w:ascii="Times New Roman" w:hAnsi="Times New Roman" w:cs="Times New Roman"/>
          <w:noProof/>
          <w:sz w:val="24"/>
          <w:szCs w:val="24"/>
        </w:rPr>
        <w:footnoteReference w:id="23"/>
      </w:r>
      <w:r>
        <w:rPr>
          <w:rFonts w:ascii="Times New Roman" w:hAnsi="Times New Roman"/>
          <w:noProof/>
          <w:sz w:val="24"/>
        </w:rPr>
        <w:t>. En 2024, la Commission a approuvé la déclaration de Brisbane</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w:t>
      </w:r>
      <w:r>
        <w:rPr>
          <w:rFonts w:ascii="Times New Roman" w:hAnsi="Times New Roman"/>
          <w:noProof/>
          <w:color w:val="1D2021"/>
          <w:sz w:val="24"/>
        </w:rPr>
        <w:t xml:space="preserve"> qui encourage toutes les parties prenantes des infrastructures de recherche à intensifier leur collaboration au sein des infrastructures de recherche internationales afin de relever les défis mondiaux. En septembre 2025, la Commission a adopté une </w:t>
      </w:r>
      <w:r>
        <w:rPr>
          <w:rFonts w:ascii="Times New Roman" w:hAnsi="Times New Roman"/>
          <w:noProof/>
          <w:sz w:val="24"/>
        </w:rPr>
        <w:t>stratégie européenne pour les infrastructures de recherche et de technologie, qui comprend des mesures visant à renforcer leur dimension internationale.</w:t>
      </w:r>
    </w:p>
    <w:p w14:paraId="2C13CFCF" w14:textId="77777777" w:rsidR="00352ED0" w:rsidRPr="00A5526D" w:rsidRDefault="00352ED0" w:rsidP="0047717E">
      <w:pPr>
        <w:spacing w:after="120" w:line="276" w:lineRule="auto"/>
        <w:jc w:val="both"/>
        <w:rPr>
          <w:rFonts w:ascii="Times New Roman" w:hAnsi="Times New Roman" w:cs="Times New Roman"/>
          <w:noProof/>
          <w:sz w:val="24"/>
          <w:szCs w:val="24"/>
        </w:rPr>
      </w:pPr>
    </w:p>
    <w:p w14:paraId="385B92F7" w14:textId="4352A5B6" w:rsidR="00912308" w:rsidRPr="00D05EA1" w:rsidRDefault="00AA5FBB" w:rsidP="00352ED0">
      <w:pPr>
        <w:pStyle w:val="ListParagraph"/>
        <w:numPr>
          <w:ilvl w:val="0"/>
          <w:numId w:val="11"/>
        </w:numPr>
        <w:spacing w:after="120" w:line="276" w:lineRule="auto"/>
        <w:ind w:left="357" w:hanging="357"/>
        <w:jc w:val="both"/>
        <w:rPr>
          <w:b/>
          <w:smallCaps/>
          <w:noProof/>
          <w:szCs w:val="20"/>
        </w:rPr>
      </w:pPr>
      <w:r>
        <w:rPr>
          <w:b/>
          <w:smallCaps/>
          <w:noProof/>
        </w:rPr>
        <w:t>Rééquilibrer l’approche mondiale de la recherche et de l’innovation adoptée par l’UE: vers des conditions de concurrence équitables et une réciprocité</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6F0374" w:rsidRPr="00D05EA1" w14:paraId="7CF8170D" w14:textId="77777777" w:rsidTr="62395EC7">
        <w:tc>
          <w:tcPr>
            <w:tcW w:w="9242" w:type="dxa"/>
            <w:shd w:val="clear" w:color="auto" w:fill="D9D9D9" w:themeFill="background1" w:themeFillShade="D9"/>
          </w:tcPr>
          <w:p w14:paraId="2BAF3E5C" w14:textId="751DE68E" w:rsidR="006F0374" w:rsidRPr="00D05EA1" w:rsidRDefault="00A23F20"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Afin de maintenir l’ouverture et la sécurité de la coopération internationale en matière de R&amp;I, l’UE a adopté en 2024 une recommandation du Conseil sur le renforcement de la sécurité de la recherche pour œuvrer en faveur de conditions de concurrence équitables dans l’espace européen de la recherche. L’UE a pris des mesures fermes pour renforcer sa résilience face à l’ingérence étrangère et à la coercition en réalisant des évaluations des technologies critiques, en encourageant les investissements dans la R&amp;I dans ces domaines, en limitant l’accès à Horizon Europe aux cas strictement nécessaires et en mettant en place de nouveaux partenariats stratégiques.</w:t>
            </w:r>
          </w:p>
        </w:tc>
      </w:tr>
    </w:tbl>
    <w:p w14:paraId="1C19FA7A" w14:textId="77777777" w:rsidR="00F97388" w:rsidRPr="00D05EA1" w:rsidRDefault="00F97388" w:rsidP="0047717E">
      <w:pPr>
        <w:spacing w:after="120" w:line="276" w:lineRule="auto"/>
        <w:jc w:val="both"/>
        <w:rPr>
          <w:rFonts w:ascii="Times New Roman" w:hAnsi="Times New Roman" w:cs="Times New Roman"/>
          <w:noProof/>
          <w:sz w:val="24"/>
          <w:szCs w:val="24"/>
        </w:rPr>
      </w:pPr>
    </w:p>
    <w:p w14:paraId="1A77A02F" w14:textId="58CF481E" w:rsidR="001829B8" w:rsidRPr="00D05EA1" w:rsidRDefault="317AA561"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Les chercheurs sont de plus en plus exposés à des risques en matière de sécurité lorsqu’ils coopèrent au niveau international, la recherche et l’innovation européennes étant confrontées à des ingérences étrangères et à des manipulations de l’information ainsi qu’à un risque d’utilisation abusive susceptible de nuire à la sécurité de l’UE ou de porter atteinte à ses valeurs et droits fondamentaux. Avec l’adoption de la recommandation du Conseil sur le renforcement de la sécurité de la recherche</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en mai 2024, l’UE dispose désormais d’une base solide pour faire face aux risques en matière de sécurité liés à la coopération internationale dans le domaine de la recherche et de l’innovation. Cette recommandation, qui concerne non seulement la Commission et les États membres, mais également les organismes publics de financement de la recherche et les universités, a permis à l’UE d’élaborer pour la première fois une définition commune des risques en matière de sécurité de la recherche, ainsi qu’une approche commune de l’évaluation des risques liés à la recherche. En octobre 2025, la Commission a organisé la première conférence phare européenne sur la sécurité de la recherche afin de faciliter le partage des meilleures pratiques.</w:t>
      </w:r>
    </w:p>
    <w:p w14:paraId="13486845" w14:textId="6C0BC170" w:rsidR="00752246" w:rsidRPr="00D05EA1" w:rsidRDefault="00B06E64"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Les travaux sur la sécurité de la recherche s’inscrivent dans le cadre d’un effort plus large visant à renforcer la sécurité économique de l’UE</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En particulier, la sécurité de la recherche devrait contribuer à prévenir les fuites de technologies, à savoir le transfert indésirable de connaissances et de technologies critiques dans le cadre de la coopération universitaire internationale, tout en préservant l’approche de l’UE en matière de liberté académique et de liberté de la recherche scientifique. </w:t>
      </w:r>
    </w:p>
    <w:p w14:paraId="00AB0890" w14:textId="2AFB505B" w:rsidR="001829B8" w:rsidRPr="00D05EA1" w:rsidRDefault="56C142B2"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Une partie essentielle de ces travaux consiste à évaluer les risques liés à certaines technologies génériques ou critiques, telles que l’intelligence artificielle (IA), les biotechnologies, les semi-conducteurs avancés et les technologies quantiques, ce processus étant mené avec la participation des États membres et d’autres parties prenantes. Bien que ces évaluations des technologies critiques dépassent le cadre de la politique en matière de R&amp;I, les résultats de ces travaux devraient également façonner la coopération internationale dans ce domaine dans les années à venir. La Commission collabore avec des pays partageant les mêmes valeurs dans le domaine de la sécurité économique, promeut les propres capacités de l’UE en matière de technologies critiques et met en place diverses garanties pour protéger l’UE contre leur éventuelle utilisation abusive. </w:t>
      </w:r>
    </w:p>
    <w:p w14:paraId="412319AF" w14:textId="067E21A0" w:rsidR="009E6B20" w:rsidRDefault="58A7E4D1"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En janvier 2024, la Commission a publié un livre blanc sur les options envisageables pour renforcer le soutien à la recherche et au développement dans le domaine des technologies à double usage potentiel</w:t>
      </w:r>
      <w:r>
        <w:rPr>
          <w:rStyle w:val="FootnoteReference"/>
          <w:rFonts w:ascii="Times New Roman" w:hAnsi="Times New Roman" w:cs="Times New Roman"/>
          <w:noProof/>
          <w:sz w:val="24"/>
          <w:szCs w:val="24"/>
        </w:rPr>
        <w:footnoteReference w:id="27"/>
      </w:r>
      <w:r>
        <w:rPr>
          <w:rFonts w:ascii="Times New Roman" w:hAnsi="Times New Roman"/>
          <w:noProof/>
          <w:sz w:val="24"/>
        </w:rPr>
        <w:t>. Depuis, plusieurs documents stratégiques ont enrichi la réflexion sur la recherche et le développement dans le domaine des technologies à double usage, examinant les risques liés à la coopération internationale en matière de R&amp;I en fonction du motif de la recherche et du potentiel en matière de double usage</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w:t>
      </w:r>
    </w:p>
    <w:p w14:paraId="511D5FCC" w14:textId="23A9A7BF" w:rsidR="00725FEB" w:rsidRPr="00D05EA1" w:rsidRDefault="003F5CC5" w:rsidP="504A92D0">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Commission a également pris des mesures supplémentaires pour garantir la sécurité de la recherche dans le cadre d’Horizon Europe en limitant, à titre exceptionnel, la participation aux entités établies dans des États membres et dans certains pays tiers dans les domaines des technologies quantiques, des technologies des réseaux de communication fondées sur l’IA, des batteries, de l’espace et des matières premières critiques</w:t>
      </w:r>
      <w:r>
        <w:rPr>
          <w:rStyle w:val="FootnoteReference"/>
          <w:rFonts w:ascii="Times New Roman" w:hAnsi="Times New Roman" w:cs="Times New Roman"/>
          <w:noProof/>
          <w:sz w:val="24"/>
          <w:szCs w:val="24"/>
        </w:rPr>
        <w:footnoteReference w:id="29"/>
      </w:r>
      <w:r>
        <w:rPr>
          <w:rFonts w:ascii="Times New Roman" w:hAnsi="Times New Roman"/>
          <w:noProof/>
          <w:sz w:val="24"/>
        </w:rPr>
        <w:t>. Dans le programme de travail 2023-2024 d’Horizon Europe, l’article 22, paragraphe 5, du règlement relatif à Horizon Europe a été appliqué à 33 thèmes</w:t>
      </w:r>
      <w:r>
        <w:rPr>
          <w:rStyle w:val="FootnoteReference"/>
          <w:rFonts w:ascii="Times New Roman" w:eastAsiaTheme="minorEastAsia" w:hAnsi="Times New Roman"/>
          <w:noProof/>
          <w:sz w:val="24"/>
          <w:szCs w:val="24"/>
          <w:lang w:eastAsia="zh-CN"/>
        </w:rPr>
        <w:footnoteReference w:id="30"/>
      </w:r>
      <w:r>
        <w:rPr>
          <w:rFonts w:ascii="Times New Roman" w:hAnsi="Times New Roman"/>
          <w:noProof/>
          <w:sz w:val="24"/>
        </w:rPr>
        <w:t>, tandis que dans le programme de travail 2025, il a été appliqué à 37 thèmes au total. Parmi les autres mesures en place figurent, par exemple, des obligations supplémentaires en matière d’exploitation des résultats de la recherche et le droit de la Commission de s’opposer au transfert de la propriété intellectuelle (PI) vers des pays tiers non associés au programme</w:t>
      </w:r>
      <w:r>
        <w:rPr>
          <w:rStyle w:val="FootnoteReference"/>
          <w:rFonts w:ascii="Times New Roman" w:hAnsi="Times New Roman" w:cs="Times New Roman"/>
          <w:noProof/>
          <w:sz w:val="24"/>
          <w:szCs w:val="24"/>
        </w:rPr>
        <w:footnoteReference w:id="31"/>
      </w:r>
      <w:r>
        <w:rPr>
          <w:rFonts w:ascii="Times New Roman" w:hAnsi="Times New Roman"/>
          <w:noProof/>
          <w:sz w:val="24"/>
        </w:rPr>
        <w:t>.</w:t>
      </w:r>
    </w:p>
    <w:p w14:paraId="37863872" w14:textId="6058E450" w:rsidR="00F97388" w:rsidRPr="00D05EA1" w:rsidRDefault="6DDE7869"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 Commission a également décidé de restreindre l’accès à la recherche proche du marché pour les pays tiers non associés lorsqu’il a été estimé que les conditions-cadres garantissant des conditions de concurrence équitables dans le cadre de la coopération en matière de R&amp;I n’étaient pas en place</w:t>
      </w:r>
      <w:r>
        <w:rPr>
          <w:rStyle w:val="FootnoteReference"/>
          <w:rFonts w:ascii="Times New Roman" w:hAnsi="Times New Roman"/>
          <w:noProof/>
          <w:sz w:val="24"/>
          <w:szCs w:val="24"/>
        </w:rPr>
        <w:footnoteReference w:id="32"/>
      </w:r>
      <w:r>
        <w:rPr>
          <w:rFonts w:ascii="Times New Roman" w:hAnsi="Times New Roman"/>
          <w:noProof/>
          <w:sz w:val="24"/>
        </w:rPr>
        <w:t>. Les entités considérées comme des fournisseurs à haut risque d’équipements de réseau de communication ne participent pas aux actions liées au développement des technologies de réseau de communication, conformément à la communication de juin 2023 sur la mise en œuvre de la boîte à outils pour la cybersécurité des réseaux 5G</w:t>
      </w:r>
      <w:r>
        <w:rPr>
          <w:rStyle w:val="FootnoteReference"/>
          <w:rFonts w:ascii="Times New Roman" w:hAnsi="Times New Roman"/>
          <w:noProof/>
          <w:sz w:val="24"/>
          <w:szCs w:val="24"/>
        </w:rPr>
        <w:footnoteReference w:id="33"/>
      </w:r>
      <w:r>
        <w:rPr>
          <w:rFonts w:ascii="Times New Roman" w:hAnsi="Times New Roman"/>
          <w:noProof/>
          <w:sz w:val="24"/>
        </w:rPr>
        <w:t xml:space="preserve">. </w:t>
      </w:r>
    </w:p>
    <w:p w14:paraId="086C99A8" w14:textId="77777777" w:rsidR="00D86300" w:rsidRPr="00D05EA1" w:rsidRDefault="00D86300" w:rsidP="0047717E">
      <w:pPr>
        <w:spacing w:after="120" w:line="276" w:lineRule="auto"/>
        <w:jc w:val="both"/>
        <w:rPr>
          <w:rFonts w:ascii="Times New Roman" w:hAnsi="Times New Roman" w:cs="Times New Roman"/>
          <w:noProof/>
          <w:sz w:val="24"/>
          <w:szCs w:val="24"/>
        </w:rPr>
      </w:pPr>
    </w:p>
    <w:p w14:paraId="140C5B7F" w14:textId="18A748B7" w:rsidR="00912308" w:rsidRPr="00D05EA1" w:rsidRDefault="003A0591" w:rsidP="00352ED0">
      <w:pPr>
        <w:pStyle w:val="ListParagraph"/>
        <w:numPr>
          <w:ilvl w:val="0"/>
          <w:numId w:val="11"/>
        </w:numPr>
        <w:spacing w:after="120" w:line="276" w:lineRule="auto"/>
        <w:jc w:val="both"/>
        <w:rPr>
          <w:b/>
          <w:noProof/>
          <w:szCs w:val="20"/>
        </w:rPr>
      </w:pPr>
      <w:r>
        <w:rPr>
          <w:b/>
          <w:smallCaps/>
          <w:noProof/>
        </w:rPr>
        <w:t>Mise en commun des efforts déployés au niveau mondial pour relever ensemble les défis planétaires</w:t>
      </w:r>
    </w:p>
    <w:p w14:paraId="30E7C714" w14:textId="53AAF2A5" w:rsidR="008437E9" w:rsidRPr="00167BD9" w:rsidRDefault="00383FD1" w:rsidP="0047717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Times New Roman" w:hAnsi="Times New Roman" w:cs="Times New Roman"/>
          <w:noProof/>
          <w:sz w:val="24"/>
          <w:szCs w:val="24"/>
        </w:rPr>
      </w:pPr>
      <w:r>
        <w:rPr>
          <w:rFonts w:ascii="Times New Roman" w:hAnsi="Times New Roman"/>
          <w:noProof/>
          <w:sz w:val="24"/>
        </w:rPr>
        <w:t xml:space="preserve">En ce qui concerne la transition écologique, la Commission a appuyé la création de la Plateforme internationale pour la durabilité de l’océan (International Platform for Ocean Sustainability, IPOS), a continué de soutenir l’Alliance transatlantique pour la recherche et l’innovation océaniques (All-Atlantic Ocean Research and Innovation Alliance, AAORIA) et a adopté une nouvelle feuille de route commune avec la Commission océanographique intergouvernementale de l’UNESCO. Elle a codirigé la mission «Hydrogène propre» ainsi que la mission «Transitions urbaines» dans le cadre de l’initiative Mission Innovation et a soutenu les plateformes de connaissances sur la croissance verte, tout en continuant à s’engager au niveau international, y compris dans le cadre de l’initiative du G20 sur la bioéconomie.  </w:t>
      </w:r>
    </w:p>
    <w:p w14:paraId="1DE6CC49" w14:textId="39DC1267" w:rsidR="008437E9" w:rsidRPr="00D05EA1" w:rsidRDefault="0037705A" w:rsidP="0047717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76" w:lineRule="auto"/>
        <w:jc w:val="both"/>
        <w:rPr>
          <w:rFonts w:ascii="Times New Roman" w:hAnsi="Times New Roman" w:cs="Times New Roman"/>
          <w:noProof/>
          <w:sz w:val="24"/>
          <w:szCs w:val="24"/>
        </w:rPr>
      </w:pPr>
      <w:r>
        <w:rPr>
          <w:rFonts w:ascii="Times New Roman" w:hAnsi="Times New Roman"/>
          <w:noProof/>
          <w:sz w:val="24"/>
        </w:rPr>
        <w:t>Dans le domaine de la transition numérique, la Commission a fait progresser les partenariats numériques établis avec des partenaires mondiaux dans des domaines comme l’IA, l’informatique quantique et la connectivité. Elle a également soutenu des activités dans le domaine de la santé mondiale, notamment dans le cadre du troisième programme du partenariat des pays européens et en développement sur les essais cliniques (EDCTP3 pour la santé mondiale). Enfin, la Commission promeut les activités d’innovation au niveau international par l’intermédiaire du Conseil européen de l’innovation (CEI) et de l’Institut européen d’innovation et de technologie (EIT), ainsi que par la valorisation des connaissances.</w:t>
      </w:r>
    </w:p>
    <w:p w14:paraId="2CCD2667" w14:textId="77777777" w:rsidR="009C0786" w:rsidRPr="0017745C" w:rsidRDefault="009C0786" w:rsidP="00352ED0">
      <w:pPr>
        <w:pStyle w:val="ListParagraph"/>
        <w:spacing w:after="120" w:line="276" w:lineRule="auto"/>
        <w:ind w:left="360"/>
        <w:jc w:val="both"/>
        <w:rPr>
          <w:b/>
          <w:noProof/>
          <w:szCs w:val="20"/>
          <w:lang w:val="fr-BE"/>
        </w:rPr>
      </w:pPr>
    </w:p>
    <w:p w14:paraId="391EDED8" w14:textId="2B27DCF4" w:rsidR="00912308" w:rsidRPr="00D05EA1" w:rsidRDefault="003A0591" w:rsidP="00955BBF">
      <w:pPr>
        <w:pStyle w:val="ListParagraph"/>
        <w:numPr>
          <w:ilvl w:val="1"/>
          <w:numId w:val="11"/>
        </w:numPr>
        <w:spacing w:after="120" w:line="276" w:lineRule="auto"/>
        <w:ind w:left="851" w:hanging="567"/>
        <w:jc w:val="both"/>
        <w:rPr>
          <w:b/>
          <w:bCs/>
          <w:noProof/>
        </w:rPr>
      </w:pPr>
      <w:r>
        <w:rPr>
          <w:b/>
          <w:noProof/>
        </w:rPr>
        <w:t>Diriger les efforts mondiaux en faveur d’une transition écologique juste</w:t>
      </w:r>
    </w:p>
    <w:p w14:paraId="0FC82056" w14:textId="0B54D01D" w:rsidR="00D62E7F" w:rsidRPr="00D05EA1" w:rsidRDefault="00E75D57"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Les investissements réalisés dans la R&amp;I au titre d’Horizon Europe contribuent à la mise en œuvre de l’accord de Paris, du cadre mondial de la biodiversité de Kunming-Montréal et d’autres accords internationaux. Ces investissements ont également permis de concevoir les programmes et contribué aux travaux d’un certain nombre d’organisations établissant à l’interface science-politique</w:t>
      </w:r>
      <w:r>
        <w:rPr>
          <w:rStyle w:val="FootnoteReference"/>
          <w:rFonts w:ascii="Times New Roman" w:hAnsi="Times New Roman" w:cs="Times New Roman"/>
          <w:noProof/>
          <w:sz w:val="24"/>
          <w:szCs w:val="24"/>
        </w:rPr>
        <w:footnoteReference w:id="34"/>
      </w:r>
      <w:r>
        <w:rPr>
          <w:rFonts w:ascii="Times New Roman" w:hAnsi="Times New Roman"/>
          <w:noProof/>
          <w:sz w:val="24"/>
        </w:rPr>
        <w:t>. L’importance de la participation de l’UE doit aussi être considérée à la lumière des changements fondamentaux intervenus dans l’approche des États-Unis en ce qui concerne le changement climatique, les questions environnementales et le rôle de la science dans l’élaboration des politiques.</w:t>
      </w:r>
    </w:p>
    <w:p w14:paraId="008EF5DB" w14:textId="32396F93" w:rsidR="000A6E0B" w:rsidRPr="00D05EA1" w:rsidRDefault="03EC924F" w:rsidP="0047717E">
      <w:pPr>
        <w:tabs>
          <w:tab w:val="left" w:pos="720"/>
        </w:tabs>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La communication conjointe relative au programme de l’UE de gouvernance internationale des océans</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a souligné la nécessité d’acquérir de vastes connaissances sur les océans afin de soutenir une gestion durable. Une étude de faisabilité réalisée en 2023 a révélé que les connaissances sont fragmentées et souvent inadaptées à une prise de décision urgente</w:t>
      </w:r>
      <w:r>
        <w:rPr>
          <w:rStyle w:val="FootnoteReference"/>
          <w:rFonts w:ascii="Times New Roman" w:eastAsia="Times New Roman" w:hAnsi="Times New Roman" w:cs="Times New Roman"/>
          <w:noProof/>
          <w:sz w:val="24"/>
          <w:szCs w:val="24"/>
        </w:rPr>
        <w:footnoteReference w:id="36"/>
      </w:r>
      <w:r>
        <w:rPr>
          <w:rFonts w:ascii="Times New Roman" w:hAnsi="Times New Roman"/>
          <w:noProof/>
          <w:sz w:val="24"/>
        </w:rPr>
        <w:t>. En réponse, la Commission suit de près les travaux visant à mettre en place la plateforme internationale pour la durabilité de l’océan, un nouveau mécanisme catalytique destiné à informer les décideurs publics et privés sur l’exploitation et la protection durables des océans.</w:t>
      </w:r>
      <w:r>
        <w:rPr>
          <w:rFonts w:ascii="Times New Roman" w:hAnsi="Times New Roman"/>
          <w:noProof/>
          <w:color w:val="000000" w:themeColor="text1"/>
          <w:sz w:val="24"/>
        </w:rPr>
        <w:t xml:space="preserve"> </w:t>
      </w:r>
    </w:p>
    <w:p w14:paraId="035E8FB4" w14:textId="27DA78E8" w:rsidR="00621E09" w:rsidRPr="00EC4745" w:rsidRDefault="00076E06" w:rsidP="0047717E">
      <w:pPr>
        <w:tabs>
          <w:tab w:val="left" w:pos="720"/>
        </w:tabs>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Commission a dirigé la mise en œuvre de la déclaration de l’Alliance transatlantique pour la recherche et l’innovation océaniques de 2022 visant à soutenir la coopération en matière de recherche océanique dans l’Atlantique. Cinq nouveaux partenaires (le Royaume-Uni, la Norvège, l’Islande, le Sénégal et le Ghana) ont rejoint l’Alliance transatlantique pour la recherche et l’innovation océaniques, dont les travaux sont centrés sur le renforcement de la résilience des communautés côtières, la coordination des observations des océans et l’amélioration de la modélisation.</w:t>
      </w:r>
    </w:p>
    <w:p w14:paraId="2A5F1BFA" w14:textId="2E413C47" w:rsidR="00FA0091" w:rsidRPr="004F7484" w:rsidRDefault="00262DBA" w:rsidP="00F51D91">
      <w:pPr>
        <w:tabs>
          <w:tab w:val="left" w:pos="720"/>
        </w:tabs>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Lors de la conférence des Nations unies sur l’Océan de 2025, la Commission a annoncé une initiative pour l’observation de l’Océan, soulignant l’importance du système mondial d’observation des océans et l’engagement de la Commission en la matière. La Commission européenne et la Commission océanographique intergouvernementale de l’UNESCO (COI-UNESCO) ont adopté une feuille de route commune afin de renforcer leur coopération dans le cadre de la Décennie des sciences océaniques au service du développement durable (2021-2030) proclamée par les Nations unies et d’harmoniser ainsi les efforts de l’UE et de l’UNESCO</w:t>
      </w:r>
      <w:r>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xml:space="preserve">. </w:t>
      </w:r>
    </w:p>
    <w:p w14:paraId="02A7D900" w14:textId="6838E1C9" w:rsidR="00C733BB" w:rsidRPr="004F7484" w:rsidRDefault="00685BF6"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En 2023, la Commission européenne a mis en place, en partenariat avec la Commission de l’Union africaine, un groupe stratégique Afrique-Europe sur la gouvernance des océans, dirigé par la Fondation Afrique-Europe et doté d’un financement de l’UE, afin de promouvoir la coopération scientifique entre les deux continents en ce qui concerne les questions liées aux océans. </w:t>
      </w:r>
    </w:p>
    <w:p w14:paraId="5A9A2D38" w14:textId="4DD0CD13" w:rsidR="0039553A" w:rsidRPr="00D05EA1" w:rsidRDefault="018DE9A6" w:rsidP="0039553A">
      <w:pPr>
        <w:spacing w:after="120" w:line="276" w:lineRule="auto"/>
        <w:jc w:val="both"/>
        <w:rPr>
          <w:rFonts w:ascii="Times New Roman" w:hAnsi="Times New Roman" w:cs="Times New Roman"/>
          <w:noProof/>
          <w:sz w:val="24"/>
          <w:szCs w:val="24"/>
        </w:rPr>
      </w:pPr>
      <w:r>
        <w:rPr>
          <w:rFonts w:ascii="Times New Roman" w:hAnsi="Times New Roman"/>
          <w:noProof/>
          <w:sz w:val="24"/>
        </w:rPr>
        <w:t>Dans le cadre de l’initiative Mission Innovation 2.0</w:t>
      </w:r>
      <w:r>
        <w:rPr>
          <w:rStyle w:val="FootnoteReference"/>
          <w:rFonts w:ascii="Times New Roman" w:hAnsi="Times New Roman" w:cs="Times New Roman"/>
          <w:noProof/>
          <w:sz w:val="24"/>
          <w:szCs w:val="24"/>
        </w:rPr>
        <w:footnoteReference w:id="38"/>
      </w:r>
      <w:r>
        <w:rPr>
          <w:rFonts w:ascii="Times New Roman" w:hAnsi="Times New Roman"/>
          <w:noProof/>
          <w:sz w:val="24"/>
        </w:rPr>
        <w:t>, la Commission européenne a encouragé l’accélération de la transition vers l’énergie propre, conformément au pacte vert pour l’Europe. En codirigeant sa mission «Hydrogène propre»</w:t>
      </w:r>
      <w:r>
        <w:rPr>
          <w:rStyle w:val="FootnoteReference"/>
          <w:rFonts w:ascii="Times New Roman" w:hAnsi="Times New Roman" w:cs="Times New Roman"/>
          <w:noProof/>
          <w:sz w:val="24"/>
          <w:szCs w:val="24"/>
        </w:rPr>
        <w:footnoteReference w:id="39"/>
      </w:r>
      <w:r>
        <w:rPr>
          <w:rFonts w:ascii="Times New Roman" w:hAnsi="Times New Roman"/>
          <w:noProof/>
          <w:sz w:val="24"/>
        </w:rPr>
        <w:t>, la Commission stimule la coopération internationale en matière de R&amp;I afin de soutenir le développement d’une chaîne de valeur mondiale de l’hydrogène propre. Depuis 2024, la mission a recensé 101 projets européens et mondiaux de vallées de l’hydrogène</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dans 38 pays, l’objectif étant de faciliter la création de vallées de l’hydrogène intégrées de grande ampleur d’ici à 2030. </w:t>
      </w:r>
    </w:p>
    <w:p w14:paraId="2C29D6D5" w14:textId="0EA4A252" w:rsidR="00F51D91" w:rsidRDefault="004424C9" w:rsidP="0047717E">
      <w:pPr>
        <w:spacing w:after="120" w:line="276" w:lineRule="auto"/>
        <w:jc w:val="both"/>
        <w:rPr>
          <w:rFonts w:ascii="Times New Roman" w:hAnsi="Times New Roman" w:cs="Times New Roman"/>
          <w:noProof/>
          <w:sz w:val="24"/>
          <w:szCs w:val="24"/>
        </w:rPr>
      </w:pPr>
      <w:bookmarkStart w:id="3" w:name="_Hlk198620271"/>
      <w:r>
        <w:rPr>
          <w:rFonts w:ascii="Times New Roman" w:hAnsi="Times New Roman"/>
          <w:noProof/>
          <w:sz w:val="24"/>
        </w:rPr>
        <w:t>Dans le cadre de la mission «Transitions urbaines»</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et s’appuyant sur la mission européenne pour des villes neutres pour le climat et intelligentes, la Commission codirige des travaux avec un groupe de villes ambitieuses situées dans le monde entier afin de renforcer leur vision de la neutralité carbone et d’accélérer la mise en œuvre. Depuis 2023, ce groupe s’est élargi; il compte désormais 117 villes dans 47 pays et bénéficie d’un soutien apporté dans le cadre du programme City2City lancé en novembre 2025</w:t>
      </w:r>
      <w:bookmarkEnd w:id="3"/>
      <w:r>
        <w:rPr>
          <w:rFonts w:ascii="Times New Roman" w:hAnsi="Times New Roman"/>
          <w:noProof/>
          <w:sz w:val="24"/>
        </w:rPr>
        <w:t xml:space="preserve">. </w:t>
      </w:r>
    </w:p>
    <w:p w14:paraId="1FC65B8D" w14:textId="21DAF7E9" w:rsidR="00234413" w:rsidRPr="00EC4745" w:rsidRDefault="00FF3295"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Conformément à la stratégie «Global Gateway»</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 l’UE a aidé les pays partenaires à accéder aux données sur l’environnement au moyen d’initiatives visant à renforcer les liens entre la science et les politiques, notamment le programme pour la biodiversité et la gestion des aires protégées (BIOPAMA) et le partenariat en faveur des connaissances sur la croissance verte. La Commission a également mis en place une plateforme internationale de gestion des connaissances pour partager des informations sur les normes, les orientations et les possibilités de financement dans le cadre de l’initiative du nouveau Bauhaus européen</w:t>
      </w:r>
      <w:r>
        <w:rPr>
          <w:rStyle w:val="FootnoteReference"/>
          <w:rFonts w:ascii="Times New Roman" w:hAnsi="Times New Roman" w:cs="Times New Roman"/>
          <w:noProof/>
          <w:sz w:val="24"/>
          <w:szCs w:val="24"/>
        </w:rPr>
        <w:footnoteReference w:id="43"/>
      </w:r>
      <w:r>
        <w:rPr>
          <w:rFonts w:ascii="Times New Roman" w:hAnsi="Times New Roman"/>
          <w:noProof/>
          <w:sz w:val="24"/>
        </w:rPr>
        <w:t>.</w:t>
      </w:r>
    </w:p>
    <w:p w14:paraId="15D8C72B" w14:textId="77777777" w:rsidR="00912308" w:rsidRPr="00D05EA1" w:rsidRDefault="003A0591" w:rsidP="0047717E">
      <w:pPr>
        <w:pStyle w:val="ListParagraph"/>
        <w:numPr>
          <w:ilvl w:val="1"/>
          <w:numId w:val="11"/>
        </w:numPr>
        <w:spacing w:after="120" w:line="276" w:lineRule="auto"/>
        <w:ind w:left="788" w:hanging="431"/>
        <w:jc w:val="both"/>
        <w:rPr>
          <w:b/>
          <w:noProof/>
          <w:szCs w:val="20"/>
        </w:rPr>
      </w:pPr>
      <w:r>
        <w:rPr>
          <w:b/>
          <w:noProof/>
        </w:rPr>
        <w:t>Promouvoir la transition numérique</w:t>
      </w:r>
    </w:p>
    <w:p w14:paraId="77D7AC4F" w14:textId="45ADB350" w:rsidR="005746AE" w:rsidRPr="002C7C38" w:rsidRDefault="00F772FB"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En juin 2025, la Commission a adopté la stratégie numérique internationale pour l’Union européenne, qui expose la vision de l’UE pour renforcer sa coopération numérique à l’échelle internationale</w:t>
      </w:r>
      <w:r>
        <w:rPr>
          <w:rStyle w:val="FootnoteReference"/>
          <w:rFonts w:ascii="Times New Roman" w:hAnsi="Times New Roman" w:cs="Times New Roman"/>
          <w:noProof/>
          <w:sz w:val="24"/>
          <w:szCs w:val="24"/>
        </w:rPr>
        <w:footnoteReference w:id="44"/>
      </w:r>
      <w:r>
        <w:rPr>
          <w:rFonts w:ascii="Times New Roman" w:hAnsi="Times New Roman"/>
          <w:noProof/>
          <w:sz w:val="24"/>
        </w:rPr>
        <w:t>. Cette stratégie vise à renforcer la compétitivité européenne, à promouvoir un programme numérique pour la sécurité de l’Europe et de ses partenaires, et à façonner la gouvernance numérique mondiale et ses normes. </w:t>
      </w:r>
    </w:p>
    <w:p w14:paraId="37B6B2D9" w14:textId="7D8128BA" w:rsidR="007C2803" w:rsidRPr="00D05EA1" w:rsidRDefault="004C73BC"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Des partenariats numériques ont été établis avec le Japon, la République de Corée, Singapour et le Canada</w:t>
      </w:r>
      <w:r>
        <w:rPr>
          <w:rStyle w:val="FootnoteReference"/>
          <w:rFonts w:ascii="Times New Roman" w:hAnsi="Times New Roman" w:cs="Times New Roman"/>
          <w:noProof/>
          <w:sz w:val="24"/>
          <w:szCs w:val="24"/>
        </w:rPr>
        <w:footnoteReference w:id="45"/>
      </w:r>
      <w:r>
        <w:rPr>
          <w:rFonts w:ascii="Times New Roman" w:hAnsi="Times New Roman"/>
          <w:noProof/>
          <w:sz w:val="24"/>
        </w:rPr>
        <w:t>. Ils se concentrent sur les efforts de collaboration visant à faire progresser des technologies clés, telles que l’IA, les semi-conducteurs, le calcul à haute performance, l’informatique quantique, les réseaux 5G/6G, la gouvernance des données, la normalisation et les plateformes en ligne.</w:t>
      </w:r>
    </w:p>
    <w:p w14:paraId="4E6E6022" w14:textId="16918D72" w:rsidR="007C2803" w:rsidRPr="00216609" w:rsidRDefault="007C2803"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Depuis mai 2023, le Conseil du commerce et des technologies UE-Inde a jeté les bases d’une coopération dans des domaines clés, notamment les semi-conducteurs, les infrastructures publiques numériques, les compétences numériques, l’IA, le calcul à haute performance et la normalisation des technologies de l’information et des télécommunications. Le Conseil du commerce et des technologies UE-États-Unis a accompli des progrès importants depuis sa création en 2021, avec des résultats tangibles dans les domaines de l’IA, des technologies quantiques, de la normalisation, des semi-conducteurs, des plateformes en ligne et des réseaux 6G.</w:t>
      </w:r>
    </w:p>
    <w:p w14:paraId="6348EA51" w14:textId="4C1A35D6" w:rsidR="004017E9" w:rsidRDefault="007C2803"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L’alliance numérique entre l’Union européenne et l’Amérique latine et les Caraïbes (ALC)</w:t>
      </w:r>
      <w:r>
        <w:rPr>
          <w:rStyle w:val="FootnoteReference"/>
          <w:rFonts w:ascii="Times New Roman" w:hAnsi="Times New Roman" w:cs="Times New Roman"/>
          <w:noProof/>
          <w:sz w:val="24"/>
          <w:szCs w:val="24"/>
        </w:rPr>
        <w:footnoteReference w:id="46"/>
      </w:r>
      <w:r>
        <w:rPr>
          <w:rFonts w:ascii="Times New Roman" w:hAnsi="Times New Roman"/>
          <w:noProof/>
          <w:sz w:val="24"/>
        </w:rPr>
        <w:t xml:space="preserve"> est un cadre novateur de coopération birégionale. Le projet UE-ALC concernant un partenariat stratégique pour la mise en œuvre de dialogues numériques dans le cadre de la coopération en matière de R&amp;I (SPIDER) met l’accent sur l’adoption d’une approche de la transformation numérique qui soit inclusive et centrée sur l’humain dans des domaines pouvant bénéficier de l’interconnexion à haut débit fournie par l’infrastructure BELLA («Building the Europe Link to Latin America, construire le lien entre l’Europe et l’Amérique latine)</w:t>
      </w:r>
      <w:r>
        <w:rPr>
          <w:rStyle w:val="FootnoteReference"/>
          <w:rFonts w:ascii="Times New Roman" w:hAnsi="Times New Roman" w:cs="Times New Roman"/>
          <w:noProof/>
          <w:sz w:val="24"/>
          <w:szCs w:val="24"/>
        </w:rPr>
        <w:footnoteReference w:id="47"/>
      </w:r>
      <w:r>
        <w:rPr>
          <w:rFonts w:ascii="Times New Roman" w:hAnsi="Times New Roman"/>
          <w:noProof/>
          <w:sz w:val="24"/>
        </w:rPr>
        <w:t>. L’initiative relative au câble BELLA a été soutenue par le réseau européen GÉANT</w:t>
      </w:r>
      <w:r>
        <w:rPr>
          <w:rStyle w:val="FootnoteReference"/>
          <w:rFonts w:ascii="Times New Roman" w:hAnsi="Times New Roman" w:cs="Times New Roman"/>
          <w:noProof/>
          <w:sz w:val="24"/>
          <w:szCs w:val="24"/>
        </w:rPr>
        <w:footnoteReference w:id="48"/>
      </w:r>
      <w:r>
        <w:rPr>
          <w:rFonts w:ascii="Times New Roman" w:hAnsi="Times New Roman"/>
          <w:noProof/>
          <w:sz w:val="24"/>
        </w:rPr>
        <w:t>, qui relie les communautés de la recherche et de l’enseignement dans plus de 110 pays grâce à ses partenariats, en utilisant ses propres réseaux de fibres optiques sécurisés pour relier les fournisseurs de données au sein du système mondial de recherche. En octobre 2025, le réseau UE-ALC de calcul à haute performance a été lancé. En reliant les supercalculateurs de l’UE à ceux de l’Amérique latine et des Caraïbes par l’intermédiaire de BELLA, les scientifiques des deux régions collaboreront pour réaliser des simulations, analyser des mégadonnées et tester des modèles de traitement de pointe afin de relever des défis mondiaux urgents, allant de la modélisation du climat à l’intelligence artificielle en passant par la découverte de médicaments.</w:t>
      </w:r>
    </w:p>
    <w:p w14:paraId="61328822" w14:textId="215E2035" w:rsidR="007C2803" w:rsidRPr="00D05EA1" w:rsidRDefault="007C2803"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S’appuyant sur le succès du câble BELLA entre l’Europe et l’Amérique latine, le projet «EurAfrica Gateway Cable» devrait mettre en place un système résilient de câbles sous-marins longeant la côte atlantique de l’Afrique, renforçant ainsi la connectivité dans la région.</w:t>
      </w:r>
    </w:p>
    <w:p w14:paraId="75B91C63" w14:textId="1A19E90B" w:rsidR="00912308" w:rsidRPr="00D05EA1" w:rsidRDefault="00CF3795" w:rsidP="00352ED0">
      <w:pPr>
        <w:pStyle w:val="ListParagraph"/>
        <w:numPr>
          <w:ilvl w:val="1"/>
          <w:numId w:val="11"/>
        </w:numPr>
        <w:spacing w:after="120" w:line="276" w:lineRule="auto"/>
        <w:ind w:left="788" w:hanging="431"/>
        <w:jc w:val="both"/>
        <w:rPr>
          <w:b/>
          <w:noProof/>
          <w:szCs w:val="20"/>
        </w:rPr>
      </w:pPr>
      <w:r>
        <w:rPr>
          <w:b/>
          <w:noProof/>
        </w:rPr>
        <w:t>Renforcer la coopération dans le domaine de la santé mondiale</w:t>
      </w:r>
    </w:p>
    <w:p w14:paraId="3D2FCCAF" w14:textId="3A63240B" w:rsidR="00DD05A2" w:rsidRPr="00D05EA1" w:rsidRDefault="2CAFAEB6"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 stratégie de l’UE en matière de santé mondiale</w:t>
      </w:r>
      <w:r>
        <w:rPr>
          <w:rStyle w:val="FootnoteReference"/>
          <w:rFonts w:ascii="Times New Roman" w:hAnsi="Times New Roman" w:cs="Times New Roman"/>
          <w:noProof/>
          <w:sz w:val="24"/>
          <w:szCs w:val="24"/>
        </w:rPr>
        <w:footnoteReference w:id="49"/>
      </w:r>
      <w:r>
        <w:rPr>
          <w:rFonts w:ascii="Times New Roman" w:hAnsi="Times New Roman"/>
          <w:noProof/>
          <w:sz w:val="24"/>
        </w:rPr>
        <w:t xml:space="preserve"> a été approuvée par le Conseil européen en janvier 2024</w:t>
      </w:r>
      <w:r>
        <w:rPr>
          <w:rStyle w:val="FootnoteReference"/>
          <w:rFonts w:ascii="Times New Roman" w:hAnsi="Times New Roman" w:cs="Times New Roman"/>
          <w:noProof/>
          <w:sz w:val="24"/>
          <w:szCs w:val="24"/>
        </w:rPr>
        <w:footnoteReference w:id="50"/>
      </w:r>
      <w:r>
        <w:rPr>
          <w:rFonts w:ascii="Times New Roman" w:hAnsi="Times New Roman"/>
          <w:noProof/>
          <w:sz w:val="24"/>
        </w:rPr>
        <w:t xml:space="preserve">. Elle établit que la recherche et l’innovation sont des facteurs clés pour améliorer la santé, renforcer les systèmes de santé et faire progresser la couverture sanitaire universelle, au même titre que la transition numérique et une main-d’œuvre qualifiée. </w:t>
      </w:r>
    </w:p>
    <w:p w14:paraId="59CA709F" w14:textId="65E3BF6A" w:rsidR="00813E1F" w:rsidRPr="00D05EA1" w:rsidRDefault="000444BA" w:rsidP="00AA73D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 xml:space="preserve">Depuis le début de la pandémie de COVID-19, la Commission a réalisé des progrès considérables dans le domaine de la préparation aux pandémies, combinant une capacité de réaction immédiate et des investissements à long terme dans la préparation. En investissant 1,28 milliard d’EUR dans plus de 121 actions de recherche et développement entre 2022 et 2025, la Commission a accéléré la mise au point et l’expérimentation de contre-mesures médicales, renforçant également la résilience de l’UE face à de futures pandémies. </w:t>
      </w:r>
    </w:p>
    <w:p w14:paraId="3B136B04" w14:textId="624392CB" w:rsidR="00B647EF" w:rsidRPr="00D05EA1" w:rsidRDefault="309B8A02" w:rsidP="0047717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La Commission a renforcé sa coordination des bailleurs de fonds en faveur de la recherche dans le domaine de la santé mondiale, par exemple en coprésidant la collaboration mondiale en matière de recherche pour la préparation aux maladies infectieuses (GloPID-R)</w:t>
      </w:r>
      <w:r>
        <w:rPr>
          <w:rStyle w:val="FootnoteReference"/>
          <w:rFonts w:ascii="Times New Roman" w:hAnsi="Times New Roman" w:cs="Times New Roman"/>
          <w:noProof/>
          <w:sz w:val="24"/>
          <w:szCs w:val="24"/>
        </w:rPr>
        <w:footnoteReference w:id="51"/>
      </w:r>
      <w:r>
        <w:rPr>
          <w:rFonts w:ascii="Times New Roman" w:hAnsi="Times New Roman"/>
          <w:noProof/>
          <w:sz w:val="24"/>
        </w:rPr>
        <w:t xml:space="preserve"> et en soutenant l’alliance mondiale contre les maladies chroniques (GACD)</w:t>
      </w:r>
      <w:r>
        <w:rPr>
          <w:rStyle w:val="FootnoteReference"/>
          <w:rFonts w:ascii="Times New Roman" w:hAnsi="Times New Roman" w:cs="Times New Roman"/>
          <w:noProof/>
          <w:sz w:val="24"/>
          <w:szCs w:val="24"/>
        </w:rPr>
        <w:footnoteReference w:id="52"/>
      </w:r>
      <w:r>
        <w:rPr>
          <w:rFonts w:ascii="Times New Roman" w:hAnsi="Times New Roman"/>
          <w:noProof/>
          <w:sz w:val="24"/>
        </w:rPr>
        <w:t>. La Commission a également soutenu les préparatifs de nouveaux partenariats, y compris l’alliance européenne pour la recherche sur les maladies rares (ERDERA)</w:t>
      </w:r>
      <w:r>
        <w:rPr>
          <w:rStyle w:val="FootnoteReference"/>
          <w:rFonts w:ascii="Times New Roman" w:hAnsi="Times New Roman" w:cs="Times New Roman"/>
          <w:noProof/>
          <w:sz w:val="24"/>
          <w:szCs w:val="24"/>
        </w:rPr>
        <w:footnoteReference w:id="53"/>
      </w:r>
      <w:r>
        <w:rPr>
          <w:rFonts w:ascii="Times New Roman" w:hAnsi="Times New Roman"/>
          <w:noProof/>
          <w:sz w:val="24"/>
        </w:rPr>
        <w:t xml:space="preserve">. </w:t>
      </w:r>
    </w:p>
    <w:p w14:paraId="22634011" w14:textId="6566819D" w:rsidR="007E3F55" w:rsidRPr="00D05EA1" w:rsidRDefault="003264D3" w:rsidP="0047717E">
      <w:pPr>
        <w:spacing w:after="120" w:line="276" w:lineRule="auto"/>
        <w:jc w:val="both"/>
        <w:rPr>
          <w:rFonts w:ascii="Times New Roman" w:eastAsia="Times New Roman" w:hAnsi="Times New Roman" w:cs="Times New Roman"/>
          <w:b/>
          <w:bCs/>
          <w:noProof/>
          <w:sz w:val="24"/>
          <w:szCs w:val="24"/>
        </w:rPr>
      </w:pPr>
      <w:r>
        <w:rPr>
          <w:rFonts w:ascii="Times New Roman" w:hAnsi="Times New Roman"/>
          <w:noProof/>
          <w:sz w:val="24"/>
        </w:rPr>
        <w:t>L’entreprise commune «EDCTP3 pour la santé mondiale» est la troisième version du partenariat des pays européens et en développement sur les essais cliniques</w:t>
      </w:r>
      <w:r>
        <w:rPr>
          <w:rStyle w:val="FootnoteReference"/>
          <w:rFonts w:ascii="Times New Roman" w:hAnsi="Times New Roman" w:cs="Times New Roman"/>
          <w:noProof/>
          <w:sz w:val="24"/>
          <w:szCs w:val="24"/>
        </w:rPr>
        <w:footnoteReference w:id="54"/>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 xml:space="preserve">En 2024, elle a financé 74 projets de recherche dans le domaine de la santé mondiale pour un budget total de 254 millions d’EUR. En réaction à l’épidémie de mpox qui a touché la République démocratique du Congo (RDC) en 2024, l’entreprise commune «EDCTP3 pour la santé mondiale» a activé son mécanisme de financement d’urgence et lancé un appel d’urgence qui s’est traduit par le financement de neuf projets pour un montant total de 12,1 millions d’EUR; ces projets portaient sur les phases 2, 3 et 4 d’études relatives à la prophylaxie avant exposition et post-exposition du mpox ainsi que sur des stratégies de surveillance et des études épidémiologiques. </w:t>
      </w:r>
    </w:p>
    <w:p w14:paraId="78365650" w14:textId="46CA62C5" w:rsidR="007E3F55" w:rsidRPr="00D05EA1" w:rsidRDefault="002C4AAA"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 Commission soutient également la recherche dans le domaine de la santé mondiale dans le cadre d’une collaboration avec l’Organisation mondiale de la santé (OMS) et le partenariat mondial pour la recherche-développement d’antibiotiques (GARDP), avec un financement de 28 millions d’EUR alloué pour la période 2022-2027 afin d’accélérer la mise au point de traitements contre les infections bactériennes résistantes aux médicaments et de mettre à jour les listes d’agents pathogènes prioritaires. Sur ce montant, 1 million d’EUR a été affecté à l’initiative conjointe SECURE de l’OMS et du GARDP</w:t>
      </w:r>
      <w:r>
        <w:rPr>
          <w:rStyle w:val="FootnoteReference"/>
          <w:rFonts w:ascii="Times New Roman" w:hAnsi="Times New Roman" w:cs="Times New Roman"/>
          <w:noProof/>
          <w:sz w:val="24"/>
          <w:szCs w:val="24"/>
        </w:rPr>
        <w:footnoteReference w:id="55"/>
      </w:r>
      <w:r>
        <w:rPr>
          <w:rFonts w:ascii="Times New Roman" w:hAnsi="Times New Roman"/>
          <w:noProof/>
          <w:sz w:val="24"/>
        </w:rPr>
        <w:t xml:space="preserve">, qui vise à élargir l’accès mondial aux antibiotiques essentiels pour traiter les infections bactériennes résistantes aux médicaments. La Commission a soutenu la mise au point de médicaments contre la tuberculose destinés aux enfants et d’un nouveau vaccin contre la tuberculose dans le cadre du programme de travail 2023 de «L’UE pour la santé». </w:t>
      </w:r>
    </w:p>
    <w:p w14:paraId="4C3B5314" w14:textId="1189BF3C" w:rsidR="007E3F55" w:rsidRPr="00D05EA1" w:rsidRDefault="008C43D2" w:rsidP="0047717E">
      <w:pPr>
        <w:spacing w:after="120" w:line="276" w:lineRule="auto"/>
        <w:jc w:val="both"/>
        <w:rPr>
          <w:rFonts w:ascii="Times New Roman" w:eastAsia="Times New Roman" w:hAnsi="Times New Roman" w:cs="Times New Roman"/>
          <w:b/>
          <w:noProof/>
          <w:sz w:val="24"/>
          <w:szCs w:val="20"/>
        </w:rPr>
      </w:pPr>
      <w:r>
        <w:rPr>
          <w:rFonts w:ascii="Times New Roman" w:hAnsi="Times New Roman"/>
          <w:noProof/>
          <w:sz w:val="24"/>
        </w:rPr>
        <w:t>La Commission a élaboré une convention de contribution d’une valeur de 7,42 millions d’EUR avec l’OMS pour son plan pour la recherche et le développement en matière d’épidémies afin de soutenir la mise au point de vaccins et de traitements sûrs et efficaces contre les filovirus (notamment le virus Ebola et le virus de Marburg) ainsi que des actions interépidémiques de préparation aux épidémies futures. Ces travaux de préparation ont permis la mise en œuvre rapide d’essais cliniques pour des traitements et des vaccins, notamment lors de l’épidémie d’Ebola qui s’est déclarée en Ouganda en 2025.</w:t>
      </w:r>
    </w:p>
    <w:p w14:paraId="482110B3" w14:textId="47B1B323" w:rsidR="00AB62AB" w:rsidRPr="00D05EA1" w:rsidRDefault="008C43D2" w:rsidP="0047717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Enfin, la Commission a poursuivi son engagement en faveur d’un partage et d’un accès ouverts par l’intermédiaire de la Coalition mondiale pour les biodonnées, contribuant ainsi à garantir la durabilité des ressources mondiales en matière de biodonnées.</w:t>
      </w:r>
    </w:p>
    <w:p w14:paraId="1AEEFB50" w14:textId="77777777" w:rsidR="00912308" w:rsidRPr="00D05EA1" w:rsidRDefault="00CF3795" w:rsidP="00955BBF">
      <w:pPr>
        <w:pStyle w:val="ListParagraph"/>
        <w:numPr>
          <w:ilvl w:val="1"/>
          <w:numId w:val="11"/>
        </w:numPr>
        <w:spacing w:after="120" w:line="276" w:lineRule="auto"/>
        <w:ind w:left="709" w:hanging="425"/>
        <w:rPr>
          <w:b/>
          <w:noProof/>
          <w:szCs w:val="20"/>
        </w:rPr>
      </w:pPr>
      <w:r>
        <w:rPr>
          <w:b/>
          <w:noProof/>
        </w:rPr>
        <w:t>Promouvoir l’innovation</w:t>
      </w:r>
    </w:p>
    <w:p w14:paraId="5611927B" w14:textId="05EE0EC4" w:rsidR="00825FE2" w:rsidRPr="00D05EA1" w:rsidRDefault="00825FE2" w:rsidP="504A92D0">
      <w:pPr>
        <w:spacing w:after="120" w:line="276" w:lineRule="auto"/>
        <w:jc w:val="both"/>
        <w:rPr>
          <w:rFonts w:ascii="Times New Roman" w:eastAsia="Times New Roman" w:hAnsi="Times New Roman" w:cs="Times New Roman"/>
          <w:noProof/>
          <w:sz w:val="24"/>
          <w:szCs w:val="24"/>
        </w:rPr>
      </w:pPr>
      <w:r>
        <w:rPr>
          <w:rFonts w:ascii="Times New Roman" w:hAnsi="Times New Roman"/>
          <w:noProof/>
          <w:color w:val="404040" w:themeColor="text1" w:themeTint="BF"/>
          <w:sz w:val="24"/>
        </w:rPr>
        <w:t>L’UE est déterminée à se positionner comme une destination attractive pour les start-up, les investisseurs et les entreprises de pays tiers à la recherche de solutions innovantes et de projets audacieux. Il s’agit de</w:t>
      </w:r>
      <w:r>
        <w:rPr>
          <w:rFonts w:ascii="Times New Roman" w:hAnsi="Times New Roman"/>
          <w:noProof/>
          <w:sz w:val="24"/>
        </w:rPr>
        <w:t xml:space="preserve"> l’un des axes phares du nouveau programme européen d’innovation et de la stratégie en faveur des start-up et des scale-up</w:t>
      </w:r>
      <w:r>
        <w:rPr>
          <w:rStyle w:val="FootnoteReference"/>
          <w:rFonts w:ascii="Times New Roman" w:eastAsia="Times New Roman" w:hAnsi="Times New Roman" w:cs="Times New Roman"/>
          <w:noProof/>
          <w:color w:val="000000" w:themeColor="text1"/>
          <w:sz w:val="24"/>
          <w:szCs w:val="24"/>
        </w:rPr>
        <w:footnoteReference w:id="56"/>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color w:val="404040" w:themeColor="text1" w:themeTint="BF"/>
          <w:sz w:val="24"/>
        </w:rPr>
        <w:t>En renforçant les partenariats internationaux et en créant des voies pour attirer les talents et les investissements internationaux, par exemple avec l’initiative «Choisir l’Europe pour la science»</w:t>
      </w:r>
      <w:r>
        <w:rPr>
          <w:rStyle w:val="FootnoteReference"/>
          <w:rFonts w:ascii="Times New Roman" w:eastAsia="system-ui" w:hAnsi="Times New Roman" w:cs="Times New Roman"/>
          <w:noProof/>
          <w:color w:val="404040" w:themeColor="text1" w:themeTint="BF"/>
          <w:sz w:val="24"/>
          <w:szCs w:val="24"/>
        </w:rPr>
        <w:footnoteReference w:id="57"/>
      </w:r>
      <w:r>
        <w:rPr>
          <w:rFonts w:ascii="Times New Roman" w:hAnsi="Times New Roman"/>
          <w:noProof/>
          <w:color w:val="404040" w:themeColor="text1" w:themeTint="BF"/>
          <w:sz w:val="24"/>
        </w:rPr>
        <w:t xml:space="preserve">, l’UE entend consolider son rôle de pôle d’innovation et d’entrepreneuriat de premier plan et favoriser ainsi le développement durable et la compétitivité à l’échelle mondiale. </w:t>
      </w:r>
    </w:p>
    <w:p w14:paraId="2B003318" w14:textId="4C8ADA85" w:rsidR="007F7954" w:rsidRPr="00BF0260" w:rsidRDefault="00B1586A" w:rsidP="00FE2258">
      <w:pPr>
        <w:spacing w:after="120" w:line="276" w:lineRule="auto"/>
        <w:jc w:val="both"/>
        <w:rPr>
          <w:rFonts w:ascii="Times New Roman" w:eastAsia="Calibri" w:hAnsi="Times New Roman" w:cs="Times New Roman"/>
          <w:noProof/>
          <w:color w:val="00B050"/>
        </w:rPr>
      </w:pPr>
      <w:r>
        <w:rPr>
          <w:rFonts w:ascii="Times New Roman" w:hAnsi="Times New Roman"/>
          <w:noProof/>
          <w:sz w:val="24"/>
        </w:rPr>
        <w:t>En 2025, le comité du Conseil européen de l’innovation (CEI) a conseillé à ce dernier d’élaborer une stratégie internationale pour renforcer son influence mondiale et aider les start-up et scale-up européennes à se développer à l’échelle internationale. Ce conseil a mis l’accent sur quatre priorités essentielles: -1) encourager les activités internationales; -2) associer des entreprises et investisseurs internationaux; -3) affirmer son rôle de leader dans la réflexion; et -4) attirer des talents internationaux. Cette stratégie a pour principaux objectifs d’aider les bénéficiaires du CEI à se développer à l’échelle mondiale tout en conservant leur siège social en Europe; d’attirer des innovateurs de la deep tech en Europe et de coopérer avec les investisseurs internationaux intéressés par les entreprises soutenues par le CEI.</w:t>
      </w:r>
    </w:p>
    <w:p w14:paraId="724D93BF" w14:textId="25C164AC" w:rsidR="00DD6974" w:rsidRDefault="009D4DA6" w:rsidP="00352ED0">
      <w:pPr>
        <w:spacing w:after="120" w:line="276" w:lineRule="auto"/>
        <w:jc w:val="both"/>
        <w:rPr>
          <w:rFonts w:ascii="Times New Roman" w:eastAsiaTheme="minorEastAsia" w:hAnsi="Times New Roman" w:cs="Times New Roman"/>
          <w:noProof/>
          <w:sz w:val="24"/>
          <w:szCs w:val="24"/>
        </w:rPr>
      </w:pPr>
      <w:r>
        <w:rPr>
          <w:rFonts w:ascii="Times New Roman" w:hAnsi="Times New Roman"/>
          <w:noProof/>
          <w:sz w:val="24"/>
        </w:rPr>
        <w:t>En mars 2024, la Commission a adopté deux recommandations appuyant la recommandation du Conseil sur les principes directeurs pour la valorisation des connaissances</w:t>
      </w:r>
      <w:r>
        <w:rPr>
          <w:rStyle w:val="FootnoteReference"/>
          <w:rFonts w:ascii="Times New Roman" w:eastAsiaTheme="minorEastAsia" w:hAnsi="Times New Roman" w:cs="Times New Roman"/>
          <w:noProof/>
          <w:sz w:val="24"/>
          <w:szCs w:val="24"/>
        </w:rPr>
        <w:footnoteReference w:id="58"/>
      </w:r>
      <w:r>
        <w:rPr>
          <w:rFonts w:ascii="Times New Roman" w:hAnsi="Times New Roman"/>
          <w:noProof/>
          <w:sz w:val="24"/>
        </w:rPr>
        <w:t>, à savoir le code de bonnes pratiques de cocréation entre l’industrie et le monde universitaire</w:t>
      </w:r>
      <w:r>
        <w:rPr>
          <w:rStyle w:val="FootnoteReference"/>
          <w:rFonts w:ascii="Times New Roman" w:eastAsiaTheme="minorEastAsia" w:hAnsi="Times New Roman" w:cs="Times New Roman"/>
          <w:noProof/>
          <w:sz w:val="24"/>
          <w:szCs w:val="24"/>
        </w:rPr>
        <w:footnoteReference w:id="59"/>
      </w:r>
      <w:r>
        <w:rPr>
          <w:rFonts w:ascii="Times New Roman" w:hAnsi="Times New Roman"/>
          <w:noProof/>
          <w:sz w:val="24"/>
        </w:rPr>
        <w:t xml:space="preserve"> et le code de bonnes pratiques en matière de participation des citoyens à la valorisation des connaissances</w:t>
      </w:r>
      <w:r>
        <w:rPr>
          <w:rStyle w:val="FootnoteReference"/>
          <w:rFonts w:ascii="Times New Roman" w:eastAsiaTheme="minorEastAsia" w:hAnsi="Times New Roman" w:cs="Times New Roman"/>
          <w:noProof/>
          <w:sz w:val="24"/>
          <w:szCs w:val="24"/>
        </w:rPr>
        <w:footnoteReference w:id="60"/>
      </w:r>
      <w:r>
        <w:rPr>
          <w:rFonts w:ascii="Times New Roman" w:hAnsi="Times New Roman"/>
          <w:noProof/>
          <w:sz w:val="24"/>
        </w:rPr>
        <w:t>. Le répertoire de la plateforme de valorisation des connaissances de l’UE, qui présente également un intérêt pour les partenaires internationaux</w:t>
      </w:r>
      <w:r>
        <w:rPr>
          <w:rStyle w:val="FootnoteReference"/>
          <w:rFonts w:ascii="Times New Roman" w:eastAsiaTheme="minorEastAsia" w:hAnsi="Times New Roman" w:cs="Times New Roman"/>
          <w:noProof/>
          <w:sz w:val="24"/>
          <w:szCs w:val="24"/>
        </w:rPr>
        <w:footnoteReference w:id="61"/>
      </w:r>
      <w:r>
        <w:rPr>
          <w:rFonts w:ascii="Times New Roman" w:hAnsi="Times New Roman"/>
          <w:noProof/>
          <w:sz w:val="24"/>
        </w:rPr>
        <w:t xml:space="preserve"> comprend plus de 150 stratégies et pratiques élaborées dans l’UE et au-delà.</w:t>
      </w:r>
    </w:p>
    <w:p w14:paraId="4F07219F" w14:textId="77777777" w:rsidR="00A24B6C" w:rsidRPr="00464748" w:rsidRDefault="00A24B6C" w:rsidP="00352ED0">
      <w:pPr>
        <w:spacing w:after="120" w:line="276" w:lineRule="auto"/>
        <w:jc w:val="both"/>
        <w:rPr>
          <w:rFonts w:ascii="Times New Roman" w:eastAsiaTheme="minorEastAsia" w:hAnsi="Times New Roman" w:cs="Times New Roman"/>
          <w:noProof/>
          <w:sz w:val="24"/>
          <w:szCs w:val="24"/>
        </w:rPr>
      </w:pPr>
    </w:p>
    <w:p w14:paraId="37286A20" w14:textId="77777777" w:rsidR="00912308" w:rsidRPr="00D05EA1" w:rsidRDefault="00645415" w:rsidP="00352ED0">
      <w:pPr>
        <w:pStyle w:val="ListParagraph"/>
        <w:numPr>
          <w:ilvl w:val="0"/>
          <w:numId w:val="11"/>
        </w:numPr>
        <w:spacing w:after="120" w:line="276" w:lineRule="auto"/>
        <w:ind w:left="357" w:hanging="357"/>
        <w:jc w:val="both"/>
        <w:rPr>
          <w:b/>
          <w:noProof/>
          <w:szCs w:val="20"/>
        </w:rPr>
      </w:pPr>
      <w:r>
        <w:rPr>
          <w:b/>
          <w:smallCaps/>
          <w:noProof/>
        </w:rPr>
        <w:t>Moduler la coopération avec les pays et régions prioritaires</w:t>
      </w:r>
    </w:p>
    <w:tbl>
      <w:tblPr>
        <w:tblStyle w:val="TableGrid"/>
        <w:tblW w:w="0" w:type="auto"/>
        <w:shd w:val="clear" w:color="auto" w:fill="D9D9D9" w:themeFill="background1" w:themeFillShade="D9"/>
        <w:tblLook w:val="04A0" w:firstRow="1" w:lastRow="0" w:firstColumn="1" w:lastColumn="0" w:noHBand="0" w:noVBand="1"/>
      </w:tblPr>
      <w:tblGrid>
        <w:gridCol w:w="9242"/>
      </w:tblGrid>
      <w:tr w:rsidR="007C762A" w:rsidRPr="00D05EA1" w14:paraId="03872DD6" w14:textId="77777777" w:rsidTr="504A92D0">
        <w:tc>
          <w:tcPr>
            <w:tcW w:w="9242" w:type="dxa"/>
            <w:shd w:val="clear" w:color="auto" w:fill="D9D9D9" w:themeFill="background1" w:themeFillShade="D9"/>
          </w:tcPr>
          <w:p w14:paraId="3CAE3DD7" w14:textId="0B17C613" w:rsidR="00980F50" w:rsidRPr="00D05EA1" w:rsidRDefault="78378DCC" w:rsidP="00DF4D1B">
            <w:pPr>
              <w:spacing w:after="120" w:line="276" w:lineRule="auto"/>
              <w:jc w:val="both"/>
              <w:rPr>
                <w:rFonts w:ascii="Times New Roman" w:hAnsi="Times New Roman" w:cs="Times New Roman"/>
                <w:noProof/>
                <w:sz w:val="24"/>
                <w:szCs w:val="24"/>
              </w:rPr>
            </w:pPr>
            <w:r>
              <w:rPr>
                <w:rFonts w:ascii="Times New Roman" w:hAnsi="Times New Roman"/>
                <w:noProof/>
                <w:sz w:val="24"/>
              </w:rPr>
              <w:t>Les évolutions géopolitiques de ces dernières années ont eu une incidence sur la coopération instaurée entre l’UE et d’autres pays dans le domaine de la R&amp;I. Dans les pays voisins de l’UE, la dynamique a été portée par l’association du Royaume-Uni et de la Suisse ainsi que des pays candidats au programme Horizon Europe. La participation à Horizon Europe au moyen d’une association a également renforcé les relations de l’UE en matière de R&amp;I avec les grandes économies industrielles à l’étranger. Enfin, l’Afrique, l’Amérique latine et les Caraïbes ainsi que l’Association des nations de l’Asie du Sud-Est (ASEAN) ont fait l’objet d’un regain d’attention, des initiatives régionales majeures ayant été mises en place. Sur le plan bilatéral, des domaines spécifiques présentant un intérêt pour l’UE et les pays partenaires sont examinés, par exemple au moyen d’un dialogue constructif avec la Chine.</w:t>
            </w:r>
          </w:p>
        </w:tc>
      </w:tr>
    </w:tbl>
    <w:p w14:paraId="7FBD5A22" w14:textId="77777777" w:rsidR="006D4C98" w:rsidRPr="00D05EA1" w:rsidRDefault="006D4C98" w:rsidP="00352ED0">
      <w:pPr>
        <w:spacing w:after="120" w:line="276" w:lineRule="auto"/>
        <w:jc w:val="both"/>
        <w:rPr>
          <w:b/>
          <w:noProof/>
        </w:rPr>
      </w:pPr>
    </w:p>
    <w:p w14:paraId="59E583DB" w14:textId="1D700869" w:rsidR="00C31D72" w:rsidRPr="00D05EA1" w:rsidRDefault="00C31D72" w:rsidP="00352ED0">
      <w:pPr>
        <w:pStyle w:val="ListParagraph"/>
        <w:numPr>
          <w:ilvl w:val="1"/>
          <w:numId w:val="11"/>
        </w:numPr>
        <w:spacing w:after="120" w:line="276" w:lineRule="auto"/>
        <w:ind w:left="788" w:hanging="431"/>
        <w:jc w:val="both"/>
        <w:rPr>
          <w:b/>
          <w:noProof/>
        </w:rPr>
      </w:pPr>
      <w:r>
        <w:rPr>
          <w:b/>
          <w:noProof/>
        </w:rPr>
        <w:t>Intégration de la coopération dans les pays du voisinage européen</w:t>
      </w:r>
    </w:p>
    <w:p w14:paraId="550057D3" w14:textId="461D6852" w:rsidR="00C31D72" w:rsidRPr="00651DF6" w:rsidRDefault="00C31D72" w:rsidP="00352ED0">
      <w:pPr>
        <w:tabs>
          <w:tab w:val="left" w:pos="284"/>
        </w:tabs>
        <w:spacing w:after="120" w:line="276" w:lineRule="auto"/>
        <w:jc w:val="both"/>
        <w:rPr>
          <w:rStyle w:val="eop"/>
          <w:noProof/>
          <w:shd w:val="clear" w:color="auto" w:fill="FFFFFF"/>
        </w:rPr>
      </w:pPr>
      <w:r>
        <w:rPr>
          <w:rStyle w:val="normaltextrun"/>
          <w:rFonts w:ascii="Times New Roman" w:hAnsi="Times New Roman"/>
          <w:noProof/>
          <w:sz w:val="24"/>
          <w:shd w:val="clear" w:color="auto" w:fill="FFFFFF"/>
        </w:rPr>
        <w:t>Le Royaume-Uni est devenu un pays associé à Horizon Europe le 1</w:t>
      </w:r>
      <w:r>
        <w:rPr>
          <w:rStyle w:val="normaltextrun"/>
          <w:rFonts w:ascii="Times New Roman" w:hAnsi="Times New Roman"/>
          <w:noProof/>
          <w:sz w:val="24"/>
          <w:shd w:val="clear" w:color="auto" w:fill="FFFFFF"/>
          <w:vertAlign w:val="superscript"/>
        </w:rPr>
        <w:t>er</w:t>
      </w:r>
      <w:r>
        <w:rPr>
          <w:rStyle w:val="normaltextrun"/>
          <w:rFonts w:ascii="Times New Roman" w:hAnsi="Times New Roman"/>
          <w:noProof/>
          <w:sz w:val="24"/>
          <w:shd w:val="clear" w:color="auto" w:fill="FFFFFF"/>
        </w:rPr>
        <w:t xml:space="preserve"> janvier 2024, envoyant ainsi un message fort quant au maintien de ses intérêts communs avec l’UE. En 2024, le pays a obtenu d’excellents résultats aux appels à propositions du Conseil européen de la recherche (CER): il a été le principal bénéficiaire des subventions de validation de concept annoncées en juillet 2024 et l’un des principaux bénéficiaires des subventions de démarrage annoncées en septembre 2024, et il a enregistré une augmentation de 56 % des subventions de consolidation en décembre 2024 par rapport à l’année précédente. </w:t>
      </w:r>
      <w:r>
        <w:rPr>
          <w:rFonts w:ascii="Times New Roman" w:hAnsi="Times New Roman"/>
          <w:noProof/>
          <w:sz w:val="24"/>
          <w:shd w:val="clear" w:color="auto" w:fill="FFFFFF"/>
        </w:rPr>
        <w:t>Le Royaume-Uni a également été le principal bénéficiaire des subventions AMSC en 2024.</w:t>
      </w:r>
    </w:p>
    <w:p w14:paraId="09362FBE" w14:textId="6C36EE8F" w:rsidR="00C31D72" w:rsidRPr="00D05EA1" w:rsidRDefault="00C31D72" w:rsidP="00352ED0">
      <w:pPr>
        <w:tabs>
          <w:tab w:val="left" w:pos="284"/>
        </w:tabs>
        <w:spacing w:after="120" w:line="276" w:lineRule="auto"/>
        <w:jc w:val="both"/>
        <w:rPr>
          <w:rStyle w:val="eop"/>
          <w:rFonts w:ascii="Times New Roman" w:hAnsi="Times New Roman" w:cs="Times New Roman"/>
          <w:noProof/>
          <w:sz w:val="24"/>
          <w:szCs w:val="24"/>
          <w:shd w:val="clear" w:color="auto" w:fill="FFFFFF"/>
        </w:rPr>
      </w:pPr>
      <w:r>
        <w:rPr>
          <w:rStyle w:val="eop"/>
          <w:rFonts w:ascii="Times New Roman" w:hAnsi="Times New Roman"/>
          <w:noProof/>
          <w:sz w:val="24"/>
          <w:shd w:val="clear" w:color="auto" w:fill="FFFFFF"/>
        </w:rPr>
        <w:t>La participation de la Suisse, partenaire de longue date de l’UE en matière de R&amp;I et participante active à de précédents programmes-cadres de R&amp;I du fait de son association, a diminué au cours des premières années d’Horizon Europe en raison de sa non-association au programme. Grâce à son association, effective depuis le 1</w:t>
      </w:r>
      <w:r>
        <w:rPr>
          <w:rStyle w:val="eop"/>
          <w:rFonts w:ascii="Times New Roman" w:hAnsi="Times New Roman"/>
          <w:noProof/>
          <w:sz w:val="24"/>
          <w:shd w:val="clear" w:color="auto" w:fill="FFFFFF"/>
          <w:vertAlign w:val="superscript"/>
        </w:rPr>
        <w:t>er</w:t>
      </w:r>
      <w:r>
        <w:rPr>
          <w:rStyle w:val="eop"/>
          <w:rFonts w:ascii="Times New Roman" w:hAnsi="Times New Roman"/>
          <w:noProof/>
          <w:sz w:val="24"/>
          <w:shd w:val="clear" w:color="auto" w:fill="FFFFFF"/>
        </w:rPr>
        <w:t> janvier 2025, les chercheurs et les entités suisses sont de nouveau en mesure de participer aux appels à propositions du programme.</w:t>
      </w:r>
    </w:p>
    <w:p w14:paraId="7ED249B0" w14:textId="328CB6DD" w:rsidR="00C31D72" w:rsidRPr="00D05EA1" w:rsidRDefault="00C31D72" w:rsidP="00352ED0">
      <w:pPr>
        <w:tabs>
          <w:tab w:val="left" w:pos="284"/>
        </w:tabs>
        <w:spacing w:after="120" w:line="276" w:lineRule="auto"/>
        <w:jc w:val="both"/>
        <w:rPr>
          <w:rStyle w:val="eop"/>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Les systèmes de R&amp;I de la Norvège et de l’Islande, deux États membres de l’Association européenne de libre-échange (AELE), sont étroitement liés à ceux de l’UE, tout comme leurs chaînes de valeur industrielles et leurs réseaux universitaires. La Norvège, en particulier, contribue de manière importante à l’excellence des programmes-cadres de recherche et d’innovation. </w:t>
      </w:r>
    </w:p>
    <w:p w14:paraId="6461D195" w14:textId="161C796A" w:rsidR="00C31D72" w:rsidRPr="00D05EA1" w:rsidRDefault="1AF6564F"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 participation des partenaires des Balkans occidentaux aux programmes-cadres de R&amp;I de l’Union européenne a fortement progressé et a atteint son plus haut niveau dans le cadre d’Horizon Europe. Les efforts en matière de R&amp;I sont intensifiés, en particulier dans le cadre du programme d’innovation pour les Balkans occidentaux</w:t>
      </w:r>
      <w:r>
        <w:rPr>
          <w:rStyle w:val="FootnoteReference"/>
          <w:rFonts w:ascii="Times New Roman" w:eastAsia="Times New Roman" w:hAnsi="Times New Roman" w:cs="Times New Roman"/>
          <w:noProof/>
          <w:sz w:val="24"/>
          <w:szCs w:val="24"/>
          <w:lang w:eastAsia="en-GB"/>
        </w:rPr>
        <w:footnoteReference w:id="62"/>
      </w:r>
      <w:r>
        <w:rPr>
          <w:rFonts w:ascii="Times New Roman" w:hAnsi="Times New Roman"/>
          <w:noProof/>
          <w:sz w:val="24"/>
        </w:rPr>
        <w:t xml:space="preserve">, du soutien aux infrastructures de recherche axées sur la technologie et de la poursuite de l’intégration de la région dans l’espace européen de la recherche. </w:t>
      </w:r>
    </w:p>
    <w:p w14:paraId="28F4D46B" w14:textId="5CE3E5E3" w:rsidR="00C31D72" w:rsidRPr="00D05EA1" w:rsidRDefault="006755D9" w:rsidP="00352ED0">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Dans les pays du Partenariat oriental</w:t>
      </w:r>
      <w:r>
        <w:rPr>
          <w:rStyle w:val="FootnoteReference"/>
          <w:rFonts w:ascii="Times New Roman" w:eastAsia="Times New Roman" w:hAnsi="Times New Roman" w:cs="Times New Roman"/>
          <w:noProof/>
          <w:sz w:val="24"/>
          <w:szCs w:val="24"/>
        </w:rPr>
        <w:footnoteReference w:id="63"/>
      </w:r>
      <w:r>
        <w:rPr>
          <w:rFonts w:ascii="Times New Roman" w:hAnsi="Times New Roman"/>
          <w:noProof/>
          <w:sz w:val="24"/>
        </w:rPr>
        <w:t>, un suivi régulier de la mise en œuvre des cinq priorités en matière de R&amp;I définies dans le document de travail des services de la Commission de 2021</w:t>
      </w:r>
      <w:r>
        <w:rPr>
          <w:rStyle w:val="FootnoteReference"/>
          <w:rFonts w:ascii="Times New Roman" w:eastAsia="Calibri" w:hAnsi="Times New Roman" w:cs="Times New Roman"/>
          <w:noProof/>
          <w:sz w:val="24"/>
          <w:szCs w:val="24"/>
        </w:rPr>
        <w:footnoteReference w:id="64"/>
      </w:r>
      <w:r>
        <w:rPr>
          <w:rFonts w:ascii="Times New Roman" w:hAnsi="Times New Roman"/>
          <w:noProof/>
          <w:sz w:val="24"/>
        </w:rPr>
        <w:t xml:space="preserve"> a été mis en place avec le soutien de l’UE. Le mécanisme de soutien aux politiques d’Horizon a permis d’apporter un soutien spécialisé aux autorités moldaves</w:t>
      </w:r>
      <w:r>
        <w:rPr>
          <w:rStyle w:val="FootnoteReference"/>
          <w:rFonts w:ascii="Times New Roman" w:eastAsia="Calibri" w:hAnsi="Times New Roman" w:cs="Times New Roman"/>
          <w:noProof/>
          <w:sz w:val="24"/>
          <w:szCs w:val="24"/>
        </w:rPr>
        <w:footnoteReference w:id="65"/>
      </w:r>
      <w:r>
        <w:rPr>
          <w:rFonts w:ascii="Times New Roman" w:hAnsi="Times New Roman"/>
          <w:noProof/>
          <w:sz w:val="24"/>
        </w:rPr>
        <w:t xml:space="preserve"> et ukrainiennes</w:t>
      </w:r>
      <w:r>
        <w:rPr>
          <w:rStyle w:val="FootnoteReference"/>
          <w:rFonts w:ascii="Times New Roman" w:eastAsia="Calibri" w:hAnsi="Times New Roman" w:cs="Times New Roman"/>
          <w:noProof/>
          <w:sz w:val="24"/>
          <w:szCs w:val="24"/>
        </w:rPr>
        <w:footnoteReference w:id="66"/>
      </w:r>
      <w:r>
        <w:rPr>
          <w:rFonts w:ascii="Times New Roman" w:hAnsi="Times New Roman"/>
          <w:noProof/>
          <w:sz w:val="24"/>
        </w:rPr>
        <w:t xml:space="preserve"> pour réformer leur politique de R&amp;I. Malgré la situation géopolitique et économique difficile dans la région, les cinq pays de ce partenariat sont parvenus à mettre en œuvre des réformes gouvernementales, à adopter et à mettre en œuvre des stratégies nationales dans le domaine de la science et à participer davantage au programme Horizon Europe qu’ils ne l’avaient fait dans le cadre d’Horizon 2020. </w:t>
      </w:r>
    </w:p>
    <w:p w14:paraId="72A947EA" w14:textId="4DF2CF6C" w:rsidR="00D27D0E" w:rsidRDefault="00261B16" w:rsidP="00C33703">
      <w:pPr>
        <w:spacing w:after="120" w:line="276" w:lineRule="auto"/>
        <w:jc w:val="both"/>
        <w:rPr>
          <w:rFonts w:ascii="Times New Roman" w:hAnsi="Times New Roman" w:cs="Times New Roman"/>
          <w:noProof/>
          <w:sz w:val="24"/>
          <w:szCs w:val="24"/>
        </w:rPr>
      </w:pPr>
      <w:r>
        <w:rPr>
          <w:rFonts w:ascii="Times New Roman" w:hAnsi="Times New Roman"/>
          <w:noProof/>
          <w:sz w:val="24"/>
        </w:rPr>
        <w:t>La Commission s’est concentrée sur la mise en place de mesures de soutien spécifiques en faveur de l’Ukraine</w:t>
      </w:r>
      <w:r>
        <w:rPr>
          <w:rStyle w:val="FootnoteReference"/>
          <w:rFonts w:ascii="Times New Roman" w:hAnsi="Times New Roman" w:cs="Times New Roman"/>
          <w:noProof/>
          <w:sz w:val="24"/>
          <w:szCs w:val="24"/>
        </w:rPr>
        <w:footnoteReference w:id="67"/>
      </w:r>
      <w:r>
        <w:rPr>
          <w:rFonts w:ascii="Times New Roman" w:hAnsi="Times New Roman"/>
          <w:noProof/>
          <w:sz w:val="24"/>
        </w:rPr>
        <w:t xml:space="preserve"> et a facilité sa participation au programme Horizon Europe et aux appels à propositions du programme de recherche et de formation de la Communauté européenne de l’énergie atomique (Euratom). Par exemple, un programme de bourses spécifique, baptisé MSCA4Ukraine, aide les chercheurs ukrainiens déplacés à poursuivre leurs activités de recherche dans l’UE. Conformément au communiqué des ministres de la science et de la technologie du G7 publié en 2024, l’UE a mis en place une coalition internationale pour la recherche, la science et l’innovation en Ukraine, en collaboration avec l’Ukraine, la présidence italienne du G7 et l’UNESCO, afin d’exploiter le potentiel de la R&amp;I dans le cadre du redressement et de la reconstruction de l’Ukraine. Ce même objectif, appliqué à une reprise axée sur le climat dans des environnements urbains, est poursuivi par la nouvelle initiative SUN4Ukraine</w:t>
      </w:r>
      <w:r>
        <w:rPr>
          <w:rStyle w:val="FootnoteReference"/>
          <w:rFonts w:ascii="Times New Roman" w:hAnsi="Times New Roman" w:cs="Times New Roman"/>
          <w:noProof/>
          <w:sz w:val="24"/>
          <w:szCs w:val="24"/>
        </w:rPr>
        <w:footnoteReference w:id="68"/>
      </w:r>
      <w:r>
        <w:rPr>
          <w:rFonts w:ascii="Times New Roman" w:hAnsi="Times New Roman"/>
          <w:noProof/>
          <w:sz w:val="24"/>
        </w:rPr>
        <w:t xml:space="preserve"> de la mission européenne sur les villes intelligentes et neutres pour le climat.</w:t>
      </w:r>
    </w:p>
    <w:p w14:paraId="6DF517F9" w14:textId="11787191" w:rsidR="002474FD" w:rsidRPr="005E06B7" w:rsidRDefault="000352E8" w:rsidP="00736526">
      <w:pPr>
        <w:spacing w:after="120" w:line="276" w:lineRule="auto"/>
        <w:jc w:val="both"/>
        <w:rPr>
          <w:rFonts w:ascii="Times New Roman" w:hAnsi="Times New Roman" w:cs="Times New Roman"/>
          <w:noProof/>
          <w:sz w:val="24"/>
          <w:szCs w:val="24"/>
        </w:rPr>
      </w:pPr>
      <w:r>
        <w:rPr>
          <w:rFonts w:ascii="Times New Roman" w:hAnsi="Times New Roman"/>
          <w:noProof/>
          <w:sz w:val="24"/>
        </w:rPr>
        <w:t>En 2022, l’Union pour la Méditerranée (UpM) et l’UE ont élaboré et adopté au niveau ministériel des feuilles de route pour la recherche et l’innovation relatives à la santé, au changement climatique et aux énergies renouvelables fixant des priorités en matière de collaboration et de développement économique. L’initiative méditerranéenne, lancée dans le cadre du programme de travail 2023-2024 d’Horizon Europe et poursuivie en 2025, contribue à la mise en œuvre de ces feuilles de route et a accru la recherche collaborative entre l’UE et les pays de la Méditerranée d’environ 60 %</w:t>
      </w:r>
      <w:r>
        <w:rPr>
          <w:rFonts w:ascii="Times New Roman" w:eastAsia="Times New Roman" w:hAnsi="Times New Roman" w:cs="Times New Roman"/>
          <w:noProof/>
          <w:sz w:val="24"/>
          <w:szCs w:val="24"/>
          <w:vertAlign w:val="superscript"/>
          <w:lang w:eastAsia="en-GB"/>
        </w:rPr>
        <w:footnoteReference w:id="69"/>
      </w:r>
      <w:r>
        <w:rPr>
          <w:rFonts w:ascii="Times New Roman" w:hAnsi="Times New Roman"/>
          <w:noProof/>
          <w:sz w:val="24"/>
        </w:rPr>
        <w:t>. Le partenariat en matière de recherche et d’innovation dans la zone méditerranéenne (PRIMA)</w:t>
      </w:r>
      <w:r>
        <w:rPr>
          <w:rStyle w:val="FootnoteReference"/>
          <w:rFonts w:ascii="Times New Roman" w:hAnsi="Times New Roman" w:cs="Times New Roman"/>
          <w:noProof/>
          <w:sz w:val="24"/>
          <w:szCs w:val="24"/>
        </w:rPr>
        <w:footnoteReference w:id="70"/>
      </w:r>
      <w:r>
        <w:rPr>
          <w:rFonts w:ascii="Times New Roman" w:hAnsi="Times New Roman"/>
          <w:noProof/>
          <w:sz w:val="24"/>
        </w:rPr>
        <w:t>, qui a été prolongé en avril 2024 pour trois années supplémentaires (2025-2027), contribue également à ces efforts dans les domaines de l’agriculture et de l’eau. Le pacte pour la Méditerranée</w:t>
      </w:r>
      <w:r>
        <w:rPr>
          <w:rStyle w:val="FootnoteReference"/>
          <w:rFonts w:ascii="Times New Roman" w:hAnsi="Times New Roman" w:cs="Times New Roman"/>
          <w:noProof/>
          <w:sz w:val="24"/>
          <w:szCs w:val="24"/>
        </w:rPr>
        <w:footnoteReference w:id="71"/>
      </w:r>
      <w:r>
        <w:rPr>
          <w:rFonts w:ascii="Times New Roman" w:hAnsi="Times New Roman"/>
          <w:noProof/>
          <w:sz w:val="24"/>
        </w:rPr>
        <w:t>, une nouvelle initiative phare de l’UE visant à renforcer la coopération avec ses partenaires du sud de la Méditerranée adoptée en octobre 2025, est l’occasion de redéfinir la collaboration scientifique en mettant en place des pôles méditerranéens communs de R&amp;I, en favorisant la mobilité des chercheurs, en soutenant la création d’un centre de diplomatie scientifique et en faisant progresser les actions en faveur de l’économie bleue. Cette initiative a fait suite à l’adoption, en mai 2025, de la communication conjointe intitulée «L’approche stratégique de l’Union européenne à l’égard de la région de la mer Noire»</w:t>
      </w:r>
      <w:r>
        <w:rPr>
          <w:rStyle w:val="FootnoteReference"/>
          <w:rFonts w:ascii="Times New Roman" w:hAnsi="Times New Roman" w:cs="Times New Roman"/>
          <w:noProof/>
          <w:sz w:val="24"/>
          <w:szCs w:val="24"/>
        </w:rPr>
        <w:footnoteReference w:id="72"/>
      </w:r>
      <w:r>
        <w:rPr>
          <w:rFonts w:ascii="Times New Roman" w:hAnsi="Times New Roman"/>
          <w:noProof/>
          <w:sz w:val="24"/>
        </w:rPr>
        <w:t>.</w:t>
      </w:r>
    </w:p>
    <w:p w14:paraId="73F61E37" w14:textId="74828DB5" w:rsidR="00DD4D13" w:rsidRPr="00D05EA1" w:rsidRDefault="00DD4D13" w:rsidP="00C33703">
      <w:pPr>
        <w:pStyle w:val="ListParagraph"/>
        <w:numPr>
          <w:ilvl w:val="1"/>
          <w:numId w:val="11"/>
        </w:numPr>
        <w:spacing w:after="120" w:line="276" w:lineRule="auto"/>
        <w:ind w:left="788" w:hanging="431"/>
        <w:jc w:val="both"/>
        <w:rPr>
          <w:b/>
          <w:noProof/>
        </w:rPr>
      </w:pPr>
      <w:r>
        <w:rPr>
          <w:b/>
          <w:noProof/>
        </w:rPr>
        <w:t>Renforcer la coopération avec les pays industrialisés non membres de l’UE et les économies émergentes</w:t>
      </w:r>
    </w:p>
    <w:p w14:paraId="216C2103" w14:textId="0EA6EC43" w:rsidR="000B008E" w:rsidRPr="0063489B" w:rsidRDefault="00DB25EF" w:rsidP="000B008E">
      <w:pPr>
        <w:spacing w:after="120" w:line="276" w:lineRule="auto"/>
        <w:jc w:val="both"/>
        <w:rPr>
          <w:rFonts w:ascii="Times New Roman" w:hAnsi="Times New Roman" w:cs="Times New Roman"/>
          <w:noProof/>
          <w:sz w:val="24"/>
          <w:szCs w:val="24"/>
        </w:rPr>
      </w:pPr>
      <w:r>
        <w:rPr>
          <w:rFonts w:ascii="Times New Roman" w:hAnsi="Times New Roman"/>
          <w:noProof/>
          <w:sz w:val="24"/>
        </w:rPr>
        <w:t>Jusqu’en janvier 2025, les relations avec les États-Unis en matière de R&amp;I ont évolué positivement et ont été marquées par une coopération accrue dans divers domaines, le renouvellement de l’accord de coopération scientifique et technologique entre l’UE et les États-Unis, la signature d’une déclaration commune établissant un programme global de coopération en matière de R&amp;I et une forte participation des entités américaines à Horizon Europe.</w:t>
      </w:r>
      <w:r>
        <w:rPr>
          <w:rFonts w:ascii="Times New Roman" w:hAnsi="Times New Roman"/>
          <w:i/>
          <w:noProof/>
          <w:sz w:val="24"/>
        </w:rPr>
        <w:t xml:space="preserve"> </w:t>
      </w:r>
      <w:r>
        <w:rPr>
          <w:rFonts w:ascii="Times New Roman" w:hAnsi="Times New Roman"/>
          <w:noProof/>
          <w:sz w:val="24"/>
        </w:rPr>
        <w:t>Le changement d’orientation de la nouvelle administration américaine en matière de politique scientifique, qui consiste à réduire la priorité accordée aux dépenses de recherche dans les domaines prioritaires de l’UE tels que le climat, l’environnement, l’énergie propre ou les maladies infectieuses et à se désengager de plusieurs initiatives multilatérales de R&amp;I, a mis à rude épreuve le dialogue et la coopération transatlantiques en matière de R&amp;I. Afin de protéger les intérêts de l’UE, des actions ont été élaborées dans le cadre d’Horizon Europe pour renforcer le soutien de l’UE aux plateformes de coopération multilatérale, notamment dans les domaines de l’observation des océans, du climat et de la souveraineté des données. En ce qui concerne les ensembles de données, ces actions comprennent i) l’élaboration de cadres de souveraineté des données, ii) la mise en œuvre d’un solide cadre de gestion des risques pour l’accès aux données critiques, et iii) la mobilisation de financements nationaux pour soutenir l’accès à des services numériques coûteux. Étant donné que les États-Unis restent un partenaire naturel de l’UE en matière de R&amp;I, l’UE s’efforce de maintenir ouverts les canaux de communication avec ses interlocuteurs fédéraux américains dans ce domaine, en vue de réévaluer les priorités communes et de relancer une coopération dynamique.</w:t>
      </w:r>
    </w:p>
    <w:p w14:paraId="3A299EFE" w14:textId="74E706C7" w:rsidR="00A1674E" w:rsidRPr="00D05EA1" w:rsidRDefault="006A2B06" w:rsidP="0047717E">
      <w:pPr>
        <w:spacing w:after="120" w:line="276" w:lineRule="auto"/>
        <w:jc w:val="both"/>
        <w:rPr>
          <w:rFonts w:ascii="Times New Roman" w:eastAsiaTheme="minorEastAsia" w:hAnsi="Times New Roman" w:cs="Times New Roman"/>
          <w:noProof/>
          <w:sz w:val="24"/>
          <w:szCs w:val="24"/>
        </w:rPr>
      </w:pPr>
      <w:r>
        <w:rPr>
          <w:rFonts w:ascii="Times New Roman" w:hAnsi="Times New Roman"/>
          <w:noProof/>
          <w:sz w:val="24"/>
        </w:rPr>
        <w:t>En ce qui concerne la Chine, les discussions relatives à la feuille de route commune pour l’avenir de la coopération entre l’Union européenne et la Chine dans les domaines de la science, de la technologie et de l’innovation n’ont toujours pas progressé, en particulier en ce qui concerne les conditions-cadres liées à l’innovation</w:t>
      </w:r>
      <w:r>
        <w:rPr>
          <w:rStyle w:val="FootnoteReference"/>
          <w:rFonts w:ascii="Times New Roman" w:hAnsi="Times New Roman" w:cs="Times New Roman"/>
          <w:noProof/>
          <w:sz w:val="24"/>
          <w:szCs w:val="24"/>
        </w:rPr>
        <w:footnoteReference w:id="73"/>
      </w:r>
      <w:r>
        <w:rPr>
          <w:rFonts w:ascii="Times New Roman" w:hAnsi="Times New Roman"/>
          <w:noProof/>
          <w:sz w:val="24"/>
        </w:rPr>
        <w:t>, alors que des progrès considérables ont été accomplis en ce qui concerne les conditions-cadres de la coopération en matière de recherche</w:t>
      </w:r>
      <w:r>
        <w:rPr>
          <w:rStyle w:val="FootnoteReference"/>
          <w:rFonts w:ascii="Times New Roman" w:hAnsi="Times New Roman" w:cs="Times New Roman"/>
          <w:noProof/>
          <w:sz w:val="24"/>
          <w:szCs w:val="24"/>
        </w:rPr>
        <w:footnoteReference w:id="74"/>
      </w:r>
      <w:r>
        <w:rPr>
          <w:rFonts w:ascii="Times New Roman" w:hAnsi="Times New Roman"/>
          <w:noProof/>
          <w:sz w:val="24"/>
        </w:rPr>
        <w:t>. La coopération UE-Chine en matière de R&amp;I a concerné essentiellement deux initiatives phares de recherche, l’une sur l’alimentation, l’agriculture et les biosolutions, et l’autre sur le changement climatique et la biodiversité, la collaboration dans ces domaines étant bénéfique aux deux parties</w:t>
      </w:r>
      <w:r>
        <w:rPr>
          <w:rStyle w:val="FootnoteReference"/>
          <w:rFonts w:ascii="Times New Roman" w:hAnsi="Times New Roman" w:cs="Times New Roman"/>
          <w:noProof/>
          <w:sz w:val="24"/>
          <w:szCs w:val="24"/>
        </w:rPr>
        <w:footnoteReference w:id="75"/>
      </w:r>
      <w:r>
        <w:rPr>
          <w:rFonts w:ascii="Times New Roman" w:hAnsi="Times New Roman"/>
          <w:noProof/>
          <w:sz w:val="24"/>
        </w:rPr>
        <w:t>. Cependant, compte tenu de ce qui précède et des vives préoccupations concernant l’utilisation de la propriété intellectuelle créée dans le cadre d’Horizon Europe, les entités chinoises ne peuvent plus participer à aucune des activités d’innovation du programme</w:t>
      </w:r>
      <w:r>
        <w:rPr>
          <w:rStyle w:val="FootnoteReference"/>
          <w:rFonts w:ascii="Times New Roman" w:hAnsi="Times New Roman" w:cs="Times New Roman"/>
          <w:noProof/>
          <w:sz w:val="24"/>
          <w:szCs w:val="24"/>
        </w:rPr>
        <w:footnoteReference w:id="76"/>
      </w:r>
      <w:r>
        <w:rPr>
          <w:rFonts w:ascii="Times New Roman" w:hAnsi="Times New Roman"/>
          <w:noProof/>
          <w:sz w:val="24"/>
        </w:rPr>
        <w:t xml:space="preserve">. La Commission a intensifié ses efforts de coordination avec les États membres afin d’harmoniser les approches au moyen du réseau européen de connaissances sur la Chine en matière de R&amp;I (EU-KNOC) et a investi plus de 13 millions d’EUR dans l’accroissement des connaissances sur la Chine contemporaine dans des domaines comme la politique, la société, l’économie, le commerce, la science, la technologie et le climat. </w:t>
      </w:r>
    </w:p>
    <w:p w14:paraId="5C6315C8" w14:textId="7755A43B" w:rsidR="00BF2ED5" w:rsidRPr="00797C84" w:rsidRDefault="000427AB"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Compte tenu des capacités extrêmement solides de la République de Corée dans les domaines de la science, de la technologie et de l’innovation, son association à Horizon Europe en 2025 a ouvert une multitude de possibilités pour une coopération plus large et plus systématique avec l’UE en matière de R&amp;I dans des domaines, tels que les technologies numériques, les nanotechnologies ou la navigation par satellite ainsi que l’énergie propre, le climat, la recherche sur les océans et l’environnement, et la santé.</w:t>
      </w:r>
      <w:r w:rsidR="00AD1AC8">
        <w:rPr>
          <w:rFonts w:ascii="Times New Roman" w:hAnsi="Times New Roman"/>
          <w:noProof/>
          <w:sz w:val="24"/>
        </w:rPr>
        <w:t xml:space="preserve"> </w:t>
      </w:r>
      <w:r>
        <w:rPr>
          <w:rFonts w:ascii="Times New Roman" w:hAnsi="Times New Roman"/>
          <w:noProof/>
          <w:sz w:val="24"/>
        </w:rPr>
        <w:t xml:space="preserve">La même chose est attendue en ce qui concerne le Japon à la suite de l’issue positive des négociations sur sa participation aux programmes de l’Union et son association à Horizon Europe, en plus de la coopération en cours sur les matériaux avancés. L’association de la Nouvelle-Zélande à Horizon Europe s’est quant à elle traduite par un quasi triplement du nombre de subventions signées entre 2022 et 2024. </w:t>
      </w:r>
    </w:p>
    <w:p w14:paraId="54DA5A0D" w14:textId="402A214C" w:rsidR="5EFF531C" w:rsidRPr="00D05EA1" w:rsidRDefault="3EDC0907" w:rsidP="0047717E">
      <w:pPr>
        <w:shd w:val="clear" w:color="auto" w:fill="FFFFFF" w:themeFill="background1"/>
        <w:spacing w:after="12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Le 3 juillet 2024, l’accord associant le Canada au pilier II d’Horizon Europe a été signé, donnant aux organisations et chercheurs canadiens la possibilité de participer à cette partie du programme dans les mêmes conditions que leurs homologues européens.</w:t>
      </w:r>
      <w:r>
        <w:rPr>
          <w:rFonts w:ascii="Times New Roman" w:hAnsi="Times New Roman"/>
          <w:noProof/>
          <w:color w:val="000000" w:themeColor="text1"/>
          <w:sz w:val="24"/>
        </w:rPr>
        <w:t xml:space="preserve"> Cet accord s’est déjà traduit par plus de 100 participations canadiennes à des projets menés dans le cadre d’Horizon Europe. Ce chiffre devrait fortement augmenter, de nombreuses propositions de projets prévoyant la participation du Canada étant en cours d’évaluation ou dans la phase de préparation de la convention de subvention. </w:t>
      </w:r>
    </w:p>
    <w:p w14:paraId="69C5526F" w14:textId="6929E5EB" w:rsidR="006E6022" w:rsidRPr="005E06B7" w:rsidRDefault="3BD236A1"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La coopération avec l’Inde a pris de l’ampleur depuis le lancement du Conseil du commerce et des technologies (CCT) UE-Inde</w:t>
      </w:r>
      <w:r>
        <w:rPr>
          <w:rStyle w:val="FootnoteReference"/>
          <w:rFonts w:ascii="Times New Roman" w:hAnsi="Times New Roman" w:cs="Times New Roman"/>
          <w:noProof/>
          <w:sz w:val="24"/>
          <w:szCs w:val="24"/>
        </w:rPr>
        <w:footnoteReference w:id="77"/>
      </w:r>
      <w:r>
        <w:rPr>
          <w:rFonts w:ascii="Times New Roman" w:hAnsi="Times New Roman"/>
          <w:noProof/>
          <w:sz w:val="24"/>
        </w:rPr>
        <w:t>, dont les activités sont axées sur les technologies numériques et les technologies énergétiques propres. Lors de la deuxième réunion ministérielle du CCT qui s’est tenue à New Delhi en février 2025, il a été convenu de poursuivre la coopération dans le domaine de la technologie grâce à des investissements financiers conjoints dans la recherche collaborative sur la pollution marine, la transformation des déchets en hydrogène renouvelable et les technologies de recyclage des batteries pour les véhicules électriques. En outre, l’accent sera mis davantage sur le soutien de la collaboration entre les start-up indiennes et européennes. La communication conjointe sur un nouveau programme stratégique UE-Inde fait de la technologie et de l’innovation un pilier essentiel de la coopération future entre l’UE et l’Inde</w:t>
      </w:r>
      <w:r>
        <w:rPr>
          <w:rStyle w:val="FootnoteReference"/>
          <w:rFonts w:ascii="Times New Roman" w:hAnsi="Times New Roman" w:cs="Times New Roman"/>
          <w:noProof/>
          <w:sz w:val="24"/>
          <w:szCs w:val="24"/>
        </w:rPr>
        <w:footnoteReference w:id="78"/>
      </w:r>
      <w:r>
        <w:rPr>
          <w:rFonts w:ascii="Times New Roman" w:hAnsi="Times New Roman"/>
          <w:noProof/>
          <w:sz w:val="24"/>
        </w:rPr>
        <w:t>. L’accord bilatéral de coopération scientifique et technologique entre l’UE et l’Inde a également été renouvelé jusqu’en 2030.</w:t>
      </w:r>
    </w:p>
    <w:p w14:paraId="3752E774" w14:textId="7D1D3436" w:rsidR="00207482" w:rsidRDefault="00A75ACA" w:rsidP="0047717E">
      <w:pPr>
        <w:spacing w:after="120" w:line="276" w:lineRule="auto"/>
        <w:jc w:val="both"/>
        <w:rPr>
          <w:rFonts w:ascii="Times New Roman" w:hAnsi="Times New Roman" w:cs="Times New Roman"/>
          <w:noProof/>
          <w:sz w:val="24"/>
          <w:szCs w:val="24"/>
        </w:rPr>
      </w:pPr>
      <w:r>
        <w:rPr>
          <w:rFonts w:ascii="Times New Roman" w:hAnsi="Times New Roman"/>
          <w:noProof/>
          <w:sz w:val="24"/>
        </w:rPr>
        <w:t>Les relations avec le Brésil sont particulièrement solides dans le domaine des technologies de la transition écologique, telles que les bioraffineries intégrées et les technologies liées à l’énergie solaire, ainsi que dans les domaines de la biodiversité, de la recherche marine, des approches fondées sur les écosystèmes/la nature en ce qui concerne les villes durables, la durabilité et la santé. La Commission a contribué au programme de la présidence brésilienne du G20, en faisant en sorte de garantir l’adoption de la stratégie du G20 visant à promouvoir la coopération ouverte en matière d’innovation, des recommandations du G20 sur la diversité, l’équité, l’inclusion et l’accessibilité dans les domaines de la science, de la technologie et de l’innovation, ainsi que des dix principes directeurs de l’initiative mondiale sur la bioéconomie.</w:t>
      </w:r>
    </w:p>
    <w:p w14:paraId="755A0B5B" w14:textId="3351D411" w:rsidR="00AD1AC8" w:rsidRDefault="0098448A" w:rsidP="006D4CAA">
      <w:pPr>
        <w:spacing w:after="120" w:line="276" w:lineRule="auto"/>
        <w:jc w:val="both"/>
        <w:rPr>
          <w:rFonts w:ascii="Times New Roman" w:hAnsi="Times New Roman"/>
          <w:noProof/>
          <w:sz w:val="24"/>
        </w:rPr>
      </w:pPr>
      <w:r>
        <w:rPr>
          <w:rFonts w:ascii="Times New Roman" w:hAnsi="Times New Roman"/>
          <w:noProof/>
          <w:sz w:val="24"/>
        </w:rPr>
        <w:t>Le renforcement des relations entre l’UE et l’Afrique du Sud est illustré par les résultats du sommet de 2025 et le lancement du premier partenariat pour des échanges et des investissements propres, ainsi que par la participation exceptionnelle de l’Afrique du Sud à Horizon Europe, se classant en tête des pays africains tant en ce qui concerne le volume de subventions que le nombre de projets. L’Afrique du Sud joue un rôle de premier plan dans la mise en œuvre du programme d’innovation commun de l’Union africaine et de l’Union européenne en cofinançant plusieurs initiatives de coopération en matière de R&amp;I, comme le partenariat conjoint à long terme UA-UE pour la recherche et l’innovation dans le domaine des énergies renouvelables. L’UE a travaillé en collaboration très étroite avec la présidence sud-africaine du G20 en 2025, soutenant l’adoption des recommandations du G20 en faveur de l’engagement scientifique.</w:t>
      </w:r>
    </w:p>
    <w:p w14:paraId="65416884" w14:textId="77777777" w:rsidR="00AD1AC8" w:rsidRDefault="00AD1AC8">
      <w:pPr>
        <w:rPr>
          <w:rFonts w:ascii="Times New Roman" w:hAnsi="Times New Roman"/>
          <w:noProof/>
          <w:sz w:val="24"/>
        </w:rPr>
      </w:pPr>
      <w:r>
        <w:rPr>
          <w:rFonts w:ascii="Times New Roman" w:hAnsi="Times New Roman"/>
          <w:noProof/>
          <w:sz w:val="24"/>
        </w:rPr>
        <w:br w:type="page"/>
      </w:r>
    </w:p>
    <w:p w14:paraId="35418346" w14:textId="77777777" w:rsidR="00912308" w:rsidRPr="00D05EA1" w:rsidRDefault="000C598C" w:rsidP="00C33703">
      <w:pPr>
        <w:pStyle w:val="ListParagraph"/>
        <w:numPr>
          <w:ilvl w:val="1"/>
          <w:numId w:val="11"/>
        </w:numPr>
        <w:spacing w:after="120" w:line="276" w:lineRule="auto"/>
        <w:ind w:left="788" w:hanging="431"/>
        <w:jc w:val="both"/>
        <w:rPr>
          <w:b/>
          <w:noProof/>
          <w:szCs w:val="20"/>
        </w:rPr>
      </w:pPr>
      <w:r>
        <w:rPr>
          <w:b/>
          <w:noProof/>
        </w:rPr>
        <w:t>Approfondir les partenariats de l’UE avec l’Afrique, l’Amérique latine et les Caraïbes, et l’Asie du Sud-Est</w:t>
      </w:r>
    </w:p>
    <w:p w14:paraId="163CA523" w14:textId="19055D9D" w:rsidR="00FD656F" w:rsidRPr="00D05EA1" w:rsidRDefault="7E331096"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Commission a tenu son engagement de renforcer le soutien à la coopération en matière de R&amp;I avec l’Afrique, en élaborant le programme d’innovation de l’UA et de l’UE avec la Commission de l’Union africaine et ses États membres et en l’adoptant en 2023. </w:t>
      </w:r>
      <w:r>
        <w:rPr>
          <w:rFonts w:ascii="Times New Roman" w:hAnsi="Times New Roman"/>
          <w:noProof/>
          <w:color w:val="000000" w:themeColor="text1"/>
          <w:sz w:val="24"/>
        </w:rPr>
        <w:t>Le programme d’innovation UA-UE établit un nouveau cadre pour l’exploitation des résultats de la recherche mettant l’accent sur la santé publique et les transitions écologique et numérique afin de soutenir l’emploi et la croissance par le partage de technologies et de compétences</w:t>
      </w:r>
      <w:r>
        <w:rPr>
          <w:rStyle w:val="FootnoteReference"/>
          <w:rFonts w:ascii="Times New Roman" w:eastAsia="Times New Roman" w:hAnsi="Times New Roman" w:cs="Times New Roman"/>
          <w:noProof/>
          <w:sz w:val="24"/>
          <w:szCs w:val="24"/>
          <w:lang w:eastAsia="en-GB"/>
        </w:rPr>
        <w:footnoteReference w:id="79"/>
      </w:r>
      <w:r>
        <w:rPr>
          <w:rFonts w:ascii="Times New Roman" w:hAnsi="Times New Roman"/>
          <w:noProof/>
          <w:color w:val="000000" w:themeColor="text1"/>
          <w:sz w:val="24"/>
        </w:rPr>
        <w:t xml:space="preserve">. </w:t>
      </w:r>
      <w:r>
        <w:rPr>
          <w:rFonts w:ascii="Times New Roman" w:hAnsi="Times New Roman"/>
          <w:noProof/>
          <w:sz w:val="24"/>
        </w:rPr>
        <w:t>Les initiatives africaines dans le cadre d’Horizon Europe ont augmenté la collaboration entre les chercheurs des deux régions de 40 % par an en moyenne</w:t>
      </w:r>
      <w:r>
        <w:rPr>
          <w:rFonts w:ascii="Times New Roman" w:eastAsia="Times New Roman" w:hAnsi="Times New Roman" w:cs="Times New Roman"/>
          <w:noProof/>
          <w:sz w:val="24"/>
          <w:szCs w:val="24"/>
          <w:vertAlign w:val="superscript"/>
          <w:lang w:eastAsia="en-GB"/>
        </w:rPr>
        <w:footnoteReference w:id="80"/>
      </w:r>
      <w:r>
        <w:rPr>
          <w:rFonts w:ascii="Times New Roman" w:hAnsi="Times New Roman"/>
          <w:noProof/>
          <w:sz w:val="24"/>
        </w:rPr>
        <w:t>. Le partenariat UA-UE en matière de R&amp;I sur la sécurité alimentaire et nutritionnelle et l’agriculture durable réunit plus de 70 bailleurs de fonds en faveur de la recherche d’Afrique et d’Europe. Dans le cadre du paquet d’investissement «Global Gateway» Afrique-Europe, le «programme de partenariat spatial Afrique-UE» est soutenu par un investissement de 100 millions d’EUR; il vise à développer des services spatiaux favorisant en particulier l’adoption du programme Copernicus afin d’améliorer les systèmes d’alerte précoce en cas de phénomènes météorologiques dangereux et les connaissances sur le changement climatique, à renforcer la collaboration institutionnelle entre l’UE et l’Afrique et à soutenir les capacités de l’industrie spatiale. Le «programme des centres d’excellence régionaux pour la transition écologique», doté d’un budget de 80 millions d’EUR, a pour objectif de soutenir l’acquisition et la gestion des connaissances par l’amélioration de la production des données, de l’accès à celles-ci et de leur partage. Sur la base de la phase pilote de l’initiative africaine de recherche pour l’excellence scientifique mise en œuvre par l’Académie africaine des sciences, une aide similaire de 25 millions d’EUR a été annoncée pour une deuxième phase, suscitant des engagements supplémentaires de la part des États membres de l’UA. À l’occasion du 15</w:t>
      </w:r>
      <w:r>
        <w:rPr>
          <w:rFonts w:ascii="Times New Roman" w:hAnsi="Times New Roman"/>
          <w:noProof/>
          <w:sz w:val="24"/>
          <w:vertAlign w:val="superscript"/>
        </w:rPr>
        <w:t>e</w:t>
      </w:r>
      <w:r>
        <w:rPr>
          <w:rFonts w:ascii="Times New Roman" w:hAnsi="Times New Roman"/>
          <w:noProof/>
          <w:sz w:val="24"/>
        </w:rPr>
        <w:t xml:space="preserve"> anniversaire du dialogue politique de haut niveau UA-UE sur la science, la technologie et l’innovation, plusieurs événements ont été organisés en octobre 2025, notamment un atelier sur l’IA dans le domaine de la science dans le cadre des collaborations Afrique-Europe, le dialogue UA-UE sur la diplomatie scientifique, un salon de l’innovation organisé en partenariat avec l’Union pour la Méditerranée et la réunion UA-UE des hauts fonctionnaires en charge de la R&amp;I. </w:t>
      </w:r>
    </w:p>
    <w:p w14:paraId="62368C11" w14:textId="6423715A" w:rsidR="001B044A" w:rsidRPr="005E06B7" w:rsidRDefault="001B044A" w:rsidP="001B044A">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La coopération avec la Communauté des États latino-américains et des Caraïbes (CELAC) a pris un nouvel élan avec la première réunion ministérielle UE-CELAC sur la R&amp;I qui s’est tenue à Bruxelles en septembre 2025. Les ministres de l’UE et de la CELAC y ont approuvé une déclaration ministérielle et un nouveau programme de coopération UE-CELAC en matière de R&amp;I, établissant trois groupes de travail dans les domaines suivants: i) la santé, ii) le changement climatique, la viabilité environnementale et la transition énergétique, et iii) l’IA dans la science, en complément du groupe de travail existant sur les infrastructures de recherche. Chaque groupe élaborera des feuilles de route opérationnelles définissant les priorités, les activités et les résultats attendus de la coopération birégionale dans le domaine prioritaire en question. L’initiative de coopération en matière d’innovation entre l’UE et les États d’Amérique latine et des Caraïbes (ALC) a été lancée en octobre 2023 afin de créer et de rendre opérationnel un réseau d’incubateurs et d’accélérateurs de start-up existants, et de structurer la présence des États membres de l’UE dans le domaine de l’innovation dans la région ALC. Dans le cadre du programme d’investissement «Global Gateway», une action relative à l’algue sargasse a été lancée dans la région des Caraïbes, donnant ainsi une dimension de recherche et d’innovation à la coopération au développement de l’UE.</w:t>
      </w:r>
    </w:p>
    <w:p w14:paraId="06AA9427" w14:textId="42FBCFDE" w:rsidR="00815E22" w:rsidRPr="00955BBF" w:rsidRDefault="007828BB" w:rsidP="00815E22">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compétitivité et la sécurité de l’UE sont étroitement liées à </w:t>
      </w:r>
      <w:r>
        <w:rPr>
          <w:rFonts w:ascii="Times New Roman" w:hAnsi="Times New Roman"/>
          <w:noProof/>
          <w:color w:val="111111"/>
          <w:sz w:val="24"/>
        </w:rPr>
        <w:t>l’Association des nations de l’Asie du Sud-Est (ASEAN)</w:t>
      </w:r>
      <w:r>
        <w:rPr>
          <w:rFonts w:ascii="Times New Roman" w:hAnsi="Times New Roman"/>
          <w:noProof/>
          <w:sz w:val="24"/>
        </w:rPr>
        <w:t xml:space="preserve">, ce qui exige de l’UE qu’elle renforce sa coopération avec la région en matière de R&amp;I. La coopération porte essentiellement sur les technologies vertes, la transformation numérique, les innovations dans le domaine des soins de santé et le partage d’expériences en matière d’intégration régionale (infrastructures de recherche, mobilité des talents, transfert de technologies). Le dialogue ASEAN-UE sur la science, la technologie et l’innovation a recensé d’autres domaines de collaboration, à savoir l’innovation et les start-up, la diplomatie scientifique et l’égalité entre les hommes et les femmes dans la R&amp;I. </w:t>
      </w:r>
    </w:p>
    <w:p w14:paraId="0073EC56" w14:textId="77777777" w:rsidR="00C33703" w:rsidRPr="0017745C" w:rsidRDefault="00C33703" w:rsidP="0047717E">
      <w:pPr>
        <w:spacing w:after="120" w:line="276" w:lineRule="auto"/>
        <w:jc w:val="both"/>
        <w:rPr>
          <w:rFonts w:ascii="Times New Roman" w:eastAsia="Times New Roman" w:hAnsi="Times New Roman" w:cs="Times New Roman"/>
          <w:noProof/>
          <w:sz w:val="24"/>
          <w:szCs w:val="24"/>
          <w:lang w:val="fr-BE"/>
        </w:rPr>
      </w:pPr>
    </w:p>
    <w:p w14:paraId="6751E685" w14:textId="77777777" w:rsidR="00912308" w:rsidRPr="00D05EA1" w:rsidRDefault="00912308" w:rsidP="00C33703">
      <w:pPr>
        <w:pStyle w:val="ListParagraph"/>
        <w:numPr>
          <w:ilvl w:val="0"/>
          <w:numId w:val="11"/>
        </w:numPr>
        <w:spacing w:after="120" w:line="276" w:lineRule="auto"/>
        <w:ind w:left="357" w:hanging="357"/>
        <w:jc w:val="both"/>
        <w:rPr>
          <w:b/>
          <w:smallCaps/>
          <w:noProof/>
          <w:szCs w:val="20"/>
        </w:rPr>
      </w:pPr>
      <w:r>
        <w:rPr>
          <w:b/>
          <w:smallCaps/>
          <w:noProof/>
        </w:rPr>
        <w:t>Conclusions</w:t>
      </w:r>
    </w:p>
    <w:p w14:paraId="7D44BF00" w14:textId="056CC581" w:rsidR="008C7318" w:rsidRDefault="005E7E28" w:rsidP="00BD265A">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Depuis l’adoption de l’approche mondiale de la recherche et de l’innovation en 2021, des évolutions externes majeures et imprévues ont eu lieu, comme la guerre d’agression de la Russie contre l’Ukraine, l’escalade du conflit au Moyen-Orient, des changements fondamentaux dans les politiques des États-Unis en matière de science, de changement climatique, d’environnement ou de santé, ainsi que des bouleversements importants dans l’application de technologies innovantes, telles que l’IA. Ces évolutions ont de profondes répercussions sur le paysage mondial de la recherche et de l’innovation et exigent que l’UE se montre beaucoup plus déterminée à défendre ses intérêts politiques et économiques et à promouvoir ses valeurs à l’échelle mondiale. Être un phare de la liberté académique, de la liberté de la recherche scientifique et de l’égalité entre les hommes et les femmes est un aspect central dans l’ambition de l’UE d’attirer les meilleurs talents scientifiques, ambition soutenue par l’initiative «Choisir l’Europe pour la science».</w:t>
      </w:r>
    </w:p>
    <w:p w14:paraId="10CD327B" w14:textId="0DE9AFD8" w:rsidR="008D0453" w:rsidRPr="00F2630A" w:rsidRDefault="00496919" w:rsidP="008D0453">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L’UE a réagi à ces défis, par exemple en adoptant la recommandation du Conseil sur le renforcement de la sécurité de la recherche, en élaborant un cadre européen pour la diplomatie scientifique, en établissant le dialogue multilatéral sur les principes et les valeurs de la coopération internationale en matière de R&amp;I et en associant des partenaires mondiaux clés au programme Horizon Europe, tout en instaurant des conditions de concurrence équitables et une réciprocité, en particulier avec la Chine. Tout en maintenant son engagement en faveur du pacte vert pour l’Europe, l’UE a recentré ses priorités sur la transition vers une énergie propre et le renforcement de sa compétitivité, en mettant également l’accent sur la défense et les technologies à double usage.</w:t>
      </w:r>
    </w:p>
    <w:p w14:paraId="06B51116" w14:textId="7C5162F2" w:rsidR="008B424E" w:rsidRPr="004E6AC7" w:rsidRDefault="00CF2361" w:rsidP="0047717E">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Placer la recherche et l’innovation au cœur de la compétitivité de l’UE, c’est aussi les placer au cœur de son action extérieure. L’UE doit montrer l’exemple en ce qui concerne l’utilisation de la R&amp;I pour promouvoir la paix et le multilatéralisme et pour atteindre les objectifs de développement durable des Nations unies à l’horizon 2030, notamment en luttant contre le changement climatique et la perte de biodiversité. Dans ce nouveau contexte, les principes d’ouverture et de sécurité énoncés dans l’approche mondiale de la recherche et de l’innovation restent valables. Dans certains domaines, des évolutions et des ajustements supplémentaires sont nécessaires. Il s’agit notamment d’instaurer des conditions de concurrence équitables et une réciprocité dans la coopération internationale en matière de R&amp;I, en tenant compte des priorités thématiques, telles que la compétitivité et l’importance accrue accordée aux start-up et aux scale-up, ainsi que de l’évolution des priorités géographiques. Cela est essentiel pour garantir que l’UE défende ses intérêts et reste à l’avant-garde de la R&amp;I, tout en étant un partenaire fiable sur lequel le reste du monde peut compter.</w:t>
      </w:r>
    </w:p>
    <w:sectPr w:rsidR="008B424E" w:rsidRPr="004E6AC7" w:rsidSect="00C7070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A9D4A" w14:textId="77777777" w:rsidR="002148A5" w:rsidRDefault="002148A5" w:rsidP="00C7070C">
      <w:pPr>
        <w:spacing w:after="0" w:line="240" w:lineRule="auto"/>
      </w:pPr>
      <w:r>
        <w:separator/>
      </w:r>
    </w:p>
  </w:endnote>
  <w:endnote w:type="continuationSeparator" w:id="0">
    <w:p w14:paraId="41A537CE" w14:textId="77777777" w:rsidR="002148A5" w:rsidRDefault="002148A5" w:rsidP="00C7070C">
      <w:pPr>
        <w:spacing w:after="0" w:line="240" w:lineRule="auto"/>
      </w:pPr>
      <w:r>
        <w:continuationSeparator/>
      </w:r>
    </w:p>
  </w:endnote>
  <w:endnote w:type="continuationNotice" w:id="1">
    <w:p w14:paraId="03DFAEB5" w14:textId="77777777" w:rsidR="002148A5" w:rsidRDefault="002148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F0375" w14:textId="376E91D0" w:rsidR="00650C7D" w:rsidRPr="00650C7D" w:rsidRDefault="00650C7D" w:rsidP="00650C7D">
    <w:pPr>
      <w:pStyle w:val="FooterCoverPage"/>
      <w:rPr>
        <w:rFonts w:ascii="Arial" w:hAnsi="Arial" w:cs="Arial"/>
        <w:b/>
        <w:sz w:val="48"/>
      </w:rPr>
    </w:pPr>
    <w:r w:rsidRPr="00650C7D">
      <w:rPr>
        <w:rFonts w:ascii="Arial" w:hAnsi="Arial" w:cs="Arial"/>
        <w:b/>
        <w:sz w:val="48"/>
      </w:rPr>
      <w:t>FR</w:t>
    </w:r>
    <w:r w:rsidRPr="00650C7D">
      <w:rPr>
        <w:rFonts w:ascii="Arial" w:hAnsi="Arial" w:cs="Arial"/>
        <w:b/>
        <w:sz w:val="48"/>
      </w:rPr>
      <w:tab/>
    </w:r>
    <w:r w:rsidRPr="00650C7D">
      <w:rPr>
        <w:rFonts w:ascii="Arial" w:hAnsi="Arial" w:cs="Arial"/>
        <w:b/>
        <w:sz w:val="48"/>
      </w:rPr>
      <w:tab/>
    </w:r>
    <w:r w:rsidRPr="00650C7D">
      <w:tab/>
    </w:r>
    <w:r w:rsidRPr="00650C7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31293" w14:textId="3D8213BD" w:rsidR="00650C7D" w:rsidRPr="00650C7D" w:rsidRDefault="00650C7D" w:rsidP="00650C7D">
    <w:pPr>
      <w:pStyle w:val="FooterCoverPage"/>
      <w:rPr>
        <w:rFonts w:ascii="Arial" w:hAnsi="Arial" w:cs="Arial"/>
        <w:b/>
        <w:sz w:val="48"/>
      </w:rPr>
    </w:pPr>
    <w:r w:rsidRPr="00650C7D">
      <w:rPr>
        <w:rFonts w:ascii="Arial" w:hAnsi="Arial" w:cs="Arial"/>
        <w:b/>
        <w:sz w:val="48"/>
      </w:rPr>
      <w:t>FR</w:t>
    </w:r>
    <w:r w:rsidRPr="00650C7D">
      <w:rPr>
        <w:rFonts w:ascii="Arial" w:hAnsi="Arial" w:cs="Arial"/>
        <w:b/>
        <w:sz w:val="48"/>
      </w:rPr>
      <w:tab/>
    </w:r>
    <w:r w:rsidRPr="00650C7D">
      <w:rPr>
        <w:rFonts w:ascii="Arial" w:hAnsi="Arial" w:cs="Arial"/>
        <w:b/>
        <w:sz w:val="48"/>
      </w:rPr>
      <w:tab/>
    </w:r>
    <w:r w:rsidRPr="00650C7D">
      <w:tab/>
    </w:r>
    <w:r w:rsidRPr="00650C7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477AF" w14:textId="77777777" w:rsidR="00650C7D" w:rsidRPr="00650C7D" w:rsidRDefault="00650C7D" w:rsidP="00650C7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72DCC" w14:textId="77777777" w:rsidR="00287EB1" w:rsidRDefault="00287E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4AA31" w14:textId="0866623D" w:rsidR="00287EB1" w:rsidRPr="00504C3E" w:rsidRDefault="00287EB1">
    <w:pPr>
      <w:pStyle w:val="Footer"/>
      <w:jc w:val="center"/>
      <w:rPr>
        <w:rFonts w:ascii="Times New Roman" w:hAnsi="Times New Roman" w:cs="Times New Roman"/>
        <w:caps/>
        <w:noProof/>
        <w:color w:val="5B9BD5" w:themeColor="accent1"/>
      </w:rPr>
    </w:pPr>
    <w:r>
      <w:rPr>
        <w:rFonts w:ascii="Times New Roman" w:hAnsi="Times New Roman" w:cs="Times New Roman"/>
        <w:caps/>
        <w:color w:val="5B9BD5" w:themeColor="accent1"/>
      </w:rPr>
      <w:fldChar w:fldCharType="begin"/>
    </w:r>
    <w:r>
      <w:rPr>
        <w:rFonts w:ascii="Times New Roman" w:hAnsi="Times New Roman" w:cs="Times New Roman"/>
        <w:caps/>
        <w:color w:val="5B9BD5" w:themeColor="accent1"/>
      </w:rPr>
      <w:instrText xml:space="preserve"> PAGE   \* MERGEFORMAT </w:instrText>
    </w:r>
    <w:r>
      <w:rPr>
        <w:rFonts w:ascii="Times New Roman" w:hAnsi="Times New Roman" w:cs="Times New Roman"/>
        <w:caps/>
        <w:color w:val="5B9BD5" w:themeColor="accent1"/>
      </w:rPr>
      <w:fldChar w:fldCharType="separate"/>
    </w:r>
    <w:r w:rsidR="00650C7D">
      <w:rPr>
        <w:rFonts w:ascii="Times New Roman" w:hAnsi="Times New Roman" w:cs="Times New Roman"/>
        <w:caps/>
        <w:noProof/>
        <w:color w:val="5B9BD5" w:themeColor="accent1"/>
      </w:rPr>
      <w:t>1</w:t>
    </w:r>
    <w:r>
      <w:rPr>
        <w:rFonts w:ascii="Times New Roman" w:hAnsi="Times New Roman" w:cs="Times New Roman"/>
        <w:caps/>
        <w:color w:val="5B9BD5" w:themeColor="accent1"/>
      </w:rPr>
      <w:fldChar w:fldCharType="end"/>
    </w:r>
  </w:p>
  <w:p w14:paraId="0581D380" w14:textId="77777777" w:rsidR="00287EB1" w:rsidRDefault="00287E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4A49" w14:textId="77777777" w:rsidR="00287EB1" w:rsidRDefault="00287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77F8E" w14:textId="77777777" w:rsidR="002148A5" w:rsidRDefault="002148A5" w:rsidP="00C7070C">
      <w:pPr>
        <w:spacing w:after="0" w:line="240" w:lineRule="auto"/>
      </w:pPr>
      <w:r>
        <w:separator/>
      </w:r>
    </w:p>
  </w:footnote>
  <w:footnote w:type="continuationSeparator" w:id="0">
    <w:p w14:paraId="1587D1E8" w14:textId="77777777" w:rsidR="002148A5" w:rsidRDefault="002148A5" w:rsidP="00C7070C">
      <w:pPr>
        <w:spacing w:after="0" w:line="240" w:lineRule="auto"/>
      </w:pPr>
      <w:r>
        <w:continuationSeparator/>
      </w:r>
    </w:p>
  </w:footnote>
  <w:footnote w:type="continuationNotice" w:id="1">
    <w:p w14:paraId="21C8E63F" w14:textId="77777777" w:rsidR="002148A5" w:rsidRDefault="002148A5">
      <w:pPr>
        <w:spacing w:after="0" w:line="240" w:lineRule="auto"/>
      </w:pPr>
    </w:p>
  </w:footnote>
  <w:footnote w:id="2">
    <w:p w14:paraId="44688763" w14:textId="4FD35E3E" w:rsidR="00EF58D0" w:rsidRPr="0017745C" w:rsidRDefault="00EF58D0" w:rsidP="00EF58D0">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COM (2021) 252 final.</w:t>
      </w:r>
    </w:p>
  </w:footnote>
  <w:footnote w:id="3">
    <w:p w14:paraId="1D9F5571" w14:textId="0DE38701" w:rsidR="00503914" w:rsidRPr="0017745C" w:rsidRDefault="00503914">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1" w:history="1">
        <w:r w:rsidRPr="0017745C">
          <w:rPr>
            <w:rStyle w:val="Hyperlink"/>
            <w:rFonts w:ascii="Times New Roman" w:hAnsi="Times New Roman"/>
            <w:lang w:val="en-IE"/>
          </w:rPr>
          <w:t>https://commission.europa.eu/document/download/833e082a-0c39-4bc6-a119-e0760ebc7360_en?filename=mission-letter-zaharieva.pdf</w:t>
        </w:r>
      </w:hyperlink>
      <w:r w:rsidRPr="0017745C">
        <w:rPr>
          <w:lang w:val="en-IE"/>
        </w:rPr>
        <w:t>.</w:t>
      </w:r>
      <w:r w:rsidRPr="0017745C">
        <w:rPr>
          <w:rFonts w:ascii="Times New Roman" w:hAnsi="Times New Roman"/>
          <w:lang w:val="en-IE"/>
        </w:rPr>
        <w:t xml:space="preserve"> </w:t>
      </w:r>
    </w:p>
  </w:footnote>
  <w:footnote w:id="4">
    <w:p w14:paraId="580E96D5" w14:textId="7045F530" w:rsidR="00D666DE" w:rsidRPr="00563C3A" w:rsidRDefault="00D666DE"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Parmi les exemples figurent la stratégie européenne en matière de sécurité économique [JOIN (2023) 20 final], la recommandation du Conseil sur le renforcement de la sécurité de la recherche (C/2024/3510), la communication conjointe intitulée «</w:t>
      </w:r>
      <w:r>
        <w:rPr>
          <w:rFonts w:ascii="Times New Roman" w:hAnsi="Times New Roman"/>
          <w:i/>
          <w:iCs/>
        </w:rPr>
        <w:t>Renforcer la sécurité économique de l’UE</w:t>
      </w:r>
      <w:r>
        <w:rPr>
          <w:rFonts w:ascii="Times New Roman" w:hAnsi="Times New Roman"/>
        </w:rPr>
        <w:t>» [JOIN (2025) 977 final], la boussole pour la compétitivité [COM (2025) 30 final], la stratégie de l’UE en faveur des start-up et des scale-up [SWD (2025) 138 final], la stratégie européenne pour les infrastructures de recherche et de technologie [COM (2025) 497 final/2], la stratégie européenne relative à l’intelligence artificielle dans le domaine de la science [COM (2025) 724 final], le pacte pour une industrie propre [COM (2025) 85 final] et l’initiative «Choisir l’Europe» (</w:t>
      </w:r>
      <w:hyperlink r:id="rId2" w:history="1">
        <w:r>
          <w:rPr>
            <w:rStyle w:val="Hyperlink"/>
            <w:rFonts w:ascii="Times New Roman" w:hAnsi="Times New Roman"/>
          </w:rPr>
          <w:t>https://commission.europa.eu/topics/research-and-innovation/choose-europe_en</w:t>
        </w:r>
      </w:hyperlink>
      <w:r>
        <w:rPr>
          <w:rFonts w:ascii="Times New Roman" w:hAnsi="Times New Roman"/>
        </w:rPr>
        <w:t xml:space="preserve">). </w:t>
      </w:r>
    </w:p>
  </w:footnote>
  <w:footnote w:id="5">
    <w:p w14:paraId="791ECC69" w14:textId="24BC6174" w:rsidR="00EF58D0" w:rsidRPr="007A0BDD" w:rsidRDefault="00EF58D0" w:rsidP="00EF58D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12301/21 RECH 425.</w:t>
      </w:r>
    </w:p>
  </w:footnote>
  <w:footnote w:id="6">
    <w:p w14:paraId="5C925125" w14:textId="324C71BF" w:rsidR="00EF58D0" w:rsidRPr="00E95844" w:rsidRDefault="00EF58D0"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w:t>
      </w:r>
      <w:r>
        <w:rPr>
          <w:rFonts w:ascii="Times New Roman" w:hAnsi="Times New Roman"/>
          <w:i/>
        </w:rPr>
        <w:t>Much more than a market</w:t>
      </w:r>
      <w:r>
        <w:rPr>
          <w:rFonts w:ascii="Times New Roman" w:hAnsi="Times New Roman"/>
        </w:rPr>
        <w:t xml:space="preserve"> [Bien plus qu’un marché (le rapport Letta)], </w:t>
      </w:r>
      <w:r>
        <w:rPr>
          <w:rFonts w:ascii="Times New Roman" w:hAnsi="Times New Roman"/>
          <w:i/>
        </w:rPr>
        <w:t>The Future of European Competitiveness</w:t>
      </w:r>
      <w:r>
        <w:rPr>
          <w:rFonts w:ascii="Times New Roman" w:hAnsi="Times New Roman"/>
        </w:rPr>
        <w:t xml:space="preserve"> [L’avenir de la compétitivité européenne (le rapport Draghi)], </w:t>
      </w:r>
      <w:r>
        <w:rPr>
          <w:rFonts w:ascii="Times New Roman" w:hAnsi="Times New Roman"/>
          <w:i/>
        </w:rPr>
        <w:t>Safer Together – Strengthening Europe’s Civilian and Military Preparedness and Readiness</w:t>
      </w:r>
      <w:r>
        <w:rPr>
          <w:rFonts w:ascii="Times New Roman" w:hAnsi="Times New Roman"/>
        </w:rPr>
        <w:t xml:space="preserve"> [Plus en sécurité ensemble – Renforcer la préparation civile et militaire de l’Europe (le rapport Niinistö)], </w:t>
      </w:r>
      <w:r>
        <w:rPr>
          <w:rFonts w:ascii="Times New Roman" w:hAnsi="Times New Roman"/>
          <w:i/>
        </w:rPr>
        <w:t>Align, Act, Accelerate</w:t>
      </w:r>
      <w:r>
        <w:rPr>
          <w:rFonts w:ascii="Times New Roman" w:hAnsi="Times New Roman"/>
        </w:rPr>
        <w:t xml:space="preserve"> [Aligner, agir, accélérer (le rapport Heitor)].</w:t>
      </w:r>
    </w:p>
  </w:footnote>
  <w:footnote w:id="7">
    <w:p w14:paraId="6064F767" w14:textId="39B47D9C" w:rsidR="00864467" w:rsidRPr="005F69F4" w:rsidRDefault="00864467" w:rsidP="0086446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3" w:history="1">
        <w:r>
          <w:rPr>
            <w:rStyle w:val="Hyperlink"/>
            <w:rFonts w:ascii="Times New Roman" w:hAnsi="Times New Roman"/>
          </w:rPr>
          <w:t>https://research-and-innovation.ec.europa.eu/document/download/94d6bb42-1fe7-478c-b6b4-d0be4dfb0204_en?filename=brussels-ministerial-statement-2024-02.pdf</w:t>
        </w:r>
      </w:hyperlink>
      <w:r>
        <w:rPr>
          <w:rFonts w:ascii="Times New Roman" w:hAnsi="Times New Roman"/>
        </w:rPr>
        <w:t>. La République de Turquie a approuvé la déclaration ministérielle sans l’annexe.</w:t>
      </w:r>
    </w:p>
  </w:footnote>
  <w:footnote w:id="8">
    <w:p w14:paraId="169C7F36" w14:textId="51D41FCF" w:rsidR="00CB1B78" w:rsidRPr="003B1FF3" w:rsidRDefault="00CB1B78" w:rsidP="00CB1B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12301/21 RECH 425.</w:t>
      </w:r>
    </w:p>
  </w:footnote>
  <w:footnote w:id="9">
    <w:p w14:paraId="0CC8FF8E" w14:textId="77777777" w:rsidR="00CB1B78" w:rsidRPr="00BA1BA3" w:rsidRDefault="00CB1B78" w:rsidP="00CB1B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https://research-and-innovation.ec.europa.eu/news/all-research-and-innovation-news/launch-eu-science-diplomacy-working-groups-results-call-expressions-interest-published-2023-12-06_en</w:t>
        </w:r>
      </w:hyperlink>
      <w:r>
        <w:t>.</w:t>
      </w:r>
      <w:r>
        <w:rPr>
          <w:rFonts w:ascii="Times New Roman" w:hAnsi="Times New Roman"/>
        </w:rPr>
        <w:t xml:space="preserve"> </w:t>
      </w:r>
    </w:p>
  </w:footnote>
  <w:footnote w:id="10">
    <w:p w14:paraId="670B44C8" w14:textId="77777777" w:rsidR="00847876" w:rsidRPr="00AC2FD6" w:rsidRDefault="00847876" w:rsidP="008478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https://research-and-innovation.ec.europa.eu/document/download/0841de12-0dd2-4459-b59c-050943c04acd_en</w:t>
        </w:r>
      </w:hyperlink>
      <w:r>
        <w:t>.</w:t>
      </w:r>
      <w:r>
        <w:rPr>
          <w:rFonts w:ascii="Times New Roman" w:hAnsi="Times New Roman"/>
        </w:rPr>
        <w:t xml:space="preserve"> </w:t>
      </w:r>
    </w:p>
  </w:footnote>
  <w:footnote w:id="11">
    <w:p w14:paraId="4387205C" w14:textId="77777777" w:rsidR="00CB1B78" w:rsidRPr="00AC2FD6" w:rsidRDefault="00CB1B78" w:rsidP="00CB1B7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https://eu-science-diplomacy.service-facility.eu/</w:t>
        </w:r>
      </w:hyperlink>
      <w:r>
        <w:t>.</w:t>
      </w:r>
      <w:r>
        <w:rPr>
          <w:rFonts w:ascii="Times New Roman" w:hAnsi="Times New Roman"/>
        </w:rPr>
        <w:t xml:space="preserve"> </w:t>
      </w:r>
    </w:p>
  </w:footnote>
  <w:footnote w:id="12">
    <w:p w14:paraId="5812D45B" w14:textId="6566986E" w:rsidR="00500982" w:rsidRPr="00563C3A" w:rsidRDefault="0050098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rPr>
          <w:t>https://www.science-diplomacy.eu/</w:t>
        </w:r>
      </w:hyperlink>
      <w:r>
        <w:t>.</w:t>
      </w:r>
      <w:r>
        <w:rPr>
          <w:rFonts w:ascii="Times New Roman" w:hAnsi="Times New Roman"/>
        </w:rPr>
        <w:t xml:space="preserve"> </w:t>
      </w:r>
    </w:p>
  </w:footnote>
  <w:footnote w:id="13">
    <w:p w14:paraId="18A83C0B" w14:textId="348AF333" w:rsidR="00973825" w:rsidRPr="00AC2406" w:rsidRDefault="00973825" w:rsidP="0097382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https://legalinstruments.oecd.org/fr/instruments/OECD-LEGAL-0501</w:t>
        </w:r>
      </w:hyperlink>
      <w:r>
        <w:rPr>
          <w:rFonts w:ascii="Times New Roman" w:hAnsi="Times New Roman"/>
        </w:rPr>
        <w:t xml:space="preserve">. </w:t>
      </w:r>
    </w:p>
  </w:footnote>
  <w:footnote w:id="14">
    <w:p w14:paraId="0C2C3733" w14:textId="77777777" w:rsidR="003434A4" w:rsidRPr="00F853D1" w:rsidRDefault="003434A4" w:rsidP="003434A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https://saferesearchers.eu/</w:t>
        </w:r>
      </w:hyperlink>
      <w:r>
        <w:t>.</w:t>
      </w:r>
      <w:r>
        <w:rPr>
          <w:rFonts w:ascii="Times New Roman" w:hAnsi="Times New Roman"/>
        </w:rPr>
        <w:t xml:space="preserve"> </w:t>
      </w:r>
    </w:p>
  </w:footnote>
  <w:footnote w:id="15">
    <w:p w14:paraId="0CE657DD" w14:textId="77777777" w:rsidR="00F53ED3" w:rsidRPr="00BF0260" w:rsidRDefault="00F53ED3" w:rsidP="00F53E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https://op.europa.eu/en/publication-detail/-/publication/0ad627da-a7ed-11f0-a7c5-01aa75ed71a1/language-en</w:t>
        </w:r>
      </w:hyperlink>
      <w:r>
        <w:t>.</w:t>
      </w:r>
    </w:p>
  </w:footnote>
  <w:footnote w:id="16">
    <w:p w14:paraId="1C1F5B47" w14:textId="0B994265" w:rsidR="00B73B31" w:rsidRPr="00AC2406" w:rsidRDefault="00B73B3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https://allea.org/code-of-conduct/</w:t>
        </w:r>
      </w:hyperlink>
      <w:r>
        <w:t>.</w:t>
      </w:r>
      <w:r>
        <w:rPr>
          <w:rFonts w:ascii="Times New Roman" w:hAnsi="Times New Roman"/>
        </w:rPr>
        <w:t xml:space="preserve"> </w:t>
      </w:r>
    </w:p>
  </w:footnote>
  <w:footnote w:id="17">
    <w:p w14:paraId="641EDD57" w14:textId="2FE19AFC" w:rsidR="00B110D4" w:rsidRPr="00AC2406" w:rsidRDefault="00B110D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https://www.globalcodeofconduct.org/</w:t>
        </w:r>
      </w:hyperlink>
      <w:r>
        <w:t>.</w:t>
      </w:r>
      <w:r>
        <w:rPr>
          <w:rFonts w:ascii="Times New Roman" w:hAnsi="Times New Roman"/>
        </w:rPr>
        <w:t xml:space="preserve"> </w:t>
      </w:r>
    </w:p>
  </w:footnote>
  <w:footnote w:id="18">
    <w:p w14:paraId="06C1AB6E" w14:textId="669D53FA" w:rsidR="007C3E38" w:rsidRPr="003B1FF3" w:rsidRDefault="007C3E3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https://www.inserm.fr/ethique/volrethics/</w:t>
        </w:r>
      </w:hyperlink>
      <w:r>
        <w:t>.</w:t>
      </w:r>
      <w:r>
        <w:rPr>
          <w:rFonts w:ascii="Times New Roman" w:hAnsi="Times New Roman"/>
        </w:rPr>
        <w:t xml:space="preserve"> </w:t>
      </w:r>
    </w:p>
  </w:footnote>
  <w:footnote w:id="19">
    <w:p w14:paraId="047DE2B1" w14:textId="6CEF178C" w:rsidR="00C3113A" w:rsidRPr="00C3113A" w:rsidRDefault="00C3113A">
      <w:pPr>
        <w:pStyle w:val="FootnoteText"/>
      </w:pPr>
      <w:r>
        <w:rPr>
          <w:rStyle w:val="FootnoteReference"/>
          <w:rFonts w:ascii="Times New Roman" w:hAnsi="Times New Roman" w:cs="Times New Roman"/>
        </w:rPr>
        <w:footnoteRef/>
      </w:r>
      <w:r>
        <w:rPr>
          <w:rFonts w:ascii="Times New Roman" w:hAnsi="Times New Roman"/>
        </w:rPr>
        <w:t xml:space="preserve"> Intégration à compter des appels à propositions avec des échéances à partir de 2022.</w:t>
      </w:r>
    </w:p>
  </w:footnote>
  <w:footnote w:id="20">
    <w:p w14:paraId="50645AC7" w14:textId="153DD834" w:rsidR="000C6586" w:rsidRPr="00955BBF" w:rsidRDefault="000C658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Chiffres issus du tableau de bord Horizon Europe le 2 juillet 2025.</w:t>
      </w:r>
    </w:p>
  </w:footnote>
  <w:footnote w:id="21">
    <w:p w14:paraId="61BAAD58" w14:textId="5ABC1629" w:rsidR="00A61AB2" w:rsidRPr="0044585A" w:rsidRDefault="00A61AB2" w:rsidP="00A61AB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Coopération mondiale dans le cadre des AMSC: renforcement des politiques et promotion stratégique (</w:t>
      </w:r>
      <w:hyperlink r:id="rId14" w:history="1">
        <w:r>
          <w:rPr>
            <w:rStyle w:val="Hyperlink"/>
            <w:rFonts w:ascii="Times New Roman" w:hAnsi="Times New Roman"/>
          </w:rPr>
          <w:t>https://msca-glopol.eu/</w:t>
        </w:r>
      </w:hyperlink>
      <w:r>
        <w:rPr>
          <w:rFonts w:ascii="Times New Roman" w:hAnsi="Times New Roman"/>
        </w:rPr>
        <w:t xml:space="preserve">). </w:t>
      </w:r>
    </w:p>
  </w:footnote>
  <w:footnote w:id="22">
    <w:p w14:paraId="4824B738" w14:textId="77777777" w:rsidR="00961A32" w:rsidRPr="00487985" w:rsidRDefault="00961A32" w:rsidP="00961A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https://joint-research-centre.ec.europa.eu/tools-and-laboratories/open-access-jrc-research-infrastructures_en</w:t>
        </w:r>
      </w:hyperlink>
      <w:r>
        <w:t>.</w:t>
      </w:r>
      <w:r>
        <w:rPr>
          <w:rFonts w:ascii="Times New Roman" w:hAnsi="Times New Roman"/>
        </w:rPr>
        <w:t xml:space="preserve"> </w:t>
      </w:r>
    </w:p>
  </w:footnote>
  <w:footnote w:id="23">
    <w:p w14:paraId="4395B55D" w14:textId="77777777" w:rsidR="00961A32" w:rsidRPr="00487985" w:rsidRDefault="00961A32" w:rsidP="00961A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https://www.gsogri.org/</w:t>
        </w:r>
      </w:hyperlink>
      <w:r>
        <w:t>.</w:t>
      </w:r>
      <w:r>
        <w:rPr>
          <w:rFonts w:ascii="Times New Roman" w:hAnsi="Times New Roman"/>
        </w:rPr>
        <w:t xml:space="preserve"> </w:t>
      </w:r>
    </w:p>
  </w:footnote>
  <w:footnote w:id="24">
    <w:p w14:paraId="615B7857" w14:textId="77777777" w:rsidR="00961A32" w:rsidRPr="00487985" w:rsidRDefault="00961A32" w:rsidP="00961A3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rPr>
          <w:t>https://icri2024.au/about-icri/brisbane-statement/</w:t>
        </w:r>
      </w:hyperlink>
      <w:r>
        <w:t>.</w:t>
      </w:r>
      <w:r>
        <w:rPr>
          <w:rFonts w:ascii="Times New Roman" w:hAnsi="Times New Roman"/>
        </w:rPr>
        <w:t xml:space="preserve"> </w:t>
      </w:r>
    </w:p>
  </w:footnote>
  <w:footnote w:id="25">
    <w:p w14:paraId="3421C98A" w14:textId="079E6EAB" w:rsidR="00753B72" w:rsidRPr="00753B72" w:rsidRDefault="00753B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C/2024/3510.</w:t>
      </w:r>
    </w:p>
  </w:footnote>
  <w:footnote w:id="26">
    <w:p w14:paraId="003F9AE7" w14:textId="75862EC5" w:rsidR="00753B72" w:rsidRPr="00753B72" w:rsidRDefault="00753B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documents JOIN(2023) 20 final et JOIN(2025) 977 final.</w:t>
      </w:r>
    </w:p>
  </w:footnote>
  <w:footnote w:id="27">
    <w:p w14:paraId="58D7B47C" w14:textId="07F07C6B" w:rsidR="00753B72" w:rsidRPr="0017745C" w:rsidRDefault="00753B72">
      <w:pPr>
        <w:pStyle w:val="FootnoteText"/>
        <w:rPr>
          <w:lang w:val="en-IE"/>
        </w:rPr>
      </w:pPr>
      <w:r>
        <w:rPr>
          <w:rStyle w:val="FootnoteReference"/>
          <w:rFonts w:ascii="Times New Roman" w:hAnsi="Times New Roman" w:cs="Times New Roman"/>
        </w:rPr>
        <w:footnoteRef/>
      </w:r>
      <w:r w:rsidRPr="0017745C">
        <w:rPr>
          <w:rFonts w:ascii="Times New Roman" w:hAnsi="Times New Roman"/>
          <w:lang w:val="en-IE"/>
        </w:rPr>
        <w:t xml:space="preserve"> COM(2024) 27 final.</w:t>
      </w:r>
    </w:p>
  </w:footnote>
  <w:footnote w:id="28">
    <w:p w14:paraId="50B9A79E" w14:textId="1CB17667" w:rsidR="00D6441C" w:rsidRPr="0017745C" w:rsidRDefault="00D6441C">
      <w:pPr>
        <w:pStyle w:val="FootnoteText"/>
        <w:rPr>
          <w:lang w:val="en-IE"/>
        </w:rPr>
      </w:pPr>
      <w:r>
        <w:rPr>
          <w:rStyle w:val="FootnoteReference"/>
        </w:rPr>
        <w:footnoteRef/>
      </w:r>
      <w:r w:rsidRPr="0017745C">
        <w:rPr>
          <w:lang w:val="en-IE"/>
        </w:rPr>
        <w:t xml:space="preserve"> </w:t>
      </w:r>
      <w:r w:rsidRPr="0017745C">
        <w:rPr>
          <w:rFonts w:ascii="Times New Roman" w:hAnsi="Times New Roman"/>
          <w:lang w:val="en-IE"/>
        </w:rPr>
        <w:t xml:space="preserve">Voir </w:t>
      </w:r>
      <w:hyperlink r:id="rId18" w:history="1">
        <w:r w:rsidRPr="0017745C">
          <w:rPr>
            <w:rStyle w:val="Hyperlink"/>
            <w:rFonts w:ascii="Times New Roman" w:hAnsi="Times New Roman"/>
            <w:lang w:val="en-IE"/>
          </w:rPr>
          <w:t>https://research-and-innovation.ec.europa.eu/news/all-research-and-innovation-news/new-publications-dual-use-provide-strategic-input-future-eu-ri-policies-2025-06-25_en</w:t>
        </w:r>
      </w:hyperlink>
      <w:r w:rsidRPr="0017745C">
        <w:rPr>
          <w:lang w:val="en-IE"/>
        </w:rPr>
        <w:t>.</w:t>
      </w:r>
      <w:r w:rsidRPr="0017745C">
        <w:rPr>
          <w:rFonts w:ascii="Times New Roman" w:hAnsi="Times New Roman"/>
          <w:lang w:val="en-IE"/>
        </w:rPr>
        <w:t xml:space="preserve"> </w:t>
      </w:r>
    </w:p>
  </w:footnote>
  <w:footnote w:id="29">
    <w:p w14:paraId="28D70A63" w14:textId="5C439F9D" w:rsidR="00F352AD" w:rsidRPr="00F352AD" w:rsidRDefault="00F352AD"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L’article 22, paragraphe 5, du règlement «Horizon Europe» prévoit la possibilité de limiter la participation aux entités juridiques établies dans des États membres ou dans des pays associés ou d’autres pays tiers déterminés dans le programme de travail afin de préserver les actifs stratégiques, les intérêts, l’autonomie ou la sécurité de l’UE. Des restrictions peuvent également être appliquées aux entités établies dans des pays éligibles, mais qui sont directement ou indirectement contrôlées par un pays non éligible ou par une entité établie dans un pays non éligible.</w:t>
      </w:r>
    </w:p>
  </w:footnote>
  <w:footnote w:id="30">
    <w:p w14:paraId="2A7C23ED" w14:textId="5E17236A" w:rsidR="00725FEB" w:rsidRPr="00E0676E" w:rsidRDefault="00725FEB" w:rsidP="00725FEB">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Y compris aux modifications approuvées en 2024. En outre, l’entreprise commune pour le calcul à haute performance européen (entreprise commune EuroHPC) a fait usage de l’article 22, paragraphe 5, dans une action de son programme de travail pour 2023.</w:t>
      </w:r>
    </w:p>
  </w:footnote>
  <w:footnote w:id="31">
    <w:p w14:paraId="3AA2B17C" w14:textId="283E60C5" w:rsidR="002E25A3" w:rsidRPr="00955BBF" w:rsidRDefault="002E25A3" w:rsidP="00955BB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Articles 39 et 40 du règlement «Horizon Europe».</w:t>
      </w:r>
    </w:p>
  </w:footnote>
  <w:footnote w:id="32">
    <w:p w14:paraId="72292115" w14:textId="2552F226" w:rsidR="00F352AD" w:rsidRPr="00F352AD" w:rsidRDefault="00F352AD"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cas échéant et si cela est justifié, l’article 22, paragraphe 6, du règlement «Horizon Europe» permet l’application de critères d’éligibilité supplémentaires afin de tenir compte d’impératifs stratégiques spécifiques ou de la nature et des objectifs de l’action en question.</w:t>
      </w:r>
    </w:p>
  </w:footnote>
  <w:footnote w:id="33">
    <w:p w14:paraId="0EE13D5E" w14:textId="183CFA72" w:rsidR="0015699C" w:rsidRPr="00791E58" w:rsidRDefault="0015699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C(2023) 4049 final.</w:t>
      </w:r>
    </w:p>
  </w:footnote>
  <w:footnote w:id="34">
    <w:p w14:paraId="78F206A8" w14:textId="689C6C01" w:rsidR="004B049C" w:rsidRPr="00563C3A" w:rsidRDefault="004B049C"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Notamment le Groupe sur l’observation de la Terre, le Groupe d’experts intergouvernemental sur l’évolution du climat (GIEC), la plateforme intergouvernementale scientifique et politique sur la biodiversité et les services écosystémiques, le Groupe international d’experts sur les ressources et d’autres initiatives, telles que le Partenariat mondial sur les sols.</w:t>
      </w:r>
    </w:p>
  </w:footnote>
  <w:footnote w:id="35">
    <w:p w14:paraId="36090461" w14:textId="6481C905" w:rsidR="00287EB1" w:rsidRPr="001F293A" w:rsidRDefault="00287EB1" w:rsidP="00087113">
      <w:pPr>
        <w:pStyle w:val="FootnoteText"/>
        <w:jc w:val="both"/>
        <w:rPr>
          <w:rFonts w:ascii="Times New Roman" w:hAnsi="Times New Roman" w:cs="Times New Roman"/>
          <w:bCs/>
        </w:rPr>
      </w:pPr>
      <w:r>
        <w:rPr>
          <w:rStyle w:val="FootnoteReference"/>
          <w:rFonts w:ascii="Times New Roman" w:hAnsi="Times New Roman" w:cs="Times New Roman"/>
        </w:rPr>
        <w:footnoteRef/>
      </w:r>
      <w:r>
        <w:rPr>
          <w:rFonts w:ascii="Times New Roman" w:hAnsi="Times New Roman"/>
        </w:rPr>
        <w:t xml:space="preserve"> JOIN(2022) 28 final.</w:t>
      </w:r>
    </w:p>
  </w:footnote>
  <w:footnote w:id="36">
    <w:p w14:paraId="2C32A4FA" w14:textId="2B400267" w:rsidR="003F7529" w:rsidRPr="00563C3A" w:rsidRDefault="003F7529"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direction générale des affaires maritimes et de la pêche, </w:t>
      </w:r>
      <w:r>
        <w:rPr>
          <w:rFonts w:ascii="Times New Roman" w:hAnsi="Times New Roman"/>
          <w:i/>
          <w:iCs/>
        </w:rPr>
        <w:t>Évaluation du paysage marin – Étude de faisabilité relative à la création d’un groupe d’experts intergouvernemental sur la durabilité des océans</w:t>
      </w:r>
      <w:r>
        <w:rPr>
          <w:rFonts w:ascii="Times New Roman" w:hAnsi="Times New Roman"/>
        </w:rPr>
        <w:t xml:space="preserve">, Office des publications de l’Union européenne, 2023, </w:t>
      </w:r>
      <w:hyperlink r:id="rId19" w:tgtFrame="_blank" w:history="1">
        <w:r>
          <w:rPr>
            <w:rStyle w:val="Hyperlink"/>
            <w:rFonts w:ascii="Times New Roman" w:hAnsi="Times New Roman"/>
          </w:rPr>
          <w:t>https://data.europa.eu/doi/10.2771/903406</w:t>
        </w:r>
      </w:hyperlink>
      <w:r>
        <w:t>.</w:t>
      </w:r>
      <w:r>
        <w:rPr>
          <w:rFonts w:ascii="Times New Roman" w:hAnsi="Times New Roman"/>
        </w:rPr>
        <w:t xml:space="preserve"> </w:t>
      </w:r>
    </w:p>
  </w:footnote>
  <w:footnote w:id="37">
    <w:p w14:paraId="4A473068" w14:textId="2C61E5F1" w:rsidR="00F522B3" w:rsidRDefault="00F522B3">
      <w:pPr>
        <w:pStyle w:val="FootnoteText"/>
      </w:pPr>
      <w:r>
        <w:rPr>
          <w:rStyle w:val="FootnoteReference"/>
        </w:rPr>
        <w:footnoteRef/>
      </w:r>
      <w:r>
        <w:t xml:space="preserve"> </w:t>
      </w:r>
      <w:hyperlink r:id="rId20" w:history="1">
        <w:r>
          <w:rPr>
            <w:rStyle w:val="Hyperlink"/>
            <w:rFonts w:ascii="Times New Roman" w:hAnsi="Times New Roman"/>
          </w:rPr>
          <w:t>https://research-and-innovation.ec.europa.eu/document/download/2e5f29fb-cb0c-4d0d-8840-97ce0ee9730c_en?filename=ec_rtd_roadmap-cooperation-un-decade-ocean-science.pdf</w:t>
        </w:r>
      </w:hyperlink>
      <w:r>
        <w:t>.</w:t>
      </w:r>
      <w:r>
        <w:rPr>
          <w:rStyle w:val="Hyperlink"/>
          <w:rFonts w:ascii="Times New Roman" w:hAnsi="Times New Roman"/>
        </w:rPr>
        <w:t xml:space="preserve"> </w:t>
      </w:r>
    </w:p>
  </w:footnote>
  <w:footnote w:id="38">
    <w:p w14:paraId="60812F08" w14:textId="7A206801" w:rsidR="001B70A5" w:rsidRDefault="001B70A5" w:rsidP="00126EF2">
      <w:pPr>
        <w:pStyle w:val="FootnoteText"/>
        <w:jc w:val="both"/>
      </w:pPr>
      <w:r>
        <w:rPr>
          <w:rStyle w:val="FootnoteReference"/>
        </w:rPr>
        <w:footnoteRef/>
      </w:r>
      <w:r>
        <w:t xml:space="preserve"> </w:t>
      </w:r>
      <w:r>
        <w:rPr>
          <w:rFonts w:ascii="Times New Roman" w:hAnsi="Times New Roman"/>
        </w:rPr>
        <w:t>Mission Innovation est une initiative internationale majeure qui regroupe les pays contribuant à hauteur de 90 % au financement public de l’innovation dans le domaine de l’énergie.</w:t>
      </w:r>
    </w:p>
  </w:footnote>
  <w:footnote w:id="39">
    <w:p w14:paraId="17946CEC" w14:textId="5F6C0BBF" w:rsidR="00224F8D" w:rsidRPr="00470DF7" w:rsidRDefault="00224F8D" w:rsidP="00224F8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history="1">
        <w:r>
          <w:rPr>
            <w:rStyle w:val="Hyperlink"/>
            <w:rFonts w:ascii="Times New Roman" w:hAnsi="Times New Roman"/>
          </w:rPr>
          <w:t>https://mission-innovation.net/missions/hydrogen/</w:t>
        </w:r>
      </w:hyperlink>
      <w:r>
        <w:t>.</w:t>
      </w:r>
      <w:r>
        <w:rPr>
          <w:rFonts w:ascii="Times New Roman" w:hAnsi="Times New Roman"/>
        </w:rPr>
        <w:t xml:space="preserve"> </w:t>
      </w:r>
    </w:p>
  </w:footnote>
  <w:footnote w:id="40">
    <w:p w14:paraId="18C7BAD5" w14:textId="63CD02A7" w:rsidR="002C254B" w:rsidRDefault="002C254B">
      <w:pPr>
        <w:pStyle w:val="FootnoteText"/>
      </w:pPr>
      <w:r>
        <w:rPr>
          <w:rStyle w:val="FootnoteReference"/>
        </w:rPr>
        <w:footnoteRef/>
      </w:r>
      <w:r>
        <w:t xml:space="preserve"> </w:t>
      </w:r>
      <w:hyperlink r:id="rId22" w:history="1">
        <w:r>
          <w:rPr>
            <w:rStyle w:val="Hyperlink"/>
            <w:rFonts w:ascii="Times New Roman" w:hAnsi="Times New Roman"/>
          </w:rPr>
          <w:t>https://h2v.eu/</w:t>
        </w:r>
      </w:hyperlink>
      <w:r>
        <w:t>.</w:t>
      </w:r>
      <w:r>
        <w:rPr>
          <w:rFonts w:ascii="Times New Roman" w:hAnsi="Times New Roman"/>
        </w:rPr>
        <w:t xml:space="preserve"> </w:t>
      </w:r>
    </w:p>
  </w:footnote>
  <w:footnote w:id="41">
    <w:p w14:paraId="77569C64" w14:textId="7395442C" w:rsidR="004424C9" w:rsidRPr="00832E1A" w:rsidRDefault="004424C9" w:rsidP="004424C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rPr>
          <w:t>https://urbantransitionsmission.org/</w:t>
        </w:r>
      </w:hyperlink>
      <w:r>
        <w:t>.</w:t>
      </w:r>
      <w:r>
        <w:rPr>
          <w:rFonts w:ascii="Times New Roman" w:hAnsi="Times New Roman"/>
        </w:rPr>
        <w:t xml:space="preserve"> </w:t>
      </w:r>
    </w:p>
  </w:footnote>
  <w:footnote w:id="42">
    <w:p w14:paraId="43ECC495" w14:textId="46A6DA87" w:rsidR="00B40DF5" w:rsidRPr="0017745C" w:rsidRDefault="00B40DF5" w:rsidP="00B40DF5">
      <w:pPr>
        <w:pStyle w:val="FootnoteText"/>
        <w:jc w:val="both"/>
        <w:rPr>
          <w:rFonts w:ascii="Times New Roman" w:hAnsi="Times New Roman" w:cs="Times New Roman"/>
          <w:lang w:val="en-IE"/>
        </w:rPr>
      </w:pPr>
      <w:r>
        <w:rPr>
          <w:rStyle w:val="FootnoteReference"/>
        </w:rPr>
        <w:footnoteRef/>
      </w:r>
      <w:r w:rsidRPr="0017745C">
        <w:rPr>
          <w:lang w:val="en-IE"/>
        </w:rPr>
        <w:t xml:space="preserve"> </w:t>
      </w:r>
      <w:r w:rsidRPr="0017745C">
        <w:rPr>
          <w:rFonts w:ascii="Times New Roman" w:hAnsi="Times New Roman"/>
          <w:lang w:val="en-IE"/>
        </w:rPr>
        <w:t>JOIN(2021) 30 final.</w:t>
      </w:r>
    </w:p>
  </w:footnote>
  <w:footnote w:id="43">
    <w:p w14:paraId="5607C885" w14:textId="78570DC5" w:rsidR="004A6D38" w:rsidRPr="0017745C" w:rsidRDefault="004A6D38">
      <w:pPr>
        <w:pStyle w:val="FootnoteText"/>
        <w:rPr>
          <w:lang w:val="en-IE"/>
        </w:rPr>
      </w:pPr>
      <w:r>
        <w:rPr>
          <w:rStyle w:val="FootnoteReference"/>
        </w:rPr>
        <w:footnoteRef/>
      </w:r>
      <w:r w:rsidRPr="0017745C">
        <w:rPr>
          <w:lang w:val="en-IE"/>
        </w:rPr>
        <w:t xml:space="preserve"> </w:t>
      </w:r>
      <w:hyperlink r:id="rId24" w:history="1">
        <w:r w:rsidRPr="0017745C">
          <w:rPr>
            <w:rStyle w:val="Hyperlink"/>
            <w:rFonts w:ascii="Times New Roman" w:hAnsi="Times New Roman"/>
            <w:lang w:val="en-IE"/>
          </w:rPr>
          <w:t>https://knowledge-management.new-european-bauhaus.europa.eu/</w:t>
        </w:r>
      </w:hyperlink>
      <w:r w:rsidRPr="0017745C">
        <w:rPr>
          <w:lang w:val="en-IE"/>
        </w:rPr>
        <w:t xml:space="preserve">. </w:t>
      </w:r>
    </w:p>
  </w:footnote>
  <w:footnote w:id="44">
    <w:p w14:paraId="393204C6" w14:textId="43B942F7" w:rsidR="0098033D" w:rsidRPr="0017745C" w:rsidRDefault="0098033D">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JOIN(2025) 140 final.</w:t>
      </w:r>
    </w:p>
  </w:footnote>
  <w:footnote w:id="45">
    <w:p w14:paraId="34F8AF0D" w14:textId="77777777" w:rsidR="00B25584" w:rsidRPr="0017745C" w:rsidRDefault="00B25584" w:rsidP="00B25584">
      <w:pPr>
        <w:pStyle w:val="FootnoteText"/>
        <w:rPr>
          <w:lang w:val="en-IE"/>
        </w:rPr>
      </w:pPr>
      <w:r>
        <w:rPr>
          <w:rStyle w:val="FootnoteReference"/>
        </w:rPr>
        <w:footnoteRef/>
      </w:r>
      <w:r w:rsidRPr="0017745C">
        <w:rPr>
          <w:lang w:val="en-IE"/>
        </w:rPr>
        <w:t xml:space="preserve"> </w:t>
      </w:r>
      <w:hyperlink r:id="rId25" w:history="1">
        <w:r w:rsidRPr="0017745C">
          <w:rPr>
            <w:rStyle w:val="Hyperlink"/>
            <w:rFonts w:ascii="Times New Roman" w:hAnsi="Times New Roman"/>
            <w:lang w:val="en-IE"/>
          </w:rPr>
          <w:t>https://digital-strategy.ec.europa.eu/en/policies/partnerships</w:t>
        </w:r>
      </w:hyperlink>
      <w:r w:rsidRPr="0017745C">
        <w:rPr>
          <w:lang w:val="en-IE"/>
        </w:rPr>
        <w:t xml:space="preserve">. </w:t>
      </w:r>
    </w:p>
  </w:footnote>
  <w:footnote w:id="46">
    <w:p w14:paraId="663543F6" w14:textId="3C64E53C" w:rsidR="00B56ACD" w:rsidRPr="0017745C" w:rsidRDefault="00B56ACD">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26" w:history="1">
        <w:r w:rsidRPr="0017745C">
          <w:rPr>
            <w:rStyle w:val="Hyperlink"/>
            <w:rFonts w:ascii="Times New Roman" w:hAnsi="Times New Roman"/>
            <w:lang w:val="en-IE"/>
          </w:rPr>
          <w:t>https://ec.europa.eu/commission/presscorner/detail/fr/ip_23_1598</w:t>
        </w:r>
      </w:hyperlink>
      <w:r w:rsidRPr="0017745C">
        <w:rPr>
          <w:lang w:val="en-IE"/>
        </w:rPr>
        <w:t>.</w:t>
      </w:r>
      <w:r w:rsidRPr="0017745C">
        <w:rPr>
          <w:rFonts w:ascii="Times New Roman" w:hAnsi="Times New Roman"/>
          <w:lang w:val="en-IE"/>
        </w:rPr>
        <w:t xml:space="preserve"> </w:t>
      </w:r>
    </w:p>
  </w:footnote>
  <w:footnote w:id="47">
    <w:p w14:paraId="4F34DA15" w14:textId="42BFB0E7" w:rsidR="00BE1A04" w:rsidRPr="0017745C" w:rsidRDefault="00BE1A04">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27" w:history="1">
        <w:r w:rsidRPr="0017745C">
          <w:rPr>
            <w:rStyle w:val="Hyperlink"/>
            <w:rFonts w:ascii="Times New Roman" w:hAnsi="Times New Roman"/>
            <w:lang w:val="en-IE"/>
          </w:rPr>
          <w:t>https://international-partnerships.ec.europa.eu/policies/programming/programmes/bella-building-europe-link-latin-america_en</w:t>
        </w:r>
      </w:hyperlink>
      <w:r w:rsidRPr="0017745C">
        <w:rPr>
          <w:lang w:val="en-IE"/>
        </w:rPr>
        <w:t>.</w:t>
      </w:r>
      <w:r w:rsidRPr="0017745C">
        <w:rPr>
          <w:rFonts w:ascii="Times New Roman" w:hAnsi="Times New Roman"/>
          <w:lang w:val="en-IE"/>
        </w:rPr>
        <w:t xml:space="preserve"> </w:t>
      </w:r>
    </w:p>
  </w:footnote>
  <w:footnote w:id="48">
    <w:p w14:paraId="1693DCCF" w14:textId="77777777" w:rsidR="00A63A3D" w:rsidRPr="0017745C" w:rsidRDefault="00A63A3D" w:rsidP="00A63A3D">
      <w:pPr>
        <w:pStyle w:val="FootnoteText"/>
        <w:rPr>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28" w:history="1">
        <w:r w:rsidRPr="0017745C">
          <w:rPr>
            <w:rStyle w:val="Hyperlink"/>
            <w:rFonts w:ascii="Times New Roman" w:hAnsi="Times New Roman"/>
            <w:lang w:val="en-IE"/>
          </w:rPr>
          <w:t>https://network.geant.org/international_connectivity/</w:t>
        </w:r>
      </w:hyperlink>
      <w:r w:rsidRPr="0017745C">
        <w:rPr>
          <w:lang w:val="en-IE"/>
        </w:rPr>
        <w:t>.</w:t>
      </w:r>
      <w:r w:rsidRPr="0017745C">
        <w:rPr>
          <w:rFonts w:ascii="Times New Roman" w:hAnsi="Times New Roman"/>
          <w:lang w:val="en-IE"/>
        </w:rPr>
        <w:t xml:space="preserve"> </w:t>
      </w:r>
    </w:p>
  </w:footnote>
  <w:footnote w:id="49">
    <w:p w14:paraId="5666AAE6" w14:textId="6C9CA1B5" w:rsidR="00287EB1" w:rsidRPr="0017745C" w:rsidRDefault="00287EB1" w:rsidP="008E1B33">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29" w:history="1">
        <w:r w:rsidRPr="0017745C">
          <w:rPr>
            <w:rStyle w:val="Hyperlink"/>
            <w:rFonts w:ascii="Times New Roman" w:hAnsi="Times New Roman"/>
            <w:lang w:val="en-IE"/>
          </w:rPr>
          <w:t>https://ec.europa.eu/commission/presscorner/detail/fr/ip_22_7153</w:t>
        </w:r>
      </w:hyperlink>
      <w:r w:rsidRPr="0017745C">
        <w:rPr>
          <w:lang w:val="en-IE"/>
        </w:rPr>
        <w:t>.</w:t>
      </w:r>
    </w:p>
  </w:footnote>
  <w:footnote w:id="50">
    <w:p w14:paraId="650E7518" w14:textId="5E9DCCFE" w:rsidR="00333BE7" w:rsidRPr="0017745C" w:rsidRDefault="00333BE7" w:rsidP="00333BE7">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0" w:history="1">
        <w:r w:rsidRPr="0017745C">
          <w:rPr>
            <w:rStyle w:val="Hyperlink"/>
            <w:rFonts w:ascii="Times New Roman" w:hAnsi="Times New Roman"/>
            <w:lang w:val="en-IE"/>
          </w:rPr>
          <w:t>https://www.consilium.europa.eu/fr/press/press-releases/2024/01/29/eu-global-health-strategy-council-approves-conclusions/</w:t>
        </w:r>
      </w:hyperlink>
      <w:r w:rsidRPr="0017745C">
        <w:rPr>
          <w:lang w:val="en-IE"/>
        </w:rPr>
        <w:t>.</w:t>
      </w:r>
    </w:p>
  </w:footnote>
  <w:footnote w:id="51">
    <w:p w14:paraId="016B43BE" w14:textId="3038E0A1" w:rsidR="008F5B5B" w:rsidRPr="0017745C" w:rsidRDefault="008F5B5B">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1" w:history="1">
        <w:r w:rsidRPr="0017745C">
          <w:rPr>
            <w:rStyle w:val="Hyperlink"/>
            <w:rFonts w:ascii="Times New Roman" w:hAnsi="Times New Roman"/>
            <w:lang w:val="en-IE"/>
          </w:rPr>
          <w:t>www.glopid-r.org</w:t>
        </w:r>
      </w:hyperlink>
      <w:r w:rsidRPr="0017745C">
        <w:rPr>
          <w:lang w:val="en-IE"/>
        </w:rPr>
        <w:t>.</w:t>
      </w:r>
      <w:r w:rsidRPr="0017745C">
        <w:rPr>
          <w:rFonts w:ascii="Times New Roman" w:hAnsi="Times New Roman"/>
          <w:lang w:val="en-IE"/>
        </w:rPr>
        <w:t xml:space="preserve"> </w:t>
      </w:r>
    </w:p>
  </w:footnote>
  <w:footnote w:id="52">
    <w:p w14:paraId="0F640C21" w14:textId="25DD6B85" w:rsidR="008F5B5B" w:rsidRPr="0017745C" w:rsidRDefault="008F5B5B">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2" w:history="1">
        <w:r w:rsidRPr="0017745C">
          <w:rPr>
            <w:rStyle w:val="Hyperlink"/>
            <w:rFonts w:ascii="Times New Roman" w:hAnsi="Times New Roman"/>
            <w:lang w:val="en-IE"/>
          </w:rPr>
          <w:t>www.gacd.org</w:t>
        </w:r>
      </w:hyperlink>
      <w:r w:rsidRPr="0017745C">
        <w:rPr>
          <w:lang w:val="en-IE"/>
        </w:rPr>
        <w:t>.</w:t>
      </w:r>
      <w:r w:rsidRPr="0017745C">
        <w:rPr>
          <w:rFonts w:ascii="Times New Roman" w:hAnsi="Times New Roman"/>
          <w:lang w:val="en-IE"/>
        </w:rPr>
        <w:t xml:space="preserve"> </w:t>
      </w:r>
    </w:p>
  </w:footnote>
  <w:footnote w:id="53">
    <w:p w14:paraId="5293A4A2" w14:textId="647602D0" w:rsidR="00964C7A" w:rsidRPr="0017745C" w:rsidRDefault="00964C7A">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3" w:history="1">
        <w:r w:rsidRPr="0017745C">
          <w:rPr>
            <w:rStyle w:val="Hyperlink"/>
            <w:rFonts w:ascii="Times New Roman" w:hAnsi="Times New Roman"/>
            <w:lang w:val="en-IE"/>
          </w:rPr>
          <w:t>https://erdera.org/</w:t>
        </w:r>
      </w:hyperlink>
      <w:r w:rsidRPr="0017745C">
        <w:rPr>
          <w:lang w:val="en-IE"/>
        </w:rPr>
        <w:t>.</w:t>
      </w:r>
      <w:r w:rsidRPr="0017745C">
        <w:rPr>
          <w:rFonts w:ascii="Times New Roman" w:hAnsi="Times New Roman"/>
          <w:lang w:val="en-IE"/>
        </w:rPr>
        <w:t xml:space="preserve"> </w:t>
      </w:r>
    </w:p>
  </w:footnote>
  <w:footnote w:id="54">
    <w:p w14:paraId="1D4C2B44" w14:textId="425D0DF0" w:rsidR="00287EB1" w:rsidRPr="0017745C" w:rsidRDefault="00287EB1" w:rsidP="006C4CD5">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r w:rsidRPr="0017745C">
        <w:rPr>
          <w:rStyle w:val="Hyperlink"/>
          <w:rFonts w:ascii="Times New Roman" w:hAnsi="Times New Roman"/>
          <w:lang w:val="en-IE"/>
        </w:rPr>
        <w:t xml:space="preserve"> https://www.globalhealth-edctp3.eu/.</w:t>
      </w:r>
    </w:p>
  </w:footnote>
  <w:footnote w:id="55">
    <w:p w14:paraId="35828D8F" w14:textId="783AC582" w:rsidR="00CD179E" w:rsidRPr="0017745C" w:rsidRDefault="00CD179E">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4" w:history="1">
        <w:r w:rsidRPr="0017745C">
          <w:rPr>
            <w:rStyle w:val="Hyperlink"/>
            <w:rFonts w:ascii="Times New Roman" w:hAnsi="Times New Roman"/>
            <w:lang w:val="en-IE"/>
          </w:rPr>
          <w:t>https://gardp.org/secure/</w:t>
        </w:r>
      </w:hyperlink>
      <w:r w:rsidRPr="0017745C">
        <w:rPr>
          <w:lang w:val="en-IE"/>
        </w:rPr>
        <w:t>.</w:t>
      </w:r>
      <w:r w:rsidRPr="0017745C">
        <w:rPr>
          <w:rFonts w:ascii="Times New Roman" w:hAnsi="Times New Roman"/>
          <w:lang w:val="en-IE"/>
        </w:rPr>
        <w:t xml:space="preserve"> </w:t>
      </w:r>
    </w:p>
  </w:footnote>
  <w:footnote w:id="56">
    <w:p w14:paraId="712826F0" w14:textId="2700E041" w:rsidR="009F71E3" w:rsidRPr="0017745C" w:rsidRDefault="009F71E3">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SWD(2025) 138 final.</w:t>
      </w:r>
    </w:p>
  </w:footnote>
  <w:footnote w:id="57">
    <w:p w14:paraId="29DDC844" w14:textId="66216962" w:rsidR="00DB61D2" w:rsidRPr="0017745C" w:rsidRDefault="00DB61D2">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5" w:history="1">
        <w:r w:rsidRPr="0017745C">
          <w:rPr>
            <w:rStyle w:val="Hyperlink"/>
            <w:rFonts w:ascii="Times New Roman" w:hAnsi="Times New Roman"/>
            <w:lang w:val="en-IE"/>
          </w:rPr>
          <w:t>https://commission.europa.eu/topics/research-and-innovation/choose-europe_en</w:t>
        </w:r>
      </w:hyperlink>
      <w:r w:rsidRPr="0017745C">
        <w:rPr>
          <w:lang w:val="en-IE"/>
        </w:rPr>
        <w:t>.</w:t>
      </w:r>
      <w:r w:rsidRPr="0017745C">
        <w:rPr>
          <w:rFonts w:ascii="Times New Roman" w:hAnsi="Times New Roman"/>
          <w:lang w:val="en-IE"/>
        </w:rPr>
        <w:t xml:space="preserve"> </w:t>
      </w:r>
    </w:p>
  </w:footnote>
  <w:footnote w:id="58">
    <w:p w14:paraId="2529F61B" w14:textId="701594C0" w:rsidR="00DD6974" w:rsidRPr="007D2738" w:rsidRDefault="00DD6974" w:rsidP="00DD6974">
      <w:pPr>
        <w:pStyle w:val="FootnoteText"/>
        <w:jc w:val="both"/>
        <w:rPr>
          <w:rFonts w:ascii="Times New Roman" w:eastAsia="Aptos"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(UE) 2022/2415 du Conseil.</w:t>
      </w:r>
    </w:p>
  </w:footnote>
  <w:footnote w:id="59">
    <w:p w14:paraId="55D33D0E" w14:textId="3B271A28" w:rsidR="00DD6974" w:rsidRPr="007D2738" w:rsidRDefault="00DD6974" w:rsidP="00DD69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(UE) 2024/774 de la Commission.</w:t>
      </w:r>
    </w:p>
  </w:footnote>
  <w:footnote w:id="60">
    <w:p w14:paraId="23DA145C" w14:textId="35CF526D" w:rsidR="00DD6974" w:rsidRPr="002039DA" w:rsidRDefault="00DD6974" w:rsidP="00DD697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Recommandation (UE) 2024/736 de la Commission — Les codes de bonnes pratiques adoptés en 2024 s’inscrivent dans la continuité des codes de bonnes pratiques adoptés en 2023 sur la gestion des actifs intellectuels et la normalisation.</w:t>
      </w:r>
    </w:p>
  </w:footnote>
  <w:footnote w:id="61">
    <w:p w14:paraId="004BD1D6" w14:textId="77777777" w:rsidR="00DD6974" w:rsidRDefault="00DD6974" w:rsidP="00DD6974">
      <w:pPr>
        <w:pStyle w:val="FootnoteText"/>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https://research-and-innovation.ec.europa.eu/research-area/industrial-research-and-innovation/eu-valorisation-policy/knowledge-valorisation-platform_en</w:t>
        </w:r>
      </w:hyperlink>
      <w:r>
        <w:t xml:space="preserve">. </w:t>
      </w:r>
    </w:p>
  </w:footnote>
  <w:footnote w:id="62">
    <w:p w14:paraId="332164EF" w14:textId="77777777" w:rsidR="0039101C" w:rsidRDefault="0039101C" w:rsidP="0039101C">
      <w:pPr>
        <w:pStyle w:val="FootnoteText"/>
      </w:pPr>
      <w:r>
        <w:rPr>
          <w:rStyle w:val="FootnoteReference"/>
        </w:rPr>
        <w:footnoteRef/>
      </w:r>
      <w:r>
        <w:t xml:space="preserve"> </w:t>
      </w:r>
      <w:hyperlink r:id="rId37" w:history="1">
        <w:r>
          <w:rPr>
            <w:rStyle w:val="Hyperlink"/>
            <w:rFonts w:ascii="Times New Roman" w:hAnsi="Times New Roman"/>
          </w:rPr>
          <w:t>https://westernbalkans-infohub.eu/wp-content/uploads/2024/10/a-western-balkans-agenda-on-innovation-research-education-KI0221615ENN-1.pdf</w:t>
        </w:r>
      </w:hyperlink>
      <w:r>
        <w:t xml:space="preserve">. </w:t>
      </w:r>
    </w:p>
  </w:footnote>
  <w:footnote w:id="63">
    <w:p w14:paraId="1014D8DA" w14:textId="6BD72A8F" w:rsidR="00045C5C" w:rsidRPr="00B3273E" w:rsidRDefault="00045C5C">
      <w:pPr>
        <w:pStyle w:val="FootnoteText"/>
      </w:pPr>
      <w:r>
        <w:rPr>
          <w:rStyle w:val="FootnoteReference"/>
        </w:rPr>
        <w:footnoteRef/>
      </w:r>
      <w:r>
        <w:t xml:space="preserve"> </w:t>
      </w:r>
      <w:r>
        <w:rPr>
          <w:rFonts w:ascii="Times New Roman" w:hAnsi="Times New Roman"/>
        </w:rPr>
        <w:t>Arménie, Azerbaïdjan, Géorgie, République de Moldavie et Ukraine.</w:t>
      </w:r>
    </w:p>
  </w:footnote>
  <w:footnote w:id="64">
    <w:p w14:paraId="4FBAFF7D" w14:textId="4D67EEFB" w:rsidR="00C31D72" w:rsidRPr="0017745C" w:rsidRDefault="00C31D72" w:rsidP="00C31D72">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SWD(2021) 186 final.</w:t>
      </w:r>
    </w:p>
  </w:footnote>
  <w:footnote w:id="65">
    <w:p w14:paraId="5AB78B04" w14:textId="6522BDA0" w:rsidR="007A253F" w:rsidRPr="0017745C" w:rsidRDefault="007A253F" w:rsidP="007A253F">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8" w:history="1">
        <w:r w:rsidRPr="0017745C">
          <w:rPr>
            <w:rStyle w:val="Hyperlink"/>
            <w:rFonts w:ascii="Times New Roman" w:hAnsi="Times New Roman"/>
            <w:lang w:val="en-IE"/>
          </w:rPr>
          <w:t>https://projects.research-and-innovation.ec.europa.eu/en/statistics/policy-support-facility/psf-country/support-moldova-reforms-public-rd-sector</w:t>
        </w:r>
      </w:hyperlink>
      <w:r w:rsidRPr="0017745C">
        <w:rPr>
          <w:lang w:val="en-IE"/>
        </w:rPr>
        <w:t>.</w:t>
      </w:r>
      <w:r w:rsidRPr="0017745C">
        <w:rPr>
          <w:rFonts w:ascii="Times New Roman" w:hAnsi="Times New Roman"/>
          <w:lang w:val="en-IE"/>
        </w:rPr>
        <w:t xml:space="preserve"> </w:t>
      </w:r>
    </w:p>
  </w:footnote>
  <w:footnote w:id="66">
    <w:p w14:paraId="4E5CF49D" w14:textId="4F7F63C1" w:rsidR="007A253F" w:rsidRPr="0017745C" w:rsidRDefault="007A253F" w:rsidP="007A253F">
      <w:pPr>
        <w:pStyle w:val="FootnoteText"/>
        <w:rPr>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39" w:history="1">
        <w:r w:rsidRPr="0017745C">
          <w:rPr>
            <w:rStyle w:val="Hyperlink"/>
            <w:rFonts w:ascii="Times New Roman" w:hAnsi="Times New Roman"/>
            <w:lang w:val="en-IE"/>
          </w:rPr>
          <w:t>https://projects.research-and-innovation.ec.europa.eu/en/statistics/policy-support-facility/psf-country/support-ukraine-research-infrastructures-policies</w:t>
        </w:r>
      </w:hyperlink>
      <w:r w:rsidRPr="0017745C">
        <w:rPr>
          <w:lang w:val="en-IE"/>
        </w:rPr>
        <w:t xml:space="preserve">. </w:t>
      </w:r>
    </w:p>
  </w:footnote>
  <w:footnote w:id="67">
    <w:p w14:paraId="4D860628" w14:textId="2CF0A040" w:rsidR="00261B16" w:rsidRPr="004F50D4" w:rsidRDefault="00261B16" w:rsidP="00563C3A">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Le portail ERA4Ukraine (</w:t>
      </w:r>
      <w:hyperlink r:id="rId40" w:history="1">
        <w:r>
          <w:rPr>
            <w:rStyle w:val="Hyperlink"/>
            <w:rFonts w:ascii="Times New Roman" w:hAnsi="Times New Roman"/>
          </w:rPr>
          <w:t>https://euraxess.ec.europa.eu/ukraine</w:t>
        </w:r>
      </w:hyperlink>
      <w:r>
        <w:rPr>
          <w:rFonts w:ascii="Times New Roman" w:hAnsi="Times New Roman"/>
        </w:rPr>
        <w:t>) présente un aperçu de toutes les actions mises en place aux niveaux européen et national, notamment MSCA4Ukraine</w:t>
      </w:r>
      <w:r>
        <w:rPr>
          <w:rStyle w:val="Hyperlink"/>
          <w:rFonts w:ascii="Times New Roman" w:hAnsi="Times New Roman"/>
          <w:color w:val="000000" w:themeColor="text1"/>
          <w:u w:val="none"/>
        </w:rPr>
        <w:t xml:space="preserve">, </w:t>
      </w:r>
      <w:r>
        <w:rPr>
          <w:rFonts w:ascii="Times New Roman" w:hAnsi="Times New Roman"/>
          <w:color w:val="000000" w:themeColor="text1"/>
        </w:rPr>
        <w:t>les offres d’emploi du Conseil européen de la recherche (CER)</w:t>
      </w:r>
      <w:r>
        <w:rPr>
          <w:rStyle w:val="Hyperlink"/>
          <w:rFonts w:ascii="Times New Roman" w:hAnsi="Times New Roman"/>
          <w:color w:val="000000" w:themeColor="text1"/>
          <w:u w:val="none"/>
        </w:rPr>
        <w:t xml:space="preserve"> et le programme de bourses du Centre commun de recherche (JRC) et de l’Institut universitaire européen (IUE)</w:t>
      </w:r>
      <w:r>
        <w:rPr>
          <w:rFonts w:ascii="Times New Roman" w:hAnsi="Times New Roman"/>
          <w:color w:val="000000" w:themeColor="text1"/>
        </w:rPr>
        <w:t>.</w:t>
      </w:r>
    </w:p>
  </w:footnote>
  <w:footnote w:id="68">
    <w:p w14:paraId="686B40E1" w14:textId="2999DF09" w:rsidR="00F52EBD" w:rsidRPr="00470DF7" w:rsidRDefault="00F52EBD" w:rsidP="00F52EB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1" w:history="1">
        <w:r>
          <w:rPr>
            <w:rStyle w:val="Hyperlink"/>
            <w:rFonts w:ascii="Times New Roman" w:hAnsi="Times New Roman"/>
          </w:rPr>
          <w:t>https://www.sun4ukraine.eu/</w:t>
        </w:r>
      </w:hyperlink>
      <w:r>
        <w:t>.</w:t>
      </w:r>
      <w:r>
        <w:rPr>
          <w:rFonts w:ascii="Times New Roman" w:hAnsi="Times New Roman"/>
        </w:rPr>
        <w:t xml:space="preserve"> </w:t>
      </w:r>
    </w:p>
  </w:footnote>
  <w:footnote w:id="69">
    <w:p w14:paraId="2CCD659B" w14:textId="77777777" w:rsidR="00CC3BC9" w:rsidRPr="00420217" w:rsidRDefault="00CC3BC9" w:rsidP="00CC3B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Programme de travail 2023-2024 d’Horizon Europe: 37 thèmes et un budget total de 320 millions d’EUR.</w:t>
      </w:r>
    </w:p>
  </w:footnote>
  <w:footnote w:id="70">
    <w:p w14:paraId="40E96B32" w14:textId="77777777" w:rsidR="00D27D0E" w:rsidRPr="0017745C" w:rsidRDefault="00D27D0E" w:rsidP="00D27D0E">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w:t>
      </w:r>
      <w:hyperlink r:id="rId42" w:history="1">
        <w:r w:rsidRPr="0017745C">
          <w:rPr>
            <w:rStyle w:val="Hyperlink"/>
            <w:rFonts w:ascii="Times New Roman" w:hAnsi="Times New Roman"/>
            <w:lang w:val="en-IE"/>
          </w:rPr>
          <w:t>https://prima-med.org/</w:t>
        </w:r>
      </w:hyperlink>
      <w:r w:rsidRPr="0017745C">
        <w:rPr>
          <w:lang w:val="en-IE"/>
        </w:rPr>
        <w:t>.</w:t>
      </w:r>
      <w:r w:rsidRPr="0017745C">
        <w:rPr>
          <w:rStyle w:val="Hyperlink"/>
          <w:rFonts w:ascii="Times New Roman" w:hAnsi="Times New Roman"/>
          <w:lang w:val="en-IE"/>
        </w:rPr>
        <w:t xml:space="preserve"> </w:t>
      </w:r>
    </w:p>
  </w:footnote>
  <w:footnote w:id="71">
    <w:p w14:paraId="0CFC13F2" w14:textId="6EABBB45" w:rsidR="0022009B" w:rsidRPr="0017745C" w:rsidRDefault="0022009B">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JOIN(2025) 26 final.</w:t>
      </w:r>
    </w:p>
  </w:footnote>
  <w:footnote w:id="72">
    <w:p w14:paraId="5AE39005" w14:textId="49FCEC25" w:rsidR="00EE725B" w:rsidRPr="00563C3A" w:rsidRDefault="00EE725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JOIN(2025) 135 final.</w:t>
      </w:r>
    </w:p>
  </w:footnote>
  <w:footnote w:id="73">
    <w:p w14:paraId="3533FDC0" w14:textId="264079DD" w:rsidR="00287EB1" w:rsidRPr="006C4CD5" w:rsidRDefault="00287EB1" w:rsidP="00B966F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Celles-ci concernent les droits de propriété intellectuelle, la recherche prénormative, l’évaluation de la conformité et la normalisation, l’accès aux marchés publics, et les cadres réglementaires équitables et transparents.</w:t>
      </w:r>
    </w:p>
  </w:footnote>
  <w:footnote w:id="74">
    <w:p w14:paraId="7D74DABB" w14:textId="6F14AC58" w:rsidR="55B2CE3B" w:rsidRDefault="55B2CE3B" w:rsidP="00563C3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Celles-ci concernent la science ouverte, l’éthique et l’intégrité de la recherche, la mobilité des chercheurs, et l’égalité entre les hommes et les femmes dans la R&amp;I.</w:t>
      </w:r>
    </w:p>
  </w:footnote>
  <w:footnote w:id="75">
    <w:p w14:paraId="3843D96A" w14:textId="41C877FB" w:rsidR="000C1323" w:rsidRDefault="000C1323" w:rsidP="00563C3A">
      <w:pPr>
        <w:pStyle w:val="FootnoteText"/>
        <w:jc w:val="both"/>
      </w:pPr>
      <w:r>
        <w:rPr>
          <w:rStyle w:val="FootnoteReference"/>
        </w:rPr>
        <w:footnoteRef/>
      </w:r>
      <w:r>
        <w:t xml:space="preserve"> </w:t>
      </w:r>
      <w:r>
        <w:rPr>
          <w:rFonts w:ascii="Times New Roman" w:hAnsi="Times New Roman"/>
        </w:rPr>
        <w:t>Le programme de travail 2023-2024 d’Horizon Europe comprenait sept actions pour un budget total de 86 millions d’EUR cofinancé par l’UE et la Chine.</w:t>
      </w:r>
    </w:p>
  </w:footnote>
  <w:footnote w:id="76">
    <w:p w14:paraId="269A76C2" w14:textId="128FD91F" w:rsidR="00287EB1" w:rsidRPr="008E1B33" w:rsidRDefault="00287EB1" w:rsidP="00B966F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activités d’innovation sont des actions caractérisées par un haut niveau de développement technologique et une plus grande proximité avec le marché.</w:t>
      </w:r>
    </w:p>
  </w:footnote>
  <w:footnote w:id="77">
    <w:p w14:paraId="1233D475" w14:textId="5B9606A5" w:rsidR="00287EB1" w:rsidRPr="00F1363E" w:rsidRDefault="00287EB1" w:rsidP="006C4CD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https://ec.europa.eu/commission/presscorner/detail/fr/IP_23_596</w:t>
        </w:r>
      </w:hyperlink>
      <w:r>
        <w:t>.</w:t>
      </w:r>
      <w:r>
        <w:rPr>
          <w:rFonts w:ascii="Times New Roman" w:hAnsi="Times New Roman"/>
        </w:rPr>
        <w:t xml:space="preserve">  </w:t>
      </w:r>
    </w:p>
  </w:footnote>
  <w:footnote w:id="78">
    <w:p w14:paraId="5A818DE1" w14:textId="093D3900" w:rsidR="00EF5159" w:rsidRPr="0017745C" w:rsidRDefault="00EF5159">
      <w:pPr>
        <w:pStyle w:val="FootnoteText"/>
        <w:rPr>
          <w:rFonts w:ascii="Times New Roman" w:hAnsi="Times New Roman" w:cs="Times New Roman"/>
          <w:lang w:val="en-IE"/>
        </w:rPr>
      </w:pPr>
      <w:r>
        <w:rPr>
          <w:rStyle w:val="FootnoteReference"/>
          <w:rFonts w:ascii="Times New Roman" w:hAnsi="Times New Roman" w:cs="Times New Roman"/>
        </w:rPr>
        <w:footnoteRef/>
      </w:r>
      <w:r w:rsidRPr="0017745C">
        <w:rPr>
          <w:rFonts w:ascii="Times New Roman" w:hAnsi="Times New Roman"/>
          <w:lang w:val="en-IE"/>
        </w:rPr>
        <w:t xml:space="preserve"> JOIN(2025) 50 final.</w:t>
      </w:r>
    </w:p>
  </w:footnote>
  <w:footnote w:id="79">
    <w:p w14:paraId="37999EAD" w14:textId="77777777" w:rsidR="00CC3BC9" w:rsidRPr="0017745C" w:rsidRDefault="00CC3BC9" w:rsidP="00CC3BC9">
      <w:pPr>
        <w:pStyle w:val="FootnoteText"/>
        <w:rPr>
          <w:lang w:val="en-IE"/>
        </w:rPr>
      </w:pPr>
      <w:r>
        <w:rPr>
          <w:rStyle w:val="FootnoteReference"/>
        </w:rPr>
        <w:footnoteRef/>
      </w:r>
      <w:r w:rsidRPr="0017745C">
        <w:rPr>
          <w:lang w:val="en-IE"/>
        </w:rPr>
        <w:t xml:space="preserve"> </w:t>
      </w:r>
      <w:hyperlink r:id="rId44" w:history="1">
        <w:r w:rsidRPr="0017745C">
          <w:rPr>
            <w:rStyle w:val="Hyperlink"/>
            <w:rFonts w:ascii="Times New Roman" w:hAnsi="Times New Roman"/>
            <w:lang w:val="en-IE"/>
          </w:rPr>
          <w:t>https://research-and-innovation.ec.europa.eu/system/files/2023-07/ec_rtd_au-eu-innovation-agenda-final-version.pdf</w:t>
        </w:r>
      </w:hyperlink>
      <w:r w:rsidRPr="0017745C">
        <w:rPr>
          <w:lang w:val="en-IE"/>
        </w:rPr>
        <w:t xml:space="preserve">. </w:t>
      </w:r>
    </w:p>
  </w:footnote>
  <w:footnote w:id="80">
    <w:p w14:paraId="3D1A6E9F" w14:textId="77777777" w:rsidR="00CC3BC9" w:rsidRPr="00420217" w:rsidRDefault="00CC3BC9" w:rsidP="00CC3B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Programme de travail 2023-2024 d’Horizon Europe: 30 thèmes et budget total de 300 millions d’EUR.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0BA42" w14:textId="77777777" w:rsidR="00650C7D" w:rsidRPr="00650C7D" w:rsidRDefault="00650C7D" w:rsidP="00650C7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CB341" w14:textId="77777777" w:rsidR="00650C7D" w:rsidRPr="00650C7D" w:rsidRDefault="00650C7D" w:rsidP="00650C7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4AE86" w14:textId="77777777" w:rsidR="00650C7D" w:rsidRPr="00650C7D" w:rsidRDefault="00650C7D" w:rsidP="00650C7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CBEF" w14:textId="77777777" w:rsidR="00287EB1" w:rsidRDefault="00287E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D909E" w14:textId="77777777" w:rsidR="00287EB1" w:rsidRDefault="00287E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9798B" w14:textId="77777777" w:rsidR="00287EB1" w:rsidRDefault="00287E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B6BC5"/>
    <w:multiLevelType w:val="hybridMultilevel"/>
    <w:tmpl w:val="6414CC44"/>
    <w:lvl w:ilvl="0" w:tplc="28522B16">
      <w:start w:val="1"/>
      <w:numFmt w:val="decimal"/>
      <w:lvlText w:val="%1."/>
      <w:lvlJc w:val="left"/>
      <w:pPr>
        <w:ind w:left="4830" w:hanging="360"/>
      </w:pPr>
      <w:rPr>
        <w:rFonts w:hint="default"/>
      </w:rPr>
    </w:lvl>
    <w:lvl w:ilvl="1" w:tplc="18090003" w:tentative="1">
      <w:start w:val="1"/>
      <w:numFmt w:val="bullet"/>
      <w:lvlText w:val="o"/>
      <w:lvlJc w:val="left"/>
      <w:pPr>
        <w:ind w:left="5550" w:hanging="360"/>
      </w:pPr>
      <w:rPr>
        <w:rFonts w:ascii="Courier New" w:hAnsi="Courier New" w:cs="Courier New" w:hint="default"/>
      </w:rPr>
    </w:lvl>
    <w:lvl w:ilvl="2" w:tplc="18090005" w:tentative="1">
      <w:start w:val="1"/>
      <w:numFmt w:val="bullet"/>
      <w:lvlText w:val=""/>
      <w:lvlJc w:val="left"/>
      <w:pPr>
        <w:ind w:left="6270" w:hanging="360"/>
      </w:pPr>
      <w:rPr>
        <w:rFonts w:ascii="Wingdings" w:hAnsi="Wingdings" w:hint="default"/>
      </w:rPr>
    </w:lvl>
    <w:lvl w:ilvl="3" w:tplc="18090001" w:tentative="1">
      <w:start w:val="1"/>
      <w:numFmt w:val="bullet"/>
      <w:lvlText w:val=""/>
      <w:lvlJc w:val="left"/>
      <w:pPr>
        <w:ind w:left="6990" w:hanging="360"/>
      </w:pPr>
      <w:rPr>
        <w:rFonts w:ascii="Symbol" w:hAnsi="Symbol" w:hint="default"/>
      </w:rPr>
    </w:lvl>
    <w:lvl w:ilvl="4" w:tplc="18090003" w:tentative="1">
      <w:start w:val="1"/>
      <w:numFmt w:val="bullet"/>
      <w:lvlText w:val="o"/>
      <w:lvlJc w:val="left"/>
      <w:pPr>
        <w:ind w:left="7710" w:hanging="360"/>
      </w:pPr>
      <w:rPr>
        <w:rFonts w:ascii="Courier New" w:hAnsi="Courier New" w:cs="Courier New" w:hint="default"/>
      </w:rPr>
    </w:lvl>
    <w:lvl w:ilvl="5" w:tplc="18090005" w:tentative="1">
      <w:start w:val="1"/>
      <w:numFmt w:val="bullet"/>
      <w:lvlText w:val=""/>
      <w:lvlJc w:val="left"/>
      <w:pPr>
        <w:ind w:left="8430" w:hanging="360"/>
      </w:pPr>
      <w:rPr>
        <w:rFonts w:ascii="Wingdings" w:hAnsi="Wingdings" w:hint="default"/>
      </w:rPr>
    </w:lvl>
    <w:lvl w:ilvl="6" w:tplc="18090001" w:tentative="1">
      <w:start w:val="1"/>
      <w:numFmt w:val="bullet"/>
      <w:lvlText w:val=""/>
      <w:lvlJc w:val="left"/>
      <w:pPr>
        <w:ind w:left="9150" w:hanging="360"/>
      </w:pPr>
      <w:rPr>
        <w:rFonts w:ascii="Symbol" w:hAnsi="Symbol" w:hint="default"/>
      </w:rPr>
    </w:lvl>
    <w:lvl w:ilvl="7" w:tplc="18090003" w:tentative="1">
      <w:start w:val="1"/>
      <w:numFmt w:val="bullet"/>
      <w:lvlText w:val="o"/>
      <w:lvlJc w:val="left"/>
      <w:pPr>
        <w:ind w:left="9870" w:hanging="360"/>
      </w:pPr>
      <w:rPr>
        <w:rFonts w:ascii="Courier New" w:hAnsi="Courier New" w:cs="Courier New" w:hint="default"/>
      </w:rPr>
    </w:lvl>
    <w:lvl w:ilvl="8" w:tplc="18090005" w:tentative="1">
      <w:start w:val="1"/>
      <w:numFmt w:val="bullet"/>
      <w:lvlText w:val=""/>
      <w:lvlJc w:val="left"/>
      <w:pPr>
        <w:ind w:left="10590" w:hanging="360"/>
      </w:pPr>
      <w:rPr>
        <w:rFonts w:ascii="Wingdings" w:hAnsi="Wingdings" w:hint="default"/>
      </w:rPr>
    </w:lvl>
  </w:abstractNum>
  <w:abstractNum w:abstractNumId="1" w15:restartNumberingAfterBreak="0">
    <w:nsid w:val="07A57D6E"/>
    <w:multiLevelType w:val="hybridMultilevel"/>
    <w:tmpl w:val="649087EE"/>
    <w:lvl w:ilvl="0" w:tplc="18090001">
      <w:start w:val="1"/>
      <w:numFmt w:val="bullet"/>
      <w:lvlText w:val=""/>
      <w:lvlJc w:val="left"/>
      <w:pPr>
        <w:ind w:left="360" w:hanging="360"/>
      </w:pPr>
      <w:rPr>
        <w:rFonts w:ascii="Symbol" w:hAnsi="Symbol"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5DC5DD1"/>
    <w:multiLevelType w:val="hybridMultilevel"/>
    <w:tmpl w:val="B412A338"/>
    <w:lvl w:ilvl="0" w:tplc="18090001">
      <w:start w:val="1"/>
      <w:numFmt w:val="bullet"/>
      <w:lvlText w:val=""/>
      <w:lvlJc w:val="left"/>
      <w:pPr>
        <w:ind w:left="360" w:hanging="360"/>
      </w:pPr>
      <w:rPr>
        <w:rFonts w:ascii="Symbol" w:hAnsi="Symbol"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457D41"/>
    <w:multiLevelType w:val="hybridMultilevel"/>
    <w:tmpl w:val="18168618"/>
    <w:lvl w:ilvl="0" w:tplc="A5E6DE6C">
      <w:start w:val="1"/>
      <w:numFmt w:val="bullet"/>
      <w:lvlText w:val=""/>
      <w:lvlJc w:val="left"/>
      <w:pPr>
        <w:ind w:left="720" w:hanging="360"/>
      </w:pPr>
      <w:rPr>
        <w:rFonts w:ascii="Symbol" w:hAnsi="Symbol" w:hint="default"/>
      </w:rPr>
    </w:lvl>
    <w:lvl w:ilvl="1" w:tplc="898888A2">
      <w:start w:val="1"/>
      <w:numFmt w:val="bullet"/>
      <w:lvlText w:val="o"/>
      <w:lvlJc w:val="left"/>
      <w:pPr>
        <w:ind w:left="1440" w:hanging="360"/>
      </w:pPr>
      <w:rPr>
        <w:rFonts w:ascii="Courier New" w:hAnsi="Courier New" w:hint="default"/>
      </w:rPr>
    </w:lvl>
    <w:lvl w:ilvl="2" w:tplc="3ABC8876">
      <w:start w:val="1"/>
      <w:numFmt w:val="bullet"/>
      <w:lvlText w:val=""/>
      <w:lvlJc w:val="left"/>
      <w:pPr>
        <w:ind w:left="2160" w:hanging="360"/>
      </w:pPr>
      <w:rPr>
        <w:rFonts w:ascii="Wingdings" w:hAnsi="Wingdings" w:hint="default"/>
      </w:rPr>
    </w:lvl>
    <w:lvl w:ilvl="3" w:tplc="B5228F12">
      <w:start w:val="1"/>
      <w:numFmt w:val="bullet"/>
      <w:lvlText w:val=""/>
      <w:lvlJc w:val="left"/>
      <w:pPr>
        <w:ind w:left="2880" w:hanging="360"/>
      </w:pPr>
      <w:rPr>
        <w:rFonts w:ascii="Symbol" w:hAnsi="Symbol" w:hint="default"/>
      </w:rPr>
    </w:lvl>
    <w:lvl w:ilvl="4" w:tplc="48B0E668">
      <w:start w:val="1"/>
      <w:numFmt w:val="bullet"/>
      <w:lvlText w:val="o"/>
      <w:lvlJc w:val="left"/>
      <w:pPr>
        <w:ind w:left="3600" w:hanging="360"/>
      </w:pPr>
      <w:rPr>
        <w:rFonts w:ascii="Courier New" w:hAnsi="Courier New" w:hint="default"/>
      </w:rPr>
    </w:lvl>
    <w:lvl w:ilvl="5" w:tplc="C44AE0FA">
      <w:start w:val="1"/>
      <w:numFmt w:val="bullet"/>
      <w:lvlText w:val=""/>
      <w:lvlJc w:val="left"/>
      <w:pPr>
        <w:ind w:left="4320" w:hanging="360"/>
      </w:pPr>
      <w:rPr>
        <w:rFonts w:ascii="Wingdings" w:hAnsi="Wingdings" w:hint="default"/>
      </w:rPr>
    </w:lvl>
    <w:lvl w:ilvl="6" w:tplc="6E84496E">
      <w:start w:val="1"/>
      <w:numFmt w:val="bullet"/>
      <w:lvlText w:val=""/>
      <w:lvlJc w:val="left"/>
      <w:pPr>
        <w:ind w:left="5040" w:hanging="360"/>
      </w:pPr>
      <w:rPr>
        <w:rFonts w:ascii="Symbol" w:hAnsi="Symbol" w:hint="default"/>
      </w:rPr>
    </w:lvl>
    <w:lvl w:ilvl="7" w:tplc="91EA5EEA">
      <w:start w:val="1"/>
      <w:numFmt w:val="bullet"/>
      <w:lvlText w:val="o"/>
      <w:lvlJc w:val="left"/>
      <w:pPr>
        <w:ind w:left="5760" w:hanging="360"/>
      </w:pPr>
      <w:rPr>
        <w:rFonts w:ascii="Courier New" w:hAnsi="Courier New" w:hint="default"/>
      </w:rPr>
    </w:lvl>
    <w:lvl w:ilvl="8" w:tplc="A58A492E">
      <w:start w:val="1"/>
      <w:numFmt w:val="bullet"/>
      <w:lvlText w:val=""/>
      <w:lvlJc w:val="left"/>
      <w:pPr>
        <w:ind w:left="6480" w:hanging="360"/>
      </w:pPr>
      <w:rPr>
        <w:rFonts w:ascii="Wingdings" w:hAnsi="Wingdings" w:hint="default"/>
      </w:rPr>
    </w:lvl>
  </w:abstractNum>
  <w:abstractNum w:abstractNumId="4" w15:restartNumberingAfterBreak="0">
    <w:nsid w:val="1DC428FC"/>
    <w:multiLevelType w:val="hybridMultilevel"/>
    <w:tmpl w:val="F23C82FE"/>
    <w:lvl w:ilvl="0" w:tplc="18090001">
      <w:start w:val="1"/>
      <w:numFmt w:val="bullet"/>
      <w:lvlText w:val=""/>
      <w:lvlJc w:val="left"/>
      <w:pPr>
        <w:ind w:left="360" w:hanging="360"/>
      </w:pPr>
      <w:rPr>
        <w:rFonts w:ascii="Symbol" w:hAnsi="Symbol"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D166AA3"/>
    <w:multiLevelType w:val="hybridMultilevel"/>
    <w:tmpl w:val="5C22F016"/>
    <w:lvl w:ilvl="0" w:tplc="10C6E3E6">
      <w:start w:val="1"/>
      <w:numFmt w:val="bullet"/>
      <w:lvlText w:val=""/>
      <w:lvlJc w:val="left"/>
      <w:pPr>
        <w:ind w:left="720" w:hanging="360"/>
      </w:pPr>
      <w:rPr>
        <w:rFonts w:ascii="Symbol" w:hAnsi="Symbol" w:hint="default"/>
      </w:rPr>
    </w:lvl>
    <w:lvl w:ilvl="1" w:tplc="905EE230">
      <w:start w:val="1"/>
      <w:numFmt w:val="bullet"/>
      <w:lvlText w:val="o"/>
      <w:lvlJc w:val="left"/>
      <w:pPr>
        <w:ind w:left="1440" w:hanging="360"/>
      </w:pPr>
      <w:rPr>
        <w:rFonts w:ascii="Courier New" w:hAnsi="Courier New" w:hint="default"/>
      </w:rPr>
    </w:lvl>
    <w:lvl w:ilvl="2" w:tplc="D73CA15C">
      <w:start w:val="1"/>
      <w:numFmt w:val="bullet"/>
      <w:lvlText w:val=""/>
      <w:lvlJc w:val="left"/>
      <w:pPr>
        <w:ind w:left="2160" w:hanging="360"/>
      </w:pPr>
      <w:rPr>
        <w:rFonts w:ascii="Wingdings" w:hAnsi="Wingdings" w:hint="default"/>
      </w:rPr>
    </w:lvl>
    <w:lvl w:ilvl="3" w:tplc="EB0CC110">
      <w:start w:val="1"/>
      <w:numFmt w:val="bullet"/>
      <w:lvlText w:val=""/>
      <w:lvlJc w:val="left"/>
      <w:pPr>
        <w:ind w:left="2880" w:hanging="360"/>
      </w:pPr>
      <w:rPr>
        <w:rFonts w:ascii="Symbol" w:hAnsi="Symbol" w:hint="default"/>
      </w:rPr>
    </w:lvl>
    <w:lvl w:ilvl="4" w:tplc="1D2448EE">
      <w:start w:val="1"/>
      <w:numFmt w:val="bullet"/>
      <w:lvlText w:val="o"/>
      <w:lvlJc w:val="left"/>
      <w:pPr>
        <w:ind w:left="3600" w:hanging="360"/>
      </w:pPr>
      <w:rPr>
        <w:rFonts w:ascii="Courier New" w:hAnsi="Courier New" w:hint="default"/>
      </w:rPr>
    </w:lvl>
    <w:lvl w:ilvl="5" w:tplc="54AEEF56">
      <w:start w:val="1"/>
      <w:numFmt w:val="bullet"/>
      <w:lvlText w:val=""/>
      <w:lvlJc w:val="left"/>
      <w:pPr>
        <w:ind w:left="4320" w:hanging="360"/>
      </w:pPr>
      <w:rPr>
        <w:rFonts w:ascii="Wingdings" w:hAnsi="Wingdings" w:hint="default"/>
      </w:rPr>
    </w:lvl>
    <w:lvl w:ilvl="6" w:tplc="4A52BB32">
      <w:start w:val="1"/>
      <w:numFmt w:val="bullet"/>
      <w:lvlText w:val=""/>
      <w:lvlJc w:val="left"/>
      <w:pPr>
        <w:ind w:left="5040" w:hanging="360"/>
      </w:pPr>
      <w:rPr>
        <w:rFonts w:ascii="Symbol" w:hAnsi="Symbol" w:hint="default"/>
      </w:rPr>
    </w:lvl>
    <w:lvl w:ilvl="7" w:tplc="F824412E">
      <w:start w:val="1"/>
      <w:numFmt w:val="bullet"/>
      <w:lvlText w:val="o"/>
      <w:lvlJc w:val="left"/>
      <w:pPr>
        <w:ind w:left="5760" w:hanging="360"/>
      </w:pPr>
      <w:rPr>
        <w:rFonts w:ascii="Courier New" w:hAnsi="Courier New" w:hint="default"/>
      </w:rPr>
    </w:lvl>
    <w:lvl w:ilvl="8" w:tplc="F782CB66">
      <w:start w:val="1"/>
      <w:numFmt w:val="bullet"/>
      <w:lvlText w:val=""/>
      <w:lvlJc w:val="left"/>
      <w:pPr>
        <w:ind w:left="6480" w:hanging="360"/>
      </w:pPr>
      <w:rPr>
        <w:rFonts w:ascii="Wingdings" w:hAnsi="Wingdings" w:hint="default"/>
      </w:rPr>
    </w:lvl>
  </w:abstractNum>
  <w:abstractNum w:abstractNumId="6" w15:restartNumberingAfterBreak="0">
    <w:nsid w:val="2FC30831"/>
    <w:multiLevelType w:val="multilevel"/>
    <w:tmpl w:val="718A4B20"/>
    <w:lvl w:ilvl="0">
      <w:start w:val="1"/>
      <w:numFmt w:val="decimal"/>
      <w:lvlText w:val="%1."/>
      <w:lvlJc w:val="left"/>
      <w:pPr>
        <w:ind w:left="360" w:hanging="360"/>
      </w:pPr>
      <w:rPr>
        <w:rFonts w:hint="default"/>
      </w:rPr>
    </w:lvl>
    <w:lvl w:ilvl="1">
      <w:start w:val="1"/>
      <w:numFmt w:val="decimal"/>
      <w:lvlText w:val="%1.%2."/>
      <w:lvlJc w:val="left"/>
      <w:pPr>
        <w:ind w:left="4543"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B23583"/>
    <w:multiLevelType w:val="hybridMultilevel"/>
    <w:tmpl w:val="E328FA34"/>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B7C4778"/>
    <w:multiLevelType w:val="hybridMultilevel"/>
    <w:tmpl w:val="F19C864A"/>
    <w:lvl w:ilvl="0" w:tplc="456EFD92">
      <w:start w:val="1"/>
      <w:numFmt w:val="decimal"/>
      <w:lvlText w:val="%1."/>
      <w:lvlJc w:val="left"/>
      <w:pPr>
        <w:tabs>
          <w:tab w:val="num" w:pos="720"/>
        </w:tabs>
        <w:ind w:left="720" w:hanging="360"/>
      </w:pPr>
    </w:lvl>
    <w:lvl w:ilvl="1" w:tplc="8940C618" w:tentative="1">
      <w:start w:val="1"/>
      <w:numFmt w:val="decimal"/>
      <w:lvlText w:val="%2."/>
      <w:lvlJc w:val="left"/>
      <w:pPr>
        <w:tabs>
          <w:tab w:val="num" w:pos="1440"/>
        </w:tabs>
        <w:ind w:left="1440" w:hanging="360"/>
      </w:pPr>
    </w:lvl>
    <w:lvl w:ilvl="2" w:tplc="2E76C458" w:tentative="1">
      <w:start w:val="1"/>
      <w:numFmt w:val="decimal"/>
      <w:lvlText w:val="%3."/>
      <w:lvlJc w:val="left"/>
      <w:pPr>
        <w:tabs>
          <w:tab w:val="num" w:pos="2160"/>
        </w:tabs>
        <w:ind w:left="2160" w:hanging="360"/>
      </w:pPr>
    </w:lvl>
    <w:lvl w:ilvl="3" w:tplc="1EBA0F6C" w:tentative="1">
      <w:start w:val="1"/>
      <w:numFmt w:val="decimal"/>
      <w:lvlText w:val="%4."/>
      <w:lvlJc w:val="left"/>
      <w:pPr>
        <w:tabs>
          <w:tab w:val="num" w:pos="2880"/>
        </w:tabs>
        <w:ind w:left="2880" w:hanging="360"/>
      </w:pPr>
    </w:lvl>
    <w:lvl w:ilvl="4" w:tplc="1CD80DB6" w:tentative="1">
      <w:start w:val="1"/>
      <w:numFmt w:val="decimal"/>
      <w:lvlText w:val="%5."/>
      <w:lvlJc w:val="left"/>
      <w:pPr>
        <w:tabs>
          <w:tab w:val="num" w:pos="3600"/>
        </w:tabs>
        <w:ind w:left="3600" w:hanging="360"/>
      </w:pPr>
    </w:lvl>
    <w:lvl w:ilvl="5" w:tplc="5B8A54E4" w:tentative="1">
      <w:start w:val="1"/>
      <w:numFmt w:val="decimal"/>
      <w:lvlText w:val="%6."/>
      <w:lvlJc w:val="left"/>
      <w:pPr>
        <w:tabs>
          <w:tab w:val="num" w:pos="4320"/>
        </w:tabs>
        <w:ind w:left="4320" w:hanging="360"/>
      </w:pPr>
    </w:lvl>
    <w:lvl w:ilvl="6" w:tplc="3440E236" w:tentative="1">
      <w:start w:val="1"/>
      <w:numFmt w:val="decimal"/>
      <w:lvlText w:val="%7."/>
      <w:lvlJc w:val="left"/>
      <w:pPr>
        <w:tabs>
          <w:tab w:val="num" w:pos="5040"/>
        </w:tabs>
        <w:ind w:left="5040" w:hanging="360"/>
      </w:pPr>
    </w:lvl>
    <w:lvl w:ilvl="7" w:tplc="F6443A4A" w:tentative="1">
      <w:start w:val="1"/>
      <w:numFmt w:val="decimal"/>
      <w:lvlText w:val="%8."/>
      <w:lvlJc w:val="left"/>
      <w:pPr>
        <w:tabs>
          <w:tab w:val="num" w:pos="5760"/>
        </w:tabs>
        <w:ind w:left="5760" w:hanging="360"/>
      </w:pPr>
    </w:lvl>
    <w:lvl w:ilvl="8" w:tplc="8BDC0058" w:tentative="1">
      <w:start w:val="1"/>
      <w:numFmt w:val="decimal"/>
      <w:lvlText w:val="%9."/>
      <w:lvlJc w:val="left"/>
      <w:pPr>
        <w:tabs>
          <w:tab w:val="num" w:pos="6480"/>
        </w:tabs>
        <w:ind w:left="6480" w:hanging="360"/>
      </w:pPr>
    </w:lvl>
  </w:abstractNum>
  <w:abstractNum w:abstractNumId="9" w15:restartNumberingAfterBreak="0">
    <w:nsid w:val="3EC5B999"/>
    <w:multiLevelType w:val="hybridMultilevel"/>
    <w:tmpl w:val="770ED110"/>
    <w:lvl w:ilvl="0" w:tplc="F830CCA4">
      <w:start w:val="1"/>
      <w:numFmt w:val="bullet"/>
      <w:lvlText w:val="§"/>
      <w:lvlJc w:val="left"/>
      <w:pPr>
        <w:ind w:left="720" w:hanging="360"/>
      </w:pPr>
      <w:rPr>
        <w:rFonts w:ascii="Wingdings" w:hAnsi="Wingdings" w:hint="default"/>
      </w:rPr>
    </w:lvl>
    <w:lvl w:ilvl="1" w:tplc="6E02A4CE">
      <w:start w:val="1"/>
      <w:numFmt w:val="bullet"/>
      <w:lvlText w:val="o"/>
      <w:lvlJc w:val="left"/>
      <w:pPr>
        <w:ind w:left="1440" w:hanging="360"/>
      </w:pPr>
      <w:rPr>
        <w:rFonts w:ascii="Courier New" w:hAnsi="Courier New" w:hint="default"/>
      </w:rPr>
    </w:lvl>
    <w:lvl w:ilvl="2" w:tplc="F60CF056">
      <w:start w:val="1"/>
      <w:numFmt w:val="bullet"/>
      <w:lvlText w:val=""/>
      <w:lvlJc w:val="left"/>
      <w:pPr>
        <w:ind w:left="2160" w:hanging="360"/>
      </w:pPr>
      <w:rPr>
        <w:rFonts w:ascii="Wingdings" w:hAnsi="Wingdings" w:hint="default"/>
      </w:rPr>
    </w:lvl>
    <w:lvl w:ilvl="3" w:tplc="C0702894">
      <w:start w:val="1"/>
      <w:numFmt w:val="bullet"/>
      <w:lvlText w:val=""/>
      <w:lvlJc w:val="left"/>
      <w:pPr>
        <w:ind w:left="2880" w:hanging="360"/>
      </w:pPr>
      <w:rPr>
        <w:rFonts w:ascii="Symbol" w:hAnsi="Symbol" w:hint="default"/>
      </w:rPr>
    </w:lvl>
    <w:lvl w:ilvl="4" w:tplc="1E8E9EC2">
      <w:start w:val="1"/>
      <w:numFmt w:val="bullet"/>
      <w:lvlText w:val="o"/>
      <w:lvlJc w:val="left"/>
      <w:pPr>
        <w:ind w:left="3600" w:hanging="360"/>
      </w:pPr>
      <w:rPr>
        <w:rFonts w:ascii="Courier New" w:hAnsi="Courier New" w:hint="default"/>
      </w:rPr>
    </w:lvl>
    <w:lvl w:ilvl="5" w:tplc="E08CDCC2">
      <w:start w:val="1"/>
      <w:numFmt w:val="bullet"/>
      <w:lvlText w:val=""/>
      <w:lvlJc w:val="left"/>
      <w:pPr>
        <w:ind w:left="4320" w:hanging="360"/>
      </w:pPr>
      <w:rPr>
        <w:rFonts w:ascii="Wingdings" w:hAnsi="Wingdings" w:hint="default"/>
      </w:rPr>
    </w:lvl>
    <w:lvl w:ilvl="6" w:tplc="BFF0F980">
      <w:start w:val="1"/>
      <w:numFmt w:val="bullet"/>
      <w:lvlText w:val=""/>
      <w:lvlJc w:val="left"/>
      <w:pPr>
        <w:ind w:left="5040" w:hanging="360"/>
      </w:pPr>
      <w:rPr>
        <w:rFonts w:ascii="Symbol" w:hAnsi="Symbol" w:hint="default"/>
      </w:rPr>
    </w:lvl>
    <w:lvl w:ilvl="7" w:tplc="6E924930">
      <w:start w:val="1"/>
      <w:numFmt w:val="bullet"/>
      <w:lvlText w:val="o"/>
      <w:lvlJc w:val="left"/>
      <w:pPr>
        <w:ind w:left="5760" w:hanging="360"/>
      </w:pPr>
      <w:rPr>
        <w:rFonts w:ascii="Courier New" w:hAnsi="Courier New" w:hint="default"/>
      </w:rPr>
    </w:lvl>
    <w:lvl w:ilvl="8" w:tplc="419C6968">
      <w:start w:val="1"/>
      <w:numFmt w:val="bullet"/>
      <w:lvlText w:val=""/>
      <w:lvlJc w:val="left"/>
      <w:pPr>
        <w:ind w:left="6480" w:hanging="360"/>
      </w:pPr>
      <w:rPr>
        <w:rFonts w:ascii="Wingdings" w:hAnsi="Wingdings" w:hint="default"/>
      </w:rPr>
    </w:lvl>
  </w:abstractNum>
  <w:abstractNum w:abstractNumId="10" w15:restartNumberingAfterBreak="0">
    <w:nsid w:val="3FE8F0CC"/>
    <w:multiLevelType w:val="hybridMultilevel"/>
    <w:tmpl w:val="F8D4958E"/>
    <w:lvl w:ilvl="0" w:tplc="EFAADED6">
      <w:start w:val="1"/>
      <w:numFmt w:val="bullet"/>
      <w:lvlText w:val=""/>
      <w:lvlJc w:val="left"/>
      <w:pPr>
        <w:ind w:left="720" w:hanging="360"/>
      </w:pPr>
      <w:rPr>
        <w:rFonts w:ascii="Symbol" w:hAnsi="Symbol" w:hint="default"/>
      </w:rPr>
    </w:lvl>
    <w:lvl w:ilvl="1" w:tplc="4268FB10">
      <w:start w:val="1"/>
      <w:numFmt w:val="bullet"/>
      <w:lvlText w:val="o"/>
      <w:lvlJc w:val="left"/>
      <w:pPr>
        <w:ind w:left="1440" w:hanging="360"/>
      </w:pPr>
      <w:rPr>
        <w:rFonts w:ascii="Courier New" w:hAnsi="Courier New" w:hint="default"/>
      </w:rPr>
    </w:lvl>
    <w:lvl w:ilvl="2" w:tplc="2A4E7E1C">
      <w:start w:val="1"/>
      <w:numFmt w:val="bullet"/>
      <w:lvlText w:val=""/>
      <w:lvlJc w:val="left"/>
      <w:pPr>
        <w:ind w:left="2160" w:hanging="360"/>
      </w:pPr>
      <w:rPr>
        <w:rFonts w:ascii="Wingdings" w:hAnsi="Wingdings" w:hint="default"/>
      </w:rPr>
    </w:lvl>
    <w:lvl w:ilvl="3" w:tplc="9A506B92">
      <w:start w:val="1"/>
      <w:numFmt w:val="bullet"/>
      <w:lvlText w:val=""/>
      <w:lvlJc w:val="left"/>
      <w:pPr>
        <w:ind w:left="2880" w:hanging="360"/>
      </w:pPr>
      <w:rPr>
        <w:rFonts w:ascii="Symbol" w:hAnsi="Symbol" w:hint="default"/>
      </w:rPr>
    </w:lvl>
    <w:lvl w:ilvl="4" w:tplc="387A328A">
      <w:start w:val="1"/>
      <w:numFmt w:val="bullet"/>
      <w:lvlText w:val="o"/>
      <w:lvlJc w:val="left"/>
      <w:pPr>
        <w:ind w:left="3600" w:hanging="360"/>
      </w:pPr>
      <w:rPr>
        <w:rFonts w:ascii="Courier New" w:hAnsi="Courier New" w:hint="default"/>
      </w:rPr>
    </w:lvl>
    <w:lvl w:ilvl="5" w:tplc="33C6BA28">
      <w:start w:val="1"/>
      <w:numFmt w:val="bullet"/>
      <w:lvlText w:val=""/>
      <w:lvlJc w:val="left"/>
      <w:pPr>
        <w:ind w:left="4320" w:hanging="360"/>
      </w:pPr>
      <w:rPr>
        <w:rFonts w:ascii="Wingdings" w:hAnsi="Wingdings" w:hint="default"/>
      </w:rPr>
    </w:lvl>
    <w:lvl w:ilvl="6" w:tplc="3A1EEF9E">
      <w:start w:val="1"/>
      <w:numFmt w:val="bullet"/>
      <w:lvlText w:val=""/>
      <w:lvlJc w:val="left"/>
      <w:pPr>
        <w:ind w:left="5040" w:hanging="360"/>
      </w:pPr>
      <w:rPr>
        <w:rFonts w:ascii="Symbol" w:hAnsi="Symbol" w:hint="default"/>
      </w:rPr>
    </w:lvl>
    <w:lvl w:ilvl="7" w:tplc="4920C910">
      <w:start w:val="1"/>
      <w:numFmt w:val="bullet"/>
      <w:lvlText w:val="o"/>
      <w:lvlJc w:val="left"/>
      <w:pPr>
        <w:ind w:left="5760" w:hanging="360"/>
      </w:pPr>
      <w:rPr>
        <w:rFonts w:ascii="Courier New" w:hAnsi="Courier New" w:hint="default"/>
      </w:rPr>
    </w:lvl>
    <w:lvl w:ilvl="8" w:tplc="020A9638">
      <w:start w:val="1"/>
      <w:numFmt w:val="bullet"/>
      <w:lvlText w:val=""/>
      <w:lvlJc w:val="left"/>
      <w:pPr>
        <w:ind w:left="6480" w:hanging="360"/>
      </w:pPr>
      <w:rPr>
        <w:rFonts w:ascii="Wingdings" w:hAnsi="Wingdings" w:hint="default"/>
      </w:rPr>
    </w:lvl>
  </w:abstractNum>
  <w:abstractNum w:abstractNumId="11" w15:restartNumberingAfterBreak="0">
    <w:nsid w:val="4021E2B8"/>
    <w:multiLevelType w:val="hybridMultilevel"/>
    <w:tmpl w:val="755836B6"/>
    <w:lvl w:ilvl="0" w:tplc="2F901D94">
      <w:start w:val="1"/>
      <w:numFmt w:val="bullet"/>
      <w:lvlText w:val="·"/>
      <w:lvlJc w:val="left"/>
      <w:pPr>
        <w:ind w:left="720" w:hanging="360"/>
      </w:pPr>
      <w:rPr>
        <w:rFonts w:ascii="Symbol" w:hAnsi="Symbol" w:hint="default"/>
      </w:rPr>
    </w:lvl>
    <w:lvl w:ilvl="1" w:tplc="30022C96">
      <w:start w:val="1"/>
      <w:numFmt w:val="bullet"/>
      <w:lvlText w:val="o"/>
      <w:lvlJc w:val="left"/>
      <w:pPr>
        <w:ind w:left="1440" w:hanging="360"/>
      </w:pPr>
      <w:rPr>
        <w:rFonts w:ascii="Courier New" w:hAnsi="Courier New" w:hint="default"/>
      </w:rPr>
    </w:lvl>
    <w:lvl w:ilvl="2" w:tplc="F822E380">
      <w:start w:val="1"/>
      <w:numFmt w:val="bullet"/>
      <w:lvlText w:val=""/>
      <w:lvlJc w:val="left"/>
      <w:pPr>
        <w:ind w:left="2160" w:hanging="360"/>
      </w:pPr>
      <w:rPr>
        <w:rFonts w:ascii="Wingdings" w:hAnsi="Wingdings" w:hint="default"/>
      </w:rPr>
    </w:lvl>
    <w:lvl w:ilvl="3" w:tplc="63DA2652">
      <w:start w:val="1"/>
      <w:numFmt w:val="bullet"/>
      <w:lvlText w:val=""/>
      <w:lvlJc w:val="left"/>
      <w:pPr>
        <w:ind w:left="2880" w:hanging="360"/>
      </w:pPr>
      <w:rPr>
        <w:rFonts w:ascii="Symbol" w:hAnsi="Symbol" w:hint="default"/>
      </w:rPr>
    </w:lvl>
    <w:lvl w:ilvl="4" w:tplc="8766B4A6">
      <w:start w:val="1"/>
      <w:numFmt w:val="bullet"/>
      <w:lvlText w:val="o"/>
      <w:lvlJc w:val="left"/>
      <w:pPr>
        <w:ind w:left="3600" w:hanging="360"/>
      </w:pPr>
      <w:rPr>
        <w:rFonts w:ascii="Courier New" w:hAnsi="Courier New" w:hint="default"/>
      </w:rPr>
    </w:lvl>
    <w:lvl w:ilvl="5" w:tplc="C59CACAE">
      <w:start w:val="1"/>
      <w:numFmt w:val="bullet"/>
      <w:lvlText w:val=""/>
      <w:lvlJc w:val="left"/>
      <w:pPr>
        <w:ind w:left="4320" w:hanging="360"/>
      </w:pPr>
      <w:rPr>
        <w:rFonts w:ascii="Wingdings" w:hAnsi="Wingdings" w:hint="default"/>
      </w:rPr>
    </w:lvl>
    <w:lvl w:ilvl="6" w:tplc="2A5A3E42">
      <w:start w:val="1"/>
      <w:numFmt w:val="bullet"/>
      <w:lvlText w:val=""/>
      <w:lvlJc w:val="left"/>
      <w:pPr>
        <w:ind w:left="5040" w:hanging="360"/>
      </w:pPr>
      <w:rPr>
        <w:rFonts w:ascii="Symbol" w:hAnsi="Symbol" w:hint="default"/>
      </w:rPr>
    </w:lvl>
    <w:lvl w:ilvl="7" w:tplc="C956769E">
      <w:start w:val="1"/>
      <w:numFmt w:val="bullet"/>
      <w:lvlText w:val="o"/>
      <w:lvlJc w:val="left"/>
      <w:pPr>
        <w:ind w:left="5760" w:hanging="360"/>
      </w:pPr>
      <w:rPr>
        <w:rFonts w:ascii="Courier New" w:hAnsi="Courier New" w:hint="default"/>
      </w:rPr>
    </w:lvl>
    <w:lvl w:ilvl="8" w:tplc="22FEABC6">
      <w:start w:val="1"/>
      <w:numFmt w:val="bullet"/>
      <w:lvlText w:val=""/>
      <w:lvlJc w:val="left"/>
      <w:pPr>
        <w:ind w:left="6480" w:hanging="360"/>
      </w:pPr>
      <w:rPr>
        <w:rFonts w:ascii="Wingdings" w:hAnsi="Wingdings" w:hint="default"/>
      </w:rPr>
    </w:lvl>
  </w:abstractNum>
  <w:abstractNum w:abstractNumId="12" w15:restartNumberingAfterBreak="0">
    <w:nsid w:val="424A5874"/>
    <w:multiLevelType w:val="hybridMultilevel"/>
    <w:tmpl w:val="292247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B018DE"/>
    <w:multiLevelType w:val="hybridMultilevel"/>
    <w:tmpl w:val="DADE04A8"/>
    <w:lvl w:ilvl="0" w:tplc="EA846214">
      <w:start w:val="1"/>
      <w:numFmt w:val="decimal"/>
      <w:lvlText w:val="%1."/>
      <w:lvlJc w:val="left"/>
      <w:pPr>
        <w:ind w:left="720" w:hanging="360"/>
      </w:pPr>
      <w:rPr>
        <w:rFonts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B0F3A38"/>
    <w:multiLevelType w:val="hybridMultilevel"/>
    <w:tmpl w:val="F438A5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EC2942F"/>
    <w:multiLevelType w:val="hybridMultilevel"/>
    <w:tmpl w:val="FA1A475C"/>
    <w:lvl w:ilvl="0" w:tplc="241A5A30">
      <w:start w:val="1"/>
      <w:numFmt w:val="bullet"/>
      <w:lvlText w:val=""/>
      <w:lvlJc w:val="left"/>
      <w:pPr>
        <w:ind w:left="720" w:hanging="360"/>
      </w:pPr>
      <w:rPr>
        <w:rFonts w:ascii="Symbol" w:hAnsi="Symbol" w:hint="default"/>
      </w:rPr>
    </w:lvl>
    <w:lvl w:ilvl="1" w:tplc="5DEA4722">
      <w:start w:val="1"/>
      <w:numFmt w:val="bullet"/>
      <w:lvlText w:val="o"/>
      <w:lvlJc w:val="left"/>
      <w:pPr>
        <w:ind w:left="1440" w:hanging="360"/>
      </w:pPr>
      <w:rPr>
        <w:rFonts w:ascii="Courier New" w:hAnsi="Courier New" w:hint="default"/>
      </w:rPr>
    </w:lvl>
    <w:lvl w:ilvl="2" w:tplc="503A494E">
      <w:start w:val="1"/>
      <w:numFmt w:val="bullet"/>
      <w:lvlText w:val=""/>
      <w:lvlJc w:val="left"/>
      <w:pPr>
        <w:ind w:left="2160" w:hanging="360"/>
      </w:pPr>
      <w:rPr>
        <w:rFonts w:ascii="Wingdings" w:hAnsi="Wingdings" w:hint="default"/>
      </w:rPr>
    </w:lvl>
    <w:lvl w:ilvl="3" w:tplc="A9BAE9BC">
      <w:start w:val="1"/>
      <w:numFmt w:val="bullet"/>
      <w:lvlText w:val=""/>
      <w:lvlJc w:val="left"/>
      <w:pPr>
        <w:ind w:left="2880" w:hanging="360"/>
      </w:pPr>
      <w:rPr>
        <w:rFonts w:ascii="Symbol" w:hAnsi="Symbol" w:hint="default"/>
      </w:rPr>
    </w:lvl>
    <w:lvl w:ilvl="4" w:tplc="7AC2CBEE">
      <w:start w:val="1"/>
      <w:numFmt w:val="bullet"/>
      <w:lvlText w:val="o"/>
      <w:lvlJc w:val="left"/>
      <w:pPr>
        <w:ind w:left="3600" w:hanging="360"/>
      </w:pPr>
      <w:rPr>
        <w:rFonts w:ascii="Courier New" w:hAnsi="Courier New" w:hint="default"/>
      </w:rPr>
    </w:lvl>
    <w:lvl w:ilvl="5" w:tplc="E8E683A0">
      <w:start w:val="1"/>
      <w:numFmt w:val="bullet"/>
      <w:lvlText w:val=""/>
      <w:lvlJc w:val="left"/>
      <w:pPr>
        <w:ind w:left="4320" w:hanging="360"/>
      </w:pPr>
      <w:rPr>
        <w:rFonts w:ascii="Wingdings" w:hAnsi="Wingdings" w:hint="default"/>
      </w:rPr>
    </w:lvl>
    <w:lvl w:ilvl="6" w:tplc="1D9E9D0C">
      <w:start w:val="1"/>
      <w:numFmt w:val="bullet"/>
      <w:lvlText w:val=""/>
      <w:lvlJc w:val="left"/>
      <w:pPr>
        <w:ind w:left="5040" w:hanging="360"/>
      </w:pPr>
      <w:rPr>
        <w:rFonts w:ascii="Symbol" w:hAnsi="Symbol" w:hint="default"/>
      </w:rPr>
    </w:lvl>
    <w:lvl w:ilvl="7" w:tplc="4246F418">
      <w:start w:val="1"/>
      <w:numFmt w:val="bullet"/>
      <w:lvlText w:val="o"/>
      <w:lvlJc w:val="left"/>
      <w:pPr>
        <w:ind w:left="5760" w:hanging="360"/>
      </w:pPr>
      <w:rPr>
        <w:rFonts w:ascii="Courier New" w:hAnsi="Courier New" w:hint="default"/>
      </w:rPr>
    </w:lvl>
    <w:lvl w:ilvl="8" w:tplc="E1761996">
      <w:start w:val="1"/>
      <w:numFmt w:val="bullet"/>
      <w:lvlText w:val=""/>
      <w:lvlJc w:val="left"/>
      <w:pPr>
        <w:ind w:left="6480" w:hanging="360"/>
      </w:pPr>
      <w:rPr>
        <w:rFonts w:ascii="Wingdings" w:hAnsi="Wingdings" w:hint="default"/>
      </w:rPr>
    </w:lvl>
  </w:abstractNum>
  <w:abstractNum w:abstractNumId="16" w15:restartNumberingAfterBreak="0">
    <w:nsid w:val="4F91841B"/>
    <w:multiLevelType w:val="hybridMultilevel"/>
    <w:tmpl w:val="709A37C8"/>
    <w:lvl w:ilvl="0" w:tplc="56149408">
      <w:start w:val="1"/>
      <w:numFmt w:val="bullet"/>
      <w:lvlText w:val=""/>
      <w:lvlJc w:val="left"/>
      <w:pPr>
        <w:ind w:left="720" w:hanging="360"/>
      </w:pPr>
      <w:rPr>
        <w:rFonts w:ascii="Symbol" w:hAnsi="Symbol" w:hint="default"/>
      </w:rPr>
    </w:lvl>
    <w:lvl w:ilvl="1" w:tplc="7E109D98">
      <w:start w:val="1"/>
      <w:numFmt w:val="bullet"/>
      <w:lvlText w:val="o"/>
      <w:lvlJc w:val="left"/>
      <w:pPr>
        <w:ind w:left="1440" w:hanging="360"/>
      </w:pPr>
      <w:rPr>
        <w:rFonts w:ascii="Courier New" w:hAnsi="Courier New" w:hint="default"/>
      </w:rPr>
    </w:lvl>
    <w:lvl w:ilvl="2" w:tplc="7EAC1AFA">
      <w:start w:val="1"/>
      <w:numFmt w:val="bullet"/>
      <w:lvlText w:val=""/>
      <w:lvlJc w:val="left"/>
      <w:pPr>
        <w:ind w:left="2160" w:hanging="360"/>
      </w:pPr>
      <w:rPr>
        <w:rFonts w:ascii="Wingdings" w:hAnsi="Wingdings" w:hint="default"/>
      </w:rPr>
    </w:lvl>
    <w:lvl w:ilvl="3" w:tplc="653C313C">
      <w:start w:val="1"/>
      <w:numFmt w:val="bullet"/>
      <w:lvlText w:val=""/>
      <w:lvlJc w:val="left"/>
      <w:pPr>
        <w:ind w:left="2880" w:hanging="360"/>
      </w:pPr>
      <w:rPr>
        <w:rFonts w:ascii="Symbol" w:hAnsi="Symbol" w:hint="default"/>
      </w:rPr>
    </w:lvl>
    <w:lvl w:ilvl="4" w:tplc="48D6B65E">
      <w:start w:val="1"/>
      <w:numFmt w:val="bullet"/>
      <w:lvlText w:val="o"/>
      <w:lvlJc w:val="left"/>
      <w:pPr>
        <w:ind w:left="3600" w:hanging="360"/>
      </w:pPr>
      <w:rPr>
        <w:rFonts w:ascii="Courier New" w:hAnsi="Courier New" w:hint="default"/>
      </w:rPr>
    </w:lvl>
    <w:lvl w:ilvl="5" w:tplc="A880BB70">
      <w:start w:val="1"/>
      <w:numFmt w:val="bullet"/>
      <w:lvlText w:val=""/>
      <w:lvlJc w:val="left"/>
      <w:pPr>
        <w:ind w:left="4320" w:hanging="360"/>
      </w:pPr>
      <w:rPr>
        <w:rFonts w:ascii="Wingdings" w:hAnsi="Wingdings" w:hint="default"/>
      </w:rPr>
    </w:lvl>
    <w:lvl w:ilvl="6" w:tplc="6932219C">
      <w:start w:val="1"/>
      <w:numFmt w:val="bullet"/>
      <w:lvlText w:val=""/>
      <w:lvlJc w:val="left"/>
      <w:pPr>
        <w:ind w:left="5040" w:hanging="360"/>
      </w:pPr>
      <w:rPr>
        <w:rFonts w:ascii="Symbol" w:hAnsi="Symbol" w:hint="default"/>
      </w:rPr>
    </w:lvl>
    <w:lvl w:ilvl="7" w:tplc="B37C234C">
      <w:start w:val="1"/>
      <w:numFmt w:val="bullet"/>
      <w:lvlText w:val="o"/>
      <w:lvlJc w:val="left"/>
      <w:pPr>
        <w:ind w:left="5760" w:hanging="360"/>
      </w:pPr>
      <w:rPr>
        <w:rFonts w:ascii="Courier New" w:hAnsi="Courier New" w:hint="default"/>
      </w:rPr>
    </w:lvl>
    <w:lvl w:ilvl="8" w:tplc="9B4E6708">
      <w:start w:val="1"/>
      <w:numFmt w:val="bullet"/>
      <w:lvlText w:val=""/>
      <w:lvlJc w:val="left"/>
      <w:pPr>
        <w:ind w:left="6480" w:hanging="360"/>
      </w:pPr>
      <w:rPr>
        <w:rFonts w:ascii="Wingdings" w:hAnsi="Wingdings" w:hint="default"/>
      </w:rPr>
    </w:lvl>
  </w:abstractNum>
  <w:abstractNum w:abstractNumId="17" w15:restartNumberingAfterBreak="0">
    <w:nsid w:val="5BC9081F"/>
    <w:multiLevelType w:val="hybridMultilevel"/>
    <w:tmpl w:val="A426E5C6"/>
    <w:lvl w:ilvl="0" w:tplc="F6187FE2">
      <w:start w:val="22"/>
      <w:numFmt w:val="bullet"/>
      <w:lvlText w:val=""/>
      <w:lvlJc w:val="left"/>
      <w:pPr>
        <w:ind w:left="720" w:hanging="360"/>
      </w:pPr>
      <w:rPr>
        <w:rFonts w:ascii="Wingdings" w:eastAsia="Calibri" w:hAnsi="Wingdings"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63E22A3D"/>
    <w:multiLevelType w:val="hybridMultilevel"/>
    <w:tmpl w:val="7D3A8DD4"/>
    <w:lvl w:ilvl="0" w:tplc="6D20C306">
      <w:start w:val="1"/>
      <w:numFmt w:val="decimal"/>
      <w:lvlText w:val="%1."/>
      <w:lvlJc w:val="left"/>
      <w:pPr>
        <w:ind w:left="720" w:hanging="360"/>
      </w:pPr>
      <w:rPr>
        <w:rFonts w:ascii="Times New Roman" w:hAnsi="Times New Roman" w:cs="Times New Roman" w:hint="default"/>
        <w:color w:val="auto"/>
      </w:rPr>
    </w:lvl>
    <w:lvl w:ilvl="1" w:tplc="85F69B7E">
      <w:start w:val="1"/>
      <w:numFmt w:val="lowerLetter"/>
      <w:lvlText w:val="%2."/>
      <w:lvlJc w:val="left"/>
      <w:pPr>
        <w:ind w:left="1440" w:hanging="360"/>
      </w:pPr>
    </w:lvl>
    <w:lvl w:ilvl="2" w:tplc="9BCECC6E">
      <w:start w:val="1"/>
      <w:numFmt w:val="lowerRoman"/>
      <w:lvlText w:val="%3."/>
      <w:lvlJc w:val="right"/>
      <w:pPr>
        <w:ind w:left="2160" w:hanging="180"/>
      </w:pPr>
    </w:lvl>
    <w:lvl w:ilvl="3" w:tplc="12A48DCE">
      <w:start w:val="1"/>
      <w:numFmt w:val="decimal"/>
      <w:lvlText w:val="%4."/>
      <w:lvlJc w:val="left"/>
      <w:pPr>
        <w:ind w:left="2880" w:hanging="360"/>
      </w:pPr>
    </w:lvl>
    <w:lvl w:ilvl="4" w:tplc="C26AEF9E">
      <w:start w:val="1"/>
      <w:numFmt w:val="lowerLetter"/>
      <w:lvlText w:val="%5."/>
      <w:lvlJc w:val="left"/>
      <w:pPr>
        <w:ind w:left="3600" w:hanging="360"/>
      </w:pPr>
    </w:lvl>
    <w:lvl w:ilvl="5" w:tplc="2264B96C">
      <w:start w:val="1"/>
      <w:numFmt w:val="lowerRoman"/>
      <w:lvlText w:val="%6."/>
      <w:lvlJc w:val="right"/>
      <w:pPr>
        <w:ind w:left="4320" w:hanging="180"/>
      </w:pPr>
    </w:lvl>
    <w:lvl w:ilvl="6" w:tplc="EF263D28">
      <w:start w:val="1"/>
      <w:numFmt w:val="decimal"/>
      <w:lvlText w:val="%7."/>
      <w:lvlJc w:val="left"/>
      <w:pPr>
        <w:ind w:left="5040" w:hanging="360"/>
      </w:pPr>
    </w:lvl>
    <w:lvl w:ilvl="7" w:tplc="A2E0EF12">
      <w:start w:val="1"/>
      <w:numFmt w:val="lowerLetter"/>
      <w:lvlText w:val="%8."/>
      <w:lvlJc w:val="left"/>
      <w:pPr>
        <w:ind w:left="5760" w:hanging="360"/>
      </w:pPr>
    </w:lvl>
    <w:lvl w:ilvl="8" w:tplc="37FAFCB6">
      <w:start w:val="1"/>
      <w:numFmt w:val="lowerRoman"/>
      <w:lvlText w:val="%9."/>
      <w:lvlJc w:val="right"/>
      <w:pPr>
        <w:ind w:left="6480" w:hanging="180"/>
      </w:pPr>
    </w:lvl>
  </w:abstractNum>
  <w:abstractNum w:abstractNumId="19" w15:restartNumberingAfterBreak="0">
    <w:nsid w:val="66BC0D35"/>
    <w:multiLevelType w:val="multilevel"/>
    <w:tmpl w:val="9E5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FF16CF"/>
    <w:multiLevelType w:val="hybridMultilevel"/>
    <w:tmpl w:val="B2026348"/>
    <w:lvl w:ilvl="0" w:tplc="3C90B286">
      <w:start w:val="1"/>
      <w:numFmt w:val="bullet"/>
      <w:lvlText w:val="-"/>
      <w:lvlJc w:val="left"/>
      <w:pPr>
        <w:ind w:left="720" w:hanging="360"/>
      </w:pPr>
      <w:rPr>
        <w:rFonts w:ascii="Aptos" w:hAnsi="Aptos" w:hint="default"/>
      </w:rPr>
    </w:lvl>
    <w:lvl w:ilvl="1" w:tplc="323C78B0">
      <w:start w:val="1"/>
      <w:numFmt w:val="bullet"/>
      <w:lvlText w:val="o"/>
      <w:lvlJc w:val="left"/>
      <w:pPr>
        <w:ind w:left="1440" w:hanging="360"/>
      </w:pPr>
      <w:rPr>
        <w:rFonts w:ascii="Courier New" w:hAnsi="Courier New" w:hint="default"/>
      </w:rPr>
    </w:lvl>
    <w:lvl w:ilvl="2" w:tplc="8A8EF396">
      <w:start w:val="1"/>
      <w:numFmt w:val="bullet"/>
      <w:lvlText w:val=""/>
      <w:lvlJc w:val="left"/>
      <w:pPr>
        <w:ind w:left="2160" w:hanging="360"/>
      </w:pPr>
      <w:rPr>
        <w:rFonts w:ascii="Wingdings" w:hAnsi="Wingdings" w:hint="default"/>
      </w:rPr>
    </w:lvl>
    <w:lvl w:ilvl="3" w:tplc="4D0C4666">
      <w:start w:val="1"/>
      <w:numFmt w:val="bullet"/>
      <w:lvlText w:val=""/>
      <w:lvlJc w:val="left"/>
      <w:pPr>
        <w:ind w:left="2880" w:hanging="360"/>
      </w:pPr>
      <w:rPr>
        <w:rFonts w:ascii="Symbol" w:hAnsi="Symbol" w:hint="default"/>
      </w:rPr>
    </w:lvl>
    <w:lvl w:ilvl="4" w:tplc="092E9838">
      <w:start w:val="1"/>
      <w:numFmt w:val="bullet"/>
      <w:lvlText w:val="o"/>
      <w:lvlJc w:val="left"/>
      <w:pPr>
        <w:ind w:left="3600" w:hanging="360"/>
      </w:pPr>
      <w:rPr>
        <w:rFonts w:ascii="Courier New" w:hAnsi="Courier New" w:hint="default"/>
      </w:rPr>
    </w:lvl>
    <w:lvl w:ilvl="5" w:tplc="37FE85D2">
      <w:start w:val="1"/>
      <w:numFmt w:val="bullet"/>
      <w:lvlText w:val=""/>
      <w:lvlJc w:val="left"/>
      <w:pPr>
        <w:ind w:left="4320" w:hanging="360"/>
      </w:pPr>
      <w:rPr>
        <w:rFonts w:ascii="Wingdings" w:hAnsi="Wingdings" w:hint="default"/>
      </w:rPr>
    </w:lvl>
    <w:lvl w:ilvl="6" w:tplc="6F78B64C">
      <w:start w:val="1"/>
      <w:numFmt w:val="bullet"/>
      <w:lvlText w:val=""/>
      <w:lvlJc w:val="left"/>
      <w:pPr>
        <w:ind w:left="5040" w:hanging="360"/>
      </w:pPr>
      <w:rPr>
        <w:rFonts w:ascii="Symbol" w:hAnsi="Symbol" w:hint="default"/>
      </w:rPr>
    </w:lvl>
    <w:lvl w:ilvl="7" w:tplc="03E828BE">
      <w:start w:val="1"/>
      <w:numFmt w:val="bullet"/>
      <w:lvlText w:val="o"/>
      <w:lvlJc w:val="left"/>
      <w:pPr>
        <w:ind w:left="5760" w:hanging="360"/>
      </w:pPr>
      <w:rPr>
        <w:rFonts w:ascii="Courier New" w:hAnsi="Courier New" w:hint="default"/>
      </w:rPr>
    </w:lvl>
    <w:lvl w:ilvl="8" w:tplc="76CCEF6E">
      <w:start w:val="1"/>
      <w:numFmt w:val="bullet"/>
      <w:lvlText w:val=""/>
      <w:lvlJc w:val="left"/>
      <w:pPr>
        <w:ind w:left="6480" w:hanging="360"/>
      </w:pPr>
      <w:rPr>
        <w:rFonts w:ascii="Wingdings" w:hAnsi="Wingdings" w:hint="default"/>
      </w:rPr>
    </w:lvl>
  </w:abstractNum>
  <w:abstractNum w:abstractNumId="21" w15:restartNumberingAfterBreak="0">
    <w:nsid w:val="7140757B"/>
    <w:multiLevelType w:val="hybridMultilevel"/>
    <w:tmpl w:val="73DE89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93D9C85"/>
    <w:multiLevelType w:val="hybridMultilevel"/>
    <w:tmpl w:val="17846C98"/>
    <w:lvl w:ilvl="0" w:tplc="8DF095DA">
      <w:start w:val="1"/>
      <w:numFmt w:val="bullet"/>
      <w:lvlText w:val="·"/>
      <w:lvlJc w:val="left"/>
      <w:pPr>
        <w:ind w:left="720" w:hanging="360"/>
      </w:pPr>
      <w:rPr>
        <w:rFonts w:ascii="Symbol" w:hAnsi="Symbol" w:hint="default"/>
      </w:rPr>
    </w:lvl>
    <w:lvl w:ilvl="1" w:tplc="51E63490">
      <w:start w:val="1"/>
      <w:numFmt w:val="bullet"/>
      <w:lvlText w:val="o"/>
      <w:lvlJc w:val="left"/>
      <w:pPr>
        <w:ind w:left="1440" w:hanging="360"/>
      </w:pPr>
      <w:rPr>
        <w:rFonts w:ascii="Courier New" w:hAnsi="Courier New" w:hint="default"/>
      </w:rPr>
    </w:lvl>
    <w:lvl w:ilvl="2" w:tplc="CA501854">
      <w:start w:val="1"/>
      <w:numFmt w:val="bullet"/>
      <w:lvlText w:val=""/>
      <w:lvlJc w:val="left"/>
      <w:pPr>
        <w:ind w:left="2160" w:hanging="360"/>
      </w:pPr>
      <w:rPr>
        <w:rFonts w:ascii="Wingdings" w:hAnsi="Wingdings" w:hint="default"/>
      </w:rPr>
    </w:lvl>
    <w:lvl w:ilvl="3" w:tplc="A1FE171E">
      <w:start w:val="1"/>
      <w:numFmt w:val="bullet"/>
      <w:lvlText w:val=""/>
      <w:lvlJc w:val="left"/>
      <w:pPr>
        <w:ind w:left="2880" w:hanging="360"/>
      </w:pPr>
      <w:rPr>
        <w:rFonts w:ascii="Symbol" w:hAnsi="Symbol" w:hint="default"/>
      </w:rPr>
    </w:lvl>
    <w:lvl w:ilvl="4" w:tplc="5BB0D268">
      <w:start w:val="1"/>
      <w:numFmt w:val="bullet"/>
      <w:lvlText w:val="o"/>
      <w:lvlJc w:val="left"/>
      <w:pPr>
        <w:ind w:left="3600" w:hanging="360"/>
      </w:pPr>
      <w:rPr>
        <w:rFonts w:ascii="Courier New" w:hAnsi="Courier New" w:hint="default"/>
      </w:rPr>
    </w:lvl>
    <w:lvl w:ilvl="5" w:tplc="5AE68C30">
      <w:start w:val="1"/>
      <w:numFmt w:val="bullet"/>
      <w:lvlText w:val=""/>
      <w:lvlJc w:val="left"/>
      <w:pPr>
        <w:ind w:left="4320" w:hanging="360"/>
      </w:pPr>
      <w:rPr>
        <w:rFonts w:ascii="Wingdings" w:hAnsi="Wingdings" w:hint="default"/>
      </w:rPr>
    </w:lvl>
    <w:lvl w:ilvl="6" w:tplc="76D0ABEA">
      <w:start w:val="1"/>
      <w:numFmt w:val="bullet"/>
      <w:lvlText w:val=""/>
      <w:lvlJc w:val="left"/>
      <w:pPr>
        <w:ind w:left="5040" w:hanging="360"/>
      </w:pPr>
      <w:rPr>
        <w:rFonts w:ascii="Symbol" w:hAnsi="Symbol" w:hint="default"/>
      </w:rPr>
    </w:lvl>
    <w:lvl w:ilvl="7" w:tplc="9D60E372">
      <w:start w:val="1"/>
      <w:numFmt w:val="bullet"/>
      <w:lvlText w:val="o"/>
      <w:lvlJc w:val="left"/>
      <w:pPr>
        <w:ind w:left="5760" w:hanging="360"/>
      </w:pPr>
      <w:rPr>
        <w:rFonts w:ascii="Courier New" w:hAnsi="Courier New" w:hint="default"/>
      </w:rPr>
    </w:lvl>
    <w:lvl w:ilvl="8" w:tplc="31B0A7CA">
      <w:start w:val="1"/>
      <w:numFmt w:val="bullet"/>
      <w:lvlText w:val=""/>
      <w:lvlJc w:val="left"/>
      <w:pPr>
        <w:ind w:left="6480" w:hanging="360"/>
      </w:pPr>
      <w:rPr>
        <w:rFonts w:ascii="Wingdings" w:hAnsi="Wingdings" w:hint="default"/>
      </w:rPr>
    </w:lvl>
  </w:abstractNum>
  <w:abstractNum w:abstractNumId="23" w15:restartNumberingAfterBreak="0">
    <w:nsid w:val="7A7123E1"/>
    <w:multiLevelType w:val="hybridMultilevel"/>
    <w:tmpl w:val="5F500A6A"/>
    <w:lvl w:ilvl="0" w:tplc="18090001">
      <w:start w:val="1"/>
      <w:numFmt w:val="bullet"/>
      <w:lvlText w:val=""/>
      <w:lvlJc w:val="left"/>
      <w:pPr>
        <w:ind w:left="-1080" w:hanging="360"/>
      </w:pPr>
      <w:rPr>
        <w:rFonts w:ascii="Symbol" w:hAnsi="Symbol" w:hint="default"/>
        <w:b w:val="0"/>
      </w:rPr>
    </w:lvl>
    <w:lvl w:ilvl="1" w:tplc="18090003" w:tentative="1">
      <w:start w:val="1"/>
      <w:numFmt w:val="bullet"/>
      <w:lvlText w:val="o"/>
      <w:lvlJc w:val="left"/>
      <w:pPr>
        <w:ind w:left="-360" w:hanging="360"/>
      </w:pPr>
      <w:rPr>
        <w:rFonts w:ascii="Courier New" w:hAnsi="Courier New" w:cs="Courier New" w:hint="default"/>
      </w:rPr>
    </w:lvl>
    <w:lvl w:ilvl="2" w:tplc="18090005" w:tentative="1">
      <w:start w:val="1"/>
      <w:numFmt w:val="bullet"/>
      <w:lvlText w:val=""/>
      <w:lvlJc w:val="left"/>
      <w:pPr>
        <w:ind w:left="360" w:hanging="360"/>
      </w:pPr>
      <w:rPr>
        <w:rFonts w:ascii="Wingdings" w:hAnsi="Wingdings" w:hint="default"/>
      </w:rPr>
    </w:lvl>
    <w:lvl w:ilvl="3" w:tplc="18090001">
      <w:start w:val="1"/>
      <w:numFmt w:val="bullet"/>
      <w:lvlText w:val=""/>
      <w:lvlJc w:val="left"/>
      <w:pPr>
        <w:ind w:left="1080" w:hanging="360"/>
      </w:pPr>
      <w:rPr>
        <w:rFonts w:ascii="Symbol" w:hAnsi="Symbol" w:hint="default"/>
      </w:rPr>
    </w:lvl>
    <w:lvl w:ilvl="4" w:tplc="18090003" w:tentative="1">
      <w:start w:val="1"/>
      <w:numFmt w:val="bullet"/>
      <w:lvlText w:val="o"/>
      <w:lvlJc w:val="left"/>
      <w:pPr>
        <w:ind w:left="1800" w:hanging="360"/>
      </w:pPr>
      <w:rPr>
        <w:rFonts w:ascii="Courier New" w:hAnsi="Courier New" w:cs="Courier New" w:hint="default"/>
      </w:rPr>
    </w:lvl>
    <w:lvl w:ilvl="5" w:tplc="18090005" w:tentative="1">
      <w:start w:val="1"/>
      <w:numFmt w:val="bullet"/>
      <w:lvlText w:val=""/>
      <w:lvlJc w:val="left"/>
      <w:pPr>
        <w:ind w:left="2520" w:hanging="360"/>
      </w:pPr>
      <w:rPr>
        <w:rFonts w:ascii="Wingdings" w:hAnsi="Wingdings" w:hint="default"/>
      </w:rPr>
    </w:lvl>
    <w:lvl w:ilvl="6" w:tplc="18090001" w:tentative="1">
      <w:start w:val="1"/>
      <w:numFmt w:val="bullet"/>
      <w:lvlText w:val=""/>
      <w:lvlJc w:val="left"/>
      <w:pPr>
        <w:ind w:left="3240" w:hanging="360"/>
      </w:pPr>
      <w:rPr>
        <w:rFonts w:ascii="Symbol" w:hAnsi="Symbol" w:hint="default"/>
      </w:rPr>
    </w:lvl>
    <w:lvl w:ilvl="7" w:tplc="18090003" w:tentative="1">
      <w:start w:val="1"/>
      <w:numFmt w:val="bullet"/>
      <w:lvlText w:val="o"/>
      <w:lvlJc w:val="left"/>
      <w:pPr>
        <w:ind w:left="3960" w:hanging="360"/>
      </w:pPr>
      <w:rPr>
        <w:rFonts w:ascii="Courier New" w:hAnsi="Courier New" w:cs="Courier New" w:hint="default"/>
      </w:rPr>
    </w:lvl>
    <w:lvl w:ilvl="8" w:tplc="18090005" w:tentative="1">
      <w:start w:val="1"/>
      <w:numFmt w:val="bullet"/>
      <w:lvlText w:val=""/>
      <w:lvlJc w:val="left"/>
      <w:pPr>
        <w:ind w:left="4680" w:hanging="360"/>
      </w:pPr>
      <w:rPr>
        <w:rFonts w:ascii="Wingdings" w:hAnsi="Wingdings" w:hint="default"/>
      </w:rPr>
    </w:lvl>
  </w:abstractNum>
  <w:num w:numId="1">
    <w:abstractNumId w:val="11"/>
  </w:num>
  <w:num w:numId="2">
    <w:abstractNumId w:val="15"/>
  </w:num>
  <w:num w:numId="3">
    <w:abstractNumId w:val="5"/>
  </w:num>
  <w:num w:numId="4">
    <w:abstractNumId w:val="18"/>
  </w:num>
  <w:num w:numId="5">
    <w:abstractNumId w:val="9"/>
  </w:num>
  <w:num w:numId="6">
    <w:abstractNumId w:val="16"/>
  </w:num>
  <w:num w:numId="7">
    <w:abstractNumId w:val="10"/>
  </w:num>
  <w:num w:numId="8">
    <w:abstractNumId w:val="3"/>
  </w:num>
  <w:num w:numId="9">
    <w:abstractNumId w:val="22"/>
  </w:num>
  <w:num w:numId="10">
    <w:abstractNumId w:val="20"/>
  </w:num>
  <w:num w:numId="11">
    <w:abstractNumId w:val="6"/>
  </w:num>
  <w:num w:numId="12">
    <w:abstractNumId w:val="14"/>
  </w:num>
  <w:num w:numId="13">
    <w:abstractNumId w:val="0"/>
  </w:num>
  <w:num w:numId="14">
    <w:abstractNumId w:val="21"/>
  </w:num>
  <w:num w:numId="15">
    <w:abstractNumId w:val="17"/>
  </w:num>
  <w:num w:numId="16">
    <w:abstractNumId w:val="13"/>
  </w:num>
  <w:num w:numId="17">
    <w:abstractNumId w:val="7"/>
  </w:num>
  <w:num w:numId="18">
    <w:abstractNumId w:val="23"/>
  </w:num>
  <w:num w:numId="19">
    <w:abstractNumId w:val="19"/>
  </w:num>
  <w:num w:numId="20">
    <w:abstractNumId w:val="12"/>
  </w:num>
  <w:num w:numId="21">
    <w:abstractNumId w:val="2"/>
  </w:num>
  <w:num w:numId="22">
    <w:abstractNumId w:val="1"/>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0"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F61C93D-60B2-4B0E-93D5-3266C2958B99"/>
    <w:docVar w:name="LW_COVERPAGE_TYPE" w:val="1"/>
    <w:docVar w:name="LW_CROSSREFERENCE" w:val="&lt;UNUSED&gt;"/>
    <w:docVar w:name="LW_DocType" w:val="NORMAL"/>
    <w:docVar w:name="LW_EMISSION" w:val="27.2.2026"/>
    <w:docVar w:name="LW_EMISSION_ISODATE" w:val="2026-02-27"/>
    <w:docVar w:name="LW_EMISSION_LOCATION" w:val="BRX"/>
    <w:docVar w:name="LW_EMISSION_PREFIX" w:val="Bruxelles, le "/>
    <w:docVar w:name="LW_EMISSION_SUFFIX" w:val=" "/>
    <w:docVar w:name="LW_ID_DOCTYPE_NONLW" w:val="CP-005"/>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Deuxième rapport bisannuel sur la mise en \u339?uvre de l\u8217?approche mondiale de la recherche et de l\u8217?innovation 2023-2025&lt;/FMT&gt;"/>
    <w:docVar w:name="LW_TYPE.DOC.CP" w:val="RAPPORT DE LA COMMISSION AU CONSEIL ET AU PARLEMENT EUROPÉEN"/>
    <w:docVar w:name="LwApiVersions" w:val="LW4CoDe 1.24.5.0; LW 9.2, Build 20251112"/>
  </w:docVars>
  <w:rsids>
    <w:rsidRoot w:val="00C7070C"/>
    <w:rsid w:val="0000031F"/>
    <w:rsid w:val="000007D0"/>
    <w:rsid w:val="00000928"/>
    <w:rsid w:val="00000D99"/>
    <w:rsid w:val="00001388"/>
    <w:rsid w:val="0000145E"/>
    <w:rsid w:val="00001CE0"/>
    <w:rsid w:val="00002021"/>
    <w:rsid w:val="0000232A"/>
    <w:rsid w:val="000030E3"/>
    <w:rsid w:val="0000334B"/>
    <w:rsid w:val="0000348D"/>
    <w:rsid w:val="00003BF0"/>
    <w:rsid w:val="000044F3"/>
    <w:rsid w:val="00004893"/>
    <w:rsid w:val="0000496F"/>
    <w:rsid w:val="00004BF6"/>
    <w:rsid w:val="00004D2F"/>
    <w:rsid w:val="00004D3D"/>
    <w:rsid w:val="00005658"/>
    <w:rsid w:val="000056EE"/>
    <w:rsid w:val="00005C82"/>
    <w:rsid w:val="00005CD9"/>
    <w:rsid w:val="00006136"/>
    <w:rsid w:val="000064A2"/>
    <w:rsid w:val="00006502"/>
    <w:rsid w:val="0000651D"/>
    <w:rsid w:val="0000684B"/>
    <w:rsid w:val="00006DB0"/>
    <w:rsid w:val="000070E5"/>
    <w:rsid w:val="00007322"/>
    <w:rsid w:val="00007A27"/>
    <w:rsid w:val="00007A6B"/>
    <w:rsid w:val="000102C8"/>
    <w:rsid w:val="00010429"/>
    <w:rsid w:val="00010727"/>
    <w:rsid w:val="00010AA4"/>
    <w:rsid w:val="00010AA6"/>
    <w:rsid w:val="00010B08"/>
    <w:rsid w:val="00010B83"/>
    <w:rsid w:val="0001102A"/>
    <w:rsid w:val="000111C2"/>
    <w:rsid w:val="0001132F"/>
    <w:rsid w:val="0001146B"/>
    <w:rsid w:val="00011586"/>
    <w:rsid w:val="0001173D"/>
    <w:rsid w:val="00012345"/>
    <w:rsid w:val="000123C4"/>
    <w:rsid w:val="00012DB7"/>
    <w:rsid w:val="0001354C"/>
    <w:rsid w:val="00013849"/>
    <w:rsid w:val="00013E3C"/>
    <w:rsid w:val="00014287"/>
    <w:rsid w:val="0001484E"/>
    <w:rsid w:val="00014A9B"/>
    <w:rsid w:val="00014B5D"/>
    <w:rsid w:val="00014C5E"/>
    <w:rsid w:val="00014FB0"/>
    <w:rsid w:val="00015383"/>
    <w:rsid w:val="000158B4"/>
    <w:rsid w:val="00015A5E"/>
    <w:rsid w:val="00015D61"/>
    <w:rsid w:val="00015D93"/>
    <w:rsid w:val="000160FB"/>
    <w:rsid w:val="00016428"/>
    <w:rsid w:val="0001652E"/>
    <w:rsid w:val="00016D7A"/>
    <w:rsid w:val="00016EE6"/>
    <w:rsid w:val="00017378"/>
    <w:rsid w:val="00017E04"/>
    <w:rsid w:val="000202C1"/>
    <w:rsid w:val="00020384"/>
    <w:rsid w:val="00020437"/>
    <w:rsid w:val="00020F46"/>
    <w:rsid w:val="00021373"/>
    <w:rsid w:val="0002165B"/>
    <w:rsid w:val="00021811"/>
    <w:rsid w:val="00022618"/>
    <w:rsid w:val="00022958"/>
    <w:rsid w:val="00022DC9"/>
    <w:rsid w:val="000234DF"/>
    <w:rsid w:val="00023C6E"/>
    <w:rsid w:val="00023ED4"/>
    <w:rsid w:val="0002425B"/>
    <w:rsid w:val="0002445A"/>
    <w:rsid w:val="000244A0"/>
    <w:rsid w:val="00024683"/>
    <w:rsid w:val="000251D4"/>
    <w:rsid w:val="000253F9"/>
    <w:rsid w:val="00025B7A"/>
    <w:rsid w:val="00025E2B"/>
    <w:rsid w:val="00026017"/>
    <w:rsid w:val="00026784"/>
    <w:rsid w:val="00026A11"/>
    <w:rsid w:val="00027221"/>
    <w:rsid w:val="00027450"/>
    <w:rsid w:val="00027541"/>
    <w:rsid w:val="00027A96"/>
    <w:rsid w:val="00027EE1"/>
    <w:rsid w:val="0003004C"/>
    <w:rsid w:val="00030AA1"/>
    <w:rsid w:val="00030F08"/>
    <w:rsid w:val="000314F5"/>
    <w:rsid w:val="0003180C"/>
    <w:rsid w:val="00031C15"/>
    <w:rsid w:val="00031D5C"/>
    <w:rsid w:val="000321C3"/>
    <w:rsid w:val="00032619"/>
    <w:rsid w:val="0003273F"/>
    <w:rsid w:val="00032B04"/>
    <w:rsid w:val="00033B03"/>
    <w:rsid w:val="0003414D"/>
    <w:rsid w:val="000341B9"/>
    <w:rsid w:val="000342E6"/>
    <w:rsid w:val="00034991"/>
    <w:rsid w:val="00034998"/>
    <w:rsid w:val="00034BC4"/>
    <w:rsid w:val="000352E8"/>
    <w:rsid w:val="000353ED"/>
    <w:rsid w:val="0003560A"/>
    <w:rsid w:val="00036886"/>
    <w:rsid w:val="00036983"/>
    <w:rsid w:val="000377A5"/>
    <w:rsid w:val="000378EF"/>
    <w:rsid w:val="00037BD4"/>
    <w:rsid w:val="00037C90"/>
    <w:rsid w:val="00037D67"/>
    <w:rsid w:val="0004035B"/>
    <w:rsid w:val="00040469"/>
    <w:rsid w:val="00040484"/>
    <w:rsid w:val="000404F7"/>
    <w:rsid w:val="0004084E"/>
    <w:rsid w:val="00040BC3"/>
    <w:rsid w:val="00041053"/>
    <w:rsid w:val="000416BE"/>
    <w:rsid w:val="000418C2"/>
    <w:rsid w:val="00041C78"/>
    <w:rsid w:val="00041EB3"/>
    <w:rsid w:val="000420E2"/>
    <w:rsid w:val="00042436"/>
    <w:rsid w:val="000427AB"/>
    <w:rsid w:val="00042C0B"/>
    <w:rsid w:val="00042C73"/>
    <w:rsid w:val="00042D17"/>
    <w:rsid w:val="0004336D"/>
    <w:rsid w:val="000438F8"/>
    <w:rsid w:val="000441BA"/>
    <w:rsid w:val="0004422F"/>
    <w:rsid w:val="000444BA"/>
    <w:rsid w:val="000446D5"/>
    <w:rsid w:val="000450CE"/>
    <w:rsid w:val="00045809"/>
    <w:rsid w:val="00045A2E"/>
    <w:rsid w:val="00045AF9"/>
    <w:rsid w:val="00045BC0"/>
    <w:rsid w:val="00045C5C"/>
    <w:rsid w:val="00045EC2"/>
    <w:rsid w:val="000462E5"/>
    <w:rsid w:val="00046652"/>
    <w:rsid w:val="000469E0"/>
    <w:rsid w:val="000470EE"/>
    <w:rsid w:val="000472BE"/>
    <w:rsid w:val="00047D99"/>
    <w:rsid w:val="00047DAC"/>
    <w:rsid w:val="00047F45"/>
    <w:rsid w:val="00050048"/>
    <w:rsid w:val="000503B3"/>
    <w:rsid w:val="000508C5"/>
    <w:rsid w:val="00051723"/>
    <w:rsid w:val="000528BF"/>
    <w:rsid w:val="00052BE5"/>
    <w:rsid w:val="00052F57"/>
    <w:rsid w:val="000539D5"/>
    <w:rsid w:val="00053AC9"/>
    <w:rsid w:val="00053AFD"/>
    <w:rsid w:val="00053B2E"/>
    <w:rsid w:val="00053EA8"/>
    <w:rsid w:val="00053F98"/>
    <w:rsid w:val="00053F99"/>
    <w:rsid w:val="00053FF2"/>
    <w:rsid w:val="000541AE"/>
    <w:rsid w:val="00054421"/>
    <w:rsid w:val="000544EF"/>
    <w:rsid w:val="00054682"/>
    <w:rsid w:val="00054AE3"/>
    <w:rsid w:val="00055187"/>
    <w:rsid w:val="00055542"/>
    <w:rsid w:val="00055980"/>
    <w:rsid w:val="00056163"/>
    <w:rsid w:val="00056997"/>
    <w:rsid w:val="00056F11"/>
    <w:rsid w:val="0005750F"/>
    <w:rsid w:val="00057938"/>
    <w:rsid w:val="00057ADB"/>
    <w:rsid w:val="00057D1E"/>
    <w:rsid w:val="00060373"/>
    <w:rsid w:val="0006047A"/>
    <w:rsid w:val="000617C5"/>
    <w:rsid w:val="00061968"/>
    <w:rsid w:val="00062522"/>
    <w:rsid w:val="0006258D"/>
    <w:rsid w:val="00062B3A"/>
    <w:rsid w:val="00062CEF"/>
    <w:rsid w:val="00062F3E"/>
    <w:rsid w:val="0006316B"/>
    <w:rsid w:val="00063D9B"/>
    <w:rsid w:val="00063ED4"/>
    <w:rsid w:val="000640ED"/>
    <w:rsid w:val="0006457A"/>
    <w:rsid w:val="0006476A"/>
    <w:rsid w:val="0006561C"/>
    <w:rsid w:val="00065650"/>
    <w:rsid w:val="00065A73"/>
    <w:rsid w:val="0006682D"/>
    <w:rsid w:val="00066D62"/>
    <w:rsid w:val="00066FAC"/>
    <w:rsid w:val="00067281"/>
    <w:rsid w:val="00067320"/>
    <w:rsid w:val="000673D4"/>
    <w:rsid w:val="000677B7"/>
    <w:rsid w:val="00067932"/>
    <w:rsid w:val="00067D96"/>
    <w:rsid w:val="00070086"/>
    <w:rsid w:val="000701BA"/>
    <w:rsid w:val="00070291"/>
    <w:rsid w:val="00070C64"/>
    <w:rsid w:val="00070E45"/>
    <w:rsid w:val="00070E59"/>
    <w:rsid w:val="0007144D"/>
    <w:rsid w:val="000714B6"/>
    <w:rsid w:val="0007168B"/>
    <w:rsid w:val="00071977"/>
    <w:rsid w:val="00071A2C"/>
    <w:rsid w:val="00071AB1"/>
    <w:rsid w:val="00071CDD"/>
    <w:rsid w:val="00072E9C"/>
    <w:rsid w:val="000736B2"/>
    <w:rsid w:val="00073A2D"/>
    <w:rsid w:val="00073B59"/>
    <w:rsid w:val="00074160"/>
    <w:rsid w:val="00074431"/>
    <w:rsid w:val="0007449C"/>
    <w:rsid w:val="00074B44"/>
    <w:rsid w:val="00074C36"/>
    <w:rsid w:val="0007506A"/>
    <w:rsid w:val="00075457"/>
    <w:rsid w:val="000757CF"/>
    <w:rsid w:val="00075ACD"/>
    <w:rsid w:val="0007605E"/>
    <w:rsid w:val="00076378"/>
    <w:rsid w:val="00076465"/>
    <w:rsid w:val="000766ED"/>
    <w:rsid w:val="00076E06"/>
    <w:rsid w:val="000770A8"/>
    <w:rsid w:val="00077239"/>
    <w:rsid w:val="00077642"/>
    <w:rsid w:val="000778D7"/>
    <w:rsid w:val="00077B16"/>
    <w:rsid w:val="00080253"/>
    <w:rsid w:val="00080977"/>
    <w:rsid w:val="00081110"/>
    <w:rsid w:val="000816CF"/>
    <w:rsid w:val="0008193E"/>
    <w:rsid w:val="0008380C"/>
    <w:rsid w:val="00083D0B"/>
    <w:rsid w:val="00083FB6"/>
    <w:rsid w:val="00084052"/>
    <w:rsid w:val="000841BB"/>
    <w:rsid w:val="0008428D"/>
    <w:rsid w:val="00084AD8"/>
    <w:rsid w:val="000850DC"/>
    <w:rsid w:val="000852C8"/>
    <w:rsid w:val="000863D0"/>
    <w:rsid w:val="00086487"/>
    <w:rsid w:val="0008675F"/>
    <w:rsid w:val="00086E96"/>
    <w:rsid w:val="00087113"/>
    <w:rsid w:val="000871DF"/>
    <w:rsid w:val="00087D58"/>
    <w:rsid w:val="00087D64"/>
    <w:rsid w:val="000902DD"/>
    <w:rsid w:val="000907A9"/>
    <w:rsid w:val="00090F0C"/>
    <w:rsid w:val="00091831"/>
    <w:rsid w:val="00092166"/>
    <w:rsid w:val="0009250C"/>
    <w:rsid w:val="000925AE"/>
    <w:rsid w:val="000926F3"/>
    <w:rsid w:val="000927AD"/>
    <w:rsid w:val="00092A10"/>
    <w:rsid w:val="00092C99"/>
    <w:rsid w:val="00092DEF"/>
    <w:rsid w:val="000938B0"/>
    <w:rsid w:val="00093D77"/>
    <w:rsid w:val="00093E50"/>
    <w:rsid w:val="0009407F"/>
    <w:rsid w:val="00094212"/>
    <w:rsid w:val="00094251"/>
    <w:rsid w:val="000942FF"/>
    <w:rsid w:val="00094668"/>
    <w:rsid w:val="000947C2"/>
    <w:rsid w:val="000948A5"/>
    <w:rsid w:val="00094BEF"/>
    <w:rsid w:val="00094EC6"/>
    <w:rsid w:val="000952B9"/>
    <w:rsid w:val="000952E5"/>
    <w:rsid w:val="000954A6"/>
    <w:rsid w:val="00095A77"/>
    <w:rsid w:val="00095C1A"/>
    <w:rsid w:val="00096114"/>
    <w:rsid w:val="0009611B"/>
    <w:rsid w:val="00096152"/>
    <w:rsid w:val="00096332"/>
    <w:rsid w:val="000967AF"/>
    <w:rsid w:val="00096A93"/>
    <w:rsid w:val="00096C77"/>
    <w:rsid w:val="00096CC3"/>
    <w:rsid w:val="000970B7"/>
    <w:rsid w:val="000973DE"/>
    <w:rsid w:val="000976D2"/>
    <w:rsid w:val="000976FA"/>
    <w:rsid w:val="00097712"/>
    <w:rsid w:val="000A017A"/>
    <w:rsid w:val="000A0293"/>
    <w:rsid w:val="000A0BBE"/>
    <w:rsid w:val="000A1414"/>
    <w:rsid w:val="000A1438"/>
    <w:rsid w:val="000A15DF"/>
    <w:rsid w:val="000A167F"/>
    <w:rsid w:val="000A233B"/>
    <w:rsid w:val="000A23B2"/>
    <w:rsid w:val="000A29B8"/>
    <w:rsid w:val="000A2B67"/>
    <w:rsid w:val="000A2C42"/>
    <w:rsid w:val="000A2F9C"/>
    <w:rsid w:val="000A3D09"/>
    <w:rsid w:val="000A3F44"/>
    <w:rsid w:val="000A4EB9"/>
    <w:rsid w:val="000A554C"/>
    <w:rsid w:val="000A5B40"/>
    <w:rsid w:val="000A5E52"/>
    <w:rsid w:val="000A639D"/>
    <w:rsid w:val="000A6BF4"/>
    <w:rsid w:val="000A6D37"/>
    <w:rsid w:val="000A6E0B"/>
    <w:rsid w:val="000A7215"/>
    <w:rsid w:val="000A7371"/>
    <w:rsid w:val="000A7447"/>
    <w:rsid w:val="000A74DA"/>
    <w:rsid w:val="000A7684"/>
    <w:rsid w:val="000A7D02"/>
    <w:rsid w:val="000A7DA6"/>
    <w:rsid w:val="000A7E2D"/>
    <w:rsid w:val="000B008E"/>
    <w:rsid w:val="000B06EB"/>
    <w:rsid w:val="000B0A46"/>
    <w:rsid w:val="000B0D32"/>
    <w:rsid w:val="000B0EFD"/>
    <w:rsid w:val="000B0FD9"/>
    <w:rsid w:val="000B1D0E"/>
    <w:rsid w:val="000B2229"/>
    <w:rsid w:val="000B23D1"/>
    <w:rsid w:val="000B2483"/>
    <w:rsid w:val="000B2A8E"/>
    <w:rsid w:val="000B2E34"/>
    <w:rsid w:val="000B3357"/>
    <w:rsid w:val="000B3380"/>
    <w:rsid w:val="000B373F"/>
    <w:rsid w:val="000B383B"/>
    <w:rsid w:val="000B3A16"/>
    <w:rsid w:val="000B3A91"/>
    <w:rsid w:val="000B425E"/>
    <w:rsid w:val="000B434D"/>
    <w:rsid w:val="000B435C"/>
    <w:rsid w:val="000B4B72"/>
    <w:rsid w:val="000B54E2"/>
    <w:rsid w:val="000B550C"/>
    <w:rsid w:val="000B5627"/>
    <w:rsid w:val="000B5632"/>
    <w:rsid w:val="000B563C"/>
    <w:rsid w:val="000B585E"/>
    <w:rsid w:val="000B5D2D"/>
    <w:rsid w:val="000B6883"/>
    <w:rsid w:val="000B6DF6"/>
    <w:rsid w:val="000B722D"/>
    <w:rsid w:val="000B73BC"/>
    <w:rsid w:val="000B75A9"/>
    <w:rsid w:val="000B7ADD"/>
    <w:rsid w:val="000B7F3D"/>
    <w:rsid w:val="000C0030"/>
    <w:rsid w:val="000C013C"/>
    <w:rsid w:val="000C03B6"/>
    <w:rsid w:val="000C1323"/>
    <w:rsid w:val="000C13B0"/>
    <w:rsid w:val="000C14A3"/>
    <w:rsid w:val="000C16B4"/>
    <w:rsid w:val="000C1A64"/>
    <w:rsid w:val="000C22FB"/>
    <w:rsid w:val="000C29E1"/>
    <w:rsid w:val="000C2B5C"/>
    <w:rsid w:val="000C2D22"/>
    <w:rsid w:val="000C2D53"/>
    <w:rsid w:val="000C30CD"/>
    <w:rsid w:val="000C368B"/>
    <w:rsid w:val="000C3DB0"/>
    <w:rsid w:val="000C3FD6"/>
    <w:rsid w:val="000C414F"/>
    <w:rsid w:val="000C4651"/>
    <w:rsid w:val="000C4973"/>
    <w:rsid w:val="000C49FA"/>
    <w:rsid w:val="000C4D91"/>
    <w:rsid w:val="000C4FBE"/>
    <w:rsid w:val="000C5151"/>
    <w:rsid w:val="000C5407"/>
    <w:rsid w:val="000C55C2"/>
    <w:rsid w:val="000C593C"/>
    <w:rsid w:val="000C598C"/>
    <w:rsid w:val="000C5DAB"/>
    <w:rsid w:val="000C5E90"/>
    <w:rsid w:val="000C64EF"/>
    <w:rsid w:val="000C6586"/>
    <w:rsid w:val="000C6592"/>
    <w:rsid w:val="000C688F"/>
    <w:rsid w:val="000C690B"/>
    <w:rsid w:val="000C6A49"/>
    <w:rsid w:val="000C7AE3"/>
    <w:rsid w:val="000D0405"/>
    <w:rsid w:val="000D05B6"/>
    <w:rsid w:val="000D0805"/>
    <w:rsid w:val="000D0AFC"/>
    <w:rsid w:val="000D0D7C"/>
    <w:rsid w:val="000D0EDC"/>
    <w:rsid w:val="000D0FCC"/>
    <w:rsid w:val="000D1535"/>
    <w:rsid w:val="000D16C7"/>
    <w:rsid w:val="000D1F6B"/>
    <w:rsid w:val="000D2580"/>
    <w:rsid w:val="000D260F"/>
    <w:rsid w:val="000D2630"/>
    <w:rsid w:val="000D2779"/>
    <w:rsid w:val="000D2A09"/>
    <w:rsid w:val="000D2CDB"/>
    <w:rsid w:val="000D3931"/>
    <w:rsid w:val="000D3FA2"/>
    <w:rsid w:val="000D4114"/>
    <w:rsid w:val="000D4348"/>
    <w:rsid w:val="000D47D9"/>
    <w:rsid w:val="000D4FBF"/>
    <w:rsid w:val="000D50B8"/>
    <w:rsid w:val="000D519B"/>
    <w:rsid w:val="000D5A0B"/>
    <w:rsid w:val="000D609F"/>
    <w:rsid w:val="000D613E"/>
    <w:rsid w:val="000D63CD"/>
    <w:rsid w:val="000D66BC"/>
    <w:rsid w:val="000D69E2"/>
    <w:rsid w:val="000D6C2F"/>
    <w:rsid w:val="000D6C52"/>
    <w:rsid w:val="000D7261"/>
    <w:rsid w:val="000E0C5E"/>
    <w:rsid w:val="000E0FEE"/>
    <w:rsid w:val="000E1293"/>
    <w:rsid w:val="000E152D"/>
    <w:rsid w:val="000E16F6"/>
    <w:rsid w:val="000E1806"/>
    <w:rsid w:val="000E1A54"/>
    <w:rsid w:val="000E2354"/>
    <w:rsid w:val="000E240B"/>
    <w:rsid w:val="000E287C"/>
    <w:rsid w:val="000E2EE6"/>
    <w:rsid w:val="000E321E"/>
    <w:rsid w:val="000E327B"/>
    <w:rsid w:val="000E3725"/>
    <w:rsid w:val="000E3DA9"/>
    <w:rsid w:val="000E3E8E"/>
    <w:rsid w:val="000E40F6"/>
    <w:rsid w:val="000E462C"/>
    <w:rsid w:val="000E4731"/>
    <w:rsid w:val="000E4951"/>
    <w:rsid w:val="000E49EE"/>
    <w:rsid w:val="000E4C49"/>
    <w:rsid w:val="000E4E07"/>
    <w:rsid w:val="000E5171"/>
    <w:rsid w:val="000E556A"/>
    <w:rsid w:val="000E5F94"/>
    <w:rsid w:val="000E6B60"/>
    <w:rsid w:val="000E6BA0"/>
    <w:rsid w:val="000E7054"/>
    <w:rsid w:val="000E7186"/>
    <w:rsid w:val="000E727F"/>
    <w:rsid w:val="000E764B"/>
    <w:rsid w:val="000F01E7"/>
    <w:rsid w:val="000F0FBC"/>
    <w:rsid w:val="000F0FF7"/>
    <w:rsid w:val="000F1194"/>
    <w:rsid w:val="000F11D1"/>
    <w:rsid w:val="000F129F"/>
    <w:rsid w:val="000F138E"/>
    <w:rsid w:val="000F1723"/>
    <w:rsid w:val="000F1B5A"/>
    <w:rsid w:val="000F1B77"/>
    <w:rsid w:val="000F2371"/>
    <w:rsid w:val="000F2978"/>
    <w:rsid w:val="000F29DC"/>
    <w:rsid w:val="000F2D2B"/>
    <w:rsid w:val="000F2E8F"/>
    <w:rsid w:val="000F3014"/>
    <w:rsid w:val="000F33EB"/>
    <w:rsid w:val="000F3582"/>
    <w:rsid w:val="000F3701"/>
    <w:rsid w:val="000F380B"/>
    <w:rsid w:val="000F4601"/>
    <w:rsid w:val="000F488F"/>
    <w:rsid w:val="000F4BB1"/>
    <w:rsid w:val="000F51F7"/>
    <w:rsid w:val="000F543F"/>
    <w:rsid w:val="000F5580"/>
    <w:rsid w:val="000F5A99"/>
    <w:rsid w:val="000F5FDE"/>
    <w:rsid w:val="000F6143"/>
    <w:rsid w:val="000F62C9"/>
    <w:rsid w:val="000F6721"/>
    <w:rsid w:val="000F69F2"/>
    <w:rsid w:val="000F6DF9"/>
    <w:rsid w:val="000F6F39"/>
    <w:rsid w:val="000F71E1"/>
    <w:rsid w:val="000F733F"/>
    <w:rsid w:val="000F73F4"/>
    <w:rsid w:val="000F7BA7"/>
    <w:rsid w:val="000F7C09"/>
    <w:rsid w:val="000F7EAE"/>
    <w:rsid w:val="0010016A"/>
    <w:rsid w:val="00100AEB"/>
    <w:rsid w:val="00100CE7"/>
    <w:rsid w:val="00100D4E"/>
    <w:rsid w:val="00100DFA"/>
    <w:rsid w:val="00100F33"/>
    <w:rsid w:val="001023BC"/>
    <w:rsid w:val="0010243F"/>
    <w:rsid w:val="00103459"/>
    <w:rsid w:val="001034E3"/>
    <w:rsid w:val="001037B2"/>
    <w:rsid w:val="0010388F"/>
    <w:rsid w:val="00103DE1"/>
    <w:rsid w:val="00103EEE"/>
    <w:rsid w:val="00103F6D"/>
    <w:rsid w:val="00104581"/>
    <w:rsid w:val="00104808"/>
    <w:rsid w:val="00104A7C"/>
    <w:rsid w:val="00104DAC"/>
    <w:rsid w:val="00104F35"/>
    <w:rsid w:val="0010554A"/>
    <w:rsid w:val="001055C5"/>
    <w:rsid w:val="00105A54"/>
    <w:rsid w:val="00105C3C"/>
    <w:rsid w:val="00105E6F"/>
    <w:rsid w:val="00105E82"/>
    <w:rsid w:val="0010614D"/>
    <w:rsid w:val="00106419"/>
    <w:rsid w:val="00106AB6"/>
    <w:rsid w:val="001078B2"/>
    <w:rsid w:val="00110226"/>
    <w:rsid w:val="00110263"/>
    <w:rsid w:val="001109A1"/>
    <w:rsid w:val="00110AFF"/>
    <w:rsid w:val="00111052"/>
    <w:rsid w:val="001114E9"/>
    <w:rsid w:val="001116EB"/>
    <w:rsid w:val="00111FB3"/>
    <w:rsid w:val="001128FF"/>
    <w:rsid w:val="00112B0C"/>
    <w:rsid w:val="00112B98"/>
    <w:rsid w:val="00113A2A"/>
    <w:rsid w:val="00113BE3"/>
    <w:rsid w:val="0011449F"/>
    <w:rsid w:val="00114512"/>
    <w:rsid w:val="001145F3"/>
    <w:rsid w:val="00114A07"/>
    <w:rsid w:val="00114A12"/>
    <w:rsid w:val="00114A5B"/>
    <w:rsid w:val="00114D37"/>
    <w:rsid w:val="00114F9C"/>
    <w:rsid w:val="00115345"/>
    <w:rsid w:val="001155E0"/>
    <w:rsid w:val="00115DFF"/>
    <w:rsid w:val="00115EBF"/>
    <w:rsid w:val="00115F01"/>
    <w:rsid w:val="00116582"/>
    <w:rsid w:val="00116A00"/>
    <w:rsid w:val="00116A05"/>
    <w:rsid w:val="0011710A"/>
    <w:rsid w:val="0011721E"/>
    <w:rsid w:val="00117584"/>
    <w:rsid w:val="00117B07"/>
    <w:rsid w:val="0012024F"/>
    <w:rsid w:val="00120399"/>
    <w:rsid w:val="0012056C"/>
    <w:rsid w:val="0012065C"/>
    <w:rsid w:val="001209F5"/>
    <w:rsid w:val="001212E8"/>
    <w:rsid w:val="001215EB"/>
    <w:rsid w:val="00121660"/>
    <w:rsid w:val="0012216F"/>
    <w:rsid w:val="00122310"/>
    <w:rsid w:val="0012261C"/>
    <w:rsid w:val="00122702"/>
    <w:rsid w:val="00122915"/>
    <w:rsid w:val="00122D63"/>
    <w:rsid w:val="00123232"/>
    <w:rsid w:val="00123D28"/>
    <w:rsid w:val="001241EE"/>
    <w:rsid w:val="001246BF"/>
    <w:rsid w:val="001247A5"/>
    <w:rsid w:val="00124A22"/>
    <w:rsid w:val="00125334"/>
    <w:rsid w:val="00125694"/>
    <w:rsid w:val="00125714"/>
    <w:rsid w:val="001260A7"/>
    <w:rsid w:val="00126825"/>
    <w:rsid w:val="00126997"/>
    <w:rsid w:val="00126C71"/>
    <w:rsid w:val="00126E1A"/>
    <w:rsid w:val="00126EBF"/>
    <w:rsid w:val="00126EF2"/>
    <w:rsid w:val="00127053"/>
    <w:rsid w:val="00127153"/>
    <w:rsid w:val="00127684"/>
    <w:rsid w:val="00127E48"/>
    <w:rsid w:val="00130272"/>
    <w:rsid w:val="00130767"/>
    <w:rsid w:val="001307A8"/>
    <w:rsid w:val="001307AB"/>
    <w:rsid w:val="0013086E"/>
    <w:rsid w:val="00131239"/>
    <w:rsid w:val="00131371"/>
    <w:rsid w:val="00131447"/>
    <w:rsid w:val="00131880"/>
    <w:rsid w:val="001318C7"/>
    <w:rsid w:val="00131C0B"/>
    <w:rsid w:val="001324FC"/>
    <w:rsid w:val="00132C04"/>
    <w:rsid w:val="00132D7E"/>
    <w:rsid w:val="00132DC3"/>
    <w:rsid w:val="001337BF"/>
    <w:rsid w:val="00133999"/>
    <w:rsid w:val="00133BB8"/>
    <w:rsid w:val="001343CD"/>
    <w:rsid w:val="001344E2"/>
    <w:rsid w:val="001345A1"/>
    <w:rsid w:val="00134810"/>
    <w:rsid w:val="00134B71"/>
    <w:rsid w:val="00134BD0"/>
    <w:rsid w:val="00135036"/>
    <w:rsid w:val="00135156"/>
    <w:rsid w:val="001351F1"/>
    <w:rsid w:val="001352FE"/>
    <w:rsid w:val="0013574A"/>
    <w:rsid w:val="00135C61"/>
    <w:rsid w:val="00135E3B"/>
    <w:rsid w:val="00135E3D"/>
    <w:rsid w:val="00135EBA"/>
    <w:rsid w:val="0013670A"/>
    <w:rsid w:val="00137840"/>
    <w:rsid w:val="001402B5"/>
    <w:rsid w:val="00140382"/>
    <w:rsid w:val="0014055C"/>
    <w:rsid w:val="0014060B"/>
    <w:rsid w:val="001406B0"/>
    <w:rsid w:val="0014084F"/>
    <w:rsid w:val="0014104A"/>
    <w:rsid w:val="00141567"/>
    <w:rsid w:val="00141979"/>
    <w:rsid w:val="00141DDC"/>
    <w:rsid w:val="00142424"/>
    <w:rsid w:val="00142463"/>
    <w:rsid w:val="001426A0"/>
    <w:rsid w:val="001426CB"/>
    <w:rsid w:val="001429AE"/>
    <w:rsid w:val="00142A16"/>
    <w:rsid w:val="00142DC2"/>
    <w:rsid w:val="00142DEC"/>
    <w:rsid w:val="001430DA"/>
    <w:rsid w:val="00143246"/>
    <w:rsid w:val="00143275"/>
    <w:rsid w:val="001436AA"/>
    <w:rsid w:val="0014371D"/>
    <w:rsid w:val="0014383B"/>
    <w:rsid w:val="0014385A"/>
    <w:rsid w:val="00144AA0"/>
    <w:rsid w:val="00144B9F"/>
    <w:rsid w:val="00144C0B"/>
    <w:rsid w:val="001456A5"/>
    <w:rsid w:val="00145727"/>
    <w:rsid w:val="00145B9A"/>
    <w:rsid w:val="00145BED"/>
    <w:rsid w:val="00145E5A"/>
    <w:rsid w:val="001462EA"/>
    <w:rsid w:val="0014631C"/>
    <w:rsid w:val="00146827"/>
    <w:rsid w:val="00146D06"/>
    <w:rsid w:val="00146D45"/>
    <w:rsid w:val="0014746D"/>
    <w:rsid w:val="00147AFF"/>
    <w:rsid w:val="00147FAE"/>
    <w:rsid w:val="0015046E"/>
    <w:rsid w:val="001508C1"/>
    <w:rsid w:val="001509E1"/>
    <w:rsid w:val="00150A8B"/>
    <w:rsid w:val="001512F5"/>
    <w:rsid w:val="001516DB"/>
    <w:rsid w:val="00151772"/>
    <w:rsid w:val="00152025"/>
    <w:rsid w:val="001520B0"/>
    <w:rsid w:val="001525BB"/>
    <w:rsid w:val="00152EEB"/>
    <w:rsid w:val="00152F1A"/>
    <w:rsid w:val="00153451"/>
    <w:rsid w:val="001534A7"/>
    <w:rsid w:val="001534AF"/>
    <w:rsid w:val="001537A9"/>
    <w:rsid w:val="00153E0D"/>
    <w:rsid w:val="00153E17"/>
    <w:rsid w:val="00154542"/>
    <w:rsid w:val="001545CD"/>
    <w:rsid w:val="00154AAD"/>
    <w:rsid w:val="00154B37"/>
    <w:rsid w:val="00154B3B"/>
    <w:rsid w:val="00154D7C"/>
    <w:rsid w:val="0015541A"/>
    <w:rsid w:val="001558D5"/>
    <w:rsid w:val="00155AA9"/>
    <w:rsid w:val="00155E52"/>
    <w:rsid w:val="001560D3"/>
    <w:rsid w:val="001566D3"/>
    <w:rsid w:val="0015699C"/>
    <w:rsid w:val="001571F1"/>
    <w:rsid w:val="00157626"/>
    <w:rsid w:val="00157CD4"/>
    <w:rsid w:val="001605FF"/>
    <w:rsid w:val="00160E9C"/>
    <w:rsid w:val="00161919"/>
    <w:rsid w:val="00161A5B"/>
    <w:rsid w:val="00162552"/>
    <w:rsid w:val="00162899"/>
    <w:rsid w:val="00162EEC"/>
    <w:rsid w:val="00163387"/>
    <w:rsid w:val="001634F8"/>
    <w:rsid w:val="00163AD9"/>
    <w:rsid w:val="00163E63"/>
    <w:rsid w:val="00164100"/>
    <w:rsid w:val="00164783"/>
    <w:rsid w:val="00164CB9"/>
    <w:rsid w:val="00164DB4"/>
    <w:rsid w:val="001654E1"/>
    <w:rsid w:val="00165528"/>
    <w:rsid w:val="00165715"/>
    <w:rsid w:val="00165757"/>
    <w:rsid w:val="0016611D"/>
    <w:rsid w:val="001662B5"/>
    <w:rsid w:val="00166C92"/>
    <w:rsid w:val="00166EEF"/>
    <w:rsid w:val="001675EC"/>
    <w:rsid w:val="0016799A"/>
    <w:rsid w:val="00167A43"/>
    <w:rsid w:val="00167B35"/>
    <w:rsid w:val="00167BD9"/>
    <w:rsid w:val="00167D58"/>
    <w:rsid w:val="001707ED"/>
    <w:rsid w:val="00170A6D"/>
    <w:rsid w:val="001719B5"/>
    <w:rsid w:val="00171B57"/>
    <w:rsid w:val="001725B8"/>
    <w:rsid w:val="00172867"/>
    <w:rsid w:val="00173B77"/>
    <w:rsid w:val="00173CA4"/>
    <w:rsid w:val="0017403F"/>
    <w:rsid w:val="00174111"/>
    <w:rsid w:val="001751D0"/>
    <w:rsid w:val="00175C6D"/>
    <w:rsid w:val="0017637D"/>
    <w:rsid w:val="00176488"/>
    <w:rsid w:val="0017650F"/>
    <w:rsid w:val="00176619"/>
    <w:rsid w:val="0017673D"/>
    <w:rsid w:val="00176CAF"/>
    <w:rsid w:val="001771EA"/>
    <w:rsid w:val="0017722A"/>
    <w:rsid w:val="0017745C"/>
    <w:rsid w:val="00177745"/>
    <w:rsid w:val="001778E3"/>
    <w:rsid w:val="00177993"/>
    <w:rsid w:val="00177ADD"/>
    <w:rsid w:val="00177D16"/>
    <w:rsid w:val="001803FB"/>
    <w:rsid w:val="00180419"/>
    <w:rsid w:val="00180506"/>
    <w:rsid w:val="001805D4"/>
    <w:rsid w:val="00180B00"/>
    <w:rsid w:val="00180C31"/>
    <w:rsid w:val="0018130A"/>
    <w:rsid w:val="001815D4"/>
    <w:rsid w:val="00181CF0"/>
    <w:rsid w:val="00181FE3"/>
    <w:rsid w:val="00182633"/>
    <w:rsid w:val="001826AA"/>
    <w:rsid w:val="00182755"/>
    <w:rsid w:val="00182819"/>
    <w:rsid w:val="001829B8"/>
    <w:rsid w:val="001830EE"/>
    <w:rsid w:val="0018348E"/>
    <w:rsid w:val="0018358D"/>
    <w:rsid w:val="00183B7D"/>
    <w:rsid w:val="00183E38"/>
    <w:rsid w:val="00183F25"/>
    <w:rsid w:val="00183F5D"/>
    <w:rsid w:val="00184092"/>
    <w:rsid w:val="0018427F"/>
    <w:rsid w:val="001844A6"/>
    <w:rsid w:val="001856E8"/>
    <w:rsid w:val="00185A18"/>
    <w:rsid w:val="00185AA5"/>
    <w:rsid w:val="00185B6A"/>
    <w:rsid w:val="00185DB0"/>
    <w:rsid w:val="00186018"/>
    <w:rsid w:val="00186CDD"/>
    <w:rsid w:val="00186E65"/>
    <w:rsid w:val="00187052"/>
    <w:rsid w:val="0018761F"/>
    <w:rsid w:val="00187819"/>
    <w:rsid w:val="00190014"/>
    <w:rsid w:val="00190A88"/>
    <w:rsid w:val="00190C24"/>
    <w:rsid w:val="00190DB9"/>
    <w:rsid w:val="0019168D"/>
    <w:rsid w:val="001916DA"/>
    <w:rsid w:val="00191B83"/>
    <w:rsid w:val="00191CEB"/>
    <w:rsid w:val="00192441"/>
    <w:rsid w:val="0019258A"/>
    <w:rsid w:val="0019259B"/>
    <w:rsid w:val="00192CF0"/>
    <w:rsid w:val="00192E26"/>
    <w:rsid w:val="00192EE2"/>
    <w:rsid w:val="00193FF4"/>
    <w:rsid w:val="00194F7C"/>
    <w:rsid w:val="00195DE1"/>
    <w:rsid w:val="0019646C"/>
    <w:rsid w:val="001964C8"/>
    <w:rsid w:val="00196727"/>
    <w:rsid w:val="00196D23"/>
    <w:rsid w:val="001971E1"/>
    <w:rsid w:val="00197214"/>
    <w:rsid w:val="00197304"/>
    <w:rsid w:val="0019734F"/>
    <w:rsid w:val="0019767E"/>
    <w:rsid w:val="0019785F"/>
    <w:rsid w:val="00197E5D"/>
    <w:rsid w:val="00197FF7"/>
    <w:rsid w:val="0019CBC6"/>
    <w:rsid w:val="001A0174"/>
    <w:rsid w:val="001A058C"/>
    <w:rsid w:val="001A0874"/>
    <w:rsid w:val="001A0B2C"/>
    <w:rsid w:val="001A0BE8"/>
    <w:rsid w:val="001A1148"/>
    <w:rsid w:val="001A124F"/>
    <w:rsid w:val="001A1CA2"/>
    <w:rsid w:val="001A22C0"/>
    <w:rsid w:val="001A2D50"/>
    <w:rsid w:val="001A2E27"/>
    <w:rsid w:val="001A32CB"/>
    <w:rsid w:val="001A45E3"/>
    <w:rsid w:val="001A5ABD"/>
    <w:rsid w:val="001A672F"/>
    <w:rsid w:val="001A6CB4"/>
    <w:rsid w:val="001A7316"/>
    <w:rsid w:val="001A779B"/>
    <w:rsid w:val="001B004C"/>
    <w:rsid w:val="001B02E3"/>
    <w:rsid w:val="001B03E1"/>
    <w:rsid w:val="001B044A"/>
    <w:rsid w:val="001B07C6"/>
    <w:rsid w:val="001B0BF9"/>
    <w:rsid w:val="001B0CFA"/>
    <w:rsid w:val="001B0E1E"/>
    <w:rsid w:val="001B10D5"/>
    <w:rsid w:val="001B15D6"/>
    <w:rsid w:val="001B15F5"/>
    <w:rsid w:val="001B18E7"/>
    <w:rsid w:val="001B1DD5"/>
    <w:rsid w:val="001B2250"/>
    <w:rsid w:val="001B2437"/>
    <w:rsid w:val="001B2682"/>
    <w:rsid w:val="001B2865"/>
    <w:rsid w:val="001B31DB"/>
    <w:rsid w:val="001B34CE"/>
    <w:rsid w:val="001B3735"/>
    <w:rsid w:val="001B3F46"/>
    <w:rsid w:val="001B40EF"/>
    <w:rsid w:val="001B438B"/>
    <w:rsid w:val="001B4D7F"/>
    <w:rsid w:val="001B5247"/>
    <w:rsid w:val="001B558F"/>
    <w:rsid w:val="001B5B71"/>
    <w:rsid w:val="001B60F4"/>
    <w:rsid w:val="001B61B0"/>
    <w:rsid w:val="001B70A5"/>
    <w:rsid w:val="001B7468"/>
    <w:rsid w:val="001B7893"/>
    <w:rsid w:val="001B7C69"/>
    <w:rsid w:val="001B7E8A"/>
    <w:rsid w:val="001B7EFA"/>
    <w:rsid w:val="001C010B"/>
    <w:rsid w:val="001C0262"/>
    <w:rsid w:val="001C0307"/>
    <w:rsid w:val="001C0490"/>
    <w:rsid w:val="001C1644"/>
    <w:rsid w:val="001C16EE"/>
    <w:rsid w:val="001C1D01"/>
    <w:rsid w:val="001C28AF"/>
    <w:rsid w:val="001C2AF0"/>
    <w:rsid w:val="001C3086"/>
    <w:rsid w:val="001C335F"/>
    <w:rsid w:val="001C3558"/>
    <w:rsid w:val="001C38FB"/>
    <w:rsid w:val="001C3D2A"/>
    <w:rsid w:val="001C3F43"/>
    <w:rsid w:val="001C4626"/>
    <w:rsid w:val="001C4797"/>
    <w:rsid w:val="001C4A36"/>
    <w:rsid w:val="001C4AD0"/>
    <w:rsid w:val="001C4BC1"/>
    <w:rsid w:val="001C4CF2"/>
    <w:rsid w:val="001C51DF"/>
    <w:rsid w:val="001C59D5"/>
    <w:rsid w:val="001C5A36"/>
    <w:rsid w:val="001C5F8F"/>
    <w:rsid w:val="001C7831"/>
    <w:rsid w:val="001C787D"/>
    <w:rsid w:val="001D0530"/>
    <w:rsid w:val="001D06F9"/>
    <w:rsid w:val="001D0729"/>
    <w:rsid w:val="001D082C"/>
    <w:rsid w:val="001D095C"/>
    <w:rsid w:val="001D0C22"/>
    <w:rsid w:val="001D0D4A"/>
    <w:rsid w:val="001D0FB2"/>
    <w:rsid w:val="001D13EC"/>
    <w:rsid w:val="001D163E"/>
    <w:rsid w:val="001D1B93"/>
    <w:rsid w:val="001D1BCB"/>
    <w:rsid w:val="001D1E4C"/>
    <w:rsid w:val="001D24C0"/>
    <w:rsid w:val="001D26ED"/>
    <w:rsid w:val="001D2846"/>
    <w:rsid w:val="001D2DBF"/>
    <w:rsid w:val="001D32EC"/>
    <w:rsid w:val="001D3C8F"/>
    <w:rsid w:val="001D3E19"/>
    <w:rsid w:val="001D4777"/>
    <w:rsid w:val="001D47EA"/>
    <w:rsid w:val="001D4AF5"/>
    <w:rsid w:val="001D5566"/>
    <w:rsid w:val="001D563F"/>
    <w:rsid w:val="001D567B"/>
    <w:rsid w:val="001D6768"/>
    <w:rsid w:val="001D6B67"/>
    <w:rsid w:val="001D6C9E"/>
    <w:rsid w:val="001D7CC8"/>
    <w:rsid w:val="001D7E95"/>
    <w:rsid w:val="001E099D"/>
    <w:rsid w:val="001E0B09"/>
    <w:rsid w:val="001E0E93"/>
    <w:rsid w:val="001E0EDF"/>
    <w:rsid w:val="001E1763"/>
    <w:rsid w:val="001E179D"/>
    <w:rsid w:val="001E29AB"/>
    <w:rsid w:val="001E2DFD"/>
    <w:rsid w:val="001E2FD3"/>
    <w:rsid w:val="001E3399"/>
    <w:rsid w:val="001E3911"/>
    <w:rsid w:val="001E3AED"/>
    <w:rsid w:val="001E427B"/>
    <w:rsid w:val="001E4328"/>
    <w:rsid w:val="001E437F"/>
    <w:rsid w:val="001E4588"/>
    <w:rsid w:val="001E4C60"/>
    <w:rsid w:val="001E4EB8"/>
    <w:rsid w:val="001E51CF"/>
    <w:rsid w:val="001E5499"/>
    <w:rsid w:val="001E56DF"/>
    <w:rsid w:val="001E5D05"/>
    <w:rsid w:val="001E5D24"/>
    <w:rsid w:val="001E6122"/>
    <w:rsid w:val="001E65BD"/>
    <w:rsid w:val="001E6B02"/>
    <w:rsid w:val="001E6C88"/>
    <w:rsid w:val="001E70A6"/>
    <w:rsid w:val="001E72BA"/>
    <w:rsid w:val="001F0137"/>
    <w:rsid w:val="001F0439"/>
    <w:rsid w:val="001F0CA3"/>
    <w:rsid w:val="001F0D28"/>
    <w:rsid w:val="001F1625"/>
    <w:rsid w:val="001F18CE"/>
    <w:rsid w:val="001F1A73"/>
    <w:rsid w:val="001F21F1"/>
    <w:rsid w:val="001F25EA"/>
    <w:rsid w:val="001F2847"/>
    <w:rsid w:val="001F293A"/>
    <w:rsid w:val="001F2E8D"/>
    <w:rsid w:val="001F2F5B"/>
    <w:rsid w:val="001F3089"/>
    <w:rsid w:val="001F3712"/>
    <w:rsid w:val="001F3ADE"/>
    <w:rsid w:val="001F3D76"/>
    <w:rsid w:val="001F3D87"/>
    <w:rsid w:val="001F44C9"/>
    <w:rsid w:val="001F4F2C"/>
    <w:rsid w:val="001F5241"/>
    <w:rsid w:val="001F54CD"/>
    <w:rsid w:val="001F553C"/>
    <w:rsid w:val="001F56A1"/>
    <w:rsid w:val="001F580C"/>
    <w:rsid w:val="001F584C"/>
    <w:rsid w:val="001F5854"/>
    <w:rsid w:val="001F593B"/>
    <w:rsid w:val="001F5A8B"/>
    <w:rsid w:val="001F5F3C"/>
    <w:rsid w:val="001F5F54"/>
    <w:rsid w:val="001F6B13"/>
    <w:rsid w:val="001F6E15"/>
    <w:rsid w:val="001F70B6"/>
    <w:rsid w:val="001F719A"/>
    <w:rsid w:val="001F7236"/>
    <w:rsid w:val="0020008A"/>
    <w:rsid w:val="0020008B"/>
    <w:rsid w:val="002000D4"/>
    <w:rsid w:val="00200295"/>
    <w:rsid w:val="00200B08"/>
    <w:rsid w:val="00200F66"/>
    <w:rsid w:val="002016B4"/>
    <w:rsid w:val="00201DFD"/>
    <w:rsid w:val="0020205F"/>
    <w:rsid w:val="002021EF"/>
    <w:rsid w:val="0020255B"/>
    <w:rsid w:val="00202637"/>
    <w:rsid w:val="0020320D"/>
    <w:rsid w:val="002039DA"/>
    <w:rsid w:val="00203D7A"/>
    <w:rsid w:val="0020418A"/>
    <w:rsid w:val="002041E5"/>
    <w:rsid w:val="00204658"/>
    <w:rsid w:val="00204C8E"/>
    <w:rsid w:val="00205571"/>
    <w:rsid w:val="002058A1"/>
    <w:rsid w:val="00205A77"/>
    <w:rsid w:val="00205C04"/>
    <w:rsid w:val="00206010"/>
    <w:rsid w:val="00206CB9"/>
    <w:rsid w:val="00207482"/>
    <w:rsid w:val="002103E6"/>
    <w:rsid w:val="0021050D"/>
    <w:rsid w:val="00210E16"/>
    <w:rsid w:val="00211659"/>
    <w:rsid w:val="00212F6E"/>
    <w:rsid w:val="0021307F"/>
    <w:rsid w:val="0021323F"/>
    <w:rsid w:val="0021336C"/>
    <w:rsid w:val="0021345E"/>
    <w:rsid w:val="00213526"/>
    <w:rsid w:val="00213632"/>
    <w:rsid w:val="00214333"/>
    <w:rsid w:val="002148A5"/>
    <w:rsid w:val="00214D00"/>
    <w:rsid w:val="00215257"/>
    <w:rsid w:val="0021535D"/>
    <w:rsid w:val="00215503"/>
    <w:rsid w:val="00215B5E"/>
    <w:rsid w:val="00215B70"/>
    <w:rsid w:val="00216599"/>
    <w:rsid w:val="00216609"/>
    <w:rsid w:val="00216634"/>
    <w:rsid w:val="00216DDA"/>
    <w:rsid w:val="00216E2C"/>
    <w:rsid w:val="00216F27"/>
    <w:rsid w:val="0021711C"/>
    <w:rsid w:val="002174F1"/>
    <w:rsid w:val="0021798A"/>
    <w:rsid w:val="0022009B"/>
    <w:rsid w:val="002201D7"/>
    <w:rsid w:val="002203EB"/>
    <w:rsid w:val="00220444"/>
    <w:rsid w:val="00220494"/>
    <w:rsid w:val="0022136F"/>
    <w:rsid w:val="002216C8"/>
    <w:rsid w:val="00221B4A"/>
    <w:rsid w:val="002224F1"/>
    <w:rsid w:val="0022255C"/>
    <w:rsid w:val="0022275F"/>
    <w:rsid w:val="0022276B"/>
    <w:rsid w:val="00222C32"/>
    <w:rsid w:val="002234B3"/>
    <w:rsid w:val="002234CC"/>
    <w:rsid w:val="00224537"/>
    <w:rsid w:val="00224963"/>
    <w:rsid w:val="00224AF4"/>
    <w:rsid w:val="00224C7E"/>
    <w:rsid w:val="00224E3B"/>
    <w:rsid w:val="00224F8D"/>
    <w:rsid w:val="00225922"/>
    <w:rsid w:val="0022661E"/>
    <w:rsid w:val="002268C8"/>
    <w:rsid w:val="0022692D"/>
    <w:rsid w:val="00226A4F"/>
    <w:rsid w:val="00226A8C"/>
    <w:rsid w:val="00226C1D"/>
    <w:rsid w:val="00226EF8"/>
    <w:rsid w:val="0022759D"/>
    <w:rsid w:val="00227654"/>
    <w:rsid w:val="002277CD"/>
    <w:rsid w:val="002278E8"/>
    <w:rsid w:val="00227D24"/>
    <w:rsid w:val="00230A60"/>
    <w:rsid w:val="00230DB3"/>
    <w:rsid w:val="00231A79"/>
    <w:rsid w:val="002320F9"/>
    <w:rsid w:val="0023230F"/>
    <w:rsid w:val="00232542"/>
    <w:rsid w:val="00232625"/>
    <w:rsid w:val="00232CB8"/>
    <w:rsid w:val="00232F55"/>
    <w:rsid w:val="00232F7B"/>
    <w:rsid w:val="002331E7"/>
    <w:rsid w:val="00233CC1"/>
    <w:rsid w:val="0023418E"/>
    <w:rsid w:val="00234413"/>
    <w:rsid w:val="00234685"/>
    <w:rsid w:val="00234A78"/>
    <w:rsid w:val="00234F3B"/>
    <w:rsid w:val="00235106"/>
    <w:rsid w:val="00235558"/>
    <w:rsid w:val="00236114"/>
    <w:rsid w:val="0023625C"/>
    <w:rsid w:val="0023699C"/>
    <w:rsid w:val="00236C05"/>
    <w:rsid w:val="002370A2"/>
    <w:rsid w:val="002370C2"/>
    <w:rsid w:val="002377E9"/>
    <w:rsid w:val="002379AC"/>
    <w:rsid w:val="00237BED"/>
    <w:rsid w:val="00237D66"/>
    <w:rsid w:val="002406D3"/>
    <w:rsid w:val="00240902"/>
    <w:rsid w:val="00241328"/>
    <w:rsid w:val="002414CC"/>
    <w:rsid w:val="002418B5"/>
    <w:rsid w:val="0024190D"/>
    <w:rsid w:val="00241B1C"/>
    <w:rsid w:val="00241C37"/>
    <w:rsid w:val="0024222B"/>
    <w:rsid w:val="002422CE"/>
    <w:rsid w:val="0024258C"/>
    <w:rsid w:val="00242ABB"/>
    <w:rsid w:val="00242B7C"/>
    <w:rsid w:val="00242EC9"/>
    <w:rsid w:val="00242FA9"/>
    <w:rsid w:val="0024354C"/>
    <w:rsid w:val="00243D85"/>
    <w:rsid w:val="00243E56"/>
    <w:rsid w:val="00244BBB"/>
    <w:rsid w:val="00245436"/>
    <w:rsid w:val="00245D4F"/>
    <w:rsid w:val="00245E0A"/>
    <w:rsid w:val="00245E86"/>
    <w:rsid w:val="00246714"/>
    <w:rsid w:val="00246955"/>
    <w:rsid w:val="00246AC9"/>
    <w:rsid w:val="00247125"/>
    <w:rsid w:val="002474FD"/>
    <w:rsid w:val="00247510"/>
    <w:rsid w:val="0024762B"/>
    <w:rsid w:val="00247A00"/>
    <w:rsid w:val="00247A54"/>
    <w:rsid w:val="00247B3B"/>
    <w:rsid w:val="002500AB"/>
    <w:rsid w:val="0025154F"/>
    <w:rsid w:val="00251592"/>
    <w:rsid w:val="00251721"/>
    <w:rsid w:val="00251818"/>
    <w:rsid w:val="0025188C"/>
    <w:rsid w:val="00251B92"/>
    <w:rsid w:val="002520E8"/>
    <w:rsid w:val="00252289"/>
    <w:rsid w:val="0025263B"/>
    <w:rsid w:val="0025274E"/>
    <w:rsid w:val="00252959"/>
    <w:rsid w:val="002531FE"/>
    <w:rsid w:val="00253382"/>
    <w:rsid w:val="00253B90"/>
    <w:rsid w:val="002542C1"/>
    <w:rsid w:val="00254697"/>
    <w:rsid w:val="00254731"/>
    <w:rsid w:val="0025483C"/>
    <w:rsid w:val="002549B9"/>
    <w:rsid w:val="00254D37"/>
    <w:rsid w:val="002559F0"/>
    <w:rsid w:val="00255E5B"/>
    <w:rsid w:val="00256222"/>
    <w:rsid w:val="002562F5"/>
    <w:rsid w:val="002576E6"/>
    <w:rsid w:val="00257BFC"/>
    <w:rsid w:val="00257D07"/>
    <w:rsid w:val="00257D3C"/>
    <w:rsid w:val="00257FDD"/>
    <w:rsid w:val="0026116D"/>
    <w:rsid w:val="002615AA"/>
    <w:rsid w:val="002615C8"/>
    <w:rsid w:val="00261716"/>
    <w:rsid w:val="00261B16"/>
    <w:rsid w:val="00261C5B"/>
    <w:rsid w:val="0026255A"/>
    <w:rsid w:val="002625B4"/>
    <w:rsid w:val="00262706"/>
    <w:rsid w:val="00262963"/>
    <w:rsid w:val="00262DBA"/>
    <w:rsid w:val="002637F9"/>
    <w:rsid w:val="0026386A"/>
    <w:rsid w:val="002639DF"/>
    <w:rsid w:val="0026412A"/>
    <w:rsid w:val="00264E06"/>
    <w:rsid w:val="00265094"/>
    <w:rsid w:val="00265C7F"/>
    <w:rsid w:val="002666D9"/>
    <w:rsid w:val="00266735"/>
    <w:rsid w:val="0026687C"/>
    <w:rsid w:val="00266E6F"/>
    <w:rsid w:val="0026719C"/>
    <w:rsid w:val="002672C2"/>
    <w:rsid w:val="002673A3"/>
    <w:rsid w:val="002676F4"/>
    <w:rsid w:val="002677EB"/>
    <w:rsid w:val="00267AB9"/>
    <w:rsid w:val="00267D15"/>
    <w:rsid w:val="00267DC5"/>
    <w:rsid w:val="00270879"/>
    <w:rsid w:val="002710AA"/>
    <w:rsid w:val="00271385"/>
    <w:rsid w:val="00271732"/>
    <w:rsid w:val="00272F27"/>
    <w:rsid w:val="002732D1"/>
    <w:rsid w:val="0027351E"/>
    <w:rsid w:val="0027372D"/>
    <w:rsid w:val="002738AB"/>
    <w:rsid w:val="00273AC1"/>
    <w:rsid w:val="002751F3"/>
    <w:rsid w:val="0027541A"/>
    <w:rsid w:val="002754FE"/>
    <w:rsid w:val="0027595E"/>
    <w:rsid w:val="00275BE3"/>
    <w:rsid w:val="00275C54"/>
    <w:rsid w:val="00275EA6"/>
    <w:rsid w:val="00275F19"/>
    <w:rsid w:val="00275F7D"/>
    <w:rsid w:val="00276078"/>
    <w:rsid w:val="00276457"/>
    <w:rsid w:val="002764A9"/>
    <w:rsid w:val="00277E1A"/>
    <w:rsid w:val="00277EB6"/>
    <w:rsid w:val="0028047F"/>
    <w:rsid w:val="002805CF"/>
    <w:rsid w:val="00280E03"/>
    <w:rsid w:val="00281305"/>
    <w:rsid w:val="0028211F"/>
    <w:rsid w:val="0028218E"/>
    <w:rsid w:val="002823B1"/>
    <w:rsid w:val="0028259B"/>
    <w:rsid w:val="00282A70"/>
    <w:rsid w:val="00282DE6"/>
    <w:rsid w:val="0028306D"/>
    <w:rsid w:val="002831F9"/>
    <w:rsid w:val="0028347B"/>
    <w:rsid w:val="00283503"/>
    <w:rsid w:val="0028363F"/>
    <w:rsid w:val="002843B3"/>
    <w:rsid w:val="0028461D"/>
    <w:rsid w:val="00284722"/>
    <w:rsid w:val="00285234"/>
    <w:rsid w:val="002852E0"/>
    <w:rsid w:val="002860D9"/>
    <w:rsid w:val="0028650A"/>
    <w:rsid w:val="002866EA"/>
    <w:rsid w:val="00286C62"/>
    <w:rsid w:val="00286E67"/>
    <w:rsid w:val="00286E69"/>
    <w:rsid w:val="002870CE"/>
    <w:rsid w:val="002874F7"/>
    <w:rsid w:val="00287805"/>
    <w:rsid w:val="00287EB1"/>
    <w:rsid w:val="00290106"/>
    <w:rsid w:val="0029061E"/>
    <w:rsid w:val="00290D8E"/>
    <w:rsid w:val="00290FA9"/>
    <w:rsid w:val="0029103F"/>
    <w:rsid w:val="002913C9"/>
    <w:rsid w:val="0029174D"/>
    <w:rsid w:val="002918CF"/>
    <w:rsid w:val="00291D35"/>
    <w:rsid w:val="002922DD"/>
    <w:rsid w:val="00292FEF"/>
    <w:rsid w:val="00293235"/>
    <w:rsid w:val="00293439"/>
    <w:rsid w:val="00293A58"/>
    <w:rsid w:val="00293DF0"/>
    <w:rsid w:val="00294149"/>
    <w:rsid w:val="002945A5"/>
    <w:rsid w:val="0029471B"/>
    <w:rsid w:val="00294CE5"/>
    <w:rsid w:val="00295320"/>
    <w:rsid w:val="00295338"/>
    <w:rsid w:val="002957DA"/>
    <w:rsid w:val="002958DD"/>
    <w:rsid w:val="0029599D"/>
    <w:rsid w:val="00295BE3"/>
    <w:rsid w:val="00295D8F"/>
    <w:rsid w:val="00296007"/>
    <w:rsid w:val="00296431"/>
    <w:rsid w:val="00296A1F"/>
    <w:rsid w:val="00296C33"/>
    <w:rsid w:val="00296C65"/>
    <w:rsid w:val="00296D84"/>
    <w:rsid w:val="00297B49"/>
    <w:rsid w:val="00297CD0"/>
    <w:rsid w:val="002A0425"/>
    <w:rsid w:val="002A04EE"/>
    <w:rsid w:val="002A05FA"/>
    <w:rsid w:val="002A0D40"/>
    <w:rsid w:val="002A0F7A"/>
    <w:rsid w:val="002A1524"/>
    <w:rsid w:val="002A19E4"/>
    <w:rsid w:val="002A1B75"/>
    <w:rsid w:val="002A1F0A"/>
    <w:rsid w:val="002A2072"/>
    <w:rsid w:val="002A2336"/>
    <w:rsid w:val="002A29AE"/>
    <w:rsid w:val="002A2FC0"/>
    <w:rsid w:val="002A3565"/>
    <w:rsid w:val="002A3670"/>
    <w:rsid w:val="002A3C2A"/>
    <w:rsid w:val="002A408B"/>
    <w:rsid w:val="002A40CC"/>
    <w:rsid w:val="002A46D8"/>
    <w:rsid w:val="002A4729"/>
    <w:rsid w:val="002A474A"/>
    <w:rsid w:val="002A4B21"/>
    <w:rsid w:val="002A4D62"/>
    <w:rsid w:val="002A4D8C"/>
    <w:rsid w:val="002A4F5F"/>
    <w:rsid w:val="002A5A78"/>
    <w:rsid w:val="002A5C79"/>
    <w:rsid w:val="002A63A6"/>
    <w:rsid w:val="002A6DAD"/>
    <w:rsid w:val="002A7649"/>
    <w:rsid w:val="002A7824"/>
    <w:rsid w:val="002A7D81"/>
    <w:rsid w:val="002B079D"/>
    <w:rsid w:val="002B0AF5"/>
    <w:rsid w:val="002B10F8"/>
    <w:rsid w:val="002B18A4"/>
    <w:rsid w:val="002B1914"/>
    <w:rsid w:val="002B1F52"/>
    <w:rsid w:val="002B2196"/>
    <w:rsid w:val="002B24D8"/>
    <w:rsid w:val="002B29F1"/>
    <w:rsid w:val="002B2C53"/>
    <w:rsid w:val="002B2C5B"/>
    <w:rsid w:val="002B2C74"/>
    <w:rsid w:val="002B30AD"/>
    <w:rsid w:val="002B383B"/>
    <w:rsid w:val="002B3A3A"/>
    <w:rsid w:val="002B3A43"/>
    <w:rsid w:val="002B41DF"/>
    <w:rsid w:val="002B41E6"/>
    <w:rsid w:val="002B4408"/>
    <w:rsid w:val="002B44F6"/>
    <w:rsid w:val="002B4806"/>
    <w:rsid w:val="002B4BC6"/>
    <w:rsid w:val="002B5087"/>
    <w:rsid w:val="002B5328"/>
    <w:rsid w:val="002B5491"/>
    <w:rsid w:val="002B5849"/>
    <w:rsid w:val="002B5ED6"/>
    <w:rsid w:val="002B660B"/>
    <w:rsid w:val="002B6703"/>
    <w:rsid w:val="002B675F"/>
    <w:rsid w:val="002B689C"/>
    <w:rsid w:val="002B7AE6"/>
    <w:rsid w:val="002C054C"/>
    <w:rsid w:val="002C082D"/>
    <w:rsid w:val="002C096F"/>
    <w:rsid w:val="002C0A36"/>
    <w:rsid w:val="002C13B0"/>
    <w:rsid w:val="002C13F5"/>
    <w:rsid w:val="002C1977"/>
    <w:rsid w:val="002C1A7A"/>
    <w:rsid w:val="002C254B"/>
    <w:rsid w:val="002C2CF1"/>
    <w:rsid w:val="002C3999"/>
    <w:rsid w:val="002C3B28"/>
    <w:rsid w:val="002C3E72"/>
    <w:rsid w:val="002C4001"/>
    <w:rsid w:val="002C4259"/>
    <w:rsid w:val="002C4AAA"/>
    <w:rsid w:val="002C5A9D"/>
    <w:rsid w:val="002C5E3A"/>
    <w:rsid w:val="002C5FBD"/>
    <w:rsid w:val="002C6504"/>
    <w:rsid w:val="002C6607"/>
    <w:rsid w:val="002C6948"/>
    <w:rsid w:val="002C6983"/>
    <w:rsid w:val="002C6B26"/>
    <w:rsid w:val="002C6CE4"/>
    <w:rsid w:val="002C70D0"/>
    <w:rsid w:val="002C70FF"/>
    <w:rsid w:val="002C793B"/>
    <w:rsid w:val="002C79A5"/>
    <w:rsid w:val="002C7C38"/>
    <w:rsid w:val="002D02BD"/>
    <w:rsid w:val="002D0540"/>
    <w:rsid w:val="002D0858"/>
    <w:rsid w:val="002D0D35"/>
    <w:rsid w:val="002D125A"/>
    <w:rsid w:val="002D12D3"/>
    <w:rsid w:val="002D17CA"/>
    <w:rsid w:val="002D190E"/>
    <w:rsid w:val="002D1BBC"/>
    <w:rsid w:val="002D1C56"/>
    <w:rsid w:val="002D22BB"/>
    <w:rsid w:val="002D2392"/>
    <w:rsid w:val="002D2B58"/>
    <w:rsid w:val="002D2BC3"/>
    <w:rsid w:val="002D2DD5"/>
    <w:rsid w:val="002D2E28"/>
    <w:rsid w:val="002D2F4B"/>
    <w:rsid w:val="002D33B5"/>
    <w:rsid w:val="002D3679"/>
    <w:rsid w:val="002D39B7"/>
    <w:rsid w:val="002D3AA4"/>
    <w:rsid w:val="002D40C7"/>
    <w:rsid w:val="002D47DF"/>
    <w:rsid w:val="002D4E06"/>
    <w:rsid w:val="002D53E5"/>
    <w:rsid w:val="002D5E18"/>
    <w:rsid w:val="002D6AF6"/>
    <w:rsid w:val="002D6EF4"/>
    <w:rsid w:val="002D7464"/>
    <w:rsid w:val="002D77A3"/>
    <w:rsid w:val="002D7FF2"/>
    <w:rsid w:val="002E0857"/>
    <w:rsid w:val="002E0A23"/>
    <w:rsid w:val="002E1422"/>
    <w:rsid w:val="002E1C57"/>
    <w:rsid w:val="002E1C70"/>
    <w:rsid w:val="002E1C71"/>
    <w:rsid w:val="002E25A3"/>
    <w:rsid w:val="002E2B93"/>
    <w:rsid w:val="002E30F6"/>
    <w:rsid w:val="002E3487"/>
    <w:rsid w:val="002E3F8B"/>
    <w:rsid w:val="002E5285"/>
    <w:rsid w:val="002E5296"/>
    <w:rsid w:val="002E5662"/>
    <w:rsid w:val="002E5BCF"/>
    <w:rsid w:val="002E5C46"/>
    <w:rsid w:val="002E6187"/>
    <w:rsid w:val="002E63EB"/>
    <w:rsid w:val="002E6AEB"/>
    <w:rsid w:val="002E6BA0"/>
    <w:rsid w:val="002E71D8"/>
    <w:rsid w:val="002E7360"/>
    <w:rsid w:val="002E7BB0"/>
    <w:rsid w:val="002F0222"/>
    <w:rsid w:val="002F112A"/>
    <w:rsid w:val="002F166B"/>
    <w:rsid w:val="002F17FA"/>
    <w:rsid w:val="002F1888"/>
    <w:rsid w:val="002F27BF"/>
    <w:rsid w:val="002F29AD"/>
    <w:rsid w:val="002F2C4D"/>
    <w:rsid w:val="002F347F"/>
    <w:rsid w:val="002F35B7"/>
    <w:rsid w:val="002F35C0"/>
    <w:rsid w:val="002F3AAF"/>
    <w:rsid w:val="002F3B15"/>
    <w:rsid w:val="002F3CD4"/>
    <w:rsid w:val="002F40FF"/>
    <w:rsid w:val="002F4497"/>
    <w:rsid w:val="002F4566"/>
    <w:rsid w:val="002F48F9"/>
    <w:rsid w:val="002F4904"/>
    <w:rsid w:val="002F4D7E"/>
    <w:rsid w:val="002F4E45"/>
    <w:rsid w:val="002F5149"/>
    <w:rsid w:val="002F53BB"/>
    <w:rsid w:val="002F54E0"/>
    <w:rsid w:val="002F58DE"/>
    <w:rsid w:val="002F5B44"/>
    <w:rsid w:val="002F5DBD"/>
    <w:rsid w:val="002F63FF"/>
    <w:rsid w:val="002F665A"/>
    <w:rsid w:val="002F6870"/>
    <w:rsid w:val="002F6980"/>
    <w:rsid w:val="002F6CDD"/>
    <w:rsid w:val="002F6DCD"/>
    <w:rsid w:val="002F7C0F"/>
    <w:rsid w:val="002F7CDC"/>
    <w:rsid w:val="002F7EDC"/>
    <w:rsid w:val="003003EE"/>
    <w:rsid w:val="00300470"/>
    <w:rsid w:val="00300E5F"/>
    <w:rsid w:val="00301018"/>
    <w:rsid w:val="00301246"/>
    <w:rsid w:val="0030188A"/>
    <w:rsid w:val="0030191B"/>
    <w:rsid w:val="003026E8"/>
    <w:rsid w:val="003028E1"/>
    <w:rsid w:val="00302D47"/>
    <w:rsid w:val="00302D84"/>
    <w:rsid w:val="00303223"/>
    <w:rsid w:val="003034F4"/>
    <w:rsid w:val="00303632"/>
    <w:rsid w:val="00303751"/>
    <w:rsid w:val="00303AD5"/>
    <w:rsid w:val="00303BBC"/>
    <w:rsid w:val="0030420A"/>
    <w:rsid w:val="0030436E"/>
    <w:rsid w:val="00304A8D"/>
    <w:rsid w:val="00304C31"/>
    <w:rsid w:val="00304E18"/>
    <w:rsid w:val="00305412"/>
    <w:rsid w:val="0030583A"/>
    <w:rsid w:val="00305F83"/>
    <w:rsid w:val="0030632D"/>
    <w:rsid w:val="00306648"/>
    <w:rsid w:val="0030666B"/>
    <w:rsid w:val="00306B83"/>
    <w:rsid w:val="00306C9D"/>
    <w:rsid w:val="00307892"/>
    <w:rsid w:val="003079B6"/>
    <w:rsid w:val="00307C1E"/>
    <w:rsid w:val="00310628"/>
    <w:rsid w:val="003106C9"/>
    <w:rsid w:val="0031085E"/>
    <w:rsid w:val="00310C8E"/>
    <w:rsid w:val="00311545"/>
    <w:rsid w:val="00311DA1"/>
    <w:rsid w:val="003125A6"/>
    <w:rsid w:val="003128F8"/>
    <w:rsid w:val="003129E5"/>
    <w:rsid w:val="00312E2B"/>
    <w:rsid w:val="003131B1"/>
    <w:rsid w:val="003135DB"/>
    <w:rsid w:val="0031374D"/>
    <w:rsid w:val="00314C04"/>
    <w:rsid w:val="00314E87"/>
    <w:rsid w:val="00314EFD"/>
    <w:rsid w:val="003150FA"/>
    <w:rsid w:val="0031515D"/>
    <w:rsid w:val="003151C0"/>
    <w:rsid w:val="003158C7"/>
    <w:rsid w:val="00315FED"/>
    <w:rsid w:val="003160DB"/>
    <w:rsid w:val="00316369"/>
    <w:rsid w:val="0031685D"/>
    <w:rsid w:val="00316916"/>
    <w:rsid w:val="00316B0B"/>
    <w:rsid w:val="00316F6A"/>
    <w:rsid w:val="003170CE"/>
    <w:rsid w:val="00317630"/>
    <w:rsid w:val="003177A8"/>
    <w:rsid w:val="003179C2"/>
    <w:rsid w:val="00320032"/>
    <w:rsid w:val="0032020D"/>
    <w:rsid w:val="0032200F"/>
    <w:rsid w:val="00322B0D"/>
    <w:rsid w:val="00322E25"/>
    <w:rsid w:val="003233CD"/>
    <w:rsid w:val="00323D56"/>
    <w:rsid w:val="00324274"/>
    <w:rsid w:val="00324A23"/>
    <w:rsid w:val="00324F93"/>
    <w:rsid w:val="003259E2"/>
    <w:rsid w:val="00325AC1"/>
    <w:rsid w:val="00325E39"/>
    <w:rsid w:val="0032605E"/>
    <w:rsid w:val="00326399"/>
    <w:rsid w:val="003264D3"/>
    <w:rsid w:val="0032670B"/>
    <w:rsid w:val="0032690A"/>
    <w:rsid w:val="00327073"/>
    <w:rsid w:val="003273DC"/>
    <w:rsid w:val="003274D2"/>
    <w:rsid w:val="00327696"/>
    <w:rsid w:val="0032771B"/>
    <w:rsid w:val="00327E28"/>
    <w:rsid w:val="00330220"/>
    <w:rsid w:val="00330A76"/>
    <w:rsid w:val="00330C70"/>
    <w:rsid w:val="00331032"/>
    <w:rsid w:val="0033106C"/>
    <w:rsid w:val="00331652"/>
    <w:rsid w:val="0033186D"/>
    <w:rsid w:val="003318F6"/>
    <w:rsid w:val="00331DFB"/>
    <w:rsid w:val="003320A9"/>
    <w:rsid w:val="00332FC4"/>
    <w:rsid w:val="00333116"/>
    <w:rsid w:val="00333977"/>
    <w:rsid w:val="00333AD2"/>
    <w:rsid w:val="00333B95"/>
    <w:rsid w:val="00333BE7"/>
    <w:rsid w:val="00333BEA"/>
    <w:rsid w:val="003340C8"/>
    <w:rsid w:val="00334448"/>
    <w:rsid w:val="00334BDC"/>
    <w:rsid w:val="00334C5E"/>
    <w:rsid w:val="00334CD0"/>
    <w:rsid w:val="00334E4D"/>
    <w:rsid w:val="00334E5C"/>
    <w:rsid w:val="00335268"/>
    <w:rsid w:val="00335ABA"/>
    <w:rsid w:val="00335B46"/>
    <w:rsid w:val="003360B0"/>
    <w:rsid w:val="003371E2"/>
    <w:rsid w:val="003403F1"/>
    <w:rsid w:val="0034089B"/>
    <w:rsid w:val="00340976"/>
    <w:rsid w:val="00340C1B"/>
    <w:rsid w:val="00340DA9"/>
    <w:rsid w:val="003410D1"/>
    <w:rsid w:val="00341654"/>
    <w:rsid w:val="0034173A"/>
    <w:rsid w:val="00342658"/>
    <w:rsid w:val="00342C69"/>
    <w:rsid w:val="00343312"/>
    <w:rsid w:val="003434A4"/>
    <w:rsid w:val="00343718"/>
    <w:rsid w:val="00344116"/>
    <w:rsid w:val="0034424E"/>
    <w:rsid w:val="0034479C"/>
    <w:rsid w:val="00344C1B"/>
    <w:rsid w:val="00344D0E"/>
    <w:rsid w:val="00344FE8"/>
    <w:rsid w:val="0034663D"/>
    <w:rsid w:val="00346726"/>
    <w:rsid w:val="00346BB9"/>
    <w:rsid w:val="00347019"/>
    <w:rsid w:val="0034768A"/>
    <w:rsid w:val="003476BE"/>
    <w:rsid w:val="00347C17"/>
    <w:rsid w:val="00350112"/>
    <w:rsid w:val="00350259"/>
    <w:rsid w:val="003503E5"/>
    <w:rsid w:val="00350404"/>
    <w:rsid w:val="00350421"/>
    <w:rsid w:val="0035083A"/>
    <w:rsid w:val="00350F5F"/>
    <w:rsid w:val="00351204"/>
    <w:rsid w:val="00351460"/>
    <w:rsid w:val="003515B1"/>
    <w:rsid w:val="003517E4"/>
    <w:rsid w:val="003518BD"/>
    <w:rsid w:val="00351BEE"/>
    <w:rsid w:val="00351C41"/>
    <w:rsid w:val="003525C0"/>
    <w:rsid w:val="003526E6"/>
    <w:rsid w:val="00352ED0"/>
    <w:rsid w:val="00353085"/>
    <w:rsid w:val="00353604"/>
    <w:rsid w:val="003536D5"/>
    <w:rsid w:val="003539C4"/>
    <w:rsid w:val="00353B26"/>
    <w:rsid w:val="00353F84"/>
    <w:rsid w:val="0035447E"/>
    <w:rsid w:val="0035514B"/>
    <w:rsid w:val="0035526B"/>
    <w:rsid w:val="00355430"/>
    <w:rsid w:val="00355F4B"/>
    <w:rsid w:val="003563C1"/>
    <w:rsid w:val="00356869"/>
    <w:rsid w:val="00356CE7"/>
    <w:rsid w:val="0035704D"/>
    <w:rsid w:val="00357487"/>
    <w:rsid w:val="00360024"/>
    <w:rsid w:val="00360702"/>
    <w:rsid w:val="00360BA4"/>
    <w:rsid w:val="00360C97"/>
    <w:rsid w:val="00360E61"/>
    <w:rsid w:val="00361854"/>
    <w:rsid w:val="00361CDC"/>
    <w:rsid w:val="00361FC9"/>
    <w:rsid w:val="003624C5"/>
    <w:rsid w:val="00362638"/>
    <w:rsid w:val="00362653"/>
    <w:rsid w:val="00362A4E"/>
    <w:rsid w:val="00362C89"/>
    <w:rsid w:val="00362F55"/>
    <w:rsid w:val="003630CF"/>
    <w:rsid w:val="003633B0"/>
    <w:rsid w:val="0036362F"/>
    <w:rsid w:val="00363975"/>
    <w:rsid w:val="00364747"/>
    <w:rsid w:val="00364A0A"/>
    <w:rsid w:val="003652CF"/>
    <w:rsid w:val="003653D2"/>
    <w:rsid w:val="00365ADA"/>
    <w:rsid w:val="00365BBE"/>
    <w:rsid w:val="00365D49"/>
    <w:rsid w:val="00365DCC"/>
    <w:rsid w:val="00366148"/>
    <w:rsid w:val="00366D3F"/>
    <w:rsid w:val="00366E9A"/>
    <w:rsid w:val="00367590"/>
    <w:rsid w:val="00367FF9"/>
    <w:rsid w:val="00370728"/>
    <w:rsid w:val="00370991"/>
    <w:rsid w:val="00371138"/>
    <w:rsid w:val="00371175"/>
    <w:rsid w:val="00371BA7"/>
    <w:rsid w:val="0037280D"/>
    <w:rsid w:val="003732B0"/>
    <w:rsid w:val="00373C72"/>
    <w:rsid w:val="00374305"/>
    <w:rsid w:val="00374C4D"/>
    <w:rsid w:val="00374CBF"/>
    <w:rsid w:val="00374D2D"/>
    <w:rsid w:val="00375592"/>
    <w:rsid w:val="00375FCC"/>
    <w:rsid w:val="003762FD"/>
    <w:rsid w:val="00376707"/>
    <w:rsid w:val="00376C64"/>
    <w:rsid w:val="0037705A"/>
    <w:rsid w:val="00377183"/>
    <w:rsid w:val="0037779E"/>
    <w:rsid w:val="00377A17"/>
    <w:rsid w:val="00380547"/>
    <w:rsid w:val="00380637"/>
    <w:rsid w:val="00380655"/>
    <w:rsid w:val="0038072B"/>
    <w:rsid w:val="0038130D"/>
    <w:rsid w:val="0038186C"/>
    <w:rsid w:val="00381C52"/>
    <w:rsid w:val="00381D80"/>
    <w:rsid w:val="00381F0E"/>
    <w:rsid w:val="00382116"/>
    <w:rsid w:val="003825C7"/>
    <w:rsid w:val="00382936"/>
    <w:rsid w:val="00382CD0"/>
    <w:rsid w:val="0038309F"/>
    <w:rsid w:val="0038351F"/>
    <w:rsid w:val="00383CBD"/>
    <w:rsid w:val="00383F68"/>
    <w:rsid w:val="00383FD1"/>
    <w:rsid w:val="00384195"/>
    <w:rsid w:val="003843EE"/>
    <w:rsid w:val="00384467"/>
    <w:rsid w:val="00384661"/>
    <w:rsid w:val="00384705"/>
    <w:rsid w:val="003849C6"/>
    <w:rsid w:val="00385103"/>
    <w:rsid w:val="003857B9"/>
    <w:rsid w:val="0038583A"/>
    <w:rsid w:val="0038587C"/>
    <w:rsid w:val="00386095"/>
    <w:rsid w:val="003861D0"/>
    <w:rsid w:val="00386218"/>
    <w:rsid w:val="00386274"/>
    <w:rsid w:val="00386361"/>
    <w:rsid w:val="00386451"/>
    <w:rsid w:val="0038654C"/>
    <w:rsid w:val="0038691E"/>
    <w:rsid w:val="00387A69"/>
    <w:rsid w:val="00387BB3"/>
    <w:rsid w:val="003902A0"/>
    <w:rsid w:val="00390662"/>
    <w:rsid w:val="00390678"/>
    <w:rsid w:val="00390D9A"/>
    <w:rsid w:val="0039101C"/>
    <w:rsid w:val="0039144D"/>
    <w:rsid w:val="003917E4"/>
    <w:rsid w:val="00391B0D"/>
    <w:rsid w:val="00391B4B"/>
    <w:rsid w:val="00391E83"/>
    <w:rsid w:val="00392222"/>
    <w:rsid w:val="0039237C"/>
    <w:rsid w:val="003925E7"/>
    <w:rsid w:val="003929D3"/>
    <w:rsid w:val="00392C0D"/>
    <w:rsid w:val="00393068"/>
    <w:rsid w:val="003939F8"/>
    <w:rsid w:val="00393D2A"/>
    <w:rsid w:val="0039443E"/>
    <w:rsid w:val="0039484E"/>
    <w:rsid w:val="00394C08"/>
    <w:rsid w:val="00395145"/>
    <w:rsid w:val="0039528F"/>
    <w:rsid w:val="0039553A"/>
    <w:rsid w:val="00395AB0"/>
    <w:rsid w:val="00395AFE"/>
    <w:rsid w:val="00395E93"/>
    <w:rsid w:val="003971DA"/>
    <w:rsid w:val="00397EC6"/>
    <w:rsid w:val="003A00F5"/>
    <w:rsid w:val="003A0591"/>
    <w:rsid w:val="003A07E1"/>
    <w:rsid w:val="003A0C38"/>
    <w:rsid w:val="003A0C3B"/>
    <w:rsid w:val="003A0DAC"/>
    <w:rsid w:val="003A1167"/>
    <w:rsid w:val="003A14C1"/>
    <w:rsid w:val="003A15EF"/>
    <w:rsid w:val="003A2614"/>
    <w:rsid w:val="003A2756"/>
    <w:rsid w:val="003A28C6"/>
    <w:rsid w:val="003A307D"/>
    <w:rsid w:val="003A3DEE"/>
    <w:rsid w:val="003A3FF1"/>
    <w:rsid w:val="003A43FE"/>
    <w:rsid w:val="003A49F5"/>
    <w:rsid w:val="003A4B62"/>
    <w:rsid w:val="003A5C90"/>
    <w:rsid w:val="003A6B0D"/>
    <w:rsid w:val="003A6B3D"/>
    <w:rsid w:val="003A6DAD"/>
    <w:rsid w:val="003A6F16"/>
    <w:rsid w:val="003A757F"/>
    <w:rsid w:val="003A773C"/>
    <w:rsid w:val="003B00B7"/>
    <w:rsid w:val="003B08F2"/>
    <w:rsid w:val="003B098A"/>
    <w:rsid w:val="003B1434"/>
    <w:rsid w:val="003B144C"/>
    <w:rsid w:val="003B164E"/>
    <w:rsid w:val="003B165E"/>
    <w:rsid w:val="003B1731"/>
    <w:rsid w:val="003B17C5"/>
    <w:rsid w:val="003B1B95"/>
    <w:rsid w:val="003B1FF3"/>
    <w:rsid w:val="003B221F"/>
    <w:rsid w:val="003B24EF"/>
    <w:rsid w:val="003B2910"/>
    <w:rsid w:val="003B2D29"/>
    <w:rsid w:val="003B32C0"/>
    <w:rsid w:val="003B37D6"/>
    <w:rsid w:val="003B3AC9"/>
    <w:rsid w:val="003B3B47"/>
    <w:rsid w:val="003B40D7"/>
    <w:rsid w:val="003B432B"/>
    <w:rsid w:val="003B4758"/>
    <w:rsid w:val="003B4775"/>
    <w:rsid w:val="003B4C9F"/>
    <w:rsid w:val="003B5083"/>
    <w:rsid w:val="003B59D0"/>
    <w:rsid w:val="003B5C62"/>
    <w:rsid w:val="003B5CDC"/>
    <w:rsid w:val="003B6942"/>
    <w:rsid w:val="003B6AD7"/>
    <w:rsid w:val="003B71FF"/>
    <w:rsid w:val="003B731D"/>
    <w:rsid w:val="003B73E6"/>
    <w:rsid w:val="003B775F"/>
    <w:rsid w:val="003B7797"/>
    <w:rsid w:val="003B7A65"/>
    <w:rsid w:val="003C0166"/>
    <w:rsid w:val="003C027E"/>
    <w:rsid w:val="003C04A8"/>
    <w:rsid w:val="003C09B5"/>
    <w:rsid w:val="003C11E2"/>
    <w:rsid w:val="003C13F9"/>
    <w:rsid w:val="003C16B9"/>
    <w:rsid w:val="003C19D1"/>
    <w:rsid w:val="003C1FCA"/>
    <w:rsid w:val="003C2596"/>
    <w:rsid w:val="003C2FE5"/>
    <w:rsid w:val="003C398C"/>
    <w:rsid w:val="003C3B2C"/>
    <w:rsid w:val="003C3DDB"/>
    <w:rsid w:val="003C3E89"/>
    <w:rsid w:val="003C5FFF"/>
    <w:rsid w:val="003C7377"/>
    <w:rsid w:val="003C7A5B"/>
    <w:rsid w:val="003C7D0B"/>
    <w:rsid w:val="003D04C3"/>
    <w:rsid w:val="003D0753"/>
    <w:rsid w:val="003D16D3"/>
    <w:rsid w:val="003D191E"/>
    <w:rsid w:val="003D1A64"/>
    <w:rsid w:val="003D1A6C"/>
    <w:rsid w:val="003D1C01"/>
    <w:rsid w:val="003D2A28"/>
    <w:rsid w:val="003D2C2F"/>
    <w:rsid w:val="003D31C3"/>
    <w:rsid w:val="003D3581"/>
    <w:rsid w:val="003D38CF"/>
    <w:rsid w:val="003D3BB4"/>
    <w:rsid w:val="003D3E24"/>
    <w:rsid w:val="003D4458"/>
    <w:rsid w:val="003D4512"/>
    <w:rsid w:val="003D47C8"/>
    <w:rsid w:val="003D4E6B"/>
    <w:rsid w:val="003D6A75"/>
    <w:rsid w:val="003D7776"/>
    <w:rsid w:val="003D7A59"/>
    <w:rsid w:val="003D7B53"/>
    <w:rsid w:val="003E00AB"/>
    <w:rsid w:val="003E0D83"/>
    <w:rsid w:val="003E0DB2"/>
    <w:rsid w:val="003E0FB2"/>
    <w:rsid w:val="003E0FF7"/>
    <w:rsid w:val="003E1134"/>
    <w:rsid w:val="003E1169"/>
    <w:rsid w:val="003E11C1"/>
    <w:rsid w:val="003E1AE7"/>
    <w:rsid w:val="003E1B99"/>
    <w:rsid w:val="003E1D06"/>
    <w:rsid w:val="003E1F51"/>
    <w:rsid w:val="003E271A"/>
    <w:rsid w:val="003E377A"/>
    <w:rsid w:val="003E3DFA"/>
    <w:rsid w:val="003E4252"/>
    <w:rsid w:val="003E5050"/>
    <w:rsid w:val="003E5136"/>
    <w:rsid w:val="003E5A43"/>
    <w:rsid w:val="003E5C45"/>
    <w:rsid w:val="003E5C8F"/>
    <w:rsid w:val="003E633E"/>
    <w:rsid w:val="003E6FCE"/>
    <w:rsid w:val="003E719C"/>
    <w:rsid w:val="003E7215"/>
    <w:rsid w:val="003E7308"/>
    <w:rsid w:val="003E7C3E"/>
    <w:rsid w:val="003E7DD2"/>
    <w:rsid w:val="003F000C"/>
    <w:rsid w:val="003F0767"/>
    <w:rsid w:val="003F12DA"/>
    <w:rsid w:val="003F17FA"/>
    <w:rsid w:val="003F1D36"/>
    <w:rsid w:val="003F21EB"/>
    <w:rsid w:val="003F2290"/>
    <w:rsid w:val="003F23A9"/>
    <w:rsid w:val="003F24CE"/>
    <w:rsid w:val="003F2678"/>
    <w:rsid w:val="003F2878"/>
    <w:rsid w:val="003F2952"/>
    <w:rsid w:val="003F2B06"/>
    <w:rsid w:val="003F3029"/>
    <w:rsid w:val="003F3259"/>
    <w:rsid w:val="003F363C"/>
    <w:rsid w:val="003F3E4E"/>
    <w:rsid w:val="003F3FDC"/>
    <w:rsid w:val="003F4223"/>
    <w:rsid w:val="003F4DB8"/>
    <w:rsid w:val="003F534B"/>
    <w:rsid w:val="003F54DB"/>
    <w:rsid w:val="003F553F"/>
    <w:rsid w:val="003F5CC5"/>
    <w:rsid w:val="003F5D68"/>
    <w:rsid w:val="003F625A"/>
    <w:rsid w:val="003F626B"/>
    <w:rsid w:val="003F6498"/>
    <w:rsid w:val="003F66C5"/>
    <w:rsid w:val="003F66FD"/>
    <w:rsid w:val="003F69A8"/>
    <w:rsid w:val="003F7529"/>
    <w:rsid w:val="003F7A53"/>
    <w:rsid w:val="003F7FD3"/>
    <w:rsid w:val="00400224"/>
    <w:rsid w:val="00400225"/>
    <w:rsid w:val="0040059F"/>
    <w:rsid w:val="00400A36"/>
    <w:rsid w:val="00400A77"/>
    <w:rsid w:val="00401065"/>
    <w:rsid w:val="00401403"/>
    <w:rsid w:val="004015DC"/>
    <w:rsid w:val="004017E9"/>
    <w:rsid w:val="00401A81"/>
    <w:rsid w:val="00402AF2"/>
    <w:rsid w:val="00402DCF"/>
    <w:rsid w:val="00402E19"/>
    <w:rsid w:val="0040315D"/>
    <w:rsid w:val="004032AA"/>
    <w:rsid w:val="00404E32"/>
    <w:rsid w:val="004056B7"/>
    <w:rsid w:val="004059A4"/>
    <w:rsid w:val="00405C39"/>
    <w:rsid w:val="00405E40"/>
    <w:rsid w:val="0040659F"/>
    <w:rsid w:val="0040690A"/>
    <w:rsid w:val="00406A1F"/>
    <w:rsid w:val="0040729E"/>
    <w:rsid w:val="004076E8"/>
    <w:rsid w:val="004079F1"/>
    <w:rsid w:val="004106EC"/>
    <w:rsid w:val="00410877"/>
    <w:rsid w:val="004108EA"/>
    <w:rsid w:val="00410B6D"/>
    <w:rsid w:val="00411258"/>
    <w:rsid w:val="00411497"/>
    <w:rsid w:val="004118DC"/>
    <w:rsid w:val="004127F3"/>
    <w:rsid w:val="0041280E"/>
    <w:rsid w:val="00412F06"/>
    <w:rsid w:val="00413286"/>
    <w:rsid w:val="004133BE"/>
    <w:rsid w:val="004133D9"/>
    <w:rsid w:val="0041371B"/>
    <w:rsid w:val="00413B10"/>
    <w:rsid w:val="00413C03"/>
    <w:rsid w:val="00413EA6"/>
    <w:rsid w:val="00414079"/>
    <w:rsid w:val="00414185"/>
    <w:rsid w:val="004146CE"/>
    <w:rsid w:val="00414D67"/>
    <w:rsid w:val="00414DD2"/>
    <w:rsid w:val="00414F6B"/>
    <w:rsid w:val="00415460"/>
    <w:rsid w:val="004156D5"/>
    <w:rsid w:val="00415A44"/>
    <w:rsid w:val="00415B9D"/>
    <w:rsid w:val="0041613A"/>
    <w:rsid w:val="00416988"/>
    <w:rsid w:val="00416A9D"/>
    <w:rsid w:val="00416B9C"/>
    <w:rsid w:val="00417399"/>
    <w:rsid w:val="00417597"/>
    <w:rsid w:val="00417F86"/>
    <w:rsid w:val="00420036"/>
    <w:rsid w:val="00420217"/>
    <w:rsid w:val="0042039F"/>
    <w:rsid w:val="004203A5"/>
    <w:rsid w:val="004204DA"/>
    <w:rsid w:val="004205BA"/>
    <w:rsid w:val="004209CB"/>
    <w:rsid w:val="00420A67"/>
    <w:rsid w:val="00420E90"/>
    <w:rsid w:val="004215EA"/>
    <w:rsid w:val="00421ABC"/>
    <w:rsid w:val="00421E25"/>
    <w:rsid w:val="00422541"/>
    <w:rsid w:val="0042281A"/>
    <w:rsid w:val="00422BD2"/>
    <w:rsid w:val="00422CE5"/>
    <w:rsid w:val="0042332F"/>
    <w:rsid w:val="00423AF5"/>
    <w:rsid w:val="00423CFC"/>
    <w:rsid w:val="00424880"/>
    <w:rsid w:val="00424DFC"/>
    <w:rsid w:val="00424E79"/>
    <w:rsid w:val="004254C9"/>
    <w:rsid w:val="00425863"/>
    <w:rsid w:val="00425A4D"/>
    <w:rsid w:val="00425CAA"/>
    <w:rsid w:val="00425D75"/>
    <w:rsid w:val="00425DFF"/>
    <w:rsid w:val="004261E5"/>
    <w:rsid w:val="004261EA"/>
    <w:rsid w:val="00426597"/>
    <w:rsid w:val="00426619"/>
    <w:rsid w:val="00426946"/>
    <w:rsid w:val="00426EBC"/>
    <w:rsid w:val="004279F5"/>
    <w:rsid w:val="00430123"/>
    <w:rsid w:val="00430BB2"/>
    <w:rsid w:val="00430D5C"/>
    <w:rsid w:val="00430E92"/>
    <w:rsid w:val="004328C4"/>
    <w:rsid w:val="00432BAA"/>
    <w:rsid w:val="00432C48"/>
    <w:rsid w:val="00432EB1"/>
    <w:rsid w:val="00432FA7"/>
    <w:rsid w:val="004330E6"/>
    <w:rsid w:val="00433205"/>
    <w:rsid w:val="0043370C"/>
    <w:rsid w:val="004338B7"/>
    <w:rsid w:val="0043468C"/>
    <w:rsid w:val="00435326"/>
    <w:rsid w:val="00435745"/>
    <w:rsid w:val="004358AD"/>
    <w:rsid w:val="004361DE"/>
    <w:rsid w:val="004361F1"/>
    <w:rsid w:val="00436439"/>
    <w:rsid w:val="00436512"/>
    <w:rsid w:val="00436636"/>
    <w:rsid w:val="00436C2C"/>
    <w:rsid w:val="00436EE5"/>
    <w:rsid w:val="0043785D"/>
    <w:rsid w:val="00437DB3"/>
    <w:rsid w:val="0044049B"/>
    <w:rsid w:val="0044069C"/>
    <w:rsid w:val="004412CE"/>
    <w:rsid w:val="0044143E"/>
    <w:rsid w:val="0044181D"/>
    <w:rsid w:val="004419EF"/>
    <w:rsid w:val="00441A8D"/>
    <w:rsid w:val="00441AFE"/>
    <w:rsid w:val="00441F73"/>
    <w:rsid w:val="0044203A"/>
    <w:rsid w:val="004424C9"/>
    <w:rsid w:val="00443187"/>
    <w:rsid w:val="00443387"/>
    <w:rsid w:val="004433F7"/>
    <w:rsid w:val="0044340D"/>
    <w:rsid w:val="004435F7"/>
    <w:rsid w:val="0044385A"/>
    <w:rsid w:val="00443BEA"/>
    <w:rsid w:val="004446DB"/>
    <w:rsid w:val="00444A9F"/>
    <w:rsid w:val="00444B24"/>
    <w:rsid w:val="00445081"/>
    <w:rsid w:val="0044535F"/>
    <w:rsid w:val="004453F1"/>
    <w:rsid w:val="0044585A"/>
    <w:rsid w:val="0044586C"/>
    <w:rsid w:val="004458F7"/>
    <w:rsid w:val="0044592C"/>
    <w:rsid w:val="00445960"/>
    <w:rsid w:val="00445C2C"/>
    <w:rsid w:val="00445DA2"/>
    <w:rsid w:val="00445E9F"/>
    <w:rsid w:val="00445F1D"/>
    <w:rsid w:val="00446ACB"/>
    <w:rsid w:val="00446F90"/>
    <w:rsid w:val="004471C2"/>
    <w:rsid w:val="0044762C"/>
    <w:rsid w:val="004477A5"/>
    <w:rsid w:val="00447879"/>
    <w:rsid w:val="00447AED"/>
    <w:rsid w:val="0045036F"/>
    <w:rsid w:val="004504BF"/>
    <w:rsid w:val="0045064D"/>
    <w:rsid w:val="004507DE"/>
    <w:rsid w:val="00450CD5"/>
    <w:rsid w:val="00450F10"/>
    <w:rsid w:val="00451CE8"/>
    <w:rsid w:val="0045207D"/>
    <w:rsid w:val="00452416"/>
    <w:rsid w:val="00453C0C"/>
    <w:rsid w:val="0045475F"/>
    <w:rsid w:val="00454986"/>
    <w:rsid w:val="00454A0F"/>
    <w:rsid w:val="004550BF"/>
    <w:rsid w:val="0045593B"/>
    <w:rsid w:val="00455B93"/>
    <w:rsid w:val="004563D8"/>
    <w:rsid w:val="00457538"/>
    <w:rsid w:val="00457781"/>
    <w:rsid w:val="00457F9D"/>
    <w:rsid w:val="00457FD0"/>
    <w:rsid w:val="0045D7A4"/>
    <w:rsid w:val="00460210"/>
    <w:rsid w:val="004604E1"/>
    <w:rsid w:val="00460AF2"/>
    <w:rsid w:val="00461A3C"/>
    <w:rsid w:val="00461A54"/>
    <w:rsid w:val="00461D5E"/>
    <w:rsid w:val="00461E19"/>
    <w:rsid w:val="00461EF4"/>
    <w:rsid w:val="0046251A"/>
    <w:rsid w:val="004627B1"/>
    <w:rsid w:val="00462ED7"/>
    <w:rsid w:val="004632E4"/>
    <w:rsid w:val="0046340B"/>
    <w:rsid w:val="004635FD"/>
    <w:rsid w:val="00463928"/>
    <w:rsid w:val="00463970"/>
    <w:rsid w:val="00463B4B"/>
    <w:rsid w:val="00464748"/>
    <w:rsid w:val="00464963"/>
    <w:rsid w:val="00464F3E"/>
    <w:rsid w:val="00465673"/>
    <w:rsid w:val="00465863"/>
    <w:rsid w:val="004658F4"/>
    <w:rsid w:val="00465A0B"/>
    <w:rsid w:val="00465F75"/>
    <w:rsid w:val="00466275"/>
    <w:rsid w:val="004662CE"/>
    <w:rsid w:val="00466495"/>
    <w:rsid w:val="00466798"/>
    <w:rsid w:val="00466A42"/>
    <w:rsid w:val="00467045"/>
    <w:rsid w:val="0046762D"/>
    <w:rsid w:val="0047068B"/>
    <w:rsid w:val="00470A7A"/>
    <w:rsid w:val="00470DF7"/>
    <w:rsid w:val="00470F18"/>
    <w:rsid w:val="00470F95"/>
    <w:rsid w:val="00471D2D"/>
    <w:rsid w:val="00471D87"/>
    <w:rsid w:val="00471DE5"/>
    <w:rsid w:val="004724BC"/>
    <w:rsid w:val="00472F71"/>
    <w:rsid w:val="004730BA"/>
    <w:rsid w:val="00473343"/>
    <w:rsid w:val="00473451"/>
    <w:rsid w:val="00473875"/>
    <w:rsid w:val="00473C65"/>
    <w:rsid w:val="004744FF"/>
    <w:rsid w:val="00474B53"/>
    <w:rsid w:val="004753C8"/>
    <w:rsid w:val="004762B6"/>
    <w:rsid w:val="004763DE"/>
    <w:rsid w:val="00476C9E"/>
    <w:rsid w:val="004770C8"/>
    <w:rsid w:val="00477156"/>
    <w:rsid w:val="0047717E"/>
    <w:rsid w:val="0047723A"/>
    <w:rsid w:val="004775E0"/>
    <w:rsid w:val="004777FC"/>
    <w:rsid w:val="00477ACB"/>
    <w:rsid w:val="00477B6A"/>
    <w:rsid w:val="004809CF"/>
    <w:rsid w:val="00480B3C"/>
    <w:rsid w:val="004816E6"/>
    <w:rsid w:val="0048241E"/>
    <w:rsid w:val="00482835"/>
    <w:rsid w:val="00482E81"/>
    <w:rsid w:val="00483731"/>
    <w:rsid w:val="00483DD6"/>
    <w:rsid w:val="00484863"/>
    <w:rsid w:val="004848D2"/>
    <w:rsid w:val="00484D27"/>
    <w:rsid w:val="00485241"/>
    <w:rsid w:val="004852A2"/>
    <w:rsid w:val="004852B3"/>
    <w:rsid w:val="004852DE"/>
    <w:rsid w:val="004859B2"/>
    <w:rsid w:val="00485D2E"/>
    <w:rsid w:val="00485E60"/>
    <w:rsid w:val="004861A6"/>
    <w:rsid w:val="0048620E"/>
    <w:rsid w:val="0048628E"/>
    <w:rsid w:val="00486860"/>
    <w:rsid w:val="0048686C"/>
    <w:rsid w:val="00486916"/>
    <w:rsid w:val="0048730D"/>
    <w:rsid w:val="00487985"/>
    <w:rsid w:val="00487C24"/>
    <w:rsid w:val="00490165"/>
    <w:rsid w:val="00490303"/>
    <w:rsid w:val="0049037C"/>
    <w:rsid w:val="0049053D"/>
    <w:rsid w:val="00490A83"/>
    <w:rsid w:val="00490FE6"/>
    <w:rsid w:val="00491198"/>
    <w:rsid w:val="004913D7"/>
    <w:rsid w:val="00491448"/>
    <w:rsid w:val="004915E0"/>
    <w:rsid w:val="00491625"/>
    <w:rsid w:val="00492899"/>
    <w:rsid w:val="00492B4D"/>
    <w:rsid w:val="00492C80"/>
    <w:rsid w:val="00492C9A"/>
    <w:rsid w:val="00492DA7"/>
    <w:rsid w:val="0049301C"/>
    <w:rsid w:val="00493BE4"/>
    <w:rsid w:val="00493DC1"/>
    <w:rsid w:val="004940A8"/>
    <w:rsid w:val="004940BE"/>
    <w:rsid w:val="004943C5"/>
    <w:rsid w:val="004946A9"/>
    <w:rsid w:val="004949F1"/>
    <w:rsid w:val="00494DE7"/>
    <w:rsid w:val="00495535"/>
    <w:rsid w:val="00495752"/>
    <w:rsid w:val="00495BDC"/>
    <w:rsid w:val="00496390"/>
    <w:rsid w:val="0049665D"/>
    <w:rsid w:val="00496919"/>
    <w:rsid w:val="00497341"/>
    <w:rsid w:val="00497501"/>
    <w:rsid w:val="0049776E"/>
    <w:rsid w:val="00497B85"/>
    <w:rsid w:val="00497C0B"/>
    <w:rsid w:val="004A0074"/>
    <w:rsid w:val="004A08A0"/>
    <w:rsid w:val="004A0A38"/>
    <w:rsid w:val="004A0BE5"/>
    <w:rsid w:val="004A1631"/>
    <w:rsid w:val="004A17B9"/>
    <w:rsid w:val="004A1D1C"/>
    <w:rsid w:val="004A235C"/>
    <w:rsid w:val="004A2F28"/>
    <w:rsid w:val="004A366E"/>
    <w:rsid w:val="004A3C7C"/>
    <w:rsid w:val="004A3D6B"/>
    <w:rsid w:val="004A4312"/>
    <w:rsid w:val="004A4484"/>
    <w:rsid w:val="004A45D1"/>
    <w:rsid w:val="004A48DD"/>
    <w:rsid w:val="004A4C8B"/>
    <w:rsid w:val="004A4E26"/>
    <w:rsid w:val="004A5639"/>
    <w:rsid w:val="004A589B"/>
    <w:rsid w:val="004A6087"/>
    <w:rsid w:val="004A61F6"/>
    <w:rsid w:val="004A69C6"/>
    <w:rsid w:val="004A6CA0"/>
    <w:rsid w:val="004A6CAC"/>
    <w:rsid w:val="004A6D38"/>
    <w:rsid w:val="004A7465"/>
    <w:rsid w:val="004A7B4C"/>
    <w:rsid w:val="004B0268"/>
    <w:rsid w:val="004B02B4"/>
    <w:rsid w:val="004B031E"/>
    <w:rsid w:val="004B049C"/>
    <w:rsid w:val="004B0509"/>
    <w:rsid w:val="004B0972"/>
    <w:rsid w:val="004B0B3C"/>
    <w:rsid w:val="004B0BDE"/>
    <w:rsid w:val="004B0D7C"/>
    <w:rsid w:val="004B0FB4"/>
    <w:rsid w:val="004B1302"/>
    <w:rsid w:val="004B1FC2"/>
    <w:rsid w:val="004B292F"/>
    <w:rsid w:val="004B2BC2"/>
    <w:rsid w:val="004B2FC2"/>
    <w:rsid w:val="004B34C8"/>
    <w:rsid w:val="004B3565"/>
    <w:rsid w:val="004B39B2"/>
    <w:rsid w:val="004B3AB3"/>
    <w:rsid w:val="004B4071"/>
    <w:rsid w:val="004B42CA"/>
    <w:rsid w:val="004B46DD"/>
    <w:rsid w:val="004B50C5"/>
    <w:rsid w:val="004B5220"/>
    <w:rsid w:val="004B586D"/>
    <w:rsid w:val="004B6148"/>
    <w:rsid w:val="004B6770"/>
    <w:rsid w:val="004B69AC"/>
    <w:rsid w:val="004B6B0D"/>
    <w:rsid w:val="004B6C23"/>
    <w:rsid w:val="004B7027"/>
    <w:rsid w:val="004B73FF"/>
    <w:rsid w:val="004B7CB5"/>
    <w:rsid w:val="004C0445"/>
    <w:rsid w:val="004C078B"/>
    <w:rsid w:val="004C0A92"/>
    <w:rsid w:val="004C0C9E"/>
    <w:rsid w:val="004C0EA4"/>
    <w:rsid w:val="004C1C8B"/>
    <w:rsid w:val="004C1D12"/>
    <w:rsid w:val="004C1E71"/>
    <w:rsid w:val="004C2269"/>
    <w:rsid w:val="004C24AF"/>
    <w:rsid w:val="004C291E"/>
    <w:rsid w:val="004C2A4B"/>
    <w:rsid w:val="004C2AD8"/>
    <w:rsid w:val="004C3210"/>
    <w:rsid w:val="004C3452"/>
    <w:rsid w:val="004C3458"/>
    <w:rsid w:val="004C3A3F"/>
    <w:rsid w:val="004C3B6B"/>
    <w:rsid w:val="004C44D2"/>
    <w:rsid w:val="004C4864"/>
    <w:rsid w:val="004C4D9D"/>
    <w:rsid w:val="004C5076"/>
    <w:rsid w:val="004C54EC"/>
    <w:rsid w:val="004C5CD9"/>
    <w:rsid w:val="004C5DE7"/>
    <w:rsid w:val="004C619A"/>
    <w:rsid w:val="004C6248"/>
    <w:rsid w:val="004C678B"/>
    <w:rsid w:val="004C6796"/>
    <w:rsid w:val="004C6938"/>
    <w:rsid w:val="004C6AA8"/>
    <w:rsid w:val="004C6AFC"/>
    <w:rsid w:val="004C6C02"/>
    <w:rsid w:val="004C70B1"/>
    <w:rsid w:val="004C70CF"/>
    <w:rsid w:val="004C73BC"/>
    <w:rsid w:val="004C7A3C"/>
    <w:rsid w:val="004C7C15"/>
    <w:rsid w:val="004C7E47"/>
    <w:rsid w:val="004C7FFA"/>
    <w:rsid w:val="004D024F"/>
    <w:rsid w:val="004D02F8"/>
    <w:rsid w:val="004D06A2"/>
    <w:rsid w:val="004D1795"/>
    <w:rsid w:val="004D1B49"/>
    <w:rsid w:val="004D1D43"/>
    <w:rsid w:val="004D1D5C"/>
    <w:rsid w:val="004D250F"/>
    <w:rsid w:val="004D2547"/>
    <w:rsid w:val="004D2CD2"/>
    <w:rsid w:val="004D304D"/>
    <w:rsid w:val="004D349F"/>
    <w:rsid w:val="004D3AB0"/>
    <w:rsid w:val="004D3BEA"/>
    <w:rsid w:val="004D3F5B"/>
    <w:rsid w:val="004D40D3"/>
    <w:rsid w:val="004D40EE"/>
    <w:rsid w:val="004D4425"/>
    <w:rsid w:val="004D5260"/>
    <w:rsid w:val="004D5BE8"/>
    <w:rsid w:val="004D64A2"/>
    <w:rsid w:val="004D685B"/>
    <w:rsid w:val="004D6954"/>
    <w:rsid w:val="004D6CA7"/>
    <w:rsid w:val="004D70BF"/>
    <w:rsid w:val="004D7378"/>
    <w:rsid w:val="004D7A48"/>
    <w:rsid w:val="004D7B41"/>
    <w:rsid w:val="004D7B5D"/>
    <w:rsid w:val="004D7C0E"/>
    <w:rsid w:val="004E012F"/>
    <w:rsid w:val="004E06DF"/>
    <w:rsid w:val="004E0929"/>
    <w:rsid w:val="004E1575"/>
    <w:rsid w:val="004E1FA2"/>
    <w:rsid w:val="004E20F6"/>
    <w:rsid w:val="004E2FC6"/>
    <w:rsid w:val="004E3191"/>
    <w:rsid w:val="004E3346"/>
    <w:rsid w:val="004E33CA"/>
    <w:rsid w:val="004E3BA7"/>
    <w:rsid w:val="004E3E47"/>
    <w:rsid w:val="004E4536"/>
    <w:rsid w:val="004E454F"/>
    <w:rsid w:val="004E459D"/>
    <w:rsid w:val="004E4B52"/>
    <w:rsid w:val="004E4B7B"/>
    <w:rsid w:val="004E5474"/>
    <w:rsid w:val="004E5ABD"/>
    <w:rsid w:val="004E5B44"/>
    <w:rsid w:val="004E5D27"/>
    <w:rsid w:val="004E6334"/>
    <w:rsid w:val="004E6491"/>
    <w:rsid w:val="004E6AC7"/>
    <w:rsid w:val="004E76EE"/>
    <w:rsid w:val="004E7813"/>
    <w:rsid w:val="004E7ED4"/>
    <w:rsid w:val="004F03A3"/>
    <w:rsid w:val="004F149D"/>
    <w:rsid w:val="004F1956"/>
    <w:rsid w:val="004F1BA9"/>
    <w:rsid w:val="004F209E"/>
    <w:rsid w:val="004F2100"/>
    <w:rsid w:val="004F261C"/>
    <w:rsid w:val="004F30AB"/>
    <w:rsid w:val="004F33B8"/>
    <w:rsid w:val="004F33F5"/>
    <w:rsid w:val="004F41F3"/>
    <w:rsid w:val="004F42F9"/>
    <w:rsid w:val="004F46ED"/>
    <w:rsid w:val="004F4F42"/>
    <w:rsid w:val="004F50D4"/>
    <w:rsid w:val="004F56DC"/>
    <w:rsid w:val="004F5767"/>
    <w:rsid w:val="004F57F8"/>
    <w:rsid w:val="004F62C3"/>
    <w:rsid w:val="004F645B"/>
    <w:rsid w:val="004F6733"/>
    <w:rsid w:val="004F6C6F"/>
    <w:rsid w:val="004F7484"/>
    <w:rsid w:val="004F7D1D"/>
    <w:rsid w:val="0050005A"/>
    <w:rsid w:val="0050045C"/>
    <w:rsid w:val="00500982"/>
    <w:rsid w:val="00500986"/>
    <w:rsid w:val="00500AAA"/>
    <w:rsid w:val="0050151F"/>
    <w:rsid w:val="005017C3"/>
    <w:rsid w:val="00501B61"/>
    <w:rsid w:val="005025D4"/>
    <w:rsid w:val="00502709"/>
    <w:rsid w:val="00503914"/>
    <w:rsid w:val="00503942"/>
    <w:rsid w:val="00503C44"/>
    <w:rsid w:val="005043B9"/>
    <w:rsid w:val="005047D5"/>
    <w:rsid w:val="00504C3E"/>
    <w:rsid w:val="00504ED0"/>
    <w:rsid w:val="00504F96"/>
    <w:rsid w:val="00505372"/>
    <w:rsid w:val="005054F5"/>
    <w:rsid w:val="005058AB"/>
    <w:rsid w:val="00506018"/>
    <w:rsid w:val="00506452"/>
    <w:rsid w:val="00506738"/>
    <w:rsid w:val="00506B13"/>
    <w:rsid w:val="005076E4"/>
    <w:rsid w:val="005079A6"/>
    <w:rsid w:val="00507B09"/>
    <w:rsid w:val="00507D6C"/>
    <w:rsid w:val="005109F3"/>
    <w:rsid w:val="00510FB6"/>
    <w:rsid w:val="005110F1"/>
    <w:rsid w:val="005111CF"/>
    <w:rsid w:val="005114A2"/>
    <w:rsid w:val="00511849"/>
    <w:rsid w:val="00511A95"/>
    <w:rsid w:val="00511B55"/>
    <w:rsid w:val="00511F7C"/>
    <w:rsid w:val="00512BEA"/>
    <w:rsid w:val="00512E6B"/>
    <w:rsid w:val="005130DE"/>
    <w:rsid w:val="0051328E"/>
    <w:rsid w:val="005132AB"/>
    <w:rsid w:val="005134B4"/>
    <w:rsid w:val="005134BF"/>
    <w:rsid w:val="005136D9"/>
    <w:rsid w:val="00513CC7"/>
    <w:rsid w:val="00513D1F"/>
    <w:rsid w:val="00513F76"/>
    <w:rsid w:val="00514263"/>
    <w:rsid w:val="005142AA"/>
    <w:rsid w:val="00514497"/>
    <w:rsid w:val="00514B0B"/>
    <w:rsid w:val="00515A66"/>
    <w:rsid w:val="005160E2"/>
    <w:rsid w:val="005162E1"/>
    <w:rsid w:val="0051653F"/>
    <w:rsid w:val="0051693C"/>
    <w:rsid w:val="00516C93"/>
    <w:rsid w:val="00516D94"/>
    <w:rsid w:val="00517CD1"/>
    <w:rsid w:val="00517D5E"/>
    <w:rsid w:val="005202AC"/>
    <w:rsid w:val="005202B0"/>
    <w:rsid w:val="00520E9C"/>
    <w:rsid w:val="0052100F"/>
    <w:rsid w:val="005219C1"/>
    <w:rsid w:val="00521C9F"/>
    <w:rsid w:val="00521EC6"/>
    <w:rsid w:val="005223EE"/>
    <w:rsid w:val="00522495"/>
    <w:rsid w:val="00522CCD"/>
    <w:rsid w:val="00522D12"/>
    <w:rsid w:val="00522D3F"/>
    <w:rsid w:val="00523938"/>
    <w:rsid w:val="00524132"/>
    <w:rsid w:val="005241B7"/>
    <w:rsid w:val="0052472C"/>
    <w:rsid w:val="005247ED"/>
    <w:rsid w:val="0052498D"/>
    <w:rsid w:val="00524EA0"/>
    <w:rsid w:val="00525168"/>
    <w:rsid w:val="005251FC"/>
    <w:rsid w:val="00525726"/>
    <w:rsid w:val="005259CA"/>
    <w:rsid w:val="00525AB7"/>
    <w:rsid w:val="00525B98"/>
    <w:rsid w:val="00525EF5"/>
    <w:rsid w:val="005261D9"/>
    <w:rsid w:val="005265DA"/>
    <w:rsid w:val="00526CC2"/>
    <w:rsid w:val="005270B1"/>
    <w:rsid w:val="005279FF"/>
    <w:rsid w:val="00527BFC"/>
    <w:rsid w:val="00527DE6"/>
    <w:rsid w:val="00527F19"/>
    <w:rsid w:val="005301ED"/>
    <w:rsid w:val="00530581"/>
    <w:rsid w:val="00530DED"/>
    <w:rsid w:val="005311C3"/>
    <w:rsid w:val="00531FDC"/>
    <w:rsid w:val="005325B4"/>
    <w:rsid w:val="00532A42"/>
    <w:rsid w:val="00532AFD"/>
    <w:rsid w:val="00532ED3"/>
    <w:rsid w:val="005334DC"/>
    <w:rsid w:val="00533CA3"/>
    <w:rsid w:val="00533D15"/>
    <w:rsid w:val="00534A6F"/>
    <w:rsid w:val="00534F42"/>
    <w:rsid w:val="0053539D"/>
    <w:rsid w:val="0053572D"/>
    <w:rsid w:val="005359BA"/>
    <w:rsid w:val="00535ADB"/>
    <w:rsid w:val="00535B4E"/>
    <w:rsid w:val="005364B5"/>
    <w:rsid w:val="00536C23"/>
    <w:rsid w:val="005374C4"/>
    <w:rsid w:val="005378C3"/>
    <w:rsid w:val="00537CD3"/>
    <w:rsid w:val="00537D97"/>
    <w:rsid w:val="0054036A"/>
    <w:rsid w:val="005405F5"/>
    <w:rsid w:val="005408C6"/>
    <w:rsid w:val="00540B7B"/>
    <w:rsid w:val="00540E35"/>
    <w:rsid w:val="00540F54"/>
    <w:rsid w:val="00541722"/>
    <w:rsid w:val="00541FBF"/>
    <w:rsid w:val="00542171"/>
    <w:rsid w:val="005422D0"/>
    <w:rsid w:val="00542599"/>
    <w:rsid w:val="005427F4"/>
    <w:rsid w:val="00542A35"/>
    <w:rsid w:val="00542DD5"/>
    <w:rsid w:val="00542EC4"/>
    <w:rsid w:val="00542FFF"/>
    <w:rsid w:val="005432E7"/>
    <w:rsid w:val="00543355"/>
    <w:rsid w:val="00543548"/>
    <w:rsid w:val="00543748"/>
    <w:rsid w:val="00543799"/>
    <w:rsid w:val="005437BE"/>
    <w:rsid w:val="0054381A"/>
    <w:rsid w:val="005446D2"/>
    <w:rsid w:val="00545566"/>
    <w:rsid w:val="00545B79"/>
    <w:rsid w:val="005460C6"/>
    <w:rsid w:val="00546339"/>
    <w:rsid w:val="005463BE"/>
    <w:rsid w:val="005466A1"/>
    <w:rsid w:val="005475B6"/>
    <w:rsid w:val="005478AB"/>
    <w:rsid w:val="00547DE4"/>
    <w:rsid w:val="00547E1F"/>
    <w:rsid w:val="005504D9"/>
    <w:rsid w:val="00550641"/>
    <w:rsid w:val="005512F7"/>
    <w:rsid w:val="005513E7"/>
    <w:rsid w:val="005514B9"/>
    <w:rsid w:val="00551A43"/>
    <w:rsid w:val="00551B1A"/>
    <w:rsid w:val="005523A9"/>
    <w:rsid w:val="00552A3A"/>
    <w:rsid w:val="00552B60"/>
    <w:rsid w:val="00553126"/>
    <w:rsid w:val="00553810"/>
    <w:rsid w:val="00553A8C"/>
    <w:rsid w:val="00553DFB"/>
    <w:rsid w:val="00553FEA"/>
    <w:rsid w:val="005547E8"/>
    <w:rsid w:val="005548A0"/>
    <w:rsid w:val="005549A0"/>
    <w:rsid w:val="00554E32"/>
    <w:rsid w:val="0055547D"/>
    <w:rsid w:val="00555A1C"/>
    <w:rsid w:val="005561B9"/>
    <w:rsid w:val="005561F7"/>
    <w:rsid w:val="0055649C"/>
    <w:rsid w:val="005564FD"/>
    <w:rsid w:val="00556F85"/>
    <w:rsid w:val="0055708B"/>
    <w:rsid w:val="0055728D"/>
    <w:rsid w:val="005579CC"/>
    <w:rsid w:val="00557FA5"/>
    <w:rsid w:val="00560473"/>
    <w:rsid w:val="00560DDB"/>
    <w:rsid w:val="00560ED3"/>
    <w:rsid w:val="0056109C"/>
    <w:rsid w:val="00561E7E"/>
    <w:rsid w:val="00561F21"/>
    <w:rsid w:val="00562106"/>
    <w:rsid w:val="00562136"/>
    <w:rsid w:val="00562592"/>
    <w:rsid w:val="00562C63"/>
    <w:rsid w:val="00563356"/>
    <w:rsid w:val="005634AD"/>
    <w:rsid w:val="00563923"/>
    <w:rsid w:val="00563943"/>
    <w:rsid w:val="00563C3A"/>
    <w:rsid w:val="00563E1D"/>
    <w:rsid w:val="00564664"/>
    <w:rsid w:val="00564837"/>
    <w:rsid w:val="00564AB0"/>
    <w:rsid w:val="00564C4A"/>
    <w:rsid w:val="00564CAA"/>
    <w:rsid w:val="005650C5"/>
    <w:rsid w:val="00565220"/>
    <w:rsid w:val="005655AC"/>
    <w:rsid w:val="00565880"/>
    <w:rsid w:val="00565D84"/>
    <w:rsid w:val="00565D95"/>
    <w:rsid w:val="0056655E"/>
    <w:rsid w:val="00566649"/>
    <w:rsid w:val="00566769"/>
    <w:rsid w:val="005669DE"/>
    <w:rsid w:val="0056717F"/>
    <w:rsid w:val="00567280"/>
    <w:rsid w:val="00567390"/>
    <w:rsid w:val="005700C4"/>
    <w:rsid w:val="00570484"/>
    <w:rsid w:val="00570B00"/>
    <w:rsid w:val="00570B8F"/>
    <w:rsid w:val="00570CB2"/>
    <w:rsid w:val="00571347"/>
    <w:rsid w:val="005719D4"/>
    <w:rsid w:val="005719E1"/>
    <w:rsid w:val="00571D94"/>
    <w:rsid w:val="00571DF9"/>
    <w:rsid w:val="00572792"/>
    <w:rsid w:val="005730B1"/>
    <w:rsid w:val="00573796"/>
    <w:rsid w:val="005739FC"/>
    <w:rsid w:val="00574669"/>
    <w:rsid w:val="005746AE"/>
    <w:rsid w:val="0057493F"/>
    <w:rsid w:val="00575ED3"/>
    <w:rsid w:val="00576206"/>
    <w:rsid w:val="00576FA4"/>
    <w:rsid w:val="005771BC"/>
    <w:rsid w:val="0057721E"/>
    <w:rsid w:val="00577236"/>
    <w:rsid w:val="00577829"/>
    <w:rsid w:val="005779E9"/>
    <w:rsid w:val="00577B94"/>
    <w:rsid w:val="0058020D"/>
    <w:rsid w:val="005805EB"/>
    <w:rsid w:val="00580AF4"/>
    <w:rsid w:val="00580EAD"/>
    <w:rsid w:val="00580F2E"/>
    <w:rsid w:val="00581445"/>
    <w:rsid w:val="005815D7"/>
    <w:rsid w:val="0058191A"/>
    <w:rsid w:val="00581FC3"/>
    <w:rsid w:val="005825B2"/>
    <w:rsid w:val="00582ECE"/>
    <w:rsid w:val="00582F6C"/>
    <w:rsid w:val="00582F96"/>
    <w:rsid w:val="0058303A"/>
    <w:rsid w:val="00583AE9"/>
    <w:rsid w:val="00583CF7"/>
    <w:rsid w:val="00583D15"/>
    <w:rsid w:val="00583E56"/>
    <w:rsid w:val="0058424D"/>
    <w:rsid w:val="00584479"/>
    <w:rsid w:val="005845E6"/>
    <w:rsid w:val="00584D4D"/>
    <w:rsid w:val="00585692"/>
    <w:rsid w:val="005857DD"/>
    <w:rsid w:val="00585807"/>
    <w:rsid w:val="0058594F"/>
    <w:rsid w:val="005864DE"/>
    <w:rsid w:val="00586609"/>
    <w:rsid w:val="00587157"/>
    <w:rsid w:val="00587235"/>
    <w:rsid w:val="00587A8F"/>
    <w:rsid w:val="005900A8"/>
    <w:rsid w:val="0059013A"/>
    <w:rsid w:val="00590847"/>
    <w:rsid w:val="005908F3"/>
    <w:rsid w:val="0059091D"/>
    <w:rsid w:val="00590FE8"/>
    <w:rsid w:val="005911B1"/>
    <w:rsid w:val="00591E77"/>
    <w:rsid w:val="00592339"/>
    <w:rsid w:val="00592428"/>
    <w:rsid w:val="00592990"/>
    <w:rsid w:val="00592FB3"/>
    <w:rsid w:val="00593271"/>
    <w:rsid w:val="00593481"/>
    <w:rsid w:val="0059360D"/>
    <w:rsid w:val="00593755"/>
    <w:rsid w:val="00593BD7"/>
    <w:rsid w:val="00594549"/>
    <w:rsid w:val="00595B3B"/>
    <w:rsid w:val="00595F54"/>
    <w:rsid w:val="005962CA"/>
    <w:rsid w:val="00596D2A"/>
    <w:rsid w:val="00596D67"/>
    <w:rsid w:val="005972BC"/>
    <w:rsid w:val="00597C48"/>
    <w:rsid w:val="005A042B"/>
    <w:rsid w:val="005A0695"/>
    <w:rsid w:val="005A07DC"/>
    <w:rsid w:val="005A0B3A"/>
    <w:rsid w:val="005A1686"/>
    <w:rsid w:val="005A170A"/>
    <w:rsid w:val="005A1A70"/>
    <w:rsid w:val="005A1C96"/>
    <w:rsid w:val="005A1F16"/>
    <w:rsid w:val="005A20CD"/>
    <w:rsid w:val="005A2380"/>
    <w:rsid w:val="005A2681"/>
    <w:rsid w:val="005A2980"/>
    <w:rsid w:val="005A29A5"/>
    <w:rsid w:val="005A31C0"/>
    <w:rsid w:val="005A383C"/>
    <w:rsid w:val="005A38D4"/>
    <w:rsid w:val="005A39C0"/>
    <w:rsid w:val="005A3D03"/>
    <w:rsid w:val="005A40FB"/>
    <w:rsid w:val="005A4560"/>
    <w:rsid w:val="005A47D8"/>
    <w:rsid w:val="005A4C8D"/>
    <w:rsid w:val="005A503F"/>
    <w:rsid w:val="005A5469"/>
    <w:rsid w:val="005A546B"/>
    <w:rsid w:val="005A5693"/>
    <w:rsid w:val="005A5747"/>
    <w:rsid w:val="005A58A6"/>
    <w:rsid w:val="005A6627"/>
    <w:rsid w:val="005A68FA"/>
    <w:rsid w:val="005A6985"/>
    <w:rsid w:val="005A69CC"/>
    <w:rsid w:val="005A6B01"/>
    <w:rsid w:val="005A6CC1"/>
    <w:rsid w:val="005A6D8E"/>
    <w:rsid w:val="005A7161"/>
    <w:rsid w:val="005A718C"/>
    <w:rsid w:val="005A749E"/>
    <w:rsid w:val="005A75BE"/>
    <w:rsid w:val="005A7696"/>
    <w:rsid w:val="005A7A97"/>
    <w:rsid w:val="005A7BAB"/>
    <w:rsid w:val="005A7F48"/>
    <w:rsid w:val="005B04F1"/>
    <w:rsid w:val="005B0512"/>
    <w:rsid w:val="005B0E55"/>
    <w:rsid w:val="005B2384"/>
    <w:rsid w:val="005B26DB"/>
    <w:rsid w:val="005B27C6"/>
    <w:rsid w:val="005B2844"/>
    <w:rsid w:val="005B31AB"/>
    <w:rsid w:val="005B3521"/>
    <w:rsid w:val="005B3A38"/>
    <w:rsid w:val="005B3B5C"/>
    <w:rsid w:val="005B45A0"/>
    <w:rsid w:val="005B46BC"/>
    <w:rsid w:val="005B48B8"/>
    <w:rsid w:val="005B4965"/>
    <w:rsid w:val="005B4B04"/>
    <w:rsid w:val="005B4F46"/>
    <w:rsid w:val="005B525C"/>
    <w:rsid w:val="005B526A"/>
    <w:rsid w:val="005B5819"/>
    <w:rsid w:val="005B5A6F"/>
    <w:rsid w:val="005B5B0B"/>
    <w:rsid w:val="005B5B18"/>
    <w:rsid w:val="005B5DD7"/>
    <w:rsid w:val="005B65F4"/>
    <w:rsid w:val="005B676F"/>
    <w:rsid w:val="005B6D19"/>
    <w:rsid w:val="005B71F0"/>
    <w:rsid w:val="005B7FCE"/>
    <w:rsid w:val="005B9F70"/>
    <w:rsid w:val="005C019E"/>
    <w:rsid w:val="005C01C0"/>
    <w:rsid w:val="005C07FD"/>
    <w:rsid w:val="005C093B"/>
    <w:rsid w:val="005C116D"/>
    <w:rsid w:val="005C11B7"/>
    <w:rsid w:val="005C11C6"/>
    <w:rsid w:val="005C1799"/>
    <w:rsid w:val="005C225D"/>
    <w:rsid w:val="005C23B9"/>
    <w:rsid w:val="005C240E"/>
    <w:rsid w:val="005C26A8"/>
    <w:rsid w:val="005C2A2D"/>
    <w:rsid w:val="005C326E"/>
    <w:rsid w:val="005C36DE"/>
    <w:rsid w:val="005C3ADF"/>
    <w:rsid w:val="005C3E45"/>
    <w:rsid w:val="005C4245"/>
    <w:rsid w:val="005C42AB"/>
    <w:rsid w:val="005C49BC"/>
    <w:rsid w:val="005C4CEA"/>
    <w:rsid w:val="005C52E6"/>
    <w:rsid w:val="005C546B"/>
    <w:rsid w:val="005C574B"/>
    <w:rsid w:val="005C5936"/>
    <w:rsid w:val="005C636C"/>
    <w:rsid w:val="005C67D6"/>
    <w:rsid w:val="005C69C9"/>
    <w:rsid w:val="005C6F65"/>
    <w:rsid w:val="005C72E4"/>
    <w:rsid w:val="005C7A9C"/>
    <w:rsid w:val="005D0A5F"/>
    <w:rsid w:val="005D0B28"/>
    <w:rsid w:val="005D0EEA"/>
    <w:rsid w:val="005D0EF2"/>
    <w:rsid w:val="005D1462"/>
    <w:rsid w:val="005D16B1"/>
    <w:rsid w:val="005D20DD"/>
    <w:rsid w:val="005D269D"/>
    <w:rsid w:val="005D289E"/>
    <w:rsid w:val="005D28C8"/>
    <w:rsid w:val="005D3BD1"/>
    <w:rsid w:val="005D423D"/>
    <w:rsid w:val="005D44CE"/>
    <w:rsid w:val="005D4758"/>
    <w:rsid w:val="005D4830"/>
    <w:rsid w:val="005D5103"/>
    <w:rsid w:val="005D5451"/>
    <w:rsid w:val="005D5953"/>
    <w:rsid w:val="005D59A3"/>
    <w:rsid w:val="005D639A"/>
    <w:rsid w:val="005D6A4C"/>
    <w:rsid w:val="005D6E28"/>
    <w:rsid w:val="005D6E8D"/>
    <w:rsid w:val="005D772A"/>
    <w:rsid w:val="005D7E52"/>
    <w:rsid w:val="005D7FE1"/>
    <w:rsid w:val="005E0549"/>
    <w:rsid w:val="005E06B7"/>
    <w:rsid w:val="005E0BDD"/>
    <w:rsid w:val="005E0EE0"/>
    <w:rsid w:val="005E1287"/>
    <w:rsid w:val="005E1A59"/>
    <w:rsid w:val="005E1CC9"/>
    <w:rsid w:val="005E1DE2"/>
    <w:rsid w:val="005E1E9B"/>
    <w:rsid w:val="005E29D7"/>
    <w:rsid w:val="005E2B54"/>
    <w:rsid w:val="005E2DFB"/>
    <w:rsid w:val="005E3261"/>
    <w:rsid w:val="005E34FC"/>
    <w:rsid w:val="005E379D"/>
    <w:rsid w:val="005E3E86"/>
    <w:rsid w:val="005E3EC4"/>
    <w:rsid w:val="005E3FE5"/>
    <w:rsid w:val="005E42EF"/>
    <w:rsid w:val="005E4FB0"/>
    <w:rsid w:val="005E5475"/>
    <w:rsid w:val="005E54A1"/>
    <w:rsid w:val="005E56CF"/>
    <w:rsid w:val="005E5899"/>
    <w:rsid w:val="005E59AF"/>
    <w:rsid w:val="005E5CFF"/>
    <w:rsid w:val="005E6334"/>
    <w:rsid w:val="005E66E9"/>
    <w:rsid w:val="005E6D84"/>
    <w:rsid w:val="005E6F50"/>
    <w:rsid w:val="005E726D"/>
    <w:rsid w:val="005E7683"/>
    <w:rsid w:val="005E79FB"/>
    <w:rsid w:val="005E7E28"/>
    <w:rsid w:val="005F004A"/>
    <w:rsid w:val="005F0906"/>
    <w:rsid w:val="005F0AF1"/>
    <w:rsid w:val="005F0B6C"/>
    <w:rsid w:val="005F0C8F"/>
    <w:rsid w:val="005F0DC5"/>
    <w:rsid w:val="005F0ECC"/>
    <w:rsid w:val="005F1193"/>
    <w:rsid w:val="005F1F13"/>
    <w:rsid w:val="005F1FE1"/>
    <w:rsid w:val="005F22AF"/>
    <w:rsid w:val="005F276C"/>
    <w:rsid w:val="005F27B8"/>
    <w:rsid w:val="005F2D75"/>
    <w:rsid w:val="005F3007"/>
    <w:rsid w:val="005F314B"/>
    <w:rsid w:val="005F420B"/>
    <w:rsid w:val="005F43CD"/>
    <w:rsid w:val="005F46A3"/>
    <w:rsid w:val="005F4965"/>
    <w:rsid w:val="005F4C1E"/>
    <w:rsid w:val="005F4C54"/>
    <w:rsid w:val="005F580F"/>
    <w:rsid w:val="005F584C"/>
    <w:rsid w:val="005F58C3"/>
    <w:rsid w:val="005F591C"/>
    <w:rsid w:val="005F5CCD"/>
    <w:rsid w:val="005F5D3B"/>
    <w:rsid w:val="005F5DBD"/>
    <w:rsid w:val="005F605E"/>
    <w:rsid w:val="005F61F6"/>
    <w:rsid w:val="005F69F4"/>
    <w:rsid w:val="005F6F7C"/>
    <w:rsid w:val="005F7631"/>
    <w:rsid w:val="005F78CA"/>
    <w:rsid w:val="005F79B9"/>
    <w:rsid w:val="005F7E2E"/>
    <w:rsid w:val="005F7F95"/>
    <w:rsid w:val="0060011B"/>
    <w:rsid w:val="006002ED"/>
    <w:rsid w:val="00600606"/>
    <w:rsid w:val="0060095D"/>
    <w:rsid w:val="00600B48"/>
    <w:rsid w:val="00600CAC"/>
    <w:rsid w:val="00600DBB"/>
    <w:rsid w:val="00600E2F"/>
    <w:rsid w:val="00600E31"/>
    <w:rsid w:val="006016A8"/>
    <w:rsid w:val="0060207C"/>
    <w:rsid w:val="00602CA9"/>
    <w:rsid w:val="00602D6E"/>
    <w:rsid w:val="00602EA9"/>
    <w:rsid w:val="0060361E"/>
    <w:rsid w:val="00603E17"/>
    <w:rsid w:val="00603FFF"/>
    <w:rsid w:val="00604105"/>
    <w:rsid w:val="00604695"/>
    <w:rsid w:val="00604AEA"/>
    <w:rsid w:val="0060539E"/>
    <w:rsid w:val="00605EE8"/>
    <w:rsid w:val="00605F15"/>
    <w:rsid w:val="00605F19"/>
    <w:rsid w:val="0060676B"/>
    <w:rsid w:val="006068E2"/>
    <w:rsid w:val="00607FD0"/>
    <w:rsid w:val="00610013"/>
    <w:rsid w:val="006111A5"/>
    <w:rsid w:val="0061136C"/>
    <w:rsid w:val="00612ECD"/>
    <w:rsid w:val="0061306F"/>
    <w:rsid w:val="006130C7"/>
    <w:rsid w:val="006132F6"/>
    <w:rsid w:val="00613335"/>
    <w:rsid w:val="006133D2"/>
    <w:rsid w:val="00613947"/>
    <w:rsid w:val="00613A6D"/>
    <w:rsid w:val="00614518"/>
    <w:rsid w:val="0061482D"/>
    <w:rsid w:val="00614EE3"/>
    <w:rsid w:val="00615E72"/>
    <w:rsid w:val="00615E7B"/>
    <w:rsid w:val="0061601A"/>
    <w:rsid w:val="0061654C"/>
    <w:rsid w:val="0061663D"/>
    <w:rsid w:val="00616F45"/>
    <w:rsid w:val="006172F2"/>
    <w:rsid w:val="00617421"/>
    <w:rsid w:val="0062015B"/>
    <w:rsid w:val="00620922"/>
    <w:rsid w:val="00621173"/>
    <w:rsid w:val="00621BEC"/>
    <w:rsid w:val="00621E09"/>
    <w:rsid w:val="00621E38"/>
    <w:rsid w:val="00622870"/>
    <w:rsid w:val="006229C1"/>
    <w:rsid w:val="00622B6D"/>
    <w:rsid w:val="0062353B"/>
    <w:rsid w:val="006235C8"/>
    <w:rsid w:val="0062381B"/>
    <w:rsid w:val="00623FC8"/>
    <w:rsid w:val="006241C1"/>
    <w:rsid w:val="006243FF"/>
    <w:rsid w:val="00625103"/>
    <w:rsid w:val="006252F9"/>
    <w:rsid w:val="00625532"/>
    <w:rsid w:val="006256E4"/>
    <w:rsid w:val="00626186"/>
    <w:rsid w:val="006264D3"/>
    <w:rsid w:val="00626A7D"/>
    <w:rsid w:val="00626ABC"/>
    <w:rsid w:val="00626B4F"/>
    <w:rsid w:val="006270A7"/>
    <w:rsid w:val="0062767C"/>
    <w:rsid w:val="00627951"/>
    <w:rsid w:val="00627BB7"/>
    <w:rsid w:val="00627BFE"/>
    <w:rsid w:val="00630038"/>
    <w:rsid w:val="00630518"/>
    <w:rsid w:val="00630A4B"/>
    <w:rsid w:val="00630C4A"/>
    <w:rsid w:val="00630D00"/>
    <w:rsid w:val="00630DAD"/>
    <w:rsid w:val="0063162E"/>
    <w:rsid w:val="006319FA"/>
    <w:rsid w:val="006320D6"/>
    <w:rsid w:val="00632989"/>
    <w:rsid w:val="00633304"/>
    <w:rsid w:val="006334A8"/>
    <w:rsid w:val="0063425B"/>
    <w:rsid w:val="006342F2"/>
    <w:rsid w:val="0063489B"/>
    <w:rsid w:val="00634B28"/>
    <w:rsid w:val="00634B9D"/>
    <w:rsid w:val="00635010"/>
    <w:rsid w:val="00635B95"/>
    <w:rsid w:val="00636EFC"/>
    <w:rsid w:val="006371EB"/>
    <w:rsid w:val="006375C9"/>
    <w:rsid w:val="00637CF6"/>
    <w:rsid w:val="006400CC"/>
    <w:rsid w:val="006401E7"/>
    <w:rsid w:val="00641111"/>
    <w:rsid w:val="00641212"/>
    <w:rsid w:val="0064123F"/>
    <w:rsid w:val="00641268"/>
    <w:rsid w:val="0064137A"/>
    <w:rsid w:val="006419E2"/>
    <w:rsid w:val="00642182"/>
    <w:rsid w:val="006428F5"/>
    <w:rsid w:val="006429F1"/>
    <w:rsid w:val="00642B13"/>
    <w:rsid w:val="00642C3E"/>
    <w:rsid w:val="00642D39"/>
    <w:rsid w:val="006434CA"/>
    <w:rsid w:val="00643675"/>
    <w:rsid w:val="00643692"/>
    <w:rsid w:val="00643A3F"/>
    <w:rsid w:val="00643CD1"/>
    <w:rsid w:val="00644721"/>
    <w:rsid w:val="006447A2"/>
    <w:rsid w:val="00644902"/>
    <w:rsid w:val="00644D74"/>
    <w:rsid w:val="00644DAD"/>
    <w:rsid w:val="00645415"/>
    <w:rsid w:val="00645612"/>
    <w:rsid w:val="006456BF"/>
    <w:rsid w:val="006457B0"/>
    <w:rsid w:val="00645A8D"/>
    <w:rsid w:val="0064605F"/>
    <w:rsid w:val="00646376"/>
    <w:rsid w:val="006465BB"/>
    <w:rsid w:val="00646AD9"/>
    <w:rsid w:val="00646B1E"/>
    <w:rsid w:val="00646D26"/>
    <w:rsid w:val="00647371"/>
    <w:rsid w:val="00647F28"/>
    <w:rsid w:val="00647FBD"/>
    <w:rsid w:val="00650034"/>
    <w:rsid w:val="0065040F"/>
    <w:rsid w:val="0065081A"/>
    <w:rsid w:val="0065097D"/>
    <w:rsid w:val="00650C7D"/>
    <w:rsid w:val="00650EAB"/>
    <w:rsid w:val="006510F9"/>
    <w:rsid w:val="00651111"/>
    <w:rsid w:val="006511C6"/>
    <w:rsid w:val="006515CE"/>
    <w:rsid w:val="00651A45"/>
    <w:rsid w:val="00651DBB"/>
    <w:rsid w:val="00651DF6"/>
    <w:rsid w:val="00651EDA"/>
    <w:rsid w:val="00652059"/>
    <w:rsid w:val="00652B19"/>
    <w:rsid w:val="00652B6D"/>
    <w:rsid w:val="0065341E"/>
    <w:rsid w:val="006536AB"/>
    <w:rsid w:val="006537E7"/>
    <w:rsid w:val="00653B60"/>
    <w:rsid w:val="00653EEE"/>
    <w:rsid w:val="006540FF"/>
    <w:rsid w:val="0065434C"/>
    <w:rsid w:val="006543C1"/>
    <w:rsid w:val="00654C8A"/>
    <w:rsid w:val="00655860"/>
    <w:rsid w:val="00655B1A"/>
    <w:rsid w:val="00655DCA"/>
    <w:rsid w:val="00655EFE"/>
    <w:rsid w:val="00655F73"/>
    <w:rsid w:val="00655F81"/>
    <w:rsid w:val="0065677E"/>
    <w:rsid w:val="00656B45"/>
    <w:rsid w:val="00656F28"/>
    <w:rsid w:val="006571D4"/>
    <w:rsid w:val="0065774F"/>
    <w:rsid w:val="00660624"/>
    <w:rsid w:val="00660C65"/>
    <w:rsid w:val="00662201"/>
    <w:rsid w:val="00662E64"/>
    <w:rsid w:val="006630D7"/>
    <w:rsid w:val="00663249"/>
    <w:rsid w:val="006634C8"/>
    <w:rsid w:val="00663557"/>
    <w:rsid w:val="00663B0F"/>
    <w:rsid w:val="00663F53"/>
    <w:rsid w:val="006640D2"/>
    <w:rsid w:val="00664485"/>
    <w:rsid w:val="00664521"/>
    <w:rsid w:val="006647CB"/>
    <w:rsid w:val="0066495D"/>
    <w:rsid w:val="00664C0A"/>
    <w:rsid w:val="0066540C"/>
    <w:rsid w:val="00665455"/>
    <w:rsid w:val="0066597D"/>
    <w:rsid w:val="00666132"/>
    <w:rsid w:val="0066640D"/>
    <w:rsid w:val="006669D0"/>
    <w:rsid w:val="006670C2"/>
    <w:rsid w:val="00667207"/>
    <w:rsid w:val="0066760C"/>
    <w:rsid w:val="00667864"/>
    <w:rsid w:val="00667A03"/>
    <w:rsid w:val="00667B4E"/>
    <w:rsid w:val="00667F89"/>
    <w:rsid w:val="006703E7"/>
    <w:rsid w:val="00670B29"/>
    <w:rsid w:val="00670BD8"/>
    <w:rsid w:val="00670C44"/>
    <w:rsid w:val="00670D56"/>
    <w:rsid w:val="00670D61"/>
    <w:rsid w:val="00671E2F"/>
    <w:rsid w:val="00671EF1"/>
    <w:rsid w:val="0067200E"/>
    <w:rsid w:val="006721C1"/>
    <w:rsid w:val="006729E0"/>
    <w:rsid w:val="006730C8"/>
    <w:rsid w:val="006737BA"/>
    <w:rsid w:val="00673AF0"/>
    <w:rsid w:val="00674BD9"/>
    <w:rsid w:val="00674C68"/>
    <w:rsid w:val="006752A7"/>
    <w:rsid w:val="006755D9"/>
    <w:rsid w:val="006756D5"/>
    <w:rsid w:val="0067593A"/>
    <w:rsid w:val="00675C8D"/>
    <w:rsid w:val="00675CEC"/>
    <w:rsid w:val="00675D3A"/>
    <w:rsid w:val="00675E1F"/>
    <w:rsid w:val="00675F11"/>
    <w:rsid w:val="0067611A"/>
    <w:rsid w:val="006768CE"/>
    <w:rsid w:val="0067695C"/>
    <w:rsid w:val="00676A82"/>
    <w:rsid w:val="0067724B"/>
    <w:rsid w:val="0067767F"/>
    <w:rsid w:val="006777A2"/>
    <w:rsid w:val="00677812"/>
    <w:rsid w:val="00677E13"/>
    <w:rsid w:val="00677EFC"/>
    <w:rsid w:val="00680437"/>
    <w:rsid w:val="00682A23"/>
    <w:rsid w:val="00683B7F"/>
    <w:rsid w:val="00683FCA"/>
    <w:rsid w:val="0068428D"/>
    <w:rsid w:val="006844CC"/>
    <w:rsid w:val="00684CD0"/>
    <w:rsid w:val="00684ED3"/>
    <w:rsid w:val="00684F4D"/>
    <w:rsid w:val="00684FE5"/>
    <w:rsid w:val="00685288"/>
    <w:rsid w:val="00685580"/>
    <w:rsid w:val="0068576A"/>
    <w:rsid w:val="00685B05"/>
    <w:rsid w:val="00685BF6"/>
    <w:rsid w:val="006867F7"/>
    <w:rsid w:val="0068682D"/>
    <w:rsid w:val="00686B09"/>
    <w:rsid w:val="00686D7C"/>
    <w:rsid w:val="00686F4B"/>
    <w:rsid w:val="00687067"/>
    <w:rsid w:val="006875F1"/>
    <w:rsid w:val="00687A29"/>
    <w:rsid w:val="00687B4A"/>
    <w:rsid w:val="00687F31"/>
    <w:rsid w:val="00687F86"/>
    <w:rsid w:val="0069054F"/>
    <w:rsid w:val="006907FC"/>
    <w:rsid w:val="00690839"/>
    <w:rsid w:val="006909B4"/>
    <w:rsid w:val="006910CF"/>
    <w:rsid w:val="00691781"/>
    <w:rsid w:val="006919EC"/>
    <w:rsid w:val="00691B21"/>
    <w:rsid w:val="00691C5A"/>
    <w:rsid w:val="006925C6"/>
    <w:rsid w:val="0069294B"/>
    <w:rsid w:val="006935DD"/>
    <w:rsid w:val="00693D82"/>
    <w:rsid w:val="00694202"/>
    <w:rsid w:val="00694520"/>
    <w:rsid w:val="006946E9"/>
    <w:rsid w:val="006947D2"/>
    <w:rsid w:val="00694F82"/>
    <w:rsid w:val="006952F9"/>
    <w:rsid w:val="00695488"/>
    <w:rsid w:val="00695B0B"/>
    <w:rsid w:val="00695D3A"/>
    <w:rsid w:val="006967D1"/>
    <w:rsid w:val="00696819"/>
    <w:rsid w:val="00696A4F"/>
    <w:rsid w:val="00697150"/>
    <w:rsid w:val="006971A9"/>
    <w:rsid w:val="006971D5"/>
    <w:rsid w:val="00697455"/>
    <w:rsid w:val="00697E79"/>
    <w:rsid w:val="006A0166"/>
    <w:rsid w:val="006A05F0"/>
    <w:rsid w:val="006A0C10"/>
    <w:rsid w:val="006A0F08"/>
    <w:rsid w:val="006A14C5"/>
    <w:rsid w:val="006A1595"/>
    <w:rsid w:val="006A17E7"/>
    <w:rsid w:val="006A1A0B"/>
    <w:rsid w:val="006A1BFB"/>
    <w:rsid w:val="006A1FAA"/>
    <w:rsid w:val="006A2659"/>
    <w:rsid w:val="006A2A82"/>
    <w:rsid w:val="006A2B06"/>
    <w:rsid w:val="006A304D"/>
    <w:rsid w:val="006A32CE"/>
    <w:rsid w:val="006A35E8"/>
    <w:rsid w:val="006A3660"/>
    <w:rsid w:val="006A366E"/>
    <w:rsid w:val="006A47F0"/>
    <w:rsid w:val="006A48B0"/>
    <w:rsid w:val="006A4D52"/>
    <w:rsid w:val="006A4DBA"/>
    <w:rsid w:val="006A5337"/>
    <w:rsid w:val="006A575D"/>
    <w:rsid w:val="006A58A9"/>
    <w:rsid w:val="006A5CA3"/>
    <w:rsid w:val="006A5CDA"/>
    <w:rsid w:val="006A6295"/>
    <w:rsid w:val="006A682B"/>
    <w:rsid w:val="006A717D"/>
    <w:rsid w:val="006A720A"/>
    <w:rsid w:val="006A74AF"/>
    <w:rsid w:val="006A7535"/>
    <w:rsid w:val="006A7710"/>
    <w:rsid w:val="006A7861"/>
    <w:rsid w:val="006A788E"/>
    <w:rsid w:val="006A7FC3"/>
    <w:rsid w:val="006B0074"/>
    <w:rsid w:val="006B0130"/>
    <w:rsid w:val="006B09C0"/>
    <w:rsid w:val="006B0B79"/>
    <w:rsid w:val="006B0D05"/>
    <w:rsid w:val="006B0D0A"/>
    <w:rsid w:val="006B0DE1"/>
    <w:rsid w:val="006B12B9"/>
    <w:rsid w:val="006B18B4"/>
    <w:rsid w:val="006B1C10"/>
    <w:rsid w:val="006B1C14"/>
    <w:rsid w:val="006B25EB"/>
    <w:rsid w:val="006B26AA"/>
    <w:rsid w:val="006B3A26"/>
    <w:rsid w:val="006B3C0C"/>
    <w:rsid w:val="006B4496"/>
    <w:rsid w:val="006B4770"/>
    <w:rsid w:val="006B4B58"/>
    <w:rsid w:val="006B4D42"/>
    <w:rsid w:val="006B5058"/>
    <w:rsid w:val="006B52AC"/>
    <w:rsid w:val="006B5354"/>
    <w:rsid w:val="006B537B"/>
    <w:rsid w:val="006B55A5"/>
    <w:rsid w:val="006B58A9"/>
    <w:rsid w:val="006B5DD1"/>
    <w:rsid w:val="006B67B3"/>
    <w:rsid w:val="006B6C62"/>
    <w:rsid w:val="006B6EEF"/>
    <w:rsid w:val="006C044A"/>
    <w:rsid w:val="006C05CF"/>
    <w:rsid w:val="006C06CC"/>
    <w:rsid w:val="006C0C08"/>
    <w:rsid w:val="006C1169"/>
    <w:rsid w:val="006C1275"/>
    <w:rsid w:val="006C22CB"/>
    <w:rsid w:val="006C24A0"/>
    <w:rsid w:val="006C27E0"/>
    <w:rsid w:val="006C298C"/>
    <w:rsid w:val="006C2D33"/>
    <w:rsid w:val="006C2E7F"/>
    <w:rsid w:val="006C320A"/>
    <w:rsid w:val="006C3BDD"/>
    <w:rsid w:val="006C3F80"/>
    <w:rsid w:val="006C4007"/>
    <w:rsid w:val="006C44F9"/>
    <w:rsid w:val="006C4508"/>
    <w:rsid w:val="006C46C7"/>
    <w:rsid w:val="006C47DF"/>
    <w:rsid w:val="006C48D5"/>
    <w:rsid w:val="006C4CD5"/>
    <w:rsid w:val="006C528F"/>
    <w:rsid w:val="006C5439"/>
    <w:rsid w:val="006C55A0"/>
    <w:rsid w:val="006C6CC4"/>
    <w:rsid w:val="006C6D09"/>
    <w:rsid w:val="006C7390"/>
    <w:rsid w:val="006D0552"/>
    <w:rsid w:val="006D06C3"/>
    <w:rsid w:val="006D0D68"/>
    <w:rsid w:val="006D1460"/>
    <w:rsid w:val="006D168C"/>
    <w:rsid w:val="006D195E"/>
    <w:rsid w:val="006D1BB0"/>
    <w:rsid w:val="006D1CA9"/>
    <w:rsid w:val="006D2358"/>
    <w:rsid w:val="006D2529"/>
    <w:rsid w:val="006D2567"/>
    <w:rsid w:val="006D2D02"/>
    <w:rsid w:val="006D2D60"/>
    <w:rsid w:val="006D3327"/>
    <w:rsid w:val="006D4C8C"/>
    <w:rsid w:val="006D4C98"/>
    <w:rsid w:val="006D4CAA"/>
    <w:rsid w:val="006D56AA"/>
    <w:rsid w:val="006D574E"/>
    <w:rsid w:val="006D5A09"/>
    <w:rsid w:val="006D5AB5"/>
    <w:rsid w:val="006D5D34"/>
    <w:rsid w:val="006D6873"/>
    <w:rsid w:val="006D68BB"/>
    <w:rsid w:val="006D6A39"/>
    <w:rsid w:val="006D6A57"/>
    <w:rsid w:val="006D6A7C"/>
    <w:rsid w:val="006D6BB3"/>
    <w:rsid w:val="006D6EE1"/>
    <w:rsid w:val="006D7276"/>
    <w:rsid w:val="006D72B8"/>
    <w:rsid w:val="006D78D7"/>
    <w:rsid w:val="006D7E63"/>
    <w:rsid w:val="006E0449"/>
    <w:rsid w:val="006E0666"/>
    <w:rsid w:val="006E09A9"/>
    <w:rsid w:val="006E0C5B"/>
    <w:rsid w:val="006E1057"/>
    <w:rsid w:val="006E15D0"/>
    <w:rsid w:val="006E163B"/>
    <w:rsid w:val="006E169A"/>
    <w:rsid w:val="006E1E9E"/>
    <w:rsid w:val="006E2359"/>
    <w:rsid w:val="006E2506"/>
    <w:rsid w:val="006E306C"/>
    <w:rsid w:val="006E30AB"/>
    <w:rsid w:val="006E3390"/>
    <w:rsid w:val="006E33E0"/>
    <w:rsid w:val="006E33FF"/>
    <w:rsid w:val="006E340C"/>
    <w:rsid w:val="006E37BA"/>
    <w:rsid w:val="006E3877"/>
    <w:rsid w:val="006E3A18"/>
    <w:rsid w:val="006E3AB2"/>
    <w:rsid w:val="006E3BF0"/>
    <w:rsid w:val="006E4012"/>
    <w:rsid w:val="006E4253"/>
    <w:rsid w:val="006E43A1"/>
    <w:rsid w:val="006E4C4B"/>
    <w:rsid w:val="006E6022"/>
    <w:rsid w:val="006E63A6"/>
    <w:rsid w:val="006E65A5"/>
    <w:rsid w:val="006E6DD3"/>
    <w:rsid w:val="006E6F15"/>
    <w:rsid w:val="006E70AE"/>
    <w:rsid w:val="006E7110"/>
    <w:rsid w:val="006E7505"/>
    <w:rsid w:val="006E7735"/>
    <w:rsid w:val="006E7A6E"/>
    <w:rsid w:val="006F00D0"/>
    <w:rsid w:val="006F00D4"/>
    <w:rsid w:val="006F00E3"/>
    <w:rsid w:val="006F0374"/>
    <w:rsid w:val="006F0968"/>
    <w:rsid w:val="006F0A80"/>
    <w:rsid w:val="006F0B8F"/>
    <w:rsid w:val="006F1B21"/>
    <w:rsid w:val="006F2111"/>
    <w:rsid w:val="006F2847"/>
    <w:rsid w:val="006F2A9E"/>
    <w:rsid w:val="006F3886"/>
    <w:rsid w:val="006F3F8A"/>
    <w:rsid w:val="006F474D"/>
    <w:rsid w:val="006F4AF1"/>
    <w:rsid w:val="006F4E3E"/>
    <w:rsid w:val="006F54A2"/>
    <w:rsid w:val="006F581A"/>
    <w:rsid w:val="006F5892"/>
    <w:rsid w:val="006F5AFE"/>
    <w:rsid w:val="006F5B7A"/>
    <w:rsid w:val="006F6030"/>
    <w:rsid w:val="006F6933"/>
    <w:rsid w:val="006F6CF8"/>
    <w:rsid w:val="006F6D2C"/>
    <w:rsid w:val="006F7C46"/>
    <w:rsid w:val="006F7FCC"/>
    <w:rsid w:val="0070005C"/>
    <w:rsid w:val="007001CC"/>
    <w:rsid w:val="00700380"/>
    <w:rsid w:val="00700867"/>
    <w:rsid w:val="007008E5"/>
    <w:rsid w:val="007011C7"/>
    <w:rsid w:val="007018C8"/>
    <w:rsid w:val="00701DDB"/>
    <w:rsid w:val="00702B9B"/>
    <w:rsid w:val="00703187"/>
    <w:rsid w:val="007036BC"/>
    <w:rsid w:val="00703702"/>
    <w:rsid w:val="00703710"/>
    <w:rsid w:val="00703795"/>
    <w:rsid w:val="00703B51"/>
    <w:rsid w:val="00703BCE"/>
    <w:rsid w:val="00704FC7"/>
    <w:rsid w:val="00705127"/>
    <w:rsid w:val="0070512C"/>
    <w:rsid w:val="00705551"/>
    <w:rsid w:val="007055C8"/>
    <w:rsid w:val="0070586F"/>
    <w:rsid w:val="00705C6E"/>
    <w:rsid w:val="00705C8E"/>
    <w:rsid w:val="00705EBA"/>
    <w:rsid w:val="0070742B"/>
    <w:rsid w:val="007079E3"/>
    <w:rsid w:val="0071009C"/>
    <w:rsid w:val="007105F7"/>
    <w:rsid w:val="00710830"/>
    <w:rsid w:val="00710AF2"/>
    <w:rsid w:val="00711CD9"/>
    <w:rsid w:val="00712158"/>
    <w:rsid w:val="00712479"/>
    <w:rsid w:val="007125C0"/>
    <w:rsid w:val="00712863"/>
    <w:rsid w:val="00712AAA"/>
    <w:rsid w:val="007134B6"/>
    <w:rsid w:val="0071398B"/>
    <w:rsid w:val="00713A6C"/>
    <w:rsid w:val="00713E73"/>
    <w:rsid w:val="0071473E"/>
    <w:rsid w:val="007158D0"/>
    <w:rsid w:val="00715DF7"/>
    <w:rsid w:val="007163F8"/>
    <w:rsid w:val="00717009"/>
    <w:rsid w:val="007175D0"/>
    <w:rsid w:val="00717844"/>
    <w:rsid w:val="00720498"/>
    <w:rsid w:val="0072088F"/>
    <w:rsid w:val="00720A0E"/>
    <w:rsid w:val="00720B49"/>
    <w:rsid w:val="00720B8E"/>
    <w:rsid w:val="00720EF4"/>
    <w:rsid w:val="007210B9"/>
    <w:rsid w:val="007218FE"/>
    <w:rsid w:val="00721C80"/>
    <w:rsid w:val="00722082"/>
    <w:rsid w:val="00722D91"/>
    <w:rsid w:val="00722DAB"/>
    <w:rsid w:val="00723116"/>
    <w:rsid w:val="0072326E"/>
    <w:rsid w:val="007239B1"/>
    <w:rsid w:val="007239D7"/>
    <w:rsid w:val="00723E51"/>
    <w:rsid w:val="00723E61"/>
    <w:rsid w:val="00723E6C"/>
    <w:rsid w:val="00723EA2"/>
    <w:rsid w:val="00724234"/>
    <w:rsid w:val="00724403"/>
    <w:rsid w:val="007246F5"/>
    <w:rsid w:val="007251CC"/>
    <w:rsid w:val="007252BB"/>
    <w:rsid w:val="007253EB"/>
    <w:rsid w:val="0072553D"/>
    <w:rsid w:val="00725E11"/>
    <w:rsid w:val="00725FEB"/>
    <w:rsid w:val="0072666E"/>
    <w:rsid w:val="00726F3D"/>
    <w:rsid w:val="0072756D"/>
    <w:rsid w:val="00727619"/>
    <w:rsid w:val="007279CE"/>
    <w:rsid w:val="00727A56"/>
    <w:rsid w:val="00727B71"/>
    <w:rsid w:val="00727C00"/>
    <w:rsid w:val="00727D22"/>
    <w:rsid w:val="00730527"/>
    <w:rsid w:val="00730647"/>
    <w:rsid w:val="007315A6"/>
    <w:rsid w:val="00731619"/>
    <w:rsid w:val="00731641"/>
    <w:rsid w:val="007317C6"/>
    <w:rsid w:val="00731BC9"/>
    <w:rsid w:val="00731EDF"/>
    <w:rsid w:val="00732382"/>
    <w:rsid w:val="00732605"/>
    <w:rsid w:val="00732617"/>
    <w:rsid w:val="00732623"/>
    <w:rsid w:val="0073287A"/>
    <w:rsid w:val="00732CC3"/>
    <w:rsid w:val="00733DF1"/>
    <w:rsid w:val="00734ADD"/>
    <w:rsid w:val="00734B7F"/>
    <w:rsid w:val="00734BD5"/>
    <w:rsid w:val="00735010"/>
    <w:rsid w:val="0073538F"/>
    <w:rsid w:val="007353D4"/>
    <w:rsid w:val="007356EA"/>
    <w:rsid w:val="00735708"/>
    <w:rsid w:val="007357EC"/>
    <w:rsid w:val="007359C5"/>
    <w:rsid w:val="0073613B"/>
    <w:rsid w:val="007364E9"/>
    <w:rsid w:val="00736526"/>
    <w:rsid w:val="007365F2"/>
    <w:rsid w:val="00736796"/>
    <w:rsid w:val="007369F7"/>
    <w:rsid w:val="00736A1D"/>
    <w:rsid w:val="00736B47"/>
    <w:rsid w:val="00737577"/>
    <w:rsid w:val="0073779B"/>
    <w:rsid w:val="007378E3"/>
    <w:rsid w:val="00737DDC"/>
    <w:rsid w:val="00737E43"/>
    <w:rsid w:val="00737F78"/>
    <w:rsid w:val="007400D9"/>
    <w:rsid w:val="0074092D"/>
    <w:rsid w:val="00740A22"/>
    <w:rsid w:val="00740A53"/>
    <w:rsid w:val="00740C7C"/>
    <w:rsid w:val="00740E34"/>
    <w:rsid w:val="00740F64"/>
    <w:rsid w:val="007411B9"/>
    <w:rsid w:val="0074134C"/>
    <w:rsid w:val="0074180D"/>
    <w:rsid w:val="007419B9"/>
    <w:rsid w:val="00741BF2"/>
    <w:rsid w:val="00742003"/>
    <w:rsid w:val="00742219"/>
    <w:rsid w:val="0074230D"/>
    <w:rsid w:val="00742987"/>
    <w:rsid w:val="00743E60"/>
    <w:rsid w:val="007442D6"/>
    <w:rsid w:val="007442E0"/>
    <w:rsid w:val="0074473D"/>
    <w:rsid w:val="007449D8"/>
    <w:rsid w:val="00744D09"/>
    <w:rsid w:val="00745CCA"/>
    <w:rsid w:val="007461EC"/>
    <w:rsid w:val="0074625D"/>
    <w:rsid w:val="0074646A"/>
    <w:rsid w:val="00746CAE"/>
    <w:rsid w:val="00746E50"/>
    <w:rsid w:val="00746E59"/>
    <w:rsid w:val="00746F9D"/>
    <w:rsid w:val="0074762B"/>
    <w:rsid w:val="007478C7"/>
    <w:rsid w:val="00747CF1"/>
    <w:rsid w:val="00747F7D"/>
    <w:rsid w:val="00750271"/>
    <w:rsid w:val="007505EA"/>
    <w:rsid w:val="00750929"/>
    <w:rsid w:val="007509CD"/>
    <w:rsid w:val="00750AA4"/>
    <w:rsid w:val="00750E8D"/>
    <w:rsid w:val="00750FC0"/>
    <w:rsid w:val="007515EF"/>
    <w:rsid w:val="00751DC7"/>
    <w:rsid w:val="00751FEB"/>
    <w:rsid w:val="00752246"/>
    <w:rsid w:val="00752440"/>
    <w:rsid w:val="007524A5"/>
    <w:rsid w:val="0075266D"/>
    <w:rsid w:val="007526B7"/>
    <w:rsid w:val="007527B8"/>
    <w:rsid w:val="00752B8D"/>
    <w:rsid w:val="00753B68"/>
    <w:rsid w:val="00753B72"/>
    <w:rsid w:val="00753D42"/>
    <w:rsid w:val="00753F7D"/>
    <w:rsid w:val="00754220"/>
    <w:rsid w:val="00754AA6"/>
    <w:rsid w:val="00754C55"/>
    <w:rsid w:val="00756098"/>
    <w:rsid w:val="0075659E"/>
    <w:rsid w:val="00756E8E"/>
    <w:rsid w:val="007577E1"/>
    <w:rsid w:val="007600C6"/>
    <w:rsid w:val="00760469"/>
    <w:rsid w:val="00760A12"/>
    <w:rsid w:val="007610EB"/>
    <w:rsid w:val="007614A3"/>
    <w:rsid w:val="00761781"/>
    <w:rsid w:val="00761A90"/>
    <w:rsid w:val="00761B13"/>
    <w:rsid w:val="00761C36"/>
    <w:rsid w:val="00761CE0"/>
    <w:rsid w:val="00761FAC"/>
    <w:rsid w:val="00762071"/>
    <w:rsid w:val="0076208B"/>
    <w:rsid w:val="00762299"/>
    <w:rsid w:val="00762509"/>
    <w:rsid w:val="00762816"/>
    <w:rsid w:val="0076293D"/>
    <w:rsid w:val="00762C5F"/>
    <w:rsid w:val="00763462"/>
    <w:rsid w:val="007638F4"/>
    <w:rsid w:val="00763A00"/>
    <w:rsid w:val="00763A30"/>
    <w:rsid w:val="007642F0"/>
    <w:rsid w:val="00764622"/>
    <w:rsid w:val="0076482E"/>
    <w:rsid w:val="0076499E"/>
    <w:rsid w:val="00764B13"/>
    <w:rsid w:val="00765018"/>
    <w:rsid w:val="0076522A"/>
    <w:rsid w:val="0076559C"/>
    <w:rsid w:val="0076576F"/>
    <w:rsid w:val="00765F62"/>
    <w:rsid w:val="007661D5"/>
    <w:rsid w:val="007664CB"/>
    <w:rsid w:val="007664E1"/>
    <w:rsid w:val="00766C91"/>
    <w:rsid w:val="00767001"/>
    <w:rsid w:val="007670EE"/>
    <w:rsid w:val="007671CF"/>
    <w:rsid w:val="007676F5"/>
    <w:rsid w:val="00767AE2"/>
    <w:rsid w:val="007703AF"/>
    <w:rsid w:val="007706BC"/>
    <w:rsid w:val="00770AD2"/>
    <w:rsid w:val="00770CA7"/>
    <w:rsid w:val="007712ED"/>
    <w:rsid w:val="0077161B"/>
    <w:rsid w:val="007718C5"/>
    <w:rsid w:val="00771BD3"/>
    <w:rsid w:val="00771DB4"/>
    <w:rsid w:val="00772353"/>
    <w:rsid w:val="0077240A"/>
    <w:rsid w:val="007724A9"/>
    <w:rsid w:val="00772511"/>
    <w:rsid w:val="00772982"/>
    <w:rsid w:val="00772B79"/>
    <w:rsid w:val="00773347"/>
    <w:rsid w:val="007736B4"/>
    <w:rsid w:val="00773B74"/>
    <w:rsid w:val="00773D07"/>
    <w:rsid w:val="00773F1B"/>
    <w:rsid w:val="00774184"/>
    <w:rsid w:val="00774B26"/>
    <w:rsid w:val="00774EAE"/>
    <w:rsid w:val="007751C7"/>
    <w:rsid w:val="00775313"/>
    <w:rsid w:val="007758A2"/>
    <w:rsid w:val="00775920"/>
    <w:rsid w:val="0077594C"/>
    <w:rsid w:val="00775CE0"/>
    <w:rsid w:val="0077626A"/>
    <w:rsid w:val="007767DA"/>
    <w:rsid w:val="0077705C"/>
    <w:rsid w:val="00777604"/>
    <w:rsid w:val="00777782"/>
    <w:rsid w:val="00777883"/>
    <w:rsid w:val="007778BF"/>
    <w:rsid w:val="00780742"/>
    <w:rsid w:val="00780771"/>
    <w:rsid w:val="007815E7"/>
    <w:rsid w:val="007819B4"/>
    <w:rsid w:val="00781B72"/>
    <w:rsid w:val="00782128"/>
    <w:rsid w:val="007828BB"/>
    <w:rsid w:val="00782DDB"/>
    <w:rsid w:val="00782E77"/>
    <w:rsid w:val="00783246"/>
    <w:rsid w:val="007832DB"/>
    <w:rsid w:val="00783436"/>
    <w:rsid w:val="007838EB"/>
    <w:rsid w:val="00783A1A"/>
    <w:rsid w:val="00784306"/>
    <w:rsid w:val="00784618"/>
    <w:rsid w:val="00784805"/>
    <w:rsid w:val="007849E9"/>
    <w:rsid w:val="00784B25"/>
    <w:rsid w:val="00784CF8"/>
    <w:rsid w:val="007851B6"/>
    <w:rsid w:val="00785748"/>
    <w:rsid w:val="007860F1"/>
    <w:rsid w:val="0078621D"/>
    <w:rsid w:val="007863AC"/>
    <w:rsid w:val="007868FA"/>
    <w:rsid w:val="00786D6C"/>
    <w:rsid w:val="007870A7"/>
    <w:rsid w:val="00787847"/>
    <w:rsid w:val="007879E8"/>
    <w:rsid w:val="00790067"/>
    <w:rsid w:val="007900CD"/>
    <w:rsid w:val="00790376"/>
    <w:rsid w:val="00790A75"/>
    <w:rsid w:val="007912FB"/>
    <w:rsid w:val="00791C0D"/>
    <w:rsid w:val="00791D3E"/>
    <w:rsid w:val="00791DB2"/>
    <w:rsid w:val="00791E58"/>
    <w:rsid w:val="007920B1"/>
    <w:rsid w:val="007920FF"/>
    <w:rsid w:val="00792829"/>
    <w:rsid w:val="00792957"/>
    <w:rsid w:val="00792C9B"/>
    <w:rsid w:val="007930F0"/>
    <w:rsid w:val="0079368A"/>
    <w:rsid w:val="00793E99"/>
    <w:rsid w:val="00793FDC"/>
    <w:rsid w:val="00794346"/>
    <w:rsid w:val="00794561"/>
    <w:rsid w:val="0079487B"/>
    <w:rsid w:val="007949EF"/>
    <w:rsid w:val="00794E7D"/>
    <w:rsid w:val="00794FDD"/>
    <w:rsid w:val="00795259"/>
    <w:rsid w:val="007952CA"/>
    <w:rsid w:val="00795BC3"/>
    <w:rsid w:val="00795D4F"/>
    <w:rsid w:val="00796006"/>
    <w:rsid w:val="00796731"/>
    <w:rsid w:val="007967AE"/>
    <w:rsid w:val="00796C40"/>
    <w:rsid w:val="00796E21"/>
    <w:rsid w:val="00797BB0"/>
    <w:rsid w:val="00797C84"/>
    <w:rsid w:val="007A00DA"/>
    <w:rsid w:val="007A0556"/>
    <w:rsid w:val="007A08AD"/>
    <w:rsid w:val="007A0A64"/>
    <w:rsid w:val="007A0BDD"/>
    <w:rsid w:val="007A13D4"/>
    <w:rsid w:val="007A14CA"/>
    <w:rsid w:val="007A1577"/>
    <w:rsid w:val="007A18C3"/>
    <w:rsid w:val="007A1D6B"/>
    <w:rsid w:val="007A219F"/>
    <w:rsid w:val="007A253F"/>
    <w:rsid w:val="007A257E"/>
    <w:rsid w:val="007A2825"/>
    <w:rsid w:val="007A2FF6"/>
    <w:rsid w:val="007A3219"/>
    <w:rsid w:val="007A3458"/>
    <w:rsid w:val="007A3AF1"/>
    <w:rsid w:val="007A3B99"/>
    <w:rsid w:val="007A40C2"/>
    <w:rsid w:val="007A4243"/>
    <w:rsid w:val="007A458C"/>
    <w:rsid w:val="007A4AA4"/>
    <w:rsid w:val="007A4F0D"/>
    <w:rsid w:val="007A4F3E"/>
    <w:rsid w:val="007A5398"/>
    <w:rsid w:val="007A5452"/>
    <w:rsid w:val="007A60E5"/>
    <w:rsid w:val="007A67BF"/>
    <w:rsid w:val="007A68EE"/>
    <w:rsid w:val="007A6AE2"/>
    <w:rsid w:val="007A6B48"/>
    <w:rsid w:val="007A6B6C"/>
    <w:rsid w:val="007A6D4A"/>
    <w:rsid w:val="007A6ECB"/>
    <w:rsid w:val="007A71AE"/>
    <w:rsid w:val="007A732B"/>
    <w:rsid w:val="007A7925"/>
    <w:rsid w:val="007A7BD6"/>
    <w:rsid w:val="007A7C6E"/>
    <w:rsid w:val="007A7FC1"/>
    <w:rsid w:val="007B033E"/>
    <w:rsid w:val="007B069A"/>
    <w:rsid w:val="007B09D4"/>
    <w:rsid w:val="007B1AA9"/>
    <w:rsid w:val="007B1CFE"/>
    <w:rsid w:val="007B21DE"/>
    <w:rsid w:val="007B21E0"/>
    <w:rsid w:val="007B222A"/>
    <w:rsid w:val="007B2F71"/>
    <w:rsid w:val="007B369C"/>
    <w:rsid w:val="007B3AFB"/>
    <w:rsid w:val="007B3CFD"/>
    <w:rsid w:val="007B40DB"/>
    <w:rsid w:val="007B4181"/>
    <w:rsid w:val="007B435B"/>
    <w:rsid w:val="007B44BC"/>
    <w:rsid w:val="007B44E9"/>
    <w:rsid w:val="007B456A"/>
    <w:rsid w:val="007B47F3"/>
    <w:rsid w:val="007B4D59"/>
    <w:rsid w:val="007B5927"/>
    <w:rsid w:val="007B638C"/>
    <w:rsid w:val="007B6A8E"/>
    <w:rsid w:val="007B798A"/>
    <w:rsid w:val="007B7BD7"/>
    <w:rsid w:val="007B7BE8"/>
    <w:rsid w:val="007B7D19"/>
    <w:rsid w:val="007B7D6A"/>
    <w:rsid w:val="007B7DDB"/>
    <w:rsid w:val="007B9695"/>
    <w:rsid w:val="007C0052"/>
    <w:rsid w:val="007C0190"/>
    <w:rsid w:val="007C04FF"/>
    <w:rsid w:val="007C0573"/>
    <w:rsid w:val="007C08FF"/>
    <w:rsid w:val="007C0BAB"/>
    <w:rsid w:val="007C0F4F"/>
    <w:rsid w:val="007C114D"/>
    <w:rsid w:val="007C167E"/>
    <w:rsid w:val="007C2121"/>
    <w:rsid w:val="007C23F4"/>
    <w:rsid w:val="007C2803"/>
    <w:rsid w:val="007C295A"/>
    <w:rsid w:val="007C2D54"/>
    <w:rsid w:val="007C2EB6"/>
    <w:rsid w:val="007C2FEF"/>
    <w:rsid w:val="007C34F3"/>
    <w:rsid w:val="007C3D8A"/>
    <w:rsid w:val="007C3E38"/>
    <w:rsid w:val="007C41CC"/>
    <w:rsid w:val="007C41E1"/>
    <w:rsid w:val="007C41EE"/>
    <w:rsid w:val="007C4416"/>
    <w:rsid w:val="007C4570"/>
    <w:rsid w:val="007C4EF3"/>
    <w:rsid w:val="007C569E"/>
    <w:rsid w:val="007C59A9"/>
    <w:rsid w:val="007C5B3B"/>
    <w:rsid w:val="007C5D30"/>
    <w:rsid w:val="007C5F0F"/>
    <w:rsid w:val="007C5FD8"/>
    <w:rsid w:val="007C619D"/>
    <w:rsid w:val="007C6411"/>
    <w:rsid w:val="007C64EC"/>
    <w:rsid w:val="007C64F9"/>
    <w:rsid w:val="007C67A8"/>
    <w:rsid w:val="007C6910"/>
    <w:rsid w:val="007C6E93"/>
    <w:rsid w:val="007C7508"/>
    <w:rsid w:val="007C762A"/>
    <w:rsid w:val="007C7A9C"/>
    <w:rsid w:val="007D12B6"/>
    <w:rsid w:val="007D1B1B"/>
    <w:rsid w:val="007D1C86"/>
    <w:rsid w:val="007D1D6C"/>
    <w:rsid w:val="007D2476"/>
    <w:rsid w:val="007D2499"/>
    <w:rsid w:val="007D2738"/>
    <w:rsid w:val="007D28E9"/>
    <w:rsid w:val="007D2AB1"/>
    <w:rsid w:val="007D2B52"/>
    <w:rsid w:val="007D335D"/>
    <w:rsid w:val="007D345D"/>
    <w:rsid w:val="007D384B"/>
    <w:rsid w:val="007D411C"/>
    <w:rsid w:val="007D4265"/>
    <w:rsid w:val="007D4349"/>
    <w:rsid w:val="007D482E"/>
    <w:rsid w:val="007D4A71"/>
    <w:rsid w:val="007D4D86"/>
    <w:rsid w:val="007D5501"/>
    <w:rsid w:val="007D5C5D"/>
    <w:rsid w:val="007D6281"/>
    <w:rsid w:val="007D6380"/>
    <w:rsid w:val="007D6B18"/>
    <w:rsid w:val="007D717D"/>
    <w:rsid w:val="007D75C4"/>
    <w:rsid w:val="007D79B4"/>
    <w:rsid w:val="007D7CD0"/>
    <w:rsid w:val="007D7D4A"/>
    <w:rsid w:val="007D7D54"/>
    <w:rsid w:val="007D7E8F"/>
    <w:rsid w:val="007E034B"/>
    <w:rsid w:val="007E03CE"/>
    <w:rsid w:val="007E0BDD"/>
    <w:rsid w:val="007E0C9A"/>
    <w:rsid w:val="007E0EF5"/>
    <w:rsid w:val="007E1064"/>
    <w:rsid w:val="007E1326"/>
    <w:rsid w:val="007E1472"/>
    <w:rsid w:val="007E1B0A"/>
    <w:rsid w:val="007E1CF6"/>
    <w:rsid w:val="007E1E2A"/>
    <w:rsid w:val="007E1F56"/>
    <w:rsid w:val="007E24C2"/>
    <w:rsid w:val="007E284C"/>
    <w:rsid w:val="007E2AC6"/>
    <w:rsid w:val="007E2CE1"/>
    <w:rsid w:val="007E355B"/>
    <w:rsid w:val="007E3978"/>
    <w:rsid w:val="007E3F55"/>
    <w:rsid w:val="007E426C"/>
    <w:rsid w:val="007E4A2E"/>
    <w:rsid w:val="007E4A4B"/>
    <w:rsid w:val="007E4AB8"/>
    <w:rsid w:val="007E4D42"/>
    <w:rsid w:val="007E52B2"/>
    <w:rsid w:val="007E53CF"/>
    <w:rsid w:val="007E5455"/>
    <w:rsid w:val="007E57EF"/>
    <w:rsid w:val="007E5BB5"/>
    <w:rsid w:val="007E658A"/>
    <w:rsid w:val="007E65F0"/>
    <w:rsid w:val="007E7F12"/>
    <w:rsid w:val="007F01E1"/>
    <w:rsid w:val="007F08DB"/>
    <w:rsid w:val="007F0CCD"/>
    <w:rsid w:val="007F1850"/>
    <w:rsid w:val="007F18A5"/>
    <w:rsid w:val="007F25F5"/>
    <w:rsid w:val="007F2A28"/>
    <w:rsid w:val="007F2A97"/>
    <w:rsid w:val="007F3206"/>
    <w:rsid w:val="007F34CD"/>
    <w:rsid w:val="007F3C0E"/>
    <w:rsid w:val="007F3E5D"/>
    <w:rsid w:val="007F4567"/>
    <w:rsid w:val="007F4757"/>
    <w:rsid w:val="007F480A"/>
    <w:rsid w:val="007F4C1F"/>
    <w:rsid w:val="007F5347"/>
    <w:rsid w:val="007F5416"/>
    <w:rsid w:val="007F5BA8"/>
    <w:rsid w:val="007F5C22"/>
    <w:rsid w:val="007F6999"/>
    <w:rsid w:val="007F73AF"/>
    <w:rsid w:val="007F740E"/>
    <w:rsid w:val="007F7954"/>
    <w:rsid w:val="00800B28"/>
    <w:rsid w:val="00801415"/>
    <w:rsid w:val="00801971"/>
    <w:rsid w:val="00801C92"/>
    <w:rsid w:val="00802549"/>
    <w:rsid w:val="00802E94"/>
    <w:rsid w:val="00802F01"/>
    <w:rsid w:val="00803555"/>
    <w:rsid w:val="008038AE"/>
    <w:rsid w:val="00803D19"/>
    <w:rsid w:val="008045F6"/>
    <w:rsid w:val="00804883"/>
    <w:rsid w:val="008049AE"/>
    <w:rsid w:val="00804B74"/>
    <w:rsid w:val="00805739"/>
    <w:rsid w:val="0080590B"/>
    <w:rsid w:val="00805AEC"/>
    <w:rsid w:val="00806C50"/>
    <w:rsid w:val="0080703A"/>
    <w:rsid w:val="008072FF"/>
    <w:rsid w:val="00807AC7"/>
    <w:rsid w:val="00807E23"/>
    <w:rsid w:val="00807E88"/>
    <w:rsid w:val="008106F4"/>
    <w:rsid w:val="008109DB"/>
    <w:rsid w:val="00812610"/>
    <w:rsid w:val="00812748"/>
    <w:rsid w:val="00812C0D"/>
    <w:rsid w:val="0081316C"/>
    <w:rsid w:val="008133E1"/>
    <w:rsid w:val="008136DE"/>
    <w:rsid w:val="008137AD"/>
    <w:rsid w:val="00813CC7"/>
    <w:rsid w:val="00813E1F"/>
    <w:rsid w:val="00814398"/>
    <w:rsid w:val="00814618"/>
    <w:rsid w:val="00815C10"/>
    <w:rsid w:val="00815E22"/>
    <w:rsid w:val="00815EC9"/>
    <w:rsid w:val="0081656B"/>
    <w:rsid w:val="008173CF"/>
    <w:rsid w:val="00817991"/>
    <w:rsid w:val="008179BC"/>
    <w:rsid w:val="00817AB4"/>
    <w:rsid w:val="00817C22"/>
    <w:rsid w:val="0082115E"/>
    <w:rsid w:val="00821439"/>
    <w:rsid w:val="008218A8"/>
    <w:rsid w:val="00821D5C"/>
    <w:rsid w:val="00821E2E"/>
    <w:rsid w:val="00822128"/>
    <w:rsid w:val="0082279A"/>
    <w:rsid w:val="00822DFF"/>
    <w:rsid w:val="0082329C"/>
    <w:rsid w:val="00823400"/>
    <w:rsid w:val="0082437D"/>
    <w:rsid w:val="00824507"/>
    <w:rsid w:val="00824600"/>
    <w:rsid w:val="008248FD"/>
    <w:rsid w:val="0082499D"/>
    <w:rsid w:val="00824FA8"/>
    <w:rsid w:val="0082531D"/>
    <w:rsid w:val="008253B9"/>
    <w:rsid w:val="008256D5"/>
    <w:rsid w:val="00825834"/>
    <w:rsid w:val="00825D4F"/>
    <w:rsid w:val="00825FE2"/>
    <w:rsid w:val="00825FF6"/>
    <w:rsid w:val="00826167"/>
    <w:rsid w:val="0082659B"/>
    <w:rsid w:val="0082674E"/>
    <w:rsid w:val="00826E0E"/>
    <w:rsid w:val="00827444"/>
    <w:rsid w:val="008276D6"/>
    <w:rsid w:val="00827B53"/>
    <w:rsid w:val="0083032A"/>
    <w:rsid w:val="00830439"/>
    <w:rsid w:val="00830FD8"/>
    <w:rsid w:val="00831025"/>
    <w:rsid w:val="0083102A"/>
    <w:rsid w:val="008310BE"/>
    <w:rsid w:val="008311DE"/>
    <w:rsid w:val="008319E3"/>
    <w:rsid w:val="0083201E"/>
    <w:rsid w:val="00832A4B"/>
    <w:rsid w:val="00832B8F"/>
    <w:rsid w:val="00832E1A"/>
    <w:rsid w:val="00833440"/>
    <w:rsid w:val="008336BF"/>
    <w:rsid w:val="00833D5D"/>
    <w:rsid w:val="00833DC1"/>
    <w:rsid w:val="00833E21"/>
    <w:rsid w:val="00833F19"/>
    <w:rsid w:val="00834C09"/>
    <w:rsid w:val="00834ED7"/>
    <w:rsid w:val="00834F71"/>
    <w:rsid w:val="0083530F"/>
    <w:rsid w:val="00835396"/>
    <w:rsid w:val="00835534"/>
    <w:rsid w:val="008358FC"/>
    <w:rsid w:val="008365EC"/>
    <w:rsid w:val="00836DA7"/>
    <w:rsid w:val="00836E5D"/>
    <w:rsid w:val="0083713B"/>
    <w:rsid w:val="00837834"/>
    <w:rsid w:val="008379BC"/>
    <w:rsid w:val="00837DCC"/>
    <w:rsid w:val="00840859"/>
    <w:rsid w:val="0084095C"/>
    <w:rsid w:val="00840B64"/>
    <w:rsid w:val="0084182C"/>
    <w:rsid w:val="008429FE"/>
    <w:rsid w:val="0084302D"/>
    <w:rsid w:val="008436A0"/>
    <w:rsid w:val="008437E9"/>
    <w:rsid w:val="00843A33"/>
    <w:rsid w:val="00843CF0"/>
    <w:rsid w:val="00843D67"/>
    <w:rsid w:val="00844435"/>
    <w:rsid w:val="0084462F"/>
    <w:rsid w:val="00844984"/>
    <w:rsid w:val="00845334"/>
    <w:rsid w:val="00845673"/>
    <w:rsid w:val="00845ED1"/>
    <w:rsid w:val="00846B52"/>
    <w:rsid w:val="00846FCC"/>
    <w:rsid w:val="00847278"/>
    <w:rsid w:val="00847876"/>
    <w:rsid w:val="00847A5D"/>
    <w:rsid w:val="00847B0A"/>
    <w:rsid w:val="00847C0E"/>
    <w:rsid w:val="00847EA8"/>
    <w:rsid w:val="008500F0"/>
    <w:rsid w:val="00850589"/>
    <w:rsid w:val="00850963"/>
    <w:rsid w:val="0085099F"/>
    <w:rsid w:val="00850D88"/>
    <w:rsid w:val="00850E35"/>
    <w:rsid w:val="00851175"/>
    <w:rsid w:val="008521EC"/>
    <w:rsid w:val="0085238E"/>
    <w:rsid w:val="008524B9"/>
    <w:rsid w:val="0085292C"/>
    <w:rsid w:val="008535D5"/>
    <w:rsid w:val="00853C22"/>
    <w:rsid w:val="008540C1"/>
    <w:rsid w:val="008544F7"/>
    <w:rsid w:val="00854571"/>
    <w:rsid w:val="00854807"/>
    <w:rsid w:val="0085483A"/>
    <w:rsid w:val="008549A1"/>
    <w:rsid w:val="00854A88"/>
    <w:rsid w:val="00855162"/>
    <w:rsid w:val="00855B99"/>
    <w:rsid w:val="0085607D"/>
    <w:rsid w:val="00856142"/>
    <w:rsid w:val="008562FC"/>
    <w:rsid w:val="0085636E"/>
    <w:rsid w:val="00856758"/>
    <w:rsid w:val="00856774"/>
    <w:rsid w:val="008569F9"/>
    <w:rsid w:val="008575C3"/>
    <w:rsid w:val="00857739"/>
    <w:rsid w:val="00857A4F"/>
    <w:rsid w:val="0086013C"/>
    <w:rsid w:val="00860602"/>
    <w:rsid w:val="0086065C"/>
    <w:rsid w:val="008606BE"/>
    <w:rsid w:val="00860A42"/>
    <w:rsid w:val="00860A45"/>
    <w:rsid w:val="00860C68"/>
    <w:rsid w:val="00861006"/>
    <w:rsid w:val="00861034"/>
    <w:rsid w:val="00861111"/>
    <w:rsid w:val="008611F3"/>
    <w:rsid w:val="00861894"/>
    <w:rsid w:val="00861963"/>
    <w:rsid w:val="00861AFF"/>
    <w:rsid w:val="00861CB2"/>
    <w:rsid w:val="00861D82"/>
    <w:rsid w:val="0086234F"/>
    <w:rsid w:val="00863948"/>
    <w:rsid w:val="00863B80"/>
    <w:rsid w:val="00863E11"/>
    <w:rsid w:val="008642FB"/>
    <w:rsid w:val="00864355"/>
    <w:rsid w:val="00864467"/>
    <w:rsid w:val="0086486A"/>
    <w:rsid w:val="00864FDC"/>
    <w:rsid w:val="0086574D"/>
    <w:rsid w:val="00865F35"/>
    <w:rsid w:val="00865F65"/>
    <w:rsid w:val="008662E3"/>
    <w:rsid w:val="0086679E"/>
    <w:rsid w:val="00866D21"/>
    <w:rsid w:val="00867630"/>
    <w:rsid w:val="00867802"/>
    <w:rsid w:val="00867985"/>
    <w:rsid w:val="00867AB9"/>
    <w:rsid w:val="00867CB4"/>
    <w:rsid w:val="00867DE9"/>
    <w:rsid w:val="008700C0"/>
    <w:rsid w:val="00870520"/>
    <w:rsid w:val="00870891"/>
    <w:rsid w:val="00870B53"/>
    <w:rsid w:val="00870C36"/>
    <w:rsid w:val="0087105A"/>
    <w:rsid w:val="008721F8"/>
    <w:rsid w:val="0087227A"/>
    <w:rsid w:val="00872A9A"/>
    <w:rsid w:val="00872D53"/>
    <w:rsid w:val="00872DD2"/>
    <w:rsid w:val="00872F62"/>
    <w:rsid w:val="008730EB"/>
    <w:rsid w:val="00873433"/>
    <w:rsid w:val="00873469"/>
    <w:rsid w:val="008738F7"/>
    <w:rsid w:val="00873981"/>
    <w:rsid w:val="0087419C"/>
    <w:rsid w:val="00874A72"/>
    <w:rsid w:val="00875317"/>
    <w:rsid w:val="00875D78"/>
    <w:rsid w:val="0087610B"/>
    <w:rsid w:val="008761AF"/>
    <w:rsid w:val="00876C81"/>
    <w:rsid w:val="00876E8B"/>
    <w:rsid w:val="00876F1E"/>
    <w:rsid w:val="00877A94"/>
    <w:rsid w:val="00877F17"/>
    <w:rsid w:val="00877FEC"/>
    <w:rsid w:val="00880825"/>
    <w:rsid w:val="0088134D"/>
    <w:rsid w:val="008818F0"/>
    <w:rsid w:val="00881A6F"/>
    <w:rsid w:val="0088238E"/>
    <w:rsid w:val="008823D6"/>
    <w:rsid w:val="00882500"/>
    <w:rsid w:val="0088276E"/>
    <w:rsid w:val="008830CD"/>
    <w:rsid w:val="00883EDD"/>
    <w:rsid w:val="008842D5"/>
    <w:rsid w:val="00884414"/>
    <w:rsid w:val="008844DB"/>
    <w:rsid w:val="0088499B"/>
    <w:rsid w:val="008851C1"/>
    <w:rsid w:val="00885373"/>
    <w:rsid w:val="0088599A"/>
    <w:rsid w:val="00885B9A"/>
    <w:rsid w:val="00885EDA"/>
    <w:rsid w:val="0088685D"/>
    <w:rsid w:val="00886A84"/>
    <w:rsid w:val="00886A96"/>
    <w:rsid w:val="0088747F"/>
    <w:rsid w:val="00887969"/>
    <w:rsid w:val="00887AAC"/>
    <w:rsid w:val="00887C1E"/>
    <w:rsid w:val="008900F5"/>
    <w:rsid w:val="008901E8"/>
    <w:rsid w:val="008903FB"/>
    <w:rsid w:val="00890408"/>
    <w:rsid w:val="0089060F"/>
    <w:rsid w:val="00890640"/>
    <w:rsid w:val="0089098D"/>
    <w:rsid w:val="00890A7B"/>
    <w:rsid w:val="00890F03"/>
    <w:rsid w:val="008914E1"/>
    <w:rsid w:val="008914E9"/>
    <w:rsid w:val="0089197B"/>
    <w:rsid w:val="008919D6"/>
    <w:rsid w:val="00891B06"/>
    <w:rsid w:val="00891CDD"/>
    <w:rsid w:val="00892A59"/>
    <w:rsid w:val="00893189"/>
    <w:rsid w:val="008931C4"/>
    <w:rsid w:val="0089332E"/>
    <w:rsid w:val="008933EA"/>
    <w:rsid w:val="008936E3"/>
    <w:rsid w:val="00893AB1"/>
    <w:rsid w:val="00893CC7"/>
    <w:rsid w:val="008944F9"/>
    <w:rsid w:val="0089455A"/>
    <w:rsid w:val="00894DBA"/>
    <w:rsid w:val="0089519E"/>
    <w:rsid w:val="0089526A"/>
    <w:rsid w:val="00895331"/>
    <w:rsid w:val="008957EF"/>
    <w:rsid w:val="00896575"/>
    <w:rsid w:val="00897548"/>
    <w:rsid w:val="00897794"/>
    <w:rsid w:val="0089780B"/>
    <w:rsid w:val="00897B3D"/>
    <w:rsid w:val="00897EB8"/>
    <w:rsid w:val="00897F35"/>
    <w:rsid w:val="0089E478"/>
    <w:rsid w:val="008A03DA"/>
    <w:rsid w:val="008A04FA"/>
    <w:rsid w:val="008A0AB8"/>
    <w:rsid w:val="008A111F"/>
    <w:rsid w:val="008A13F6"/>
    <w:rsid w:val="008A1546"/>
    <w:rsid w:val="008A19B0"/>
    <w:rsid w:val="008A1E1F"/>
    <w:rsid w:val="008A2082"/>
    <w:rsid w:val="008A20AB"/>
    <w:rsid w:val="008A28FB"/>
    <w:rsid w:val="008A3B9C"/>
    <w:rsid w:val="008A3E1A"/>
    <w:rsid w:val="008A43C2"/>
    <w:rsid w:val="008A44C4"/>
    <w:rsid w:val="008A48BB"/>
    <w:rsid w:val="008A5568"/>
    <w:rsid w:val="008A5C86"/>
    <w:rsid w:val="008A6DBF"/>
    <w:rsid w:val="008A7ADC"/>
    <w:rsid w:val="008B0026"/>
    <w:rsid w:val="008B02B4"/>
    <w:rsid w:val="008B04AD"/>
    <w:rsid w:val="008B0527"/>
    <w:rsid w:val="008B0D5F"/>
    <w:rsid w:val="008B1606"/>
    <w:rsid w:val="008B16CB"/>
    <w:rsid w:val="008B17CD"/>
    <w:rsid w:val="008B19EA"/>
    <w:rsid w:val="008B1A38"/>
    <w:rsid w:val="008B1ABE"/>
    <w:rsid w:val="008B1B86"/>
    <w:rsid w:val="008B1F41"/>
    <w:rsid w:val="008B1FA7"/>
    <w:rsid w:val="008B3048"/>
    <w:rsid w:val="008B3186"/>
    <w:rsid w:val="008B3443"/>
    <w:rsid w:val="008B3CCF"/>
    <w:rsid w:val="008B3D72"/>
    <w:rsid w:val="008B3FF1"/>
    <w:rsid w:val="008B412C"/>
    <w:rsid w:val="008B424E"/>
    <w:rsid w:val="008B462E"/>
    <w:rsid w:val="008B46DF"/>
    <w:rsid w:val="008B47AD"/>
    <w:rsid w:val="008B49CC"/>
    <w:rsid w:val="008B4A30"/>
    <w:rsid w:val="008B5065"/>
    <w:rsid w:val="008B55E0"/>
    <w:rsid w:val="008B55FD"/>
    <w:rsid w:val="008B5761"/>
    <w:rsid w:val="008B602E"/>
    <w:rsid w:val="008B6158"/>
    <w:rsid w:val="008B62B9"/>
    <w:rsid w:val="008B6909"/>
    <w:rsid w:val="008B6BA9"/>
    <w:rsid w:val="008B7983"/>
    <w:rsid w:val="008C01DD"/>
    <w:rsid w:val="008C0442"/>
    <w:rsid w:val="008C05B7"/>
    <w:rsid w:val="008C065C"/>
    <w:rsid w:val="008C0709"/>
    <w:rsid w:val="008C0D4C"/>
    <w:rsid w:val="008C12EE"/>
    <w:rsid w:val="008C1B0A"/>
    <w:rsid w:val="008C2052"/>
    <w:rsid w:val="008C254A"/>
    <w:rsid w:val="008C28C1"/>
    <w:rsid w:val="008C290B"/>
    <w:rsid w:val="008C2B24"/>
    <w:rsid w:val="008C2C2A"/>
    <w:rsid w:val="008C2CE5"/>
    <w:rsid w:val="008C2D6A"/>
    <w:rsid w:val="008C2E17"/>
    <w:rsid w:val="008C30AF"/>
    <w:rsid w:val="008C33A9"/>
    <w:rsid w:val="008C3407"/>
    <w:rsid w:val="008C38C5"/>
    <w:rsid w:val="008C3914"/>
    <w:rsid w:val="008C3E28"/>
    <w:rsid w:val="008C43D2"/>
    <w:rsid w:val="008C4896"/>
    <w:rsid w:val="008C52D0"/>
    <w:rsid w:val="008C561C"/>
    <w:rsid w:val="008C5965"/>
    <w:rsid w:val="008C64B4"/>
    <w:rsid w:val="008C664E"/>
    <w:rsid w:val="008C7318"/>
    <w:rsid w:val="008C733F"/>
    <w:rsid w:val="008C7451"/>
    <w:rsid w:val="008C78A7"/>
    <w:rsid w:val="008C7D2E"/>
    <w:rsid w:val="008D0453"/>
    <w:rsid w:val="008D0AAF"/>
    <w:rsid w:val="008D1020"/>
    <w:rsid w:val="008D193D"/>
    <w:rsid w:val="008D1986"/>
    <w:rsid w:val="008D1D3A"/>
    <w:rsid w:val="008D2032"/>
    <w:rsid w:val="008D243F"/>
    <w:rsid w:val="008D257B"/>
    <w:rsid w:val="008D2584"/>
    <w:rsid w:val="008D269B"/>
    <w:rsid w:val="008D2804"/>
    <w:rsid w:val="008D2E8E"/>
    <w:rsid w:val="008D2F7B"/>
    <w:rsid w:val="008D334F"/>
    <w:rsid w:val="008D337E"/>
    <w:rsid w:val="008D38B6"/>
    <w:rsid w:val="008D444A"/>
    <w:rsid w:val="008D4559"/>
    <w:rsid w:val="008D46AE"/>
    <w:rsid w:val="008D4B20"/>
    <w:rsid w:val="008D5106"/>
    <w:rsid w:val="008D527A"/>
    <w:rsid w:val="008D54A1"/>
    <w:rsid w:val="008D6234"/>
    <w:rsid w:val="008D62AD"/>
    <w:rsid w:val="008D63BA"/>
    <w:rsid w:val="008D66C8"/>
    <w:rsid w:val="008D66CA"/>
    <w:rsid w:val="008D6879"/>
    <w:rsid w:val="008D6981"/>
    <w:rsid w:val="008D7317"/>
    <w:rsid w:val="008E008A"/>
    <w:rsid w:val="008E032D"/>
    <w:rsid w:val="008E0600"/>
    <w:rsid w:val="008E0FD7"/>
    <w:rsid w:val="008E1345"/>
    <w:rsid w:val="008E15ED"/>
    <w:rsid w:val="008E1668"/>
    <w:rsid w:val="008E19CD"/>
    <w:rsid w:val="008E1A48"/>
    <w:rsid w:val="008E1ABF"/>
    <w:rsid w:val="008E1B33"/>
    <w:rsid w:val="008E263E"/>
    <w:rsid w:val="008E295E"/>
    <w:rsid w:val="008E2A85"/>
    <w:rsid w:val="008E2C58"/>
    <w:rsid w:val="008E3977"/>
    <w:rsid w:val="008E431A"/>
    <w:rsid w:val="008E47AB"/>
    <w:rsid w:val="008E4F83"/>
    <w:rsid w:val="008E5634"/>
    <w:rsid w:val="008E5A1C"/>
    <w:rsid w:val="008E5CA9"/>
    <w:rsid w:val="008E5E7D"/>
    <w:rsid w:val="008E5F06"/>
    <w:rsid w:val="008E6123"/>
    <w:rsid w:val="008E6448"/>
    <w:rsid w:val="008E6519"/>
    <w:rsid w:val="008E66E9"/>
    <w:rsid w:val="008E68C4"/>
    <w:rsid w:val="008E6EC8"/>
    <w:rsid w:val="008E70B7"/>
    <w:rsid w:val="008E7763"/>
    <w:rsid w:val="008E7D84"/>
    <w:rsid w:val="008F0AC5"/>
    <w:rsid w:val="008F0B56"/>
    <w:rsid w:val="008F115F"/>
    <w:rsid w:val="008F1377"/>
    <w:rsid w:val="008F19AB"/>
    <w:rsid w:val="008F1CAD"/>
    <w:rsid w:val="008F288F"/>
    <w:rsid w:val="008F290F"/>
    <w:rsid w:val="008F2FEA"/>
    <w:rsid w:val="008F30EF"/>
    <w:rsid w:val="008F32B1"/>
    <w:rsid w:val="008F3C6C"/>
    <w:rsid w:val="008F43D6"/>
    <w:rsid w:val="008F463B"/>
    <w:rsid w:val="008F51A4"/>
    <w:rsid w:val="008F5499"/>
    <w:rsid w:val="008F5B5B"/>
    <w:rsid w:val="008F61BA"/>
    <w:rsid w:val="008F62A0"/>
    <w:rsid w:val="008F673F"/>
    <w:rsid w:val="008F6F34"/>
    <w:rsid w:val="008F752A"/>
    <w:rsid w:val="008F7C7D"/>
    <w:rsid w:val="009002C8"/>
    <w:rsid w:val="009008A3"/>
    <w:rsid w:val="0090094B"/>
    <w:rsid w:val="00900A1D"/>
    <w:rsid w:val="00900D59"/>
    <w:rsid w:val="00900DFA"/>
    <w:rsid w:val="00900E45"/>
    <w:rsid w:val="009016D8"/>
    <w:rsid w:val="00901DC3"/>
    <w:rsid w:val="00901E6D"/>
    <w:rsid w:val="009027AB"/>
    <w:rsid w:val="00902AFF"/>
    <w:rsid w:val="00902DFE"/>
    <w:rsid w:val="00902E3C"/>
    <w:rsid w:val="009033E5"/>
    <w:rsid w:val="00903713"/>
    <w:rsid w:val="00903D6A"/>
    <w:rsid w:val="0090555B"/>
    <w:rsid w:val="0090579F"/>
    <w:rsid w:val="00906843"/>
    <w:rsid w:val="0090695B"/>
    <w:rsid w:val="00906D80"/>
    <w:rsid w:val="0090713B"/>
    <w:rsid w:val="009072A2"/>
    <w:rsid w:val="00907A3F"/>
    <w:rsid w:val="00907A99"/>
    <w:rsid w:val="00907F00"/>
    <w:rsid w:val="00910834"/>
    <w:rsid w:val="00910870"/>
    <w:rsid w:val="009108D7"/>
    <w:rsid w:val="00910E2D"/>
    <w:rsid w:val="00910F11"/>
    <w:rsid w:val="00911845"/>
    <w:rsid w:val="00911D19"/>
    <w:rsid w:val="00912101"/>
    <w:rsid w:val="0091214A"/>
    <w:rsid w:val="00912308"/>
    <w:rsid w:val="009123DC"/>
    <w:rsid w:val="009126C4"/>
    <w:rsid w:val="0091297A"/>
    <w:rsid w:val="009129F9"/>
    <w:rsid w:val="00913074"/>
    <w:rsid w:val="009138DE"/>
    <w:rsid w:val="00913AFF"/>
    <w:rsid w:val="0091414C"/>
    <w:rsid w:val="009144EE"/>
    <w:rsid w:val="0091469A"/>
    <w:rsid w:val="009156BC"/>
    <w:rsid w:val="0091593D"/>
    <w:rsid w:val="00915CE2"/>
    <w:rsid w:val="00915FFF"/>
    <w:rsid w:val="00916821"/>
    <w:rsid w:val="00916DC1"/>
    <w:rsid w:val="009170BE"/>
    <w:rsid w:val="00917706"/>
    <w:rsid w:val="00917BA7"/>
    <w:rsid w:val="00920111"/>
    <w:rsid w:val="009203CE"/>
    <w:rsid w:val="009205CE"/>
    <w:rsid w:val="00920F7E"/>
    <w:rsid w:val="00921022"/>
    <w:rsid w:val="009210AB"/>
    <w:rsid w:val="00921271"/>
    <w:rsid w:val="0092150E"/>
    <w:rsid w:val="00921F9A"/>
    <w:rsid w:val="0092269F"/>
    <w:rsid w:val="00922E0B"/>
    <w:rsid w:val="00924F34"/>
    <w:rsid w:val="00924F5E"/>
    <w:rsid w:val="0092500F"/>
    <w:rsid w:val="00925549"/>
    <w:rsid w:val="00925997"/>
    <w:rsid w:val="00925E91"/>
    <w:rsid w:val="0092607A"/>
    <w:rsid w:val="009267CC"/>
    <w:rsid w:val="00927266"/>
    <w:rsid w:val="0092771C"/>
    <w:rsid w:val="009278CD"/>
    <w:rsid w:val="00927B53"/>
    <w:rsid w:val="00930E19"/>
    <w:rsid w:val="009312F0"/>
    <w:rsid w:val="009314F2"/>
    <w:rsid w:val="00931C52"/>
    <w:rsid w:val="00932077"/>
    <w:rsid w:val="0093292A"/>
    <w:rsid w:val="00932B05"/>
    <w:rsid w:val="00933639"/>
    <w:rsid w:val="0093365A"/>
    <w:rsid w:val="00933843"/>
    <w:rsid w:val="0093387E"/>
    <w:rsid w:val="00933F69"/>
    <w:rsid w:val="00934E8D"/>
    <w:rsid w:val="00934F7F"/>
    <w:rsid w:val="00935CEB"/>
    <w:rsid w:val="00936676"/>
    <w:rsid w:val="00937442"/>
    <w:rsid w:val="009375A6"/>
    <w:rsid w:val="00937740"/>
    <w:rsid w:val="00937BDE"/>
    <w:rsid w:val="0093AF18"/>
    <w:rsid w:val="0094094E"/>
    <w:rsid w:val="00941055"/>
    <w:rsid w:val="009410D5"/>
    <w:rsid w:val="00941A23"/>
    <w:rsid w:val="00941C6C"/>
    <w:rsid w:val="009422DB"/>
    <w:rsid w:val="00942434"/>
    <w:rsid w:val="0094295D"/>
    <w:rsid w:val="0094316C"/>
    <w:rsid w:val="00943255"/>
    <w:rsid w:val="009437B4"/>
    <w:rsid w:val="0094465F"/>
    <w:rsid w:val="00944857"/>
    <w:rsid w:val="009455D9"/>
    <w:rsid w:val="00945FC4"/>
    <w:rsid w:val="00946441"/>
    <w:rsid w:val="0094645C"/>
    <w:rsid w:val="009465C6"/>
    <w:rsid w:val="009467D9"/>
    <w:rsid w:val="0094692B"/>
    <w:rsid w:val="00946EF3"/>
    <w:rsid w:val="009470C8"/>
    <w:rsid w:val="00947359"/>
    <w:rsid w:val="00947795"/>
    <w:rsid w:val="009477D3"/>
    <w:rsid w:val="00947CCC"/>
    <w:rsid w:val="0095001D"/>
    <w:rsid w:val="00950158"/>
    <w:rsid w:val="009504EE"/>
    <w:rsid w:val="009508C2"/>
    <w:rsid w:val="009508CA"/>
    <w:rsid w:val="00950AC5"/>
    <w:rsid w:val="00951961"/>
    <w:rsid w:val="00951DFC"/>
    <w:rsid w:val="009521B1"/>
    <w:rsid w:val="00952229"/>
    <w:rsid w:val="0095290D"/>
    <w:rsid w:val="009532CD"/>
    <w:rsid w:val="00953744"/>
    <w:rsid w:val="009538FE"/>
    <w:rsid w:val="00953BA0"/>
    <w:rsid w:val="00953D21"/>
    <w:rsid w:val="00954874"/>
    <w:rsid w:val="00954BBE"/>
    <w:rsid w:val="00954DDD"/>
    <w:rsid w:val="00954E9C"/>
    <w:rsid w:val="009556EF"/>
    <w:rsid w:val="00955AC8"/>
    <w:rsid w:val="00955BA9"/>
    <w:rsid w:val="00955BBF"/>
    <w:rsid w:val="00956215"/>
    <w:rsid w:val="00956A20"/>
    <w:rsid w:val="00956CE7"/>
    <w:rsid w:val="00956D02"/>
    <w:rsid w:val="00956F2A"/>
    <w:rsid w:val="009574DF"/>
    <w:rsid w:val="00957726"/>
    <w:rsid w:val="00957A92"/>
    <w:rsid w:val="0096040F"/>
    <w:rsid w:val="009608C0"/>
    <w:rsid w:val="00961175"/>
    <w:rsid w:val="00961244"/>
    <w:rsid w:val="00961A32"/>
    <w:rsid w:val="00961E64"/>
    <w:rsid w:val="009620F6"/>
    <w:rsid w:val="0096248B"/>
    <w:rsid w:val="009624F0"/>
    <w:rsid w:val="0096252F"/>
    <w:rsid w:val="009625A9"/>
    <w:rsid w:val="009626B5"/>
    <w:rsid w:val="00963003"/>
    <w:rsid w:val="009636BE"/>
    <w:rsid w:val="00963A19"/>
    <w:rsid w:val="00963B7C"/>
    <w:rsid w:val="00963B8A"/>
    <w:rsid w:val="00963FD4"/>
    <w:rsid w:val="00964249"/>
    <w:rsid w:val="009647E7"/>
    <w:rsid w:val="009649AA"/>
    <w:rsid w:val="00964BE1"/>
    <w:rsid w:val="00964C7A"/>
    <w:rsid w:val="00964D7B"/>
    <w:rsid w:val="00964ED1"/>
    <w:rsid w:val="00964ED2"/>
    <w:rsid w:val="0096537E"/>
    <w:rsid w:val="0096540C"/>
    <w:rsid w:val="00965769"/>
    <w:rsid w:val="00965805"/>
    <w:rsid w:val="00965942"/>
    <w:rsid w:val="00965C35"/>
    <w:rsid w:val="00965E6B"/>
    <w:rsid w:val="00966C5E"/>
    <w:rsid w:val="00966D93"/>
    <w:rsid w:val="00967107"/>
    <w:rsid w:val="009673FC"/>
    <w:rsid w:val="009705C8"/>
    <w:rsid w:val="009707D8"/>
    <w:rsid w:val="00970C23"/>
    <w:rsid w:val="00971256"/>
    <w:rsid w:val="0097141B"/>
    <w:rsid w:val="0097153A"/>
    <w:rsid w:val="00971ABB"/>
    <w:rsid w:val="0097214B"/>
    <w:rsid w:val="00972A60"/>
    <w:rsid w:val="009733C2"/>
    <w:rsid w:val="009733EA"/>
    <w:rsid w:val="0097355E"/>
    <w:rsid w:val="0097365E"/>
    <w:rsid w:val="009736E3"/>
    <w:rsid w:val="00973825"/>
    <w:rsid w:val="009742B6"/>
    <w:rsid w:val="00974D8A"/>
    <w:rsid w:val="00974DFD"/>
    <w:rsid w:val="00974EA9"/>
    <w:rsid w:val="00974FA6"/>
    <w:rsid w:val="009754F0"/>
    <w:rsid w:val="00975DD9"/>
    <w:rsid w:val="00976626"/>
    <w:rsid w:val="00976A2F"/>
    <w:rsid w:val="00976EB8"/>
    <w:rsid w:val="0097711D"/>
    <w:rsid w:val="0097798B"/>
    <w:rsid w:val="00977B42"/>
    <w:rsid w:val="0098033D"/>
    <w:rsid w:val="0098085C"/>
    <w:rsid w:val="00980F50"/>
    <w:rsid w:val="00981110"/>
    <w:rsid w:val="009812EC"/>
    <w:rsid w:val="00981F13"/>
    <w:rsid w:val="009820AB"/>
    <w:rsid w:val="00982229"/>
    <w:rsid w:val="00982CBE"/>
    <w:rsid w:val="00982EFA"/>
    <w:rsid w:val="00983A0D"/>
    <w:rsid w:val="00984273"/>
    <w:rsid w:val="0098448A"/>
    <w:rsid w:val="00984C05"/>
    <w:rsid w:val="00985058"/>
    <w:rsid w:val="00985EA1"/>
    <w:rsid w:val="00986110"/>
    <w:rsid w:val="009863C1"/>
    <w:rsid w:val="00986703"/>
    <w:rsid w:val="00986A9B"/>
    <w:rsid w:val="009870FB"/>
    <w:rsid w:val="0098745E"/>
    <w:rsid w:val="0098770C"/>
    <w:rsid w:val="00987A77"/>
    <w:rsid w:val="00987AF1"/>
    <w:rsid w:val="00987BB4"/>
    <w:rsid w:val="00987CBD"/>
    <w:rsid w:val="00990884"/>
    <w:rsid w:val="00991118"/>
    <w:rsid w:val="00991690"/>
    <w:rsid w:val="00991DA4"/>
    <w:rsid w:val="0099230B"/>
    <w:rsid w:val="00992359"/>
    <w:rsid w:val="00992652"/>
    <w:rsid w:val="00993F5E"/>
    <w:rsid w:val="00994304"/>
    <w:rsid w:val="00994735"/>
    <w:rsid w:val="009949AF"/>
    <w:rsid w:val="00994A23"/>
    <w:rsid w:val="00994B5C"/>
    <w:rsid w:val="00994BFE"/>
    <w:rsid w:val="00994DED"/>
    <w:rsid w:val="00995735"/>
    <w:rsid w:val="00995AD8"/>
    <w:rsid w:val="0099641E"/>
    <w:rsid w:val="00996422"/>
    <w:rsid w:val="00996BBE"/>
    <w:rsid w:val="00996E53"/>
    <w:rsid w:val="00996EBD"/>
    <w:rsid w:val="0099778D"/>
    <w:rsid w:val="0099793D"/>
    <w:rsid w:val="00997941"/>
    <w:rsid w:val="009A021C"/>
    <w:rsid w:val="009A0227"/>
    <w:rsid w:val="009A086C"/>
    <w:rsid w:val="009A0892"/>
    <w:rsid w:val="009A0A05"/>
    <w:rsid w:val="009A0B32"/>
    <w:rsid w:val="009A11DE"/>
    <w:rsid w:val="009A121C"/>
    <w:rsid w:val="009A14C1"/>
    <w:rsid w:val="009A19E7"/>
    <w:rsid w:val="009A1E75"/>
    <w:rsid w:val="009A2531"/>
    <w:rsid w:val="009A27F7"/>
    <w:rsid w:val="009A2F23"/>
    <w:rsid w:val="009A3016"/>
    <w:rsid w:val="009A38F5"/>
    <w:rsid w:val="009A3B15"/>
    <w:rsid w:val="009A3E0B"/>
    <w:rsid w:val="009A4317"/>
    <w:rsid w:val="009A4678"/>
    <w:rsid w:val="009A4754"/>
    <w:rsid w:val="009A556E"/>
    <w:rsid w:val="009A5E6B"/>
    <w:rsid w:val="009A64C1"/>
    <w:rsid w:val="009A65A8"/>
    <w:rsid w:val="009A65D0"/>
    <w:rsid w:val="009A67BB"/>
    <w:rsid w:val="009A6B17"/>
    <w:rsid w:val="009A77AE"/>
    <w:rsid w:val="009B04C8"/>
    <w:rsid w:val="009B0B1C"/>
    <w:rsid w:val="009B1652"/>
    <w:rsid w:val="009B2368"/>
    <w:rsid w:val="009B2671"/>
    <w:rsid w:val="009B26E9"/>
    <w:rsid w:val="009B2D8F"/>
    <w:rsid w:val="009B408E"/>
    <w:rsid w:val="009B4850"/>
    <w:rsid w:val="009B490A"/>
    <w:rsid w:val="009B4D97"/>
    <w:rsid w:val="009B4DE2"/>
    <w:rsid w:val="009B4EE3"/>
    <w:rsid w:val="009B533F"/>
    <w:rsid w:val="009B557E"/>
    <w:rsid w:val="009B55E5"/>
    <w:rsid w:val="009B583F"/>
    <w:rsid w:val="009B59F4"/>
    <w:rsid w:val="009B5DB2"/>
    <w:rsid w:val="009B5E28"/>
    <w:rsid w:val="009B6949"/>
    <w:rsid w:val="009B6F2F"/>
    <w:rsid w:val="009B7019"/>
    <w:rsid w:val="009B70C7"/>
    <w:rsid w:val="009B75BF"/>
    <w:rsid w:val="009B79C4"/>
    <w:rsid w:val="009B7B12"/>
    <w:rsid w:val="009B7BDC"/>
    <w:rsid w:val="009C0245"/>
    <w:rsid w:val="009C0691"/>
    <w:rsid w:val="009C0786"/>
    <w:rsid w:val="009C1C6C"/>
    <w:rsid w:val="009C2132"/>
    <w:rsid w:val="009C2775"/>
    <w:rsid w:val="009C2C27"/>
    <w:rsid w:val="009C2D13"/>
    <w:rsid w:val="009C2DC9"/>
    <w:rsid w:val="009C34BE"/>
    <w:rsid w:val="009C3AE3"/>
    <w:rsid w:val="009C3E60"/>
    <w:rsid w:val="009C4003"/>
    <w:rsid w:val="009C4E43"/>
    <w:rsid w:val="009C58DD"/>
    <w:rsid w:val="009C58F0"/>
    <w:rsid w:val="009C58FF"/>
    <w:rsid w:val="009C5CB9"/>
    <w:rsid w:val="009C5D7A"/>
    <w:rsid w:val="009C607D"/>
    <w:rsid w:val="009C63DD"/>
    <w:rsid w:val="009C6597"/>
    <w:rsid w:val="009C690D"/>
    <w:rsid w:val="009C6A53"/>
    <w:rsid w:val="009C6B5D"/>
    <w:rsid w:val="009C6EDA"/>
    <w:rsid w:val="009C7657"/>
    <w:rsid w:val="009C770A"/>
    <w:rsid w:val="009C7C75"/>
    <w:rsid w:val="009C7DD6"/>
    <w:rsid w:val="009D061C"/>
    <w:rsid w:val="009D0A16"/>
    <w:rsid w:val="009D0DC3"/>
    <w:rsid w:val="009D1115"/>
    <w:rsid w:val="009D118C"/>
    <w:rsid w:val="009D1208"/>
    <w:rsid w:val="009D14A4"/>
    <w:rsid w:val="009D1860"/>
    <w:rsid w:val="009D1AE3"/>
    <w:rsid w:val="009D1D8C"/>
    <w:rsid w:val="009D1DDC"/>
    <w:rsid w:val="009D1F84"/>
    <w:rsid w:val="009D238F"/>
    <w:rsid w:val="009D244B"/>
    <w:rsid w:val="009D259D"/>
    <w:rsid w:val="009D2F9D"/>
    <w:rsid w:val="009D3402"/>
    <w:rsid w:val="009D35AA"/>
    <w:rsid w:val="009D3B9D"/>
    <w:rsid w:val="009D4B69"/>
    <w:rsid w:val="009D4DA6"/>
    <w:rsid w:val="009D4F1D"/>
    <w:rsid w:val="009D5030"/>
    <w:rsid w:val="009D540D"/>
    <w:rsid w:val="009D558C"/>
    <w:rsid w:val="009D6033"/>
    <w:rsid w:val="009D6333"/>
    <w:rsid w:val="009D63AF"/>
    <w:rsid w:val="009D6A19"/>
    <w:rsid w:val="009D6B52"/>
    <w:rsid w:val="009D6C2A"/>
    <w:rsid w:val="009D6ECA"/>
    <w:rsid w:val="009D7228"/>
    <w:rsid w:val="009D723B"/>
    <w:rsid w:val="009D7400"/>
    <w:rsid w:val="009D78E0"/>
    <w:rsid w:val="009D7BAC"/>
    <w:rsid w:val="009D7FD6"/>
    <w:rsid w:val="009E006D"/>
    <w:rsid w:val="009E0113"/>
    <w:rsid w:val="009E1150"/>
    <w:rsid w:val="009E11A8"/>
    <w:rsid w:val="009E15CE"/>
    <w:rsid w:val="009E23F1"/>
    <w:rsid w:val="009E2430"/>
    <w:rsid w:val="009E2835"/>
    <w:rsid w:val="009E2BDA"/>
    <w:rsid w:val="009E2E97"/>
    <w:rsid w:val="009E303A"/>
    <w:rsid w:val="009E3041"/>
    <w:rsid w:val="009E334B"/>
    <w:rsid w:val="009E3565"/>
    <w:rsid w:val="009E38CD"/>
    <w:rsid w:val="009E3AA3"/>
    <w:rsid w:val="009E4045"/>
    <w:rsid w:val="009E4252"/>
    <w:rsid w:val="009E4747"/>
    <w:rsid w:val="009E51F6"/>
    <w:rsid w:val="009E52EC"/>
    <w:rsid w:val="009E640C"/>
    <w:rsid w:val="009E65BE"/>
    <w:rsid w:val="009E6B20"/>
    <w:rsid w:val="009E6D0B"/>
    <w:rsid w:val="009E6EAC"/>
    <w:rsid w:val="009E7183"/>
    <w:rsid w:val="009E7388"/>
    <w:rsid w:val="009E7623"/>
    <w:rsid w:val="009E7A65"/>
    <w:rsid w:val="009E7BEC"/>
    <w:rsid w:val="009E7C5F"/>
    <w:rsid w:val="009E7FDC"/>
    <w:rsid w:val="009F0071"/>
    <w:rsid w:val="009F0328"/>
    <w:rsid w:val="009F082E"/>
    <w:rsid w:val="009F0D26"/>
    <w:rsid w:val="009F0D73"/>
    <w:rsid w:val="009F1F41"/>
    <w:rsid w:val="009F2483"/>
    <w:rsid w:val="009F36EC"/>
    <w:rsid w:val="009F3DA4"/>
    <w:rsid w:val="009F41A6"/>
    <w:rsid w:val="009F43EF"/>
    <w:rsid w:val="009F4A63"/>
    <w:rsid w:val="009F5046"/>
    <w:rsid w:val="009F5677"/>
    <w:rsid w:val="009F5914"/>
    <w:rsid w:val="009F5D6D"/>
    <w:rsid w:val="009F5EA8"/>
    <w:rsid w:val="009F6A16"/>
    <w:rsid w:val="009F6E63"/>
    <w:rsid w:val="009F6E7E"/>
    <w:rsid w:val="009F71E3"/>
    <w:rsid w:val="009F77F4"/>
    <w:rsid w:val="009F7871"/>
    <w:rsid w:val="009F7F4F"/>
    <w:rsid w:val="00A00043"/>
    <w:rsid w:val="00A0019A"/>
    <w:rsid w:val="00A002F4"/>
    <w:rsid w:val="00A007ED"/>
    <w:rsid w:val="00A00AAE"/>
    <w:rsid w:val="00A014CC"/>
    <w:rsid w:val="00A015DD"/>
    <w:rsid w:val="00A017AB"/>
    <w:rsid w:val="00A022C7"/>
    <w:rsid w:val="00A024AB"/>
    <w:rsid w:val="00A02ED5"/>
    <w:rsid w:val="00A03087"/>
    <w:rsid w:val="00A038D7"/>
    <w:rsid w:val="00A03B18"/>
    <w:rsid w:val="00A03F2F"/>
    <w:rsid w:val="00A04674"/>
    <w:rsid w:val="00A0476C"/>
    <w:rsid w:val="00A04BF1"/>
    <w:rsid w:val="00A04DF3"/>
    <w:rsid w:val="00A0517A"/>
    <w:rsid w:val="00A0549C"/>
    <w:rsid w:val="00A05681"/>
    <w:rsid w:val="00A07156"/>
    <w:rsid w:val="00A07183"/>
    <w:rsid w:val="00A07469"/>
    <w:rsid w:val="00A07B66"/>
    <w:rsid w:val="00A100DF"/>
    <w:rsid w:val="00A1030F"/>
    <w:rsid w:val="00A10331"/>
    <w:rsid w:val="00A104F0"/>
    <w:rsid w:val="00A1088D"/>
    <w:rsid w:val="00A10EFA"/>
    <w:rsid w:val="00A115DD"/>
    <w:rsid w:val="00A11A37"/>
    <w:rsid w:val="00A11B33"/>
    <w:rsid w:val="00A11C96"/>
    <w:rsid w:val="00A12810"/>
    <w:rsid w:val="00A129CF"/>
    <w:rsid w:val="00A12E7B"/>
    <w:rsid w:val="00A1330D"/>
    <w:rsid w:val="00A13352"/>
    <w:rsid w:val="00A13549"/>
    <w:rsid w:val="00A139D7"/>
    <w:rsid w:val="00A13A23"/>
    <w:rsid w:val="00A14204"/>
    <w:rsid w:val="00A142C5"/>
    <w:rsid w:val="00A14445"/>
    <w:rsid w:val="00A144FA"/>
    <w:rsid w:val="00A1480B"/>
    <w:rsid w:val="00A149DA"/>
    <w:rsid w:val="00A14A69"/>
    <w:rsid w:val="00A14C8F"/>
    <w:rsid w:val="00A1508A"/>
    <w:rsid w:val="00A157CB"/>
    <w:rsid w:val="00A15894"/>
    <w:rsid w:val="00A161A7"/>
    <w:rsid w:val="00A1674E"/>
    <w:rsid w:val="00A167A2"/>
    <w:rsid w:val="00A16C29"/>
    <w:rsid w:val="00A16CC5"/>
    <w:rsid w:val="00A16EE6"/>
    <w:rsid w:val="00A17672"/>
    <w:rsid w:val="00A176E6"/>
    <w:rsid w:val="00A17C6F"/>
    <w:rsid w:val="00A17C70"/>
    <w:rsid w:val="00A17EFE"/>
    <w:rsid w:val="00A204A5"/>
    <w:rsid w:val="00A20644"/>
    <w:rsid w:val="00A20C40"/>
    <w:rsid w:val="00A20DB4"/>
    <w:rsid w:val="00A20DFE"/>
    <w:rsid w:val="00A20EA4"/>
    <w:rsid w:val="00A221C1"/>
    <w:rsid w:val="00A221EC"/>
    <w:rsid w:val="00A226DB"/>
    <w:rsid w:val="00A22C24"/>
    <w:rsid w:val="00A23015"/>
    <w:rsid w:val="00A231EC"/>
    <w:rsid w:val="00A236A1"/>
    <w:rsid w:val="00A23BE3"/>
    <w:rsid w:val="00A23F20"/>
    <w:rsid w:val="00A23F8A"/>
    <w:rsid w:val="00A247BF"/>
    <w:rsid w:val="00A2481B"/>
    <w:rsid w:val="00A24B6C"/>
    <w:rsid w:val="00A24D12"/>
    <w:rsid w:val="00A24D75"/>
    <w:rsid w:val="00A24F5E"/>
    <w:rsid w:val="00A250C7"/>
    <w:rsid w:val="00A25412"/>
    <w:rsid w:val="00A25538"/>
    <w:rsid w:val="00A25C32"/>
    <w:rsid w:val="00A261D3"/>
    <w:rsid w:val="00A268A9"/>
    <w:rsid w:val="00A27452"/>
    <w:rsid w:val="00A275F8"/>
    <w:rsid w:val="00A27C19"/>
    <w:rsid w:val="00A304A4"/>
    <w:rsid w:val="00A30712"/>
    <w:rsid w:val="00A30881"/>
    <w:rsid w:val="00A30938"/>
    <w:rsid w:val="00A30CAB"/>
    <w:rsid w:val="00A30DAE"/>
    <w:rsid w:val="00A30DC4"/>
    <w:rsid w:val="00A30DF2"/>
    <w:rsid w:val="00A3158E"/>
    <w:rsid w:val="00A31D21"/>
    <w:rsid w:val="00A324A5"/>
    <w:rsid w:val="00A3273A"/>
    <w:rsid w:val="00A32880"/>
    <w:rsid w:val="00A32FC4"/>
    <w:rsid w:val="00A33281"/>
    <w:rsid w:val="00A33864"/>
    <w:rsid w:val="00A33AB1"/>
    <w:rsid w:val="00A341A3"/>
    <w:rsid w:val="00A3445E"/>
    <w:rsid w:val="00A348C1"/>
    <w:rsid w:val="00A349BA"/>
    <w:rsid w:val="00A34DA3"/>
    <w:rsid w:val="00A34DD9"/>
    <w:rsid w:val="00A35002"/>
    <w:rsid w:val="00A35261"/>
    <w:rsid w:val="00A35475"/>
    <w:rsid w:val="00A35596"/>
    <w:rsid w:val="00A3598E"/>
    <w:rsid w:val="00A35C3B"/>
    <w:rsid w:val="00A36425"/>
    <w:rsid w:val="00A369CB"/>
    <w:rsid w:val="00A36B86"/>
    <w:rsid w:val="00A370E3"/>
    <w:rsid w:val="00A37997"/>
    <w:rsid w:val="00A37FC2"/>
    <w:rsid w:val="00A41350"/>
    <w:rsid w:val="00A4150E"/>
    <w:rsid w:val="00A4169A"/>
    <w:rsid w:val="00A4184D"/>
    <w:rsid w:val="00A41E68"/>
    <w:rsid w:val="00A42B93"/>
    <w:rsid w:val="00A42F7D"/>
    <w:rsid w:val="00A43084"/>
    <w:rsid w:val="00A431F3"/>
    <w:rsid w:val="00A436F7"/>
    <w:rsid w:val="00A45848"/>
    <w:rsid w:val="00A4644C"/>
    <w:rsid w:val="00A46DFD"/>
    <w:rsid w:val="00A47B29"/>
    <w:rsid w:val="00A502A1"/>
    <w:rsid w:val="00A503CC"/>
    <w:rsid w:val="00A50AAE"/>
    <w:rsid w:val="00A50ADF"/>
    <w:rsid w:val="00A517D3"/>
    <w:rsid w:val="00A535D8"/>
    <w:rsid w:val="00A5369F"/>
    <w:rsid w:val="00A5388C"/>
    <w:rsid w:val="00A53F1F"/>
    <w:rsid w:val="00A5526D"/>
    <w:rsid w:val="00A55552"/>
    <w:rsid w:val="00A55979"/>
    <w:rsid w:val="00A559F9"/>
    <w:rsid w:val="00A55B51"/>
    <w:rsid w:val="00A55E69"/>
    <w:rsid w:val="00A56191"/>
    <w:rsid w:val="00A562A3"/>
    <w:rsid w:val="00A56640"/>
    <w:rsid w:val="00A5698E"/>
    <w:rsid w:val="00A5722D"/>
    <w:rsid w:val="00A579F2"/>
    <w:rsid w:val="00A57BA9"/>
    <w:rsid w:val="00A606A2"/>
    <w:rsid w:val="00A60A71"/>
    <w:rsid w:val="00A60D45"/>
    <w:rsid w:val="00A6156E"/>
    <w:rsid w:val="00A61AB2"/>
    <w:rsid w:val="00A61DF9"/>
    <w:rsid w:val="00A61E23"/>
    <w:rsid w:val="00A6228F"/>
    <w:rsid w:val="00A62E17"/>
    <w:rsid w:val="00A6356C"/>
    <w:rsid w:val="00A635AD"/>
    <w:rsid w:val="00A638FD"/>
    <w:rsid w:val="00A63A3D"/>
    <w:rsid w:val="00A63B6A"/>
    <w:rsid w:val="00A6428C"/>
    <w:rsid w:val="00A64601"/>
    <w:rsid w:val="00A64975"/>
    <w:rsid w:val="00A64B1C"/>
    <w:rsid w:val="00A64BAA"/>
    <w:rsid w:val="00A64DA5"/>
    <w:rsid w:val="00A64DF7"/>
    <w:rsid w:val="00A65275"/>
    <w:rsid w:val="00A65612"/>
    <w:rsid w:val="00A65BFB"/>
    <w:rsid w:val="00A67845"/>
    <w:rsid w:val="00A67917"/>
    <w:rsid w:val="00A67DFA"/>
    <w:rsid w:val="00A67F29"/>
    <w:rsid w:val="00A67F9A"/>
    <w:rsid w:val="00A70603"/>
    <w:rsid w:val="00A707C7"/>
    <w:rsid w:val="00A70C16"/>
    <w:rsid w:val="00A70F39"/>
    <w:rsid w:val="00A7167E"/>
    <w:rsid w:val="00A71808"/>
    <w:rsid w:val="00A71C03"/>
    <w:rsid w:val="00A72067"/>
    <w:rsid w:val="00A72690"/>
    <w:rsid w:val="00A72899"/>
    <w:rsid w:val="00A73274"/>
    <w:rsid w:val="00A73E12"/>
    <w:rsid w:val="00A74259"/>
    <w:rsid w:val="00A74360"/>
    <w:rsid w:val="00A74DD3"/>
    <w:rsid w:val="00A75ACA"/>
    <w:rsid w:val="00A75FD2"/>
    <w:rsid w:val="00A762D4"/>
    <w:rsid w:val="00A769DF"/>
    <w:rsid w:val="00A76B0E"/>
    <w:rsid w:val="00A76BEA"/>
    <w:rsid w:val="00A76C83"/>
    <w:rsid w:val="00A771CD"/>
    <w:rsid w:val="00A77203"/>
    <w:rsid w:val="00A77210"/>
    <w:rsid w:val="00A77ADA"/>
    <w:rsid w:val="00A77DE9"/>
    <w:rsid w:val="00A805CC"/>
    <w:rsid w:val="00A807CB"/>
    <w:rsid w:val="00A80DF1"/>
    <w:rsid w:val="00A81422"/>
    <w:rsid w:val="00A81DEA"/>
    <w:rsid w:val="00A82075"/>
    <w:rsid w:val="00A8216D"/>
    <w:rsid w:val="00A8230F"/>
    <w:rsid w:val="00A82661"/>
    <w:rsid w:val="00A82B64"/>
    <w:rsid w:val="00A82B8D"/>
    <w:rsid w:val="00A82C9B"/>
    <w:rsid w:val="00A82E6E"/>
    <w:rsid w:val="00A82E72"/>
    <w:rsid w:val="00A83D37"/>
    <w:rsid w:val="00A8417E"/>
    <w:rsid w:val="00A842F1"/>
    <w:rsid w:val="00A845D2"/>
    <w:rsid w:val="00A84877"/>
    <w:rsid w:val="00A84D12"/>
    <w:rsid w:val="00A84EFF"/>
    <w:rsid w:val="00A856BF"/>
    <w:rsid w:val="00A859AA"/>
    <w:rsid w:val="00A85FF1"/>
    <w:rsid w:val="00A86120"/>
    <w:rsid w:val="00A8641F"/>
    <w:rsid w:val="00A86AC1"/>
    <w:rsid w:val="00A86AC6"/>
    <w:rsid w:val="00A86AFF"/>
    <w:rsid w:val="00A872CB"/>
    <w:rsid w:val="00A876D0"/>
    <w:rsid w:val="00A87DB0"/>
    <w:rsid w:val="00A9000A"/>
    <w:rsid w:val="00A9096D"/>
    <w:rsid w:val="00A90C22"/>
    <w:rsid w:val="00A90D30"/>
    <w:rsid w:val="00A91399"/>
    <w:rsid w:val="00A91BF3"/>
    <w:rsid w:val="00A923AD"/>
    <w:rsid w:val="00A923C4"/>
    <w:rsid w:val="00A92E41"/>
    <w:rsid w:val="00A93059"/>
    <w:rsid w:val="00A931FF"/>
    <w:rsid w:val="00A941C0"/>
    <w:rsid w:val="00A94290"/>
    <w:rsid w:val="00A94647"/>
    <w:rsid w:val="00A949E1"/>
    <w:rsid w:val="00A9523B"/>
    <w:rsid w:val="00A955E6"/>
    <w:rsid w:val="00A95B98"/>
    <w:rsid w:val="00A95EA3"/>
    <w:rsid w:val="00A9632A"/>
    <w:rsid w:val="00A966BC"/>
    <w:rsid w:val="00A96A5D"/>
    <w:rsid w:val="00A970F6"/>
    <w:rsid w:val="00AA02E8"/>
    <w:rsid w:val="00AA0CF3"/>
    <w:rsid w:val="00AA103F"/>
    <w:rsid w:val="00AA121E"/>
    <w:rsid w:val="00AA15E7"/>
    <w:rsid w:val="00AA17E5"/>
    <w:rsid w:val="00AA1835"/>
    <w:rsid w:val="00AA1F9F"/>
    <w:rsid w:val="00AA22D6"/>
    <w:rsid w:val="00AA237C"/>
    <w:rsid w:val="00AA23FC"/>
    <w:rsid w:val="00AA26DB"/>
    <w:rsid w:val="00AA28CD"/>
    <w:rsid w:val="00AA2A93"/>
    <w:rsid w:val="00AA2DD5"/>
    <w:rsid w:val="00AA2E40"/>
    <w:rsid w:val="00AA3725"/>
    <w:rsid w:val="00AA3B20"/>
    <w:rsid w:val="00AA3C74"/>
    <w:rsid w:val="00AA3F84"/>
    <w:rsid w:val="00AA40F1"/>
    <w:rsid w:val="00AA48ED"/>
    <w:rsid w:val="00AA491A"/>
    <w:rsid w:val="00AA4C5B"/>
    <w:rsid w:val="00AA4D9C"/>
    <w:rsid w:val="00AA4E22"/>
    <w:rsid w:val="00AA52CA"/>
    <w:rsid w:val="00AA5355"/>
    <w:rsid w:val="00AA53A1"/>
    <w:rsid w:val="00AA5543"/>
    <w:rsid w:val="00AA5592"/>
    <w:rsid w:val="00AA5A16"/>
    <w:rsid w:val="00AA5C85"/>
    <w:rsid w:val="00AA5E91"/>
    <w:rsid w:val="00AA5FBB"/>
    <w:rsid w:val="00AA6069"/>
    <w:rsid w:val="00AA672B"/>
    <w:rsid w:val="00AA6B3F"/>
    <w:rsid w:val="00AA6C32"/>
    <w:rsid w:val="00AA7171"/>
    <w:rsid w:val="00AA7284"/>
    <w:rsid w:val="00AA73DE"/>
    <w:rsid w:val="00AA75A6"/>
    <w:rsid w:val="00AA780A"/>
    <w:rsid w:val="00AA7B28"/>
    <w:rsid w:val="00AB0044"/>
    <w:rsid w:val="00AB0362"/>
    <w:rsid w:val="00AB0832"/>
    <w:rsid w:val="00AB0D06"/>
    <w:rsid w:val="00AB0D16"/>
    <w:rsid w:val="00AB13E8"/>
    <w:rsid w:val="00AB1DFB"/>
    <w:rsid w:val="00AB2A54"/>
    <w:rsid w:val="00AB2CAE"/>
    <w:rsid w:val="00AB3233"/>
    <w:rsid w:val="00AB35E0"/>
    <w:rsid w:val="00AB3936"/>
    <w:rsid w:val="00AB3944"/>
    <w:rsid w:val="00AB3A1A"/>
    <w:rsid w:val="00AB3DE0"/>
    <w:rsid w:val="00AB402A"/>
    <w:rsid w:val="00AB45B1"/>
    <w:rsid w:val="00AB4B11"/>
    <w:rsid w:val="00AB4B80"/>
    <w:rsid w:val="00AB4D9E"/>
    <w:rsid w:val="00AB5430"/>
    <w:rsid w:val="00AB5572"/>
    <w:rsid w:val="00AB5AFC"/>
    <w:rsid w:val="00AB62AB"/>
    <w:rsid w:val="00AC0165"/>
    <w:rsid w:val="00AC140C"/>
    <w:rsid w:val="00AC14BE"/>
    <w:rsid w:val="00AC1B85"/>
    <w:rsid w:val="00AC1D15"/>
    <w:rsid w:val="00AC1F12"/>
    <w:rsid w:val="00AC2406"/>
    <w:rsid w:val="00AC2408"/>
    <w:rsid w:val="00AC28C4"/>
    <w:rsid w:val="00AC29D2"/>
    <w:rsid w:val="00AC2BE7"/>
    <w:rsid w:val="00AC2FD6"/>
    <w:rsid w:val="00AC337E"/>
    <w:rsid w:val="00AC4377"/>
    <w:rsid w:val="00AC44D2"/>
    <w:rsid w:val="00AC510A"/>
    <w:rsid w:val="00AC5354"/>
    <w:rsid w:val="00AC5563"/>
    <w:rsid w:val="00AC58AB"/>
    <w:rsid w:val="00AC6470"/>
    <w:rsid w:val="00AC64F2"/>
    <w:rsid w:val="00AC6869"/>
    <w:rsid w:val="00AC7832"/>
    <w:rsid w:val="00AC7D64"/>
    <w:rsid w:val="00AD01B5"/>
    <w:rsid w:val="00AD037C"/>
    <w:rsid w:val="00AD045E"/>
    <w:rsid w:val="00AD0A0E"/>
    <w:rsid w:val="00AD0A57"/>
    <w:rsid w:val="00AD0DF3"/>
    <w:rsid w:val="00AD1079"/>
    <w:rsid w:val="00AD1646"/>
    <w:rsid w:val="00AD17F4"/>
    <w:rsid w:val="00AD1AC8"/>
    <w:rsid w:val="00AD1E0C"/>
    <w:rsid w:val="00AD208F"/>
    <w:rsid w:val="00AD26C1"/>
    <w:rsid w:val="00AD27A3"/>
    <w:rsid w:val="00AD2BA6"/>
    <w:rsid w:val="00AD3185"/>
    <w:rsid w:val="00AD3CED"/>
    <w:rsid w:val="00AD3DC3"/>
    <w:rsid w:val="00AD3EDB"/>
    <w:rsid w:val="00AD40A7"/>
    <w:rsid w:val="00AD41A5"/>
    <w:rsid w:val="00AD4276"/>
    <w:rsid w:val="00AD42EC"/>
    <w:rsid w:val="00AD4412"/>
    <w:rsid w:val="00AD4A15"/>
    <w:rsid w:val="00AD4B20"/>
    <w:rsid w:val="00AD4C19"/>
    <w:rsid w:val="00AD4C37"/>
    <w:rsid w:val="00AD4D60"/>
    <w:rsid w:val="00AD562A"/>
    <w:rsid w:val="00AD5692"/>
    <w:rsid w:val="00AD56DB"/>
    <w:rsid w:val="00AD5CBE"/>
    <w:rsid w:val="00AD5D57"/>
    <w:rsid w:val="00AD5E1F"/>
    <w:rsid w:val="00AD5F23"/>
    <w:rsid w:val="00AD628C"/>
    <w:rsid w:val="00AD6FAC"/>
    <w:rsid w:val="00AD73EA"/>
    <w:rsid w:val="00AD75D4"/>
    <w:rsid w:val="00AD75E2"/>
    <w:rsid w:val="00AE0399"/>
    <w:rsid w:val="00AE087A"/>
    <w:rsid w:val="00AE0B7C"/>
    <w:rsid w:val="00AE1486"/>
    <w:rsid w:val="00AE1B19"/>
    <w:rsid w:val="00AE1CAC"/>
    <w:rsid w:val="00AE1FD3"/>
    <w:rsid w:val="00AE202D"/>
    <w:rsid w:val="00AE2628"/>
    <w:rsid w:val="00AE296A"/>
    <w:rsid w:val="00AE299D"/>
    <w:rsid w:val="00AE3217"/>
    <w:rsid w:val="00AE3B92"/>
    <w:rsid w:val="00AE3CB6"/>
    <w:rsid w:val="00AE3E87"/>
    <w:rsid w:val="00AE4014"/>
    <w:rsid w:val="00AE43A5"/>
    <w:rsid w:val="00AE49E2"/>
    <w:rsid w:val="00AE525A"/>
    <w:rsid w:val="00AE5523"/>
    <w:rsid w:val="00AE5C41"/>
    <w:rsid w:val="00AE6296"/>
    <w:rsid w:val="00AE6316"/>
    <w:rsid w:val="00AE6650"/>
    <w:rsid w:val="00AE6802"/>
    <w:rsid w:val="00AE6C7C"/>
    <w:rsid w:val="00AE6DD4"/>
    <w:rsid w:val="00AE770A"/>
    <w:rsid w:val="00AE7827"/>
    <w:rsid w:val="00AF00B3"/>
    <w:rsid w:val="00AF0332"/>
    <w:rsid w:val="00AF0347"/>
    <w:rsid w:val="00AF0617"/>
    <w:rsid w:val="00AF07FD"/>
    <w:rsid w:val="00AF0BED"/>
    <w:rsid w:val="00AF10B4"/>
    <w:rsid w:val="00AF16EF"/>
    <w:rsid w:val="00AF1E31"/>
    <w:rsid w:val="00AF1EE9"/>
    <w:rsid w:val="00AF2887"/>
    <w:rsid w:val="00AF297F"/>
    <w:rsid w:val="00AF2C87"/>
    <w:rsid w:val="00AF2D92"/>
    <w:rsid w:val="00AF3239"/>
    <w:rsid w:val="00AF33A3"/>
    <w:rsid w:val="00AF38C8"/>
    <w:rsid w:val="00AF3F8A"/>
    <w:rsid w:val="00AF4097"/>
    <w:rsid w:val="00AF4294"/>
    <w:rsid w:val="00AF43F5"/>
    <w:rsid w:val="00AF46D0"/>
    <w:rsid w:val="00AF47C5"/>
    <w:rsid w:val="00AF4914"/>
    <w:rsid w:val="00AF4D09"/>
    <w:rsid w:val="00AF4F7A"/>
    <w:rsid w:val="00AF50CB"/>
    <w:rsid w:val="00AF5408"/>
    <w:rsid w:val="00AF54BB"/>
    <w:rsid w:val="00AF5520"/>
    <w:rsid w:val="00AF55C9"/>
    <w:rsid w:val="00AF630F"/>
    <w:rsid w:val="00AF6A81"/>
    <w:rsid w:val="00AF6C75"/>
    <w:rsid w:val="00AF6D6E"/>
    <w:rsid w:val="00AF7125"/>
    <w:rsid w:val="00AF7174"/>
    <w:rsid w:val="00AF7691"/>
    <w:rsid w:val="00AF787D"/>
    <w:rsid w:val="00AF7F3F"/>
    <w:rsid w:val="00AF7FBF"/>
    <w:rsid w:val="00B00AA2"/>
    <w:rsid w:val="00B00F6C"/>
    <w:rsid w:val="00B01251"/>
    <w:rsid w:val="00B013BD"/>
    <w:rsid w:val="00B01982"/>
    <w:rsid w:val="00B01A89"/>
    <w:rsid w:val="00B01D79"/>
    <w:rsid w:val="00B02002"/>
    <w:rsid w:val="00B024A3"/>
    <w:rsid w:val="00B026C1"/>
    <w:rsid w:val="00B02D5A"/>
    <w:rsid w:val="00B03311"/>
    <w:rsid w:val="00B037D9"/>
    <w:rsid w:val="00B04043"/>
    <w:rsid w:val="00B04346"/>
    <w:rsid w:val="00B04855"/>
    <w:rsid w:val="00B051EA"/>
    <w:rsid w:val="00B05598"/>
    <w:rsid w:val="00B055BF"/>
    <w:rsid w:val="00B05865"/>
    <w:rsid w:val="00B05BE4"/>
    <w:rsid w:val="00B06648"/>
    <w:rsid w:val="00B0673B"/>
    <w:rsid w:val="00B069EB"/>
    <w:rsid w:val="00B06ABC"/>
    <w:rsid w:val="00B06E64"/>
    <w:rsid w:val="00B06F28"/>
    <w:rsid w:val="00B07099"/>
    <w:rsid w:val="00B071BB"/>
    <w:rsid w:val="00B0733C"/>
    <w:rsid w:val="00B07BF7"/>
    <w:rsid w:val="00B10564"/>
    <w:rsid w:val="00B110D4"/>
    <w:rsid w:val="00B1119E"/>
    <w:rsid w:val="00B11412"/>
    <w:rsid w:val="00B115D5"/>
    <w:rsid w:val="00B1164C"/>
    <w:rsid w:val="00B11883"/>
    <w:rsid w:val="00B11956"/>
    <w:rsid w:val="00B11E99"/>
    <w:rsid w:val="00B11F7C"/>
    <w:rsid w:val="00B12299"/>
    <w:rsid w:val="00B12F83"/>
    <w:rsid w:val="00B13889"/>
    <w:rsid w:val="00B139F2"/>
    <w:rsid w:val="00B13E29"/>
    <w:rsid w:val="00B141A0"/>
    <w:rsid w:val="00B14256"/>
    <w:rsid w:val="00B1427C"/>
    <w:rsid w:val="00B14753"/>
    <w:rsid w:val="00B147A8"/>
    <w:rsid w:val="00B14FBF"/>
    <w:rsid w:val="00B1509E"/>
    <w:rsid w:val="00B15120"/>
    <w:rsid w:val="00B151DD"/>
    <w:rsid w:val="00B1586A"/>
    <w:rsid w:val="00B1587A"/>
    <w:rsid w:val="00B158C8"/>
    <w:rsid w:val="00B15C36"/>
    <w:rsid w:val="00B162BF"/>
    <w:rsid w:val="00B16603"/>
    <w:rsid w:val="00B16C3A"/>
    <w:rsid w:val="00B16EDF"/>
    <w:rsid w:val="00B1732A"/>
    <w:rsid w:val="00B176BF"/>
    <w:rsid w:val="00B1771E"/>
    <w:rsid w:val="00B17A2E"/>
    <w:rsid w:val="00B17A44"/>
    <w:rsid w:val="00B17D09"/>
    <w:rsid w:val="00B200F9"/>
    <w:rsid w:val="00B202BB"/>
    <w:rsid w:val="00B208AB"/>
    <w:rsid w:val="00B209B3"/>
    <w:rsid w:val="00B20EBD"/>
    <w:rsid w:val="00B214CF"/>
    <w:rsid w:val="00B2159A"/>
    <w:rsid w:val="00B218A3"/>
    <w:rsid w:val="00B21A29"/>
    <w:rsid w:val="00B225F0"/>
    <w:rsid w:val="00B229CC"/>
    <w:rsid w:val="00B230DD"/>
    <w:rsid w:val="00B236D1"/>
    <w:rsid w:val="00B23A04"/>
    <w:rsid w:val="00B23A58"/>
    <w:rsid w:val="00B23B70"/>
    <w:rsid w:val="00B23C6D"/>
    <w:rsid w:val="00B24ADA"/>
    <w:rsid w:val="00B24CAA"/>
    <w:rsid w:val="00B251E4"/>
    <w:rsid w:val="00B25584"/>
    <w:rsid w:val="00B25B50"/>
    <w:rsid w:val="00B25CE4"/>
    <w:rsid w:val="00B25D0F"/>
    <w:rsid w:val="00B25EA3"/>
    <w:rsid w:val="00B260DB"/>
    <w:rsid w:val="00B2622C"/>
    <w:rsid w:val="00B2649C"/>
    <w:rsid w:val="00B26905"/>
    <w:rsid w:val="00B26C43"/>
    <w:rsid w:val="00B26C6F"/>
    <w:rsid w:val="00B26D4A"/>
    <w:rsid w:val="00B2700B"/>
    <w:rsid w:val="00B272A8"/>
    <w:rsid w:val="00B27438"/>
    <w:rsid w:val="00B27840"/>
    <w:rsid w:val="00B278A5"/>
    <w:rsid w:val="00B3036E"/>
    <w:rsid w:val="00B3060B"/>
    <w:rsid w:val="00B3064A"/>
    <w:rsid w:val="00B30B19"/>
    <w:rsid w:val="00B3126C"/>
    <w:rsid w:val="00B314E7"/>
    <w:rsid w:val="00B31806"/>
    <w:rsid w:val="00B3200C"/>
    <w:rsid w:val="00B3273E"/>
    <w:rsid w:val="00B3304D"/>
    <w:rsid w:val="00B33240"/>
    <w:rsid w:val="00B336AE"/>
    <w:rsid w:val="00B341BD"/>
    <w:rsid w:val="00B3462F"/>
    <w:rsid w:val="00B34C5B"/>
    <w:rsid w:val="00B350EF"/>
    <w:rsid w:val="00B3519D"/>
    <w:rsid w:val="00B355A7"/>
    <w:rsid w:val="00B35B53"/>
    <w:rsid w:val="00B36063"/>
    <w:rsid w:val="00B3608C"/>
    <w:rsid w:val="00B3641F"/>
    <w:rsid w:val="00B36EC1"/>
    <w:rsid w:val="00B36ECA"/>
    <w:rsid w:val="00B36ED6"/>
    <w:rsid w:val="00B372C6"/>
    <w:rsid w:val="00B37439"/>
    <w:rsid w:val="00B378CE"/>
    <w:rsid w:val="00B400EE"/>
    <w:rsid w:val="00B40337"/>
    <w:rsid w:val="00B4062D"/>
    <w:rsid w:val="00B40876"/>
    <w:rsid w:val="00B40DF5"/>
    <w:rsid w:val="00B42106"/>
    <w:rsid w:val="00B422DE"/>
    <w:rsid w:val="00B425E7"/>
    <w:rsid w:val="00B42ACA"/>
    <w:rsid w:val="00B42B0D"/>
    <w:rsid w:val="00B434D9"/>
    <w:rsid w:val="00B435AD"/>
    <w:rsid w:val="00B43615"/>
    <w:rsid w:val="00B436B5"/>
    <w:rsid w:val="00B43AF1"/>
    <w:rsid w:val="00B43BA4"/>
    <w:rsid w:val="00B43D28"/>
    <w:rsid w:val="00B43E86"/>
    <w:rsid w:val="00B44479"/>
    <w:rsid w:val="00B44AB1"/>
    <w:rsid w:val="00B450DE"/>
    <w:rsid w:val="00B45A08"/>
    <w:rsid w:val="00B45C84"/>
    <w:rsid w:val="00B46157"/>
    <w:rsid w:val="00B465DD"/>
    <w:rsid w:val="00B46965"/>
    <w:rsid w:val="00B46972"/>
    <w:rsid w:val="00B47227"/>
    <w:rsid w:val="00B4724A"/>
    <w:rsid w:val="00B47325"/>
    <w:rsid w:val="00B4781A"/>
    <w:rsid w:val="00B47BFA"/>
    <w:rsid w:val="00B4C73A"/>
    <w:rsid w:val="00B500A4"/>
    <w:rsid w:val="00B5017D"/>
    <w:rsid w:val="00B505F9"/>
    <w:rsid w:val="00B50B0E"/>
    <w:rsid w:val="00B51144"/>
    <w:rsid w:val="00B51204"/>
    <w:rsid w:val="00B51882"/>
    <w:rsid w:val="00B52043"/>
    <w:rsid w:val="00B521AD"/>
    <w:rsid w:val="00B5293E"/>
    <w:rsid w:val="00B52A6F"/>
    <w:rsid w:val="00B52BF6"/>
    <w:rsid w:val="00B52D8D"/>
    <w:rsid w:val="00B53794"/>
    <w:rsid w:val="00B53DB3"/>
    <w:rsid w:val="00B54148"/>
    <w:rsid w:val="00B54221"/>
    <w:rsid w:val="00B54D85"/>
    <w:rsid w:val="00B5551F"/>
    <w:rsid w:val="00B555F9"/>
    <w:rsid w:val="00B55864"/>
    <w:rsid w:val="00B55C0E"/>
    <w:rsid w:val="00B566A9"/>
    <w:rsid w:val="00B56A0D"/>
    <w:rsid w:val="00B56ACD"/>
    <w:rsid w:val="00B56AF0"/>
    <w:rsid w:val="00B570D2"/>
    <w:rsid w:val="00B57265"/>
    <w:rsid w:val="00B57555"/>
    <w:rsid w:val="00B60A55"/>
    <w:rsid w:val="00B60BAB"/>
    <w:rsid w:val="00B60C69"/>
    <w:rsid w:val="00B6123C"/>
    <w:rsid w:val="00B61400"/>
    <w:rsid w:val="00B615C8"/>
    <w:rsid w:val="00B620B4"/>
    <w:rsid w:val="00B621AF"/>
    <w:rsid w:val="00B6220F"/>
    <w:rsid w:val="00B6315B"/>
    <w:rsid w:val="00B63A2F"/>
    <w:rsid w:val="00B63EA0"/>
    <w:rsid w:val="00B64683"/>
    <w:rsid w:val="00B646F5"/>
    <w:rsid w:val="00B647EF"/>
    <w:rsid w:val="00B64FBD"/>
    <w:rsid w:val="00B65426"/>
    <w:rsid w:val="00B6553A"/>
    <w:rsid w:val="00B656F2"/>
    <w:rsid w:val="00B657E6"/>
    <w:rsid w:val="00B6647F"/>
    <w:rsid w:val="00B669FA"/>
    <w:rsid w:val="00B66DAC"/>
    <w:rsid w:val="00B66DF4"/>
    <w:rsid w:val="00B66E91"/>
    <w:rsid w:val="00B6734A"/>
    <w:rsid w:val="00B67673"/>
    <w:rsid w:val="00B67AF8"/>
    <w:rsid w:val="00B67C8C"/>
    <w:rsid w:val="00B67DAC"/>
    <w:rsid w:val="00B67F9E"/>
    <w:rsid w:val="00B7024C"/>
    <w:rsid w:val="00B710E4"/>
    <w:rsid w:val="00B71297"/>
    <w:rsid w:val="00B7141B"/>
    <w:rsid w:val="00B7149F"/>
    <w:rsid w:val="00B71715"/>
    <w:rsid w:val="00B71C89"/>
    <w:rsid w:val="00B72173"/>
    <w:rsid w:val="00B7254E"/>
    <w:rsid w:val="00B7282A"/>
    <w:rsid w:val="00B72B72"/>
    <w:rsid w:val="00B73B31"/>
    <w:rsid w:val="00B73BEB"/>
    <w:rsid w:val="00B73FEE"/>
    <w:rsid w:val="00B741D5"/>
    <w:rsid w:val="00B7432F"/>
    <w:rsid w:val="00B743A7"/>
    <w:rsid w:val="00B7483B"/>
    <w:rsid w:val="00B749E4"/>
    <w:rsid w:val="00B7543A"/>
    <w:rsid w:val="00B75627"/>
    <w:rsid w:val="00B7599B"/>
    <w:rsid w:val="00B75C4D"/>
    <w:rsid w:val="00B75DA1"/>
    <w:rsid w:val="00B76115"/>
    <w:rsid w:val="00B7696B"/>
    <w:rsid w:val="00B76C6F"/>
    <w:rsid w:val="00B76CA3"/>
    <w:rsid w:val="00B76EE0"/>
    <w:rsid w:val="00B774BB"/>
    <w:rsid w:val="00B77A8D"/>
    <w:rsid w:val="00B77BD7"/>
    <w:rsid w:val="00B77C80"/>
    <w:rsid w:val="00B80B5C"/>
    <w:rsid w:val="00B813C5"/>
    <w:rsid w:val="00B817CB"/>
    <w:rsid w:val="00B81B6B"/>
    <w:rsid w:val="00B821FB"/>
    <w:rsid w:val="00B8225D"/>
    <w:rsid w:val="00B82307"/>
    <w:rsid w:val="00B82572"/>
    <w:rsid w:val="00B82A65"/>
    <w:rsid w:val="00B82DA9"/>
    <w:rsid w:val="00B83658"/>
    <w:rsid w:val="00B84087"/>
    <w:rsid w:val="00B840E7"/>
    <w:rsid w:val="00B84411"/>
    <w:rsid w:val="00B84A94"/>
    <w:rsid w:val="00B854A9"/>
    <w:rsid w:val="00B85510"/>
    <w:rsid w:val="00B85ADC"/>
    <w:rsid w:val="00B85F2A"/>
    <w:rsid w:val="00B86916"/>
    <w:rsid w:val="00B8707B"/>
    <w:rsid w:val="00B9120E"/>
    <w:rsid w:val="00B91B34"/>
    <w:rsid w:val="00B9221C"/>
    <w:rsid w:val="00B9275C"/>
    <w:rsid w:val="00B92A0A"/>
    <w:rsid w:val="00B92AC1"/>
    <w:rsid w:val="00B92FF5"/>
    <w:rsid w:val="00B9336D"/>
    <w:rsid w:val="00B93A30"/>
    <w:rsid w:val="00B93BC2"/>
    <w:rsid w:val="00B93CC8"/>
    <w:rsid w:val="00B93CF4"/>
    <w:rsid w:val="00B942E3"/>
    <w:rsid w:val="00B94382"/>
    <w:rsid w:val="00B9469B"/>
    <w:rsid w:val="00B94807"/>
    <w:rsid w:val="00B94A9B"/>
    <w:rsid w:val="00B95A48"/>
    <w:rsid w:val="00B95AEE"/>
    <w:rsid w:val="00B961DF"/>
    <w:rsid w:val="00B963CB"/>
    <w:rsid w:val="00B966FF"/>
    <w:rsid w:val="00B96869"/>
    <w:rsid w:val="00B96AA5"/>
    <w:rsid w:val="00B96BE7"/>
    <w:rsid w:val="00B96C33"/>
    <w:rsid w:val="00B96F2B"/>
    <w:rsid w:val="00B96F99"/>
    <w:rsid w:val="00B97889"/>
    <w:rsid w:val="00B97B85"/>
    <w:rsid w:val="00BA039E"/>
    <w:rsid w:val="00BA06CA"/>
    <w:rsid w:val="00BA0B4E"/>
    <w:rsid w:val="00BA105F"/>
    <w:rsid w:val="00BA10BD"/>
    <w:rsid w:val="00BA13F1"/>
    <w:rsid w:val="00BA1BA3"/>
    <w:rsid w:val="00BA1CEE"/>
    <w:rsid w:val="00BA2262"/>
    <w:rsid w:val="00BA2797"/>
    <w:rsid w:val="00BA2906"/>
    <w:rsid w:val="00BA2C31"/>
    <w:rsid w:val="00BA36F3"/>
    <w:rsid w:val="00BA3D47"/>
    <w:rsid w:val="00BA4865"/>
    <w:rsid w:val="00BA498C"/>
    <w:rsid w:val="00BA4A0D"/>
    <w:rsid w:val="00BA4A68"/>
    <w:rsid w:val="00BA5A0F"/>
    <w:rsid w:val="00BA5E24"/>
    <w:rsid w:val="00BA5F71"/>
    <w:rsid w:val="00BA61BF"/>
    <w:rsid w:val="00BA62E1"/>
    <w:rsid w:val="00BA682B"/>
    <w:rsid w:val="00BA6BD5"/>
    <w:rsid w:val="00BA6BFC"/>
    <w:rsid w:val="00BA6F30"/>
    <w:rsid w:val="00BA75BE"/>
    <w:rsid w:val="00BA77A4"/>
    <w:rsid w:val="00BB032E"/>
    <w:rsid w:val="00BB104A"/>
    <w:rsid w:val="00BB1F4C"/>
    <w:rsid w:val="00BB205E"/>
    <w:rsid w:val="00BB2643"/>
    <w:rsid w:val="00BB26F7"/>
    <w:rsid w:val="00BB2790"/>
    <w:rsid w:val="00BB2BAA"/>
    <w:rsid w:val="00BB2EBE"/>
    <w:rsid w:val="00BB3004"/>
    <w:rsid w:val="00BB303A"/>
    <w:rsid w:val="00BB35A3"/>
    <w:rsid w:val="00BB376F"/>
    <w:rsid w:val="00BB39D3"/>
    <w:rsid w:val="00BB4CA0"/>
    <w:rsid w:val="00BB551D"/>
    <w:rsid w:val="00BB5B08"/>
    <w:rsid w:val="00BB6047"/>
    <w:rsid w:val="00BB72E8"/>
    <w:rsid w:val="00BB7424"/>
    <w:rsid w:val="00BB7BC6"/>
    <w:rsid w:val="00BC02CC"/>
    <w:rsid w:val="00BC0650"/>
    <w:rsid w:val="00BC06AA"/>
    <w:rsid w:val="00BC0FBB"/>
    <w:rsid w:val="00BC1653"/>
    <w:rsid w:val="00BC2010"/>
    <w:rsid w:val="00BC2254"/>
    <w:rsid w:val="00BC294B"/>
    <w:rsid w:val="00BC3225"/>
    <w:rsid w:val="00BC38A1"/>
    <w:rsid w:val="00BC4174"/>
    <w:rsid w:val="00BC451B"/>
    <w:rsid w:val="00BC4755"/>
    <w:rsid w:val="00BC5054"/>
    <w:rsid w:val="00BC5B2F"/>
    <w:rsid w:val="00BC5C52"/>
    <w:rsid w:val="00BC5C7A"/>
    <w:rsid w:val="00BC5FD0"/>
    <w:rsid w:val="00BC6073"/>
    <w:rsid w:val="00BC64C3"/>
    <w:rsid w:val="00BC6A7A"/>
    <w:rsid w:val="00BC6C7A"/>
    <w:rsid w:val="00BC72A5"/>
    <w:rsid w:val="00BC78A7"/>
    <w:rsid w:val="00BC7A4D"/>
    <w:rsid w:val="00BC7B13"/>
    <w:rsid w:val="00BC7BFD"/>
    <w:rsid w:val="00BD0C30"/>
    <w:rsid w:val="00BD15EB"/>
    <w:rsid w:val="00BD1826"/>
    <w:rsid w:val="00BD1C54"/>
    <w:rsid w:val="00BD265A"/>
    <w:rsid w:val="00BD2950"/>
    <w:rsid w:val="00BD31DE"/>
    <w:rsid w:val="00BD3592"/>
    <w:rsid w:val="00BD3775"/>
    <w:rsid w:val="00BD3F31"/>
    <w:rsid w:val="00BD3FE2"/>
    <w:rsid w:val="00BD4223"/>
    <w:rsid w:val="00BD4C6F"/>
    <w:rsid w:val="00BD57D2"/>
    <w:rsid w:val="00BD58CD"/>
    <w:rsid w:val="00BD594F"/>
    <w:rsid w:val="00BD6128"/>
    <w:rsid w:val="00BD70D3"/>
    <w:rsid w:val="00BD7512"/>
    <w:rsid w:val="00BD7BC6"/>
    <w:rsid w:val="00BE021A"/>
    <w:rsid w:val="00BE024B"/>
    <w:rsid w:val="00BE03AC"/>
    <w:rsid w:val="00BE1017"/>
    <w:rsid w:val="00BE11CF"/>
    <w:rsid w:val="00BE1327"/>
    <w:rsid w:val="00BE147A"/>
    <w:rsid w:val="00BE17DD"/>
    <w:rsid w:val="00BE190E"/>
    <w:rsid w:val="00BE1A04"/>
    <w:rsid w:val="00BE1D24"/>
    <w:rsid w:val="00BE2214"/>
    <w:rsid w:val="00BE2333"/>
    <w:rsid w:val="00BE27D8"/>
    <w:rsid w:val="00BE2F87"/>
    <w:rsid w:val="00BE3100"/>
    <w:rsid w:val="00BE3373"/>
    <w:rsid w:val="00BE36FE"/>
    <w:rsid w:val="00BE3B4E"/>
    <w:rsid w:val="00BE3D55"/>
    <w:rsid w:val="00BE4399"/>
    <w:rsid w:val="00BE45F1"/>
    <w:rsid w:val="00BE4605"/>
    <w:rsid w:val="00BE4913"/>
    <w:rsid w:val="00BE4BE1"/>
    <w:rsid w:val="00BE4C51"/>
    <w:rsid w:val="00BE4C96"/>
    <w:rsid w:val="00BE4FCB"/>
    <w:rsid w:val="00BE50DA"/>
    <w:rsid w:val="00BE5397"/>
    <w:rsid w:val="00BE55E9"/>
    <w:rsid w:val="00BE5E88"/>
    <w:rsid w:val="00BE61C6"/>
    <w:rsid w:val="00BE6A20"/>
    <w:rsid w:val="00BE6A3B"/>
    <w:rsid w:val="00BE703E"/>
    <w:rsid w:val="00BE71BB"/>
    <w:rsid w:val="00BE72B9"/>
    <w:rsid w:val="00BE7743"/>
    <w:rsid w:val="00BF0149"/>
    <w:rsid w:val="00BF0636"/>
    <w:rsid w:val="00BF07B2"/>
    <w:rsid w:val="00BF0E29"/>
    <w:rsid w:val="00BF0E91"/>
    <w:rsid w:val="00BF0F92"/>
    <w:rsid w:val="00BF131D"/>
    <w:rsid w:val="00BF1A82"/>
    <w:rsid w:val="00BF1AE0"/>
    <w:rsid w:val="00BF1CEF"/>
    <w:rsid w:val="00BF20C4"/>
    <w:rsid w:val="00BF21CD"/>
    <w:rsid w:val="00BF2714"/>
    <w:rsid w:val="00BF2DA3"/>
    <w:rsid w:val="00BF2E24"/>
    <w:rsid w:val="00BF2ED5"/>
    <w:rsid w:val="00BF3D4A"/>
    <w:rsid w:val="00BF3DEE"/>
    <w:rsid w:val="00BF3DF4"/>
    <w:rsid w:val="00BF3FB9"/>
    <w:rsid w:val="00BF428D"/>
    <w:rsid w:val="00BF42F5"/>
    <w:rsid w:val="00BF45E7"/>
    <w:rsid w:val="00BF464F"/>
    <w:rsid w:val="00BF4F19"/>
    <w:rsid w:val="00BF5019"/>
    <w:rsid w:val="00BF50EF"/>
    <w:rsid w:val="00BF512D"/>
    <w:rsid w:val="00BF5331"/>
    <w:rsid w:val="00BF5607"/>
    <w:rsid w:val="00BF573D"/>
    <w:rsid w:val="00BF5BA7"/>
    <w:rsid w:val="00BF5ECA"/>
    <w:rsid w:val="00BF5FE0"/>
    <w:rsid w:val="00BF60D9"/>
    <w:rsid w:val="00BF6209"/>
    <w:rsid w:val="00BF6465"/>
    <w:rsid w:val="00BF66D0"/>
    <w:rsid w:val="00BF6870"/>
    <w:rsid w:val="00BF6E3E"/>
    <w:rsid w:val="00BF7AE7"/>
    <w:rsid w:val="00BF7B92"/>
    <w:rsid w:val="00C00223"/>
    <w:rsid w:val="00C00886"/>
    <w:rsid w:val="00C0199C"/>
    <w:rsid w:val="00C0274A"/>
    <w:rsid w:val="00C02F2F"/>
    <w:rsid w:val="00C03197"/>
    <w:rsid w:val="00C04173"/>
    <w:rsid w:val="00C042F9"/>
    <w:rsid w:val="00C045D3"/>
    <w:rsid w:val="00C04A8E"/>
    <w:rsid w:val="00C04CCC"/>
    <w:rsid w:val="00C04CEA"/>
    <w:rsid w:val="00C04EF3"/>
    <w:rsid w:val="00C04F92"/>
    <w:rsid w:val="00C051C2"/>
    <w:rsid w:val="00C05425"/>
    <w:rsid w:val="00C056F4"/>
    <w:rsid w:val="00C05C72"/>
    <w:rsid w:val="00C05DD2"/>
    <w:rsid w:val="00C065AC"/>
    <w:rsid w:val="00C06BA3"/>
    <w:rsid w:val="00C06CE9"/>
    <w:rsid w:val="00C079B8"/>
    <w:rsid w:val="00C1074C"/>
    <w:rsid w:val="00C10879"/>
    <w:rsid w:val="00C1093B"/>
    <w:rsid w:val="00C10B9F"/>
    <w:rsid w:val="00C10F6F"/>
    <w:rsid w:val="00C116CA"/>
    <w:rsid w:val="00C11765"/>
    <w:rsid w:val="00C1177D"/>
    <w:rsid w:val="00C12089"/>
    <w:rsid w:val="00C120E8"/>
    <w:rsid w:val="00C12511"/>
    <w:rsid w:val="00C12A04"/>
    <w:rsid w:val="00C12BF1"/>
    <w:rsid w:val="00C136D6"/>
    <w:rsid w:val="00C138FF"/>
    <w:rsid w:val="00C13C55"/>
    <w:rsid w:val="00C13EE5"/>
    <w:rsid w:val="00C1448F"/>
    <w:rsid w:val="00C14976"/>
    <w:rsid w:val="00C149A6"/>
    <w:rsid w:val="00C14D74"/>
    <w:rsid w:val="00C15481"/>
    <w:rsid w:val="00C15774"/>
    <w:rsid w:val="00C15BCB"/>
    <w:rsid w:val="00C15D0F"/>
    <w:rsid w:val="00C16341"/>
    <w:rsid w:val="00C16343"/>
    <w:rsid w:val="00C1644F"/>
    <w:rsid w:val="00C167C2"/>
    <w:rsid w:val="00C169F1"/>
    <w:rsid w:val="00C16CD4"/>
    <w:rsid w:val="00C16F2F"/>
    <w:rsid w:val="00C1719E"/>
    <w:rsid w:val="00C174D7"/>
    <w:rsid w:val="00C17711"/>
    <w:rsid w:val="00C17B00"/>
    <w:rsid w:val="00C17CB1"/>
    <w:rsid w:val="00C17D22"/>
    <w:rsid w:val="00C17D38"/>
    <w:rsid w:val="00C17E01"/>
    <w:rsid w:val="00C17EC4"/>
    <w:rsid w:val="00C205CC"/>
    <w:rsid w:val="00C20A45"/>
    <w:rsid w:val="00C20C2C"/>
    <w:rsid w:val="00C20E37"/>
    <w:rsid w:val="00C210A0"/>
    <w:rsid w:val="00C21337"/>
    <w:rsid w:val="00C2139A"/>
    <w:rsid w:val="00C218A9"/>
    <w:rsid w:val="00C223FF"/>
    <w:rsid w:val="00C22D3B"/>
    <w:rsid w:val="00C232F6"/>
    <w:rsid w:val="00C23584"/>
    <w:rsid w:val="00C235A8"/>
    <w:rsid w:val="00C237A5"/>
    <w:rsid w:val="00C239A6"/>
    <w:rsid w:val="00C23A58"/>
    <w:rsid w:val="00C23A6D"/>
    <w:rsid w:val="00C23C72"/>
    <w:rsid w:val="00C23C93"/>
    <w:rsid w:val="00C23CC1"/>
    <w:rsid w:val="00C24795"/>
    <w:rsid w:val="00C24EF2"/>
    <w:rsid w:val="00C252DC"/>
    <w:rsid w:val="00C2549D"/>
    <w:rsid w:val="00C262F7"/>
    <w:rsid w:val="00C272B7"/>
    <w:rsid w:val="00C2731A"/>
    <w:rsid w:val="00C27BB3"/>
    <w:rsid w:val="00C27F0E"/>
    <w:rsid w:val="00C30989"/>
    <w:rsid w:val="00C30AA2"/>
    <w:rsid w:val="00C31057"/>
    <w:rsid w:val="00C3110D"/>
    <w:rsid w:val="00C3113A"/>
    <w:rsid w:val="00C31190"/>
    <w:rsid w:val="00C31195"/>
    <w:rsid w:val="00C311F0"/>
    <w:rsid w:val="00C314A2"/>
    <w:rsid w:val="00C31808"/>
    <w:rsid w:val="00C318FF"/>
    <w:rsid w:val="00C319BB"/>
    <w:rsid w:val="00C31A80"/>
    <w:rsid w:val="00C31B03"/>
    <w:rsid w:val="00C31D72"/>
    <w:rsid w:val="00C322D5"/>
    <w:rsid w:val="00C32456"/>
    <w:rsid w:val="00C325BC"/>
    <w:rsid w:val="00C32624"/>
    <w:rsid w:val="00C326FE"/>
    <w:rsid w:val="00C32868"/>
    <w:rsid w:val="00C32CB4"/>
    <w:rsid w:val="00C32EA4"/>
    <w:rsid w:val="00C33703"/>
    <w:rsid w:val="00C337F7"/>
    <w:rsid w:val="00C33870"/>
    <w:rsid w:val="00C33E6C"/>
    <w:rsid w:val="00C3416F"/>
    <w:rsid w:val="00C343F9"/>
    <w:rsid w:val="00C34427"/>
    <w:rsid w:val="00C34547"/>
    <w:rsid w:val="00C34628"/>
    <w:rsid w:val="00C34A73"/>
    <w:rsid w:val="00C3554D"/>
    <w:rsid w:val="00C35556"/>
    <w:rsid w:val="00C355E1"/>
    <w:rsid w:val="00C357DA"/>
    <w:rsid w:val="00C35A11"/>
    <w:rsid w:val="00C35B68"/>
    <w:rsid w:val="00C35E22"/>
    <w:rsid w:val="00C367FB"/>
    <w:rsid w:val="00C3681F"/>
    <w:rsid w:val="00C368BD"/>
    <w:rsid w:val="00C36A1F"/>
    <w:rsid w:val="00C36A7C"/>
    <w:rsid w:val="00C37AE9"/>
    <w:rsid w:val="00C37D5E"/>
    <w:rsid w:val="00C403F5"/>
    <w:rsid w:val="00C40412"/>
    <w:rsid w:val="00C407E1"/>
    <w:rsid w:val="00C408E1"/>
    <w:rsid w:val="00C409B1"/>
    <w:rsid w:val="00C40C66"/>
    <w:rsid w:val="00C414F8"/>
    <w:rsid w:val="00C415B9"/>
    <w:rsid w:val="00C41926"/>
    <w:rsid w:val="00C41A74"/>
    <w:rsid w:val="00C41B70"/>
    <w:rsid w:val="00C41B7C"/>
    <w:rsid w:val="00C4226B"/>
    <w:rsid w:val="00C422DD"/>
    <w:rsid w:val="00C424FB"/>
    <w:rsid w:val="00C42774"/>
    <w:rsid w:val="00C43077"/>
    <w:rsid w:val="00C43254"/>
    <w:rsid w:val="00C437C3"/>
    <w:rsid w:val="00C438DD"/>
    <w:rsid w:val="00C4393F"/>
    <w:rsid w:val="00C43B10"/>
    <w:rsid w:val="00C43F93"/>
    <w:rsid w:val="00C4401C"/>
    <w:rsid w:val="00C44053"/>
    <w:rsid w:val="00C44744"/>
    <w:rsid w:val="00C44892"/>
    <w:rsid w:val="00C4558D"/>
    <w:rsid w:val="00C45BA7"/>
    <w:rsid w:val="00C45C70"/>
    <w:rsid w:val="00C45D4C"/>
    <w:rsid w:val="00C45DAD"/>
    <w:rsid w:val="00C45E30"/>
    <w:rsid w:val="00C4650A"/>
    <w:rsid w:val="00C47825"/>
    <w:rsid w:val="00C47951"/>
    <w:rsid w:val="00C50101"/>
    <w:rsid w:val="00C50683"/>
    <w:rsid w:val="00C510FD"/>
    <w:rsid w:val="00C51922"/>
    <w:rsid w:val="00C51963"/>
    <w:rsid w:val="00C51A62"/>
    <w:rsid w:val="00C51D2A"/>
    <w:rsid w:val="00C51F21"/>
    <w:rsid w:val="00C52142"/>
    <w:rsid w:val="00C523D2"/>
    <w:rsid w:val="00C52422"/>
    <w:rsid w:val="00C525E8"/>
    <w:rsid w:val="00C52799"/>
    <w:rsid w:val="00C52B82"/>
    <w:rsid w:val="00C52BBC"/>
    <w:rsid w:val="00C52D8E"/>
    <w:rsid w:val="00C52DB1"/>
    <w:rsid w:val="00C52FFA"/>
    <w:rsid w:val="00C53BBA"/>
    <w:rsid w:val="00C53BC1"/>
    <w:rsid w:val="00C54196"/>
    <w:rsid w:val="00C5437F"/>
    <w:rsid w:val="00C5444B"/>
    <w:rsid w:val="00C54E16"/>
    <w:rsid w:val="00C55578"/>
    <w:rsid w:val="00C55810"/>
    <w:rsid w:val="00C5598C"/>
    <w:rsid w:val="00C55D44"/>
    <w:rsid w:val="00C55E5A"/>
    <w:rsid w:val="00C56016"/>
    <w:rsid w:val="00C56021"/>
    <w:rsid w:val="00C5608A"/>
    <w:rsid w:val="00C569BF"/>
    <w:rsid w:val="00C570E8"/>
    <w:rsid w:val="00C573A5"/>
    <w:rsid w:val="00C57429"/>
    <w:rsid w:val="00C577AD"/>
    <w:rsid w:val="00C57992"/>
    <w:rsid w:val="00C57AE6"/>
    <w:rsid w:val="00C57E73"/>
    <w:rsid w:val="00C604AD"/>
    <w:rsid w:val="00C610CD"/>
    <w:rsid w:val="00C614E3"/>
    <w:rsid w:val="00C614F9"/>
    <w:rsid w:val="00C6163C"/>
    <w:rsid w:val="00C6182B"/>
    <w:rsid w:val="00C61B6B"/>
    <w:rsid w:val="00C61D27"/>
    <w:rsid w:val="00C61D5C"/>
    <w:rsid w:val="00C61F50"/>
    <w:rsid w:val="00C627EA"/>
    <w:rsid w:val="00C62A25"/>
    <w:rsid w:val="00C631A6"/>
    <w:rsid w:val="00C632D2"/>
    <w:rsid w:val="00C63727"/>
    <w:rsid w:val="00C63BDE"/>
    <w:rsid w:val="00C65091"/>
    <w:rsid w:val="00C66F74"/>
    <w:rsid w:val="00C7070C"/>
    <w:rsid w:val="00C70827"/>
    <w:rsid w:val="00C70DEF"/>
    <w:rsid w:val="00C70E0E"/>
    <w:rsid w:val="00C71056"/>
    <w:rsid w:val="00C7128D"/>
    <w:rsid w:val="00C71604"/>
    <w:rsid w:val="00C7197B"/>
    <w:rsid w:val="00C71CB2"/>
    <w:rsid w:val="00C71DAA"/>
    <w:rsid w:val="00C7205B"/>
    <w:rsid w:val="00C73185"/>
    <w:rsid w:val="00C732D9"/>
    <w:rsid w:val="00C733BB"/>
    <w:rsid w:val="00C74374"/>
    <w:rsid w:val="00C7457A"/>
    <w:rsid w:val="00C74954"/>
    <w:rsid w:val="00C74CDE"/>
    <w:rsid w:val="00C74DBF"/>
    <w:rsid w:val="00C74EA8"/>
    <w:rsid w:val="00C74F37"/>
    <w:rsid w:val="00C75780"/>
    <w:rsid w:val="00C75AC8"/>
    <w:rsid w:val="00C75AD5"/>
    <w:rsid w:val="00C75B1F"/>
    <w:rsid w:val="00C75B53"/>
    <w:rsid w:val="00C75C25"/>
    <w:rsid w:val="00C75CC8"/>
    <w:rsid w:val="00C7647A"/>
    <w:rsid w:val="00C76702"/>
    <w:rsid w:val="00C76850"/>
    <w:rsid w:val="00C76B71"/>
    <w:rsid w:val="00C77036"/>
    <w:rsid w:val="00C77983"/>
    <w:rsid w:val="00C77A03"/>
    <w:rsid w:val="00C80711"/>
    <w:rsid w:val="00C80E7E"/>
    <w:rsid w:val="00C81233"/>
    <w:rsid w:val="00C813F0"/>
    <w:rsid w:val="00C819BD"/>
    <w:rsid w:val="00C81D2B"/>
    <w:rsid w:val="00C81F8F"/>
    <w:rsid w:val="00C820A6"/>
    <w:rsid w:val="00C820E8"/>
    <w:rsid w:val="00C824F4"/>
    <w:rsid w:val="00C82B19"/>
    <w:rsid w:val="00C838A9"/>
    <w:rsid w:val="00C83D98"/>
    <w:rsid w:val="00C84962"/>
    <w:rsid w:val="00C84E4F"/>
    <w:rsid w:val="00C84EDA"/>
    <w:rsid w:val="00C850D3"/>
    <w:rsid w:val="00C85811"/>
    <w:rsid w:val="00C86B14"/>
    <w:rsid w:val="00C86B41"/>
    <w:rsid w:val="00C86EF3"/>
    <w:rsid w:val="00C86F13"/>
    <w:rsid w:val="00C87016"/>
    <w:rsid w:val="00C874B0"/>
    <w:rsid w:val="00C875C9"/>
    <w:rsid w:val="00C87B93"/>
    <w:rsid w:val="00C87E93"/>
    <w:rsid w:val="00C90319"/>
    <w:rsid w:val="00C90834"/>
    <w:rsid w:val="00C90BEF"/>
    <w:rsid w:val="00C90ED7"/>
    <w:rsid w:val="00C911CE"/>
    <w:rsid w:val="00C92185"/>
    <w:rsid w:val="00C9240D"/>
    <w:rsid w:val="00C92884"/>
    <w:rsid w:val="00C92B02"/>
    <w:rsid w:val="00C92CC2"/>
    <w:rsid w:val="00C92F6E"/>
    <w:rsid w:val="00C9304A"/>
    <w:rsid w:val="00C93113"/>
    <w:rsid w:val="00C93907"/>
    <w:rsid w:val="00C93BDD"/>
    <w:rsid w:val="00C93C62"/>
    <w:rsid w:val="00C93D27"/>
    <w:rsid w:val="00C93D81"/>
    <w:rsid w:val="00C94682"/>
    <w:rsid w:val="00C9502D"/>
    <w:rsid w:val="00C95220"/>
    <w:rsid w:val="00C957C1"/>
    <w:rsid w:val="00C95D28"/>
    <w:rsid w:val="00C95F96"/>
    <w:rsid w:val="00C96118"/>
    <w:rsid w:val="00C9641C"/>
    <w:rsid w:val="00C9643A"/>
    <w:rsid w:val="00C964CC"/>
    <w:rsid w:val="00C96F71"/>
    <w:rsid w:val="00C9700C"/>
    <w:rsid w:val="00C97170"/>
    <w:rsid w:val="00C978D4"/>
    <w:rsid w:val="00CA0060"/>
    <w:rsid w:val="00CA1C29"/>
    <w:rsid w:val="00CA1E5F"/>
    <w:rsid w:val="00CA241C"/>
    <w:rsid w:val="00CA2C39"/>
    <w:rsid w:val="00CA30C9"/>
    <w:rsid w:val="00CA3157"/>
    <w:rsid w:val="00CA3550"/>
    <w:rsid w:val="00CA35BC"/>
    <w:rsid w:val="00CA3CAC"/>
    <w:rsid w:val="00CA45D3"/>
    <w:rsid w:val="00CA46F0"/>
    <w:rsid w:val="00CA4C04"/>
    <w:rsid w:val="00CA503F"/>
    <w:rsid w:val="00CA5072"/>
    <w:rsid w:val="00CA523A"/>
    <w:rsid w:val="00CA5B05"/>
    <w:rsid w:val="00CA5BA8"/>
    <w:rsid w:val="00CA5D63"/>
    <w:rsid w:val="00CA62CD"/>
    <w:rsid w:val="00CA656F"/>
    <w:rsid w:val="00CA73F5"/>
    <w:rsid w:val="00CB066F"/>
    <w:rsid w:val="00CB0673"/>
    <w:rsid w:val="00CB0DA2"/>
    <w:rsid w:val="00CB137A"/>
    <w:rsid w:val="00CB158B"/>
    <w:rsid w:val="00CB15AD"/>
    <w:rsid w:val="00CB17D4"/>
    <w:rsid w:val="00CB1B78"/>
    <w:rsid w:val="00CB1E79"/>
    <w:rsid w:val="00CB1EC9"/>
    <w:rsid w:val="00CB218D"/>
    <w:rsid w:val="00CB2266"/>
    <w:rsid w:val="00CB27A3"/>
    <w:rsid w:val="00CB2AD6"/>
    <w:rsid w:val="00CB2F49"/>
    <w:rsid w:val="00CB3691"/>
    <w:rsid w:val="00CB3788"/>
    <w:rsid w:val="00CB3F2C"/>
    <w:rsid w:val="00CB405A"/>
    <w:rsid w:val="00CB4498"/>
    <w:rsid w:val="00CB45A5"/>
    <w:rsid w:val="00CB4F83"/>
    <w:rsid w:val="00CB5446"/>
    <w:rsid w:val="00CB55EA"/>
    <w:rsid w:val="00CB5726"/>
    <w:rsid w:val="00CB5CF3"/>
    <w:rsid w:val="00CB5E80"/>
    <w:rsid w:val="00CB68DD"/>
    <w:rsid w:val="00CB6CDF"/>
    <w:rsid w:val="00CB6F20"/>
    <w:rsid w:val="00CB6F44"/>
    <w:rsid w:val="00CB6F71"/>
    <w:rsid w:val="00CB7184"/>
    <w:rsid w:val="00CB7558"/>
    <w:rsid w:val="00CB75F3"/>
    <w:rsid w:val="00CB797F"/>
    <w:rsid w:val="00CC0161"/>
    <w:rsid w:val="00CC0221"/>
    <w:rsid w:val="00CC0267"/>
    <w:rsid w:val="00CC030A"/>
    <w:rsid w:val="00CC0589"/>
    <w:rsid w:val="00CC05AA"/>
    <w:rsid w:val="00CC1312"/>
    <w:rsid w:val="00CC144B"/>
    <w:rsid w:val="00CC1549"/>
    <w:rsid w:val="00CC15ED"/>
    <w:rsid w:val="00CC2099"/>
    <w:rsid w:val="00CC2244"/>
    <w:rsid w:val="00CC2E17"/>
    <w:rsid w:val="00CC3782"/>
    <w:rsid w:val="00CC3B27"/>
    <w:rsid w:val="00CC3BC9"/>
    <w:rsid w:val="00CC4098"/>
    <w:rsid w:val="00CC42B4"/>
    <w:rsid w:val="00CC473C"/>
    <w:rsid w:val="00CC5688"/>
    <w:rsid w:val="00CC58D0"/>
    <w:rsid w:val="00CC5ED4"/>
    <w:rsid w:val="00CC6283"/>
    <w:rsid w:val="00CC64F7"/>
    <w:rsid w:val="00CC6A31"/>
    <w:rsid w:val="00CC6A47"/>
    <w:rsid w:val="00CC772E"/>
    <w:rsid w:val="00CC7C17"/>
    <w:rsid w:val="00CD0BD7"/>
    <w:rsid w:val="00CD0D94"/>
    <w:rsid w:val="00CD120B"/>
    <w:rsid w:val="00CD1432"/>
    <w:rsid w:val="00CD15C0"/>
    <w:rsid w:val="00CD179E"/>
    <w:rsid w:val="00CD1FED"/>
    <w:rsid w:val="00CD2264"/>
    <w:rsid w:val="00CD2444"/>
    <w:rsid w:val="00CD26C7"/>
    <w:rsid w:val="00CD26DE"/>
    <w:rsid w:val="00CD2CD0"/>
    <w:rsid w:val="00CD3BA2"/>
    <w:rsid w:val="00CD43BF"/>
    <w:rsid w:val="00CD4536"/>
    <w:rsid w:val="00CD497A"/>
    <w:rsid w:val="00CD4A22"/>
    <w:rsid w:val="00CD4AD5"/>
    <w:rsid w:val="00CD4B7B"/>
    <w:rsid w:val="00CD4D4B"/>
    <w:rsid w:val="00CD5542"/>
    <w:rsid w:val="00CD57AC"/>
    <w:rsid w:val="00CD57AE"/>
    <w:rsid w:val="00CD58BD"/>
    <w:rsid w:val="00CD5BAD"/>
    <w:rsid w:val="00CD6730"/>
    <w:rsid w:val="00CD6CCA"/>
    <w:rsid w:val="00CD6D61"/>
    <w:rsid w:val="00CD73BD"/>
    <w:rsid w:val="00CD75DD"/>
    <w:rsid w:val="00CD7A48"/>
    <w:rsid w:val="00CE05D7"/>
    <w:rsid w:val="00CE0A5A"/>
    <w:rsid w:val="00CE10DF"/>
    <w:rsid w:val="00CE1243"/>
    <w:rsid w:val="00CE12C9"/>
    <w:rsid w:val="00CE1660"/>
    <w:rsid w:val="00CE1ABF"/>
    <w:rsid w:val="00CE1C14"/>
    <w:rsid w:val="00CE1CD9"/>
    <w:rsid w:val="00CE1F21"/>
    <w:rsid w:val="00CE22D2"/>
    <w:rsid w:val="00CE238E"/>
    <w:rsid w:val="00CE2B43"/>
    <w:rsid w:val="00CE3AD4"/>
    <w:rsid w:val="00CE3BE5"/>
    <w:rsid w:val="00CE3C68"/>
    <w:rsid w:val="00CE3C7B"/>
    <w:rsid w:val="00CE4197"/>
    <w:rsid w:val="00CE4485"/>
    <w:rsid w:val="00CE4C25"/>
    <w:rsid w:val="00CE4D8D"/>
    <w:rsid w:val="00CE4E55"/>
    <w:rsid w:val="00CE5122"/>
    <w:rsid w:val="00CE537B"/>
    <w:rsid w:val="00CE5BA2"/>
    <w:rsid w:val="00CE6531"/>
    <w:rsid w:val="00CE6721"/>
    <w:rsid w:val="00CE6A7F"/>
    <w:rsid w:val="00CE6E61"/>
    <w:rsid w:val="00CE7457"/>
    <w:rsid w:val="00CE78AD"/>
    <w:rsid w:val="00CE78BE"/>
    <w:rsid w:val="00CE78EF"/>
    <w:rsid w:val="00CE7AC8"/>
    <w:rsid w:val="00CE7FF6"/>
    <w:rsid w:val="00CF06A1"/>
    <w:rsid w:val="00CF0AC8"/>
    <w:rsid w:val="00CF144C"/>
    <w:rsid w:val="00CF169F"/>
    <w:rsid w:val="00CF17E3"/>
    <w:rsid w:val="00CF1BF8"/>
    <w:rsid w:val="00CF1EB8"/>
    <w:rsid w:val="00CF2361"/>
    <w:rsid w:val="00CF23D2"/>
    <w:rsid w:val="00CF2400"/>
    <w:rsid w:val="00CF253E"/>
    <w:rsid w:val="00CF25E0"/>
    <w:rsid w:val="00CF272F"/>
    <w:rsid w:val="00CF2969"/>
    <w:rsid w:val="00CF2A78"/>
    <w:rsid w:val="00CF2B83"/>
    <w:rsid w:val="00CF2C73"/>
    <w:rsid w:val="00CF2C7F"/>
    <w:rsid w:val="00CF2D3B"/>
    <w:rsid w:val="00CF3795"/>
    <w:rsid w:val="00CF37EA"/>
    <w:rsid w:val="00CF3B17"/>
    <w:rsid w:val="00CF4518"/>
    <w:rsid w:val="00CF4B43"/>
    <w:rsid w:val="00CF5344"/>
    <w:rsid w:val="00CF5545"/>
    <w:rsid w:val="00CF5689"/>
    <w:rsid w:val="00CF61B1"/>
    <w:rsid w:val="00CF65F0"/>
    <w:rsid w:val="00CF6CB4"/>
    <w:rsid w:val="00CF6FBE"/>
    <w:rsid w:val="00CF7385"/>
    <w:rsid w:val="00CF776D"/>
    <w:rsid w:val="00CF7852"/>
    <w:rsid w:val="00CF78DB"/>
    <w:rsid w:val="00CF7C6C"/>
    <w:rsid w:val="00CF7F34"/>
    <w:rsid w:val="00D001D8"/>
    <w:rsid w:val="00D00564"/>
    <w:rsid w:val="00D005DD"/>
    <w:rsid w:val="00D00A69"/>
    <w:rsid w:val="00D00FF8"/>
    <w:rsid w:val="00D0104B"/>
    <w:rsid w:val="00D010BE"/>
    <w:rsid w:val="00D013CA"/>
    <w:rsid w:val="00D016D4"/>
    <w:rsid w:val="00D01EE1"/>
    <w:rsid w:val="00D0237E"/>
    <w:rsid w:val="00D02529"/>
    <w:rsid w:val="00D025F8"/>
    <w:rsid w:val="00D02B1C"/>
    <w:rsid w:val="00D02CDF"/>
    <w:rsid w:val="00D031EF"/>
    <w:rsid w:val="00D033FE"/>
    <w:rsid w:val="00D0382F"/>
    <w:rsid w:val="00D03D31"/>
    <w:rsid w:val="00D03D38"/>
    <w:rsid w:val="00D045F1"/>
    <w:rsid w:val="00D049E0"/>
    <w:rsid w:val="00D04F60"/>
    <w:rsid w:val="00D05456"/>
    <w:rsid w:val="00D05A5F"/>
    <w:rsid w:val="00D05AA4"/>
    <w:rsid w:val="00D05D5A"/>
    <w:rsid w:val="00D05D87"/>
    <w:rsid w:val="00D05EA1"/>
    <w:rsid w:val="00D05F24"/>
    <w:rsid w:val="00D0644E"/>
    <w:rsid w:val="00D0647A"/>
    <w:rsid w:val="00D065EC"/>
    <w:rsid w:val="00D0669D"/>
    <w:rsid w:val="00D06822"/>
    <w:rsid w:val="00D06A5E"/>
    <w:rsid w:val="00D072BB"/>
    <w:rsid w:val="00D074AC"/>
    <w:rsid w:val="00D076D2"/>
    <w:rsid w:val="00D07750"/>
    <w:rsid w:val="00D0797D"/>
    <w:rsid w:val="00D07CB6"/>
    <w:rsid w:val="00D10510"/>
    <w:rsid w:val="00D10817"/>
    <w:rsid w:val="00D10E1E"/>
    <w:rsid w:val="00D1149A"/>
    <w:rsid w:val="00D118FC"/>
    <w:rsid w:val="00D128DE"/>
    <w:rsid w:val="00D12B2E"/>
    <w:rsid w:val="00D12DEC"/>
    <w:rsid w:val="00D12EA4"/>
    <w:rsid w:val="00D1306F"/>
    <w:rsid w:val="00D13C94"/>
    <w:rsid w:val="00D14116"/>
    <w:rsid w:val="00D141FD"/>
    <w:rsid w:val="00D146DD"/>
    <w:rsid w:val="00D1483B"/>
    <w:rsid w:val="00D14963"/>
    <w:rsid w:val="00D14A9C"/>
    <w:rsid w:val="00D15003"/>
    <w:rsid w:val="00D15322"/>
    <w:rsid w:val="00D15632"/>
    <w:rsid w:val="00D15A00"/>
    <w:rsid w:val="00D15D65"/>
    <w:rsid w:val="00D15F35"/>
    <w:rsid w:val="00D1663B"/>
    <w:rsid w:val="00D16963"/>
    <w:rsid w:val="00D16D41"/>
    <w:rsid w:val="00D17731"/>
    <w:rsid w:val="00D17F0D"/>
    <w:rsid w:val="00D20900"/>
    <w:rsid w:val="00D210CF"/>
    <w:rsid w:val="00D2137B"/>
    <w:rsid w:val="00D2147C"/>
    <w:rsid w:val="00D21752"/>
    <w:rsid w:val="00D21F34"/>
    <w:rsid w:val="00D225F1"/>
    <w:rsid w:val="00D22EC5"/>
    <w:rsid w:val="00D22EF8"/>
    <w:rsid w:val="00D23177"/>
    <w:rsid w:val="00D234FB"/>
    <w:rsid w:val="00D23683"/>
    <w:rsid w:val="00D23ED3"/>
    <w:rsid w:val="00D24125"/>
    <w:rsid w:val="00D24187"/>
    <w:rsid w:val="00D24372"/>
    <w:rsid w:val="00D2459B"/>
    <w:rsid w:val="00D24AE2"/>
    <w:rsid w:val="00D253C0"/>
    <w:rsid w:val="00D254B5"/>
    <w:rsid w:val="00D2561F"/>
    <w:rsid w:val="00D25CFB"/>
    <w:rsid w:val="00D2601D"/>
    <w:rsid w:val="00D260E4"/>
    <w:rsid w:val="00D262AD"/>
    <w:rsid w:val="00D26B77"/>
    <w:rsid w:val="00D26BAF"/>
    <w:rsid w:val="00D26E26"/>
    <w:rsid w:val="00D275B5"/>
    <w:rsid w:val="00D27679"/>
    <w:rsid w:val="00D27774"/>
    <w:rsid w:val="00D27959"/>
    <w:rsid w:val="00D27D0E"/>
    <w:rsid w:val="00D27E86"/>
    <w:rsid w:val="00D30093"/>
    <w:rsid w:val="00D300AE"/>
    <w:rsid w:val="00D30893"/>
    <w:rsid w:val="00D30962"/>
    <w:rsid w:val="00D31258"/>
    <w:rsid w:val="00D32097"/>
    <w:rsid w:val="00D3228D"/>
    <w:rsid w:val="00D32B5B"/>
    <w:rsid w:val="00D33275"/>
    <w:rsid w:val="00D344B4"/>
    <w:rsid w:val="00D34738"/>
    <w:rsid w:val="00D34C50"/>
    <w:rsid w:val="00D35953"/>
    <w:rsid w:val="00D35BFA"/>
    <w:rsid w:val="00D362FE"/>
    <w:rsid w:val="00D36431"/>
    <w:rsid w:val="00D3699E"/>
    <w:rsid w:val="00D36F9A"/>
    <w:rsid w:val="00D3703C"/>
    <w:rsid w:val="00D37841"/>
    <w:rsid w:val="00D3790D"/>
    <w:rsid w:val="00D37C03"/>
    <w:rsid w:val="00D37C62"/>
    <w:rsid w:val="00D3CACC"/>
    <w:rsid w:val="00D40167"/>
    <w:rsid w:val="00D42065"/>
    <w:rsid w:val="00D42D32"/>
    <w:rsid w:val="00D43F94"/>
    <w:rsid w:val="00D441C2"/>
    <w:rsid w:val="00D443B8"/>
    <w:rsid w:val="00D4446B"/>
    <w:rsid w:val="00D449B2"/>
    <w:rsid w:val="00D44C88"/>
    <w:rsid w:val="00D44EA7"/>
    <w:rsid w:val="00D45E46"/>
    <w:rsid w:val="00D45F24"/>
    <w:rsid w:val="00D460A8"/>
    <w:rsid w:val="00D46954"/>
    <w:rsid w:val="00D469A3"/>
    <w:rsid w:val="00D46C07"/>
    <w:rsid w:val="00D46C3A"/>
    <w:rsid w:val="00D46EFC"/>
    <w:rsid w:val="00D4720E"/>
    <w:rsid w:val="00D478DD"/>
    <w:rsid w:val="00D4795A"/>
    <w:rsid w:val="00D4FEA1"/>
    <w:rsid w:val="00D500FB"/>
    <w:rsid w:val="00D5021E"/>
    <w:rsid w:val="00D50D21"/>
    <w:rsid w:val="00D50F33"/>
    <w:rsid w:val="00D511F5"/>
    <w:rsid w:val="00D5145B"/>
    <w:rsid w:val="00D51A96"/>
    <w:rsid w:val="00D51CD6"/>
    <w:rsid w:val="00D51E66"/>
    <w:rsid w:val="00D521EB"/>
    <w:rsid w:val="00D523B5"/>
    <w:rsid w:val="00D52652"/>
    <w:rsid w:val="00D5275A"/>
    <w:rsid w:val="00D52D49"/>
    <w:rsid w:val="00D530CF"/>
    <w:rsid w:val="00D530ED"/>
    <w:rsid w:val="00D5335C"/>
    <w:rsid w:val="00D53A69"/>
    <w:rsid w:val="00D53BCB"/>
    <w:rsid w:val="00D53FA2"/>
    <w:rsid w:val="00D5422D"/>
    <w:rsid w:val="00D549C5"/>
    <w:rsid w:val="00D55179"/>
    <w:rsid w:val="00D553FE"/>
    <w:rsid w:val="00D55995"/>
    <w:rsid w:val="00D55F9B"/>
    <w:rsid w:val="00D561B6"/>
    <w:rsid w:val="00D5643D"/>
    <w:rsid w:val="00D56899"/>
    <w:rsid w:val="00D56984"/>
    <w:rsid w:val="00D57047"/>
    <w:rsid w:val="00D5750D"/>
    <w:rsid w:val="00D577F5"/>
    <w:rsid w:val="00D608F6"/>
    <w:rsid w:val="00D60BB2"/>
    <w:rsid w:val="00D61264"/>
    <w:rsid w:val="00D613F0"/>
    <w:rsid w:val="00D6163B"/>
    <w:rsid w:val="00D61888"/>
    <w:rsid w:val="00D61C47"/>
    <w:rsid w:val="00D61F91"/>
    <w:rsid w:val="00D62678"/>
    <w:rsid w:val="00D6278D"/>
    <w:rsid w:val="00D6294E"/>
    <w:rsid w:val="00D62E7F"/>
    <w:rsid w:val="00D63245"/>
    <w:rsid w:val="00D637AC"/>
    <w:rsid w:val="00D63B97"/>
    <w:rsid w:val="00D63E2F"/>
    <w:rsid w:val="00D6441C"/>
    <w:rsid w:val="00D644F1"/>
    <w:rsid w:val="00D64E78"/>
    <w:rsid w:val="00D6526B"/>
    <w:rsid w:val="00D653FD"/>
    <w:rsid w:val="00D65E49"/>
    <w:rsid w:val="00D6615F"/>
    <w:rsid w:val="00D666DE"/>
    <w:rsid w:val="00D6682E"/>
    <w:rsid w:val="00D66D21"/>
    <w:rsid w:val="00D67089"/>
    <w:rsid w:val="00D672AC"/>
    <w:rsid w:val="00D673FB"/>
    <w:rsid w:val="00D6766F"/>
    <w:rsid w:val="00D6785A"/>
    <w:rsid w:val="00D701AC"/>
    <w:rsid w:val="00D70F4A"/>
    <w:rsid w:val="00D715B8"/>
    <w:rsid w:val="00D71693"/>
    <w:rsid w:val="00D71945"/>
    <w:rsid w:val="00D719F7"/>
    <w:rsid w:val="00D71A8A"/>
    <w:rsid w:val="00D72163"/>
    <w:rsid w:val="00D72561"/>
    <w:rsid w:val="00D72C8F"/>
    <w:rsid w:val="00D72CFF"/>
    <w:rsid w:val="00D730D4"/>
    <w:rsid w:val="00D73BA8"/>
    <w:rsid w:val="00D73D8F"/>
    <w:rsid w:val="00D743F8"/>
    <w:rsid w:val="00D74562"/>
    <w:rsid w:val="00D74845"/>
    <w:rsid w:val="00D74AEE"/>
    <w:rsid w:val="00D74CA4"/>
    <w:rsid w:val="00D74D43"/>
    <w:rsid w:val="00D74F75"/>
    <w:rsid w:val="00D758BD"/>
    <w:rsid w:val="00D75D4D"/>
    <w:rsid w:val="00D75F52"/>
    <w:rsid w:val="00D766DC"/>
    <w:rsid w:val="00D76971"/>
    <w:rsid w:val="00D769B8"/>
    <w:rsid w:val="00D76CD0"/>
    <w:rsid w:val="00D76FC4"/>
    <w:rsid w:val="00D770C1"/>
    <w:rsid w:val="00D77A9C"/>
    <w:rsid w:val="00D77F5C"/>
    <w:rsid w:val="00D7D05C"/>
    <w:rsid w:val="00D8054F"/>
    <w:rsid w:val="00D81020"/>
    <w:rsid w:val="00D816DF"/>
    <w:rsid w:val="00D81987"/>
    <w:rsid w:val="00D81F6D"/>
    <w:rsid w:val="00D8257E"/>
    <w:rsid w:val="00D82734"/>
    <w:rsid w:val="00D82D28"/>
    <w:rsid w:val="00D8367C"/>
    <w:rsid w:val="00D836DF"/>
    <w:rsid w:val="00D8381F"/>
    <w:rsid w:val="00D83AC8"/>
    <w:rsid w:val="00D83D16"/>
    <w:rsid w:val="00D83D5C"/>
    <w:rsid w:val="00D83D7C"/>
    <w:rsid w:val="00D8400E"/>
    <w:rsid w:val="00D8430C"/>
    <w:rsid w:val="00D84854"/>
    <w:rsid w:val="00D85362"/>
    <w:rsid w:val="00D85896"/>
    <w:rsid w:val="00D862C9"/>
    <w:rsid w:val="00D86300"/>
    <w:rsid w:val="00D86454"/>
    <w:rsid w:val="00D87596"/>
    <w:rsid w:val="00D87880"/>
    <w:rsid w:val="00D87B3F"/>
    <w:rsid w:val="00D90516"/>
    <w:rsid w:val="00D906FF"/>
    <w:rsid w:val="00D90B88"/>
    <w:rsid w:val="00D917E3"/>
    <w:rsid w:val="00D917F2"/>
    <w:rsid w:val="00D91979"/>
    <w:rsid w:val="00D91A7B"/>
    <w:rsid w:val="00D91AEF"/>
    <w:rsid w:val="00D91F0D"/>
    <w:rsid w:val="00D91F1F"/>
    <w:rsid w:val="00D91F40"/>
    <w:rsid w:val="00D92028"/>
    <w:rsid w:val="00D92231"/>
    <w:rsid w:val="00D9271F"/>
    <w:rsid w:val="00D92765"/>
    <w:rsid w:val="00D93120"/>
    <w:rsid w:val="00D931C4"/>
    <w:rsid w:val="00D9338A"/>
    <w:rsid w:val="00D93A1C"/>
    <w:rsid w:val="00D93AB6"/>
    <w:rsid w:val="00D93CEF"/>
    <w:rsid w:val="00D94276"/>
    <w:rsid w:val="00D945D3"/>
    <w:rsid w:val="00D948C1"/>
    <w:rsid w:val="00D94F55"/>
    <w:rsid w:val="00D95811"/>
    <w:rsid w:val="00D95D05"/>
    <w:rsid w:val="00D96054"/>
    <w:rsid w:val="00D9646C"/>
    <w:rsid w:val="00D96689"/>
    <w:rsid w:val="00D96E1B"/>
    <w:rsid w:val="00D97BF4"/>
    <w:rsid w:val="00DA01F5"/>
    <w:rsid w:val="00DA028E"/>
    <w:rsid w:val="00DA132B"/>
    <w:rsid w:val="00DA1525"/>
    <w:rsid w:val="00DA1B10"/>
    <w:rsid w:val="00DA1B89"/>
    <w:rsid w:val="00DA2367"/>
    <w:rsid w:val="00DA2615"/>
    <w:rsid w:val="00DA2CAE"/>
    <w:rsid w:val="00DA3544"/>
    <w:rsid w:val="00DA3C7D"/>
    <w:rsid w:val="00DA429E"/>
    <w:rsid w:val="00DA4A5B"/>
    <w:rsid w:val="00DA4ACE"/>
    <w:rsid w:val="00DA4B37"/>
    <w:rsid w:val="00DA5136"/>
    <w:rsid w:val="00DA535D"/>
    <w:rsid w:val="00DA53E9"/>
    <w:rsid w:val="00DA55B3"/>
    <w:rsid w:val="00DA5A75"/>
    <w:rsid w:val="00DA5BA7"/>
    <w:rsid w:val="00DA61E0"/>
    <w:rsid w:val="00DA6482"/>
    <w:rsid w:val="00DA6543"/>
    <w:rsid w:val="00DA7149"/>
    <w:rsid w:val="00DA7239"/>
    <w:rsid w:val="00DB03DF"/>
    <w:rsid w:val="00DB0481"/>
    <w:rsid w:val="00DB0E31"/>
    <w:rsid w:val="00DB10C5"/>
    <w:rsid w:val="00DB11C4"/>
    <w:rsid w:val="00DB1694"/>
    <w:rsid w:val="00DB198E"/>
    <w:rsid w:val="00DB1E42"/>
    <w:rsid w:val="00DB25EF"/>
    <w:rsid w:val="00DB2654"/>
    <w:rsid w:val="00DB2CB2"/>
    <w:rsid w:val="00DB360F"/>
    <w:rsid w:val="00DB3791"/>
    <w:rsid w:val="00DB38D4"/>
    <w:rsid w:val="00DB429D"/>
    <w:rsid w:val="00DB49C2"/>
    <w:rsid w:val="00DB4ED1"/>
    <w:rsid w:val="00DB59E0"/>
    <w:rsid w:val="00DB5FE0"/>
    <w:rsid w:val="00DB5FE8"/>
    <w:rsid w:val="00DB61D2"/>
    <w:rsid w:val="00DB63A0"/>
    <w:rsid w:val="00DB652A"/>
    <w:rsid w:val="00DB6548"/>
    <w:rsid w:val="00DB687A"/>
    <w:rsid w:val="00DB6F30"/>
    <w:rsid w:val="00DB7A98"/>
    <w:rsid w:val="00DB7AA8"/>
    <w:rsid w:val="00DC0208"/>
    <w:rsid w:val="00DC0534"/>
    <w:rsid w:val="00DC07A1"/>
    <w:rsid w:val="00DC085F"/>
    <w:rsid w:val="00DC0BAF"/>
    <w:rsid w:val="00DC0ECD"/>
    <w:rsid w:val="00DC1282"/>
    <w:rsid w:val="00DC19F4"/>
    <w:rsid w:val="00DC1A32"/>
    <w:rsid w:val="00DC1A56"/>
    <w:rsid w:val="00DC1DE5"/>
    <w:rsid w:val="00DC2B73"/>
    <w:rsid w:val="00DC2BF5"/>
    <w:rsid w:val="00DC2DA9"/>
    <w:rsid w:val="00DC303D"/>
    <w:rsid w:val="00DC4135"/>
    <w:rsid w:val="00DC4D34"/>
    <w:rsid w:val="00DC4E14"/>
    <w:rsid w:val="00DC5346"/>
    <w:rsid w:val="00DC5531"/>
    <w:rsid w:val="00DC5619"/>
    <w:rsid w:val="00DC5751"/>
    <w:rsid w:val="00DC5F94"/>
    <w:rsid w:val="00DC60AC"/>
    <w:rsid w:val="00DC6E57"/>
    <w:rsid w:val="00DC719E"/>
    <w:rsid w:val="00DC73A5"/>
    <w:rsid w:val="00DC7473"/>
    <w:rsid w:val="00DD05A2"/>
    <w:rsid w:val="00DD06AF"/>
    <w:rsid w:val="00DD073C"/>
    <w:rsid w:val="00DD0BCC"/>
    <w:rsid w:val="00DD11FB"/>
    <w:rsid w:val="00DD14BF"/>
    <w:rsid w:val="00DD1AF6"/>
    <w:rsid w:val="00DD1FAE"/>
    <w:rsid w:val="00DD2508"/>
    <w:rsid w:val="00DD2A75"/>
    <w:rsid w:val="00DD3C8F"/>
    <w:rsid w:val="00DD401B"/>
    <w:rsid w:val="00DD455C"/>
    <w:rsid w:val="00DD49B6"/>
    <w:rsid w:val="00DD4C10"/>
    <w:rsid w:val="00DD4D13"/>
    <w:rsid w:val="00DD4E40"/>
    <w:rsid w:val="00DD4FAD"/>
    <w:rsid w:val="00DD5106"/>
    <w:rsid w:val="00DD5530"/>
    <w:rsid w:val="00DD58C4"/>
    <w:rsid w:val="00DD62EE"/>
    <w:rsid w:val="00DD6890"/>
    <w:rsid w:val="00DD6974"/>
    <w:rsid w:val="00DD6FFF"/>
    <w:rsid w:val="00DD72B9"/>
    <w:rsid w:val="00DD7E98"/>
    <w:rsid w:val="00DD7F1A"/>
    <w:rsid w:val="00DE0628"/>
    <w:rsid w:val="00DE07B2"/>
    <w:rsid w:val="00DE0EA8"/>
    <w:rsid w:val="00DE10D1"/>
    <w:rsid w:val="00DE137A"/>
    <w:rsid w:val="00DE14F3"/>
    <w:rsid w:val="00DE156A"/>
    <w:rsid w:val="00DE165B"/>
    <w:rsid w:val="00DE213F"/>
    <w:rsid w:val="00DE2171"/>
    <w:rsid w:val="00DE2A7F"/>
    <w:rsid w:val="00DE32F0"/>
    <w:rsid w:val="00DE3575"/>
    <w:rsid w:val="00DE36B5"/>
    <w:rsid w:val="00DE3745"/>
    <w:rsid w:val="00DE3CFC"/>
    <w:rsid w:val="00DE479D"/>
    <w:rsid w:val="00DE48F7"/>
    <w:rsid w:val="00DE4AEB"/>
    <w:rsid w:val="00DE4C5C"/>
    <w:rsid w:val="00DE5153"/>
    <w:rsid w:val="00DE5A24"/>
    <w:rsid w:val="00DE649B"/>
    <w:rsid w:val="00DE71F4"/>
    <w:rsid w:val="00DE787D"/>
    <w:rsid w:val="00DE7BD3"/>
    <w:rsid w:val="00DE7C20"/>
    <w:rsid w:val="00DE7D46"/>
    <w:rsid w:val="00DE7F0B"/>
    <w:rsid w:val="00DF0075"/>
    <w:rsid w:val="00DF0164"/>
    <w:rsid w:val="00DF0527"/>
    <w:rsid w:val="00DF05BA"/>
    <w:rsid w:val="00DF0619"/>
    <w:rsid w:val="00DF081A"/>
    <w:rsid w:val="00DF108F"/>
    <w:rsid w:val="00DF1D03"/>
    <w:rsid w:val="00DF2008"/>
    <w:rsid w:val="00DF2167"/>
    <w:rsid w:val="00DF21D0"/>
    <w:rsid w:val="00DF2345"/>
    <w:rsid w:val="00DF2577"/>
    <w:rsid w:val="00DF2973"/>
    <w:rsid w:val="00DF2BA6"/>
    <w:rsid w:val="00DF30DE"/>
    <w:rsid w:val="00DF3276"/>
    <w:rsid w:val="00DF3A23"/>
    <w:rsid w:val="00DF3BEF"/>
    <w:rsid w:val="00DF3DCC"/>
    <w:rsid w:val="00DF4098"/>
    <w:rsid w:val="00DF40E0"/>
    <w:rsid w:val="00DF4232"/>
    <w:rsid w:val="00DF4264"/>
    <w:rsid w:val="00DF4608"/>
    <w:rsid w:val="00DF4675"/>
    <w:rsid w:val="00DF4D1B"/>
    <w:rsid w:val="00DF4ECB"/>
    <w:rsid w:val="00DF51F1"/>
    <w:rsid w:val="00DF53E6"/>
    <w:rsid w:val="00DF5761"/>
    <w:rsid w:val="00DF582F"/>
    <w:rsid w:val="00DF5C51"/>
    <w:rsid w:val="00DF5E6A"/>
    <w:rsid w:val="00DF6238"/>
    <w:rsid w:val="00DF6462"/>
    <w:rsid w:val="00DF66BF"/>
    <w:rsid w:val="00DF6C79"/>
    <w:rsid w:val="00DF6D39"/>
    <w:rsid w:val="00DF737C"/>
    <w:rsid w:val="00DF7634"/>
    <w:rsid w:val="00DF7972"/>
    <w:rsid w:val="00DF7B3C"/>
    <w:rsid w:val="00DF7D24"/>
    <w:rsid w:val="00DF7F4E"/>
    <w:rsid w:val="00E0038E"/>
    <w:rsid w:val="00E003A7"/>
    <w:rsid w:val="00E00E20"/>
    <w:rsid w:val="00E0113A"/>
    <w:rsid w:val="00E0120A"/>
    <w:rsid w:val="00E01888"/>
    <w:rsid w:val="00E018AE"/>
    <w:rsid w:val="00E01B08"/>
    <w:rsid w:val="00E01F9F"/>
    <w:rsid w:val="00E020E2"/>
    <w:rsid w:val="00E03BDA"/>
    <w:rsid w:val="00E03CFE"/>
    <w:rsid w:val="00E04002"/>
    <w:rsid w:val="00E046D9"/>
    <w:rsid w:val="00E048D0"/>
    <w:rsid w:val="00E05535"/>
    <w:rsid w:val="00E05989"/>
    <w:rsid w:val="00E06735"/>
    <w:rsid w:val="00E0676E"/>
    <w:rsid w:val="00E068C4"/>
    <w:rsid w:val="00E06FFA"/>
    <w:rsid w:val="00E073E3"/>
    <w:rsid w:val="00E076BE"/>
    <w:rsid w:val="00E07A85"/>
    <w:rsid w:val="00E1069A"/>
    <w:rsid w:val="00E106F3"/>
    <w:rsid w:val="00E1082A"/>
    <w:rsid w:val="00E1096C"/>
    <w:rsid w:val="00E12274"/>
    <w:rsid w:val="00E1257E"/>
    <w:rsid w:val="00E1298A"/>
    <w:rsid w:val="00E12C54"/>
    <w:rsid w:val="00E12E02"/>
    <w:rsid w:val="00E135C0"/>
    <w:rsid w:val="00E13885"/>
    <w:rsid w:val="00E13D80"/>
    <w:rsid w:val="00E13F6B"/>
    <w:rsid w:val="00E13F84"/>
    <w:rsid w:val="00E141C3"/>
    <w:rsid w:val="00E145DA"/>
    <w:rsid w:val="00E1461F"/>
    <w:rsid w:val="00E14E9C"/>
    <w:rsid w:val="00E15096"/>
    <w:rsid w:val="00E150F3"/>
    <w:rsid w:val="00E15413"/>
    <w:rsid w:val="00E15560"/>
    <w:rsid w:val="00E15C82"/>
    <w:rsid w:val="00E16895"/>
    <w:rsid w:val="00E170CC"/>
    <w:rsid w:val="00E17418"/>
    <w:rsid w:val="00E17567"/>
    <w:rsid w:val="00E1756A"/>
    <w:rsid w:val="00E20105"/>
    <w:rsid w:val="00E20346"/>
    <w:rsid w:val="00E2053D"/>
    <w:rsid w:val="00E2093D"/>
    <w:rsid w:val="00E215B2"/>
    <w:rsid w:val="00E2164F"/>
    <w:rsid w:val="00E220B7"/>
    <w:rsid w:val="00E22621"/>
    <w:rsid w:val="00E22FD0"/>
    <w:rsid w:val="00E236D2"/>
    <w:rsid w:val="00E23C3E"/>
    <w:rsid w:val="00E2408A"/>
    <w:rsid w:val="00E240CE"/>
    <w:rsid w:val="00E24CC2"/>
    <w:rsid w:val="00E27201"/>
    <w:rsid w:val="00E2724D"/>
    <w:rsid w:val="00E27425"/>
    <w:rsid w:val="00E274C2"/>
    <w:rsid w:val="00E27B9A"/>
    <w:rsid w:val="00E27ED1"/>
    <w:rsid w:val="00E30019"/>
    <w:rsid w:val="00E30713"/>
    <w:rsid w:val="00E3073B"/>
    <w:rsid w:val="00E30A6E"/>
    <w:rsid w:val="00E30C31"/>
    <w:rsid w:val="00E3163B"/>
    <w:rsid w:val="00E31BFB"/>
    <w:rsid w:val="00E31C5B"/>
    <w:rsid w:val="00E31E80"/>
    <w:rsid w:val="00E321AA"/>
    <w:rsid w:val="00E328B7"/>
    <w:rsid w:val="00E32BF7"/>
    <w:rsid w:val="00E32F02"/>
    <w:rsid w:val="00E33144"/>
    <w:rsid w:val="00E338E0"/>
    <w:rsid w:val="00E33C49"/>
    <w:rsid w:val="00E33D60"/>
    <w:rsid w:val="00E33E85"/>
    <w:rsid w:val="00E34358"/>
    <w:rsid w:val="00E343FD"/>
    <w:rsid w:val="00E345A3"/>
    <w:rsid w:val="00E34944"/>
    <w:rsid w:val="00E34B5C"/>
    <w:rsid w:val="00E34E28"/>
    <w:rsid w:val="00E35054"/>
    <w:rsid w:val="00E35066"/>
    <w:rsid w:val="00E35375"/>
    <w:rsid w:val="00E353A7"/>
    <w:rsid w:val="00E353D8"/>
    <w:rsid w:val="00E35455"/>
    <w:rsid w:val="00E3572E"/>
    <w:rsid w:val="00E36068"/>
    <w:rsid w:val="00E36723"/>
    <w:rsid w:val="00E36F06"/>
    <w:rsid w:val="00E373BA"/>
    <w:rsid w:val="00E37A9C"/>
    <w:rsid w:val="00E40976"/>
    <w:rsid w:val="00E40B68"/>
    <w:rsid w:val="00E416FF"/>
    <w:rsid w:val="00E41A2E"/>
    <w:rsid w:val="00E41E9B"/>
    <w:rsid w:val="00E42DA8"/>
    <w:rsid w:val="00E42FB2"/>
    <w:rsid w:val="00E43CD8"/>
    <w:rsid w:val="00E43FA4"/>
    <w:rsid w:val="00E44068"/>
    <w:rsid w:val="00E445CF"/>
    <w:rsid w:val="00E44903"/>
    <w:rsid w:val="00E44A1C"/>
    <w:rsid w:val="00E451AC"/>
    <w:rsid w:val="00E4523B"/>
    <w:rsid w:val="00E453BA"/>
    <w:rsid w:val="00E45B90"/>
    <w:rsid w:val="00E45C14"/>
    <w:rsid w:val="00E45D15"/>
    <w:rsid w:val="00E45E76"/>
    <w:rsid w:val="00E46365"/>
    <w:rsid w:val="00E46861"/>
    <w:rsid w:val="00E4711B"/>
    <w:rsid w:val="00E47199"/>
    <w:rsid w:val="00E4748D"/>
    <w:rsid w:val="00E47A56"/>
    <w:rsid w:val="00E47A96"/>
    <w:rsid w:val="00E47DDA"/>
    <w:rsid w:val="00E47F3D"/>
    <w:rsid w:val="00E501CC"/>
    <w:rsid w:val="00E511BE"/>
    <w:rsid w:val="00E515FB"/>
    <w:rsid w:val="00E516BB"/>
    <w:rsid w:val="00E51764"/>
    <w:rsid w:val="00E51D72"/>
    <w:rsid w:val="00E51E2E"/>
    <w:rsid w:val="00E52598"/>
    <w:rsid w:val="00E5259F"/>
    <w:rsid w:val="00E528EC"/>
    <w:rsid w:val="00E52DEF"/>
    <w:rsid w:val="00E53109"/>
    <w:rsid w:val="00E5314B"/>
    <w:rsid w:val="00E53416"/>
    <w:rsid w:val="00E537C3"/>
    <w:rsid w:val="00E5396E"/>
    <w:rsid w:val="00E53D21"/>
    <w:rsid w:val="00E54260"/>
    <w:rsid w:val="00E5463B"/>
    <w:rsid w:val="00E5481B"/>
    <w:rsid w:val="00E548C6"/>
    <w:rsid w:val="00E54998"/>
    <w:rsid w:val="00E54D9A"/>
    <w:rsid w:val="00E54FB5"/>
    <w:rsid w:val="00E55023"/>
    <w:rsid w:val="00E562E9"/>
    <w:rsid w:val="00E56302"/>
    <w:rsid w:val="00E56551"/>
    <w:rsid w:val="00E56707"/>
    <w:rsid w:val="00E56A8C"/>
    <w:rsid w:val="00E56DED"/>
    <w:rsid w:val="00E57038"/>
    <w:rsid w:val="00E5742C"/>
    <w:rsid w:val="00E57535"/>
    <w:rsid w:val="00E60484"/>
    <w:rsid w:val="00E605FF"/>
    <w:rsid w:val="00E60A91"/>
    <w:rsid w:val="00E61EA3"/>
    <w:rsid w:val="00E62468"/>
    <w:rsid w:val="00E6261F"/>
    <w:rsid w:val="00E6313B"/>
    <w:rsid w:val="00E631B8"/>
    <w:rsid w:val="00E633D2"/>
    <w:rsid w:val="00E63803"/>
    <w:rsid w:val="00E63BE3"/>
    <w:rsid w:val="00E63CBF"/>
    <w:rsid w:val="00E64389"/>
    <w:rsid w:val="00E64431"/>
    <w:rsid w:val="00E648B4"/>
    <w:rsid w:val="00E64DE5"/>
    <w:rsid w:val="00E657AD"/>
    <w:rsid w:val="00E65FF7"/>
    <w:rsid w:val="00E6660B"/>
    <w:rsid w:val="00E669C9"/>
    <w:rsid w:val="00E673D6"/>
    <w:rsid w:val="00E677FC"/>
    <w:rsid w:val="00E67877"/>
    <w:rsid w:val="00E67A9C"/>
    <w:rsid w:val="00E67FE2"/>
    <w:rsid w:val="00E701B3"/>
    <w:rsid w:val="00E70511"/>
    <w:rsid w:val="00E70653"/>
    <w:rsid w:val="00E7099D"/>
    <w:rsid w:val="00E710A5"/>
    <w:rsid w:val="00E714A0"/>
    <w:rsid w:val="00E71A50"/>
    <w:rsid w:val="00E71D22"/>
    <w:rsid w:val="00E72DC1"/>
    <w:rsid w:val="00E72F14"/>
    <w:rsid w:val="00E73134"/>
    <w:rsid w:val="00E734BE"/>
    <w:rsid w:val="00E73508"/>
    <w:rsid w:val="00E74A28"/>
    <w:rsid w:val="00E74C16"/>
    <w:rsid w:val="00E75344"/>
    <w:rsid w:val="00E757B8"/>
    <w:rsid w:val="00E759DB"/>
    <w:rsid w:val="00E75D57"/>
    <w:rsid w:val="00E769CB"/>
    <w:rsid w:val="00E76ED5"/>
    <w:rsid w:val="00E773AF"/>
    <w:rsid w:val="00E775CA"/>
    <w:rsid w:val="00E7760D"/>
    <w:rsid w:val="00E779E4"/>
    <w:rsid w:val="00E77CD3"/>
    <w:rsid w:val="00E77EED"/>
    <w:rsid w:val="00E80376"/>
    <w:rsid w:val="00E8042D"/>
    <w:rsid w:val="00E8044B"/>
    <w:rsid w:val="00E80F44"/>
    <w:rsid w:val="00E815FD"/>
    <w:rsid w:val="00E81E84"/>
    <w:rsid w:val="00E82D4E"/>
    <w:rsid w:val="00E82F18"/>
    <w:rsid w:val="00E8385B"/>
    <w:rsid w:val="00E83ABF"/>
    <w:rsid w:val="00E8413F"/>
    <w:rsid w:val="00E84343"/>
    <w:rsid w:val="00E84456"/>
    <w:rsid w:val="00E84B96"/>
    <w:rsid w:val="00E84BA9"/>
    <w:rsid w:val="00E84E3F"/>
    <w:rsid w:val="00E852D9"/>
    <w:rsid w:val="00E85771"/>
    <w:rsid w:val="00E859CA"/>
    <w:rsid w:val="00E86159"/>
    <w:rsid w:val="00E86276"/>
    <w:rsid w:val="00E862AD"/>
    <w:rsid w:val="00E862B0"/>
    <w:rsid w:val="00E869A9"/>
    <w:rsid w:val="00E86E8A"/>
    <w:rsid w:val="00E87056"/>
    <w:rsid w:val="00E9051B"/>
    <w:rsid w:val="00E913BB"/>
    <w:rsid w:val="00E91A69"/>
    <w:rsid w:val="00E91B5D"/>
    <w:rsid w:val="00E91CE6"/>
    <w:rsid w:val="00E91F44"/>
    <w:rsid w:val="00E9215D"/>
    <w:rsid w:val="00E923F3"/>
    <w:rsid w:val="00E92BDB"/>
    <w:rsid w:val="00E92DAD"/>
    <w:rsid w:val="00E93412"/>
    <w:rsid w:val="00E93995"/>
    <w:rsid w:val="00E93B28"/>
    <w:rsid w:val="00E93EA8"/>
    <w:rsid w:val="00E9408A"/>
    <w:rsid w:val="00E942DB"/>
    <w:rsid w:val="00E95844"/>
    <w:rsid w:val="00E95968"/>
    <w:rsid w:val="00E95F9A"/>
    <w:rsid w:val="00E96D11"/>
    <w:rsid w:val="00E96DCE"/>
    <w:rsid w:val="00E97179"/>
    <w:rsid w:val="00E976C6"/>
    <w:rsid w:val="00E97966"/>
    <w:rsid w:val="00E97B39"/>
    <w:rsid w:val="00E97C67"/>
    <w:rsid w:val="00E97E76"/>
    <w:rsid w:val="00E97F02"/>
    <w:rsid w:val="00EA0142"/>
    <w:rsid w:val="00EA06BD"/>
    <w:rsid w:val="00EA083E"/>
    <w:rsid w:val="00EA09AE"/>
    <w:rsid w:val="00EA0ECE"/>
    <w:rsid w:val="00EA1105"/>
    <w:rsid w:val="00EA1A55"/>
    <w:rsid w:val="00EA1F95"/>
    <w:rsid w:val="00EA1FA1"/>
    <w:rsid w:val="00EA1FAB"/>
    <w:rsid w:val="00EA203B"/>
    <w:rsid w:val="00EA2452"/>
    <w:rsid w:val="00EA2722"/>
    <w:rsid w:val="00EA2B12"/>
    <w:rsid w:val="00EA2D89"/>
    <w:rsid w:val="00EA3166"/>
    <w:rsid w:val="00EA316F"/>
    <w:rsid w:val="00EA382C"/>
    <w:rsid w:val="00EA4A97"/>
    <w:rsid w:val="00EA4B48"/>
    <w:rsid w:val="00EA4D33"/>
    <w:rsid w:val="00EA589B"/>
    <w:rsid w:val="00EA589E"/>
    <w:rsid w:val="00EA5E5C"/>
    <w:rsid w:val="00EA6BF7"/>
    <w:rsid w:val="00EA7515"/>
    <w:rsid w:val="00EA75E0"/>
    <w:rsid w:val="00EA76B6"/>
    <w:rsid w:val="00EA7A6D"/>
    <w:rsid w:val="00EA7AD7"/>
    <w:rsid w:val="00EA7B80"/>
    <w:rsid w:val="00EB0A09"/>
    <w:rsid w:val="00EB132E"/>
    <w:rsid w:val="00EB195E"/>
    <w:rsid w:val="00EB209B"/>
    <w:rsid w:val="00EB2321"/>
    <w:rsid w:val="00EB24FB"/>
    <w:rsid w:val="00EB261C"/>
    <w:rsid w:val="00EB2666"/>
    <w:rsid w:val="00EB2AF6"/>
    <w:rsid w:val="00EB2C42"/>
    <w:rsid w:val="00EB2C96"/>
    <w:rsid w:val="00EB2D9C"/>
    <w:rsid w:val="00EB2DC0"/>
    <w:rsid w:val="00EB2E6D"/>
    <w:rsid w:val="00EB32F6"/>
    <w:rsid w:val="00EB3707"/>
    <w:rsid w:val="00EB3E20"/>
    <w:rsid w:val="00EB421B"/>
    <w:rsid w:val="00EB4569"/>
    <w:rsid w:val="00EB45C9"/>
    <w:rsid w:val="00EB4B7D"/>
    <w:rsid w:val="00EB4CD4"/>
    <w:rsid w:val="00EB4F1C"/>
    <w:rsid w:val="00EB5156"/>
    <w:rsid w:val="00EB579F"/>
    <w:rsid w:val="00EB5A8E"/>
    <w:rsid w:val="00EB5AE7"/>
    <w:rsid w:val="00EB61A0"/>
    <w:rsid w:val="00EB642F"/>
    <w:rsid w:val="00EB6797"/>
    <w:rsid w:val="00EB7553"/>
    <w:rsid w:val="00EB7DFD"/>
    <w:rsid w:val="00EB7EBD"/>
    <w:rsid w:val="00EC031B"/>
    <w:rsid w:val="00EC0B2B"/>
    <w:rsid w:val="00EC108A"/>
    <w:rsid w:val="00EC12BD"/>
    <w:rsid w:val="00EC1929"/>
    <w:rsid w:val="00EC1A98"/>
    <w:rsid w:val="00EC212B"/>
    <w:rsid w:val="00EC256E"/>
    <w:rsid w:val="00EC2994"/>
    <w:rsid w:val="00EC29AF"/>
    <w:rsid w:val="00EC2BB2"/>
    <w:rsid w:val="00EC2BC0"/>
    <w:rsid w:val="00EC3294"/>
    <w:rsid w:val="00EC39EA"/>
    <w:rsid w:val="00EC3AEB"/>
    <w:rsid w:val="00EC3D88"/>
    <w:rsid w:val="00EC3DA2"/>
    <w:rsid w:val="00EC4076"/>
    <w:rsid w:val="00EC4266"/>
    <w:rsid w:val="00EC4745"/>
    <w:rsid w:val="00EC47D8"/>
    <w:rsid w:val="00EC487F"/>
    <w:rsid w:val="00EC491D"/>
    <w:rsid w:val="00EC5373"/>
    <w:rsid w:val="00EC591B"/>
    <w:rsid w:val="00EC66E8"/>
    <w:rsid w:val="00EC682F"/>
    <w:rsid w:val="00EC6A19"/>
    <w:rsid w:val="00EC7CF0"/>
    <w:rsid w:val="00EC7D6C"/>
    <w:rsid w:val="00ED0249"/>
    <w:rsid w:val="00ED102E"/>
    <w:rsid w:val="00ED1303"/>
    <w:rsid w:val="00ED1642"/>
    <w:rsid w:val="00ED1B6D"/>
    <w:rsid w:val="00ED2F73"/>
    <w:rsid w:val="00ED2FB8"/>
    <w:rsid w:val="00ED396F"/>
    <w:rsid w:val="00ED3A55"/>
    <w:rsid w:val="00ED4768"/>
    <w:rsid w:val="00ED477B"/>
    <w:rsid w:val="00ED49F3"/>
    <w:rsid w:val="00ED52E2"/>
    <w:rsid w:val="00ED5806"/>
    <w:rsid w:val="00ED586F"/>
    <w:rsid w:val="00ED597F"/>
    <w:rsid w:val="00ED5E70"/>
    <w:rsid w:val="00ED5F53"/>
    <w:rsid w:val="00ED6104"/>
    <w:rsid w:val="00ED6395"/>
    <w:rsid w:val="00ED6506"/>
    <w:rsid w:val="00ED668F"/>
    <w:rsid w:val="00ED6693"/>
    <w:rsid w:val="00ED66D4"/>
    <w:rsid w:val="00ED75D0"/>
    <w:rsid w:val="00ED7839"/>
    <w:rsid w:val="00ED796D"/>
    <w:rsid w:val="00ED7FCF"/>
    <w:rsid w:val="00EE0665"/>
    <w:rsid w:val="00EE06E6"/>
    <w:rsid w:val="00EE11C0"/>
    <w:rsid w:val="00EE11F5"/>
    <w:rsid w:val="00EE1E20"/>
    <w:rsid w:val="00EE216A"/>
    <w:rsid w:val="00EE2229"/>
    <w:rsid w:val="00EE276F"/>
    <w:rsid w:val="00EE2D86"/>
    <w:rsid w:val="00EE3106"/>
    <w:rsid w:val="00EE34D7"/>
    <w:rsid w:val="00EE40D6"/>
    <w:rsid w:val="00EE4119"/>
    <w:rsid w:val="00EE4BBD"/>
    <w:rsid w:val="00EE4BF5"/>
    <w:rsid w:val="00EE5E15"/>
    <w:rsid w:val="00EE5E66"/>
    <w:rsid w:val="00EE5F2F"/>
    <w:rsid w:val="00EE63BF"/>
    <w:rsid w:val="00EE67FB"/>
    <w:rsid w:val="00EE6BF5"/>
    <w:rsid w:val="00EE725B"/>
    <w:rsid w:val="00EE7484"/>
    <w:rsid w:val="00EE765C"/>
    <w:rsid w:val="00EE7693"/>
    <w:rsid w:val="00EEDC4D"/>
    <w:rsid w:val="00EF0470"/>
    <w:rsid w:val="00EF0C39"/>
    <w:rsid w:val="00EF1061"/>
    <w:rsid w:val="00EF10E1"/>
    <w:rsid w:val="00EF19CD"/>
    <w:rsid w:val="00EF1CF5"/>
    <w:rsid w:val="00EF2069"/>
    <w:rsid w:val="00EF20B3"/>
    <w:rsid w:val="00EF267A"/>
    <w:rsid w:val="00EF2A1F"/>
    <w:rsid w:val="00EF2A77"/>
    <w:rsid w:val="00EF2A89"/>
    <w:rsid w:val="00EF2C49"/>
    <w:rsid w:val="00EF2DED"/>
    <w:rsid w:val="00EF3393"/>
    <w:rsid w:val="00EF3512"/>
    <w:rsid w:val="00EF367A"/>
    <w:rsid w:val="00EF37AB"/>
    <w:rsid w:val="00EF3823"/>
    <w:rsid w:val="00EF3946"/>
    <w:rsid w:val="00EF4171"/>
    <w:rsid w:val="00EF4684"/>
    <w:rsid w:val="00EF4E99"/>
    <w:rsid w:val="00EF5159"/>
    <w:rsid w:val="00EF5191"/>
    <w:rsid w:val="00EF58D0"/>
    <w:rsid w:val="00EF5CDD"/>
    <w:rsid w:val="00EF5FAE"/>
    <w:rsid w:val="00EF6270"/>
    <w:rsid w:val="00EF636E"/>
    <w:rsid w:val="00EF653F"/>
    <w:rsid w:val="00EF66B7"/>
    <w:rsid w:val="00EF6983"/>
    <w:rsid w:val="00EF6C14"/>
    <w:rsid w:val="00EF73A2"/>
    <w:rsid w:val="00EF76BE"/>
    <w:rsid w:val="00EF7714"/>
    <w:rsid w:val="00EF7B3E"/>
    <w:rsid w:val="00EF7C65"/>
    <w:rsid w:val="00F0013E"/>
    <w:rsid w:val="00F0054F"/>
    <w:rsid w:val="00F0062B"/>
    <w:rsid w:val="00F00970"/>
    <w:rsid w:val="00F0126C"/>
    <w:rsid w:val="00F022FB"/>
    <w:rsid w:val="00F02BB8"/>
    <w:rsid w:val="00F02D93"/>
    <w:rsid w:val="00F02EEB"/>
    <w:rsid w:val="00F039C2"/>
    <w:rsid w:val="00F03E67"/>
    <w:rsid w:val="00F046C7"/>
    <w:rsid w:val="00F046F6"/>
    <w:rsid w:val="00F04735"/>
    <w:rsid w:val="00F053B9"/>
    <w:rsid w:val="00F059E9"/>
    <w:rsid w:val="00F05A84"/>
    <w:rsid w:val="00F05F53"/>
    <w:rsid w:val="00F0635A"/>
    <w:rsid w:val="00F0671E"/>
    <w:rsid w:val="00F06CFB"/>
    <w:rsid w:val="00F070A3"/>
    <w:rsid w:val="00F0720C"/>
    <w:rsid w:val="00F076A3"/>
    <w:rsid w:val="00F0783B"/>
    <w:rsid w:val="00F07A5F"/>
    <w:rsid w:val="00F07D0B"/>
    <w:rsid w:val="00F07D6A"/>
    <w:rsid w:val="00F102AE"/>
    <w:rsid w:val="00F102D1"/>
    <w:rsid w:val="00F10D68"/>
    <w:rsid w:val="00F116B8"/>
    <w:rsid w:val="00F1197C"/>
    <w:rsid w:val="00F119F4"/>
    <w:rsid w:val="00F11A01"/>
    <w:rsid w:val="00F12293"/>
    <w:rsid w:val="00F122FA"/>
    <w:rsid w:val="00F12462"/>
    <w:rsid w:val="00F12DE9"/>
    <w:rsid w:val="00F12EC0"/>
    <w:rsid w:val="00F12F69"/>
    <w:rsid w:val="00F135F0"/>
    <w:rsid w:val="00F1363E"/>
    <w:rsid w:val="00F137BE"/>
    <w:rsid w:val="00F14546"/>
    <w:rsid w:val="00F14607"/>
    <w:rsid w:val="00F14917"/>
    <w:rsid w:val="00F15849"/>
    <w:rsid w:val="00F1596C"/>
    <w:rsid w:val="00F15D07"/>
    <w:rsid w:val="00F15D96"/>
    <w:rsid w:val="00F15F35"/>
    <w:rsid w:val="00F168A4"/>
    <w:rsid w:val="00F16BA8"/>
    <w:rsid w:val="00F175AE"/>
    <w:rsid w:val="00F17634"/>
    <w:rsid w:val="00F17CAA"/>
    <w:rsid w:val="00F2047B"/>
    <w:rsid w:val="00F207FA"/>
    <w:rsid w:val="00F2090F"/>
    <w:rsid w:val="00F20952"/>
    <w:rsid w:val="00F21B8A"/>
    <w:rsid w:val="00F21DFC"/>
    <w:rsid w:val="00F21F62"/>
    <w:rsid w:val="00F22016"/>
    <w:rsid w:val="00F2216B"/>
    <w:rsid w:val="00F22290"/>
    <w:rsid w:val="00F22505"/>
    <w:rsid w:val="00F22668"/>
    <w:rsid w:val="00F22EE4"/>
    <w:rsid w:val="00F23206"/>
    <w:rsid w:val="00F235C6"/>
    <w:rsid w:val="00F24669"/>
    <w:rsid w:val="00F24AB7"/>
    <w:rsid w:val="00F24E8E"/>
    <w:rsid w:val="00F25641"/>
    <w:rsid w:val="00F256BE"/>
    <w:rsid w:val="00F25A82"/>
    <w:rsid w:val="00F25F1B"/>
    <w:rsid w:val="00F2630A"/>
    <w:rsid w:val="00F26509"/>
    <w:rsid w:val="00F266C7"/>
    <w:rsid w:val="00F266E2"/>
    <w:rsid w:val="00F26778"/>
    <w:rsid w:val="00F26809"/>
    <w:rsid w:val="00F26824"/>
    <w:rsid w:val="00F26BA9"/>
    <w:rsid w:val="00F26C5F"/>
    <w:rsid w:val="00F26F51"/>
    <w:rsid w:val="00F27372"/>
    <w:rsid w:val="00F27C79"/>
    <w:rsid w:val="00F29EBD"/>
    <w:rsid w:val="00F30A43"/>
    <w:rsid w:val="00F31106"/>
    <w:rsid w:val="00F31147"/>
    <w:rsid w:val="00F31318"/>
    <w:rsid w:val="00F31564"/>
    <w:rsid w:val="00F31F0A"/>
    <w:rsid w:val="00F31FB6"/>
    <w:rsid w:val="00F32520"/>
    <w:rsid w:val="00F32523"/>
    <w:rsid w:val="00F32F45"/>
    <w:rsid w:val="00F336B5"/>
    <w:rsid w:val="00F338EC"/>
    <w:rsid w:val="00F3395D"/>
    <w:rsid w:val="00F33C2C"/>
    <w:rsid w:val="00F33D72"/>
    <w:rsid w:val="00F33F21"/>
    <w:rsid w:val="00F3400F"/>
    <w:rsid w:val="00F340D5"/>
    <w:rsid w:val="00F34592"/>
    <w:rsid w:val="00F34B9E"/>
    <w:rsid w:val="00F352AD"/>
    <w:rsid w:val="00F353E0"/>
    <w:rsid w:val="00F361D5"/>
    <w:rsid w:val="00F362F0"/>
    <w:rsid w:val="00F3689B"/>
    <w:rsid w:val="00F371A4"/>
    <w:rsid w:val="00F373CF"/>
    <w:rsid w:val="00F37506"/>
    <w:rsid w:val="00F37AB2"/>
    <w:rsid w:val="00F37CE6"/>
    <w:rsid w:val="00F401C0"/>
    <w:rsid w:val="00F401CA"/>
    <w:rsid w:val="00F40287"/>
    <w:rsid w:val="00F41020"/>
    <w:rsid w:val="00F410BC"/>
    <w:rsid w:val="00F424B6"/>
    <w:rsid w:val="00F42D0A"/>
    <w:rsid w:val="00F4310B"/>
    <w:rsid w:val="00F43698"/>
    <w:rsid w:val="00F43A99"/>
    <w:rsid w:val="00F43E44"/>
    <w:rsid w:val="00F444E4"/>
    <w:rsid w:val="00F44CDA"/>
    <w:rsid w:val="00F45454"/>
    <w:rsid w:val="00F45803"/>
    <w:rsid w:val="00F46027"/>
    <w:rsid w:val="00F465DD"/>
    <w:rsid w:val="00F4672F"/>
    <w:rsid w:val="00F4685D"/>
    <w:rsid w:val="00F46E4A"/>
    <w:rsid w:val="00F47022"/>
    <w:rsid w:val="00F4779F"/>
    <w:rsid w:val="00F47952"/>
    <w:rsid w:val="00F479D3"/>
    <w:rsid w:val="00F502C1"/>
    <w:rsid w:val="00F512C4"/>
    <w:rsid w:val="00F51858"/>
    <w:rsid w:val="00F51A78"/>
    <w:rsid w:val="00F51D91"/>
    <w:rsid w:val="00F5201D"/>
    <w:rsid w:val="00F522B3"/>
    <w:rsid w:val="00F52C18"/>
    <w:rsid w:val="00F52EBD"/>
    <w:rsid w:val="00F5339C"/>
    <w:rsid w:val="00F5343D"/>
    <w:rsid w:val="00F53ED3"/>
    <w:rsid w:val="00F54240"/>
    <w:rsid w:val="00F54DF5"/>
    <w:rsid w:val="00F551B5"/>
    <w:rsid w:val="00F5531B"/>
    <w:rsid w:val="00F5535D"/>
    <w:rsid w:val="00F5567F"/>
    <w:rsid w:val="00F559D4"/>
    <w:rsid w:val="00F56008"/>
    <w:rsid w:val="00F56234"/>
    <w:rsid w:val="00F56472"/>
    <w:rsid w:val="00F56750"/>
    <w:rsid w:val="00F56834"/>
    <w:rsid w:val="00F56D15"/>
    <w:rsid w:val="00F579E2"/>
    <w:rsid w:val="00F6009A"/>
    <w:rsid w:val="00F604B4"/>
    <w:rsid w:val="00F608C2"/>
    <w:rsid w:val="00F60ACE"/>
    <w:rsid w:val="00F6140D"/>
    <w:rsid w:val="00F615D2"/>
    <w:rsid w:val="00F61A0A"/>
    <w:rsid w:val="00F62223"/>
    <w:rsid w:val="00F62950"/>
    <w:rsid w:val="00F62C12"/>
    <w:rsid w:val="00F62E2D"/>
    <w:rsid w:val="00F636AE"/>
    <w:rsid w:val="00F64431"/>
    <w:rsid w:val="00F64485"/>
    <w:rsid w:val="00F647CB"/>
    <w:rsid w:val="00F64B39"/>
    <w:rsid w:val="00F64E81"/>
    <w:rsid w:val="00F64EEB"/>
    <w:rsid w:val="00F65311"/>
    <w:rsid w:val="00F6559A"/>
    <w:rsid w:val="00F661F9"/>
    <w:rsid w:val="00F663AE"/>
    <w:rsid w:val="00F676A2"/>
    <w:rsid w:val="00F679BC"/>
    <w:rsid w:val="00F679DE"/>
    <w:rsid w:val="00F67D94"/>
    <w:rsid w:val="00F7020E"/>
    <w:rsid w:val="00F7048D"/>
    <w:rsid w:val="00F705AB"/>
    <w:rsid w:val="00F70CD1"/>
    <w:rsid w:val="00F71602"/>
    <w:rsid w:val="00F71864"/>
    <w:rsid w:val="00F7189E"/>
    <w:rsid w:val="00F72781"/>
    <w:rsid w:val="00F72981"/>
    <w:rsid w:val="00F72A71"/>
    <w:rsid w:val="00F72D60"/>
    <w:rsid w:val="00F72EAD"/>
    <w:rsid w:val="00F73F37"/>
    <w:rsid w:val="00F74369"/>
    <w:rsid w:val="00F74370"/>
    <w:rsid w:val="00F745AF"/>
    <w:rsid w:val="00F745FA"/>
    <w:rsid w:val="00F74BD8"/>
    <w:rsid w:val="00F74E0D"/>
    <w:rsid w:val="00F7508A"/>
    <w:rsid w:val="00F75250"/>
    <w:rsid w:val="00F755A5"/>
    <w:rsid w:val="00F75816"/>
    <w:rsid w:val="00F75AA0"/>
    <w:rsid w:val="00F76127"/>
    <w:rsid w:val="00F76448"/>
    <w:rsid w:val="00F766DD"/>
    <w:rsid w:val="00F768D2"/>
    <w:rsid w:val="00F76A98"/>
    <w:rsid w:val="00F76B02"/>
    <w:rsid w:val="00F76EBE"/>
    <w:rsid w:val="00F76ECF"/>
    <w:rsid w:val="00F76EE9"/>
    <w:rsid w:val="00F7706D"/>
    <w:rsid w:val="00F771D4"/>
    <w:rsid w:val="00F772FB"/>
    <w:rsid w:val="00F7733F"/>
    <w:rsid w:val="00F7768A"/>
    <w:rsid w:val="00F77698"/>
    <w:rsid w:val="00F77A30"/>
    <w:rsid w:val="00F77DFC"/>
    <w:rsid w:val="00F77F45"/>
    <w:rsid w:val="00F77F81"/>
    <w:rsid w:val="00F80B31"/>
    <w:rsid w:val="00F80C8A"/>
    <w:rsid w:val="00F810BA"/>
    <w:rsid w:val="00F81511"/>
    <w:rsid w:val="00F81591"/>
    <w:rsid w:val="00F815B2"/>
    <w:rsid w:val="00F81B54"/>
    <w:rsid w:val="00F820D3"/>
    <w:rsid w:val="00F821D2"/>
    <w:rsid w:val="00F823A0"/>
    <w:rsid w:val="00F82531"/>
    <w:rsid w:val="00F8258B"/>
    <w:rsid w:val="00F82742"/>
    <w:rsid w:val="00F82CAD"/>
    <w:rsid w:val="00F83BDF"/>
    <w:rsid w:val="00F83F2A"/>
    <w:rsid w:val="00F8408D"/>
    <w:rsid w:val="00F84832"/>
    <w:rsid w:val="00F84AD6"/>
    <w:rsid w:val="00F84DC4"/>
    <w:rsid w:val="00F853D1"/>
    <w:rsid w:val="00F856DA"/>
    <w:rsid w:val="00F85973"/>
    <w:rsid w:val="00F85A24"/>
    <w:rsid w:val="00F85B3A"/>
    <w:rsid w:val="00F85DCE"/>
    <w:rsid w:val="00F85E6C"/>
    <w:rsid w:val="00F8637F"/>
    <w:rsid w:val="00F868D2"/>
    <w:rsid w:val="00F86DCA"/>
    <w:rsid w:val="00F86F9B"/>
    <w:rsid w:val="00F86F9D"/>
    <w:rsid w:val="00F87863"/>
    <w:rsid w:val="00F87A54"/>
    <w:rsid w:val="00F8C8B9"/>
    <w:rsid w:val="00F900F3"/>
    <w:rsid w:val="00F90488"/>
    <w:rsid w:val="00F9067E"/>
    <w:rsid w:val="00F90AF0"/>
    <w:rsid w:val="00F9204B"/>
    <w:rsid w:val="00F921AF"/>
    <w:rsid w:val="00F92ED8"/>
    <w:rsid w:val="00F931C5"/>
    <w:rsid w:val="00F93636"/>
    <w:rsid w:val="00F936E4"/>
    <w:rsid w:val="00F9388D"/>
    <w:rsid w:val="00F93B01"/>
    <w:rsid w:val="00F93C1B"/>
    <w:rsid w:val="00F93EA9"/>
    <w:rsid w:val="00F94B65"/>
    <w:rsid w:val="00F9552B"/>
    <w:rsid w:val="00F957F0"/>
    <w:rsid w:val="00F95F3C"/>
    <w:rsid w:val="00F95FDB"/>
    <w:rsid w:val="00F9640C"/>
    <w:rsid w:val="00F9689C"/>
    <w:rsid w:val="00F96A69"/>
    <w:rsid w:val="00F96C31"/>
    <w:rsid w:val="00F96C5C"/>
    <w:rsid w:val="00F96CD7"/>
    <w:rsid w:val="00F96DC1"/>
    <w:rsid w:val="00F97388"/>
    <w:rsid w:val="00F97A98"/>
    <w:rsid w:val="00FA0091"/>
    <w:rsid w:val="00FA0719"/>
    <w:rsid w:val="00FA08A4"/>
    <w:rsid w:val="00FA0BF0"/>
    <w:rsid w:val="00FA0C17"/>
    <w:rsid w:val="00FA1325"/>
    <w:rsid w:val="00FA1406"/>
    <w:rsid w:val="00FA191E"/>
    <w:rsid w:val="00FA1CE8"/>
    <w:rsid w:val="00FA25DC"/>
    <w:rsid w:val="00FA2713"/>
    <w:rsid w:val="00FA3104"/>
    <w:rsid w:val="00FA3235"/>
    <w:rsid w:val="00FA33CF"/>
    <w:rsid w:val="00FA3449"/>
    <w:rsid w:val="00FA34DD"/>
    <w:rsid w:val="00FA3910"/>
    <w:rsid w:val="00FA3DC4"/>
    <w:rsid w:val="00FA4770"/>
    <w:rsid w:val="00FA4BF7"/>
    <w:rsid w:val="00FA4C69"/>
    <w:rsid w:val="00FA5039"/>
    <w:rsid w:val="00FA542E"/>
    <w:rsid w:val="00FA5487"/>
    <w:rsid w:val="00FA58BC"/>
    <w:rsid w:val="00FA70BA"/>
    <w:rsid w:val="00FA7150"/>
    <w:rsid w:val="00FA78B2"/>
    <w:rsid w:val="00FA7DD7"/>
    <w:rsid w:val="00FB06F6"/>
    <w:rsid w:val="00FB078E"/>
    <w:rsid w:val="00FB0B9E"/>
    <w:rsid w:val="00FB1207"/>
    <w:rsid w:val="00FB130F"/>
    <w:rsid w:val="00FB15F3"/>
    <w:rsid w:val="00FB1894"/>
    <w:rsid w:val="00FB18C6"/>
    <w:rsid w:val="00FB18F9"/>
    <w:rsid w:val="00FB2B47"/>
    <w:rsid w:val="00FB2BE0"/>
    <w:rsid w:val="00FB2F10"/>
    <w:rsid w:val="00FB34D2"/>
    <w:rsid w:val="00FB482E"/>
    <w:rsid w:val="00FB4A09"/>
    <w:rsid w:val="00FB4C3E"/>
    <w:rsid w:val="00FB4C72"/>
    <w:rsid w:val="00FB526E"/>
    <w:rsid w:val="00FB58E7"/>
    <w:rsid w:val="00FB5939"/>
    <w:rsid w:val="00FB5E0B"/>
    <w:rsid w:val="00FB5FA1"/>
    <w:rsid w:val="00FB6FB1"/>
    <w:rsid w:val="00FB73F3"/>
    <w:rsid w:val="00FB74D2"/>
    <w:rsid w:val="00FB7CDE"/>
    <w:rsid w:val="00FC0B3F"/>
    <w:rsid w:val="00FC111F"/>
    <w:rsid w:val="00FC1312"/>
    <w:rsid w:val="00FC131D"/>
    <w:rsid w:val="00FC1934"/>
    <w:rsid w:val="00FC19E2"/>
    <w:rsid w:val="00FC210D"/>
    <w:rsid w:val="00FC22B8"/>
    <w:rsid w:val="00FC3BD4"/>
    <w:rsid w:val="00FC415B"/>
    <w:rsid w:val="00FC503C"/>
    <w:rsid w:val="00FC5405"/>
    <w:rsid w:val="00FC5CFB"/>
    <w:rsid w:val="00FC5DA9"/>
    <w:rsid w:val="00FC6556"/>
    <w:rsid w:val="00FC663B"/>
    <w:rsid w:val="00FC6791"/>
    <w:rsid w:val="00FC6C9B"/>
    <w:rsid w:val="00FC6DA5"/>
    <w:rsid w:val="00FC6FAF"/>
    <w:rsid w:val="00FC78B9"/>
    <w:rsid w:val="00FC7AFD"/>
    <w:rsid w:val="00FC7B73"/>
    <w:rsid w:val="00FC7EA7"/>
    <w:rsid w:val="00FC7F7F"/>
    <w:rsid w:val="00FD04EC"/>
    <w:rsid w:val="00FD0790"/>
    <w:rsid w:val="00FD0FF2"/>
    <w:rsid w:val="00FD2102"/>
    <w:rsid w:val="00FD237D"/>
    <w:rsid w:val="00FD23CB"/>
    <w:rsid w:val="00FD282E"/>
    <w:rsid w:val="00FD2946"/>
    <w:rsid w:val="00FD2A53"/>
    <w:rsid w:val="00FD2E09"/>
    <w:rsid w:val="00FD2F00"/>
    <w:rsid w:val="00FD37C4"/>
    <w:rsid w:val="00FD39B8"/>
    <w:rsid w:val="00FD3B70"/>
    <w:rsid w:val="00FD444F"/>
    <w:rsid w:val="00FD4486"/>
    <w:rsid w:val="00FD47EA"/>
    <w:rsid w:val="00FD51A2"/>
    <w:rsid w:val="00FD58E5"/>
    <w:rsid w:val="00FD5964"/>
    <w:rsid w:val="00FD6116"/>
    <w:rsid w:val="00FD62E3"/>
    <w:rsid w:val="00FD656F"/>
    <w:rsid w:val="00FD6772"/>
    <w:rsid w:val="00FD6773"/>
    <w:rsid w:val="00FD679F"/>
    <w:rsid w:val="00FD7320"/>
    <w:rsid w:val="00FD7A60"/>
    <w:rsid w:val="00FD7CDC"/>
    <w:rsid w:val="00FD7E3C"/>
    <w:rsid w:val="00FD7FFD"/>
    <w:rsid w:val="00FDD9E3"/>
    <w:rsid w:val="00FE003F"/>
    <w:rsid w:val="00FE01DA"/>
    <w:rsid w:val="00FE06C9"/>
    <w:rsid w:val="00FE0789"/>
    <w:rsid w:val="00FE092F"/>
    <w:rsid w:val="00FE0A58"/>
    <w:rsid w:val="00FE0AB4"/>
    <w:rsid w:val="00FE0BD1"/>
    <w:rsid w:val="00FE1307"/>
    <w:rsid w:val="00FE2258"/>
    <w:rsid w:val="00FE22E5"/>
    <w:rsid w:val="00FE2CB9"/>
    <w:rsid w:val="00FE38D4"/>
    <w:rsid w:val="00FE4243"/>
    <w:rsid w:val="00FE448C"/>
    <w:rsid w:val="00FE4693"/>
    <w:rsid w:val="00FE4A64"/>
    <w:rsid w:val="00FE517B"/>
    <w:rsid w:val="00FE537B"/>
    <w:rsid w:val="00FE54FB"/>
    <w:rsid w:val="00FE555F"/>
    <w:rsid w:val="00FE5608"/>
    <w:rsid w:val="00FE5AC9"/>
    <w:rsid w:val="00FE5CE9"/>
    <w:rsid w:val="00FE6B6E"/>
    <w:rsid w:val="00FE70D8"/>
    <w:rsid w:val="00FE7688"/>
    <w:rsid w:val="00FE7792"/>
    <w:rsid w:val="00FE7C30"/>
    <w:rsid w:val="00FE7FBE"/>
    <w:rsid w:val="00FE7FE1"/>
    <w:rsid w:val="00FF0490"/>
    <w:rsid w:val="00FF05F6"/>
    <w:rsid w:val="00FF0620"/>
    <w:rsid w:val="00FF0721"/>
    <w:rsid w:val="00FF0810"/>
    <w:rsid w:val="00FF0FAD"/>
    <w:rsid w:val="00FF13FC"/>
    <w:rsid w:val="00FF145A"/>
    <w:rsid w:val="00FF16BB"/>
    <w:rsid w:val="00FF1C33"/>
    <w:rsid w:val="00FF245F"/>
    <w:rsid w:val="00FF2477"/>
    <w:rsid w:val="00FF2579"/>
    <w:rsid w:val="00FF2973"/>
    <w:rsid w:val="00FF312D"/>
    <w:rsid w:val="00FF3295"/>
    <w:rsid w:val="00FF3F75"/>
    <w:rsid w:val="00FF41B6"/>
    <w:rsid w:val="00FF45C9"/>
    <w:rsid w:val="00FF4676"/>
    <w:rsid w:val="00FF4775"/>
    <w:rsid w:val="00FF484D"/>
    <w:rsid w:val="00FF487C"/>
    <w:rsid w:val="00FF4C6F"/>
    <w:rsid w:val="00FF4C9A"/>
    <w:rsid w:val="00FF544C"/>
    <w:rsid w:val="00FF5E10"/>
    <w:rsid w:val="00FF5F40"/>
    <w:rsid w:val="00FF621A"/>
    <w:rsid w:val="00FF68BB"/>
    <w:rsid w:val="00FF6957"/>
    <w:rsid w:val="00FF6BA1"/>
    <w:rsid w:val="00FF6DE8"/>
    <w:rsid w:val="00FF71CE"/>
    <w:rsid w:val="00FF792B"/>
    <w:rsid w:val="00FF7A11"/>
    <w:rsid w:val="0101FE95"/>
    <w:rsid w:val="010389C6"/>
    <w:rsid w:val="010BD33F"/>
    <w:rsid w:val="011A0FCA"/>
    <w:rsid w:val="01280D28"/>
    <w:rsid w:val="01347747"/>
    <w:rsid w:val="0135D9BA"/>
    <w:rsid w:val="01391306"/>
    <w:rsid w:val="013F7023"/>
    <w:rsid w:val="014297FD"/>
    <w:rsid w:val="01556B97"/>
    <w:rsid w:val="015FC146"/>
    <w:rsid w:val="01670130"/>
    <w:rsid w:val="0169B3C7"/>
    <w:rsid w:val="016D635A"/>
    <w:rsid w:val="017A50C9"/>
    <w:rsid w:val="017C6E63"/>
    <w:rsid w:val="01899682"/>
    <w:rsid w:val="018DE9A6"/>
    <w:rsid w:val="019245D5"/>
    <w:rsid w:val="01C9A007"/>
    <w:rsid w:val="01CCEFF6"/>
    <w:rsid w:val="01CF1495"/>
    <w:rsid w:val="01D1606C"/>
    <w:rsid w:val="01D967BB"/>
    <w:rsid w:val="01E27009"/>
    <w:rsid w:val="01F10724"/>
    <w:rsid w:val="01F7BB5C"/>
    <w:rsid w:val="020C5486"/>
    <w:rsid w:val="02173B09"/>
    <w:rsid w:val="0219160A"/>
    <w:rsid w:val="022743BC"/>
    <w:rsid w:val="022B43C0"/>
    <w:rsid w:val="023E6FA6"/>
    <w:rsid w:val="02447BCC"/>
    <w:rsid w:val="0245FCA9"/>
    <w:rsid w:val="024AD050"/>
    <w:rsid w:val="0250F0BA"/>
    <w:rsid w:val="02650C3D"/>
    <w:rsid w:val="026AE991"/>
    <w:rsid w:val="02710C59"/>
    <w:rsid w:val="027A22B8"/>
    <w:rsid w:val="027BE53D"/>
    <w:rsid w:val="028175C4"/>
    <w:rsid w:val="0284C1A6"/>
    <w:rsid w:val="0289DDFE"/>
    <w:rsid w:val="028F62B6"/>
    <w:rsid w:val="0294CA13"/>
    <w:rsid w:val="02977AD1"/>
    <w:rsid w:val="029804FA"/>
    <w:rsid w:val="02A1570A"/>
    <w:rsid w:val="02A6D1FA"/>
    <w:rsid w:val="02A79246"/>
    <w:rsid w:val="02AF0E88"/>
    <w:rsid w:val="02BA1CF2"/>
    <w:rsid w:val="02D6E18E"/>
    <w:rsid w:val="02E030C0"/>
    <w:rsid w:val="02E375AF"/>
    <w:rsid w:val="02E95DE8"/>
    <w:rsid w:val="02ED2E31"/>
    <w:rsid w:val="02F03BDC"/>
    <w:rsid w:val="0308E1BA"/>
    <w:rsid w:val="031A55CC"/>
    <w:rsid w:val="031C2C2E"/>
    <w:rsid w:val="03206DA2"/>
    <w:rsid w:val="03254C37"/>
    <w:rsid w:val="03265E2D"/>
    <w:rsid w:val="03266873"/>
    <w:rsid w:val="0335F804"/>
    <w:rsid w:val="033D4667"/>
    <w:rsid w:val="034270ED"/>
    <w:rsid w:val="034D2A0D"/>
    <w:rsid w:val="0357EAF7"/>
    <w:rsid w:val="036F45E4"/>
    <w:rsid w:val="03742AAA"/>
    <w:rsid w:val="03757BA3"/>
    <w:rsid w:val="0375DB04"/>
    <w:rsid w:val="038CEAD8"/>
    <w:rsid w:val="038D7C44"/>
    <w:rsid w:val="039D1114"/>
    <w:rsid w:val="039E323F"/>
    <w:rsid w:val="039F0331"/>
    <w:rsid w:val="03A35770"/>
    <w:rsid w:val="03A65270"/>
    <w:rsid w:val="03D93007"/>
    <w:rsid w:val="03E00CD5"/>
    <w:rsid w:val="03EC924F"/>
    <w:rsid w:val="03F1041B"/>
    <w:rsid w:val="03F6A0D3"/>
    <w:rsid w:val="03FCEF0E"/>
    <w:rsid w:val="040287AB"/>
    <w:rsid w:val="04038FFF"/>
    <w:rsid w:val="040E74C2"/>
    <w:rsid w:val="040FF8BA"/>
    <w:rsid w:val="0415BA64"/>
    <w:rsid w:val="04401EEA"/>
    <w:rsid w:val="0442397C"/>
    <w:rsid w:val="0459B790"/>
    <w:rsid w:val="045D3701"/>
    <w:rsid w:val="0464B88F"/>
    <w:rsid w:val="046FE5F0"/>
    <w:rsid w:val="0474994B"/>
    <w:rsid w:val="0479F075"/>
    <w:rsid w:val="047C634B"/>
    <w:rsid w:val="0482A48C"/>
    <w:rsid w:val="048460CA"/>
    <w:rsid w:val="0488DC01"/>
    <w:rsid w:val="0495CDA8"/>
    <w:rsid w:val="04BAC4EE"/>
    <w:rsid w:val="04D69B64"/>
    <w:rsid w:val="04E4EC45"/>
    <w:rsid w:val="0515882D"/>
    <w:rsid w:val="051595DD"/>
    <w:rsid w:val="051976B4"/>
    <w:rsid w:val="052DE5F9"/>
    <w:rsid w:val="052E64E3"/>
    <w:rsid w:val="05305E3F"/>
    <w:rsid w:val="054355E1"/>
    <w:rsid w:val="054D7CFC"/>
    <w:rsid w:val="05563D34"/>
    <w:rsid w:val="0559501F"/>
    <w:rsid w:val="055E0CE2"/>
    <w:rsid w:val="0567F8B0"/>
    <w:rsid w:val="057C0B06"/>
    <w:rsid w:val="058A855E"/>
    <w:rsid w:val="058EF41B"/>
    <w:rsid w:val="0591537F"/>
    <w:rsid w:val="059B0807"/>
    <w:rsid w:val="059E5735"/>
    <w:rsid w:val="05ACD9D4"/>
    <w:rsid w:val="05C5F4A6"/>
    <w:rsid w:val="05CBCBF0"/>
    <w:rsid w:val="05CCB6CB"/>
    <w:rsid w:val="05D06E34"/>
    <w:rsid w:val="05D5E936"/>
    <w:rsid w:val="05D6F1A7"/>
    <w:rsid w:val="05DD90BC"/>
    <w:rsid w:val="061B9B43"/>
    <w:rsid w:val="061E2A25"/>
    <w:rsid w:val="061F2A65"/>
    <w:rsid w:val="06272350"/>
    <w:rsid w:val="063427C5"/>
    <w:rsid w:val="0640411E"/>
    <w:rsid w:val="064128A0"/>
    <w:rsid w:val="06470925"/>
    <w:rsid w:val="06474BF7"/>
    <w:rsid w:val="064F0578"/>
    <w:rsid w:val="0656B890"/>
    <w:rsid w:val="066A32E5"/>
    <w:rsid w:val="066F5BEF"/>
    <w:rsid w:val="067082AE"/>
    <w:rsid w:val="06723635"/>
    <w:rsid w:val="067DA1CF"/>
    <w:rsid w:val="06811E77"/>
    <w:rsid w:val="068B4C4A"/>
    <w:rsid w:val="069604CC"/>
    <w:rsid w:val="069A6262"/>
    <w:rsid w:val="069AB351"/>
    <w:rsid w:val="069CB980"/>
    <w:rsid w:val="06B15A20"/>
    <w:rsid w:val="06CA6864"/>
    <w:rsid w:val="06CF1A44"/>
    <w:rsid w:val="06DCA1F3"/>
    <w:rsid w:val="06E57E39"/>
    <w:rsid w:val="06FBDD16"/>
    <w:rsid w:val="06FE77C2"/>
    <w:rsid w:val="06FF27D8"/>
    <w:rsid w:val="072ED331"/>
    <w:rsid w:val="07449806"/>
    <w:rsid w:val="0746CAA1"/>
    <w:rsid w:val="074CD0AC"/>
    <w:rsid w:val="074FB903"/>
    <w:rsid w:val="0754CB1D"/>
    <w:rsid w:val="07567E0F"/>
    <w:rsid w:val="0759C6C0"/>
    <w:rsid w:val="0765BA76"/>
    <w:rsid w:val="076A4F22"/>
    <w:rsid w:val="076F622C"/>
    <w:rsid w:val="077602C9"/>
    <w:rsid w:val="07848857"/>
    <w:rsid w:val="07892965"/>
    <w:rsid w:val="079FA833"/>
    <w:rsid w:val="079FB0C6"/>
    <w:rsid w:val="07A5DB61"/>
    <w:rsid w:val="07AC3FE6"/>
    <w:rsid w:val="07BE09A3"/>
    <w:rsid w:val="07C15C58"/>
    <w:rsid w:val="07C39385"/>
    <w:rsid w:val="07C4EEC2"/>
    <w:rsid w:val="07CFD8E7"/>
    <w:rsid w:val="07D9CB7C"/>
    <w:rsid w:val="07E1CFC3"/>
    <w:rsid w:val="07EC78E1"/>
    <w:rsid w:val="080882FA"/>
    <w:rsid w:val="0824CFD5"/>
    <w:rsid w:val="08272697"/>
    <w:rsid w:val="0829F35C"/>
    <w:rsid w:val="082C2E7C"/>
    <w:rsid w:val="082FFAB2"/>
    <w:rsid w:val="08374D1E"/>
    <w:rsid w:val="08463EBB"/>
    <w:rsid w:val="084BF568"/>
    <w:rsid w:val="08576EC2"/>
    <w:rsid w:val="0863B04B"/>
    <w:rsid w:val="086B08B0"/>
    <w:rsid w:val="086E7D36"/>
    <w:rsid w:val="086E89D6"/>
    <w:rsid w:val="0874EF59"/>
    <w:rsid w:val="087628D8"/>
    <w:rsid w:val="08818FFF"/>
    <w:rsid w:val="088EC478"/>
    <w:rsid w:val="08919501"/>
    <w:rsid w:val="08960F60"/>
    <w:rsid w:val="08A02B48"/>
    <w:rsid w:val="08A04C39"/>
    <w:rsid w:val="08A4152E"/>
    <w:rsid w:val="08BF55D4"/>
    <w:rsid w:val="08CAE899"/>
    <w:rsid w:val="08D8211B"/>
    <w:rsid w:val="08DD3445"/>
    <w:rsid w:val="0900BD23"/>
    <w:rsid w:val="09019CBA"/>
    <w:rsid w:val="092747E9"/>
    <w:rsid w:val="09276AE8"/>
    <w:rsid w:val="09375383"/>
    <w:rsid w:val="093B1BD2"/>
    <w:rsid w:val="0943CF15"/>
    <w:rsid w:val="094AA30A"/>
    <w:rsid w:val="094E3A6C"/>
    <w:rsid w:val="0952AF76"/>
    <w:rsid w:val="0953A3AA"/>
    <w:rsid w:val="095A6C38"/>
    <w:rsid w:val="0972223A"/>
    <w:rsid w:val="09748D7A"/>
    <w:rsid w:val="098038F8"/>
    <w:rsid w:val="098778F6"/>
    <w:rsid w:val="098C3EA0"/>
    <w:rsid w:val="099EB474"/>
    <w:rsid w:val="099EE64D"/>
    <w:rsid w:val="09A664F6"/>
    <w:rsid w:val="09A8D3CB"/>
    <w:rsid w:val="09C1D942"/>
    <w:rsid w:val="09F65A4A"/>
    <w:rsid w:val="0A11956C"/>
    <w:rsid w:val="0A1C2D36"/>
    <w:rsid w:val="0A2CFE46"/>
    <w:rsid w:val="0A2E7776"/>
    <w:rsid w:val="0A30A26A"/>
    <w:rsid w:val="0A3680D6"/>
    <w:rsid w:val="0A468EB6"/>
    <w:rsid w:val="0A5844A1"/>
    <w:rsid w:val="0A5EE65B"/>
    <w:rsid w:val="0A68013F"/>
    <w:rsid w:val="0A683DCE"/>
    <w:rsid w:val="0A68B672"/>
    <w:rsid w:val="0A6C0435"/>
    <w:rsid w:val="0A7840F2"/>
    <w:rsid w:val="0A79A668"/>
    <w:rsid w:val="0A8D4BFC"/>
    <w:rsid w:val="0A99DBF7"/>
    <w:rsid w:val="0AAC3EC7"/>
    <w:rsid w:val="0AC2EC27"/>
    <w:rsid w:val="0AC6FB0B"/>
    <w:rsid w:val="0AC91BAC"/>
    <w:rsid w:val="0AC9EBA3"/>
    <w:rsid w:val="0ACE8806"/>
    <w:rsid w:val="0AE0444A"/>
    <w:rsid w:val="0AE0A2D7"/>
    <w:rsid w:val="0AE85B57"/>
    <w:rsid w:val="0B03586B"/>
    <w:rsid w:val="0B14D9FC"/>
    <w:rsid w:val="0B2BCD1D"/>
    <w:rsid w:val="0B31C4C2"/>
    <w:rsid w:val="0B3209EF"/>
    <w:rsid w:val="0B410254"/>
    <w:rsid w:val="0B43967B"/>
    <w:rsid w:val="0B4674D8"/>
    <w:rsid w:val="0B575FC8"/>
    <w:rsid w:val="0B592337"/>
    <w:rsid w:val="0B66A12B"/>
    <w:rsid w:val="0B73C10A"/>
    <w:rsid w:val="0B750504"/>
    <w:rsid w:val="0B76206C"/>
    <w:rsid w:val="0B82F34E"/>
    <w:rsid w:val="0B9301D6"/>
    <w:rsid w:val="0B944954"/>
    <w:rsid w:val="0BAA39BB"/>
    <w:rsid w:val="0BB496BC"/>
    <w:rsid w:val="0BB59F62"/>
    <w:rsid w:val="0BC9C42B"/>
    <w:rsid w:val="0BD0E883"/>
    <w:rsid w:val="0BEAFA8F"/>
    <w:rsid w:val="0BED98A4"/>
    <w:rsid w:val="0BFD8C20"/>
    <w:rsid w:val="0BFDB171"/>
    <w:rsid w:val="0BFFA879"/>
    <w:rsid w:val="0BFFB098"/>
    <w:rsid w:val="0C0F7E93"/>
    <w:rsid w:val="0C131381"/>
    <w:rsid w:val="0C23E7E6"/>
    <w:rsid w:val="0C2911BF"/>
    <w:rsid w:val="0C352DC2"/>
    <w:rsid w:val="0C46F5B7"/>
    <w:rsid w:val="0C4EE40B"/>
    <w:rsid w:val="0C505BF0"/>
    <w:rsid w:val="0C51885A"/>
    <w:rsid w:val="0C5B3859"/>
    <w:rsid w:val="0C65EE4C"/>
    <w:rsid w:val="0C68AAD7"/>
    <w:rsid w:val="0C8A8C8C"/>
    <w:rsid w:val="0C8B8E79"/>
    <w:rsid w:val="0C8CA458"/>
    <w:rsid w:val="0C8D3BDC"/>
    <w:rsid w:val="0C9405A4"/>
    <w:rsid w:val="0C94D319"/>
    <w:rsid w:val="0C951CC9"/>
    <w:rsid w:val="0CA753AB"/>
    <w:rsid w:val="0CA9CA9C"/>
    <w:rsid w:val="0CB4E2D0"/>
    <w:rsid w:val="0CB8146B"/>
    <w:rsid w:val="0CCC334A"/>
    <w:rsid w:val="0CCC5232"/>
    <w:rsid w:val="0CD7275B"/>
    <w:rsid w:val="0CDAD8F5"/>
    <w:rsid w:val="0CDFAFE5"/>
    <w:rsid w:val="0CF70682"/>
    <w:rsid w:val="0D071D2B"/>
    <w:rsid w:val="0D0BBB0E"/>
    <w:rsid w:val="0D187DA0"/>
    <w:rsid w:val="0D1F6E32"/>
    <w:rsid w:val="0D22ACF4"/>
    <w:rsid w:val="0D25F86E"/>
    <w:rsid w:val="0D2C56AD"/>
    <w:rsid w:val="0D30AF7F"/>
    <w:rsid w:val="0D36EA1F"/>
    <w:rsid w:val="0D3E28E4"/>
    <w:rsid w:val="0D3F7137"/>
    <w:rsid w:val="0D4CD66E"/>
    <w:rsid w:val="0D5A827D"/>
    <w:rsid w:val="0D5D7867"/>
    <w:rsid w:val="0D68F712"/>
    <w:rsid w:val="0D9AE32C"/>
    <w:rsid w:val="0D9D8CF4"/>
    <w:rsid w:val="0D9FDBC9"/>
    <w:rsid w:val="0DA81941"/>
    <w:rsid w:val="0DAFCB86"/>
    <w:rsid w:val="0DB39686"/>
    <w:rsid w:val="0DB788D4"/>
    <w:rsid w:val="0DBB45F4"/>
    <w:rsid w:val="0DD4342F"/>
    <w:rsid w:val="0DE6C232"/>
    <w:rsid w:val="0DF1520C"/>
    <w:rsid w:val="0E004DEC"/>
    <w:rsid w:val="0E0165F0"/>
    <w:rsid w:val="0E05A7E5"/>
    <w:rsid w:val="0E10B3BE"/>
    <w:rsid w:val="0E160B6D"/>
    <w:rsid w:val="0E1725D2"/>
    <w:rsid w:val="0E1E0750"/>
    <w:rsid w:val="0E272DAC"/>
    <w:rsid w:val="0E32BC91"/>
    <w:rsid w:val="0E4AE565"/>
    <w:rsid w:val="0E4DAE9E"/>
    <w:rsid w:val="0E4F21F3"/>
    <w:rsid w:val="0E58F964"/>
    <w:rsid w:val="0E68250F"/>
    <w:rsid w:val="0E6BBCD2"/>
    <w:rsid w:val="0E71FA9C"/>
    <w:rsid w:val="0E7B356D"/>
    <w:rsid w:val="0E7D5D01"/>
    <w:rsid w:val="0E8EDFDD"/>
    <w:rsid w:val="0E8FE7A2"/>
    <w:rsid w:val="0E9797E8"/>
    <w:rsid w:val="0EA61E73"/>
    <w:rsid w:val="0EAEE46D"/>
    <w:rsid w:val="0EB1A649"/>
    <w:rsid w:val="0EB29DE9"/>
    <w:rsid w:val="0EB620BD"/>
    <w:rsid w:val="0EB705A5"/>
    <w:rsid w:val="0EB896C0"/>
    <w:rsid w:val="0EB9CBD4"/>
    <w:rsid w:val="0EB9ED86"/>
    <w:rsid w:val="0EC15A49"/>
    <w:rsid w:val="0ED1E439"/>
    <w:rsid w:val="0EF02D34"/>
    <w:rsid w:val="0EF61653"/>
    <w:rsid w:val="0EF7A189"/>
    <w:rsid w:val="0F0D2FC4"/>
    <w:rsid w:val="0F245B1C"/>
    <w:rsid w:val="0F3FA2D0"/>
    <w:rsid w:val="0F46B37C"/>
    <w:rsid w:val="0F4FEF4E"/>
    <w:rsid w:val="0F642C20"/>
    <w:rsid w:val="0F649109"/>
    <w:rsid w:val="0F6CD0E1"/>
    <w:rsid w:val="0F7CBACE"/>
    <w:rsid w:val="0F7EEBE6"/>
    <w:rsid w:val="0F814AAB"/>
    <w:rsid w:val="0F86A45F"/>
    <w:rsid w:val="0F8A22F2"/>
    <w:rsid w:val="0F8DACCB"/>
    <w:rsid w:val="0F9E1723"/>
    <w:rsid w:val="0FA7095A"/>
    <w:rsid w:val="0FA9B09C"/>
    <w:rsid w:val="0FB0329B"/>
    <w:rsid w:val="0FB42C09"/>
    <w:rsid w:val="0FBAAE9F"/>
    <w:rsid w:val="0FC18E59"/>
    <w:rsid w:val="0FC90062"/>
    <w:rsid w:val="0FC94D15"/>
    <w:rsid w:val="0FCBF37D"/>
    <w:rsid w:val="0FE91A69"/>
    <w:rsid w:val="100A15A8"/>
    <w:rsid w:val="100A4B37"/>
    <w:rsid w:val="100E0230"/>
    <w:rsid w:val="100FC6BF"/>
    <w:rsid w:val="101190C1"/>
    <w:rsid w:val="10157F77"/>
    <w:rsid w:val="101F4996"/>
    <w:rsid w:val="10206894"/>
    <w:rsid w:val="1021CCEE"/>
    <w:rsid w:val="1027B267"/>
    <w:rsid w:val="10287E2F"/>
    <w:rsid w:val="1031DC26"/>
    <w:rsid w:val="103A68B7"/>
    <w:rsid w:val="1047BAD2"/>
    <w:rsid w:val="105155D6"/>
    <w:rsid w:val="105E06F7"/>
    <w:rsid w:val="106B103A"/>
    <w:rsid w:val="106EA533"/>
    <w:rsid w:val="1070FAA4"/>
    <w:rsid w:val="1074B175"/>
    <w:rsid w:val="107F0457"/>
    <w:rsid w:val="107F997B"/>
    <w:rsid w:val="108A1000"/>
    <w:rsid w:val="1095E8E9"/>
    <w:rsid w:val="109A953D"/>
    <w:rsid w:val="10AB13CD"/>
    <w:rsid w:val="10BA1C0C"/>
    <w:rsid w:val="10BF1D79"/>
    <w:rsid w:val="10C1CC33"/>
    <w:rsid w:val="10CC378D"/>
    <w:rsid w:val="10CDFCC6"/>
    <w:rsid w:val="10CE4987"/>
    <w:rsid w:val="10DC7F53"/>
    <w:rsid w:val="10EEA092"/>
    <w:rsid w:val="10F0A10E"/>
    <w:rsid w:val="10F6B988"/>
    <w:rsid w:val="10FA7DBB"/>
    <w:rsid w:val="11012CE9"/>
    <w:rsid w:val="111B2A81"/>
    <w:rsid w:val="111C5230"/>
    <w:rsid w:val="112921AB"/>
    <w:rsid w:val="1130E3F9"/>
    <w:rsid w:val="113BBA04"/>
    <w:rsid w:val="113E0097"/>
    <w:rsid w:val="113E1DF6"/>
    <w:rsid w:val="1152389A"/>
    <w:rsid w:val="11667C24"/>
    <w:rsid w:val="11674A8D"/>
    <w:rsid w:val="117FF85F"/>
    <w:rsid w:val="11933C5D"/>
    <w:rsid w:val="11A2835A"/>
    <w:rsid w:val="11A39378"/>
    <w:rsid w:val="11BE5BF1"/>
    <w:rsid w:val="11C118B7"/>
    <w:rsid w:val="11C17E50"/>
    <w:rsid w:val="11C6F8CD"/>
    <w:rsid w:val="11D06696"/>
    <w:rsid w:val="11D3F915"/>
    <w:rsid w:val="11D53113"/>
    <w:rsid w:val="11D68385"/>
    <w:rsid w:val="11E5AE92"/>
    <w:rsid w:val="11EF451C"/>
    <w:rsid w:val="11F6F5D5"/>
    <w:rsid w:val="11FBE341"/>
    <w:rsid w:val="1207D23B"/>
    <w:rsid w:val="120F2558"/>
    <w:rsid w:val="121200A6"/>
    <w:rsid w:val="12191DDD"/>
    <w:rsid w:val="121B084D"/>
    <w:rsid w:val="12242BAA"/>
    <w:rsid w:val="122D8656"/>
    <w:rsid w:val="12303920"/>
    <w:rsid w:val="1232C9F8"/>
    <w:rsid w:val="12400CB8"/>
    <w:rsid w:val="124BB3FF"/>
    <w:rsid w:val="1250D88A"/>
    <w:rsid w:val="12573036"/>
    <w:rsid w:val="1257FBC9"/>
    <w:rsid w:val="1258DED3"/>
    <w:rsid w:val="125D3B7B"/>
    <w:rsid w:val="128A7312"/>
    <w:rsid w:val="128FFE1A"/>
    <w:rsid w:val="12A592D2"/>
    <w:rsid w:val="12B13F74"/>
    <w:rsid w:val="12BCD7A4"/>
    <w:rsid w:val="12C0F4E5"/>
    <w:rsid w:val="12D22777"/>
    <w:rsid w:val="12D36C70"/>
    <w:rsid w:val="12D59360"/>
    <w:rsid w:val="12D79E53"/>
    <w:rsid w:val="12D9ED4E"/>
    <w:rsid w:val="12EC5809"/>
    <w:rsid w:val="13365252"/>
    <w:rsid w:val="13373EB2"/>
    <w:rsid w:val="1338AD96"/>
    <w:rsid w:val="133CB600"/>
    <w:rsid w:val="13568376"/>
    <w:rsid w:val="1357E69A"/>
    <w:rsid w:val="1358E7A9"/>
    <w:rsid w:val="138823DD"/>
    <w:rsid w:val="1389EC69"/>
    <w:rsid w:val="138FB86D"/>
    <w:rsid w:val="1391D370"/>
    <w:rsid w:val="13B42D58"/>
    <w:rsid w:val="13C43E9A"/>
    <w:rsid w:val="13CC1449"/>
    <w:rsid w:val="13DBB23F"/>
    <w:rsid w:val="13DDE117"/>
    <w:rsid w:val="13EA315D"/>
    <w:rsid w:val="13F4DF8A"/>
    <w:rsid w:val="13F616B7"/>
    <w:rsid w:val="13F8EFD2"/>
    <w:rsid w:val="13F95E7F"/>
    <w:rsid w:val="14099430"/>
    <w:rsid w:val="14189426"/>
    <w:rsid w:val="14209012"/>
    <w:rsid w:val="145F1AD5"/>
    <w:rsid w:val="146B0400"/>
    <w:rsid w:val="14758E4C"/>
    <w:rsid w:val="1477F468"/>
    <w:rsid w:val="1494855D"/>
    <w:rsid w:val="14A3AED7"/>
    <w:rsid w:val="14A740EA"/>
    <w:rsid w:val="14AA45C3"/>
    <w:rsid w:val="14AE7B33"/>
    <w:rsid w:val="14B00929"/>
    <w:rsid w:val="14C07CCC"/>
    <w:rsid w:val="14C9B090"/>
    <w:rsid w:val="15033927"/>
    <w:rsid w:val="1506188D"/>
    <w:rsid w:val="15134B5F"/>
    <w:rsid w:val="15148139"/>
    <w:rsid w:val="1517EE84"/>
    <w:rsid w:val="1520C2A5"/>
    <w:rsid w:val="15234691"/>
    <w:rsid w:val="1527C9CB"/>
    <w:rsid w:val="153B3D2F"/>
    <w:rsid w:val="153E36D7"/>
    <w:rsid w:val="1547BC53"/>
    <w:rsid w:val="154A3633"/>
    <w:rsid w:val="154C7A9F"/>
    <w:rsid w:val="154DD160"/>
    <w:rsid w:val="15504CD5"/>
    <w:rsid w:val="1550FD87"/>
    <w:rsid w:val="15582344"/>
    <w:rsid w:val="15599934"/>
    <w:rsid w:val="155C734A"/>
    <w:rsid w:val="155EA304"/>
    <w:rsid w:val="1573E42D"/>
    <w:rsid w:val="15791647"/>
    <w:rsid w:val="157C0348"/>
    <w:rsid w:val="15AC10E8"/>
    <w:rsid w:val="15AD67AD"/>
    <w:rsid w:val="15BC2436"/>
    <w:rsid w:val="15C7FE4E"/>
    <w:rsid w:val="15CA87D0"/>
    <w:rsid w:val="15CBE3C7"/>
    <w:rsid w:val="15D1FCE8"/>
    <w:rsid w:val="15DAB631"/>
    <w:rsid w:val="15E662C3"/>
    <w:rsid w:val="15E6B924"/>
    <w:rsid w:val="15F247D4"/>
    <w:rsid w:val="15F816DE"/>
    <w:rsid w:val="15FA190F"/>
    <w:rsid w:val="15FD85F6"/>
    <w:rsid w:val="16091954"/>
    <w:rsid w:val="160C60AC"/>
    <w:rsid w:val="160F1238"/>
    <w:rsid w:val="161C13FE"/>
    <w:rsid w:val="161FE23E"/>
    <w:rsid w:val="164229A1"/>
    <w:rsid w:val="164370B1"/>
    <w:rsid w:val="16481C3E"/>
    <w:rsid w:val="164A9CEB"/>
    <w:rsid w:val="165E4C6C"/>
    <w:rsid w:val="1679E4DA"/>
    <w:rsid w:val="16838E43"/>
    <w:rsid w:val="16A60328"/>
    <w:rsid w:val="16B4E235"/>
    <w:rsid w:val="16B52A72"/>
    <w:rsid w:val="16C18975"/>
    <w:rsid w:val="16C5D857"/>
    <w:rsid w:val="16CB62DA"/>
    <w:rsid w:val="16CB87C4"/>
    <w:rsid w:val="16D56ED4"/>
    <w:rsid w:val="16D5F882"/>
    <w:rsid w:val="16D62F72"/>
    <w:rsid w:val="16DCEC8C"/>
    <w:rsid w:val="16E008A0"/>
    <w:rsid w:val="16EB74F2"/>
    <w:rsid w:val="16ECDAC5"/>
    <w:rsid w:val="16F0B6E3"/>
    <w:rsid w:val="16F77498"/>
    <w:rsid w:val="170B9922"/>
    <w:rsid w:val="17151BF1"/>
    <w:rsid w:val="172037D0"/>
    <w:rsid w:val="17356303"/>
    <w:rsid w:val="17381C6F"/>
    <w:rsid w:val="173ACA4B"/>
    <w:rsid w:val="173E14DF"/>
    <w:rsid w:val="17481257"/>
    <w:rsid w:val="174E14E5"/>
    <w:rsid w:val="176041D5"/>
    <w:rsid w:val="1763E898"/>
    <w:rsid w:val="176A31A5"/>
    <w:rsid w:val="176C127D"/>
    <w:rsid w:val="1778D42A"/>
    <w:rsid w:val="1780349B"/>
    <w:rsid w:val="178E92B7"/>
    <w:rsid w:val="1793ECDF"/>
    <w:rsid w:val="179414D5"/>
    <w:rsid w:val="17A1AF40"/>
    <w:rsid w:val="17A8D25D"/>
    <w:rsid w:val="17B067AC"/>
    <w:rsid w:val="17B07F7E"/>
    <w:rsid w:val="17C39B11"/>
    <w:rsid w:val="17E95501"/>
    <w:rsid w:val="17F7E652"/>
    <w:rsid w:val="17FDDD70"/>
    <w:rsid w:val="180B12C3"/>
    <w:rsid w:val="18115C10"/>
    <w:rsid w:val="182A2643"/>
    <w:rsid w:val="182F4827"/>
    <w:rsid w:val="183696A7"/>
    <w:rsid w:val="1842F23F"/>
    <w:rsid w:val="184BA8A5"/>
    <w:rsid w:val="185214B9"/>
    <w:rsid w:val="185D6882"/>
    <w:rsid w:val="185EE0E5"/>
    <w:rsid w:val="186309C0"/>
    <w:rsid w:val="18707032"/>
    <w:rsid w:val="1877EC16"/>
    <w:rsid w:val="187FD8F5"/>
    <w:rsid w:val="18939F24"/>
    <w:rsid w:val="18998404"/>
    <w:rsid w:val="189EC715"/>
    <w:rsid w:val="18A44757"/>
    <w:rsid w:val="18AF147E"/>
    <w:rsid w:val="18B0CC9F"/>
    <w:rsid w:val="18BA536C"/>
    <w:rsid w:val="18C4F088"/>
    <w:rsid w:val="18D0A53F"/>
    <w:rsid w:val="18D1A526"/>
    <w:rsid w:val="18D2222B"/>
    <w:rsid w:val="18D7173F"/>
    <w:rsid w:val="18DCC733"/>
    <w:rsid w:val="18E2F85A"/>
    <w:rsid w:val="18E53B2F"/>
    <w:rsid w:val="18F3F235"/>
    <w:rsid w:val="18FBF446"/>
    <w:rsid w:val="190933CC"/>
    <w:rsid w:val="1911D559"/>
    <w:rsid w:val="1914700A"/>
    <w:rsid w:val="192DD24B"/>
    <w:rsid w:val="1944651D"/>
    <w:rsid w:val="194939FD"/>
    <w:rsid w:val="194B2C6A"/>
    <w:rsid w:val="194BF6C3"/>
    <w:rsid w:val="195A7D2F"/>
    <w:rsid w:val="196B6010"/>
    <w:rsid w:val="196D1C92"/>
    <w:rsid w:val="196F6D70"/>
    <w:rsid w:val="196FE81D"/>
    <w:rsid w:val="1970CF98"/>
    <w:rsid w:val="1976738C"/>
    <w:rsid w:val="1978E89C"/>
    <w:rsid w:val="198CA6BC"/>
    <w:rsid w:val="198F1464"/>
    <w:rsid w:val="1995D1B6"/>
    <w:rsid w:val="199A8946"/>
    <w:rsid w:val="199BE7A2"/>
    <w:rsid w:val="199FB676"/>
    <w:rsid w:val="19AB25AA"/>
    <w:rsid w:val="19AC8651"/>
    <w:rsid w:val="19AF6B55"/>
    <w:rsid w:val="19B616A0"/>
    <w:rsid w:val="19B7A3A7"/>
    <w:rsid w:val="19B9243D"/>
    <w:rsid w:val="19BE8796"/>
    <w:rsid w:val="19C617D1"/>
    <w:rsid w:val="19CEF0DA"/>
    <w:rsid w:val="19D57182"/>
    <w:rsid w:val="19DA9579"/>
    <w:rsid w:val="19DC8F24"/>
    <w:rsid w:val="19DFD44B"/>
    <w:rsid w:val="19E5027C"/>
    <w:rsid w:val="1A023A73"/>
    <w:rsid w:val="1A03F6C4"/>
    <w:rsid w:val="1A091340"/>
    <w:rsid w:val="1A0F61A0"/>
    <w:rsid w:val="1A194BF8"/>
    <w:rsid w:val="1A20B68D"/>
    <w:rsid w:val="1A21169D"/>
    <w:rsid w:val="1A423CD5"/>
    <w:rsid w:val="1A61467D"/>
    <w:rsid w:val="1A85278B"/>
    <w:rsid w:val="1A86D622"/>
    <w:rsid w:val="1A9444EF"/>
    <w:rsid w:val="1AA86FD4"/>
    <w:rsid w:val="1AB35CCA"/>
    <w:rsid w:val="1AB47AA0"/>
    <w:rsid w:val="1AB4894D"/>
    <w:rsid w:val="1ACE9D36"/>
    <w:rsid w:val="1ACF156B"/>
    <w:rsid w:val="1AD16E23"/>
    <w:rsid w:val="1AD5B5E4"/>
    <w:rsid w:val="1AEBD94B"/>
    <w:rsid w:val="1AED4E88"/>
    <w:rsid w:val="1AF6564F"/>
    <w:rsid w:val="1AF7FCAF"/>
    <w:rsid w:val="1B1F151E"/>
    <w:rsid w:val="1B300310"/>
    <w:rsid w:val="1B346368"/>
    <w:rsid w:val="1B50AD05"/>
    <w:rsid w:val="1B5D79D1"/>
    <w:rsid w:val="1B60D82C"/>
    <w:rsid w:val="1B6DA3E9"/>
    <w:rsid w:val="1B7C2103"/>
    <w:rsid w:val="1B7FF256"/>
    <w:rsid w:val="1B85F414"/>
    <w:rsid w:val="1B88B6DE"/>
    <w:rsid w:val="1B8DFDA4"/>
    <w:rsid w:val="1BA1FED3"/>
    <w:rsid w:val="1BC5BE64"/>
    <w:rsid w:val="1BDF9608"/>
    <w:rsid w:val="1BF07AF2"/>
    <w:rsid w:val="1BFC56DD"/>
    <w:rsid w:val="1C00DA16"/>
    <w:rsid w:val="1C03971D"/>
    <w:rsid w:val="1C132E52"/>
    <w:rsid w:val="1C13F995"/>
    <w:rsid w:val="1C18CC7B"/>
    <w:rsid w:val="1C2B96BF"/>
    <w:rsid w:val="1C2DEBC0"/>
    <w:rsid w:val="1C375A60"/>
    <w:rsid w:val="1C3E5694"/>
    <w:rsid w:val="1C48E26C"/>
    <w:rsid w:val="1C5A40E0"/>
    <w:rsid w:val="1C684803"/>
    <w:rsid w:val="1C70AE27"/>
    <w:rsid w:val="1C72FC79"/>
    <w:rsid w:val="1C772908"/>
    <w:rsid w:val="1C7EFA4B"/>
    <w:rsid w:val="1C80A770"/>
    <w:rsid w:val="1CA0D6CF"/>
    <w:rsid w:val="1CE5F747"/>
    <w:rsid w:val="1CE772EF"/>
    <w:rsid w:val="1D06E5D1"/>
    <w:rsid w:val="1D172D88"/>
    <w:rsid w:val="1D1A63D3"/>
    <w:rsid w:val="1D1BDC56"/>
    <w:rsid w:val="1D239E88"/>
    <w:rsid w:val="1D23B35F"/>
    <w:rsid w:val="1D375A62"/>
    <w:rsid w:val="1D47DF3E"/>
    <w:rsid w:val="1D4B8F10"/>
    <w:rsid w:val="1D53011B"/>
    <w:rsid w:val="1D55E90D"/>
    <w:rsid w:val="1D57E4D9"/>
    <w:rsid w:val="1D5AE6E2"/>
    <w:rsid w:val="1D5B9DDF"/>
    <w:rsid w:val="1D699263"/>
    <w:rsid w:val="1D79E3BF"/>
    <w:rsid w:val="1D84FE13"/>
    <w:rsid w:val="1D857F14"/>
    <w:rsid w:val="1D8A16A2"/>
    <w:rsid w:val="1D9B4E9B"/>
    <w:rsid w:val="1DA7BBF5"/>
    <w:rsid w:val="1DBDEDA8"/>
    <w:rsid w:val="1DC16678"/>
    <w:rsid w:val="1DC42471"/>
    <w:rsid w:val="1DD1A528"/>
    <w:rsid w:val="1DD4B3DA"/>
    <w:rsid w:val="1DF1B66F"/>
    <w:rsid w:val="1E11FAF4"/>
    <w:rsid w:val="1E1444ED"/>
    <w:rsid w:val="1E219A39"/>
    <w:rsid w:val="1E2B1872"/>
    <w:rsid w:val="1E2C3765"/>
    <w:rsid w:val="1E2CECB0"/>
    <w:rsid w:val="1E32E1A2"/>
    <w:rsid w:val="1E3480D0"/>
    <w:rsid w:val="1E362CCA"/>
    <w:rsid w:val="1E36B493"/>
    <w:rsid w:val="1E4C2E32"/>
    <w:rsid w:val="1E508AB8"/>
    <w:rsid w:val="1E5A38AD"/>
    <w:rsid w:val="1E642270"/>
    <w:rsid w:val="1E696A09"/>
    <w:rsid w:val="1E69803F"/>
    <w:rsid w:val="1E6F339E"/>
    <w:rsid w:val="1E74B2FE"/>
    <w:rsid w:val="1E771ACF"/>
    <w:rsid w:val="1E7BF659"/>
    <w:rsid w:val="1E868C27"/>
    <w:rsid w:val="1E8F1FB8"/>
    <w:rsid w:val="1E912343"/>
    <w:rsid w:val="1E948157"/>
    <w:rsid w:val="1E9955DD"/>
    <w:rsid w:val="1E9EB2F4"/>
    <w:rsid w:val="1EA2C461"/>
    <w:rsid w:val="1EA7544E"/>
    <w:rsid w:val="1EAA47A5"/>
    <w:rsid w:val="1EAD306E"/>
    <w:rsid w:val="1EB4B9A6"/>
    <w:rsid w:val="1EB75449"/>
    <w:rsid w:val="1ECD312D"/>
    <w:rsid w:val="1EDB9538"/>
    <w:rsid w:val="1EF0ED4F"/>
    <w:rsid w:val="1F22288D"/>
    <w:rsid w:val="1F22BE2B"/>
    <w:rsid w:val="1F23213A"/>
    <w:rsid w:val="1F33935C"/>
    <w:rsid w:val="1F3DBD8B"/>
    <w:rsid w:val="1F5129FF"/>
    <w:rsid w:val="1F60FCC0"/>
    <w:rsid w:val="1F702D5B"/>
    <w:rsid w:val="1F885453"/>
    <w:rsid w:val="1F9565CA"/>
    <w:rsid w:val="1F99F5CB"/>
    <w:rsid w:val="1FA093C0"/>
    <w:rsid w:val="1FAA4975"/>
    <w:rsid w:val="1FCAC1FC"/>
    <w:rsid w:val="1FD2A7D6"/>
    <w:rsid w:val="1FD9B4E7"/>
    <w:rsid w:val="2005015B"/>
    <w:rsid w:val="2005F4E0"/>
    <w:rsid w:val="200DDB00"/>
    <w:rsid w:val="20223EE0"/>
    <w:rsid w:val="2036DA73"/>
    <w:rsid w:val="2042A9CF"/>
    <w:rsid w:val="204AC19F"/>
    <w:rsid w:val="2067492C"/>
    <w:rsid w:val="206AEC8B"/>
    <w:rsid w:val="20715383"/>
    <w:rsid w:val="2077D107"/>
    <w:rsid w:val="20891CF2"/>
    <w:rsid w:val="208F6A35"/>
    <w:rsid w:val="209C4385"/>
    <w:rsid w:val="20A0372D"/>
    <w:rsid w:val="20B20372"/>
    <w:rsid w:val="20BCD5C1"/>
    <w:rsid w:val="20C560A6"/>
    <w:rsid w:val="20DAB8DC"/>
    <w:rsid w:val="20DE3D68"/>
    <w:rsid w:val="20E6962A"/>
    <w:rsid w:val="20EC77ED"/>
    <w:rsid w:val="20EF954E"/>
    <w:rsid w:val="20F01D3A"/>
    <w:rsid w:val="20F4D316"/>
    <w:rsid w:val="210D3486"/>
    <w:rsid w:val="210F4075"/>
    <w:rsid w:val="211037DE"/>
    <w:rsid w:val="2126200B"/>
    <w:rsid w:val="2128A36D"/>
    <w:rsid w:val="2128E106"/>
    <w:rsid w:val="212B4069"/>
    <w:rsid w:val="2131300D"/>
    <w:rsid w:val="213304AA"/>
    <w:rsid w:val="2136B5E1"/>
    <w:rsid w:val="21385FBE"/>
    <w:rsid w:val="21421397"/>
    <w:rsid w:val="214AEEE3"/>
    <w:rsid w:val="2154ADCE"/>
    <w:rsid w:val="215DB34D"/>
    <w:rsid w:val="2162EE58"/>
    <w:rsid w:val="216A677B"/>
    <w:rsid w:val="217C3D0A"/>
    <w:rsid w:val="2180253B"/>
    <w:rsid w:val="218E16FA"/>
    <w:rsid w:val="21941079"/>
    <w:rsid w:val="21993FC7"/>
    <w:rsid w:val="219BC444"/>
    <w:rsid w:val="219D5405"/>
    <w:rsid w:val="219D6B97"/>
    <w:rsid w:val="219D81D5"/>
    <w:rsid w:val="21A83D40"/>
    <w:rsid w:val="21AB499B"/>
    <w:rsid w:val="21AD13B2"/>
    <w:rsid w:val="21B9B95E"/>
    <w:rsid w:val="21CF4260"/>
    <w:rsid w:val="21D26AF0"/>
    <w:rsid w:val="21DB161D"/>
    <w:rsid w:val="21DF07D4"/>
    <w:rsid w:val="21EE5511"/>
    <w:rsid w:val="21F026D7"/>
    <w:rsid w:val="21F072F0"/>
    <w:rsid w:val="21F92390"/>
    <w:rsid w:val="22050D05"/>
    <w:rsid w:val="22064C4A"/>
    <w:rsid w:val="220FEB43"/>
    <w:rsid w:val="221504FC"/>
    <w:rsid w:val="22191395"/>
    <w:rsid w:val="223532BE"/>
    <w:rsid w:val="22475DEA"/>
    <w:rsid w:val="224BA0A1"/>
    <w:rsid w:val="22527F12"/>
    <w:rsid w:val="22577257"/>
    <w:rsid w:val="226195F0"/>
    <w:rsid w:val="22644A78"/>
    <w:rsid w:val="226C1FC9"/>
    <w:rsid w:val="2275E685"/>
    <w:rsid w:val="227F8D0D"/>
    <w:rsid w:val="228AE921"/>
    <w:rsid w:val="22A0E518"/>
    <w:rsid w:val="22A1951B"/>
    <w:rsid w:val="22AB4C7C"/>
    <w:rsid w:val="22ADF9A9"/>
    <w:rsid w:val="22CA3B50"/>
    <w:rsid w:val="22CAF55E"/>
    <w:rsid w:val="22D48323"/>
    <w:rsid w:val="22DD6E3A"/>
    <w:rsid w:val="22E025E3"/>
    <w:rsid w:val="22E09C4D"/>
    <w:rsid w:val="22E0BDD3"/>
    <w:rsid w:val="22EAD354"/>
    <w:rsid w:val="22FB3600"/>
    <w:rsid w:val="22FD6056"/>
    <w:rsid w:val="230D77BF"/>
    <w:rsid w:val="2316A3C4"/>
    <w:rsid w:val="232A0A61"/>
    <w:rsid w:val="233364A8"/>
    <w:rsid w:val="233ADF6E"/>
    <w:rsid w:val="2358329E"/>
    <w:rsid w:val="2361D0F5"/>
    <w:rsid w:val="23624CB9"/>
    <w:rsid w:val="236D2093"/>
    <w:rsid w:val="2376C77A"/>
    <w:rsid w:val="2379A329"/>
    <w:rsid w:val="2379A5DE"/>
    <w:rsid w:val="2381FE4E"/>
    <w:rsid w:val="2382AEC8"/>
    <w:rsid w:val="23A1DB16"/>
    <w:rsid w:val="23A44966"/>
    <w:rsid w:val="23A6C5E4"/>
    <w:rsid w:val="23AB15CD"/>
    <w:rsid w:val="23AE7D76"/>
    <w:rsid w:val="23B38467"/>
    <w:rsid w:val="23B6C397"/>
    <w:rsid w:val="23CCAF15"/>
    <w:rsid w:val="23DC1AC3"/>
    <w:rsid w:val="23DCBBF2"/>
    <w:rsid w:val="23E827B6"/>
    <w:rsid w:val="23EBF1D5"/>
    <w:rsid w:val="23EE4067"/>
    <w:rsid w:val="23F4EEAF"/>
    <w:rsid w:val="23F8C32B"/>
    <w:rsid w:val="23FB6173"/>
    <w:rsid w:val="241C6E8B"/>
    <w:rsid w:val="241E9318"/>
    <w:rsid w:val="24270462"/>
    <w:rsid w:val="244578A7"/>
    <w:rsid w:val="245298F1"/>
    <w:rsid w:val="24681DC9"/>
    <w:rsid w:val="247C6A03"/>
    <w:rsid w:val="247DA9DA"/>
    <w:rsid w:val="247F5F5B"/>
    <w:rsid w:val="248987F3"/>
    <w:rsid w:val="24A1338B"/>
    <w:rsid w:val="24AB65D4"/>
    <w:rsid w:val="24AC0AC4"/>
    <w:rsid w:val="24B4236F"/>
    <w:rsid w:val="24B643E5"/>
    <w:rsid w:val="24E37A85"/>
    <w:rsid w:val="24EBA78F"/>
    <w:rsid w:val="24F7C036"/>
    <w:rsid w:val="24FCBAC4"/>
    <w:rsid w:val="24FEFB67"/>
    <w:rsid w:val="2512D184"/>
    <w:rsid w:val="2517E02A"/>
    <w:rsid w:val="251FC351"/>
    <w:rsid w:val="25227402"/>
    <w:rsid w:val="25296157"/>
    <w:rsid w:val="25471A8E"/>
    <w:rsid w:val="25474EBD"/>
    <w:rsid w:val="254E1CBC"/>
    <w:rsid w:val="2556E51D"/>
    <w:rsid w:val="25696077"/>
    <w:rsid w:val="256AB89C"/>
    <w:rsid w:val="256B04F9"/>
    <w:rsid w:val="256E3D03"/>
    <w:rsid w:val="2577A2A4"/>
    <w:rsid w:val="2582B9B5"/>
    <w:rsid w:val="258B7A6D"/>
    <w:rsid w:val="258F6722"/>
    <w:rsid w:val="2594CEC6"/>
    <w:rsid w:val="2597F5A2"/>
    <w:rsid w:val="25A257B6"/>
    <w:rsid w:val="25A3C21F"/>
    <w:rsid w:val="25CAAEC1"/>
    <w:rsid w:val="25D70FE8"/>
    <w:rsid w:val="25DBC760"/>
    <w:rsid w:val="25E60BF1"/>
    <w:rsid w:val="26060A6B"/>
    <w:rsid w:val="26168C01"/>
    <w:rsid w:val="2621A62E"/>
    <w:rsid w:val="262A9D78"/>
    <w:rsid w:val="262BEC27"/>
    <w:rsid w:val="26393306"/>
    <w:rsid w:val="265D10CB"/>
    <w:rsid w:val="2662E0B5"/>
    <w:rsid w:val="266D9222"/>
    <w:rsid w:val="267886A4"/>
    <w:rsid w:val="268A4B42"/>
    <w:rsid w:val="26BD399C"/>
    <w:rsid w:val="26C149B3"/>
    <w:rsid w:val="26D921BB"/>
    <w:rsid w:val="26F20E02"/>
    <w:rsid w:val="26F6AF8C"/>
    <w:rsid w:val="26F84B0B"/>
    <w:rsid w:val="2716DAF0"/>
    <w:rsid w:val="271A7BDB"/>
    <w:rsid w:val="271A9BB8"/>
    <w:rsid w:val="272B99B9"/>
    <w:rsid w:val="27352E50"/>
    <w:rsid w:val="27353ACE"/>
    <w:rsid w:val="27391086"/>
    <w:rsid w:val="273A65E2"/>
    <w:rsid w:val="273F5655"/>
    <w:rsid w:val="27417947"/>
    <w:rsid w:val="27432B1B"/>
    <w:rsid w:val="27555843"/>
    <w:rsid w:val="27589D0F"/>
    <w:rsid w:val="27691BC8"/>
    <w:rsid w:val="2770C80E"/>
    <w:rsid w:val="27769BFC"/>
    <w:rsid w:val="279BB325"/>
    <w:rsid w:val="27C4713F"/>
    <w:rsid w:val="27C7D9E2"/>
    <w:rsid w:val="27D3359A"/>
    <w:rsid w:val="27E56C35"/>
    <w:rsid w:val="27E80D5D"/>
    <w:rsid w:val="27F04922"/>
    <w:rsid w:val="27FCBFF7"/>
    <w:rsid w:val="27FE9A86"/>
    <w:rsid w:val="28033148"/>
    <w:rsid w:val="280E66A6"/>
    <w:rsid w:val="28103AC2"/>
    <w:rsid w:val="2816082D"/>
    <w:rsid w:val="281CF6DB"/>
    <w:rsid w:val="281DADDF"/>
    <w:rsid w:val="2822C66A"/>
    <w:rsid w:val="2826C49F"/>
    <w:rsid w:val="283280E9"/>
    <w:rsid w:val="283E3EF0"/>
    <w:rsid w:val="283EBBCB"/>
    <w:rsid w:val="286172D3"/>
    <w:rsid w:val="286AC24B"/>
    <w:rsid w:val="287CA25A"/>
    <w:rsid w:val="28885B88"/>
    <w:rsid w:val="2896EBA5"/>
    <w:rsid w:val="289ECFB5"/>
    <w:rsid w:val="28B45062"/>
    <w:rsid w:val="28BD1206"/>
    <w:rsid w:val="28C0FD6A"/>
    <w:rsid w:val="28C113A9"/>
    <w:rsid w:val="28C2A903"/>
    <w:rsid w:val="28C64AFE"/>
    <w:rsid w:val="28C959D6"/>
    <w:rsid w:val="28CAE92B"/>
    <w:rsid w:val="28DCB986"/>
    <w:rsid w:val="28E3DBD7"/>
    <w:rsid w:val="29092F82"/>
    <w:rsid w:val="290E5961"/>
    <w:rsid w:val="290ED215"/>
    <w:rsid w:val="29129B6A"/>
    <w:rsid w:val="292B469D"/>
    <w:rsid w:val="2936F6FD"/>
    <w:rsid w:val="29535C6F"/>
    <w:rsid w:val="2953B520"/>
    <w:rsid w:val="295627F0"/>
    <w:rsid w:val="29679859"/>
    <w:rsid w:val="29C27CE3"/>
    <w:rsid w:val="29C30D68"/>
    <w:rsid w:val="29C5DCC3"/>
    <w:rsid w:val="29D46DEA"/>
    <w:rsid w:val="29F8BEE4"/>
    <w:rsid w:val="29F9D615"/>
    <w:rsid w:val="2A00AE22"/>
    <w:rsid w:val="2A00C564"/>
    <w:rsid w:val="2A08674A"/>
    <w:rsid w:val="2A0E0DC2"/>
    <w:rsid w:val="2A17F581"/>
    <w:rsid w:val="2A28B146"/>
    <w:rsid w:val="2A3BCABC"/>
    <w:rsid w:val="2A4AF003"/>
    <w:rsid w:val="2A5316BC"/>
    <w:rsid w:val="2A5F1050"/>
    <w:rsid w:val="2A6014F1"/>
    <w:rsid w:val="2A6AAF5F"/>
    <w:rsid w:val="2A6B3521"/>
    <w:rsid w:val="2A6D1639"/>
    <w:rsid w:val="2A70A644"/>
    <w:rsid w:val="2A766C92"/>
    <w:rsid w:val="2A7DAA34"/>
    <w:rsid w:val="2A7EC01C"/>
    <w:rsid w:val="2A84FF1B"/>
    <w:rsid w:val="2A86498A"/>
    <w:rsid w:val="2A97D2C3"/>
    <w:rsid w:val="2AC39A7E"/>
    <w:rsid w:val="2AD91DFD"/>
    <w:rsid w:val="2AEA9AE8"/>
    <w:rsid w:val="2AF1D5A5"/>
    <w:rsid w:val="2AF6F650"/>
    <w:rsid w:val="2AF782E6"/>
    <w:rsid w:val="2B028820"/>
    <w:rsid w:val="2B1753BE"/>
    <w:rsid w:val="2B17DB94"/>
    <w:rsid w:val="2B1B228D"/>
    <w:rsid w:val="2B1FF03C"/>
    <w:rsid w:val="2B269B2C"/>
    <w:rsid w:val="2B482678"/>
    <w:rsid w:val="2B583F93"/>
    <w:rsid w:val="2B6B53D6"/>
    <w:rsid w:val="2B6ECE2A"/>
    <w:rsid w:val="2B6F20BB"/>
    <w:rsid w:val="2B7A6A4C"/>
    <w:rsid w:val="2B87D034"/>
    <w:rsid w:val="2B8E0B88"/>
    <w:rsid w:val="2BA604F5"/>
    <w:rsid w:val="2BADB9B0"/>
    <w:rsid w:val="2BCCD07D"/>
    <w:rsid w:val="2BD43368"/>
    <w:rsid w:val="2BD6E60C"/>
    <w:rsid w:val="2BFF7F87"/>
    <w:rsid w:val="2C04A700"/>
    <w:rsid w:val="2C0CE4E7"/>
    <w:rsid w:val="2C0DEC38"/>
    <w:rsid w:val="2C11C8C3"/>
    <w:rsid w:val="2C128E83"/>
    <w:rsid w:val="2C15D3C2"/>
    <w:rsid w:val="2C1BA4CA"/>
    <w:rsid w:val="2C1E88E3"/>
    <w:rsid w:val="2C1EF33B"/>
    <w:rsid w:val="2C486100"/>
    <w:rsid w:val="2C54DF4C"/>
    <w:rsid w:val="2C56CF4D"/>
    <w:rsid w:val="2C587EDB"/>
    <w:rsid w:val="2C680B9A"/>
    <w:rsid w:val="2C69AFDA"/>
    <w:rsid w:val="2C713D83"/>
    <w:rsid w:val="2C74BFD6"/>
    <w:rsid w:val="2C7CD2AE"/>
    <w:rsid w:val="2C821DBB"/>
    <w:rsid w:val="2C87C4AD"/>
    <w:rsid w:val="2C8B3FF0"/>
    <w:rsid w:val="2C999FBC"/>
    <w:rsid w:val="2C9A1940"/>
    <w:rsid w:val="2C9B2F2B"/>
    <w:rsid w:val="2CAFAEB6"/>
    <w:rsid w:val="2CBA4D47"/>
    <w:rsid w:val="2CC382BB"/>
    <w:rsid w:val="2CCB64D1"/>
    <w:rsid w:val="2CDC6CA1"/>
    <w:rsid w:val="2CE92B0F"/>
    <w:rsid w:val="2CEDD8F6"/>
    <w:rsid w:val="2CEEBA6F"/>
    <w:rsid w:val="2CFBCAE0"/>
    <w:rsid w:val="2D056A75"/>
    <w:rsid w:val="2D0E4A89"/>
    <w:rsid w:val="2D1B5542"/>
    <w:rsid w:val="2D1D56AC"/>
    <w:rsid w:val="2D2F230D"/>
    <w:rsid w:val="2D300D63"/>
    <w:rsid w:val="2D34694C"/>
    <w:rsid w:val="2D3674EE"/>
    <w:rsid w:val="2D450FB8"/>
    <w:rsid w:val="2D568B82"/>
    <w:rsid w:val="2D5CF811"/>
    <w:rsid w:val="2D6FA16F"/>
    <w:rsid w:val="2D7B5E7F"/>
    <w:rsid w:val="2D7D0389"/>
    <w:rsid w:val="2D821AC7"/>
    <w:rsid w:val="2D844BD9"/>
    <w:rsid w:val="2D86BA8E"/>
    <w:rsid w:val="2D88E3F2"/>
    <w:rsid w:val="2DA3DCB3"/>
    <w:rsid w:val="2DA6FD8A"/>
    <w:rsid w:val="2DAC5ED3"/>
    <w:rsid w:val="2DB5D0B8"/>
    <w:rsid w:val="2DCF6DF2"/>
    <w:rsid w:val="2DDDA58D"/>
    <w:rsid w:val="2DE26BF3"/>
    <w:rsid w:val="2DF32EE9"/>
    <w:rsid w:val="2E02F291"/>
    <w:rsid w:val="2E041330"/>
    <w:rsid w:val="2E06C816"/>
    <w:rsid w:val="2E0FFF22"/>
    <w:rsid w:val="2E15A3B4"/>
    <w:rsid w:val="2E1A4C3A"/>
    <w:rsid w:val="2E1A8559"/>
    <w:rsid w:val="2E55A251"/>
    <w:rsid w:val="2E5E5020"/>
    <w:rsid w:val="2E7124A7"/>
    <w:rsid w:val="2E79C293"/>
    <w:rsid w:val="2E7B7D03"/>
    <w:rsid w:val="2E85B6B3"/>
    <w:rsid w:val="2E8882F1"/>
    <w:rsid w:val="2E959131"/>
    <w:rsid w:val="2E98B84F"/>
    <w:rsid w:val="2EB08836"/>
    <w:rsid w:val="2EB2F046"/>
    <w:rsid w:val="2EBA4BDE"/>
    <w:rsid w:val="2EE24736"/>
    <w:rsid w:val="2EE6A3F8"/>
    <w:rsid w:val="2EE97590"/>
    <w:rsid w:val="2EF6E1DF"/>
    <w:rsid w:val="2EF741B4"/>
    <w:rsid w:val="2EF91E71"/>
    <w:rsid w:val="2F0E2F75"/>
    <w:rsid w:val="2F114A34"/>
    <w:rsid w:val="2F19422F"/>
    <w:rsid w:val="2F1CBE73"/>
    <w:rsid w:val="2F2019AC"/>
    <w:rsid w:val="2F26E9CA"/>
    <w:rsid w:val="2F2BE059"/>
    <w:rsid w:val="2F2D40C6"/>
    <w:rsid w:val="2F2E2BBE"/>
    <w:rsid w:val="2F3DFD64"/>
    <w:rsid w:val="2F55AB9E"/>
    <w:rsid w:val="2F83E165"/>
    <w:rsid w:val="2FB7F758"/>
    <w:rsid w:val="2FC65FA5"/>
    <w:rsid w:val="2FCDF9E5"/>
    <w:rsid w:val="2FD00BD1"/>
    <w:rsid w:val="2FD9330D"/>
    <w:rsid w:val="2FE74D88"/>
    <w:rsid w:val="2FEF159F"/>
    <w:rsid w:val="2FF02177"/>
    <w:rsid w:val="2FF9CF04"/>
    <w:rsid w:val="2FFAAEC4"/>
    <w:rsid w:val="2FFB860E"/>
    <w:rsid w:val="300463D6"/>
    <w:rsid w:val="30098171"/>
    <w:rsid w:val="300A22EE"/>
    <w:rsid w:val="30144756"/>
    <w:rsid w:val="302A5A5D"/>
    <w:rsid w:val="30306373"/>
    <w:rsid w:val="3031B2CA"/>
    <w:rsid w:val="303D9C55"/>
    <w:rsid w:val="304080CC"/>
    <w:rsid w:val="304A3C7E"/>
    <w:rsid w:val="3055EE9A"/>
    <w:rsid w:val="30620374"/>
    <w:rsid w:val="306AB6C1"/>
    <w:rsid w:val="30809952"/>
    <w:rsid w:val="3086FD54"/>
    <w:rsid w:val="308771B1"/>
    <w:rsid w:val="309680F2"/>
    <w:rsid w:val="3098CEBC"/>
    <w:rsid w:val="309B8A02"/>
    <w:rsid w:val="30A4ADD9"/>
    <w:rsid w:val="30C18513"/>
    <w:rsid w:val="30CE0CC4"/>
    <w:rsid w:val="30D2482B"/>
    <w:rsid w:val="30DB2E33"/>
    <w:rsid w:val="30DD26D4"/>
    <w:rsid w:val="30E8F2B1"/>
    <w:rsid w:val="30EBA79A"/>
    <w:rsid w:val="30EF123F"/>
    <w:rsid w:val="30FB6A53"/>
    <w:rsid w:val="310BFA14"/>
    <w:rsid w:val="310E741F"/>
    <w:rsid w:val="3115F619"/>
    <w:rsid w:val="311843F6"/>
    <w:rsid w:val="3142E5F5"/>
    <w:rsid w:val="315959A8"/>
    <w:rsid w:val="3168229E"/>
    <w:rsid w:val="316F3FC1"/>
    <w:rsid w:val="3173A198"/>
    <w:rsid w:val="317AA561"/>
    <w:rsid w:val="3181759B"/>
    <w:rsid w:val="3198A507"/>
    <w:rsid w:val="319C7619"/>
    <w:rsid w:val="31A03C7C"/>
    <w:rsid w:val="31A0ECF5"/>
    <w:rsid w:val="31A48123"/>
    <w:rsid w:val="31A6025F"/>
    <w:rsid w:val="31AD2246"/>
    <w:rsid w:val="31B1A353"/>
    <w:rsid w:val="31B7C262"/>
    <w:rsid w:val="31B7F717"/>
    <w:rsid w:val="31C2EEFF"/>
    <w:rsid w:val="31CBF60E"/>
    <w:rsid w:val="31CC0A98"/>
    <w:rsid w:val="31D3544A"/>
    <w:rsid w:val="32006825"/>
    <w:rsid w:val="3212A049"/>
    <w:rsid w:val="3233D185"/>
    <w:rsid w:val="3241242C"/>
    <w:rsid w:val="32471CFA"/>
    <w:rsid w:val="324DA81B"/>
    <w:rsid w:val="3254930D"/>
    <w:rsid w:val="3258EDCC"/>
    <w:rsid w:val="3267C499"/>
    <w:rsid w:val="32686B45"/>
    <w:rsid w:val="326D46A0"/>
    <w:rsid w:val="3276C7ED"/>
    <w:rsid w:val="3281AF3C"/>
    <w:rsid w:val="32831DC0"/>
    <w:rsid w:val="3286A6F7"/>
    <w:rsid w:val="328B1DD6"/>
    <w:rsid w:val="329F177F"/>
    <w:rsid w:val="32A00420"/>
    <w:rsid w:val="32AA61E6"/>
    <w:rsid w:val="32B93974"/>
    <w:rsid w:val="32BA1E86"/>
    <w:rsid w:val="32C2F6C8"/>
    <w:rsid w:val="32C35028"/>
    <w:rsid w:val="32C41016"/>
    <w:rsid w:val="32C6B2FE"/>
    <w:rsid w:val="32CB5B76"/>
    <w:rsid w:val="32E4C76B"/>
    <w:rsid w:val="32E5F52E"/>
    <w:rsid w:val="32EA8899"/>
    <w:rsid w:val="32F054E0"/>
    <w:rsid w:val="32FE5D73"/>
    <w:rsid w:val="331241AA"/>
    <w:rsid w:val="33127ED0"/>
    <w:rsid w:val="3318C0F6"/>
    <w:rsid w:val="331BA7A0"/>
    <w:rsid w:val="332117F3"/>
    <w:rsid w:val="33287DEB"/>
    <w:rsid w:val="332A15E1"/>
    <w:rsid w:val="333E7287"/>
    <w:rsid w:val="335B6EA1"/>
    <w:rsid w:val="33707E91"/>
    <w:rsid w:val="3370B9E3"/>
    <w:rsid w:val="337F0A0D"/>
    <w:rsid w:val="338516C6"/>
    <w:rsid w:val="3390536A"/>
    <w:rsid w:val="33946771"/>
    <w:rsid w:val="3395A0AD"/>
    <w:rsid w:val="33A41377"/>
    <w:rsid w:val="33AC8374"/>
    <w:rsid w:val="33AE4F73"/>
    <w:rsid w:val="33C964CA"/>
    <w:rsid w:val="33CA6FD8"/>
    <w:rsid w:val="33D57B73"/>
    <w:rsid w:val="33DBDF19"/>
    <w:rsid w:val="33DEEA35"/>
    <w:rsid w:val="33E00B57"/>
    <w:rsid w:val="33E181EE"/>
    <w:rsid w:val="33F4B50E"/>
    <w:rsid w:val="33F89E37"/>
    <w:rsid w:val="3405625C"/>
    <w:rsid w:val="34087EE0"/>
    <w:rsid w:val="3420A2C0"/>
    <w:rsid w:val="342236AA"/>
    <w:rsid w:val="343B7C86"/>
    <w:rsid w:val="343C5F30"/>
    <w:rsid w:val="343F3DB3"/>
    <w:rsid w:val="344B858A"/>
    <w:rsid w:val="3455EBA3"/>
    <w:rsid w:val="347F2F72"/>
    <w:rsid w:val="348CAC28"/>
    <w:rsid w:val="348E90B0"/>
    <w:rsid w:val="34B8530E"/>
    <w:rsid w:val="34C3F5D2"/>
    <w:rsid w:val="34D0A308"/>
    <w:rsid w:val="34D91F10"/>
    <w:rsid w:val="34EC4509"/>
    <w:rsid w:val="34F17568"/>
    <w:rsid w:val="34F3F846"/>
    <w:rsid w:val="3500245F"/>
    <w:rsid w:val="3503FA16"/>
    <w:rsid w:val="3505A04B"/>
    <w:rsid w:val="350ABF0F"/>
    <w:rsid w:val="35123BD7"/>
    <w:rsid w:val="3524BBDF"/>
    <w:rsid w:val="3528B2FA"/>
    <w:rsid w:val="3531D07B"/>
    <w:rsid w:val="3531F75B"/>
    <w:rsid w:val="353744C4"/>
    <w:rsid w:val="3543EA52"/>
    <w:rsid w:val="3552B3A7"/>
    <w:rsid w:val="355805B5"/>
    <w:rsid w:val="355B51D9"/>
    <w:rsid w:val="3569E9B5"/>
    <w:rsid w:val="357BF27F"/>
    <w:rsid w:val="3583F3EB"/>
    <w:rsid w:val="3592B8B6"/>
    <w:rsid w:val="35A86207"/>
    <w:rsid w:val="35B46F64"/>
    <w:rsid w:val="35B99AB8"/>
    <w:rsid w:val="35D6C002"/>
    <w:rsid w:val="35D8C29C"/>
    <w:rsid w:val="35DB95DE"/>
    <w:rsid w:val="35E52568"/>
    <w:rsid w:val="35EC4795"/>
    <w:rsid w:val="35F1A63C"/>
    <w:rsid w:val="35F2182F"/>
    <w:rsid w:val="3609E723"/>
    <w:rsid w:val="3613320D"/>
    <w:rsid w:val="36185CAE"/>
    <w:rsid w:val="361A20C2"/>
    <w:rsid w:val="362100E2"/>
    <w:rsid w:val="36330458"/>
    <w:rsid w:val="363A7203"/>
    <w:rsid w:val="3641185D"/>
    <w:rsid w:val="3643FE2C"/>
    <w:rsid w:val="3645706C"/>
    <w:rsid w:val="36460DB8"/>
    <w:rsid w:val="364E2877"/>
    <w:rsid w:val="364ECB5F"/>
    <w:rsid w:val="36523AA9"/>
    <w:rsid w:val="3662CB14"/>
    <w:rsid w:val="3665122E"/>
    <w:rsid w:val="366F0CD5"/>
    <w:rsid w:val="366F5989"/>
    <w:rsid w:val="3673188E"/>
    <w:rsid w:val="369CDC9F"/>
    <w:rsid w:val="36AE498C"/>
    <w:rsid w:val="36BB7785"/>
    <w:rsid w:val="36C1D341"/>
    <w:rsid w:val="36C56126"/>
    <w:rsid w:val="36C7E20E"/>
    <w:rsid w:val="36DB6A7B"/>
    <w:rsid w:val="36DD9F97"/>
    <w:rsid w:val="36E09C75"/>
    <w:rsid w:val="36E2430F"/>
    <w:rsid w:val="36F0233C"/>
    <w:rsid w:val="36F32FDA"/>
    <w:rsid w:val="37240D93"/>
    <w:rsid w:val="37243459"/>
    <w:rsid w:val="3738B8FC"/>
    <w:rsid w:val="37501FA8"/>
    <w:rsid w:val="37563C4A"/>
    <w:rsid w:val="37601125"/>
    <w:rsid w:val="3767D56A"/>
    <w:rsid w:val="376F6505"/>
    <w:rsid w:val="377485F3"/>
    <w:rsid w:val="3781B29F"/>
    <w:rsid w:val="379262F9"/>
    <w:rsid w:val="3796054C"/>
    <w:rsid w:val="379B9042"/>
    <w:rsid w:val="37AE2ECB"/>
    <w:rsid w:val="37B78874"/>
    <w:rsid w:val="37C21FD2"/>
    <w:rsid w:val="37C619C0"/>
    <w:rsid w:val="37CD7F0C"/>
    <w:rsid w:val="37CE753E"/>
    <w:rsid w:val="37D0016C"/>
    <w:rsid w:val="37D15DE6"/>
    <w:rsid w:val="37E98748"/>
    <w:rsid w:val="37FE62F3"/>
    <w:rsid w:val="3800654E"/>
    <w:rsid w:val="3802CA85"/>
    <w:rsid w:val="3805039F"/>
    <w:rsid w:val="380F6DDF"/>
    <w:rsid w:val="38154F27"/>
    <w:rsid w:val="381BEB57"/>
    <w:rsid w:val="381C98A3"/>
    <w:rsid w:val="382444DD"/>
    <w:rsid w:val="38359208"/>
    <w:rsid w:val="3835FD56"/>
    <w:rsid w:val="3838CF70"/>
    <w:rsid w:val="38484A69"/>
    <w:rsid w:val="384BFF73"/>
    <w:rsid w:val="3856902C"/>
    <w:rsid w:val="385950A1"/>
    <w:rsid w:val="38808927"/>
    <w:rsid w:val="388C2AB8"/>
    <w:rsid w:val="389FA8F0"/>
    <w:rsid w:val="38A39F28"/>
    <w:rsid w:val="38ABC5D5"/>
    <w:rsid w:val="38AC141E"/>
    <w:rsid w:val="38D05EEF"/>
    <w:rsid w:val="38D6E37F"/>
    <w:rsid w:val="38D80799"/>
    <w:rsid w:val="38E82F3B"/>
    <w:rsid w:val="38F41DD1"/>
    <w:rsid w:val="38FBB4BE"/>
    <w:rsid w:val="38FEEC22"/>
    <w:rsid w:val="391B15D8"/>
    <w:rsid w:val="3920BBBF"/>
    <w:rsid w:val="3932C33A"/>
    <w:rsid w:val="393A1901"/>
    <w:rsid w:val="394BBFCB"/>
    <w:rsid w:val="394C5725"/>
    <w:rsid w:val="395EEA5E"/>
    <w:rsid w:val="3969D79D"/>
    <w:rsid w:val="396D5460"/>
    <w:rsid w:val="3977F736"/>
    <w:rsid w:val="39790136"/>
    <w:rsid w:val="398BE371"/>
    <w:rsid w:val="398F6EDF"/>
    <w:rsid w:val="39953AEE"/>
    <w:rsid w:val="39A8CD9E"/>
    <w:rsid w:val="39ABA3A2"/>
    <w:rsid w:val="39AF5562"/>
    <w:rsid w:val="39B370AA"/>
    <w:rsid w:val="39DB07B4"/>
    <w:rsid w:val="39DD86B6"/>
    <w:rsid w:val="39DD918A"/>
    <w:rsid w:val="39E15A6B"/>
    <w:rsid w:val="39E8D22C"/>
    <w:rsid w:val="39E9CF9D"/>
    <w:rsid w:val="39F17C7D"/>
    <w:rsid w:val="3A153D6C"/>
    <w:rsid w:val="3A165812"/>
    <w:rsid w:val="3A17143C"/>
    <w:rsid w:val="3A20D1DD"/>
    <w:rsid w:val="3A2821F4"/>
    <w:rsid w:val="3A30067E"/>
    <w:rsid w:val="3A430A97"/>
    <w:rsid w:val="3A5798C3"/>
    <w:rsid w:val="3A5BAE44"/>
    <w:rsid w:val="3A68BAF7"/>
    <w:rsid w:val="3A6B07A5"/>
    <w:rsid w:val="3A8815A4"/>
    <w:rsid w:val="3A8A2555"/>
    <w:rsid w:val="3A920D60"/>
    <w:rsid w:val="3AAB4110"/>
    <w:rsid w:val="3AAD6063"/>
    <w:rsid w:val="3AC04580"/>
    <w:rsid w:val="3AD2C2E3"/>
    <w:rsid w:val="3AD2F23F"/>
    <w:rsid w:val="3AD56A57"/>
    <w:rsid w:val="3AD92D88"/>
    <w:rsid w:val="3AED7D60"/>
    <w:rsid w:val="3AFB88CA"/>
    <w:rsid w:val="3B10F763"/>
    <w:rsid w:val="3B1558AB"/>
    <w:rsid w:val="3B1CFA3F"/>
    <w:rsid w:val="3B1E3CF1"/>
    <w:rsid w:val="3B20184D"/>
    <w:rsid w:val="3B27532F"/>
    <w:rsid w:val="3B2A94BE"/>
    <w:rsid w:val="3B33C864"/>
    <w:rsid w:val="3B3721F6"/>
    <w:rsid w:val="3B3E2377"/>
    <w:rsid w:val="3B4AE542"/>
    <w:rsid w:val="3B501AB7"/>
    <w:rsid w:val="3B586A42"/>
    <w:rsid w:val="3B59D4E0"/>
    <w:rsid w:val="3B664B4A"/>
    <w:rsid w:val="3B78CCA1"/>
    <w:rsid w:val="3B7D32E5"/>
    <w:rsid w:val="3B7DD592"/>
    <w:rsid w:val="3B86C126"/>
    <w:rsid w:val="3B8DC733"/>
    <w:rsid w:val="3B8FAE04"/>
    <w:rsid w:val="3B9AF2EE"/>
    <w:rsid w:val="3B9BF731"/>
    <w:rsid w:val="3BA95FEA"/>
    <w:rsid w:val="3BB34EED"/>
    <w:rsid w:val="3BC79F5B"/>
    <w:rsid w:val="3BD236A1"/>
    <w:rsid w:val="3BD272FE"/>
    <w:rsid w:val="3BD9BCE8"/>
    <w:rsid w:val="3BDB51AF"/>
    <w:rsid w:val="3BDC19D0"/>
    <w:rsid w:val="3BDE9B04"/>
    <w:rsid w:val="3BE4434B"/>
    <w:rsid w:val="3BEDFDA5"/>
    <w:rsid w:val="3BF21218"/>
    <w:rsid w:val="3BF2565C"/>
    <w:rsid w:val="3BF6881F"/>
    <w:rsid w:val="3C0EC33C"/>
    <w:rsid w:val="3C177FF3"/>
    <w:rsid w:val="3C1DC7C6"/>
    <w:rsid w:val="3C1DF180"/>
    <w:rsid w:val="3C2BEAB0"/>
    <w:rsid w:val="3C469AF4"/>
    <w:rsid w:val="3C530DC2"/>
    <w:rsid w:val="3C6BB81A"/>
    <w:rsid w:val="3C6D4DA2"/>
    <w:rsid w:val="3C8631D6"/>
    <w:rsid w:val="3C902387"/>
    <w:rsid w:val="3C95301F"/>
    <w:rsid w:val="3C99B139"/>
    <w:rsid w:val="3C9B7AF1"/>
    <w:rsid w:val="3CAF955F"/>
    <w:rsid w:val="3CB109C1"/>
    <w:rsid w:val="3CB2D86C"/>
    <w:rsid w:val="3CB8FF01"/>
    <w:rsid w:val="3CC235F8"/>
    <w:rsid w:val="3CD0F1CC"/>
    <w:rsid w:val="3CECFCAC"/>
    <w:rsid w:val="3CF96C29"/>
    <w:rsid w:val="3D082F52"/>
    <w:rsid w:val="3D0977DC"/>
    <w:rsid w:val="3D0F4861"/>
    <w:rsid w:val="3D141B9C"/>
    <w:rsid w:val="3D1740F5"/>
    <w:rsid w:val="3D19D46C"/>
    <w:rsid w:val="3D3E60F8"/>
    <w:rsid w:val="3D5C553C"/>
    <w:rsid w:val="3D670817"/>
    <w:rsid w:val="3D696318"/>
    <w:rsid w:val="3D69DCCB"/>
    <w:rsid w:val="3D6F5251"/>
    <w:rsid w:val="3D786FD8"/>
    <w:rsid w:val="3D7D398F"/>
    <w:rsid w:val="3D7DEC58"/>
    <w:rsid w:val="3D7F7709"/>
    <w:rsid w:val="3D827DB6"/>
    <w:rsid w:val="3D9CB2F6"/>
    <w:rsid w:val="3D9E203C"/>
    <w:rsid w:val="3D9E4C96"/>
    <w:rsid w:val="3DA30CCE"/>
    <w:rsid w:val="3DAF93F9"/>
    <w:rsid w:val="3DB914D8"/>
    <w:rsid w:val="3DC8625C"/>
    <w:rsid w:val="3DD0C84D"/>
    <w:rsid w:val="3DE732A9"/>
    <w:rsid w:val="3DF6FAD7"/>
    <w:rsid w:val="3DFCF24F"/>
    <w:rsid w:val="3E0198C5"/>
    <w:rsid w:val="3E032DA6"/>
    <w:rsid w:val="3E06DFE7"/>
    <w:rsid w:val="3E070CD7"/>
    <w:rsid w:val="3E23C2E9"/>
    <w:rsid w:val="3E27518B"/>
    <w:rsid w:val="3E2E0297"/>
    <w:rsid w:val="3E314F1A"/>
    <w:rsid w:val="3E4C6EC8"/>
    <w:rsid w:val="3E56921C"/>
    <w:rsid w:val="3E5DFFA7"/>
    <w:rsid w:val="3E699855"/>
    <w:rsid w:val="3E775B45"/>
    <w:rsid w:val="3E89AC03"/>
    <w:rsid w:val="3E984CF1"/>
    <w:rsid w:val="3EA486B0"/>
    <w:rsid w:val="3EAF4922"/>
    <w:rsid w:val="3EBDFB21"/>
    <w:rsid w:val="3ECAB24F"/>
    <w:rsid w:val="3ECC0BB1"/>
    <w:rsid w:val="3ECC16D9"/>
    <w:rsid w:val="3ECCFB88"/>
    <w:rsid w:val="3ED4BBE7"/>
    <w:rsid w:val="3EDC0907"/>
    <w:rsid w:val="3EDDF5E1"/>
    <w:rsid w:val="3EEB698F"/>
    <w:rsid w:val="3EEE2317"/>
    <w:rsid w:val="3F0FC71F"/>
    <w:rsid w:val="3F1C221A"/>
    <w:rsid w:val="3F21D21D"/>
    <w:rsid w:val="3F2C3170"/>
    <w:rsid w:val="3F37ACF3"/>
    <w:rsid w:val="3F3D6E2A"/>
    <w:rsid w:val="3F51EBAC"/>
    <w:rsid w:val="3F6D2FC8"/>
    <w:rsid w:val="3F7B7EA1"/>
    <w:rsid w:val="3F7FCBFC"/>
    <w:rsid w:val="3F809426"/>
    <w:rsid w:val="3F88B61C"/>
    <w:rsid w:val="3F916BA4"/>
    <w:rsid w:val="3F9A4E2B"/>
    <w:rsid w:val="3F9B3D6C"/>
    <w:rsid w:val="3F9DC0C5"/>
    <w:rsid w:val="3FA06EF7"/>
    <w:rsid w:val="3FA40461"/>
    <w:rsid w:val="3FAE78E5"/>
    <w:rsid w:val="3FB79804"/>
    <w:rsid w:val="3FBA739E"/>
    <w:rsid w:val="3FBFFE97"/>
    <w:rsid w:val="3FC74D15"/>
    <w:rsid w:val="3FDE8B3E"/>
    <w:rsid w:val="3FEE6066"/>
    <w:rsid w:val="3FF135DB"/>
    <w:rsid w:val="3FF21387"/>
    <w:rsid w:val="3FF48FC8"/>
    <w:rsid w:val="4006C63B"/>
    <w:rsid w:val="4007C382"/>
    <w:rsid w:val="402E842F"/>
    <w:rsid w:val="4047893F"/>
    <w:rsid w:val="405FC346"/>
    <w:rsid w:val="40B94EBB"/>
    <w:rsid w:val="40BE9141"/>
    <w:rsid w:val="40C5E542"/>
    <w:rsid w:val="40CBB6AC"/>
    <w:rsid w:val="40CBC48A"/>
    <w:rsid w:val="40D5C301"/>
    <w:rsid w:val="40E14675"/>
    <w:rsid w:val="40F0B17C"/>
    <w:rsid w:val="40FA7950"/>
    <w:rsid w:val="40FFA5BE"/>
    <w:rsid w:val="41064C2F"/>
    <w:rsid w:val="4110AD8A"/>
    <w:rsid w:val="4113A08E"/>
    <w:rsid w:val="411619A4"/>
    <w:rsid w:val="412FFD2F"/>
    <w:rsid w:val="413DED6C"/>
    <w:rsid w:val="415BB8A8"/>
    <w:rsid w:val="417161E3"/>
    <w:rsid w:val="417B92D9"/>
    <w:rsid w:val="418005F4"/>
    <w:rsid w:val="418AFAD4"/>
    <w:rsid w:val="4194DED3"/>
    <w:rsid w:val="4195EDA1"/>
    <w:rsid w:val="41971916"/>
    <w:rsid w:val="41A23B80"/>
    <w:rsid w:val="41A843D4"/>
    <w:rsid w:val="41A8847B"/>
    <w:rsid w:val="41A9BE0B"/>
    <w:rsid w:val="41CFE15C"/>
    <w:rsid w:val="41D6D8E3"/>
    <w:rsid w:val="41DA2E90"/>
    <w:rsid w:val="41E2F232"/>
    <w:rsid w:val="41EF1DFB"/>
    <w:rsid w:val="41EF7875"/>
    <w:rsid w:val="41F4A3CD"/>
    <w:rsid w:val="41F67A4F"/>
    <w:rsid w:val="41FC12A6"/>
    <w:rsid w:val="42103EDC"/>
    <w:rsid w:val="421672D0"/>
    <w:rsid w:val="42191965"/>
    <w:rsid w:val="421FB3DA"/>
    <w:rsid w:val="422F4D96"/>
    <w:rsid w:val="42315DAA"/>
    <w:rsid w:val="42331728"/>
    <w:rsid w:val="423385CA"/>
    <w:rsid w:val="424A619A"/>
    <w:rsid w:val="425139A8"/>
    <w:rsid w:val="4258F217"/>
    <w:rsid w:val="4263C775"/>
    <w:rsid w:val="4263F8AD"/>
    <w:rsid w:val="4274BE68"/>
    <w:rsid w:val="4275F84A"/>
    <w:rsid w:val="42800A1F"/>
    <w:rsid w:val="428039F1"/>
    <w:rsid w:val="429AC236"/>
    <w:rsid w:val="42B13D32"/>
    <w:rsid w:val="42B60047"/>
    <w:rsid w:val="42E199B3"/>
    <w:rsid w:val="42E1DFB0"/>
    <w:rsid w:val="42FF7EA9"/>
    <w:rsid w:val="430862B5"/>
    <w:rsid w:val="430A322D"/>
    <w:rsid w:val="4319FB4B"/>
    <w:rsid w:val="432D2B47"/>
    <w:rsid w:val="43345838"/>
    <w:rsid w:val="433CDA67"/>
    <w:rsid w:val="434947D4"/>
    <w:rsid w:val="43554215"/>
    <w:rsid w:val="4358BBAD"/>
    <w:rsid w:val="436E17E2"/>
    <w:rsid w:val="437B7322"/>
    <w:rsid w:val="437E567C"/>
    <w:rsid w:val="438C4D09"/>
    <w:rsid w:val="43B4B801"/>
    <w:rsid w:val="43BB2767"/>
    <w:rsid w:val="43CC4334"/>
    <w:rsid w:val="43DC8778"/>
    <w:rsid w:val="43E82FE9"/>
    <w:rsid w:val="43FA0AB2"/>
    <w:rsid w:val="44007B57"/>
    <w:rsid w:val="440615FE"/>
    <w:rsid w:val="4430831C"/>
    <w:rsid w:val="443149FB"/>
    <w:rsid w:val="443878CC"/>
    <w:rsid w:val="443A1662"/>
    <w:rsid w:val="443AEEA8"/>
    <w:rsid w:val="4453973C"/>
    <w:rsid w:val="44706744"/>
    <w:rsid w:val="448049AE"/>
    <w:rsid w:val="4483F0B8"/>
    <w:rsid w:val="4499D14A"/>
    <w:rsid w:val="44A01FC9"/>
    <w:rsid w:val="44AF8A04"/>
    <w:rsid w:val="44C83B60"/>
    <w:rsid w:val="44C88E15"/>
    <w:rsid w:val="44CAFCC2"/>
    <w:rsid w:val="44CD2864"/>
    <w:rsid w:val="44CE3427"/>
    <w:rsid w:val="44D0C6E2"/>
    <w:rsid w:val="44D2806A"/>
    <w:rsid w:val="44E68860"/>
    <w:rsid w:val="44F52188"/>
    <w:rsid w:val="44FE2946"/>
    <w:rsid w:val="45096B14"/>
    <w:rsid w:val="451466D0"/>
    <w:rsid w:val="451D7363"/>
    <w:rsid w:val="451FABA3"/>
    <w:rsid w:val="452EEB6B"/>
    <w:rsid w:val="453C6EAC"/>
    <w:rsid w:val="4542FCEB"/>
    <w:rsid w:val="454E22AC"/>
    <w:rsid w:val="45743D43"/>
    <w:rsid w:val="4575231E"/>
    <w:rsid w:val="4576A2B2"/>
    <w:rsid w:val="45800C35"/>
    <w:rsid w:val="45835DA9"/>
    <w:rsid w:val="458D8066"/>
    <w:rsid w:val="4595DA98"/>
    <w:rsid w:val="459776C6"/>
    <w:rsid w:val="45A961E2"/>
    <w:rsid w:val="45ACB9FA"/>
    <w:rsid w:val="45B41222"/>
    <w:rsid w:val="45CD286C"/>
    <w:rsid w:val="45DC97C7"/>
    <w:rsid w:val="45E0E8BA"/>
    <w:rsid w:val="45EBF3B4"/>
    <w:rsid w:val="45ED2C39"/>
    <w:rsid w:val="45F17688"/>
    <w:rsid w:val="460687EA"/>
    <w:rsid w:val="4608E01E"/>
    <w:rsid w:val="461521EA"/>
    <w:rsid w:val="4616DE8A"/>
    <w:rsid w:val="461BB9EA"/>
    <w:rsid w:val="4626D3D5"/>
    <w:rsid w:val="462E3E4F"/>
    <w:rsid w:val="4632106B"/>
    <w:rsid w:val="46399A8F"/>
    <w:rsid w:val="46432F28"/>
    <w:rsid w:val="464B0C4E"/>
    <w:rsid w:val="464BDCE7"/>
    <w:rsid w:val="4652BF52"/>
    <w:rsid w:val="468251EF"/>
    <w:rsid w:val="468DBD36"/>
    <w:rsid w:val="469EA5BD"/>
    <w:rsid w:val="46AAFADB"/>
    <w:rsid w:val="46AB54F4"/>
    <w:rsid w:val="46AB6773"/>
    <w:rsid w:val="46C06FA1"/>
    <w:rsid w:val="46C3AAAB"/>
    <w:rsid w:val="46CF53A4"/>
    <w:rsid w:val="46D026CE"/>
    <w:rsid w:val="46EF735E"/>
    <w:rsid w:val="46F5B6FC"/>
    <w:rsid w:val="46FB125B"/>
    <w:rsid w:val="47050C90"/>
    <w:rsid w:val="4709C09B"/>
    <w:rsid w:val="4717D3BD"/>
    <w:rsid w:val="4726FAA0"/>
    <w:rsid w:val="4730C58D"/>
    <w:rsid w:val="473DA7CD"/>
    <w:rsid w:val="47400CF1"/>
    <w:rsid w:val="4752999B"/>
    <w:rsid w:val="4754E080"/>
    <w:rsid w:val="475BB636"/>
    <w:rsid w:val="4760EA70"/>
    <w:rsid w:val="47644129"/>
    <w:rsid w:val="4769017A"/>
    <w:rsid w:val="4776E847"/>
    <w:rsid w:val="478281C0"/>
    <w:rsid w:val="4783126C"/>
    <w:rsid w:val="47833617"/>
    <w:rsid w:val="47909E30"/>
    <w:rsid w:val="4799E3AC"/>
    <w:rsid w:val="47B31298"/>
    <w:rsid w:val="47B735C3"/>
    <w:rsid w:val="47BE9299"/>
    <w:rsid w:val="47CA467F"/>
    <w:rsid w:val="47CCD785"/>
    <w:rsid w:val="47E0EFB7"/>
    <w:rsid w:val="47E4338D"/>
    <w:rsid w:val="47F5D0C4"/>
    <w:rsid w:val="47F73F6D"/>
    <w:rsid w:val="47FED8E8"/>
    <w:rsid w:val="480ACE9F"/>
    <w:rsid w:val="4820972D"/>
    <w:rsid w:val="4822D5A6"/>
    <w:rsid w:val="48333B57"/>
    <w:rsid w:val="484E867B"/>
    <w:rsid w:val="48565949"/>
    <w:rsid w:val="487433E0"/>
    <w:rsid w:val="4878874D"/>
    <w:rsid w:val="48915531"/>
    <w:rsid w:val="48960A05"/>
    <w:rsid w:val="48A5BBDF"/>
    <w:rsid w:val="48A5E9E1"/>
    <w:rsid w:val="48CD7B57"/>
    <w:rsid w:val="48DFBC68"/>
    <w:rsid w:val="48E33451"/>
    <w:rsid w:val="48E60141"/>
    <w:rsid w:val="48E6394C"/>
    <w:rsid w:val="48FE9636"/>
    <w:rsid w:val="4905A8AC"/>
    <w:rsid w:val="490E9909"/>
    <w:rsid w:val="491004E4"/>
    <w:rsid w:val="4919CECF"/>
    <w:rsid w:val="491F25A9"/>
    <w:rsid w:val="49210642"/>
    <w:rsid w:val="492F854A"/>
    <w:rsid w:val="4944E1FE"/>
    <w:rsid w:val="49451794"/>
    <w:rsid w:val="4947277A"/>
    <w:rsid w:val="49529573"/>
    <w:rsid w:val="495C8733"/>
    <w:rsid w:val="49621E07"/>
    <w:rsid w:val="4965F2F2"/>
    <w:rsid w:val="4968C729"/>
    <w:rsid w:val="496B0796"/>
    <w:rsid w:val="496C1DAE"/>
    <w:rsid w:val="49705BCA"/>
    <w:rsid w:val="49711117"/>
    <w:rsid w:val="4974978B"/>
    <w:rsid w:val="4975B403"/>
    <w:rsid w:val="499ABCD2"/>
    <w:rsid w:val="499BFB87"/>
    <w:rsid w:val="499C24CD"/>
    <w:rsid w:val="499FA5B2"/>
    <w:rsid w:val="49A1EB4F"/>
    <w:rsid w:val="49B5BD97"/>
    <w:rsid w:val="49B94FFD"/>
    <w:rsid w:val="49C35E11"/>
    <w:rsid w:val="49CF1DCE"/>
    <w:rsid w:val="49D01695"/>
    <w:rsid w:val="49D11666"/>
    <w:rsid w:val="49DF7ABC"/>
    <w:rsid w:val="49E7FE4C"/>
    <w:rsid w:val="49F249C4"/>
    <w:rsid w:val="49FFDD38"/>
    <w:rsid w:val="4A00E48E"/>
    <w:rsid w:val="4A1662E2"/>
    <w:rsid w:val="4A1864ED"/>
    <w:rsid w:val="4A18ED0F"/>
    <w:rsid w:val="4A2008C7"/>
    <w:rsid w:val="4A2957AD"/>
    <w:rsid w:val="4A2A823D"/>
    <w:rsid w:val="4A2D6F76"/>
    <w:rsid w:val="4A3C6C02"/>
    <w:rsid w:val="4A419DB6"/>
    <w:rsid w:val="4A4D700A"/>
    <w:rsid w:val="4A4E8F12"/>
    <w:rsid w:val="4A5660DF"/>
    <w:rsid w:val="4A576F5B"/>
    <w:rsid w:val="4A5EDB05"/>
    <w:rsid w:val="4A5F9CD5"/>
    <w:rsid w:val="4A64E794"/>
    <w:rsid w:val="4A6AEA3A"/>
    <w:rsid w:val="4A75C268"/>
    <w:rsid w:val="4A990810"/>
    <w:rsid w:val="4AA224ED"/>
    <w:rsid w:val="4AC5C335"/>
    <w:rsid w:val="4ACCCA22"/>
    <w:rsid w:val="4ACFACC6"/>
    <w:rsid w:val="4AE3B3DD"/>
    <w:rsid w:val="4AE6357E"/>
    <w:rsid w:val="4B141487"/>
    <w:rsid w:val="4B167106"/>
    <w:rsid w:val="4B1B06AA"/>
    <w:rsid w:val="4B2B3A45"/>
    <w:rsid w:val="4B3C21AE"/>
    <w:rsid w:val="4B452F5B"/>
    <w:rsid w:val="4B63BF91"/>
    <w:rsid w:val="4B766103"/>
    <w:rsid w:val="4B7FE773"/>
    <w:rsid w:val="4BA3BD13"/>
    <w:rsid w:val="4BA89591"/>
    <w:rsid w:val="4BB3BF51"/>
    <w:rsid w:val="4BB91882"/>
    <w:rsid w:val="4BDCBED6"/>
    <w:rsid w:val="4BE8A0A9"/>
    <w:rsid w:val="4BF34F49"/>
    <w:rsid w:val="4BF62A4E"/>
    <w:rsid w:val="4C1D08A2"/>
    <w:rsid w:val="4C2A74E0"/>
    <w:rsid w:val="4C2B9083"/>
    <w:rsid w:val="4C381C83"/>
    <w:rsid w:val="4C475AC0"/>
    <w:rsid w:val="4C4FF57E"/>
    <w:rsid w:val="4C5172BB"/>
    <w:rsid w:val="4C541E6E"/>
    <w:rsid w:val="4C9684EB"/>
    <w:rsid w:val="4C988789"/>
    <w:rsid w:val="4C9D017F"/>
    <w:rsid w:val="4CA1E956"/>
    <w:rsid w:val="4CABBFBE"/>
    <w:rsid w:val="4CB03015"/>
    <w:rsid w:val="4CBD84E3"/>
    <w:rsid w:val="4CBE463A"/>
    <w:rsid w:val="4CBE9709"/>
    <w:rsid w:val="4CCE9ECB"/>
    <w:rsid w:val="4CDC1B5E"/>
    <w:rsid w:val="4CE1E68E"/>
    <w:rsid w:val="4CEE1D8B"/>
    <w:rsid w:val="4CF50791"/>
    <w:rsid w:val="4CF7AF60"/>
    <w:rsid w:val="4CFAE6CE"/>
    <w:rsid w:val="4D27F112"/>
    <w:rsid w:val="4D35962B"/>
    <w:rsid w:val="4D38661A"/>
    <w:rsid w:val="4D5B244C"/>
    <w:rsid w:val="4D6DD0EB"/>
    <w:rsid w:val="4D8B14F1"/>
    <w:rsid w:val="4D8FA1AC"/>
    <w:rsid w:val="4D90D312"/>
    <w:rsid w:val="4D929A03"/>
    <w:rsid w:val="4D94D541"/>
    <w:rsid w:val="4D9A777F"/>
    <w:rsid w:val="4DA28DA9"/>
    <w:rsid w:val="4DAE1E48"/>
    <w:rsid w:val="4DAE4E96"/>
    <w:rsid w:val="4DC5BB78"/>
    <w:rsid w:val="4DCAB38F"/>
    <w:rsid w:val="4DD90C20"/>
    <w:rsid w:val="4DDDA429"/>
    <w:rsid w:val="4DE1E7C1"/>
    <w:rsid w:val="4DE3CE4D"/>
    <w:rsid w:val="4DF53BA8"/>
    <w:rsid w:val="4DFB9433"/>
    <w:rsid w:val="4E172731"/>
    <w:rsid w:val="4E2EAB9A"/>
    <w:rsid w:val="4E31DE2D"/>
    <w:rsid w:val="4E3826C5"/>
    <w:rsid w:val="4E3C2365"/>
    <w:rsid w:val="4E521EEF"/>
    <w:rsid w:val="4E64814F"/>
    <w:rsid w:val="4E691BEE"/>
    <w:rsid w:val="4E736213"/>
    <w:rsid w:val="4E74CB0F"/>
    <w:rsid w:val="4E7EAC01"/>
    <w:rsid w:val="4E7FAAE5"/>
    <w:rsid w:val="4E813A6D"/>
    <w:rsid w:val="4E86BC90"/>
    <w:rsid w:val="4E9A99E0"/>
    <w:rsid w:val="4EA9DDC9"/>
    <w:rsid w:val="4EAB434F"/>
    <w:rsid w:val="4EAD3456"/>
    <w:rsid w:val="4EBDA930"/>
    <w:rsid w:val="4EC486B2"/>
    <w:rsid w:val="4ED4FEF9"/>
    <w:rsid w:val="4EE43D5D"/>
    <w:rsid w:val="4EE8E6DB"/>
    <w:rsid w:val="4F10E12B"/>
    <w:rsid w:val="4F136C8C"/>
    <w:rsid w:val="4F170866"/>
    <w:rsid w:val="4F358A6A"/>
    <w:rsid w:val="4F3FD887"/>
    <w:rsid w:val="4F41D155"/>
    <w:rsid w:val="4F489704"/>
    <w:rsid w:val="4F4CEA3E"/>
    <w:rsid w:val="4F50EAFA"/>
    <w:rsid w:val="4F54450F"/>
    <w:rsid w:val="4F620C34"/>
    <w:rsid w:val="4F65CE90"/>
    <w:rsid w:val="4F65DC82"/>
    <w:rsid w:val="4F73AF07"/>
    <w:rsid w:val="4F8C6BD7"/>
    <w:rsid w:val="4FAA85A8"/>
    <w:rsid w:val="4FADEA4D"/>
    <w:rsid w:val="4FB44EC1"/>
    <w:rsid w:val="4FB9C971"/>
    <w:rsid w:val="4FBDD4FF"/>
    <w:rsid w:val="4FBDF8CD"/>
    <w:rsid w:val="4FC40695"/>
    <w:rsid w:val="4FD36C00"/>
    <w:rsid w:val="4FE01FC3"/>
    <w:rsid w:val="4FE94515"/>
    <w:rsid w:val="5006AEC3"/>
    <w:rsid w:val="50163FDD"/>
    <w:rsid w:val="502BCF7D"/>
    <w:rsid w:val="504988E3"/>
    <w:rsid w:val="504A92D0"/>
    <w:rsid w:val="504E58A8"/>
    <w:rsid w:val="50542740"/>
    <w:rsid w:val="5058580B"/>
    <w:rsid w:val="505BA802"/>
    <w:rsid w:val="505D02B4"/>
    <w:rsid w:val="5067B2CA"/>
    <w:rsid w:val="506873B7"/>
    <w:rsid w:val="506990DF"/>
    <w:rsid w:val="506C3C25"/>
    <w:rsid w:val="506F0DFA"/>
    <w:rsid w:val="5072E521"/>
    <w:rsid w:val="50743AE5"/>
    <w:rsid w:val="507A558C"/>
    <w:rsid w:val="50800BE8"/>
    <w:rsid w:val="50873AA4"/>
    <w:rsid w:val="5090D4C8"/>
    <w:rsid w:val="509A30DC"/>
    <w:rsid w:val="50AB56A9"/>
    <w:rsid w:val="50B201BD"/>
    <w:rsid w:val="50C24ECF"/>
    <w:rsid w:val="50CF3568"/>
    <w:rsid w:val="50D7C74B"/>
    <w:rsid w:val="50EA97B2"/>
    <w:rsid w:val="50F173FD"/>
    <w:rsid w:val="50FC7A7A"/>
    <w:rsid w:val="50FE42E2"/>
    <w:rsid w:val="50FFC9C5"/>
    <w:rsid w:val="5104FE7E"/>
    <w:rsid w:val="5107999D"/>
    <w:rsid w:val="5108FE48"/>
    <w:rsid w:val="510E8027"/>
    <w:rsid w:val="51121F55"/>
    <w:rsid w:val="511D1870"/>
    <w:rsid w:val="512895A5"/>
    <w:rsid w:val="512B9903"/>
    <w:rsid w:val="512D38D8"/>
    <w:rsid w:val="513FC35A"/>
    <w:rsid w:val="51593CC1"/>
    <w:rsid w:val="515D77E7"/>
    <w:rsid w:val="516DD292"/>
    <w:rsid w:val="5175E13D"/>
    <w:rsid w:val="5178A0D3"/>
    <w:rsid w:val="5182AFFC"/>
    <w:rsid w:val="518E6606"/>
    <w:rsid w:val="518FE0EA"/>
    <w:rsid w:val="51900DD6"/>
    <w:rsid w:val="51A7A1E3"/>
    <w:rsid w:val="51B431B9"/>
    <w:rsid w:val="51BB189E"/>
    <w:rsid w:val="51D8A118"/>
    <w:rsid w:val="51E9D77A"/>
    <w:rsid w:val="51EB9268"/>
    <w:rsid w:val="51FB49E0"/>
    <w:rsid w:val="51FDA01F"/>
    <w:rsid w:val="520AAB35"/>
    <w:rsid w:val="520DC6DC"/>
    <w:rsid w:val="521E2E44"/>
    <w:rsid w:val="52280DF5"/>
    <w:rsid w:val="522D6731"/>
    <w:rsid w:val="523251E4"/>
    <w:rsid w:val="5258BDC4"/>
    <w:rsid w:val="525AB0C5"/>
    <w:rsid w:val="526CCC52"/>
    <w:rsid w:val="5278FA46"/>
    <w:rsid w:val="5279F193"/>
    <w:rsid w:val="5289F060"/>
    <w:rsid w:val="528FCD8E"/>
    <w:rsid w:val="5291C273"/>
    <w:rsid w:val="5292A107"/>
    <w:rsid w:val="52ACA6F8"/>
    <w:rsid w:val="52BBAF4B"/>
    <w:rsid w:val="52BFE36A"/>
    <w:rsid w:val="52D78221"/>
    <w:rsid w:val="52F5DE6E"/>
    <w:rsid w:val="530FCC3D"/>
    <w:rsid w:val="53207C78"/>
    <w:rsid w:val="53286F8E"/>
    <w:rsid w:val="532E97BD"/>
    <w:rsid w:val="532FD575"/>
    <w:rsid w:val="53440293"/>
    <w:rsid w:val="5344EDD3"/>
    <w:rsid w:val="534BAB71"/>
    <w:rsid w:val="53551814"/>
    <w:rsid w:val="537A0F9B"/>
    <w:rsid w:val="537FE09A"/>
    <w:rsid w:val="5388981D"/>
    <w:rsid w:val="538DEA85"/>
    <w:rsid w:val="539E6254"/>
    <w:rsid w:val="53A73D06"/>
    <w:rsid w:val="53AEF1E8"/>
    <w:rsid w:val="53C0F4A4"/>
    <w:rsid w:val="53C632A1"/>
    <w:rsid w:val="53E25C9A"/>
    <w:rsid w:val="53ED9E96"/>
    <w:rsid w:val="53F1E385"/>
    <w:rsid w:val="53F6D4DC"/>
    <w:rsid w:val="53F770DC"/>
    <w:rsid w:val="54117AF6"/>
    <w:rsid w:val="54174CE8"/>
    <w:rsid w:val="541D1F9D"/>
    <w:rsid w:val="54271B98"/>
    <w:rsid w:val="542D90BF"/>
    <w:rsid w:val="542DB6AE"/>
    <w:rsid w:val="543AEF61"/>
    <w:rsid w:val="54585C25"/>
    <w:rsid w:val="5475FD8F"/>
    <w:rsid w:val="54934E84"/>
    <w:rsid w:val="549B46E0"/>
    <w:rsid w:val="54A2DF77"/>
    <w:rsid w:val="54A4AA13"/>
    <w:rsid w:val="54AB5BFC"/>
    <w:rsid w:val="54AB6FBC"/>
    <w:rsid w:val="54ADC9BA"/>
    <w:rsid w:val="54B0254F"/>
    <w:rsid w:val="54B594A0"/>
    <w:rsid w:val="54C8DA21"/>
    <w:rsid w:val="54CAC5E4"/>
    <w:rsid w:val="54D0B6DB"/>
    <w:rsid w:val="54D8A3E6"/>
    <w:rsid w:val="54DC77A0"/>
    <w:rsid w:val="54ED0D2B"/>
    <w:rsid w:val="54F05137"/>
    <w:rsid w:val="54FCCEF8"/>
    <w:rsid w:val="55079A9B"/>
    <w:rsid w:val="550ABCCC"/>
    <w:rsid w:val="550CCDC0"/>
    <w:rsid w:val="551BED57"/>
    <w:rsid w:val="551DA137"/>
    <w:rsid w:val="55233591"/>
    <w:rsid w:val="552687A7"/>
    <w:rsid w:val="552BC551"/>
    <w:rsid w:val="5534CFB7"/>
    <w:rsid w:val="55401DBA"/>
    <w:rsid w:val="5545A281"/>
    <w:rsid w:val="5548F3F5"/>
    <w:rsid w:val="5553A478"/>
    <w:rsid w:val="5563AD6E"/>
    <w:rsid w:val="55655643"/>
    <w:rsid w:val="556AD307"/>
    <w:rsid w:val="556E8001"/>
    <w:rsid w:val="5578A5BF"/>
    <w:rsid w:val="557E1E20"/>
    <w:rsid w:val="558D0056"/>
    <w:rsid w:val="558F814D"/>
    <w:rsid w:val="55919BE2"/>
    <w:rsid w:val="55A2B805"/>
    <w:rsid w:val="55A646EF"/>
    <w:rsid w:val="55B2CE3B"/>
    <w:rsid w:val="55B4B4E5"/>
    <w:rsid w:val="55BB35E8"/>
    <w:rsid w:val="55CD818F"/>
    <w:rsid w:val="55D99482"/>
    <w:rsid w:val="55E712A8"/>
    <w:rsid w:val="55EF2326"/>
    <w:rsid w:val="55EFCB87"/>
    <w:rsid w:val="560B2A62"/>
    <w:rsid w:val="5612E95B"/>
    <w:rsid w:val="5619BC5D"/>
    <w:rsid w:val="561AA10C"/>
    <w:rsid w:val="561FCC0A"/>
    <w:rsid w:val="562D3530"/>
    <w:rsid w:val="56341FF0"/>
    <w:rsid w:val="563EA316"/>
    <w:rsid w:val="5645538A"/>
    <w:rsid w:val="5647DB5A"/>
    <w:rsid w:val="564A674C"/>
    <w:rsid w:val="56523042"/>
    <w:rsid w:val="56525277"/>
    <w:rsid w:val="565FE607"/>
    <w:rsid w:val="5669E232"/>
    <w:rsid w:val="5686740A"/>
    <w:rsid w:val="56891606"/>
    <w:rsid w:val="568D2D15"/>
    <w:rsid w:val="56970EA1"/>
    <w:rsid w:val="5699C38D"/>
    <w:rsid w:val="5699DD14"/>
    <w:rsid w:val="56A0BE6D"/>
    <w:rsid w:val="56A4A60E"/>
    <w:rsid w:val="56BD18D6"/>
    <w:rsid w:val="56C142B2"/>
    <w:rsid w:val="56C9A49A"/>
    <w:rsid w:val="56CEE4E7"/>
    <w:rsid w:val="56E63957"/>
    <w:rsid w:val="56ED37F5"/>
    <w:rsid w:val="56EF0C1E"/>
    <w:rsid w:val="56F774AB"/>
    <w:rsid w:val="56F78554"/>
    <w:rsid w:val="5719A198"/>
    <w:rsid w:val="571B874E"/>
    <w:rsid w:val="571F895C"/>
    <w:rsid w:val="573568AE"/>
    <w:rsid w:val="57356A02"/>
    <w:rsid w:val="57366DB0"/>
    <w:rsid w:val="5736C7B1"/>
    <w:rsid w:val="573A5965"/>
    <w:rsid w:val="573E6B0F"/>
    <w:rsid w:val="574189CA"/>
    <w:rsid w:val="57466DB3"/>
    <w:rsid w:val="574FAF2D"/>
    <w:rsid w:val="57577B62"/>
    <w:rsid w:val="5762830D"/>
    <w:rsid w:val="576DDAD0"/>
    <w:rsid w:val="5776245E"/>
    <w:rsid w:val="577F40C1"/>
    <w:rsid w:val="578D4564"/>
    <w:rsid w:val="579F7ED0"/>
    <w:rsid w:val="57A5C07A"/>
    <w:rsid w:val="57A75D7E"/>
    <w:rsid w:val="57B38FF6"/>
    <w:rsid w:val="57B9E9AD"/>
    <w:rsid w:val="57C0EE86"/>
    <w:rsid w:val="57CAD920"/>
    <w:rsid w:val="57D4AA2D"/>
    <w:rsid w:val="57D981B7"/>
    <w:rsid w:val="57DCB0A8"/>
    <w:rsid w:val="57DED937"/>
    <w:rsid w:val="57E89F4D"/>
    <w:rsid w:val="57F2CFE1"/>
    <w:rsid w:val="57F9EC3E"/>
    <w:rsid w:val="57FA89EC"/>
    <w:rsid w:val="57FAE4E9"/>
    <w:rsid w:val="5806AD3E"/>
    <w:rsid w:val="581F4297"/>
    <w:rsid w:val="581F8837"/>
    <w:rsid w:val="582481BE"/>
    <w:rsid w:val="583C672C"/>
    <w:rsid w:val="583EDB63"/>
    <w:rsid w:val="583EE030"/>
    <w:rsid w:val="584F43BF"/>
    <w:rsid w:val="58556459"/>
    <w:rsid w:val="58624D40"/>
    <w:rsid w:val="587E371F"/>
    <w:rsid w:val="587EA3E8"/>
    <w:rsid w:val="588169F1"/>
    <w:rsid w:val="588BA0F2"/>
    <w:rsid w:val="58A298C9"/>
    <w:rsid w:val="58A7E4D1"/>
    <w:rsid w:val="58AF3A53"/>
    <w:rsid w:val="58BD93C6"/>
    <w:rsid w:val="58C5C90C"/>
    <w:rsid w:val="58CB6C70"/>
    <w:rsid w:val="58CF811F"/>
    <w:rsid w:val="58D690F9"/>
    <w:rsid w:val="58DA92A2"/>
    <w:rsid w:val="58E1E04F"/>
    <w:rsid w:val="58F2BA8D"/>
    <w:rsid w:val="58FD4F60"/>
    <w:rsid w:val="59000B6F"/>
    <w:rsid w:val="59116DEC"/>
    <w:rsid w:val="5912AE65"/>
    <w:rsid w:val="591753C2"/>
    <w:rsid w:val="591F055A"/>
    <w:rsid w:val="5922351F"/>
    <w:rsid w:val="592E8D69"/>
    <w:rsid w:val="593E0728"/>
    <w:rsid w:val="593FA483"/>
    <w:rsid w:val="5954D73C"/>
    <w:rsid w:val="5959B39C"/>
    <w:rsid w:val="596033CA"/>
    <w:rsid w:val="59703179"/>
    <w:rsid w:val="5995C3BB"/>
    <w:rsid w:val="5999D6A8"/>
    <w:rsid w:val="59A2E1A9"/>
    <w:rsid w:val="59A42F33"/>
    <w:rsid w:val="59A89825"/>
    <w:rsid w:val="59B11BF6"/>
    <w:rsid w:val="59B5EEFF"/>
    <w:rsid w:val="59BE2F60"/>
    <w:rsid w:val="59C732EE"/>
    <w:rsid w:val="59CFC754"/>
    <w:rsid w:val="59D08D5A"/>
    <w:rsid w:val="59D4A5F5"/>
    <w:rsid w:val="59EB50DA"/>
    <w:rsid w:val="59EFD1E7"/>
    <w:rsid w:val="59F0D084"/>
    <w:rsid w:val="59F13428"/>
    <w:rsid w:val="59F8A61F"/>
    <w:rsid w:val="5A03FAA1"/>
    <w:rsid w:val="5A096EB8"/>
    <w:rsid w:val="5A099F30"/>
    <w:rsid w:val="5A0F8535"/>
    <w:rsid w:val="5A13526F"/>
    <w:rsid w:val="5A1E3DD7"/>
    <w:rsid w:val="5A2EBFD8"/>
    <w:rsid w:val="5A3B7E04"/>
    <w:rsid w:val="5A3CDA48"/>
    <w:rsid w:val="5A3F0755"/>
    <w:rsid w:val="5A43CA76"/>
    <w:rsid w:val="5A4A450B"/>
    <w:rsid w:val="5A60236D"/>
    <w:rsid w:val="5A614752"/>
    <w:rsid w:val="5A66CC5B"/>
    <w:rsid w:val="5A6B261A"/>
    <w:rsid w:val="5A71FD4E"/>
    <w:rsid w:val="5A768161"/>
    <w:rsid w:val="5A7740F3"/>
    <w:rsid w:val="5A7B0CB3"/>
    <w:rsid w:val="5A7FACC3"/>
    <w:rsid w:val="5A8037DE"/>
    <w:rsid w:val="5A80A268"/>
    <w:rsid w:val="5A915EA4"/>
    <w:rsid w:val="5AA44FA4"/>
    <w:rsid w:val="5ABCF4A0"/>
    <w:rsid w:val="5AC68D4A"/>
    <w:rsid w:val="5ACAD514"/>
    <w:rsid w:val="5AD435C3"/>
    <w:rsid w:val="5AD5159D"/>
    <w:rsid w:val="5AD5E061"/>
    <w:rsid w:val="5ADB985D"/>
    <w:rsid w:val="5AFCFCA9"/>
    <w:rsid w:val="5B1079A5"/>
    <w:rsid w:val="5B16FAB1"/>
    <w:rsid w:val="5B22AACB"/>
    <w:rsid w:val="5B28BC1F"/>
    <w:rsid w:val="5B2E57A3"/>
    <w:rsid w:val="5B41010D"/>
    <w:rsid w:val="5B4D2170"/>
    <w:rsid w:val="5B57BF3D"/>
    <w:rsid w:val="5B5A0E9D"/>
    <w:rsid w:val="5B66EBE1"/>
    <w:rsid w:val="5B6A060F"/>
    <w:rsid w:val="5B6BB5BF"/>
    <w:rsid w:val="5B74EA67"/>
    <w:rsid w:val="5B81A5AA"/>
    <w:rsid w:val="5B8A1752"/>
    <w:rsid w:val="5B8D64F8"/>
    <w:rsid w:val="5B95F747"/>
    <w:rsid w:val="5BAF0C3A"/>
    <w:rsid w:val="5BC7408B"/>
    <w:rsid w:val="5BD209DA"/>
    <w:rsid w:val="5BD352BD"/>
    <w:rsid w:val="5BD814DC"/>
    <w:rsid w:val="5BDD8B29"/>
    <w:rsid w:val="5BE470D0"/>
    <w:rsid w:val="5BE9474D"/>
    <w:rsid w:val="5BFE7CC8"/>
    <w:rsid w:val="5C04ABD4"/>
    <w:rsid w:val="5C147A3B"/>
    <w:rsid w:val="5C171768"/>
    <w:rsid w:val="5C1CB174"/>
    <w:rsid w:val="5C2D6CDE"/>
    <w:rsid w:val="5C2E5534"/>
    <w:rsid w:val="5C37D5C9"/>
    <w:rsid w:val="5C38E96B"/>
    <w:rsid w:val="5C3A024B"/>
    <w:rsid w:val="5C3DDD97"/>
    <w:rsid w:val="5C4C2BF6"/>
    <w:rsid w:val="5C4E9CE2"/>
    <w:rsid w:val="5C570BBD"/>
    <w:rsid w:val="5C65D9FB"/>
    <w:rsid w:val="5C68F0F9"/>
    <w:rsid w:val="5C6D0981"/>
    <w:rsid w:val="5C75E68B"/>
    <w:rsid w:val="5CA1FBFA"/>
    <w:rsid w:val="5CA294C7"/>
    <w:rsid w:val="5CAC3D6D"/>
    <w:rsid w:val="5CAF847C"/>
    <w:rsid w:val="5CAF86DE"/>
    <w:rsid w:val="5CB19123"/>
    <w:rsid w:val="5CB482BF"/>
    <w:rsid w:val="5CB6466E"/>
    <w:rsid w:val="5CB80924"/>
    <w:rsid w:val="5CBBF43E"/>
    <w:rsid w:val="5CC91A2A"/>
    <w:rsid w:val="5CE18A33"/>
    <w:rsid w:val="5CE8B697"/>
    <w:rsid w:val="5CF13C4E"/>
    <w:rsid w:val="5CF2B6EA"/>
    <w:rsid w:val="5D01C9D1"/>
    <w:rsid w:val="5D0C3AB2"/>
    <w:rsid w:val="5D12443E"/>
    <w:rsid w:val="5D131523"/>
    <w:rsid w:val="5D296133"/>
    <w:rsid w:val="5D37E131"/>
    <w:rsid w:val="5D405A31"/>
    <w:rsid w:val="5D43EBE6"/>
    <w:rsid w:val="5D5957CB"/>
    <w:rsid w:val="5D59E83F"/>
    <w:rsid w:val="5D616AEE"/>
    <w:rsid w:val="5D7A8201"/>
    <w:rsid w:val="5D7C7407"/>
    <w:rsid w:val="5D8295B7"/>
    <w:rsid w:val="5D8BEF3C"/>
    <w:rsid w:val="5DA4D416"/>
    <w:rsid w:val="5DAD9FB3"/>
    <w:rsid w:val="5DAF3F3B"/>
    <w:rsid w:val="5DB44532"/>
    <w:rsid w:val="5DBA1103"/>
    <w:rsid w:val="5DBD83BB"/>
    <w:rsid w:val="5DC3107B"/>
    <w:rsid w:val="5DCB560B"/>
    <w:rsid w:val="5DCFEC30"/>
    <w:rsid w:val="5DD1D70F"/>
    <w:rsid w:val="5DD2DDBC"/>
    <w:rsid w:val="5DD4E7CE"/>
    <w:rsid w:val="5DEE1EA9"/>
    <w:rsid w:val="5DF49A24"/>
    <w:rsid w:val="5DF6671D"/>
    <w:rsid w:val="5DFC09AC"/>
    <w:rsid w:val="5E0D7A9A"/>
    <w:rsid w:val="5E15456B"/>
    <w:rsid w:val="5E24B6E5"/>
    <w:rsid w:val="5E33B685"/>
    <w:rsid w:val="5E3751FB"/>
    <w:rsid w:val="5E38FCBB"/>
    <w:rsid w:val="5E516BA5"/>
    <w:rsid w:val="5E535CAD"/>
    <w:rsid w:val="5E5A5F63"/>
    <w:rsid w:val="5E63F06B"/>
    <w:rsid w:val="5E6FDDF2"/>
    <w:rsid w:val="5EA9025E"/>
    <w:rsid w:val="5EAF3B47"/>
    <w:rsid w:val="5EB23018"/>
    <w:rsid w:val="5EB8473D"/>
    <w:rsid w:val="5EBB9216"/>
    <w:rsid w:val="5EC259F5"/>
    <w:rsid w:val="5EC38E25"/>
    <w:rsid w:val="5ED19ACF"/>
    <w:rsid w:val="5ED89A5F"/>
    <w:rsid w:val="5EF01DDF"/>
    <w:rsid w:val="5EF3F4F0"/>
    <w:rsid w:val="5EF7050C"/>
    <w:rsid w:val="5EF78AA2"/>
    <w:rsid w:val="5EFF531C"/>
    <w:rsid w:val="5F1338DA"/>
    <w:rsid w:val="5F249247"/>
    <w:rsid w:val="5F2C495D"/>
    <w:rsid w:val="5F3A08A6"/>
    <w:rsid w:val="5F455E22"/>
    <w:rsid w:val="5F471A95"/>
    <w:rsid w:val="5F4C8A49"/>
    <w:rsid w:val="5F4EDB08"/>
    <w:rsid w:val="5F735439"/>
    <w:rsid w:val="5F7959EC"/>
    <w:rsid w:val="5F8E8F05"/>
    <w:rsid w:val="5FA03155"/>
    <w:rsid w:val="5FA8528F"/>
    <w:rsid w:val="5FB6F069"/>
    <w:rsid w:val="5FB9D7A8"/>
    <w:rsid w:val="5FBC9217"/>
    <w:rsid w:val="5FC1C942"/>
    <w:rsid w:val="5FCD7008"/>
    <w:rsid w:val="5FD0155A"/>
    <w:rsid w:val="5FD62B12"/>
    <w:rsid w:val="5FE7C46F"/>
    <w:rsid w:val="5FF39162"/>
    <w:rsid w:val="60040F80"/>
    <w:rsid w:val="6006ABD4"/>
    <w:rsid w:val="6022FF8F"/>
    <w:rsid w:val="6032B3E2"/>
    <w:rsid w:val="60348424"/>
    <w:rsid w:val="60497476"/>
    <w:rsid w:val="6056CBEB"/>
    <w:rsid w:val="605E29F0"/>
    <w:rsid w:val="6067D92F"/>
    <w:rsid w:val="606DC52E"/>
    <w:rsid w:val="607BAF0D"/>
    <w:rsid w:val="60976B34"/>
    <w:rsid w:val="60AEE17D"/>
    <w:rsid w:val="60B10D88"/>
    <w:rsid w:val="60BD60A4"/>
    <w:rsid w:val="60E73C55"/>
    <w:rsid w:val="60EAF282"/>
    <w:rsid w:val="60EBE026"/>
    <w:rsid w:val="60F503CD"/>
    <w:rsid w:val="610639E9"/>
    <w:rsid w:val="61076DAB"/>
    <w:rsid w:val="610DF33A"/>
    <w:rsid w:val="61116F68"/>
    <w:rsid w:val="61232ECD"/>
    <w:rsid w:val="61303925"/>
    <w:rsid w:val="6133A65E"/>
    <w:rsid w:val="613EB74F"/>
    <w:rsid w:val="6141D254"/>
    <w:rsid w:val="614328E4"/>
    <w:rsid w:val="614341D8"/>
    <w:rsid w:val="614AAD89"/>
    <w:rsid w:val="61707AD8"/>
    <w:rsid w:val="617AC56F"/>
    <w:rsid w:val="617ACA36"/>
    <w:rsid w:val="618C367E"/>
    <w:rsid w:val="619FDA93"/>
    <w:rsid w:val="61A20F2E"/>
    <w:rsid w:val="61A9E01A"/>
    <w:rsid w:val="61AFA56E"/>
    <w:rsid w:val="61B04B0F"/>
    <w:rsid w:val="61B9E816"/>
    <w:rsid w:val="61CCED82"/>
    <w:rsid w:val="61DA3E08"/>
    <w:rsid w:val="61EA6046"/>
    <w:rsid w:val="61FE4E50"/>
    <w:rsid w:val="6203D574"/>
    <w:rsid w:val="62233F91"/>
    <w:rsid w:val="62291281"/>
    <w:rsid w:val="62395EC7"/>
    <w:rsid w:val="623B5D23"/>
    <w:rsid w:val="623D5C99"/>
    <w:rsid w:val="623DF854"/>
    <w:rsid w:val="623FC1BA"/>
    <w:rsid w:val="62441EFD"/>
    <w:rsid w:val="624B818F"/>
    <w:rsid w:val="624D88C1"/>
    <w:rsid w:val="62574B4E"/>
    <w:rsid w:val="626DFA9A"/>
    <w:rsid w:val="627A2BB0"/>
    <w:rsid w:val="6290AC29"/>
    <w:rsid w:val="62A646A5"/>
    <w:rsid w:val="62AD225D"/>
    <w:rsid w:val="62B45BF2"/>
    <w:rsid w:val="62D2CE88"/>
    <w:rsid w:val="62D58A73"/>
    <w:rsid w:val="62D650D0"/>
    <w:rsid w:val="62DC6688"/>
    <w:rsid w:val="62E99092"/>
    <w:rsid w:val="630456BC"/>
    <w:rsid w:val="630FD611"/>
    <w:rsid w:val="630FF1AE"/>
    <w:rsid w:val="63151A2D"/>
    <w:rsid w:val="6329FE1B"/>
    <w:rsid w:val="632DD457"/>
    <w:rsid w:val="633FD376"/>
    <w:rsid w:val="63480D7D"/>
    <w:rsid w:val="634B71D3"/>
    <w:rsid w:val="6356B1AD"/>
    <w:rsid w:val="6359D637"/>
    <w:rsid w:val="63624D69"/>
    <w:rsid w:val="6367817B"/>
    <w:rsid w:val="63690B24"/>
    <w:rsid w:val="636B0DE2"/>
    <w:rsid w:val="636E3AA0"/>
    <w:rsid w:val="6378F91F"/>
    <w:rsid w:val="637D273A"/>
    <w:rsid w:val="6385CE91"/>
    <w:rsid w:val="638CAC74"/>
    <w:rsid w:val="639C1AFD"/>
    <w:rsid w:val="639DF38F"/>
    <w:rsid w:val="63A662D8"/>
    <w:rsid w:val="63AF2A6C"/>
    <w:rsid w:val="63C28974"/>
    <w:rsid w:val="63C5E4F9"/>
    <w:rsid w:val="63C9616F"/>
    <w:rsid w:val="63DCC68E"/>
    <w:rsid w:val="640B6CB6"/>
    <w:rsid w:val="640EBDD1"/>
    <w:rsid w:val="641B4041"/>
    <w:rsid w:val="641CBFB0"/>
    <w:rsid w:val="64224A52"/>
    <w:rsid w:val="6424C20A"/>
    <w:rsid w:val="642FCB06"/>
    <w:rsid w:val="64399A50"/>
    <w:rsid w:val="64507237"/>
    <w:rsid w:val="646436F3"/>
    <w:rsid w:val="64644B7D"/>
    <w:rsid w:val="6469497D"/>
    <w:rsid w:val="646B9B9D"/>
    <w:rsid w:val="647D7F31"/>
    <w:rsid w:val="64872258"/>
    <w:rsid w:val="648A0E13"/>
    <w:rsid w:val="64934F5A"/>
    <w:rsid w:val="6494D18C"/>
    <w:rsid w:val="64963F8F"/>
    <w:rsid w:val="6497B26E"/>
    <w:rsid w:val="649B1027"/>
    <w:rsid w:val="649B135D"/>
    <w:rsid w:val="649D3627"/>
    <w:rsid w:val="64A7CB28"/>
    <w:rsid w:val="64B8B1B4"/>
    <w:rsid w:val="64BB660D"/>
    <w:rsid w:val="64BBC7D6"/>
    <w:rsid w:val="64BCAB0D"/>
    <w:rsid w:val="64C041C2"/>
    <w:rsid w:val="64C907FE"/>
    <w:rsid w:val="64CC8E32"/>
    <w:rsid w:val="64D72D58"/>
    <w:rsid w:val="64E4F3B9"/>
    <w:rsid w:val="6506CF65"/>
    <w:rsid w:val="650DB9AC"/>
    <w:rsid w:val="650E9A6E"/>
    <w:rsid w:val="651BF762"/>
    <w:rsid w:val="652ECA98"/>
    <w:rsid w:val="652F54B0"/>
    <w:rsid w:val="65304A6D"/>
    <w:rsid w:val="653DAE8B"/>
    <w:rsid w:val="6543B5FE"/>
    <w:rsid w:val="654678AD"/>
    <w:rsid w:val="65494EDE"/>
    <w:rsid w:val="6555A2DD"/>
    <w:rsid w:val="6559A952"/>
    <w:rsid w:val="655B5643"/>
    <w:rsid w:val="6566A96F"/>
    <w:rsid w:val="65720CC1"/>
    <w:rsid w:val="6580D4CC"/>
    <w:rsid w:val="658BA7DE"/>
    <w:rsid w:val="6592207B"/>
    <w:rsid w:val="659C1630"/>
    <w:rsid w:val="65AFD7EE"/>
    <w:rsid w:val="65BBA895"/>
    <w:rsid w:val="65CDF9E5"/>
    <w:rsid w:val="65DD1638"/>
    <w:rsid w:val="65DFF703"/>
    <w:rsid w:val="65FAC37E"/>
    <w:rsid w:val="65FCB6E3"/>
    <w:rsid w:val="6600CAF2"/>
    <w:rsid w:val="6606874B"/>
    <w:rsid w:val="6607A774"/>
    <w:rsid w:val="660E9F1D"/>
    <w:rsid w:val="66147666"/>
    <w:rsid w:val="6614E47B"/>
    <w:rsid w:val="66180172"/>
    <w:rsid w:val="6618CA25"/>
    <w:rsid w:val="661D6ADC"/>
    <w:rsid w:val="662D9B70"/>
    <w:rsid w:val="663B09A6"/>
    <w:rsid w:val="66487819"/>
    <w:rsid w:val="664C1C56"/>
    <w:rsid w:val="6655422B"/>
    <w:rsid w:val="6666F883"/>
    <w:rsid w:val="66674411"/>
    <w:rsid w:val="666E7E89"/>
    <w:rsid w:val="667535BD"/>
    <w:rsid w:val="66A18590"/>
    <w:rsid w:val="66AECB3D"/>
    <w:rsid w:val="66B96DFD"/>
    <w:rsid w:val="66BD4F82"/>
    <w:rsid w:val="66BD6B4D"/>
    <w:rsid w:val="66C25EA6"/>
    <w:rsid w:val="66C440DB"/>
    <w:rsid w:val="66DA9657"/>
    <w:rsid w:val="66DD29AB"/>
    <w:rsid w:val="66DFB41C"/>
    <w:rsid w:val="66E28CDB"/>
    <w:rsid w:val="66EA6736"/>
    <w:rsid w:val="66F58E03"/>
    <w:rsid w:val="671269B7"/>
    <w:rsid w:val="67141A01"/>
    <w:rsid w:val="671940CF"/>
    <w:rsid w:val="671E2E90"/>
    <w:rsid w:val="671F0DE0"/>
    <w:rsid w:val="67205D9A"/>
    <w:rsid w:val="67225AAF"/>
    <w:rsid w:val="6723440B"/>
    <w:rsid w:val="67371554"/>
    <w:rsid w:val="67398C6A"/>
    <w:rsid w:val="6739E317"/>
    <w:rsid w:val="673D7A5E"/>
    <w:rsid w:val="673DAC49"/>
    <w:rsid w:val="67401755"/>
    <w:rsid w:val="67432159"/>
    <w:rsid w:val="6747B80A"/>
    <w:rsid w:val="67492603"/>
    <w:rsid w:val="6749A61C"/>
    <w:rsid w:val="674D96E7"/>
    <w:rsid w:val="6755B4D8"/>
    <w:rsid w:val="675FBC35"/>
    <w:rsid w:val="676785DD"/>
    <w:rsid w:val="6769F6EA"/>
    <w:rsid w:val="676E1D32"/>
    <w:rsid w:val="6771363B"/>
    <w:rsid w:val="6779730C"/>
    <w:rsid w:val="6779BE0B"/>
    <w:rsid w:val="6788FAE6"/>
    <w:rsid w:val="678A7C0B"/>
    <w:rsid w:val="678D3BED"/>
    <w:rsid w:val="67ACF897"/>
    <w:rsid w:val="67AE7874"/>
    <w:rsid w:val="67B62918"/>
    <w:rsid w:val="67B873E1"/>
    <w:rsid w:val="67BC884E"/>
    <w:rsid w:val="67C9427C"/>
    <w:rsid w:val="67CFC2FD"/>
    <w:rsid w:val="67D73050"/>
    <w:rsid w:val="67EB514B"/>
    <w:rsid w:val="67F99317"/>
    <w:rsid w:val="680E9DDB"/>
    <w:rsid w:val="680EB6AB"/>
    <w:rsid w:val="68205C2D"/>
    <w:rsid w:val="6835D7F6"/>
    <w:rsid w:val="684413FD"/>
    <w:rsid w:val="684FEF72"/>
    <w:rsid w:val="68625956"/>
    <w:rsid w:val="6863E13E"/>
    <w:rsid w:val="68758DE7"/>
    <w:rsid w:val="6875A4B6"/>
    <w:rsid w:val="688262A8"/>
    <w:rsid w:val="688694EF"/>
    <w:rsid w:val="6888FBE2"/>
    <w:rsid w:val="688DD87D"/>
    <w:rsid w:val="688EF395"/>
    <w:rsid w:val="68967314"/>
    <w:rsid w:val="689E8AC3"/>
    <w:rsid w:val="68A06321"/>
    <w:rsid w:val="68AA3AF5"/>
    <w:rsid w:val="68BB5BE0"/>
    <w:rsid w:val="68C86119"/>
    <w:rsid w:val="68D65EE0"/>
    <w:rsid w:val="68D939F1"/>
    <w:rsid w:val="68E629C3"/>
    <w:rsid w:val="68E6457B"/>
    <w:rsid w:val="68EAAA08"/>
    <w:rsid w:val="68F384BD"/>
    <w:rsid w:val="68F48560"/>
    <w:rsid w:val="68FB261D"/>
    <w:rsid w:val="691981CD"/>
    <w:rsid w:val="691AC14E"/>
    <w:rsid w:val="69225F55"/>
    <w:rsid w:val="69242C4A"/>
    <w:rsid w:val="693D2F3B"/>
    <w:rsid w:val="6940904F"/>
    <w:rsid w:val="6940D9B9"/>
    <w:rsid w:val="6941C7B1"/>
    <w:rsid w:val="69480CEF"/>
    <w:rsid w:val="694956FE"/>
    <w:rsid w:val="6950B517"/>
    <w:rsid w:val="6957D57A"/>
    <w:rsid w:val="6958A678"/>
    <w:rsid w:val="698A6E66"/>
    <w:rsid w:val="69A2681B"/>
    <w:rsid w:val="69A82EA5"/>
    <w:rsid w:val="69AB2C66"/>
    <w:rsid w:val="69B22B74"/>
    <w:rsid w:val="69C9E1BC"/>
    <w:rsid w:val="69CE1605"/>
    <w:rsid w:val="69CEEA38"/>
    <w:rsid w:val="69CF2120"/>
    <w:rsid w:val="69D287F7"/>
    <w:rsid w:val="69DDB61C"/>
    <w:rsid w:val="69E6F4F5"/>
    <w:rsid w:val="69EF07D9"/>
    <w:rsid w:val="69F41224"/>
    <w:rsid w:val="69F8F38F"/>
    <w:rsid w:val="69FDD72D"/>
    <w:rsid w:val="69FF1347"/>
    <w:rsid w:val="69FFC689"/>
    <w:rsid w:val="69FFE172"/>
    <w:rsid w:val="6A08EC5B"/>
    <w:rsid w:val="6A08FDEC"/>
    <w:rsid w:val="6A0F8E82"/>
    <w:rsid w:val="6A1223A2"/>
    <w:rsid w:val="6A3865ED"/>
    <w:rsid w:val="6A569D33"/>
    <w:rsid w:val="6A5F3E52"/>
    <w:rsid w:val="6A64510E"/>
    <w:rsid w:val="6A6E9FBD"/>
    <w:rsid w:val="6A719D49"/>
    <w:rsid w:val="6A7A1F7A"/>
    <w:rsid w:val="6A84EE8B"/>
    <w:rsid w:val="6A86ED8C"/>
    <w:rsid w:val="6A89AD90"/>
    <w:rsid w:val="6A98D61F"/>
    <w:rsid w:val="6A9A6EEC"/>
    <w:rsid w:val="6A9CBA28"/>
    <w:rsid w:val="6AB13E7B"/>
    <w:rsid w:val="6AC6E03C"/>
    <w:rsid w:val="6AC9D672"/>
    <w:rsid w:val="6AD89878"/>
    <w:rsid w:val="6AE2C6E3"/>
    <w:rsid w:val="6AE3DAAD"/>
    <w:rsid w:val="6AEF99B2"/>
    <w:rsid w:val="6AF0F8F2"/>
    <w:rsid w:val="6B0D9DA3"/>
    <w:rsid w:val="6B1F0875"/>
    <w:rsid w:val="6B1FDACD"/>
    <w:rsid w:val="6B204DAB"/>
    <w:rsid w:val="6B216C97"/>
    <w:rsid w:val="6B22A509"/>
    <w:rsid w:val="6B2A87FA"/>
    <w:rsid w:val="6B2C379A"/>
    <w:rsid w:val="6B406EA0"/>
    <w:rsid w:val="6B45D97E"/>
    <w:rsid w:val="6B53AC56"/>
    <w:rsid w:val="6B572546"/>
    <w:rsid w:val="6B6177E5"/>
    <w:rsid w:val="6B8C7BAF"/>
    <w:rsid w:val="6B914C82"/>
    <w:rsid w:val="6B96B236"/>
    <w:rsid w:val="6BB4CA67"/>
    <w:rsid w:val="6BB7F477"/>
    <w:rsid w:val="6BC0F628"/>
    <w:rsid w:val="6BC6A93E"/>
    <w:rsid w:val="6BDEF06B"/>
    <w:rsid w:val="6BE2EFBB"/>
    <w:rsid w:val="6BE698A3"/>
    <w:rsid w:val="6BEC5D5F"/>
    <w:rsid w:val="6BF2B587"/>
    <w:rsid w:val="6C0211DA"/>
    <w:rsid w:val="6C1085AE"/>
    <w:rsid w:val="6C1BA29C"/>
    <w:rsid w:val="6C25D0AD"/>
    <w:rsid w:val="6C375E0F"/>
    <w:rsid w:val="6C3FA745"/>
    <w:rsid w:val="6C406759"/>
    <w:rsid w:val="6C4167D3"/>
    <w:rsid w:val="6C44D09B"/>
    <w:rsid w:val="6C5392C5"/>
    <w:rsid w:val="6C603AE9"/>
    <w:rsid w:val="6C6093D0"/>
    <w:rsid w:val="6C64FC99"/>
    <w:rsid w:val="6C65FD26"/>
    <w:rsid w:val="6C70E744"/>
    <w:rsid w:val="6C723E9C"/>
    <w:rsid w:val="6C7DA444"/>
    <w:rsid w:val="6C9F0BA7"/>
    <w:rsid w:val="6CA217EF"/>
    <w:rsid w:val="6CA8E403"/>
    <w:rsid w:val="6CAE0869"/>
    <w:rsid w:val="6CAE9369"/>
    <w:rsid w:val="6CB2A9E8"/>
    <w:rsid w:val="6CBADA51"/>
    <w:rsid w:val="6CC37342"/>
    <w:rsid w:val="6CCDDFAD"/>
    <w:rsid w:val="6CCE61AD"/>
    <w:rsid w:val="6CD36709"/>
    <w:rsid w:val="6CF902E3"/>
    <w:rsid w:val="6CFD5A10"/>
    <w:rsid w:val="6D0EBBCF"/>
    <w:rsid w:val="6D102509"/>
    <w:rsid w:val="6D141CFF"/>
    <w:rsid w:val="6D2A7736"/>
    <w:rsid w:val="6D2DEDBD"/>
    <w:rsid w:val="6D2F4B52"/>
    <w:rsid w:val="6D410C47"/>
    <w:rsid w:val="6D4C08F2"/>
    <w:rsid w:val="6D56658C"/>
    <w:rsid w:val="6D57B935"/>
    <w:rsid w:val="6D5AAB18"/>
    <w:rsid w:val="6D6E904C"/>
    <w:rsid w:val="6D6FF692"/>
    <w:rsid w:val="6D7EF900"/>
    <w:rsid w:val="6D7F3CDA"/>
    <w:rsid w:val="6DA22C25"/>
    <w:rsid w:val="6DB0EC44"/>
    <w:rsid w:val="6DB62F5D"/>
    <w:rsid w:val="6DBEF64C"/>
    <w:rsid w:val="6DCB4E8C"/>
    <w:rsid w:val="6DCEEA44"/>
    <w:rsid w:val="6DD334A2"/>
    <w:rsid w:val="6DDD99FA"/>
    <w:rsid w:val="6DDE7869"/>
    <w:rsid w:val="6DF58D14"/>
    <w:rsid w:val="6E041883"/>
    <w:rsid w:val="6E04DD05"/>
    <w:rsid w:val="6E067675"/>
    <w:rsid w:val="6E07CA99"/>
    <w:rsid w:val="6E1159C5"/>
    <w:rsid w:val="6E2D3E9B"/>
    <w:rsid w:val="6E41281F"/>
    <w:rsid w:val="6E42C12D"/>
    <w:rsid w:val="6E4D0DEC"/>
    <w:rsid w:val="6E50131D"/>
    <w:rsid w:val="6E6776E8"/>
    <w:rsid w:val="6E7015D0"/>
    <w:rsid w:val="6E75CE48"/>
    <w:rsid w:val="6E77E9F8"/>
    <w:rsid w:val="6E7AE89D"/>
    <w:rsid w:val="6E7CFE13"/>
    <w:rsid w:val="6E8284EA"/>
    <w:rsid w:val="6E858FB5"/>
    <w:rsid w:val="6E86DB48"/>
    <w:rsid w:val="6E88CD38"/>
    <w:rsid w:val="6E8F21EC"/>
    <w:rsid w:val="6E9101CC"/>
    <w:rsid w:val="6E94843E"/>
    <w:rsid w:val="6EA15658"/>
    <w:rsid w:val="6EA407F4"/>
    <w:rsid w:val="6EB18367"/>
    <w:rsid w:val="6EBC3201"/>
    <w:rsid w:val="6EDE8C65"/>
    <w:rsid w:val="6F01B74F"/>
    <w:rsid w:val="6F084D5E"/>
    <w:rsid w:val="6F0AB512"/>
    <w:rsid w:val="6F1625B0"/>
    <w:rsid w:val="6F1D00D1"/>
    <w:rsid w:val="6F2BAAD2"/>
    <w:rsid w:val="6F346EF6"/>
    <w:rsid w:val="6F3CBBAD"/>
    <w:rsid w:val="6F3D2F28"/>
    <w:rsid w:val="6F432FB3"/>
    <w:rsid w:val="6F5DF627"/>
    <w:rsid w:val="6F60C6A1"/>
    <w:rsid w:val="6F62E82A"/>
    <w:rsid w:val="6F63F6CE"/>
    <w:rsid w:val="6F645877"/>
    <w:rsid w:val="6F6A451A"/>
    <w:rsid w:val="6F6A9060"/>
    <w:rsid w:val="6F6C4312"/>
    <w:rsid w:val="6F753DBB"/>
    <w:rsid w:val="6F7FA3FF"/>
    <w:rsid w:val="6F802B07"/>
    <w:rsid w:val="6F86CAC3"/>
    <w:rsid w:val="6F9157EA"/>
    <w:rsid w:val="6F9FF5FE"/>
    <w:rsid w:val="6FA55A10"/>
    <w:rsid w:val="6FA77CF1"/>
    <w:rsid w:val="6FAB9D64"/>
    <w:rsid w:val="6FC0892A"/>
    <w:rsid w:val="6FD54A1C"/>
    <w:rsid w:val="6FD74732"/>
    <w:rsid w:val="6FEE2A0C"/>
    <w:rsid w:val="6FF86AA7"/>
    <w:rsid w:val="7007A45B"/>
    <w:rsid w:val="700DCCEF"/>
    <w:rsid w:val="70124C3A"/>
    <w:rsid w:val="70262570"/>
    <w:rsid w:val="7028A136"/>
    <w:rsid w:val="702A3FC1"/>
    <w:rsid w:val="7030C66F"/>
    <w:rsid w:val="705238AE"/>
    <w:rsid w:val="70656043"/>
    <w:rsid w:val="706E4262"/>
    <w:rsid w:val="707B37ED"/>
    <w:rsid w:val="7086E8D3"/>
    <w:rsid w:val="70A328C1"/>
    <w:rsid w:val="70BDD778"/>
    <w:rsid w:val="70C1C7C1"/>
    <w:rsid w:val="70C906CE"/>
    <w:rsid w:val="70CD5EE5"/>
    <w:rsid w:val="70DFAE89"/>
    <w:rsid w:val="70E6725C"/>
    <w:rsid w:val="70F46B8C"/>
    <w:rsid w:val="710113FC"/>
    <w:rsid w:val="710DDA8E"/>
    <w:rsid w:val="711B882D"/>
    <w:rsid w:val="71227494"/>
    <w:rsid w:val="7131A0F5"/>
    <w:rsid w:val="713419BC"/>
    <w:rsid w:val="71583F09"/>
    <w:rsid w:val="715E9EA1"/>
    <w:rsid w:val="717DD72D"/>
    <w:rsid w:val="717E919E"/>
    <w:rsid w:val="7186102E"/>
    <w:rsid w:val="71869311"/>
    <w:rsid w:val="719D8065"/>
    <w:rsid w:val="71B4F0EF"/>
    <w:rsid w:val="71BCCEFB"/>
    <w:rsid w:val="71CE45E3"/>
    <w:rsid w:val="71CFC377"/>
    <w:rsid w:val="71DB1D33"/>
    <w:rsid w:val="71DB82FF"/>
    <w:rsid w:val="71E22C46"/>
    <w:rsid w:val="71E5A791"/>
    <w:rsid w:val="71E91A7E"/>
    <w:rsid w:val="71EA001B"/>
    <w:rsid w:val="71F1453E"/>
    <w:rsid w:val="7203CE15"/>
    <w:rsid w:val="722D7C9E"/>
    <w:rsid w:val="722E73E0"/>
    <w:rsid w:val="7236E90D"/>
    <w:rsid w:val="723CDFE6"/>
    <w:rsid w:val="724FA946"/>
    <w:rsid w:val="72527039"/>
    <w:rsid w:val="725888DC"/>
    <w:rsid w:val="7263FD82"/>
    <w:rsid w:val="727C493F"/>
    <w:rsid w:val="7287AF9F"/>
    <w:rsid w:val="728C1BF2"/>
    <w:rsid w:val="72A88155"/>
    <w:rsid w:val="72A8F0CD"/>
    <w:rsid w:val="72AC8640"/>
    <w:rsid w:val="72B54116"/>
    <w:rsid w:val="72BBD0F8"/>
    <w:rsid w:val="72C618B6"/>
    <w:rsid w:val="72C9ACEF"/>
    <w:rsid w:val="72D394F6"/>
    <w:rsid w:val="72D3B600"/>
    <w:rsid w:val="72E4B425"/>
    <w:rsid w:val="72E881E0"/>
    <w:rsid w:val="72EA424B"/>
    <w:rsid w:val="72F50C44"/>
    <w:rsid w:val="73150B75"/>
    <w:rsid w:val="7333D998"/>
    <w:rsid w:val="73377825"/>
    <w:rsid w:val="7337C510"/>
    <w:rsid w:val="733975EC"/>
    <w:rsid w:val="7344BE6A"/>
    <w:rsid w:val="734CA846"/>
    <w:rsid w:val="734CAD52"/>
    <w:rsid w:val="734CB12D"/>
    <w:rsid w:val="73519716"/>
    <w:rsid w:val="735364EB"/>
    <w:rsid w:val="735B4435"/>
    <w:rsid w:val="73653ECE"/>
    <w:rsid w:val="7374111B"/>
    <w:rsid w:val="737C7CAC"/>
    <w:rsid w:val="7383C68C"/>
    <w:rsid w:val="739014A8"/>
    <w:rsid w:val="739817A4"/>
    <w:rsid w:val="73B4C99C"/>
    <w:rsid w:val="73B78B46"/>
    <w:rsid w:val="73B9A490"/>
    <w:rsid w:val="73CB756B"/>
    <w:rsid w:val="73E6CA64"/>
    <w:rsid w:val="73E8F131"/>
    <w:rsid w:val="73EF8FDE"/>
    <w:rsid w:val="7407BF16"/>
    <w:rsid w:val="743420C1"/>
    <w:rsid w:val="743CFEDB"/>
    <w:rsid w:val="7441B3B8"/>
    <w:rsid w:val="74465CD4"/>
    <w:rsid w:val="745A474D"/>
    <w:rsid w:val="7469C252"/>
    <w:rsid w:val="746F6FAB"/>
    <w:rsid w:val="747D447C"/>
    <w:rsid w:val="748F5927"/>
    <w:rsid w:val="7498EF1A"/>
    <w:rsid w:val="74991A8E"/>
    <w:rsid w:val="74AC921F"/>
    <w:rsid w:val="74D3C345"/>
    <w:rsid w:val="74DB2343"/>
    <w:rsid w:val="74E62BD4"/>
    <w:rsid w:val="74FBDF67"/>
    <w:rsid w:val="75055F86"/>
    <w:rsid w:val="750A32E9"/>
    <w:rsid w:val="75282B55"/>
    <w:rsid w:val="752A16FB"/>
    <w:rsid w:val="752D7FCC"/>
    <w:rsid w:val="753003FF"/>
    <w:rsid w:val="75312297"/>
    <w:rsid w:val="75331430"/>
    <w:rsid w:val="7537FEE7"/>
    <w:rsid w:val="753D7618"/>
    <w:rsid w:val="7549765F"/>
    <w:rsid w:val="754C28E6"/>
    <w:rsid w:val="755938C9"/>
    <w:rsid w:val="755FCC46"/>
    <w:rsid w:val="75612ECD"/>
    <w:rsid w:val="7561921E"/>
    <w:rsid w:val="756C784D"/>
    <w:rsid w:val="756DCA70"/>
    <w:rsid w:val="756E7B2A"/>
    <w:rsid w:val="75941A35"/>
    <w:rsid w:val="759AF4AC"/>
    <w:rsid w:val="759FDAC7"/>
    <w:rsid w:val="75B0EE12"/>
    <w:rsid w:val="75B3EF43"/>
    <w:rsid w:val="75C39DF9"/>
    <w:rsid w:val="75C6B86D"/>
    <w:rsid w:val="75CAC743"/>
    <w:rsid w:val="75CD0274"/>
    <w:rsid w:val="75F18E37"/>
    <w:rsid w:val="75F376B5"/>
    <w:rsid w:val="75FCA6B5"/>
    <w:rsid w:val="75FEDF4F"/>
    <w:rsid w:val="75FFB02D"/>
    <w:rsid w:val="7615BE33"/>
    <w:rsid w:val="76249BF8"/>
    <w:rsid w:val="76267D14"/>
    <w:rsid w:val="763B198D"/>
    <w:rsid w:val="76475A70"/>
    <w:rsid w:val="7647AE53"/>
    <w:rsid w:val="764E60CB"/>
    <w:rsid w:val="7655D2CA"/>
    <w:rsid w:val="76660D15"/>
    <w:rsid w:val="767DE203"/>
    <w:rsid w:val="7693D2CF"/>
    <w:rsid w:val="76A00984"/>
    <w:rsid w:val="76AFD79D"/>
    <w:rsid w:val="76B256CB"/>
    <w:rsid w:val="76C62F88"/>
    <w:rsid w:val="76CA3255"/>
    <w:rsid w:val="76D0D382"/>
    <w:rsid w:val="76E0E97A"/>
    <w:rsid w:val="76F42075"/>
    <w:rsid w:val="76FAFC11"/>
    <w:rsid w:val="76FCC5E8"/>
    <w:rsid w:val="770953A0"/>
    <w:rsid w:val="77148300"/>
    <w:rsid w:val="771CC727"/>
    <w:rsid w:val="77201637"/>
    <w:rsid w:val="7722AEC2"/>
    <w:rsid w:val="772EB48B"/>
    <w:rsid w:val="77366A40"/>
    <w:rsid w:val="773B9E3A"/>
    <w:rsid w:val="774D659F"/>
    <w:rsid w:val="775029EB"/>
    <w:rsid w:val="7751754C"/>
    <w:rsid w:val="775B7940"/>
    <w:rsid w:val="7761ADE6"/>
    <w:rsid w:val="7765B7DB"/>
    <w:rsid w:val="7766977B"/>
    <w:rsid w:val="7773A991"/>
    <w:rsid w:val="778E7B00"/>
    <w:rsid w:val="77951A6A"/>
    <w:rsid w:val="7798F6C6"/>
    <w:rsid w:val="779A2902"/>
    <w:rsid w:val="77A3CB0F"/>
    <w:rsid w:val="77B4DF28"/>
    <w:rsid w:val="77C17024"/>
    <w:rsid w:val="77D21989"/>
    <w:rsid w:val="77D6B893"/>
    <w:rsid w:val="77F85F44"/>
    <w:rsid w:val="77F87568"/>
    <w:rsid w:val="780A6519"/>
    <w:rsid w:val="78186AA7"/>
    <w:rsid w:val="782C180B"/>
    <w:rsid w:val="7830830D"/>
    <w:rsid w:val="78376BC1"/>
    <w:rsid w:val="78378DCC"/>
    <w:rsid w:val="7843F4B1"/>
    <w:rsid w:val="78465121"/>
    <w:rsid w:val="784813F5"/>
    <w:rsid w:val="784D3C2F"/>
    <w:rsid w:val="784DB6D6"/>
    <w:rsid w:val="785E4405"/>
    <w:rsid w:val="786CC3C7"/>
    <w:rsid w:val="786CF1E3"/>
    <w:rsid w:val="787886FD"/>
    <w:rsid w:val="787BAA2C"/>
    <w:rsid w:val="787E7720"/>
    <w:rsid w:val="787E8473"/>
    <w:rsid w:val="7880C28E"/>
    <w:rsid w:val="78818B70"/>
    <w:rsid w:val="78830741"/>
    <w:rsid w:val="788A4788"/>
    <w:rsid w:val="788BE508"/>
    <w:rsid w:val="788D1A8C"/>
    <w:rsid w:val="78909031"/>
    <w:rsid w:val="7894EB6F"/>
    <w:rsid w:val="789B5ACE"/>
    <w:rsid w:val="789BBCB0"/>
    <w:rsid w:val="78A858A8"/>
    <w:rsid w:val="78A8C272"/>
    <w:rsid w:val="78B4F38A"/>
    <w:rsid w:val="78B8AA1A"/>
    <w:rsid w:val="78BDC9DE"/>
    <w:rsid w:val="78CF9EEA"/>
    <w:rsid w:val="78DA92B8"/>
    <w:rsid w:val="78DFE66D"/>
    <w:rsid w:val="78EA0FFA"/>
    <w:rsid w:val="78F24888"/>
    <w:rsid w:val="78FAB411"/>
    <w:rsid w:val="78FC2895"/>
    <w:rsid w:val="78FE9C2E"/>
    <w:rsid w:val="78FEE67A"/>
    <w:rsid w:val="79085F46"/>
    <w:rsid w:val="790AB89F"/>
    <w:rsid w:val="79117280"/>
    <w:rsid w:val="791B5F17"/>
    <w:rsid w:val="791D5ABB"/>
    <w:rsid w:val="792318CA"/>
    <w:rsid w:val="7927F9BC"/>
    <w:rsid w:val="792E00A5"/>
    <w:rsid w:val="7933928C"/>
    <w:rsid w:val="793C30F0"/>
    <w:rsid w:val="794303B3"/>
    <w:rsid w:val="7944E661"/>
    <w:rsid w:val="794EC822"/>
    <w:rsid w:val="795040D6"/>
    <w:rsid w:val="7956C6B1"/>
    <w:rsid w:val="796AB0FA"/>
    <w:rsid w:val="79763B9E"/>
    <w:rsid w:val="7976EB6D"/>
    <w:rsid w:val="797CC222"/>
    <w:rsid w:val="797ED0BC"/>
    <w:rsid w:val="79871FCE"/>
    <w:rsid w:val="7998D5D2"/>
    <w:rsid w:val="79A3C1BE"/>
    <w:rsid w:val="79A48CCA"/>
    <w:rsid w:val="79A5D5B9"/>
    <w:rsid w:val="79AC9AE1"/>
    <w:rsid w:val="79B1733E"/>
    <w:rsid w:val="79BC8017"/>
    <w:rsid w:val="79BD7167"/>
    <w:rsid w:val="79C80177"/>
    <w:rsid w:val="79D47F96"/>
    <w:rsid w:val="79D71C91"/>
    <w:rsid w:val="79D9B7F9"/>
    <w:rsid w:val="79DA3416"/>
    <w:rsid w:val="79DA4150"/>
    <w:rsid w:val="79DAA5BE"/>
    <w:rsid w:val="79E38F06"/>
    <w:rsid w:val="79E7954D"/>
    <w:rsid w:val="79F01824"/>
    <w:rsid w:val="79F58E8A"/>
    <w:rsid w:val="79FA7446"/>
    <w:rsid w:val="79FC6E4D"/>
    <w:rsid w:val="79FDD357"/>
    <w:rsid w:val="7A0246D7"/>
    <w:rsid w:val="7A125275"/>
    <w:rsid w:val="7A204B39"/>
    <w:rsid w:val="7A285F47"/>
    <w:rsid w:val="7A2C1A17"/>
    <w:rsid w:val="7A3DAEB2"/>
    <w:rsid w:val="7A485900"/>
    <w:rsid w:val="7A5657BF"/>
    <w:rsid w:val="7A62F818"/>
    <w:rsid w:val="7A7ECABD"/>
    <w:rsid w:val="7A7FF2B9"/>
    <w:rsid w:val="7A826762"/>
    <w:rsid w:val="7A826ACA"/>
    <w:rsid w:val="7A91BCC4"/>
    <w:rsid w:val="7A960069"/>
    <w:rsid w:val="7AA7790B"/>
    <w:rsid w:val="7AB1CCB4"/>
    <w:rsid w:val="7ABD5F47"/>
    <w:rsid w:val="7ABF358D"/>
    <w:rsid w:val="7AC34C68"/>
    <w:rsid w:val="7AC51113"/>
    <w:rsid w:val="7ACEFE5C"/>
    <w:rsid w:val="7ADBF845"/>
    <w:rsid w:val="7AE1D74F"/>
    <w:rsid w:val="7AF5C5AF"/>
    <w:rsid w:val="7AF7F3D9"/>
    <w:rsid w:val="7B1B96C4"/>
    <w:rsid w:val="7B24A0DF"/>
    <w:rsid w:val="7B2E140E"/>
    <w:rsid w:val="7B2F4387"/>
    <w:rsid w:val="7B32C320"/>
    <w:rsid w:val="7B357F95"/>
    <w:rsid w:val="7B3C95C7"/>
    <w:rsid w:val="7B4472EE"/>
    <w:rsid w:val="7B44A46D"/>
    <w:rsid w:val="7B491A44"/>
    <w:rsid w:val="7B4B3F2F"/>
    <w:rsid w:val="7B6492CC"/>
    <w:rsid w:val="7B67496F"/>
    <w:rsid w:val="7B6B74EE"/>
    <w:rsid w:val="7B6BB973"/>
    <w:rsid w:val="7B6ED7E1"/>
    <w:rsid w:val="7B7127C1"/>
    <w:rsid w:val="7B8CA04A"/>
    <w:rsid w:val="7B9DF2AF"/>
    <w:rsid w:val="7BAA049A"/>
    <w:rsid w:val="7BB82E11"/>
    <w:rsid w:val="7BC01581"/>
    <w:rsid w:val="7BC0BEF7"/>
    <w:rsid w:val="7BC3D201"/>
    <w:rsid w:val="7BDEF217"/>
    <w:rsid w:val="7BE26135"/>
    <w:rsid w:val="7BE39582"/>
    <w:rsid w:val="7BF8A810"/>
    <w:rsid w:val="7BFA3C42"/>
    <w:rsid w:val="7BFE8AF6"/>
    <w:rsid w:val="7BFF1C71"/>
    <w:rsid w:val="7BFF4092"/>
    <w:rsid w:val="7C04A386"/>
    <w:rsid w:val="7C102EEE"/>
    <w:rsid w:val="7C10C43A"/>
    <w:rsid w:val="7C11CB48"/>
    <w:rsid w:val="7C1D5C98"/>
    <w:rsid w:val="7C21963C"/>
    <w:rsid w:val="7C22D27F"/>
    <w:rsid w:val="7C26C6EF"/>
    <w:rsid w:val="7C3BE21D"/>
    <w:rsid w:val="7C3C5F92"/>
    <w:rsid w:val="7C4C6878"/>
    <w:rsid w:val="7C5EA8FC"/>
    <w:rsid w:val="7C6753F4"/>
    <w:rsid w:val="7C6AE99C"/>
    <w:rsid w:val="7C6D7022"/>
    <w:rsid w:val="7C7DC43A"/>
    <w:rsid w:val="7C88586F"/>
    <w:rsid w:val="7C906196"/>
    <w:rsid w:val="7C9150F1"/>
    <w:rsid w:val="7CAD569B"/>
    <w:rsid w:val="7CAEB054"/>
    <w:rsid w:val="7CAEBE99"/>
    <w:rsid w:val="7CC782C8"/>
    <w:rsid w:val="7CCCA7C1"/>
    <w:rsid w:val="7CF3895A"/>
    <w:rsid w:val="7CF59A9F"/>
    <w:rsid w:val="7D0AD272"/>
    <w:rsid w:val="7D0B6BC1"/>
    <w:rsid w:val="7D2479C0"/>
    <w:rsid w:val="7D3171AD"/>
    <w:rsid w:val="7D33EEC2"/>
    <w:rsid w:val="7D3C08D3"/>
    <w:rsid w:val="7D402237"/>
    <w:rsid w:val="7D49AC2E"/>
    <w:rsid w:val="7D4FC946"/>
    <w:rsid w:val="7D51F327"/>
    <w:rsid w:val="7D7BC830"/>
    <w:rsid w:val="7D7CAE7C"/>
    <w:rsid w:val="7D861BFE"/>
    <w:rsid w:val="7D885609"/>
    <w:rsid w:val="7D91D0ED"/>
    <w:rsid w:val="7D9DA8FD"/>
    <w:rsid w:val="7DA1C250"/>
    <w:rsid w:val="7DA3D357"/>
    <w:rsid w:val="7DA4DDEA"/>
    <w:rsid w:val="7DABFABE"/>
    <w:rsid w:val="7DB55203"/>
    <w:rsid w:val="7DCD3697"/>
    <w:rsid w:val="7DD9BF42"/>
    <w:rsid w:val="7DDADC83"/>
    <w:rsid w:val="7DDC015A"/>
    <w:rsid w:val="7DDFD685"/>
    <w:rsid w:val="7DF73DA7"/>
    <w:rsid w:val="7E00FD34"/>
    <w:rsid w:val="7E1097EC"/>
    <w:rsid w:val="7E133A67"/>
    <w:rsid w:val="7E1750DF"/>
    <w:rsid w:val="7E18B2C8"/>
    <w:rsid w:val="7E19CD94"/>
    <w:rsid w:val="7E1EF4BF"/>
    <w:rsid w:val="7E2731FB"/>
    <w:rsid w:val="7E276570"/>
    <w:rsid w:val="7E331096"/>
    <w:rsid w:val="7E3430C7"/>
    <w:rsid w:val="7E36A2CD"/>
    <w:rsid w:val="7E4C6074"/>
    <w:rsid w:val="7E4FC274"/>
    <w:rsid w:val="7E575F74"/>
    <w:rsid w:val="7E5C2323"/>
    <w:rsid w:val="7E66C6CF"/>
    <w:rsid w:val="7E67DABB"/>
    <w:rsid w:val="7E72BD37"/>
    <w:rsid w:val="7E788464"/>
    <w:rsid w:val="7E9CE84E"/>
    <w:rsid w:val="7EA4D640"/>
    <w:rsid w:val="7EA4F91D"/>
    <w:rsid w:val="7EB41E1F"/>
    <w:rsid w:val="7ED8F56F"/>
    <w:rsid w:val="7ED9814C"/>
    <w:rsid w:val="7EE48DFA"/>
    <w:rsid w:val="7EEA079B"/>
    <w:rsid w:val="7EF6B832"/>
    <w:rsid w:val="7F055011"/>
    <w:rsid w:val="7F074DCA"/>
    <w:rsid w:val="7F07D71E"/>
    <w:rsid w:val="7F086AAB"/>
    <w:rsid w:val="7F0F93D0"/>
    <w:rsid w:val="7F10AAC9"/>
    <w:rsid w:val="7F13A442"/>
    <w:rsid w:val="7F19F516"/>
    <w:rsid w:val="7F1BA5EA"/>
    <w:rsid w:val="7F2146AA"/>
    <w:rsid w:val="7F21C4D5"/>
    <w:rsid w:val="7F29483C"/>
    <w:rsid w:val="7F2A7F6D"/>
    <w:rsid w:val="7F39FB33"/>
    <w:rsid w:val="7F40E0A5"/>
    <w:rsid w:val="7F46F812"/>
    <w:rsid w:val="7F49CBF9"/>
    <w:rsid w:val="7F49CC20"/>
    <w:rsid w:val="7F4FEC0E"/>
    <w:rsid w:val="7F53988C"/>
    <w:rsid w:val="7F595B08"/>
    <w:rsid w:val="7F74CA4B"/>
    <w:rsid w:val="7F853D54"/>
    <w:rsid w:val="7F8577F9"/>
    <w:rsid w:val="7F92B245"/>
    <w:rsid w:val="7F937844"/>
    <w:rsid w:val="7FA14540"/>
    <w:rsid w:val="7FA76D6D"/>
    <w:rsid w:val="7FA9DC8F"/>
    <w:rsid w:val="7FC78F4D"/>
    <w:rsid w:val="7FCF40BA"/>
    <w:rsid w:val="7FD1B113"/>
    <w:rsid w:val="7FD1ED66"/>
    <w:rsid w:val="7FD32F58"/>
    <w:rsid w:val="7FD467F2"/>
    <w:rsid w:val="7FD75ADA"/>
    <w:rsid w:val="7FD84671"/>
    <w:rsid w:val="7FDEC3F4"/>
    <w:rsid w:val="7FDED5EC"/>
    <w:rsid w:val="7FDFA39B"/>
    <w:rsid w:val="7FE611D6"/>
    <w:rsid w:val="7FECD02E"/>
    <w:rsid w:val="7FF33F7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9611BC5"/>
  <w15:chartTrackingRefBased/>
  <w15:docId w15:val="{D1249E53-F0EE-4FFC-8BCC-DADBD48D7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559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Ü3"/>
    <w:basedOn w:val="Heading2"/>
    <w:next w:val="Normal"/>
    <w:link w:val="Heading3Char"/>
    <w:uiPriority w:val="2"/>
    <w:unhideWhenUsed/>
    <w:qFormat/>
    <w:rsid w:val="00A55979"/>
    <w:pPr>
      <w:keepLines w:val="0"/>
      <w:spacing w:before="240" w:after="80" w:line="300" w:lineRule="auto"/>
      <w:outlineLvl w:val="2"/>
    </w:pPr>
    <w:rPr>
      <w:rFonts w:eastAsiaTheme="minorEastAsia" w:cstheme="minorBidi"/>
      <w:b/>
      <w:bCs/>
      <w:color w:val="auto"/>
      <w:sz w:val="25"/>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7070C"/>
    <w:rPr>
      <w:color w:val="0000FF"/>
      <w:shd w:val="clear" w:color="auto" w:fill="auto"/>
    </w:rPr>
  </w:style>
  <w:style w:type="paragraph" w:styleId="Header">
    <w:name w:val="header"/>
    <w:basedOn w:val="Normal"/>
    <w:link w:val="HeaderChar"/>
    <w:uiPriority w:val="99"/>
    <w:unhideWhenUsed/>
    <w:rsid w:val="00C70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70C"/>
  </w:style>
  <w:style w:type="paragraph" w:styleId="Footer">
    <w:name w:val="footer"/>
    <w:basedOn w:val="Normal"/>
    <w:link w:val="FooterChar"/>
    <w:uiPriority w:val="99"/>
    <w:unhideWhenUsed/>
    <w:rsid w:val="00C70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70C"/>
  </w:style>
  <w:style w:type="paragraph" w:customStyle="1" w:styleId="Pagedecouverture">
    <w:name w:val="Page de couverture"/>
    <w:basedOn w:val="Normal"/>
    <w:next w:val="Normal"/>
    <w:rsid w:val="00C7070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707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070C"/>
    <w:rPr>
      <w:rFonts w:ascii="Times New Roman" w:hAnsi="Times New Roman" w:cs="Times New Roman"/>
      <w:sz w:val="24"/>
    </w:rPr>
  </w:style>
  <w:style w:type="paragraph" w:customStyle="1" w:styleId="FooterSensitivity">
    <w:name w:val="Footer Sensitivity"/>
    <w:basedOn w:val="Normal"/>
    <w:link w:val="FooterSensitivityChar"/>
    <w:rsid w:val="00C707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070C"/>
    <w:rPr>
      <w:rFonts w:ascii="Times New Roman" w:hAnsi="Times New Roman" w:cs="Times New Roman"/>
      <w:b/>
      <w:sz w:val="32"/>
    </w:rPr>
  </w:style>
  <w:style w:type="paragraph" w:customStyle="1" w:styleId="HeaderCoverPage">
    <w:name w:val="Header Cover Page"/>
    <w:basedOn w:val="Normal"/>
    <w:link w:val="HeaderCoverPageChar"/>
    <w:rsid w:val="00C707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070C"/>
    <w:rPr>
      <w:rFonts w:ascii="Times New Roman" w:hAnsi="Times New Roman" w:cs="Times New Roman"/>
      <w:sz w:val="24"/>
    </w:rPr>
  </w:style>
  <w:style w:type="paragraph" w:customStyle="1" w:styleId="HeaderSensitivity">
    <w:name w:val="Header Sensitivity"/>
    <w:basedOn w:val="Normal"/>
    <w:link w:val="HeaderSensitivityChar"/>
    <w:rsid w:val="00C707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070C"/>
    <w:rPr>
      <w:rFonts w:ascii="Times New Roman" w:hAnsi="Times New Roman" w:cs="Times New Roman"/>
      <w:b/>
      <w:sz w:val="32"/>
    </w:rPr>
  </w:style>
  <w:style w:type="paragraph" w:customStyle="1" w:styleId="HeaderSensitivityRight">
    <w:name w:val="Header Sensitivity Right"/>
    <w:basedOn w:val="Normal"/>
    <w:link w:val="HeaderSensitivityRightChar"/>
    <w:rsid w:val="00C7070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070C"/>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lp1"/>
    <w:basedOn w:val="Normal"/>
    <w:link w:val="ListParagraphChar"/>
    <w:uiPriority w:val="34"/>
    <w:qFormat/>
    <w:rsid w:val="00912308"/>
    <w:pPr>
      <w:spacing w:after="0" w:line="240" w:lineRule="auto"/>
      <w:ind w:left="720"/>
    </w:pPr>
    <w:rPr>
      <w:rFonts w:ascii="Times New Roman" w:eastAsia="Times New Roman" w:hAnsi="Times New Roman" w:cs="Times New Roman"/>
      <w:sz w:val="24"/>
      <w:szCs w:val="24"/>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link w:val="ListParagraph"/>
    <w:uiPriority w:val="34"/>
    <w:qFormat/>
    <w:locked/>
    <w:rsid w:val="00912308"/>
    <w:rPr>
      <w:rFonts w:ascii="Times New Roman" w:eastAsia="Times New Roman" w:hAnsi="Times New Roman" w:cs="Times New Roman"/>
      <w:sz w:val="24"/>
      <w:szCs w:val="24"/>
      <w:lang w:val="fr-FR" w:eastAsia="en-GB"/>
    </w:rPr>
  </w:style>
  <w:style w:type="paragraph" w:styleId="FootnoteText">
    <w:name w:val="footnote text"/>
    <w:aliases w:val="Schriftart: 9 pt,Schriftart: 10 pt,Schriftart: 8 pt,WB-Fußnotentext,fn,Footnotes,Footnote ak,Footnote text,Footnote Text Char1 Char,Footnote Text Char Char Char,Footnote Text Char2 Char Char Char,Plo,footnote text,Footnote Text Char2,Char"/>
    <w:basedOn w:val="Normal"/>
    <w:link w:val="FootnoteTextChar"/>
    <w:uiPriority w:val="99"/>
    <w:unhideWhenUsed/>
    <w:qFormat/>
    <w:rsid w:val="009812EC"/>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Plo Char,Char Char"/>
    <w:basedOn w:val="DefaultParagraphFont"/>
    <w:link w:val="FootnoteText"/>
    <w:uiPriority w:val="99"/>
    <w:qFormat/>
    <w:rsid w:val="009812EC"/>
    <w:rPr>
      <w:sz w:val="20"/>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11,F"/>
    <w:basedOn w:val="DefaultParagraphFont"/>
    <w:link w:val="Nota"/>
    <w:uiPriority w:val="99"/>
    <w:unhideWhenUsed/>
    <w:qFormat/>
    <w:rsid w:val="009812EC"/>
    <w:rPr>
      <w:vertAlign w:val="superscript"/>
    </w:rPr>
  </w:style>
  <w:style w:type="character" w:styleId="Hyperlink">
    <w:name w:val="Hyperlink"/>
    <w:basedOn w:val="DefaultParagraphFont"/>
    <w:uiPriority w:val="99"/>
    <w:unhideWhenUsed/>
    <w:rsid w:val="004E3346"/>
    <w:rPr>
      <w:color w:val="0000FF"/>
      <w:u w:val="single"/>
    </w:rPr>
  </w:style>
  <w:style w:type="character" w:customStyle="1" w:styleId="normaltextrun">
    <w:name w:val="normaltextrun"/>
    <w:basedOn w:val="DefaultParagraphFont"/>
    <w:rsid w:val="00BA6BD5"/>
  </w:style>
  <w:style w:type="character" w:styleId="CommentReference">
    <w:name w:val="annotation reference"/>
    <w:basedOn w:val="DefaultParagraphFont"/>
    <w:uiPriority w:val="99"/>
    <w:semiHidden/>
    <w:unhideWhenUsed/>
    <w:rsid w:val="0012024F"/>
    <w:rPr>
      <w:sz w:val="16"/>
      <w:szCs w:val="16"/>
    </w:rPr>
  </w:style>
  <w:style w:type="paragraph" w:styleId="CommentText">
    <w:name w:val="annotation text"/>
    <w:basedOn w:val="Normal"/>
    <w:link w:val="CommentTextChar"/>
    <w:uiPriority w:val="99"/>
    <w:unhideWhenUsed/>
    <w:rsid w:val="0012024F"/>
    <w:pPr>
      <w:spacing w:line="240" w:lineRule="auto"/>
    </w:pPr>
    <w:rPr>
      <w:sz w:val="20"/>
      <w:szCs w:val="20"/>
    </w:rPr>
  </w:style>
  <w:style w:type="character" w:customStyle="1" w:styleId="CommentTextChar">
    <w:name w:val="Comment Text Char"/>
    <w:basedOn w:val="DefaultParagraphFont"/>
    <w:link w:val="CommentText"/>
    <w:uiPriority w:val="99"/>
    <w:rsid w:val="0012024F"/>
    <w:rPr>
      <w:sz w:val="20"/>
      <w:szCs w:val="20"/>
    </w:rPr>
  </w:style>
  <w:style w:type="paragraph" w:styleId="CommentSubject">
    <w:name w:val="annotation subject"/>
    <w:basedOn w:val="CommentText"/>
    <w:next w:val="CommentText"/>
    <w:link w:val="CommentSubjectChar"/>
    <w:uiPriority w:val="99"/>
    <w:semiHidden/>
    <w:unhideWhenUsed/>
    <w:rsid w:val="0012024F"/>
    <w:rPr>
      <w:b/>
      <w:bCs/>
    </w:rPr>
  </w:style>
  <w:style w:type="character" w:customStyle="1" w:styleId="CommentSubjectChar">
    <w:name w:val="Comment Subject Char"/>
    <w:basedOn w:val="CommentTextChar"/>
    <w:link w:val="CommentSubject"/>
    <w:uiPriority w:val="99"/>
    <w:semiHidden/>
    <w:rsid w:val="0012024F"/>
    <w:rPr>
      <w:b/>
      <w:bCs/>
      <w:sz w:val="20"/>
      <w:szCs w:val="20"/>
    </w:rPr>
  </w:style>
  <w:style w:type="paragraph" w:styleId="BalloonText">
    <w:name w:val="Balloon Text"/>
    <w:basedOn w:val="Normal"/>
    <w:link w:val="BalloonTextChar"/>
    <w:uiPriority w:val="99"/>
    <w:semiHidden/>
    <w:unhideWhenUsed/>
    <w:rsid w:val="001202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24F"/>
    <w:rPr>
      <w:rFonts w:ascii="Segoe UI" w:hAnsi="Segoe UI" w:cs="Segoe UI"/>
      <w:sz w:val="18"/>
      <w:szCs w:val="18"/>
    </w:rPr>
  </w:style>
  <w:style w:type="character" w:styleId="FollowedHyperlink">
    <w:name w:val="FollowedHyperlink"/>
    <w:basedOn w:val="DefaultParagraphFont"/>
    <w:uiPriority w:val="99"/>
    <w:semiHidden/>
    <w:unhideWhenUsed/>
    <w:rsid w:val="00BF464F"/>
    <w:rPr>
      <w:color w:val="954F72" w:themeColor="followedHyperlink"/>
      <w:u w:val="single"/>
    </w:rPr>
  </w:style>
  <w:style w:type="character" w:customStyle="1" w:styleId="markedcontent">
    <w:name w:val="markedcontent"/>
    <w:basedOn w:val="DefaultParagraphFont"/>
    <w:rsid w:val="00592428"/>
  </w:style>
  <w:style w:type="paragraph" w:customStyle="1" w:styleId="Nota">
    <w:name w:val="Nota"/>
    <w:aliases w:val="Char1,(NECG) Footnote Reference,Appel note de bas de p,Style 6,Signature Ch"/>
    <w:basedOn w:val="Normal"/>
    <w:link w:val="FootnoteReference"/>
    <w:uiPriority w:val="99"/>
    <w:rsid w:val="00BA4A68"/>
    <w:pPr>
      <w:spacing w:line="240" w:lineRule="exact"/>
    </w:pPr>
    <w:rPr>
      <w:vertAlign w:val="superscript"/>
    </w:rPr>
  </w:style>
  <w:style w:type="paragraph" w:customStyle="1" w:styleId="Text1">
    <w:name w:val="Text 1"/>
    <w:basedOn w:val="Normal"/>
    <w:link w:val="Text1Char"/>
    <w:rsid w:val="00BA4A68"/>
    <w:pPr>
      <w:spacing w:after="240" w:line="240" w:lineRule="auto"/>
      <w:ind w:left="482"/>
      <w:jc w:val="both"/>
    </w:pPr>
    <w:rPr>
      <w:rFonts w:ascii="Times New Roman" w:eastAsia="Times New Roman" w:hAnsi="Times New Roman" w:cs="Times New Roman"/>
      <w:sz w:val="24"/>
      <w:szCs w:val="20"/>
    </w:rPr>
  </w:style>
  <w:style w:type="character" w:customStyle="1" w:styleId="Text1Char">
    <w:name w:val="Text 1 Char"/>
    <w:link w:val="Text1"/>
    <w:rsid w:val="00BA4A68"/>
    <w:rPr>
      <w:rFonts w:ascii="Times New Roman" w:eastAsia="Times New Roman" w:hAnsi="Times New Roman" w:cs="Times New Roman"/>
      <w:sz w:val="24"/>
      <w:szCs w:val="20"/>
      <w:lang w:val="fr-FR"/>
    </w:rPr>
  </w:style>
  <w:style w:type="paragraph" w:styleId="NoSpacing">
    <w:name w:val="No Spacing"/>
    <w:basedOn w:val="Normal"/>
    <w:link w:val="NoSpacingChar"/>
    <w:qFormat/>
    <w:rsid w:val="00A55979"/>
    <w:pPr>
      <w:spacing w:after="0" w:line="300" w:lineRule="auto"/>
    </w:pPr>
    <w:rPr>
      <w:rFonts w:eastAsiaTheme="minorEastAsia"/>
      <w:sz w:val="24"/>
      <w:szCs w:val="24"/>
    </w:rPr>
  </w:style>
  <w:style w:type="character" w:customStyle="1" w:styleId="NoSpacingChar">
    <w:name w:val="No Spacing Char"/>
    <w:basedOn w:val="DefaultParagraphFont"/>
    <w:link w:val="NoSpacing"/>
    <w:rsid w:val="00A55979"/>
    <w:rPr>
      <w:rFonts w:eastAsiaTheme="minorEastAsia"/>
      <w:sz w:val="24"/>
      <w:szCs w:val="24"/>
      <w:lang w:val="fr-FR"/>
    </w:rPr>
  </w:style>
  <w:style w:type="character" w:customStyle="1" w:styleId="Heading3Char">
    <w:name w:val="Heading 3 Char"/>
    <w:aliases w:val="Ü3 Char"/>
    <w:basedOn w:val="DefaultParagraphFont"/>
    <w:link w:val="Heading3"/>
    <w:uiPriority w:val="2"/>
    <w:rsid w:val="00A55979"/>
    <w:rPr>
      <w:rFonts w:asciiTheme="majorHAnsi" w:eastAsiaTheme="minorEastAsia" w:hAnsiTheme="majorHAnsi"/>
      <w:b/>
      <w:bCs/>
      <w:sz w:val="25"/>
      <w:lang w:val="fr-FR"/>
    </w:rPr>
  </w:style>
  <w:style w:type="character" w:customStyle="1" w:styleId="Heading2Char">
    <w:name w:val="Heading 2 Char"/>
    <w:basedOn w:val="DefaultParagraphFont"/>
    <w:link w:val="Heading2"/>
    <w:uiPriority w:val="9"/>
    <w:semiHidden/>
    <w:rsid w:val="00A55979"/>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874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08C6"/>
    <w:pPr>
      <w:spacing w:after="0" w:line="240" w:lineRule="auto"/>
    </w:pPr>
  </w:style>
  <w:style w:type="paragraph" w:styleId="NormalWeb">
    <w:name w:val="Normal (Web)"/>
    <w:basedOn w:val="Normal"/>
    <w:uiPriority w:val="99"/>
    <w:semiHidden/>
    <w:unhideWhenUsed/>
    <w:rsid w:val="0019258A"/>
    <w:pPr>
      <w:spacing w:before="100" w:beforeAutospacing="1" w:after="100" w:afterAutospacing="1" w:line="240" w:lineRule="auto"/>
    </w:pPr>
    <w:rPr>
      <w:rFonts w:ascii="Times New Roman" w:hAnsi="Times New Roman" w:cs="Times New Roman"/>
      <w:sz w:val="24"/>
      <w:szCs w:val="24"/>
      <w:lang w:eastAsia="en-IE"/>
    </w:rPr>
  </w:style>
  <w:style w:type="character" w:styleId="Strong">
    <w:name w:val="Strong"/>
    <w:basedOn w:val="DefaultParagraphFont"/>
    <w:uiPriority w:val="22"/>
    <w:qFormat/>
    <w:rsid w:val="0019258A"/>
    <w:rPr>
      <w:b/>
      <w:bCs/>
    </w:rPr>
  </w:style>
  <w:style w:type="character" w:customStyle="1" w:styleId="UnresolvedMention1">
    <w:name w:val="Unresolved Mention1"/>
    <w:basedOn w:val="DefaultParagraphFont"/>
    <w:uiPriority w:val="99"/>
    <w:semiHidden/>
    <w:unhideWhenUsed/>
    <w:rsid w:val="00114D37"/>
    <w:rPr>
      <w:color w:val="605E5C"/>
      <w:shd w:val="clear" w:color="auto" w:fill="E1DFDD"/>
    </w:rPr>
  </w:style>
  <w:style w:type="character" w:customStyle="1" w:styleId="UnresolvedMention">
    <w:name w:val="Unresolved Mention"/>
    <w:basedOn w:val="DefaultParagraphFont"/>
    <w:uiPriority w:val="99"/>
    <w:semiHidden/>
    <w:unhideWhenUsed/>
    <w:rsid w:val="0051328E"/>
    <w:rPr>
      <w:color w:val="605E5C"/>
      <w:shd w:val="clear" w:color="auto" w:fill="E1DFDD"/>
    </w:rPr>
  </w:style>
  <w:style w:type="character" w:customStyle="1" w:styleId="eop">
    <w:name w:val="eop"/>
    <w:basedOn w:val="DefaultParagraphFont"/>
    <w:rsid w:val="001829B8"/>
  </w:style>
  <w:style w:type="character" w:customStyle="1" w:styleId="Mention">
    <w:name w:val="Mention"/>
    <w:basedOn w:val="DefaultParagraphFont"/>
    <w:uiPriority w:val="99"/>
    <w:unhideWhenUsed/>
    <w:rsid w:val="00D23ED3"/>
    <w:rPr>
      <w:color w:val="2B579A"/>
      <w:shd w:val="clear" w:color="auto" w:fill="E1DFDD"/>
    </w:rPr>
  </w:style>
  <w:style w:type="paragraph" w:customStyle="1" w:styleId="paragraph">
    <w:name w:val="paragraph"/>
    <w:basedOn w:val="Normal"/>
    <w:rsid w:val="00FC78B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CharCharChar1">
    <w:name w:val="Char Char Char1"/>
    <w:basedOn w:val="Normal"/>
    <w:uiPriority w:val="99"/>
    <w:rsid w:val="00FC78B9"/>
    <w:pPr>
      <w:spacing w:line="240" w:lineRule="exact"/>
      <w:jc w:val="both"/>
    </w:pPr>
    <w:rPr>
      <w:rFonts w:ascii="Times New Roman" w:eastAsia="Times New Roman" w:hAnsi="Times New Roman" w:cs="Times New Roman"/>
      <w:sz w:val="20"/>
      <w:szCs w:val="20"/>
      <w:vertAlign w:val="superscript"/>
      <w:lang w:eastAsia="en-IE"/>
    </w:rPr>
  </w:style>
  <w:style w:type="table" w:styleId="GridTable1Light">
    <w:name w:val="Grid Table 1 Light"/>
    <w:basedOn w:val="TableNormal"/>
    <w:uiPriority w:val="46"/>
    <w:rsid w:val="00532ED3"/>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C019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199C"/>
    <w:rPr>
      <w:sz w:val="20"/>
      <w:szCs w:val="20"/>
    </w:rPr>
  </w:style>
  <w:style w:type="character" w:styleId="EndnoteReference">
    <w:name w:val="endnote reference"/>
    <w:basedOn w:val="DefaultParagraphFont"/>
    <w:uiPriority w:val="99"/>
    <w:semiHidden/>
    <w:unhideWhenUsed/>
    <w:rsid w:val="00C0199C"/>
    <w:rPr>
      <w:vertAlign w:val="superscript"/>
    </w:rPr>
  </w:style>
  <w:style w:type="paragraph" w:customStyle="1" w:styleId="Languesfaisantfoi">
    <w:name w:val="Langues faisant foi"/>
    <w:basedOn w:val="Normal"/>
    <w:next w:val="Normal"/>
    <w:rsid w:val="00CA1C2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CA1C2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CA1C29"/>
    <w:pPr>
      <w:spacing w:after="0"/>
    </w:pPr>
  </w:style>
  <w:style w:type="paragraph" w:customStyle="1" w:styleId="IntrtEEEPagedecouverture">
    <w:name w:val="Intérêt EEE (Page de couverture)"/>
    <w:basedOn w:val="IntrtEEE"/>
    <w:next w:val="Normal"/>
    <w:rsid w:val="00CA1C2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524EA0"/>
    <w:pPr>
      <w:spacing w:afterLines="80" w:after="192"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18268">
      <w:bodyDiv w:val="1"/>
      <w:marLeft w:val="0"/>
      <w:marRight w:val="0"/>
      <w:marTop w:val="0"/>
      <w:marBottom w:val="0"/>
      <w:divBdr>
        <w:top w:val="none" w:sz="0" w:space="0" w:color="auto"/>
        <w:left w:val="none" w:sz="0" w:space="0" w:color="auto"/>
        <w:bottom w:val="none" w:sz="0" w:space="0" w:color="auto"/>
        <w:right w:val="none" w:sz="0" w:space="0" w:color="auto"/>
      </w:divBdr>
    </w:div>
    <w:div w:id="101917801">
      <w:bodyDiv w:val="1"/>
      <w:marLeft w:val="0"/>
      <w:marRight w:val="0"/>
      <w:marTop w:val="0"/>
      <w:marBottom w:val="0"/>
      <w:divBdr>
        <w:top w:val="none" w:sz="0" w:space="0" w:color="auto"/>
        <w:left w:val="none" w:sz="0" w:space="0" w:color="auto"/>
        <w:bottom w:val="none" w:sz="0" w:space="0" w:color="auto"/>
        <w:right w:val="none" w:sz="0" w:space="0" w:color="auto"/>
      </w:divBdr>
    </w:div>
    <w:div w:id="112984519">
      <w:bodyDiv w:val="1"/>
      <w:marLeft w:val="0"/>
      <w:marRight w:val="0"/>
      <w:marTop w:val="0"/>
      <w:marBottom w:val="0"/>
      <w:divBdr>
        <w:top w:val="none" w:sz="0" w:space="0" w:color="auto"/>
        <w:left w:val="none" w:sz="0" w:space="0" w:color="auto"/>
        <w:bottom w:val="none" w:sz="0" w:space="0" w:color="auto"/>
        <w:right w:val="none" w:sz="0" w:space="0" w:color="auto"/>
      </w:divBdr>
    </w:div>
    <w:div w:id="158078187">
      <w:bodyDiv w:val="1"/>
      <w:marLeft w:val="0"/>
      <w:marRight w:val="0"/>
      <w:marTop w:val="0"/>
      <w:marBottom w:val="0"/>
      <w:divBdr>
        <w:top w:val="none" w:sz="0" w:space="0" w:color="auto"/>
        <w:left w:val="none" w:sz="0" w:space="0" w:color="auto"/>
        <w:bottom w:val="none" w:sz="0" w:space="0" w:color="auto"/>
        <w:right w:val="none" w:sz="0" w:space="0" w:color="auto"/>
      </w:divBdr>
    </w:div>
    <w:div w:id="180052352">
      <w:bodyDiv w:val="1"/>
      <w:marLeft w:val="0"/>
      <w:marRight w:val="0"/>
      <w:marTop w:val="0"/>
      <w:marBottom w:val="0"/>
      <w:divBdr>
        <w:top w:val="none" w:sz="0" w:space="0" w:color="auto"/>
        <w:left w:val="none" w:sz="0" w:space="0" w:color="auto"/>
        <w:bottom w:val="none" w:sz="0" w:space="0" w:color="auto"/>
        <w:right w:val="none" w:sz="0" w:space="0" w:color="auto"/>
      </w:divBdr>
    </w:div>
    <w:div w:id="186215982">
      <w:bodyDiv w:val="1"/>
      <w:marLeft w:val="0"/>
      <w:marRight w:val="0"/>
      <w:marTop w:val="0"/>
      <w:marBottom w:val="0"/>
      <w:divBdr>
        <w:top w:val="none" w:sz="0" w:space="0" w:color="auto"/>
        <w:left w:val="none" w:sz="0" w:space="0" w:color="auto"/>
        <w:bottom w:val="none" w:sz="0" w:space="0" w:color="auto"/>
        <w:right w:val="none" w:sz="0" w:space="0" w:color="auto"/>
      </w:divBdr>
    </w:div>
    <w:div w:id="226958090">
      <w:bodyDiv w:val="1"/>
      <w:marLeft w:val="0"/>
      <w:marRight w:val="0"/>
      <w:marTop w:val="0"/>
      <w:marBottom w:val="0"/>
      <w:divBdr>
        <w:top w:val="none" w:sz="0" w:space="0" w:color="auto"/>
        <w:left w:val="none" w:sz="0" w:space="0" w:color="auto"/>
        <w:bottom w:val="none" w:sz="0" w:space="0" w:color="auto"/>
        <w:right w:val="none" w:sz="0" w:space="0" w:color="auto"/>
      </w:divBdr>
    </w:div>
    <w:div w:id="253591198">
      <w:bodyDiv w:val="1"/>
      <w:marLeft w:val="0"/>
      <w:marRight w:val="0"/>
      <w:marTop w:val="0"/>
      <w:marBottom w:val="0"/>
      <w:divBdr>
        <w:top w:val="none" w:sz="0" w:space="0" w:color="auto"/>
        <w:left w:val="none" w:sz="0" w:space="0" w:color="auto"/>
        <w:bottom w:val="none" w:sz="0" w:space="0" w:color="auto"/>
        <w:right w:val="none" w:sz="0" w:space="0" w:color="auto"/>
      </w:divBdr>
    </w:div>
    <w:div w:id="256519698">
      <w:bodyDiv w:val="1"/>
      <w:marLeft w:val="0"/>
      <w:marRight w:val="0"/>
      <w:marTop w:val="0"/>
      <w:marBottom w:val="0"/>
      <w:divBdr>
        <w:top w:val="none" w:sz="0" w:space="0" w:color="auto"/>
        <w:left w:val="none" w:sz="0" w:space="0" w:color="auto"/>
        <w:bottom w:val="none" w:sz="0" w:space="0" w:color="auto"/>
        <w:right w:val="none" w:sz="0" w:space="0" w:color="auto"/>
      </w:divBdr>
    </w:div>
    <w:div w:id="295718616">
      <w:bodyDiv w:val="1"/>
      <w:marLeft w:val="0"/>
      <w:marRight w:val="0"/>
      <w:marTop w:val="0"/>
      <w:marBottom w:val="0"/>
      <w:divBdr>
        <w:top w:val="none" w:sz="0" w:space="0" w:color="auto"/>
        <w:left w:val="none" w:sz="0" w:space="0" w:color="auto"/>
        <w:bottom w:val="none" w:sz="0" w:space="0" w:color="auto"/>
        <w:right w:val="none" w:sz="0" w:space="0" w:color="auto"/>
      </w:divBdr>
      <w:divsChild>
        <w:div w:id="260139077">
          <w:marLeft w:val="806"/>
          <w:marRight w:val="0"/>
          <w:marTop w:val="0"/>
          <w:marBottom w:val="240"/>
          <w:divBdr>
            <w:top w:val="none" w:sz="0" w:space="0" w:color="auto"/>
            <w:left w:val="none" w:sz="0" w:space="0" w:color="auto"/>
            <w:bottom w:val="none" w:sz="0" w:space="0" w:color="auto"/>
            <w:right w:val="none" w:sz="0" w:space="0" w:color="auto"/>
          </w:divBdr>
        </w:div>
        <w:div w:id="552161997">
          <w:marLeft w:val="806"/>
          <w:marRight w:val="0"/>
          <w:marTop w:val="0"/>
          <w:marBottom w:val="240"/>
          <w:divBdr>
            <w:top w:val="none" w:sz="0" w:space="0" w:color="auto"/>
            <w:left w:val="none" w:sz="0" w:space="0" w:color="auto"/>
            <w:bottom w:val="none" w:sz="0" w:space="0" w:color="auto"/>
            <w:right w:val="none" w:sz="0" w:space="0" w:color="auto"/>
          </w:divBdr>
        </w:div>
        <w:div w:id="1107121695">
          <w:marLeft w:val="806"/>
          <w:marRight w:val="0"/>
          <w:marTop w:val="0"/>
          <w:marBottom w:val="240"/>
          <w:divBdr>
            <w:top w:val="none" w:sz="0" w:space="0" w:color="auto"/>
            <w:left w:val="none" w:sz="0" w:space="0" w:color="auto"/>
            <w:bottom w:val="none" w:sz="0" w:space="0" w:color="auto"/>
            <w:right w:val="none" w:sz="0" w:space="0" w:color="auto"/>
          </w:divBdr>
        </w:div>
      </w:divsChild>
    </w:div>
    <w:div w:id="322851996">
      <w:bodyDiv w:val="1"/>
      <w:marLeft w:val="0"/>
      <w:marRight w:val="0"/>
      <w:marTop w:val="0"/>
      <w:marBottom w:val="0"/>
      <w:divBdr>
        <w:top w:val="none" w:sz="0" w:space="0" w:color="auto"/>
        <w:left w:val="none" w:sz="0" w:space="0" w:color="auto"/>
        <w:bottom w:val="none" w:sz="0" w:space="0" w:color="auto"/>
        <w:right w:val="none" w:sz="0" w:space="0" w:color="auto"/>
      </w:divBdr>
    </w:div>
    <w:div w:id="344326761">
      <w:bodyDiv w:val="1"/>
      <w:marLeft w:val="0"/>
      <w:marRight w:val="0"/>
      <w:marTop w:val="0"/>
      <w:marBottom w:val="0"/>
      <w:divBdr>
        <w:top w:val="none" w:sz="0" w:space="0" w:color="auto"/>
        <w:left w:val="none" w:sz="0" w:space="0" w:color="auto"/>
        <w:bottom w:val="none" w:sz="0" w:space="0" w:color="auto"/>
        <w:right w:val="none" w:sz="0" w:space="0" w:color="auto"/>
      </w:divBdr>
    </w:div>
    <w:div w:id="350188201">
      <w:bodyDiv w:val="1"/>
      <w:marLeft w:val="0"/>
      <w:marRight w:val="0"/>
      <w:marTop w:val="0"/>
      <w:marBottom w:val="0"/>
      <w:divBdr>
        <w:top w:val="none" w:sz="0" w:space="0" w:color="auto"/>
        <w:left w:val="none" w:sz="0" w:space="0" w:color="auto"/>
        <w:bottom w:val="none" w:sz="0" w:space="0" w:color="auto"/>
        <w:right w:val="none" w:sz="0" w:space="0" w:color="auto"/>
      </w:divBdr>
    </w:div>
    <w:div w:id="358317551">
      <w:bodyDiv w:val="1"/>
      <w:marLeft w:val="0"/>
      <w:marRight w:val="0"/>
      <w:marTop w:val="0"/>
      <w:marBottom w:val="0"/>
      <w:divBdr>
        <w:top w:val="none" w:sz="0" w:space="0" w:color="auto"/>
        <w:left w:val="none" w:sz="0" w:space="0" w:color="auto"/>
        <w:bottom w:val="none" w:sz="0" w:space="0" w:color="auto"/>
        <w:right w:val="none" w:sz="0" w:space="0" w:color="auto"/>
      </w:divBdr>
    </w:div>
    <w:div w:id="497497014">
      <w:bodyDiv w:val="1"/>
      <w:marLeft w:val="0"/>
      <w:marRight w:val="0"/>
      <w:marTop w:val="0"/>
      <w:marBottom w:val="0"/>
      <w:divBdr>
        <w:top w:val="none" w:sz="0" w:space="0" w:color="auto"/>
        <w:left w:val="none" w:sz="0" w:space="0" w:color="auto"/>
        <w:bottom w:val="none" w:sz="0" w:space="0" w:color="auto"/>
        <w:right w:val="none" w:sz="0" w:space="0" w:color="auto"/>
      </w:divBdr>
    </w:div>
    <w:div w:id="513542686">
      <w:bodyDiv w:val="1"/>
      <w:marLeft w:val="0"/>
      <w:marRight w:val="0"/>
      <w:marTop w:val="0"/>
      <w:marBottom w:val="0"/>
      <w:divBdr>
        <w:top w:val="none" w:sz="0" w:space="0" w:color="auto"/>
        <w:left w:val="none" w:sz="0" w:space="0" w:color="auto"/>
        <w:bottom w:val="none" w:sz="0" w:space="0" w:color="auto"/>
        <w:right w:val="none" w:sz="0" w:space="0" w:color="auto"/>
      </w:divBdr>
    </w:div>
    <w:div w:id="522548224">
      <w:bodyDiv w:val="1"/>
      <w:marLeft w:val="0"/>
      <w:marRight w:val="0"/>
      <w:marTop w:val="0"/>
      <w:marBottom w:val="0"/>
      <w:divBdr>
        <w:top w:val="none" w:sz="0" w:space="0" w:color="auto"/>
        <w:left w:val="none" w:sz="0" w:space="0" w:color="auto"/>
        <w:bottom w:val="none" w:sz="0" w:space="0" w:color="auto"/>
        <w:right w:val="none" w:sz="0" w:space="0" w:color="auto"/>
      </w:divBdr>
    </w:div>
    <w:div w:id="541752998">
      <w:bodyDiv w:val="1"/>
      <w:marLeft w:val="0"/>
      <w:marRight w:val="0"/>
      <w:marTop w:val="0"/>
      <w:marBottom w:val="0"/>
      <w:divBdr>
        <w:top w:val="none" w:sz="0" w:space="0" w:color="auto"/>
        <w:left w:val="none" w:sz="0" w:space="0" w:color="auto"/>
        <w:bottom w:val="none" w:sz="0" w:space="0" w:color="auto"/>
        <w:right w:val="none" w:sz="0" w:space="0" w:color="auto"/>
      </w:divBdr>
      <w:divsChild>
        <w:div w:id="637302412">
          <w:marLeft w:val="0"/>
          <w:marRight w:val="0"/>
          <w:marTop w:val="0"/>
          <w:marBottom w:val="360"/>
          <w:divBdr>
            <w:top w:val="none" w:sz="0" w:space="0" w:color="auto"/>
            <w:left w:val="none" w:sz="0" w:space="0" w:color="auto"/>
            <w:bottom w:val="none" w:sz="0" w:space="0" w:color="auto"/>
            <w:right w:val="none" w:sz="0" w:space="0" w:color="auto"/>
          </w:divBdr>
        </w:div>
        <w:div w:id="1991594217">
          <w:marLeft w:val="0"/>
          <w:marRight w:val="0"/>
          <w:marTop w:val="0"/>
          <w:marBottom w:val="0"/>
          <w:divBdr>
            <w:top w:val="none" w:sz="0" w:space="0" w:color="auto"/>
            <w:left w:val="none" w:sz="0" w:space="0" w:color="auto"/>
            <w:bottom w:val="none" w:sz="0" w:space="0" w:color="auto"/>
            <w:right w:val="none" w:sz="0" w:space="0" w:color="auto"/>
          </w:divBdr>
        </w:div>
      </w:divsChild>
    </w:div>
    <w:div w:id="550116503">
      <w:bodyDiv w:val="1"/>
      <w:marLeft w:val="0"/>
      <w:marRight w:val="0"/>
      <w:marTop w:val="0"/>
      <w:marBottom w:val="0"/>
      <w:divBdr>
        <w:top w:val="none" w:sz="0" w:space="0" w:color="auto"/>
        <w:left w:val="none" w:sz="0" w:space="0" w:color="auto"/>
        <w:bottom w:val="none" w:sz="0" w:space="0" w:color="auto"/>
        <w:right w:val="none" w:sz="0" w:space="0" w:color="auto"/>
      </w:divBdr>
    </w:div>
    <w:div w:id="561061348">
      <w:bodyDiv w:val="1"/>
      <w:marLeft w:val="0"/>
      <w:marRight w:val="0"/>
      <w:marTop w:val="0"/>
      <w:marBottom w:val="0"/>
      <w:divBdr>
        <w:top w:val="none" w:sz="0" w:space="0" w:color="auto"/>
        <w:left w:val="none" w:sz="0" w:space="0" w:color="auto"/>
        <w:bottom w:val="none" w:sz="0" w:space="0" w:color="auto"/>
        <w:right w:val="none" w:sz="0" w:space="0" w:color="auto"/>
      </w:divBdr>
      <w:divsChild>
        <w:div w:id="1314529560">
          <w:marLeft w:val="0"/>
          <w:marRight w:val="0"/>
          <w:marTop w:val="0"/>
          <w:marBottom w:val="0"/>
          <w:divBdr>
            <w:top w:val="none" w:sz="0" w:space="0" w:color="auto"/>
            <w:left w:val="none" w:sz="0" w:space="0" w:color="auto"/>
            <w:bottom w:val="none" w:sz="0" w:space="0" w:color="auto"/>
            <w:right w:val="none" w:sz="0" w:space="0" w:color="auto"/>
          </w:divBdr>
        </w:div>
        <w:div w:id="2103799311">
          <w:marLeft w:val="0"/>
          <w:marRight w:val="0"/>
          <w:marTop w:val="0"/>
          <w:marBottom w:val="360"/>
          <w:divBdr>
            <w:top w:val="none" w:sz="0" w:space="0" w:color="auto"/>
            <w:left w:val="none" w:sz="0" w:space="0" w:color="auto"/>
            <w:bottom w:val="none" w:sz="0" w:space="0" w:color="auto"/>
            <w:right w:val="none" w:sz="0" w:space="0" w:color="auto"/>
          </w:divBdr>
        </w:div>
      </w:divsChild>
    </w:div>
    <w:div w:id="566721592">
      <w:bodyDiv w:val="1"/>
      <w:marLeft w:val="0"/>
      <w:marRight w:val="0"/>
      <w:marTop w:val="0"/>
      <w:marBottom w:val="0"/>
      <w:divBdr>
        <w:top w:val="none" w:sz="0" w:space="0" w:color="auto"/>
        <w:left w:val="none" w:sz="0" w:space="0" w:color="auto"/>
        <w:bottom w:val="none" w:sz="0" w:space="0" w:color="auto"/>
        <w:right w:val="none" w:sz="0" w:space="0" w:color="auto"/>
      </w:divBdr>
    </w:div>
    <w:div w:id="595747044">
      <w:bodyDiv w:val="1"/>
      <w:marLeft w:val="0"/>
      <w:marRight w:val="0"/>
      <w:marTop w:val="0"/>
      <w:marBottom w:val="0"/>
      <w:divBdr>
        <w:top w:val="none" w:sz="0" w:space="0" w:color="auto"/>
        <w:left w:val="none" w:sz="0" w:space="0" w:color="auto"/>
        <w:bottom w:val="none" w:sz="0" w:space="0" w:color="auto"/>
        <w:right w:val="none" w:sz="0" w:space="0" w:color="auto"/>
      </w:divBdr>
    </w:div>
    <w:div w:id="602568627">
      <w:bodyDiv w:val="1"/>
      <w:marLeft w:val="0"/>
      <w:marRight w:val="0"/>
      <w:marTop w:val="0"/>
      <w:marBottom w:val="0"/>
      <w:divBdr>
        <w:top w:val="none" w:sz="0" w:space="0" w:color="auto"/>
        <w:left w:val="none" w:sz="0" w:space="0" w:color="auto"/>
        <w:bottom w:val="none" w:sz="0" w:space="0" w:color="auto"/>
        <w:right w:val="none" w:sz="0" w:space="0" w:color="auto"/>
      </w:divBdr>
    </w:div>
    <w:div w:id="607156421">
      <w:bodyDiv w:val="1"/>
      <w:marLeft w:val="0"/>
      <w:marRight w:val="0"/>
      <w:marTop w:val="0"/>
      <w:marBottom w:val="0"/>
      <w:divBdr>
        <w:top w:val="none" w:sz="0" w:space="0" w:color="auto"/>
        <w:left w:val="none" w:sz="0" w:space="0" w:color="auto"/>
        <w:bottom w:val="none" w:sz="0" w:space="0" w:color="auto"/>
        <w:right w:val="none" w:sz="0" w:space="0" w:color="auto"/>
      </w:divBdr>
    </w:div>
    <w:div w:id="664817450">
      <w:bodyDiv w:val="1"/>
      <w:marLeft w:val="0"/>
      <w:marRight w:val="0"/>
      <w:marTop w:val="0"/>
      <w:marBottom w:val="0"/>
      <w:divBdr>
        <w:top w:val="none" w:sz="0" w:space="0" w:color="auto"/>
        <w:left w:val="none" w:sz="0" w:space="0" w:color="auto"/>
        <w:bottom w:val="none" w:sz="0" w:space="0" w:color="auto"/>
        <w:right w:val="none" w:sz="0" w:space="0" w:color="auto"/>
      </w:divBdr>
    </w:div>
    <w:div w:id="664941740">
      <w:bodyDiv w:val="1"/>
      <w:marLeft w:val="0"/>
      <w:marRight w:val="0"/>
      <w:marTop w:val="0"/>
      <w:marBottom w:val="0"/>
      <w:divBdr>
        <w:top w:val="none" w:sz="0" w:space="0" w:color="auto"/>
        <w:left w:val="none" w:sz="0" w:space="0" w:color="auto"/>
        <w:bottom w:val="none" w:sz="0" w:space="0" w:color="auto"/>
        <w:right w:val="none" w:sz="0" w:space="0" w:color="auto"/>
      </w:divBdr>
    </w:div>
    <w:div w:id="718550902">
      <w:bodyDiv w:val="1"/>
      <w:marLeft w:val="0"/>
      <w:marRight w:val="0"/>
      <w:marTop w:val="0"/>
      <w:marBottom w:val="0"/>
      <w:divBdr>
        <w:top w:val="none" w:sz="0" w:space="0" w:color="auto"/>
        <w:left w:val="none" w:sz="0" w:space="0" w:color="auto"/>
        <w:bottom w:val="none" w:sz="0" w:space="0" w:color="auto"/>
        <w:right w:val="none" w:sz="0" w:space="0" w:color="auto"/>
      </w:divBdr>
    </w:div>
    <w:div w:id="723142663">
      <w:bodyDiv w:val="1"/>
      <w:marLeft w:val="0"/>
      <w:marRight w:val="0"/>
      <w:marTop w:val="0"/>
      <w:marBottom w:val="0"/>
      <w:divBdr>
        <w:top w:val="none" w:sz="0" w:space="0" w:color="auto"/>
        <w:left w:val="none" w:sz="0" w:space="0" w:color="auto"/>
        <w:bottom w:val="none" w:sz="0" w:space="0" w:color="auto"/>
        <w:right w:val="none" w:sz="0" w:space="0" w:color="auto"/>
      </w:divBdr>
    </w:div>
    <w:div w:id="798717654">
      <w:bodyDiv w:val="1"/>
      <w:marLeft w:val="0"/>
      <w:marRight w:val="0"/>
      <w:marTop w:val="0"/>
      <w:marBottom w:val="0"/>
      <w:divBdr>
        <w:top w:val="none" w:sz="0" w:space="0" w:color="auto"/>
        <w:left w:val="none" w:sz="0" w:space="0" w:color="auto"/>
        <w:bottom w:val="none" w:sz="0" w:space="0" w:color="auto"/>
        <w:right w:val="none" w:sz="0" w:space="0" w:color="auto"/>
      </w:divBdr>
    </w:div>
    <w:div w:id="811948292">
      <w:bodyDiv w:val="1"/>
      <w:marLeft w:val="0"/>
      <w:marRight w:val="0"/>
      <w:marTop w:val="0"/>
      <w:marBottom w:val="0"/>
      <w:divBdr>
        <w:top w:val="none" w:sz="0" w:space="0" w:color="auto"/>
        <w:left w:val="none" w:sz="0" w:space="0" w:color="auto"/>
        <w:bottom w:val="none" w:sz="0" w:space="0" w:color="auto"/>
        <w:right w:val="none" w:sz="0" w:space="0" w:color="auto"/>
      </w:divBdr>
    </w:div>
    <w:div w:id="834808900">
      <w:bodyDiv w:val="1"/>
      <w:marLeft w:val="0"/>
      <w:marRight w:val="0"/>
      <w:marTop w:val="0"/>
      <w:marBottom w:val="0"/>
      <w:divBdr>
        <w:top w:val="none" w:sz="0" w:space="0" w:color="auto"/>
        <w:left w:val="none" w:sz="0" w:space="0" w:color="auto"/>
        <w:bottom w:val="none" w:sz="0" w:space="0" w:color="auto"/>
        <w:right w:val="none" w:sz="0" w:space="0" w:color="auto"/>
      </w:divBdr>
    </w:div>
    <w:div w:id="853301326">
      <w:bodyDiv w:val="1"/>
      <w:marLeft w:val="0"/>
      <w:marRight w:val="0"/>
      <w:marTop w:val="0"/>
      <w:marBottom w:val="0"/>
      <w:divBdr>
        <w:top w:val="none" w:sz="0" w:space="0" w:color="auto"/>
        <w:left w:val="none" w:sz="0" w:space="0" w:color="auto"/>
        <w:bottom w:val="none" w:sz="0" w:space="0" w:color="auto"/>
        <w:right w:val="none" w:sz="0" w:space="0" w:color="auto"/>
      </w:divBdr>
    </w:div>
    <w:div w:id="857624372">
      <w:bodyDiv w:val="1"/>
      <w:marLeft w:val="0"/>
      <w:marRight w:val="0"/>
      <w:marTop w:val="0"/>
      <w:marBottom w:val="0"/>
      <w:divBdr>
        <w:top w:val="none" w:sz="0" w:space="0" w:color="auto"/>
        <w:left w:val="none" w:sz="0" w:space="0" w:color="auto"/>
        <w:bottom w:val="none" w:sz="0" w:space="0" w:color="auto"/>
        <w:right w:val="none" w:sz="0" w:space="0" w:color="auto"/>
      </w:divBdr>
    </w:div>
    <w:div w:id="974917727">
      <w:bodyDiv w:val="1"/>
      <w:marLeft w:val="0"/>
      <w:marRight w:val="0"/>
      <w:marTop w:val="0"/>
      <w:marBottom w:val="0"/>
      <w:divBdr>
        <w:top w:val="none" w:sz="0" w:space="0" w:color="auto"/>
        <w:left w:val="none" w:sz="0" w:space="0" w:color="auto"/>
        <w:bottom w:val="none" w:sz="0" w:space="0" w:color="auto"/>
        <w:right w:val="none" w:sz="0" w:space="0" w:color="auto"/>
      </w:divBdr>
    </w:div>
    <w:div w:id="991249937">
      <w:bodyDiv w:val="1"/>
      <w:marLeft w:val="0"/>
      <w:marRight w:val="0"/>
      <w:marTop w:val="0"/>
      <w:marBottom w:val="0"/>
      <w:divBdr>
        <w:top w:val="none" w:sz="0" w:space="0" w:color="auto"/>
        <w:left w:val="none" w:sz="0" w:space="0" w:color="auto"/>
        <w:bottom w:val="none" w:sz="0" w:space="0" w:color="auto"/>
        <w:right w:val="none" w:sz="0" w:space="0" w:color="auto"/>
      </w:divBdr>
    </w:div>
    <w:div w:id="1001813820">
      <w:bodyDiv w:val="1"/>
      <w:marLeft w:val="0"/>
      <w:marRight w:val="0"/>
      <w:marTop w:val="0"/>
      <w:marBottom w:val="0"/>
      <w:divBdr>
        <w:top w:val="none" w:sz="0" w:space="0" w:color="auto"/>
        <w:left w:val="none" w:sz="0" w:space="0" w:color="auto"/>
        <w:bottom w:val="none" w:sz="0" w:space="0" w:color="auto"/>
        <w:right w:val="none" w:sz="0" w:space="0" w:color="auto"/>
      </w:divBdr>
    </w:div>
    <w:div w:id="1019548102">
      <w:bodyDiv w:val="1"/>
      <w:marLeft w:val="0"/>
      <w:marRight w:val="0"/>
      <w:marTop w:val="0"/>
      <w:marBottom w:val="0"/>
      <w:divBdr>
        <w:top w:val="none" w:sz="0" w:space="0" w:color="auto"/>
        <w:left w:val="none" w:sz="0" w:space="0" w:color="auto"/>
        <w:bottom w:val="none" w:sz="0" w:space="0" w:color="auto"/>
        <w:right w:val="none" w:sz="0" w:space="0" w:color="auto"/>
      </w:divBdr>
    </w:div>
    <w:div w:id="1041175798">
      <w:bodyDiv w:val="1"/>
      <w:marLeft w:val="0"/>
      <w:marRight w:val="0"/>
      <w:marTop w:val="0"/>
      <w:marBottom w:val="0"/>
      <w:divBdr>
        <w:top w:val="none" w:sz="0" w:space="0" w:color="auto"/>
        <w:left w:val="none" w:sz="0" w:space="0" w:color="auto"/>
        <w:bottom w:val="none" w:sz="0" w:space="0" w:color="auto"/>
        <w:right w:val="none" w:sz="0" w:space="0" w:color="auto"/>
      </w:divBdr>
    </w:div>
    <w:div w:id="1051542330">
      <w:bodyDiv w:val="1"/>
      <w:marLeft w:val="0"/>
      <w:marRight w:val="0"/>
      <w:marTop w:val="0"/>
      <w:marBottom w:val="0"/>
      <w:divBdr>
        <w:top w:val="none" w:sz="0" w:space="0" w:color="auto"/>
        <w:left w:val="none" w:sz="0" w:space="0" w:color="auto"/>
        <w:bottom w:val="none" w:sz="0" w:space="0" w:color="auto"/>
        <w:right w:val="none" w:sz="0" w:space="0" w:color="auto"/>
      </w:divBdr>
    </w:div>
    <w:div w:id="1053458170">
      <w:bodyDiv w:val="1"/>
      <w:marLeft w:val="0"/>
      <w:marRight w:val="0"/>
      <w:marTop w:val="0"/>
      <w:marBottom w:val="0"/>
      <w:divBdr>
        <w:top w:val="none" w:sz="0" w:space="0" w:color="auto"/>
        <w:left w:val="none" w:sz="0" w:space="0" w:color="auto"/>
        <w:bottom w:val="none" w:sz="0" w:space="0" w:color="auto"/>
        <w:right w:val="none" w:sz="0" w:space="0" w:color="auto"/>
      </w:divBdr>
    </w:div>
    <w:div w:id="1170604092">
      <w:bodyDiv w:val="1"/>
      <w:marLeft w:val="0"/>
      <w:marRight w:val="0"/>
      <w:marTop w:val="0"/>
      <w:marBottom w:val="0"/>
      <w:divBdr>
        <w:top w:val="none" w:sz="0" w:space="0" w:color="auto"/>
        <w:left w:val="none" w:sz="0" w:space="0" w:color="auto"/>
        <w:bottom w:val="none" w:sz="0" w:space="0" w:color="auto"/>
        <w:right w:val="none" w:sz="0" w:space="0" w:color="auto"/>
      </w:divBdr>
    </w:div>
    <w:div w:id="1248534764">
      <w:bodyDiv w:val="1"/>
      <w:marLeft w:val="0"/>
      <w:marRight w:val="0"/>
      <w:marTop w:val="0"/>
      <w:marBottom w:val="0"/>
      <w:divBdr>
        <w:top w:val="none" w:sz="0" w:space="0" w:color="auto"/>
        <w:left w:val="none" w:sz="0" w:space="0" w:color="auto"/>
        <w:bottom w:val="none" w:sz="0" w:space="0" w:color="auto"/>
        <w:right w:val="none" w:sz="0" w:space="0" w:color="auto"/>
      </w:divBdr>
    </w:div>
    <w:div w:id="1256129717">
      <w:bodyDiv w:val="1"/>
      <w:marLeft w:val="0"/>
      <w:marRight w:val="0"/>
      <w:marTop w:val="0"/>
      <w:marBottom w:val="0"/>
      <w:divBdr>
        <w:top w:val="none" w:sz="0" w:space="0" w:color="auto"/>
        <w:left w:val="none" w:sz="0" w:space="0" w:color="auto"/>
        <w:bottom w:val="none" w:sz="0" w:space="0" w:color="auto"/>
        <w:right w:val="none" w:sz="0" w:space="0" w:color="auto"/>
      </w:divBdr>
    </w:div>
    <w:div w:id="1288781089">
      <w:bodyDiv w:val="1"/>
      <w:marLeft w:val="0"/>
      <w:marRight w:val="0"/>
      <w:marTop w:val="0"/>
      <w:marBottom w:val="0"/>
      <w:divBdr>
        <w:top w:val="none" w:sz="0" w:space="0" w:color="auto"/>
        <w:left w:val="none" w:sz="0" w:space="0" w:color="auto"/>
        <w:bottom w:val="none" w:sz="0" w:space="0" w:color="auto"/>
        <w:right w:val="none" w:sz="0" w:space="0" w:color="auto"/>
      </w:divBdr>
    </w:div>
    <w:div w:id="1425951692">
      <w:bodyDiv w:val="1"/>
      <w:marLeft w:val="0"/>
      <w:marRight w:val="0"/>
      <w:marTop w:val="0"/>
      <w:marBottom w:val="0"/>
      <w:divBdr>
        <w:top w:val="none" w:sz="0" w:space="0" w:color="auto"/>
        <w:left w:val="none" w:sz="0" w:space="0" w:color="auto"/>
        <w:bottom w:val="none" w:sz="0" w:space="0" w:color="auto"/>
        <w:right w:val="none" w:sz="0" w:space="0" w:color="auto"/>
      </w:divBdr>
    </w:div>
    <w:div w:id="1466582690">
      <w:bodyDiv w:val="1"/>
      <w:marLeft w:val="0"/>
      <w:marRight w:val="0"/>
      <w:marTop w:val="0"/>
      <w:marBottom w:val="0"/>
      <w:divBdr>
        <w:top w:val="none" w:sz="0" w:space="0" w:color="auto"/>
        <w:left w:val="none" w:sz="0" w:space="0" w:color="auto"/>
        <w:bottom w:val="none" w:sz="0" w:space="0" w:color="auto"/>
        <w:right w:val="none" w:sz="0" w:space="0" w:color="auto"/>
      </w:divBdr>
    </w:div>
    <w:div w:id="1485318353">
      <w:bodyDiv w:val="1"/>
      <w:marLeft w:val="0"/>
      <w:marRight w:val="0"/>
      <w:marTop w:val="0"/>
      <w:marBottom w:val="0"/>
      <w:divBdr>
        <w:top w:val="none" w:sz="0" w:space="0" w:color="auto"/>
        <w:left w:val="none" w:sz="0" w:space="0" w:color="auto"/>
        <w:bottom w:val="none" w:sz="0" w:space="0" w:color="auto"/>
        <w:right w:val="none" w:sz="0" w:space="0" w:color="auto"/>
      </w:divBdr>
    </w:div>
    <w:div w:id="1520240789">
      <w:bodyDiv w:val="1"/>
      <w:marLeft w:val="0"/>
      <w:marRight w:val="0"/>
      <w:marTop w:val="0"/>
      <w:marBottom w:val="0"/>
      <w:divBdr>
        <w:top w:val="none" w:sz="0" w:space="0" w:color="auto"/>
        <w:left w:val="none" w:sz="0" w:space="0" w:color="auto"/>
        <w:bottom w:val="none" w:sz="0" w:space="0" w:color="auto"/>
        <w:right w:val="none" w:sz="0" w:space="0" w:color="auto"/>
      </w:divBdr>
    </w:div>
    <w:div w:id="1533227729">
      <w:bodyDiv w:val="1"/>
      <w:marLeft w:val="0"/>
      <w:marRight w:val="0"/>
      <w:marTop w:val="0"/>
      <w:marBottom w:val="0"/>
      <w:divBdr>
        <w:top w:val="none" w:sz="0" w:space="0" w:color="auto"/>
        <w:left w:val="none" w:sz="0" w:space="0" w:color="auto"/>
        <w:bottom w:val="none" w:sz="0" w:space="0" w:color="auto"/>
        <w:right w:val="none" w:sz="0" w:space="0" w:color="auto"/>
      </w:divBdr>
    </w:div>
    <w:div w:id="1535922015">
      <w:bodyDiv w:val="1"/>
      <w:marLeft w:val="0"/>
      <w:marRight w:val="0"/>
      <w:marTop w:val="0"/>
      <w:marBottom w:val="0"/>
      <w:divBdr>
        <w:top w:val="none" w:sz="0" w:space="0" w:color="auto"/>
        <w:left w:val="none" w:sz="0" w:space="0" w:color="auto"/>
        <w:bottom w:val="none" w:sz="0" w:space="0" w:color="auto"/>
        <w:right w:val="none" w:sz="0" w:space="0" w:color="auto"/>
      </w:divBdr>
    </w:div>
    <w:div w:id="1602183361">
      <w:bodyDiv w:val="1"/>
      <w:marLeft w:val="0"/>
      <w:marRight w:val="0"/>
      <w:marTop w:val="0"/>
      <w:marBottom w:val="0"/>
      <w:divBdr>
        <w:top w:val="none" w:sz="0" w:space="0" w:color="auto"/>
        <w:left w:val="none" w:sz="0" w:space="0" w:color="auto"/>
        <w:bottom w:val="none" w:sz="0" w:space="0" w:color="auto"/>
        <w:right w:val="none" w:sz="0" w:space="0" w:color="auto"/>
      </w:divBdr>
    </w:div>
    <w:div w:id="1641887886">
      <w:bodyDiv w:val="1"/>
      <w:marLeft w:val="0"/>
      <w:marRight w:val="0"/>
      <w:marTop w:val="0"/>
      <w:marBottom w:val="0"/>
      <w:divBdr>
        <w:top w:val="none" w:sz="0" w:space="0" w:color="auto"/>
        <w:left w:val="none" w:sz="0" w:space="0" w:color="auto"/>
        <w:bottom w:val="none" w:sz="0" w:space="0" w:color="auto"/>
        <w:right w:val="none" w:sz="0" w:space="0" w:color="auto"/>
      </w:divBdr>
    </w:div>
    <w:div w:id="1697539629">
      <w:bodyDiv w:val="1"/>
      <w:marLeft w:val="0"/>
      <w:marRight w:val="0"/>
      <w:marTop w:val="0"/>
      <w:marBottom w:val="0"/>
      <w:divBdr>
        <w:top w:val="none" w:sz="0" w:space="0" w:color="auto"/>
        <w:left w:val="none" w:sz="0" w:space="0" w:color="auto"/>
        <w:bottom w:val="none" w:sz="0" w:space="0" w:color="auto"/>
        <w:right w:val="none" w:sz="0" w:space="0" w:color="auto"/>
      </w:divBdr>
    </w:div>
    <w:div w:id="1763868363">
      <w:bodyDiv w:val="1"/>
      <w:marLeft w:val="0"/>
      <w:marRight w:val="0"/>
      <w:marTop w:val="0"/>
      <w:marBottom w:val="0"/>
      <w:divBdr>
        <w:top w:val="none" w:sz="0" w:space="0" w:color="auto"/>
        <w:left w:val="none" w:sz="0" w:space="0" w:color="auto"/>
        <w:bottom w:val="none" w:sz="0" w:space="0" w:color="auto"/>
        <w:right w:val="none" w:sz="0" w:space="0" w:color="auto"/>
      </w:divBdr>
    </w:div>
    <w:div w:id="1771313829">
      <w:bodyDiv w:val="1"/>
      <w:marLeft w:val="0"/>
      <w:marRight w:val="0"/>
      <w:marTop w:val="0"/>
      <w:marBottom w:val="0"/>
      <w:divBdr>
        <w:top w:val="none" w:sz="0" w:space="0" w:color="auto"/>
        <w:left w:val="none" w:sz="0" w:space="0" w:color="auto"/>
        <w:bottom w:val="none" w:sz="0" w:space="0" w:color="auto"/>
        <w:right w:val="none" w:sz="0" w:space="0" w:color="auto"/>
      </w:divBdr>
    </w:div>
    <w:div w:id="1789423197">
      <w:bodyDiv w:val="1"/>
      <w:marLeft w:val="0"/>
      <w:marRight w:val="0"/>
      <w:marTop w:val="0"/>
      <w:marBottom w:val="0"/>
      <w:divBdr>
        <w:top w:val="none" w:sz="0" w:space="0" w:color="auto"/>
        <w:left w:val="none" w:sz="0" w:space="0" w:color="auto"/>
        <w:bottom w:val="none" w:sz="0" w:space="0" w:color="auto"/>
        <w:right w:val="none" w:sz="0" w:space="0" w:color="auto"/>
      </w:divBdr>
    </w:div>
    <w:div w:id="1791513223">
      <w:bodyDiv w:val="1"/>
      <w:marLeft w:val="0"/>
      <w:marRight w:val="0"/>
      <w:marTop w:val="0"/>
      <w:marBottom w:val="0"/>
      <w:divBdr>
        <w:top w:val="none" w:sz="0" w:space="0" w:color="auto"/>
        <w:left w:val="none" w:sz="0" w:space="0" w:color="auto"/>
        <w:bottom w:val="none" w:sz="0" w:space="0" w:color="auto"/>
        <w:right w:val="none" w:sz="0" w:space="0" w:color="auto"/>
      </w:divBdr>
    </w:div>
    <w:div w:id="1810246881">
      <w:bodyDiv w:val="1"/>
      <w:marLeft w:val="0"/>
      <w:marRight w:val="0"/>
      <w:marTop w:val="0"/>
      <w:marBottom w:val="0"/>
      <w:divBdr>
        <w:top w:val="none" w:sz="0" w:space="0" w:color="auto"/>
        <w:left w:val="none" w:sz="0" w:space="0" w:color="auto"/>
        <w:bottom w:val="none" w:sz="0" w:space="0" w:color="auto"/>
        <w:right w:val="none" w:sz="0" w:space="0" w:color="auto"/>
      </w:divBdr>
    </w:div>
    <w:div w:id="1880241990">
      <w:bodyDiv w:val="1"/>
      <w:marLeft w:val="0"/>
      <w:marRight w:val="0"/>
      <w:marTop w:val="0"/>
      <w:marBottom w:val="0"/>
      <w:divBdr>
        <w:top w:val="none" w:sz="0" w:space="0" w:color="auto"/>
        <w:left w:val="none" w:sz="0" w:space="0" w:color="auto"/>
        <w:bottom w:val="none" w:sz="0" w:space="0" w:color="auto"/>
        <w:right w:val="none" w:sz="0" w:space="0" w:color="auto"/>
      </w:divBdr>
    </w:div>
    <w:div w:id="1935548525">
      <w:bodyDiv w:val="1"/>
      <w:marLeft w:val="0"/>
      <w:marRight w:val="0"/>
      <w:marTop w:val="0"/>
      <w:marBottom w:val="0"/>
      <w:divBdr>
        <w:top w:val="none" w:sz="0" w:space="0" w:color="auto"/>
        <w:left w:val="none" w:sz="0" w:space="0" w:color="auto"/>
        <w:bottom w:val="none" w:sz="0" w:space="0" w:color="auto"/>
        <w:right w:val="none" w:sz="0" w:space="0" w:color="auto"/>
      </w:divBdr>
    </w:div>
    <w:div w:id="1970890644">
      <w:bodyDiv w:val="1"/>
      <w:marLeft w:val="0"/>
      <w:marRight w:val="0"/>
      <w:marTop w:val="0"/>
      <w:marBottom w:val="0"/>
      <w:divBdr>
        <w:top w:val="none" w:sz="0" w:space="0" w:color="auto"/>
        <w:left w:val="none" w:sz="0" w:space="0" w:color="auto"/>
        <w:bottom w:val="none" w:sz="0" w:space="0" w:color="auto"/>
        <w:right w:val="none" w:sz="0" w:space="0" w:color="auto"/>
      </w:divBdr>
    </w:div>
    <w:div w:id="1985161597">
      <w:bodyDiv w:val="1"/>
      <w:marLeft w:val="0"/>
      <w:marRight w:val="0"/>
      <w:marTop w:val="0"/>
      <w:marBottom w:val="0"/>
      <w:divBdr>
        <w:top w:val="none" w:sz="0" w:space="0" w:color="auto"/>
        <w:left w:val="none" w:sz="0" w:space="0" w:color="auto"/>
        <w:bottom w:val="none" w:sz="0" w:space="0" w:color="auto"/>
        <w:right w:val="none" w:sz="0" w:space="0" w:color="auto"/>
      </w:divBdr>
    </w:div>
    <w:div w:id="1988364015">
      <w:bodyDiv w:val="1"/>
      <w:marLeft w:val="0"/>
      <w:marRight w:val="0"/>
      <w:marTop w:val="0"/>
      <w:marBottom w:val="0"/>
      <w:divBdr>
        <w:top w:val="none" w:sz="0" w:space="0" w:color="auto"/>
        <w:left w:val="none" w:sz="0" w:space="0" w:color="auto"/>
        <w:bottom w:val="none" w:sz="0" w:space="0" w:color="auto"/>
        <w:right w:val="none" w:sz="0" w:space="0" w:color="auto"/>
      </w:divBdr>
    </w:div>
    <w:div w:id="20252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legalinstruments.oecd.org/fr/instruments/OECD-LEGAL-0501" TargetMode="External"/><Relationship Id="rId13" Type="http://schemas.openxmlformats.org/officeDocument/2006/relationships/hyperlink" Target="https://www.inserm.fr/ethique/volrethics/" TargetMode="External"/><Relationship Id="rId18" Type="http://schemas.openxmlformats.org/officeDocument/2006/relationships/hyperlink" Target="https://research-and-innovation.ec.europa.eu/news/all-research-and-innovation-news/new-publications-dual-use-provide-strategic-input-future-eu-ri-policies-2025-06-25_en" TargetMode="External"/><Relationship Id="rId26" Type="http://schemas.openxmlformats.org/officeDocument/2006/relationships/hyperlink" Target="https://ec.europa.eu/commission/presscorner/detail/fr/ip_23_1598" TargetMode="External"/><Relationship Id="rId39" Type="http://schemas.openxmlformats.org/officeDocument/2006/relationships/hyperlink" Target="https://projects.research-and-innovation.ec.europa.eu/en/statistics/policy-support-facility/psf-country/support-ukraine-research-infrastructures-policies" TargetMode="External"/><Relationship Id="rId3" Type="http://schemas.openxmlformats.org/officeDocument/2006/relationships/hyperlink" Target="https://research-and-innovation.ec.europa.eu/document/download/94d6bb42-1fe7-478c-b6b4-d0be4dfb0204_en?filename=brussels-ministerial-statement-2024-02.pdf" TargetMode="External"/><Relationship Id="rId21" Type="http://schemas.openxmlformats.org/officeDocument/2006/relationships/hyperlink" Target="https://mission-innovation.net/missions/hydrogen/" TargetMode="External"/><Relationship Id="rId34" Type="http://schemas.openxmlformats.org/officeDocument/2006/relationships/hyperlink" Target="https://gardp.org/secure/" TargetMode="External"/><Relationship Id="rId42" Type="http://schemas.openxmlformats.org/officeDocument/2006/relationships/hyperlink" Target="https://prima-med.org/" TargetMode="External"/><Relationship Id="rId7" Type="http://schemas.openxmlformats.org/officeDocument/2006/relationships/hyperlink" Target="https://www.science-diplomacy.eu/" TargetMode="External"/><Relationship Id="rId12" Type="http://schemas.openxmlformats.org/officeDocument/2006/relationships/hyperlink" Target="https://www.globalcodeofconduct.org/" TargetMode="External"/><Relationship Id="rId17" Type="http://schemas.openxmlformats.org/officeDocument/2006/relationships/hyperlink" Target="https://icri2024.au/about-icri/brisbane-statement/" TargetMode="External"/><Relationship Id="rId25" Type="http://schemas.openxmlformats.org/officeDocument/2006/relationships/hyperlink" Target="https://digital-strategy.ec.europa.eu/en/policies/partnerships" TargetMode="External"/><Relationship Id="rId33" Type="http://schemas.openxmlformats.org/officeDocument/2006/relationships/hyperlink" Target="https://erdera.org/" TargetMode="External"/><Relationship Id="rId38" Type="http://schemas.openxmlformats.org/officeDocument/2006/relationships/hyperlink" Target="https://projects.research-and-innovation.ec.europa.eu/en/statistics/policy-support-facility/psf-country/support-moldova-reforms-public-rd-sector" TargetMode="External"/><Relationship Id="rId2" Type="http://schemas.openxmlformats.org/officeDocument/2006/relationships/hyperlink" Target="https://commission.europa.eu/topics/research-and-innovation/choose-europe_en" TargetMode="External"/><Relationship Id="rId16" Type="http://schemas.openxmlformats.org/officeDocument/2006/relationships/hyperlink" Target="https://www.gsogri.org/" TargetMode="External"/><Relationship Id="rId20" Type="http://schemas.openxmlformats.org/officeDocument/2006/relationships/hyperlink" Target="https://research-and-innovation.ec.europa.eu/document/download/2e5f29fb-cb0c-4d0d-8840-97ce0ee9730c_en?filename=ec_rtd_roadmap-cooperation-un-decade-ocean-science.pdf" TargetMode="External"/><Relationship Id="rId29" Type="http://schemas.openxmlformats.org/officeDocument/2006/relationships/hyperlink" Target="https://ec.europa.eu/commission/presscorner/detail/fr/ip_22_7153" TargetMode="External"/><Relationship Id="rId41" Type="http://schemas.openxmlformats.org/officeDocument/2006/relationships/hyperlink" Target="https://www.sun4ukraine.eu/" TargetMode="External"/><Relationship Id="rId1" Type="http://schemas.openxmlformats.org/officeDocument/2006/relationships/hyperlink" Target="https://commission.europa.eu/document/download/833e082a-0c39-4bc6-a119-e0760ebc7360_en?filename=mission-letter-zaharieva.pdf" TargetMode="External"/><Relationship Id="rId6" Type="http://schemas.openxmlformats.org/officeDocument/2006/relationships/hyperlink" Target="https://eu-science-diplomacy.service-facility.eu/" TargetMode="External"/><Relationship Id="rId11" Type="http://schemas.openxmlformats.org/officeDocument/2006/relationships/hyperlink" Target="https://allea.org/code-of-conduct/" TargetMode="External"/><Relationship Id="rId24" Type="http://schemas.openxmlformats.org/officeDocument/2006/relationships/hyperlink" Target="https://knowledge-management.new-european-bauhaus.europa.eu/" TargetMode="External"/><Relationship Id="rId32" Type="http://schemas.openxmlformats.org/officeDocument/2006/relationships/hyperlink" Target="http://www.gacd.org" TargetMode="External"/><Relationship Id="rId37" Type="http://schemas.openxmlformats.org/officeDocument/2006/relationships/hyperlink" Target="https://westernbalkans-infohub.eu/wp-content/uploads/2024/10/a-western-balkans-agenda-on-innovation-research-education-KI0221615ENN-1.pdf" TargetMode="External"/><Relationship Id="rId40" Type="http://schemas.openxmlformats.org/officeDocument/2006/relationships/hyperlink" Target="https://euraxess.ec.europa.eu/ukraine" TargetMode="External"/><Relationship Id="rId5" Type="http://schemas.openxmlformats.org/officeDocument/2006/relationships/hyperlink" Target="https://research-and-innovation.ec.europa.eu/document/download/0841de12-0dd2-4459-b59c-050943c04acd_en" TargetMode="External"/><Relationship Id="rId15" Type="http://schemas.openxmlformats.org/officeDocument/2006/relationships/hyperlink" Target="https://joint-research-centre.ec.europa.eu/tools-and-laboratories/open-access-jrc-research-infrastructures_en" TargetMode="External"/><Relationship Id="rId23" Type="http://schemas.openxmlformats.org/officeDocument/2006/relationships/hyperlink" Target="https://urbantransitionsmission.org/" TargetMode="External"/><Relationship Id="rId28" Type="http://schemas.openxmlformats.org/officeDocument/2006/relationships/hyperlink" Target="https://network.geant.org/international_connectivity/" TargetMode="External"/><Relationship Id="rId36" Type="http://schemas.openxmlformats.org/officeDocument/2006/relationships/hyperlink" Target="https://research-and-innovation.ec.europa.eu/research-area/industrial-research-and-innovation/eu-valorisation-policy/knowledge-valorisation-platform_en" TargetMode="External"/><Relationship Id="rId10" Type="http://schemas.openxmlformats.org/officeDocument/2006/relationships/hyperlink" Target="https://op.europa.eu/en/publication-detail/-/publication/0ad627da-a7ed-11f0-a7c5-01aa75ed71a1/language-en" TargetMode="External"/><Relationship Id="rId19" Type="http://schemas.openxmlformats.org/officeDocument/2006/relationships/hyperlink" Target="https://data.europa.eu/doi/10.2771/903406" TargetMode="External"/><Relationship Id="rId31" Type="http://schemas.openxmlformats.org/officeDocument/2006/relationships/hyperlink" Target="http://www.glopid-r.org" TargetMode="External"/><Relationship Id="rId44" Type="http://schemas.openxmlformats.org/officeDocument/2006/relationships/hyperlink" Target="https://research-and-innovation.ec.europa.eu/system/files/2023-07/ec_rtd_au-eu-innovation-agenda-final-version.pdf" TargetMode="External"/><Relationship Id="rId4" Type="http://schemas.openxmlformats.org/officeDocument/2006/relationships/hyperlink" Target="https://research-and-innovation.ec.europa.eu/news/all-research-and-innovation-news/launch-eu-science-diplomacy-working-groups-results-call-expressions-interest-published-2023-12-06_en" TargetMode="External"/><Relationship Id="rId9" Type="http://schemas.openxmlformats.org/officeDocument/2006/relationships/hyperlink" Target="https://saferesearchers.eu/" TargetMode="External"/><Relationship Id="rId14" Type="http://schemas.openxmlformats.org/officeDocument/2006/relationships/hyperlink" Target="https://msca-glopol.eu/" TargetMode="External"/><Relationship Id="rId22" Type="http://schemas.openxmlformats.org/officeDocument/2006/relationships/hyperlink" Target="https://h2v.eu/" TargetMode="External"/><Relationship Id="rId27" Type="http://schemas.openxmlformats.org/officeDocument/2006/relationships/hyperlink" Target="https://international-partnerships.ec.europa.eu/policies/programming/programmes/bella-building-europe-link-latin-america_en" TargetMode="External"/><Relationship Id="rId30" Type="http://schemas.openxmlformats.org/officeDocument/2006/relationships/hyperlink" Target="https://www.consilium.europa.eu/fr/press/press-releases/2024/01/29/eu-global-health-strategy-council-approves-conclusions/" TargetMode="External"/><Relationship Id="rId35" Type="http://schemas.openxmlformats.org/officeDocument/2006/relationships/hyperlink" Target="https://commission.europa.eu/topics/research-and-innovation/choose-europe_en" TargetMode="External"/><Relationship Id="rId43" Type="http://schemas.openxmlformats.org/officeDocument/2006/relationships/hyperlink" Target="https://ec.europa.eu/commission/presscorner/detail/fr/IP_23_5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34d651-377a-49c2-a8bf-ddef58e15d6b">
      <Terms xmlns="http://schemas.microsoft.com/office/infopath/2007/PartnerControls"/>
    </lcf76f155ced4ddcb4097134ff3c332f>
    <TaxCatchAll xmlns="22ee0535-c74f-4e20-993e-fbce5d54a3a0" xsi:nil="true"/>
    <Dateandtime xmlns="e634d651-377a-49c2-a8bf-ddef58e15d6b" xsi:nil="true"/>
    <EC_ARES_NUMBER xmlns="22ee0535-c74f-4e20-993e-fbce5d54a3a0">
      <Url xsi:nil="true"/>
      <Description xsi:nil="true"/>
    </EC_ARES_NUMBER>
    <EC_ARES_TRANSFERRED_BY xmlns="22ee0535-c74f-4e20-993e-fbce5d54a3a0" xsi:nil="true"/>
    <EC_ARES_DATE_TRANSFERRED xmlns="22ee0535-c74f-4e20-993e-fbce5d54a3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0A7A6FB1E0DF41AA6701CFCA612273" ma:contentTypeVersion="20" ma:contentTypeDescription="Create a new document." ma:contentTypeScope="" ma:versionID="d579d6120fce9042b0888b41edd40548">
  <xsd:schema xmlns:xsd="http://www.w3.org/2001/XMLSchema" xmlns:xs="http://www.w3.org/2001/XMLSchema" xmlns:p="http://schemas.microsoft.com/office/2006/metadata/properties" xmlns:ns2="e634d651-377a-49c2-a8bf-ddef58e15d6b" xmlns:ns3="22ee0535-c74f-4e20-993e-fbce5d54a3a0" targetNamespace="http://schemas.microsoft.com/office/2006/metadata/properties" ma:root="true" ma:fieldsID="901d61928229a82dd1a66b874b128c78" ns2:_="" ns3:_="">
    <xsd:import namespace="e634d651-377a-49c2-a8bf-ddef58e15d6b"/>
    <xsd:import namespace="22ee0535-c74f-4e20-993e-fbce5d54a3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Dateandtime" minOccurs="0"/>
                <xsd:element ref="ns3:EC_ARES_NUMBER" minOccurs="0"/>
                <xsd:element ref="ns3:EC_ARES_DATE_TRANSFERRED" minOccurs="0"/>
                <xsd:element ref="ns3:EC_ARES_TRANSFERRED_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34d651-377a-49c2-a8bf-ddef58e15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ateandtime" ma:index="23" nillable="true" ma:displayName="Date and time"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ee0535-c74f-4e20-993e-fbce5d54a3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a20556-0f19-4f7d-a3fd-948689251a5b}" ma:internalName="TaxCatchAll" ma:showField="CatchAllData" ma:web="22ee0535-c74f-4e20-993e-fbce5d54a3a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EC_ARES_NUMBER" ma:index="2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5" nillable="true" ma:displayName="Transferred to Ares" ma:format="DateTime" ma:hidden="true" ma:internalName="EC_ARES_DATE_TRANSFERRED">
      <xsd:simpleType>
        <xsd:restriction base="dms:DateTime"/>
      </xsd:simpleType>
    </xsd:element>
    <xsd:element name="EC_ARES_TRANSFERRED_BY" ma:index="26"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8EA05-D359-4E4E-8028-D5AC776EEA51}">
  <ds:schemaRefs>
    <ds:schemaRef ds:uri="http://schemas.microsoft.com/sharepoint/v3/contenttype/forms"/>
  </ds:schemaRefs>
</ds:datastoreItem>
</file>

<file path=customXml/itemProps2.xml><?xml version="1.0" encoding="utf-8"?>
<ds:datastoreItem xmlns:ds="http://schemas.openxmlformats.org/officeDocument/2006/customXml" ds:itemID="{DE2DA96C-AF95-4C4C-80F4-EC7F09BC79EA}">
  <ds:schemaRefs>
    <ds:schemaRef ds:uri="http://schemas.microsoft.com/office/2006/metadata/properties"/>
    <ds:schemaRef ds:uri="http://schemas.microsoft.com/office/infopath/2007/PartnerControls"/>
    <ds:schemaRef ds:uri="e634d651-377a-49c2-a8bf-ddef58e15d6b"/>
    <ds:schemaRef ds:uri="22ee0535-c74f-4e20-993e-fbce5d54a3a0"/>
  </ds:schemaRefs>
</ds:datastoreItem>
</file>

<file path=customXml/itemProps3.xml><?xml version="1.0" encoding="utf-8"?>
<ds:datastoreItem xmlns:ds="http://schemas.openxmlformats.org/officeDocument/2006/customXml" ds:itemID="{18730FB7-E61E-4C6A-BD64-BD23630BA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34d651-377a-49c2-a8bf-ddef58e15d6b"/>
    <ds:schemaRef ds:uri="22ee0535-c74f-4e20-993e-fbce5d54a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051472-6294-4ABA-AC35-B0075BA6B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8297</Words>
  <Characters>47295</Characters>
  <Application>Microsoft Office Word</Application>
  <DocSecurity>0</DocSecurity>
  <Lines>394</Lines>
  <Paragraphs>110</Paragraphs>
  <ScaleCrop>false</ScaleCrop>
  <Manager/>
  <Company/>
  <LinksUpToDate>false</LinksUpToDate>
  <CharactersWithSpaces>55482</CharactersWithSpaces>
  <SharedDoc>false</SharedDoc>
  <HLinks>
    <vt:vector size="258" baseType="variant">
      <vt:variant>
        <vt:i4>4587601</vt:i4>
      </vt:variant>
      <vt:variant>
        <vt:i4>126</vt:i4>
      </vt:variant>
      <vt:variant>
        <vt:i4>0</vt:i4>
      </vt:variant>
      <vt:variant>
        <vt:i4>5</vt:i4>
      </vt:variant>
      <vt:variant>
        <vt:lpwstr>https://ec.europa.eu/commission/presscorner/detail/en/IP_23_596</vt:lpwstr>
      </vt:variant>
      <vt:variant>
        <vt:lpwstr/>
      </vt:variant>
      <vt:variant>
        <vt:i4>3473465</vt:i4>
      </vt:variant>
      <vt:variant>
        <vt:i4>123</vt:i4>
      </vt:variant>
      <vt:variant>
        <vt:i4>0</vt:i4>
      </vt:variant>
      <vt:variant>
        <vt:i4>5</vt:i4>
      </vt:variant>
      <vt:variant>
        <vt:lpwstr>https://prima-med.org/</vt:lpwstr>
      </vt:variant>
      <vt:variant>
        <vt:lpwstr/>
      </vt:variant>
      <vt:variant>
        <vt:i4>3538995</vt:i4>
      </vt:variant>
      <vt:variant>
        <vt:i4>120</vt:i4>
      </vt:variant>
      <vt:variant>
        <vt:i4>0</vt:i4>
      </vt:variant>
      <vt:variant>
        <vt:i4>5</vt:i4>
      </vt:variant>
      <vt:variant>
        <vt:lpwstr>https://www.sun4ukraine.eu/</vt:lpwstr>
      </vt:variant>
      <vt:variant>
        <vt:lpwstr/>
      </vt:variant>
      <vt:variant>
        <vt:i4>852035</vt:i4>
      </vt:variant>
      <vt:variant>
        <vt:i4>117</vt:i4>
      </vt:variant>
      <vt:variant>
        <vt:i4>0</vt:i4>
      </vt:variant>
      <vt:variant>
        <vt:i4>5</vt:i4>
      </vt:variant>
      <vt:variant>
        <vt:lpwstr>https://euraxess.ec.europa.eu/ukraine</vt:lpwstr>
      </vt:variant>
      <vt:variant>
        <vt:lpwstr/>
      </vt:variant>
      <vt:variant>
        <vt:i4>1704011</vt:i4>
      </vt:variant>
      <vt:variant>
        <vt:i4>114</vt:i4>
      </vt:variant>
      <vt:variant>
        <vt:i4>0</vt:i4>
      </vt:variant>
      <vt:variant>
        <vt:i4>5</vt:i4>
      </vt:variant>
      <vt:variant>
        <vt:lpwstr>https://projects.research-and-innovation.ec.europa.eu/en/statistics/policy-support-facility/psf-country/support-ukraine-research-infrastructures-policies</vt:lpwstr>
      </vt:variant>
      <vt:variant>
        <vt:lpwstr/>
      </vt:variant>
      <vt:variant>
        <vt:i4>1376277</vt:i4>
      </vt:variant>
      <vt:variant>
        <vt:i4>111</vt:i4>
      </vt:variant>
      <vt:variant>
        <vt:i4>0</vt:i4>
      </vt:variant>
      <vt:variant>
        <vt:i4>5</vt:i4>
      </vt:variant>
      <vt:variant>
        <vt:lpwstr>https://projects.research-and-innovation.ec.europa.eu/en/statistics/policy-support-facility/psf-country/support-moldova-reforms-public-rd-sector</vt:lpwstr>
      </vt:variant>
      <vt:variant>
        <vt:lpwstr/>
      </vt:variant>
      <vt:variant>
        <vt:i4>3014677</vt:i4>
      </vt:variant>
      <vt:variant>
        <vt:i4>108</vt:i4>
      </vt:variant>
      <vt:variant>
        <vt:i4>0</vt:i4>
      </vt:variant>
      <vt:variant>
        <vt:i4>5</vt:i4>
      </vt:variant>
      <vt:variant>
        <vt:lpwstr>https://research-and-innovation.ec.europa.eu/research-area/industrial-research-and-innovation/eu-valorisation-policy/knowledge-valorisation-platform_en</vt:lpwstr>
      </vt:variant>
      <vt:variant>
        <vt:lpwstr/>
      </vt:variant>
      <vt:variant>
        <vt:i4>8192019</vt:i4>
      </vt:variant>
      <vt:variant>
        <vt:i4>105</vt:i4>
      </vt:variant>
      <vt:variant>
        <vt:i4>0</vt:i4>
      </vt:variant>
      <vt:variant>
        <vt:i4>5</vt:i4>
      </vt:variant>
      <vt:variant>
        <vt:lpwstr>https://commission.europa.eu/topics/research-and-innovation/choose-europe_en</vt:lpwstr>
      </vt:variant>
      <vt:variant>
        <vt:lpwstr/>
      </vt:variant>
      <vt:variant>
        <vt:i4>7471139</vt:i4>
      </vt:variant>
      <vt:variant>
        <vt:i4>102</vt:i4>
      </vt:variant>
      <vt:variant>
        <vt:i4>0</vt:i4>
      </vt:variant>
      <vt:variant>
        <vt:i4>5</vt:i4>
      </vt:variant>
      <vt:variant>
        <vt:lpwstr>https://research-and-innovation.ec.europa.eu/system/files/2023-07/ec_rtd_au-eu-innovation-agenda-final-version.pdf</vt:lpwstr>
      </vt:variant>
      <vt:variant>
        <vt:lpwstr/>
      </vt:variant>
      <vt:variant>
        <vt:i4>4194318</vt:i4>
      </vt:variant>
      <vt:variant>
        <vt:i4>99</vt:i4>
      </vt:variant>
      <vt:variant>
        <vt:i4>0</vt:i4>
      </vt:variant>
      <vt:variant>
        <vt:i4>5</vt:i4>
      </vt:variant>
      <vt:variant>
        <vt:lpwstr>https://westernbalkans-infohub.eu/wp-content/uploads/2024/10/a-western-balkans-agenda-on-innovation-research-education-KI0221615ENN-1.pdf</vt:lpwstr>
      </vt:variant>
      <vt:variant>
        <vt:lpwstr/>
      </vt:variant>
      <vt:variant>
        <vt:i4>1179727</vt:i4>
      </vt:variant>
      <vt:variant>
        <vt:i4>96</vt:i4>
      </vt:variant>
      <vt:variant>
        <vt:i4>0</vt:i4>
      </vt:variant>
      <vt:variant>
        <vt:i4>5</vt:i4>
      </vt:variant>
      <vt:variant>
        <vt:lpwstr>https://gardp.org/secure/</vt:lpwstr>
      </vt:variant>
      <vt:variant>
        <vt:lpwstr/>
      </vt:variant>
      <vt:variant>
        <vt:i4>4718688</vt:i4>
      </vt:variant>
      <vt:variant>
        <vt:i4>93</vt:i4>
      </vt:variant>
      <vt:variant>
        <vt:i4>0</vt:i4>
      </vt:variant>
      <vt:variant>
        <vt:i4>5</vt:i4>
      </vt:variant>
      <vt:variant>
        <vt:lpwstr>https://www.global-health-edctp3.europa.eu/edctp-forum-kigali-madrid-2025-06-27_en</vt:lpwstr>
      </vt:variant>
      <vt:variant>
        <vt:lpwstr/>
      </vt:variant>
      <vt:variant>
        <vt:i4>7274607</vt:i4>
      </vt:variant>
      <vt:variant>
        <vt:i4>90</vt:i4>
      </vt:variant>
      <vt:variant>
        <vt:i4>0</vt:i4>
      </vt:variant>
      <vt:variant>
        <vt:i4>5</vt:i4>
      </vt:variant>
      <vt:variant>
        <vt:lpwstr>https://erdera.org/</vt:lpwstr>
      </vt:variant>
      <vt:variant>
        <vt:lpwstr/>
      </vt:variant>
      <vt:variant>
        <vt:i4>6029405</vt:i4>
      </vt:variant>
      <vt:variant>
        <vt:i4>87</vt:i4>
      </vt:variant>
      <vt:variant>
        <vt:i4>0</vt:i4>
      </vt:variant>
      <vt:variant>
        <vt:i4>5</vt:i4>
      </vt:variant>
      <vt:variant>
        <vt:lpwstr>http://www.gacd.org/</vt:lpwstr>
      </vt:variant>
      <vt:variant>
        <vt:lpwstr/>
      </vt:variant>
      <vt:variant>
        <vt:i4>1310802</vt:i4>
      </vt:variant>
      <vt:variant>
        <vt:i4>84</vt:i4>
      </vt:variant>
      <vt:variant>
        <vt:i4>0</vt:i4>
      </vt:variant>
      <vt:variant>
        <vt:i4>5</vt:i4>
      </vt:variant>
      <vt:variant>
        <vt:lpwstr>http://www.glopid-r.org/</vt:lpwstr>
      </vt:variant>
      <vt:variant>
        <vt:lpwstr/>
      </vt:variant>
      <vt:variant>
        <vt:i4>2490484</vt:i4>
      </vt:variant>
      <vt:variant>
        <vt:i4>81</vt:i4>
      </vt:variant>
      <vt:variant>
        <vt:i4>0</vt:i4>
      </vt:variant>
      <vt:variant>
        <vt:i4>5</vt:i4>
      </vt:variant>
      <vt:variant>
        <vt:lpwstr>https://www.consilium.europa.eu/en/press/press-releases/2024/01/29/eu-global-health-strategy-council-approves-conclusions/</vt:lpwstr>
      </vt:variant>
      <vt:variant>
        <vt:lpwstr/>
      </vt:variant>
      <vt:variant>
        <vt:i4>8192103</vt:i4>
      </vt:variant>
      <vt:variant>
        <vt:i4>78</vt:i4>
      </vt:variant>
      <vt:variant>
        <vt:i4>0</vt:i4>
      </vt:variant>
      <vt:variant>
        <vt:i4>5</vt:i4>
      </vt:variant>
      <vt:variant>
        <vt:lpwstr>https://ec.europa.eu/commission/presscorner/detail/en/ip_22_7153</vt:lpwstr>
      </vt:variant>
      <vt:variant>
        <vt:lpwstr/>
      </vt:variant>
      <vt:variant>
        <vt:i4>8126559</vt:i4>
      </vt:variant>
      <vt:variant>
        <vt:i4>75</vt:i4>
      </vt:variant>
      <vt:variant>
        <vt:i4>0</vt:i4>
      </vt:variant>
      <vt:variant>
        <vt:i4>5</vt:i4>
      </vt:variant>
      <vt:variant>
        <vt:lpwstr>https://network.geant.org/international_connectivity/</vt:lpwstr>
      </vt:variant>
      <vt:variant>
        <vt:lpwstr/>
      </vt:variant>
      <vt:variant>
        <vt:i4>8126528</vt:i4>
      </vt:variant>
      <vt:variant>
        <vt:i4>72</vt:i4>
      </vt:variant>
      <vt:variant>
        <vt:i4>0</vt:i4>
      </vt:variant>
      <vt:variant>
        <vt:i4>5</vt:i4>
      </vt:variant>
      <vt:variant>
        <vt:lpwstr>https://international-partnerships.ec.europa.eu/policies/programming/programmes/bella-building-europe-link-latin-america_en</vt:lpwstr>
      </vt:variant>
      <vt:variant>
        <vt:lpwstr/>
      </vt:variant>
      <vt:variant>
        <vt:i4>7471212</vt:i4>
      </vt:variant>
      <vt:variant>
        <vt:i4>69</vt:i4>
      </vt:variant>
      <vt:variant>
        <vt:i4>0</vt:i4>
      </vt:variant>
      <vt:variant>
        <vt:i4>5</vt:i4>
      </vt:variant>
      <vt:variant>
        <vt:lpwstr>https://ec.europa.eu/commission/presscorner/detail/en/ip_23_1598</vt:lpwstr>
      </vt:variant>
      <vt:variant>
        <vt:lpwstr/>
      </vt:variant>
      <vt:variant>
        <vt:i4>7077992</vt:i4>
      </vt:variant>
      <vt:variant>
        <vt:i4>66</vt:i4>
      </vt:variant>
      <vt:variant>
        <vt:i4>0</vt:i4>
      </vt:variant>
      <vt:variant>
        <vt:i4>5</vt:i4>
      </vt:variant>
      <vt:variant>
        <vt:lpwstr>https://digital-strategy.ec.europa.eu/en/policies/partnerships</vt:lpwstr>
      </vt:variant>
      <vt:variant>
        <vt:lpwstr/>
      </vt:variant>
      <vt:variant>
        <vt:i4>131072</vt:i4>
      </vt:variant>
      <vt:variant>
        <vt:i4>63</vt:i4>
      </vt:variant>
      <vt:variant>
        <vt:i4>0</vt:i4>
      </vt:variant>
      <vt:variant>
        <vt:i4>5</vt:i4>
      </vt:variant>
      <vt:variant>
        <vt:lpwstr>https://knowledge-management.new-european-bauhaus.europa.eu/</vt:lpwstr>
      </vt:variant>
      <vt:variant>
        <vt:lpwstr/>
      </vt:variant>
      <vt:variant>
        <vt:i4>655450</vt:i4>
      </vt:variant>
      <vt:variant>
        <vt:i4>60</vt:i4>
      </vt:variant>
      <vt:variant>
        <vt:i4>0</vt:i4>
      </vt:variant>
      <vt:variant>
        <vt:i4>5</vt:i4>
      </vt:variant>
      <vt:variant>
        <vt:lpwstr>https://urbantransitionsmission.org/</vt:lpwstr>
      </vt:variant>
      <vt:variant>
        <vt:lpwstr/>
      </vt:variant>
      <vt:variant>
        <vt:i4>7864379</vt:i4>
      </vt:variant>
      <vt:variant>
        <vt:i4>57</vt:i4>
      </vt:variant>
      <vt:variant>
        <vt:i4>0</vt:i4>
      </vt:variant>
      <vt:variant>
        <vt:i4>5</vt:i4>
      </vt:variant>
      <vt:variant>
        <vt:lpwstr>https://h2v.eu/</vt:lpwstr>
      </vt:variant>
      <vt:variant>
        <vt:lpwstr/>
      </vt:variant>
      <vt:variant>
        <vt:i4>87</vt:i4>
      </vt:variant>
      <vt:variant>
        <vt:i4>54</vt:i4>
      </vt:variant>
      <vt:variant>
        <vt:i4>0</vt:i4>
      </vt:variant>
      <vt:variant>
        <vt:i4>5</vt:i4>
      </vt:variant>
      <vt:variant>
        <vt:lpwstr>https://mission-innovation.net/missions/hydrogen/</vt:lpwstr>
      </vt:variant>
      <vt:variant>
        <vt:lpwstr/>
      </vt:variant>
      <vt:variant>
        <vt:i4>4784172</vt:i4>
      </vt:variant>
      <vt:variant>
        <vt:i4>51</vt:i4>
      </vt:variant>
      <vt:variant>
        <vt:i4>0</vt:i4>
      </vt:variant>
      <vt:variant>
        <vt:i4>5</vt:i4>
      </vt:variant>
      <vt:variant>
        <vt:lpwstr>https://research-and-innovation.ec.europa.eu/document/download/2e5f29fb-cb0c-4d0d-8840-97ce0ee9730c_en?filename=ec_rtd_roadmap-cooperation-un-decade-ocean-science.pdf</vt:lpwstr>
      </vt:variant>
      <vt:variant>
        <vt:lpwstr/>
      </vt:variant>
      <vt:variant>
        <vt:i4>6291535</vt:i4>
      </vt:variant>
      <vt:variant>
        <vt:i4>48</vt:i4>
      </vt:variant>
      <vt:variant>
        <vt:i4>0</vt:i4>
      </vt:variant>
      <vt:variant>
        <vt:i4>5</vt:i4>
      </vt:variant>
      <vt:variant>
        <vt:lpwstr>https://research-and-innovation.ec.europa.eu/news/all-research-and-innovation-news/new-publications-dual-use-provide-strategic-input-future-eu-ri-policies-2025-06-25_en</vt:lpwstr>
      </vt:variant>
      <vt:variant>
        <vt:lpwstr/>
      </vt:variant>
      <vt:variant>
        <vt:i4>6750253</vt:i4>
      </vt:variant>
      <vt:variant>
        <vt:i4>45</vt:i4>
      </vt:variant>
      <vt:variant>
        <vt:i4>0</vt:i4>
      </vt:variant>
      <vt:variant>
        <vt:i4>5</vt:i4>
      </vt:variant>
      <vt:variant>
        <vt:lpwstr>https://icri2024.au/about-icri/brisbane-statement/</vt:lpwstr>
      </vt:variant>
      <vt:variant>
        <vt:lpwstr/>
      </vt:variant>
      <vt:variant>
        <vt:i4>3997798</vt:i4>
      </vt:variant>
      <vt:variant>
        <vt:i4>42</vt:i4>
      </vt:variant>
      <vt:variant>
        <vt:i4>0</vt:i4>
      </vt:variant>
      <vt:variant>
        <vt:i4>5</vt:i4>
      </vt:variant>
      <vt:variant>
        <vt:lpwstr>https://www.gsogri.org/</vt:lpwstr>
      </vt:variant>
      <vt:variant>
        <vt:lpwstr/>
      </vt:variant>
      <vt:variant>
        <vt:i4>786468</vt:i4>
      </vt:variant>
      <vt:variant>
        <vt:i4>39</vt:i4>
      </vt:variant>
      <vt:variant>
        <vt:i4>0</vt:i4>
      </vt:variant>
      <vt:variant>
        <vt:i4>5</vt:i4>
      </vt:variant>
      <vt:variant>
        <vt:lpwstr>https://joint-research-centre.ec.europa.eu/tools-and-laboratories/open-access-jrc-research-infrastructures_en</vt:lpwstr>
      </vt:variant>
      <vt:variant>
        <vt:lpwstr/>
      </vt:variant>
      <vt:variant>
        <vt:i4>4128886</vt:i4>
      </vt:variant>
      <vt:variant>
        <vt:i4>36</vt:i4>
      </vt:variant>
      <vt:variant>
        <vt:i4>0</vt:i4>
      </vt:variant>
      <vt:variant>
        <vt:i4>5</vt:i4>
      </vt:variant>
      <vt:variant>
        <vt:lpwstr>https://msca-glopol.eu/</vt:lpwstr>
      </vt:variant>
      <vt:variant>
        <vt:lpwstr/>
      </vt:variant>
      <vt:variant>
        <vt:i4>3866660</vt:i4>
      </vt:variant>
      <vt:variant>
        <vt:i4>33</vt:i4>
      </vt:variant>
      <vt:variant>
        <vt:i4>0</vt:i4>
      </vt:variant>
      <vt:variant>
        <vt:i4>5</vt:i4>
      </vt:variant>
      <vt:variant>
        <vt:lpwstr>https://www.inserm.fr/en/ethics/volrethics/</vt:lpwstr>
      </vt:variant>
      <vt:variant>
        <vt:lpwstr/>
      </vt:variant>
      <vt:variant>
        <vt:i4>6094917</vt:i4>
      </vt:variant>
      <vt:variant>
        <vt:i4>30</vt:i4>
      </vt:variant>
      <vt:variant>
        <vt:i4>0</vt:i4>
      </vt:variant>
      <vt:variant>
        <vt:i4>5</vt:i4>
      </vt:variant>
      <vt:variant>
        <vt:lpwstr>https://www.globalcodeofconduct.org/</vt:lpwstr>
      </vt:variant>
      <vt:variant>
        <vt:lpwstr/>
      </vt:variant>
      <vt:variant>
        <vt:i4>6553700</vt:i4>
      </vt:variant>
      <vt:variant>
        <vt:i4>27</vt:i4>
      </vt:variant>
      <vt:variant>
        <vt:i4>0</vt:i4>
      </vt:variant>
      <vt:variant>
        <vt:i4>5</vt:i4>
      </vt:variant>
      <vt:variant>
        <vt:lpwstr>https://allea.org/code-of-conduct/</vt:lpwstr>
      </vt:variant>
      <vt:variant>
        <vt:lpwstr/>
      </vt:variant>
      <vt:variant>
        <vt:i4>1704014</vt:i4>
      </vt:variant>
      <vt:variant>
        <vt:i4>24</vt:i4>
      </vt:variant>
      <vt:variant>
        <vt:i4>0</vt:i4>
      </vt:variant>
      <vt:variant>
        <vt:i4>5</vt:i4>
      </vt:variant>
      <vt:variant>
        <vt:lpwstr>https://op.europa.eu/en/publication-detail/-/publication/0ad627da-a7ed-11f0-a7c5-01aa75ed71a1/language-en</vt:lpwstr>
      </vt:variant>
      <vt:variant>
        <vt:lpwstr/>
      </vt:variant>
      <vt:variant>
        <vt:i4>2490405</vt:i4>
      </vt:variant>
      <vt:variant>
        <vt:i4>21</vt:i4>
      </vt:variant>
      <vt:variant>
        <vt:i4>0</vt:i4>
      </vt:variant>
      <vt:variant>
        <vt:i4>5</vt:i4>
      </vt:variant>
      <vt:variant>
        <vt:lpwstr>https://saferesearchers.eu/</vt:lpwstr>
      </vt:variant>
      <vt:variant>
        <vt:lpwstr/>
      </vt:variant>
      <vt:variant>
        <vt:i4>524291</vt:i4>
      </vt:variant>
      <vt:variant>
        <vt:i4>18</vt:i4>
      </vt:variant>
      <vt:variant>
        <vt:i4>0</vt:i4>
      </vt:variant>
      <vt:variant>
        <vt:i4>5</vt:i4>
      </vt:variant>
      <vt:variant>
        <vt:lpwstr>https://legalinstruments.oecd.org/en/instruments/OECD-LEGAL-0501</vt:lpwstr>
      </vt:variant>
      <vt:variant>
        <vt:lpwstr/>
      </vt:variant>
      <vt:variant>
        <vt:i4>6094917</vt:i4>
      </vt:variant>
      <vt:variant>
        <vt:i4>15</vt:i4>
      </vt:variant>
      <vt:variant>
        <vt:i4>0</vt:i4>
      </vt:variant>
      <vt:variant>
        <vt:i4>5</vt:i4>
      </vt:variant>
      <vt:variant>
        <vt:lpwstr>https://eu-science-diplomacy.service-facility.eu/</vt:lpwstr>
      </vt:variant>
      <vt:variant>
        <vt:lpwstr/>
      </vt:variant>
      <vt:variant>
        <vt:i4>5570617</vt:i4>
      </vt:variant>
      <vt:variant>
        <vt:i4>12</vt:i4>
      </vt:variant>
      <vt:variant>
        <vt:i4>0</vt:i4>
      </vt:variant>
      <vt:variant>
        <vt:i4>5</vt:i4>
      </vt:variant>
      <vt:variant>
        <vt:lpwstr>https://research-and-innovation.ec.europa.eu/document/download/0841de12-0dd2-4459-b59c-050943c04acd_en</vt:lpwstr>
      </vt:variant>
      <vt:variant>
        <vt:lpwstr/>
      </vt:variant>
      <vt:variant>
        <vt:i4>2490391</vt:i4>
      </vt:variant>
      <vt:variant>
        <vt:i4>9</vt:i4>
      </vt:variant>
      <vt:variant>
        <vt:i4>0</vt:i4>
      </vt:variant>
      <vt:variant>
        <vt:i4>5</vt:i4>
      </vt:variant>
      <vt:variant>
        <vt:lpwstr>https://research-and-innovation.ec.europa.eu/news/all-research-and-innovation-news/launch-eu-science-diplomacy-working-groups-results-call-expressions-interest-published-2023-12-06_en</vt:lpwstr>
      </vt:variant>
      <vt:variant>
        <vt:lpwstr/>
      </vt:variant>
      <vt:variant>
        <vt:i4>5832800</vt:i4>
      </vt:variant>
      <vt:variant>
        <vt:i4>6</vt:i4>
      </vt:variant>
      <vt:variant>
        <vt:i4>0</vt:i4>
      </vt:variant>
      <vt:variant>
        <vt:i4>5</vt:i4>
      </vt:variant>
      <vt:variant>
        <vt:lpwstr>https://research-and-innovation.ec.europa.eu/document/download/94d6bb42-1fe7-478c-b6b4-d0be4dfb0204_en?filename=brussels-ministerial-statement-2024-02.pdf</vt:lpwstr>
      </vt:variant>
      <vt:variant>
        <vt:lpwstr/>
      </vt:variant>
      <vt:variant>
        <vt:i4>8192019</vt:i4>
      </vt:variant>
      <vt:variant>
        <vt:i4>3</vt:i4>
      </vt:variant>
      <vt:variant>
        <vt:i4>0</vt:i4>
      </vt:variant>
      <vt:variant>
        <vt:i4>5</vt:i4>
      </vt:variant>
      <vt:variant>
        <vt:lpwstr>https://commission.europa.eu/topics/research-and-innovation/choose-europe_en</vt:lpwstr>
      </vt:variant>
      <vt:variant>
        <vt:lpwstr/>
      </vt:variant>
      <vt:variant>
        <vt:i4>3866715</vt:i4>
      </vt:variant>
      <vt:variant>
        <vt:i4>0</vt:i4>
      </vt:variant>
      <vt:variant>
        <vt:i4>0</vt:i4>
      </vt:variant>
      <vt:variant>
        <vt:i4>5</vt:i4>
      </vt:variant>
      <vt:variant>
        <vt:lpwstr>https://commission.europa.eu/document/download/833e082a-0c39-4bc6-a119-e0760ebc7360_en?filename=mission-letter-zaharieva.pdf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2025-11-06T06:27:00Z</cp:lastPrinted>
  <dcterms:created xsi:type="dcterms:W3CDTF">2026-01-23T11:28:00Z</dcterms:created>
  <dcterms:modified xsi:type="dcterms:W3CDTF">2026-02-27T07:29:00Z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CP-005</vt:lpwstr>
  </property>
  <property fmtid="{D5CDD505-2E9C-101B-9397-08002B2CF9AE}" pid="6" name="Created using">
    <vt:lpwstr>LW 8.1, Build 20220902</vt:lpwstr>
  </property>
  <property fmtid="{D5CDD505-2E9C-101B-9397-08002B2CF9AE}" pid="7" name="MSIP_Label_6bd9ddd1-4d20-43f6-abfa-fc3c07406f94_Enabled">
    <vt:lpwstr>true</vt:lpwstr>
  </property>
  <property fmtid="{D5CDD505-2E9C-101B-9397-08002B2CF9AE}" pid="8" name="MSIP_Label_6bd9ddd1-4d20-43f6-abfa-fc3c07406f94_SetDate">
    <vt:lpwstr>2023-06-06T09:31:12Z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0a45b529-0933-4b8f-9cae-410b7d9413fe</vt:lpwstr>
  </property>
  <property fmtid="{D5CDD505-2E9C-101B-9397-08002B2CF9AE}" pid="13" name="MSIP_Label_6bd9ddd1-4d20-43f6-abfa-fc3c07406f94_ContentBits">
    <vt:lpwstr>0</vt:lpwstr>
  </property>
  <property fmtid="{D5CDD505-2E9C-101B-9397-08002B2CF9AE}" pid="14" name="ContentTypeId">
    <vt:lpwstr>0x010100570A7A6FB1E0DF41AA6701CFCA612273</vt:lpwstr>
  </property>
  <property fmtid="{D5CDD505-2E9C-101B-9397-08002B2CF9AE}" pid="15" name="MediaServiceImageTags">
    <vt:lpwstr/>
  </property>
  <property fmtid="{D5CDD505-2E9C-101B-9397-08002B2CF9AE}" pid="16" name="DocStatus">
    <vt:lpwstr>Green</vt:lpwstr>
  </property>
  <property fmtid="{D5CDD505-2E9C-101B-9397-08002B2CF9AE}" pid="17" name="Last edited using">
    <vt:lpwstr>LW 9.2, Build 20250828</vt:lpwstr>
  </property>
</Properties>
</file>