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F484C" w14:textId="14FEDB99" w:rsidR="00145727" w:rsidRPr="00D05EA1" w:rsidRDefault="00B8563E" w:rsidP="00B8563E">
      <w:pPr>
        <w:pStyle w:val="Pagedecouverture"/>
        <w:rPr>
          <w:noProof/>
        </w:rPr>
      </w:pPr>
      <w:bookmarkStart w:id="0" w:name="LW_BM_COVERPAGE"/>
      <w:r>
        <w:rPr>
          <w:noProof/>
        </w:rPr>
        <w:pict w14:anchorId="249675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00F637-FB93-4A04-BB69-7563D3C293E6" style="width:455.25pt;height:286.5pt">
            <v:imagedata r:id="rId11" o:title=""/>
          </v:shape>
        </w:pict>
      </w:r>
    </w:p>
    <w:bookmarkEnd w:id="0"/>
    <w:p w14:paraId="43203B7C" w14:textId="77777777" w:rsidR="00CA1C29" w:rsidRDefault="00CA1C29" w:rsidP="00CA1C29">
      <w:pPr>
        <w:rPr>
          <w:noProof/>
        </w:rPr>
        <w:sectPr w:rsidR="00CA1C29" w:rsidSect="00B8563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5B8980F" w14:textId="2EC5D1A1" w:rsidR="00912308" w:rsidRPr="00D05EA1" w:rsidRDefault="3BE4434B" w:rsidP="0047717E">
      <w:pPr>
        <w:pStyle w:val="ListParagraph"/>
        <w:numPr>
          <w:ilvl w:val="0"/>
          <w:numId w:val="11"/>
        </w:numPr>
        <w:spacing w:after="120" w:line="276" w:lineRule="auto"/>
        <w:ind w:left="357" w:hanging="357"/>
        <w:jc w:val="both"/>
        <w:rPr>
          <w:b/>
          <w:noProof/>
          <w:szCs w:val="20"/>
        </w:rPr>
      </w:pPr>
      <w:bookmarkStart w:id="1" w:name="_GoBack"/>
      <w:bookmarkEnd w:id="1"/>
      <w:r>
        <w:rPr>
          <w:b/>
          <w:smallCaps/>
          <w:noProof/>
        </w:rPr>
        <w:lastRenderedPageBreak/>
        <w:t>Introducere</w:t>
      </w:r>
    </w:p>
    <w:p w14:paraId="0A73B7DF" w14:textId="747F1712" w:rsidR="00EF58D0" w:rsidRPr="00111FB3" w:rsidRDefault="00EF58D0"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Comunicarea „Abordarea globală a cercetării și a inovării (C&amp;I)”</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a fost adoptată în mai 2021, într-un moment în care lumea era considerabil diferită de cea de astăzi. Cu toate acestea, obiectivele și principiile sale generale rămân valabile, cum ar fi apărarea și promovarea valorilor fundamentale ale C&amp;I, acționarea în vederea asigurării unor condiții de concurență echitabile și a reciprocității în cooperarea internațională în domeniul C&amp;I, abordarea în comun a provocărilor globale, cum ar fi schimbările climatice, pierderea biodiversității și crizele sanitare mondiale, precum și adoptarea unei abordări nuanțate și modulate în ceea ce privește cooperarea cu țările și regiunile din afara UE.</w:t>
      </w:r>
    </w:p>
    <w:p w14:paraId="6691B078" w14:textId="6D6F99F2" w:rsidR="00126C71" w:rsidRDefault="00C570E8" w:rsidP="00126C71">
      <w:pPr>
        <w:jc w:val="both"/>
        <w:rPr>
          <w:rFonts w:ascii="Times New Roman" w:hAnsi="Times New Roman" w:cs="Times New Roman"/>
          <w:noProof/>
          <w:sz w:val="24"/>
          <w:szCs w:val="24"/>
        </w:rPr>
      </w:pPr>
      <w:r>
        <w:rPr>
          <w:rFonts w:ascii="Times New Roman" w:hAnsi="Times New Roman"/>
          <w:noProof/>
          <w:sz w:val="24"/>
        </w:rPr>
        <w:t xml:space="preserve">Cooperarea internațională în domeniul C&amp;I sporește excelența și competitivitatea, oferă acces la expertiză internațională prin mobilitate și cooperare, dezvoltă soluții la provocările globale și promovează standarde științifice și tehnice comune, reducând astfel barierele comerciale și sporind accesul la piețele potențiale. De asemenea, consolidează capitalul politic și diplomatic și contribuie la obiectivele geopolitice ale UE. Promovarea sa este consacrată la articolul 180 litera (b) din Tratatul privind funcționarea Uniunii Europene. </w:t>
      </w:r>
    </w:p>
    <w:p w14:paraId="146193F2" w14:textId="0DE808AE" w:rsidR="00EF58D0" w:rsidRDefault="009F4A63"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UE trebuie să fie mai fermă în urmărirea intereselor sale strategice într-o epocă a rivalităților geostrategice, consolidându-și în același timp cooperarea cu partenerii care împărtășesc aceeași viziune</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Prin urmare, punerea în aplicare a abordării globale trebuie să țină seama atât de noile realități geopolitice, cât și de evoluțiile revoluționare din domeniul științei și tehnologiei. Primul raport bienal de punere în aplicare, adoptat în 2023, a răspuns acestor realități, de exemplu prin evidențierea sprijinului acordat de UE Ucrainei ca urmare a invaziei ilegale pe scară largă de către Rusia. </w:t>
      </w:r>
    </w:p>
    <w:p w14:paraId="165837E4" w14:textId="20CB7263" w:rsidR="00565D84" w:rsidRPr="006A4D52" w:rsidRDefault="001A2E27" w:rsidP="0047717E">
      <w:pPr>
        <w:spacing w:after="120" w:line="276" w:lineRule="auto"/>
        <w:jc w:val="both"/>
        <w:rPr>
          <w:noProof/>
        </w:rPr>
      </w:pPr>
      <w:r>
        <w:rPr>
          <w:rFonts w:ascii="Times New Roman" w:hAnsi="Times New Roman"/>
          <w:noProof/>
          <w:sz w:val="24"/>
        </w:rPr>
        <w:t>În ultimii doi ani, UE a luat măsuri ferme pentru a răspunde acestor provocări prin adoptarea unor inițiative-cheie menite să asigure că UE rămâne în avangarda inovării și că sistemul său de C&amp;I rămâne atât deschis, cât și sigur</w:t>
      </w:r>
      <w:r>
        <w:rPr>
          <w:rStyle w:val="FootnoteReference"/>
          <w:rFonts w:ascii="Times New Roman" w:hAnsi="Times New Roman" w:cs="Times New Roman"/>
          <w:noProof/>
          <w:sz w:val="24"/>
          <w:szCs w:val="24"/>
        </w:rPr>
        <w:footnoteReference w:id="4"/>
      </w:r>
      <w:r>
        <w:rPr>
          <w:rFonts w:ascii="Times New Roman" w:hAnsi="Times New Roman"/>
          <w:noProof/>
          <w:sz w:val="24"/>
        </w:rPr>
        <w:t>. UE este și va continua să fie gardianul multilateralismului, al unei ordini internaționale bazate pe norme și al elaborării de politici bazate pe dovezi – elemente esențiale în lumea de astăzi pentru apărarea principiilor fundamentale ale democrației, inclusiv a unor societăți democratice mai rezistente și mai puternice. Întrucât principiile și valorile pe care le reprezintă UE sunt amenințate tot mai mult la nivel mondial, UE trebuie să apere mai mult ca niciodată libertatea academică și libertatea cercetării științifice, precum și diversitatea, echitatea și incluziunea. Aceasta include promovarea egalității și a nediscriminării femeilor, precum și a altor grupuri expuse unui risc crescut de discriminare, precum și asigurarea participării lor depline și efective la sistemele de C&amp;I. Aceste valori nu sunt doar o obligație morală, ci și unele dintre cele mai puternice atuuri ale UE în competiția globală pentru talente.</w:t>
      </w:r>
    </w:p>
    <w:p w14:paraId="65F6B41C" w14:textId="6015356A" w:rsidR="00EF58D0" w:rsidRDefault="00F5535D"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Prezentul raport oferă o imagine de ansamblu a activității Comisiei în ceea ce privește punerea în aplicare a abordării globale a C&amp;I, precum și a concluziilor aferente ale Consiliului</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de la publicarea primului raport bienal de punere în aplicare în 2023</w:t>
      </w:r>
      <w:r>
        <w:rPr>
          <w:rStyle w:val="FootnoteReference"/>
          <w:rFonts w:ascii="Times New Roman" w:hAnsi="Times New Roman" w:cs="Times New Roman"/>
          <w:noProof/>
          <w:sz w:val="24"/>
          <w:szCs w:val="24"/>
        </w:rPr>
        <w:footnoteReference w:id="6"/>
      </w:r>
      <w:r>
        <w:rPr>
          <w:rFonts w:ascii="Times New Roman" w:hAnsi="Times New Roman"/>
          <w:noProof/>
          <w:sz w:val="24"/>
        </w:rPr>
        <w:t>. Scopul său este de a oferi o imagine de ansamblu a modului în care UE răspunde noilor provocări și cerințe în domeniul C&amp;I într-un peisaj internațional din ce în ce mai competitiv și mai volatil, apărându-și astfel interesele strategice.</w:t>
      </w:r>
    </w:p>
    <w:p w14:paraId="7B29877D" w14:textId="77777777" w:rsidR="0047717E" w:rsidRPr="004D7378" w:rsidRDefault="0047717E" w:rsidP="0047717E">
      <w:pPr>
        <w:spacing w:after="120" w:line="276" w:lineRule="auto"/>
        <w:jc w:val="both"/>
        <w:rPr>
          <w:noProof/>
        </w:rPr>
      </w:pPr>
    </w:p>
    <w:p w14:paraId="05F03E12" w14:textId="77777777" w:rsidR="0087419C" w:rsidRPr="00D05EA1" w:rsidRDefault="0087419C" w:rsidP="0047717E">
      <w:pPr>
        <w:pStyle w:val="ListParagraph"/>
        <w:numPr>
          <w:ilvl w:val="0"/>
          <w:numId w:val="11"/>
        </w:numPr>
        <w:spacing w:after="120" w:line="276" w:lineRule="auto"/>
        <w:ind w:left="357" w:hanging="357"/>
        <w:jc w:val="both"/>
        <w:rPr>
          <w:b/>
          <w:smallCaps/>
          <w:noProof/>
          <w:szCs w:val="20"/>
        </w:rPr>
      </w:pPr>
      <w:r>
        <w:rPr>
          <w:b/>
          <w:smallCaps/>
          <w:noProof/>
        </w:rPr>
        <w:t>Reafirmarea angajamentului UE față de deschiderea internațională și valorile fundamentale în domeniul cercetării și al inovării</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87419C" w:rsidRPr="00D05EA1" w14:paraId="341738CA" w14:textId="77777777" w:rsidTr="62291281">
        <w:tc>
          <w:tcPr>
            <w:tcW w:w="9242" w:type="dxa"/>
            <w:shd w:val="clear" w:color="auto" w:fill="D9D9D9" w:themeFill="background1" w:themeFillShade="D9"/>
          </w:tcPr>
          <w:p w14:paraId="000DFFB3" w14:textId="6F7272B9" w:rsidR="00BE147A" w:rsidRPr="00D05EA1" w:rsidRDefault="69480CEF"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Împreună cu parteneri din întreaga lume, UE a pus în aplicare Dialogul multilateral privind principiile și valorile cooperării internaționale în domeniul C&amp;I, care a condus la aprobarea Declarației de la Bruxelles în cadrul unei conferințe ministeriale internaționale în februarie 2024. Comisia a sugerat inițierea următoarei etape a dialogului, prin extinderea sferei geografice și tematice a acestuia. De asemenea, Comisia lucrează la un cadru european pentru diplomația științifică, prezentând un raport cu recomandări ale experților elaborate în comun de oameni de știință și diplomați. Odată cu asocierea Noii Zeelande, a Canadei, a Regatului Unit, a Republicii Coreea, a Elveției și a Egiptului la programul Orizont Europa, UE a continuat cu succes să creeze legături puternice în domeniul C&amp;I cu parteneri-cheie din străinătate.</w:t>
            </w:r>
          </w:p>
        </w:tc>
      </w:tr>
    </w:tbl>
    <w:p w14:paraId="42570695" w14:textId="77777777" w:rsidR="00D73D8F" w:rsidRPr="00D05EA1" w:rsidRDefault="00D73D8F" w:rsidP="00352ED0">
      <w:pPr>
        <w:pStyle w:val="ListParagraph"/>
        <w:spacing w:after="120" w:line="276" w:lineRule="auto"/>
        <w:ind w:left="788" w:hanging="431"/>
        <w:jc w:val="both"/>
        <w:rPr>
          <w:b/>
          <w:bCs/>
          <w:noProof/>
          <w:lang w:val="en-IE"/>
        </w:rPr>
      </w:pPr>
    </w:p>
    <w:p w14:paraId="79EA7127" w14:textId="067C006B" w:rsidR="006925C6" w:rsidRPr="00D05EA1" w:rsidRDefault="006925C6" w:rsidP="00352ED0">
      <w:pPr>
        <w:pStyle w:val="ListParagraph"/>
        <w:spacing w:after="120" w:line="276" w:lineRule="auto"/>
        <w:ind w:left="788" w:hanging="431"/>
        <w:jc w:val="both"/>
        <w:rPr>
          <w:b/>
          <w:bCs/>
          <w:noProof/>
        </w:rPr>
      </w:pPr>
      <w:r>
        <w:rPr>
          <w:b/>
          <w:noProof/>
        </w:rPr>
        <w:t>2.1 Principii și valori în cooperarea internațională în domeniul C&amp;I</w:t>
      </w:r>
    </w:p>
    <w:p w14:paraId="645708B3" w14:textId="2D9FC58E" w:rsidR="00864467" w:rsidRPr="00231A79" w:rsidRDefault="00864467"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În urma lansării Dialogului multilateral privind principiile și valorile cooperării internaționale în domeniul C&amp;I, în iulie 2022, Comisia a inițiat discuții cu partenerii săi globali pentru a aborda aspecte legate de excelența în cercetare, valorificarea cunoștințelor, securitatea cercetării și parteneriatele echitabile în domeniul C&amp;I cu țările cu venituri mici și medii. Acest demers a culminat cu o conferință ministerială internațională organizată sub președinția belgiană a Consiliului UE în februarie 2024, care a aprobat o declarație ministerială privind principiile și valorile cooperării internaționale în domeniul C&amp;I, cunoscută sub denumirea de Declarația de la Bruxelles</w:t>
      </w:r>
      <w:r>
        <w:rPr>
          <w:rStyle w:val="FootnoteReference"/>
          <w:rFonts w:ascii="Times New Roman" w:hAnsi="Times New Roman" w:cs="Times New Roman"/>
          <w:noProof/>
          <w:sz w:val="24"/>
          <w:szCs w:val="24"/>
          <w:lang w:val="en-GB"/>
        </w:rPr>
        <w:footnoteReference w:id="7"/>
      </w:r>
      <w:r>
        <w:rPr>
          <w:rFonts w:ascii="Times New Roman" w:hAnsi="Times New Roman"/>
          <w:noProof/>
          <w:sz w:val="24"/>
        </w:rPr>
        <w:t xml:space="preserve">. </w:t>
      </w:r>
    </w:p>
    <w:p w14:paraId="0DE1483A" w14:textId="7F44C89A" w:rsidR="00CB1B78" w:rsidRDefault="00CB1B78" w:rsidP="0047717E">
      <w:pPr>
        <w:spacing w:after="120" w:line="276" w:lineRule="auto"/>
        <w:jc w:val="both"/>
        <w:rPr>
          <w:rFonts w:ascii="Times New Roman" w:hAnsi="Times New Roman" w:cs="Times New Roman"/>
          <w:noProof/>
          <w:sz w:val="24"/>
          <w:szCs w:val="24"/>
        </w:rPr>
      </w:pPr>
      <w:r>
        <w:rPr>
          <w:rStyle w:val="markedcontent"/>
          <w:rFonts w:ascii="Times New Roman" w:hAnsi="Times New Roman"/>
          <w:noProof/>
          <w:sz w:val="24"/>
        </w:rPr>
        <w:t>În urma solicitării din Concluziile Consiliului privind abordarea globală a cercetării și a inovării de a elabora o agendă europeană a diplomației prin știință</w:t>
      </w:r>
      <w:r>
        <w:rPr>
          <w:rStyle w:val="FootnoteReference"/>
          <w:rFonts w:ascii="Times New Roman" w:hAnsi="Times New Roman" w:cs="Times New Roman"/>
          <w:noProof/>
          <w:sz w:val="24"/>
          <w:szCs w:val="24"/>
          <w:lang w:val="en-US"/>
        </w:rPr>
        <w:footnoteReference w:id="8"/>
      </w:r>
      <w:r>
        <w:rPr>
          <w:rStyle w:val="markedcontent"/>
          <w:rFonts w:ascii="Times New Roman" w:hAnsi="Times New Roman"/>
          <w:noProof/>
          <w:sz w:val="24"/>
        </w:rPr>
        <w:t xml:space="preserve"> și a discuțiilor ulterioare din cadrul Consiliului Competitivitate din iulie 2023, Comisia</w:t>
      </w:r>
      <w:r>
        <w:rPr>
          <w:rFonts w:ascii="Times New Roman" w:hAnsi="Times New Roman"/>
          <w:noProof/>
          <w:sz w:val="24"/>
        </w:rPr>
        <w:t xml:space="preserve"> a însărcinat </w:t>
      </w:r>
      <w:r>
        <w:rPr>
          <w:rStyle w:val="markedcontent"/>
          <w:rFonts w:ascii="Times New Roman" w:hAnsi="Times New Roman"/>
          <w:noProof/>
          <w:sz w:val="24"/>
        </w:rPr>
        <w:t>un grup de oameni de știință și diplomați</w:t>
      </w:r>
      <w:r>
        <w:rPr>
          <w:rFonts w:ascii="Times New Roman" w:hAnsi="Times New Roman"/>
          <w:noProof/>
          <w:sz w:val="24"/>
        </w:rPr>
        <w:t xml:space="preserve"> să prezinte recomandări specifice pentru un viitor cadru european pentru diplomația științifică</w:t>
      </w:r>
      <w:r>
        <w:rPr>
          <w:rStyle w:val="FootnoteReference"/>
          <w:rFonts w:ascii="Times New Roman" w:hAnsi="Times New Roman" w:cs="Times New Roman"/>
          <w:noProof/>
          <w:sz w:val="24"/>
          <w:szCs w:val="24"/>
          <w:lang w:val="en-US"/>
        </w:rPr>
        <w:footnoteReference w:id="9"/>
      </w:r>
      <w:r>
        <w:rPr>
          <w:rFonts w:ascii="Times New Roman" w:hAnsi="Times New Roman"/>
          <w:noProof/>
          <w:sz w:val="24"/>
        </w:rPr>
        <w:t>. Recomandările elaborate de cei 130 de experți în diplomația științifică, care propun instrumente strategice, operaționale și de facilitare necesare pentru a sprijini poziția de lider a Europei în diplomația științifică, au fost publicate în februarie 2025 într-un raport al experților</w:t>
      </w:r>
      <w:r>
        <w:rPr>
          <w:rStyle w:val="FootnoteReference"/>
          <w:rFonts w:ascii="Times New Roman" w:hAnsi="Times New Roman" w:cs="Times New Roman"/>
          <w:noProof/>
          <w:sz w:val="24"/>
          <w:szCs w:val="24"/>
        </w:rPr>
        <w:footnoteReference w:id="10"/>
      </w:r>
      <w:r>
        <w:rPr>
          <w:rFonts w:ascii="Times New Roman" w:hAnsi="Times New Roman"/>
          <w:noProof/>
          <w:sz w:val="24"/>
        </w:rPr>
        <w:t>. O etapă importantă în acest proces a fost prima Conferință europeană privind diplomația științifică din decembrie 2023, care a permis comunității diplomației științifice europene să reflecteze asupra unei abordări strategice</w:t>
      </w:r>
      <w:r>
        <w:rPr>
          <w:rStyle w:val="FootnoteReference"/>
          <w:rFonts w:ascii="Times New Roman" w:hAnsi="Times New Roman" w:cs="Times New Roman"/>
          <w:noProof/>
          <w:sz w:val="24"/>
          <w:szCs w:val="24"/>
        </w:rPr>
        <w:footnoteReference w:id="11"/>
      </w:r>
      <w:r>
        <w:rPr>
          <w:rFonts w:ascii="Times New Roman" w:hAnsi="Times New Roman"/>
          <w:noProof/>
          <w:sz w:val="24"/>
        </w:rPr>
        <w:t>.</w:t>
      </w:r>
    </w:p>
    <w:p w14:paraId="08B55ACE" w14:textId="23148A5F" w:rsidR="006320D6" w:rsidRPr="00D05EA1" w:rsidRDefault="005A1686" w:rsidP="0047717E">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Comisia a sprijinit organizarea de ateliere și discuții </w:t>
      </w:r>
      <w:r>
        <w:rPr>
          <w:rFonts w:ascii="Times New Roman" w:hAnsi="Times New Roman"/>
          <w:noProof/>
          <w:color w:val="000000" w:themeColor="text1"/>
          <w:sz w:val="24"/>
        </w:rPr>
        <w:t>tematice</w:t>
      </w:r>
      <w:r>
        <w:rPr>
          <w:rFonts w:ascii="Times New Roman" w:hAnsi="Times New Roman"/>
          <w:noProof/>
          <w:sz w:val="24"/>
        </w:rPr>
        <w:t>, inclusiv pe tema diplomației științifice în regiunea mediteraneeană și a gestionării transfrontaliere a apelor Nilului, pentru a demonstra valoarea diplomației științifice în acțiune. În octombrie 2025, a fost organizat primul dialog UA-UE privind diplomația științifică, care a condus la recunoașterea diplomației științifice ca o nouă direcție în cadrul dialogului politic la nivel înalt privind știința, tehnologia și inovarea dintre Uniunea Africană și Uniunea Europeană. În plus, Comisia a sprijinit Alianța UE pentru diplomația științifică</w:t>
      </w:r>
      <w:r>
        <w:rPr>
          <w:rStyle w:val="FootnoteReference"/>
          <w:rFonts w:ascii="Times New Roman" w:hAnsi="Times New Roman" w:cs="Times New Roman"/>
          <w:noProof/>
          <w:sz w:val="24"/>
          <w:szCs w:val="24"/>
        </w:rPr>
        <w:footnoteReference w:id="12"/>
      </w:r>
      <w:r>
        <w:rPr>
          <w:rFonts w:ascii="Times New Roman" w:hAnsi="Times New Roman"/>
          <w:noProof/>
          <w:sz w:val="24"/>
        </w:rPr>
        <w:t>, care reunește instituții de vârf în acest domeniu.</w:t>
      </w:r>
    </w:p>
    <w:p w14:paraId="67FE0F92" w14:textId="1E63C97D" w:rsidR="00973825" w:rsidRPr="00D05EA1" w:rsidRDefault="00446F90"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aprilie 2024, UE a semnat Declarația ministerială a Organizației pentru Cooperare și Dezvoltare Economică (OCDE) privind politicile transformatoare în domeniul științei, tehnologiei și inovării pentru un viitor sustenabil și favorabil incluziunii, consolidând principiile și valorile comune în cooperarea internațională în domeniul C&amp;I, inclusiv reciprocitatea, transparența, responsabilitatea și beneficiile reciproce</w:t>
      </w:r>
      <w:r>
        <w:rPr>
          <w:rStyle w:val="FootnoteReference"/>
          <w:rFonts w:ascii="Times New Roman" w:hAnsi="Times New Roman" w:cs="Times New Roman"/>
          <w:noProof/>
          <w:sz w:val="24"/>
          <w:szCs w:val="24"/>
        </w:rPr>
        <w:footnoteReference w:id="13"/>
      </w:r>
      <w:r>
        <w:rPr>
          <w:rFonts w:ascii="Times New Roman" w:hAnsi="Times New Roman"/>
          <w:noProof/>
          <w:sz w:val="24"/>
        </w:rPr>
        <w:t>. UE coprezidează Grupul de lucru al G7 privind știința deschisă, contribuind la alinierea și colaborarea internațională în ceea ce privește elaborarea și punerea în aplicare a politicii în domeniul științei deschise. UE și statele sale membre au oferit, de asemenea, sprijin cercetătorilor expuși riscurilor, în special prin intermediul proiectului SAFE</w:t>
      </w:r>
      <w:r>
        <w:rPr>
          <w:rStyle w:val="FootnoteReference"/>
          <w:rFonts w:ascii="Times New Roman" w:hAnsi="Times New Roman" w:cs="Times New Roman"/>
          <w:noProof/>
          <w:sz w:val="24"/>
          <w:szCs w:val="24"/>
        </w:rPr>
        <w:footnoteReference w:id="14"/>
      </w:r>
      <w:r>
        <w:rPr>
          <w:rFonts w:ascii="Times New Roman" w:hAnsi="Times New Roman"/>
          <w:noProof/>
          <w:sz w:val="24"/>
        </w:rPr>
        <w:t>.</w:t>
      </w:r>
    </w:p>
    <w:p w14:paraId="2FD38B83" w14:textId="154473EC" w:rsidR="00E020E2" w:rsidRPr="00D05EA1" w:rsidRDefault="00F53ED3"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conformitate cu Rezoluția Parlamentului European din 17 ianuarie 2024, Comisia a lansat un studiu specific pentru a furniza o bază de dovezi pentru o propunere legislativă privind promovarea și protejarea libertății de cercetare științifică în UE, publicată în octombrie 2025</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w:t>
      </w:r>
      <w:r>
        <w:rPr>
          <w:rFonts w:ascii="Times New Roman" w:hAnsi="Times New Roman"/>
          <w:noProof/>
          <w:color w:val="000000" w:themeColor="text1"/>
          <w:sz w:val="24"/>
        </w:rPr>
        <w:t>Comisia a promovat la nivel internațional Codul european de conduită pentru integritate în cercetare</w:t>
      </w:r>
      <w:r>
        <w:rPr>
          <w:rStyle w:val="FootnoteReference"/>
          <w:rFonts w:ascii="Times New Roman" w:eastAsia="Times New Roman" w:hAnsi="Times New Roman" w:cs="Times New Roman"/>
          <w:noProof/>
          <w:color w:val="000000" w:themeColor="text1"/>
          <w:sz w:val="24"/>
          <w:szCs w:val="24"/>
        </w:rPr>
        <w:footnoteReference w:id="16"/>
      </w:r>
      <w:r>
        <w:rPr>
          <w:rFonts w:ascii="Times New Roman" w:hAnsi="Times New Roman"/>
          <w:noProof/>
          <w:color w:val="000000" w:themeColor="text1"/>
          <w:sz w:val="24"/>
        </w:rPr>
        <w:t xml:space="preserve"> și Codul global de conduită pentru parteneriate de cercetare echitabile</w:t>
      </w:r>
      <w:r>
        <w:rPr>
          <w:rStyle w:val="FootnoteReference"/>
          <w:rFonts w:ascii="Times New Roman" w:eastAsia="Times New Roman" w:hAnsi="Times New Roman" w:cs="Times New Roman"/>
          <w:noProof/>
          <w:color w:val="000000" w:themeColor="text1"/>
          <w:sz w:val="24"/>
          <w:szCs w:val="24"/>
        </w:rPr>
        <w:footnoteReference w:id="17"/>
      </w:r>
      <w:r>
        <w:rPr>
          <w:rFonts w:ascii="Times New Roman" w:hAnsi="Times New Roman"/>
          <w:noProof/>
          <w:color w:val="000000" w:themeColor="text1"/>
          <w:sz w:val="24"/>
        </w:rPr>
        <w:t>, a continuat să organizeze Forumul Consiliului Național de Etică (NEC) de două ori pe an și a participat activ la inițiativa „Voluntari în cercetare și etică” (VolREthics)</w:t>
      </w:r>
      <w:r>
        <w:rPr>
          <w:rStyle w:val="FootnoteReference"/>
          <w:rFonts w:ascii="Times New Roman" w:eastAsia="Times New Roman" w:hAnsi="Times New Roman" w:cs="Times New Roman"/>
          <w:noProof/>
          <w:color w:val="000000" w:themeColor="text1"/>
          <w:sz w:val="24"/>
          <w:szCs w:val="24"/>
        </w:rPr>
        <w:footnoteReference w:id="18"/>
      </w:r>
      <w:r>
        <w:rPr>
          <w:rFonts w:ascii="Times New Roman" w:hAnsi="Times New Roman"/>
          <w:noProof/>
          <w:color w:val="000000" w:themeColor="text1"/>
          <w:sz w:val="24"/>
        </w:rPr>
        <w:t xml:space="preserve">. </w:t>
      </w:r>
      <w:r>
        <w:rPr>
          <w:rFonts w:ascii="Times New Roman" w:hAnsi="Times New Roman"/>
          <w:noProof/>
          <w:sz w:val="24"/>
        </w:rPr>
        <w:t>Punerea în aplicare a criteriului de eligibilitate al Planului privind egalitatea de gen (PEG) în cadrul programului Orizont Europa</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a reprezentat un pas important în promovarea egalității de gen în domeniul C&amp;I, inclusiv la nivel internațional.</w:t>
      </w:r>
      <w:bookmarkStart w:id="2" w:name="_Hlk192510855"/>
      <w:r>
        <w:rPr>
          <w:rFonts w:ascii="Times New Roman" w:hAnsi="Times New Roman"/>
          <w:noProof/>
          <w:sz w:val="24"/>
        </w:rPr>
        <w:t xml:space="preserve"> </w:t>
      </w:r>
    </w:p>
    <w:bookmarkEnd w:id="2"/>
    <w:p w14:paraId="7BA7B453" w14:textId="7E1FEEFC" w:rsidR="006925C6" w:rsidRPr="00D05EA1" w:rsidRDefault="006925C6" w:rsidP="00352ED0">
      <w:pPr>
        <w:pStyle w:val="ListParagraph"/>
        <w:spacing w:after="120" w:line="276" w:lineRule="auto"/>
        <w:ind w:left="788" w:hanging="431"/>
        <w:jc w:val="both"/>
        <w:rPr>
          <w:b/>
          <w:noProof/>
        </w:rPr>
      </w:pPr>
      <w:r>
        <w:rPr>
          <w:b/>
          <w:noProof/>
        </w:rPr>
        <w:t xml:space="preserve">2.2. Dimensiunea internațională a programului Orizont Europa </w:t>
      </w:r>
    </w:p>
    <w:p w14:paraId="743A1449" w14:textId="6E8EE336" w:rsidR="00597C48" w:rsidRPr="00D05EA1" w:rsidRDefault="00C96F71"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Participarea la programul-cadru prin asociere este cea mai apropiată formă de cooperare în domeniul C&amp;I cu țările din afara UE. </w:t>
      </w:r>
      <w:r>
        <w:rPr>
          <w:rFonts w:ascii="Times New Roman" w:hAnsi="Times New Roman"/>
          <w:noProof/>
          <w:sz w:val="24"/>
        </w:rPr>
        <w:t>În iulie 2023, Noua Zeelandă a devenit prima țară din afara vecinătății UE care s-a asociat la programul Orizont Europa, urmată de Regatul Unit și Canada în 2024 și de Republica Coreea, Elveția și Egipt în 2025. În plus, au fost încheiate negocierile de asociere cu Japonia și au fost inițiate discuții preliminare cu Australia.</w:t>
      </w:r>
    </w:p>
    <w:p w14:paraId="61F9FDE2" w14:textId="7AAF7245" w:rsidR="00A221EC" w:rsidRPr="005E06B7" w:rsidRDefault="00A221EC" w:rsidP="00A221EC">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Pilonul I al programului Orizont Europa se remarcă prin dimensiunea sa internațională, 8,7 % dintre participanți provenind din țări neasociate din afara UE, procent urmat de pilonul II (5,5 %), pilonul III (2,5 %) și, în cele din urmă, de acțiunile de extindere a participării și de consolidare a Spațiului european de cercetare (WIDERA) (2,4 %). Țările asociate găzduiesc 11,8 % dintre participanții la pilonul I, 9,7 % dintre participanții la pilonul II, 7,8 % dintre participanții la pilonul III și 14,8 % dintre participanții la acțiunile WIDERA</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w:t>
      </w:r>
      <w:r>
        <w:rPr>
          <w:rFonts w:ascii="Times New Roman" w:hAnsi="Times New Roman"/>
          <w:noProof/>
          <w:sz w:val="24"/>
          <w:vertAlign w:val="superscript"/>
        </w:rPr>
        <w:t xml:space="preserve"> </w:t>
      </w:r>
    </w:p>
    <w:p w14:paraId="2568F453" w14:textId="000C2664" w:rsidR="00E86276" w:rsidRPr="008B3CCF" w:rsidRDefault="00E86276" w:rsidP="00E86276">
      <w:pPr>
        <w:spacing w:after="120" w:line="276" w:lineRule="auto"/>
        <w:jc w:val="both"/>
        <w:rPr>
          <w:rFonts w:ascii="Times New Roman" w:hAnsi="Times New Roman" w:cs="Times New Roman"/>
          <w:noProof/>
          <w:sz w:val="24"/>
          <w:szCs w:val="24"/>
        </w:rPr>
      </w:pPr>
      <w:r>
        <w:rPr>
          <w:rFonts w:ascii="Times New Roman" w:hAnsi="Times New Roman"/>
          <w:noProof/>
          <w:sz w:val="24"/>
        </w:rPr>
        <w:t>Acțiunile Marie Skłodowska-Curie (MSCA), cea mai internațională componentă a programului Orizont Europa, sunt esențiale pentru stabilirea de parteneriate internaționale în domeniul C&amp;I. Dintre cercetătorii selectați în cadrul burselor MSCA, 46 % proveneau din afara UE, și anume 37 % din țări din afara UE neasociate și 9 % din țări asociate. MSCA reprezintă aproximativ 50 % din participarea totală a organizațiilor din țări din afara UE neasociate la programul Orizont Europa. Pentru multe țări, peste 50 % din totalul participării la proiectele din cadrul programului Orizont Europa se realizează prin intermediul MSCA. În mai 2025, a fost lansată o nouă acțiune de coordonare și sprijin pentru consolidarea cooperării internaționale și a participării globale la MSCA</w:t>
      </w:r>
      <w:r>
        <w:rPr>
          <w:rStyle w:val="FootnoteReference"/>
          <w:rFonts w:ascii="Times New Roman" w:hAnsi="Times New Roman" w:cs="Times New Roman"/>
          <w:noProof/>
          <w:sz w:val="24"/>
          <w:szCs w:val="24"/>
        </w:rPr>
        <w:footnoteReference w:id="21"/>
      </w:r>
      <w:r>
        <w:rPr>
          <w:rFonts w:ascii="Times New Roman" w:hAnsi="Times New Roman"/>
          <w:noProof/>
          <w:sz w:val="24"/>
        </w:rPr>
        <w:t>.</w:t>
      </w:r>
    </w:p>
    <w:p w14:paraId="735D12EA" w14:textId="5EE43B8E" w:rsidR="001F5F3C" w:rsidRDefault="00F64EEB" w:rsidP="001F5F3C">
      <w:pPr>
        <w:spacing w:after="120" w:line="276" w:lineRule="auto"/>
        <w:jc w:val="both"/>
        <w:rPr>
          <w:rFonts w:ascii="Times New Roman" w:eastAsia="Times New Roman" w:hAnsi="Times New Roman" w:cs="Times New Roman"/>
          <w:noProof/>
          <w:color w:val="1D2021"/>
          <w:sz w:val="24"/>
          <w:szCs w:val="24"/>
        </w:rPr>
      </w:pPr>
      <w:r>
        <w:rPr>
          <w:rFonts w:ascii="Times New Roman" w:hAnsi="Times New Roman"/>
          <w:noProof/>
          <w:sz w:val="24"/>
        </w:rPr>
        <w:t>Pentru a valorifica rolul acestora ca noduri de cooperare internațională în domeniul C&amp;I, UE a continuat să finanțeze accesul transnațional la infrastructurile de cercetare, inclusiv la cele gestionate de Centrul Comun de Cercetare al Comisiei</w:t>
      </w:r>
      <w:r>
        <w:rPr>
          <w:rStyle w:val="FootnoteReference"/>
          <w:rFonts w:ascii="Times New Roman" w:hAnsi="Times New Roman" w:cs="Times New Roman"/>
          <w:noProof/>
          <w:sz w:val="24"/>
          <w:szCs w:val="24"/>
        </w:rPr>
        <w:footnoteReference w:id="22"/>
      </w:r>
      <w:r>
        <w:rPr>
          <w:rFonts w:ascii="Times New Roman" w:hAnsi="Times New Roman"/>
          <w:noProof/>
          <w:sz w:val="24"/>
        </w:rPr>
        <w:t>, inclusiv pentru utilizatorii din țări din afara UE neasociate. De asemenea, UE promovează accesul internațional în cadrul Grupului G7 al înalților funcționari privind infrastructurile globale de cercetare</w:t>
      </w:r>
      <w:r>
        <w:rPr>
          <w:rStyle w:val="FootnoteReference"/>
          <w:rFonts w:ascii="Times New Roman" w:hAnsi="Times New Roman" w:cs="Times New Roman"/>
          <w:noProof/>
          <w:sz w:val="24"/>
          <w:szCs w:val="24"/>
        </w:rPr>
        <w:footnoteReference w:id="23"/>
      </w:r>
      <w:r>
        <w:rPr>
          <w:rFonts w:ascii="Times New Roman" w:hAnsi="Times New Roman"/>
          <w:noProof/>
          <w:sz w:val="24"/>
        </w:rPr>
        <w:t>. În 2024, Comisia a aprobat Declarația de la Brisbane</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xml:space="preserve">, </w:t>
      </w:r>
      <w:r>
        <w:rPr>
          <w:rFonts w:ascii="Times New Roman" w:hAnsi="Times New Roman"/>
          <w:noProof/>
          <w:color w:val="1D2021"/>
          <w:sz w:val="24"/>
        </w:rPr>
        <w:t>încurajând toate părțile interesate din domeniul infrastructurii de cercetare să își intensifice colaborarea în cadrul infrastructurilor internaționale de cercetare pentru a aborda provocările globale. În septembrie 2025, Comisia a adoptat o</w:t>
      </w:r>
      <w:r>
        <w:rPr>
          <w:rFonts w:ascii="Times New Roman" w:hAnsi="Times New Roman"/>
          <w:noProof/>
          <w:sz w:val="24"/>
        </w:rPr>
        <w:t xml:space="preserve"> strategie europeană pentru infrastructurile de cercetare și tehnologie, care include acțiuni de consolidare a dimensiunii internaționale a acestora.</w:t>
      </w:r>
    </w:p>
    <w:p w14:paraId="2C13CFCF" w14:textId="77777777" w:rsidR="00352ED0" w:rsidRPr="00A5526D" w:rsidRDefault="00352ED0" w:rsidP="0047717E">
      <w:pPr>
        <w:spacing w:after="120" w:line="276" w:lineRule="auto"/>
        <w:jc w:val="both"/>
        <w:rPr>
          <w:rFonts w:ascii="Times New Roman" w:hAnsi="Times New Roman" w:cs="Times New Roman"/>
          <w:noProof/>
          <w:sz w:val="24"/>
          <w:szCs w:val="24"/>
        </w:rPr>
      </w:pPr>
    </w:p>
    <w:p w14:paraId="385B92F7" w14:textId="4352A5B6" w:rsidR="00912308" w:rsidRPr="00D05EA1" w:rsidRDefault="00AA5FBB" w:rsidP="00352ED0">
      <w:pPr>
        <w:pStyle w:val="ListParagraph"/>
        <w:numPr>
          <w:ilvl w:val="0"/>
          <w:numId w:val="11"/>
        </w:numPr>
        <w:spacing w:after="120" w:line="276" w:lineRule="auto"/>
        <w:ind w:left="357" w:hanging="357"/>
        <w:jc w:val="both"/>
        <w:rPr>
          <w:b/>
          <w:smallCaps/>
          <w:noProof/>
          <w:szCs w:val="20"/>
        </w:rPr>
      </w:pPr>
      <w:r>
        <w:rPr>
          <w:b/>
          <w:smallCaps/>
          <w:noProof/>
        </w:rPr>
        <w:t>Reechilibrarea abordării globale a UE în domeniul C&amp;I: către condiții de concurență echitabile și reciprocitate</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6F0374" w:rsidRPr="00D05EA1" w14:paraId="7CF8170D" w14:textId="77777777" w:rsidTr="62395EC7">
        <w:tc>
          <w:tcPr>
            <w:tcW w:w="9242" w:type="dxa"/>
            <w:shd w:val="clear" w:color="auto" w:fill="D9D9D9" w:themeFill="background1" w:themeFillShade="D9"/>
          </w:tcPr>
          <w:p w14:paraId="2BAF3E5C" w14:textId="751DE68E" w:rsidR="006F0374" w:rsidRPr="00D05EA1" w:rsidRDefault="00A23F20"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Pentru a menține cooperarea internațională în domeniul C&amp;I deschisă și sigură, în 2024, UE a adoptat o recomandare a Consiliului privind consolidarea securității cercetării cu scopul de a crea condiții de concurență echitabile în Spațiul european de cercetare. UE a luat măsuri ferme pentru a-și spori reziliența la ingerințele și constrângerile străine prin efectuarea de evaluări ale tehnologiilor critice, prin promovarea investițiilor în C&amp;I în aceste domenii, prin restricționarea accesului la programul Orizont Europa atunci când este strict necesar și prin instituirea de noi parteneriate strategice.</w:t>
            </w:r>
          </w:p>
        </w:tc>
      </w:tr>
    </w:tbl>
    <w:p w14:paraId="1C19FA7A" w14:textId="77777777" w:rsidR="00F97388" w:rsidRPr="00D05EA1" w:rsidRDefault="00F97388" w:rsidP="0047717E">
      <w:pPr>
        <w:spacing w:after="120" w:line="276" w:lineRule="auto"/>
        <w:jc w:val="both"/>
        <w:rPr>
          <w:rFonts w:ascii="Times New Roman" w:hAnsi="Times New Roman" w:cs="Times New Roman"/>
          <w:noProof/>
          <w:sz w:val="24"/>
          <w:szCs w:val="24"/>
        </w:rPr>
      </w:pPr>
    </w:p>
    <w:p w14:paraId="1A77A02F" w14:textId="58CF481E" w:rsidR="001829B8" w:rsidRPr="00D05EA1" w:rsidRDefault="317AA561"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Cercetătorii sunt din ce în ce mai expuși riscurilor de securitate atunci când cooperează la nivel internațional, domeniul C&amp;I european confruntându-se cu ingerințe străine și cu manipularea informațiilor, precum și cu potențialul de utilizare abuzivă în moduri care pot afecta securitatea UE sau pot încălca valorile și drepturile fundamentale ale UE. Prin recomandarea Consiliului privind consolidarea securității cercetării</w:t>
      </w:r>
      <w:r>
        <w:rPr>
          <w:rStyle w:val="FootnoteReference"/>
          <w:rFonts w:ascii="Times New Roman" w:hAnsi="Times New Roman" w:cs="Times New Roman"/>
          <w:noProof/>
          <w:sz w:val="24"/>
          <w:szCs w:val="24"/>
        </w:rPr>
        <w:footnoteReference w:id="25"/>
      </w:r>
      <w:r>
        <w:rPr>
          <w:rFonts w:ascii="Times New Roman" w:hAnsi="Times New Roman"/>
          <w:noProof/>
          <w:sz w:val="24"/>
        </w:rPr>
        <w:t>, adoptată în mai 2024, UE dispune în prezent de o bază solidă pentru abordarea riscurilor de securitate legate de cooperarea internațională în domeniul C&amp;I. Prin această recomandare, care se referă nu numai la Comisie și la statele membre, ci și la finanțatorii publici ai cercetării și la universități, UE a elaborat, pentru prima dată, o definiție comună a riscurilor în materie de securitate a cercetării, împreună cu o abordare comună a evaluării riscurilor în cercetare. În octombrie 2025, Comisia a organizat prima conferință emblematică europeană privind securitatea cercetării pentru a facilita schimbul de bune practici.</w:t>
      </w:r>
    </w:p>
    <w:p w14:paraId="13486845" w14:textId="6C0BC170" w:rsidR="00752246" w:rsidRPr="00D05EA1" w:rsidRDefault="00B06E64"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Activitatea privind securitatea cercetării face parte dintr-un efort mai amplu de îmbunătățire a securității economice a UE</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În special, securitatea cercetării ar trebui să contribuie la prevenirea scurgerilor de tehnologie, și anume transferul nedorit de cunoștințe și tehnologii critice prin intermediul cooperării academice internaționale, menținând în același timp abordarea UE în ceea ce privește libertatea academică și libertatea cercetării științifice. </w:t>
      </w:r>
    </w:p>
    <w:p w14:paraId="00AB0890" w14:textId="2AFB505B" w:rsidR="001829B8" w:rsidRPr="00D05EA1" w:rsidRDefault="56C142B2"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O parte esențială a acestei activități implică evaluarea riscurilor legate de anumite tehnologii generice sau critice, cum ar fi inteligența artificială (IA), biotehnologia, semiconductorii avansați și tehnologiile cuantice, un proces desfășurat cu implicarea statelor membre și a altor părți interesate. Deși aceste evaluări privind domeniile tehnologice critice depășesc politica privind C&amp;I, rezultatele acestei activități vor modela, de asemenea, cooperarea internațională în domeniul C&amp;I în anii următori. Comisia colaborează cu țări care împărtășesc aceeași viziune în ceea ce privește securitatea economică, promovând propriile capabilități ale UE în materie de tehnologii critice și instituind diverse garanții pentru a proteja UE împotriva unei eventuale utilizări abuzive a acestora. </w:t>
      </w:r>
    </w:p>
    <w:p w14:paraId="412319AF" w14:textId="067E21A0" w:rsidR="009E6B20" w:rsidRDefault="58A7E4D1"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În ianuarie 2024, Comisia a publicat o Carte albă privind opțiunile de consolidare a sprijinului pentru cercetarea și dezvoltarea care implică tehnologii cu potențial de dublă utilizare</w:t>
      </w:r>
      <w:r>
        <w:rPr>
          <w:rStyle w:val="FootnoteReference"/>
          <w:rFonts w:ascii="Times New Roman" w:hAnsi="Times New Roman" w:cs="Times New Roman"/>
          <w:noProof/>
          <w:sz w:val="24"/>
          <w:szCs w:val="24"/>
        </w:rPr>
        <w:footnoteReference w:id="27"/>
      </w:r>
      <w:r>
        <w:rPr>
          <w:rFonts w:ascii="Times New Roman" w:hAnsi="Times New Roman"/>
          <w:noProof/>
          <w:sz w:val="24"/>
        </w:rPr>
        <w:t>. De atunci, mai multe documente strategice au oferit contribuții suplimentare la procesul de reflecție privind cercetarea și dezvoltarea cu dublă utilizare, având în vedere riscurile cooperării internaționale în domeniul C&amp;I, în funcție de raționamentul cercetării și de potențialul dublei utilizări</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w:t>
      </w:r>
    </w:p>
    <w:p w14:paraId="511D5FCC" w14:textId="23A9A7BF" w:rsidR="00725FEB" w:rsidRPr="00D05EA1" w:rsidRDefault="003F5CC5" w:rsidP="504A92D0">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De asemenea, Comisia a luat măsuri suplimentare pentru a asigura securitatea cercetării în cadrul programului Orizont Europa, prin limitarea participării, în mod excepțional, a entităților din statele membre și din anumite țări din afara UE în domeniul tehnologiilor cuantice, al tehnologiilor rețelelor de comunicații bazate pe IA, al bateriilor, al spațiului și al materiilor prime critice</w:t>
      </w:r>
      <w:r>
        <w:rPr>
          <w:rStyle w:val="FootnoteReference"/>
          <w:rFonts w:ascii="Times New Roman" w:hAnsi="Times New Roman" w:cs="Times New Roman"/>
          <w:noProof/>
          <w:sz w:val="24"/>
          <w:szCs w:val="24"/>
        </w:rPr>
        <w:footnoteReference w:id="29"/>
      </w:r>
      <w:r>
        <w:rPr>
          <w:rFonts w:ascii="Times New Roman" w:hAnsi="Times New Roman"/>
          <w:noProof/>
          <w:sz w:val="24"/>
        </w:rPr>
        <w:t>. În programul de lucru Orizont Europa pentru perioada 2023-2024, articolul 22 alineatul (5) din Regulamentul de instituire a programului Orizont Europa a fost aplicat unui număr de 33 de teme</w:t>
      </w:r>
      <w:r>
        <w:rPr>
          <w:rStyle w:val="FootnoteReference"/>
          <w:rFonts w:ascii="Times New Roman" w:eastAsiaTheme="minorEastAsia" w:hAnsi="Times New Roman"/>
          <w:noProof/>
          <w:sz w:val="24"/>
          <w:szCs w:val="24"/>
          <w:lang w:eastAsia="zh-CN"/>
        </w:rPr>
        <w:footnoteReference w:id="30"/>
      </w:r>
      <w:r>
        <w:rPr>
          <w:rFonts w:ascii="Times New Roman" w:hAnsi="Times New Roman"/>
          <w:noProof/>
          <w:sz w:val="24"/>
        </w:rPr>
        <w:t>, în timp ce în programul de lucru pentru 2025, a fost aplicat unui număr total de 37 de teme. Alte măsuri în vigoare sunt, de exemplu, obligațiile suplimentare privind exploatarea rezultatelor cercetării și dreptul Comisiei de a se opune transferului de proprietate intelectuală către țări din afara UE și care nu sunt asociate la program</w:t>
      </w:r>
      <w:r>
        <w:rPr>
          <w:rStyle w:val="FootnoteReference"/>
          <w:rFonts w:ascii="Times New Roman" w:hAnsi="Times New Roman" w:cs="Times New Roman"/>
          <w:noProof/>
          <w:sz w:val="24"/>
          <w:szCs w:val="24"/>
        </w:rPr>
        <w:footnoteReference w:id="31"/>
      </w:r>
      <w:r>
        <w:rPr>
          <w:rFonts w:ascii="Times New Roman" w:hAnsi="Times New Roman"/>
          <w:noProof/>
          <w:sz w:val="24"/>
        </w:rPr>
        <w:t>.</w:t>
      </w:r>
    </w:p>
    <w:p w14:paraId="37863872" w14:textId="6058E450" w:rsidR="00F97388" w:rsidRPr="00D05EA1" w:rsidRDefault="6DDE7869"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Comisia a decis, de asemenea, să restricționeze accesul la cercetarea apropiată de piață pentru țările din afara UE neasociate, în cazul în care s-a considerat că nu au fost instituite condițiile-cadru care să asigure condiții de concurență echitabile în ceea ce privește cooperarea în domeniul C&amp;I</w:t>
      </w:r>
      <w:r>
        <w:rPr>
          <w:rStyle w:val="FootnoteReference"/>
          <w:rFonts w:ascii="Times New Roman" w:hAnsi="Times New Roman"/>
          <w:noProof/>
          <w:sz w:val="24"/>
          <w:szCs w:val="24"/>
        </w:rPr>
        <w:footnoteReference w:id="32"/>
      </w:r>
      <w:r>
        <w:rPr>
          <w:rFonts w:ascii="Times New Roman" w:hAnsi="Times New Roman"/>
          <w:noProof/>
          <w:sz w:val="24"/>
        </w:rPr>
        <w:t>. În conformitate cu Comunicarea din iunie 2023 privind punerea în aplicare a setului de instrumente pentru securitatea cibernetică a rețelelor 5G</w:t>
      </w:r>
      <w:r>
        <w:rPr>
          <w:rStyle w:val="FootnoteReference"/>
          <w:rFonts w:ascii="Times New Roman" w:hAnsi="Times New Roman"/>
          <w:noProof/>
          <w:sz w:val="24"/>
          <w:szCs w:val="24"/>
        </w:rPr>
        <w:footnoteReference w:id="33"/>
      </w:r>
      <w:r>
        <w:rPr>
          <w:rFonts w:ascii="Times New Roman" w:hAnsi="Times New Roman"/>
          <w:noProof/>
          <w:sz w:val="24"/>
        </w:rPr>
        <w:t xml:space="preserve">, entitățile evaluate ca fiind furnizori cu grad mare de risc de echipamente de rețea de comunicații nu participă la acțiuni legate de dezvoltarea tehnologiilor de rețea de comunicații. </w:t>
      </w:r>
    </w:p>
    <w:p w14:paraId="086C99A8" w14:textId="77777777" w:rsidR="00D86300" w:rsidRPr="00D05EA1" w:rsidRDefault="00D86300" w:rsidP="0047717E">
      <w:pPr>
        <w:spacing w:after="120" w:line="276" w:lineRule="auto"/>
        <w:jc w:val="both"/>
        <w:rPr>
          <w:rFonts w:ascii="Times New Roman" w:hAnsi="Times New Roman" w:cs="Times New Roman"/>
          <w:noProof/>
          <w:sz w:val="24"/>
          <w:szCs w:val="24"/>
        </w:rPr>
      </w:pPr>
    </w:p>
    <w:p w14:paraId="140C5B7F" w14:textId="18A748B7" w:rsidR="00912308" w:rsidRPr="00D05EA1" w:rsidRDefault="003A0591" w:rsidP="00352ED0">
      <w:pPr>
        <w:pStyle w:val="ListParagraph"/>
        <w:numPr>
          <w:ilvl w:val="0"/>
          <w:numId w:val="11"/>
        </w:numPr>
        <w:spacing w:after="120" w:line="276" w:lineRule="auto"/>
        <w:jc w:val="both"/>
        <w:rPr>
          <w:b/>
          <w:noProof/>
          <w:szCs w:val="20"/>
        </w:rPr>
      </w:pPr>
      <w:r>
        <w:rPr>
          <w:b/>
          <w:smallCaps/>
          <w:noProof/>
        </w:rPr>
        <w:t>Punerea în comun a eforturilor globale pentru a aborda împreună provocările globale</w:t>
      </w:r>
    </w:p>
    <w:p w14:paraId="30E7C714" w14:textId="22088F9A" w:rsidR="008437E9" w:rsidRPr="00167BD9" w:rsidRDefault="00383FD1" w:rsidP="0047717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Times New Roman" w:hAnsi="Times New Roman" w:cs="Times New Roman"/>
          <w:noProof/>
          <w:sz w:val="24"/>
          <w:szCs w:val="24"/>
        </w:rPr>
      </w:pPr>
      <w:r>
        <w:rPr>
          <w:rFonts w:ascii="Times New Roman" w:hAnsi="Times New Roman"/>
          <w:noProof/>
          <w:sz w:val="24"/>
        </w:rPr>
        <w:t>În ceea ce privește tranziția verde, Comisia a sprijinit dezvoltarea unei platforme internaționale pentru sustenabilitatea oceanelor (IPOS), a continuat să sprijine Alianța pentru cercetarea Oceanului Atlantic (AORA) și a adoptat o nouă foaie de parcurs comună cu Comisia Oceanografică Interguvernamentală a UNESCO. De asemenea, a participat la conducerea misiunii privind hidrogenul curat și a misiunii privind tranzițiile urbane din cadrul Misiunii inovare și a sprijinit platformele de cunoaștere privind creșterea verde, continuând, în același timp, să se implice la nivel internațional, inclusiv în inițiativa G20 privind bioeconomia.</w:t>
      </w:r>
    </w:p>
    <w:p w14:paraId="1DE6CC49" w14:textId="39DC1267" w:rsidR="008437E9" w:rsidRPr="00D05EA1" w:rsidRDefault="0037705A" w:rsidP="0047717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Times New Roman" w:hAnsi="Times New Roman" w:cs="Times New Roman"/>
          <w:noProof/>
          <w:sz w:val="24"/>
          <w:szCs w:val="24"/>
        </w:rPr>
      </w:pPr>
      <w:r>
        <w:rPr>
          <w:rFonts w:ascii="Times New Roman" w:hAnsi="Times New Roman"/>
          <w:noProof/>
          <w:sz w:val="24"/>
        </w:rPr>
        <w:t>În domeniul tranziției digitale, Comisia a avansat parteneriatele digitale cu parteneri mondiali în domenii precum IA, informatica cuantică și conectivitatea. De asemenea, a sprijinit activități în domeniul sănătății la nivel mondial, inclusiv prin intermediul celui de al treilea program al Parteneriatului dintre țările europene și cele în curs de dezvoltare privind studiile clinice (EDCTP3 „Sănătatea la nivel mondial”). În sfârșit, Comisia promovează activitățile de inovare la nivel internațional prin intermediul Consiliului European pentru Inovare (CEI) și al Institutului European de Inovare și Tehnologie (EIT), precum și prin valorificarea cunoștințelor.</w:t>
      </w:r>
    </w:p>
    <w:p w14:paraId="2CCD2667" w14:textId="77777777" w:rsidR="009C0786" w:rsidRPr="00D05EA1" w:rsidRDefault="009C0786" w:rsidP="00352ED0">
      <w:pPr>
        <w:pStyle w:val="ListParagraph"/>
        <w:spacing w:after="120" w:line="276" w:lineRule="auto"/>
        <w:ind w:left="360"/>
        <w:jc w:val="both"/>
        <w:rPr>
          <w:b/>
          <w:noProof/>
          <w:szCs w:val="20"/>
          <w:lang w:val="en-IE"/>
        </w:rPr>
      </w:pPr>
    </w:p>
    <w:p w14:paraId="391EDED8" w14:textId="2B27DCF4" w:rsidR="00912308" w:rsidRPr="00D05EA1" w:rsidRDefault="003A0591" w:rsidP="00955BBF">
      <w:pPr>
        <w:pStyle w:val="ListParagraph"/>
        <w:numPr>
          <w:ilvl w:val="1"/>
          <w:numId w:val="11"/>
        </w:numPr>
        <w:spacing w:after="120" w:line="276" w:lineRule="auto"/>
        <w:ind w:left="851" w:hanging="567"/>
        <w:jc w:val="both"/>
        <w:rPr>
          <w:b/>
          <w:bCs/>
          <w:noProof/>
        </w:rPr>
      </w:pPr>
      <w:r>
        <w:rPr>
          <w:b/>
          <w:noProof/>
        </w:rPr>
        <w:t>Direcționarea eforturilor globale către o tranziție verde justă</w:t>
      </w:r>
    </w:p>
    <w:p w14:paraId="0FC82056" w14:textId="0B54D01D" w:rsidR="00D62E7F" w:rsidRPr="00D05EA1" w:rsidRDefault="00E75D57"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Investițiile în C&amp;I prin intermediul programului Orizont Europa contribuie la punerea în aplicare a Acordului de la Paris, a Cadrului mondial pentru biodiversitate de la Kunming-Montreal și a altor acorduri internaționale. Această investiție a modelat, de asemenea, agendele și a contribuit la activitatea mai multor organizații din cadrul interfeței interfața știință și politici</w:t>
      </w:r>
      <w:r>
        <w:rPr>
          <w:rStyle w:val="FootnoteReference"/>
          <w:rFonts w:ascii="Times New Roman" w:hAnsi="Times New Roman" w:cs="Times New Roman"/>
          <w:noProof/>
          <w:sz w:val="24"/>
          <w:szCs w:val="24"/>
        </w:rPr>
        <w:footnoteReference w:id="34"/>
      </w:r>
      <w:r>
        <w:rPr>
          <w:rFonts w:ascii="Times New Roman" w:hAnsi="Times New Roman"/>
          <w:noProof/>
          <w:sz w:val="24"/>
        </w:rPr>
        <w:t>. Importanța implicării UE trebuie privită, de asemenea, din perspectiva schimbărilor fundamentale în abordarea Statelor Unite ale Americii (SUA) în ceea ce privește schimbările climatice, problemele de mediu și rolul științei în elaborarea politicilor.</w:t>
      </w:r>
    </w:p>
    <w:p w14:paraId="008EF5DB" w14:textId="32396F93" w:rsidR="000A6E0B" w:rsidRPr="00D05EA1" w:rsidRDefault="03EC924F" w:rsidP="0047717E">
      <w:pPr>
        <w:tabs>
          <w:tab w:val="left" w:pos="720"/>
        </w:tabs>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Comunicare comună cu privire la agenda UE privind guvernanța internațională a oceanelor</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a subliniat necesitatea de a dobândi cunoștințe considerabile privind oceanele pentru a sprijini gestionarea sustenabilă. Conform constatărilor unui studiu de fezabilitate din 2023, cunoștințele sunt fragmentate și adesea inadecvate pentru luarea de decizii în regim de urgență</w:t>
      </w:r>
      <w:r>
        <w:rPr>
          <w:rStyle w:val="FootnoteReference"/>
          <w:rFonts w:ascii="Times New Roman" w:eastAsia="Times New Roman" w:hAnsi="Times New Roman" w:cs="Times New Roman"/>
          <w:noProof/>
          <w:sz w:val="24"/>
          <w:szCs w:val="24"/>
        </w:rPr>
        <w:footnoteReference w:id="36"/>
      </w:r>
      <w:r>
        <w:rPr>
          <w:rFonts w:ascii="Times New Roman" w:hAnsi="Times New Roman"/>
          <w:noProof/>
          <w:sz w:val="24"/>
        </w:rPr>
        <w:t xml:space="preserve">. Ca răspuns, Comisia urmărește activitatea de instituire a Platformei internaționale pentru sustenabilitatea oceanelor (IPOS) ca </w:t>
      </w:r>
      <w:r>
        <w:rPr>
          <w:rFonts w:ascii="Times New Roman" w:hAnsi="Times New Roman"/>
          <w:noProof/>
          <w:color w:val="000000" w:themeColor="text1"/>
          <w:sz w:val="24"/>
        </w:rPr>
        <w:t xml:space="preserve">nou mecanism catalitic de informare a factorilor de decizie publici și privați cu privire la utilizarea și protecția sustenabilă a oceanelor. </w:t>
      </w:r>
    </w:p>
    <w:p w14:paraId="035E8FB4" w14:textId="27DA78E8" w:rsidR="00621E09" w:rsidRPr="00EC4745" w:rsidRDefault="00076E06" w:rsidP="0047717E">
      <w:pPr>
        <w:tabs>
          <w:tab w:val="left" w:pos="720"/>
        </w:tabs>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Comisia a condus punerea în aplicare a declarației din 2022 a Alianței pentru cercetarea Oceanului Atlantic (AORA) pentru a sprijini cooperarea în domeniul cercetării oceanice în Oceanul Atlantic. Cinci noi parteneri (Regatul Unit, Norvegia, Islanda, Senegal și Ghana) s-au alăturat AORA, activitatea acesteia axându-se pe creșterea rezilienței comunităților costiere, pe coordonarea observării oceanelor și pe îmbunătățirea modelării.</w:t>
      </w:r>
    </w:p>
    <w:p w14:paraId="2A5F1BFA" w14:textId="2E413C47" w:rsidR="00FA0091" w:rsidRPr="004F7484" w:rsidRDefault="00262DBA" w:rsidP="00F51D91">
      <w:pPr>
        <w:tabs>
          <w:tab w:val="left" w:pos="720"/>
        </w:tabs>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cadrul Conferinței ONU privind oceanele din 2025, Comisia a anunțat o inițiativă de observare a oceanelor, subliniind importanța Sistemului global de observare a oceanelor și angajamentul Comisiei. Comisia Europeană și Comisia Oceanografică Interguvernamentală a UNESCO (IOC-UNESCO) au adoptat o foaie de parcurs comună pentru a consolida cooperarea privind Deceniul științelor oceanului pentru dezvoltare durabilă al Organizației Națiunilor Unite 2021-2030, aliniind astfel eforturile UE și ale UNESCO</w:t>
      </w:r>
      <w:r>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xml:space="preserve">. </w:t>
      </w:r>
    </w:p>
    <w:p w14:paraId="02A7D900" w14:textId="6838E1C9" w:rsidR="00C733BB" w:rsidRPr="004F7484" w:rsidRDefault="00685BF6"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2023, Comisia Europeană, în parteneriat cu Comisia Uniunii Africane, a înființat un Grup strategic Africa-Europa pentru oceane, condus de Fundația Africa-Europa cu finanțare din partea UE, pentru a promova cooperarea științifică între cele două continente în chestiuni legate de oceane. </w:t>
      </w:r>
    </w:p>
    <w:p w14:paraId="5A9A2D38" w14:textId="4DD0CD13" w:rsidR="0039553A" w:rsidRPr="00D05EA1" w:rsidRDefault="018DE9A6" w:rsidP="0039553A">
      <w:pPr>
        <w:spacing w:after="120" w:line="276" w:lineRule="auto"/>
        <w:jc w:val="both"/>
        <w:rPr>
          <w:rFonts w:ascii="Times New Roman" w:hAnsi="Times New Roman" w:cs="Times New Roman"/>
          <w:noProof/>
          <w:sz w:val="24"/>
          <w:szCs w:val="24"/>
        </w:rPr>
      </w:pPr>
      <w:r>
        <w:rPr>
          <w:rFonts w:ascii="Times New Roman" w:hAnsi="Times New Roman"/>
          <w:noProof/>
          <w:sz w:val="24"/>
        </w:rPr>
        <w:t>În cadrul „Misiunii inovare 2.0”</w:t>
      </w:r>
      <w:r>
        <w:rPr>
          <w:rStyle w:val="FootnoteReference"/>
          <w:rFonts w:ascii="Times New Roman" w:hAnsi="Times New Roman" w:cs="Times New Roman"/>
          <w:noProof/>
          <w:sz w:val="24"/>
          <w:szCs w:val="24"/>
        </w:rPr>
        <w:footnoteReference w:id="38"/>
      </w:r>
      <w:r>
        <w:rPr>
          <w:rFonts w:ascii="Times New Roman" w:hAnsi="Times New Roman"/>
          <w:noProof/>
          <w:sz w:val="24"/>
        </w:rPr>
        <w:t>, Comisia Europeană a promovat accelerarea tranziției către o energie curată, în conformitate cu Pactul verde european. Prin conducerea în comun a misiunii sale „Hidrogen curat”</w:t>
      </w:r>
      <w:r>
        <w:rPr>
          <w:rStyle w:val="FootnoteReference"/>
          <w:rFonts w:ascii="Times New Roman" w:hAnsi="Times New Roman" w:cs="Times New Roman"/>
          <w:noProof/>
          <w:sz w:val="24"/>
          <w:szCs w:val="24"/>
        </w:rPr>
        <w:footnoteReference w:id="39"/>
      </w:r>
      <w:r>
        <w:rPr>
          <w:rFonts w:ascii="Times New Roman" w:hAnsi="Times New Roman"/>
          <w:noProof/>
          <w:sz w:val="24"/>
        </w:rPr>
        <w:t>, Comisia stimulează cooperarea internațională în domeniul C&amp;I pentru a sprijini dezvoltarea unui lanț valoric mondial al hidrogenului curat. Începând din 2024, misiunea a identificat 101 proiecte privind văile de hidrogen la nivelul UE și la nivel mondial</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în 38 de țări, având obiectivul de a facilita realizarea unor văi de hidrogen integrate la scară largă până în 2030. </w:t>
      </w:r>
    </w:p>
    <w:p w14:paraId="2C29D6D5" w14:textId="0EA4A252" w:rsidR="00F51D91" w:rsidRDefault="004424C9" w:rsidP="0047717E">
      <w:pPr>
        <w:spacing w:after="120" w:line="276" w:lineRule="auto"/>
        <w:jc w:val="both"/>
        <w:rPr>
          <w:rFonts w:ascii="Times New Roman" w:hAnsi="Times New Roman" w:cs="Times New Roman"/>
          <w:noProof/>
          <w:sz w:val="24"/>
          <w:szCs w:val="24"/>
        </w:rPr>
      </w:pPr>
      <w:bookmarkStart w:id="3" w:name="_Hlk198620271"/>
      <w:r>
        <w:rPr>
          <w:rFonts w:ascii="Times New Roman" w:hAnsi="Times New Roman"/>
          <w:noProof/>
          <w:sz w:val="24"/>
        </w:rPr>
        <w:t>În cadrul misiunii „Tranziții urbane”</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și pe baza misiunii europene „Orașe inteligente și neutre din punctul de vedere al impactului asupra climei”, Comisia conduce în comun activitatea unei cohorte de orașe ambițioase din întreaga lume în scopul consolidării viziunii lor privind zero emisii nete și al accelerării punerii acestora în aplicare. Începând din 2023, această cohortă a crescut la 117 orașe din 47 de țări, cu sprijin acordat în cadrul unui program City2City lansat în noiembrie 2025</w:t>
      </w:r>
      <w:bookmarkEnd w:id="3"/>
      <w:r>
        <w:rPr>
          <w:rFonts w:ascii="Times New Roman" w:hAnsi="Times New Roman"/>
          <w:noProof/>
          <w:sz w:val="24"/>
        </w:rPr>
        <w:t xml:space="preserve">. </w:t>
      </w:r>
    </w:p>
    <w:p w14:paraId="1FC65B8D" w14:textId="21DAF7E9" w:rsidR="00234413" w:rsidRPr="00EC4745" w:rsidRDefault="00FF3295"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În cadrul strategiei „Global Gateway”</w:t>
      </w:r>
      <w:r>
        <w:rPr>
          <w:rStyle w:val="FootnoteReference"/>
          <w:rFonts w:ascii="Times New Roman" w:eastAsia="Times New Roman" w:hAnsi="Times New Roman" w:cs="Times New Roman"/>
          <w:noProof/>
          <w:sz w:val="24"/>
          <w:szCs w:val="24"/>
        </w:rPr>
        <w:footnoteReference w:id="42"/>
      </w:r>
      <w:r>
        <w:rPr>
          <w:rFonts w:ascii="Times New Roman" w:hAnsi="Times New Roman"/>
          <w:noProof/>
          <w:sz w:val="24"/>
        </w:rPr>
        <w:t>, UE a ajutat țările partenere să acceseze date privind mediul prin inițiative menite să consolideze interfața dintre știință și politică, inclusiv Programul de gestionare a biodiversității și a zonelor protejate (BIOPAMA) și Parteneriatul pentru cunoștințe privind creșterea verde. De asemenea, Comisia a creat o platformă internațională de gestionare a cunoștințelor pentru a face schimb de informații cu privire la standarde, orientări și oportunități de finanțare în cadrul inițiativei „noul Bauhaus european”</w:t>
      </w:r>
      <w:r>
        <w:rPr>
          <w:rStyle w:val="FootnoteReference"/>
          <w:rFonts w:ascii="Times New Roman" w:hAnsi="Times New Roman" w:cs="Times New Roman"/>
          <w:noProof/>
          <w:sz w:val="24"/>
          <w:szCs w:val="24"/>
        </w:rPr>
        <w:footnoteReference w:id="43"/>
      </w:r>
      <w:r>
        <w:rPr>
          <w:rFonts w:ascii="Times New Roman" w:hAnsi="Times New Roman"/>
          <w:noProof/>
          <w:sz w:val="24"/>
        </w:rPr>
        <w:t>.</w:t>
      </w:r>
    </w:p>
    <w:p w14:paraId="15D8C72B" w14:textId="77777777" w:rsidR="00912308" w:rsidRPr="00D05EA1" w:rsidRDefault="003A0591" w:rsidP="0047717E">
      <w:pPr>
        <w:pStyle w:val="ListParagraph"/>
        <w:numPr>
          <w:ilvl w:val="1"/>
          <w:numId w:val="11"/>
        </w:numPr>
        <w:spacing w:after="120" w:line="276" w:lineRule="auto"/>
        <w:ind w:left="788" w:hanging="431"/>
        <w:jc w:val="both"/>
        <w:rPr>
          <w:b/>
          <w:noProof/>
          <w:szCs w:val="20"/>
        </w:rPr>
      </w:pPr>
      <w:r>
        <w:rPr>
          <w:b/>
          <w:noProof/>
        </w:rPr>
        <w:t>Promovarea tranziției digitale</w:t>
      </w:r>
    </w:p>
    <w:p w14:paraId="77D7AC4F" w14:textId="45ADB350" w:rsidR="005746AE" w:rsidRPr="002C7C38" w:rsidRDefault="00F772FB"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În iunie 2025, Comisia a adoptat Strategia digitală internațională pentru UE, care stabilește viziunea UE pentru consolidarea cooperării sale digitale internaționale</w:t>
      </w:r>
      <w:r>
        <w:rPr>
          <w:rStyle w:val="FootnoteReference"/>
          <w:rFonts w:ascii="Times New Roman" w:hAnsi="Times New Roman" w:cs="Times New Roman"/>
          <w:noProof/>
          <w:sz w:val="24"/>
          <w:szCs w:val="24"/>
        </w:rPr>
        <w:footnoteReference w:id="44"/>
      </w:r>
      <w:r>
        <w:rPr>
          <w:rFonts w:ascii="Times New Roman" w:hAnsi="Times New Roman"/>
          <w:noProof/>
          <w:sz w:val="24"/>
        </w:rPr>
        <w:t>. Această strategie se axează pe stimularea competitivității europene, pe promovarea unei agende digitale pentru securitatea Europei și a partenerilor săi și pe conturarea guvernanței și a standardelor digitale la nivel mondial. </w:t>
      </w:r>
    </w:p>
    <w:p w14:paraId="37B6B2D9" w14:textId="7D8128BA" w:rsidR="007C2803" w:rsidRPr="00D05EA1" w:rsidRDefault="004C73BC"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Au fost instituite parteneriate digitale cu Japonia, Republica Coreea, Singapore și Canada</w:t>
      </w:r>
      <w:r>
        <w:rPr>
          <w:rStyle w:val="FootnoteReference"/>
          <w:rFonts w:ascii="Times New Roman" w:hAnsi="Times New Roman" w:cs="Times New Roman"/>
          <w:noProof/>
          <w:sz w:val="24"/>
          <w:szCs w:val="24"/>
        </w:rPr>
        <w:footnoteReference w:id="45"/>
      </w:r>
      <w:r>
        <w:rPr>
          <w:rFonts w:ascii="Times New Roman" w:hAnsi="Times New Roman"/>
          <w:noProof/>
          <w:sz w:val="24"/>
        </w:rPr>
        <w:t>. Ele se axează pe eforturile de colaborare pentru promovarea tehnologiilor-cheie, cum ar fi IA, semiconductorii, calculul de înaltă performanță, informatica cuantică, rețelele 5G/6G, guvernanța datelor, standardizarea și platformele online.</w:t>
      </w:r>
    </w:p>
    <w:p w14:paraId="4E6E6022" w14:textId="16918D72" w:rsidR="007C2803" w:rsidRPr="00216609" w:rsidRDefault="007C2803"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Începând din mai 2023, Consiliul UE-India pentru comerț și tehnologie a pus bazele cooperării în domenii-cheie, inclusiv în ceea ce privește semiconductorii, infrastructura publică digitală, competențele digitale, IA, calculul de înaltă performanță și standardizarea în domeniul IT și al telecomunicațiilor. Consiliul UE-SUA pentru comerț și tehnologie a înregistrat progrese semnificative de la crearea sa în 2021, obținând rezultate concrete în domeniul IA, al tehnologiilor cuantice, al standardizării, al semiconductorilor, al platformelor online și al tehnologiei 6G.</w:t>
      </w:r>
    </w:p>
    <w:p w14:paraId="6348EA51" w14:textId="4C1A35D6" w:rsidR="004017E9" w:rsidRDefault="007C2803"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Alianța digitală UE-America Latină și zona Caraibilor (ALC)</w:t>
      </w:r>
      <w:r>
        <w:rPr>
          <w:rStyle w:val="FootnoteReference"/>
          <w:rFonts w:ascii="Times New Roman" w:hAnsi="Times New Roman" w:cs="Times New Roman"/>
          <w:noProof/>
          <w:sz w:val="24"/>
          <w:szCs w:val="24"/>
        </w:rPr>
        <w:footnoteReference w:id="46"/>
      </w:r>
      <w:r>
        <w:rPr>
          <w:rFonts w:ascii="Times New Roman" w:hAnsi="Times New Roman"/>
          <w:noProof/>
          <w:sz w:val="24"/>
        </w:rPr>
        <w:t xml:space="preserve"> este un cadru de cooperare biregională de pionierat. Proiectul UE-ALC privind un parteneriat strategic pentru punerea în aplicare a dialogurilor digitale în cadrul cooperării în domeniul C&amp;I (SPIDER) se axează pe adoptarea unei abordări incluzive și centrate pe factorul uman a transformării digitale în domenii care pot beneficia de interconectivitatea de mare capacitate oferită de infrastructura privind Construirea legăturii dintre Europa și America Latină (</w:t>
      </w:r>
      <w:r>
        <w:rPr>
          <w:rFonts w:ascii="Times New Roman" w:hAnsi="Times New Roman"/>
          <w:i/>
          <w:noProof/>
          <w:sz w:val="24"/>
        </w:rPr>
        <w:t>Building the Europe Link to Latin America</w:t>
      </w:r>
      <w:r>
        <w:rPr>
          <w:rFonts w:ascii="Times New Roman" w:hAnsi="Times New Roman"/>
          <w:noProof/>
          <w:sz w:val="24"/>
        </w:rPr>
        <w:t xml:space="preserve"> – BELLA)</w:t>
      </w:r>
      <w:r>
        <w:rPr>
          <w:rStyle w:val="FootnoteReference"/>
          <w:rFonts w:ascii="Times New Roman" w:hAnsi="Times New Roman" w:cs="Times New Roman"/>
          <w:noProof/>
          <w:sz w:val="24"/>
          <w:szCs w:val="24"/>
        </w:rPr>
        <w:footnoteReference w:id="47"/>
      </w:r>
      <w:r>
        <w:rPr>
          <w:rFonts w:ascii="Times New Roman" w:hAnsi="Times New Roman"/>
          <w:noProof/>
          <w:sz w:val="24"/>
        </w:rPr>
        <w:t>. Inițiativa privind cablul BELLA a fost sprijinită de rețeaua europeană GÉANT</w:t>
      </w:r>
      <w:r>
        <w:rPr>
          <w:rStyle w:val="FootnoteReference"/>
          <w:rFonts w:ascii="Times New Roman" w:hAnsi="Times New Roman" w:cs="Times New Roman"/>
          <w:noProof/>
          <w:sz w:val="24"/>
          <w:szCs w:val="24"/>
        </w:rPr>
        <w:footnoteReference w:id="48"/>
      </w:r>
      <w:r>
        <w:rPr>
          <w:rFonts w:ascii="Times New Roman" w:hAnsi="Times New Roman"/>
          <w:noProof/>
          <w:sz w:val="24"/>
        </w:rPr>
        <w:t>, care conectează comunitățile de cercetare și educație din peste 110 țări din întreaga lume prin intermediul parteneriatelor sale, utilizând propriile rețele securizate de fibră optică pentru a conecta furnizorii de date din sistemul mondial de cercetare. În octombrie 2025, a fost lansată rețeaua de calcul de înaltă performanță UE-ALC. Prin conectarea supercalculatoarelor din UE și ALC prin intermediul BELLA, oamenii de știință din ambele regiuni vor colabora pentru a efectua simulări, a analiza volumele mari de date și a testa modele de prelucrare de vârf pentru a aborda provocările globale urgente, de la modelarea climatică și descoperirea de medicamente la inteligența artificială.</w:t>
      </w:r>
    </w:p>
    <w:p w14:paraId="61328822" w14:textId="215E2035" w:rsidR="007C2803" w:rsidRPr="00D05EA1" w:rsidRDefault="007C2803"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Pornind de la succesul cablului BELLA dintre Europa și America Latină, se preconizează că EurAfrica Gateway Cable va oferi un sistem rezilient de cabluri submarine de-a lungul coastei africane a Oceanului Atlantic, consolidând și mai mult conectivitatea în regiune.</w:t>
      </w:r>
    </w:p>
    <w:p w14:paraId="75B91C63" w14:textId="1A19E90B" w:rsidR="00912308" w:rsidRPr="00D05EA1" w:rsidRDefault="00CF3795" w:rsidP="00352ED0">
      <w:pPr>
        <w:pStyle w:val="ListParagraph"/>
        <w:numPr>
          <w:ilvl w:val="1"/>
          <w:numId w:val="11"/>
        </w:numPr>
        <w:spacing w:after="120" w:line="276" w:lineRule="auto"/>
        <w:ind w:left="788" w:hanging="431"/>
        <w:jc w:val="both"/>
        <w:rPr>
          <w:b/>
          <w:noProof/>
          <w:szCs w:val="20"/>
        </w:rPr>
      </w:pPr>
      <w:r>
        <w:rPr>
          <w:b/>
          <w:noProof/>
        </w:rPr>
        <w:t>Consolidarea cooperării în domeniul sănătății mondiale</w:t>
      </w:r>
    </w:p>
    <w:p w14:paraId="3D2FCCAF" w14:textId="3A63240B" w:rsidR="00DD05A2" w:rsidRPr="00D05EA1" w:rsidRDefault="2CAFAEB6"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Strategia UE în domeniul sănătății la nivel mondial</w:t>
      </w:r>
      <w:r>
        <w:rPr>
          <w:rStyle w:val="FootnoteReference"/>
          <w:rFonts w:ascii="Times New Roman" w:hAnsi="Times New Roman" w:cs="Times New Roman"/>
          <w:noProof/>
          <w:sz w:val="24"/>
          <w:szCs w:val="24"/>
        </w:rPr>
        <w:footnoteReference w:id="49"/>
      </w:r>
      <w:r>
        <w:rPr>
          <w:rFonts w:ascii="Times New Roman" w:hAnsi="Times New Roman"/>
          <w:noProof/>
          <w:sz w:val="24"/>
        </w:rPr>
        <w:t xml:space="preserve"> a fost aprobată de Consiliul European în ianuarie 2024</w:t>
      </w:r>
      <w:r>
        <w:rPr>
          <w:rStyle w:val="FootnoteReference"/>
          <w:rFonts w:ascii="Times New Roman" w:hAnsi="Times New Roman" w:cs="Times New Roman"/>
          <w:noProof/>
          <w:sz w:val="24"/>
          <w:szCs w:val="24"/>
        </w:rPr>
        <w:footnoteReference w:id="50"/>
      </w:r>
      <w:r>
        <w:rPr>
          <w:rFonts w:ascii="Times New Roman" w:hAnsi="Times New Roman"/>
          <w:noProof/>
          <w:sz w:val="24"/>
        </w:rPr>
        <w:t xml:space="preserve">. Aceasta identifică C&amp;I drept factori-cheie pentru o sănătate mai bună, sisteme de sănătate mai solide și o acoperire universală a serviciilor de sănătate, alături de digitalizare și forță de muncă calificată. </w:t>
      </w:r>
    </w:p>
    <w:p w14:paraId="59CA709F" w14:textId="65E3BF6A" w:rsidR="00813E1F" w:rsidRPr="00D05EA1" w:rsidRDefault="000444BA" w:rsidP="00AA73DE">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Comisia a înregistrat progrese semnificative în ceea ce privește pregătirea pentru pandemii de la începutul pandemiei de COVID-19, combinând capacitatea de răspuns imediat cu investițiile în pregătirea pe termen lung. Prin investirea a 1,28 miliarde EUR în peste 121 de acțiuni în cercetare și dezvoltare în perioada 2022-2025, Comisia a accelerat dezvoltarea și testarea mijloacelor medicale de contracarare, consolidând, de asemenea, reziliența UE la viitoarele pandemii. </w:t>
      </w:r>
    </w:p>
    <w:p w14:paraId="3B136B04" w14:textId="624392CB" w:rsidR="00B647EF" w:rsidRPr="00D05EA1" w:rsidRDefault="309B8A02" w:rsidP="0047717E">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Comisia și-a intensificat coordonarea finanțatorilor cercetării în domeniul sănătății la nivel mondial, de exemplu prin participarea în calitate de copreședinte al Colaborării la nivel mondial în materie de cercetare pentru pregătire în eventualitatea apariției unor boli infecțioase (GloPID-R)</w:t>
      </w:r>
      <w:r>
        <w:rPr>
          <w:rStyle w:val="FootnoteReference"/>
          <w:rFonts w:ascii="Times New Roman" w:hAnsi="Times New Roman" w:cs="Times New Roman"/>
          <w:noProof/>
          <w:sz w:val="24"/>
          <w:szCs w:val="24"/>
        </w:rPr>
        <w:footnoteReference w:id="51"/>
      </w:r>
      <w:r>
        <w:rPr>
          <w:rFonts w:ascii="Times New Roman" w:hAnsi="Times New Roman"/>
          <w:noProof/>
          <w:sz w:val="24"/>
        </w:rPr>
        <w:t xml:space="preserve"> și prin sprijinirea Alianței globale pentru boli cronice (GACD)</w:t>
      </w:r>
      <w:r>
        <w:rPr>
          <w:rStyle w:val="FootnoteReference"/>
          <w:rFonts w:ascii="Times New Roman" w:hAnsi="Times New Roman" w:cs="Times New Roman"/>
          <w:noProof/>
          <w:sz w:val="24"/>
          <w:szCs w:val="24"/>
        </w:rPr>
        <w:footnoteReference w:id="52"/>
      </w:r>
      <w:r>
        <w:rPr>
          <w:rFonts w:ascii="Times New Roman" w:hAnsi="Times New Roman"/>
          <w:noProof/>
          <w:sz w:val="24"/>
        </w:rPr>
        <w:t>. De asemenea, Comisia a sprijinit pregătirile pentru noi parteneriate, inclusiv pentru Alianța europeană pentru cercetarea bolilor rare (ERDERA)</w:t>
      </w:r>
      <w:r>
        <w:rPr>
          <w:rStyle w:val="FootnoteReference"/>
          <w:rFonts w:ascii="Times New Roman" w:hAnsi="Times New Roman" w:cs="Times New Roman"/>
          <w:noProof/>
          <w:sz w:val="24"/>
          <w:szCs w:val="24"/>
        </w:rPr>
        <w:footnoteReference w:id="53"/>
      </w:r>
      <w:r>
        <w:rPr>
          <w:rFonts w:ascii="Times New Roman" w:hAnsi="Times New Roman"/>
          <w:noProof/>
          <w:sz w:val="24"/>
        </w:rPr>
        <w:t xml:space="preserve">. </w:t>
      </w:r>
    </w:p>
    <w:p w14:paraId="22634011" w14:textId="6566819D" w:rsidR="007E3F55" w:rsidRPr="00D05EA1" w:rsidRDefault="003264D3" w:rsidP="0047717E">
      <w:pPr>
        <w:spacing w:after="120" w:line="276" w:lineRule="auto"/>
        <w:jc w:val="both"/>
        <w:rPr>
          <w:rFonts w:ascii="Times New Roman" w:eastAsia="Times New Roman" w:hAnsi="Times New Roman" w:cs="Times New Roman"/>
          <w:b/>
          <w:bCs/>
          <w:noProof/>
          <w:sz w:val="24"/>
          <w:szCs w:val="24"/>
        </w:rPr>
      </w:pPr>
      <w:r>
        <w:rPr>
          <w:rFonts w:ascii="Times New Roman" w:hAnsi="Times New Roman"/>
          <w:noProof/>
          <w:sz w:val="24"/>
        </w:rPr>
        <w:t>Întreprinderea comună EDCTP3 „Sănătatea la nivel mondial” este a treia versiune a Parteneriatului dintre țările europene și cele în curs de dezvoltare privind studiile clinice</w:t>
      </w:r>
      <w:r>
        <w:rPr>
          <w:rStyle w:val="FootnoteReference"/>
          <w:rFonts w:ascii="Times New Roman" w:hAnsi="Times New Roman" w:cs="Times New Roman"/>
          <w:noProof/>
          <w:sz w:val="24"/>
          <w:szCs w:val="24"/>
        </w:rPr>
        <w:footnoteReference w:id="54"/>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 xml:space="preserve">În cursul anului 2024, aceasta a finanțat 74 de proiecte de cercetare în domeniul sănătății la nivel mondial, cu un buget total de 254 de milioane EUR. Ca răspuns la epidemia de variola maimuței din 2024 din Republica Democratică Congo (RDC), întreprinderea comună EDCTP3 „Sănătatea la nivel mondial” și-a activat mecanismul de finanțare de urgență și a lansat o cerere de propuneri de urgență, în urma căreia au fost finanțate 9 proiecte în valoare totală de 12,1 milioane EUR, acoperind studii de fază 2, 3 și 4 privind profilaxia pre- și postexpunere a vaccinurilor împotriva variolei maimuței, precum și strategii de supraveghere și studii epidemiologice. </w:t>
      </w:r>
    </w:p>
    <w:p w14:paraId="78365650" w14:textId="46CA62C5" w:rsidR="007E3F55" w:rsidRPr="00D05EA1" w:rsidRDefault="002C4AAA"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De asemenea, Comisia sprijină cercetarea în domeniul sănătății la nivel mondial prin colaborarea cu Organizația Mondială a Sănătății (OMS) și cu Parteneriatul mondial pentru cercetare și dezvoltare în domeniul antibioticelor (GARDP), oferind finanțare în valoare de 28 de milioane EUR (2022-2027) pentru a accelera dezvoltarea de tratamente pentru infecțiile bacteriene rezistente și pentru a actualiza listele de agenți patogeni prioritari rezistenți la antimicrobiene. Din această finanțare, 1 milion EUR a fost alocat pentru a sprijini inițiativa comună SECURE</w:t>
      </w:r>
      <w:r>
        <w:rPr>
          <w:rStyle w:val="FootnoteReference"/>
          <w:rFonts w:ascii="Times New Roman" w:hAnsi="Times New Roman" w:cs="Times New Roman"/>
          <w:noProof/>
          <w:sz w:val="24"/>
          <w:szCs w:val="24"/>
        </w:rPr>
        <w:footnoteReference w:id="55"/>
      </w:r>
      <w:r>
        <w:rPr>
          <w:rFonts w:ascii="Times New Roman" w:hAnsi="Times New Roman"/>
          <w:noProof/>
          <w:sz w:val="24"/>
        </w:rPr>
        <w:t xml:space="preserve"> a OMS și GARDP, care vizează extinderea accesului global la antibiotice esențiale pentru tratarea infecțiilor bacteriene rezistente. Comisia a sprijinit dezvoltarea de medicamente împotriva tuberculozei la copii și a unui nou vaccin împotriva tuberculozei în cadrul programului de lucru EU4Health pentru 2023. </w:t>
      </w:r>
    </w:p>
    <w:p w14:paraId="4C3B5314" w14:textId="1189BF3C" w:rsidR="007E3F55" w:rsidRPr="00D05EA1" w:rsidRDefault="008C43D2" w:rsidP="0047717E">
      <w:pPr>
        <w:spacing w:after="120" w:line="276" w:lineRule="auto"/>
        <w:jc w:val="both"/>
        <w:rPr>
          <w:rFonts w:ascii="Times New Roman" w:eastAsia="Times New Roman" w:hAnsi="Times New Roman" w:cs="Times New Roman"/>
          <w:b/>
          <w:noProof/>
          <w:sz w:val="24"/>
          <w:szCs w:val="20"/>
        </w:rPr>
      </w:pPr>
      <w:r>
        <w:rPr>
          <w:rFonts w:ascii="Times New Roman" w:hAnsi="Times New Roman"/>
          <w:noProof/>
          <w:sz w:val="24"/>
        </w:rPr>
        <w:t>Comisia a încheiat un acord de contribuție cu OMS pentru Planul său de acțiune în materie de C&amp;D pentru epidemii, cu un buget de 7,42 milioane EUR, pentru a sprijini dezvoltarea unor vaccinuri și tratamente sigure și eficace împotriva filovirusurilor (inclusiv Ebola și Marburg), precum și acțiuni interepidemice de pregătire pentru viitoare epidemii. Această activitate de pregătire a permis punerea rapidă în aplicare a unor studii clinice terapeutice și privind vaccinurile, în special în timpul epidemiei de Ebola din Uganda din 2025.</w:t>
      </w:r>
    </w:p>
    <w:p w14:paraId="482110B3" w14:textId="47B1B323" w:rsidR="00AB62AB" w:rsidRPr="00D05EA1" w:rsidRDefault="008C43D2" w:rsidP="0047717E">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În sfârșit, Comisia și-a menținut angajamentul privind schimbul și accesul liber prin intermediul Coaliției mondiale pentru date biologice, contribuind la asigurarea sustenabilității resurselor globale de date biologice.</w:t>
      </w:r>
    </w:p>
    <w:p w14:paraId="1AEEFB50" w14:textId="77777777" w:rsidR="00912308" w:rsidRPr="00D05EA1" w:rsidRDefault="00CF3795" w:rsidP="00955BBF">
      <w:pPr>
        <w:pStyle w:val="ListParagraph"/>
        <w:numPr>
          <w:ilvl w:val="1"/>
          <w:numId w:val="11"/>
        </w:numPr>
        <w:spacing w:after="120" w:line="276" w:lineRule="auto"/>
        <w:ind w:left="709" w:hanging="425"/>
        <w:rPr>
          <w:b/>
          <w:noProof/>
          <w:szCs w:val="20"/>
        </w:rPr>
      </w:pPr>
      <w:r>
        <w:rPr>
          <w:b/>
          <w:noProof/>
        </w:rPr>
        <w:t>Promovarea inovării</w:t>
      </w:r>
    </w:p>
    <w:p w14:paraId="5611927B" w14:textId="05EE0EC4" w:rsidR="00825FE2" w:rsidRPr="00D05EA1" w:rsidRDefault="00825FE2" w:rsidP="504A92D0">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404040" w:themeColor="text1" w:themeTint="BF"/>
          <w:sz w:val="24"/>
        </w:rPr>
        <w:t xml:space="preserve">UE s-a angajat să se poziționeze ca destinație atractivă pentru start-upuri, investitori și întreprinderi </w:t>
      </w:r>
      <w:r>
        <w:rPr>
          <w:rFonts w:ascii="Times New Roman" w:hAnsi="Times New Roman"/>
          <w:noProof/>
          <w:color w:val="000000" w:themeColor="text1"/>
          <w:sz w:val="24"/>
        </w:rPr>
        <w:t>din țări din afara UE</w:t>
      </w:r>
      <w:r>
        <w:rPr>
          <w:rFonts w:ascii="Times New Roman" w:hAnsi="Times New Roman"/>
          <w:noProof/>
          <w:color w:val="404040" w:themeColor="text1" w:themeTint="BF"/>
          <w:sz w:val="24"/>
        </w:rPr>
        <w:t xml:space="preserve"> care caută soluții inovatoare și proiecte de tip </w:t>
      </w:r>
      <w:r>
        <w:rPr>
          <w:rFonts w:ascii="Times New Roman" w:hAnsi="Times New Roman"/>
          <w:i/>
          <w:noProof/>
          <w:color w:val="404040" w:themeColor="text1" w:themeTint="BF"/>
          <w:sz w:val="24"/>
        </w:rPr>
        <w:t>venture client</w:t>
      </w:r>
      <w:r>
        <w:rPr>
          <w:rFonts w:ascii="Times New Roman" w:hAnsi="Times New Roman"/>
          <w:noProof/>
          <w:color w:val="404040" w:themeColor="text1" w:themeTint="BF"/>
          <w:sz w:val="24"/>
        </w:rPr>
        <w:t xml:space="preserve">. Acesta este </w:t>
      </w:r>
      <w:r>
        <w:rPr>
          <w:rFonts w:ascii="Times New Roman" w:hAnsi="Times New Roman"/>
          <w:noProof/>
          <w:color w:val="000000" w:themeColor="text1"/>
          <w:sz w:val="24"/>
        </w:rPr>
        <w:t>unul dintre domeniile emblematice ale noii agende europene de inovare și ale Strategiei privind start-upurile și întreprinderile în curs de extindere</w:t>
      </w:r>
      <w:r>
        <w:rPr>
          <w:rStyle w:val="FootnoteReference"/>
          <w:rFonts w:ascii="Times New Roman" w:eastAsia="Times New Roman" w:hAnsi="Times New Roman" w:cs="Times New Roman"/>
          <w:noProof/>
          <w:color w:val="000000" w:themeColor="text1"/>
          <w:sz w:val="24"/>
          <w:szCs w:val="24"/>
        </w:rPr>
        <w:footnoteReference w:id="56"/>
      </w:r>
      <w:r>
        <w:rPr>
          <w:rFonts w:ascii="Times New Roman" w:hAnsi="Times New Roman"/>
          <w:noProof/>
          <w:color w:val="000000" w:themeColor="text1"/>
          <w:sz w:val="24"/>
        </w:rPr>
        <w:t xml:space="preserve">. </w:t>
      </w:r>
      <w:r>
        <w:rPr>
          <w:rFonts w:ascii="Times New Roman" w:hAnsi="Times New Roman"/>
          <w:noProof/>
          <w:color w:val="404040" w:themeColor="text1" w:themeTint="BF"/>
          <w:sz w:val="24"/>
        </w:rPr>
        <w:t>Prin consolidarea parteneriatelor internaționale și prin crearea de căi de atragere a talentelor și a investițiilor internaționale, de exemplu prin intermediul inițiativei „Alegeți Europa pentru știință”</w:t>
      </w:r>
      <w:r>
        <w:rPr>
          <w:rStyle w:val="FootnoteReference"/>
          <w:rFonts w:ascii="Times New Roman" w:eastAsia="system-ui" w:hAnsi="Times New Roman" w:cs="Times New Roman"/>
          <w:noProof/>
          <w:color w:val="404040" w:themeColor="text1" w:themeTint="BF"/>
          <w:sz w:val="24"/>
          <w:szCs w:val="24"/>
        </w:rPr>
        <w:footnoteReference w:id="57"/>
      </w:r>
      <w:r>
        <w:rPr>
          <w:rFonts w:ascii="Times New Roman" w:hAnsi="Times New Roman"/>
          <w:noProof/>
          <w:color w:val="404040" w:themeColor="text1" w:themeTint="BF"/>
          <w:sz w:val="24"/>
        </w:rPr>
        <w:t xml:space="preserve">, UE urmărește să își consolideze rolul de centru principal pentru inovare și antreprenoriat, stimulând dezvoltarea durabilă și competitivitatea la nivel mondial. </w:t>
      </w:r>
    </w:p>
    <w:p w14:paraId="2B003318" w14:textId="4C8ADA85" w:rsidR="007F7954" w:rsidRPr="00BF0260" w:rsidRDefault="00B1586A" w:rsidP="00FE2258">
      <w:pPr>
        <w:spacing w:after="120" w:line="276" w:lineRule="auto"/>
        <w:jc w:val="both"/>
        <w:rPr>
          <w:rFonts w:ascii="Times New Roman" w:eastAsia="Calibri" w:hAnsi="Times New Roman" w:cs="Times New Roman"/>
          <w:noProof/>
          <w:color w:val="00B050"/>
        </w:rPr>
      </w:pPr>
      <w:r>
        <w:rPr>
          <w:rFonts w:ascii="Times New Roman" w:hAnsi="Times New Roman"/>
          <w:noProof/>
          <w:sz w:val="24"/>
        </w:rPr>
        <w:t>În 2025, Consiliul European pentru Inovare (CEI) a fost consiliat de comitetul CEI să elaboreze o strategie internațională pentru a stimula impactul său global și pentru a ajuta start-upurile și întreprinderile în curs de extindere europene să se extindă la nivel internațional. Recomandările au fost de a se concentra asupra a patru priorități principale: (1) promovarea activităților internaționale; (2) implicarea investitorilor și a întreprinderilor internaționale; (3) stabilirea unei autorități intelectuale în domeniu; și (4) atragerea de talente internaționale. Principalele obiective sunt de a ajuta beneficiarii CEI să se extindă la nivel mondial, menținându-și în același timp sediul central în Europa; de a atrage inovatori din domeniul tehnologiei avansate în Europa și de a coopera cu investitorii internaționali interesați de întreprinderile CEI.</w:t>
      </w:r>
    </w:p>
    <w:p w14:paraId="724D93BF" w14:textId="25C164AC" w:rsidR="00DD6974" w:rsidRDefault="009D4DA6" w:rsidP="00352ED0">
      <w:pPr>
        <w:spacing w:after="120" w:line="276" w:lineRule="auto"/>
        <w:jc w:val="both"/>
        <w:rPr>
          <w:rFonts w:ascii="Times New Roman" w:eastAsiaTheme="minorEastAsia" w:hAnsi="Times New Roman" w:cs="Times New Roman"/>
          <w:noProof/>
          <w:sz w:val="24"/>
          <w:szCs w:val="24"/>
        </w:rPr>
      </w:pPr>
      <w:r>
        <w:rPr>
          <w:rFonts w:ascii="Times New Roman" w:hAnsi="Times New Roman"/>
          <w:noProof/>
          <w:sz w:val="24"/>
        </w:rPr>
        <w:t>În martie 2024, Comisia a adoptat două recomandări în sprijinul Recomandării Consiliului privind principiile directoare pentru valorificarea cunoștințelor</w:t>
      </w:r>
      <w:r>
        <w:rPr>
          <w:rStyle w:val="FootnoteReference"/>
          <w:rFonts w:ascii="Times New Roman" w:eastAsiaTheme="minorEastAsia" w:hAnsi="Times New Roman" w:cs="Times New Roman"/>
          <w:noProof/>
          <w:sz w:val="24"/>
          <w:szCs w:val="24"/>
        </w:rPr>
        <w:footnoteReference w:id="58"/>
      </w:r>
      <w:r>
        <w:rPr>
          <w:rFonts w:ascii="Times New Roman" w:hAnsi="Times New Roman"/>
          <w:noProof/>
          <w:sz w:val="24"/>
        </w:rPr>
        <w:t>, și anume Codurile de bune practici privind activitatea de cocreare desfășurată de industrie împreună cu mediul academic</w:t>
      </w:r>
      <w:r>
        <w:rPr>
          <w:rStyle w:val="FootnoteReference"/>
          <w:rFonts w:ascii="Times New Roman" w:eastAsiaTheme="minorEastAsia" w:hAnsi="Times New Roman" w:cs="Times New Roman"/>
          <w:noProof/>
          <w:sz w:val="24"/>
          <w:szCs w:val="24"/>
        </w:rPr>
        <w:footnoteReference w:id="59"/>
      </w:r>
      <w:r>
        <w:rPr>
          <w:rFonts w:ascii="Times New Roman" w:hAnsi="Times New Roman"/>
          <w:noProof/>
          <w:sz w:val="24"/>
        </w:rPr>
        <w:t xml:space="preserve"> și privind implicarea cetățenilor</w:t>
      </w:r>
      <w:r>
        <w:rPr>
          <w:rStyle w:val="FootnoteReference"/>
          <w:rFonts w:ascii="Times New Roman" w:eastAsiaTheme="minorEastAsia" w:hAnsi="Times New Roman" w:cs="Times New Roman"/>
          <w:noProof/>
          <w:sz w:val="24"/>
          <w:szCs w:val="24"/>
        </w:rPr>
        <w:footnoteReference w:id="60"/>
      </w:r>
      <w:r>
        <w:rPr>
          <w:rFonts w:ascii="Times New Roman" w:hAnsi="Times New Roman"/>
          <w:noProof/>
          <w:sz w:val="24"/>
        </w:rPr>
        <w:t>. Peste 150 de strategii și practici elaborate în UE și în afara acesteia sunt disponibile în registrul Platformei UE de valorificare a cunoștințelor, care este, de asemenea, relevant pentru partenerii internaționali</w:t>
      </w:r>
      <w:r>
        <w:rPr>
          <w:rStyle w:val="FootnoteReference"/>
          <w:rFonts w:ascii="Times New Roman" w:eastAsiaTheme="minorEastAsia" w:hAnsi="Times New Roman" w:cs="Times New Roman"/>
          <w:noProof/>
          <w:sz w:val="24"/>
          <w:szCs w:val="24"/>
        </w:rPr>
        <w:footnoteReference w:id="61"/>
      </w:r>
      <w:r>
        <w:rPr>
          <w:rFonts w:ascii="Times New Roman" w:hAnsi="Times New Roman"/>
          <w:noProof/>
          <w:sz w:val="24"/>
        </w:rPr>
        <w:t>.</w:t>
      </w:r>
    </w:p>
    <w:p w14:paraId="4F07219F" w14:textId="77777777" w:rsidR="00A24B6C" w:rsidRPr="00464748" w:rsidRDefault="00A24B6C" w:rsidP="00352ED0">
      <w:pPr>
        <w:spacing w:after="120" w:line="276" w:lineRule="auto"/>
        <w:jc w:val="both"/>
        <w:rPr>
          <w:rFonts w:ascii="Times New Roman" w:eastAsiaTheme="minorEastAsia" w:hAnsi="Times New Roman" w:cs="Times New Roman"/>
          <w:noProof/>
          <w:sz w:val="24"/>
          <w:szCs w:val="24"/>
        </w:rPr>
      </w:pPr>
    </w:p>
    <w:p w14:paraId="37286A20" w14:textId="77777777" w:rsidR="00912308" w:rsidRPr="00D05EA1" w:rsidRDefault="00645415" w:rsidP="00352ED0">
      <w:pPr>
        <w:pStyle w:val="ListParagraph"/>
        <w:numPr>
          <w:ilvl w:val="0"/>
          <w:numId w:val="11"/>
        </w:numPr>
        <w:spacing w:after="120" w:line="276" w:lineRule="auto"/>
        <w:ind w:left="357" w:hanging="357"/>
        <w:jc w:val="both"/>
        <w:rPr>
          <w:b/>
          <w:noProof/>
          <w:szCs w:val="20"/>
        </w:rPr>
      </w:pPr>
      <w:r>
        <w:rPr>
          <w:b/>
          <w:smallCaps/>
          <w:noProof/>
        </w:rPr>
        <w:t>Modularea cooperării cu țările și regiunile prioritare</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7C762A" w:rsidRPr="00D05EA1" w14:paraId="03872DD6" w14:textId="77777777" w:rsidTr="504A92D0">
        <w:tc>
          <w:tcPr>
            <w:tcW w:w="9242" w:type="dxa"/>
            <w:shd w:val="clear" w:color="auto" w:fill="D9D9D9" w:themeFill="background1" w:themeFillShade="D9"/>
          </w:tcPr>
          <w:p w14:paraId="3CAE3DD7" w14:textId="0B17C613" w:rsidR="00980F50" w:rsidRPr="00D05EA1" w:rsidRDefault="78378DCC" w:rsidP="00DF4D1B">
            <w:pPr>
              <w:spacing w:after="120" w:line="276" w:lineRule="auto"/>
              <w:jc w:val="both"/>
              <w:rPr>
                <w:rFonts w:ascii="Times New Roman" w:hAnsi="Times New Roman" w:cs="Times New Roman"/>
                <w:noProof/>
                <w:sz w:val="24"/>
                <w:szCs w:val="24"/>
              </w:rPr>
            </w:pPr>
            <w:r>
              <w:rPr>
                <w:rFonts w:ascii="Times New Roman" w:hAnsi="Times New Roman"/>
                <w:noProof/>
                <w:sz w:val="24"/>
              </w:rPr>
              <w:t>Evoluțiile geopolitice din ultimii ani au afectat cooperarea UE în domeniul C&amp;I cu alte țări. În vecinătatea UE, dinamica a fost determinată de asocierea Regatului Unit și a Elveției, precum și a țărilor candidate la programul Orizont Europa. Participarea la programul Orizont Europa prin asociere a consolidat, de asemenea, relațiile UE în materie de C&amp;I cu principalele economii industriale din străinătate. În sfârșit, s-a acordat o atenție sporită Africii, Americii Latine și zonei Caraibilor, precum și Asociației Națiunilor din Asia de Sud-Est (ASEAN), fiind dezvoltate inițiative regionale importante. În contextul bilateral, sunt abordate domenii specifice de interes pentru UE și țările partenere, de exemplu prin colaborarea constructivă cu China.</w:t>
            </w:r>
          </w:p>
        </w:tc>
      </w:tr>
    </w:tbl>
    <w:p w14:paraId="7FBD5A22" w14:textId="77777777" w:rsidR="006D4C98" w:rsidRPr="00D05EA1" w:rsidRDefault="006D4C98" w:rsidP="00352ED0">
      <w:pPr>
        <w:spacing w:after="120" w:line="276" w:lineRule="auto"/>
        <w:jc w:val="both"/>
        <w:rPr>
          <w:b/>
          <w:noProof/>
        </w:rPr>
      </w:pPr>
    </w:p>
    <w:p w14:paraId="59E583DB" w14:textId="1D700869" w:rsidR="00C31D72" w:rsidRPr="00D05EA1" w:rsidRDefault="00C31D72" w:rsidP="00352ED0">
      <w:pPr>
        <w:pStyle w:val="ListParagraph"/>
        <w:numPr>
          <w:ilvl w:val="1"/>
          <w:numId w:val="11"/>
        </w:numPr>
        <w:spacing w:after="120" w:line="276" w:lineRule="auto"/>
        <w:ind w:left="788" w:hanging="431"/>
        <w:jc w:val="both"/>
        <w:rPr>
          <w:b/>
          <w:noProof/>
        </w:rPr>
      </w:pPr>
      <w:r>
        <w:rPr>
          <w:b/>
          <w:noProof/>
        </w:rPr>
        <w:t>Integrarea cooperării în țările din vecinătatea UE</w:t>
      </w:r>
    </w:p>
    <w:p w14:paraId="550057D3" w14:textId="461D6852" w:rsidR="00C31D72" w:rsidRPr="00651DF6" w:rsidRDefault="00C31D72" w:rsidP="00352ED0">
      <w:pPr>
        <w:tabs>
          <w:tab w:val="left" w:pos="284"/>
        </w:tabs>
        <w:spacing w:after="120" w:line="276" w:lineRule="auto"/>
        <w:jc w:val="both"/>
        <w:rPr>
          <w:rStyle w:val="eop"/>
          <w:noProof/>
          <w:shd w:val="clear" w:color="auto" w:fill="FFFFFF"/>
        </w:rPr>
      </w:pPr>
      <w:r>
        <w:rPr>
          <w:rStyle w:val="normaltextrun"/>
          <w:rFonts w:ascii="Times New Roman" w:hAnsi="Times New Roman"/>
          <w:noProof/>
          <w:sz w:val="24"/>
          <w:shd w:val="clear" w:color="auto" w:fill="FFFFFF"/>
        </w:rPr>
        <w:t xml:space="preserve">Regatul Unit (UK) a devenit țară asociată la programul Orizont Europa la 1 ianuarie 2024, transmițând un mesaj puternic privind menținerea intereselor comune cu UE. În 2024, Regatul Unit a avut rezultate deosebit de bune în cadrul cererilor de propuneri ale Consiliului European pentru Cercetare (CEC), fiind principalul beneficiar al granturilor pentru validarea conceptului anunțate în iulie 2024, unul dintre principalii beneficiari ai granturilor pentru cercetători independenți debutanți anunțate în septembrie 2024 și înregistrând o creștere de 56 % a granturilor de consolidare anunțate în decembrie 2024, comparativ cu anul precedent. </w:t>
      </w:r>
      <w:r>
        <w:rPr>
          <w:rFonts w:ascii="Times New Roman" w:hAnsi="Times New Roman"/>
          <w:noProof/>
          <w:sz w:val="24"/>
          <w:shd w:val="clear" w:color="auto" w:fill="FFFFFF"/>
        </w:rPr>
        <w:t>Regatul Unit a fost, de asemenea, cel mai mare beneficiar al granturilor MSCA în 2024.</w:t>
      </w:r>
    </w:p>
    <w:p w14:paraId="09362FBE" w14:textId="6C36EE8F" w:rsidR="00C31D72" w:rsidRPr="00D05EA1" w:rsidRDefault="00C31D72" w:rsidP="00352ED0">
      <w:pPr>
        <w:tabs>
          <w:tab w:val="left" w:pos="284"/>
        </w:tabs>
        <w:spacing w:after="120" w:line="276" w:lineRule="auto"/>
        <w:jc w:val="both"/>
        <w:rPr>
          <w:rStyle w:val="eop"/>
          <w:rFonts w:ascii="Times New Roman" w:hAnsi="Times New Roman" w:cs="Times New Roman"/>
          <w:noProof/>
          <w:sz w:val="24"/>
          <w:szCs w:val="24"/>
          <w:shd w:val="clear" w:color="auto" w:fill="FFFFFF"/>
        </w:rPr>
      </w:pPr>
      <w:r>
        <w:rPr>
          <w:rStyle w:val="eop"/>
          <w:rFonts w:ascii="Times New Roman" w:hAnsi="Times New Roman"/>
          <w:noProof/>
          <w:sz w:val="24"/>
          <w:shd w:val="clear" w:color="auto" w:fill="FFFFFF"/>
        </w:rPr>
        <w:t>Participarea Elveției, un partener de lungă durată al UE în domeniul C&amp;I și un participant activ în trecut în timpul asocierii sale la programele-cadru anterioare de C&amp;I, a scăzut în primii ani ai programului Orizont Europa din cauza neasocierii. Odată cu intrarea în vigoare a asocierii sale la 1 ianuarie 2025, entitățile și cercetătorii elvețieni pot participa din nou la cererile de propuneri din cadrul programului.</w:t>
      </w:r>
    </w:p>
    <w:p w14:paraId="7ED249B0" w14:textId="328CB6DD" w:rsidR="00C31D72" w:rsidRPr="00D05EA1" w:rsidRDefault="00C31D72" w:rsidP="00352ED0">
      <w:pPr>
        <w:tabs>
          <w:tab w:val="left" w:pos="284"/>
        </w:tabs>
        <w:spacing w:after="120" w:line="276" w:lineRule="auto"/>
        <w:jc w:val="both"/>
        <w:rPr>
          <w:rStyle w:val="eop"/>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Sistemele de C&amp;I ale țărilor din Asociația Europeană a Liberului Schimb (AELS), Norvegia și Islanda sunt profund interconectate cu cele ale UE, la fel ca lanțurile valorice industriale și rețelele academice. Norvegia, în special, aduce o contribuție semnificativă la excelența programelor-cadru de C&amp;I. </w:t>
      </w:r>
    </w:p>
    <w:p w14:paraId="6461D195" w14:textId="161C796A" w:rsidR="00C31D72" w:rsidRPr="00D05EA1" w:rsidRDefault="1AF6564F"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Participarea partenerilor din Balcanii de Vest la programele-cadru de C&amp;I ale UE a crescut semnificativ și a atins cel mai înalt nivel în cadrul programului Orizont Europa. Eforturile în materie de C&amp;I sunt intensificate în special prin intermediul </w:t>
      </w:r>
      <w:r>
        <w:rPr>
          <w:rFonts w:ascii="Times New Roman" w:hAnsi="Times New Roman"/>
          <w:noProof/>
          <w:color w:val="000000" w:themeColor="text1"/>
          <w:sz w:val="24"/>
        </w:rPr>
        <w:t>Agendei de inovare pentru Balcanii de Vest</w:t>
      </w:r>
      <w:r>
        <w:rPr>
          <w:rStyle w:val="FootnoteReference"/>
          <w:rFonts w:ascii="Times New Roman" w:eastAsia="Times New Roman" w:hAnsi="Times New Roman" w:cs="Times New Roman"/>
          <w:noProof/>
          <w:sz w:val="24"/>
          <w:szCs w:val="24"/>
          <w:lang w:eastAsia="en-GB"/>
        </w:rPr>
        <w:footnoteReference w:id="62"/>
      </w:r>
      <w:r>
        <w:rPr>
          <w:rFonts w:ascii="Times New Roman" w:hAnsi="Times New Roman"/>
          <w:noProof/>
          <w:color w:val="000000" w:themeColor="text1"/>
          <w:sz w:val="24"/>
        </w:rPr>
        <w:t>, al sprijinului acordat</w:t>
      </w:r>
      <w:r>
        <w:rPr>
          <w:rFonts w:ascii="Times New Roman" w:hAnsi="Times New Roman"/>
          <w:noProof/>
          <w:sz w:val="24"/>
        </w:rPr>
        <w:t xml:space="preserve"> infrastructurilor de cercetare orientate spre tehnologie și al integrării în continuare a regiunii în Spațiul european de cercetare. </w:t>
      </w:r>
    </w:p>
    <w:p w14:paraId="28F4D46B" w14:textId="5CE3E5E3" w:rsidR="00C31D72" w:rsidRPr="00D05EA1" w:rsidRDefault="006755D9" w:rsidP="00352ED0">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În țările Parteneriatului estic</w:t>
      </w:r>
      <w:r>
        <w:rPr>
          <w:rStyle w:val="FootnoteReference"/>
          <w:rFonts w:ascii="Times New Roman" w:eastAsia="Times New Roman" w:hAnsi="Times New Roman" w:cs="Times New Roman"/>
          <w:noProof/>
          <w:sz w:val="24"/>
          <w:szCs w:val="24"/>
        </w:rPr>
        <w:footnoteReference w:id="63"/>
      </w:r>
      <w:r>
        <w:rPr>
          <w:rFonts w:ascii="Times New Roman" w:hAnsi="Times New Roman"/>
          <w:noProof/>
          <w:sz w:val="24"/>
        </w:rPr>
        <w:t>, o monitorizare periodică a punerii în aplicare a celor cinci priorități în materie de C&amp;I definite în documentul de lucru al serviciilor Comisiei</w:t>
      </w:r>
      <w:r>
        <w:rPr>
          <w:rStyle w:val="FootnoteReference"/>
          <w:rFonts w:ascii="Times New Roman" w:eastAsia="Calibri" w:hAnsi="Times New Roman" w:cs="Times New Roman"/>
          <w:noProof/>
          <w:sz w:val="24"/>
          <w:szCs w:val="24"/>
        </w:rPr>
        <w:footnoteReference w:id="64"/>
      </w:r>
      <w:r>
        <w:rPr>
          <w:rFonts w:ascii="Times New Roman" w:hAnsi="Times New Roman"/>
          <w:noProof/>
          <w:sz w:val="24"/>
        </w:rPr>
        <w:t xml:space="preserve"> din 2021 a fost pusă în aplicare cu sprijinul UE. Mecanismul de sprijin al politicilor a oferit autorităților din Republica Moldova</w:t>
      </w:r>
      <w:r>
        <w:rPr>
          <w:rStyle w:val="FootnoteReference"/>
          <w:rFonts w:ascii="Times New Roman" w:eastAsia="Calibri" w:hAnsi="Times New Roman" w:cs="Times New Roman"/>
          <w:noProof/>
          <w:sz w:val="24"/>
          <w:szCs w:val="24"/>
        </w:rPr>
        <w:footnoteReference w:id="65"/>
      </w:r>
      <w:r>
        <w:rPr>
          <w:rFonts w:ascii="Times New Roman" w:hAnsi="Times New Roman"/>
          <w:noProof/>
          <w:sz w:val="24"/>
        </w:rPr>
        <w:t xml:space="preserve"> și Ucraina</w:t>
      </w:r>
      <w:r>
        <w:rPr>
          <w:rStyle w:val="FootnoteReference"/>
          <w:rFonts w:ascii="Times New Roman" w:eastAsia="Calibri" w:hAnsi="Times New Roman" w:cs="Times New Roman"/>
          <w:noProof/>
          <w:sz w:val="24"/>
          <w:szCs w:val="24"/>
        </w:rPr>
        <w:footnoteReference w:id="66"/>
      </w:r>
      <w:r>
        <w:rPr>
          <w:rFonts w:ascii="Times New Roman" w:hAnsi="Times New Roman"/>
          <w:noProof/>
          <w:sz w:val="24"/>
        </w:rPr>
        <w:t xml:space="preserve"> sprijin de specialitate pentru conceperea reformelor de politică în domeniul C&amp;I. În pofida situației geopolitice și economice dificile din regiune, toate cele cinci țări au reușit să pună în aplicare reforme guvernamentale, să adopte și să lanseze punerea în aplicare a strategiilor științifice naționale și să își sporească participarea la programul Orizont Europa în comparație cu programul Orizont 2020. </w:t>
      </w:r>
    </w:p>
    <w:p w14:paraId="72A947EA" w14:textId="4DF2CF6C" w:rsidR="00D27D0E" w:rsidRDefault="00261B16" w:rsidP="00C33703">
      <w:pPr>
        <w:spacing w:after="120" w:line="276" w:lineRule="auto"/>
        <w:jc w:val="both"/>
        <w:rPr>
          <w:rFonts w:ascii="Times New Roman" w:hAnsi="Times New Roman" w:cs="Times New Roman"/>
          <w:noProof/>
          <w:sz w:val="24"/>
          <w:szCs w:val="24"/>
        </w:rPr>
      </w:pPr>
      <w:r>
        <w:rPr>
          <w:rFonts w:ascii="Times New Roman" w:hAnsi="Times New Roman"/>
          <w:noProof/>
          <w:sz w:val="24"/>
        </w:rPr>
        <w:t>Comisia s-a concentrat pe instituirea unor măsuri de sprijin specifice pentru Ucraina</w:t>
      </w:r>
      <w:r>
        <w:rPr>
          <w:rStyle w:val="FootnoteReference"/>
          <w:rFonts w:ascii="Times New Roman" w:hAnsi="Times New Roman" w:cs="Times New Roman"/>
          <w:noProof/>
          <w:sz w:val="24"/>
          <w:szCs w:val="24"/>
        </w:rPr>
        <w:footnoteReference w:id="67"/>
      </w:r>
      <w:r>
        <w:rPr>
          <w:rFonts w:ascii="Times New Roman" w:hAnsi="Times New Roman"/>
          <w:noProof/>
          <w:sz w:val="24"/>
        </w:rPr>
        <w:t xml:space="preserve"> și a facilitat participarea Ucrainei la cererile de propuneri din cadrul programului Orizont Europa și al Programului pentru cercetare și formare al Euratom. De exemplu, un program specific de burse MSCA4Ukraine sprijină cercetătorii strămutați din Ucraina, permițându-le să își continue activitățile de cercetare în UE. În conformitate cu </w:t>
      </w:r>
      <w:r>
        <w:rPr>
          <w:rFonts w:ascii="Times New Roman" w:hAnsi="Times New Roman"/>
          <w:i/>
          <w:noProof/>
          <w:sz w:val="24"/>
        </w:rPr>
        <w:t>comunicatul</w:t>
      </w:r>
      <w:r>
        <w:rPr>
          <w:rFonts w:ascii="Times New Roman" w:hAnsi="Times New Roman"/>
          <w:noProof/>
          <w:sz w:val="24"/>
        </w:rPr>
        <w:t xml:space="preserve"> miniștrilor științei și tehnologiei din cadrul G7 din 2024, UE a instituit o coaliție internațională pentru cercetare, știință și inovare în Ucraina, împreună cu Ucraina, președinția italiană a G7 și UNESCO, pentru a valorifica potențialul C&amp;I în redresarea și reconstrucția Ucrainei. Același obiectiv, aplicat redresării orientate spre climă în mediile urbane, este urmărit și de noua inițiativă SUN4Ukraine</w:t>
      </w:r>
      <w:r>
        <w:rPr>
          <w:rStyle w:val="FootnoteReference"/>
          <w:rFonts w:ascii="Times New Roman" w:hAnsi="Times New Roman" w:cs="Times New Roman"/>
          <w:noProof/>
          <w:sz w:val="24"/>
          <w:szCs w:val="24"/>
        </w:rPr>
        <w:footnoteReference w:id="68"/>
      </w:r>
      <w:r>
        <w:rPr>
          <w:rFonts w:ascii="Times New Roman" w:hAnsi="Times New Roman"/>
          <w:noProof/>
          <w:sz w:val="24"/>
        </w:rPr>
        <w:t xml:space="preserve"> a misiunii europene „Orașe inteligente și neutre din punctul de vedere al impactului asupra climei”.</w:t>
      </w:r>
    </w:p>
    <w:p w14:paraId="6DF517F9" w14:textId="11787191" w:rsidR="002474FD" w:rsidRPr="005E06B7" w:rsidRDefault="000352E8" w:rsidP="00736526">
      <w:pPr>
        <w:spacing w:after="120" w:line="276" w:lineRule="auto"/>
        <w:jc w:val="both"/>
        <w:rPr>
          <w:rFonts w:ascii="Times New Roman" w:hAnsi="Times New Roman" w:cs="Times New Roman"/>
          <w:noProof/>
          <w:sz w:val="24"/>
          <w:szCs w:val="24"/>
        </w:rPr>
      </w:pPr>
      <w:r>
        <w:rPr>
          <w:rFonts w:ascii="Times New Roman" w:hAnsi="Times New Roman"/>
          <w:noProof/>
          <w:sz w:val="24"/>
        </w:rPr>
        <w:t>În 2022, Uniunea pentru Mediterana (UpM) și UE au elaborat și adoptat foi de parcurs C&amp;I privind sănătatea, schimbările climatice și energia din surse regenerabile la nivel ministerial, stabilind priorități pentru colaborare și dezvoltare economică. Inițiativa mediteraneeană, lansată în cadrul programului de lucru Orizont Europa pentru perioada 2023-2024 și continuată în 2025, contribuie la punerea în aplicare a acestor foi de parcurs și a intensificat cercetarea colaborativă dintre UE și regiunea mediteraneeană cu aproximativ 60 %</w:t>
      </w:r>
      <w:r>
        <w:rPr>
          <w:rFonts w:ascii="Times New Roman" w:eastAsia="Times New Roman" w:hAnsi="Times New Roman" w:cs="Times New Roman"/>
          <w:noProof/>
          <w:sz w:val="24"/>
          <w:szCs w:val="24"/>
          <w:vertAlign w:val="superscript"/>
          <w:lang w:eastAsia="en-GB"/>
        </w:rPr>
        <w:footnoteReference w:id="69"/>
      </w:r>
      <w:r>
        <w:rPr>
          <w:rFonts w:ascii="Times New Roman" w:hAnsi="Times New Roman"/>
          <w:noProof/>
          <w:sz w:val="24"/>
        </w:rPr>
        <w:t>. Parteneriatul în domeniul cercetării și inovării în zona mediteraneeană (PRIMA)</w:t>
      </w:r>
      <w:r>
        <w:rPr>
          <w:rStyle w:val="FootnoteReference"/>
          <w:rFonts w:ascii="Times New Roman" w:hAnsi="Times New Roman" w:cs="Times New Roman"/>
          <w:noProof/>
          <w:sz w:val="24"/>
          <w:szCs w:val="24"/>
        </w:rPr>
        <w:footnoteReference w:id="70"/>
      </w:r>
      <w:r>
        <w:rPr>
          <w:rFonts w:ascii="Times New Roman" w:hAnsi="Times New Roman"/>
          <w:noProof/>
          <w:sz w:val="24"/>
        </w:rPr>
        <w:t xml:space="preserve"> contribuie, de asemenea, la aceste eforturi în domeniile agriculturii și apei, fiind prelungit în aprilie 2024 pentru încă trei ani (2025-2027). Fiind noua inițiativă emblematică a UE de consolidare a cooperării cu partenerii sudici, Pactul pentru Mediterana, adoptat în octombrie 2025</w:t>
      </w:r>
      <w:r>
        <w:rPr>
          <w:rStyle w:val="FootnoteReference"/>
          <w:rFonts w:ascii="Times New Roman" w:hAnsi="Times New Roman" w:cs="Times New Roman"/>
          <w:noProof/>
          <w:sz w:val="24"/>
          <w:szCs w:val="24"/>
        </w:rPr>
        <w:footnoteReference w:id="71"/>
      </w:r>
      <w:r>
        <w:rPr>
          <w:rFonts w:ascii="Times New Roman" w:hAnsi="Times New Roman"/>
          <w:noProof/>
          <w:sz w:val="24"/>
        </w:rPr>
        <w:t>, reprezintă o oportunitate de a redefini colaborarea științifică prin instituirea unor centre comune de C&amp;I mediteraneene, prin promovarea mobilității cercetătorilor, prin sprijinirea creării unui centru de diplomație științifică și prin promovarea acțiunilor în domeniul economiei albastre. Aceasta a urmat adoptării, în mai 2025, a Comunicării comune privind Abordarea strategică a Uniunii Europene pentru regiunea Mării Negre</w:t>
      </w:r>
      <w:r>
        <w:rPr>
          <w:rStyle w:val="FootnoteReference"/>
          <w:rFonts w:ascii="Times New Roman" w:hAnsi="Times New Roman" w:cs="Times New Roman"/>
          <w:noProof/>
          <w:sz w:val="24"/>
          <w:szCs w:val="24"/>
        </w:rPr>
        <w:footnoteReference w:id="72"/>
      </w:r>
      <w:r>
        <w:rPr>
          <w:rFonts w:ascii="Times New Roman" w:hAnsi="Times New Roman"/>
          <w:noProof/>
          <w:sz w:val="24"/>
        </w:rPr>
        <w:t>.</w:t>
      </w:r>
    </w:p>
    <w:p w14:paraId="73F61E37" w14:textId="74828DB5" w:rsidR="00DD4D13" w:rsidRPr="00D05EA1" w:rsidRDefault="00DD4D13" w:rsidP="00C33703">
      <w:pPr>
        <w:pStyle w:val="ListParagraph"/>
        <w:numPr>
          <w:ilvl w:val="1"/>
          <w:numId w:val="11"/>
        </w:numPr>
        <w:spacing w:after="120" w:line="276" w:lineRule="auto"/>
        <w:ind w:left="788" w:hanging="431"/>
        <w:jc w:val="both"/>
        <w:rPr>
          <w:b/>
          <w:noProof/>
        </w:rPr>
      </w:pPr>
      <w:r>
        <w:rPr>
          <w:b/>
          <w:noProof/>
        </w:rPr>
        <w:t>Consolidarea cooperării cu țările industrializate din afara UE și cu economiile emergente</w:t>
      </w:r>
    </w:p>
    <w:p w14:paraId="216C2103" w14:textId="0EA6EC43" w:rsidR="000B008E" w:rsidRPr="0063489B" w:rsidRDefault="00DB25EF" w:rsidP="000B008E">
      <w:pPr>
        <w:spacing w:after="120" w:line="276" w:lineRule="auto"/>
        <w:jc w:val="both"/>
        <w:rPr>
          <w:rFonts w:ascii="Times New Roman" w:hAnsi="Times New Roman" w:cs="Times New Roman"/>
          <w:noProof/>
          <w:sz w:val="24"/>
          <w:szCs w:val="24"/>
        </w:rPr>
      </w:pPr>
      <w:r>
        <w:rPr>
          <w:rFonts w:ascii="Times New Roman" w:hAnsi="Times New Roman"/>
          <w:noProof/>
          <w:sz w:val="24"/>
        </w:rPr>
        <w:t>Până în ianuarie 2025, relațiile în domeniul C&amp;I cu Statele Unite au evoluat pozitiv odată cu intensificarea cooperării într-o gamă variată de domenii, reînnoirea cu succes a Acordului UE-SUA privind știința și tehnologia, semnarea unei declarații comune care stabilește o agendă cuprinzătoare de cooperare în domeniul C&amp;I și participarea puternică a entităților din SUA la programul Orizont Europa.</w:t>
      </w:r>
      <w:r>
        <w:rPr>
          <w:rFonts w:ascii="Times New Roman" w:hAnsi="Times New Roman"/>
          <w:i/>
          <w:noProof/>
          <w:sz w:val="24"/>
        </w:rPr>
        <w:t xml:space="preserve"> </w:t>
      </w:r>
      <w:r>
        <w:rPr>
          <w:rFonts w:ascii="Times New Roman" w:hAnsi="Times New Roman"/>
          <w:noProof/>
          <w:sz w:val="24"/>
        </w:rPr>
        <w:t>Schimbarea poziției noii administrații americane în materie de politică științifică, care a redus prioritatea cheltuielilor pentru cercetare în domenii prioritare pentru UE, precum clima, mediul, energia curată sau bolile infecțioase, și a presupus retragerea din mai multe inițiative multilaterale de C&amp;I, a pus la încercare dialogul și cooperarea transatlantică în domeniul C&amp;I. În vederea protejării intereselor UE, au fost elaborate acțiuni în cadrul programului Orizont Europa pentru a consolida sprijinul UE pentru platformele de cooperare multilaterală, în special în domeniul observării oceanelor, al climei și al suveranității datelor. În ceea ce privește seturile de date, acțiunile includ i) dezvoltarea unor cadre de suveranitate a datelor, ii) punerea în aplicare a unei gestionări solide a riscurilor pentru accesul la date critice și iii) mobilizarea finanțării naționale pentru a sprijini accesul la servicii digitale cu costuri mari. Întrucât SUA rămâne un partener natural al UE în domeniul C&amp;I, UE depune eforturi pentru a menține deschise canalele de comunicare cu interlocutorii federali din domeniul C&amp;I din SUA, în vederea reevaluării priorităților comune și a relansării unei cooperări dinamice.</w:t>
      </w:r>
    </w:p>
    <w:p w14:paraId="3A299EFE" w14:textId="74E706C7" w:rsidR="00A1674E" w:rsidRPr="00D05EA1" w:rsidRDefault="006A2B06" w:rsidP="0047717E">
      <w:pPr>
        <w:spacing w:after="120" w:line="276" w:lineRule="auto"/>
        <w:jc w:val="both"/>
        <w:rPr>
          <w:rFonts w:ascii="Times New Roman" w:eastAsiaTheme="minorEastAsia" w:hAnsi="Times New Roman" w:cs="Times New Roman"/>
          <w:noProof/>
          <w:sz w:val="24"/>
          <w:szCs w:val="24"/>
        </w:rPr>
      </w:pPr>
      <w:r>
        <w:rPr>
          <w:rFonts w:ascii="Times New Roman" w:hAnsi="Times New Roman"/>
          <w:noProof/>
          <w:sz w:val="24"/>
        </w:rPr>
        <w:t>În ceea ce privește China, se constată în continuare o lipsă de progrese în discuțiile privind foaia de parcurs comună pentru viitorul cooperării UE-China în domeniul științei, tehnologiei și inovării, în special în ceea ce privește condițiile-cadru legate de inovare</w:t>
      </w:r>
      <w:r>
        <w:rPr>
          <w:rStyle w:val="FootnoteReference"/>
          <w:rFonts w:ascii="Times New Roman" w:hAnsi="Times New Roman" w:cs="Times New Roman"/>
          <w:noProof/>
          <w:sz w:val="24"/>
          <w:szCs w:val="24"/>
        </w:rPr>
        <w:footnoteReference w:id="73"/>
      </w:r>
      <w:r>
        <w:rPr>
          <w:rFonts w:ascii="Times New Roman" w:hAnsi="Times New Roman"/>
          <w:noProof/>
          <w:sz w:val="24"/>
        </w:rPr>
        <w:t>, deși în ceea ce privește condițiile-cadru pentru cooperarea în domeniul cercetării s-au înregistrat progrese considerabile</w:t>
      </w:r>
      <w:r>
        <w:rPr>
          <w:rStyle w:val="FootnoteReference"/>
          <w:rFonts w:ascii="Times New Roman" w:hAnsi="Times New Roman" w:cs="Times New Roman"/>
          <w:noProof/>
          <w:sz w:val="24"/>
          <w:szCs w:val="24"/>
        </w:rPr>
        <w:footnoteReference w:id="74"/>
      </w:r>
      <w:r>
        <w:rPr>
          <w:rFonts w:ascii="Times New Roman" w:hAnsi="Times New Roman"/>
          <w:noProof/>
          <w:sz w:val="24"/>
        </w:rPr>
        <w:t>. Cooperarea UE-China în domeniul C&amp;I s-a axat pe două inițiative emblematice în materie de cercetare privind alimentele, agricultura și biosoluțiile (FAB) și privind schimbările climatice și biodiversitatea (CCB), în cazul cărora colaborarea este reciproc avantajoasă</w:t>
      </w:r>
      <w:r>
        <w:rPr>
          <w:rStyle w:val="FootnoteReference"/>
          <w:rFonts w:ascii="Times New Roman" w:hAnsi="Times New Roman" w:cs="Times New Roman"/>
          <w:noProof/>
          <w:sz w:val="24"/>
          <w:szCs w:val="24"/>
        </w:rPr>
        <w:footnoteReference w:id="75"/>
      </w:r>
      <w:r>
        <w:rPr>
          <w:rFonts w:ascii="Times New Roman" w:hAnsi="Times New Roman"/>
          <w:noProof/>
          <w:sz w:val="24"/>
        </w:rPr>
        <w:t>. Cu toate acestea, având în vedere cele de mai sus și preocupările semnificative legate de utilizarea proprietății intelectuale generate în cadrul programului Orizont Europa, entitățile chineze nu mai pot participa la niciuna dintre activitățile de inovare ale programului</w:t>
      </w:r>
      <w:r>
        <w:rPr>
          <w:rStyle w:val="FootnoteReference"/>
          <w:rFonts w:ascii="Times New Roman" w:hAnsi="Times New Roman" w:cs="Times New Roman"/>
          <w:noProof/>
          <w:sz w:val="24"/>
          <w:szCs w:val="24"/>
        </w:rPr>
        <w:footnoteReference w:id="76"/>
      </w:r>
      <w:r>
        <w:rPr>
          <w:rFonts w:ascii="Times New Roman" w:hAnsi="Times New Roman"/>
          <w:noProof/>
          <w:sz w:val="24"/>
        </w:rPr>
        <w:t xml:space="preserve">. Comisia și-a consolidat eforturile de coordonare cu statele membre pentru a alinia abordările prin intermediul Rețelei de cunoștințe a UE în domeniul C&amp;I privind China (EU-KNoC) și a investit peste 13 milioane EUR în extinderea cunoștințelor despre China contemporană în domenii precum politica, societatea, economia și comerțul, știința și tehnologia și clima. </w:t>
      </w:r>
    </w:p>
    <w:p w14:paraId="5C6315C8" w14:textId="4571981F" w:rsidR="00BF2ED5" w:rsidRPr="00797C84" w:rsidRDefault="000427AB"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Având în vedere capacitatea sa foarte puternică în domeniul științei, tehnologiei și inovării, asocierea Republicii Coreea la programul Orizont Europa în 2025 a deblocat o multitudine de posibilități pentru o cooperare mai amplă și mai sistematică între UE și Coreea în materie de C&amp;I în domenii precum tehnologiile digitale, nanotehnologiile sau navigația prin satelit, precum și energia curată, clima, cercetarea oceanică și de mediu și sănătatea. Același lucru este așteptat și în ceea ce privește Japonia, în urma încheierii cu succes a negocierilor privind participarea sa la programele Uniunii și asocierea sa la programul Orizont Europa, pe lângă cooperarea în curs privind materialele avansate. Asocierea Noii Zeelande la programul Orizont Europa, la rândul său, a generat un număr aproape triplu de granturi semnate din 2022 până în 2024. </w:t>
      </w:r>
    </w:p>
    <w:p w14:paraId="54DA5A0D" w14:textId="402A214C" w:rsidR="5EFF531C" w:rsidRPr="00D05EA1" w:rsidRDefault="3EDC0907" w:rsidP="0047717E">
      <w:pPr>
        <w:shd w:val="clear" w:color="auto" w:fill="FFFFFF" w:themeFill="background1"/>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3 iulie 2024, a fost semnat acordul de asociere a Canadei la pilonul II al programului Orizont Europa, oferind cercetătorilor și organizațiilor canadiene posibilitatea de a participa la această parte a programului în condiții de egalitate cu omologii lor din UE. Ca urmare a acestui fapt, Canada a înregistrat deja peste 100 de participări la proiecte Orizont Europa. Se preconizează că această cifră va crește considerabil, deoarece multe propuneri de proiecte cu participarea Canadei sunt în curs de evaluare sau se află în faza de pregătire a acordului de grant. </w:t>
      </w:r>
    </w:p>
    <w:p w14:paraId="69C5526F" w14:textId="6929E5EB" w:rsidR="006E6022" w:rsidRPr="005E06B7" w:rsidRDefault="3BD236A1"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Cooperarea cu India s-a intensificat de la lansarea Consiliului UE-India pentru comerț și tehnologie (CCT)</w:t>
      </w:r>
      <w:r>
        <w:rPr>
          <w:rStyle w:val="FootnoteReference"/>
          <w:rFonts w:ascii="Times New Roman" w:hAnsi="Times New Roman" w:cs="Times New Roman"/>
          <w:noProof/>
          <w:sz w:val="24"/>
          <w:szCs w:val="24"/>
        </w:rPr>
        <w:footnoteReference w:id="77"/>
      </w:r>
      <w:r>
        <w:rPr>
          <w:rFonts w:ascii="Times New Roman" w:hAnsi="Times New Roman"/>
          <w:noProof/>
          <w:sz w:val="24"/>
        </w:rPr>
        <w:t>, axat pe tehnologiile energetice digitale, verzi și curate. În cadrul celei de a doua reuniuni ministeriale a CCT de la New Delhi din februarie 2025 s-a convenit asupra continuării cooperării tehnologice cu investiții financiare comune în cercetarea colaborativă privind poluarea marină, transformarea deșeurilor în hidrogen din surse regenerabile și tehnologii de reciclare a bateriilor pentru vehiculele electrice. În plus, se va pune un accent mai mare pe facilitarea colaborării între start-upurile din India și din UE. Comunicarea comună privind o nouă Agendă strategică UE-India identifică tehnologia și inovarea ca fiind un pilon central al viitoarei cooperări UE-India</w:t>
      </w:r>
      <w:r>
        <w:rPr>
          <w:rStyle w:val="FootnoteReference"/>
          <w:rFonts w:ascii="Times New Roman" w:hAnsi="Times New Roman" w:cs="Times New Roman"/>
          <w:noProof/>
          <w:sz w:val="24"/>
          <w:szCs w:val="24"/>
        </w:rPr>
        <w:footnoteReference w:id="78"/>
      </w:r>
      <w:r>
        <w:rPr>
          <w:rFonts w:ascii="Times New Roman" w:hAnsi="Times New Roman"/>
          <w:noProof/>
          <w:sz w:val="24"/>
        </w:rPr>
        <w:t>. În plus, acordul bilateral de cooperare științifică și tehnologică UE-India a fost reînnoit, fiind valabil până în 2030.</w:t>
      </w:r>
    </w:p>
    <w:p w14:paraId="3752E774" w14:textId="7D1D3436" w:rsidR="00207482" w:rsidRDefault="00A75ACA"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Relațiile cu Brazilia sunt deosebit de solide în domeniul tehnologiilor tranziției verzi, cum ar fi biorafinăriile integrate și tehnologiile de energie solară, precum și în domeniul biodiversității, al cercetării marine, al abordărilor ecosistemice/bazate pe natură ale orașelor sustenabile, al sustenabilității și al sănătății. Comisia a contribuit la agenda președinției braziliene a G20, ajutând la asigurarea adoptării Strategiei G20 de promovare a cooperării deschise în materie de inovare, a recomandărilor G20 privind diversitatea, echitatea, incluziunea și accesibilitatea în știință, tehnologie și inovare și a celor 10 principii directoare ale Inițiativei globale privind bioeconomia.</w:t>
      </w:r>
    </w:p>
    <w:p w14:paraId="755A0B5B" w14:textId="587AF9C6" w:rsidR="006D4CAA" w:rsidRPr="002268C8" w:rsidRDefault="0098448A" w:rsidP="006D4CAA">
      <w:pPr>
        <w:spacing w:after="120" w:line="276" w:lineRule="auto"/>
        <w:jc w:val="both"/>
        <w:rPr>
          <w:rFonts w:ascii="Times New Roman" w:hAnsi="Times New Roman" w:cs="Times New Roman"/>
          <w:noProof/>
          <w:sz w:val="24"/>
          <w:szCs w:val="24"/>
        </w:rPr>
      </w:pPr>
      <w:r>
        <w:rPr>
          <w:rFonts w:ascii="Times New Roman" w:hAnsi="Times New Roman"/>
          <w:noProof/>
          <w:sz w:val="24"/>
        </w:rPr>
        <w:t>Relația consolidată dintre UE și Africa de Sud se reflectă în rezultatele summitului din 2025 și în lansarea primului Parteneriat pentru comerț și investiții curate, precum și în participarea remarcabilă a Africii de Sud la programul Orizont Europa, aceasta fiind prima dintre țările africane, atât în ceea ce privește volumul granturilor, cât și numărul de proiecte. Africa de Sud joacă un rol principal în punerea în aplicare a Agendei de inovare UA-UE prin cofinanțarea mai multor inițiative de cooperare în domeniul C&amp;I, cum ar fi Parteneriatul comun pe termen lung UA-UE pentru cercetare și inovare în domeniul energiei sustenabile (LEAP-SE). UE a colaborat foarte strâns cu președinția sud-africană a G20 în 2025, sprijinind adoptarea recomandărilor G20 privind implicarea științifică.</w:t>
      </w:r>
    </w:p>
    <w:p w14:paraId="35418346" w14:textId="77777777" w:rsidR="00912308" w:rsidRPr="00D05EA1" w:rsidRDefault="000C598C" w:rsidP="00C33703">
      <w:pPr>
        <w:pStyle w:val="ListParagraph"/>
        <w:numPr>
          <w:ilvl w:val="1"/>
          <w:numId w:val="11"/>
        </w:numPr>
        <w:spacing w:after="120" w:line="276" w:lineRule="auto"/>
        <w:ind w:left="788" w:hanging="431"/>
        <w:jc w:val="both"/>
        <w:rPr>
          <w:b/>
          <w:noProof/>
          <w:szCs w:val="20"/>
        </w:rPr>
      </w:pPr>
      <w:r>
        <w:rPr>
          <w:b/>
          <w:noProof/>
        </w:rPr>
        <w:t>Aprofundarea parteneriatelor UE cu Africa, America Latină și zona Caraibilor și Asia de Sud-Est</w:t>
      </w:r>
    </w:p>
    <w:p w14:paraId="163CA523" w14:textId="19055D9D" w:rsidR="00FD656F" w:rsidRPr="00D05EA1" w:rsidRDefault="7E331096"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și-a îndeplinit angajamentul de a spori sprijinul pentru cooperarea în domeniul C&amp;I cu Africa, prin elaborarea și adoptarea, în 2023, a Agendei de inovare comune UA-UE, împreună cu Comisia Uniunii Africane și cu statele membre. </w:t>
      </w:r>
      <w:r>
        <w:rPr>
          <w:rFonts w:ascii="Times New Roman" w:hAnsi="Times New Roman"/>
          <w:noProof/>
          <w:color w:val="000000" w:themeColor="text1"/>
          <w:sz w:val="24"/>
        </w:rPr>
        <w:t>Agenda de inovare UA-UE stabilește un nou cadru pentru adoptarea rezultatelor cercetării axate pe sănătatea publică și pe tranziția verde și digitală, pentru a sprijini crearea de locuri de muncă și creșterea economică prin schimbul de tehnologie și de expertiză</w:t>
      </w:r>
      <w:r>
        <w:rPr>
          <w:rStyle w:val="FootnoteReference"/>
          <w:rFonts w:ascii="Times New Roman" w:eastAsia="Times New Roman" w:hAnsi="Times New Roman" w:cs="Times New Roman"/>
          <w:noProof/>
          <w:sz w:val="24"/>
          <w:szCs w:val="24"/>
          <w:lang w:eastAsia="en-GB"/>
        </w:rPr>
        <w:footnoteReference w:id="79"/>
      </w:r>
      <w:r>
        <w:rPr>
          <w:rFonts w:ascii="Times New Roman" w:hAnsi="Times New Roman"/>
          <w:noProof/>
          <w:color w:val="000000" w:themeColor="text1"/>
          <w:sz w:val="24"/>
        </w:rPr>
        <w:t xml:space="preserve">. </w:t>
      </w:r>
      <w:r>
        <w:rPr>
          <w:rFonts w:ascii="Times New Roman" w:hAnsi="Times New Roman"/>
          <w:noProof/>
          <w:sz w:val="24"/>
        </w:rPr>
        <w:t>Inițiativele africane din cadrul programului Orizont Europa au stimulat colaborarea dintre cercetătorii din ambele regiuni cu o medie anuală de 40 %</w:t>
      </w:r>
      <w:r>
        <w:rPr>
          <w:rFonts w:ascii="Times New Roman" w:eastAsia="Times New Roman" w:hAnsi="Times New Roman" w:cs="Times New Roman"/>
          <w:noProof/>
          <w:sz w:val="24"/>
          <w:szCs w:val="24"/>
          <w:vertAlign w:val="superscript"/>
          <w:lang w:eastAsia="en-GB"/>
        </w:rPr>
        <w:footnoteReference w:id="80"/>
      </w:r>
      <w:r>
        <w:rPr>
          <w:rFonts w:ascii="Times New Roman" w:hAnsi="Times New Roman"/>
          <w:noProof/>
          <w:sz w:val="24"/>
        </w:rPr>
        <w:t xml:space="preserve">. Parteneriatul UA-UE în domeniul C&amp;I privind securitatea alimentară și nutrițională și agricultura sustenabilă reunește peste 70 de finanțatori ai cercetării din Africa și Europa. În cadrul pachetului de investiții Global Gateway Africa-Europa, „Programul de parteneriat spațial Africa-UE” este sprijinit de o investiție în valoare de 100 de milioane EUR, axată pe dezvoltarea de servicii spațiale care promovează în special adoptarea programului Copernicus pentru îmbunătățirea sistemelor de alertă timpurie pentru cunoștințe privind condițiile meteorologice periculoase și schimbările climatice, consolidând colaborarea instituțională dintre UE și Africa și sprijinind capacitățile industriei spațiale. Programul „Centre regionale de excelență (CER) privind tranziția verde” este un program în valoare de 80 de milioane EUR menit să sprijine generarea și gestionarea cunoștințelor printr-o mai bună producție, accesare și partajare a datelor. Pornind de la faza-pilot a programului Inițiativa africană de cercetare pentru excelența științifică (ARISE) pus în aplicare de Academia Africană de Științe, a fost anunțat un sprijin similar în valoare de 25 de milioane EUR pentru o a doua etapă, care a atras angajamente suplimentare din partea statelor membre ale UA. Cu ocazia celei de a 15-a aniversări a dialogului politic la nivel înalt UA-UE privind știința, tehnologia și inovarea, în octombrie 2025 au fost organizate o serie de evenimente, inclusiv un atelier privind IA în știință în cadrul colaborărilor Africa-Europa, dialogul UA-UE privind diplomația științifică, un târg de inovare organizat în parteneriat cu Uniunea pentru Mediterana și reuniunea la nivel de înalți funcționari UA-UE în domeniul C&amp;I. </w:t>
      </w:r>
    </w:p>
    <w:p w14:paraId="62368C11" w14:textId="6423715A" w:rsidR="001B044A" w:rsidRPr="005E06B7" w:rsidRDefault="001B044A" w:rsidP="001B044A">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Cooperarea cu Comunitatea Statelor Latinoamericane și Caraibiene (CELAC) a căpătat un nou impuls odată cu prima reuniune ministerială UE-CELAC privind C&amp;I, care a avut loc la Bruxelles în septembrie 2025. În cadrul acestei reuniuni, miniștrii UE și CELAC au aprobat o declarație ministerială și o nouă agendă pentru cooperarea UE-CELAC în domeniul C&amp;I, instituind trei grupuri de lucru în domeniile i) sănătății, ii) schimbărilor climatice, sustenabilității mediului și tranziției energetice și iii) IA în domeniul științific, completând Grupul de lucru existent privind infrastructura de cercetare. Fiecare grup va elabora foi de parcurs operaționale care definesc prioritățile, activitățile și rezultatele preconizate pentru cooperarea biregională în domeniul prioritar în cauză. Inițiativa UE-ALC privind cooperarea în materie de inovare a fost lansată în octombrie 2023 pentru a crea și a operaționaliza o rețea de incubatoare și acceleratoare de start-upuri existente și pentru a structura prezența în materie de inovare a statelor membre ale UE în regiunea ALC. În regiunea Caraibilor, în cadrul Agendei de investiții „Global Gateway” (GGIA), a fost lansată o acțiune privind Sargassumul, conferind cooperării pentru dezvoltare a UE o dimensiune C&amp;I.</w:t>
      </w:r>
    </w:p>
    <w:p w14:paraId="06AA9427" w14:textId="42FBCFDE" w:rsidR="00815E22" w:rsidRPr="00955BBF" w:rsidRDefault="007828BB" w:rsidP="00815E22">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Competitivitatea și securitatea UE sunt strâns legate de </w:t>
      </w:r>
      <w:r>
        <w:rPr>
          <w:rFonts w:ascii="Times New Roman" w:hAnsi="Times New Roman"/>
          <w:noProof/>
          <w:color w:val="111111"/>
          <w:sz w:val="24"/>
        </w:rPr>
        <w:t>Asociația Națiunilor din Asia de Sud-Est (ASEAN)</w:t>
      </w:r>
      <w:r>
        <w:rPr>
          <w:rFonts w:ascii="Times New Roman" w:hAnsi="Times New Roman"/>
          <w:noProof/>
          <w:sz w:val="24"/>
        </w:rPr>
        <w:t xml:space="preserve">, ceea ce impune UE să își consolideze cooperarea în domeniul C&amp;I cu regiunea. Cooperarea se axează pe tehnologiile verzi, transformarea digitală, inovațiile din domeniul asistenței medicale și schimbul de experiență în ceea ce privește integrarea regională (infrastructurile de cercetare, mobilitatea talentelor, transferul de tehnologie). Dialogul ASEAN-UE privind știința, tehnologia și inovarea a identificat noi domenii de colaborare: inovare/start-upuri, diplomație științifică și egalitate de gen în C&amp;I. </w:t>
      </w:r>
    </w:p>
    <w:p w14:paraId="0073EC56" w14:textId="77777777" w:rsidR="00C33703" w:rsidRPr="00955BBF" w:rsidRDefault="00C33703" w:rsidP="0047717E">
      <w:pPr>
        <w:spacing w:after="120" w:line="276" w:lineRule="auto"/>
        <w:jc w:val="both"/>
        <w:rPr>
          <w:rFonts w:ascii="Times New Roman" w:eastAsia="Times New Roman" w:hAnsi="Times New Roman" w:cs="Times New Roman"/>
          <w:noProof/>
          <w:sz w:val="24"/>
          <w:szCs w:val="24"/>
          <w:lang w:val="en-GB"/>
        </w:rPr>
      </w:pPr>
    </w:p>
    <w:p w14:paraId="6751E685" w14:textId="77777777" w:rsidR="00912308" w:rsidRPr="00D05EA1" w:rsidRDefault="00912308" w:rsidP="00C33703">
      <w:pPr>
        <w:pStyle w:val="ListParagraph"/>
        <w:numPr>
          <w:ilvl w:val="0"/>
          <w:numId w:val="11"/>
        </w:numPr>
        <w:spacing w:after="120" w:line="276" w:lineRule="auto"/>
        <w:ind w:left="357" w:hanging="357"/>
        <w:jc w:val="both"/>
        <w:rPr>
          <w:b/>
          <w:smallCaps/>
          <w:noProof/>
          <w:szCs w:val="20"/>
        </w:rPr>
      </w:pPr>
      <w:r>
        <w:rPr>
          <w:b/>
          <w:smallCaps/>
          <w:noProof/>
        </w:rPr>
        <w:t>Concluzii</w:t>
      </w:r>
    </w:p>
    <w:p w14:paraId="7D44BF00" w14:textId="056CC581" w:rsidR="008C7318" w:rsidRDefault="005E7E28" w:rsidP="00BD265A">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De la adoptarea, în 2021, a Abordării globale a cercetării și a inovării, au avut loc evoluții externe neprevăzute majore, cum ar fi războiul de agresiune al Rusiei împotriva Ucrainei, escaladarea conflictului din Orientul Mijlociu, schimbările fundamentale în politicile SUA privind știința, schimbările climatice, mediul sau sănătatea, precum și schimbări radicale în aplicarea tehnologiilor revoluționare, cum ar fi IA. Aceste evoluții afectează profund peisajul global al C&amp;I și impun ca UE să devină mult mai asertivă în apărarea intereselor sale politice și economice și în promovarea valorilor sale la nivel mondial. Rolul de reper pentru libertatea academică și libertatea cercetării științifice și egalitatea de gen este esențial pentru ambiția UE de a atrage cele mai bune talente științifice, cu sprijin din partea inițiativei „Alegeți Europa pentru știință”.</w:t>
      </w:r>
    </w:p>
    <w:p w14:paraId="10CD327B" w14:textId="0DE9AFD8" w:rsidR="008D0453" w:rsidRPr="00F2630A" w:rsidRDefault="00496919" w:rsidP="008D0453">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UE a răspuns acestor provocări, de exemplu prin adoptarea Recomandării Consiliului privind consolidarea securității cercetării, dezvoltarea unui cadru european pentru diplomația științifică, instituirea dialogului multilateral privind principiile și valorile în cooperarea internațională în domeniul C&amp;I și asocierea principalilor parteneri mondiali la programul Orizont Europa, creând în același timp condiții de concurență echitabile și reciprocitate, în special cu China. Menținându-și angajamentul față de Pactul verde european, prioritățile UE s-au orientat către tranziția curată și consolidarea competitivității UE, cu accent, de asemenea, pe apărare și pe dubla utilizare.</w:t>
      </w:r>
    </w:p>
    <w:p w14:paraId="06B51116" w14:textId="7C5162F2" w:rsidR="008B424E" w:rsidRPr="004E6AC7" w:rsidRDefault="00CF2361"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Plasarea C&amp;I în centrul competitivității UE înseamnă, de asemenea, plasarea acesteia în centrul acțiunii externe a UE. UE trebuie să dea dovadă că este un lider exemplar în utilizarea C&amp;I pentru promovarea păcii și a multilateralismului și pentru atingerea obiectivelor de dezvoltare durabilă ale ONU pentru 2030, inclusiv prin combaterea schimbărilor climatice și a pierderii biodiversității. În acest nou context, principiile deschiderii și securității stabilite în abordarea globală a cercetării și a inovării rămân valabile. În unele domenii sunt necesare evoluții și ajustări suplimentare. Printre acestea se numără domenii legate de asigurarea unor condiții de concurență echitabile și a reciprocității în cooperarea internațională în domeniul C&amp;I, ținând seama de priorități tematice precum competitivitatea și un accent mai puternic pe start-upuri și pe întreprinderile în curs de extindere, precum și de schimbarea priorităților geografice. Acest lucru este esențial pentru a asigura că UE își apără interesele și rămâne în avangarda C&amp;I, fiind în același timp un partener de încredere pe care restul lumii se poate baza.</w:t>
      </w:r>
    </w:p>
    <w:sectPr w:rsidR="008B424E" w:rsidRPr="004E6AC7" w:rsidSect="00C7070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A9D4A" w14:textId="77777777" w:rsidR="002148A5" w:rsidRDefault="002148A5" w:rsidP="00C7070C">
      <w:pPr>
        <w:spacing w:after="0" w:line="240" w:lineRule="auto"/>
      </w:pPr>
      <w:r>
        <w:separator/>
      </w:r>
    </w:p>
  </w:endnote>
  <w:endnote w:type="continuationSeparator" w:id="0">
    <w:p w14:paraId="41A537CE" w14:textId="77777777" w:rsidR="002148A5" w:rsidRDefault="002148A5" w:rsidP="00C7070C">
      <w:pPr>
        <w:spacing w:after="0" w:line="240" w:lineRule="auto"/>
      </w:pPr>
      <w:r>
        <w:continuationSeparator/>
      </w:r>
    </w:p>
  </w:endnote>
  <w:endnote w:type="continuationNotice" w:id="1">
    <w:p w14:paraId="03DFAEB5" w14:textId="77777777" w:rsidR="002148A5" w:rsidRDefault="002148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956DC" w14:textId="772E8844" w:rsidR="00B8563E" w:rsidRPr="00B8563E" w:rsidRDefault="00B8563E" w:rsidP="00B8563E">
    <w:pPr>
      <w:pStyle w:val="FooterCoverPage"/>
      <w:rPr>
        <w:rFonts w:ascii="Arial" w:hAnsi="Arial" w:cs="Arial"/>
        <w:b/>
        <w:sz w:val="48"/>
      </w:rPr>
    </w:pPr>
    <w:r w:rsidRPr="00B8563E">
      <w:rPr>
        <w:rFonts w:ascii="Arial" w:hAnsi="Arial" w:cs="Arial"/>
        <w:b/>
        <w:sz w:val="48"/>
      </w:rPr>
      <w:t>RO</w:t>
    </w:r>
    <w:r w:rsidRPr="00B8563E">
      <w:rPr>
        <w:rFonts w:ascii="Arial" w:hAnsi="Arial" w:cs="Arial"/>
        <w:b/>
        <w:sz w:val="48"/>
      </w:rPr>
      <w:tab/>
    </w:r>
    <w:r w:rsidRPr="00B8563E">
      <w:rPr>
        <w:rFonts w:ascii="Arial" w:hAnsi="Arial" w:cs="Arial"/>
        <w:b/>
        <w:sz w:val="48"/>
      </w:rPr>
      <w:tab/>
    </w:r>
    <w:r w:rsidRPr="00B8563E">
      <w:tab/>
    </w:r>
    <w:r w:rsidRPr="00B8563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F0DBD" w14:textId="2CAC5B9A" w:rsidR="00B8563E" w:rsidRPr="00B8563E" w:rsidRDefault="00B8563E" w:rsidP="00B8563E">
    <w:pPr>
      <w:pStyle w:val="FooterCoverPage"/>
      <w:rPr>
        <w:rFonts w:ascii="Arial" w:hAnsi="Arial" w:cs="Arial"/>
        <w:b/>
        <w:sz w:val="48"/>
      </w:rPr>
    </w:pPr>
    <w:r w:rsidRPr="00B8563E">
      <w:rPr>
        <w:rFonts w:ascii="Arial" w:hAnsi="Arial" w:cs="Arial"/>
        <w:b/>
        <w:sz w:val="48"/>
      </w:rPr>
      <w:t>RO</w:t>
    </w:r>
    <w:r w:rsidRPr="00B8563E">
      <w:rPr>
        <w:rFonts w:ascii="Arial" w:hAnsi="Arial" w:cs="Arial"/>
        <w:b/>
        <w:sz w:val="48"/>
      </w:rPr>
      <w:tab/>
    </w:r>
    <w:r w:rsidRPr="00B8563E">
      <w:rPr>
        <w:rFonts w:ascii="Arial" w:hAnsi="Arial" w:cs="Arial"/>
        <w:b/>
        <w:sz w:val="48"/>
      </w:rPr>
      <w:tab/>
    </w:r>
    <w:r w:rsidRPr="00B8563E">
      <w:tab/>
    </w:r>
    <w:r w:rsidRPr="00B8563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34B49" w14:textId="77777777" w:rsidR="00B8563E" w:rsidRPr="00B8563E" w:rsidRDefault="00B8563E" w:rsidP="00B8563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72DCC" w14:textId="77777777" w:rsidR="00287EB1" w:rsidRDefault="00287E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4AA31" w14:textId="4E76B4AD" w:rsidR="00287EB1" w:rsidRPr="00504C3E" w:rsidRDefault="00287EB1">
    <w:pPr>
      <w:pStyle w:val="Footer"/>
      <w:jc w:val="center"/>
      <w:rPr>
        <w:rFonts w:ascii="Times New Roman" w:hAnsi="Times New Roman" w:cs="Times New Roman"/>
        <w:caps/>
        <w:noProof/>
        <w:color w:val="5B9BD5" w:themeColor="accent1"/>
      </w:rPr>
    </w:pPr>
    <w:r>
      <w:rPr>
        <w:rFonts w:ascii="Times New Roman" w:hAnsi="Times New Roman" w:cs="Times New Roman"/>
        <w:caps/>
        <w:color w:val="5B9BD5" w:themeColor="accent1"/>
      </w:rPr>
      <w:fldChar w:fldCharType="begin"/>
    </w:r>
    <w:r>
      <w:rPr>
        <w:rFonts w:ascii="Times New Roman" w:hAnsi="Times New Roman" w:cs="Times New Roman"/>
        <w:caps/>
        <w:color w:val="5B9BD5" w:themeColor="accent1"/>
      </w:rPr>
      <w:instrText xml:space="preserve"> PAGE   \* MERGEFORMAT </w:instrText>
    </w:r>
    <w:r>
      <w:rPr>
        <w:rFonts w:ascii="Times New Roman" w:hAnsi="Times New Roman" w:cs="Times New Roman"/>
        <w:caps/>
        <w:color w:val="5B9BD5" w:themeColor="accent1"/>
      </w:rPr>
      <w:fldChar w:fldCharType="separate"/>
    </w:r>
    <w:r w:rsidR="00B8563E">
      <w:rPr>
        <w:rFonts w:ascii="Times New Roman" w:hAnsi="Times New Roman" w:cs="Times New Roman"/>
        <w:caps/>
        <w:noProof/>
        <w:color w:val="5B9BD5" w:themeColor="accent1"/>
      </w:rPr>
      <w:t>2</w:t>
    </w:r>
    <w:r>
      <w:rPr>
        <w:rFonts w:ascii="Times New Roman" w:hAnsi="Times New Roman" w:cs="Times New Roman"/>
        <w:caps/>
        <w:color w:val="5B9BD5" w:themeColor="accent1"/>
      </w:rPr>
      <w:fldChar w:fldCharType="end"/>
    </w:r>
  </w:p>
  <w:p w14:paraId="0581D380" w14:textId="77777777" w:rsidR="00287EB1" w:rsidRDefault="00287E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4A49" w14:textId="77777777" w:rsidR="00287EB1" w:rsidRDefault="00287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77F8E" w14:textId="77777777" w:rsidR="002148A5" w:rsidRDefault="002148A5" w:rsidP="00C7070C">
      <w:pPr>
        <w:spacing w:after="0" w:line="240" w:lineRule="auto"/>
      </w:pPr>
      <w:r>
        <w:separator/>
      </w:r>
    </w:p>
  </w:footnote>
  <w:footnote w:type="continuationSeparator" w:id="0">
    <w:p w14:paraId="1587D1E8" w14:textId="77777777" w:rsidR="002148A5" w:rsidRDefault="002148A5" w:rsidP="00C7070C">
      <w:pPr>
        <w:spacing w:after="0" w:line="240" w:lineRule="auto"/>
      </w:pPr>
      <w:r>
        <w:continuationSeparator/>
      </w:r>
    </w:p>
  </w:footnote>
  <w:footnote w:type="continuationNotice" w:id="1">
    <w:p w14:paraId="21C8E63F" w14:textId="77777777" w:rsidR="002148A5" w:rsidRDefault="002148A5">
      <w:pPr>
        <w:spacing w:after="0" w:line="240" w:lineRule="auto"/>
      </w:pPr>
    </w:p>
  </w:footnote>
  <w:footnote w:id="2">
    <w:p w14:paraId="44688763" w14:textId="4FD35E3E" w:rsidR="00EF58D0" w:rsidRPr="007A0BDD" w:rsidRDefault="00EF58D0" w:rsidP="00EF58D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252 final.</w:t>
      </w:r>
    </w:p>
  </w:footnote>
  <w:footnote w:id="3">
    <w:p w14:paraId="1D9F5571" w14:textId="0DE38701" w:rsidR="00503914" w:rsidRPr="00630C4A" w:rsidRDefault="005039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https://commission.europa.eu/document/download/833e082a-0c39-4bc6-a119-e0760ebc7360_en?filename=mission-letter-zaharieva.pdf</w:t>
        </w:r>
      </w:hyperlink>
      <w:r>
        <w:rPr>
          <w:rFonts w:ascii="Times New Roman" w:hAnsi="Times New Roman"/>
        </w:rPr>
        <w:t xml:space="preserve"> </w:t>
      </w:r>
    </w:p>
  </w:footnote>
  <w:footnote w:id="4">
    <w:p w14:paraId="580E96D5" w14:textId="7045F530" w:rsidR="00D666DE" w:rsidRPr="00563C3A" w:rsidRDefault="00D666DE"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Printre exemple se numără Strategia europeană pentru securitate economică [JOIN(2023) 20 final], Recomandarea Consiliului privind consolidarea securității cercetării [C/2024/3510], Comunicarea comună </w:t>
      </w:r>
      <w:r>
        <w:rPr>
          <w:rFonts w:ascii="Times New Roman" w:hAnsi="Times New Roman"/>
          <w:i/>
        </w:rPr>
        <w:t>„Consolidarea securității economice a UE”</w:t>
      </w:r>
      <w:r>
        <w:rPr>
          <w:rFonts w:ascii="Times New Roman" w:hAnsi="Times New Roman"/>
        </w:rPr>
        <w:t xml:space="preserve"> [JOIN(2025) 977 final], O Busolă pentru competitivitatea UE [COM(2025) 30 final], Strategia UE privind start-upurile și întreprinderile în fază de extindere [SWD(2025) 138 final], Strategia europeană privind infrastructurile de cercetare și tehnologie [COM(2025) 497 final/2], O strategie europeană pentru inteligența artificială în știință [COM(2025) 724 final], Pactul pentru o industrie curată [COM(2025) 85 final] și inițiativa „Alegeți Europa” (</w:t>
      </w:r>
      <w:hyperlink r:id="rId2" w:history="1">
        <w:r>
          <w:rPr>
            <w:rStyle w:val="Hyperlink"/>
            <w:rFonts w:ascii="Times New Roman" w:hAnsi="Times New Roman"/>
          </w:rPr>
          <w:t>https://commission.europa.eu/topics/research-and-innovation/choose-europe_en</w:t>
        </w:r>
      </w:hyperlink>
      <w:r>
        <w:rPr>
          <w:rFonts w:ascii="Times New Roman" w:hAnsi="Times New Roman"/>
        </w:rPr>
        <w:t xml:space="preserve">). </w:t>
      </w:r>
    </w:p>
  </w:footnote>
  <w:footnote w:id="5">
    <w:p w14:paraId="791ECC69" w14:textId="24BC6174" w:rsidR="00EF58D0" w:rsidRPr="007A0BDD" w:rsidRDefault="00EF58D0" w:rsidP="00EF58D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12301/21 RECH 425.</w:t>
      </w:r>
    </w:p>
  </w:footnote>
  <w:footnote w:id="6">
    <w:p w14:paraId="5C925125" w14:textId="324C71BF" w:rsidR="00EF58D0" w:rsidRPr="00E95844" w:rsidRDefault="00EF58D0"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w:t>
      </w:r>
      <w:r>
        <w:rPr>
          <w:rFonts w:ascii="Times New Roman" w:hAnsi="Times New Roman"/>
          <w:i/>
        </w:rPr>
        <w:t>Much More Than A Market</w:t>
      </w:r>
      <w:r>
        <w:rPr>
          <w:rFonts w:ascii="Times New Roman" w:hAnsi="Times New Roman"/>
        </w:rPr>
        <w:t xml:space="preserve"> („Mult mai mult decât o piață”) (raportul Letta), </w:t>
      </w:r>
      <w:r>
        <w:rPr>
          <w:rFonts w:ascii="Times New Roman" w:hAnsi="Times New Roman"/>
          <w:i/>
        </w:rPr>
        <w:t>The Future of European Competitiveness</w:t>
      </w:r>
      <w:r>
        <w:rPr>
          <w:rFonts w:ascii="Times New Roman" w:hAnsi="Times New Roman"/>
        </w:rPr>
        <w:t xml:space="preserve"> („Viitorul competitivității europene”) (raportul Draghi), </w:t>
      </w:r>
      <w:r>
        <w:rPr>
          <w:rFonts w:ascii="Times New Roman" w:hAnsi="Times New Roman"/>
          <w:i/>
        </w:rPr>
        <w:t>Un nivel mai mare de siguranță împreună – Consolidarea disponibilității și pregătirii în domeniul apărării civile și militare a Europei</w:t>
      </w:r>
      <w:r>
        <w:rPr>
          <w:rFonts w:ascii="Times New Roman" w:hAnsi="Times New Roman"/>
        </w:rPr>
        <w:t xml:space="preserve"> (raportul Niinistö), </w:t>
      </w:r>
      <w:r>
        <w:rPr>
          <w:rFonts w:ascii="Times New Roman" w:hAnsi="Times New Roman"/>
          <w:i/>
        </w:rPr>
        <w:t>Align, Act, Accelerate</w:t>
      </w:r>
      <w:r>
        <w:rPr>
          <w:rFonts w:ascii="Times New Roman" w:hAnsi="Times New Roman"/>
        </w:rPr>
        <w:t xml:space="preserve"> („Aliniere, acțiune, accelerare”) (raportul Heitor).</w:t>
      </w:r>
    </w:p>
  </w:footnote>
  <w:footnote w:id="7">
    <w:p w14:paraId="6064F767" w14:textId="39B47D9C" w:rsidR="00864467" w:rsidRPr="005F69F4" w:rsidRDefault="00864467" w:rsidP="0086446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3" w:history="1">
        <w:r>
          <w:rPr>
            <w:rStyle w:val="Hyperlink"/>
            <w:rFonts w:ascii="Times New Roman" w:hAnsi="Times New Roman"/>
          </w:rPr>
          <w:t>https://research-and-innovation.ec.europa.eu/document/download/94d6bb42-1fe7-478c-b6b4-d0be4dfb0204_en?filename=brussels-ministerial-statement-2024-02.pdf</w:t>
        </w:r>
      </w:hyperlink>
      <w:r>
        <w:rPr>
          <w:rFonts w:ascii="Times New Roman" w:hAnsi="Times New Roman"/>
        </w:rPr>
        <w:t>. Republica Turcia a aprobat declarația ministerială fără anexă.</w:t>
      </w:r>
    </w:p>
  </w:footnote>
  <w:footnote w:id="8">
    <w:p w14:paraId="169C7F36" w14:textId="51D41FCF" w:rsidR="00CB1B78" w:rsidRPr="003B1FF3" w:rsidRDefault="00CB1B78" w:rsidP="00CB1B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12301/21 RECH 425.</w:t>
      </w:r>
    </w:p>
  </w:footnote>
  <w:footnote w:id="9">
    <w:p w14:paraId="0CC8FF8E" w14:textId="77777777" w:rsidR="00CB1B78" w:rsidRPr="00BA1BA3" w:rsidRDefault="00CB1B78" w:rsidP="00CB1B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https://research-and-innovation.ec.europa.eu/news/all-research-and-innovation-news/launch-eu-science-diplomacy-working-groups-results-call-expressions-interest-published-2023-12-06_en</w:t>
        </w:r>
      </w:hyperlink>
      <w:r>
        <w:rPr>
          <w:rFonts w:ascii="Times New Roman" w:hAnsi="Times New Roman"/>
        </w:rPr>
        <w:t xml:space="preserve"> </w:t>
      </w:r>
    </w:p>
  </w:footnote>
  <w:footnote w:id="10">
    <w:p w14:paraId="670B44C8" w14:textId="77777777" w:rsidR="00847876" w:rsidRPr="00AC2FD6" w:rsidRDefault="00847876" w:rsidP="0084787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https://research-and-innovation.ec.europa.eu/document/download/0841de12-0dd2-4459-b59c-050943c04acd_en</w:t>
        </w:r>
      </w:hyperlink>
      <w:r>
        <w:rPr>
          <w:rFonts w:ascii="Times New Roman" w:hAnsi="Times New Roman"/>
        </w:rPr>
        <w:t xml:space="preserve"> </w:t>
      </w:r>
    </w:p>
  </w:footnote>
  <w:footnote w:id="11">
    <w:p w14:paraId="4387205C" w14:textId="77777777" w:rsidR="00CB1B78" w:rsidRPr="00AC2FD6" w:rsidRDefault="00CB1B78" w:rsidP="00CB1B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https://eu-science-diplomacy.service-facility.eu/</w:t>
        </w:r>
      </w:hyperlink>
      <w:r>
        <w:rPr>
          <w:rFonts w:ascii="Times New Roman" w:hAnsi="Times New Roman"/>
        </w:rPr>
        <w:t xml:space="preserve"> </w:t>
      </w:r>
    </w:p>
  </w:footnote>
  <w:footnote w:id="12">
    <w:p w14:paraId="5812D45B" w14:textId="6566986E" w:rsidR="00500982" w:rsidRPr="00563C3A" w:rsidRDefault="0050098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https://www.science-diplomacy.eu/</w:t>
        </w:r>
      </w:hyperlink>
      <w:r>
        <w:rPr>
          <w:rFonts w:ascii="Times New Roman" w:hAnsi="Times New Roman"/>
        </w:rPr>
        <w:t xml:space="preserve"> </w:t>
      </w:r>
    </w:p>
  </w:footnote>
  <w:footnote w:id="13">
    <w:p w14:paraId="18A83C0B" w14:textId="348AF333" w:rsidR="00973825" w:rsidRPr="00AC2406" w:rsidRDefault="00973825" w:rsidP="0097382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https://legalinstruments.oecd.org/en/instruments/OECD-LEGAL-0501</w:t>
        </w:r>
      </w:hyperlink>
      <w:r>
        <w:rPr>
          <w:rFonts w:ascii="Times New Roman" w:hAnsi="Times New Roman"/>
        </w:rPr>
        <w:t xml:space="preserve">. </w:t>
      </w:r>
    </w:p>
  </w:footnote>
  <w:footnote w:id="14">
    <w:p w14:paraId="0C2C3733" w14:textId="77777777" w:rsidR="003434A4" w:rsidRPr="00F853D1" w:rsidRDefault="003434A4" w:rsidP="003434A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https://saferesearchers.eu/</w:t>
        </w:r>
      </w:hyperlink>
      <w:r>
        <w:rPr>
          <w:rFonts w:ascii="Times New Roman" w:hAnsi="Times New Roman"/>
        </w:rPr>
        <w:t xml:space="preserve"> </w:t>
      </w:r>
    </w:p>
  </w:footnote>
  <w:footnote w:id="15">
    <w:p w14:paraId="0CE657DD" w14:textId="77777777" w:rsidR="00F53ED3" w:rsidRPr="00BF0260" w:rsidRDefault="00F53ED3" w:rsidP="00F53E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https://op.europa.eu/en/publication-detail/-/publication/0ad627da-a7ed-11f0-a7c5-01aa75ed71a1/language-en</w:t>
        </w:r>
      </w:hyperlink>
    </w:p>
  </w:footnote>
  <w:footnote w:id="16">
    <w:p w14:paraId="1C1F5B47" w14:textId="0B994265" w:rsidR="00B73B31" w:rsidRPr="00AC2406" w:rsidRDefault="00B73B3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https://allea.org/code-of-conduct/</w:t>
        </w:r>
      </w:hyperlink>
      <w:r>
        <w:rPr>
          <w:rFonts w:ascii="Times New Roman" w:hAnsi="Times New Roman"/>
        </w:rPr>
        <w:t xml:space="preserve"> </w:t>
      </w:r>
    </w:p>
  </w:footnote>
  <w:footnote w:id="17">
    <w:p w14:paraId="641EDD57" w14:textId="2FE19AFC" w:rsidR="00B110D4" w:rsidRPr="00AC2406" w:rsidRDefault="00B110D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https://www.globalcodeofconduct.org/</w:t>
        </w:r>
      </w:hyperlink>
      <w:r>
        <w:rPr>
          <w:rFonts w:ascii="Times New Roman" w:hAnsi="Times New Roman"/>
        </w:rPr>
        <w:t xml:space="preserve"> </w:t>
      </w:r>
    </w:p>
  </w:footnote>
  <w:footnote w:id="18">
    <w:p w14:paraId="06C1AB6E" w14:textId="669D53FA" w:rsidR="007C3E38" w:rsidRPr="003B1FF3" w:rsidRDefault="007C3E3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https://www.inserm.fr/en/ethics/volrethics/</w:t>
        </w:r>
      </w:hyperlink>
      <w:r>
        <w:rPr>
          <w:rFonts w:ascii="Times New Roman" w:hAnsi="Times New Roman"/>
        </w:rPr>
        <w:t xml:space="preserve"> </w:t>
      </w:r>
    </w:p>
  </w:footnote>
  <w:footnote w:id="19">
    <w:p w14:paraId="047DE2B1" w14:textId="6CEF178C" w:rsidR="00C3113A" w:rsidRPr="00C3113A" w:rsidRDefault="00C3113A">
      <w:pPr>
        <w:pStyle w:val="FootnoteText"/>
      </w:pPr>
      <w:r>
        <w:rPr>
          <w:rStyle w:val="FootnoteReference"/>
          <w:rFonts w:ascii="Times New Roman" w:hAnsi="Times New Roman" w:cs="Times New Roman"/>
        </w:rPr>
        <w:footnoteRef/>
      </w:r>
      <w:r>
        <w:rPr>
          <w:rFonts w:ascii="Times New Roman" w:hAnsi="Times New Roman"/>
        </w:rPr>
        <w:t xml:space="preserve"> Pus în aplicare începând cu cererile de propuneri cu termene-limită începând din 2022.</w:t>
      </w:r>
    </w:p>
  </w:footnote>
  <w:footnote w:id="20">
    <w:p w14:paraId="50645AC7" w14:textId="153DD834" w:rsidR="000C6586" w:rsidRPr="00955BBF" w:rsidRDefault="000C658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Cifre conform tabloului de bord al programului Orizont Europa din 2.7.2025.</w:t>
      </w:r>
    </w:p>
  </w:footnote>
  <w:footnote w:id="21">
    <w:p w14:paraId="61BAAD58" w14:textId="5ABC1629" w:rsidR="00A61AB2" w:rsidRPr="0044585A" w:rsidRDefault="00A61AB2" w:rsidP="00A61AB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Cooperarea la nivel mondial în cadrul acțiunilor Marie Skłodowska-Curie: Consolidarea politicilor și promovarea strategică (</w:t>
      </w:r>
      <w:hyperlink r:id="rId14" w:history="1">
        <w:r>
          <w:rPr>
            <w:rStyle w:val="Hyperlink"/>
            <w:rFonts w:ascii="Times New Roman" w:hAnsi="Times New Roman"/>
          </w:rPr>
          <w:t>https://msca-glopol.eu/</w:t>
        </w:r>
      </w:hyperlink>
      <w:r>
        <w:rPr>
          <w:rFonts w:ascii="Times New Roman" w:hAnsi="Times New Roman"/>
        </w:rPr>
        <w:t xml:space="preserve">) </w:t>
      </w:r>
    </w:p>
  </w:footnote>
  <w:footnote w:id="22">
    <w:p w14:paraId="4824B738" w14:textId="77777777" w:rsidR="00961A32" w:rsidRPr="00487985" w:rsidRDefault="00961A32" w:rsidP="00961A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https://joint-research-centre.ec.europa.eu/tools-and-laboratories/open-access-jrc-research-infrastructures_en</w:t>
        </w:r>
      </w:hyperlink>
      <w:r>
        <w:rPr>
          <w:rFonts w:ascii="Times New Roman" w:hAnsi="Times New Roman"/>
        </w:rPr>
        <w:t xml:space="preserve"> </w:t>
      </w:r>
    </w:p>
  </w:footnote>
  <w:footnote w:id="23">
    <w:p w14:paraId="4395B55D" w14:textId="77777777" w:rsidR="00961A32" w:rsidRPr="00487985" w:rsidRDefault="00961A32" w:rsidP="00961A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https://www.gsogri.org/</w:t>
        </w:r>
      </w:hyperlink>
      <w:r>
        <w:rPr>
          <w:rFonts w:ascii="Times New Roman" w:hAnsi="Times New Roman"/>
        </w:rPr>
        <w:t xml:space="preserve"> </w:t>
      </w:r>
    </w:p>
  </w:footnote>
  <w:footnote w:id="24">
    <w:p w14:paraId="615B7857" w14:textId="77777777" w:rsidR="00961A32" w:rsidRPr="00487985" w:rsidRDefault="00961A32" w:rsidP="00961A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https://icri2024.au/about-icri/brisbane-statement/</w:t>
        </w:r>
      </w:hyperlink>
      <w:r>
        <w:rPr>
          <w:rFonts w:ascii="Times New Roman" w:hAnsi="Times New Roman"/>
        </w:rPr>
        <w:t xml:space="preserve"> </w:t>
      </w:r>
    </w:p>
  </w:footnote>
  <w:footnote w:id="25">
    <w:p w14:paraId="3421C98A" w14:textId="079E6EAB" w:rsidR="00753B72" w:rsidRPr="00753B72" w:rsidRDefault="00753B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C/2024/3510.</w:t>
      </w:r>
    </w:p>
  </w:footnote>
  <w:footnote w:id="26">
    <w:p w14:paraId="003F9AE7" w14:textId="75862EC5" w:rsidR="00753B72" w:rsidRPr="00753B72" w:rsidRDefault="00753B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JOIN(2023) 20 final și JOIN(2025) 977 final.</w:t>
      </w:r>
    </w:p>
  </w:footnote>
  <w:footnote w:id="27">
    <w:p w14:paraId="58D7B47C" w14:textId="07F07C6B" w:rsidR="00753B72" w:rsidRDefault="00753B72">
      <w:pPr>
        <w:pStyle w:val="FootnoteText"/>
      </w:pPr>
      <w:r>
        <w:rPr>
          <w:rStyle w:val="FootnoteReference"/>
          <w:rFonts w:ascii="Times New Roman" w:hAnsi="Times New Roman" w:cs="Times New Roman"/>
        </w:rPr>
        <w:footnoteRef/>
      </w:r>
      <w:r>
        <w:rPr>
          <w:rFonts w:ascii="Times New Roman" w:hAnsi="Times New Roman"/>
        </w:rPr>
        <w:t xml:space="preserve"> COM(2024) 27 final.</w:t>
      </w:r>
    </w:p>
  </w:footnote>
  <w:footnote w:id="28">
    <w:p w14:paraId="50B9A79E" w14:textId="1CB17667" w:rsidR="00D6441C" w:rsidRPr="00D6441C" w:rsidRDefault="00D6441C">
      <w:pPr>
        <w:pStyle w:val="FootnoteText"/>
      </w:pPr>
      <w:r>
        <w:rPr>
          <w:rStyle w:val="FootnoteReference"/>
        </w:rPr>
        <w:footnoteRef/>
      </w:r>
      <w:r>
        <w:t xml:space="preserve"> </w:t>
      </w:r>
      <w:r>
        <w:rPr>
          <w:rFonts w:ascii="Times New Roman" w:hAnsi="Times New Roman"/>
        </w:rPr>
        <w:t>A se vedea</w:t>
      </w:r>
      <w:hyperlink r:id="rId18" w:history="1">
        <w:r>
          <w:rPr>
            <w:rStyle w:val="Hyperlink"/>
            <w:rFonts w:ascii="Times New Roman" w:hAnsi="Times New Roman"/>
          </w:rPr>
          <w:t>https://research-and-innovation.ec.europa.eu/news/all-research-and-innovation-news/new-publications-dual-use-provide-strategic-input-future-eu-ri-policies-2025-06-25_en</w:t>
        </w:r>
      </w:hyperlink>
      <w:r>
        <w:rPr>
          <w:rFonts w:ascii="Times New Roman" w:hAnsi="Times New Roman"/>
        </w:rPr>
        <w:t xml:space="preserve"> </w:t>
      </w:r>
    </w:p>
  </w:footnote>
  <w:footnote w:id="29">
    <w:p w14:paraId="28D70A63" w14:textId="5C439F9D" w:rsidR="00F352AD" w:rsidRPr="00F352AD" w:rsidRDefault="00F352AD"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22 alineatul (5) din Regulamentul de instituire a programului Orizont Europa prevede posibilitatea de limitare a participării la entități juridice stabilite în statele membre sau în anumite țări asociate sau în alte țări din afara UE, astfel cum sunt specificate în programul de lucru, pentru a proteja activele strategice, interesele, autonomia sau securitatea UE. Restricțiile pot fi aplicate, de asemenea, entităților stabilite în țări care sunt eligibile, dar care sunt controlate direct sau indirect de către o țară neeligibilă sau de către o entitate stabilită într-o țară neeligibilă.</w:t>
      </w:r>
    </w:p>
  </w:footnote>
  <w:footnote w:id="30">
    <w:p w14:paraId="2A7C23ED" w14:textId="5E17236A" w:rsidR="00725FEB" w:rsidRPr="00E0676E" w:rsidRDefault="00725FEB" w:rsidP="00725FEB">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Inclusiv modificările aprobate în 2024. În plus, întreprinderea comună pentru calculul european de înaltă performanță (EuroHPC) a aplicat articolul 22 alineatul (5) în cadrul unei acțiuni din programul său de lucru pentru 2023.</w:t>
      </w:r>
    </w:p>
  </w:footnote>
  <w:footnote w:id="31">
    <w:p w14:paraId="3AA2B17C" w14:textId="283E60C5" w:rsidR="002E25A3" w:rsidRPr="00955BBF" w:rsidRDefault="002E25A3" w:rsidP="00955BB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Articolele 39 și 40 din Regulamentul de instituire a programului Orizont Europa.</w:t>
      </w:r>
    </w:p>
  </w:footnote>
  <w:footnote w:id="32">
    <w:p w14:paraId="72292115" w14:textId="2552F226" w:rsidR="00F352AD" w:rsidRPr="00F352AD" w:rsidRDefault="00F352AD"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acest lucru este oportun și justificat, articolul 22 alineatul (6) din Regulamentul de instituire a programului Orizont Europa permite introducerea unor criterii de eligibilitate suplimentare pentru a ține seama de cerințele de politică specifice sau de natura și obiectivele acțiunii în cauză</w:t>
      </w:r>
      <w:r>
        <w:t>.</w:t>
      </w:r>
    </w:p>
  </w:footnote>
  <w:footnote w:id="33">
    <w:p w14:paraId="0EE13D5E" w14:textId="183CFA72" w:rsidR="0015699C" w:rsidRPr="00791E58" w:rsidRDefault="0015699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C(2023) 4049 final.</w:t>
      </w:r>
    </w:p>
  </w:footnote>
  <w:footnote w:id="34">
    <w:p w14:paraId="78F206A8" w14:textId="689C6C01" w:rsidR="004B049C" w:rsidRPr="00563C3A" w:rsidRDefault="004B049C"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Grupul pentru observarea Pământului (GEO), Grupul interguvernamental privind schimbările climatice (IPCC), Platforma interguvernamentală științifico-politică privind biodiversitatea și serviciile ecosistemice (IPBES), Comitetul internațional pentru gestionarea sustenabilă a resurselor (IRP) și alte inițiative, cum ar fi Parteneriatul global pentru sol.</w:t>
      </w:r>
    </w:p>
  </w:footnote>
  <w:footnote w:id="35">
    <w:p w14:paraId="36090461" w14:textId="6481C905" w:rsidR="00287EB1" w:rsidRPr="001F293A" w:rsidRDefault="00287EB1" w:rsidP="00087113">
      <w:pPr>
        <w:pStyle w:val="FootnoteText"/>
        <w:jc w:val="both"/>
        <w:rPr>
          <w:rFonts w:ascii="Times New Roman" w:hAnsi="Times New Roman" w:cs="Times New Roman"/>
          <w:bCs/>
        </w:rPr>
      </w:pPr>
      <w:r>
        <w:rPr>
          <w:rStyle w:val="FootnoteReference"/>
          <w:rFonts w:ascii="Times New Roman" w:hAnsi="Times New Roman" w:cs="Times New Roman"/>
        </w:rPr>
        <w:footnoteRef/>
      </w:r>
      <w:r>
        <w:rPr>
          <w:rFonts w:ascii="Times New Roman" w:hAnsi="Times New Roman"/>
        </w:rPr>
        <w:t xml:space="preserve"> JOIN(2022) 28 final.</w:t>
      </w:r>
    </w:p>
  </w:footnote>
  <w:footnote w:id="36">
    <w:p w14:paraId="2C32A4FA" w14:textId="2B400267" w:rsidR="003F7529" w:rsidRPr="00563C3A" w:rsidRDefault="003F7529"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Direcția Generală Afaceri Maritime și Pescuit, </w:t>
      </w:r>
      <w:r>
        <w:rPr>
          <w:rFonts w:ascii="Times New Roman" w:hAnsi="Times New Roman"/>
          <w:i/>
        </w:rPr>
        <w:t>Seascape assessment – Feasibility study for the establishment of an Intergovernmental Panel for Ocean Sustainability (IPOS)</w:t>
      </w:r>
      <w:r>
        <w:rPr>
          <w:rFonts w:ascii="Times New Roman" w:hAnsi="Times New Roman"/>
        </w:rPr>
        <w:t xml:space="preserve"> [Evaluarea peisajului marin – Studiu de fezabilitate pentru înființarea unui grup interguvernamental pentru sustenabilitatea oceanelor (IPOS)], Oficiul pentru Publicații al Uniunii Europene, 2023, </w:t>
      </w:r>
      <w:hyperlink r:id="rId19" w:tgtFrame="_blank" w:history="1">
        <w:r>
          <w:rPr>
            <w:rStyle w:val="Hyperlink"/>
            <w:rFonts w:ascii="Times New Roman" w:hAnsi="Times New Roman"/>
          </w:rPr>
          <w:t>https://data.europa.eu/doi/10.2771/903406</w:t>
        </w:r>
      </w:hyperlink>
      <w:r>
        <w:rPr>
          <w:rFonts w:ascii="Times New Roman" w:hAnsi="Times New Roman"/>
        </w:rPr>
        <w:t xml:space="preserve"> </w:t>
      </w:r>
    </w:p>
  </w:footnote>
  <w:footnote w:id="37">
    <w:p w14:paraId="4A473068" w14:textId="2C61E5F1" w:rsidR="00F522B3" w:rsidRDefault="00F522B3">
      <w:pPr>
        <w:pStyle w:val="FootnoteText"/>
      </w:pPr>
      <w:r>
        <w:rPr>
          <w:rStyle w:val="FootnoteReference"/>
        </w:rPr>
        <w:footnoteRef/>
      </w:r>
      <w:r>
        <w:t xml:space="preserve"> </w:t>
      </w:r>
      <w:hyperlink r:id="rId20" w:history="1">
        <w:r>
          <w:rPr>
            <w:rStyle w:val="Hyperlink"/>
            <w:rFonts w:ascii="Times New Roman" w:hAnsi="Times New Roman"/>
          </w:rPr>
          <w:t>https://research-and-innovation.ec.europa.eu/document/download/2e5f29fb-cb0c-4d0d-8840-97ce0ee9730c_en?filename=ec_rtd_roadmap-cooperation-un-decade-ocean-science.pdf</w:t>
        </w:r>
      </w:hyperlink>
      <w:r>
        <w:rPr>
          <w:rStyle w:val="Hyperlink"/>
          <w:rFonts w:ascii="Times New Roman" w:hAnsi="Times New Roman"/>
        </w:rPr>
        <w:t xml:space="preserve"> </w:t>
      </w:r>
    </w:p>
  </w:footnote>
  <w:footnote w:id="38">
    <w:p w14:paraId="60812F08" w14:textId="7A206801" w:rsidR="001B70A5" w:rsidRDefault="001B70A5" w:rsidP="00126EF2">
      <w:pPr>
        <w:pStyle w:val="FootnoteText"/>
        <w:jc w:val="both"/>
      </w:pPr>
      <w:r>
        <w:rPr>
          <w:rStyle w:val="FootnoteReference"/>
        </w:rPr>
        <w:footnoteRef/>
      </w:r>
      <w:r>
        <w:t xml:space="preserve"> </w:t>
      </w:r>
      <w:r>
        <w:rPr>
          <w:rFonts w:ascii="Times New Roman" w:hAnsi="Times New Roman"/>
        </w:rPr>
        <w:t>Misiunea inovare este un forum internațional important care reunește țări responsabile pentru 90 % din finanțarea publică pentru inovare în domeniul energiei.</w:t>
      </w:r>
    </w:p>
  </w:footnote>
  <w:footnote w:id="39">
    <w:p w14:paraId="17946CEC" w14:textId="5F6C0BBF" w:rsidR="00224F8D" w:rsidRPr="00470DF7" w:rsidRDefault="00224F8D" w:rsidP="00224F8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Fonts w:ascii="Times New Roman" w:hAnsi="Times New Roman"/>
          </w:rPr>
          <w:t>https://mission-innovation.net/missions/hydrogen/</w:t>
        </w:r>
      </w:hyperlink>
      <w:r>
        <w:rPr>
          <w:rFonts w:ascii="Times New Roman" w:hAnsi="Times New Roman"/>
        </w:rPr>
        <w:t xml:space="preserve"> </w:t>
      </w:r>
    </w:p>
  </w:footnote>
  <w:footnote w:id="40">
    <w:p w14:paraId="18C7BAD5" w14:textId="63CD02A7" w:rsidR="002C254B" w:rsidRDefault="002C254B">
      <w:pPr>
        <w:pStyle w:val="FootnoteText"/>
      </w:pPr>
      <w:r>
        <w:rPr>
          <w:rStyle w:val="FootnoteReference"/>
        </w:rPr>
        <w:footnoteRef/>
      </w:r>
      <w:r>
        <w:t xml:space="preserve"> </w:t>
      </w:r>
      <w:hyperlink r:id="rId22" w:history="1">
        <w:r>
          <w:rPr>
            <w:rStyle w:val="Hyperlink"/>
            <w:rFonts w:ascii="Times New Roman" w:hAnsi="Times New Roman"/>
          </w:rPr>
          <w:t>https://h2v.eu/</w:t>
        </w:r>
      </w:hyperlink>
      <w:r>
        <w:rPr>
          <w:rFonts w:ascii="Times New Roman" w:hAnsi="Times New Roman"/>
        </w:rPr>
        <w:t xml:space="preserve"> </w:t>
      </w:r>
    </w:p>
  </w:footnote>
  <w:footnote w:id="41">
    <w:p w14:paraId="77569C64" w14:textId="7395442C" w:rsidR="004424C9" w:rsidRPr="00832E1A" w:rsidRDefault="004424C9" w:rsidP="004424C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rPr>
          <w:t>https://urbantransitionsmission.org/</w:t>
        </w:r>
      </w:hyperlink>
      <w:r>
        <w:rPr>
          <w:rFonts w:ascii="Times New Roman" w:hAnsi="Times New Roman"/>
        </w:rPr>
        <w:t xml:space="preserve"> </w:t>
      </w:r>
    </w:p>
  </w:footnote>
  <w:footnote w:id="42">
    <w:p w14:paraId="43ECC495" w14:textId="46A6DA87" w:rsidR="00B40DF5" w:rsidRPr="009165AF" w:rsidRDefault="00B40DF5" w:rsidP="00B40DF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JOIN(2021) 30 final.</w:t>
      </w:r>
    </w:p>
  </w:footnote>
  <w:footnote w:id="43">
    <w:p w14:paraId="5607C885" w14:textId="78570DC5" w:rsidR="004A6D38" w:rsidRDefault="004A6D38">
      <w:pPr>
        <w:pStyle w:val="FootnoteText"/>
      </w:pPr>
      <w:r>
        <w:rPr>
          <w:rStyle w:val="FootnoteReference"/>
        </w:rPr>
        <w:footnoteRef/>
      </w:r>
      <w:r>
        <w:t xml:space="preserve"> </w:t>
      </w:r>
      <w:hyperlink r:id="rId24" w:history="1">
        <w:r>
          <w:rPr>
            <w:rStyle w:val="Hyperlink"/>
            <w:rFonts w:ascii="Times New Roman" w:hAnsi="Times New Roman"/>
          </w:rPr>
          <w:t>https://knowledge-management.new-european-bauhaus.europa.eu/</w:t>
        </w:r>
      </w:hyperlink>
      <w:r>
        <w:t xml:space="preserve"> </w:t>
      </w:r>
    </w:p>
  </w:footnote>
  <w:footnote w:id="44">
    <w:p w14:paraId="393204C6" w14:textId="43B942F7" w:rsidR="0098033D" w:rsidRPr="000253F9" w:rsidRDefault="0098033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JOIN(2025) 140 final.</w:t>
      </w:r>
    </w:p>
  </w:footnote>
  <w:footnote w:id="45">
    <w:p w14:paraId="34F8AF0D" w14:textId="77777777" w:rsidR="00B25584" w:rsidRDefault="00B25584" w:rsidP="00B25584">
      <w:pPr>
        <w:pStyle w:val="FootnoteText"/>
      </w:pPr>
      <w:r>
        <w:rPr>
          <w:rStyle w:val="FootnoteReference"/>
        </w:rPr>
        <w:footnoteRef/>
      </w:r>
      <w:r>
        <w:t xml:space="preserve"> </w:t>
      </w:r>
      <w:hyperlink r:id="rId25" w:history="1">
        <w:r>
          <w:rPr>
            <w:rStyle w:val="Hyperlink"/>
            <w:rFonts w:ascii="Times New Roman" w:hAnsi="Times New Roman"/>
          </w:rPr>
          <w:t>https://digital-strategy.ec.europa.eu/ro/policies/partnerships</w:t>
        </w:r>
      </w:hyperlink>
      <w:r>
        <w:t xml:space="preserve"> </w:t>
      </w:r>
    </w:p>
  </w:footnote>
  <w:footnote w:id="46">
    <w:p w14:paraId="663543F6" w14:textId="3C64E53C" w:rsidR="00B56ACD" w:rsidRPr="00503942" w:rsidRDefault="00B56AC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history="1">
        <w:r>
          <w:rPr>
            <w:rStyle w:val="Hyperlink"/>
            <w:rFonts w:ascii="Times New Roman" w:hAnsi="Times New Roman"/>
          </w:rPr>
          <w:t>https://ec.europa.eu/commission/presscorner/detail/en/ip_23_1598</w:t>
        </w:r>
      </w:hyperlink>
      <w:r>
        <w:rPr>
          <w:rFonts w:ascii="Times New Roman" w:hAnsi="Times New Roman"/>
        </w:rPr>
        <w:t xml:space="preserve"> </w:t>
      </w:r>
    </w:p>
  </w:footnote>
  <w:footnote w:id="47">
    <w:p w14:paraId="4F34DA15" w14:textId="42BFB0E7" w:rsidR="00BE1A04" w:rsidRPr="00503942" w:rsidRDefault="00BE1A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https://international-partnerships.ec.europa.eu/policies/programming/programmes/bella-building-europe-link-latin-america_en</w:t>
        </w:r>
      </w:hyperlink>
      <w:r>
        <w:rPr>
          <w:rFonts w:ascii="Times New Roman" w:hAnsi="Times New Roman"/>
        </w:rPr>
        <w:t xml:space="preserve"> </w:t>
      </w:r>
    </w:p>
  </w:footnote>
  <w:footnote w:id="48">
    <w:p w14:paraId="1693DCCF" w14:textId="77777777" w:rsidR="00A63A3D" w:rsidRDefault="00A63A3D" w:rsidP="00A63A3D">
      <w:pPr>
        <w:pStyle w:val="FootnoteText"/>
      </w:pPr>
      <w:r>
        <w:rPr>
          <w:rStyle w:val="FootnoteReference"/>
          <w:rFonts w:ascii="Times New Roman" w:hAnsi="Times New Roman" w:cs="Times New Roman"/>
        </w:rPr>
        <w:footnoteRef/>
      </w:r>
      <w:r>
        <w:rPr>
          <w:rFonts w:ascii="Times New Roman" w:hAnsi="Times New Roman"/>
        </w:rPr>
        <w:t xml:space="preserve"> </w:t>
      </w:r>
      <w:hyperlink r:id="rId28" w:history="1">
        <w:r>
          <w:rPr>
            <w:rStyle w:val="Hyperlink"/>
            <w:rFonts w:ascii="Times New Roman" w:hAnsi="Times New Roman"/>
          </w:rPr>
          <w:t>https://network.geant.org/international_connectivity/</w:t>
        </w:r>
      </w:hyperlink>
      <w:r>
        <w:rPr>
          <w:rFonts w:ascii="Times New Roman" w:hAnsi="Times New Roman"/>
        </w:rPr>
        <w:t xml:space="preserve"> </w:t>
      </w:r>
    </w:p>
  </w:footnote>
  <w:footnote w:id="49">
    <w:p w14:paraId="5666AAE6" w14:textId="6C9CA1B5" w:rsidR="00287EB1" w:rsidRPr="008F5B5B" w:rsidRDefault="00287EB1" w:rsidP="008E1B3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9" w:history="1">
        <w:r>
          <w:rPr>
            <w:rStyle w:val="Hyperlink"/>
            <w:rFonts w:ascii="Times New Roman" w:hAnsi="Times New Roman"/>
          </w:rPr>
          <w:t>https://ec.europa.eu/commission/presscorner/detail/ro/ip_22_7153</w:t>
        </w:r>
      </w:hyperlink>
    </w:p>
  </w:footnote>
  <w:footnote w:id="50">
    <w:p w14:paraId="650E7518" w14:textId="5E9DCCFE" w:rsidR="00333BE7" w:rsidRPr="00424880" w:rsidRDefault="00333BE7" w:rsidP="00333BE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rPr>
          <w:t>https://www.consilium.europa.eu/en/press/press-releases/2024/01/29/eu-global-health-strategy-council-approves-conclusions/</w:t>
        </w:r>
      </w:hyperlink>
    </w:p>
  </w:footnote>
  <w:footnote w:id="51">
    <w:p w14:paraId="016B43BE" w14:textId="3038E0A1" w:rsidR="008F5B5B" w:rsidRPr="008F5B5B" w:rsidRDefault="008F5B5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rPr>
          <w:t>www.glopid-r.org</w:t>
        </w:r>
      </w:hyperlink>
      <w:r>
        <w:rPr>
          <w:rFonts w:ascii="Times New Roman" w:hAnsi="Times New Roman"/>
        </w:rPr>
        <w:t xml:space="preserve"> </w:t>
      </w:r>
    </w:p>
  </w:footnote>
  <w:footnote w:id="52">
    <w:p w14:paraId="0F640C21" w14:textId="25DD6B85" w:rsidR="008F5B5B" w:rsidRPr="008F5B5B" w:rsidRDefault="008F5B5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2" w:history="1">
        <w:r>
          <w:rPr>
            <w:rStyle w:val="Hyperlink"/>
            <w:rFonts w:ascii="Times New Roman" w:hAnsi="Times New Roman"/>
          </w:rPr>
          <w:t>www.gacd.org</w:t>
        </w:r>
      </w:hyperlink>
      <w:r>
        <w:rPr>
          <w:rFonts w:ascii="Times New Roman" w:hAnsi="Times New Roman"/>
        </w:rPr>
        <w:t xml:space="preserve"> </w:t>
      </w:r>
    </w:p>
  </w:footnote>
  <w:footnote w:id="53">
    <w:p w14:paraId="5293A4A2" w14:textId="647602D0" w:rsidR="00964C7A" w:rsidRPr="005E06B7" w:rsidRDefault="00964C7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3" w:history="1">
        <w:r>
          <w:rPr>
            <w:rStyle w:val="Hyperlink"/>
            <w:rFonts w:ascii="Times New Roman" w:hAnsi="Times New Roman"/>
          </w:rPr>
          <w:t>https://erdera.org/</w:t>
        </w:r>
      </w:hyperlink>
      <w:r>
        <w:rPr>
          <w:rFonts w:ascii="Times New Roman" w:hAnsi="Times New Roman"/>
        </w:rPr>
        <w:t xml:space="preserve"> </w:t>
      </w:r>
    </w:p>
  </w:footnote>
  <w:footnote w:id="54">
    <w:p w14:paraId="1D4C2B44" w14:textId="3D79CC68" w:rsidR="00287EB1" w:rsidRPr="005E06B7" w:rsidRDefault="00287EB1" w:rsidP="006C4CD5">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Hyperlink"/>
          <w:rFonts w:ascii="Times New Roman" w:hAnsi="Times New Roman"/>
        </w:rPr>
        <w:t xml:space="preserve"> https://www.globalhealth-edctp3.eu/</w:t>
      </w:r>
    </w:p>
  </w:footnote>
  <w:footnote w:id="55">
    <w:p w14:paraId="35828D8F" w14:textId="783AC582" w:rsidR="00CD179E" w:rsidRPr="007D2738" w:rsidRDefault="00CD179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4" w:history="1">
        <w:r>
          <w:rPr>
            <w:rStyle w:val="Hyperlink"/>
            <w:rFonts w:ascii="Times New Roman" w:hAnsi="Times New Roman"/>
          </w:rPr>
          <w:t>https://gardp.org/secure/</w:t>
        </w:r>
      </w:hyperlink>
      <w:r>
        <w:rPr>
          <w:rFonts w:ascii="Times New Roman" w:hAnsi="Times New Roman"/>
        </w:rPr>
        <w:t xml:space="preserve"> </w:t>
      </w:r>
    </w:p>
  </w:footnote>
  <w:footnote w:id="56">
    <w:p w14:paraId="712826F0" w14:textId="2700E041" w:rsidR="009F71E3" w:rsidRPr="00DB61D2" w:rsidRDefault="009F71E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SWD(2025) 138 final.</w:t>
      </w:r>
    </w:p>
  </w:footnote>
  <w:footnote w:id="57">
    <w:p w14:paraId="29DDC844" w14:textId="66216962" w:rsidR="00DB61D2" w:rsidRPr="00DB61D2" w:rsidRDefault="00DB61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history="1">
        <w:r>
          <w:rPr>
            <w:rStyle w:val="Hyperlink"/>
            <w:rFonts w:ascii="Times New Roman" w:hAnsi="Times New Roman"/>
          </w:rPr>
          <w:t>https://commission.europa.eu/topics/research-and-innovation/choose-europe_en</w:t>
        </w:r>
      </w:hyperlink>
      <w:r>
        <w:rPr>
          <w:rFonts w:ascii="Times New Roman" w:hAnsi="Times New Roman"/>
        </w:rPr>
        <w:t xml:space="preserve"> </w:t>
      </w:r>
    </w:p>
  </w:footnote>
  <w:footnote w:id="58">
    <w:p w14:paraId="2529F61B" w14:textId="701594C0" w:rsidR="00DD6974" w:rsidRPr="007D2738" w:rsidRDefault="00DD6974" w:rsidP="00DD6974">
      <w:pPr>
        <w:pStyle w:val="FootnoteText"/>
        <w:jc w:val="both"/>
        <w:rPr>
          <w:rFonts w:ascii="Times New Roman" w:eastAsia="Aptos" w:hAnsi="Times New Roman" w:cs="Times New Roman"/>
        </w:rPr>
      </w:pPr>
      <w:r>
        <w:rPr>
          <w:rStyle w:val="FootnoteReference"/>
          <w:rFonts w:ascii="Times New Roman" w:hAnsi="Times New Roman" w:cs="Times New Roman"/>
        </w:rPr>
        <w:footnoteRef/>
      </w:r>
      <w:r>
        <w:rPr>
          <w:rFonts w:ascii="Times New Roman" w:hAnsi="Times New Roman"/>
        </w:rPr>
        <w:t xml:space="preserve"> Recomandarea (UE) 2022/2415 a Consiliului.</w:t>
      </w:r>
    </w:p>
  </w:footnote>
  <w:footnote w:id="59">
    <w:p w14:paraId="55D33D0E" w14:textId="3B271A28" w:rsidR="00DD6974" w:rsidRPr="007D2738" w:rsidRDefault="00DD6974" w:rsidP="00DD69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Recomandarea (UE) 2024/774 a Comisiei.</w:t>
      </w:r>
    </w:p>
  </w:footnote>
  <w:footnote w:id="60">
    <w:p w14:paraId="23DA145C" w14:textId="35CF526D" w:rsidR="00DD6974" w:rsidRPr="002039DA" w:rsidRDefault="00DD6974" w:rsidP="00DD69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Recomandarea (UE) 2024/736 a Comisiei – Codurile de bune practici adoptate în 2024 urmează inițiativei referitoare la Codurile de bune practici adoptate în 2023 privind gestionarea activelor intelectuale și standardizarea.</w:t>
      </w:r>
    </w:p>
  </w:footnote>
  <w:footnote w:id="61">
    <w:p w14:paraId="004BD1D6" w14:textId="77777777" w:rsidR="00DD6974" w:rsidRDefault="00DD6974" w:rsidP="00DD6974">
      <w:pPr>
        <w:pStyle w:val="FootnoteText"/>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https://research-and-innovation.ec.europa.eu/research-area/industrial-research-and-innovation/eu-valorisation-policy/knowledge-valorisation-platform_en</w:t>
        </w:r>
      </w:hyperlink>
      <w:r>
        <w:t xml:space="preserve"> </w:t>
      </w:r>
    </w:p>
  </w:footnote>
  <w:footnote w:id="62">
    <w:p w14:paraId="332164EF" w14:textId="77777777" w:rsidR="0039101C" w:rsidRDefault="0039101C" w:rsidP="0039101C">
      <w:pPr>
        <w:pStyle w:val="FootnoteText"/>
      </w:pPr>
      <w:r>
        <w:rPr>
          <w:rStyle w:val="FootnoteReference"/>
        </w:rPr>
        <w:footnoteRef/>
      </w:r>
      <w:r>
        <w:t xml:space="preserve"> </w:t>
      </w:r>
      <w:hyperlink r:id="rId37" w:history="1">
        <w:r>
          <w:rPr>
            <w:rStyle w:val="Hyperlink"/>
            <w:rFonts w:ascii="Times New Roman" w:hAnsi="Times New Roman"/>
          </w:rPr>
          <w:t>https://westernbalkans-infohub.eu/wp-content/uploads/2024/10/a-western-balkans-agenda-on-innovation-research-education-KI0221615ENN-1.pdf</w:t>
        </w:r>
      </w:hyperlink>
      <w:r>
        <w:t xml:space="preserve"> </w:t>
      </w:r>
    </w:p>
  </w:footnote>
  <w:footnote w:id="63">
    <w:p w14:paraId="1014D8DA" w14:textId="6BD72A8F" w:rsidR="00045C5C" w:rsidRPr="00B3273E" w:rsidRDefault="00045C5C">
      <w:pPr>
        <w:pStyle w:val="FootnoteText"/>
      </w:pPr>
      <w:r>
        <w:rPr>
          <w:rStyle w:val="FootnoteReference"/>
        </w:rPr>
        <w:footnoteRef/>
      </w:r>
      <w:r>
        <w:t xml:space="preserve"> </w:t>
      </w:r>
      <w:r>
        <w:rPr>
          <w:rFonts w:ascii="Times New Roman" w:hAnsi="Times New Roman"/>
        </w:rPr>
        <w:t>Armenia, Azerbaidjan, Georgia, Republica Moldova și Ucraina.</w:t>
      </w:r>
    </w:p>
  </w:footnote>
  <w:footnote w:id="64">
    <w:p w14:paraId="4FBAFF7D" w14:textId="4D67EEFB" w:rsidR="00C31D72" w:rsidRPr="00FB078E" w:rsidRDefault="00C31D72" w:rsidP="00C31D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186 final.</w:t>
      </w:r>
    </w:p>
  </w:footnote>
  <w:footnote w:id="65">
    <w:p w14:paraId="5AB78B04" w14:textId="6522BDA0" w:rsidR="007A253F" w:rsidRPr="00BF0260" w:rsidRDefault="007A253F" w:rsidP="007A253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rPr>
          <w:t>https://projects.research-and-innovation.ec.europa.eu/en/statistics/policy-support-facility/psf-country/support-moldova-reforms-public-rd-sector</w:t>
        </w:r>
      </w:hyperlink>
      <w:r>
        <w:rPr>
          <w:rFonts w:ascii="Times New Roman" w:hAnsi="Times New Roman"/>
        </w:rPr>
        <w:t xml:space="preserve"> </w:t>
      </w:r>
    </w:p>
  </w:footnote>
  <w:footnote w:id="66">
    <w:p w14:paraId="4E5CF49D" w14:textId="4F7F63C1" w:rsidR="007A253F" w:rsidRDefault="007A253F" w:rsidP="007A253F">
      <w:pPr>
        <w:pStyle w:val="FootnoteText"/>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https://projects.research-and-innovation.ec.europa.eu/en/statistics/policy-support-facility/psf-country/support-ukraine-research-infrastructures-policies</w:t>
        </w:r>
      </w:hyperlink>
      <w:r>
        <w:t xml:space="preserve"> </w:t>
      </w:r>
    </w:p>
  </w:footnote>
  <w:footnote w:id="67">
    <w:p w14:paraId="4D860628" w14:textId="2CF0A040" w:rsidR="00261B16" w:rsidRPr="004F50D4" w:rsidRDefault="00261B16" w:rsidP="00563C3A">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ERA4Ukraine (</w:t>
      </w:r>
      <w:hyperlink r:id="rId40" w:history="1">
        <w:r>
          <w:rPr>
            <w:rStyle w:val="Hyperlink"/>
            <w:rFonts w:ascii="Times New Roman" w:hAnsi="Times New Roman"/>
          </w:rPr>
          <w:t>https://euraxess.ec.europa.eu/ukraine</w:t>
        </w:r>
      </w:hyperlink>
      <w:r>
        <w:rPr>
          <w:rFonts w:ascii="Times New Roman" w:hAnsi="Times New Roman"/>
        </w:rPr>
        <w:t>) oferă o imagine de ansamblu a tuturor acțiunilor UE și naționale, inclusiv MSCA4Ukraine</w:t>
      </w:r>
      <w:r>
        <w:rPr>
          <w:rStyle w:val="Hyperlink"/>
          <w:rFonts w:ascii="Times New Roman" w:hAnsi="Times New Roman"/>
          <w:color w:val="000000" w:themeColor="text1"/>
          <w:u w:val="none"/>
        </w:rPr>
        <w:t xml:space="preserve">, </w:t>
      </w:r>
      <w:r>
        <w:rPr>
          <w:rFonts w:ascii="Times New Roman" w:hAnsi="Times New Roman"/>
        </w:rPr>
        <w:t>ofertele de locuri de muncă CEC</w:t>
      </w:r>
      <w:r>
        <w:rPr>
          <w:rStyle w:val="Hyperlink"/>
          <w:rFonts w:ascii="Times New Roman" w:hAnsi="Times New Roman"/>
          <w:color w:val="000000" w:themeColor="text1"/>
          <w:u w:val="none"/>
        </w:rPr>
        <w:t xml:space="preserve"> și programul de burse JRC-EUI (Institutul Universitar European)</w:t>
      </w:r>
      <w:r>
        <w:rPr>
          <w:rFonts w:ascii="Times New Roman" w:hAnsi="Times New Roman"/>
          <w:color w:val="000000" w:themeColor="text1"/>
        </w:rPr>
        <w:t>.</w:t>
      </w:r>
    </w:p>
  </w:footnote>
  <w:footnote w:id="68">
    <w:p w14:paraId="686B40E1" w14:textId="2999DF09" w:rsidR="00F52EBD" w:rsidRPr="00470DF7" w:rsidRDefault="00F52EBD" w:rsidP="00F52EB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1" w:history="1">
        <w:r>
          <w:rPr>
            <w:rStyle w:val="Hyperlink"/>
            <w:rFonts w:ascii="Times New Roman" w:hAnsi="Times New Roman"/>
          </w:rPr>
          <w:t>https://www.sun4ukraine.eu/</w:t>
        </w:r>
      </w:hyperlink>
      <w:r>
        <w:rPr>
          <w:rFonts w:ascii="Times New Roman" w:hAnsi="Times New Roman"/>
        </w:rPr>
        <w:t xml:space="preserve"> </w:t>
      </w:r>
    </w:p>
  </w:footnote>
  <w:footnote w:id="69">
    <w:p w14:paraId="2CCD659B" w14:textId="77777777" w:rsidR="00CC3BC9" w:rsidRPr="00420217" w:rsidRDefault="00CC3BC9" w:rsidP="00CC3B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Programul de lucru Orizont Europa pentru perioada 2023-2024: 37 de teme, cu un buget total de 320 de milioane EUR.</w:t>
      </w:r>
    </w:p>
  </w:footnote>
  <w:footnote w:id="70">
    <w:p w14:paraId="40E96B32" w14:textId="77777777" w:rsidR="00D27D0E" w:rsidRPr="008E1B33" w:rsidRDefault="00D27D0E" w:rsidP="00D27D0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2" w:history="1">
        <w:r>
          <w:rPr>
            <w:rStyle w:val="Hyperlink"/>
            <w:rFonts w:ascii="Times New Roman" w:hAnsi="Times New Roman"/>
          </w:rPr>
          <w:t>https://prima-med.org/</w:t>
        </w:r>
      </w:hyperlink>
      <w:r>
        <w:rPr>
          <w:rStyle w:val="Hyperlink"/>
          <w:rFonts w:ascii="Times New Roman" w:hAnsi="Times New Roman"/>
        </w:rPr>
        <w:t xml:space="preserve"> </w:t>
      </w:r>
    </w:p>
  </w:footnote>
  <w:footnote w:id="71">
    <w:p w14:paraId="0CFC13F2" w14:textId="6EABBB45" w:rsidR="0022009B" w:rsidRPr="00563C3A" w:rsidRDefault="0022009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JOIN(2025) 26 final.</w:t>
      </w:r>
    </w:p>
  </w:footnote>
  <w:footnote w:id="72">
    <w:p w14:paraId="5AE39005" w14:textId="49FCEC25" w:rsidR="00EE725B" w:rsidRPr="00563C3A" w:rsidRDefault="00EE725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JOIN(2025) 135 final.</w:t>
      </w:r>
    </w:p>
  </w:footnote>
  <w:footnote w:id="73">
    <w:p w14:paraId="3533FDC0" w14:textId="264079DD" w:rsidR="00287EB1" w:rsidRPr="006C4CD5" w:rsidRDefault="00287EB1" w:rsidP="00B966F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Printre acestea se numără drepturile de proprietate intelectuală, cercetarea prenormativă, evaluarea conformității și standardizarea, accesul la achizițiile publice, cadrele de reglementare echitabile și transparente.</w:t>
      </w:r>
    </w:p>
  </w:footnote>
  <w:footnote w:id="74">
    <w:p w14:paraId="7D74DABB" w14:textId="6F14AC58" w:rsidR="55B2CE3B" w:rsidRDefault="55B2CE3B"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Printre acestea se numără știința deschisă, etica și integritatea în cercetare, mobilitatea cercetătorilor și egalitatea de gen în domeniul C&amp;I.</w:t>
      </w:r>
    </w:p>
  </w:footnote>
  <w:footnote w:id="75">
    <w:p w14:paraId="3843D96A" w14:textId="41C877FB" w:rsidR="000C1323" w:rsidRDefault="000C1323" w:rsidP="00563C3A">
      <w:pPr>
        <w:pStyle w:val="FootnoteText"/>
        <w:jc w:val="both"/>
      </w:pPr>
      <w:r>
        <w:rPr>
          <w:rStyle w:val="FootnoteReference"/>
        </w:rPr>
        <w:footnoteRef/>
      </w:r>
      <w:r>
        <w:t xml:space="preserve"> </w:t>
      </w:r>
      <w:r>
        <w:rPr>
          <w:rFonts w:ascii="Times New Roman" w:hAnsi="Times New Roman"/>
        </w:rPr>
        <w:t>Programul de lucru Orizont Europa pentru perioada 2023-2024 a inclus șapte acțiuni cu un buget total de 86 de milioane EUR, cofinanțate de UE și China.</w:t>
      </w:r>
    </w:p>
  </w:footnote>
  <w:footnote w:id="76">
    <w:p w14:paraId="269A76C2" w14:textId="128FD91F" w:rsidR="00287EB1" w:rsidRPr="008E1B33" w:rsidRDefault="00287EB1" w:rsidP="00B966F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Acțiunile de inovare sunt acțiuni cu un nivel înalt de dezvoltare tehnologică și o mai mare apropiere de piață.</w:t>
      </w:r>
    </w:p>
  </w:footnote>
  <w:footnote w:id="77">
    <w:p w14:paraId="1233D475" w14:textId="0DA0ED6F" w:rsidR="00287EB1" w:rsidRPr="00F1363E" w:rsidRDefault="00287EB1" w:rsidP="006C4CD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https://ec.europa.eu/commission/presscorner/detail/ro/ip_23_596</w:t>
        </w:r>
      </w:hyperlink>
    </w:p>
  </w:footnote>
  <w:footnote w:id="78">
    <w:p w14:paraId="5A818DE1" w14:textId="093D3900" w:rsidR="00EF5159" w:rsidRPr="00563C3A" w:rsidRDefault="00EF515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JOIN(2025) 50 final.</w:t>
      </w:r>
    </w:p>
  </w:footnote>
  <w:footnote w:id="79">
    <w:p w14:paraId="37999EAD" w14:textId="77777777" w:rsidR="00CC3BC9" w:rsidRDefault="00CC3BC9" w:rsidP="00CC3BC9">
      <w:pPr>
        <w:pStyle w:val="FootnoteText"/>
      </w:pPr>
      <w:r>
        <w:rPr>
          <w:rStyle w:val="FootnoteReference"/>
        </w:rPr>
        <w:footnoteRef/>
      </w:r>
      <w:r>
        <w:t xml:space="preserve"> </w:t>
      </w:r>
      <w:hyperlink r:id="rId44" w:history="1">
        <w:r>
          <w:rPr>
            <w:rStyle w:val="Hyperlink"/>
            <w:rFonts w:ascii="Times New Roman" w:hAnsi="Times New Roman"/>
          </w:rPr>
          <w:t>https://research-and-innovation.ec.europa.eu/system/files/2023-07/ec_rtd_au-eu-innovation-agenda-final-version.pdf</w:t>
        </w:r>
      </w:hyperlink>
      <w:r>
        <w:t xml:space="preserve"> </w:t>
      </w:r>
    </w:p>
  </w:footnote>
  <w:footnote w:id="80">
    <w:p w14:paraId="3D1A6E9F" w14:textId="77777777" w:rsidR="00CC3BC9" w:rsidRPr="00420217" w:rsidRDefault="00CC3BC9" w:rsidP="00CC3B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Programul de lucru Orizont Europa pentru perioada 2023-2024: 30 de teme, cu un buget total de 300 de milioane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1FB3" w14:textId="77777777" w:rsidR="00B8563E" w:rsidRPr="00B8563E" w:rsidRDefault="00B8563E" w:rsidP="00B8563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561F" w14:textId="77777777" w:rsidR="00B8563E" w:rsidRPr="00B8563E" w:rsidRDefault="00B8563E" w:rsidP="00B8563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73753" w14:textId="77777777" w:rsidR="00B8563E" w:rsidRPr="00B8563E" w:rsidRDefault="00B8563E" w:rsidP="00B8563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CBEF" w14:textId="77777777" w:rsidR="00287EB1" w:rsidRDefault="00287E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D909E" w14:textId="77777777" w:rsidR="00287EB1" w:rsidRDefault="00287E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9798B" w14:textId="77777777" w:rsidR="00287EB1" w:rsidRDefault="00287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B6BC5"/>
    <w:multiLevelType w:val="hybridMultilevel"/>
    <w:tmpl w:val="6414CC44"/>
    <w:lvl w:ilvl="0" w:tplc="28522B16">
      <w:start w:val="1"/>
      <w:numFmt w:val="decimal"/>
      <w:lvlText w:val="%1."/>
      <w:lvlJc w:val="left"/>
      <w:pPr>
        <w:ind w:left="4830" w:hanging="360"/>
      </w:pPr>
      <w:rPr>
        <w:rFonts w:hint="default"/>
      </w:rPr>
    </w:lvl>
    <w:lvl w:ilvl="1" w:tplc="18090003" w:tentative="1">
      <w:start w:val="1"/>
      <w:numFmt w:val="bullet"/>
      <w:lvlText w:val="o"/>
      <w:lvlJc w:val="left"/>
      <w:pPr>
        <w:ind w:left="5550" w:hanging="360"/>
      </w:pPr>
      <w:rPr>
        <w:rFonts w:ascii="Courier New" w:hAnsi="Courier New" w:cs="Courier New" w:hint="default"/>
      </w:rPr>
    </w:lvl>
    <w:lvl w:ilvl="2" w:tplc="18090005" w:tentative="1">
      <w:start w:val="1"/>
      <w:numFmt w:val="bullet"/>
      <w:lvlText w:val=""/>
      <w:lvlJc w:val="left"/>
      <w:pPr>
        <w:ind w:left="6270" w:hanging="360"/>
      </w:pPr>
      <w:rPr>
        <w:rFonts w:ascii="Wingdings" w:hAnsi="Wingdings" w:hint="default"/>
      </w:rPr>
    </w:lvl>
    <w:lvl w:ilvl="3" w:tplc="18090001" w:tentative="1">
      <w:start w:val="1"/>
      <w:numFmt w:val="bullet"/>
      <w:lvlText w:val=""/>
      <w:lvlJc w:val="left"/>
      <w:pPr>
        <w:ind w:left="6990" w:hanging="360"/>
      </w:pPr>
      <w:rPr>
        <w:rFonts w:ascii="Symbol" w:hAnsi="Symbol" w:hint="default"/>
      </w:rPr>
    </w:lvl>
    <w:lvl w:ilvl="4" w:tplc="18090003" w:tentative="1">
      <w:start w:val="1"/>
      <w:numFmt w:val="bullet"/>
      <w:lvlText w:val="o"/>
      <w:lvlJc w:val="left"/>
      <w:pPr>
        <w:ind w:left="7710" w:hanging="360"/>
      </w:pPr>
      <w:rPr>
        <w:rFonts w:ascii="Courier New" w:hAnsi="Courier New" w:cs="Courier New" w:hint="default"/>
      </w:rPr>
    </w:lvl>
    <w:lvl w:ilvl="5" w:tplc="18090005" w:tentative="1">
      <w:start w:val="1"/>
      <w:numFmt w:val="bullet"/>
      <w:lvlText w:val=""/>
      <w:lvlJc w:val="left"/>
      <w:pPr>
        <w:ind w:left="8430" w:hanging="360"/>
      </w:pPr>
      <w:rPr>
        <w:rFonts w:ascii="Wingdings" w:hAnsi="Wingdings" w:hint="default"/>
      </w:rPr>
    </w:lvl>
    <w:lvl w:ilvl="6" w:tplc="18090001" w:tentative="1">
      <w:start w:val="1"/>
      <w:numFmt w:val="bullet"/>
      <w:lvlText w:val=""/>
      <w:lvlJc w:val="left"/>
      <w:pPr>
        <w:ind w:left="9150" w:hanging="360"/>
      </w:pPr>
      <w:rPr>
        <w:rFonts w:ascii="Symbol" w:hAnsi="Symbol" w:hint="default"/>
      </w:rPr>
    </w:lvl>
    <w:lvl w:ilvl="7" w:tplc="18090003" w:tentative="1">
      <w:start w:val="1"/>
      <w:numFmt w:val="bullet"/>
      <w:lvlText w:val="o"/>
      <w:lvlJc w:val="left"/>
      <w:pPr>
        <w:ind w:left="9870" w:hanging="360"/>
      </w:pPr>
      <w:rPr>
        <w:rFonts w:ascii="Courier New" w:hAnsi="Courier New" w:cs="Courier New" w:hint="default"/>
      </w:rPr>
    </w:lvl>
    <w:lvl w:ilvl="8" w:tplc="18090005" w:tentative="1">
      <w:start w:val="1"/>
      <w:numFmt w:val="bullet"/>
      <w:lvlText w:val=""/>
      <w:lvlJc w:val="left"/>
      <w:pPr>
        <w:ind w:left="10590" w:hanging="360"/>
      </w:pPr>
      <w:rPr>
        <w:rFonts w:ascii="Wingdings" w:hAnsi="Wingdings" w:hint="default"/>
      </w:rPr>
    </w:lvl>
  </w:abstractNum>
  <w:abstractNum w:abstractNumId="1" w15:restartNumberingAfterBreak="0">
    <w:nsid w:val="07A57D6E"/>
    <w:multiLevelType w:val="hybridMultilevel"/>
    <w:tmpl w:val="649087EE"/>
    <w:lvl w:ilvl="0" w:tplc="18090001">
      <w:start w:val="1"/>
      <w:numFmt w:val="bullet"/>
      <w:lvlText w:val=""/>
      <w:lvlJc w:val="left"/>
      <w:pPr>
        <w:ind w:left="360" w:hanging="360"/>
      </w:pPr>
      <w:rPr>
        <w:rFonts w:ascii="Symbol" w:hAnsi="Symbol"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5DC5DD1"/>
    <w:multiLevelType w:val="hybridMultilevel"/>
    <w:tmpl w:val="B412A338"/>
    <w:lvl w:ilvl="0" w:tplc="18090001">
      <w:start w:val="1"/>
      <w:numFmt w:val="bullet"/>
      <w:lvlText w:val=""/>
      <w:lvlJc w:val="left"/>
      <w:pPr>
        <w:ind w:left="360" w:hanging="360"/>
      </w:pPr>
      <w:rPr>
        <w:rFonts w:ascii="Symbol" w:hAnsi="Symbol"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6457D41"/>
    <w:multiLevelType w:val="hybridMultilevel"/>
    <w:tmpl w:val="18168618"/>
    <w:lvl w:ilvl="0" w:tplc="A5E6DE6C">
      <w:start w:val="1"/>
      <w:numFmt w:val="bullet"/>
      <w:lvlText w:val=""/>
      <w:lvlJc w:val="left"/>
      <w:pPr>
        <w:ind w:left="720" w:hanging="360"/>
      </w:pPr>
      <w:rPr>
        <w:rFonts w:ascii="Symbol" w:hAnsi="Symbol" w:hint="default"/>
      </w:rPr>
    </w:lvl>
    <w:lvl w:ilvl="1" w:tplc="898888A2">
      <w:start w:val="1"/>
      <w:numFmt w:val="bullet"/>
      <w:lvlText w:val="o"/>
      <w:lvlJc w:val="left"/>
      <w:pPr>
        <w:ind w:left="1440" w:hanging="360"/>
      </w:pPr>
      <w:rPr>
        <w:rFonts w:ascii="Courier New" w:hAnsi="Courier New" w:hint="default"/>
      </w:rPr>
    </w:lvl>
    <w:lvl w:ilvl="2" w:tplc="3ABC8876">
      <w:start w:val="1"/>
      <w:numFmt w:val="bullet"/>
      <w:lvlText w:val=""/>
      <w:lvlJc w:val="left"/>
      <w:pPr>
        <w:ind w:left="2160" w:hanging="360"/>
      </w:pPr>
      <w:rPr>
        <w:rFonts w:ascii="Wingdings" w:hAnsi="Wingdings" w:hint="default"/>
      </w:rPr>
    </w:lvl>
    <w:lvl w:ilvl="3" w:tplc="B5228F12">
      <w:start w:val="1"/>
      <w:numFmt w:val="bullet"/>
      <w:lvlText w:val=""/>
      <w:lvlJc w:val="left"/>
      <w:pPr>
        <w:ind w:left="2880" w:hanging="360"/>
      </w:pPr>
      <w:rPr>
        <w:rFonts w:ascii="Symbol" w:hAnsi="Symbol" w:hint="default"/>
      </w:rPr>
    </w:lvl>
    <w:lvl w:ilvl="4" w:tplc="48B0E668">
      <w:start w:val="1"/>
      <w:numFmt w:val="bullet"/>
      <w:lvlText w:val="o"/>
      <w:lvlJc w:val="left"/>
      <w:pPr>
        <w:ind w:left="3600" w:hanging="360"/>
      </w:pPr>
      <w:rPr>
        <w:rFonts w:ascii="Courier New" w:hAnsi="Courier New" w:hint="default"/>
      </w:rPr>
    </w:lvl>
    <w:lvl w:ilvl="5" w:tplc="C44AE0FA">
      <w:start w:val="1"/>
      <w:numFmt w:val="bullet"/>
      <w:lvlText w:val=""/>
      <w:lvlJc w:val="left"/>
      <w:pPr>
        <w:ind w:left="4320" w:hanging="360"/>
      </w:pPr>
      <w:rPr>
        <w:rFonts w:ascii="Wingdings" w:hAnsi="Wingdings" w:hint="default"/>
      </w:rPr>
    </w:lvl>
    <w:lvl w:ilvl="6" w:tplc="6E84496E">
      <w:start w:val="1"/>
      <w:numFmt w:val="bullet"/>
      <w:lvlText w:val=""/>
      <w:lvlJc w:val="left"/>
      <w:pPr>
        <w:ind w:left="5040" w:hanging="360"/>
      </w:pPr>
      <w:rPr>
        <w:rFonts w:ascii="Symbol" w:hAnsi="Symbol" w:hint="default"/>
      </w:rPr>
    </w:lvl>
    <w:lvl w:ilvl="7" w:tplc="91EA5EEA">
      <w:start w:val="1"/>
      <w:numFmt w:val="bullet"/>
      <w:lvlText w:val="o"/>
      <w:lvlJc w:val="left"/>
      <w:pPr>
        <w:ind w:left="5760" w:hanging="360"/>
      </w:pPr>
      <w:rPr>
        <w:rFonts w:ascii="Courier New" w:hAnsi="Courier New" w:hint="default"/>
      </w:rPr>
    </w:lvl>
    <w:lvl w:ilvl="8" w:tplc="A58A492E">
      <w:start w:val="1"/>
      <w:numFmt w:val="bullet"/>
      <w:lvlText w:val=""/>
      <w:lvlJc w:val="left"/>
      <w:pPr>
        <w:ind w:left="6480" w:hanging="360"/>
      </w:pPr>
      <w:rPr>
        <w:rFonts w:ascii="Wingdings" w:hAnsi="Wingdings" w:hint="default"/>
      </w:rPr>
    </w:lvl>
  </w:abstractNum>
  <w:abstractNum w:abstractNumId="4" w15:restartNumberingAfterBreak="0">
    <w:nsid w:val="1DC428FC"/>
    <w:multiLevelType w:val="hybridMultilevel"/>
    <w:tmpl w:val="F23C82FE"/>
    <w:lvl w:ilvl="0" w:tplc="18090001">
      <w:start w:val="1"/>
      <w:numFmt w:val="bullet"/>
      <w:lvlText w:val=""/>
      <w:lvlJc w:val="left"/>
      <w:pPr>
        <w:ind w:left="360" w:hanging="360"/>
      </w:pPr>
      <w:rPr>
        <w:rFonts w:ascii="Symbol" w:hAnsi="Symbol"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D166AA3"/>
    <w:multiLevelType w:val="hybridMultilevel"/>
    <w:tmpl w:val="5C22F016"/>
    <w:lvl w:ilvl="0" w:tplc="10C6E3E6">
      <w:start w:val="1"/>
      <w:numFmt w:val="bullet"/>
      <w:lvlText w:val=""/>
      <w:lvlJc w:val="left"/>
      <w:pPr>
        <w:ind w:left="720" w:hanging="360"/>
      </w:pPr>
      <w:rPr>
        <w:rFonts w:ascii="Symbol" w:hAnsi="Symbol" w:hint="default"/>
      </w:rPr>
    </w:lvl>
    <w:lvl w:ilvl="1" w:tplc="905EE230">
      <w:start w:val="1"/>
      <w:numFmt w:val="bullet"/>
      <w:lvlText w:val="o"/>
      <w:lvlJc w:val="left"/>
      <w:pPr>
        <w:ind w:left="1440" w:hanging="360"/>
      </w:pPr>
      <w:rPr>
        <w:rFonts w:ascii="Courier New" w:hAnsi="Courier New" w:hint="default"/>
      </w:rPr>
    </w:lvl>
    <w:lvl w:ilvl="2" w:tplc="D73CA15C">
      <w:start w:val="1"/>
      <w:numFmt w:val="bullet"/>
      <w:lvlText w:val=""/>
      <w:lvlJc w:val="left"/>
      <w:pPr>
        <w:ind w:left="2160" w:hanging="360"/>
      </w:pPr>
      <w:rPr>
        <w:rFonts w:ascii="Wingdings" w:hAnsi="Wingdings" w:hint="default"/>
      </w:rPr>
    </w:lvl>
    <w:lvl w:ilvl="3" w:tplc="EB0CC110">
      <w:start w:val="1"/>
      <w:numFmt w:val="bullet"/>
      <w:lvlText w:val=""/>
      <w:lvlJc w:val="left"/>
      <w:pPr>
        <w:ind w:left="2880" w:hanging="360"/>
      </w:pPr>
      <w:rPr>
        <w:rFonts w:ascii="Symbol" w:hAnsi="Symbol" w:hint="default"/>
      </w:rPr>
    </w:lvl>
    <w:lvl w:ilvl="4" w:tplc="1D2448EE">
      <w:start w:val="1"/>
      <w:numFmt w:val="bullet"/>
      <w:lvlText w:val="o"/>
      <w:lvlJc w:val="left"/>
      <w:pPr>
        <w:ind w:left="3600" w:hanging="360"/>
      </w:pPr>
      <w:rPr>
        <w:rFonts w:ascii="Courier New" w:hAnsi="Courier New" w:hint="default"/>
      </w:rPr>
    </w:lvl>
    <w:lvl w:ilvl="5" w:tplc="54AEEF56">
      <w:start w:val="1"/>
      <w:numFmt w:val="bullet"/>
      <w:lvlText w:val=""/>
      <w:lvlJc w:val="left"/>
      <w:pPr>
        <w:ind w:left="4320" w:hanging="360"/>
      </w:pPr>
      <w:rPr>
        <w:rFonts w:ascii="Wingdings" w:hAnsi="Wingdings" w:hint="default"/>
      </w:rPr>
    </w:lvl>
    <w:lvl w:ilvl="6" w:tplc="4A52BB32">
      <w:start w:val="1"/>
      <w:numFmt w:val="bullet"/>
      <w:lvlText w:val=""/>
      <w:lvlJc w:val="left"/>
      <w:pPr>
        <w:ind w:left="5040" w:hanging="360"/>
      </w:pPr>
      <w:rPr>
        <w:rFonts w:ascii="Symbol" w:hAnsi="Symbol" w:hint="default"/>
      </w:rPr>
    </w:lvl>
    <w:lvl w:ilvl="7" w:tplc="F824412E">
      <w:start w:val="1"/>
      <w:numFmt w:val="bullet"/>
      <w:lvlText w:val="o"/>
      <w:lvlJc w:val="left"/>
      <w:pPr>
        <w:ind w:left="5760" w:hanging="360"/>
      </w:pPr>
      <w:rPr>
        <w:rFonts w:ascii="Courier New" w:hAnsi="Courier New" w:hint="default"/>
      </w:rPr>
    </w:lvl>
    <w:lvl w:ilvl="8" w:tplc="F782CB66">
      <w:start w:val="1"/>
      <w:numFmt w:val="bullet"/>
      <w:lvlText w:val=""/>
      <w:lvlJc w:val="left"/>
      <w:pPr>
        <w:ind w:left="6480" w:hanging="360"/>
      </w:pPr>
      <w:rPr>
        <w:rFonts w:ascii="Wingdings" w:hAnsi="Wingdings" w:hint="default"/>
      </w:rPr>
    </w:lvl>
  </w:abstractNum>
  <w:abstractNum w:abstractNumId="6" w15:restartNumberingAfterBreak="0">
    <w:nsid w:val="2FC30831"/>
    <w:multiLevelType w:val="multilevel"/>
    <w:tmpl w:val="718A4B20"/>
    <w:lvl w:ilvl="0">
      <w:start w:val="1"/>
      <w:numFmt w:val="decimal"/>
      <w:lvlText w:val="%1."/>
      <w:lvlJc w:val="left"/>
      <w:pPr>
        <w:ind w:left="360" w:hanging="360"/>
      </w:pPr>
      <w:rPr>
        <w:rFonts w:hint="default"/>
      </w:rPr>
    </w:lvl>
    <w:lvl w:ilvl="1">
      <w:start w:val="1"/>
      <w:numFmt w:val="decimal"/>
      <w:lvlText w:val="%1.%2."/>
      <w:lvlJc w:val="left"/>
      <w:pPr>
        <w:ind w:left="4543"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B23583"/>
    <w:multiLevelType w:val="hybridMultilevel"/>
    <w:tmpl w:val="E328FA34"/>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B7C4778"/>
    <w:multiLevelType w:val="hybridMultilevel"/>
    <w:tmpl w:val="F19C864A"/>
    <w:lvl w:ilvl="0" w:tplc="456EFD92">
      <w:start w:val="1"/>
      <w:numFmt w:val="decimal"/>
      <w:lvlText w:val="%1."/>
      <w:lvlJc w:val="left"/>
      <w:pPr>
        <w:tabs>
          <w:tab w:val="num" w:pos="720"/>
        </w:tabs>
        <w:ind w:left="720" w:hanging="360"/>
      </w:pPr>
    </w:lvl>
    <w:lvl w:ilvl="1" w:tplc="8940C618" w:tentative="1">
      <w:start w:val="1"/>
      <w:numFmt w:val="decimal"/>
      <w:lvlText w:val="%2."/>
      <w:lvlJc w:val="left"/>
      <w:pPr>
        <w:tabs>
          <w:tab w:val="num" w:pos="1440"/>
        </w:tabs>
        <w:ind w:left="1440" w:hanging="360"/>
      </w:pPr>
    </w:lvl>
    <w:lvl w:ilvl="2" w:tplc="2E76C458" w:tentative="1">
      <w:start w:val="1"/>
      <w:numFmt w:val="decimal"/>
      <w:lvlText w:val="%3."/>
      <w:lvlJc w:val="left"/>
      <w:pPr>
        <w:tabs>
          <w:tab w:val="num" w:pos="2160"/>
        </w:tabs>
        <w:ind w:left="2160" w:hanging="360"/>
      </w:pPr>
    </w:lvl>
    <w:lvl w:ilvl="3" w:tplc="1EBA0F6C" w:tentative="1">
      <w:start w:val="1"/>
      <w:numFmt w:val="decimal"/>
      <w:lvlText w:val="%4."/>
      <w:lvlJc w:val="left"/>
      <w:pPr>
        <w:tabs>
          <w:tab w:val="num" w:pos="2880"/>
        </w:tabs>
        <w:ind w:left="2880" w:hanging="360"/>
      </w:pPr>
    </w:lvl>
    <w:lvl w:ilvl="4" w:tplc="1CD80DB6" w:tentative="1">
      <w:start w:val="1"/>
      <w:numFmt w:val="decimal"/>
      <w:lvlText w:val="%5."/>
      <w:lvlJc w:val="left"/>
      <w:pPr>
        <w:tabs>
          <w:tab w:val="num" w:pos="3600"/>
        </w:tabs>
        <w:ind w:left="3600" w:hanging="360"/>
      </w:pPr>
    </w:lvl>
    <w:lvl w:ilvl="5" w:tplc="5B8A54E4" w:tentative="1">
      <w:start w:val="1"/>
      <w:numFmt w:val="decimal"/>
      <w:lvlText w:val="%6."/>
      <w:lvlJc w:val="left"/>
      <w:pPr>
        <w:tabs>
          <w:tab w:val="num" w:pos="4320"/>
        </w:tabs>
        <w:ind w:left="4320" w:hanging="360"/>
      </w:pPr>
    </w:lvl>
    <w:lvl w:ilvl="6" w:tplc="3440E236" w:tentative="1">
      <w:start w:val="1"/>
      <w:numFmt w:val="decimal"/>
      <w:lvlText w:val="%7."/>
      <w:lvlJc w:val="left"/>
      <w:pPr>
        <w:tabs>
          <w:tab w:val="num" w:pos="5040"/>
        </w:tabs>
        <w:ind w:left="5040" w:hanging="360"/>
      </w:pPr>
    </w:lvl>
    <w:lvl w:ilvl="7" w:tplc="F6443A4A" w:tentative="1">
      <w:start w:val="1"/>
      <w:numFmt w:val="decimal"/>
      <w:lvlText w:val="%8."/>
      <w:lvlJc w:val="left"/>
      <w:pPr>
        <w:tabs>
          <w:tab w:val="num" w:pos="5760"/>
        </w:tabs>
        <w:ind w:left="5760" w:hanging="360"/>
      </w:pPr>
    </w:lvl>
    <w:lvl w:ilvl="8" w:tplc="8BDC0058" w:tentative="1">
      <w:start w:val="1"/>
      <w:numFmt w:val="decimal"/>
      <w:lvlText w:val="%9."/>
      <w:lvlJc w:val="left"/>
      <w:pPr>
        <w:tabs>
          <w:tab w:val="num" w:pos="6480"/>
        </w:tabs>
        <w:ind w:left="6480" w:hanging="360"/>
      </w:pPr>
    </w:lvl>
  </w:abstractNum>
  <w:abstractNum w:abstractNumId="9" w15:restartNumberingAfterBreak="0">
    <w:nsid w:val="3EC5B999"/>
    <w:multiLevelType w:val="hybridMultilevel"/>
    <w:tmpl w:val="770ED110"/>
    <w:lvl w:ilvl="0" w:tplc="F830CCA4">
      <w:start w:val="1"/>
      <w:numFmt w:val="bullet"/>
      <w:lvlText w:val="§"/>
      <w:lvlJc w:val="left"/>
      <w:pPr>
        <w:ind w:left="720" w:hanging="360"/>
      </w:pPr>
      <w:rPr>
        <w:rFonts w:ascii="Wingdings" w:hAnsi="Wingdings" w:hint="default"/>
      </w:rPr>
    </w:lvl>
    <w:lvl w:ilvl="1" w:tplc="6E02A4CE">
      <w:start w:val="1"/>
      <w:numFmt w:val="bullet"/>
      <w:lvlText w:val="o"/>
      <w:lvlJc w:val="left"/>
      <w:pPr>
        <w:ind w:left="1440" w:hanging="360"/>
      </w:pPr>
      <w:rPr>
        <w:rFonts w:ascii="Courier New" w:hAnsi="Courier New" w:hint="default"/>
      </w:rPr>
    </w:lvl>
    <w:lvl w:ilvl="2" w:tplc="F60CF056">
      <w:start w:val="1"/>
      <w:numFmt w:val="bullet"/>
      <w:lvlText w:val=""/>
      <w:lvlJc w:val="left"/>
      <w:pPr>
        <w:ind w:left="2160" w:hanging="360"/>
      </w:pPr>
      <w:rPr>
        <w:rFonts w:ascii="Wingdings" w:hAnsi="Wingdings" w:hint="default"/>
      </w:rPr>
    </w:lvl>
    <w:lvl w:ilvl="3" w:tplc="C0702894">
      <w:start w:val="1"/>
      <w:numFmt w:val="bullet"/>
      <w:lvlText w:val=""/>
      <w:lvlJc w:val="left"/>
      <w:pPr>
        <w:ind w:left="2880" w:hanging="360"/>
      </w:pPr>
      <w:rPr>
        <w:rFonts w:ascii="Symbol" w:hAnsi="Symbol" w:hint="default"/>
      </w:rPr>
    </w:lvl>
    <w:lvl w:ilvl="4" w:tplc="1E8E9EC2">
      <w:start w:val="1"/>
      <w:numFmt w:val="bullet"/>
      <w:lvlText w:val="o"/>
      <w:lvlJc w:val="left"/>
      <w:pPr>
        <w:ind w:left="3600" w:hanging="360"/>
      </w:pPr>
      <w:rPr>
        <w:rFonts w:ascii="Courier New" w:hAnsi="Courier New" w:hint="default"/>
      </w:rPr>
    </w:lvl>
    <w:lvl w:ilvl="5" w:tplc="E08CDCC2">
      <w:start w:val="1"/>
      <w:numFmt w:val="bullet"/>
      <w:lvlText w:val=""/>
      <w:lvlJc w:val="left"/>
      <w:pPr>
        <w:ind w:left="4320" w:hanging="360"/>
      </w:pPr>
      <w:rPr>
        <w:rFonts w:ascii="Wingdings" w:hAnsi="Wingdings" w:hint="default"/>
      </w:rPr>
    </w:lvl>
    <w:lvl w:ilvl="6" w:tplc="BFF0F980">
      <w:start w:val="1"/>
      <w:numFmt w:val="bullet"/>
      <w:lvlText w:val=""/>
      <w:lvlJc w:val="left"/>
      <w:pPr>
        <w:ind w:left="5040" w:hanging="360"/>
      </w:pPr>
      <w:rPr>
        <w:rFonts w:ascii="Symbol" w:hAnsi="Symbol" w:hint="default"/>
      </w:rPr>
    </w:lvl>
    <w:lvl w:ilvl="7" w:tplc="6E924930">
      <w:start w:val="1"/>
      <w:numFmt w:val="bullet"/>
      <w:lvlText w:val="o"/>
      <w:lvlJc w:val="left"/>
      <w:pPr>
        <w:ind w:left="5760" w:hanging="360"/>
      </w:pPr>
      <w:rPr>
        <w:rFonts w:ascii="Courier New" w:hAnsi="Courier New" w:hint="default"/>
      </w:rPr>
    </w:lvl>
    <w:lvl w:ilvl="8" w:tplc="419C6968">
      <w:start w:val="1"/>
      <w:numFmt w:val="bullet"/>
      <w:lvlText w:val=""/>
      <w:lvlJc w:val="left"/>
      <w:pPr>
        <w:ind w:left="6480" w:hanging="360"/>
      </w:pPr>
      <w:rPr>
        <w:rFonts w:ascii="Wingdings" w:hAnsi="Wingdings" w:hint="default"/>
      </w:rPr>
    </w:lvl>
  </w:abstractNum>
  <w:abstractNum w:abstractNumId="10" w15:restartNumberingAfterBreak="0">
    <w:nsid w:val="3FE8F0CC"/>
    <w:multiLevelType w:val="hybridMultilevel"/>
    <w:tmpl w:val="F8D4958E"/>
    <w:lvl w:ilvl="0" w:tplc="EFAADED6">
      <w:start w:val="1"/>
      <w:numFmt w:val="bullet"/>
      <w:lvlText w:val=""/>
      <w:lvlJc w:val="left"/>
      <w:pPr>
        <w:ind w:left="720" w:hanging="360"/>
      </w:pPr>
      <w:rPr>
        <w:rFonts w:ascii="Symbol" w:hAnsi="Symbol" w:hint="default"/>
      </w:rPr>
    </w:lvl>
    <w:lvl w:ilvl="1" w:tplc="4268FB10">
      <w:start w:val="1"/>
      <w:numFmt w:val="bullet"/>
      <w:lvlText w:val="o"/>
      <w:lvlJc w:val="left"/>
      <w:pPr>
        <w:ind w:left="1440" w:hanging="360"/>
      </w:pPr>
      <w:rPr>
        <w:rFonts w:ascii="Courier New" w:hAnsi="Courier New" w:hint="default"/>
      </w:rPr>
    </w:lvl>
    <w:lvl w:ilvl="2" w:tplc="2A4E7E1C">
      <w:start w:val="1"/>
      <w:numFmt w:val="bullet"/>
      <w:lvlText w:val=""/>
      <w:lvlJc w:val="left"/>
      <w:pPr>
        <w:ind w:left="2160" w:hanging="360"/>
      </w:pPr>
      <w:rPr>
        <w:rFonts w:ascii="Wingdings" w:hAnsi="Wingdings" w:hint="default"/>
      </w:rPr>
    </w:lvl>
    <w:lvl w:ilvl="3" w:tplc="9A506B92">
      <w:start w:val="1"/>
      <w:numFmt w:val="bullet"/>
      <w:lvlText w:val=""/>
      <w:lvlJc w:val="left"/>
      <w:pPr>
        <w:ind w:left="2880" w:hanging="360"/>
      </w:pPr>
      <w:rPr>
        <w:rFonts w:ascii="Symbol" w:hAnsi="Symbol" w:hint="default"/>
      </w:rPr>
    </w:lvl>
    <w:lvl w:ilvl="4" w:tplc="387A328A">
      <w:start w:val="1"/>
      <w:numFmt w:val="bullet"/>
      <w:lvlText w:val="o"/>
      <w:lvlJc w:val="left"/>
      <w:pPr>
        <w:ind w:left="3600" w:hanging="360"/>
      </w:pPr>
      <w:rPr>
        <w:rFonts w:ascii="Courier New" w:hAnsi="Courier New" w:hint="default"/>
      </w:rPr>
    </w:lvl>
    <w:lvl w:ilvl="5" w:tplc="33C6BA28">
      <w:start w:val="1"/>
      <w:numFmt w:val="bullet"/>
      <w:lvlText w:val=""/>
      <w:lvlJc w:val="left"/>
      <w:pPr>
        <w:ind w:left="4320" w:hanging="360"/>
      </w:pPr>
      <w:rPr>
        <w:rFonts w:ascii="Wingdings" w:hAnsi="Wingdings" w:hint="default"/>
      </w:rPr>
    </w:lvl>
    <w:lvl w:ilvl="6" w:tplc="3A1EEF9E">
      <w:start w:val="1"/>
      <w:numFmt w:val="bullet"/>
      <w:lvlText w:val=""/>
      <w:lvlJc w:val="left"/>
      <w:pPr>
        <w:ind w:left="5040" w:hanging="360"/>
      </w:pPr>
      <w:rPr>
        <w:rFonts w:ascii="Symbol" w:hAnsi="Symbol" w:hint="default"/>
      </w:rPr>
    </w:lvl>
    <w:lvl w:ilvl="7" w:tplc="4920C910">
      <w:start w:val="1"/>
      <w:numFmt w:val="bullet"/>
      <w:lvlText w:val="o"/>
      <w:lvlJc w:val="left"/>
      <w:pPr>
        <w:ind w:left="5760" w:hanging="360"/>
      </w:pPr>
      <w:rPr>
        <w:rFonts w:ascii="Courier New" w:hAnsi="Courier New" w:hint="default"/>
      </w:rPr>
    </w:lvl>
    <w:lvl w:ilvl="8" w:tplc="020A9638">
      <w:start w:val="1"/>
      <w:numFmt w:val="bullet"/>
      <w:lvlText w:val=""/>
      <w:lvlJc w:val="left"/>
      <w:pPr>
        <w:ind w:left="6480" w:hanging="360"/>
      </w:pPr>
      <w:rPr>
        <w:rFonts w:ascii="Wingdings" w:hAnsi="Wingdings" w:hint="default"/>
      </w:rPr>
    </w:lvl>
  </w:abstractNum>
  <w:abstractNum w:abstractNumId="11" w15:restartNumberingAfterBreak="0">
    <w:nsid w:val="4021E2B8"/>
    <w:multiLevelType w:val="hybridMultilevel"/>
    <w:tmpl w:val="755836B6"/>
    <w:lvl w:ilvl="0" w:tplc="2F901D94">
      <w:start w:val="1"/>
      <w:numFmt w:val="bullet"/>
      <w:lvlText w:val="·"/>
      <w:lvlJc w:val="left"/>
      <w:pPr>
        <w:ind w:left="720" w:hanging="360"/>
      </w:pPr>
      <w:rPr>
        <w:rFonts w:ascii="Symbol" w:hAnsi="Symbol" w:hint="default"/>
      </w:rPr>
    </w:lvl>
    <w:lvl w:ilvl="1" w:tplc="30022C96">
      <w:start w:val="1"/>
      <w:numFmt w:val="bullet"/>
      <w:lvlText w:val="o"/>
      <w:lvlJc w:val="left"/>
      <w:pPr>
        <w:ind w:left="1440" w:hanging="360"/>
      </w:pPr>
      <w:rPr>
        <w:rFonts w:ascii="Courier New" w:hAnsi="Courier New" w:hint="default"/>
      </w:rPr>
    </w:lvl>
    <w:lvl w:ilvl="2" w:tplc="F822E380">
      <w:start w:val="1"/>
      <w:numFmt w:val="bullet"/>
      <w:lvlText w:val=""/>
      <w:lvlJc w:val="left"/>
      <w:pPr>
        <w:ind w:left="2160" w:hanging="360"/>
      </w:pPr>
      <w:rPr>
        <w:rFonts w:ascii="Wingdings" w:hAnsi="Wingdings" w:hint="default"/>
      </w:rPr>
    </w:lvl>
    <w:lvl w:ilvl="3" w:tplc="63DA2652">
      <w:start w:val="1"/>
      <w:numFmt w:val="bullet"/>
      <w:lvlText w:val=""/>
      <w:lvlJc w:val="left"/>
      <w:pPr>
        <w:ind w:left="2880" w:hanging="360"/>
      </w:pPr>
      <w:rPr>
        <w:rFonts w:ascii="Symbol" w:hAnsi="Symbol" w:hint="default"/>
      </w:rPr>
    </w:lvl>
    <w:lvl w:ilvl="4" w:tplc="8766B4A6">
      <w:start w:val="1"/>
      <w:numFmt w:val="bullet"/>
      <w:lvlText w:val="o"/>
      <w:lvlJc w:val="left"/>
      <w:pPr>
        <w:ind w:left="3600" w:hanging="360"/>
      </w:pPr>
      <w:rPr>
        <w:rFonts w:ascii="Courier New" w:hAnsi="Courier New" w:hint="default"/>
      </w:rPr>
    </w:lvl>
    <w:lvl w:ilvl="5" w:tplc="C59CACAE">
      <w:start w:val="1"/>
      <w:numFmt w:val="bullet"/>
      <w:lvlText w:val=""/>
      <w:lvlJc w:val="left"/>
      <w:pPr>
        <w:ind w:left="4320" w:hanging="360"/>
      </w:pPr>
      <w:rPr>
        <w:rFonts w:ascii="Wingdings" w:hAnsi="Wingdings" w:hint="default"/>
      </w:rPr>
    </w:lvl>
    <w:lvl w:ilvl="6" w:tplc="2A5A3E42">
      <w:start w:val="1"/>
      <w:numFmt w:val="bullet"/>
      <w:lvlText w:val=""/>
      <w:lvlJc w:val="left"/>
      <w:pPr>
        <w:ind w:left="5040" w:hanging="360"/>
      </w:pPr>
      <w:rPr>
        <w:rFonts w:ascii="Symbol" w:hAnsi="Symbol" w:hint="default"/>
      </w:rPr>
    </w:lvl>
    <w:lvl w:ilvl="7" w:tplc="C956769E">
      <w:start w:val="1"/>
      <w:numFmt w:val="bullet"/>
      <w:lvlText w:val="o"/>
      <w:lvlJc w:val="left"/>
      <w:pPr>
        <w:ind w:left="5760" w:hanging="360"/>
      </w:pPr>
      <w:rPr>
        <w:rFonts w:ascii="Courier New" w:hAnsi="Courier New" w:hint="default"/>
      </w:rPr>
    </w:lvl>
    <w:lvl w:ilvl="8" w:tplc="22FEABC6">
      <w:start w:val="1"/>
      <w:numFmt w:val="bullet"/>
      <w:lvlText w:val=""/>
      <w:lvlJc w:val="left"/>
      <w:pPr>
        <w:ind w:left="6480" w:hanging="360"/>
      </w:pPr>
      <w:rPr>
        <w:rFonts w:ascii="Wingdings" w:hAnsi="Wingdings" w:hint="default"/>
      </w:rPr>
    </w:lvl>
  </w:abstractNum>
  <w:abstractNum w:abstractNumId="12" w15:restartNumberingAfterBreak="0">
    <w:nsid w:val="424A5874"/>
    <w:multiLevelType w:val="hybridMultilevel"/>
    <w:tmpl w:val="292247D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B018DE"/>
    <w:multiLevelType w:val="hybridMultilevel"/>
    <w:tmpl w:val="DADE04A8"/>
    <w:lvl w:ilvl="0" w:tplc="EA846214">
      <w:start w:val="1"/>
      <w:numFmt w:val="decimal"/>
      <w:lvlText w:val="%1."/>
      <w:lvlJc w:val="left"/>
      <w:pPr>
        <w:ind w:left="720" w:hanging="360"/>
      </w:pPr>
      <w:rPr>
        <w:rFonts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B0F3A38"/>
    <w:multiLevelType w:val="hybridMultilevel"/>
    <w:tmpl w:val="F438A5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EC2942F"/>
    <w:multiLevelType w:val="hybridMultilevel"/>
    <w:tmpl w:val="FA1A475C"/>
    <w:lvl w:ilvl="0" w:tplc="241A5A30">
      <w:start w:val="1"/>
      <w:numFmt w:val="bullet"/>
      <w:lvlText w:val=""/>
      <w:lvlJc w:val="left"/>
      <w:pPr>
        <w:ind w:left="720" w:hanging="360"/>
      </w:pPr>
      <w:rPr>
        <w:rFonts w:ascii="Symbol" w:hAnsi="Symbol" w:hint="default"/>
      </w:rPr>
    </w:lvl>
    <w:lvl w:ilvl="1" w:tplc="5DEA4722">
      <w:start w:val="1"/>
      <w:numFmt w:val="bullet"/>
      <w:lvlText w:val="o"/>
      <w:lvlJc w:val="left"/>
      <w:pPr>
        <w:ind w:left="1440" w:hanging="360"/>
      </w:pPr>
      <w:rPr>
        <w:rFonts w:ascii="Courier New" w:hAnsi="Courier New" w:hint="default"/>
      </w:rPr>
    </w:lvl>
    <w:lvl w:ilvl="2" w:tplc="503A494E">
      <w:start w:val="1"/>
      <w:numFmt w:val="bullet"/>
      <w:lvlText w:val=""/>
      <w:lvlJc w:val="left"/>
      <w:pPr>
        <w:ind w:left="2160" w:hanging="360"/>
      </w:pPr>
      <w:rPr>
        <w:rFonts w:ascii="Wingdings" w:hAnsi="Wingdings" w:hint="default"/>
      </w:rPr>
    </w:lvl>
    <w:lvl w:ilvl="3" w:tplc="A9BAE9BC">
      <w:start w:val="1"/>
      <w:numFmt w:val="bullet"/>
      <w:lvlText w:val=""/>
      <w:lvlJc w:val="left"/>
      <w:pPr>
        <w:ind w:left="2880" w:hanging="360"/>
      </w:pPr>
      <w:rPr>
        <w:rFonts w:ascii="Symbol" w:hAnsi="Symbol" w:hint="default"/>
      </w:rPr>
    </w:lvl>
    <w:lvl w:ilvl="4" w:tplc="7AC2CBEE">
      <w:start w:val="1"/>
      <w:numFmt w:val="bullet"/>
      <w:lvlText w:val="o"/>
      <w:lvlJc w:val="left"/>
      <w:pPr>
        <w:ind w:left="3600" w:hanging="360"/>
      </w:pPr>
      <w:rPr>
        <w:rFonts w:ascii="Courier New" w:hAnsi="Courier New" w:hint="default"/>
      </w:rPr>
    </w:lvl>
    <w:lvl w:ilvl="5" w:tplc="E8E683A0">
      <w:start w:val="1"/>
      <w:numFmt w:val="bullet"/>
      <w:lvlText w:val=""/>
      <w:lvlJc w:val="left"/>
      <w:pPr>
        <w:ind w:left="4320" w:hanging="360"/>
      </w:pPr>
      <w:rPr>
        <w:rFonts w:ascii="Wingdings" w:hAnsi="Wingdings" w:hint="default"/>
      </w:rPr>
    </w:lvl>
    <w:lvl w:ilvl="6" w:tplc="1D9E9D0C">
      <w:start w:val="1"/>
      <w:numFmt w:val="bullet"/>
      <w:lvlText w:val=""/>
      <w:lvlJc w:val="left"/>
      <w:pPr>
        <w:ind w:left="5040" w:hanging="360"/>
      </w:pPr>
      <w:rPr>
        <w:rFonts w:ascii="Symbol" w:hAnsi="Symbol" w:hint="default"/>
      </w:rPr>
    </w:lvl>
    <w:lvl w:ilvl="7" w:tplc="4246F418">
      <w:start w:val="1"/>
      <w:numFmt w:val="bullet"/>
      <w:lvlText w:val="o"/>
      <w:lvlJc w:val="left"/>
      <w:pPr>
        <w:ind w:left="5760" w:hanging="360"/>
      </w:pPr>
      <w:rPr>
        <w:rFonts w:ascii="Courier New" w:hAnsi="Courier New" w:hint="default"/>
      </w:rPr>
    </w:lvl>
    <w:lvl w:ilvl="8" w:tplc="E1761996">
      <w:start w:val="1"/>
      <w:numFmt w:val="bullet"/>
      <w:lvlText w:val=""/>
      <w:lvlJc w:val="left"/>
      <w:pPr>
        <w:ind w:left="6480" w:hanging="360"/>
      </w:pPr>
      <w:rPr>
        <w:rFonts w:ascii="Wingdings" w:hAnsi="Wingdings" w:hint="default"/>
      </w:rPr>
    </w:lvl>
  </w:abstractNum>
  <w:abstractNum w:abstractNumId="16" w15:restartNumberingAfterBreak="0">
    <w:nsid w:val="4F91841B"/>
    <w:multiLevelType w:val="hybridMultilevel"/>
    <w:tmpl w:val="709A37C8"/>
    <w:lvl w:ilvl="0" w:tplc="56149408">
      <w:start w:val="1"/>
      <w:numFmt w:val="bullet"/>
      <w:lvlText w:val=""/>
      <w:lvlJc w:val="left"/>
      <w:pPr>
        <w:ind w:left="720" w:hanging="360"/>
      </w:pPr>
      <w:rPr>
        <w:rFonts w:ascii="Symbol" w:hAnsi="Symbol" w:hint="default"/>
      </w:rPr>
    </w:lvl>
    <w:lvl w:ilvl="1" w:tplc="7E109D98">
      <w:start w:val="1"/>
      <w:numFmt w:val="bullet"/>
      <w:lvlText w:val="o"/>
      <w:lvlJc w:val="left"/>
      <w:pPr>
        <w:ind w:left="1440" w:hanging="360"/>
      </w:pPr>
      <w:rPr>
        <w:rFonts w:ascii="Courier New" w:hAnsi="Courier New" w:hint="default"/>
      </w:rPr>
    </w:lvl>
    <w:lvl w:ilvl="2" w:tplc="7EAC1AFA">
      <w:start w:val="1"/>
      <w:numFmt w:val="bullet"/>
      <w:lvlText w:val=""/>
      <w:lvlJc w:val="left"/>
      <w:pPr>
        <w:ind w:left="2160" w:hanging="360"/>
      </w:pPr>
      <w:rPr>
        <w:rFonts w:ascii="Wingdings" w:hAnsi="Wingdings" w:hint="default"/>
      </w:rPr>
    </w:lvl>
    <w:lvl w:ilvl="3" w:tplc="653C313C">
      <w:start w:val="1"/>
      <w:numFmt w:val="bullet"/>
      <w:lvlText w:val=""/>
      <w:lvlJc w:val="left"/>
      <w:pPr>
        <w:ind w:left="2880" w:hanging="360"/>
      </w:pPr>
      <w:rPr>
        <w:rFonts w:ascii="Symbol" w:hAnsi="Symbol" w:hint="default"/>
      </w:rPr>
    </w:lvl>
    <w:lvl w:ilvl="4" w:tplc="48D6B65E">
      <w:start w:val="1"/>
      <w:numFmt w:val="bullet"/>
      <w:lvlText w:val="o"/>
      <w:lvlJc w:val="left"/>
      <w:pPr>
        <w:ind w:left="3600" w:hanging="360"/>
      </w:pPr>
      <w:rPr>
        <w:rFonts w:ascii="Courier New" w:hAnsi="Courier New" w:hint="default"/>
      </w:rPr>
    </w:lvl>
    <w:lvl w:ilvl="5" w:tplc="A880BB70">
      <w:start w:val="1"/>
      <w:numFmt w:val="bullet"/>
      <w:lvlText w:val=""/>
      <w:lvlJc w:val="left"/>
      <w:pPr>
        <w:ind w:left="4320" w:hanging="360"/>
      </w:pPr>
      <w:rPr>
        <w:rFonts w:ascii="Wingdings" w:hAnsi="Wingdings" w:hint="default"/>
      </w:rPr>
    </w:lvl>
    <w:lvl w:ilvl="6" w:tplc="6932219C">
      <w:start w:val="1"/>
      <w:numFmt w:val="bullet"/>
      <w:lvlText w:val=""/>
      <w:lvlJc w:val="left"/>
      <w:pPr>
        <w:ind w:left="5040" w:hanging="360"/>
      </w:pPr>
      <w:rPr>
        <w:rFonts w:ascii="Symbol" w:hAnsi="Symbol" w:hint="default"/>
      </w:rPr>
    </w:lvl>
    <w:lvl w:ilvl="7" w:tplc="B37C234C">
      <w:start w:val="1"/>
      <w:numFmt w:val="bullet"/>
      <w:lvlText w:val="o"/>
      <w:lvlJc w:val="left"/>
      <w:pPr>
        <w:ind w:left="5760" w:hanging="360"/>
      </w:pPr>
      <w:rPr>
        <w:rFonts w:ascii="Courier New" w:hAnsi="Courier New" w:hint="default"/>
      </w:rPr>
    </w:lvl>
    <w:lvl w:ilvl="8" w:tplc="9B4E6708">
      <w:start w:val="1"/>
      <w:numFmt w:val="bullet"/>
      <w:lvlText w:val=""/>
      <w:lvlJc w:val="left"/>
      <w:pPr>
        <w:ind w:left="6480" w:hanging="360"/>
      </w:pPr>
      <w:rPr>
        <w:rFonts w:ascii="Wingdings" w:hAnsi="Wingdings" w:hint="default"/>
      </w:rPr>
    </w:lvl>
  </w:abstractNum>
  <w:abstractNum w:abstractNumId="17" w15:restartNumberingAfterBreak="0">
    <w:nsid w:val="5BC9081F"/>
    <w:multiLevelType w:val="hybridMultilevel"/>
    <w:tmpl w:val="A426E5C6"/>
    <w:lvl w:ilvl="0" w:tplc="F6187FE2">
      <w:start w:val="22"/>
      <w:numFmt w:val="bullet"/>
      <w:lvlText w:val=""/>
      <w:lvlJc w:val="left"/>
      <w:pPr>
        <w:ind w:left="720" w:hanging="360"/>
      </w:pPr>
      <w:rPr>
        <w:rFonts w:ascii="Wingdings" w:eastAsia="Calibri" w:hAnsi="Wingdings"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8" w15:restartNumberingAfterBreak="0">
    <w:nsid w:val="63E22A3D"/>
    <w:multiLevelType w:val="hybridMultilevel"/>
    <w:tmpl w:val="7D3A8DD4"/>
    <w:lvl w:ilvl="0" w:tplc="6D20C306">
      <w:start w:val="1"/>
      <w:numFmt w:val="decimal"/>
      <w:lvlText w:val="%1."/>
      <w:lvlJc w:val="left"/>
      <w:pPr>
        <w:ind w:left="720" w:hanging="360"/>
      </w:pPr>
      <w:rPr>
        <w:rFonts w:ascii="Times New Roman" w:hAnsi="Times New Roman" w:cs="Times New Roman" w:hint="default"/>
        <w:color w:val="auto"/>
      </w:rPr>
    </w:lvl>
    <w:lvl w:ilvl="1" w:tplc="85F69B7E">
      <w:start w:val="1"/>
      <w:numFmt w:val="lowerLetter"/>
      <w:lvlText w:val="%2."/>
      <w:lvlJc w:val="left"/>
      <w:pPr>
        <w:ind w:left="1440" w:hanging="360"/>
      </w:pPr>
    </w:lvl>
    <w:lvl w:ilvl="2" w:tplc="9BCECC6E">
      <w:start w:val="1"/>
      <w:numFmt w:val="lowerRoman"/>
      <w:lvlText w:val="%3."/>
      <w:lvlJc w:val="right"/>
      <w:pPr>
        <w:ind w:left="2160" w:hanging="180"/>
      </w:pPr>
    </w:lvl>
    <w:lvl w:ilvl="3" w:tplc="12A48DCE">
      <w:start w:val="1"/>
      <w:numFmt w:val="decimal"/>
      <w:lvlText w:val="%4."/>
      <w:lvlJc w:val="left"/>
      <w:pPr>
        <w:ind w:left="2880" w:hanging="360"/>
      </w:pPr>
    </w:lvl>
    <w:lvl w:ilvl="4" w:tplc="C26AEF9E">
      <w:start w:val="1"/>
      <w:numFmt w:val="lowerLetter"/>
      <w:lvlText w:val="%5."/>
      <w:lvlJc w:val="left"/>
      <w:pPr>
        <w:ind w:left="3600" w:hanging="360"/>
      </w:pPr>
    </w:lvl>
    <w:lvl w:ilvl="5" w:tplc="2264B96C">
      <w:start w:val="1"/>
      <w:numFmt w:val="lowerRoman"/>
      <w:lvlText w:val="%6."/>
      <w:lvlJc w:val="right"/>
      <w:pPr>
        <w:ind w:left="4320" w:hanging="180"/>
      </w:pPr>
    </w:lvl>
    <w:lvl w:ilvl="6" w:tplc="EF263D28">
      <w:start w:val="1"/>
      <w:numFmt w:val="decimal"/>
      <w:lvlText w:val="%7."/>
      <w:lvlJc w:val="left"/>
      <w:pPr>
        <w:ind w:left="5040" w:hanging="360"/>
      </w:pPr>
    </w:lvl>
    <w:lvl w:ilvl="7" w:tplc="A2E0EF12">
      <w:start w:val="1"/>
      <w:numFmt w:val="lowerLetter"/>
      <w:lvlText w:val="%8."/>
      <w:lvlJc w:val="left"/>
      <w:pPr>
        <w:ind w:left="5760" w:hanging="360"/>
      </w:pPr>
    </w:lvl>
    <w:lvl w:ilvl="8" w:tplc="37FAFCB6">
      <w:start w:val="1"/>
      <w:numFmt w:val="lowerRoman"/>
      <w:lvlText w:val="%9."/>
      <w:lvlJc w:val="right"/>
      <w:pPr>
        <w:ind w:left="6480" w:hanging="180"/>
      </w:pPr>
    </w:lvl>
  </w:abstractNum>
  <w:abstractNum w:abstractNumId="19" w15:restartNumberingAfterBreak="0">
    <w:nsid w:val="66BC0D35"/>
    <w:multiLevelType w:val="multilevel"/>
    <w:tmpl w:val="9E5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FF16CF"/>
    <w:multiLevelType w:val="hybridMultilevel"/>
    <w:tmpl w:val="B2026348"/>
    <w:lvl w:ilvl="0" w:tplc="3C90B286">
      <w:start w:val="1"/>
      <w:numFmt w:val="bullet"/>
      <w:lvlText w:val="-"/>
      <w:lvlJc w:val="left"/>
      <w:pPr>
        <w:ind w:left="720" w:hanging="360"/>
      </w:pPr>
      <w:rPr>
        <w:rFonts w:ascii="Aptos" w:hAnsi="Aptos" w:hint="default"/>
      </w:rPr>
    </w:lvl>
    <w:lvl w:ilvl="1" w:tplc="323C78B0">
      <w:start w:val="1"/>
      <w:numFmt w:val="bullet"/>
      <w:lvlText w:val="o"/>
      <w:lvlJc w:val="left"/>
      <w:pPr>
        <w:ind w:left="1440" w:hanging="360"/>
      </w:pPr>
      <w:rPr>
        <w:rFonts w:ascii="Courier New" w:hAnsi="Courier New" w:hint="default"/>
      </w:rPr>
    </w:lvl>
    <w:lvl w:ilvl="2" w:tplc="8A8EF396">
      <w:start w:val="1"/>
      <w:numFmt w:val="bullet"/>
      <w:lvlText w:val=""/>
      <w:lvlJc w:val="left"/>
      <w:pPr>
        <w:ind w:left="2160" w:hanging="360"/>
      </w:pPr>
      <w:rPr>
        <w:rFonts w:ascii="Wingdings" w:hAnsi="Wingdings" w:hint="default"/>
      </w:rPr>
    </w:lvl>
    <w:lvl w:ilvl="3" w:tplc="4D0C4666">
      <w:start w:val="1"/>
      <w:numFmt w:val="bullet"/>
      <w:lvlText w:val=""/>
      <w:lvlJc w:val="left"/>
      <w:pPr>
        <w:ind w:left="2880" w:hanging="360"/>
      </w:pPr>
      <w:rPr>
        <w:rFonts w:ascii="Symbol" w:hAnsi="Symbol" w:hint="default"/>
      </w:rPr>
    </w:lvl>
    <w:lvl w:ilvl="4" w:tplc="092E9838">
      <w:start w:val="1"/>
      <w:numFmt w:val="bullet"/>
      <w:lvlText w:val="o"/>
      <w:lvlJc w:val="left"/>
      <w:pPr>
        <w:ind w:left="3600" w:hanging="360"/>
      </w:pPr>
      <w:rPr>
        <w:rFonts w:ascii="Courier New" w:hAnsi="Courier New" w:hint="default"/>
      </w:rPr>
    </w:lvl>
    <w:lvl w:ilvl="5" w:tplc="37FE85D2">
      <w:start w:val="1"/>
      <w:numFmt w:val="bullet"/>
      <w:lvlText w:val=""/>
      <w:lvlJc w:val="left"/>
      <w:pPr>
        <w:ind w:left="4320" w:hanging="360"/>
      </w:pPr>
      <w:rPr>
        <w:rFonts w:ascii="Wingdings" w:hAnsi="Wingdings" w:hint="default"/>
      </w:rPr>
    </w:lvl>
    <w:lvl w:ilvl="6" w:tplc="6F78B64C">
      <w:start w:val="1"/>
      <w:numFmt w:val="bullet"/>
      <w:lvlText w:val=""/>
      <w:lvlJc w:val="left"/>
      <w:pPr>
        <w:ind w:left="5040" w:hanging="360"/>
      </w:pPr>
      <w:rPr>
        <w:rFonts w:ascii="Symbol" w:hAnsi="Symbol" w:hint="default"/>
      </w:rPr>
    </w:lvl>
    <w:lvl w:ilvl="7" w:tplc="03E828BE">
      <w:start w:val="1"/>
      <w:numFmt w:val="bullet"/>
      <w:lvlText w:val="o"/>
      <w:lvlJc w:val="left"/>
      <w:pPr>
        <w:ind w:left="5760" w:hanging="360"/>
      </w:pPr>
      <w:rPr>
        <w:rFonts w:ascii="Courier New" w:hAnsi="Courier New" w:hint="default"/>
      </w:rPr>
    </w:lvl>
    <w:lvl w:ilvl="8" w:tplc="76CCEF6E">
      <w:start w:val="1"/>
      <w:numFmt w:val="bullet"/>
      <w:lvlText w:val=""/>
      <w:lvlJc w:val="left"/>
      <w:pPr>
        <w:ind w:left="6480" w:hanging="360"/>
      </w:pPr>
      <w:rPr>
        <w:rFonts w:ascii="Wingdings" w:hAnsi="Wingdings" w:hint="default"/>
      </w:rPr>
    </w:lvl>
  </w:abstractNum>
  <w:abstractNum w:abstractNumId="21" w15:restartNumberingAfterBreak="0">
    <w:nsid w:val="7140757B"/>
    <w:multiLevelType w:val="hybridMultilevel"/>
    <w:tmpl w:val="73DE89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93D9C85"/>
    <w:multiLevelType w:val="hybridMultilevel"/>
    <w:tmpl w:val="17846C98"/>
    <w:lvl w:ilvl="0" w:tplc="8DF095DA">
      <w:start w:val="1"/>
      <w:numFmt w:val="bullet"/>
      <w:lvlText w:val="·"/>
      <w:lvlJc w:val="left"/>
      <w:pPr>
        <w:ind w:left="720" w:hanging="360"/>
      </w:pPr>
      <w:rPr>
        <w:rFonts w:ascii="Symbol" w:hAnsi="Symbol" w:hint="default"/>
      </w:rPr>
    </w:lvl>
    <w:lvl w:ilvl="1" w:tplc="51E63490">
      <w:start w:val="1"/>
      <w:numFmt w:val="bullet"/>
      <w:lvlText w:val="o"/>
      <w:lvlJc w:val="left"/>
      <w:pPr>
        <w:ind w:left="1440" w:hanging="360"/>
      </w:pPr>
      <w:rPr>
        <w:rFonts w:ascii="Courier New" w:hAnsi="Courier New" w:hint="default"/>
      </w:rPr>
    </w:lvl>
    <w:lvl w:ilvl="2" w:tplc="CA501854">
      <w:start w:val="1"/>
      <w:numFmt w:val="bullet"/>
      <w:lvlText w:val=""/>
      <w:lvlJc w:val="left"/>
      <w:pPr>
        <w:ind w:left="2160" w:hanging="360"/>
      </w:pPr>
      <w:rPr>
        <w:rFonts w:ascii="Wingdings" w:hAnsi="Wingdings" w:hint="default"/>
      </w:rPr>
    </w:lvl>
    <w:lvl w:ilvl="3" w:tplc="A1FE171E">
      <w:start w:val="1"/>
      <w:numFmt w:val="bullet"/>
      <w:lvlText w:val=""/>
      <w:lvlJc w:val="left"/>
      <w:pPr>
        <w:ind w:left="2880" w:hanging="360"/>
      </w:pPr>
      <w:rPr>
        <w:rFonts w:ascii="Symbol" w:hAnsi="Symbol" w:hint="default"/>
      </w:rPr>
    </w:lvl>
    <w:lvl w:ilvl="4" w:tplc="5BB0D268">
      <w:start w:val="1"/>
      <w:numFmt w:val="bullet"/>
      <w:lvlText w:val="o"/>
      <w:lvlJc w:val="left"/>
      <w:pPr>
        <w:ind w:left="3600" w:hanging="360"/>
      </w:pPr>
      <w:rPr>
        <w:rFonts w:ascii="Courier New" w:hAnsi="Courier New" w:hint="default"/>
      </w:rPr>
    </w:lvl>
    <w:lvl w:ilvl="5" w:tplc="5AE68C30">
      <w:start w:val="1"/>
      <w:numFmt w:val="bullet"/>
      <w:lvlText w:val=""/>
      <w:lvlJc w:val="left"/>
      <w:pPr>
        <w:ind w:left="4320" w:hanging="360"/>
      </w:pPr>
      <w:rPr>
        <w:rFonts w:ascii="Wingdings" w:hAnsi="Wingdings" w:hint="default"/>
      </w:rPr>
    </w:lvl>
    <w:lvl w:ilvl="6" w:tplc="76D0ABEA">
      <w:start w:val="1"/>
      <w:numFmt w:val="bullet"/>
      <w:lvlText w:val=""/>
      <w:lvlJc w:val="left"/>
      <w:pPr>
        <w:ind w:left="5040" w:hanging="360"/>
      </w:pPr>
      <w:rPr>
        <w:rFonts w:ascii="Symbol" w:hAnsi="Symbol" w:hint="default"/>
      </w:rPr>
    </w:lvl>
    <w:lvl w:ilvl="7" w:tplc="9D60E372">
      <w:start w:val="1"/>
      <w:numFmt w:val="bullet"/>
      <w:lvlText w:val="o"/>
      <w:lvlJc w:val="left"/>
      <w:pPr>
        <w:ind w:left="5760" w:hanging="360"/>
      </w:pPr>
      <w:rPr>
        <w:rFonts w:ascii="Courier New" w:hAnsi="Courier New" w:hint="default"/>
      </w:rPr>
    </w:lvl>
    <w:lvl w:ilvl="8" w:tplc="31B0A7CA">
      <w:start w:val="1"/>
      <w:numFmt w:val="bullet"/>
      <w:lvlText w:val=""/>
      <w:lvlJc w:val="left"/>
      <w:pPr>
        <w:ind w:left="6480" w:hanging="360"/>
      </w:pPr>
      <w:rPr>
        <w:rFonts w:ascii="Wingdings" w:hAnsi="Wingdings" w:hint="default"/>
      </w:rPr>
    </w:lvl>
  </w:abstractNum>
  <w:abstractNum w:abstractNumId="23" w15:restartNumberingAfterBreak="0">
    <w:nsid w:val="7A7123E1"/>
    <w:multiLevelType w:val="hybridMultilevel"/>
    <w:tmpl w:val="5F500A6A"/>
    <w:lvl w:ilvl="0" w:tplc="18090001">
      <w:start w:val="1"/>
      <w:numFmt w:val="bullet"/>
      <w:lvlText w:val=""/>
      <w:lvlJc w:val="left"/>
      <w:pPr>
        <w:ind w:left="-1080" w:hanging="360"/>
      </w:pPr>
      <w:rPr>
        <w:rFonts w:ascii="Symbol" w:hAnsi="Symbol" w:hint="default"/>
        <w:b w:val="0"/>
      </w:rPr>
    </w:lvl>
    <w:lvl w:ilvl="1" w:tplc="18090003" w:tentative="1">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360" w:hanging="360"/>
      </w:pPr>
      <w:rPr>
        <w:rFonts w:ascii="Wingdings" w:hAnsi="Wingdings" w:hint="default"/>
      </w:rPr>
    </w:lvl>
    <w:lvl w:ilvl="3" w:tplc="18090001">
      <w:start w:val="1"/>
      <w:numFmt w:val="bullet"/>
      <w:lvlText w:val=""/>
      <w:lvlJc w:val="left"/>
      <w:pPr>
        <w:ind w:left="1080" w:hanging="360"/>
      </w:pPr>
      <w:rPr>
        <w:rFonts w:ascii="Symbol" w:hAnsi="Symbol" w:hint="default"/>
      </w:rPr>
    </w:lvl>
    <w:lvl w:ilvl="4" w:tplc="18090003" w:tentative="1">
      <w:start w:val="1"/>
      <w:numFmt w:val="bullet"/>
      <w:lvlText w:val="o"/>
      <w:lvlJc w:val="left"/>
      <w:pPr>
        <w:ind w:left="1800" w:hanging="360"/>
      </w:pPr>
      <w:rPr>
        <w:rFonts w:ascii="Courier New" w:hAnsi="Courier New" w:cs="Courier New" w:hint="default"/>
      </w:rPr>
    </w:lvl>
    <w:lvl w:ilvl="5" w:tplc="18090005" w:tentative="1">
      <w:start w:val="1"/>
      <w:numFmt w:val="bullet"/>
      <w:lvlText w:val=""/>
      <w:lvlJc w:val="left"/>
      <w:pPr>
        <w:ind w:left="2520" w:hanging="360"/>
      </w:pPr>
      <w:rPr>
        <w:rFonts w:ascii="Wingdings" w:hAnsi="Wingdings" w:hint="default"/>
      </w:rPr>
    </w:lvl>
    <w:lvl w:ilvl="6" w:tplc="18090001" w:tentative="1">
      <w:start w:val="1"/>
      <w:numFmt w:val="bullet"/>
      <w:lvlText w:val=""/>
      <w:lvlJc w:val="left"/>
      <w:pPr>
        <w:ind w:left="3240" w:hanging="360"/>
      </w:pPr>
      <w:rPr>
        <w:rFonts w:ascii="Symbol" w:hAnsi="Symbol" w:hint="default"/>
      </w:rPr>
    </w:lvl>
    <w:lvl w:ilvl="7" w:tplc="18090003" w:tentative="1">
      <w:start w:val="1"/>
      <w:numFmt w:val="bullet"/>
      <w:lvlText w:val="o"/>
      <w:lvlJc w:val="left"/>
      <w:pPr>
        <w:ind w:left="3960" w:hanging="360"/>
      </w:pPr>
      <w:rPr>
        <w:rFonts w:ascii="Courier New" w:hAnsi="Courier New" w:cs="Courier New" w:hint="default"/>
      </w:rPr>
    </w:lvl>
    <w:lvl w:ilvl="8" w:tplc="18090005" w:tentative="1">
      <w:start w:val="1"/>
      <w:numFmt w:val="bullet"/>
      <w:lvlText w:val=""/>
      <w:lvlJc w:val="left"/>
      <w:pPr>
        <w:ind w:left="4680" w:hanging="360"/>
      </w:pPr>
      <w:rPr>
        <w:rFonts w:ascii="Wingdings" w:hAnsi="Wingdings" w:hint="default"/>
      </w:rPr>
    </w:lvl>
  </w:abstractNum>
  <w:num w:numId="1">
    <w:abstractNumId w:val="11"/>
  </w:num>
  <w:num w:numId="2">
    <w:abstractNumId w:val="15"/>
  </w:num>
  <w:num w:numId="3">
    <w:abstractNumId w:val="5"/>
  </w:num>
  <w:num w:numId="4">
    <w:abstractNumId w:val="18"/>
  </w:num>
  <w:num w:numId="5">
    <w:abstractNumId w:val="9"/>
  </w:num>
  <w:num w:numId="6">
    <w:abstractNumId w:val="16"/>
  </w:num>
  <w:num w:numId="7">
    <w:abstractNumId w:val="10"/>
  </w:num>
  <w:num w:numId="8">
    <w:abstractNumId w:val="3"/>
  </w:num>
  <w:num w:numId="9">
    <w:abstractNumId w:val="22"/>
  </w:num>
  <w:num w:numId="10">
    <w:abstractNumId w:val="20"/>
  </w:num>
  <w:num w:numId="11">
    <w:abstractNumId w:val="6"/>
  </w:num>
  <w:num w:numId="12">
    <w:abstractNumId w:val="14"/>
  </w:num>
  <w:num w:numId="13">
    <w:abstractNumId w:val="0"/>
  </w:num>
  <w:num w:numId="14">
    <w:abstractNumId w:val="21"/>
  </w:num>
  <w:num w:numId="15">
    <w:abstractNumId w:val="17"/>
  </w:num>
  <w:num w:numId="16">
    <w:abstractNumId w:val="13"/>
  </w:num>
  <w:num w:numId="17">
    <w:abstractNumId w:val="7"/>
  </w:num>
  <w:num w:numId="18">
    <w:abstractNumId w:val="23"/>
  </w:num>
  <w:num w:numId="19">
    <w:abstractNumId w:val="19"/>
  </w:num>
  <w:num w:numId="20">
    <w:abstractNumId w:val="12"/>
  </w:num>
  <w:num w:numId="21">
    <w:abstractNumId w:val="2"/>
  </w:num>
  <w:num w:numId="22">
    <w:abstractNumId w:val="1"/>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D00F637-FB93-4A04-BB69-7563D3C293E6"/>
    <w:docVar w:name="LW_COVERPAGE_TYPE" w:val="1"/>
    <w:docVar w:name="LW_CROSSREFERENCE" w:val="&lt;UNUSED&gt;"/>
    <w:docVar w:name="LW_DocType" w:val="NORMAL"/>
    <w:docVar w:name="LW_EMISSION" w:val="27.2.2026"/>
    <w:docVar w:name="LW_EMISSION_ISODATE" w:val="2026-02-27"/>
    <w:docVar w:name="LW_EMISSION_LOCATION" w:val="BRX"/>
    <w:docVar w:name="LW_EMISSION_PREFIX" w:val="Bruxelles, "/>
    <w:docVar w:name="LW_EMISSION_SUFFIX" w:val=" "/>
    <w:docVar w:name="LW_ID_DOCTYPE_NONLW" w:val="CP-005"/>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l doilea raport bienal privind punerea în aplicare a_x000b_Abord\u259?rii globale a cercet\u259?rii \u537?i inov\u259?rii 2023 \u8211? 2025"/>
    <w:docVar w:name="LW_TYPE.DOC.CP" w:val="RAPORT AL COMISIEI C\u258?TRE CONSILIU \u536?I PARLAMENTUL EUROPEAN"/>
    <w:docVar w:name="LwApiVersions" w:val="LW4CoDe 1.24.5.0; LW 9.2, Build 20251112"/>
  </w:docVars>
  <w:rsids>
    <w:rsidRoot w:val="00C7070C"/>
    <w:rsid w:val="0000031F"/>
    <w:rsid w:val="000007D0"/>
    <w:rsid w:val="00000928"/>
    <w:rsid w:val="00000D99"/>
    <w:rsid w:val="00001388"/>
    <w:rsid w:val="0000145E"/>
    <w:rsid w:val="00001CE0"/>
    <w:rsid w:val="00002021"/>
    <w:rsid w:val="0000232A"/>
    <w:rsid w:val="000030E3"/>
    <w:rsid w:val="0000334B"/>
    <w:rsid w:val="0000348D"/>
    <w:rsid w:val="00003BF0"/>
    <w:rsid w:val="000044F3"/>
    <w:rsid w:val="00004893"/>
    <w:rsid w:val="0000496F"/>
    <w:rsid w:val="00004BF6"/>
    <w:rsid w:val="00004D2F"/>
    <w:rsid w:val="00004D3D"/>
    <w:rsid w:val="00005658"/>
    <w:rsid w:val="000056EE"/>
    <w:rsid w:val="00005C82"/>
    <w:rsid w:val="00005CD9"/>
    <w:rsid w:val="00006136"/>
    <w:rsid w:val="000064A2"/>
    <w:rsid w:val="00006502"/>
    <w:rsid w:val="0000651D"/>
    <w:rsid w:val="0000684B"/>
    <w:rsid w:val="00006DB0"/>
    <w:rsid w:val="000070E5"/>
    <w:rsid w:val="00007322"/>
    <w:rsid w:val="00007A27"/>
    <w:rsid w:val="00007A6B"/>
    <w:rsid w:val="000102C8"/>
    <w:rsid w:val="00010429"/>
    <w:rsid w:val="00010727"/>
    <w:rsid w:val="00010AA4"/>
    <w:rsid w:val="00010AA6"/>
    <w:rsid w:val="00010B08"/>
    <w:rsid w:val="00010B83"/>
    <w:rsid w:val="0001102A"/>
    <w:rsid w:val="000111C2"/>
    <w:rsid w:val="0001132F"/>
    <w:rsid w:val="0001146B"/>
    <w:rsid w:val="00011586"/>
    <w:rsid w:val="0001173D"/>
    <w:rsid w:val="00012345"/>
    <w:rsid w:val="000123C4"/>
    <w:rsid w:val="00012DB7"/>
    <w:rsid w:val="0001354C"/>
    <w:rsid w:val="00013849"/>
    <w:rsid w:val="00013E3C"/>
    <w:rsid w:val="00014287"/>
    <w:rsid w:val="0001484E"/>
    <w:rsid w:val="00014A9B"/>
    <w:rsid w:val="00014B5D"/>
    <w:rsid w:val="00014C5E"/>
    <w:rsid w:val="00014FB0"/>
    <w:rsid w:val="00015383"/>
    <w:rsid w:val="000158B4"/>
    <w:rsid w:val="00015A5E"/>
    <w:rsid w:val="00015D61"/>
    <w:rsid w:val="00015D93"/>
    <w:rsid w:val="000160FB"/>
    <w:rsid w:val="00016428"/>
    <w:rsid w:val="0001652E"/>
    <w:rsid w:val="00016D7A"/>
    <w:rsid w:val="00016EE6"/>
    <w:rsid w:val="00017378"/>
    <w:rsid w:val="00017E04"/>
    <w:rsid w:val="000202C1"/>
    <w:rsid w:val="00020384"/>
    <w:rsid w:val="00020437"/>
    <w:rsid w:val="00020F46"/>
    <w:rsid w:val="00021373"/>
    <w:rsid w:val="0002165B"/>
    <w:rsid w:val="00021811"/>
    <w:rsid w:val="00022618"/>
    <w:rsid w:val="00022958"/>
    <w:rsid w:val="00022DC9"/>
    <w:rsid w:val="000234DF"/>
    <w:rsid w:val="00023C6E"/>
    <w:rsid w:val="00023D2F"/>
    <w:rsid w:val="00023ED4"/>
    <w:rsid w:val="0002425B"/>
    <w:rsid w:val="0002445A"/>
    <w:rsid w:val="000244A0"/>
    <w:rsid w:val="00024683"/>
    <w:rsid w:val="000251D4"/>
    <w:rsid w:val="000253F9"/>
    <w:rsid w:val="00025B7A"/>
    <w:rsid w:val="00025E2B"/>
    <w:rsid w:val="00026017"/>
    <w:rsid w:val="00026784"/>
    <w:rsid w:val="00026A11"/>
    <w:rsid w:val="00027221"/>
    <w:rsid w:val="00027450"/>
    <w:rsid w:val="00027541"/>
    <w:rsid w:val="00027A96"/>
    <w:rsid w:val="00027EE1"/>
    <w:rsid w:val="0003004C"/>
    <w:rsid w:val="00030AA1"/>
    <w:rsid w:val="00030F08"/>
    <w:rsid w:val="000314F5"/>
    <w:rsid w:val="0003180C"/>
    <w:rsid w:val="00031C15"/>
    <w:rsid w:val="00031D5C"/>
    <w:rsid w:val="000321C3"/>
    <w:rsid w:val="00032619"/>
    <w:rsid w:val="0003273F"/>
    <w:rsid w:val="00032B04"/>
    <w:rsid w:val="00033B03"/>
    <w:rsid w:val="0003414D"/>
    <w:rsid w:val="000341B9"/>
    <w:rsid w:val="000342E6"/>
    <w:rsid w:val="00034991"/>
    <w:rsid w:val="00034998"/>
    <w:rsid w:val="00034BC4"/>
    <w:rsid w:val="000352E8"/>
    <w:rsid w:val="000353ED"/>
    <w:rsid w:val="0003560A"/>
    <w:rsid w:val="00036886"/>
    <w:rsid w:val="00036983"/>
    <w:rsid w:val="000377A5"/>
    <w:rsid w:val="000378EF"/>
    <w:rsid w:val="00037BD4"/>
    <w:rsid w:val="00037C90"/>
    <w:rsid w:val="00037D67"/>
    <w:rsid w:val="0004035B"/>
    <w:rsid w:val="00040469"/>
    <w:rsid w:val="00040484"/>
    <w:rsid w:val="000404F7"/>
    <w:rsid w:val="0004084E"/>
    <w:rsid w:val="00040BC3"/>
    <w:rsid w:val="00041053"/>
    <w:rsid w:val="000416BE"/>
    <w:rsid w:val="000418C2"/>
    <w:rsid w:val="00041C78"/>
    <w:rsid w:val="00041EB3"/>
    <w:rsid w:val="000420E2"/>
    <w:rsid w:val="00042436"/>
    <w:rsid w:val="000427AB"/>
    <w:rsid w:val="00042C0B"/>
    <w:rsid w:val="00042C73"/>
    <w:rsid w:val="00042D17"/>
    <w:rsid w:val="0004336D"/>
    <w:rsid w:val="000438F8"/>
    <w:rsid w:val="000441BA"/>
    <w:rsid w:val="0004422F"/>
    <w:rsid w:val="000444BA"/>
    <w:rsid w:val="000446D5"/>
    <w:rsid w:val="000450CE"/>
    <w:rsid w:val="00045809"/>
    <w:rsid w:val="00045A2E"/>
    <w:rsid w:val="00045AF9"/>
    <w:rsid w:val="00045BC0"/>
    <w:rsid w:val="00045C5C"/>
    <w:rsid w:val="00045EC2"/>
    <w:rsid w:val="000462E5"/>
    <w:rsid w:val="00046652"/>
    <w:rsid w:val="000469E0"/>
    <w:rsid w:val="000470EE"/>
    <w:rsid w:val="000472BE"/>
    <w:rsid w:val="00047D99"/>
    <w:rsid w:val="00047DAC"/>
    <w:rsid w:val="00047F45"/>
    <w:rsid w:val="00050048"/>
    <w:rsid w:val="000503B3"/>
    <w:rsid w:val="000508C5"/>
    <w:rsid w:val="00051723"/>
    <w:rsid w:val="000528BF"/>
    <w:rsid w:val="00052BE5"/>
    <w:rsid w:val="00052F57"/>
    <w:rsid w:val="000539D5"/>
    <w:rsid w:val="00053AC9"/>
    <w:rsid w:val="00053AFD"/>
    <w:rsid w:val="00053B2E"/>
    <w:rsid w:val="00053EA8"/>
    <w:rsid w:val="00053F98"/>
    <w:rsid w:val="00053F99"/>
    <w:rsid w:val="00053FF2"/>
    <w:rsid w:val="000541AE"/>
    <w:rsid w:val="00054421"/>
    <w:rsid w:val="000544EF"/>
    <w:rsid w:val="00054682"/>
    <w:rsid w:val="00054AE3"/>
    <w:rsid w:val="00055187"/>
    <w:rsid w:val="00055542"/>
    <w:rsid w:val="00055980"/>
    <w:rsid w:val="00056163"/>
    <w:rsid w:val="00056997"/>
    <w:rsid w:val="00056F11"/>
    <w:rsid w:val="0005750F"/>
    <w:rsid w:val="00057938"/>
    <w:rsid w:val="00057ADB"/>
    <w:rsid w:val="00057D1E"/>
    <w:rsid w:val="00060373"/>
    <w:rsid w:val="0006047A"/>
    <w:rsid w:val="000617C5"/>
    <w:rsid w:val="00061968"/>
    <w:rsid w:val="00062522"/>
    <w:rsid w:val="0006258D"/>
    <w:rsid w:val="00062B3A"/>
    <w:rsid w:val="00062CEF"/>
    <w:rsid w:val="00062F3E"/>
    <w:rsid w:val="0006316B"/>
    <w:rsid w:val="00063D9B"/>
    <w:rsid w:val="00063ED4"/>
    <w:rsid w:val="000640ED"/>
    <w:rsid w:val="0006457A"/>
    <w:rsid w:val="0006476A"/>
    <w:rsid w:val="0006561C"/>
    <w:rsid w:val="00065650"/>
    <w:rsid w:val="00065A73"/>
    <w:rsid w:val="0006682D"/>
    <w:rsid w:val="00066D62"/>
    <w:rsid w:val="00066FAC"/>
    <w:rsid w:val="00067281"/>
    <w:rsid w:val="00067320"/>
    <w:rsid w:val="000673D4"/>
    <w:rsid w:val="000677B7"/>
    <w:rsid w:val="00067932"/>
    <w:rsid w:val="00067D96"/>
    <w:rsid w:val="00070086"/>
    <w:rsid w:val="000701BA"/>
    <w:rsid w:val="00070291"/>
    <w:rsid w:val="00070C64"/>
    <w:rsid w:val="00070E45"/>
    <w:rsid w:val="00070E59"/>
    <w:rsid w:val="0007144D"/>
    <w:rsid w:val="000714B6"/>
    <w:rsid w:val="0007168B"/>
    <w:rsid w:val="00071977"/>
    <w:rsid w:val="00071A2C"/>
    <w:rsid w:val="00071AB1"/>
    <w:rsid w:val="00071CDD"/>
    <w:rsid w:val="00072E9C"/>
    <w:rsid w:val="000736B2"/>
    <w:rsid w:val="00073A2D"/>
    <w:rsid w:val="00073B59"/>
    <w:rsid w:val="00074160"/>
    <w:rsid w:val="00074431"/>
    <w:rsid w:val="0007449C"/>
    <w:rsid w:val="00074C36"/>
    <w:rsid w:val="0007506A"/>
    <w:rsid w:val="00075457"/>
    <w:rsid w:val="000757CF"/>
    <w:rsid w:val="00075ACD"/>
    <w:rsid w:val="0007605E"/>
    <w:rsid w:val="00076378"/>
    <w:rsid w:val="00076465"/>
    <w:rsid w:val="000766ED"/>
    <w:rsid w:val="00076E06"/>
    <w:rsid w:val="000770A8"/>
    <w:rsid w:val="00077239"/>
    <w:rsid w:val="00077642"/>
    <w:rsid w:val="000778D7"/>
    <w:rsid w:val="00077B16"/>
    <w:rsid w:val="00080253"/>
    <w:rsid w:val="00080977"/>
    <w:rsid w:val="00081110"/>
    <w:rsid w:val="000816CF"/>
    <w:rsid w:val="0008193E"/>
    <w:rsid w:val="0008380C"/>
    <w:rsid w:val="00083D0B"/>
    <w:rsid w:val="00083FB6"/>
    <w:rsid w:val="00084052"/>
    <w:rsid w:val="000841BB"/>
    <w:rsid w:val="0008428D"/>
    <w:rsid w:val="00084AD8"/>
    <w:rsid w:val="000850DC"/>
    <w:rsid w:val="000852C8"/>
    <w:rsid w:val="000863D0"/>
    <w:rsid w:val="00086487"/>
    <w:rsid w:val="0008675F"/>
    <w:rsid w:val="00086E96"/>
    <w:rsid w:val="00087113"/>
    <w:rsid w:val="000871DF"/>
    <w:rsid w:val="00087D58"/>
    <w:rsid w:val="00087D64"/>
    <w:rsid w:val="000902DD"/>
    <w:rsid w:val="000907A9"/>
    <w:rsid w:val="00090F0C"/>
    <w:rsid w:val="00091831"/>
    <w:rsid w:val="00092166"/>
    <w:rsid w:val="0009250C"/>
    <w:rsid w:val="000925AE"/>
    <w:rsid w:val="000926F3"/>
    <w:rsid w:val="000927AD"/>
    <w:rsid w:val="00092A10"/>
    <w:rsid w:val="00092C99"/>
    <w:rsid w:val="00092DEF"/>
    <w:rsid w:val="000938B0"/>
    <w:rsid w:val="00093D77"/>
    <w:rsid w:val="00093E50"/>
    <w:rsid w:val="0009407F"/>
    <w:rsid w:val="00094212"/>
    <w:rsid w:val="00094251"/>
    <w:rsid w:val="000942FF"/>
    <w:rsid w:val="00094668"/>
    <w:rsid w:val="000947C2"/>
    <w:rsid w:val="000948A5"/>
    <w:rsid w:val="00094BEF"/>
    <w:rsid w:val="00094EC6"/>
    <w:rsid w:val="000952B9"/>
    <w:rsid w:val="000952E5"/>
    <w:rsid w:val="000954A6"/>
    <w:rsid w:val="00095A77"/>
    <w:rsid w:val="00095C1A"/>
    <w:rsid w:val="00096114"/>
    <w:rsid w:val="0009611B"/>
    <w:rsid w:val="00096152"/>
    <w:rsid w:val="00096332"/>
    <w:rsid w:val="000967AF"/>
    <w:rsid w:val="00096A93"/>
    <w:rsid w:val="00096C77"/>
    <w:rsid w:val="00096CC3"/>
    <w:rsid w:val="000970B7"/>
    <w:rsid w:val="000973DE"/>
    <w:rsid w:val="000976D2"/>
    <w:rsid w:val="000976FA"/>
    <w:rsid w:val="00097712"/>
    <w:rsid w:val="000A017A"/>
    <w:rsid w:val="000A0293"/>
    <w:rsid w:val="000A0BBE"/>
    <w:rsid w:val="000A1414"/>
    <w:rsid w:val="000A1438"/>
    <w:rsid w:val="000A15DF"/>
    <w:rsid w:val="000A167F"/>
    <w:rsid w:val="000A233B"/>
    <w:rsid w:val="000A23B2"/>
    <w:rsid w:val="000A29B8"/>
    <w:rsid w:val="000A2B67"/>
    <w:rsid w:val="000A2C42"/>
    <w:rsid w:val="000A2F9C"/>
    <w:rsid w:val="000A3D09"/>
    <w:rsid w:val="000A3F44"/>
    <w:rsid w:val="000A4EB9"/>
    <w:rsid w:val="000A554C"/>
    <w:rsid w:val="000A5B40"/>
    <w:rsid w:val="000A5E52"/>
    <w:rsid w:val="000A639D"/>
    <w:rsid w:val="000A6BF4"/>
    <w:rsid w:val="000A6D37"/>
    <w:rsid w:val="000A6E0B"/>
    <w:rsid w:val="000A7215"/>
    <w:rsid w:val="000A7371"/>
    <w:rsid w:val="000A7447"/>
    <w:rsid w:val="000A74DA"/>
    <w:rsid w:val="000A7684"/>
    <w:rsid w:val="000A7D02"/>
    <w:rsid w:val="000A7DA6"/>
    <w:rsid w:val="000A7E2D"/>
    <w:rsid w:val="000B008E"/>
    <w:rsid w:val="000B06EB"/>
    <w:rsid w:val="000B0A46"/>
    <w:rsid w:val="000B0D32"/>
    <w:rsid w:val="000B0EFD"/>
    <w:rsid w:val="000B0FD9"/>
    <w:rsid w:val="000B1D0E"/>
    <w:rsid w:val="000B2229"/>
    <w:rsid w:val="000B23D1"/>
    <w:rsid w:val="000B2483"/>
    <w:rsid w:val="000B2A8E"/>
    <w:rsid w:val="000B2E34"/>
    <w:rsid w:val="000B3357"/>
    <w:rsid w:val="000B3380"/>
    <w:rsid w:val="000B373F"/>
    <w:rsid w:val="000B383B"/>
    <w:rsid w:val="000B3A16"/>
    <w:rsid w:val="000B3A91"/>
    <w:rsid w:val="000B425E"/>
    <w:rsid w:val="000B434D"/>
    <w:rsid w:val="000B435C"/>
    <w:rsid w:val="000B4B72"/>
    <w:rsid w:val="000B54E2"/>
    <w:rsid w:val="000B550C"/>
    <w:rsid w:val="000B5627"/>
    <w:rsid w:val="000B5632"/>
    <w:rsid w:val="000B563C"/>
    <w:rsid w:val="000B585E"/>
    <w:rsid w:val="000B5D2D"/>
    <w:rsid w:val="000B6883"/>
    <w:rsid w:val="000B6DF6"/>
    <w:rsid w:val="000B722D"/>
    <w:rsid w:val="000B73BC"/>
    <w:rsid w:val="000B75A9"/>
    <w:rsid w:val="000B7ADD"/>
    <w:rsid w:val="000B7F3D"/>
    <w:rsid w:val="000C0030"/>
    <w:rsid w:val="000C013C"/>
    <w:rsid w:val="000C03B6"/>
    <w:rsid w:val="000C1323"/>
    <w:rsid w:val="000C13B0"/>
    <w:rsid w:val="000C14A3"/>
    <w:rsid w:val="000C16B4"/>
    <w:rsid w:val="000C1A64"/>
    <w:rsid w:val="000C22FB"/>
    <w:rsid w:val="000C29E1"/>
    <w:rsid w:val="000C2B5C"/>
    <w:rsid w:val="000C2D22"/>
    <w:rsid w:val="000C2D53"/>
    <w:rsid w:val="000C30CD"/>
    <w:rsid w:val="000C368B"/>
    <w:rsid w:val="000C3DB0"/>
    <w:rsid w:val="000C3FD6"/>
    <w:rsid w:val="000C414F"/>
    <w:rsid w:val="000C4651"/>
    <w:rsid w:val="000C4973"/>
    <w:rsid w:val="000C49FA"/>
    <w:rsid w:val="000C4D91"/>
    <w:rsid w:val="000C4FBE"/>
    <w:rsid w:val="000C5151"/>
    <w:rsid w:val="000C5407"/>
    <w:rsid w:val="000C55C2"/>
    <w:rsid w:val="000C593C"/>
    <w:rsid w:val="000C598C"/>
    <w:rsid w:val="000C5DAB"/>
    <w:rsid w:val="000C5E90"/>
    <w:rsid w:val="000C64EF"/>
    <w:rsid w:val="000C6586"/>
    <w:rsid w:val="000C6592"/>
    <w:rsid w:val="000C688F"/>
    <w:rsid w:val="000C690B"/>
    <w:rsid w:val="000C6A49"/>
    <w:rsid w:val="000C7AE3"/>
    <w:rsid w:val="000D0405"/>
    <w:rsid w:val="000D05B6"/>
    <w:rsid w:val="000D0805"/>
    <w:rsid w:val="000D0AFC"/>
    <w:rsid w:val="000D0D7C"/>
    <w:rsid w:val="000D0EDC"/>
    <w:rsid w:val="000D0FCC"/>
    <w:rsid w:val="000D1535"/>
    <w:rsid w:val="000D16C7"/>
    <w:rsid w:val="000D1F6B"/>
    <w:rsid w:val="000D2580"/>
    <w:rsid w:val="000D260F"/>
    <w:rsid w:val="000D2630"/>
    <w:rsid w:val="000D2779"/>
    <w:rsid w:val="000D2A09"/>
    <w:rsid w:val="000D2CDB"/>
    <w:rsid w:val="000D3931"/>
    <w:rsid w:val="000D3FA2"/>
    <w:rsid w:val="000D4114"/>
    <w:rsid w:val="000D4348"/>
    <w:rsid w:val="000D47D9"/>
    <w:rsid w:val="000D4FBF"/>
    <w:rsid w:val="000D50B8"/>
    <w:rsid w:val="000D519B"/>
    <w:rsid w:val="000D5A0B"/>
    <w:rsid w:val="000D609F"/>
    <w:rsid w:val="000D613E"/>
    <w:rsid w:val="000D63CD"/>
    <w:rsid w:val="000D66BC"/>
    <w:rsid w:val="000D69E2"/>
    <w:rsid w:val="000D6C2F"/>
    <w:rsid w:val="000D6C52"/>
    <w:rsid w:val="000D7261"/>
    <w:rsid w:val="000E0C5E"/>
    <w:rsid w:val="000E0FEE"/>
    <w:rsid w:val="000E1293"/>
    <w:rsid w:val="000E152D"/>
    <w:rsid w:val="000E16F6"/>
    <w:rsid w:val="000E1806"/>
    <w:rsid w:val="000E1A54"/>
    <w:rsid w:val="000E2354"/>
    <w:rsid w:val="000E240B"/>
    <w:rsid w:val="000E287C"/>
    <w:rsid w:val="000E2EE6"/>
    <w:rsid w:val="000E321E"/>
    <w:rsid w:val="000E327B"/>
    <w:rsid w:val="000E3725"/>
    <w:rsid w:val="000E3DA9"/>
    <w:rsid w:val="000E3E8E"/>
    <w:rsid w:val="000E40F6"/>
    <w:rsid w:val="000E462C"/>
    <w:rsid w:val="000E4731"/>
    <w:rsid w:val="000E4951"/>
    <w:rsid w:val="000E49EE"/>
    <w:rsid w:val="000E4C49"/>
    <w:rsid w:val="000E4E07"/>
    <w:rsid w:val="000E5171"/>
    <w:rsid w:val="000E556A"/>
    <w:rsid w:val="000E5F94"/>
    <w:rsid w:val="000E6B60"/>
    <w:rsid w:val="000E6BA0"/>
    <w:rsid w:val="000E7054"/>
    <w:rsid w:val="000E7186"/>
    <w:rsid w:val="000E727F"/>
    <w:rsid w:val="000E764B"/>
    <w:rsid w:val="000F01E7"/>
    <w:rsid w:val="000F0FBC"/>
    <w:rsid w:val="000F0FF7"/>
    <w:rsid w:val="000F1194"/>
    <w:rsid w:val="000F11D1"/>
    <w:rsid w:val="000F129F"/>
    <w:rsid w:val="000F138E"/>
    <w:rsid w:val="000F1723"/>
    <w:rsid w:val="000F1B5A"/>
    <w:rsid w:val="000F1B77"/>
    <w:rsid w:val="000F2371"/>
    <w:rsid w:val="000F2978"/>
    <w:rsid w:val="000F29DC"/>
    <w:rsid w:val="000F2D2B"/>
    <w:rsid w:val="000F2E8F"/>
    <w:rsid w:val="000F3014"/>
    <w:rsid w:val="000F33EB"/>
    <w:rsid w:val="000F3582"/>
    <w:rsid w:val="000F3701"/>
    <w:rsid w:val="000F380B"/>
    <w:rsid w:val="000F4601"/>
    <w:rsid w:val="000F488F"/>
    <w:rsid w:val="000F4BB1"/>
    <w:rsid w:val="000F51F7"/>
    <w:rsid w:val="000F543F"/>
    <w:rsid w:val="000F5580"/>
    <w:rsid w:val="000F5A99"/>
    <w:rsid w:val="000F5FDE"/>
    <w:rsid w:val="000F6143"/>
    <w:rsid w:val="000F62C9"/>
    <w:rsid w:val="000F6721"/>
    <w:rsid w:val="000F69F2"/>
    <w:rsid w:val="000F6DF9"/>
    <w:rsid w:val="000F6F39"/>
    <w:rsid w:val="000F71E1"/>
    <w:rsid w:val="000F733F"/>
    <w:rsid w:val="000F73F4"/>
    <w:rsid w:val="000F7BA7"/>
    <w:rsid w:val="000F7C09"/>
    <w:rsid w:val="000F7EAE"/>
    <w:rsid w:val="0010016A"/>
    <w:rsid w:val="00100AEB"/>
    <w:rsid w:val="00100CE7"/>
    <w:rsid w:val="00100D4E"/>
    <w:rsid w:val="00100DFA"/>
    <w:rsid w:val="00100F33"/>
    <w:rsid w:val="001023BC"/>
    <w:rsid w:val="0010243F"/>
    <w:rsid w:val="00103459"/>
    <w:rsid w:val="001034E3"/>
    <w:rsid w:val="001037B2"/>
    <w:rsid w:val="0010388F"/>
    <w:rsid w:val="00103DE1"/>
    <w:rsid w:val="00103EEE"/>
    <w:rsid w:val="00103F6D"/>
    <w:rsid w:val="00104581"/>
    <w:rsid w:val="00104808"/>
    <w:rsid w:val="00104A7C"/>
    <w:rsid w:val="00104DAC"/>
    <w:rsid w:val="00104F35"/>
    <w:rsid w:val="0010554A"/>
    <w:rsid w:val="001055C5"/>
    <w:rsid w:val="00105A54"/>
    <w:rsid w:val="00105C3C"/>
    <w:rsid w:val="00105E6F"/>
    <w:rsid w:val="00105E82"/>
    <w:rsid w:val="0010614D"/>
    <w:rsid w:val="00106419"/>
    <w:rsid w:val="00106AB6"/>
    <w:rsid w:val="001078B2"/>
    <w:rsid w:val="00110226"/>
    <w:rsid w:val="00110263"/>
    <w:rsid w:val="001109A1"/>
    <w:rsid w:val="00110AFF"/>
    <w:rsid w:val="00111052"/>
    <w:rsid w:val="001114E9"/>
    <w:rsid w:val="001116EB"/>
    <w:rsid w:val="00111FB3"/>
    <w:rsid w:val="001128FF"/>
    <w:rsid w:val="00112B0C"/>
    <w:rsid w:val="00112B98"/>
    <w:rsid w:val="00113A2A"/>
    <w:rsid w:val="00113BE3"/>
    <w:rsid w:val="0011449F"/>
    <w:rsid w:val="00114512"/>
    <w:rsid w:val="001145F3"/>
    <w:rsid w:val="00114A07"/>
    <w:rsid w:val="00114A12"/>
    <w:rsid w:val="00114A5B"/>
    <w:rsid w:val="00114D37"/>
    <w:rsid w:val="00114F9C"/>
    <w:rsid w:val="00115345"/>
    <w:rsid w:val="001155E0"/>
    <w:rsid w:val="00115DFF"/>
    <w:rsid w:val="00115EBF"/>
    <w:rsid w:val="00115F01"/>
    <w:rsid w:val="00116582"/>
    <w:rsid w:val="00116A00"/>
    <w:rsid w:val="00116A05"/>
    <w:rsid w:val="0011710A"/>
    <w:rsid w:val="0011721E"/>
    <w:rsid w:val="00117584"/>
    <w:rsid w:val="00117B07"/>
    <w:rsid w:val="0012024F"/>
    <w:rsid w:val="00120399"/>
    <w:rsid w:val="0012056C"/>
    <w:rsid w:val="0012065C"/>
    <w:rsid w:val="001209F5"/>
    <w:rsid w:val="001212E8"/>
    <w:rsid w:val="001215EB"/>
    <w:rsid w:val="00121660"/>
    <w:rsid w:val="0012216F"/>
    <w:rsid w:val="00122310"/>
    <w:rsid w:val="0012261C"/>
    <w:rsid w:val="00122702"/>
    <w:rsid w:val="00122915"/>
    <w:rsid w:val="00122D63"/>
    <w:rsid w:val="00123232"/>
    <w:rsid w:val="00123D28"/>
    <w:rsid w:val="001241EE"/>
    <w:rsid w:val="001246BF"/>
    <w:rsid w:val="001247A5"/>
    <w:rsid w:val="00124A22"/>
    <w:rsid w:val="00125334"/>
    <w:rsid w:val="00125694"/>
    <w:rsid w:val="00125714"/>
    <w:rsid w:val="001260A7"/>
    <w:rsid w:val="00126825"/>
    <w:rsid w:val="00126997"/>
    <w:rsid w:val="00126C71"/>
    <w:rsid w:val="00126E1A"/>
    <w:rsid w:val="00126EBF"/>
    <w:rsid w:val="00126EF2"/>
    <w:rsid w:val="00127053"/>
    <w:rsid w:val="00127153"/>
    <w:rsid w:val="00127684"/>
    <w:rsid w:val="00127E48"/>
    <w:rsid w:val="00130272"/>
    <w:rsid w:val="00130767"/>
    <w:rsid w:val="001307A8"/>
    <w:rsid w:val="001307AB"/>
    <w:rsid w:val="0013086E"/>
    <w:rsid w:val="00131239"/>
    <w:rsid w:val="00131371"/>
    <w:rsid w:val="00131447"/>
    <w:rsid w:val="00131880"/>
    <w:rsid w:val="001318C7"/>
    <w:rsid w:val="00131C0B"/>
    <w:rsid w:val="001324FC"/>
    <w:rsid w:val="00132C04"/>
    <w:rsid w:val="00132D7E"/>
    <w:rsid w:val="00132DC3"/>
    <w:rsid w:val="001337BF"/>
    <w:rsid w:val="00133999"/>
    <w:rsid w:val="00133BB8"/>
    <w:rsid w:val="001343CD"/>
    <w:rsid w:val="001344E2"/>
    <w:rsid w:val="001345A1"/>
    <w:rsid w:val="00134810"/>
    <w:rsid w:val="00134B71"/>
    <w:rsid w:val="00134BD0"/>
    <w:rsid w:val="00135036"/>
    <w:rsid w:val="00135156"/>
    <w:rsid w:val="001351F1"/>
    <w:rsid w:val="001352FE"/>
    <w:rsid w:val="0013574A"/>
    <w:rsid w:val="00135C61"/>
    <w:rsid w:val="00135E3B"/>
    <w:rsid w:val="00135E3D"/>
    <w:rsid w:val="00135EBA"/>
    <w:rsid w:val="0013670A"/>
    <w:rsid w:val="00137840"/>
    <w:rsid w:val="001402B5"/>
    <w:rsid w:val="00140382"/>
    <w:rsid w:val="0014055C"/>
    <w:rsid w:val="0014060B"/>
    <w:rsid w:val="001406B0"/>
    <w:rsid w:val="0014084F"/>
    <w:rsid w:val="0014104A"/>
    <w:rsid w:val="00141567"/>
    <w:rsid w:val="00141979"/>
    <w:rsid w:val="00141DDC"/>
    <w:rsid w:val="00142424"/>
    <w:rsid w:val="00142463"/>
    <w:rsid w:val="001426A0"/>
    <w:rsid w:val="001426CB"/>
    <w:rsid w:val="001429AE"/>
    <w:rsid w:val="00142A16"/>
    <w:rsid w:val="00142DC2"/>
    <w:rsid w:val="00142DEC"/>
    <w:rsid w:val="001430DA"/>
    <w:rsid w:val="00143246"/>
    <w:rsid w:val="00143275"/>
    <w:rsid w:val="001436AA"/>
    <w:rsid w:val="0014371D"/>
    <w:rsid w:val="0014383B"/>
    <w:rsid w:val="0014385A"/>
    <w:rsid w:val="00144AA0"/>
    <w:rsid w:val="00144B9F"/>
    <w:rsid w:val="00144C0B"/>
    <w:rsid w:val="001456A5"/>
    <w:rsid w:val="00145727"/>
    <w:rsid w:val="00145B9A"/>
    <w:rsid w:val="00145BED"/>
    <w:rsid w:val="00145E5A"/>
    <w:rsid w:val="001462EA"/>
    <w:rsid w:val="0014631C"/>
    <w:rsid w:val="00146827"/>
    <w:rsid w:val="00146D06"/>
    <w:rsid w:val="00146D45"/>
    <w:rsid w:val="0014746D"/>
    <w:rsid w:val="00147AFF"/>
    <w:rsid w:val="00147FAE"/>
    <w:rsid w:val="0015046E"/>
    <w:rsid w:val="001508C1"/>
    <w:rsid w:val="001509E1"/>
    <w:rsid w:val="00150A8B"/>
    <w:rsid w:val="001512F5"/>
    <w:rsid w:val="001516DB"/>
    <w:rsid w:val="00151772"/>
    <w:rsid w:val="00152025"/>
    <w:rsid w:val="001520B0"/>
    <w:rsid w:val="001525BB"/>
    <w:rsid w:val="00152EEB"/>
    <w:rsid w:val="00152F1A"/>
    <w:rsid w:val="00153451"/>
    <w:rsid w:val="001534A7"/>
    <w:rsid w:val="001534AF"/>
    <w:rsid w:val="001537A9"/>
    <w:rsid w:val="00153E0D"/>
    <w:rsid w:val="00153E17"/>
    <w:rsid w:val="00154542"/>
    <w:rsid w:val="001545CD"/>
    <w:rsid w:val="00154AAD"/>
    <w:rsid w:val="00154B37"/>
    <w:rsid w:val="00154B3B"/>
    <w:rsid w:val="00154D7C"/>
    <w:rsid w:val="0015541A"/>
    <w:rsid w:val="001558D5"/>
    <w:rsid w:val="00155AA9"/>
    <w:rsid w:val="00155E52"/>
    <w:rsid w:val="001560D3"/>
    <w:rsid w:val="001566D3"/>
    <w:rsid w:val="0015699C"/>
    <w:rsid w:val="001571F1"/>
    <w:rsid w:val="00157626"/>
    <w:rsid w:val="00157CD4"/>
    <w:rsid w:val="001605FF"/>
    <w:rsid w:val="00160E9C"/>
    <w:rsid w:val="00161919"/>
    <w:rsid w:val="00161A5B"/>
    <w:rsid w:val="00162552"/>
    <w:rsid w:val="00162899"/>
    <w:rsid w:val="00162EEC"/>
    <w:rsid w:val="00163387"/>
    <w:rsid w:val="001634F8"/>
    <w:rsid w:val="00163AD9"/>
    <w:rsid w:val="00163E63"/>
    <w:rsid w:val="00164100"/>
    <w:rsid w:val="00164783"/>
    <w:rsid w:val="00164CB9"/>
    <w:rsid w:val="00164DB4"/>
    <w:rsid w:val="001654E1"/>
    <w:rsid w:val="00165528"/>
    <w:rsid w:val="00165715"/>
    <w:rsid w:val="00165757"/>
    <w:rsid w:val="0016611D"/>
    <w:rsid w:val="001662B5"/>
    <w:rsid w:val="00166C92"/>
    <w:rsid w:val="00166EEF"/>
    <w:rsid w:val="001675EC"/>
    <w:rsid w:val="0016799A"/>
    <w:rsid w:val="00167A43"/>
    <w:rsid w:val="00167B35"/>
    <w:rsid w:val="00167BD9"/>
    <w:rsid w:val="00167D58"/>
    <w:rsid w:val="001707ED"/>
    <w:rsid w:val="00170A6D"/>
    <w:rsid w:val="001719B5"/>
    <w:rsid w:val="00171B57"/>
    <w:rsid w:val="001725B8"/>
    <w:rsid w:val="00172867"/>
    <w:rsid w:val="00173B77"/>
    <w:rsid w:val="00173CA4"/>
    <w:rsid w:val="0017403F"/>
    <w:rsid w:val="00174111"/>
    <w:rsid w:val="001751D0"/>
    <w:rsid w:val="00175C6D"/>
    <w:rsid w:val="0017637D"/>
    <w:rsid w:val="00176488"/>
    <w:rsid w:val="0017650F"/>
    <w:rsid w:val="00176619"/>
    <w:rsid w:val="0017673D"/>
    <w:rsid w:val="00176CAF"/>
    <w:rsid w:val="001771EA"/>
    <w:rsid w:val="0017722A"/>
    <w:rsid w:val="00177745"/>
    <w:rsid w:val="001778E3"/>
    <w:rsid w:val="00177993"/>
    <w:rsid w:val="00177ADD"/>
    <w:rsid w:val="00177D16"/>
    <w:rsid w:val="001803FB"/>
    <w:rsid w:val="00180419"/>
    <w:rsid w:val="00180506"/>
    <w:rsid w:val="001805D4"/>
    <w:rsid w:val="00180B00"/>
    <w:rsid w:val="00180C31"/>
    <w:rsid w:val="0018130A"/>
    <w:rsid w:val="001815D4"/>
    <w:rsid w:val="00181CF0"/>
    <w:rsid w:val="00181FE3"/>
    <w:rsid w:val="00182633"/>
    <w:rsid w:val="001826AA"/>
    <w:rsid w:val="00182755"/>
    <w:rsid w:val="00182819"/>
    <w:rsid w:val="001829B8"/>
    <w:rsid w:val="001830EE"/>
    <w:rsid w:val="0018348E"/>
    <w:rsid w:val="0018358D"/>
    <w:rsid w:val="00183B7D"/>
    <w:rsid w:val="00183E38"/>
    <w:rsid w:val="00183F25"/>
    <w:rsid w:val="00183F5D"/>
    <w:rsid w:val="00184092"/>
    <w:rsid w:val="0018427F"/>
    <w:rsid w:val="001844A6"/>
    <w:rsid w:val="001856E8"/>
    <w:rsid w:val="00185A18"/>
    <w:rsid w:val="00185AA5"/>
    <w:rsid w:val="00185B6A"/>
    <w:rsid w:val="00185DB0"/>
    <w:rsid w:val="00186018"/>
    <w:rsid w:val="00186CDD"/>
    <w:rsid w:val="00186E65"/>
    <w:rsid w:val="00187052"/>
    <w:rsid w:val="0018761F"/>
    <w:rsid w:val="00187819"/>
    <w:rsid w:val="00190014"/>
    <w:rsid w:val="00190A88"/>
    <w:rsid w:val="00190C24"/>
    <w:rsid w:val="00190DB9"/>
    <w:rsid w:val="0019168D"/>
    <w:rsid w:val="001916DA"/>
    <w:rsid w:val="00191B83"/>
    <w:rsid w:val="00191CEB"/>
    <w:rsid w:val="00192441"/>
    <w:rsid w:val="0019258A"/>
    <w:rsid w:val="0019259B"/>
    <w:rsid w:val="00192CF0"/>
    <w:rsid w:val="00192E26"/>
    <w:rsid w:val="00192EE2"/>
    <w:rsid w:val="00193FF4"/>
    <w:rsid w:val="00194F7C"/>
    <w:rsid w:val="00195DE1"/>
    <w:rsid w:val="0019646C"/>
    <w:rsid w:val="001964C8"/>
    <w:rsid w:val="00196727"/>
    <w:rsid w:val="00196D23"/>
    <w:rsid w:val="001971E1"/>
    <w:rsid w:val="00197214"/>
    <w:rsid w:val="00197304"/>
    <w:rsid w:val="0019734F"/>
    <w:rsid w:val="0019767E"/>
    <w:rsid w:val="0019785F"/>
    <w:rsid w:val="00197E5D"/>
    <w:rsid w:val="00197FF7"/>
    <w:rsid w:val="0019CBC6"/>
    <w:rsid w:val="001A0174"/>
    <w:rsid w:val="001A058C"/>
    <w:rsid w:val="001A0874"/>
    <w:rsid w:val="001A0B2C"/>
    <w:rsid w:val="001A0BE8"/>
    <w:rsid w:val="001A1148"/>
    <w:rsid w:val="001A124F"/>
    <w:rsid w:val="001A1CA2"/>
    <w:rsid w:val="001A22C0"/>
    <w:rsid w:val="001A2D50"/>
    <w:rsid w:val="001A2E27"/>
    <w:rsid w:val="001A32CB"/>
    <w:rsid w:val="001A45E3"/>
    <w:rsid w:val="001A5ABD"/>
    <w:rsid w:val="001A672F"/>
    <w:rsid w:val="001A6CB4"/>
    <w:rsid w:val="001A7316"/>
    <w:rsid w:val="001A779B"/>
    <w:rsid w:val="001B004C"/>
    <w:rsid w:val="001B02E3"/>
    <w:rsid w:val="001B03E1"/>
    <w:rsid w:val="001B044A"/>
    <w:rsid w:val="001B07C6"/>
    <w:rsid w:val="001B0BF9"/>
    <w:rsid w:val="001B0CFA"/>
    <w:rsid w:val="001B0E1E"/>
    <w:rsid w:val="001B10D5"/>
    <w:rsid w:val="001B15D6"/>
    <w:rsid w:val="001B15F5"/>
    <w:rsid w:val="001B18E7"/>
    <w:rsid w:val="001B1DD5"/>
    <w:rsid w:val="001B2250"/>
    <w:rsid w:val="001B2437"/>
    <w:rsid w:val="001B2682"/>
    <w:rsid w:val="001B2865"/>
    <w:rsid w:val="001B31DB"/>
    <w:rsid w:val="001B34CE"/>
    <w:rsid w:val="001B3735"/>
    <w:rsid w:val="001B3F46"/>
    <w:rsid w:val="001B40EF"/>
    <w:rsid w:val="001B438B"/>
    <w:rsid w:val="001B4D7F"/>
    <w:rsid w:val="001B5247"/>
    <w:rsid w:val="001B558F"/>
    <w:rsid w:val="001B5B71"/>
    <w:rsid w:val="001B60F4"/>
    <w:rsid w:val="001B61B0"/>
    <w:rsid w:val="001B70A5"/>
    <w:rsid w:val="001B7468"/>
    <w:rsid w:val="001B7893"/>
    <w:rsid w:val="001B7C69"/>
    <w:rsid w:val="001B7E8A"/>
    <w:rsid w:val="001B7EFA"/>
    <w:rsid w:val="001C010B"/>
    <w:rsid w:val="001C0262"/>
    <w:rsid w:val="001C0307"/>
    <w:rsid w:val="001C0490"/>
    <w:rsid w:val="001C1644"/>
    <w:rsid w:val="001C16EE"/>
    <w:rsid w:val="001C1D01"/>
    <w:rsid w:val="001C28AF"/>
    <w:rsid w:val="001C2AF0"/>
    <w:rsid w:val="001C3086"/>
    <w:rsid w:val="001C335F"/>
    <w:rsid w:val="001C3558"/>
    <w:rsid w:val="001C38FB"/>
    <w:rsid w:val="001C3D2A"/>
    <w:rsid w:val="001C3F43"/>
    <w:rsid w:val="001C4626"/>
    <w:rsid w:val="001C4797"/>
    <w:rsid w:val="001C4A36"/>
    <w:rsid w:val="001C4AD0"/>
    <w:rsid w:val="001C4BC1"/>
    <w:rsid w:val="001C4CF2"/>
    <w:rsid w:val="001C51DF"/>
    <w:rsid w:val="001C59D5"/>
    <w:rsid w:val="001C5A36"/>
    <w:rsid w:val="001C5F8F"/>
    <w:rsid w:val="001C7831"/>
    <w:rsid w:val="001C787D"/>
    <w:rsid w:val="001D0530"/>
    <w:rsid w:val="001D06F9"/>
    <w:rsid w:val="001D0729"/>
    <w:rsid w:val="001D082C"/>
    <w:rsid w:val="001D095C"/>
    <w:rsid w:val="001D0C22"/>
    <w:rsid w:val="001D0D4A"/>
    <w:rsid w:val="001D0FB2"/>
    <w:rsid w:val="001D13EC"/>
    <w:rsid w:val="001D163E"/>
    <w:rsid w:val="001D1B93"/>
    <w:rsid w:val="001D1BCB"/>
    <w:rsid w:val="001D1E4C"/>
    <w:rsid w:val="001D24C0"/>
    <w:rsid w:val="001D26ED"/>
    <w:rsid w:val="001D2846"/>
    <w:rsid w:val="001D2DBF"/>
    <w:rsid w:val="001D32EC"/>
    <w:rsid w:val="001D3C8F"/>
    <w:rsid w:val="001D3E19"/>
    <w:rsid w:val="001D4777"/>
    <w:rsid w:val="001D47EA"/>
    <w:rsid w:val="001D4AF5"/>
    <w:rsid w:val="001D5566"/>
    <w:rsid w:val="001D563F"/>
    <w:rsid w:val="001D567B"/>
    <w:rsid w:val="001D6768"/>
    <w:rsid w:val="001D6B67"/>
    <w:rsid w:val="001D6C9E"/>
    <w:rsid w:val="001D7CC8"/>
    <w:rsid w:val="001D7E95"/>
    <w:rsid w:val="001E099D"/>
    <w:rsid w:val="001E0B09"/>
    <w:rsid w:val="001E0E93"/>
    <w:rsid w:val="001E0EDF"/>
    <w:rsid w:val="001E1763"/>
    <w:rsid w:val="001E179D"/>
    <w:rsid w:val="001E29AB"/>
    <w:rsid w:val="001E2DFD"/>
    <w:rsid w:val="001E2FD3"/>
    <w:rsid w:val="001E3399"/>
    <w:rsid w:val="001E3911"/>
    <w:rsid w:val="001E3AED"/>
    <w:rsid w:val="001E427B"/>
    <w:rsid w:val="001E4328"/>
    <w:rsid w:val="001E437F"/>
    <w:rsid w:val="001E4588"/>
    <w:rsid w:val="001E4C60"/>
    <w:rsid w:val="001E4EB8"/>
    <w:rsid w:val="001E51CF"/>
    <w:rsid w:val="001E5499"/>
    <w:rsid w:val="001E56DF"/>
    <w:rsid w:val="001E5D05"/>
    <w:rsid w:val="001E5D24"/>
    <w:rsid w:val="001E6122"/>
    <w:rsid w:val="001E65BD"/>
    <w:rsid w:val="001E6B02"/>
    <w:rsid w:val="001E6C88"/>
    <w:rsid w:val="001E70A6"/>
    <w:rsid w:val="001E72BA"/>
    <w:rsid w:val="001F0137"/>
    <w:rsid w:val="001F0439"/>
    <w:rsid w:val="001F0CA3"/>
    <w:rsid w:val="001F0D28"/>
    <w:rsid w:val="001F1625"/>
    <w:rsid w:val="001F18CE"/>
    <w:rsid w:val="001F1A73"/>
    <w:rsid w:val="001F21F1"/>
    <w:rsid w:val="001F25EA"/>
    <w:rsid w:val="001F2847"/>
    <w:rsid w:val="001F293A"/>
    <w:rsid w:val="001F2E8D"/>
    <w:rsid w:val="001F2F5B"/>
    <w:rsid w:val="001F3089"/>
    <w:rsid w:val="001F3712"/>
    <w:rsid w:val="001F3ADE"/>
    <w:rsid w:val="001F3D76"/>
    <w:rsid w:val="001F3D87"/>
    <w:rsid w:val="001F44C9"/>
    <w:rsid w:val="001F4F2C"/>
    <w:rsid w:val="001F5241"/>
    <w:rsid w:val="001F54CD"/>
    <w:rsid w:val="001F553C"/>
    <w:rsid w:val="001F56A1"/>
    <w:rsid w:val="001F580C"/>
    <w:rsid w:val="001F584C"/>
    <w:rsid w:val="001F5854"/>
    <w:rsid w:val="001F593B"/>
    <w:rsid w:val="001F5A8B"/>
    <w:rsid w:val="001F5F3C"/>
    <w:rsid w:val="001F5F54"/>
    <w:rsid w:val="001F6B13"/>
    <w:rsid w:val="001F6E15"/>
    <w:rsid w:val="001F70B6"/>
    <w:rsid w:val="001F719A"/>
    <w:rsid w:val="001F7236"/>
    <w:rsid w:val="0020008A"/>
    <w:rsid w:val="0020008B"/>
    <w:rsid w:val="002000D4"/>
    <w:rsid w:val="00200295"/>
    <w:rsid w:val="00200B08"/>
    <w:rsid w:val="00200F66"/>
    <w:rsid w:val="002016B4"/>
    <w:rsid w:val="00201DFD"/>
    <w:rsid w:val="0020205F"/>
    <w:rsid w:val="002021EF"/>
    <w:rsid w:val="0020255B"/>
    <w:rsid w:val="00202637"/>
    <w:rsid w:val="0020320D"/>
    <w:rsid w:val="002039DA"/>
    <w:rsid w:val="00203D7A"/>
    <w:rsid w:val="0020418A"/>
    <w:rsid w:val="002041E5"/>
    <w:rsid w:val="00204658"/>
    <w:rsid w:val="00204C8E"/>
    <w:rsid w:val="00205571"/>
    <w:rsid w:val="002058A1"/>
    <w:rsid w:val="00205A77"/>
    <w:rsid w:val="00205C04"/>
    <w:rsid w:val="00206010"/>
    <w:rsid w:val="00206CB9"/>
    <w:rsid w:val="00207482"/>
    <w:rsid w:val="002103E6"/>
    <w:rsid w:val="0021050D"/>
    <w:rsid w:val="00210E16"/>
    <w:rsid w:val="00211659"/>
    <w:rsid w:val="00212F6E"/>
    <w:rsid w:val="0021307F"/>
    <w:rsid w:val="0021323F"/>
    <w:rsid w:val="0021336C"/>
    <w:rsid w:val="0021345E"/>
    <w:rsid w:val="00213526"/>
    <w:rsid w:val="00213632"/>
    <w:rsid w:val="00214333"/>
    <w:rsid w:val="002148A5"/>
    <w:rsid w:val="00214D00"/>
    <w:rsid w:val="00215257"/>
    <w:rsid w:val="0021535D"/>
    <w:rsid w:val="00215503"/>
    <w:rsid w:val="00215B5E"/>
    <w:rsid w:val="00215B70"/>
    <w:rsid w:val="00216599"/>
    <w:rsid w:val="00216609"/>
    <w:rsid w:val="00216634"/>
    <w:rsid w:val="00216DDA"/>
    <w:rsid w:val="00216E2C"/>
    <w:rsid w:val="00216F27"/>
    <w:rsid w:val="0021711C"/>
    <w:rsid w:val="002174F1"/>
    <w:rsid w:val="0021798A"/>
    <w:rsid w:val="0022009B"/>
    <w:rsid w:val="002201D7"/>
    <w:rsid w:val="002203EB"/>
    <w:rsid w:val="00220444"/>
    <w:rsid w:val="00220494"/>
    <w:rsid w:val="0022136F"/>
    <w:rsid w:val="002216C8"/>
    <w:rsid w:val="00221B4A"/>
    <w:rsid w:val="002224F1"/>
    <w:rsid w:val="0022255C"/>
    <w:rsid w:val="0022275F"/>
    <w:rsid w:val="0022276B"/>
    <w:rsid w:val="00222C32"/>
    <w:rsid w:val="002234B3"/>
    <w:rsid w:val="002234CC"/>
    <w:rsid w:val="00224537"/>
    <w:rsid w:val="00224963"/>
    <w:rsid w:val="00224AF4"/>
    <w:rsid w:val="00224C7E"/>
    <w:rsid w:val="00224E3B"/>
    <w:rsid w:val="00224F8D"/>
    <w:rsid w:val="00225922"/>
    <w:rsid w:val="0022661E"/>
    <w:rsid w:val="002268C8"/>
    <w:rsid w:val="0022692D"/>
    <w:rsid w:val="00226A4F"/>
    <w:rsid w:val="00226A8C"/>
    <w:rsid w:val="00226C1D"/>
    <w:rsid w:val="00226EF8"/>
    <w:rsid w:val="0022759D"/>
    <w:rsid w:val="00227654"/>
    <w:rsid w:val="002277CD"/>
    <w:rsid w:val="002278E8"/>
    <w:rsid w:val="00227D24"/>
    <w:rsid w:val="00230A60"/>
    <w:rsid w:val="00230DB3"/>
    <w:rsid w:val="00231A79"/>
    <w:rsid w:val="002320F9"/>
    <w:rsid w:val="0023230F"/>
    <w:rsid w:val="00232542"/>
    <w:rsid w:val="00232625"/>
    <w:rsid w:val="00232CB8"/>
    <w:rsid w:val="00232F55"/>
    <w:rsid w:val="00232F7B"/>
    <w:rsid w:val="002331E7"/>
    <w:rsid w:val="00233CC1"/>
    <w:rsid w:val="0023418E"/>
    <w:rsid w:val="00234413"/>
    <w:rsid w:val="00234685"/>
    <w:rsid w:val="00234A78"/>
    <w:rsid w:val="00234F3B"/>
    <w:rsid w:val="00235106"/>
    <w:rsid w:val="00235558"/>
    <w:rsid w:val="00236114"/>
    <w:rsid w:val="0023625C"/>
    <w:rsid w:val="0023699C"/>
    <w:rsid w:val="00236C05"/>
    <w:rsid w:val="002370A2"/>
    <w:rsid w:val="002370C2"/>
    <w:rsid w:val="002377E9"/>
    <w:rsid w:val="002379AC"/>
    <w:rsid w:val="00237BED"/>
    <w:rsid w:val="00237D66"/>
    <w:rsid w:val="002406D3"/>
    <w:rsid w:val="00240902"/>
    <w:rsid w:val="00241328"/>
    <w:rsid w:val="002414CC"/>
    <w:rsid w:val="002418B5"/>
    <w:rsid w:val="0024190D"/>
    <w:rsid w:val="00241B1C"/>
    <w:rsid w:val="00241C37"/>
    <w:rsid w:val="0024222B"/>
    <w:rsid w:val="002422CE"/>
    <w:rsid w:val="0024258C"/>
    <w:rsid w:val="00242ABB"/>
    <w:rsid w:val="00242B7C"/>
    <w:rsid w:val="00242EC9"/>
    <w:rsid w:val="00242FA9"/>
    <w:rsid w:val="0024354C"/>
    <w:rsid w:val="00243D85"/>
    <w:rsid w:val="00243E56"/>
    <w:rsid w:val="00244BBB"/>
    <w:rsid w:val="00245436"/>
    <w:rsid w:val="00245D4F"/>
    <w:rsid w:val="00245E0A"/>
    <w:rsid w:val="00245E86"/>
    <w:rsid w:val="00246714"/>
    <w:rsid w:val="00246955"/>
    <w:rsid w:val="00246AC9"/>
    <w:rsid w:val="00247125"/>
    <w:rsid w:val="002474FD"/>
    <w:rsid w:val="00247510"/>
    <w:rsid w:val="0024762B"/>
    <w:rsid w:val="00247A00"/>
    <w:rsid w:val="00247A54"/>
    <w:rsid w:val="00247B3B"/>
    <w:rsid w:val="002500AB"/>
    <w:rsid w:val="0025154F"/>
    <w:rsid w:val="00251592"/>
    <w:rsid w:val="00251721"/>
    <w:rsid w:val="00251818"/>
    <w:rsid w:val="0025188C"/>
    <w:rsid w:val="00251B92"/>
    <w:rsid w:val="002520E8"/>
    <w:rsid w:val="00252289"/>
    <w:rsid w:val="0025263B"/>
    <w:rsid w:val="0025274E"/>
    <w:rsid w:val="00252959"/>
    <w:rsid w:val="002531FE"/>
    <w:rsid w:val="00253382"/>
    <w:rsid w:val="00253B90"/>
    <w:rsid w:val="002542C1"/>
    <w:rsid w:val="00254697"/>
    <w:rsid w:val="00254731"/>
    <w:rsid w:val="0025483C"/>
    <w:rsid w:val="002549B9"/>
    <w:rsid w:val="00254D37"/>
    <w:rsid w:val="002559F0"/>
    <w:rsid w:val="00255E5B"/>
    <w:rsid w:val="00256222"/>
    <w:rsid w:val="002562F5"/>
    <w:rsid w:val="002576E6"/>
    <w:rsid w:val="00257BFC"/>
    <w:rsid w:val="00257D07"/>
    <w:rsid w:val="00257D3C"/>
    <w:rsid w:val="00257FDD"/>
    <w:rsid w:val="0026116D"/>
    <w:rsid w:val="002615AA"/>
    <w:rsid w:val="002615C8"/>
    <w:rsid w:val="00261716"/>
    <w:rsid w:val="00261B16"/>
    <w:rsid w:val="00261C5B"/>
    <w:rsid w:val="0026255A"/>
    <w:rsid w:val="002625B4"/>
    <w:rsid w:val="00262706"/>
    <w:rsid w:val="00262963"/>
    <w:rsid w:val="00262DBA"/>
    <w:rsid w:val="002637F9"/>
    <w:rsid w:val="0026386A"/>
    <w:rsid w:val="002639DF"/>
    <w:rsid w:val="0026412A"/>
    <w:rsid w:val="00264E06"/>
    <w:rsid w:val="00265094"/>
    <w:rsid w:val="00265C7F"/>
    <w:rsid w:val="002666D9"/>
    <w:rsid w:val="00266735"/>
    <w:rsid w:val="0026687C"/>
    <w:rsid w:val="00266E6F"/>
    <w:rsid w:val="0026719C"/>
    <w:rsid w:val="002672C2"/>
    <w:rsid w:val="002673A3"/>
    <w:rsid w:val="002676F4"/>
    <w:rsid w:val="002677EB"/>
    <w:rsid w:val="00267AB9"/>
    <w:rsid w:val="00267D15"/>
    <w:rsid w:val="00267DC5"/>
    <w:rsid w:val="00270879"/>
    <w:rsid w:val="002710AA"/>
    <w:rsid w:val="00271385"/>
    <w:rsid w:val="00271732"/>
    <w:rsid w:val="00272F27"/>
    <w:rsid w:val="002732D1"/>
    <w:rsid w:val="0027351E"/>
    <w:rsid w:val="0027372D"/>
    <w:rsid w:val="002738AB"/>
    <w:rsid w:val="00273AC1"/>
    <w:rsid w:val="002751F3"/>
    <w:rsid w:val="0027541A"/>
    <w:rsid w:val="002754FE"/>
    <w:rsid w:val="0027595E"/>
    <w:rsid w:val="00275BE3"/>
    <w:rsid w:val="00275C54"/>
    <w:rsid w:val="00275EA6"/>
    <w:rsid w:val="00275F19"/>
    <w:rsid w:val="00275F7D"/>
    <w:rsid w:val="00276078"/>
    <w:rsid w:val="00276457"/>
    <w:rsid w:val="002764A9"/>
    <w:rsid w:val="00277E1A"/>
    <w:rsid w:val="00277EB6"/>
    <w:rsid w:val="0028047F"/>
    <w:rsid w:val="002805CF"/>
    <w:rsid w:val="00280E03"/>
    <w:rsid w:val="00281305"/>
    <w:rsid w:val="0028211F"/>
    <w:rsid w:val="0028218E"/>
    <w:rsid w:val="002823B1"/>
    <w:rsid w:val="0028259B"/>
    <w:rsid w:val="00282A70"/>
    <w:rsid w:val="00282DE6"/>
    <w:rsid w:val="0028306D"/>
    <w:rsid w:val="002831F9"/>
    <w:rsid w:val="0028347B"/>
    <w:rsid w:val="00283503"/>
    <w:rsid w:val="0028363F"/>
    <w:rsid w:val="002843B3"/>
    <w:rsid w:val="0028461D"/>
    <w:rsid w:val="00284722"/>
    <w:rsid w:val="00285234"/>
    <w:rsid w:val="002852E0"/>
    <w:rsid w:val="002860D9"/>
    <w:rsid w:val="0028650A"/>
    <w:rsid w:val="002866EA"/>
    <w:rsid w:val="00286C62"/>
    <w:rsid w:val="00286E67"/>
    <w:rsid w:val="00286E69"/>
    <w:rsid w:val="002870CE"/>
    <w:rsid w:val="002874F7"/>
    <w:rsid w:val="00287805"/>
    <w:rsid w:val="00287EB1"/>
    <w:rsid w:val="00290106"/>
    <w:rsid w:val="0029061E"/>
    <w:rsid w:val="00290D8E"/>
    <w:rsid w:val="00290FA9"/>
    <w:rsid w:val="0029103F"/>
    <w:rsid w:val="002913C9"/>
    <w:rsid w:val="0029174D"/>
    <w:rsid w:val="002918CF"/>
    <w:rsid w:val="00291D35"/>
    <w:rsid w:val="002922DD"/>
    <w:rsid w:val="00292FEF"/>
    <w:rsid w:val="00293235"/>
    <w:rsid w:val="00293439"/>
    <w:rsid w:val="00293A58"/>
    <w:rsid w:val="00293DF0"/>
    <w:rsid w:val="00294149"/>
    <w:rsid w:val="002945A5"/>
    <w:rsid w:val="0029471B"/>
    <w:rsid w:val="00294CE5"/>
    <w:rsid w:val="00295320"/>
    <w:rsid w:val="00295338"/>
    <w:rsid w:val="002957DA"/>
    <w:rsid w:val="002958DD"/>
    <w:rsid w:val="0029599D"/>
    <w:rsid w:val="00295BE3"/>
    <w:rsid w:val="00295D8F"/>
    <w:rsid w:val="00296007"/>
    <w:rsid w:val="00296431"/>
    <w:rsid w:val="00296A1F"/>
    <w:rsid w:val="00296C33"/>
    <w:rsid w:val="00296C65"/>
    <w:rsid w:val="00296D84"/>
    <w:rsid w:val="00297B49"/>
    <w:rsid w:val="00297CD0"/>
    <w:rsid w:val="002A0425"/>
    <w:rsid w:val="002A04EE"/>
    <w:rsid w:val="002A05FA"/>
    <w:rsid w:val="002A0D40"/>
    <w:rsid w:val="002A0F7A"/>
    <w:rsid w:val="002A1524"/>
    <w:rsid w:val="002A19E4"/>
    <w:rsid w:val="002A1B75"/>
    <w:rsid w:val="002A1F0A"/>
    <w:rsid w:val="002A2072"/>
    <w:rsid w:val="002A2336"/>
    <w:rsid w:val="002A29AE"/>
    <w:rsid w:val="002A2FC0"/>
    <w:rsid w:val="002A3565"/>
    <w:rsid w:val="002A3670"/>
    <w:rsid w:val="002A3C2A"/>
    <w:rsid w:val="002A408B"/>
    <w:rsid w:val="002A40CC"/>
    <w:rsid w:val="002A46D8"/>
    <w:rsid w:val="002A4729"/>
    <w:rsid w:val="002A474A"/>
    <w:rsid w:val="002A4B21"/>
    <w:rsid w:val="002A4D62"/>
    <w:rsid w:val="002A4D8C"/>
    <w:rsid w:val="002A4F5F"/>
    <w:rsid w:val="002A5A78"/>
    <w:rsid w:val="002A5C79"/>
    <w:rsid w:val="002A63A6"/>
    <w:rsid w:val="002A6DAD"/>
    <w:rsid w:val="002A7649"/>
    <w:rsid w:val="002A7824"/>
    <w:rsid w:val="002A7D81"/>
    <w:rsid w:val="002B079D"/>
    <w:rsid w:val="002B0AF5"/>
    <w:rsid w:val="002B10F8"/>
    <w:rsid w:val="002B18A4"/>
    <w:rsid w:val="002B1914"/>
    <w:rsid w:val="002B1F52"/>
    <w:rsid w:val="002B2196"/>
    <w:rsid w:val="002B24D8"/>
    <w:rsid w:val="002B29F1"/>
    <w:rsid w:val="002B2C53"/>
    <w:rsid w:val="002B2C5B"/>
    <w:rsid w:val="002B2C74"/>
    <w:rsid w:val="002B30AD"/>
    <w:rsid w:val="002B383B"/>
    <w:rsid w:val="002B3A3A"/>
    <w:rsid w:val="002B3A43"/>
    <w:rsid w:val="002B41DF"/>
    <w:rsid w:val="002B41E6"/>
    <w:rsid w:val="002B4408"/>
    <w:rsid w:val="002B44F6"/>
    <w:rsid w:val="002B4806"/>
    <w:rsid w:val="002B4BC6"/>
    <w:rsid w:val="002B5087"/>
    <w:rsid w:val="002B5328"/>
    <w:rsid w:val="002B5491"/>
    <w:rsid w:val="002B5849"/>
    <w:rsid w:val="002B5ED6"/>
    <w:rsid w:val="002B660B"/>
    <w:rsid w:val="002B6703"/>
    <w:rsid w:val="002B675F"/>
    <w:rsid w:val="002B689C"/>
    <w:rsid w:val="002B7AE6"/>
    <w:rsid w:val="002C054C"/>
    <w:rsid w:val="002C082D"/>
    <w:rsid w:val="002C096F"/>
    <w:rsid w:val="002C0A36"/>
    <w:rsid w:val="002C13B0"/>
    <w:rsid w:val="002C13F5"/>
    <w:rsid w:val="002C1977"/>
    <w:rsid w:val="002C1A7A"/>
    <w:rsid w:val="002C254B"/>
    <w:rsid w:val="002C2CF1"/>
    <w:rsid w:val="002C3999"/>
    <w:rsid w:val="002C3B28"/>
    <w:rsid w:val="002C3E72"/>
    <w:rsid w:val="002C4001"/>
    <w:rsid w:val="002C4259"/>
    <w:rsid w:val="002C4AAA"/>
    <w:rsid w:val="002C5A9D"/>
    <w:rsid w:val="002C5E3A"/>
    <w:rsid w:val="002C5FBD"/>
    <w:rsid w:val="002C6504"/>
    <w:rsid w:val="002C6607"/>
    <w:rsid w:val="002C6948"/>
    <w:rsid w:val="002C6983"/>
    <w:rsid w:val="002C6B26"/>
    <w:rsid w:val="002C6CE4"/>
    <w:rsid w:val="002C70D0"/>
    <w:rsid w:val="002C70FF"/>
    <w:rsid w:val="002C793B"/>
    <w:rsid w:val="002C79A5"/>
    <w:rsid w:val="002C7C38"/>
    <w:rsid w:val="002D02BD"/>
    <w:rsid w:val="002D0540"/>
    <w:rsid w:val="002D0858"/>
    <w:rsid w:val="002D0D35"/>
    <w:rsid w:val="002D125A"/>
    <w:rsid w:val="002D12D3"/>
    <w:rsid w:val="002D17CA"/>
    <w:rsid w:val="002D190E"/>
    <w:rsid w:val="002D1BBC"/>
    <w:rsid w:val="002D1C56"/>
    <w:rsid w:val="002D22BB"/>
    <w:rsid w:val="002D2392"/>
    <w:rsid w:val="002D2B58"/>
    <w:rsid w:val="002D2BC3"/>
    <w:rsid w:val="002D2DD5"/>
    <w:rsid w:val="002D2E28"/>
    <w:rsid w:val="002D2F4B"/>
    <w:rsid w:val="002D33B5"/>
    <w:rsid w:val="002D3679"/>
    <w:rsid w:val="002D39B7"/>
    <w:rsid w:val="002D3AA4"/>
    <w:rsid w:val="002D40C7"/>
    <w:rsid w:val="002D47DF"/>
    <w:rsid w:val="002D4E06"/>
    <w:rsid w:val="002D53E5"/>
    <w:rsid w:val="002D5E18"/>
    <w:rsid w:val="002D6AF6"/>
    <w:rsid w:val="002D6EF4"/>
    <w:rsid w:val="002D7464"/>
    <w:rsid w:val="002D77A3"/>
    <w:rsid w:val="002D7FF2"/>
    <w:rsid w:val="002E0857"/>
    <w:rsid w:val="002E0A23"/>
    <w:rsid w:val="002E1422"/>
    <w:rsid w:val="002E1C57"/>
    <w:rsid w:val="002E1C70"/>
    <w:rsid w:val="002E1C71"/>
    <w:rsid w:val="002E25A3"/>
    <w:rsid w:val="002E2B93"/>
    <w:rsid w:val="002E30F6"/>
    <w:rsid w:val="002E3487"/>
    <w:rsid w:val="002E3F8B"/>
    <w:rsid w:val="002E5285"/>
    <w:rsid w:val="002E5296"/>
    <w:rsid w:val="002E5662"/>
    <w:rsid w:val="002E5BCF"/>
    <w:rsid w:val="002E5C46"/>
    <w:rsid w:val="002E6187"/>
    <w:rsid w:val="002E63EB"/>
    <w:rsid w:val="002E6AEB"/>
    <w:rsid w:val="002E6BA0"/>
    <w:rsid w:val="002E71D8"/>
    <w:rsid w:val="002E7360"/>
    <w:rsid w:val="002E7BB0"/>
    <w:rsid w:val="002F0222"/>
    <w:rsid w:val="002F112A"/>
    <w:rsid w:val="002F166B"/>
    <w:rsid w:val="002F17FA"/>
    <w:rsid w:val="002F1888"/>
    <w:rsid w:val="002F27BF"/>
    <w:rsid w:val="002F29AD"/>
    <w:rsid w:val="002F2C4D"/>
    <w:rsid w:val="002F347F"/>
    <w:rsid w:val="002F35B7"/>
    <w:rsid w:val="002F35C0"/>
    <w:rsid w:val="002F3AAF"/>
    <w:rsid w:val="002F3B15"/>
    <w:rsid w:val="002F3CD4"/>
    <w:rsid w:val="002F40FF"/>
    <w:rsid w:val="002F4497"/>
    <w:rsid w:val="002F4566"/>
    <w:rsid w:val="002F48F9"/>
    <w:rsid w:val="002F4904"/>
    <w:rsid w:val="002F4D7E"/>
    <w:rsid w:val="002F4E45"/>
    <w:rsid w:val="002F5149"/>
    <w:rsid w:val="002F53BB"/>
    <w:rsid w:val="002F54E0"/>
    <w:rsid w:val="002F58DE"/>
    <w:rsid w:val="002F5B44"/>
    <w:rsid w:val="002F5DBD"/>
    <w:rsid w:val="002F63FF"/>
    <w:rsid w:val="002F665A"/>
    <w:rsid w:val="002F6870"/>
    <w:rsid w:val="002F6980"/>
    <w:rsid w:val="002F6CDD"/>
    <w:rsid w:val="002F6DCD"/>
    <w:rsid w:val="002F7C0F"/>
    <w:rsid w:val="002F7CDC"/>
    <w:rsid w:val="002F7EDC"/>
    <w:rsid w:val="003003EE"/>
    <w:rsid w:val="00300470"/>
    <w:rsid w:val="00300E5F"/>
    <w:rsid w:val="00301018"/>
    <w:rsid w:val="00301246"/>
    <w:rsid w:val="0030188A"/>
    <w:rsid w:val="0030191B"/>
    <w:rsid w:val="003026E8"/>
    <w:rsid w:val="003028E1"/>
    <w:rsid w:val="00302D47"/>
    <w:rsid w:val="00302D84"/>
    <w:rsid w:val="00303223"/>
    <w:rsid w:val="003034F4"/>
    <w:rsid w:val="00303632"/>
    <w:rsid w:val="00303751"/>
    <w:rsid w:val="00303AD5"/>
    <w:rsid w:val="00303BBC"/>
    <w:rsid w:val="0030420A"/>
    <w:rsid w:val="0030436E"/>
    <w:rsid w:val="00304A8D"/>
    <w:rsid w:val="00304C31"/>
    <w:rsid w:val="00304E18"/>
    <w:rsid w:val="00305412"/>
    <w:rsid w:val="0030583A"/>
    <w:rsid w:val="00305F83"/>
    <w:rsid w:val="0030632D"/>
    <w:rsid w:val="00306648"/>
    <w:rsid w:val="0030666B"/>
    <w:rsid w:val="00306B83"/>
    <w:rsid w:val="00306C9D"/>
    <w:rsid w:val="00307892"/>
    <w:rsid w:val="003079B6"/>
    <w:rsid w:val="00307C1E"/>
    <w:rsid w:val="00310628"/>
    <w:rsid w:val="003106C9"/>
    <w:rsid w:val="0031085E"/>
    <w:rsid w:val="00310C8E"/>
    <w:rsid w:val="00311545"/>
    <w:rsid w:val="00311DA1"/>
    <w:rsid w:val="003125A6"/>
    <w:rsid w:val="003128F8"/>
    <w:rsid w:val="003129E5"/>
    <w:rsid w:val="00312E2B"/>
    <w:rsid w:val="003131B1"/>
    <w:rsid w:val="003135DB"/>
    <w:rsid w:val="0031374D"/>
    <w:rsid w:val="00314C04"/>
    <w:rsid w:val="00314E87"/>
    <w:rsid w:val="00314EFD"/>
    <w:rsid w:val="003150FA"/>
    <w:rsid w:val="0031515D"/>
    <w:rsid w:val="003151C0"/>
    <w:rsid w:val="003158C7"/>
    <w:rsid w:val="00315FED"/>
    <w:rsid w:val="003160DB"/>
    <w:rsid w:val="00316369"/>
    <w:rsid w:val="0031685D"/>
    <w:rsid w:val="00316916"/>
    <w:rsid w:val="00316B0B"/>
    <w:rsid w:val="00316F6A"/>
    <w:rsid w:val="003170CE"/>
    <w:rsid w:val="00317630"/>
    <w:rsid w:val="003177A8"/>
    <w:rsid w:val="003179C2"/>
    <w:rsid w:val="00320032"/>
    <w:rsid w:val="0032020D"/>
    <w:rsid w:val="0032200F"/>
    <w:rsid w:val="00322B0D"/>
    <w:rsid w:val="00322E25"/>
    <w:rsid w:val="003233CD"/>
    <w:rsid w:val="00323D56"/>
    <w:rsid w:val="00324274"/>
    <w:rsid w:val="00324A23"/>
    <w:rsid w:val="00324F93"/>
    <w:rsid w:val="003259E2"/>
    <w:rsid w:val="00325AC1"/>
    <w:rsid w:val="00325E39"/>
    <w:rsid w:val="0032605E"/>
    <w:rsid w:val="00326399"/>
    <w:rsid w:val="003264D3"/>
    <w:rsid w:val="0032670B"/>
    <w:rsid w:val="0032690A"/>
    <w:rsid w:val="00327073"/>
    <w:rsid w:val="003273DC"/>
    <w:rsid w:val="003274D2"/>
    <w:rsid w:val="00327696"/>
    <w:rsid w:val="0032771B"/>
    <w:rsid w:val="00327E28"/>
    <w:rsid w:val="00330220"/>
    <w:rsid w:val="00330A76"/>
    <w:rsid w:val="00330C70"/>
    <w:rsid w:val="00331032"/>
    <w:rsid w:val="0033106C"/>
    <w:rsid w:val="00331652"/>
    <w:rsid w:val="0033186D"/>
    <w:rsid w:val="003318F6"/>
    <w:rsid w:val="00331DFB"/>
    <w:rsid w:val="003320A9"/>
    <w:rsid w:val="00332FC4"/>
    <w:rsid w:val="00333116"/>
    <w:rsid w:val="00333977"/>
    <w:rsid w:val="00333AD2"/>
    <w:rsid w:val="00333B95"/>
    <w:rsid w:val="00333BE7"/>
    <w:rsid w:val="00333BEA"/>
    <w:rsid w:val="003340C8"/>
    <w:rsid w:val="00334448"/>
    <w:rsid w:val="00334BDC"/>
    <w:rsid w:val="00334C5E"/>
    <w:rsid w:val="00334CD0"/>
    <w:rsid w:val="00334E4D"/>
    <w:rsid w:val="00334E5C"/>
    <w:rsid w:val="00335268"/>
    <w:rsid w:val="00335ABA"/>
    <w:rsid w:val="00335B46"/>
    <w:rsid w:val="003360B0"/>
    <w:rsid w:val="003371E2"/>
    <w:rsid w:val="003403F1"/>
    <w:rsid w:val="0034089B"/>
    <w:rsid w:val="00340976"/>
    <w:rsid w:val="00340C1B"/>
    <w:rsid w:val="00340DA9"/>
    <w:rsid w:val="003410D1"/>
    <w:rsid w:val="00341654"/>
    <w:rsid w:val="0034173A"/>
    <w:rsid w:val="00342658"/>
    <w:rsid w:val="00342C69"/>
    <w:rsid w:val="00343312"/>
    <w:rsid w:val="003434A4"/>
    <w:rsid w:val="00343718"/>
    <w:rsid w:val="00344116"/>
    <w:rsid w:val="0034424E"/>
    <w:rsid w:val="0034479C"/>
    <w:rsid w:val="00344C1B"/>
    <w:rsid w:val="00344D0E"/>
    <w:rsid w:val="00344FE8"/>
    <w:rsid w:val="0034663D"/>
    <w:rsid w:val="00346726"/>
    <w:rsid w:val="00346BB9"/>
    <w:rsid w:val="00347019"/>
    <w:rsid w:val="0034768A"/>
    <w:rsid w:val="003476BE"/>
    <w:rsid w:val="00347C17"/>
    <w:rsid w:val="00350112"/>
    <w:rsid w:val="00350259"/>
    <w:rsid w:val="003503E5"/>
    <w:rsid w:val="00350404"/>
    <w:rsid w:val="00350421"/>
    <w:rsid w:val="0035083A"/>
    <w:rsid w:val="00350F5F"/>
    <w:rsid w:val="00351204"/>
    <w:rsid w:val="00351460"/>
    <w:rsid w:val="003515B1"/>
    <w:rsid w:val="003517E4"/>
    <w:rsid w:val="003518BD"/>
    <w:rsid w:val="00351BEE"/>
    <w:rsid w:val="00351C41"/>
    <w:rsid w:val="003525C0"/>
    <w:rsid w:val="003526E6"/>
    <w:rsid w:val="00352ED0"/>
    <w:rsid w:val="00353085"/>
    <w:rsid w:val="00353604"/>
    <w:rsid w:val="003536D5"/>
    <w:rsid w:val="003539C4"/>
    <w:rsid w:val="00353B26"/>
    <w:rsid w:val="00353F84"/>
    <w:rsid w:val="0035447E"/>
    <w:rsid w:val="0035514B"/>
    <w:rsid w:val="0035526B"/>
    <w:rsid w:val="00355430"/>
    <w:rsid w:val="00355F4B"/>
    <w:rsid w:val="003563C1"/>
    <w:rsid w:val="00356869"/>
    <w:rsid w:val="00356CE7"/>
    <w:rsid w:val="0035704D"/>
    <w:rsid w:val="00357487"/>
    <w:rsid w:val="00360024"/>
    <w:rsid w:val="00360702"/>
    <w:rsid w:val="00360BA4"/>
    <w:rsid w:val="00360C97"/>
    <w:rsid w:val="00360E61"/>
    <w:rsid w:val="00361854"/>
    <w:rsid w:val="00361CDC"/>
    <w:rsid w:val="00361FC9"/>
    <w:rsid w:val="003624C5"/>
    <w:rsid w:val="00362638"/>
    <w:rsid w:val="00362653"/>
    <w:rsid w:val="00362A4E"/>
    <w:rsid w:val="00362C89"/>
    <w:rsid w:val="00362F55"/>
    <w:rsid w:val="003630CF"/>
    <w:rsid w:val="003633B0"/>
    <w:rsid w:val="0036362F"/>
    <w:rsid w:val="00363975"/>
    <w:rsid w:val="00364747"/>
    <w:rsid w:val="00364A0A"/>
    <w:rsid w:val="003652CF"/>
    <w:rsid w:val="003653D2"/>
    <w:rsid w:val="00365ADA"/>
    <w:rsid w:val="00365BBE"/>
    <w:rsid w:val="00365D49"/>
    <w:rsid w:val="00365DCC"/>
    <w:rsid w:val="00366148"/>
    <w:rsid w:val="00366D3F"/>
    <w:rsid w:val="00366E9A"/>
    <w:rsid w:val="00367590"/>
    <w:rsid w:val="00367FF9"/>
    <w:rsid w:val="00370728"/>
    <w:rsid w:val="00370991"/>
    <w:rsid w:val="00371138"/>
    <w:rsid w:val="00371175"/>
    <w:rsid w:val="00371BA7"/>
    <w:rsid w:val="0037280D"/>
    <w:rsid w:val="003732B0"/>
    <w:rsid w:val="00373C72"/>
    <w:rsid w:val="00374305"/>
    <w:rsid w:val="00374C4D"/>
    <w:rsid w:val="00374CBF"/>
    <w:rsid w:val="00374D2D"/>
    <w:rsid w:val="00375592"/>
    <w:rsid w:val="00375FCC"/>
    <w:rsid w:val="003762FD"/>
    <w:rsid w:val="00376707"/>
    <w:rsid w:val="00376C64"/>
    <w:rsid w:val="0037705A"/>
    <w:rsid w:val="00377183"/>
    <w:rsid w:val="0037779E"/>
    <w:rsid w:val="00377A17"/>
    <w:rsid w:val="00380547"/>
    <w:rsid w:val="00380637"/>
    <w:rsid w:val="00380655"/>
    <w:rsid w:val="0038072B"/>
    <w:rsid w:val="0038130D"/>
    <w:rsid w:val="0038186C"/>
    <w:rsid w:val="00381C52"/>
    <w:rsid w:val="00381D80"/>
    <w:rsid w:val="00381F0E"/>
    <w:rsid w:val="00382116"/>
    <w:rsid w:val="003825C7"/>
    <w:rsid w:val="00382936"/>
    <w:rsid w:val="00382CD0"/>
    <w:rsid w:val="0038309F"/>
    <w:rsid w:val="0038351F"/>
    <w:rsid w:val="00383CBD"/>
    <w:rsid w:val="00383F68"/>
    <w:rsid w:val="00383FD1"/>
    <w:rsid w:val="00384195"/>
    <w:rsid w:val="003843EE"/>
    <w:rsid w:val="00384467"/>
    <w:rsid w:val="00384661"/>
    <w:rsid w:val="00384705"/>
    <w:rsid w:val="003849C6"/>
    <w:rsid w:val="00385103"/>
    <w:rsid w:val="003857B9"/>
    <w:rsid w:val="0038583A"/>
    <w:rsid w:val="0038587C"/>
    <w:rsid w:val="00386095"/>
    <w:rsid w:val="003861D0"/>
    <w:rsid w:val="00386218"/>
    <w:rsid w:val="00386274"/>
    <w:rsid w:val="00386361"/>
    <w:rsid w:val="00386451"/>
    <w:rsid w:val="0038654C"/>
    <w:rsid w:val="0038691E"/>
    <w:rsid w:val="00387A69"/>
    <w:rsid w:val="00387BB3"/>
    <w:rsid w:val="003902A0"/>
    <w:rsid w:val="00390662"/>
    <w:rsid w:val="00390678"/>
    <w:rsid w:val="00390D9A"/>
    <w:rsid w:val="0039101C"/>
    <w:rsid w:val="0039144D"/>
    <w:rsid w:val="003917E4"/>
    <w:rsid w:val="00391B0D"/>
    <w:rsid w:val="00391B4B"/>
    <w:rsid w:val="00391E83"/>
    <w:rsid w:val="00392222"/>
    <w:rsid w:val="0039237C"/>
    <w:rsid w:val="003925E7"/>
    <w:rsid w:val="003929D3"/>
    <w:rsid w:val="00392C0D"/>
    <w:rsid w:val="00393068"/>
    <w:rsid w:val="003939F8"/>
    <w:rsid w:val="00393D2A"/>
    <w:rsid w:val="0039443E"/>
    <w:rsid w:val="0039484E"/>
    <w:rsid w:val="00394C08"/>
    <w:rsid w:val="00395145"/>
    <w:rsid w:val="0039528F"/>
    <w:rsid w:val="0039553A"/>
    <w:rsid w:val="00395AB0"/>
    <w:rsid w:val="00395AFE"/>
    <w:rsid w:val="00395E93"/>
    <w:rsid w:val="003971DA"/>
    <w:rsid w:val="00397EC6"/>
    <w:rsid w:val="003A00F5"/>
    <w:rsid w:val="003A0591"/>
    <w:rsid w:val="003A07E1"/>
    <w:rsid w:val="003A0C38"/>
    <w:rsid w:val="003A0C3B"/>
    <w:rsid w:val="003A0DAC"/>
    <w:rsid w:val="003A1167"/>
    <w:rsid w:val="003A14C1"/>
    <w:rsid w:val="003A15EF"/>
    <w:rsid w:val="003A2614"/>
    <w:rsid w:val="003A2756"/>
    <w:rsid w:val="003A28C6"/>
    <w:rsid w:val="003A307D"/>
    <w:rsid w:val="003A3DEE"/>
    <w:rsid w:val="003A3FF1"/>
    <w:rsid w:val="003A43FE"/>
    <w:rsid w:val="003A49F5"/>
    <w:rsid w:val="003A4B62"/>
    <w:rsid w:val="003A5C90"/>
    <w:rsid w:val="003A6B0D"/>
    <w:rsid w:val="003A6B3D"/>
    <w:rsid w:val="003A6DAD"/>
    <w:rsid w:val="003A6F16"/>
    <w:rsid w:val="003A757F"/>
    <w:rsid w:val="003A773C"/>
    <w:rsid w:val="003B00B7"/>
    <w:rsid w:val="003B08F2"/>
    <w:rsid w:val="003B098A"/>
    <w:rsid w:val="003B1434"/>
    <w:rsid w:val="003B144C"/>
    <w:rsid w:val="003B164E"/>
    <w:rsid w:val="003B165E"/>
    <w:rsid w:val="003B1731"/>
    <w:rsid w:val="003B17C5"/>
    <w:rsid w:val="003B1B95"/>
    <w:rsid w:val="003B1FF3"/>
    <w:rsid w:val="003B221F"/>
    <w:rsid w:val="003B24EF"/>
    <w:rsid w:val="003B2910"/>
    <w:rsid w:val="003B2D29"/>
    <w:rsid w:val="003B32C0"/>
    <w:rsid w:val="003B37D6"/>
    <w:rsid w:val="003B3AC9"/>
    <w:rsid w:val="003B3B47"/>
    <w:rsid w:val="003B40D7"/>
    <w:rsid w:val="003B432B"/>
    <w:rsid w:val="003B4758"/>
    <w:rsid w:val="003B4775"/>
    <w:rsid w:val="003B4C9F"/>
    <w:rsid w:val="003B5083"/>
    <w:rsid w:val="003B59D0"/>
    <w:rsid w:val="003B5C62"/>
    <w:rsid w:val="003B5CDC"/>
    <w:rsid w:val="003B6942"/>
    <w:rsid w:val="003B6AD7"/>
    <w:rsid w:val="003B71FF"/>
    <w:rsid w:val="003B731D"/>
    <w:rsid w:val="003B73E6"/>
    <w:rsid w:val="003B775F"/>
    <w:rsid w:val="003B7797"/>
    <w:rsid w:val="003B7A65"/>
    <w:rsid w:val="003C0166"/>
    <w:rsid w:val="003C027E"/>
    <w:rsid w:val="003C04A8"/>
    <w:rsid w:val="003C09B5"/>
    <w:rsid w:val="003C11E2"/>
    <w:rsid w:val="003C13F9"/>
    <w:rsid w:val="003C16B9"/>
    <w:rsid w:val="003C19D1"/>
    <w:rsid w:val="003C1FCA"/>
    <w:rsid w:val="003C2596"/>
    <w:rsid w:val="003C2FE5"/>
    <w:rsid w:val="003C398C"/>
    <w:rsid w:val="003C3B2C"/>
    <w:rsid w:val="003C3DDB"/>
    <w:rsid w:val="003C3E89"/>
    <w:rsid w:val="003C5FFF"/>
    <w:rsid w:val="003C7377"/>
    <w:rsid w:val="003C7A5B"/>
    <w:rsid w:val="003C7D0B"/>
    <w:rsid w:val="003D04C3"/>
    <w:rsid w:val="003D0753"/>
    <w:rsid w:val="003D16D3"/>
    <w:rsid w:val="003D191E"/>
    <w:rsid w:val="003D1A64"/>
    <w:rsid w:val="003D1A6C"/>
    <w:rsid w:val="003D1C01"/>
    <w:rsid w:val="003D2A28"/>
    <w:rsid w:val="003D2C2F"/>
    <w:rsid w:val="003D31C3"/>
    <w:rsid w:val="003D3581"/>
    <w:rsid w:val="003D38CF"/>
    <w:rsid w:val="003D3BB4"/>
    <w:rsid w:val="003D3E24"/>
    <w:rsid w:val="003D4458"/>
    <w:rsid w:val="003D4512"/>
    <w:rsid w:val="003D47C8"/>
    <w:rsid w:val="003D4E6B"/>
    <w:rsid w:val="003D6A75"/>
    <w:rsid w:val="003D7776"/>
    <w:rsid w:val="003D7A59"/>
    <w:rsid w:val="003D7B53"/>
    <w:rsid w:val="003E00AB"/>
    <w:rsid w:val="003E0D83"/>
    <w:rsid w:val="003E0DB2"/>
    <w:rsid w:val="003E0FB2"/>
    <w:rsid w:val="003E0FF7"/>
    <w:rsid w:val="003E1134"/>
    <w:rsid w:val="003E1169"/>
    <w:rsid w:val="003E11C1"/>
    <w:rsid w:val="003E1AE7"/>
    <w:rsid w:val="003E1B99"/>
    <w:rsid w:val="003E1D06"/>
    <w:rsid w:val="003E1F51"/>
    <w:rsid w:val="003E271A"/>
    <w:rsid w:val="003E377A"/>
    <w:rsid w:val="003E3DFA"/>
    <w:rsid w:val="003E4252"/>
    <w:rsid w:val="003E5050"/>
    <w:rsid w:val="003E5136"/>
    <w:rsid w:val="003E5A43"/>
    <w:rsid w:val="003E5C45"/>
    <w:rsid w:val="003E5C8F"/>
    <w:rsid w:val="003E633E"/>
    <w:rsid w:val="003E6FCE"/>
    <w:rsid w:val="003E719C"/>
    <w:rsid w:val="003E7215"/>
    <w:rsid w:val="003E7308"/>
    <w:rsid w:val="003E7C3E"/>
    <w:rsid w:val="003E7DD2"/>
    <w:rsid w:val="003F000C"/>
    <w:rsid w:val="003F0767"/>
    <w:rsid w:val="003F12DA"/>
    <w:rsid w:val="003F17FA"/>
    <w:rsid w:val="003F1D36"/>
    <w:rsid w:val="003F21EB"/>
    <w:rsid w:val="003F2290"/>
    <w:rsid w:val="003F23A9"/>
    <w:rsid w:val="003F24CE"/>
    <w:rsid w:val="003F2678"/>
    <w:rsid w:val="003F2878"/>
    <w:rsid w:val="003F2952"/>
    <w:rsid w:val="003F2B06"/>
    <w:rsid w:val="003F3029"/>
    <w:rsid w:val="003F3259"/>
    <w:rsid w:val="003F363C"/>
    <w:rsid w:val="003F3E4E"/>
    <w:rsid w:val="003F3FDC"/>
    <w:rsid w:val="003F4223"/>
    <w:rsid w:val="003F4DB8"/>
    <w:rsid w:val="003F534B"/>
    <w:rsid w:val="003F54DB"/>
    <w:rsid w:val="003F553F"/>
    <w:rsid w:val="003F5CC5"/>
    <w:rsid w:val="003F5D68"/>
    <w:rsid w:val="003F625A"/>
    <w:rsid w:val="003F626B"/>
    <w:rsid w:val="003F6498"/>
    <w:rsid w:val="003F66C5"/>
    <w:rsid w:val="003F66FD"/>
    <w:rsid w:val="003F69A8"/>
    <w:rsid w:val="003F7529"/>
    <w:rsid w:val="003F7A53"/>
    <w:rsid w:val="003F7FD3"/>
    <w:rsid w:val="00400224"/>
    <w:rsid w:val="00400225"/>
    <w:rsid w:val="0040059F"/>
    <w:rsid w:val="00400A36"/>
    <w:rsid w:val="00400A77"/>
    <w:rsid w:val="00401065"/>
    <w:rsid w:val="00401403"/>
    <w:rsid w:val="004015DC"/>
    <w:rsid w:val="004017E9"/>
    <w:rsid w:val="00401A81"/>
    <w:rsid w:val="00402AF2"/>
    <w:rsid w:val="00402DCF"/>
    <w:rsid w:val="00402E19"/>
    <w:rsid w:val="0040315D"/>
    <w:rsid w:val="004032AA"/>
    <w:rsid w:val="00404E32"/>
    <w:rsid w:val="004056B7"/>
    <w:rsid w:val="004059A4"/>
    <w:rsid w:val="00405C39"/>
    <w:rsid w:val="00405E40"/>
    <w:rsid w:val="0040659F"/>
    <w:rsid w:val="0040690A"/>
    <w:rsid w:val="00406A1F"/>
    <w:rsid w:val="0040729E"/>
    <w:rsid w:val="004076E8"/>
    <w:rsid w:val="004079F1"/>
    <w:rsid w:val="004106EC"/>
    <w:rsid w:val="00410877"/>
    <w:rsid w:val="004108EA"/>
    <w:rsid w:val="00410B6D"/>
    <w:rsid w:val="00411258"/>
    <w:rsid w:val="00411497"/>
    <w:rsid w:val="004118DC"/>
    <w:rsid w:val="004127F3"/>
    <w:rsid w:val="0041280E"/>
    <w:rsid w:val="00412F06"/>
    <w:rsid w:val="00413286"/>
    <w:rsid w:val="004133BE"/>
    <w:rsid w:val="004133D9"/>
    <w:rsid w:val="0041371B"/>
    <w:rsid w:val="00413B10"/>
    <w:rsid w:val="00413C03"/>
    <w:rsid w:val="00413EA6"/>
    <w:rsid w:val="00414079"/>
    <w:rsid w:val="00414185"/>
    <w:rsid w:val="004146CE"/>
    <w:rsid w:val="00414D67"/>
    <w:rsid w:val="00414DD2"/>
    <w:rsid w:val="00414F6B"/>
    <w:rsid w:val="00415460"/>
    <w:rsid w:val="004156D5"/>
    <w:rsid w:val="00415A44"/>
    <w:rsid w:val="00415B9D"/>
    <w:rsid w:val="0041613A"/>
    <w:rsid w:val="00416988"/>
    <w:rsid w:val="00416A9D"/>
    <w:rsid w:val="00416B9C"/>
    <w:rsid w:val="00417399"/>
    <w:rsid w:val="00417597"/>
    <w:rsid w:val="00417F86"/>
    <w:rsid w:val="00420036"/>
    <w:rsid w:val="00420217"/>
    <w:rsid w:val="0042039F"/>
    <w:rsid w:val="004203A5"/>
    <w:rsid w:val="004204DA"/>
    <w:rsid w:val="004205BA"/>
    <w:rsid w:val="004209CB"/>
    <w:rsid w:val="00420A67"/>
    <w:rsid w:val="00420E90"/>
    <w:rsid w:val="004215EA"/>
    <w:rsid w:val="00421ABC"/>
    <w:rsid w:val="00421E25"/>
    <w:rsid w:val="00422541"/>
    <w:rsid w:val="0042281A"/>
    <w:rsid w:val="00422BD2"/>
    <w:rsid w:val="00422CE5"/>
    <w:rsid w:val="0042332F"/>
    <w:rsid w:val="00423AF5"/>
    <w:rsid w:val="00423CFC"/>
    <w:rsid w:val="00424880"/>
    <w:rsid w:val="00424DFC"/>
    <w:rsid w:val="00424E79"/>
    <w:rsid w:val="004254C9"/>
    <w:rsid w:val="00425863"/>
    <w:rsid w:val="00425A4D"/>
    <w:rsid w:val="00425CAA"/>
    <w:rsid w:val="00425D75"/>
    <w:rsid w:val="00425DFF"/>
    <w:rsid w:val="004261E5"/>
    <w:rsid w:val="004261EA"/>
    <w:rsid w:val="00426597"/>
    <w:rsid w:val="00426619"/>
    <w:rsid w:val="00426946"/>
    <w:rsid w:val="00426EBC"/>
    <w:rsid w:val="004279F5"/>
    <w:rsid w:val="00430123"/>
    <w:rsid w:val="00430BB2"/>
    <w:rsid w:val="00430D5C"/>
    <w:rsid w:val="00430E92"/>
    <w:rsid w:val="004328C4"/>
    <w:rsid w:val="00432BAA"/>
    <w:rsid w:val="00432C48"/>
    <w:rsid w:val="00432EB1"/>
    <w:rsid w:val="00432FA7"/>
    <w:rsid w:val="004330E6"/>
    <w:rsid w:val="00433205"/>
    <w:rsid w:val="0043370C"/>
    <w:rsid w:val="004338B7"/>
    <w:rsid w:val="0043468C"/>
    <w:rsid w:val="00435326"/>
    <w:rsid w:val="00435745"/>
    <w:rsid w:val="004358AD"/>
    <w:rsid w:val="004361DE"/>
    <w:rsid w:val="004361F1"/>
    <w:rsid w:val="00436439"/>
    <w:rsid w:val="00436512"/>
    <w:rsid w:val="00436636"/>
    <w:rsid w:val="00436C2C"/>
    <w:rsid w:val="00436EE5"/>
    <w:rsid w:val="0043785D"/>
    <w:rsid w:val="00437DB3"/>
    <w:rsid w:val="0044049B"/>
    <w:rsid w:val="0044069C"/>
    <w:rsid w:val="004412CE"/>
    <w:rsid w:val="0044143E"/>
    <w:rsid w:val="0044181D"/>
    <w:rsid w:val="004419EF"/>
    <w:rsid w:val="00441A8D"/>
    <w:rsid w:val="00441AFE"/>
    <w:rsid w:val="00441F73"/>
    <w:rsid w:val="0044203A"/>
    <w:rsid w:val="004424C9"/>
    <w:rsid w:val="00443187"/>
    <w:rsid w:val="00443387"/>
    <w:rsid w:val="004433F7"/>
    <w:rsid w:val="0044340D"/>
    <w:rsid w:val="004435F7"/>
    <w:rsid w:val="0044385A"/>
    <w:rsid w:val="00443BEA"/>
    <w:rsid w:val="004446DB"/>
    <w:rsid w:val="00444A9F"/>
    <w:rsid w:val="00444B24"/>
    <w:rsid w:val="00445081"/>
    <w:rsid w:val="0044535F"/>
    <w:rsid w:val="004453F1"/>
    <w:rsid w:val="0044585A"/>
    <w:rsid w:val="0044586C"/>
    <w:rsid w:val="004458F7"/>
    <w:rsid w:val="0044592C"/>
    <w:rsid w:val="00445960"/>
    <w:rsid w:val="00445C2C"/>
    <w:rsid w:val="00445DA2"/>
    <w:rsid w:val="00445E9F"/>
    <w:rsid w:val="00445F1D"/>
    <w:rsid w:val="00446ACB"/>
    <w:rsid w:val="00446F90"/>
    <w:rsid w:val="004471C2"/>
    <w:rsid w:val="0044762C"/>
    <w:rsid w:val="004477A5"/>
    <w:rsid w:val="00447879"/>
    <w:rsid w:val="00447AED"/>
    <w:rsid w:val="0045036F"/>
    <w:rsid w:val="004504BF"/>
    <w:rsid w:val="0045064D"/>
    <w:rsid w:val="004507DE"/>
    <w:rsid w:val="00450CD5"/>
    <w:rsid w:val="00450F10"/>
    <w:rsid w:val="00451CE8"/>
    <w:rsid w:val="0045207D"/>
    <w:rsid w:val="00452416"/>
    <w:rsid w:val="00453C0C"/>
    <w:rsid w:val="0045475F"/>
    <w:rsid w:val="00454986"/>
    <w:rsid w:val="00454A0F"/>
    <w:rsid w:val="004550BF"/>
    <w:rsid w:val="0045593B"/>
    <w:rsid w:val="00455B93"/>
    <w:rsid w:val="004563D8"/>
    <w:rsid w:val="00457538"/>
    <w:rsid w:val="00457781"/>
    <w:rsid w:val="00457F9D"/>
    <w:rsid w:val="00457FD0"/>
    <w:rsid w:val="0045D7A4"/>
    <w:rsid w:val="00460210"/>
    <w:rsid w:val="004604E1"/>
    <w:rsid w:val="00460AF2"/>
    <w:rsid w:val="00461A3C"/>
    <w:rsid w:val="00461A54"/>
    <w:rsid w:val="00461D5E"/>
    <w:rsid w:val="00461E19"/>
    <w:rsid w:val="00461EF4"/>
    <w:rsid w:val="0046251A"/>
    <w:rsid w:val="004627B1"/>
    <w:rsid w:val="00462ED7"/>
    <w:rsid w:val="004632E4"/>
    <w:rsid w:val="0046340B"/>
    <w:rsid w:val="004635FD"/>
    <w:rsid w:val="00463928"/>
    <w:rsid w:val="00463970"/>
    <w:rsid w:val="00463B4B"/>
    <w:rsid w:val="00464748"/>
    <w:rsid w:val="00464963"/>
    <w:rsid w:val="00464F3E"/>
    <w:rsid w:val="00465673"/>
    <w:rsid w:val="00465863"/>
    <w:rsid w:val="004658F4"/>
    <w:rsid w:val="00465A0B"/>
    <w:rsid w:val="00465F75"/>
    <w:rsid w:val="00466275"/>
    <w:rsid w:val="004662CE"/>
    <w:rsid w:val="00466495"/>
    <w:rsid w:val="00466798"/>
    <w:rsid w:val="00466A42"/>
    <w:rsid w:val="00467045"/>
    <w:rsid w:val="0046762D"/>
    <w:rsid w:val="0047068B"/>
    <w:rsid w:val="00470A7A"/>
    <w:rsid w:val="00470DF7"/>
    <w:rsid w:val="00470F18"/>
    <w:rsid w:val="00470F95"/>
    <w:rsid w:val="00471D2D"/>
    <w:rsid w:val="00471D87"/>
    <w:rsid w:val="00471DE5"/>
    <w:rsid w:val="004724BC"/>
    <w:rsid w:val="00472F71"/>
    <w:rsid w:val="004730BA"/>
    <w:rsid w:val="00473343"/>
    <w:rsid w:val="00473451"/>
    <w:rsid w:val="00473875"/>
    <w:rsid w:val="00473C65"/>
    <w:rsid w:val="004744FF"/>
    <w:rsid w:val="00474B53"/>
    <w:rsid w:val="004753C8"/>
    <w:rsid w:val="004762B6"/>
    <w:rsid w:val="004763DE"/>
    <w:rsid w:val="00476C9E"/>
    <w:rsid w:val="004770C8"/>
    <w:rsid w:val="00477156"/>
    <w:rsid w:val="0047717E"/>
    <w:rsid w:val="0047723A"/>
    <w:rsid w:val="004775E0"/>
    <w:rsid w:val="004777FC"/>
    <w:rsid w:val="00477ACB"/>
    <w:rsid w:val="00477B6A"/>
    <w:rsid w:val="004809CF"/>
    <w:rsid w:val="00480B3C"/>
    <w:rsid w:val="004816E6"/>
    <w:rsid w:val="0048241E"/>
    <w:rsid w:val="00482835"/>
    <w:rsid w:val="00482E81"/>
    <w:rsid w:val="00483731"/>
    <w:rsid w:val="00483DD6"/>
    <w:rsid w:val="00484863"/>
    <w:rsid w:val="004848D2"/>
    <w:rsid w:val="00484D27"/>
    <w:rsid w:val="00485241"/>
    <w:rsid w:val="004852A2"/>
    <w:rsid w:val="004852B3"/>
    <w:rsid w:val="004852DE"/>
    <w:rsid w:val="004859B2"/>
    <w:rsid w:val="00485D2E"/>
    <w:rsid w:val="00485E60"/>
    <w:rsid w:val="004861A6"/>
    <w:rsid w:val="0048620E"/>
    <w:rsid w:val="0048628E"/>
    <w:rsid w:val="00486860"/>
    <w:rsid w:val="0048686C"/>
    <w:rsid w:val="00486916"/>
    <w:rsid w:val="0048730D"/>
    <w:rsid w:val="00487985"/>
    <w:rsid w:val="00487C24"/>
    <w:rsid w:val="00490165"/>
    <w:rsid w:val="00490303"/>
    <w:rsid w:val="0049037C"/>
    <w:rsid w:val="0049053D"/>
    <w:rsid w:val="00490A83"/>
    <w:rsid w:val="00490FE6"/>
    <w:rsid w:val="00491198"/>
    <w:rsid w:val="004913D7"/>
    <w:rsid w:val="00491448"/>
    <w:rsid w:val="004915E0"/>
    <w:rsid w:val="00491625"/>
    <w:rsid w:val="00492899"/>
    <w:rsid w:val="00492B4D"/>
    <w:rsid w:val="00492C80"/>
    <w:rsid w:val="00492C9A"/>
    <w:rsid w:val="00492DA7"/>
    <w:rsid w:val="0049301C"/>
    <w:rsid w:val="00493BE4"/>
    <w:rsid w:val="00493DC1"/>
    <w:rsid w:val="004940A8"/>
    <w:rsid w:val="004940BE"/>
    <w:rsid w:val="004943C5"/>
    <w:rsid w:val="004946A9"/>
    <w:rsid w:val="004949F1"/>
    <w:rsid w:val="00494DE7"/>
    <w:rsid w:val="00495535"/>
    <w:rsid w:val="00495752"/>
    <w:rsid w:val="00495BDC"/>
    <w:rsid w:val="00496390"/>
    <w:rsid w:val="0049665D"/>
    <w:rsid w:val="00496919"/>
    <w:rsid w:val="00497341"/>
    <w:rsid w:val="00497501"/>
    <w:rsid w:val="0049776E"/>
    <w:rsid w:val="00497B85"/>
    <w:rsid w:val="00497C0B"/>
    <w:rsid w:val="004A0074"/>
    <w:rsid w:val="004A08A0"/>
    <w:rsid w:val="004A0A38"/>
    <w:rsid w:val="004A0BE5"/>
    <w:rsid w:val="004A1631"/>
    <w:rsid w:val="004A17B9"/>
    <w:rsid w:val="004A1D1C"/>
    <w:rsid w:val="004A235C"/>
    <w:rsid w:val="004A2F28"/>
    <w:rsid w:val="004A366E"/>
    <w:rsid w:val="004A3C7C"/>
    <w:rsid w:val="004A3D6B"/>
    <w:rsid w:val="004A4312"/>
    <w:rsid w:val="004A4484"/>
    <w:rsid w:val="004A45D1"/>
    <w:rsid w:val="004A48DD"/>
    <w:rsid w:val="004A4C8B"/>
    <w:rsid w:val="004A4E26"/>
    <w:rsid w:val="004A5639"/>
    <w:rsid w:val="004A589B"/>
    <w:rsid w:val="004A6087"/>
    <w:rsid w:val="004A61F6"/>
    <w:rsid w:val="004A69C6"/>
    <w:rsid w:val="004A6CA0"/>
    <w:rsid w:val="004A6CAC"/>
    <w:rsid w:val="004A6D38"/>
    <w:rsid w:val="004A7465"/>
    <w:rsid w:val="004A7B4C"/>
    <w:rsid w:val="004B0268"/>
    <w:rsid w:val="004B02B4"/>
    <w:rsid w:val="004B031E"/>
    <w:rsid w:val="004B049C"/>
    <w:rsid w:val="004B0509"/>
    <w:rsid w:val="004B0972"/>
    <w:rsid w:val="004B0B3C"/>
    <w:rsid w:val="004B0BDE"/>
    <w:rsid w:val="004B0D7C"/>
    <w:rsid w:val="004B0FB4"/>
    <w:rsid w:val="004B1302"/>
    <w:rsid w:val="004B1FC2"/>
    <w:rsid w:val="004B292F"/>
    <w:rsid w:val="004B2BC2"/>
    <w:rsid w:val="004B2FC2"/>
    <w:rsid w:val="004B34C8"/>
    <w:rsid w:val="004B3565"/>
    <w:rsid w:val="004B39B2"/>
    <w:rsid w:val="004B3AB3"/>
    <w:rsid w:val="004B4071"/>
    <w:rsid w:val="004B42CA"/>
    <w:rsid w:val="004B46DD"/>
    <w:rsid w:val="004B50C5"/>
    <w:rsid w:val="004B5220"/>
    <w:rsid w:val="004B586D"/>
    <w:rsid w:val="004B6148"/>
    <w:rsid w:val="004B6770"/>
    <w:rsid w:val="004B69AC"/>
    <w:rsid w:val="004B6B0D"/>
    <w:rsid w:val="004B6C23"/>
    <w:rsid w:val="004B7027"/>
    <w:rsid w:val="004B73FF"/>
    <w:rsid w:val="004B7CB5"/>
    <w:rsid w:val="004C0445"/>
    <w:rsid w:val="004C078B"/>
    <w:rsid w:val="004C0A92"/>
    <w:rsid w:val="004C0C9E"/>
    <w:rsid w:val="004C0EA4"/>
    <w:rsid w:val="004C1C8B"/>
    <w:rsid w:val="004C1D12"/>
    <w:rsid w:val="004C1E71"/>
    <w:rsid w:val="004C2269"/>
    <w:rsid w:val="004C24AF"/>
    <w:rsid w:val="004C291E"/>
    <w:rsid w:val="004C2A4B"/>
    <w:rsid w:val="004C2AD8"/>
    <w:rsid w:val="004C3210"/>
    <w:rsid w:val="004C3452"/>
    <w:rsid w:val="004C3458"/>
    <w:rsid w:val="004C3A3F"/>
    <w:rsid w:val="004C3B6B"/>
    <w:rsid w:val="004C44D2"/>
    <w:rsid w:val="004C4864"/>
    <w:rsid w:val="004C4D9D"/>
    <w:rsid w:val="004C5076"/>
    <w:rsid w:val="004C54EC"/>
    <w:rsid w:val="004C5CD9"/>
    <w:rsid w:val="004C5DE7"/>
    <w:rsid w:val="004C619A"/>
    <w:rsid w:val="004C6248"/>
    <w:rsid w:val="004C678B"/>
    <w:rsid w:val="004C6796"/>
    <w:rsid w:val="004C6938"/>
    <w:rsid w:val="004C6AA8"/>
    <w:rsid w:val="004C6AFC"/>
    <w:rsid w:val="004C6C02"/>
    <w:rsid w:val="004C70B1"/>
    <w:rsid w:val="004C70CF"/>
    <w:rsid w:val="004C73BC"/>
    <w:rsid w:val="004C7A3C"/>
    <w:rsid w:val="004C7C15"/>
    <w:rsid w:val="004C7E47"/>
    <w:rsid w:val="004C7FFA"/>
    <w:rsid w:val="004D024F"/>
    <w:rsid w:val="004D02F8"/>
    <w:rsid w:val="004D06A2"/>
    <w:rsid w:val="004D1795"/>
    <w:rsid w:val="004D1B49"/>
    <w:rsid w:val="004D1D43"/>
    <w:rsid w:val="004D1D5C"/>
    <w:rsid w:val="004D250F"/>
    <w:rsid w:val="004D2547"/>
    <w:rsid w:val="004D2CD2"/>
    <w:rsid w:val="004D304D"/>
    <w:rsid w:val="004D349F"/>
    <w:rsid w:val="004D3AB0"/>
    <w:rsid w:val="004D3BEA"/>
    <w:rsid w:val="004D3F5B"/>
    <w:rsid w:val="004D40D3"/>
    <w:rsid w:val="004D40EE"/>
    <w:rsid w:val="004D4425"/>
    <w:rsid w:val="004D5260"/>
    <w:rsid w:val="004D5BE8"/>
    <w:rsid w:val="004D64A2"/>
    <w:rsid w:val="004D685B"/>
    <w:rsid w:val="004D6954"/>
    <w:rsid w:val="004D6CA7"/>
    <w:rsid w:val="004D70BF"/>
    <w:rsid w:val="004D7378"/>
    <w:rsid w:val="004D7A48"/>
    <w:rsid w:val="004D7B41"/>
    <w:rsid w:val="004D7B5D"/>
    <w:rsid w:val="004D7C0E"/>
    <w:rsid w:val="004E012F"/>
    <w:rsid w:val="004E06DF"/>
    <w:rsid w:val="004E0929"/>
    <w:rsid w:val="004E1575"/>
    <w:rsid w:val="004E1FA2"/>
    <w:rsid w:val="004E20F6"/>
    <w:rsid w:val="004E2FC6"/>
    <w:rsid w:val="004E3191"/>
    <w:rsid w:val="004E3346"/>
    <w:rsid w:val="004E33CA"/>
    <w:rsid w:val="004E3BA7"/>
    <w:rsid w:val="004E3E47"/>
    <w:rsid w:val="004E4536"/>
    <w:rsid w:val="004E454F"/>
    <w:rsid w:val="004E459D"/>
    <w:rsid w:val="004E4B52"/>
    <w:rsid w:val="004E4B7B"/>
    <w:rsid w:val="004E5474"/>
    <w:rsid w:val="004E5ABD"/>
    <w:rsid w:val="004E5B44"/>
    <w:rsid w:val="004E5D27"/>
    <w:rsid w:val="004E6334"/>
    <w:rsid w:val="004E6491"/>
    <w:rsid w:val="004E6AC7"/>
    <w:rsid w:val="004E76EE"/>
    <w:rsid w:val="004E7813"/>
    <w:rsid w:val="004E7ED4"/>
    <w:rsid w:val="004F03A3"/>
    <w:rsid w:val="004F149D"/>
    <w:rsid w:val="004F1956"/>
    <w:rsid w:val="004F1BA9"/>
    <w:rsid w:val="004F209E"/>
    <w:rsid w:val="004F2100"/>
    <w:rsid w:val="004F261C"/>
    <w:rsid w:val="004F30AB"/>
    <w:rsid w:val="004F33B8"/>
    <w:rsid w:val="004F33F5"/>
    <w:rsid w:val="004F41F3"/>
    <w:rsid w:val="004F42F9"/>
    <w:rsid w:val="004F46ED"/>
    <w:rsid w:val="004F4F42"/>
    <w:rsid w:val="004F50D4"/>
    <w:rsid w:val="004F56DC"/>
    <w:rsid w:val="004F5767"/>
    <w:rsid w:val="004F57F8"/>
    <w:rsid w:val="004F62C3"/>
    <w:rsid w:val="004F645B"/>
    <w:rsid w:val="004F6733"/>
    <w:rsid w:val="004F6C6F"/>
    <w:rsid w:val="004F7484"/>
    <w:rsid w:val="004F7D1D"/>
    <w:rsid w:val="0050005A"/>
    <w:rsid w:val="0050045C"/>
    <w:rsid w:val="00500982"/>
    <w:rsid w:val="00500986"/>
    <w:rsid w:val="00500AAA"/>
    <w:rsid w:val="0050151F"/>
    <w:rsid w:val="005017C3"/>
    <w:rsid w:val="00501B61"/>
    <w:rsid w:val="005025D4"/>
    <w:rsid w:val="00502709"/>
    <w:rsid w:val="00503914"/>
    <w:rsid w:val="00503942"/>
    <w:rsid w:val="00503C44"/>
    <w:rsid w:val="005043B9"/>
    <w:rsid w:val="005047D5"/>
    <w:rsid w:val="00504C3E"/>
    <w:rsid w:val="00504ED0"/>
    <w:rsid w:val="00504F96"/>
    <w:rsid w:val="00505372"/>
    <w:rsid w:val="005054F5"/>
    <w:rsid w:val="005058AB"/>
    <w:rsid w:val="00506018"/>
    <w:rsid w:val="00506452"/>
    <w:rsid w:val="00506738"/>
    <w:rsid w:val="00506B13"/>
    <w:rsid w:val="005076E4"/>
    <w:rsid w:val="005079A6"/>
    <w:rsid w:val="00507B09"/>
    <w:rsid w:val="00507D6C"/>
    <w:rsid w:val="005109F3"/>
    <w:rsid w:val="00510FB6"/>
    <w:rsid w:val="005110F1"/>
    <w:rsid w:val="005111CF"/>
    <w:rsid w:val="005114A2"/>
    <w:rsid w:val="005114DB"/>
    <w:rsid w:val="00511849"/>
    <w:rsid w:val="00511A95"/>
    <w:rsid w:val="00511B55"/>
    <w:rsid w:val="00511F7C"/>
    <w:rsid w:val="00512BEA"/>
    <w:rsid w:val="00512E6B"/>
    <w:rsid w:val="005130DE"/>
    <w:rsid w:val="0051328E"/>
    <w:rsid w:val="005132AB"/>
    <w:rsid w:val="005134B4"/>
    <w:rsid w:val="005134BF"/>
    <w:rsid w:val="005136D9"/>
    <w:rsid w:val="00513CC7"/>
    <w:rsid w:val="00513D1F"/>
    <w:rsid w:val="00513F76"/>
    <w:rsid w:val="00514263"/>
    <w:rsid w:val="005142AA"/>
    <w:rsid w:val="00514497"/>
    <w:rsid w:val="00514B0B"/>
    <w:rsid w:val="00515A66"/>
    <w:rsid w:val="005160E2"/>
    <w:rsid w:val="005162E1"/>
    <w:rsid w:val="0051653F"/>
    <w:rsid w:val="0051693C"/>
    <w:rsid w:val="00516C93"/>
    <w:rsid w:val="00516D94"/>
    <w:rsid w:val="00517CD1"/>
    <w:rsid w:val="00517D5E"/>
    <w:rsid w:val="005202AC"/>
    <w:rsid w:val="005202B0"/>
    <w:rsid w:val="00520E9C"/>
    <w:rsid w:val="0052100F"/>
    <w:rsid w:val="005219C1"/>
    <w:rsid w:val="00521C9F"/>
    <w:rsid w:val="00521EC6"/>
    <w:rsid w:val="005223EE"/>
    <w:rsid w:val="00522495"/>
    <w:rsid w:val="00522CCD"/>
    <w:rsid w:val="00522D12"/>
    <w:rsid w:val="00522D3F"/>
    <w:rsid w:val="00523938"/>
    <w:rsid w:val="00524132"/>
    <w:rsid w:val="005241B7"/>
    <w:rsid w:val="0052472C"/>
    <w:rsid w:val="005247ED"/>
    <w:rsid w:val="0052498D"/>
    <w:rsid w:val="00524EA0"/>
    <w:rsid w:val="00525168"/>
    <w:rsid w:val="005251FC"/>
    <w:rsid w:val="00525726"/>
    <w:rsid w:val="005259CA"/>
    <w:rsid w:val="00525AB7"/>
    <w:rsid w:val="00525B98"/>
    <w:rsid w:val="00525EF5"/>
    <w:rsid w:val="005261D9"/>
    <w:rsid w:val="005265DA"/>
    <w:rsid w:val="00526CC2"/>
    <w:rsid w:val="005270B1"/>
    <w:rsid w:val="005279FF"/>
    <w:rsid w:val="00527BFC"/>
    <w:rsid w:val="00527DE6"/>
    <w:rsid w:val="00527F19"/>
    <w:rsid w:val="005301ED"/>
    <w:rsid w:val="00530581"/>
    <w:rsid w:val="00530DED"/>
    <w:rsid w:val="005311C3"/>
    <w:rsid w:val="00531FDC"/>
    <w:rsid w:val="005325B4"/>
    <w:rsid w:val="00532A42"/>
    <w:rsid w:val="00532AFD"/>
    <w:rsid w:val="00532ED3"/>
    <w:rsid w:val="005334DC"/>
    <w:rsid w:val="00533CA3"/>
    <w:rsid w:val="00533D15"/>
    <w:rsid w:val="00534A6F"/>
    <w:rsid w:val="00534F42"/>
    <w:rsid w:val="0053539D"/>
    <w:rsid w:val="0053572D"/>
    <w:rsid w:val="005359BA"/>
    <w:rsid w:val="00535ADB"/>
    <w:rsid w:val="00535B4E"/>
    <w:rsid w:val="005364B5"/>
    <w:rsid w:val="00536C23"/>
    <w:rsid w:val="005374C4"/>
    <w:rsid w:val="005378C3"/>
    <w:rsid w:val="00537CD3"/>
    <w:rsid w:val="00537D97"/>
    <w:rsid w:val="0054036A"/>
    <w:rsid w:val="005405F5"/>
    <w:rsid w:val="005408C6"/>
    <w:rsid w:val="00540B7B"/>
    <w:rsid w:val="00540E35"/>
    <w:rsid w:val="00540F54"/>
    <w:rsid w:val="00541722"/>
    <w:rsid w:val="00541FBF"/>
    <w:rsid w:val="00542171"/>
    <w:rsid w:val="005422D0"/>
    <w:rsid w:val="00542599"/>
    <w:rsid w:val="005427F4"/>
    <w:rsid w:val="00542A35"/>
    <w:rsid w:val="00542DD5"/>
    <w:rsid w:val="00542EC4"/>
    <w:rsid w:val="00542FFF"/>
    <w:rsid w:val="005432E7"/>
    <w:rsid w:val="00543355"/>
    <w:rsid w:val="00543548"/>
    <w:rsid w:val="00543748"/>
    <w:rsid w:val="00543799"/>
    <w:rsid w:val="005437BE"/>
    <w:rsid w:val="0054381A"/>
    <w:rsid w:val="005446D2"/>
    <w:rsid w:val="00545566"/>
    <w:rsid w:val="00545B79"/>
    <w:rsid w:val="005460C6"/>
    <w:rsid w:val="00546339"/>
    <w:rsid w:val="005463BE"/>
    <w:rsid w:val="005466A1"/>
    <w:rsid w:val="005475B6"/>
    <w:rsid w:val="005478AB"/>
    <w:rsid w:val="00547DE4"/>
    <w:rsid w:val="00547E1F"/>
    <w:rsid w:val="005504D9"/>
    <w:rsid w:val="00550641"/>
    <w:rsid w:val="005512F7"/>
    <w:rsid w:val="005513E7"/>
    <w:rsid w:val="005514B9"/>
    <w:rsid w:val="00551A43"/>
    <w:rsid w:val="00551B1A"/>
    <w:rsid w:val="005523A9"/>
    <w:rsid w:val="00552A3A"/>
    <w:rsid w:val="00552B60"/>
    <w:rsid w:val="00553126"/>
    <w:rsid w:val="00553810"/>
    <w:rsid w:val="00553A8C"/>
    <w:rsid w:val="00553DFB"/>
    <w:rsid w:val="00553FEA"/>
    <w:rsid w:val="005547E8"/>
    <w:rsid w:val="005548A0"/>
    <w:rsid w:val="005549A0"/>
    <w:rsid w:val="00554E32"/>
    <w:rsid w:val="0055547D"/>
    <w:rsid w:val="00555A1C"/>
    <w:rsid w:val="005561B9"/>
    <w:rsid w:val="005561F7"/>
    <w:rsid w:val="0055649C"/>
    <w:rsid w:val="005564FD"/>
    <w:rsid w:val="00556F85"/>
    <w:rsid w:val="0055708B"/>
    <w:rsid w:val="0055728D"/>
    <w:rsid w:val="005579CC"/>
    <w:rsid w:val="00557FA5"/>
    <w:rsid w:val="00560473"/>
    <w:rsid w:val="00560DDB"/>
    <w:rsid w:val="00560ED3"/>
    <w:rsid w:val="0056109C"/>
    <w:rsid w:val="00561E7E"/>
    <w:rsid w:val="00561F21"/>
    <w:rsid w:val="00562106"/>
    <w:rsid w:val="00562136"/>
    <w:rsid w:val="00562592"/>
    <w:rsid w:val="00562C63"/>
    <w:rsid w:val="00563356"/>
    <w:rsid w:val="005634AD"/>
    <w:rsid w:val="00563923"/>
    <w:rsid w:val="00563943"/>
    <w:rsid w:val="00563C3A"/>
    <w:rsid w:val="00563E1D"/>
    <w:rsid w:val="00564664"/>
    <w:rsid w:val="00564837"/>
    <w:rsid w:val="00564AB0"/>
    <w:rsid w:val="00564C4A"/>
    <w:rsid w:val="00564CAA"/>
    <w:rsid w:val="005650C5"/>
    <w:rsid w:val="00565220"/>
    <w:rsid w:val="005655AC"/>
    <w:rsid w:val="00565880"/>
    <w:rsid w:val="00565D84"/>
    <w:rsid w:val="00565D95"/>
    <w:rsid w:val="0056655E"/>
    <w:rsid w:val="00566649"/>
    <w:rsid w:val="00566769"/>
    <w:rsid w:val="005669DE"/>
    <w:rsid w:val="0056717F"/>
    <w:rsid w:val="00567280"/>
    <w:rsid w:val="00567390"/>
    <w:rsid w:val="005700C4"/>
    <w:rsid w:val="00570484"/>
    <w:rsid w:val="00570B00"/>
    <w:rsid w:val="00570B8F"/>
    <w:rsid w:val="00570CB2"/>
    <w:rsid w:val="00571347"/>
    <w:rsid w:val="005719D4"/>
    <w:rsid w:val="005719E1"/>
    <w:rsid w:val="00571D94"/>
    <w:rsid w:val="00571DF9"/>
    <w:rsid w:val="00572792"/>
    <w:rsid w:val="005730B1"/>
    <w:rsid w:val="00573796"/>
    <w:rsid w:val="005739FC"/>
    <w:rsid w:val="00574669"/>
    <w:rsid w:val="005746AE"/>
    <w:rsid w:val="0057493F"/>
    <w:rsid w:val="00575ED3"/>
    <w:rsid w:val="00576206"/>
    <w:rsid w:val="00576FA4"/>
    <w:rsid w:val="005771BC"/>
    <w:rsid w:val="0057721E"/>
    <w:rsid w:val="00577236"/>
    <w:rsid w:val="00577829"/>
    <w:rsid w:val="005779E9"/>
    <w:rsid w:val="00577B94"/>
    <w:rsid w:val="0058020D"/>
    <w:rsid w:val="005805EB"/>
    <w:rsid w:val="00580AF4"/>
    <w:rsid w:val="00580EAD"/>
    <w:rsid w:val="00580F2E"/>
    <w:rsid w:val="00581445"/>
    <w:rsid w:val="005815D7"/>
    <w:rsid w:val="0058191A"/>
    <w:rsid w:val="00581FC3"/>
    <w:rsid w:val="005825B2"/>
    <w:rsid w:val="00582ECE"/>
    <w:rsid w:val="00582F6C"/>
    <w:rsid w:val="00582F96"/>
    <w:rsid w:val="0058303A"/>
    <w:rsid w:val="00583AE9"/>
    <w:rsid w:val="00583CF7"/>
    <w:rsid w:val="00583D15"/>
    <w:rsid w:val="00583E56"/>
    <w:rsid w:val="0058424D"/>
    <w:rsid w:val="00584479"/>
    <w:rsid w:val="005845E6"/>
    <w:rsid w:val="00584D4D"/>
    <w:rsid w:val="00585692"/>
    <w:rsid w:val="005857DD"/>
    <w:rsid w:val="00585807"/>
    <w:rsid w:val="0058594F"/>
    <w:rsid w:val="005864DE"/>
    <w:rsid w:val="00586609"/>
    <w:rsid w:val="00587157"/>
    <w:rsid w:val="00587235"/>
    <w:rsid w:val="00587A8F"/>
    <w:rsid w:val="005900A8"/>
    <w:rsid w:val="0059013A"/>
    <w:rsid w:val="00590847"/>
    <w:rsid w:val="005908F3"/>
    <w:rsid w:val="0059091D"/>
    <w:rsid w:val="00590FE8"/>
    <w:rsid w:val="005911B1"/>
    <w:rsid w:val="00591E77"/>
    <w:rsid w:val="00592339"/>
    <w:rsid w:val="00592428"/>
    <w:rsid w:val="00592990"/>
    <w:rsid w:val="00592FB3"/>
    <w:rsid w:val="00593271"/>
    <w:rsid w:val="00593481"/>
    <w:rsid w:val="0059360D"/>
    <w:rsid w:val="00593755"/>
    <w:rsid w:val="00593BD7"/>
    <w:rsid w:val="00594549"/>
    <w:rsid w:val="00595B3B"/>
    <w:rsid w:val="00595F54"/>
    <w:rsid w:val="005962CA"/>
    <w:rsid w:val="00596D2A"/>
    <w:rsid w:val="00596D67"/>
    <w:rsid w:val="005972BC"/>
    <w:rsid w:val="00597C48"/>
    <w:rsid w:val="005A042B"/>
    <w:rsid w:val="005A0695"/>
    <w:rsid w:val="005A07DC"/>
    <w:rsid w:val="005A0B3A"/>
    <w:rsid w:val="005A1686"/>
    <w:rsid w:val="005A170A"/>
    <w:rsid w:val="005A1A70"/>
    <w:rsid w:val="005A1C96"/>
    <w:rsid w:val="005A1F16"/>
    <w:rsid w:val="005A20CD"/>
    <w:rsid w:val="005A2380"/>
    <w:rsid w:val="005A2681"/>
    <w:rsid w:val="005A2980"/>
    <w:rsid w:val="005A29A5"/>
    <w:rsid w:val="005A31C0"/>
    <w:rsid w:val="005A383C"/>
    <w:rsid w:val="005A38D4"/>
    <w:rsid w:val="005A39C0"/>
    <w:rsid w:val="005A3D03"/>
    <w:rsid w:val="005A40FB"/>
    <w:rsid w:val="005A4560"/>
    <w:rsid w:val="005A47D8"/>
    <w:rsid w:val="005A4C8D"/>
    <w:rsid w:val="005A503F"/>
    <w:rsid w:val="005A5469"/>
    <w:rsid w:val="005A546B"/>
    <w:rsid w:val="005A5693"/>
    <w:rsid w:val="005A5747"/>
    <w:rsid w:val="005A58A6"/>
    <w:rsid w:val="005A6627"/>
    <w:rsid w:val="005A68FA"/>
    <w:rsid w:val="005A6985"/>
    <w:rsid w:val="005A69CC"/>
    <w:rsid w:val="005A6B01"/>
    <w:rsid w:val="005A6CC1"/>
    <w:rsid w:val="005A6D8E"/>
    <w:rsid w:val="005A7161"/>
    <w:rsid w:val="005A718C"/>
    <w:rsid w:val="005A749E"/>
    <w:rsid w:val="005A75BE"/>
    <w:rsid w:val="005A7696"/>
    <w:rsid w:val="005A7A97"/>
    <w:rsid w:val="005A7BAB"/>
    <w:rsid w:val="005A7F48"/>
    <w:rsid w:val="005B04F1"/>
    <w:rsid w:val="005B0512"/>
    <w:rsid w:val="005B0E55"/>
    <w:rsid w:val="005B2384"/>
    <w:rsid w:val="005B26DB"/>
    <w:rsid w:val="005B27C6"/>
    <w:rsid w:val="005B2844"/>
    <w:rsid w:val="005B31AB"/>
    <w:rsid w:val="005B3521"/>
    <w:rsid w:val="005B3A38"/>
    <w:rsid w:val="005B3B5C"/>
    <w:rsid w:val="005B45A0"/>
    <w:rsid w:val="005B46BC"/>
    <w:rsid w:val="005B48B8"/>
    <w:rsid w:val="005B4965"/>
    <w:rsid w:val="005B4B04"/>
    <w:rsid w:val="005B4F46"/>
    <w:rsid w:val="005B525C"/>
    <w:rsid w:val="005B526A"/>
    <w:rsid w:val="005B5819"/>
    <w:rsid w:val="005B5A6F"/>
    <w:rsid w:val="005B5B0B"/>
    <w:rsid w:val="005B5B18"/>
    <w:rsid w:val="005B5DD7"/>
    <w:rsid w:val="005B65F4"/>
    <w:rsid w:val="005B676F"/>
    <w:rsid w:val="005B6D19"/>
    <w:rsid w:val="005B71F0"/>
    <w:rsid w:val="005B7FCE"/>
    <w:rsid w:val="005B9F70"/>
    <w:rsid w:val="005C019E"/>
    <w:rsid w:val="005C01C0"/>
    <w:rsid w:val="005C07FD"/>
    <w:rsid w:val="005C093B"/>
    <w:rsid w:val="005C116D"/>
    <w:rsid w:val="005C11B7"/>
    <w:rsid w:val="005C11C6"/>
    <w:rsid w:val="005C1799"/>
    <w:rsid w:val="005C225D"/>
    <w:rsid w:val="005C23B9"/>
    <w:rsid w:val="005C240E"/>
    <w:rsid w:val="005C26A8"/>
    <w:rsid w:val="005C2A2D"/>
    <w:rsid w:val="005C326E"/>
    <w:rsid w:val="005C36DE"/>
    <w:rsid w:val="005C3ADF"/>
    <w:rsid w:val="005C3E45"/>
    <w:rsid w:val="005C4245"/>
    <w:rsid w:val="005C42AB"/>
    <w:rsid w:val="005C49BC"/>
    <w:rsid w:val="005C4CEA"/>
    <w:rsid w:val="005C52E6"/>
    <w:rsid w:val="005C546B"/>
    <w:rsid w:val="005C574B"/>
    <w:rsid w:val="005C5936"/>
    <w:rsid w:val="005C636C"/>
    <w:rsid w:val="005C67D6"/>
    <w:rsid w:val="005C69C9"/>
    <w:rsid w:val="005C6F65"/>
    <w:rsid w:val="005C72E4"/>
    <w:rsid w:val="005C7A9C"/>
    <w:rsid w:val="005D0A5F"/>
    <w:rsid w:val="005D0B28"/>
    <w:rsid w:val="005D0EEA"/>
    <w:rsid w:val="005D0EF2"/>
    <w:rsid w:val="005D1462"/>
    <w:rsid w:val="005D16B1"/>
    <w:rsid w:val="005D20DD"/>
    <w:rsid w:val="005D269D"/>
    <w:rsid w:val="005D289E"/>
    <w:rsid w:val="005D28C8"/>
    <w:rsid w:val="005D3BD1"/>
    <w:rsid w:val="005D423D"/>
    <w:rsid w:val="005D44CE"/>
    <w:rsid w:val="005D4758"/>
    <w:rsid w:val="005D4830"/>
    <w:rsid w:val="005D5103"/>
    <w:rsid w:val="005D5451"/>
    <w:rsid w:val="005D5953"/>
    <w:rsid w:val="005D59A3"/>
    <w:rsid w:val="005D639A"/>
    <w:rsid w:val="005D6A4C"/>
    <w:rsid w:val="005D6E28"/>
    <w:rsid w:val="005D6E8D"/>
    <w:rsid w:val="005D772A"/>
    <w:rsid w:val="005D7E52"/>
    <w:rsid w:val="005D7FE1"/>
    <w:rsid w:val="005E0549"/>
    <w:rsid w:val="005E06B7"/>
    <w:rsid w:val="005E0BDD"/>
    <w:rsid w:val="005E0EE0"/>
    <w:rsid w:val="005E1287"/>
    <w:rsid w:val="005E1A59"/>
    <w:rsid w:val="005E1CC9"/>
    <w:rsid w:val="005E1DE2"/>
    <w:rsid w:val="005E1E9B"/>
    <w:rsid w:val="005E29D7"/>
    <w:rsid w:val="005E2B54"/>
    <w:rsid w:val="005E2DFB"/>
    <w:rsid w:val="005E3261"/>
    <w:rsid w:val="005E34FC"/>
    <w:rsid w:val="005E379D"/>
    <w:rsid w:val="005E3E86"/>
    <w:rsid w:val="005E3EC4"/>
    <w:rsid w:val="005E3FE5"/>
    <w:rsid w:val="005E42EF"/>
    <w:rsid w:val="005E4FB0"/>
    <w:rsid w:val="005E5475"/>
    <w:rsid w:val="005E54A1"/>
    <w:rsid w:val="005E56CF"/>
    <w:rsid w:val="005E5899"/>
    <w:rsid w:val="005E59AF"/>
    <w:rsid w:val="005E5CFF"/>
    <w:rsid w:val="005E6334"/>
    <w:rsid w:val="005E66E9"/>
    <w:rsid w:val="005E6D84"/>
    <w:rsid w:val="005E6F50"/>
    <w:rsid w:val="005E726D"/>
    <w:rsid w:val="005E7683"/>
    <w:rsid w:val="005E79FB"/>
    <w:rsid w:val="005E7E28"/>
    <w:rsid w:val="005F004A"/>
    <w:rsid w:val="005F0906"/>
    <w:rsid w:val="005F0AF1"/>
    <w:rsid w:val="005F0B6C"/>
    <w:rsid w:val="005F0C8F"/>
    <w:rsid w:val="005F0DC5"/>
    <w:rsid w:val="005F0ECC"/>
    <w:rsid w:val="005F1193"/>
    <w:rsid w:val="005F1F13"/>
    <w:rsid w:val="005F1FE1"/>
    <w:rsid w:val="005F22AF"/>
    <w:rsid w:val="005F276C"/>
    <w:rsid w:val="005F27B8"/>
    <w:rsid w:val="005F2D75"/>
    <w:rsid w:val="005F3007"/>
    <w:rsid w:val="005F314B"/>
    <w:rsid w:val="005F420B"/>
    <w:rsid w:val="005F43CD"/>
    <w:rsid w:val="005F46A3"/>
    <w:rsid w:val="005F4965"/>
    <w:rsid w:val="005F4C1E"/>
    <w:rsid w:val="005F4C54"/>
    <w:rsid w:val="005F580F"/>
    <w:rsid w:val="005F584C"/>
    <w:rsid w:val="005F58C3"/>
    <w:rsid w:val="005F591C"/>
    <w:rsid w:val="005F5CCD"/>
    <w:rsid w:val="005F5D3B"/>
    <w:rsid w:val="005F5DBD"/>
    <w:rsid w:val="005F605E"/>
    <w:rsid w:val="005F61F6"/>
    <w:rsid w:val="005F69F4"/>
    <w:rsid w:val="005F6F7C"/>
    <w:rsid w:val="005F7631"/>
    <w:rsid w:val="005F78CA"/>
    <w:rsid w:val="005F79B9"/>
    <w:rsid w:val="005F7E2E"/>
    <w:rsid w:val="005F7F95"/>
    <w:rsid w:val="0060011B"/>
    <w:rsid w:val="006002ED"/>
    <w:rsid w:val="00600606"/>
    <w:rsid w:val="0060095D"/>
    <w:rsid w:val="00600B48"/>
    <w:rsid w:val="00600CAC"/>
    <w:rsid w:val="00600DBB"/>
    <w:rsid w:val="00600E2F"/>
    <w:rsid w:val="00600E31"/>
    <w:rsid w:val="006016A8"/>
    <w:rsid w:val="0060207C"/>
    <w:rsid w:val="00602CA9"/>
    <w:rsid w:val="00602D6E"/>
    <w:rsid w:val="00602EA9"/>
    <w:rsid w:val="0060361E"/>
    <w:rsid w:val="00603E17"/>
    <w:rsid w:val="00603FFF"/>
    <w:rsid w:val="00604105"/>
    <w:rsid w:val="00604695"/>
    <w:rsid w:val="00604AEA"/>
    <w:rsid w:val="0060539E"/>
    <w:rsid w:val="00605EE8"/>
    <w:rsid w:val="00605F15"/>
    <w:rsid w:val="00605F19"/>
    <w:rsid w:val="0060676B"/>
    <w:rsid w:val="006068E2"/>
    <w:rsid w:val="00607FD0"/>
    <w:rsid w:val="00610013"/>
    <w:rsid w:val="006111A5"/>
    <w:rsid w:val="0061136C"/>
    <w:rsid w:val="00612ECD"/>
    <w:rsid w:val="0061306F"/>
    <w:rsid w:val="006130C7"/>
    <w:rsid w:val="006132F6"/>
    <w:rsid w:val="00613335"/>
    <w:rsid w:val="006133D2"/>
    <w:rsid w:val="00613947"/>
    <w:rsid w:val="00613A6D"/>
    <w:rsid w:val="00614518"/>
    <w:rsid w:val="0061482D"/>
    <w:rsid w:val="00614EE3"/>
    <w:rsid w:val="00615E72"/>
    <w:rsid w:val="00615E7B"/>
    <w:rsid w:val="0061601A"/>
    <w:rsid w:val="0061654C"/>
    <w:rsid w:val="0061663D"/>
    <w:rsid w:val="00616F45"/>
    <w:rsid w:val="006172F2"/>
    <w:rsid w:val="00617421"/>
    <w:rsid w:val="0062015B"/>
    <w:rsid w:val="00620922"/>
    <w:rsid w:val="00621173"/>
    <w:rsid w:val="00621BEC"/>
    <w:rsid w:val="00621E09"/>
    <w:rsid w:val="00621E38"/>
    <w:rsid w:val="00622870"/>
    <w:rsid w:val="006229C1"/>
    <w:rsid w:val="00622B6D"/>
    <w:rsid w:val="0062353B"/>
    <w:rsid w:val="006235C8"/>
    <w:rsid w:val="0062381B"/>
    <w:rsid w:val="00623FC8"/>
    <w:rsid w:val="006241C1"/>
    <w:rsid w:val="006243FF"/>
    <w:rsid w:val="00625103"/>
    <w:rsid w:val="006252F9"/>
    <w:rsid w:val="00625532"/>
    <w:rsid w:val="006256E4"/>
    <w:rsid w:val="00626186"/>
    <w:rsid w:val="006264D3"/>
    <w:rsid w:val="00626A7D"/>
    <w:rsid w:val="00626ABC"/>
    <w:rsid w:val="00626B4F"/>
    <w:rsid w:val="006270A7"/>
    <w:rsid w:val="0062767C"/>
    <w:rsid w:val="00627951"/>
    <w:rsid w:val="00627BB7"/>
    <w:rsid w:val="00627BFE"/>
    <w:rsid w:val="00630038"/>
    <w:rsid w:val="00630518"/>
    <w:rsid w:val="00630A4B"/>
    <w:rsid w:val="00630C4A"/>
    <w:rsid w:val="00630D00"/>
    <w:rsid w:val="00630DAD"/>
    <w:rsid w:val="0063162E"/>
    <w:rsid w:val="006319FA"/>
    <w:rsid w:val="006320D6"/>
    <w:rsid w:val="00632989"/>
    <w:rsid w:val="00633304"/>
    <w:rsid w:val="006334A8"/>
    <w:rsid w:val="0063425B"/>
    <w:rsid w:val="006342F2"/>
    <w:rsid w:val="0063489B"/>
    <w:rsid w:val="00634B28"/>
    <w:rsid w:val="00634B9D"/>
    <w:rsid w:val="00635010"/>
    <w:rsid w:val="00635B95"/>
    <w:rsid w:val="00636EFC"/>
    <w:rsid w:val="006371EB"/>
    <w:rsid w:val="006375C9"/>
    <w:rsid w:val="00637CF6"/>
    <w:rsid w:val="006400CC"/>
    <w:rsid w:val="006401E7"/>
    <w:rsid w:val="00641111"/>
    <w:rsid w:val="00641212"/>
    <w:rsid w:val="0064123F"/>
    <w:rsid w:val="00641268"/>
    <w:rsid w:val="0064137A"/>
    <w:rsid w:val="006419E2"/>
    <w:rsid w:val="00642182"/>
    <w:rsid w:val="006428F5"/>
    <w:rsid w:val="006429F1"/>
    <w:rsid w:val="00642B13"/>
    <w:rsid w:val="00642C3E"/>
    <w:rsid w:val="00642D39"/>
    <w:rsid w:val="006434CA"/>
    <w:rsid w:val="00643675"/>
    <w:rsid w:val="00643692"/>
    <w:rsid w:val="00643A3F"/>
    <w:rsid w:val="00643CD1"/>
    <w:rsid w:val="00644721"/>
    <w:rsid w:val="006447A2"/>
    <w:rsid w:val="00644902"/>
    <w:rsid w:val="00644D74"/>
    <w:rsid w:val="00644DAD"/>
    <w:rsid w:val="00645415"/>
    <w:rsid w:val="00645612"/>
    <w:rsid w:val="006456BF"/>
    <w:rsid w:val="006457B0"/>
    <w:rsid w:val="00645A8D"/>
    <w:rsid w:val="0064605F"/>
    <w:rsid w:val="00646376"/>
    <w:rsid w:val="006465BB"/>
    <w:rsid w:val="00646AD9"/>
    <w:rsid w:val="00646B1E"/>
    <w:rsid w:val="00646D26"/>
    <w:rsid w:val="00647371"/>
    <w:rsid w:val="00647F28"/>
    <w:rsid w:val="00647FBD"/>
    <w:rsid w:val="00650034"/>
    <w:rsid w:val="0065040F"/>
    <w:rsid w:val="0065081A"/>
    <w:rsid w:val="0065097D"/>
    <w:rsid w:val="00650EAB"/>
    <w:rsid w:val="006510F9"/>
    <w:rsid w:val="00651111"/>
    <w:rsid w:val="006511C6"/>
    <w:rsid w:val="006515CE"/>
    <w:rsid w:val="00651A45"/>
    <w:rsid w:val="00651DBB"/>
    <w:rsid w:val="00651DF6"/>
    <w:rsid w:val="00651EDA"/>
    <w:rsid w:val="00652059"/>
    <w:rsid w:val="00652B19"/>
    <w:rsid w:val="00652B6D"/>
    <w:rsid w:val="0065341E"/>
    <w:rsid w:val="006536AB"/>
    <w:rsid w:val="006537E7"/>
    <w:rsid w:val="00653B60"/>
    <w:rsid w:val="00653EEE"/>
    <w:rsid w:val="006540FF"/>
    <w:rsid w:val="0065434C"/>
    <w:rsid w:val="006543C1"/>
    <w:rsid w:val="00654C8A"/>
    <w:rsid w:val="00655860"/>
    <w:rsid w:val="00655B1A"/>
    <w:rsid w:val="00655DCA"/>
    <w:rsid w:val="00655EFE"/>
    <w:rsid w:val="00655F73"/>
    <w:rsid w:val="00655F81"/>
    <w:rsid w:val="0065677E"/>
    <w:rsid w:val="00656B45"/>
    <w:rsid w:val="00656F28"/>
    <w:rsid w:val="006571D4"/>
    <w:rsid w:val="0065774F"/>
    <w:rsid w:val="00660624"/>
    <w:rsid w:val="00660C65"/>
    <w:rsid w:val="00662201"/>
    <w:rsid w:val="00662E64"/>
    <w:rsid w:val="006630D7"/>
    <w:rsid w:val="00663249"/>
    <w:rsid w:val="006634C8"/>
    <w:rsid w:val="00663557"/>
    <w:rsid w:val="00663B0F"/>
    <w:rsid w:val="00663F53"/>
    <w:rsid w:val="006640D2"/>
    <w:rsid w:val="00664485"/>
    <w:rsid w:val="00664521"/>
    <w:rsid w:val="006647CB"/>
    <w:rsid w:val="0066495D"/>
    <w:rsid w:val="00664C0A"/>
    <w:rsid w:val="0066540C"/>
    <w:rsid w:val="00665455"/>
    <w:rsid w:val="0066597D"/>
    <w:rsid w:val="00666132"/>
    <w:rsid w:val="0066640D"/>
    <w:rsid w:val="006669D0"/>
    <w:rsid w:val="006670C2"/>
    <w:rsid w:val="00667207"/>
    <w:rsid w:val="0066760C"/>
    <w:rsid w:val="00667864"/>
    <w:rsid w:val="00667A03"/>
    <w:rsid w:val="00667B4E"/>
    <w:rsid w:val="00667F89"/>
    <w:rsid w:val="006703E7"/>
    <w:rsid w:val="00670B29"/>
    <w:rsid w:val="00670BD8"/>
    <w:rsid w:val="00670C44"/>
    <w:rsid w:val="00670D56"/>
    <w:rsid w:val="00670D61"/>
    <w:rsid w:val="00671E2F"/>
    <w:rsid w:val="00671EF1"/>
    <w:rsid w:val="0067200E"/>
    <w:rsid w:val="006721C1"/>
    <w:rsid w:val="006729E0"/>
    <w:rsid w:val="006730C8"/>
    <w:rsid w:val="006737BA"/>
    <w:rsid w:val="00673AF0"/>
    <w:rsid w:val="00674BD9"/>
    <w:rsid w:val="00674C68"/>
    <w:rsid w:val="006752A7"/>
    <w:rsid w:val="006755D9"/>
    <w:rsid w:val="006756D5"/>
    <w:rsid w:val="0067593A"/>
    <w:rsid w:val="00675C8D"/>
    <w:rsid w:val="00675CEC"/>
    <w:rsid w:val="00675D3A"/>
    <w:rsid w:val="00675E1F"/>
    <w:rsid w:val="00675F11"/>
    <w:rsid w:val="0067611A"/>
    <w:rsid w:val="006768CE"/>
    <w:rsid w:val="0067695C"/>
    <w:rsid w:val="00676A82"/>
    <w:rsid w:val="0067724B"/>
    <w:rsid w:val="0067767F"/>
    <w:rsid w:val="006777A2"/>
    <w:rsid w:val="00677812"/>
    <w:rsid w:val="00677E13"/>
    <w:rsid w:val="00677EFC"/>
    <w:rsid w:val="00680437"/>
    <w:rsid w:val="00682A23"/>
    <w:rsid w:val="00683B7F"/>
    <w:rsid w:val="00683FCA"/>
    <w:rsid w:val="0068428D"/>
    <w:rsid w:val="006844CC"/>
    <w:rsid w:val="00684CD0"/>
    <w:rsid w:val="00684ED3"/>
    <w:rsid w:val="00684F4D"/>
    <w:rsid w:val="00684FE5"/>
    <w:rsid w:val="00685288"/>
    <w:rsid w:val="00685580"/>
    <w:rsid w:val="0068576A"/>
    <w:rsid w:val="00685B05"/>
    <w:rsid w:val="00685BF6"/>
    <w:rsid w:val="006867F7"/>
    <w:rsid w:val="0068682D"/>
    <w:rsid w:val="00686B09"/>
    <w:rsid w:val="00686D7C"/>
    <w:rsid w:val="00686F4B"/>
    <w:rsid w:val="00687067"/>
    <w:rsid w:val="006875F1"/>
    <w:rsid w:val="00687A29"/>
    <w:rsid w:val="00687B4A"/>
    <w:rsid w:val="00687F31"/>
    <w:rsid w:val="00687F86"/>
    <w:rsid w:val="0069054F"/>
    <w:rsid w:val="006907FC"/>
    <w:rsid w:val="00690839"/>
    <w:rsid w:val="006909B4"/>
    <w:rsid w:val="006910CF"/>
    <w:rsid w:val="00691781"/>
    <w:rsid w:val="006919EC"/>
    <w:rsid w:val="00691B21"/>
    <w:rsid w:val="00691C5A"/>
    <w:rsid w:val="006925C6"/>
    <w:rsid w:val="0069294B"/>
    <w:rsid w:val="006935DD"/>
    <w:rsid w:val="00693D82"/>
    <w:rsid w:val="00694202"/>
    <w:rsid w:val="00694520"/>
    <w:rsid w:val="006946E9"/>
    <w:rsid w:val="006947D2"/>
    <w:rsid w:val="00694F82"/>
    <w:rsid w:val="006952F9"/>
    <w:rsid w:val="00695488"/>
    <w:rsid w:val="00695B0B"/>
    <w:rsid w:val="00695D3A"/>
    <w:rsid w:val="006967D1"/>
    <w:rsid w:val="00696819"/>
    <w:rsid w:val="00696A4F"/>
    <w:rsid w:val="00697150"/>
    <w:rsid w:val="006971A9"/>
    <w:rsid w:val="006971D5"/>
    <w:rsid w:val="00697455"/>
    <w:rsid w:val="00697E79"/>
    <w:rsid w:val="006A0166"/>
    <w:rsid w:val="006A05F0"/>
    <w:rsid w:val="006A0C10"/>
    <w:rsid w:val="006A0F08"/>
    <w:rsid w:val="006A14C5"/>
    <w:rsid w:val="006A1595"/>
    <w:rsid w:val="006A17E7"/>
    <w:rsid w:val="006A1A0B"/>
    <w:rsid w:val="006A1BFB"/>
    <w:rsid w:val="006A1FAA"/>
    <w:rsid w:val="006A2659"/>
    <w:rsid w:val="006A2A82"/>
    <w:rsid w:val="006A2B06"/>
    <w:rsid w:val="006A304D"/>
    <w:rsid w:val="006A32CE"/>
    <w:rsid w:val="006A35E8"/>
    <w:rsid w:val="006A3660"/>
    <w:rsid w:val="006A366E"/>
    <w:rsid w:val="006A47F0"/>
    <w:rsid w:val="006A48B0"/>
    <w:rsid w:val="006A4D52"/>
    <w:rsid w:val="006A4DBA"/>
    <w:rsid w:val="006A5337"/>
    <w:rsid w:val="006A575D"/>
    <w:rsid w:val="006A58A9"/>
    <w:rsid w:val="006A5CA3"/>
    <w:rsid w:val="006A5CDA"/>
    <w:rsid w:val="006A6295"/>
    <w:rsid w:val="006A682B"/>
    <w:rsid w:val="006A717D"/>
    <w:rsid w:val="006A720A"/>
    <w:rsid w:val="006A74AF"/>
    <w:rsid w:val="006A7535"/>
    <w:rsid w:val="006A7710"/>
    <w:rsid w:val="006A7861"/>
    <w:rsid w:val="006A788E"/>
    <w:rsid w:val="006A7FC3"/>
    <w:rsid w:val="006B0074"/>
    <w:rsid w:val="006B0130"/>
    <w:rsid w:val="006B09C0"/>
    <w:rsid w:val="006B0B79"/>
    <w:rsid w:val="006B0D05"/>
    <w:rsid w:val="006B0D0A"/>
    <w:rsid w:val="006B0DE1"/>
    <w:rsid w:val="006B12B9"/>
    <w:rsid w:val="006B18B4"/>
    <w:rsid w:val="006B1C10"/>
    <w:rsid w:val="006B1C14"/>
    <w:rsid w:val="006B25EB"/>
    <w:rsid w:val="006B26AA"/>
    <w:rsid w:val="006B3A26"/>
    <w:rsid w:val="006B3C0C"/>
    <w:rsid w:val="006B4496"/>
    <w:rsid w:val="006B4770"/>
    <w:rsid w:val="006B4B58"/>
    <w:rsid w:val="006B4D42"/>
    <w:rsid w:val="006B5058"/>
    <w:rsid w:val="006B52AC"/>
    <w:rsid w:val="006B5354"/>
    <w:rsid w:val="006B537B"/>
    <w:rsid w:val="006B55A5"/>
    <w:rsid w:val="006B58A9"/>
    <w:rsid w:val="006B5DD1"/>
    <w:rsid w:val="006B67B3"/>
    <w:rsid w:val="006B6C62"/>
    <w:rsid w:val="006B6EEF"/>
    <w:rsid w:val="006C044A"/>
    <w:rsid w:val="006C05CF"/>
    <w:rsid w:val="006C06CC"/>
    <w:rsid w:val="006C0C08"/>
    <w:rsid w:val="006C1169"/>
    <w:rsid w:val="006C1275"/>
    <w:rsid w:val="006C22CB"/>
    <w:rsid w:val="006C24A0"/>
    <w:rsid w:val="006C27E0"/>
    <w:rsid w:val="006C298C"/>
    <w:rsid w:val="006C2D33"/>
    <w:rsid w:val="006C2E7F"/>
    <w:rsid w:val="006C320A"/>
    <w:rsid w:val="006C3BDD"/>
    <w:rsid w:val="006C3F80"/>
    <w:rsid w:val="006C4007"/>
    <w:rsid w:val="006C44F9"/>
    <w:rsid w:val="006C4508"/>
    <w:rsid w:val="006C46C7"/>
    <w:rsid w:val="006C47DF"/>
    <w:rsid w:val="006C48D5"/>
    <w:rsid w:val="006C4CD5"/>
    <w:rsid w:val="006C528F"/>
    <w:rsid w:val="006C5439"/>
    <w:rsid w:val="006C55A0"/>
    <w:rsid w:val="006C6CC4"/>
    <w:rsid w:val="006C6D09"/>
    <w:rsid w:val="006C7390"/>
    <w:rsid w:val="006D0552"/>
    <w:rsid w:val="006D06C3"/>
    <w:rsid w:val="006D0D68"/>
    <w:rsid w:val="006D1460"/>
    <w:rsid w:val="006D168C"/>
    <w:rsid w:val="006D195E"/>
    <w:rsid w:val="006D1BB0"/>
    <w:rsid w:val="006D1CA9"/>
    <w:rsid w:val="006D2358"/>
    <w:rsid w:val="006D2529"/>
    <w:rsid w:val="006D2567"/>
    <w:rsid w:val="006D2D02"/>
    <w:rsid w:val="006D2D60"/>
    <w:rsid w:val="006D3327"/>
    <w:rsid w:val="006D4C8C"/>
    <w:rsid w:val="006D4C98"/>
    <w:rsid w:val="006D4CAA"/>
    <w:rsid w:val="006D56AA"/>
    <w:rsid w:val="006D574E"/>
    <w:rsid w:val="006D5A09"/>
    <w:rsid w:val="006D5AB5"/>
    <w:rsid w:val="006D5D34"/>
    <w:rsid w:val="006D6873"/>
    <w:rsid w:val="006D68BB"/>
    <w:rsid w:val="006D6A39"/>
    <w:rsid w:val="006D6A57"/>
    <w:rsid w:val="006D6A7C"/>
    <w:rsid w:val="006D6BB3"/>
    <w:rsid w:val="006D6EE1"/>
    <w:rsid w:val="006D7276"/>
    <w:rsid w:val="006D72B8"/>
    <w:rsid w:val="006D78D7"/>
    <w:rsid w:val="006D7E63"/>
    <w:rsid w:val="006E0449"/>
    <w:rsid w:val="006E0666"/>
    <w:rsid w:val="006E09A9"/>
    <w:rsid w:val="006E0C5B"/>
    <w:rsid w:val="006E1057"/>
    <w:rsid w:val="006E15D0"/>
    <w:rsid w:val="006E163B"/>
    <w:rsid w:val="006E169A"/>
    <w:rsid w:val="006E1E9E"/>
    <w:rsid w:val="006E2359"/>
    <w:rsid w:val="006E2506"/>
    <w:rsid w:val="006E306C"/>
    <w:rsid w:val="006E30AB"/>
    <w:rsid w:val="006E3390"/>
    <w:rsid w:val="006E33E0"/>
    <w:rsid w:val="006E33FF"/>
    <w:rsid w:val="006E340C"/>
    <w:rsid w:val="006E37BA"/>
    <w:rsid w:val="006E3877"/>
    <w:rsid w:val="006E3A18"/>
    <w:rsid w:val="006E3AB2"/>
    <w:rsid w:val="006E3BF0"/>
    <w:rsid w:val="006E4012"/>
    <w:rsid w:val="006E4253"/>
    <w:rsid w:val="006E43A1"/>
    <w:rsid w:val="006E4C4B"/>
    <w:rsid w:val="006E6022"/>
    <w:rsid w:val="006E63A6"/>
    <w:rsid w:val="006E65A5"/>
    <w:rsid w:val="006E6DD3"/>
    <w:rsid w:val="006E6F15"/>
    <w:rsid w:val="006E70AE"/>
    <w:rsid w:val="006E7110"/>
    <w:rsid w:val="006E7505"/>
    <w:rsid w:val="006E7735"/>
    <w:rsid w:val="006E7A6E"/>
    <w:rsid w:val="006F00D0"/>
    <w:rsid w:val="006F00D4"/>
    <w:rsid w:val="006F00E3"/>
    <w:rsid w:val="006F0374"/>
    <w:rsid w:val="006F0968"/>
    <w:rsid w:val="006F0A80"/>
    <w:rsid w:val="006F0B8F"/>
    <w:rsid w:val="006F1B21"/>
    <w:rsid w:val="006F2111"/>
    <w:rsid w:val="006F2847"/>
    <w:rsid w:val="006F2A9E"/>
    <w:rsid w:val="006F3886"/>
    <w:rsid w:val="006F3F8A"/>
    <w:rsid w:val="006F474D"/>
    <w:rsid w:val="006F4AF1"/>
    <w:rsid w:val="006F4E3E"/>
    <w:rsid w:val="006F54A2"/>
    <w:rsid w:val="006F581A"/>
    <w:rsid w:val="006F5892"/>
    <w:rsid w:val="006F5AFE"/>
    <w:rsid w:val="006F5B7A"/>
    <w:rsid w:val="006F6030"/>
    <w:rsid w:val="006F6933"/>
    <w:rsid w:val="006F6CF8"/>
    <w:rsid w:val="006F6D2C"/>
    <w:rsid w:val="006F7C46"/>
    <w:rsid w:val="006F7FCC"/>
    <w:rsid w:val="0070005C"/>
    <w:rsid w:val="007001CC"/>
    <w:rsid w:val="00700380"/>
    <w:rsid w:val="00700867"/>
    <w:rsid w:val="007008E5"/>
    <w:rsid w:val="007011C7"/>
    <w:rsid w:val="007018C8"/>
    <w:rsid w:val="00701DDB"/>
    <w:rsid w:val="00702B9B"/>
    <w:rsid w:val="00703187"/>
    <w:rsid w:val="007036BC"/>
    <w:rsid w:val="00703702"/>
    <w:rsid w:val="00703710"/>
    <w:rsid w:val="00703795"/>
    <w:rsid w:val="00703B51"/>
    <w:rsid w:val="00703BCE"/>
    <w:rsid w:val="00704FC7"/>
    <w:rsid w:val="00705127"/>
    <w:rsid w:val="0070512C"/>
    <w:rsid w:val="00705551"/>
    <w:rsid w:val="007055C8"/>
    <w:rsid w:val="0070586F"/>
    <w:rsid w:val="00705C6E"/>
    <w:rsid w:val="00705C8E"/>
    <w:rsid w:val="00705EBA"/>
    <w:rsid w:val="0070742B"/>
    <w:rsid w:val="007079E3"/>
    <w:rsid w:val="0071009C"/>
    <w:rsid w:val="007105F7"/>
    <w:rsid w:val="00710830"/>
    <w:rsid w:val="00710AF2"/>
    <w:rsid w:val="00711CD9"/>
    <w:rsid w:val="00712158"/>
    <w:rsid w:val="00712479"/>
    <w:rsid w:val="007125C0"/>
    <w:rsid w:val="00712863"/>
    <w:rsid w:val="00712AAA"/>
    <w:rsid w:val="007134B6"/>
    <w:rsid w:val="0071398B"/>
    <w:rsid w:val="00713A6C"/>
    <w:rsid w:val="00713E73"/>
    <w:rsid w:val="0071473E"/>
    <w:rsid w:val="007158D0"/>
    <w:rsid w:val="00715DF7"/>
    <w:rsid w:val="007163F8"/>
    <w:rsid w:val="00717009"/>
    <w:rsid w:val="007175D0"/>
    <w:rsid w:val="00717844"/>
    <w:rsid w:val="00720498"/>
    <w:rsid w:val="0072088F"/>
    <w:rsid w:val="00720A0E"/>
    <w:rsid w:val="00720B49"/>
    <w:rsid w:val="00720B8E"/>
    <w:rsid w:val="00720EF4"/>
    <w:rsid w:val="007210B9"/>
    <w:rsid w:val="007218FE"/>
    <w:rsid w:val="00721C80"/>
    <w:rsid w:val="00722082"/>
    <w:rsid w:val="00722D91"/>
    <w:rsid w:val="00722DAB"/>
    <w:rsid w:val="00723116"/>
    <w:rsid w:val="0072326E"/>
    <w:rsid w:val="007239B1"/>
    <w:rsid w:val="007239D7"/>
    <w:rsid w:val="00723E51"/>
    <w:rsid w:val="00723E61"/>
    <w:rsid w:val="00723E6C"/>
    <w:rsid w:val="00723EA2"/>
    <w:rsid w:val="00724234"/>
    <w:rsid w:val="00724403"/>
    <w:rsid w:val="007246F5"/>
    <w:rsid w:val="007251CC"/>
    <w:rsid w:val="007252BB"/>
    <w:rsid w:val="007253EB"/>
    <w:rsid w:val="0072553D"/>
    <w:rsid w:val="00725E11"/>
    <w:rsid w:val="00725FEB"/>
    <w:rsid w:val="0072666E"/>
    <w:rsid w:val="00726F3D"/>
    <w:rsid w:val="0072756D"/>
    <w:rsid w:val="00727619"/>
    <w:rsid w:val="007279CE"/>
    <w:rsid w:val="00727A56"/>
    <w:rsid w:val="00727B71"/>
    <w:rsid w:val="00727C00"/>
    <w:rsid w:val="00727D22"/>
    <w:rsid w:val="00730527"/>
    <w:rsid w:val="00730647"/>
    <w:rsid w:val="007315A6"/>
    <w:rsid w:val="00731619"/>
    <w:rsid w:val="00731641"/>
    <w:rsid w:val="007317C6"/>
    <w:rsid w:val="00731BC9"/>
    <w:rsid w:val="00731EDF"/>
    <w:rsid w:val="00732382"/>
    <w:rsid w:val="00732605"/>
    <w:rsid w:val="00732617"/>
    <w:rsid w:val="00732623"/>
    <w:rsid w:val="0073287A"/>
    <w:rsid w:val="00732CC3"/>
    <w:rsid w:val="00733DF1"/>
    <w:rsid w:val="00734ADD"/>
    <w:rsid w:val="00734B7F"/>
    <w:rsid w:val="00734BD5"/>
    <w:rsid w:val="00735010"/>
    <w:rsid w:val="0073538F"/>
    <w:rsid w:val="007353D4"/>
    <w:rsid w:val="007356EA"/>
    <w:rsid w:val="00735708"/>
    <w:rsid w:val="007357EC"/>
    <w:rsid w:val="007359C5"/>
    <w:rsid w:val="0073613B"/>
    <w:rsid w:val="007364E9"/>
    <w:rsid w:val="00736526"/>
    <w:rsid w:val="007365F2"/>
    <w:rsid w:val="00736796"/>
    <w:rsid w:val="007369F7"/>
    <w:rsid w:val="00736A1D"/>
    <w:rsid w:val="00736B47"/>
    <w:rsid w:val="00737577"/>
    <w:rsid w:val="0073779B"/>
    <w:rsid w:val="007378E3"/>
    <w:rsid w:val="00737DDC"/>
    <w:rsid w:val="00737E43"/>
    <w:rsid w:val="00737F78"/>
    <w:rsid w:val="007400D9"/>
    <w:rsid w:val="0074092D"/>
    <w:rsid w:val="00740A22"/>
    <w:rsid w:val="00740A53"/>
    <w:rsid w:val="00740C7C"/>
    <w:rsid w:val="00740E34"/>
    <w:rsid w:val="00740F64"/>
    <w:rsid w:val="007411B9"/>
    <w:rsid w:val="0074134C"/>
    <w:rsid w:val="0074180D"/>
    <w:rsid w:val="007419B9"/>
    <w:rsid w:val="00741BF2"/>
    <w:rsid w:val="00742003"/>
    <w:rsid w:val="00742219"/>
    <w:rsid w:val="0074230D"/>
    <w:rsid w:val="00742987"/>
    <w:rsid w:val="00743E60"/>
    <w:rsid w:val="007442D6"/>
    <w:rsid w:val="007442E0"/>
    <w:rsid w:val="0074473D"/>
    <w:rsid w:val="007449D8"/>
    <w:rsid w:val="00744D09"/>
    <w:rsid w:val="00745CCA"/>
    <w:rsid w:val="007461EC"/>
    <w:rsid w:val="0074625D"/>
    <w:rsid w:val="0074646A"/>
    <w:rsid w:val="00746CAE"/>
    <w:rsid w:val="00746E50"/>
    <w:rsid w:val="00746E59"/>
    <w:rsid w:val="00746F9D"/>
    <w:rsid w:val="0074762B"/>
    <w:rsid w:val="007478C7"/>
    <w:rsid w:val="00747CF1"/>
    <w:rsid w:val="00747F7D"/>
    <w:rsid w:val="00750271"/>
    <w:rsid w:val="007505EA"/>
    <w:rsid w:val="00750929"/>
    <w:rsid w:val="007509CD"/>
    <w:rsid w:val="00750AA4"/>
    <w:rsid w:val="00750E8D"/>
    <w:rsid w:val="00750FC0"/>
    <w:rsid w:val="007515EF"/>
    <w:rsid w:val="00751DC7"/>
    <w:rsid w:val="00751FEB"/>
    <w:rsid w:val="00752246"/>
    <w:rsid w:val="00752440"/>
    <w:rsid w:val="007524A5"/>
    <w:rsid w:val="0075266D"/>
    <w:rsid w:val="007526B7"/>
    <w:rsid w:val="007527B8"/>
    <w:rsid w:val="00752B8D"/>
    <w:rsid w:val="00753B68"/>
    <w:rsid w:val="00753B72"/>
    <w:rsid w:val="00753D42"/>
    <w:rsid w:val="00753F7D"/>
    <w:rsid w:val="00754220"/>
    <w:rsid w:val="00754AA6"/>
    <w:rsid w:val="00754C55"/>
    <w:rsid w:val="00756098"/>
    <w:rsid w:val="00756E8E"/>
    <w:rsid w:val="007577E1"/>
    <w:rsid w:val="007600C6"/>
    <w:rsid w:val="00760469"/>
    <w:rsid w:val="00760A12"/>
    <w:rsid w:val="007610EB"/>
    <w:rsid w:val="007614A3"/>
    <w:rsid w:val="00761781"/>
    <w:rsid w:val="00761A90"/>
    <w:rsid w:val="00761B13"/>
    <w:rsid w:val="00761C36"/>
    <w:rsid w:val="00761CE0"/>
    <w:rsid w:val="00761FAC"/>
    <w:rsid w:val="00762071"/>
    <w:rsid w:val="0076208B"/>
    <w:rsid w:val="00762299"/>
    <w:rsid w:val="00762509"/>
    <w:rsid w:val="00762816"/>
    <w:rsid w:val="0076293D"/>
    <w:rsid w:val="00762C5F"/>
    <w:rsid w:val="00763462"/>
    <w:rsid w:val="007638F4"/>
    <w:rsid w:val="00763A00"/>
    <w:rsid w:val="00763A30"/>
    <w:rsid w:val="007642F0"/>
    <w:rsid w:val="00764622"/>
    <w:rsid w:val="0076482E"/>
    <w:rsid w:val="0076499E"/>
    <w:rsid w:val="00764B13"/>
    <w:rsid w:val="00765018"/>
    <w:rsid w:val="0076522A"/>
    <w:rsid w:val="0076559C"/>
    <w:rsid w:val="0076576F"/>
    <w:rsid w:val="00765F62"/>
    <w:rsid w:val="007661D5"/>
    <w:rsid w:val="007664CB"/>
    <w:rsid w:val="007664E1"/>
    <w:rsid w:val="00766C91"/>
    <w:rsid w:val="00767001"/>
    <w:rsid w:val="007670EE"/>
    <w:rsid w:val="007671CF"/>
    <w:rsid w:val="007676F5"/>
    <w:rsid w:val="00767AE2"/>
    <w:rsid w:val="007703AF"/>
    <w:rsid w:val="007706BC"/>
    <w:rsid w:val="00770AD2"/>
    <w:rsid w:val="00770CA7"/>
    <w:rsid w:val="007712ED"/>
    <w:rsid w:val="0077161B"/>
    <w:rsid w:val="007718C5"/>
    <w:rsid w:val="00771BD3"/>
    <w:rsid w:val="00771DB4"/>
    <w:rsid w:val="00772353"/>
    <w:rsid w:val="0077240A"/>
    <w:rsid w:val="007724A9"/>
    <w:rsid w:val="00772511"/>
    <w:rsid w:val="00772982"/>
    <w:rsid w:val="00772B79"/>
    <w:rsid w:val="00773347"/>
    <w:rsid w:val="007736B4"/>
    <w:rsid w:val="00773B74"/>
    <w:rsid w:val="00773D07"/>
    <w:rsid w:val="00773F1B"/>
    <w:rsid w:val="00774184"/>
    <w:rsid w:val="00774B26"/>
    <w:rsid w:val="00774EAE"/>
    <w:rsid w:val="007751C7"/>
    <w:rsid w:val="00775313"/>
    <w:rsid w:val="007758A2"/>
    <w:rsid w:val="00775920"/>
    <w:rsid w:val="0077594C"/>
    <w:rsid w:val="00775CE0"/>
    <w:rsid w:val="0077626A"/>
    <w:rsid w:val="007767DA"/>
    <w:rsid w:val="0077705C"/>
    <w:rsid w:val="00777604"/>
    <w:rsid w:val="00777782"/>
    <w:rsid w:val="00777883"/>
    <w:rsid w:val="007778BF"/>
    <w:rsid w:val="00780742"/>
    <w:rsid w:val="00780771"/>
    <w:rsid w:val="007815E7"/>
    <w:rsid w:val="007819B4"/>
    <w:rsid w:val="00781B72"/>
    <w:rsid w:val="00782128"/>
    <w:rsid w:val="007828BB"/>
    <w:rsid w:val="00782DDB"/>
    <w:rsid w:val="00782E77"/>
    <w:rsid w:val="00783246"/>
    <w:rsid w:val="007832DB"/>
    <w:rsid w:val="00783436"/>
    <w:rsid w:val="007838EB"/>
    <w:rsid w:val="00783A1A"/>
    <w:rsid w:val="00784306"/>
    <w:rsid w:val="00784618"/>
    <w:rsid w:val="00784805"/>
    <w:rsid w:val="007849E9"/>
    <w:rsid w:val="00784B25"/>
    <w:rsid w:val="00784CF8"/>
    <w:rsid w:val="007851B6"/>
    <w:rsid w:val="00785748"/>
    <w:rsid w:val="007860F1"/>
    <w:rsid w:val="0078621D"/>
    <w:rsid w:val="007863AC"/>
    <w:rsid w:val="007868FA"/>
    <w:rsid w:val="00786D6C"/>
    <w:rsid w:val="007870A7"/>
    <w:rsid w:val="00787847"/>
    <w:rsid w:val="007879E8"/>
    <w:rsid w:val="00790067"/>
    <w:rsid w:val="007900CD"/>
    <w:rsid w:val="00790376"/>
    <w:rsid w:val="00790A75"/>
    <w:rsid w:val="007912FB"/>
    <w:rsid w:val="00791C0D"/>
    <w:rsid w:val="00791D3E"/>
    <w:rsid w:val="00791DB2"/>
    <w:rsid w:val="00791E58"/>
    <w:rsid w:val="007920B1"/>
    <w:rsid w:val="007920FF"/>
    <w:rsid w:val="00792829"/>
    <w:rsid w:val="00792957"/>
    <w:rsid w:val="00792C9B"/>
    <w:rsid w:val="007930F0"/>
    <w:rsid w:val="0079368A"/>
    <w:rsid w:val="00793E99"/>
    <w:rsid w:val="00793FDC"/>
    <w:rsid w:val="00794346"/>
    <w:rsid w:val="00794561"/>
    <w:rsid w:val="0079487B"/>
    <w:rsid w:val="007949EF"/>
    <w:rsid w:val="00794E7D"/>
    <w:rsid w:val="00794FDD"/>
    <w:rsid w:val="00795259"/>
    <w:rsid w:val="007952CA"/>
    <w:rsid w:val="00795BC3"/>
    <w:rsid w:val="00795D4F"/>
    <w:rsid w:val="00796006"/>
    <w:rsid w:val="00796731"/>
    <w:rsid w:val="007967AE"/>
    <w:rsid w:val="00796C40"/>
    <w:rsid w:val="00796E21"/>
    <w:rsid w:val="00797BB0"/>
    <w:rsid w:val="00797C84"/>
    <w:rsid w:val="007A00DA"/>
    <w:rsid w:val="007A0556"/>
    <w:rsid w:val="007A08AD"/>
    <w:rsid w:val="007A0A64"/>
    <w:rsid w:val="007A0BDD"/>
    <w:rsid w:val="007A13D4"/>
    <w:rsid w:val="007A14CA"/>
    <w:rsid w:val="007A1577"/>
    <w:rsid w:val="007A18C3"/>
    <w:rsid w:val="007A1D6B"/>
    <w:rsid w:val="007A219F"/>
    <w:rsid w:val="007A253F"/>
    <w:rsid w:val="007A257E"/>
    <w:rsid w:val="007A2825"/>
    <w:rsid w:val="007A2FF6"/>
    <w:rsid w:val="007A3219"/>
    <w:rsid w:val="007A3458"/>
    <w:rsid w:val="007A3AF1"/>
    <w:rsid w:val="007A3B99"/>
    <w:rsid w:val="007A40C2"/>
    <w:rsid w:val="007A4243"/>
    <w:rsid w:val="007A458C"/>
    <w:rsid w:val="007A4AA4"/>
    <w:rsid w:val="007A4F0D"/>
    <w:rsid w:val="007A4F3E"/>
    <w:rsid w:val="007A5398"/>
    <w:rsid w:val="007A5452"/>
    <w:rsid w:val="007A60E5"/>
    <w:rsid w:val="007A67BF"/>
    <w:rsid w:val="007A68EE"/>
    <w:rsid w:val="007A6AE2"/>
    <w:rsid w:val="007A6B48"/>
    <w:rsid w:val="007A6B6C"/>
    <w:rsid w:val="007A6D4A"/>
    <w:rsid w:val="007A6ECB"/>
    <w:rsid w:val="007A71AE"/>
    <w:rsid w:val="007A732B"/>
    <w:rsid w:val="007A7925"/>
    <w:rsid w:val="007A7BD6"/>
    <w:rsid w:val="007A7C6E"/>
    <w:rsid w:val="007A7FC1"/>
    <w:rsid w:val="007B033E"/>
    <w:rsid w:val="007B069A"/>
    <w:rsid w:val="007B09D4"/>
    <w:rsid w:val="007B1AA9"/>
    <w:rsid w:val="007B1CFE"/>
    <w:rsid w:val="007B21DE"/>
    <w:rsid w:val="007B21E0"/>
    <w:rsid w:val="007B222A"/>
    <w:rsid w:val="007B2F71"/>
    <w:rsid w:val="007B369C"/>
    <w:rsid w:val="007B3AFB"/>
    <w:rsid w:val="007B3CFD"/>
    <w:rsid w:val="007B40DB"/>
    <w:rsid w:val="007B4181"/>
    <w:rsid w:val="007B435B"/>
    <w:rsid w:val="007B44BC"/>
    <w:rsid w:val="007B44E9"/>
    <w:rsid w:val="007B456A"/>
    <w:rsid w:val="007B47F3"/>
    <w:rsid w:val="007B4D59"/>
    <w:rsid w:val="007B5927"/>
    <w:rsid w:val="007B638C"/>
    <w:rsid w:val="007B6A8E"/>
    <w:rsid w:val="007B798A"/>
    <w:rsid w:val="007B7BD7"/>
    <w:rsid w:val="007B7BE8"/>
    <w:rsid w:val="007B7D19"/>
    <w:rsid w:val="007B7D6A"/>
    <w:rsid w:val="007B7DDB"/>
    <w:rsid w:val="007B9695"/>
    <w:rsid w:val="007C0052"/>
    <w:rsid w:val="007C0190"/>
    <w:rsid w:val="007C04FF"/>
    <w:rsid w:val="007C0573"/>
    <w:rsid w:val="007C08FF"/>
    <w:rsid w:val="007C0BAB"/>
    <w:rsid w:val="007C0F4F"/>
    <w:rsid w:val="007C114D"/>
    <w:rsid w:val="007C167E"/>
    <w:rsid w:val="007C2121"/>
    <w:rsid w:val="007C23F4"/>
    <w:rsid w:val="007C2803"/>
    <w:rsid w:val="007C295A"/>
    <w:rsid w:val="007C2D54"/>
    <w:rsid w:val="007C2EB6"/>
    <w:rsid w:val="007C2FEF"/>
    <w:rsid w:val="007C34F3"/>
    <w:rsid w:val="007C3D8A"/>
    <w:rsid w:val="007C3E38"/>
    <w:rsid w:val="007C41CC"/>
    <w:rsid w:val="007C41E1"/>
    <w:rsid w:val="007C41EE"/>
    <w:rsid w:val="007C4416"/>
    <w:rsid w:val="007C4570"/>
    <w:rsid w:val="007C4EF3"/>
    <w:rsid w:val="007C569E"/>
    <w:rsid w:val="007C59A9"/>
    <w:rsid w:val="007C5B3B"/>
    <w:rsid w:val="007C5D30"/>
    <w:rsid w:val="007C5F0F"/>
    <w:rsid w:val="007C5FD8"/>
    <w:rsid w:val="007C619D"/>
    <w:rsid w:val="007C6411"/>
    <w:rsid w:val="007C64EC"/>
    <w:rsid w:val="007C64F9"/>
    <w:rsid w:val="007C67A8"/>
    <w:rsid w:val="007C6910"/>
    <w:rsid w:val="007C6E93"/>
    <w:rsid w:val="007C7508"/>
    <w:rsid w:val="007C762A"/>
    <w:rsid w:val="007C7A9C"/>
    <w:rsid w:val="007D12B6"/>
    <w:rsid w:val="007D1B1B"/>
    <w:rsid w:val="007D1C86"/>
    <w:rsid w:val="007D1D6C"/>
    <w:rsid w:val="007D2476"/>
    <w:rsid w:val="007D2499"/>
    <w:rsid w:val="007D2738"/>
    <w:rsid w:val="007D28E9"/>
    <w:rsid w:val="007D2AB1"/>
    <w:rsid w:val="007D2B52"/>
    <w:rsid w:val="007D335D"/>
    <w:rsid w:val="007D345D"/>
    <w:rsid w:val="007D384B"/>
    <w:rsid w:val="007D411C"/>
    <w:rsid w:val="007D4265"/>
    <w:rsid w:val="007D4349"/>
    <w:rsid w:val="007D482E"/>
    <w:rsid w:val="007D4A71"/>
    <w:rsid w:val="007D4D86"/>
    <w:rsid w:val="007D5501"/>
    <w:rsid w:val="007D5C5D"/>
    <w:rsid w:val="007D6281"/>
    <w:rsid w:val="007D6380"/>
    <w:rsid w:val="007D6B18"/>
    <w:rsid w:val="007D717D"/>
    <w:rsid w:val="007D75C4"/>
    <w:rsid w:val="007D79B4"/>
    <w:rsid w:val="007D7CD0"/>
    <w:rsid w:val="007D7D4A"/>
    <w:rsid w:val="007D7D54"/>
    <w:rsid w:val="007D7E8F"/>
    <w:rsid w:val="007E034B"/>
    <w:rsid w:val="007E03CE"/>
    <w:rsid w:val="007E0BDD"/>
    <w:rsid w:val="007E0C9A"/>
    <w:rsid w:val="007E0EF5"/>
    <w:rsid w:val="007E1064"/>
    <w:rsid w:val="007E1326"/>
    <w:rsid w:val="007E1472"/>
    <w:rsid w:val="007E1B0A"/>
    <w:rsid w:val="007E1CF6"/>
    <w:rsid w:val="007E1E2A"/>
    <w:rsid w:val="007E1F56"/>
    <w:rsid w:val="007E24C2"/>
    <w:rsid w:val="007E284C"/>
    <w:rsid w:val="007E2AC6"/>
    <w:rsid w:val="007E2CE1"/>
    <w:rsid w:val="007E355B"/>
    <w:rsid w:val="007E3978"/>
    <w:rsid w:val="007E3F55"/>
    <w:rsid w:val="007E426C"/>
    <w:rsid w:val="007E4A2E"/>
    <w:rsid w:val="007E4A4B"/>
    <w:rsid w:val="007E4AB8"/>
    <w:rsid w:val="007E4D42"/>
    <w:rsid w:val="007E52B2"/>
    <w:rsid w:val="007E53CF"/>
    <w:rsid w:val="007E5455"/>
    <w:rsid w:val="007E57EF"/>
    <w:rsid w:val="007E5BB5"/>
    <w:rsid w:val="007E658A"/>
    <w:rsid w:val="007E65F0"/>
    <w:rsid w:val="007E7F12"/>
    <w:rsid w:val="007F01E1"/>
    <w:rsid w:val="007F08DB"/>
    <w:rsid w:val="007F0CCD"/>
    <w:rsid w:val="007F1850"/>
    <w:rsid w:val="007F18A5"/>
    <w:rsid w:val="007F25F5"/>
    <w:rsid w:val="007F2A28"/>
    <w:rsid w:val="007F2A97"/>
    <w:rsid w:val="007F3206"/>
    <w:rsid w:val="007F34CD"/>
    <w:rsid w:val="007F3C0E"/>
    <w:rsid w:val="007F3E5D"/>
    <w:rsid w:val="007F4567"/>
    <w:rsid w:val="007F4757"/>
    <w:rsid w:val="007F480A"/>
    <w:rsid w:val="007F4C1F"/>
    <w:rsid w:val="007F5347"/>
    <w:rsid w:val="007F5416"/>
    <w:rsid w:val="007F5BA8"/>
    <w:rsid w:val="007F5C22"/>
    <w:rsid w:val="007F6999"/>
    <w:rsid w:val="007F73AF"/>
    <w:rsid w:val="007F740E"/>
    <w:rsid w:val="007F7954"/>
    <w:rsid w:val="00800B28"/>
    <w:rsid w:val="00801415"/>
    <w:rsid w:val="00801971"/>
    <w:rsid w:val="00801C92"/>
    <w:rsid w:val="00802549"/>
    <w:rsid w:val="00802E94"/>
    <w:rsid w:val="00802F01"/>
    <w:rsid w:val="00803555"/>
    <w:rsid w:val="008038AE"/>
    <w:rsid w:val="00803D19"/>
    <w:rsid w:val="008045F6"/>
    <w:rsid w:val="00804883"/>
    <w:rsid w:val="008049AE"/>
    <w:rsid w:val="00804B74"/>
    <w:rsid w:val="00805739"/>
    <w:rsid w:val="0080590B"/>
    <w:rsid w:val="00805AEC"/>
    <w:rsid w:val="00806C50"/>
    <w:rsid w:val="0080703A"/>
    <w:rsid w:val="008072FF"/>
    <w:rsid w:val="00807AC7"/>
    <w:rsid w:val="00807E23"/>
    <w:rsid w:val="00807E88"/>
    <w:rsid w:val="008106F4"/>
    <w:rsid w:val="008109DB"/>
    <w:rsid w:val="00812610"/>
    <w:rsid w:val="00812748"/>
    <w:rsid w:val="00812C0D"/>
    <w:rsid w:val="0081316C"/>
    <w:rsid w:val="008133E1"/>
    <w:rsid w:val="008136DE"/>
    <w:rsid w:val="008137AD"/>
    <w:rsid w:val="00813CC7"/>
    <w:rsid w:val="00813E1F"/>
    <w:rsid w:val="00814398"/>
    <w:rsid w:val="00814618"/>
    <w:rsid w:val="00815C10"/>
    <w:rsid w:val="00815E22"/>
    <w:rsid w:val="00815EC9"/>
    <w:rsid w:val="0081656B"/>
    <w:rsid w:val="008173CF"/>
    <w:rsid w:val="00817991"/>
    <w:rsid w:val="008179BC"/>
    <w:rsid w:val="00817AB4"/>
    <w:rsid w:val="00817C22"/>
    <w:rsid w:val="0082115E"/>
    <w:rsid w:val="00821439"/>
    <w:rsid w:val="008218A8"/>
    <w:rsid w:val="00821D5C"/>
    <w:rsid w:val="00821E2E"/>
    <w:rsid w:val="00822128"/>
    <w:rsid w:val="0082279A"/>
    <w:rsid w:val="00822DFF"/>
    <w:rsid w:val="0082329C"/>
    <w:rsid w:val="00823400"/>
    <w:rsid w:val="0082437D"/>
    <w:rsid w:val="00824507"/>
    <w:rsid w:val="00824600"/>
    <w:rsid w:val="008248FD"/>
    <w:rsid w:val="0082499D"/>
    <w:rsid w:val="00824FA8"/>
    <w:rsid w:val="0082531D"/>
    <w:rsid w:val="008253B9"/>
    <w:rsid w:val="008256D5"/>
    <w:rsid w:val="00825834"/>
    <w:rsid w:val="00825D4F"/>
    <w:rsid w:val="00825FE2"/>
    <w:rsid w:val="00825FF6"/>
    <w:rsid w:val="00826167"/>
    <w:rsid w:val="0082659B"/>
    <w:rsid w:val="0082674E"/>
    <w:rsid w:val="00826E0E"/>
    <w:rsid w:val="00827444"/>
    <w:rsid w:val="008276D6"/>
    <w:rsid w:val="00827B53"/>
    <w:rsid w:val="0083032A"/>
    <w:rsid w:val="00830439"/>
    <w:rsid w:val="00830FD8"/>
    <w:rsid w:val="00831025"/>
    <w:rsid w:val="0083102A"/>
    <w:rsid w:val="008310BE"/>
    <w:rsid w:val="008311DE"/>
    <w:rsid w:val="008319E3"/>
    <w:rsid w:val="0083201E"/>
    <w:rsid w:val="00832A4B"/>
    <w:rsid w:val="00832B8F"/>
    <w:rsid w:val="00832E1A"/>
    <w:rsid w:val="00833440"/>
    <w:rsid w:val="008336BF"/>
    <w:rsid w:val="00833D5D"/>
    <w:rsid w:val="00833DC1"/>
    <w:rsid w:val="00833E21"/>
    <w:rsid w:val="00833F19"/>
    <w:rsid w:val="00834C09"/>
    <w:rsid w:val="00834ED7"/>
    <w:rsid w:val="00834F71"/>
    <w:rsid w:val="0083530F"/>
    <w:rsid w:val="00835396"/>
    <w:rsid w:val="00835534"/>
    <w:rsid w:val="008358FC"/>
    <w:rsid w:val="008365EC"/>
    <w:rsid w:val="00836DA7"/>
    <w:rsid w:val="00836E5D"/>
    <w:rsid w:val="0083713B"/>
    <w:rsid w:val="00837834"/>
    <w:rsid w:val="008379BC"/>
    <w:rsid w:val="00837DCC"/>
    <w:rsid w:val="00840859"/>
    <w:rsid w:val="0084095C"/>
    <w:rsid w:val="00840B64"/>
    <w:rsid w:val="0084182C"/>
    <w:rsid w:val="008429FE"/>
    <w:rsid w:val="0084302D"/>
    <w:rsid w:val="008436A0"/>
    <w:rsid w:val="008437E9"/>
    <w:rsid w:val="00843A33"/>
    <w:rsid w:val="00843CF0"/>
    <w:rsid w:val="00843D67"/>
    <w:rsid w:val="00844435"/>
    <w:rsid w:val="0084462F"/>
    <w:rsid w:val="00844984"/>
    <w:rsid w:val="00845334"/>
    <w:rsid w:val="00845673"/>
    <w:rsid w:val="00845ED1"/>
    <w:rsid w:val="00846B52"/>
    <w:rsid w:val="00846FCC"/>
    <w:rsid w:val="00847278"/>
    <w:rsid w:val="00847876"/>
    <w:rsid w:val="00847A5D"/>
    <w:rsid w:val="00847B0A"/>
    <w:rsid w:val="00847C0E"/>
    <w:rsid w:val="00847EA8"/>
    <w:rsid w:val="008500F0"/>
    <w:rsid w:val="00850589"/>
    <w:rsid w:val="00850963"/>
    <w:rsid w:val="0085099F"/>
    <w:rsid w:val="00850D88"/>
    <w:rsid w:val="00850E35"/>
    <w:rsid w:val="00851175"/>
    <w:rsid w:val="008521EC"/>
    <w:rsid w:val="0085238E"/>
    <w:rsid w:val="008524B9"/>
    <w:rsid w:val="0085292C"/>
    <w:rsid w:val="008535D5"/>
    <w:rsid w:val="00853C22"/>
    <w:rsid w:val="008540C1"/>
    <w:rsid w:val="008544F7"/>
    <w:rsid w:val="00854571"/>
    <w:rsid w:val="00854807"/>
    <w:rsid w:val="0085483A"/>
    <w:rsid w:val="008549A1"/>
    <w:rsid w:val="00854A88"/>
    <w:rsid w:val="00855162"/>
    <w:rsid w:val="00855B99"/>
    <w:rsid w:val="0085607D"/>
    <w:rsid w:val="00856142"/>
    <w:rsid w:val="008562FC"/>
    <w:rsid w:val="0085636E"/>
    <w:rsid w:val="00856758"/>
    <w:rsid w:val="00856774"/>
    <w:rsid w:val="008569F9"/>
    <w:rsid w:val="008575C3"/>
    <w:rsid w:val="00857739"/>
    <w:rsid w:val="00857A4F"/>
    <w:rsid w:val="0086013C"/>
    <w:rsid w:val="00860602"/>
    <w:rsid w:val="0086065C"/>
    <w:rsid w:val="008606BE"/>
    <w:rsid w:val="00860A42"/>
    <w:rsid w:val="00860A45"/>
    <w:rsid w:val="00860C68"/>
    <w:rsid w:val="00861006"/>
    <w:rsid w:val="00861034"/>
    <w:rsid w:val="00861111"/>
    <w:rsid w:val="008611F3"/>
    <w:rsid w:val="00861894"/>
    <w:rsid w:val="00861963"/>
    <w:rsid w:val="00861AFF"/>
    <w:rsid w:val="00861CB2"/>
    <w:rsid w:val="00861D82"/>
    <w:rsid w:val="0086234F"/>
    <w:rsid w:val="00863948"/>
    <w:rsid w:val="00863B80"/>
    <w:rsid w:val="00863E11"/>
    <w:rsid w:val="008642FB"/>
    <w:rsid w:val="00864355"/>
    <w:rsid w:val="00864467"/>
    <w:rsid w:val="0086486A"/>
    <w:rsid w:val="00864FDC"/>
    <w:rsid w:val="0086574D"/>
    <w:rsid w:val="00865F35"/>
    <w:rsid w:val="00865F65"/>
    <w:rsid w:val="008662E3"/>
    <w:rsid w:val="0086679E"/>
    <w:rsid w:val="00866D21"/>
    <w:rsid w:val="00867630"/>
    <w:rsid w:val="00867802"/>
    <w:rsid w:val="00867985"/>
    <w:rsid w:val="00867AB9"/>
    <w:rsid w:val="00867CB4"/>
    <w:rsid w:val="00867DE9"/>
    <w:rsid w:val="008700C0"/>
    <w:rsid w:val="00870520"/>
    <w:rsid w:val="00870891"/>
    <w:rsid w:val="00870B53"/>
    <w:rsid w:val="00870C36"/>
    <w:rsid w:val="0087105A"/>
    <w:rsid w:val="008721F8"/>
    <w:rsid w:val="0087227A"/>
    <w:rsid w:val="00872A9A"/>
    <w:rsid w:val="00872D53"/>
    <w:rsid w:val="00872DD2"/>
    <w:rsid w:val="00872F62"/>
    <w:rsid w:val="008730EB"/>
    <w:rsid w:val="00873433"/>
    <w:rsid w:val="00873469"/>
    <w:rsid w:val="008738F7"/>
    <w:rsid w:val="00873981"/>
    <w:rsid w:val="0087419C"/>
    <w:rsid w:val="00874A72"/>
    <w:rsid w:val="00875317"/>
    <w:rsid w:val="00875D78"/>
    <w:rsid w:val="0087610B"/>
    <w:rsid w:val="008761AF"/>
    <w:rsid w:val="00876C81"/>
    <w:rsid w:val="00876E8B"/>
    <w:rsid w:val="00876F1E"/>
    <w:rsid w:val="00877A94"/>
    <w:rsid w:val="00877F17"/>
    <w:rsid w:val="00877FEC"/>
    <w:rsid w:val="00880825"/>
    <w:rsid w:val="0088134D"/>
    <w:rsid w:val="008818F0"/>
    <w:rsid w:val="00881A6F"/>
    <w:rsid w:val="0088238E"/>
    <w:rsid w:val="008823D6"/>
    <w:rsid w:val="00882500"/>
    <w:rsid w:val="0088276E"/>
    <w:rsid w:val="008830CD"/>
    <w:rsid w:val="00883EDD"/>
    <w:rsid w:val="008842D5"/>
    <w:rsid w:val="00884414"/>
    <w:rsid w:val="008844DB"/>
    <w:rsid w:val="0088499B"/>
    <w:rsid w:val="008851C1"/>
    <w:rsid w:val="00885373"/>
    <w:rsid w:val="0088599A"/>
    <w:rsid w:val="00885B9A"/>
    <w:rsid w:val="00885EDA"/>
    <w:rsid w:val="0088685D"/>
    <w:rsid w:val="00886A84"/>
    <w:rsid w:val="00886A96"/>
    <w:rsid w:val="0088747F"/>
    <w:rsid w:val="00887969"/>
    <w:rsid w:val="00887AAC"/>
    <w:rsid w:val="00887C1E"/>
    <w:rsid w:val="008900F5"/>
    <w:rsid w:val="008901E8"/>
    <w:rsid w:val="008903FB"/>
    <w:rsid w:val="00890408"/>
    <w:rsid w:val="0089060F"/>
    <w:rsid w:val="00890640"/>
    <w:rsid w:val="0089098D"/>
    <w:rsid w:val="00890A7B"/>
    <w:rsid w:val="00890F03"/>
    <w:rsid w:val="008914E1"/>
    <w:rsid w:val="008914E9"/>
    <w:rsid w:val="0089197B"/>
    <w:rsid w:val="008919D6"/>
    <w:rsid w:val="00891B06"/>
    <w:rsid w:val="00891CDD"/>
    <w:rsid w:val="00892A59"/>
    <w:rsid w:val="00893189"/>
    <w:rsid w:val="008931C4"/>
    <w:rsid w:val="0089332E"/>
    <w:rsid w:val="008933EA"/>
    <w:rsid w:val="008936E3"/>
    <w:rsid w:val="00893AB1"/>
    <w:rsid w:val="00893CC7"/>
    <w:rsid w:val="008944F9"/>
    <w:rsid w:val="0089455A"/>
    <w:rsid w:val="00894DBA"/>
    <w:rsid w:val="0089519E"/>
    <w:rsid w:val="0089526A"/>
    <w:rsid w:val="00895331"/>
    <w:rsid w:val="008957EF"/>
    <w:rsid w:val="00896575"/>
    <w:rsid w:val="00897548"/>
    <w:rsid w:val="00897794"/>
    <w:rsid w:val="0089780B"/>
    <w:rsid w:val="00897B3D"/>
    <w:rsid w:val="00897EB8"/>
    <w:rsid w:val="00897F35"/>
    <w:rsid w:val="0089E478"/>
    <w:rsid w:val="008A03DA"/>
    <w:rsid w:val="008A04FA"/>
    <w:rsid w:val="008A0AB8"/>
    <w:rsid w:val="008A111F"/>
    <w:rsid w:val="008A13F6"/>
    <w:rsid w:val="008A1546"/>
    <w:rsid w:val="008A19B0"/>
    <w:rsid w:val="008A1E1F"/>
    <w:rsid w:val="008A2082"/>
    <w:rsid w:val="008A20AB"/>
    <w:rsid w:val="008A28FB"/>
    <w:rsid w:val="008A3B9C"/>
    <w:rsid w:val="008A3E1A"/>
    <w:rsid w:val="008A43C2"/>
    <w:rsid w:val="008A44C4"/>
    <w:rsid w:val="008A48BB"/>
    <w:rsid w:val="008A5568"/>
    <w:rsid w:val="008A5C86"/>
    <w:rsid w:val="008A6DBF"/>
    <w:rsid w:val="008A7ADC"/>
    <w:rsid w:val="008B0026"/>
    <w:rsid w:val="008B02B4"/>
    <w:rsid w:val="008B04AD"/>
    <w:rsid w:val="008B0527"/>
    <w:rsid w:val="008B0D5F"/>
    <w:rsid w:val="008B1606"/>
    <w:rsid w:val="008B16CB"/>
    <w:rsid w:val="008B17CD"/>
    <w:rsid w:val="008B19EA"/>
    <w:rsid w:val="008B1A38"/>
    <w:rsid w:val="008B1ABE"/>
    <w:rsid w:val="008B1B86"/>
    <w:rsid w:val="008B1F41"/>
    <w:rsid w:val="008B1FA7"/>
    <w:rsid w:val="008B3048"/>
    <w:rsid w:val="008B3186"/>
    <w:rsid w:val="008B3443"/>
    <w:rsid w:val="008B3CCF"/>
    <w:rsid w:val="008B3D72"/>
    <w:rsid w:val="008B3FF1"/>
    <w:rsid w:val="008B412C"/>
    <w:rsid w:val="008B424E"/>
    <w:rsid w:val="008B462E"/>
    <w:rsid w:val="008B46DF"/>
    <w:rsid w:val="008B47AD"/>
    <w:rsid w:val="008B49CC"/>
    <w:rsid w:val="008B4A30"/>
    <w:rsid w:val="008B5065"/>
    <w:rsid w:val="008B55E0"/>
    <w:rsid w:val="008B55FD"/>
    <w:rsid w:val="008B5761"/>
    <w:rsid w:val="008B602E"/>
    <w:rsid w:val="008B6158"/>
    <w:rsid w:val="008B62B9"/>
    <w:rsid w:val="008B6909"/>
    <w:rsid w:val="008B6BA9"/>
    <w:rsid w:val="008B7983"/>
    <w:rsid w:val="008C01DD"/>
    <w:rsid w:val="008C0442"/>
    <w:rsid w:val="008C05B7"/>
    <w:rsid w:val="008C065C"/>
    <w:rsid w:val="008C0709"/>
    <w:rsid w:val="008C0D4C"/>
    <w:rsid w:val="008C12EE"/>
    <w:rsid w:val="008C1B0A"/>
    <w:rsid w:val="008C2052"/>
    <w:rsid w:val="008C254A"/>
    <w:rsid w:val="008C28C1"/>
    <w:rsid w:val="008C290B"/>
    <w:rsid w:val="008C2B24"/>
    <w:rsid w:val="008C2C2A"/>
    <w:rsid w:val="008C2CE5"/>
    <w:rsid w:val="008C2D6A"/>
    <w:rsid w:val="008C2E17"/>
    <w:rsid w:val="008C30AF"/>
    <w:rsid w:val="008C33A9"/>
    <w:rsid w:val="008C3407"/>
    <w:rsid w:val="008C38C5"/>
    <w:rsid w:val="008C3914"/>
    <w:rsid w:val="008C3E28"/>
    <w:rsid w:val="008C43D2"/>
    <w:rsid w:val="008C4896"/>
    <w:rsid w:val="008C52D0"/>
    <w:rsid w:val="008C561C"/>
    <w:rsid w:val="008C5965"/>
    <w:rsid w:val="008C64B4"/>
    <w:rsid w:val="008C664E"/>
    <w:rsid w:val="008C7318"/>
    <w:rsid w:val="008C733F"/>
    <w:rsid w:val="008C7451"/>
    <w:rsid w:val="008C78A7"/>
    <w:rsid w:val="008C7D2E"/>
    <w:rsid w:val="008D0453"/>
    <w:rsid w:val="008D0AAF"/>
    <w:rsid w:val="008D1020"/>
    <w:rsid w:val="008D193D"/>
    <w:rsid w:val="008D1986"/>
    <w:rsid w:val="008D1D3A"/>
    <w:rsid w:val="008D2032"/>
    <w:rsid w:val="008D243F"/>
    <w:rsid w:val="008D257B"/>
    <w:rsid w:val="008D2584"/>
    <w:rsid w:val="008D269B"/>
    <w:rsid w:val="008D2804"/>
    <w:rsid w:val="008D2E8E"/>
    <w:rsid w:val="008D2F7B"/>
    <w:rsid w:val="008D334F"/>
    <w:rsid w:val="008D337E"/>
    <w:rsid w:val="008D38B6"/>
    <w:rsid w:val="008D444A"/>
    <w:rsid w:val="008D4559"/>
    <w:rsid w:val="008D46AE"/>
    <w:rsid w:val="008D4B20"/>
    <w:rsid w:val="008D5106"/>
    <w:rsid w:val="008D527A"/>
    <w:rsid w:val="008D54A1"/>
    <w:rsid w:val="008D6234"/>
    <w:rsid w:val="008D62AD"/>
    <w:rsid w:val="008D63BA"/>
    <w:rsid w:val="008D66C8"/>
    <w:rsid w:val="008D66CA"/>
    <w:rsid w:val="008D6879"/>
    <w:rsid w:val="008D6981"/>
    <w:rsid w:val="008D7317"/>
    <w:rsid w:val="008E008A"/>
    <w:rsid w:val="008E032D"/>
    <w:rsid w:val="008E0600"/>
    <w:rsid w:val="008E0FD7"/>
    <w:rsid w:val="008E1345"/>
    <w:rsid w:val="008E15ED"/>
    <w:rsid w:val="008E1668"/>
    <w:rsid w:val="008E19CD"/>
    <w:rsid w:val="008E1A48"/>
    <w:rsid w:val="008E1ABF"/>
    <w:rsid w:val="008E1B33"/>
    <w:rsid w:val="008E263E"/>
    <w:rsid w:val="008E295E"/>
    <w:rsid w:val="008E2A85"/>
    <w:rsid w:val="008E2C58"/>
    <w:rsid w:val="008E3977"/>
    <w:rsid w:val="008E431A"/>
    <w:rsid w:val="008E47AB"/>
    <w:rsid w:val="008E4F83"/>
    <w:rsid w:val="008E5634"/>
    <w:rsid w:val="008E5A1C"/>
    <w:rsid w:val="008E5CA9"/>
    <w:rsid w:val="008E5E7D"/>
    <w:rsid w:val="008E5F06"/>
    <w:rsid w:val="008E6123"/>
    <w:rsid w:val="008E6448"/>
    <w:rsid w:val="008E6519"/>
    <w:rsid w:val="008E66E9"/>
    <w:rsid w:val="008E68C4"/>
    <w:rsid w:val="008E6EC8"/>
    <w:rsid w:val="008E70B7"/>
    <w:rsid w:val="008E7763"/>
    <w:rsid w:val="008E7D84"/>
    <w:rsid w:val="008F0AC5"/>
    <w:rsid w:val="008F0B56"/>
    <w:rsid w:val="008F115F"/>
    <w:rsid w:val="008F1377"/>
    <w:rsid w:val="008F19AB"/>
    <w:rsid w:val="008F1CAD"/>
    <w:rsid w:val="008F288F"/>
    <w:rsid w:val="008F290F"/>
    <w:rsid w:val="008F2FEA"/>
    <w:rsid w:val="008F30EF"/>
    <w:rsid w:val="008F32B1"/>
    <w:rsid w:val="008F3C6C"/>
    <w:rsid w:val="008F43D6"/>
    <w:rsid w:val="008F463B"/>
    <w:rsid w:val="008F51A4"/>
    <w:rsid w:val="008F5499"/>
    <w:rsid w:val="008F5B5B"/>
    <w:rsid w:val="008F61BA"/>
    <w:rsid w:val="008F62A0"/>
    <w:rsid w:val="008F673F"/>
    <w:rsid w:val="008F6D1A"/>
    <w:rsid w:val="008F6F34"/>
    <w:rsid w:val="008F752A"/>
    <w:rsid w:val="008F7C7D"/>
    <w:rsid w:val="009002C8"/>
    <w:rsid w:val="009008A3"/>
    <w:rsid w:val="0090094B"/>
    <w:rsid w:val="00900A1D"/>
    <w:rsid w:val="00900D59"/>
    <w:rsid w:val="00900DFA"/>
    <w:rsid w:val="00900E45"/>
    <w:rsid w:val="009016D8"/>
    <w:rsid w:val="00901DC3"/>
    <w:rsid w:val="00901E6D"/>
    <w:rsid w:val="009027AB"/>
    <w:rsid w:val="00902AFF"/>
    <w:rsid w:val="00902DFE"/>
    <w:rsid w:val="00902E3C"/>
    <w:rsid w:val="009033E5"/>
    <w:rsid w:val="00903713"/>
    <w:rsid w:val="00903D6A"/>
    <w:rsid w:val="0090555B"/>
    <w:rsid w:val="0090579F"/>
    <w:rsid w:val="00906843"/>
    <w:rsid w:val="0090695B"/>
    <w:rsid w:val="00906D80"/>
    <w:rsid w:val="0090713B"/>
    <w:rsid w:val="009072A2"/>
    <w:rsid w:val="00907A3F"/>
    <w:rsid w:val="00907A99"/>
    <w:rsid w:val="00907F00"/>
    <w:rsid w:val="00910834"/>
    <w:rsid w:val="00910870"/>
    <w:rsid w:val="009108D7"/>
    <w:rsid w:val="00910E2D"/>
    <w:rsid w:val="00910F11"/>
    <w:rsid w:val="00911845"/>
    <w:rsid w:val="00911D19"/>
    <w:rsid w:val="00912101"/>
    <w:rsid w:val="0091214A"/>
    <w:rsid w:val="00912308"/>
    <w:rsid w:val="009123DC"/>
    <w:rsid w:val="009126C4"/>
    <w:rsid w:val="0091297A"/>
    <w:rsid w:val="009129F9"/>
    <w:rsid w:val="00913074"/>
    <w:rsid w:val="009138DE"/>
    <w:rsid w:val="00913AFF"/>
    <w:rsid w:val="0091414C"/>
    <w:rsid w:val="009144EE"/>
    <w:rsid w:val="0091469A"/>
    <w:rsid w:val="009156BC"/>
    <w:rsid w:val="0091593D"/>
    <w:rsid w:val="00915CE2"/>
    <w:rsid w:val="00915FFF"/>
    <w:rsid w:val="00916821"/>
    <w:rsid w:val="00916DC1"/>
    <w:rsid w:val="009170BE"/>
    <w:rsid w:val="00917706"/>
    <w:rsid w:val="00917BA7"/>
    <w:rsid w:val="00920111"/>
    <w:rsid w:val="009203CE"/>
    <w:rsid w:val="009205CE"/>
    <w:rsid w:val="00920F7E"/>
    <w:rsid w:val="00921022"/>
    <w:rsid w:val="009210AB"/>
    <w:rsid w:val="00921271"/>
    <w:rsid w:val="0092150E"/>
    <w:rsid w:val="00921F9A"/>
    <w:rsid w:val="0092269F"/>
    <w:rsid w:val="00922E0B"/>
    <w:rsid w:val="00924F34"/>
    <w:rsid w:val="00924F5E"/>
    <w:rsid w:val="0092500F"/>
    <w:rsid w:val="00925549"/>
    <w:rsid w:val="00925997"/>
    <w:rsid w:val="00925E91"/>
    <w:rsid w:val="0092607A"/>
    <w:rsid w:val="009267CC"/>
    <w:rsid w:val="00927266"/>
    <w:rsid w:val="0092771C"/>
    <w:rsid w:val="009278CD"/>
    <w:rsid w:val="00927B53"/>
    <w:rsid w:val="00930E19"/>
    <w:rsid w:val="009312F0"/>
    <w:rsid w:val="009314F2"/>
    <w:rsid w:val="00931C52"/>
    <w:rsid w:val="00932077"/>
    <w:rsid w:val="0093292A"/>
    <w:rsid w:val="00932B05"/>
    <w:rsid w:val="00933639"/>
    <w:rsid w:val="0093365A"/>
    <w:rsid w:val="00933843"/>
    <w:rsid w:val="0093387E"/>
    <w:rsid w:val="00933F69"/>
    <w:rsid w:val="00934E8D"/>
    <w:rsid w:val="00934F7F"/>
    <w:rsid w:val="00935CEB"/>
    <w:rsid w:val="00936676"/>
    <w:rsid w:val="00937442"/>
    <w:rsid w:val="009375A6"/>
    <w:rsid w:val="00937740"/>
    <w:rsid w:val="00937BDE"/>
    <w:rsid w:val="0093AF18"/>
    <w:rsid w:val="0094094E"/>
    <w:rsid w:val="00941055"/>
    <w:rsid w:val="009410D5"/>
    <w:rsid w:val="00941A23"/>
    <w:rsid w:val="00941C6C"/>
    <w:rsid w:val="009422DB"/>
    <w:rsid w:val="00942434"/>
    <w:rsid w:val="0094295D"/>
    <w:rsid w:val="0094316C"/>
    <w:rsid w:val="00943255"/>
    <w:rsid w:val="009437B4"/>
    <w:rsid w:val="0094465F"/>
    <w:rsid w:val="00944857"/>
    <w:rsid w:val="009455D9"/>
    <w:rsid w:val="00945FC4"/>
    <w:rsid w:val="00946441"/>
    <w:rsid w:val="0094645C"/>
    <w:rsid w:val="009465C6"/>
    <w:rsid w:val="009467D9"/>
    <w:rsid w:val="0094692B"/>
    <w:rsid w:val="00946EF3"/>
    <w:rsid w:val="009470C8"/>
    <w:rsid w:val="00947359"/>
    <w:rsid w:val="00947795"/>
    <w:rsid w:val="009477D3"/>
    <w:rsid w:val="00947CCC"/>
    <w:rsid w:val="0095001D"/>
    <w:rsid w:val="00950158"/>
    <w:rsid w:val="009504EE"/>
    <w:rsid w:val="009508C2"/>
    <w:rsid w:val="009508CA"/>
    <w:rsid w:val="00950AC5"/>
    <w:rsid w:val="00951961"/>
    <w:rsid w:val="00951DFC"/>
    <w:rsid w:val="009521B1"/>
    <w:rsid w:val="00952229"/>
    <w:rsid w:val="0095290D"/>
    <w:rsid w:val="009532CD"/>
    <w:rsid w:val="00953744"/>
    <w:rsid w:val="009538FE"/>
    <w:rsid w:val="00953BA0"/>
    <w:rsid w:val="00953D21"/>
    <w:rsid w:val="00954874"/>
    <w:rsid w:val="00954BBE"/>
    <w:rsid w:val="00954DDD"/>
    <w:rsid w:val="00954E9C"/>
    <w:rsid w:val="009556EF"/>
    <w:rsid w:val="00955AC8"/>
    <w:rsid w:val="00955BA9"/>
    <w:rsid w:val="00955BBF"/>
    <w:rsid w:val="00956215"/>
    <w:rsid w:val="00956A20"/>
    <w:rsid w:val="00956CE7"/>
    <w:rsid w:val="00956D02"/>
    <w:rsid w:val="00956F2A"/>
    <w:rsid w:val="009574DF"/>
    <w:rsid w:val="00957726"/>
    <w:rsid w:val="00957A92"/>
    <w:rsid w:val="0096040F"/>
    <w:rsid w:val="009608C0"/>
    <w:rsid w:val="00961175"/>
    <w:rsid w:val="00961244"/>
    <w:rsid w:val="00961A32"/>
    <w:rsid w:val="00961E64"/>
    <w:rsid w:val="009620F6"/>
    <w:rsid w:val="0096248B"/>
    <w:rsid w:val="009624F0"/>
    <w:rsid w:val="0096252F"/>
    <w:rsid w:val="009625A9"/>
    <w:rsid w:val="009626B5"/>
    <w:rsid w:val="00963003"/>
    <w:rsid w:val="009636BE"/>
    <w:rsid w:val="00963A19"/>
    <w:rsid w:val="00963B7C"/>
    <w:rsid w:val="00963B8A"/>
    <w:rsid w:val="00963FD4"/>
    <w:rsid w:val="00964249"/>
    <w:rsid w:val="009647E7"/>
    <w:rsid w:val="009649AA"/>
    <w:rsid w:val="00964BE1"/>
    <w:rsid w:val="00964C7A"/>
    <w:rsid w:val="00964D7B"/>
    <w:rsid w:val="00964ED1"/>
    <w:rsid w:val="00964ED2"/>
    <w:rsid w:val="0096537E"/>
    <w:rsid w:val="0096540C"/>
    <w:rsid w:val="00965769"/>
    <w:rsid w:val="00965805"/>
    <w:rsid w:val="00965942"/>
    <w:rsid w:val="00965C35"/>
    <w:rsid w:val="00965E6B"/>
    <w:rsid w:val="00966C5E"/>
    <w:rsid w:val="00966D93"/>
    <w:rsid w:val="00967107"/>
    <w:rsid w:val="009673FC"/>
    <w:rsid w:val="009705C8"/>
    <w:rsid w:val="009707D8"/>
    <w:rsid w:val="00970C23"/>
    <w:rsid w:val="00971256"/>
    <w:rsid w:val="0097141B"/>
    <w:rsid w:val="0097153A"/>
    <w:rsid w:val="00971ABB"/>
    <w:rsid w:val="0097214B"/>
    <w:rsid w:val="00972A60"/>
    <w:rsid w:val="009733C2"/>
    <w:rsid w:val="009733EA"/>
    <w:rsid w:val="0097355E"/>
    <w:rsid w:val="0097365E"/>
    <w:rsid w:val="009736E3"/>
    <w:rsid w:val="00973825"/>
    <w:rsid w:val="009742B6"/>
    <w:rsid w:val="00974D8A"/>
    <w:rsid w:val="00974DFD"/>
    <w:rsid w:val="00974EA9"/>
    <w:rsid w:val="00974FA6"/>
    <w:rsid w:val="009754F0"/>
    <w:rsid w:val="00975DD9"/>
    <w:rsid w:val="00976626"/>
    <w:rsid w:val="00976A2F"/>
    <w:rsid w:val="00976EB8"/>
    <w:rsid w:val="0097711D"/>
    <w:rsid w:val="0097798B"/>
    <w:rsid w:val="00977B42"/>
    <w:rsid w:val="0098033D"/>
    <w:rsid w:val="0098085C"/>
    <w:rsid w:val="00980F50"/>
    <w:rsid w:val="00981110"/>
    <w:rsid w:val="009812EC"/>
    <w:rsid w:val="00981F13"/>
    <w:rsid w:val="009820AB"/>
    <w:rsid w:val="00982229"/>
    <w:rsid w:val="00982CBE"/>
    <w:rsid w:val="00982EFA"/>
    <w:rsid w:val="00983A0D"/>
    <w:rsid w:val="00984273"/>
    <w:rsid w:val="0098448A"/>
    <w:rsid w:val="00984C05"/>
    <w:rsid w:val="00985058"/>
    <w:rsid w:val="00985EA1"/>
    <w:rsid w:val="00986110"/>
    <w:rsid w:val="009863C1"/>
    <w:rsid w:val="00986703"/>
    <w:rsid w:val="00986A9B"/>
    <w:rsid w:val="009870FB"/>
    <w:rsid w:val="0098745E"/>
    <w:rsid w:val="0098770C"/>
    <w:rsid w:val="00987A77"/>
    <w:rsid w:val="00987AF1"/>
    <w:rsid w:val="00987BB4"/>
    <w:rsid w:val="00987CBD"/>
    <w:rsid w:val="00990884"/>
    <w:rsid w:val="00991118"/>
    <w:rsid w:val="00991690"/>
    <w:rsid w:val="00991DA4"/>
    <w:rsid w:val="0099230B"/>
    <w:rsid w:val="00992359"/>
    <w:rsid w:val="00992652"/>
    <w:rsid w:val="00993F5E"/>
    <w:rsid w:val="00994304"/>
    <w:rsid w:val="00994735"/>
    <w:rsid w:val="009949AF"/>
    <w:rsid w:val="00994A23"/>
    <w:rsid w:val="00994B5C"/>
    <w:rsid w:val="00994BFE"/>
    <w:rsid w:val="00994DED"/>
    <w:rsid w:val="00995735"/>
    <w:rsid w:val="00995AD8"/>
    <w:rsid w:val="0099641E"/>
    <w:rsid w:val="00996422"/>
    <w:rsid w:val="00996BBE"/>
    <w:rsid w:val="00996E53"/>
    <w:rsid w:val="00996EBD"/>
    <w:rsid w:val="0099778D"/>
    <w:rsid w:val="0099793D"/>
    <w:rsid w:val="00997941"/>
    <w:rsid w:val="009A021C"/>
    <w:rsid w:val="009A0227"/>
    <w:rsid w:val="009A086C"/>
    <w:rsid w:val="009A0892"/>
    <w:rsid w:val="009A0A05"/>
    <w:rsid w:val="009A0B32"/>
    <w:rsid w:val="009A11DE"/>
    <w:rsid w:val="009A121C"/>
    <w:rsid w:val="009A14C1"/>
    <w:rsid w:val="009A19E7"/>
    <w:rsid w:val="009A1E75"/>
    <w:rsid w:val="009A2531"/>
    <w:rsid w:val="009A27F7"/>
    <w:rsid w:val="009A2F23"/>
    <w:rsid w:val="009A3016"/>
    <w:rsid w:val="009A38F5"/>
    <w:rsid w:val="009A3B15"/>
    <w:rsid w:val="009A3E0B"/>
    <w:rsid w:val="009A4317"/>
    <w:rsid w:val="009A4678"/>
    <w:rsid w:val="009A4754"/>
    <w:rsid w:val="009A556E"/>
    <w:rsid w:val="009A5E6B"/>
    <w:rsid w:val="009A64C1"/>
    <w:rsid w:val="009A65A8"/>
    <w:rsid w:val="009A65D0"/>
    <w:rsid w:val="009A67BB"/>
    <w:rsid w:val="009A6B17"/>
    <w:rsid w:val="009A77AE"/>
    <w:rsid w:val="009B04C8"/>
    <w:rsid w:val="009B0B1C"/>
    <w:rsid w:val="009B1652"/>
    <w:rsid w:val="009B2368"/>
    <w:rsid w:val="009B2671"/>
    <w:rsid w:val="009B26E9"/>
    <w:rsid w:val="009B2D8F"/>
    <w:rsid w:val="009B408E"/>
    <w:rsid w:val="009B4850"/>
    <w:rsid w:val="009B490A"/>
    <w:rsid w:val="009B4D97"/>
    <w:rsid w:val="009B4DE2"/>
    <w:rsid w:val="009B4EE3"/>
    <w:rsid w:val="009B533F"/>
    <w:rsid w:val="009B557E"/>
    <w:rsid w:val="009B55E5"/>
    <w:rsid w:val="009B583F"/>
    <w:rsid w:val="009B59F4"/>
    <w:rsid w:val="009B5DB2"/>
    <w:rsid w:val="009B5E28"/>
    <w:rsid w:val="009B6949"/>
    <w:rsid w:val="009B6F2F"/>
    <w:rsid w:val="009B7019"/>
    <w:rsid w:val="009B70C7"/>
    <w:rsid w:val="009B75BF"/>
    <w:rsid w:val="009B79C4"/>
    <w:rsid w:val="009B7B12"/>
    <w:rsid w:val="009B7BDC"/>
    <w:rsid w:val="009C0245"/>
    <w:rsid w:val="009C0691"/>
    <w:rsid w:val="009C0786"/>
    <w:rsid w:val="009C1C6C"/>
    <w:rsid w:val="009C2132"/>
    <w:rsid w:val="009C2775"/>
    <w:rsid w:val="009C2C27"/>
    <w:rsid w:val="009C2D13"/>
    <w:rsid w:val="009C2DC9"/>
    <w:rsid w:val="009C34BE"/>
    <w:rsid w:val="009C3AE3"/>
    <w:rsid w:val="009C3E60"/>
    <w:rsid w:val="009C4003"/>
    <w:rsid w:val="009C4E43"/>
    <w:rsid w:val="009C58DD"/>
    <w:rsid w:val="009C58F0"/>
    <w:rsid w:val="009C58FF"/>
    <w:rsid w:val="009C5CB9"/>
    <w:rsid w:val="009C5D7A"/>
    <w:rsid w:val="009C607D"/>
    <w:rsid w:val="009C63DD"/>
    <w:rsid w:val="009C6597"/>
    <w:rsid w:val="009C690D"/>
    <w:rsid w:val="009C6A53"/>
    <w:rsid w:val="009C6B5D"/>
    <w:rsid w:val="009C6EDA"/>
    <w:rsid w:val="009C7657"/>
    <w:rsid w:val="009C770A"/>
    <w:rsid w:val="009C7C75"/>
    <w:rsid w:val="009C7DD6"/>
    <w:rsid w:val="009D061C"/>
    <w:rsid w:val="009D0A16"/>
    <w:rsid w:val="009D0DC3"/>
    <w:rsid w:val="009D1115"/>
    <w:rsid w:val="009D118C"/>
    <w:rsid w:val="009D1208"/>
    <w:rsid w:val="009D14A4"/>
    <w:rsid w:val="009D1860"/>
    <w:rsid w:val="009D1AE3"/>
    <w:rsid w:val="009D1D8C"/>
    <w:rsid w:val="009D1DDC"/>
    <w:rsid w:val="009D1F84"/>
    <w:rsid w:val="009D238F"/>
    <w:rsid w:val="009D244B"/>
    <w:rsid w:val="009D259D"/>
    <w:rsid w:val="009D2F9D"/>
    <w:rsid w:val="009D3402"/>
    <w:rsid w:val="009D35AA"/>
    <w:rsid w:val="009D3B9D"/>
    <w:rsid w:val="009D4B69"/>
    <w:rsid w:val="009D4DA6"/>
    <w:rsid w:val="009D4F1D"/>
    <w:rsid w:val="009D5030"/>
    <w:rsid w:val="009D540D"/>
    <w:rsid w:val="009D558C"/>
    <w:rsid w:val="009D6033"/>
    <w:rsid w:val="009D6333"/>
    <w:rsid w:val="009D63AF"/>
    <w:rsid w:val="009D6A19"/>
    <w:rsid w:val="009D6B52"/>
    <w:rsid w:val="009D6C2A"/>
    <w:rsid w:val="009D6ECA"/>
    <w:rsid w:val="009D7228"/>
    <w:rsid w:val="009D723B"/>
    <w:rsid w:val="009D7400"/>
    <w:rsid w:val="009D78E0"/>
    <w:rsid w:val="009D7BAC"/>
    <w:rsid w:val="009D7FD6"/>
    <w:rsid w:val="009E006D"/>
    <w:rsid w:val="009E0113"/>
    <w:rsid w:val="009E1150"/>
    <w:rsid w:val="009E11A8"/>
    <w:rsid w:val="009E15CE"/>
    <w:rsid w:val="009E23F1"/>
    <w:rsid w:val="009E2430"/>
    <w:rsid w:val="009E2835"/>
    <w:rsid w:val="009E2BDA"/>
    <w:rsid w:val="009E2E97"/>
    <w:rsid w:val="009E303A"/>
    <w:rsid w:val="009E3041"/>
    <w:rsid w:val="009E334B"/>
    <w:rsid w:val="009E3565"/>
    <w:rsid w:val="009E38CD"/>
    <w:rsid w:val="009E3AA3"/>
    <w:rsid w:val="009E4045"/>
    <w:rsid w:val="009E4252"/>
    <w:rsid w:val="009E4747"/>
    <w:rsid w:val="009E51F6"/>
    <w:rsid w:val="009E52EC"/>
    <w:rsid w:val="009E640C"/>
    <w:rsid w:val="009E65BE"/>
    <w:rsid w:val="009E6B20"/>
    <w:rsid w:val="009E6D0B"/>
    <w:rsid w:val="009E6EAC"/>
    <w:rsid w:val="009E7183"/>
    <w:rsid w:val="009E7388"/>
    <w:rsid w:val="009E7623"/>
    <w:rsid w:val="009E7A65"/>
    <w:rsid w:val="009E7BEC"/>
    <w:rsid w:val="009E7C5F"/>
    <w:rsid w:val="009E7FDC"/>
    <w:rsid w:val="009F0071"/>
    <w:rsid w:val="009F0328"/>
    <w:rsid w:val="009F082E"/>
    <w:rsid w:val="009F0D26"/>
    <w:rsid w:val="009F0D73"/>
    <w:rsid w:val="009F1F41"/>
    <w:rsid w:val="009F2483"/>
    <w:rsid w:val="009F36EC"/>
    <w:rsid w:val="009F3DA4"/>
    <w:rsid w:val="009F41A6"/>
    <w:rsid w:val="009F43EF"/>
    <w:rsid w:val="009F4A63"/>
    <w:rsid w:val="009F5046"/>
    <w:rsid w:val="009F5677"/>
    <w:rsid w:val="009F5914"/>
    <w:rsid w:val="009F5D6D"/>
    <w:rsid w:val="009F5EA8"/>
    <w:rsid w:val="009F6A16"/>
    <w:rsid w:val="009F6E63"/>
    <w:rsid w:val="009F6E7E"/>
    <w:rsid w:val="009F71E3"/>
    <w:rsid w:val="009F77F4"/>
    <w:rsid w:val="009F7871"/>
    <w:rsid w:val="009F7F4F"/>
    <w:rsid w:val="00A00043"/>
    <w:rsid w:val="00A0019A"/>
    <w:rsid w:val="00A002F4"/>
    <w:rsid w:val="00A007ED"/>
    <w:rsid w:val="00A00AAE"/>
    <w:rsid w:val="00A014CC"/>
    <w:rsid w:val="00A015DD"/>
    <w:rsid w:val="00A017AB"/>
    <w:rsid w:val="00A022C7"/>
    <w:rsid w:val="00A024AB"/>
    <w:rsid w:val="00A02ED5"/>
    <w:rsid w:val="00A03087"/>
    <w:rsid w:val="00A038D7"/>
    <w:rsid w:val="00A03B18"/>
    <w:rsid w:val="00A03F2F"/>
    <w:rsid w:val="00A04674"/>
    <w:rsid w:val="00A0476C"/>
    <w:rsid w:val="00A04BF1"/>
    <w:rsid w:val="00A04DF3"/>
    <w:rsid w:val="00A0517A"/>
    <w:rsid w:val="00A0549C"/>
    <w:rsid w:val="00A05681"/>
    <w:rsid w:val="00A07156"/>
    <w:rsid w:val="00A07183"/>
    <w:rsid w:val="00A07469"/>
    <w:rsid w:val="00A07B66"/>
    <w:rsid w:val="00A100DF"/>
    <w:rsid w:val="00A1030F"/>
    <w:rsid w:val="00A10331"/>
    <w:rsid w:val="00A104F0"/>
    <w:rsid w:val="00A1088D"/>
    <w:rsid w:val="00A10EFA"/>
    <w:rsid w:val="00A115DD"/>
    <w:rsid w:val="00A11A37"/>
    <w:rsid w:val="00A11B33"/>
    <w:rsid w:val="00A11C96"/>
    <w:rsid w:val="00A12810"/>
    <w:rsid w:val="00A129CF"/>
    <w:rsid w:val="00A12E7B"/>
    <w:rsid w:val="00A1330D"/>
    <w:rsid w:val="00A13352"/>
    <w:rsid w:val="00A13549"/>
    <w:rsid w:val="00A139D7"/>
    <w:rsid w:val="00A13A23"/>
    <w:rsid w:val="00A14204"/>
    <w:rsid w:val="00A142C5"/>
    <w:rsid w:val="00A14445"/>
    <w:rsid w:val="00A144FA"/>
    <w:rsid w:val="00A1480B"/>
    <w:rsid w:val="00A149DA"/>
    <w:rsid w:val="00A14A69"/>
    <w:rsid w:val="00A14C8F"/>
    <w:rsid w:val="00A1508A"/>
    <w:rsid w:val="00A157CB"/>
    <w:rsid w:val="00A15894"/>
    <w:rsid w:val="00A161A7"/>
    <w:rsid w:val="00A1674E"/>
    <w:rsid w:val="00A167A2"/>
    <w:rsid w:val="00A16C29"/>
    <w:rsid w:val="00A16CC5"/>
    <w:rsid w:val="00A16EE6"/>
    <w:rsid w:val="00A17672"/>
    <w:rsid w:val="00A176E6"/>
    <w:rsid w:val="00A17C6F"/>
    <w:rsid w:val="00A17C70"/>
    <w:rsid w:val="00A17EFE"/>
    <w:rsid w:val="00A204A5"/>
    <w:rsid w:val="00A20644"/>
    <w:rsid w:val="00A20C40"/>
    <w:rsid w:val="00A20DB4"/>
    <w:rsid w:val="00A20DFE"/>
    <w:rsid w:val="00A20EA4"/>
    <w:rsid w:val="00A221C1"/>
    <w:rsid w:val="00A221EC"/>
    <w:rsid w:val="00A226DB"/>
    <w:rsid w:val="00A22C24"/>
    <w:rsid w:val="00A23015"/>
    <w:rsid w:val="00A231EC"/>
    <w:rsid w:val="00A236A1"/>
    <w:rsid w:val="00A23BE3"/>
    <w:rsid w:val="00A23F20"/>
    <w:rsid w:val="00A23F8A"/>
    <w:rsid w:val="00A247BF"/>
    <w:rsid w:val="00A2481B"/>
    <w:rsid w:val="00A24B6C"/>
    <w:rsid w:val="00A24D12"/>
    <w:rsid w:val="00A24D75"/>
    <w:rsid w:val="00A24F5E"/>
    <w:rsid w:val="00A250C7"/>
    <w:rsid w:val="00A25412"/>
    <w:rsid w:val="00A25538"/>
    <w:rsid w:val="00A25C32"/>
    <w:rsid w:val="00A261D3"/>
    <w:rsid w:val="00A268A9"/>
    <w:rsid w:val="00A27452"/>
    <w:rsid w:val="00A275F8"/>
    <w:rsid w:val="00A27C19"/>
    <w:rsid w:val="00A304A4"/>
    <w:rsid w:val="00A30712"/>
    <w:rsid w:val="00A30881"/>
    <w:rsid w:val="00A30938"/>
    <w:rsid w:val="00A30CAB"/>
    <w:rsid w:val="00A30DAE"/>
    <w:rsid w:val="00A30DC4"/>
    <w:rsid w:val="00A30DF2"/>
    <w:rsid w:val="00A3158E"/>
    <w:rsid w:val="00A31D21"/>
    <w:rsid w:val="00A324A5"/>
    <w:rsid w:val="00A3273A"/>
    <w:rsid w:val="00A32880"/>
    <w:rsid w:val="00A32FC4"/>
    <w:rsid w:val="00A33281"/>
    <w:rsid w:val="00A33864"/>
    <w:rsid w:val="00A33AB1"/>
    <w:rsid w:val="00A341A3"/>
    <w:rsid w:val="00A3445E"/>
    <w:rsid w:val="00A348C1"/>
    <w:rsid w:val="00A349BA"/>
    <w:rsid w:val="00A34DA3"/>
    <w:rsid w:val="00A34DD9"/>
    <w:rsid w:val="00A35002"/>
    <w:rsid w:val="00A35261"/>
    <w:rsid w:val="00A35475"/>
    <w:rsid w:val="00A35596"/>
    <w:rsid w:val="00A3598E"/>
    <w:rsid w:val="00A35C3B"/>
    <w:rsid w:val="00A36425"/>
    <w:rsid w:val="00A369CB"/>
    <w:rsid w:val="00A36B86"/>
    <w:rsid w:val="00A370E3"/>
    <w:rsid w:val="00A37997"/>
    <w:rsid w:val="00A37FC2"/>
    <w:rsid w:val="00A41350"/>
    <w:rsid w:val="00A4150E"/>
    <w:rsid w:val="00A4169A"/>
    <w:rsid w:val="00A4184D"/>
    <w:rsid w:val="00A41E68"/>
    <w:rsid w:val="00A42B93"/>
    <w:rsid w:val="00A42F7D"/>
    <w:rsid w:val="00A43084"/>
    <w:rsid w:val="00A431F3"/>
    <w:rsid w:val="00A436F7"/>
    <w:rsid w:val="00A45848"/>
    <w:rsid w:val="00A4644C"/>
    <w:rsid w:val="00A46DFD"/>
    <w:rsid w:val="00A47B29"/>
    <w:rsid w:val="00A502A1"/>
    <w:rsid w:val="00A503CC"/>
    <w:rsid w:val="00A50AAE"/>
    <w:rsid w:val="00A50ADF"/>
    <w:rsid w:val="00A517D3"/>
    <w:rsid w:val="00A535D8"/>
    <w:rsid w:val="00A5369F"/>
    <w:rsid w:val="00A5388C"/>
    <w:rsid w:val="00A53F1F"/>
    <w:rsid w:val="00A5526D"/>
    <w:rsid w:val="00A55552"/>
    <w:rsid w:val="00A55979"/>
    <w:rsid w:val="00A559F9"/>
    <w:rsid w:val="00A55B51"/>
    <w:rsid w:val="00A55E69"/>
    <w:rsid w:val="00A56191"/>
    <w:rsid w:val="00A562A3"/>
    <w:rsid w:val="00A56640"/>
    <w:rsid w:val="00A5698E"/>
    <w:rsid w:val="00A5722D"/>
    <w:rsid w:val="00A579F2"/>
    <w:rsid w:val="00A57BA9"/>
    <w:rsid w:val="00A606A2"/>
    <w:rsid w:val="00A60A71"/>
    <w:rsid w:val="00A60D45"/>
    <w:rsid w:val="00A6156E"/>
    <w:rsid w:val="00A61AB2"/>
    <w:rsid w:val="00A61DF9"/>
    <w:rsid w:val="00A61E23"/>
    <w:rsid w:val="00A6228F"/>
    <w:rsid w:val="00A62E17"/>
    <w:rsid w:val="00A6356C"/>
    <w:rsid w:val="00A635AD"/>
    <w:rsid w:val="00A638FD"/>
    <w:rsid w:val="00A63A3D"/>
    <w:rsid w:val="00A63B6A"/>
    <w:rsid w:val="00A6428C"/>
    <w:rsid w:val="00A64601"/>
    <w:rsid w:val="00A64975"/>
    <w:rsid w:val="00A64B1C"/>
    <w:rsid w:val="00A64BAA"/>
    <w:rsid w:val="00A64DA5"/>
    <w:rsid w:val="00A64DF7"/>
    <w:rsid w:val="00A65275"/>
    <w:rsid w:val="00A65612"/>
    <w:rsid w:val="00A65BFB"/>
    <w:rsid w:val="00A67845"/>
    <w:rsid w:val="00A67917"/>
    <w:rsid w:val="00A67DFA"/>
    <w:rsid w:val="00A67F29"/>
    <w:rsid w:val="00A67F9A"/>
    <w:rsid w:val="00A70603"/>
    <w:rsid w:val="00A707C7"/>
    <w:rsid w:val="00A70C16"/>
    <w:rsid w:val="00A70F39"/>
    <w:rsid w:val="00A7167E"/>
    <w:rsid w:val="00A71808"/>
    <w:rsid w:val="00A71C03"/>
    <w:rsid w:val="00A72067"/>
    <w:rsid w:val="00A72690"/>
    <w:rsid w:val="00A72899"/>
    <w:rsid w:val="00A73274"/>
    <w:rsid w:val="00A73E12"/>
    <w:rsid w:val="00A74259"/>
    <w:rsid w:val="00A74360"/>
    <w:rsid w:val="00A74DD3"/>
    <w:rsid w:val="00A75ACA"/>
    <w:rsid w:val="00A75FD2"/>
    <w:rsid w:val="00A762D4"/>
    <w:rsid w:val="00A769DF"/>
    <w:rsid w:val="00A76B0E"/>
    <w:rsid w:val="00A76BEA"/>
    <w:rsid w:val="00A76C83"/>
    <w:rsid w:val="00A771CD"/>
    <w:rsid w:val="00A77203"/>
    <w:rsid w:val="00A77210"/>
    <w:rsid w:val="00A77ADA"/>
    <w:rsid w:val="00A77DE9"/>
    <w:rsid w:val="00A805CC"/>
    <w:rsid w:val="00A807CB"/>
    <w:rsid w:val="00A80DF1"/>
    <w:rsid w:val="00A81422"/>
    <w:rsid w:val="00A81DEA"/>
    <w:rsid w:val="00A82075"/>
    <w:rsid w:val="00A8216D"/>
    <w:rsid w:val="00A8230F"/>
    <w:rsid w:val="00A82661"/>
    <w:rsid w:val="00A82B64"/>
    <w:rsid w:val="00A82B8D"/>
    <w:rsid w:val="00A82C9B"/>
    <w:rsid w:val="00A82E6E"/>
    <w:rsid w:val="00A82E72"/>
    <w:rsid w:val="00A83D37"/>
    <w:rsid w:val="00A8417E"/>
    <w:rsid w:val="00A842F1"/>
    <w:rsid w:val="00A845D2"/>
    <w:rsid w:val="00A84877"/>
    <w:rsid w:val="00A84D12"/>
    <w:rsid w:val="00A84EFF"/>
    <w:rsid w:val="00A856BF"/>
    <w:rsid w:val="00A859AA"/>
    <w:rsid w:val="00A85FF1"/>
    <w:rsid w:val="00A86120"/>
    <w:rsid w:val="00A8641F"/>
    <w:rsid w:val="00A86AC1"/>
    <w:rsid w:val="00A86AC6"/>
    <w:rsid w:val="00A86AFF"/>
    <w:rsid w:val="00A872CB"/>
    <w:rsid w:val="00A876D0"/>
    <w:rsid w:val="00A87DB0"/>
    <w:rsid w:val="00A9000A"/>
    <w:rsid w:val="00A9096D"/>
    <w:rsid w:val="00A90C22"/>
    <w:rsid w:val="00A90D30"/>
    <w:rsid w:val="00A91399"/>
    <w:rsid w:val="00A91BF3"/>
    <w:rsid w:val="00A923AD"/>
    <w:rsid w:val="00A923C4"/>
    <w:rsid w:val="00A92E41"/>
    <w:rsid w:val="00A93059"/>
    <w:rsid w:val="00A931FF"/>
    <w:rsid w:val="00A941C0"/>
    <w:rsid w:val="00A94290"/>
    <w:rsid w:val="00A94647"/>
    <w:rsid w:val="00A949E1"/>
    <w:rsid w:val="00A9523B"/>
    <w:rsid w:val="00A955E6"/>
    <w:rsid w:val="00A95B98"/>
    <w:rsid w:val="00A95EA3"/>
    <w:rsid w:val="00A9632A"/>
    <w:rsid w:val="00A966BC"/>
    <w:rsid w:val="00A96A5D"/>
    <w:rsid w:val="00A970F6"/>
    <w:rsid w:val="00AA02E8"/>
    <w:rsid w:val="00AA0CF3"/>
    <w:rsid w:val="00AA103F"/>
    <w:rsid w:val="00AA121E"/>
    <w:rsid w:val="00AA15E7"/>
    <w:rsid w:val="00AA17E5"/>
    <w:rsid w:val="00AA1835"/>
    <w:rsid w:val="00AA1F9F"/>
    <w:rsid w:val="00AA22D6"/>
    <w:rsid w:val="00AA237C"/>
    <w:rsid w:val="00AA23FC"/>
    <w:rsid w:val="00AA26DB"/>
    <w:rsid w:val="00AA28CD"/>
    <w:rsid w:val="00AA2A93"/>
    <w:rsid w:val="00AA2DD5"/>
    <w:rsid w:val="00AA2E40"/>
    <w:rsid w:val="00AA3725"/>
    <w:rsid w:val="00AA3B20"/>
    <w:rsid w:val="00AA3C74"/>
    <w:rsid w:val="00AA3F84"/>
    <w:rsid w:val="00AA40F1"/>
    <w:rsid w:val="00AA48ED"/>
    <w:rsid w:val="00AA491A"/>
    <w:rsid w:val="00AA4C5B"/>
    <w:rsid w:val="00AA4D9C"/>
    <w:rsid w:val="00AA4E22"/>
    <w:rsid w:val="00AA52CA"/>
    <w:rsid w:val="00AA5355"/>
    <w:rsid w:val="00AA53A1"/>
    <w:rsid w:val="00AA5543"/>
    <w:rsid w:val="00AA5592"/>
    <w:rsid w:val="00AA5A16"/>
    <w:rsid w:val="00AA5C85"/>
    <w:rsid w:val="00AA5E91"/>
    <w:rsid w:val="00AA5FBB"/>
    <w:rsid w:val="00AA6069"/>
    <w:rsid w:val="00AA672B"/>
    <w:rsid w:val="00AA6B3F"/>
    <w:rsid w:val="00AA6C32"/>
    <w:rsid w:val="00AA7171"/>
    <w:rsid w:val="00AA7284"/>
    <w:rsid w:val="00AA73DE"/>
    <w:rsid w:val="00AA75A6"/>
    <w:rsid w:val="00AA780A"/>
    <w:rsid w:val="00AA7B28"/>
    <w:rsid w:val="00AB0044"/>
    <w:rsid w:val="00AB0362"/>
    <w:rsid w:val="00AB0832"/>
    <w:rsid w:val="00AB0D06"/>
    <w:rsid w:val="00AB0D16"/>
    <w:rsid w:val="00AB13E8"/>
    <w:rsid w:val="00AB1DFB"/>
    <w:rsid w:val="00AB2A54"/>
    <w:rsid w:val="00AB2CAE"/>
    <w:rsid w:val="00AB3233"/>
    <w:rsid w:val="00AB35E0"/>
    <w:rsid w:val="00AB3936"/>
    <w:rsid w:val="00AB3944"/>
    <w:rsid w:val="00AB3A1A"/>
    <w:rsid w:val="00AB3DE0"/>
    <w:rsid w:val="00AB402A"/>
    <w:rsid w:val="00AB45B1"/>
    <w:rsid w:val="00AB4B11"/>
    <w:rsid w:val="00AB4B80"/>
    <w:rsid w:val="00AB4D9E"/>
    <w:rsid w:val="00AB5430"/>
    <w:rsid w:val="00AB5572"/>
    <w:rsid w:val="00AB5AFC"/>
    <w:rsid w:val="00AB62AB"/>
    <w:rsid w:val="00AC0165"/>
    <w:rsid w:val="00AC140C"/>
    <w:rsid w:val="00AC14BE"/>
    <w:rsid w:val="00AC1B85"/>
    <w:rsid w:val="00AC1D15"/>
    <w:rsid w:val="00AC1F12"/>
    <w:rsid w:val="00AC2406"/>
    <w:rsid w:val="00AC2408"/>
    <w:rsid w:val="00AC28C4"/>
    <w:rsid w:val="00AC29D2"/>
    <w:rsid w:val="00AC2BE7"/>
    <w:rsid w:val="00AC2FD6"/>
    <w:rsid w:val="00AC337E"/>
    <w:rsid w:val="00AC4377"/>
    <w:rsid w:val="00AC44D2"/>
    <w:rsid w:val="00AC510A"/>
    <w:rsid w:val="00AC5354"/>
    <w:rsid w:val="00AC5563"/>
    <w:rsid w:val="00AC58AB"/>
    <w:rsid w:val="00AC6470"/>
    <w:rsid w:val="00AC64F2"/>
    <w:rsid w:val="00AC6869"/>
    <w:rsid w:val="00AC7832"/>
    <w:rsid w:val="00AC7D64"/>
    <w:rsid w:val="00AD01B5"/>
    <w:rsid w:val="00AD037C"/>
    <w:rsid w:val="00AD045E"/>
    <w:rsid w:val="00AD0A0E"/>
    <w:rsid w:val="00AD0A57"/>
    <w:rsid w:val="00AD0DF3"/>
    <w:rsid w:val="00AD1079"/>
    <w:rsid w:val="00AD1646"/>
    <w:rsid w:val="00AD17F4"/>
    <w:rsid w:val="00AD1E0C"/>
    <w:rsid w:val="00AD208F"/>
    <w:rsid w:val="00AD26C1"/>
    <w:rsid w:val="00AD27A3"/>
    <w:rsid w:val="00AD2BA6"/>
    <w:rsid w:val="00AD3185"/>
    <w:rsid w:val="00AD3CED"/>
    <w:rsid w:val="00AD3DC3"/>
    <w:rsid w:val="00AD3EDB"/>
    <w:rsid w:val="00AD40A7"/>
    <w:rsid w:val="00AD41A5"/>
    <w:rsid w:val="00AD4276"/>
    <w:rsid w:val="00AD42EC"/>
    <w:rsid w:val="00AD4412"/>
    <w:rsid w:val="00AD4A15"/>
    <w:rsid w:val="00AD4B20"/>
    <w:rsid w:val="00AD4C19"/>
    <w:rsid w:val="00AD4C37"/>
    <w:rsid w:val="00AD4D60"/>
    <w:rsid w:val="00AD562A"/>
    <w:rsid w:val="00AD5692"/>
    <w:rsid w:val="00AD56DB"/>
    <w:rsid w:val="00AD5CBE"/>
    <w:rsid w:val="00AD5D57"/>
    <w:rsid w:val="00AD5E1F"/>
    <w:rsid w:val="00AD5F23"/>
    <w:rsid w:val="00AD628C"/>
    <w:rsid w:val="00AD6FAC"/>
    <w:rsid w:val="00AD73EA"/>
    <w:rsid w:val="00AD75D4"/>
    <w:rsid w:val="00AD75E2"/>
    <w:rsid w:val="00AE0399"/>
    <w:rsid w:val="00AE087A"/>
    <w:rsid w:val="00AE0B7C"/>
    <w:rsid w:val="00AE1486"/>
    <w:rsid w:val="00AE1B19"/>
    <w:rsid w:val="00AE1CAC"/>
    <w:rsid w:val="00AE1FD3"/>
    <w:rsid w:val="00AE202D"/>
    <w:rsid w:val="00AE2628"/>
    <w:rsid w:val="00AE296A"/>
    <w:rsid w:val="00AE299D"/>
    <w:rsid w:val="00AE3217"/>
    <w:rsid w:val="00AE3CB6"/>
    <w:rsid w:val="00AE3E87"/>
    <w:rsid w:val="00AE4014"/>
    <w:rsid w:val="00AE43A5"/>
    <w:rsid w:val="00AE49E2"/>
    <w:rsid w:val="00AE525A"/>
    <w:rsid w:val="00AE5523"/>
    <w:rsid w:val="00AE5C41"/>
    <w:rsid w:val="00AE6296"/>
    <w:rsid w:val="00AE6316"/>
    <w:rsid w:val="00AE6650"/>
    <w:rsid w:val="00AE6802"/>
    <w:rsid w:val="00AE6C7C"/>
    <w:rsid w:val="00AE6DD4"/>
    <w:rsid w:val="00AE770A"/>
    <w:rsid w:val="00AE7827"/>
    <w:rsid w:val="00AF00B3"/>
    <w:rsid w:val="00AF0332"/>
    <w:rsid w:val="00AF0347"/>
    <w:rsid w:val="00AF0617"/>
    <w:rsid w:val="00AF07FD"/>
    <w:rsid w:val="00AF0BED"/>
    <w:rsid w:val="00AF10B4"/>
    <w:rsid w:val="00AF16EF"/>
    <w:rsid w:val="00AF1E31"/>
    <w:rsid w:val="00AF1EE9"/>
    <w:rsid w:val="00AF2887"/>
    <w:rsid w:val="00AF297F"/>
    <w:rsid w:val="00AF2C87"/>
    <w:rsid w:val="00AF2D92"/>
    <w:rsid w:val="00AF3239"/>
    <w:rsid w:val="00AF33A3"/>
    <w:rsid w:val="00AF38C8"/>
    <w:rsid w:val="00AF3F8A"/>
    <w:rsid w:val="00AF4097"/>
    <w:rsid w:val="00AF4294"/>
    <w:rsid w:val="00AF43F5"/>
    <w:rsid w:val="00AF46D0"/>
    <w:rsid w:val="00AF47C5"/>
    <w:rsid w:val="00AF4914"/>
    <w:rsid w:val="00AF4D09"/>
    <w:rsid w:val="00AF4F7A"/>
    <w:rsid w:val="00AF50CB"/>
    <w:rsid w:val="00AF5408"/>
    <w:rsid w:val="00AF54BB"/>
    <w:rsid w:val="00AF5520"/>
    <w:rsid w:val="00AF55C9"/>
    <w:rsid w:val="00AF630F"/>
    <w:rsid w:val="00AF6A81"/>
    <w:rsid w:val="00AF6C75"/>
    <w:rsid w:val="00AF6D6E"/>
    <w:rsid w:val="00AF7125"/>
    <w:rsid w:val="00AF7174"/>
    <w:rsid w:val="00AF7691"/>
    <w:rsid w:val="00AF787D"/>
    <w:rsid w:val="00AF7F3F"/>
    <w:rsid w:val="00AF7FBF"/>
    <w:rsid w:val="00B00AA2"/>
    <w:rsid w:val="00B00F6C"/>
    <w:rsid w:val="00B01251"/>
    <w:rsid w:val="00B013BD"/>
    <w:rsid w:val="00B01982"/>
    <w:rsid w:val="00B01A89"/>
    <w:rsid w:val="00B01D79"/>
    <w:rsid w:val="00B02002"/>
    <w:rsid w:val="00B024A3"/>
    <w:rsid w:val="00B026C1"/>
    <w:rsid w:val="00B02D5A"/>
    <w:rsid w:val="00B03311"/>
    <w:rsid w:val="00B037D9"/>
    <w:rsid w:val="00B04043"/>
    <w:rsid w:val="00B04346"/>
    <w:rsid w:val="00B04855"/>
    <w:rsid w:val="00B051EA"/>
    <w:rsid w:val="00B05598"/>
    <w:rsid w:val="00B055BF"/>
    <w:rsid w:val="00B05865"/>
    <w:rsid w:val="00B05BE4"/>
    <w:rsid w:val="00B06648"/>
    <w:rsid w:val="00B0673B"/>
    <w:rsid w:val="00B069EB"/>
    <w:rsid w:val="00B06ABC"/>
    <w:rsid w:val="00B06E64"/>
    <w:rsid w:val="00B06F28"/>
    <w:rsid w:val="00B07099"/>
    <w:rsid w:val="00B071BB"/>
    <w:rsid w:val="00B0733C"/>
    <w:rsid w:val="00B07BF7"/>
    <w:rsid w:val="00B10564"/>
    <w:rsid w:val="00B110D4"/>
    <w:rsid w:val="00B1119E"/>
    <w:rsid w:val="00B11412"/>
    <w:rsid w:val="00B115D5"/>
    <w:rsid w:val="00B1164C"/>
    <w:rsid w:val="00B11883"/>
    <w:rsid w:val="00B11956"/>
    <w:rsid w:val="00B11E99"/>
    <w:rsid w:val="00B11F7C"/>
    <w:rsid w:val="00B12299"/>
    <w:rsid w:val="00B12F83"/>
    <w:rsid w:val="00B13889"/>
    <w:rsid w:val="00B139F2"/>
    <w:rsid w:val="00B13E29"/>
    <w:rsid w:val="00B141A0"/>
    <w:rsid w:val="00B14256"/>
    <w:rsid w:val="00B1427C"/>
    <w:rsid w:val="00B14753"/>
    <w:rsid w:val="00B147A8"/>
    <w:rsid w:val="00B14FBF"/>
    <w:rsid w:val="00B1509E"/>
    <w:rsid w:val="00B15120"/>
    <w:rsid w:val="00B151DD"/>
    <w:rsid w:val="00B1586A"/>
    <w:rsid w:val="00B1587A"/>
    <w:rsid w:val="00B158C8"/>
    <w:rsid w:val="00B15C36"/>
    <w:rsid w:val="00B162BF"/>
    <w:rsid w:val="00B16603"/>
    <w:rsid w:val="00B16C3A"/>
    <w:rsid w:val="00B16EDF"/>
    <w:rsid w:val="00B1732A"/>
    <w:rsid w:val="00B176BF"/>
    <w:rsid w:val="00B1771E"/>
    <w:rsid w:val="00B17A2E"/>
    <w:rsid w:val="00B17A44"/>
    <w:rsid w:val="00B17D09"/>
    <w:rsid w:val="00B200F9"/>
    <w:rsid w:val="00B202BB"/>
    <w:rsid w:val="00B208AB"/>
    <w:rsid w:val="00B209B3"/>
    <w:rsid w:val="00B20EBD"/>
    <w:rsid w:val="00B214CF"/>
    <w:rsid w:val="00B2159A"/>
    <w:rsid w:val="00B218A3"/>
    <w:rsid w:val="00B21A29"/>
    <w:rsid w:val="00B225F0"/>
    <w:rsid w:val="00B229CC"/>
    <w:rsid w:val="00B230DD"/>
    <w:rsid w:val="00B236D1"/>
    <w:rsid w:val="00B23A04"/>
    <w:rsid w:val="00B23A58"/>
    <w:rsid w:val="00B23B70"/>
    <w:rsid w:val="00B23C6D"/>
    <w:rsid w:val="00B24ADA"/>
    <w:rsid w:val="00B24CAA"/>
    <w:rsid w:val="00B251E4"/>
    <w:rsid w:val="00B25584"/>
    <w:rsid w:val="00B25B50"/>
    <w:rsid w:val="00B25CE4"/>
    <w:rsid w:val="00B25D0F"/>
    <w:rsid w:val="00B25EA3"/>
    <w:rsid w:val="00B260DB"/>
    <w:rsid w:val="00B2622C"/>
    <w:rsid w:val="00B2649C"/>
    <w:rsid w:val="00B26905"/>
    <w:rsid w:val="00B26C43"/>
    <w:rsid w:val="00B26C6F"/>
    <w:rsid w:val="00B26D4A"/>
    <w:rsid w:val="00B2700B"/>
    <w:rsid w:val="00B272A8"/>
    <w:rsid w:val="00B27438"/>
    <w:rsid w:val="00B27840"/>
    <w:rsid w:val="00B278A5"/>
    <w:rsid w:val="00B3036E"/>
    <w:rsid w:val="00B3060B"/>
    <w:rsid w:val="00B3064A"/>
    <w:rsid w:val="00B30B19"/>
    <w:rsid w:val="00B3126C"/>
    <w:rsid w:val="00B314E7"/>
    <w:rsid w:val="00B31806"/>
    <w:rsid w:val="00B3200C"/>
    <w:rsid w:val="00B3273E"/>
    <w:rsid w:val="00B3304D"/>
    <w:rsid w:val="00B33240"/>
    <w:rsid w:val="00B336AE"/>
    <w:rsid w:val="00B341BD"/>
    <w:rsid w:val="00B3462F"/>
    <w:rsid w:val="00B34C5B"/>
    <w:rsid w:val="00B350EF"/>
    <w:rsid w:val="00B3519D"/>
    <w:rsid w:val="00B355A7"/>
    <w:rsid w:val="00B35B53"/>
    <w:rsid w:val="00B36063"/>
    <w:rsid w:val="00B3608C"/>
    <w:rsid w:val="00B3641F"/>
    <w:rsid w:val="00B36EC1"/>
    <w:rsid w:val="00B36ECA"/>
    <w:rsid w:val="00B36ED6"/>
    <w:rsid w:val="00B372C6"/>
    <w:rsid w:val="00B37439"/>
    <w:rsid w:val="00B378CE"/>
    <w:rsid w:val="00B400EE"/>
    <w:rsid w:val="00B40337"/>
    <w:rsid w:val="00B4062D"/>
    <w:rsid w:val="00B40876"/>
    <w:rsid w:val="00B40DF5"/>
    <w:rsid w:val="00B42106"/>
    <w:rsid w:val="00B422DE"/>
    <w:rsid w:val="00B425E7"/>
    <w:rsid w:val="00B42ACA"/>
    <w:rsid w:val="00B42B0D"/>
    <w:rsid w:val="00B434D9"/>
    <w:rsid w:val="00B435AD"/>
    <w:rsid w:val="00B43615"/>
    <w:rsid w:val="00B436B5"/>
    <w:rsid w:val="00B43AF1"/>
    <w:rsid w:val="00B43BA4"/>
    <w:rsid w:val="00B43D28"/>
    <w:rsid w:val="00B43E86"/>
    <w:rsid w:val="00B44479"/>
    <w:rsid w:val="00B44AB1"/>
    <w:rsid w:val="00B450DE"/>
    <w:rsid w:val="00B45A08"/>
    <w:rsid w:val="00B45C84"/>
    <w:rsid w:val="00B46157"/>
    <w:rsid w:val="00B465DD"/>
    <w:rsid w:val="00B46965"/>
    <w:rsid w:val="00B46972"/>
    <w:rsid w:val="00B47227"/>
    <w:rsid w:val="00B4724A"/>
    <w:rsid w:val="00B47325"/>
    <w:rsid w:val="00B4781A"/>
    <w:rsid w:val="00B47BFA"/>
    <w:rsid w:val="00B4C73A"/>
    <w:rsid w:val="00B500A4"/>
    <w:rsid w:val="00B5017D"/>
    <w:rsid w:val="00B505F9"/>
    <w:rsid w:val="00B50B0E"/>
    <w:rsid w:val="00B51144"/>
    <w:rsid w:val="00B51204"/>
    <w:rsid w:val="00B51882"/>
    <w:rsid w:val="00B52043"/>
    <w:rsid w:val="00B521AD"/>
    <w:rsid w:val="00B5293E"/>
    <w:rsid w:val="00B52A6F"/>
    <w:rsid w:val="00B52BF6"/>
    <w:rsid w:val="00B52D8D"/>
    <w:rsid w:val="00B53794"/>
    <w:rsid w:val="00B53DB3"/>
    <w:rsid w:val="00B54148"/>
    <w:rsid w:val="00B54221"/>
    <w:rsid w:val="00B54D85"/>
    <w:rsid w:val="00B5551F"/>
    <w:rsid w:val="00B555F9"/>
    <w:rsid w:val="00B55864"/>
    <w:rsid w:val="00B55C0E"/>
    <w:rsid w:val="00B566A9"/>
    <w:rsid w:val="00B56A0D"/>
    <w:rsid w:val="00B56ACD"/>
    <w:rsid w:val="00B56AF0"/>
    <w:rsid w:val="00B570D2"/>
    <w:rsid w:val="00B57265"/>
    <w:rsid w:val="00B57555"/>
    <w:rsid w:val="00B60A55"/>
    <w:rsid w:val="00B60BAB"/>
    <w:rsid w:val="00B60C69"/>
    <w:rsid w:val="00B6123C"/>
    <w:rsid w:val="00B61400"/>
    <w:rsid w:val="00B615C8"/>
    <w:rsid w:val="00B620B4"/>
    <w:rsid w:val="00B621AF"/>
    <w:rsid w:val="00B6220F"/>
    <w:rsid w:val="00B6315B"/>
    <w:rsid w:val="00B63A2F"/>
    <w:rsid w:val="00B63EA0"/>
    <w:rsid w:val="00B64683"/>
    <w:rsid w:val="00B646F5"/>
    <w:rsid w:val="00B647EF"/>
    <w:rsid w:val="00B64FBD"/>
    <w:rsid w:val="00B65426"/>
    <w:rsid w:val="00B6553A"/>
    <w:rsid w:val="00B656F2"/>
    <w:rsid w:val="00B657E6"/>
    <w:rsid w:val="00B6647F"/>
    <w:rsid w:val="00B669FA"/>
    <w:rsid w:val="00B66DAC"/>
    <w:rsid w:val="00B66DF4"/>
    <w:rsid w:val="00B66E91"/>
    <w:rsid w:val="00B6734A"/>
    <w:rsid w:val="00B67673"/>
    <w:rsid w:val="00B67AF8"/>
    <w:rsid w:val="00B67C8C"/>
    <w:rsid w:val="00B67DAC"/>
    <w:rsid w:val="00B67F9E"/>
    <w:rsid w:val="00B7024C"/>
    <w:rsid w:val="00B710E4"/>
    <w:rsid w:val="00B71297"/>
    <w:rsid w:val="00B7141B"/>
    <w:rsid w:val="00B7149F"/>
    <w:rsid w:val="00B71715"/>
    <w:rsid w:val="00B71C89"/>
    <w:rsid w:val="00B72173"/>
    <w:rsid w:val="00B7254E"/>
    <w:rsid w:val="00B7282A"/>
    <w:rsid w:val="00B72B72"/>
    <w:rsid w:val="00B73B31"/>
    <w:rsid w:val="00B73BEB"/>
    <w:rsid w:val="00B73FEE"/>
    <w:rsid w:val="00B741D5"/>
    <w:rsid w:val="00B7432F"/>
    <w:rsid w:val="00B743A7"/>
    <w:rsid w:val="00B7483B"/>
    <w:rsid w:val="00B749E4"/>
    <w:rsid w:val="00B7543A"/>
    <w:rsid w:val="00B75627"/>
    <w:rsid w:val="00B7599B"/>
    <w:rsid w:val="00B75C4D"/>
    <w:rsid w:val="00B75DA1"/>
    <w:rsid w:val="00B76115"/>
    <w:rsid w:val="00B7696B"/>
    <w:rsid w:val="00B76C6F"/>
    <w:rsid w:val="00B76CA3"/>
    <w:rsid w:val="00B76EE0"/>
    <w:rsid w:val="00B774BB"/>
    <w:rsid w:val="00B77A8D"/>
    <w:rsid w:val="00B77BD7"/>
    <w:rsid w:val="00B77C80"/>
    <w:rsid w:val="00B80B5C"/>
    <w:rsid w:val="00B813C5"/>
    <w:rsid w:val="00B817CB"/>
    <w:rsid w:val="00B81B6B"/>
    <w:rsid w:val="00B821FB"/>
    <w:rsid w:val="00B8225D"/>
    <w:rsid w:val="00B82307"/>
    <w:rsid w:val="00B82572"/>
    <w:rsid w:val="00B82A65"/>
    <w:rsid w:val="00B82DA9"/>
    <w:rsid w:val="00B83658"/>
    <w:rsid w:val="00B84087"/>
    <w:rsid w:val="00B840E7"/>
    <w:rsid w:val="00B84411"/>
    <w:rsid w:val="00B84A94"/>
    <w:rsid w:val="00B854A9"/>
    <w:rsid w:val="00B85510"/>
    <w:rsid w:val="00B8563E"/>
    <w:rsid w:val="00B85ADC"/>
    <w:rsid w:val="00B85F2A"/>
    <w:rsid w:val="00B86916"/>
    <w:rsid w:val="00B8707B"/>
    <w:rsid w:val="00B9120E"/>
    <w:rsid w:val="00B91B34"/>
    <w:rsid w:val="00B9221C"/>
    <w:rsid w:val="00B9275C"/>
    <w:rsid w:val="00B92A0A"/>
    <w:rsid w:val="00B92AC1"/>
    <w:rsid w:val="00B92FF5"/>
    <w:rsid w:val="00B9336D"/>
    <w:rsid w:val="00B93A30"/>
    <w:rsid w:val="00B93BC2"/>
    <w:rsid w:val="00B93CC8"/>
    <w:rsid w:val="00B93CF4"/>
    <w:rsid w:val="00B942E3"/>
    <w:rsid w:val="00B94382"/>
    <w:rsid w:val="00B9469B"/>
    <w:rsid w:val="00B94807"/>
    <w:rsid w:val="00B94A9B"/>
    <w:rsid w:val="00B95A48"/>
    <w:rsid w:val="00B95AEE"/>
    <w:rsid w:val="00B961DF"/>
    <w:rsid w:val="00B963CB"/>
    <w:rsid w:val="00B966FF"/>
    <w:rsid w:val="00B96869"/>
    <w:rsid w:val="00B96AA5"/>
    <w:rsid w:val="00B96BE7"/>
    <w:rsid w:val="00B96C33"/>
    <w:rsid w:val="00B96F2B"/>
    <w:rsid w:val="00B96F99"/>
    <w:rsid w:val="00B97889"/>
    <w:rsid w:val="00B97B85"/>
    <w:rsid w:val="00BA039E"/>
    <w:rsid w:val="00BA06CA"/>
    <w:rsid w:val="00BA0B4E"/>
    <w:rsid w:val="00BA105F"/>
    <w:rsid w:val="00BA10BD"/>
    <w:rsid w:val="00BA13F1"/>
    <w:rsid w:val="00BA1BA3"/>
    <w:rsid w:val="00BA1CEE"/>
    <w:rsid w:val="00BA2262"/>
    <w:rsid w:val="00BA2797"/>
    <w:rsid w:val="00BA2906"/>
    <w:rsid w:val="00BA2C31"/>
    <w:rsid w:val="00BA36F3"/>
    <w:rsid w:val="00BA3D47"/>
    <w:rsid w:val="00BA4865"/>
    <w:rsid w:val="00BA498C"/>
    <w:rsid w:val="00BA4A0D"/>
    <w:rsid w:val="00BA4A68"/>
    <w:rsid w:val="00BA5A0F"/>
    <w:rsid w:val="00BA5E24"/>
    <w:rsid w:val="00BA5F71"/>
    <w:rsid w:val="00BA61BF"/>
    <w:rsid w:val="00BA62E1"/>
    <w:rsid w:val="00BA682B"/>
    <w:rsid w:val="00BA6BD5"/>
    <w:rsid w:val="00BA6BFC"/>
    <w:rsid w:val="00BA6F30"/>
    <w:rsid w:val="00BA75BE"/>
    <w:rsid w:val="00BA77A4"/>
    <w:rsid w:val="00BB032E"/>
    <w:rsid w:val="00BB104A"/>
    <w:rsid w:val="00BB1F4C"/>
    <w:rsid w:val="00BB205E"/>
    <w:rsid w:val="00BB2643"/>
    <w:rsid w:val="00BB26F7"/>
    <w:rsid w:val="00BB2790"/>
    <w:rsid w:val="00BB2BAA"/>
    <w:rsid w:val="00BB2EBE"/>
    <w:rsid w:val="00BB3004"/>
    <w:rsid w:val="00BB303A"/>
    <w:rsid w:val="00BB35A3"/>
    <w:rsid w:val="00BB376F"/>
    <w:rsid w:val="00BB39D3"/>
    <w:rsid w:val="00BB4CA0"/>
    <w:rsid w:val="00BB551D"/>
    <w:rsid w:val="00BB5B08"/>
    <w:rsid w:val="00BB6047"/>
    <w:rsid w:val="00BB72E8"/>
    <w:rsid w:val="00BB7424"/>
    <w:rsid w:val="00BB7BC6"/>
    <w:rsid w:val="00BC02CC"/>
    <w:rsid w:val="00BC0650"/>
    <w:rsid w:val="00BC06AA"/>
    <w:rsid w:val="00BC0FBB"/>
    <w:rsid w:val="00BC1653"/>
    <w:rsid w:val="00BC2010"/>
    <w:rsid w:val="00BC2254"/>
    <w:rsid w:val="00BC294B"/>
    <w:rsid w:val="00BC3225"/>
    <w:rsid w:val="00BC38A1"/>
    <w:rsid w:val="00BC4174"/>
    <w:rsid w:val="00BC451B"/>
    <w:rsid w:val="00BC4755"/>
    <w:rsid w:val="00BC5054"/>
    <w:rsid w:val="00BC5B2F"/>
    <w:rsid w:val="00BC5C52"/>
    <w:rsid w:val="00BC5C7A"/>
    <w:rsid w:val="00BC5FD0"/>
    <w:rsid w:val="00BC6073"/>
    <w:rsid w:val="00BC64C3"/>
    <w:rsid w:val="00BC6A7A"/>
    <w:rsid w:val="00BC6C7A"/>
    <w:rsid w:val="00BC72A5"/>
    <w:rsid w:val="00BC78A7"/>
    <w:rsid w:val="00BC7A4D"/>
    <w:rsid w:val="00BC7B13"/>
    <w:rsid w:val="00BC7BFD"/>
    <w:rsid w:val="00BD0C30"/>
    <w:rsid w:val="00BD15EB"/>
    <w:rsid w:val="00BD1826"/>
    <w:rsid w:val="00BD1C54"/>
    <w:rsid w:val="00BD265A"/>
    <w:rsid w:val="00BD2950"/>
    <w:rsid w:val="00BD31DE"/>
    <w:rsid w:val="00BD3592"/>
    <w:rsid w:val="00BD3775"/>
    <w:rsid w:val="00BD3F31"/>
    <w:rsid w:val="00BD3FE2"/>
    <w:rsid w:val="00BD4223"/>
    <w:rsid w:val="00BD4C6F"/>
    <w:rsid w:val="00BD57D2"/>
    <w:rsid w:val="00BD58CD"/>
    <w:rsid w:val="00BD594F"/>
    <w:rsid w:val="00BD6128"/>
    <w:rsid w:val="00BD70D3"/>
    <w:rsid w:val="00BD7512"/>
    <w:rsid w:val="00BD7BC6"/>
    <w:rsid w:val="00BE021A"/>
    <w:rsid w:val="00BE024B"/>
    <w:rsid w:val="00BE03AC"/>
    <w:rsid w:val="00BE1017"/>
    <w:rsid w:val="00BE11CF"/>
    <w:rsid w:val="00BE1327"/>
    <w:rsid w:val="00BE147A"/>
    <w:rsid w:val="00BE17DD"/>
    <w:rsid w:val="00BE190E"/>
    <w:rsid w:val="00BE1A04"/>
    <w:rsid w:val="00BE1D24"/>
    <w:rsid w:val="00BE2214"/>
    <w:rsid w:val="00BE2333"/>
    <w:rsid w:val="00BE27D8"/>
    <w:rsid w:val="00BE2F87"/>
    <w:rsid w:val="00BE3100"/>
    <w:rsid w:val="00BE3373"/>
    <w:rsid w:val="00BE36FE"/>
    <w:rsid w:val="00BE3B4E"/>
    <w:rsid w:val="00BE3D55"/>
    <w:rsid w:val="00BE4399"/>
    <w:rsid w:val="00BE45F1"/>
    <w:rsid w:val="00BE4605"/>
    <w:rsid w:val="00BE4913"/>
    <w:rsid w:val="00BE4BE1"/>
    <w:rsid w:val="00BE4C51"/>
    <w:rsid w:val="00BE4C96"/>
    <w:rsid w:val="00BE4FCB"/>
    <w:rsid w:val="00BE50DA"/>
    <w:rsid w:val="00BE5397"/>
    <w:rsid w:val="00BE55E9"/>
    <w:rsid w:val="00BE5E88"/>
    <w:rsid w:val="00BE61C6"/>
    <w:rsid w:val="00BE6A20"/>
    <w:rsid w:val="00BE6A3B"/>
    <w:rsid w:val="00BE703E"/>
    <w:rsid w:val="00BE71BB"/>
    <w:rsid w:val="00BE72B9"/>
    <w:rsid w:val="00BE7743"/>
    <w:rsid w:val="00BF0149"/>
    <w:rsid w:val="00BF0636"/>
    <w:rsid w:val="00BF07B2"/>
    <w:rsid w:val="00BF0E29"/>
    <w:rsid w:val="00BF0E91"/>
    <w:rsid w:val="00BF0F92"/>
    <w:rsid w:val="00BF131D"/>
    <w:rsid w:val="00BF1A82"/>
    <w:rsid w:val="00BF1AE0"/>
    <w:rsid w:val="00BF1CEF"/>
    <w:rsid w:val="00BF20C4"/>
    <w:rsid w:val="00BF21CD"/>
    <w:rsid w:val="00BF2714"/>
    <w:rsid w:val="00BF2DA3"/>
    <w:rsid w:val="00BF2E24"/>
    <w:rsid w:val="00BF2ED5"/>
    <w:rsid w:val="00BF3D4A"/>
    <w:rsid w:val="00BF3DEE"/>
    <w:rsid w:val="00BF3DF4"/>
    <w:rsid w:val="00BF3FB9"/>
    <w:rsid w:val="00BF428D"/>
    <w:rsid w:val="00BF42F5"/>
    <w:rsid w:val="00BF45E7"/>
    <w:rsid w:val="00BF464F"/>
    <w:rsid w:val="00BF4F19"/>
    <w:rsid w:val="00BF5019"/>
    <w:rsid w:val="00BF50EF"/>
    <w:rsid w:val="00BF512D"/>
    <w:rsid w:val="00BF5331"/>
    <w:rsid w:val="00BF5607"/>
    <w:rsid w:val="00BF573D"/>
    <w:rsid w:val="00BF5BA7"/>
    <w:rsid w:val="00BF5ECA"/>
    <w:rsid w:val="00BF5FE0"/>
    <w:rsid w:val="00BF60D9"/>
    <w:rsid w:val="00BF6209"/>
    <w:rsid w:val="00BF6465"/>
    <w:rsid w:val="00BF66D0"/>
    <w:rsid w:val="00BF6870"/>
    <w:rsid w:val="00BF6E3E"/>
    <w:rsid w:val="00BF7AE7"/>
    <w:rsid w:val="00BF7B92"/>
    <w:rsid w:val="00C00223"/>
    <w:rsid w:val="00C00886"/>
    <w:rsid w:val="00C0199C"/>
    <w:rsid w:val="00C0274A"/>
    <w:rsid w:val="00C02F2F"/>
    <w:rsid w:val="00C03197"/>
    <w:rsid w:val="00C04173"/>
    <w:rsid w:val="00C042F9"/>
    <w:rsid w:val="00C045D3"/>
    <w:rsid w:val="00C04A8E"/>
    <w:rsid w:val="00C04CCC"/>
    <w:rsid w:val="00C04CEA"/>
    <w:rsid w:val="00C04EF3"/>
    <w:rsid w:val="00C04F92"/>
    <w:rsid w:val="00C051C2"/>
    <w:rsid w:val="00C05425"/>
    <w:rsid w:val="00C056F4"/>
    <w:rsid w:val="00C05C72"/>
    <w:rsid w:val="00C05DD2"/>
    <w:rsid w:val="00C065AC"/>
    <w:rsid w:val="00C06BA3"/>
    <w:rsid w:val="00C06CE9"/>
    <w:rsid w:val="00C079B8"/>
    <w:rsid w:val="00C1074C"/>
    <w:rsid w:val="00C10879"/>
    <w:rsid w:val="00C1093B"/>
    <w:rsid w:val="00C10B9F"/>
    <w:rsid w:val="00C10F6F"/>
    <w:rsid w:val="00C116CA"/>
    <w:rsid w:val="00C11765"/>
    <w:rsid w:val="00C1177D"/>
    <w:rsid w:val="00C12089"/>
    <w:rsid w:val="00C120E8"/>
    <w:rsid w:val="00C12511"/>
    <w:rsid w:val="00C12A04"/>
    <w:rsid w:val="00C12BF1"/>
    <w:rsid w:val="00C136D6"/>
    <w:rsid w:val="00C138FF"/>
    <w:rsid w:val="00C13C55"/>
    <w:rsid w:val="00C13EE5"/>
    <w:rsid w:val="00C1448F"/>
    <w:rsid w:val="00C14976"/>
    <w:rsid w:val="00C149A6"/>
    <w:rsid w:val="00C14D74"/>
    <w:rsid w:val="00C15481"/>
    <w:rsid w:val="00C15774"/>
    <w:rsid w:val="00C15BCB"/>
    <w:rsid w:val="00C15D0F"/>
    <w:rsid w:val="00C16341"/>
    <w:rsid w:val="00C16343"/>
    <w:rsid w:val="00C1644F"/>
    <w:rsid w:val="00C167C2"/>
    <w:rsid w:val="00C169F1"/>
    <w:rsid w:val="00C16CD4"/>
    <w:rsid w:val="00C16F2F"/>
    <w:rsid w:val="00C1719E"/>
    <w:rsid w:val="00C174D7"/>
    <w:rsid w:val="00C17711"/>
    <w:rsid w:val="00C17B00"/>
    <w:rsid w:val="00C17CB1"/>
    <w:rsid w:val="00C17D22"/>
    <w:rsid w:val="00C17D38"/>
    <w:rsid w:val="00C17E01"/>
    <w:rsid w:val="00C17EC4"/>
    <w:rsid w:val="00C205CC"/>
    <w:rsid w:val="00C20A45"/>
    <w:rsid w:val="00C20C2C"/>
    <w:rsid w:val="00C20E37"/>
    <w:rsid w:val="00C210A0"/>
    <w:rsid w:val="00C21337"/>
    <w:rsid w:val="00C2139A"/>
    <w:rsid w:val="00C218A9"/>
    <w:rsid w:val="00C223FF"/>
    <w:rsid w:val="00C22D3B"/>
    <w:rsid w:val="00C232F6"/>
    <w:rsid w:val="00C23584"/>
    <w:rsid w:val="00C235A8"/>
    <w:rsid w:val="00C237A5"/>
    <w:rsid w:val="00C239A6"/>
    <w:rsid w:val="00C23A58"/>
    <w:rsid w:val="00C23A6D"/>
    <w:rsid w:val="00C23C72"/>
    <w:rsid w:val="00C23C93"/>
    <w:rsid w:val="00C23CC1"/>
    <w:rsid w:val="00C24795"/>
    <w:rsid w:val="00C24EF2"/>
    <w:rsid w:val="00C252DC"/>
    <w:rsid w:val="00C2549D"/>
    <w:rsid w:val="00C262F7"/>
    <w:rsid w:val="00C272B7"/>
    <w:rsid w:val="00C2731A"/>
    <w:rsid w:val="00C27BB3"/>
    <w:rsid w:val="00C27F0E"/>
    <w:rsid w:val="00C30989"/>
    <w:rsid w:val="00C30AA2"/>
    <w:rsid w:val="00C31057"/>
    <w:rsid w:val="00C3110D"/>
    <w:rsid w:val="00C3113A"/>
    <w:rsid w:val="00C31190"/>
    <w:rsid w:val="00C31195"/>
    <w:rsid w:val="00C311F0"/>
    <w:rsid w:val="00C314A2"/>
    <w:rsid w:val="00C31808"/>
    <w:rsid w:val="00C318FF"/>
    <w:rsid w:val="00C319BB"/>
    <w:rsid w:val="00C31A80"/>
    <w:rsid w:val="00C31B03"/>
    <w:rsid w:val="00C31D72"/>
    <w:rsid w:val="00C322D5"/>
    <w:rsid w:val="00C32456"/>
    <w:rsid w:val="00C325BC"/>
    <w:rsid w:val="00C32624"/>
    <w:rsid w:val="00C326FE"/>
    <w:rsid w:val="00C32868"/>
    <w:rsid w:val="00C32CB4"/>
    <w:rsid w:val="00C32EA4"/>
    <w:rsid w:val="00C33703"/>
    <w:rsid w:val="00C337F7"/>
    <w:rsid w:val="00C33870"/>
    <w:rsid w:val="00C33E6C"/>
    <w:rsid w:val="00C3416F"/>
    <w:rsid w:val="00C343F9"/>
    <w:rsid w:val="00C34427"/>
    <w:rsid w:val="00C34547"/>
    <w:rsid w:val="00C34628"/>
    <w:rsid w:val="00C34A73"/>
    <w:rsid w:val="00C3554D"/>
    <w:rsid w:val="00C35556"/>
    <w:rsid w:val="00C355E1"/>
    <w:rsid w:val="00C357DA"/>
    <w:rsid w:val="00C35A11"/>
    <w:rsid w:val="00C35B68"/>
    <w:rsid w:val="00C35E22"/>
    <w:rsid w:val="00C367FB"/>
    <w:rsid w:val="00C3681F"/>
    <w:rsid w:val="00C368BD"/>
    <w:rsid w:val="00C36A1F"/>
    <w:rsid w:val="00C36A7C"/>
    <w:rsid w:val="00C37AE9"/>
    <w:rsid w:val="00C37D5E"/>
    <w:rsid w:val="00C403F5"/>
    <w:rsid w:val="00C40412"/>
    <w:rsid w:val="00C407E1"/>
    <w:rsid w:val="00C408E1"/>
    <w:rsid w:val="00C409B1"/>
    <w:rsid w:val="00C40C66"/>
    <w:rsid w:val="00C414F8"/>
    <w:rsid w:val="00C415B9"/>
    <w:rsid w:val="00C41926"/>
    <w:rsid w:val="00C41A74"/>
    <w:rsid w:val="00C41B70"/>
    <w:rsid w:val="00C41B7C"/>
    <w:rsid w:val="00C4226B"/>
    <w:rsid w:val="00C422DD"/>
    <w:rsid w:val="00C424FB"/>
    <w:rsid w:val="00C42774"/>
    <w:rsid w:val="00C43077"/>
    <w:rsid w:val="00C43254"/>
    <w:rsid w:val="00C437C3"/>
    <w:rsid w:val="00C438DD"/>
    <w:rsid w:val="00C4393F"/>
    <w:rsid w:val="00C43B10"/>
    <w:rsid w:val="00C43F93"/>
    <w:rsid w:val="00C4401C"/>
    <w:rsid w:val="00C44053"/>
    <w:rsid w:val="00C44744"/>
    <w:rsid w:val="00C44892"/>
    <w:rsid w:val="00C4558D"/>
    <w:rsid w:val="00C45BA7"/>
    <w:rsid w:val="00C45C70"/>
    <w:rsid w:val="00C45D4C"/>
    <w:rsid w:val="00C45DAD"/>
    <w:rsid w:val="00C45E30"/>
    <w:rsid w:val="00C4650A"/>
    <w:rsid w:val="00C47825"/>
    <w:rsid w:val="00C47951"/>
    <w:rsid w:val="00C50101"/>
    <w:rsid w:val="00C50683"/>
    <w:rsid w:val="00C510FD"/>
    <w:rsid w:val="00C51922"/>
    <w:rsid w:val="00C51963"/>
    <w:rsid w:val="00C51A62"/>
    <w:rsid w:val="00C51D2A"/>
    <w:rsid w:val="00C51F21"/>
    <w:rsid w:val="00C52142"/>
    <w:rsid w:val="00C523D2"/>
    <w:rsid w:val="00C52422"/>
    <w:rsid w:val="00C525E8"/>
    <w:rsid w:val="00C52799"/>
    <w:rsid w:val="00C52B82"/>
    <w:rsid w:val="00C52BBC"/>
    <w:rsid w:val="00C52D8E"/>
    <w:rsid w:val="00C52DB1"/>
    <w:rsid w:val="00C52FFA"/>
    <w:rsid w:val="00C53BBA"/>
    <w:rsid w:val="00C53BC1"/>
    <w:rsid w:val="00C54196"/>
    <w:rsid w:val="00C5437F"/>
    <w:rsid w:val="00C5444B"/>
    <w:rsid w:val="00C54E16"/>
    <w:rsid w:val="00C55578"/>
    <w:rsid w:val="00C55810"/>
    <w:rsid w:val="00C5598C"/>
    <w:rsid w:val="00C55D44"/>
    <w:rsid w:val="00C55E5A"/>
    <w:rsid w:val="00C56016"/>
    <w:rsid w:val="00C56021"/>
    <w:rsid w:val="00C5608A"/>
    <w:rsid w:val="00C569BF"/>
    <w:rsid w:val="00C570E8"/>
    <w:rsid w:val="00C573A5"/>
    <w:rsid w:val="00C57429"/>
    <w:rsid w:val="00C577AD"/>
    <w:rsid w:val="00C57992"/>
    <w:rsid w:val="00C57AE6"/>
    <w:rsid w:val="00C57E73"/>
    <w:rsid w:val="00C604AD"/>
    <w:rsid w:val="00C610CD"/>
    <w:rsid w:val="00C614E3"/>
    <w:rsid w:val="00C614F9"/>
    <w:rsid w:val="00C6163C"/>
    <w:rsid w:val="00C6182B"/>
    <w:rsid w:val="00C61B6B"/>
    <w:rsid w:val="00C61D27"/>
    <w:rsid w:val="00C61D5C"/>
    <w:rsid w:val="00C61F50"/>
    <w:rsid w:val="00C627EA"/>
    <w:rsid w:val="00C62A25"/>
    <w:rsid w:val="00C631A6"/>
    <w:rsid w:val="00C632D2"/>
    <w:rsid w:val="00C63727"/>
    <w:rsid w:val="00C63BDE"/>
    <w:rsid w:val="00C65091"/>
    <w:rsid w:val="00C66F74"/>
    <w:rsid w:val="00C7070C"/>
    <w:rsid w:val="00C70827"/>
    <w:rsid w:val="00C70DEF"/>
    <w:rsid w:val="00C70E0E"/>
    <w:rsid w:val="00C71056"/>
    <w:rsid w:val="00C7128D"/>
    <w:rsid w:val="00C71604"/>
    <w:rsid w:val="00C7197B"/>
    <w:rsid w:val="00C71CB2"/>
    <w:rsid w:val="00C71DAA"/>
    <w:rsid w:val="00C7205B"/>
    <w:rsid w:val="00C73185"/>
    <w:rsid w:val="00C732D9"/>
    <w:rsid w:val="00C733BB"/>
    <w:rsid w:val="00C74374"/>
    <w:rsid w:val="00C7457A"/>
    <w:rsid w:val="00C74954"/>
    <w:rsid w:val="00C74CDE"/>
    <w:rsid w:val="00C74DBF"/>
    <w:rsid w:val="00C74EA8"/>
    <w:rsid w:val="00C74F37"/>
    <w:rsid w:val="00C75780"/>
    <w:rsid w:val="00C75AC8"/>
    <w:rsid w:val="00C75AD5"/>
    <w:rsid w:val="00C75B1F"/>
    <w:rsid w:val="00C75B53"/>
    <w:rsid w:val="00C75C25"/>
    <w:rsid w:val="00C75CC8"/>
    <w:rsid w:val="00C7647A"/>
    <w:rsid w:val="00C76702"/>
    <w:rsid w:val="00C76850"/>
    <w:rsid w:val="00C76B71"/>
    <w:rsid w:val="00C77036"/>
    <w:rsid w:val="00C77983"/>
    <w:rsid w:val="00C77A03"/>
    <w:rsid w:val="00C80711"/>
    <w:rsid w:val="00C80E7E"/>
    <w:rsid w:val="00C81233"/>
    <w:rsid w:val="00C813F0"/>
    <w:rsid w:val="00C819BD"/>
    <w:rsid w:val="00C81D2B"/>
    <w:rsid w:val="00C81F8F"/>
    <w:rsid w:val="00C820A6"/>
    <w:rsid w:val="00C820E8"/>
    <w:rsid w:val="00C824F4"/>
    <w:rsid w:val="00C82B19"/>
    <w:rsid w:val="00C838A9"/>
    <w:rsid w:val="00C83D98"/>
    <w:rsid w:val="00C84962"/>
    <w:rsid w:val="00C84E4F"/>
    <w:rsid w:val="00C84EDA"/>
    <w:rsid w:val="00C850D3"/>
    <w:rsid w:val="00C85811"/>
    <w:rsid w:val="00C86B14"/>
    <w:rsid w:val="00C86B41"/>
    <w:rsid w:val="00C86EF3"/>
    <w:rsid w:val="00C86F13"/>
    <w:rsid w:val="00C87016"/>
    <w:rsid w:val="00C874B0"/>
    <w:rsid w:val="00C875C9"/>
    <w:rsid w:val="00C87B93"/>
    <w:rsid w:val="00C87E93"/>
    <w:rsid w:val="00C90319"/>
    <w:rsid w:val="00C90834"/>
    <w:rsid w:val="00C90BEF"/>
    <w:rsid w:val="00C90ED7"/>
    <w:rsid w:val="00C911CE"/>
    <w:rsid w:val="00C92185"/>
    <w:rsid w:val="00C9240D"/>
    <w:rsid w:val="00C92884"/>
    <w:rsid w:val="00C92B02"/>
    <w:rsid w:val="00C92CC2"/>
    <w:rsid w:val="00C92F6E"/>
    <w:rsid w:val="00C9304A"/>
    <w:rsid w:val="00C93113"/>
    <w:rsid w:val="00C93907"/>
    <w:rsid w:val="00C93BDD"/>
    <w:rsid w:val="00C93C62"/>
    <w:rsid w:val="00C93D27"/>
    <w:rsid w:val="00C93D81"/>
    <w:rsid w:val="00C94682"/>
    <w:rsid w:val="00C9502D"/>
    <w:rsid w:val="00C95220"/>
    <w:rsid w:val="00C957C1"/>
    <w:rsid w:val="00C95D28"/>
    <w:rsid w:val="00C95F96"/>
    <w:rsid w:val="00C96118"/>
    <w:rsid w:val="00C9641C"/>
    <w:rsid w:val="00C9643A"/>
    <w:rsid w:val="00C964CC"/>
    <w:rsid w:val="00C96F71"/>
    <w:rsid w:val="00C9700C"/>
    <w:rsid w:val="00C97170"/>
    <w:rsid w:val="00C978D4"/>
    <w:rsid w:val="00CA0060"/>
    <w:rsid w:val="00CA1C29"/>
    <w:rsid w:val="00CA1E5F"/>
    <w:rsid w:val="00CA241C"/>
    <w:rsid w:val="00CA2C39"/>
    <w:rsid w:val="00CA30C9"/>
    <w:rsid w:val="00CA3157"/>
    <w:rsid w:val="00CA3550"/>
    <w:rsid w:val="00CA35BC"/>
    <w:rsid w:val="00CA3CAC"/>
    <w:rsid w:val="00CA45D3"/>
    <w:rsid w:val="00CA46F0"/>
    <w:rsid w:val="00CA4C04"/>
    <w:rsid w:val="00CA503F"/>
    <w:rsid w:val="00CA5072"/>
    <w:rsid w:val="00CA523A"/>
    <w:rsid w:val="00CA5B05"/>
    <w:rsid w:val="00CA5BA8"/>
    <w:rsid w:val="00CA5D63"/>
    <w:rsid w:val="00CA62CD"/>
    <w:rsid w:val="00CA656F"/>
    <w:rsid w:val="00CA73F5"/>
    <w:rsid w:val="00CB066F"/>
    <w:rsid w:val="00CB0673"/>
    <w:rsid w:val="00CB0DA2"/>
    <w:rsid w:val="00CB137A"/>
    <w:rsid w:val="00CB158B"/>
    <w:rsid w:val="00CB15AD"/>
    <w:rsid w:val="00CB17D4"/>
    <w:rsid w:val="00CB1B78"/>
    <w:rsid w:val="00CB1E79"/>
    <w:rsid w:val="00CB1EC9"/>
    <w:rsid w:val="00CB218D"/>
    <w:rsid w:val="00CB2266"/>
    <w:rsid w:val="00CB27A3"/>
    <w:rsid w:val="00CB2AD6"/>
    <w:rsid w:val="00CB2F49"/>
    <w:rsid w:val="00CB3691"/>
    <w:rsid w:val="00CB3788"/>
    <w:rsid w:val="00CB3F2C"/>
    <w:rsid w:val="00CB405A"/>
    <w:rsid w:val="00CB4498"/>
    <w:rsid w:val="00CB45A5"/>
    <w:rsid w:val="00CB4F83"/>
    <w:rsid w:val="00CB5446"/>
    <w:rsid w:val="00CB55EA"/>
    <w:rsid w:val="00CB5726"/>
    <w:rsid w:val="00CB5CF3"/>
    <w:rsid w:val="00CB5E80"/>
    <w:rsid w:val="00CB68DD"/>
    <w:rsid w:val="00CB6CDF"/>
    <w:rsid w:val="00CB6F20"/>
    <w:rsid w:val="00CB6F44"/>
    <w:rsid w:val="00CB6F71"/>
    <w:rsid w:val="00CB7184"/>
    <w:rsid w:val="00CB7558"/>
    <w:rsid w:val="00CB75F3"/>
    <w:rsid w:val="00CB797F"/>
    <w:rsid w:val="00CC0161"/>
    <w:rsid w:val="00CC0221"/>
    <w:rsid w:val="00CC0267"/>
    <w:rsid w:val="00CC030A"/>
    <w:rsid w:val="00CC0589"/>
    <w:rsid w:val="00CC05AA"/>
    <w:rsid w:val="00CC1312"/>
    <w:rsid w:val="00CC144B"/>
    <w:rsid w:val="00CC1549"/>
    <w:rsid w:val="00CC15ED"/>
    <w:rsid w:val="00CC2099"/>
    <w:rsid w:val="00CC2244"/>
    <w:rsid w:val="00CC2E17"/>
    <w:rsid w:val="00CC3782"/>
    <w:rsid w:val="00CC3B27"/>
    <w:rsid w:val="00CC3BC9"/>
    <w:rsid w:val="00CC4098"/>
    <w:rsid w:val="00CC42B4"/>
    <w:rsid w:val="00CC473C"/>
    <w:rsid w:val="00CC5688"/>
    <w:rsid w:val="00CC58D0"/>
    <w:rsid w:val="00CC5ED4"/>
    <w:rsid w:val="00CC6283"/>
    <w:rsid w:val="00CC64F7"/>
    <w:rsid w:val="00CC6A31"/>
    <w:rsid w:val="00CC6A47"/>
    <w:rsid w:val="00CC772E"/>
    <w:rsid w:val="00CC7C17"/>
    <w:rsid w:val="00CD0BD7"/>
    <w:rsid w:val="00CD0D94"/>
    <w:rsid w:val="00CD120B"/>
    <w:rsid w:val="00CD1432"/>
    <w:rsid w:val="00CD15C0"/>
    <w:rsid w:val="00CD179E"/>
    <w:rsid w:val="00CD1FED"/>
    <w:rsid w:val="00CD2264"/>
    <w:rsid w:val="00CD2444"/>
    <w:rsid w:val="00CD26C7"/>
    <w:rsid w:val="00CD26DE"/>
    <w:rsid w:val="00CD2CD0"/>
    <w:rsid w:val="00CD3BA2"/>
    <w:rsid w:val="00CD43BF"/>
    <w:rsid w:val="00CD4536"/>
    <w:rsid w:val="00CD497A"/>
    <w:rsid w:val="00CD4A22"/>
    <w:rsid w:val="00CD4AD5"/>
    <w:rsid w:val="00CD4B7B"/>
    <w:rsid w:val="00CD4D4B"/>
    <w:rsid w:val="00CD5542"/>
    <w:rsid w:val="00CD57AC"/>
    <w:rsid w:val="00CD57AE"/>
    <w:rsid w:val="00CD58BD"/>
    <w:rsid w:val="00CD5BAD"/>
    <w:rsid w:val="00CD6730"/>
    <w:rsid w:val="00CD6CCA"/>
    <w:rsid w:val="00CD6D61"/>
    <w:rsid w:val="00CD73BD"/>
    <w:rsid w:val="00CD75DD"/>
    <w:rsid w:val="00CD7A48"/>
    <w:rsid w:val="00CE05D7"/>
    <w:rsid w:val="00CE0A5A"/>
    <w:rsid w:val="00CE10DF"/>
    <w:rsid w:val="00CE1243"/>
    <w:rsid w:val="00CE12C9"/>
    <w:rsid w:val="00CE1660"/>
    <w:rsid w:val="00CE1ABF"/>
    <w:rsid w:val="00CE1C14"/>
    <w:rsid w:val="00CE1CD9"/>
    <w:rsid w:val="00CE1F21"/>
    <w:rsid w:val="00CE22D2"/>
    <w:rsid w:val="00CE238E"/>
    <w:rsid w:val="00CE2B43"/>
    <w:rsid w:val="00CE3AD4"/>
    <w:rsid w:val="00CE3BE5"/>
    <w:rsid w:val="00CE3C68"/>
    <w:rsid w:val="00CE3C7B"/>
    <w:rsid w:val="00CE4197"/>
    <w:rsid w:val="00CE4485"/>
    <w:rsid w:val="00CE4C25"/>
    <w:rsid w:val="00CE4D8D"/>
    <w:rsid w:val="00CE4E55"/>
    <w:rsid w:val="00CE5122"/>
    <w:rsid w:val="00CE537B"/>
    <w:rsid w:val="00CE5BA2"/>
    <w:rsid w:val="00CE6531"/>
    <w:rsid w:val="00CE6721"/>
    <w:rsid w:val="00CE6A7F"/>
    <w:rsid w:val="00CE6E61"/>
    <w:rsid w:val="00CE7457"/>
    <w:rsid w:val="00CE78AD"/>
    <w:rsid w:val="00CE78BE"/>
    <w:rsid w:val="00CE78EF"/>
    <w:rsid w:val="00CE7AC8"/>
    <w:rsid w:val="00CE7FF6"/>
    <w:rsid w:val="00CF06A1"/>
    <w:rsid w:val="00CF0AC8"/>
    <w:rsid w:val="00CF144C"/>
    <w:rsid w:val="00CF169F"/>
    <w:rsid w:val="00CF17E3"/>
    <w:rsid w:val="00CF1BF8"/>
    <w:rsid w:val="00CF1EB8"/>
    <w:rsid w:val="00CF2361"/>
    <w:rsid w:val="00CF23D2"/>
    <w:rsid w:val="00CF2400"/>
    <w:rsid w:val="00CF253E"/>
    <w:rsid w:val="00CF25E0"/>
    <w:rsid w:val="00CF272F"/>
    <w:rsid w:val="00CF2969"/>
    <w:rsid w:val="00CF2A78"/>
    <w:rsid w:val="00CF2B83"/>
    <w:rsid w:val="00CF2C73"/>
    <w:rsid w:val="00CF2C7F"/>
    <w:rsid w:val="00CF2D3B"/>
    <w:rsid w:val="00CF3795"/>
    <w:rsid w:val="00CF37EA"/>
    <w:rsid w:val="00CF3B17"/>
    <w:rsid w:val="00CF4518"/>
    <w:rsid w:val="00CF4B43"/>
    <w:rsid w:val="00CF5344"/>
    <w:rsid w:val="00CF5545"/>
    <w:rsid w:val="00CF5689"/>
    <w:rsid w:val="00CF61B1"/>
    <w:rsid w:val="00CF65F0"/>
    <w:rsid w:val="00CF6CB4"/>
    <w:rsid w:val="00CF6FBE"/>
    <w:rsid w:val="00CF7385"/>
    <w:rsid w:val="00CF776D"/>
    <w:rsid w:val="00CF7852"/>
    <w:rsid w:val="00CF78DB"/>
    <w:rsid w:val="00CF7C6C"/>
    <w:rsid w:val="00CF7F34"/>
    <w:rsid w:val="00D001D8"/>
    <w:rsid w:val="00D00564"/>
    <w:rsid w:val="00D005DD"/>
    <w:rsid w:val="00D00A69"/>
    <w:rsid w:val="00D00FF8"/>
    <w:rsid w:val="00D0104B"/>
    <w:rsid w:val="00D010BE"/>
    <w:rsid w:val="00D013CA"/>
    <w:rsid w:val="00D016D4"/>
    <w:rsid w:val="00D01EE1"/>
    <w:rsid w:val="00D0237E"/>
    <w:rsid w:val="00D02529"/>
    <w:rsid w:val="00D025F8"/>
    <w:rsid w:val="00D02B1C"/>
    <w:rsid w:val="00D02CDF"/>
    <w:rsid w:val="00D031EF"/>
    <w:rsid w:val="00D033FE"/>
    <w:rsid w:val="00D0382F"/>
    <w:rsid w:val="00D03D31"/>
    <w:rsid w:val="00D03D38"/>
    <w:rsid w:val="00D045F1"/>
    <w:rsid w:val="00D049E0"/>
    <w:rsid w:val="00D04F60"/>
    <w:rsid w:val="00D05456"/>
    <w:rsid w:val="00D05A5F"/>
    <w:rsid w:val="00D05AA4"/>
    <w:rsid w:val="00D05D5A"/>
    <w:rsid w:val="00D05D87"/>
    <w:rsid w:val="00D05EA1"/>
    <w:rsid w:val="00D05F24"/>
    <w:rsid w:val="00D0644E"/>
    <w:rsid w:val="00D0647A"/>
    <w:rsid w:val="00D065EC"/>
    <w:rsid w:val="00D0669D"/>
    <w:rsid w:val="00D06822"/>
    <w:rsid w:val="00D06A5E"/>
    <w:rsid w:val="00D072BB"/>
    <w:rsid w:val="00D074AC"/>
    <w:rsid w:val="00D076D2"/>
    <w:rsid w:val="00D07750"/>
    <w:rsid w:val="00D0797D"/>
    <w:rsid w:val="00D07CB6"/>
    <w:rsid w:val="00D10510"/>
    <w:rsid w:val="00D10817"/>
    <w:rsid w:val="00D10E1E"/>
    <w:rsid w:val="00D1149A"/>
    <w:rsid w:val="00D118FC"/>
    <w:rsid w:val="00D128DE"/>
    <w:rsid w:val="00D12B2E"/>
    <w:rsid w:val="00D12DEC"/>
    <w:rsid w:val="00D12EA4"/>
    <w:rsid w:val="00D1306F"/>
    <w:rsid w:val="00D13C94"/>
    <w:rsid w:val="00D14116"/>
    <w:rsid w:val="00D141FD"/>
    <w:rsid w:val="00D146DD"/>
    <w:rsid w:val="00D1483B"/>
    <w:rsid w:val="00D14963"/>
    <w:rsid w:val="00D14A9C"/>
    <w:rsid w:val="00D15003"/>
    <w:rsid w:val="00D15322"/>
    <w:rsid w:val="00D15632"/>
    <w:rsid w:val="00D15A00"/>
    <w:rsid w:val="00D15D65"/>
    <w:rsid w:val="00D15F35"/>
    <w:rsid w:val="00D1663B"/>
    <w:rsid w:val="00D16963"/>
    <w:rsid w:val="00D16D41"/>
    <w:rsid w:val="00D17731"/>
    <w:rsid w:val="00D17F0D"/>
    <w:rsid w:val="00D20900"/>
    <w:rsid w:val="00D210CF"/>
    <w:rsid w:val="00D2137B"/>
    <w:rsid w:val="00D2147C"/>
    <w:rsid w:val="00D21752"/>
    <w:rsid w:val="00D21F34"/>
    <w:rsid w:val="00D225F1"/>
    <w:rsid w:val="00D22EC5"/>
    <w:rsid w:val="00D22EF8"/>
    <w:rsid w:val="00D23177"/>
    <w:rsid w:val="00D234FB"/>
    <w:rsid w:val="00D23683"/>
    <w:rsid w:val="00D23ED3"/>
    <w:rsid w:val="00D24125"/>
    <w:rsid w:val="00D24187"/>
    <w:rsid w:val="00D24372"/>
    <w:rsid w:val="00D2459B"/>
    <w:rsid w:val="00D24AE2"/>
    <w:rsid w:val="00D253C0"/>
    <w:rsid w:val="00D254B5"/>
    <w:rsid w:val="00D2561F"/>
    <w:rsid w:val="00D25CFB"/>
    <w:rsid w:val="00D2601D"/>
    <w:rsid w:val="00D260E4"/>
    <w:rsid w:val="00D262AD"/>
    <w:rsid w:val="00D26B77"/>
    <w:rsid w:val="00D26BAF"/>
    <w:rsid w:val="00D26E26"/>
    <w:rsid w:val="00D275B5"/>
    <w:rsid w:val="00D27679"/>
    <w:rsid w:val="00D27774"/>
    <w:rsid w:val="00D27959"/>
    <w:rsid w:val="00D27D0E"/>
    <w:rsid w:val="00D27E86"/>
    <w:rsid w:val="00D30093"/>
    <w:rsid w:val="00D300AE"/>
    <w:rsid w:val="00D30893"/>
    <w:rsid w:val="00D30962"/>
    <w:rsid w:val="00D31258"/>
    <w:rsid w:val="00D32097"/>
    <w:rsid w:val="00D3228D"/>
    <w:rsid w:val="00D32B5B"/>
    <w:rsid w:val="00D33275"/>
    <w:rsid w:val="00D344B4"/>
    <w:rsid w:val="00D34738"/>
    <w:rsid w:val="00D34C50"/>
    <w:rsid w:val="00D35953"/>
    <w:rsid w:val="00D35BFA"/>
    <w:rsid w:val="00D362FE"/>
    <w:rsid w:val="00D36431"/>
    <w:rsid w:val="00D3699E"/>
    <w:rsid w:val="00D36F9A"/>
    <w:rsid w:val="00D3703C"/>
    <w:rsid w:val="00D37841"/>
    <w:rsid w:val="00D3790D"/>
    <w:rsid w:val="00D37C03"/>
    <w:rsid w:val="00D37C62"/>
    <w:rsid w:val="00D3CACC"/>
    <w:rsid w:val="00D40167"/>
    <w:rsid w:val="00D42065"/>
    <w:rsid w:val="00D42D32"/>
    <w:rsid w:val="00D43F94"/>
    <w:rsid w:val="00D441C2"/>
    <w:rsid w:val="00D443B8"/>
    <w:rsid w:val="00D4446B"/>
    <w:rsid w:val="00D449B2"/>
    <w:rsid w:val="00D44C88"/>
    <w:rsid w:val="00D44EA7"/>
    <w:rsid w:val="00D45E46"/>
    <w:rsid w:val="00D45F24"/>
    <w:rsid w:val="00D460A8"/>
    <w:rsid w:val="00D46954"/>
    <w:rsid w:val="00D469A3"/>
    <w:rsid w:val="00D46C07"/>
    <w:rsid w:val="00D46C3A"/>
    <w:rsid w:val="00D46EFC"/>
    <w:rsid w:val="00D4720E"/>
    <w:rsid w:val="00D478DD"/>
    <w:rsid w:val="00D4795A"/>
    <w:rsid w:val="00D4FEA1"/>
    <w:rsid w:val="00D500FB"/>
    <w:rsid w:val="00D5021E"/>
    <w:rsid w:val="00D50D21"/>
    <w:rsid w:val="00D50F33"/>
    <w:rsid w:val="00D511F5"/>
    <w:rsid w:val="00D5145B"/>
    <w:rsid w:val="00D51A96"/>
    <w:rsid w:val="00D51CD6"/>
    <w:rsid w:val="00D51E66"/>
    <w:rsid w:val="00D521EB"/>
    <w:rsid w:val="00D523B5"/>
    <w:rsid w:val="00D52652"/>
    <w:rsid w:val="00D5275A"/>
    <w:rsid w:val="00D52D49"/>
    <w:rsid w:val="00D530CF"/>
    <w:rsid w:val="00D530ED"/>
    <w:rsid w:val="00D5335C"/>
    <w:rsid w:val="00D53A69"/>
    <w:rsid w:val="00D53BCB"/>
    <w:rsid w:val="00D53FA2"/>
    <w:rsid w:val="00D5422D"/>
    <w:rsid w:val="00D549C5"/>
    <w:rsid w:val="00D55179"/>
    <w:rsid w:val="00D553FE"/>
    <w:rsid w:val="00D55995"/>
    <w:rsid w:val="00D55F9B"/>
    <w:rsid w:val="00D561B6"/>
    <w:rsid w:val="00D5643D"/>
    <w:rsid w:val="00D56899"/>
    <w:rsid w:val="00D56984"/>
    <w:rsid w:val="00D57047"/>
    <w:rsid w:val="00D5750D"/>
    <w:rsid w:val="00D577F5"/>
    <w:rsid w:val="00D608F6"/>
    <w:rsid w:val="00D60BB2"/>
    <w:rsid w:val="00D61264"/>
    <w:rsid w:val="00D613F0"/>
    <w:rsid w:val="00D6163B"/>
    <w:rsid w:val="00D61888"/>
    <w:rsid w:val="00D61C47"/>
    <w:rsid w:val="00D61F91"/>
    <w:rsid w:val="00D62678"/>
    <w:rsid w:val="00D6278D"/>
    <w:rsid w:val="00D6294E"/>
    <w:rsid w:val="00D62E7F"/>
    <w:rsid w:val="00D63245"/>
    <w:rsid w:val="00D637AC"/>
    <w:rsid w:val="00D63B97"/>
    <w:rsid w:val="00D63E2F"/>
    <w:rsid w:val="00D6441C"/>
    <w:rsid w:val="00D644F1"/>
    <w:rsid w:val="00D64E78"/>
    <w:rsid w:val="00D6526B"/>
    <w:rsid w:val="00D653FD"/>
    <w:rsid w:val="00D65E49"/>
    <w:rsid w:val="00D6615F"/>
    <w:rsid w:val="00D666DE"/>
    <w:rsid w:val="00D6682E"/>
    <w:rsid w:val="00D66D21"/>
    <w:rsid w:val="00D67089"/>
    <w:rsid w:val="00D672AC"/>
    <w:rsid w:val="00D673FB"/>
    <w:rsid w:val="00D6766F"/>
    <w:rsid w:val="00D6785A"/>
    <w:rsid w:val="00D701AC"/>
    <w:rsid w:val="00D70F4A"/>
    <w:rsid w:val="00D715B8"/>
    <w:rsid w:val="00D71693"/>
    <w:rsid w:val="00D71945"/>
    <w:rsid w:val="00D719F7"/>
    <w:rsid w:val="00D71A8A"/>
    <w:rsid w:val="00D72163"/>
    <w:rsid w:val="00D72561"/>
    <w:rsid w:val="00D72C8F"/>
    <w:rsid w:val="00D72CFF"/>
    <w:rsid w:val="00D730D4"/>
    <w:rsid w:val="00D73BA8"/>
    <w:rsid w:val="00D73D8F"/>
    <w:rsid w:val="00D743F8"/>
    <w:rsid w:val="00D74562"/>
    <w:rsid w:val="00D74845"/>
    <w:rsid w:val="00D74AEE"/>
    <w:rsid w:val="00D74CA4"/>
    <w:rsid w:val="00D74D43"/>
    <w:rsid w:val="00D74F75"/>
    <w:rsid w:val="00D758BD"/>
    <w:rsid w:val="00D75D4D"/>
    <w:rsid w:val="00D75F52"/>
    <w:rsid w:val="00D766DC"/>
    <w:rsid w:val="00D76971"/>
    <w:rsid w:val="00D769B8"/>
    <w:rsid w:val="00D76CD0"/>
    <w:rsid w:val="00D76FC4"/>
    <w:rsid w:val="00D770C1"/>
    <w:rsid w:val="00D77A9C"/>
    <w:rsid w:val="00D77F5C"/>
    <w:rsid w:val="00D7D05C"/>
    <w:rsid w:val="00D8054F"/>
    <w:rsid w:val="00D81020"/>
    <w:rsid w:val="00D816DF"/>
    <w:rsid w:val="00D81987"/>
    <w:rsid w:val="00D81F6D"/>
    <w:rsid w:val="00D8257E"/>
    <w:rsid w:val="00D82734"/>
    <w:rsid w:val="00D82D28"/>
    <w:rsid w:val="00D8367C"/>
    <w:rsid w:val="00D836DF"/>
    <w:rsid w:val="00D8381F"/>
    <w:rsid w:val="00D83AC8"/>
    <w:rsid w:val="00D83D16"/>
    <w:rsid w:val="00D83D5C"/>
    <w:rsid w:val="00D83D7C"/>
    <w:rsid w:val="00D8400E"/>
    <w:rsid w:val="00D8430C"/>
    <w:rsid w:val="00D84854"/>
    <w:rsid w:val="00D85362"/>
    <w:rsid w:val="00D85896"/>
    <w:rsid w:val="00D862C9"/>
    <w:rsid w:val="00D86300"/>
    <w:rsid w:val="00D86454"/>
    <w:rsid w:val="00D87596"/>
    <w:rsid w:val="00D87880"/>
    <w:rsid w:val="00D87B3F"/>
    <w:rsid w:val="00D90516"/>
    <w:rsid w:val="00D906FF"/>
    <w:rsid w:val="00D90B88"/>
    <w:rsid w:val="00D917E3"/>
    <w:rsid w:val="00D917F2"/>
    <w:rsid w:val="00D91979"/>
    <w:rsid w:val="00D91A7B"/>
    <w:rsid w:val="00D91AEF"/>
    <w:rsid w:val="00D91F0D"/>
    <w:rsid w:val="00D91F1F"/>
    <w:rsid w:val="00D91F40"/>
    <w:rsid w:val="00D92028"/>
    <w:rsid w:val="00D92231"/>
    <w:rsid w:val="00D9271F"/>
    <w:rsid w:val="00D92765"/>
    <w:rsid w:val="00D93120"/>
    <w:rsid w:val="00D931C4"/>
    <w:rsid w:val="00D9338A"/>
    <w:rsid w:val="00D93A1C"/>
    <w:rsid w:val="00D93AB6"/>
    <w:rsid w:val="00D93CEF"/>
    <w:rsid w:val="00D94276"/>
    <w:rsid w:val="00D945D3"/>
    <w:rsid w:val="00D948C1"/>
    <w:rsid w:val="00D94F55"/>
    <w:rsid w:val="00D95811"/>
    <w:rsid w:val="00D95D05"/>
    <w:rsid w:val="00D96054"/>
    <w:rsid w:val="00D9646C"/>
    <w:rsid w:val="00D96689"/>
    <w:rsid w:val="00D96E1B"/>
    <w:rsid w:val="00D97BF4"/>
    <w:rsid w:val="00DA01F5"/>
    <w:rsid w:val="00DA028E"/>
    <w:rsid w:val="00DA132B"/>
    <w:rsid w:val="00DA1525"/>
    <w:rsid w:val="00DA1B10"/>
    <w:rsid w:val="00DA1B89"/>
    <w:rsid w:val="00DA2367"/>
    <w:rsid w:val="00DA2615"/>
    <w:rsid w:val="00DA2CAE"/>
    <w:rsid w:val="00DA3544"/>
    <w:rsid w:val="00DA3C7D"/>
    <w:rsid w:val="00DA429E"/>
    <w:rsid w:val="00DA4A5B"/>
    <w:rsid w:val="00DA4ACE"/>
    <w:rsid w:val="00DA4B37"/>
    <w:rsid w:val="00DA5136"/>
    <w:rsid w:val="00DA535D"/>
    <w:rsid w:val="00DA53E9"/>
    <w:rsid w:val="00DA55B3"/>
    <w:rsid w:val="00DA5A75"/>
    <w:rsid w:val="00DA5BA7"/>
    <w:rsid w:val="00DA61E0"/>
    <w:rsid w:val="00DA6482"/>
    <w:rsid w:val="00DA6543"/>
    <w:rsid w:val="00DA7149"/>
    <w:rsid w:val="00DA7239"/>
    <w:rsid w:val="00DB03DF"/>
    <w:rsid w:val="00DB0481"/>
    <w:rsid w:val="00DB0E31"/>
    <w:rsid w:val="00DB10C5"/>
    <w:rsid w:val="00DB11C4"/>
    <w:rsid w:val="00DB1694"/>
    <w:rsid w:val="00DB198E"/>
    <w:rsid w:val="00DB1E42"/>
    <w:rsid w:val="00DB25EF"/>
    <w:rsid w:val="00DB2654"/>
    <w:rsid w:val="00DB2CB2"/>
    <w:rsid w:val="00DB360F"/>
    <w:rsid w:val="00DB3791"/>
    <w:rsid w:val="00DB38D4"/>
    <w:rsid w:val="00DB429D"/>
    <w:rsid w:val="00DB49C2"/>
    <w:rsid w:val="00DB4ED1"/>
    <w:rsid w:val="00DB59E0"/>
    <w:rsid w:val="00DB5FE0"/>
    <w:rsid w:val="00DB5FE8"/>
    <w:rsid w:val="00DB61D2"/>
    <w:rsid w:val="00DB63A0"/>
    <w:rsid w:val="00DB652A"/>
    <w:rsid w:val="00DB6548"/>
    <w:rsid w:val="00DB687A"/>
    <w:rsid w:val="00DB6F30"/>
    <w:rsid w:val="00DB7A98"/>
    <w:rsid w:val="00DB7AA8"/>
    <w:rsid w:val="00DC0208"/>
    <w:rsid w:val="00DC0534"/>
    <w:rsid w:val="00DC07A1"/>
    <w:rsid w:val="00DC085F"/>
    <w:rsid w:val="00DC0BAF"/>
    <w:rsid w:val="00DC0ECD"/>
    <w:rsid w:val="00DC1282"/>
    <w:rsid w:val="00DC19F4"/>
    <w:rsid w:val="00DC1A32"/>
    <w:rsid w:val="00DC1A56"/>
    <w:rsid w:val="00DC1DE5"/>
    <w:rsid w:val="00DC2B73"/>
    <w:rsid w:val="00DC2BF5"/>
    <w:rsid w:val="00DC2DA9"/>
    <w:rsid w:val="00DC303D"/>
    <w:rsid w:val="00DC4135"/>
    <w:rsid w:val="00DC4D34"/>
    <w:rsid w:val="00DC4E14"/>
    <w:rsid w:val="00DC5346"/>
    <w:rsid w:val="00DC5531"/>
    <w:rsid w:val="00DC5619"/>
    <w:rsid w:val="00DC5751"/>
    <w:rsid w:val="00DC5F94"/>
    <w:rsid w:val="00DC60AC"/>
    <w:rsid w:val="00DC6E57"/>
    <w:rsid w:val="00DC719E"/>
    <w:rsid w:val="00DC73A5"/>
    <w:rsid w:val="00DC7473"/>
    <w:rsid w:val="00DD05A2"/>
    <w:rsid w:val="00DD06AF"/>
    <w:rsid w:val="00DD073C"/>
    <w:rsid w:val="00DD0BCC"/>
    <w:rsid w:val="00DD11FB"/>
    <w:rsid w:val="00DD14BF"/>
    <w:rsid w:val="00DD1AF6"/>
    <w:rsid w:val="00DD1FAE"/>
    <w:rsid w:val="00DD2508"/>
    <w:rsid w:val="00DD2A75"/>
    <w:rsid w:val="00DD3C8F"/>
    <w:rsid w:val="00DD401B"/>
    <w:rsid w:val="00DD455C"/>
    <w:rsid w:val="00DD49B6"/>
    <w:rsid w:val="00DD4C10"/>
    <w:rsid w:val="00DD4D13"/>
    <w:rsid w:val="00DD4E40"/>
    <w:rsid w:val="00DD4FAD"/>
    <w:rsid w:val="00DD5106"/>
    <w:rsid w:val="00DD5530"/>
    <w:rsid w:val="00DD58C4"/>
    <w:rsid w:val="00DD62EE"/>
    <w:rsid w:val="00DD6890"/>
    <w:rsid w:val="00DD6974"/>
    <w:rsid w:val="00DD6FFF"/>
    <w:rsid w:val="00DD72B9"/>
    <w:rsid w:val="00DD7E98"/>
    <w:rsid w:val="00DD7F1A"/>
    <w:rsid w:val="00DE0628"/>
    <w:rsid w:val="00DE07B2"/>
    <w:rsid w:val="00DE0EA8"/>
    <w:rsid w:val="00DE10D1"/>
    <w:rsid w:val="00DE137A"/>
    <w:rsid w:val="00DE14F3"/>
    <w:rsid w:val="00DE156A"/>
    <w:rsid w:val="00DE165B"/>
    <w:rsid w:val="00DE213F"/>
    <w:rsid w:val="00DE2171"/>
    <w:rsid w:val="00DE2A7F"/>
    <w:rsid w:val="00DE32F0"/>
    <w:rsid w:val="00DE3575"/>
    <w:rsid w:val="00DE36B5"/>
    <w:rsid w:val="00DE3745"/>
    <w:rsid w:val="00DE3CFC"/>
    <w:rsid w:val="00DE479D"/>
    <w:rsid w:val="00DE48F7"/>
    <w:rsid w:val="00DE4AEB"/>
    <w:rsid w:val="00DE4C5C"/>
    <w:rsid w:val="00DE5153"/>
    <w:rsid w:val="00DE5A24"/>
    <w:rsid w:val="00DE649B"/>
    <w:rsid w:val="00DE71F4"/>
    <w:rsid w:val="00DE787D"/>
    <w:rsid w:val="00DE7BD3"/>
    <w:rsid w:val="00DE7C20"/>
    <w:rsid w:val="00DE7D46"/>
    <w:rsid w:val="00DE7F0B"/>
    <w:rsid w:val="00DF0075"/>
    <w:rsid w:val="00DF0164"/>
    <w:rsid w:val="00DF0527"/>
    <w:rsid w:val="00DF05BA"/>
    <w:rsid w:val="00DF0619"/>
    <w:rsid w:val="00DF081A"/>
    <w:rsid w:val="00DF108F"/>
    <w:rsid w:val="00DF1D03"/>
    <w:rsid w:val="00DF2008"/>
    <w:rsid w:val="00DF2167"/>
    <w:rsid w:val="00DF21D0"/>
    <w:rsid w:val="00DF2345"/>
    <w:rsid w:val="00DF2577"/>
    <w:rsid w:val="00DF2973"/>
    <w:rsid w:val="00DF2BA6"/>
    <w:rsid w:val="00DF30DE"/>
    <w:rsid w:val="00DF3276"/>
    <w:rsid w:val="00DF3A23"/>
    <w:rsid w:val="00DF3BEF"/>
    <w:rsid w:val="00DF3DCC"/>
    <w:rsid w:val="00DF4098"/>
    <w:rsid w:val="00DF40E0"/>
    <w:rsid w:val="00DF4232"/>
    <w:rsid w:val="00DF4264"/>
    <w:rsid w:val="00DF4608"/>
    <w:rsid w:val="00DF4675"/>
    <w:rsid w:val="00DF4D1B"/>
    <w:rsid w:val="00DF4ECB"/>
    <w:rsid w:val="00DF51F1"/>
    <w:rsid w:val="00DF53E6"/>
    <w:rsid w:val="00DF5761"/>
    <w:rsid w:val="00DF582F"/>
    <w:rsid w:val="00DF5C51"/>
    <w:rsid w:val="00DF5E6A"/>
    <w:rsid w:val="00DF6238"/>
    <w:rsid w:val="00DF6462"/>
    <w:rsid w:val="00DF66BF"/>
    <w:rsid w:val="00DF6C79"/>
    <w:rsid w:val="00DF6D39"/>
    <w:rsid w:val="00DF737C"/>
    <w:rsid w:val="00DF7634"/>
    <w:rsid w:val="00DF7972"/>
    <w:rsid w:val="00DF7B3C"/>
    <w:rsid w:val="00DF7D24"/>
    <w:rsid w:val="00DF7F4E"/>
    <w:rsid w:val="00E0038E"/>
    <w:rsid w:val="00E003A7"/>
    <w:rsid w:val="00E00E20"/>
    <w:rsid w:val="00E0113A"/>
    <w:rsid w:val="00E0120A"/>
    <w:rsid w:val="00E01888"/>
    <w:rsid w:val="00E018AE"/>
    <w:rsid w:val="00E01B08"/>
    <w:rsid w:val="00E01F9F"/>
    <w:rsid w:val="00E020E2"/>
    <w:rsid w:val="00E03BDA"/>
    <w:rsid w:val="00E03CFE"/>
    <w:rsid w:val="00E04002"/>
    <w:rsid w:val="00E046D9"/>
    <w:rsid w:val="00E048D0"/>
    <w:rsid w:val="00E05535"/>
    <w:rsid w:val="00E05989"/>
    <w:rsid w:val="00E06735"/>
    <w:rsid w:val="00E0676E"/>
    <w:rsid w:val="00E068C4"/>
    <w:rsid w:val="00E06FFA"/>
    <w:rsid w:val="00E073E3"/>
    <w:rsid w:val="00E076BE"/>
    <w:rsid w:val="00E07A85"/>
    <w:rsid w:val="00E1069A"/>
    <w:rsid w:val="00E106F3"/>
    <w:rsid w:val="00E1082A"/>
    <w:rsid w:val="00E1096C"/>
    <w:rsid w:val="00E12274"/>
    <w:rsid w:val="00E1257E"/>
    <w:rsid w:val="00E1298A"/>
    <w:rsid w:val="00E12C54"/>
    <w:rsid w:val="00E12E02"/>
    <w:rsid w:val="00E135C0"/>
    <w:rsid w:val="00E13885"/>
    <w:rsid w:val="00E13D80"/>
    <w:rsid w:val="00E13F6B"/>
    <w:rsid w:val="00E13F84"/>
    <w:rsid w:val="00E141C3"/>
    <w:rsid w:val="00E145DA"/>
    <w:rsid w:val="00E1461F"/>
    <w:rsid w:val="00E14E9C"/>
    <w:rsid w:val="00E15096"/>
    <w:rsid w:val="00E150F3"/>
    <w:rsid w:val="00E15413"/>
    <w:rsid w:val="00E15560"/>
    <w:rsid w:val="00E15C82"/>
    <w:rsid w:val="00E16895"/>
    <w:rsid w:val="00E170CC"/>
    <w:rsid w:val="00E17418"/>
    <w:rsid w:val="00E17567"/>
    <w:rsid w:val="00E1756A"/>
    <w:rsid w:val="00E20105"/>
    <w:rsid w:val="00E20346"/>
    <w:rsid w:val="00E2053D"/>
    <w:rsid w:val="00E2093D"/>
    <w:rsid w:val="00E215B2"/>
    <w:rsid w:val="00E2164F"/>
    <w:rsid w:val="00E220B7"/>
    <w:rsid w:val="00E22621"/>
    <w:rsid w:val="00E22FD0"/>
    <w:rsid w:val="00E236D2"/>
    <w:rsid w:val="00E23C3E"/>
    <w:rsid w:val="00E2408A"/>
    <w:rsid w:val="00E240CE"/>
    <w:rsid w:val="00E24CC2"/>
    <w:rsid w:val="00E27201"/>
    <w:rsid w:val="00E2724D"/>
    <w:rsid w:val="00E27425"/>
    <w:rsid w:val="00E274C2"/>
    <w:rsid w:val="00E27B9A"/>
    <w:rsid w:val="00E27ED1"/>
    <w:rsid w:val="00E30019"/>
    <w:rsid w:val="00E30713"/>
    <w:rsid w:val="00E3073B"/>
    <w:rsid w:val="00E30A6E"/>
    <w:rsid w:val="00E30C31"/>
    <w:rsid w:val="00E3163B"/>
    <w:rsid w:val="00E31BFB"/>
    <w:rsid w:val="00E31C5B"/>
    <w:rsid w:val="00E31E80"/>
    <w:rsid w:val="00E321AA"/>
    <w:rsid w:val="00E328B7"/>
    <w:rsid w:val="00E32BF7"/>
    <w:rsid w:val="00E32F02"/>
    <w:rsid w:val="00E33144"/>
    <w:rsid w:val="00E338E0"/>
    <w:rsid w:val="00E33C49"/>
    <w:rsid w:val="00E33D60"/>
    <w:rsid w:val="00E33E85"/>
    <w:rsid w:val="00E34358"/>
    <w:rsid w:val="00E343FD"/>
    <w:rsid w:val="00E345A3"/>
    <w:rsid w:val="00E34944"/>
    <w:rsid w:val="00E34B5C"/>
    <w:rsid w:val="00E34E28"/>
    <w:rsid w:val="00E35054"/>
    <w:rsid w:val="00E35066"/>
    <w:rsid w:val="00E35375"/>
    <w:rsid w:val="00E353A7"/>
    <w:rsid w:val="00E353D8"/>
    <w:rsid w:val="00E35455"/>
    <w:rsid w:val="00E3572E"/>
    <w:rsid w:val="00E36068"/>
    <w:rsid w:val="00E36723"/>
    <w:rsid w:val="00E36F06"/>
    <w:rsid w:val="00E373BA"/>
    <w:rsid w:val="00E37A9C"/>
    <w:rsid w:val="00E40976"/>
    <w:rsid w:val="00E40B68"/>
    <w:rsid w:val="00E416FF"/>
    <w:rsid w:val="00E41A2E"/>
    <w:rsid w:val="00E41E9B"/>
    <w:rsid w:val="00E42DA8"/>
    <w:rsid w:val="00E42FB2"/>
    <w:rsid w:val="00E43CD8"/>
    <w:rsid w:val="00E43FA4"/>
    <w:rsid w:val="00E44068"/>
    <w:rsid w:val="00E445CF"/>
    <w:rsid w:val="00E44903"/>
    <w:rsid w:val="00E44A1C"/>
    <w:rsid w:val="00E451AC"/>
    <w:rsid w:val="00E4523B"/>
    <w:rsid w:val="00E453BA"/>
    <w:rsid w:val="00E45B90"/>
    <w:rsid w:val="00E45C14"/>
    <w:rsid w:val="00E45D15"/>
    <w:rsid w:val="00E45E76"/>
    <w:rsid w:val="00E46365"/>
    <w:rsid w:val="00E46861"/>
    <w:rsid w:val="00E4711B"/>
    <w:rsid w:val="00E47199"/>
    <w:rsid w:val="00E4748D"/>
    <w:rsid w:val="00E47A56"/>
    <w:rsid w:val="00E47A96"/>
    <w:rsid w:val="00E47DDA"/>
    <w:rsid w:val="00E47F3D"/>
    <w:rsid w:val="00E501CC"/>
    <w:rsid w:val="00E511BE"/>
    <w:rsid w:val="00E515FB"/>
    <w:rsid w:val="00E516BB"/>
    <w:rsid w:val="00E51764"/>
    <w:rsid w:val="00E51D72"/>
    <w:rsid w:val="00E51E2E"/>
    <w:rsid w:val="00E52598"/>
    <w:rsid w:val="00E5259F"/>
    <w:rsid w:val="00E528EC"/>
    <w:rsid w:val="00E52DEF"/>
    <w:rsid w:val="00E53109"/>
    <w:rsid w:val="00E5314B"/>
    <w:rsid w:val="00E53416"/>
    <w:rsid w:val="00E537C3"/>
    <w:rsid w:val="00E5396E"/>
    <w:rsid w:val="00E53D21"/>
    <w:rsid w:val="00E54260"/>
    <w:rsid w:val="00E5463B"/>
    <w:rsid w:val="00E5481B"/>
    <w:rsid w:val="00E548C6"/>
    <w:rsid w:val="00E54998"/>
    <w:rsid w:val="00E54D9A"/>
    <w:rsid w:val="00E54FB5"/>
    <w:rsid w:val="00E55023"/>
    <w:rsid w:val="00E562E9"/>
    <w:rsid w:val="00E56302"/>
    <w:rsid w:val="00E56551"/>
    <w:rsid w:val="00E56707"/>
    <w:rsid w:val="00E56A8C"/>
    <w:rsid w:val="00E56DED"/>
    <w:rsid w:val="00E57038"/>
    <w:rsid w:val="00E5742C"/>
    <w:rsid w:val="00E57535"/>
    <w:rsid w:val="00E60484"/>
    <w:rsid w:val="00E605FF"/>
    <w:rsid w:val="00E60A91"/>
    <w:rsid w:val="00E61EA3"/>
    <w:rsid w:val="00E62468"/>
    <w:rsid w:val="00E6261F"/>
    <w:rsid w:val="00E6313B"/>
    <w:rsid w:val="00E631B8"/>
    <w:rsid w:val="00E633D2"/>
    <w:rsid w:val="00E63803"/>
    <w:rsid w:val="00E63BE3"/>
    <w:rsid w:val="00E63CBF"/>
    <w:rsid w:val="00E64389"/>
    <w:rsid w:val="00E64431"/>
    <w:rsid w:val="00E648B4"/>
    <w:rsid w:val="00E64DE5"/>
    <w:rsid w:val="00E657AD"/>
    <w:rsid w:val="00E65FF7"/>
    <w:rsid w:val="00E6660B"/>
    <w:rsid w:val="00E669C9"/>
    <w:rsid w:val="00E673D6"/>
    <w:rsid w:val="00E677FC"/>
    <w:rsid w:val="00E67877"/>
    <w:rsid w:val="00E67A9C"/>
    <w:rsid w:val="00E67FE2"/>
    <w:rsid w:val="00E701B3"/>
    <w:rsid w:val="00E70511"/>
    <w:rsid w:val="00E70653"/>
    <w:rsid w:val="00E7099D"/>
    <w:rsid w:val="00E710A5"/>
    <w:rsid w:val="00E714A0"/>
    <w:rsid w:val="00E71A50"/>
    <w:rsid w:val="00E71D22"/>
    <w:rsid w:val="00E72DC1"/>
    <w:rsid w:val="00E72F14"/>
    <w:rsid w:val="00E73134"/>
    <w:rsid w:val="00E734BE"/>
    <w:rsid w:val="00E73508"/>
    <w:rsid w:val="00E74A28"/>
    <w:rsid w:val="00E74C16"/>
    <w:rsid w:val="00E75344"/>
    <w:rsid w:val="00E757B8"/>
    <w:rsid w:val="00E759DB"/>
    <w:rsid w:val="00E75D57"/>
    <w:rsid w:val="00E769CB"/>
    <w:rsid w:val="00E76ED5"/>
    <w:rsid w:val="00E773AF"/>
    <w:rsid w:val="00E775CA"/>
    <w:rsid w:val="00E7760D"/>
    <w:rsid w:val="00E779E4"/>
    <w:rsid w:val="00E77CD3"/>
    <w:rsid w:val="00E77EED"/>
    <w:rsid w:val="00E80376"/>
    <w:rsid w:val="00E8042D"/>
    <w:rsid w:val="00E8044B"/>
    <w:rsid w:val="00E80F44"/>
    <w:rsid w:val="00E815FD"/>
    <w:rsid w:val="00E81E84"/>
    <w:rsid w:val="00E82D4E"/>
    <w:rsid w:val="00E82F18"/>
    <w:rsid w:val="00E8385B"/>
    <w:rsid w:val="00E83ABF"/>
    <w:rsid w:val="00E8413F"/>
    <w:rsid w:val="00E84343"/>
    <w:rsid w:val="00E84456"/>
    <w:rsid w:val="00E84B96"/>
    <w:rsid w:val="00E84BA9"/>
    <w:rsid w:val="00E84E3F"/>
    <w:rsid w:val="00E852D9"/>
    <w:rsid w:val="00E85771"/>
    <w:rsid w:val="00E859CA"/>
    <w:rsid w:val="00E86159"/>
    <w:rsid w:val="00E86276"/>
    <w:rsid w:val="00E862AD"/>
    <w:rsid w:val="00E862B0"/>
    <w:rsid w:val="00E869A9"/>
    <w:rsid w:val="00E86E8A"/>
    <w:rsid w:val="00E87056"/>
    <w:rsid w:val="00E9051B"/>
    <w:rsid w:val="00E913BB"/>
    <w:rsid w:val="00E91A69"/>
    <w:rsid w:val="00E91B5D"/>
    <w:rsid w:val="00E91CE6"/>
    <w:rsid w:val="00E91F44"/>
    <w:rsid w:val="00E9215D"/>
    <w:rsid w:val="00E923F3"/>
    <w:rsid w:val="00E92BDB"/>
    <w:rsid w:val="00E92DAD"/>
    <w:rsid w:val="00E93412"/>
    <w:rsid w:val="00E93995"/>
    <w:rsid w:val="00E93B28"/>
    <w:rsid w:val="00E93EA8"/>
    <w:rsid w:val="00E9408A"/>
    <w:rsid w:val="00E942DB"/>
    <w:rsid w:val="00E95844"/>
    <w:rsid w:val="00E95968"/>
    <w:rsid w:val="00E95F9A"/>
    <w:rsid w:val="00E96D11"/>
    <w:rsid w:val="00E96DCE"/>
    <w:rsid w:val="00E97179"/>
    <w:rsid w:val="00E976C6"/>
    <w:rsid w:val="00E97966"/>
    <w:rsid w:val="00E97B39"/>
    <w:rsid w:val="00E97C67"/>
    <w:rsid w:val="00E97E76"/>
    <w:rsid w:val="00E97F02"/>
    <w:rsid w:val="00EA0142"/>
    <w:rsid w:val="00EA06BD"/>
    <w:rsid w:val="00EA083E"/>
    <w:rsid w:val="00EA09AE"/>
    <w:rsid w:val="00EA0ECE"/>
    <w:rsid w:val="00EA1105"/>
    <w:rsid w:val="00EA1A55"/>
    <w:rsid w:val="00EA1F95"/>
    <w:rsid w:val="00EA1FA1"/>
    <w:rsid w:val="00EA1FAB"/>
    <w:rsid w:val="00EA203B"/>
    <w:rsid w:val="00EA2452"/>
    <w:rsid w:val="00EA2722"/>
    <w:rsid w:val="00EA2B12"/>
    <w:rsid w:val="00EA2D89"/>
    <w:rsid w:val="00EA3166"/>
    <w:rsid w:val="00EA316F"/>
    <w:rsid w:val="00EA382C"/>
    <w:rsid w:val="00EA4A97"/>
    <w:rsid w:val="00EA4B48"/>
    <w:rsid w:val="00EA4D33"/>
    <w:rsid w:val="00EA589B"/>
    <w:rsid w:val="00EA589E"/>
    <w:rsid w:val="00EA5E5C"/>
    <w:rsid w:val="00EA6BF7"/>
    <w:rsid w:val="00EA7515"/>
    <w:rsid w:val="00EA75E0"/>
    <w:rsid w:val="00EA76B6"/>
    <w:rsid w:val="00EA7A6D"/>
    <w:rsid w:val="00EA7AD7"/>
    <w:rsid w:val="00EA7B80"/>
    <w:rsid w:val="00EB0A09"/>
    <w:rsid w:val="00EB132E"/>
    <w:rsid w:val="00EB195E"/>
    <w:rsid w:val="00EB209B"/>
    <w:rsid w:val="00EB2321"/>
    <w:rsid w:val="00EB24FB"/>
    <w:rsid w:val="00EB261C"/>
    <w:rsid w:val="00EB2666"/>
    <w:rsid w:val="00EB2AF6"/>
    <w:rsid w:val="00EB2C42"/>
    <w:rsid w:val="00EB2C96"/>
    <w:rsid w:val="00EB2D9C"/>
    <w:rsid w:val="00EB2DC0"/>
    <w:rsid w:val="00EB2E6D"/>
    <w:rsid w:val="00EB32F6"/>
    <w:rsid w:val="00EB3707"/>
    <w:rsid w:val="00EB3E20"/>
    <w:rsid w:val="00EB421B"/>
    <w:rsid w:val="00EB4569"/>
    <w:rsid w:val="00EB45C9"/>
    <w:rsid w:val="00EB4B7D"/>
    <w:rsid w:val="00EB4CD4"/>
    <w:rsid w:val="00EB4F1C"/>
    <w:rsid w:val="00EB5156"/>
    <w:rsid w:val="00EB579F"/>
    <w:rsid w:val="00EB5A8E"/>
    <w:rsid w:val="00EB5AE7"/>
    <w:rsid w:val="00EB61A0"/>
    <w:rsid w:val="00EB642F"/>
    <w:rsid w:val="00EB6797"/>
    <w:rsid w:val="00EB7553"/>
    <w:rsid w:val="00EB7DFD"/>
    <w:rsid w:val="00EB7EBD"/>
    <w:rsid w:val="00EC031B"/>
    <w:rsid w:val="00EC0B2B"/>
    <w:rsid w:val="00EC108A"/>
    <w:rsid w:val="00EC12BD"/>
    <w:rsid w:val="00EC1929"/>
    <w:rsid w:val="00EC1A98"/>
    <w:rsid w:val="00EC212B"/>
    <w:rsid w:val="00EC256E"/>
    <w:rsid w:val="00EC2994"/>
    <w:rsid w:val="00EC29AF"/>
    <w:rsid w:val="00EC2BB2"/>
    <w:rsid w:val="00EC2BC0"/>
    <w:rsid w:val="00EC3294"/>
    <w:rsid w:val="00EC39EA"/>
    <w:rsid w:val="00EC3AEB"/>
    <w:rsid w:val="00EC3D88"/>
    <w:rsid w:val="00EC3DA2"/>
    <w:rsid w:val="00EC4076"/>
    <w:rsid w:val="00EC4266"/>
    <w:rsid w:val="00EC4745"/>
    <w:rsid w:val="00EC47D8"/>
    <w:rsid w:val="00EC487F"/>
    <w:rsid w:val="00EC491D"/>
    <w:rsid w:val="00EC5373"/>
    <w:rsid w:val="00EC591B"/>
    <w:rsid w:val="00EC66E8"/>
    <w:rsid w:val="00EC682F"/>
    <w:rsid w:val="00EC6A19"/>
    <w:rsid w:val="00EC7CF0"/>
    <w:rsid w:val="00EC7D6C"/>
    <w:rsid w:val="00ED0249"/>
    <w:rsid w:val="00ED102E"/>
    <w:rsid w:val="00ED1303"/>
    <w:rsid w:val="00ED1642"/>
    <w:rsid w:val="00ED1B6D"/>
    <w:rsid w:val="00ED2F73"/>
    <w:rsid w:val="00ED2FB8"/>
    <w:rsid w:val="00ED396F"/>
    <w:rsid w:val="00ED3A55"/>
    <w:rsid w:val="00ED4768"/>
    <w:rsid w:val="00ED477B"/>
    <w:rsid w:val="00ED49F3"/>
    <w:rsid w:val="00ED52E2"/>
    <w:rsid w:val="00ED5806"/>
    <w:rsid w:val="00ED586F"/>
    <w:rsid w:val="00ED597F"/>
    <w:rsid w:val="00ED5E70"/>
    <w:rsid w:val="00ED5F53"/>
    <w:rsid w:val="00ED6104"/>
    <w:rsid w:val="00ED6395"/>
    <w:rsid w:val="00ED6506"/>
    <w:rsid w:val="00ED668F"/>
    <w:rsid w:val="00ED6693"/>
    <w:rsid w:val="00ED66D4"/>
    <w:rsid w:val="00ED75D0"/>
    <w:rsid w:val="00ED7839"/>
    <w:rsid w:val="00ED796D"/>
    <w:rsid w:val="00ED7FCF"/>
    <w:rsid w:val="00EE0665"/>
    <w:rsid w:val="00EE06E6"/>
    <w:rsid w:val="00EE11C0"/>
    <w:rsid w:val="00EE11F5"/>
    <w:rsid w:val="00EE1E20"/>
    <w:rsid w:val="00EE216A"/>
    <w:rsid w:val="00EE2229"/>
    <w:rsid w:val="00EE276F"/>
    <w:rsid w:val="00EE2D86"/>
    <w:rsid w:val="00EE3106"/>
    <w:rsid w:val="00EE34D7"/>
    <w:rsid w:val="00EE40D6"/>
    <w:rsid w:val="00EE4119"/>
    <w:rsid w:val="00EE4BBD"/>
    <w:rsid w:val="00EE4BF5"/>
    <w:rsid w:val="00EE5E15"/>
    <w:rsid w:val="00EE5E66"/>
    <w:rsid w:val="00EE5F2F"/>
    <w:rsid w:val="00EE63BF"/>
    <w:rsid w:val="00EE67FB"/>
    <w:rsid w:val="00EE6BF5"/>
    <w:rsid w:val="00EE725B"/>
    <w:rsid w:val="00EE7484"/>
    <w:rsid w:val="00EE765C"/>
    <w:rsid w:val="00EE7693"/>
    <w:rsid w:val="00EEDC4D"/>
    <w:rsid w:val="00EF0470"/>
    <w:rsid w:val="00EF0C39"/>
    <w:rsid w:val="00EF1061"/>
    <w:rsid w:val="00EF10E1"/>
    <w:rsid w:val="00EF19CD"/>
    <w:rsid w:val="00EF1CF5"/>
    <w:rsid w:val="00EF2069"/>
    <w:rsid w:val="00EF20B3"/>
    <w:rsid w:val="00EF267A"/>
    <w:rsid w:val="00EF2A1F"/>
    <w:rsid w:val="00EF2A77"/>
    <w:rsid w:val="00EF2A89"/>
    <w:rsid w:val="00EF2C49"/>
    <w:rsid w:val="00EF2DED"/>
    <w:rsid w:val="00EF3393"/>
    <w:rsid w:val="00EF3512"/>
    <w:rsid w:val="00EF367A"/>
    <w:rsid w:val="00EF37AB"/>
    <w:rsid w:val="00EF3823"/>
    <w:rsid w:val="00EF3946"/>
    <w:rsid w:val="00EF4171"/>
    <w:rsid w:val="00EF4684"/>
    <w:rsid w:val="00EF4E99"/>
    <w:rsid w:val="00EF5159"/>
    <w:rsid w:val="00EF5191"/>
    <w:rsid w:val="00EF58D0"/>
    <w:rsid w:val="00EF5CDD"/>
    <w:rsid w:val="00EF5FAE"/>
    <w:rsid w:val="00EF6270"/>
    <w:rsid w:val="00EF636E"/>
    <w:rsid w:val="00EF653F"/>
    <w:rsid w:val="00EF66B7"/>
    <w:rsid w:val="00EF6983"/>
    <w:rsid w:val="00EF6C14"/>
    <w:rsid w:val="00EF73A2"/>
    <w:rsid w:val="00EF76BE"/>
    <w:rsid w:val="00EF7714"/>
    <w:rsid w:val="00EF7B3E"/>
    <w:rsid w:val="00EF7C65"/>
    <w:rsid w:val="00F0013E"/>
    <w:rsid w:val="00F0054F"/>
    <w:rsid w:val="00F0062B"/>
    <w:rsid w:val="00F00970"/>
    <w:rsid w:val="00F0126C"/>
    <w:rsid w:val="00F022FB"/>
    <w:rsid w:val="00F02BB8"/>
    <w:rsid w:val="00F02D93"/>
    <w:rsid w:val="00F02EEB"/>
    <w:rsid w:val="00F039C2"/>
    <w:rsid w:val="00F03E67"/>
    <w:rsid w:val="00F046C7"/>
    <w:rsid w:val="00F046F6"/>
    <w:rsid w:val="00F04735"/>
    <w:rsid w:val="00F053B9"/>
    <w:rsid w:val="00F059E9"/>
    <w:rsid w:val="00F05A84"/>
    <w:rsid w:val="00F05F53"/>
    <w:rsid w:val="00F0635A"/>
    <w:rsid w:val="00F0671E"/>
    <w:rsid w:val="00F06CFB"/>
    <w:rsid w:val="00F070A3"/>
    <w:rsid w:val="00F0720C"/>
    <w:rsid w:val="00F076A3"/>
    <w:rsid w:val="00F0783B"/>
    <w:rsid w:val="00F07A5F"/>
    <w:rsid w:val="00F07D0B"/>
    <w:rsid w:val="00F07D6A"/>
    <w:rsid w:val="00F102AE"/>
    <w:rsid w:val="00F102D1"/>
    <w:rsid w:val="00F10D68"/>
    <w:rsid w:val="00F116B8"/>
    <w:rsid w:val="00F1197C"/>
    <w:rsid w:val="00F119F4"/>
    <w:rsid w:val="00F11A01"/>
    <w:rsid w:val="00F12293"/>
    <w:rsid w:val="00F122FA"/>
    <w:rsid w:val="00F12462"/>
    <w:rsid w:val="00F12DE9"/>
    <w:rsid w:val="00F12EC0"/>
    <w:rsid w:val="00F12F69"/>
    <w:rsid w:val="00F135F0"/>
    <w:rsid w:val="00F1363E"/>
    <w:rsid w:val="00F137BE"/>
    <w:rsid w:val="00F14546"/>
    <w:rsid w:val="00F14607"/>
    <w:rsid w:val="00F14917"/>
    <w:rsid w:val="00F15849"/>
    <w:rsid w:val="00F1596C"/>
    <w:rsid w:val="00F15D07"/>
    <w:rsid w:val="00F15D96"/>
    <w:rsid w:val="00F15F35"/>
    <w:rsid w:val="00F168A4"/>
    <w:rsid w:val="00F16BA8"/>
    <w:rsid w:val="00F175AE"/>
    <w:rsid w:val="00F17634"/>
    <w:rsid w:val="00F17CAA"/>
    <w:rsid w:val="00F2047B"/>
    <w:rsid w:val="00F207FA"/>
    <w:rsid w:val="00F2090F"/>
    <w:rsid w:val="00F20952"/>
    <w:rsid w:val="00F21B8A"/>
    <w:rsid w:val="00F21DFC"/>
    <w:rsid w:val="00F21F62"/>
    <w:rsid w:val="00F22016"/>
    <w:rsid w:val="00F2216B"/>
    <w:rsid w:val="00F22290"/>
    <w:rsid w:val="00F22505"/>
    <w:rsid w:val="00F22668"/>
    <w:rsid w:val="00F22EE4"/>
    <w:rsid w:val="00F23206"/>
    <w:rsid w:val="00F235C6"/>
    <w:rsid w:val="00F24669"/>
    <w:rsid w:val="00F24AB7"/>
    <w:rsid w:val="00F24E8E"/>
    <w:rsid w:val="00F25641"/>
    <w:rsid w:val="00F256BE"/>
    <w:rsid w:val="00F25A82"/>
    <w:rsid w:val="00F25F1B"/>
    <w:rsid w:val="00F2630A"/>
    <w:rsid w:val="00F26509"/>
    <w:rsid w:val="00F266C7"/>
    <w:rsid w:val="00F266E2"/>
    <w:rsid w:val="00F26778"/>
    <w:rsid w:val="00F26809"/>
    <w:rsid w:val="00F26824"/>
    <w:rsid w:val="00F26BA9"/>
    <w:rsid w:val="00F26C5F"/>
    <w:rsid w:val="00F26F51"/>
    <w:rsid w:val="00F27372"/>
    <w:rsid w:val="00F27C79"/>
    <w:rsid w:val="00F29EBD"/>
    <w:rsid w:val="00F30A43"/>
    <w:rsid w:val="00F31106"/>
    <w:rsid w:val="00F31147"/>
    <w:rsid w:val="00F31318"/>
    <w:rsid w:val="00F31564"/>
    <w:rsid w:val="00F31F0A"/>
    <w:rsid w:val="00F31FB6"/>
    <w:rsid w:val="00F32520"/>
    <w:rsid w:val="00F32523"/>
    <w:rsid w:val="00F32F45"/>
    <w:rsid w:val="00F336B5"/>
    <w:rsid w:val="00F338EC"/>
    <w:rsid w:val="00F3395D"/>
    <w:rsid w:val="00F33C2C"/>
    <w:rsid w:val="00F33D72"/>
    <w:rsid w:val="00F33F21"/>
    <w:rsid w:val="00F3400F"/>
    <w:rsid w:val="00F340D5"/>
    <w:rsid w:val="00F34592"/>
    <w:rsid w:val="00F34B9E"/>
    <w:rsid w:val="00F352AD"/>
    <w:rsid w:val="00F353E0"/>
    <w:rsid w:val="00F361D5"/>
    <w:rsid w:val="00F362F0"/>
    <w:rsid w:val="00F3689B"/>
    <w:rsid w:val="00F371A4"/>
    <w:rsid w:val="00F373CF"/>
    <w:rsid w:val="00F37506"/>
    <w:rsid w:val="00F37AB2"/>
    <w:rsid w:val="00F37CE6"/>
    <w:rsid w:val="00F401C0"/>
    <w:rsid w:val="00F401CA"/>
    <w:rsid w:val="00F40287"/>
    <w:rsid w:val="00F41020"/>
    <w:rsid w:val="00F410BC"/>
    <w:rsid w:val="00F424B6"/>
    <w:rsid w:val="00F42D0A"/>
    <w:rsid w:val="00F4310B"/>
    <w:rsid w:val="00F43698"/>
    <w:rsid w:val="00F43A99"/>
    <w:rsid w:val="00F43E44"/>
    <w:rsid w:val="00F444E4"/>
    <w:rsid w:val="00F44CDA"/>
    <w:rsid w:val="00F45454"/>
    <w:rsid w:val="00F45803"/>
    <w:rsid w:val="00F46027"/>
    <w:rsid w:val="00F465DD"/>
    <w:rsid w:val="00F4672F"/>
    <w:rsid w:val="00F4685D"/>
    <w:rsid w:val="00F46E4A"/>
    <w:rsid w:val="00F47022"/>
    <w:rsid w:val="00F4779F"/>
    <w:rsid w:val="00F47952"/>
    <w:rsid w:val="00F479D3"/>
    <w:rsid w:val="00F502C1"/>
    <w:rsid w:val="00F512C4"/>
    <w:rsid w:val="00F51858"/>
    <w:rsid w:val="00F51A78"/>
    <w:rsid w:val="00F51D91"/>
    <w:rsid w:val="00F5201D"/>
    <w:rsid w:val="00F522B3"/>
    <w:rsid w:val="00F52C18"/>
    <w:rsid w:val="00F52EBD"/>
    <w:rsid w:val="00F5339C"/>
    <w:rsid w:val="00F5343D"/>
    <w:rsid w:val="00F53ED3"/>
    <w:rsid w:val="00F54240"/>
    <w:rsid w:val="00F54DF5"/>
    <w:rsid w:val="00F551B5"/>
    <w:rsid w:val="00F5531B"/>
    <w:rsid w:val="00F5535D"/>
    <w:rsid w:val="00F5567F"/>
    <w:rsid w:val="00F559D4"/>
    <w:rsid w:val="00F56008"/>
    <w:rsid w:val="00F56234"/>
    <w:rsid w:val="00F56472"/>
    <w:rsid w:val="00F56750"/>
    <w:rsid w:val="00F56834"/>
    <w:rsid w:val="00F56D15"/>
    <w:rsid w:val="00F579E2"/>
    <w:rsid w:val="00F6009A"/>
    <w:rsid w:val="00F604B4"/>
    <w:rsid w:val="00F608C2"/>
    <w:rsid w:val="00F60ACE"/>
    <w:rsid w:val="00F6140D"/>
    <w:rsid w:val="00F615D2"/>
    <w:rsid w:val="00F61A0A"/>
    <w:rsid w:val="00F62223"/>
    <w:rsid w:val="00F62950"/>
    <w:rsid w:val="00F62C12"/>
    <w:rsid w:val="00F62E2D"/>
    <w:rsid w:val="00F636AE"/>
    <w:rsid w:val="00F64431"/>
    <w:rsid w:val="00F64485"/>
    <w:rsid w:val="00F647CB"/>
    <w:rsid w:val="00F64B39"/>
    <w:rsid w:val="00F64E81"/>
    <w:rsid w:val="00F64EEB"/>
    <w:rsid w:val="00F65311"/>
    <w:rsid w:val="00F6559A"/>
    <w:rsid w:val="00F661F9"/>
    <w:rsid w:val="00F663AE"/>
    <w:rsid w:val="00F676A2"/>
    <w:rsid w:val="00F679BC"/>
    <w:rsid w:val="00F679DE"/>
    <w:rsid w:val="00F67D94"/>
    <w:rsid w:val="00F7020E"/>
    <w:rsid w:val="00F7048D"/>
    <w:rsid w:val="00F705AB"/>
    <w:rsid w:val="00F70CD1"/>
    <w:rsid w:val="00F71602"/>
    <w:rsid w:val="00F71864"/>
    <w:rsid w:val="00F7189E"/>
    <w:rsid w:val="00F72781"/>
    <w:rsid w:val="00F72981"/>
    <w:rsid w:val="00F72A71"/>
    <w:rsid w:val="00F72D60"/>
    <w:rsid w:val="00F72EAD"/>
    <w:rsid w:val="00F73F37"/>
    <w:rsid w:val="00F74369"/>
    <w:rsid w:val="00F74370"/>
    <w:rsid w:val="00F745AF"/>
    <w:rsid w:val="00F745FA"/>
    <w:rsid w:val="00F74BD8"/>
    <w:rsid w:val="00F74E0D"/>
    <w:rsid w:val="00F7508A"/>
    <w:rsid w:val="00F75250"/>
    <w:rsid w:val="00F755A5"/>
    <w:rsid w:val="00F75816"/>
    <w:rsid w:val="00F75AA0"/>
    <w:rsid w:val="00F76127"/>
    <w:rsid w:val="00F76448"/>
    <w:rsid w:val="00F766DD"/>
    <w:rsid w:val="00F768D2"/>
    <w:rsid w:val="00F76A98"/>
    <w:rsid w:val="00F76B02"/>
    <w:rsid w:val="00F76EBE"/>
    <w:rsid w:val="00F76ECF"/>
    <w:rsid w:val="00F76EE9"/>
    <w:rsid w:val="00F7706D"/>
    <w:rsid w:val="00F771D4"/>
    <w:rsid w:val="00F772FB"/>
    <w:rsid w:val="00F7733F"/>
    <w:rsid w:val="00F7768A"/>
    <w:rsid w:val="00F77698"/>
    <w:rsid w:val="00F77A30"/>
    <w:rsid w:val="00F77DFC"/>
    <w:rsid w:val="00F77F45"/>
    <w:rsid w:val="00F77F81"/>
    <w:rsid w:val="00F80B31"/>
    <w:rsid w:val="00F80C8A"/>
    <w:rsid w:val="00F810BA"/>
    <w:rsid w:val="00F81511"/>
    <w:rsid w:val="00F81591"/>
    <w:rsid w:val="00F815B2"/>
    <w:rsid w:val="00F81B54"/>
    <w:rsid w:val="00F820D3"/>
    <w:rsid w:val="00F821D2"/>
    <w:rsid w:val="00F823A0"/>
    <w:rsid w:val="00F82531"/>
    <w:rsid w:val="00F8258B"/>
    <w:rsid w:val="00F82742"/>
    <w:rsid w:val="00F82CAD"/>
    <w:rsid w:val="00F83BDF"/>
    <w:rsid w:val="00F83F2A"/>
    <w:rsid w:val="00F8408D"/>
    <w:rsid w:val="00F84832"/>
    <w:rsid w:val="00F84AD6"/>
    <w:rsid w:val="00F84DC4"/>
    <w:rsid w:val="00F853D1"/>
    <w:rsid w:val="00F856DA"/>
    <w:rsid w:val="00F85973"/>
    <w:rsid w:val="00F85A24"/>
    <w:rsid w:val="00F85B3A"/>
    <w:rsid w:val="00F85DCE"/>
    <w:rsid w:val="00F85E6C"/>
    <w:rsid w:val="00F8637F"/>
    <w:rsid w:val="00F868D2"/>
    <w:rsid w:val="00F86DCA"/>
    <w:rsid w:val="00F86F9B"/>
    <w:rsid w:val="00F86F9D"/>
    <w:rsid w:val="00F87863"/>
    <w:rsid w:val="00F87A54"/>
    <w:rsid w:val="00F8C8B9"/>
    <w:rsid w:val="00F900F3"/>
    <w:rsid w:val="00F90488"/>
    <w:rsid w:val="00F9067E"/>
    <w:rsid w:val="00F90AF0"/>
    <w:rsid w:val="00F9204B"/>
    <w:rsid w:val="00F921AF"/>
    <w:rsid w:val="00F92ED8"/>
    <w:rsid w:val="00F931C5"/>
    <w:rsid w:val="00F93636"/>
    <w:rsid w:val="00F936E4"/>
    <w:rsid w:val="00F9388D"/>
    <w:rsid w:val="00F93B01"/>
    <w:rsid w:val="00F93C1B"/>
    <w:rsid w:val="00F93EA9"/>
    <w:rsid w:val="00F94B65"/>
    <w:rsid w:val="00F9552B"/>
    <w:rsid w:val="00F957F0"/>
    <w:rsid w:val="00F95F3C"/>
    <w:rsid w:val="00F95FDB"/>
    <w:rsid w:val="00F9640C"/>
    <w:rsid w:val="00F9689C"/>
    <w:rsid w:val="00F96A69"/>
    <w:rsid w:val="00F96C31"/>
    <w:rsid w:val="00F96C5C"/>
    <w:rsid w:val="00F96CD7"/>
    <w:rsid w:val="00F96DC1"/>
    <w:rsid w:val="00F97388"/>
    <w:rsid w:val="00F97A98"/>
    <w:rsid w:val="00FA0091"/>
    <w:rsid w:val="00FA0719"/>
    <w:rsid w:val="00FA08A4"/>
    <w:rsid w:val="00FA0BF0"/>
    <w:rsid w:val="00FA0C17"/>
    <w:rsid w:val="00FA1325"/>
    <w:rsid w:val="00FA1406"/>
    <w:rsid w:val="00FA191E"/>
    <w:rsid w:val="00FA1CE8"/>
    <w:rsid w:val="00FA25DC"/>
    <w:rsid w:val="00FA2713"/>
    <w:rsid w:val="00FA3104"/>
    <w:rsid w:val="00FA3235"/>
    <w:rsid w:val="00FA33CF"/>
    <w:rsid w:val="00FA3449"/>
    <w:rsid w:val="00FA34DD"/>
    <w:rsid w:val="00FA3910"/>
    <w:rsid w:val="00FA3DC4"/>
    <w:rsid w:val="00FA4770"/>
    <w:rsid w:val="00FA4BF7"/>
    <w:rsid w:val="00FA4C69"/>
    <w:rsid w:val="00FA5039"/>
    <w:rsid w:val="00FA542E"/>
    <w:rsid w:val="00FA5487"/>
    <w:rsid w:val="00FA58BC"/>
    <w:rsid w:val="00FA70BA"/>
    <w:rsid w:val="00FA7150"/>
    <w:rsid w:val="00FA78B2"/>
    <w:rsid w:val="00FA7DD7"/>
    <w:rsid w:val="00FB06F6"/>
    <w:rsid w:val="00FB078E"/>
    <w:rsid w:val="00FB0B9E"/>
    <w:rsid w:val="00FB1207"/>
    <w:rsid w:val="00FB130F"/>
    <w:rsid w:val="00FB15F3"/>
    <w:rsid w:val="00FB1894"/>
    <w:rsid w:val="00FB18C6"/>
    <w:rsid w:val="00FB18F9"/>
    <w:rsid w:val="00FB2B47"/>
    <w:rsid w:val="00FB2BE0"/>
    <w:rsid w:val="00FB2F10"/>
    <w:rsid w:val="00FB34D2"/>
    <w:rsid w:val="00FB482E"/>
    <w:rsid w:val="00FB4A09"/>
    <w:rsid w:val="00FB4C3E"/>
    <w:rsid w:val="00FB4C72"/>
    <w:rsid w:val="00FB526E"/>
    <w:rsid w:val="00FB58E7"/>
    <w:rsid w:val="00FB5939"/>
    <w:rsid w:val="00FB5E0B"/>
    <w:rsid w:val="00FB5FA1"/>
    <w:rsid w:val="00FB6FB1"/>
    <w:rsid w:val="00FB73F3"/>
    <w:rsid w:val="00FB74D2"/>
    <w:rsid w:val="00FB7CDE"/>
    <w:rsid w:val="00FC0B3F"/>
    <w:rsid w:val="00FC111F"/>
    <w:rsid w:val="00FC1312"/>
    <w:rsid w:val="00FC131D"/>
    <w:rsid w:val="00FC1934"/>
    <w:rsid w:val="00FC19E2"/>
    <w:rsid w:val="00FC210D"/>
    <w:rsid w:val="00FC22B8"/>
    <w:rsid w:val="00FC3BD4"/>
    <w:rsid w:val="00FC415B"/>
    <w:rsid w:val="00FC48E7"/>
    <w:rsid w:val="00FC503C"/>
    <w:rsid w:val="00FC5405"/>
    <w:rsid w:val="00FC5CFB"/>
    <w:rsid w:val="00FC5DA9"/>
    <w:rsid w:val="00FC6556"/>
    <w:rsid w:val="00FC663B"/>
    <w:rsid w:val="00FC6791"/>
    <w:rsid w:val="00FC6C9B"/>
    <w:rsid w:val="00FC6DA5"/>
    <w:rsid w:val="00FC6FAF"/>
    <w:rsid w:val="00FC78B9"/>
    <w:rsid w:val="00FC7AFD"/>
    <w:rsid w:val="00FC7B73"/>
    <w:rsid w:val="00FC7EA7"/>
    <w:rsid w:val="00FC7F7F"/>
    <w:rsid w:val="00FD04EC"/>
    <w:rsid w:val="00FD0790"/>
    <w:rsid w:val="00FD0FF2"/>
    <w:rsid w:val="00FD2102"/>
    <w:rsid w:val="00FD237D"/>
    <w:rsid w:val="00FD23CB"/>
    <w:rsid w:val="00FD282E"/>
    <w:rsid w:val="00FD2946"/>
    <w:rsid w:val="00FD2A53"/>
    <w:rsid w:val="00FD2E09"/>
    <w:rsid w:val="00FD2F00"/>
    <w:rsid w:val="00FD37C4"/>
    <w:rsid w:val="00FD39B8"/>
    <w:rsid w:val="00FD3B70"/>
    <w:rsid w:val="00FD444F"/>
    <w:rsid w:val="00FD4486"/>
    <w:rsid w:val="00FD47EA"/>
    <w:rsid w:val="00FD51A2"/>
    <w:rsid w:val="00FD58E5"/>
    <w:rsid w:val="00FD5964"/>
    <w:rsid w:val="00FD6116"/>
    <w:rsid w:val="00FD62E3"/>
    <w:rsid w:val="00FD656F"/>
    <w:rsid w:val="00FD6772"/>
    <w:rsid w:val="00FD6773"/>
    <w:rsid w:val="00FD679F"/>
    <w:rsid w:val="00FD7320"/>
    <w:rsid w:val="00FD7A60"/>
    <w:rsid w:val="00FD7CDC"/>
    <w:rsid w:val="00FD7E3C"/>
    <w:rsid w:val="00FD7FFD"/>
    <w:rsid w:val="00FDD9E3"/>
    <w:rsid w:val="00FE003F"/>
    <w:rsid w:val="00FE01DA"/>
    <w:rsid w:val="00FE06C9"/>
    <w:rsid w:val="00FE0789"/>
    <w:rsid w:val="00FE092F"/>
    <w:rsid w:val="00FE0A58"/>
    <w:rsid w:val="00FE0AB4"/>
    <w:rsid w:val="00FE0BD1"/>
    <w:rsid w:val="00FE1307"/>
    <w:rsid w:val="00FE2258"/>
    <w:rsid w:val="00FE22E5"/>
    <w:rsid w:val="00FE2CB9"/>
    <w:rsid w:val="00FE38D4"/>
    <w:rsid w:val="00FE4243"/>
    <w:rsid w:val="00FE448C"/>
    <w:rsid w:val="00FE4693"/>
    <w:rsid w:val="00FE4A64"/>
    <w:rsid w:val="00FE517B"/>
    <w:rsid w:val="00FE537B"/>
    <w:rsid w:val="00FE54FB"/>
    <w:rsid w:val="00FE555F"/>
    <w:rsid w:val="00FE5608"/>
    <w:rsid w:val="00FE5AC9"/>
    <w:rsid w:val="00FE5CE9"/>
    <w:rsid w:val="00FE6B6E"/>
    <w:rsid w:val="00FE70D8"/>
    <w:rsid w:val="00FE7688"/>
    <w:rsid w:val="00FE7792"/>
    <w:rsid w:val="00FE7C30"/>
    <w:rsid w:val="00FE7FBE"/>
    <w:rsid w:val="00FE7FE1"/>
    <w:rsid w:val="00FF0490"/>
    <w:rsid w:val="00FF05F6"/>
    <w:rsid w:val="00FF0620"/>
    <w:rsid w:val="00FF0721"/>
    <w:rsid w:val="00FF0810"/>
    <w:rsid w:val="00FF0FAD"/>
    <w:rsid w:val="00FF13FC"/>
    <w:rsid w:val="00FF145A"/>
    <w:rsid w:val="00FF16BB"/>
    <w:rsid w:val="00FF1C33"/>
    <w:rsid w:val="00FF245F"/>
    <w:rsid w:val="00FF2477"/>
    <w:rsid w:val="00FF2579"/>
    <w:rsid w:val="00FF2973"/>
    <w:rsid w:val="00FF312D"/>
    <w:rsid w:val="00FF3295"/>
    <w:rsid w:val="00FF3F75"/>
    <w:rsid w:val="00FF41B6"/>
    <w:rsid w:val="00FF45C9"/>
    <w:rsid w:val="00FF4676"/>
    <w:rsid w:val="00FF4775"/>
    <w:rsid w:val="00FF484D"/>
    <w:rsid w:val="00FF487C"/>
    <w:rsid w:val="00FF4C6F"/>
    <w:rsid w:val="00FF4C9A"/>
    <w:rsid w:val="00FF544C"/>
    <w:rsid w:val="00FF5E10"/>
    <w:rsid w:val="00FF5F40"/>
    <w:rsid w:val="00FF621A"/>
    <w:rsid w:val="00FF68BB"/>
    <w:rsid w:val="00FF6957"/>
    <w:rsid w:val="00FF6BA1"/>
    <w:rsid w:val="00FF6DE8"/>
    <w:rsid w:val="00FF71CE"/>
    <w:rsid w:val="00FF792B"/>
    <w:rsid w:val="00FF7A11"/>
    <w:rsid w:val="0101FE95"/>
    <w:rsid w:val="010389C6"/>
    <w:rsid w:val="010BD33F"/>
    <w:rsid w:val="011A0FCA"/>
    <w:rsid w:val="01280D28"/>
    <w:rsid w:val="01347747"/>
    <w:rsid w:val="0135D9BA"/>
    <w:rsid w:val="01391306"/>
    <w:rsid w:val="013F7023"/>
    <w:rsid w:val="014297FD"/>
    <w:rsid w:val="01556B97"/>
    <w:rsid w:val="015FC146"/>
    <w:rsid w:val="01670130"/>
    <w:rsid w:val="0169B3C7"/>
    <w:rsid w:val="016D635A"/>
    <w:rsid w:val="017A50C9"/>
    <w:rsid w:val="017C6E63"/>
    <w:rsid w:val="01899682"/>
    <w:rsid w:val="018DE9A6"/>
    <w:rsid w:val="019245D5"/>
    <w:rsid w:val="01C9A007"/>
    <w:rsid w:val="01CCEFF6"/>
    <w:rsid w:val="01CF1495"/>
    <w:rsid w:val="01D1606C"/>
    <w:rsid w:val="01D967BB"/>
    <w:rsid w:val="01E27009"/>
    <w:rsid w:val="01F10724"/>
    <w:rsid w:val="01F7BB5C"/>
    <w:rsid w:val="020C5486"/>
    <w:rsid w:val="02173B09"/>
    <w:rsid w:val="0219160A"/>
    <w:rsid w:val="022743BC"/>
    <w:rsid w:val="022B43C0"/>
    <w:rsid w:val="023E6FA6"/>
    <w:rsid w:val="02447BCC"/>
    <w:rsid w:val="0245FCA9"/>
    <w:rsid w:val="024AD050"/>
    <w:rsid w:val="0250F0BA"/>
    <w:rsid w:val="02650C3D"/>
    <w:rsid w:val="026AE991"/>
    <w:rsid w:val="02710C59"/>
    <w:rsid w:val="027A22B8"/>
    <w:rsid w:val="027BE53D"/>
    <w:rsid w:val="028175C4"/>
    <w:rsid w:val="0284C1A6"/>
    <w:rsid w:val="0289DDFE"/>
    <w:rsid w:val="028F62B6"/>
    <w:rsid w:val="0294CA13"/>
    <w:rsid w:val="02977AD1"/>
    <w:rsid w:val="029804FA"/>
    <w:rsid w:val="02A1570A"/>
    <w:rsid w:val="02A6D1FA"/>
    <w:rsid w:val="02A79246"/>
    <w:rsid w:val="02AF0E88"/>
    <w:rsid w:val="02BA1CF2"/>
    <w:rsid w:val="02D6E18E"/>
    <w:rsid w:val="02E030C0"/>
    <w:rsid w:val="02E375AF"/>
    <w:rsid w:val="02E95DE8"/>
    <w:rsid w:val="02ED2E31"/>
    <w:rsid w:val="02F03BDC"/>
    <w:rsid w:val="0308E1BA"/>
    <w:rsid w:val="031A55CC"/>
    <w:rsid w:val="031C2C2E"/>
    <w:rsid w:val="03206DA2"/>
    <w:rsid w:val="03254C37"/>
    <w:rsid w:val="03265E2D"/>
    <w:rsid w:val="03266873"/>
    <w:rsid w:val="0335F804"/>
    <w:rsid w:val="033D4667"/>
    <w:rsid w:val="034270ED"/>
    <w:rsid w:val="034D2A0D"/>
    <w:rsid w:val="0357EAF7"/>
    <w:rsid w:val="036F45E4"/>
    <w:rsid w:val="03742AAA"/>
    <w:rsid w:val="03757BA3"/>
    <w:rsid w:val="0375DB04"/>
    <w:rsid w:val="038CEAD8"/>
    <w:rsid w:val="038D7C44"/>
    <w:rsid w:val="039D1114"/>
    <w:rsid w:val="039E323F"/>
    <w:rsid w:val="039F0331"/>
    <w:rsid w:val="03A35770"/>
    <w:rsid w:val="03A65270"/>
    <w:rsid w:val="03D93007"/>
    <w:rsid w:val="03E00CD5"/>
    <w:rsid w:val="03EC924F"/>
    <w:rsid w:val="03F1041B"/>
    <w:rsid w:val="03F6A0D3"/>
    <w:rsid w:val="03FCEF0E"/>
    <w:rsid w:val="040287AB"/>
    <w:rsid w:val="04038FFF"/>
    <w:rsid w:val="040E74C2"/>
    <w:rsid w:val="040FF8BA"/>
    <w:rsid w:val="0415BA64"/>
    <w:rsid w:val="04401EEA"/>
    <w:rsid w:val="0442397C"/>
    <w:rsid w:val="0459B790"/>
    <w:rsid w:val="045D3701"/>
    <w:rsid w:val="0464B88F"/>
    <w:rsid w:val="046FE5F0"/>
    <w:rsid w:val="0474994B"/>
    <w:rsid w:val="0479F075"/>
    <w:rsid w:val="047C634B"/>
    <w:rsid w:val="0482A48C"/>
    <w:rsid w:val="048460CA"/>
    <w:rsid w:val="0488DC01"/>
    <w:rsid w:val="0495CDA8"/>
    <w:rsid w:val="04BAC4EE"/>
    <w:rsid w:val="04D69B64"/>
    <w:rsid w:val="04E4EC45"/>
    <w:rsid w:val="0515882D"/>
    <w:rsid w:val="051595DD"/>
    <w:rsid w:val="051976B4"/>
    <w:rsid w:val="052DE5F9"/>
    <w:rsid w:val="052E64E3"/>
    <w:rsid w:val="05305E3F"/>
    <w:rsid w:val="054355E1"/>
    <w:rsid w:val="054D7CFC"/>
    <w:rsid w:val="05563D34"/>
    <w:rsid w:val="0559501F"/>
    <w:rsid w:val="055E0CE2"/>
    <w:rsid w:val="0567F8B0"/>
    <w:rsid w:val="057C0B06"/>
    <w:rsid w:val="058A855E"/>
    <w:rsid w:val="058EF41B"/>
    <w:rsid w:val="0591537F"/>
    <w:rsid w:val="059B0807"/>
    <w:rsid w:val="059E5735"/>
    <w:rsid w:val="05ACD9D4"/>
    <w:rsid w:val="05C5F4A6"/>
    <w:rsid w:val="05CBCBF0"/>
    <w:rsid w:val="05CCB6CB"/>
    <w:rsid w:val="05D06E34"/>
    <w:rsid w:val="05D5E936"/>
    <w:rsid w:val="05D6F1A7"/>
    <w:rsid w:val="05DD90BC"/>
    <w:rsid w:val="061B9B43"/>
    <w:rsid w:val="061E2A25"/>
    <w:rsid w:val="061F2A65"/>
    <w:rsid w:val="06272350"/>
    <w:rsid w:val="063427C5"/>
    <w:rsid w:val="0640411E"/>
    <w:rsid w:val="064128A0"/>
    <w:rsid w:val="06470925"/>
    <w:rsid w:val="06474BF7"/>
    <w:rsid w:val="064F0578"/>
    <w:rsid w:val="0656B890"/>
    <w:rsid w:val="066A32E5"/>
    <w:rsid w:val="066F5BEF"/>
    <w:rsid w:val="067082AE"/>
    <w:rsid w:val="06723635"/>
    <w:rsid w:val="067DA1CF"/>
    <w:rsid w:val="06811E77"/>
    <w:rsid w:val="068B4C4A"/>
    <w:rsid w:val="069604CC"/>
    <w:rsid w:val="069A6262"/>
    <w:rsid w:val="069AB351"/>
    <w:rsid w:val="069CB980"/>
    <w:rsid w:val="06B15A20"/>
    <w:rsid w:val="06CA6864"/>
    <w:rsid w:val="06CF1A44"/>
    <w:rsid w:val="06DCA1F3"/>
    <w:rsid w:val="06E57E39"/>
    <w:rsid w:val="06FBDD16"/>
    <w:rsid w:val="06FE77C2"/>
    <w:rsid w:val="06FF27D8"/>
    <w:rsid w:val="072ED331"/>
    <w:rsid w:val="07449806"/>
    <w:rsid w:val="0746CAA1"/>
    <w:rsid w:val="074CD0AC"/>
    <w:rsid w:val="074FB903"/>
    <w:rsid w:val="0754CB1D"/>
    <w:rsid w:val="07567E0F"/>
    <w:rsid w:val="0759C6C0"/>
    <w:rsid w:val="0765BA76"/>
    <w:rsid w:val="076A4F22"/>
    <w:rsid w:val="076F622C"/>
    <w:rsid w:val="077602C9"/>
    <w:rsid w:val="07848857"/>
    <w:rsid w:val="07892965"/>
    <w:rsid w:val="079FA833"/>
    <w:rsid w:val="079FB0C6"/>
    <w:rsid w:val="07A5DB61"/>
    <w:rsid w:val="07AC3FE6"/>
    <w:rsid w:val="07BE09A3"/>
    <w:rsid w:val="07C15C58"/>
    <w:rsid w:val="07C39385"/>
    <w:rsid w:val="07C4EEC2"/>
    <w:rsid w:val="07CFD8E7"/>
    <w:rsid w:val="07D9CB7C"/>
    <w:rsid w:val="07E1CFC3"/>
    <w:rsid w:val="07EC78E1"/>
    <w:rsid w:val="080882FA"/>
    <w:rsid w:val="0824CFD5"/>
    <w:rsid w:val="08272697"/>
    <w:rsid w:val="0829F35C"/>
    <w:rsid w:val="082C2E7C"/>
    <w:rsid w:val="082FFAB2"/>
    <w:rsid w:val="08374D1E"/>
    <w:rsid w:val="08463EBB"/>
    <w:rsid w:val="084BF568"/>
    <w:rsid w:val="08576EC2"/>
    <w:rsid w:val="0863B04B"/>
    <w:rsid w:val="086B08B0"/>
    <w:rsid w:val="086E7D36"/>
    <w:rsid w:val="086E89D6"/>
    <w:rsid w:val="0874EF59"/>
    <w:rsid w:val="087628D8"/>
    <w:rsid w:val="08818FFF"/>
    <w:rsid w:val="088EC478"/>
    <w:rsid w:val="08919501"/>
    <w:rsid w:val="08960F60"/>
    <w:rsid w:val="08A02B48"/>
    <w:rsid w:val="08A04C39"/>
    <w:rsid w:val="08A4152E"/>
    <w:rsid w:val="08BF55D4"/>
    <w:rsid w:val="08CAE899"/>
    <w:rsid w:val="08D8211B"/>
    <w:rsid w:val="08DD3445"/>
    <w:rsid w:val="0900BD23"/>
    <w:rsid w:val="09019CBA"/>
    <w:rsid w:val="092747E9"/>
    <w:rsid w:val="09276AE8"/>
    <w:rsid w:val="09375383"/>
    <w:rsid w:val="093B1BD2"/>
    <w:rsid w:val="0943CF15"/>
    <w:rsid w:val="094AA30A"/>
    <w:rsid w:val="094E3A6C"/>
    <w:rsid w:val="0952AF76"/>
    <w:rsid w:val="0953A3AA"/>
    <w:rsid w:val="095A6C38"/>
    <w:rsid w:val="0972223A"/>
    <w:rsid w:val="09748D7A"/>
    <w:rsid w:val="098038F8"/>
    <w:rsid w:val="098778F6"/>
    <w:rsid w:val="098C3EA0"/>
    <w:rsid w:val="099EB474"/>
    <w:rsid w:val="099EE64D"/>
    <w:rsid w:val="09A664F6"/>
    <w:rsid w:val="09A8D3CB"/>
    <w:rsid w:val="09C1D942"/>
    <w:rsid w:val="09F65A4A"/>
    <w:rsid w:val="0A11956C"/>
    <w:rsid w:val="0A1C2D36"/>
    <w:rsid w:val="0A2CFE46"/>
    <w:rsid w:val="0A2E7776"/>
    <w:rsid w:val="0A30A26A"/>
    <w:rsid w:val="0A3680D6"/>
    <w:rsid w:val="0A468EB6"/>
    <w:rsid w:val="0A5844A1"/>
    <w:rsid w:val="0A5EE65B"/>
    <w:rsid w:val="0A68013F"/>
    <w:rsid w:val="0A683DCE"/>
    <w:rsid w:val="0A68B672"/>
    <w:rsid w:val="0A6C0435"/>
    <w:rsid w:val="0A7840F2"/>
    <w:rsid w:val="0A79A668"/>
    <w:rsid w:val="0A8D4BFC"/>
    <w:rsid w:val="0A99DBF7"/>
    <w:rsid w:val="0AAC3EC7"/>
    <w:rsid w:val="0AC2EC27"/>
    <w:rsid w:val="0AC6FB0B"/>
    <w:rsid w:val="0AC91BAC"/>
    <w:rsid w:val="0AC9EBA3"/>
    <w:rsid w:val="0ACE8806"/>
    <w:rsid w:val="0AE0444A"/>
    <w:rsid w:val="0AE0A2D7"/>
    <w:rsid w:val="0AE85B57"/>
    <w:rsid w:val="0B03586B"/>
    <w:rsid w:val="0B14D9FC"/>
    <w:rsid w:val="0B2BCD1D"/>
    <w:rsid w:val="0B31C4C2"/>
    <w:rsid w:val="0B3209EF"/>
    <w:rsid w:val="0B410254"/>
    <w:rsid w:val="0B43967B"/>
    <w:rsid w:val="0B4674D8"/>
    <w:rsid w:val="0B575FC8"/>
    <w:rsid w:val="0B592337"/>
    <w:rsid w:val="0B66A12B"/>
    <w:rsid w:val="0B73C10A"/>
    <w:rsid w:val="0B750504"/>
    <w:rsid w:val="0B76206C"/>
    <w:rsid w:val="0B82F34E"/>
    <w:rsid w:val="0B9301D6"/>
    <w:rsid w:val="0B944954"/>
    <w:rsid w:val="0BAA39BB"/>
    <w:rsid w:val="0BB496BC"/>
    <w:rsid w:val="0BB59F62"/>
    <w:rsid w:val="0BC9C42B"/>
    <w:rsid w:val="0BD0E883"/>
    <w:rsid w:val="0BEAFA8F"/>
    <w:rsid w:val="0BED98A4"/>
    <w:rsid w:val="0BFD8C20"/>
    <w:rsid w:val="0BFDB171"/>
    <w:rsid w:val="0BFFA879"/>
    <w:rsid w:val="0BFFB098"/>
    <w:rsid w:val="0C0F7E93"/>
    <w:rsid w:val="0C131381"/>
    <w:rsid w:val="0C23E7E6"/>
    <w:rsid w:val="0C2911BF"/>
    <w:rsid w:val="0C352DC2"/>
    <w:rsid w:val="0C46F5B7"/>
    <w:rsid w:val="0C4EE40B"/>
    <w:rsid w:val="0C505BF0"/>
    <w:rsid w:val="0C51885A"/>
    <w:rsid w:val="0C5B3859"/>
    <w:rsid w:val="0C65EE4C"/>
    <w:rsid w:val="0C68AAD7"/>
    <w:rsid w:val="0C8A8C8C"/>
    <w:rsid w:val="0C8B8E79"/>
    <w:rsid w:val="0C8CA458"/>
    <w:rsid w:val="0C8D3BDC"/>
    <w:rsid w:val="0C9405A4"/>
    <w:rsid w:val="0C94D319"/>
    <w:rsid w:val="0C951CC9"/>
    <w:rsid w:val="0CA753AB"/>
    <w:rsid w:val="0CA9CA9C"/>
    <w:rsid w:val="0CB4E2D0"/>
    <w:rsid w:val="0CB8146B"/>
    <w:rsid w:val="0CCC334A"/>
    <w:rsid w:val="0CCC5232"/>
    <w:rsid w:val="0CD7275B"/>
    <w:rsid w:val="0CDAD8F5"/>
    <w:rsid w:val="0CDFAFE5"/>
    <w:rsid w:val="0CF70682"/>
    <w:rsid w:val="0D071D2B"/>
    <w:rsid w:val="0D0BBB0E"/>
    <w:rsid w:val="0D187DA0"/>
    <w:rsid w:val="0D1F6E32"/>
    <w:rsid w:val="0D22ACF4"/>
    <w:rsid w:val="0D25F86E"/>
    <w:rsid w:val="0D2C56AD"/>
    <w:rsid w:val="0D30AF7F"/>
    <w:rsid w:val="0D36EA1F"/>
    <w:rsid w:val="0D3E28E4"/>
    <w:rsid w:val="0D3F7137"/>
    <w:rsid w:val="0D4CD66E"/>
    <w:rsid w:val="0D5A827D"/>
    <w:rsid w:val="0D5D7867"/>
    <w:rsid w:val="0D68F712"/>
    <w:rsid w:val="0D9AE32C"/>
    <w:rsid w:val="0D9D8CF4"/>
    <w:rsid w:val="0D9FDBC9"/>
    <w:rsid w:val="0DA81941"/>
    <w:rsid w:val="0DAFCB86"/>
    <w:rsid w:val="0DB39686"/>
    <w:rsid w:val="0DB788D4"/>
    <w:rsid w:val="0DBB45F4"/>
    <w:rsid w:val="0DD4342F"/>
    <w:rsid w:val="0DE6C232"/>
    <w:rsid w:val="0DF1520C"/>
    <w:rsid w:val="0E004DEC"/>
    <w:rsid w:val="0E0165F0"/>
    <w:rsid w:val="0E05A7E5"/>
    <w:rsid w:val="0E10B3BE"/>
    <w:rsid w:val="0E160B6D"/>
    <w:rsid w:val="0E1725D2"/>
    <w:rsid w:val="0E1E0750"/>
    <w:rsid w:val="0E272DAC"/>
    <w:rsid w:val="0E32BC91"/>
    <w:rsid w:val="0E4AE565"/>
    <w:rsid w:val="0E4DAE9E"/>
    <w:rsid w:val="0E4F21F3"/>
    <w:rsid w:val="0E58F964"/>
    <w:rsid w:val="0E68250F"/>
    <w:rsid w:val="0E6BBCD2"/>
    <w:rsid w:val="0E71FA9C"/>
    <w:rsid w:val="0E7B356D"/>
    <w:rsid w:val="0E7D5D01"/>
    <w:rsid w:val="0E8EDFDD"/>
    <w:rsid w:val="0E8FE7A2"/>
    <w:rsid w:val="0E9797E8"/>
    <w:rsid w:val="0EA61E73"/>
    <w:rsid w:val="0EAEE46D"/>
    <w:rsid w:val="0EB1A649"/>
    <w:rsid w:val="0EB29DE9"/>
    <w:rsid w:val="0EB620BD"/>
    <w:rsid w:val="0EB705A5"/>
    <w:rsid w:val="0EB896C0"/>
    <w:rsid w:val="0EB9CBD4"/>
    <w:rsid w:val="0EB9ED86"/>
    <w:rsid w:val="0EC15A49"/>
    <w:rsid w:val="0ED1E439"/>
    <w:rsid w:val="0EF02D34"/>
    <w:rsid w:val="0EF61653"/>
    <w:rsid w:val="0EF7A189"/>
    <w:rsid w:val="0F0D2FC4"/>
    <w:rsid w:val="0F245B1C"/>
    <w:rsid w:val="0F3FA2D0"/>
    <w:rsid w:val="0F46B37C"/>
    <w:rsid w:val="0F4FEF4E"/>
    <w:rsid w:val="0F642C20"/>
    <w:rsid w:val="0F649109"/>
    <w:rsid w:val="0F6CD0E1"/>
    <w:rsid w:val="0F7CBACE"/>
    <w:rsid w:val="0F7EEBE6"/>
    <w:rsid w:val="0F814AAB"/>
    <w:rsid w:val="0F86A45F"/>
    <w:rsid w:val="0F8A22F2"/>
    <w:rsid w:val="0F8DACCB"/>
    <w:rsid w:val="0F9E1723"/>
    <w:rsid w:val="0FA7095A"/>
    <w:rsid w:val="0FA9B09C"/>
    <w:rsid w:val="0FB0329B"/>
    <w:rsid w:val="0FB42C09"/>
    <w:rsid w:val="0FBAAE9F"/>
    <w:rsid w:val="0FC18E59"/>
    <w:rsid w:val="0FC90062"/>
    <w:rsid w:val="0FC94D15"/>
    <w:rsid w:val="0FCBF37D"/>
    <w:rsid w:val="0FE91A69"/>
    <w:rsid w:val="100A15A8"/>
    <w:rsid w:val="100A4B37"/>
    <w:rsid w:val="100E0230"/>
    <w:rsid w:val="100FC6BF"/>
    <w:rsid w:val="101190C1"/>
    <w:rsid w:val="10157F77"/>
    <w:rsid w:val="101F4996"/>
    <w:rsid w:val="10206894"/>
    <w:rsid w:val="1021CCEE"/>
    <w:rsid w:val="1027B267"/>
    <w:rsid w:val="10287E2F"/>
    <w:rsid w:val="1031DC26"/>
    <w:rsid w:val="103A68B7"/>
    <w:rsid w:val="1047BAD2"/>
    <w:rsid w:val="105155D6"/>
    <w:rsid w:val="105E06F7"/>
    <w:rsid w:val="106B103A"/>
    <w:rsid w:val="106EA533"/>
    <w:rsid w:val="1070FAA4"/>
    <w:rsid w:val="1074B175"/>
    <w:rsid w:val="107F0457"/>
    <w:rsid w:val="107F997B"/>
    <w:rsid w:val="108A1000"/>
    <w:rsid w:val="1095E8E9"/>
    <w:rsid w:val="109A953D"/>
    <w:rsid w:val="10AB13CD"/>
    <w:rsid w:val="10BA1C0C"/>
    <w:rsid w:val="10BF1D79"/>
    <w:rsid w:val="10C1CC33"/>
    <w:rsid w:val="10CC378D"/>
    <w:rsid w:val="10CDFCC6"/>
    <w:rsid w:val="10CE4987"/>
    <w:rsid w:val="10DC7F53"/>
    <w:rsid w:val="10EEA092"/>
    <w:rsid w:val="10F0A10E"/>
    <w:rsid w:val="10F6B988"/>
    <w:rsid w:val="10FA7DBB"/>
    <w:rsid w:val="11012CE9"/>
    <w:rsid w:val="111B2A81"/>
    <w:rsid w:val="111C5230"/>
    <w:rsid w:val="112921AB"/>
    <w:rsid w:val="1130E3F9"/>
    <w:rsid w:val="113BBA04"/>
    <w:rsid w:val="113E0097"/>
    <w:rsid w:val="113E1DF6"/>
    <w:rsid w:val="1152389A"/>
    <w:rsid w:val="11667C24"/>
    <w:rsid w:val="11674A8D"/>
    <w:rsid w:val="117FF85F"/>
    <w:rsid w:val="11933C5D"/>
    <w:rsid w:val="11A2835A"/>
    <w:rsid w:val="11A39378"/>
    <w:rsid w:val="11BE5BF1"/>
    <w:rsid w:val="11C118B7"/>
    <w:rsid w:val="11C17E50"/>
    <w:rsid w:val="11C6F8CD"/>
    <w:rsid w:val="11D06696"/>
    <w:rsid w:val="11D3F915"/>
    <w:rsid w:val="11D53113"/>
    <w:rsid w:val="11D68385"/>
    <w:rsid w:val="11E5AE92"/>
    <w:rsid w:val="11EF451C"/>
    <w:rsid w:val="11F6F5D5"/>
    <w:rsid w:val="11FBE341"/>
    <w:rsid w:val="1207D23B"/>
    <w:rsid w:val="120F2558"/>
    <w:rsid w:val="121200A6"/>
    <w:rsid w:val="12191DDD"/>
    <w:rsid w:val="121B084D"/>
    <w:rsid w:val="12242BAA"/>
    <w:rsid w:val="122D8656"/>
    <w:rsid w:val="12303920"/>
    <w:rsid w:val="1232C9F8"/>
    <w:rsid w:val="12400CB8"/>
    <w:rsid w:val="124BB3FF"/>
    <w:rsid w:val="1250D88A"/>
    <w:rsid w:val="12573036"/>
    <w:rsid w:val="1257FBC9"/>
    <w:rsid w:val="1258DED3"/>
    <w:rsid w:val="125D3B7B"/>
    <w:rsid w:val="128A7312"/>
    <w:rsid w:val="128FFE1A"/>
    <w:rsid w:val="12A592D2"/>
    <w:rsid w:val="12B13F74"/>
    <w:rsid w:val="12BCD7A4"/>
    <w:rsid w:val="12C0F4E5"/>
    <w:rsid w:val="12D22777"/>
    <w:rsid w:val="12D36C70"/>
    <w:rsid w:val="12D59360"/>
    <w:rsid w:val="12D79E53"/>
    <w:rsid w:val="12D9ED4E"/>
    <w:rsid w:val="12EC5809"/>
    <w:rsid w:val="13365252"/>
    <w:rsid w:val="13373EB2"/>
    <w:rsid w:val="1338AD96"/>
    <w:rsid w:val="133CB600"/>
    <w:rsid w:val="13568376"/>
    <w:rsid w:val="1357E69A"/>
    <w:rsid w:val="1358E7A9"/>
    <w:rsid w:val="138823DD"/>
    <w:rsid w:val="1389EC69"/>
    <w:rsid w:val="138FB86D"/>
    <w:rsid w:val="1391D370"/>
    <w:rsid w:val="13B42D58"/>
    <w:rsid w:val="13C43E9A"/>
    <w:rsid w:val="13CC1449"/>
    <w:rsid w:val="13DBB23F"/>
    <w:rsid w:val="13DDE117"/>
    <w:rsid w:val="13EA315D"/>
    <w:rsid w:val="13F4DF8A"/>
    <w:rsid w:val="13F616B7"/>
    <w:rsid w:val="13F8EFD2"/>
    <w:rsid w:val="13F95E7F"/>
    <w:rsid w:val="14099430"/>
    <w:rsid w:val="14189426"/>
    <w:rsid w:val="14209012"/>
    <w:rsid w:val="145F1AD5"/>
    <w:rsid w:val="146B0400"/>
    <w:rsid w:val="14758E4C"/>
    <w:rsid w:val="1477F468"/>
    <w:rsid w:val="1494855D"/>
    <w:rsid w:val="14A3AED7"/>
    <w:rsid w:val="14A740EA"/>
    <w:rsid w:val="14AA45C3"/>
    <w:rsid w:val="14AE7B33"/>
    <w:rsid w:val="14B00929"/>
    <w:rsid w:val="14C07CCC"/>
    <w:rsid w:val="14C9B090"/>
    <w:rsid w:val="15033927"/>
    <w:rsid w:val="1506188D"/>
    <w:rsid w:val="15134B5F"/>
    <w:rsid w:val="15148139"/>
    <w:rsid w:val="1517EE84"/>
    <w:rsid w:val="1520C2A5"/>
    <w:rsid w:val="15234691"/>
    <w:rsid w:val="1527C9CB"/>
    <w:rsid w:val="153B3D2F"/>
    <w:rsid w:val="153E36D7"/>
    <w:rsid w:val="1547BC53"/>
    <w:rsid w:val="154A3633"/>
    <w:rsid w:val="154C7A9F"/>
    <w:rsid w:val="154DD160"/>
    <w:rsid w:val="15504CD5"/>
    <w:rsid w:val="1550FD87"/>
    <w:rsid w:val="15582344"/>
    <w:rsid w:val="15599934"/>
    <w:rsid w:val="155C734A"/>
    <w:rsid w:val="155EA304"/>
    <w:rsid w:val="1573E42D"/>
    <w:rsid w:val="15791647"/>
    <w:rsid w:val="157C0348"/>
    <w:rsid w:val="15AC10E8"/>
    <w:rsid w:val="15AD67AD"/>
    <w:rsid w:val="15BC2436"/>
    <w:rsid w:val="15C7FE4E"/>
    <w:rsid w:val="15CA87D0"/>
    <w:rsid w:val="15CBE3C7"/>
    <w:rsid w:val="15D1FCE8"/>
    <w:rsid w:val="15DAB631"/>
    <w:rsid w:val="15E662C3"/>
    <w:rsid w:val="15E6B924"/>
    <w:rsid w:val="15F247D4"/>
    <w:rsid w:val="15F816DE"/>
    <w:rsid w:val="15FA190F"/>
    <w:rsid w:val="15FD85F6"/>
    <w:rsid w:val="16091954"/>
    <w:rsid w:val="160C60AC"/>
    <w:rsid w:val="160F1238"/>
    <w:rsid w:val="161C13FE"/>
    <w:rsid w:val="161FE23E"/>
    <w:rsid w:val="164229A1"/>
    <w:rsid w:val="164370B1"/>
    <w:rsid w:val="16481C3E"/>
    <w:rsid w:val="164A9CEB"/>
    <w:rsid w:val="165E4C6C"/>
    <w:rsid w:val="1679E4DA"/>
    <w:rsid w:val="16838E43"/>
    <w:rsid w:val="16A60328"/>
    <w:rsid w:val="16B4E235"/>
    <w:rsid w:val="16B52A72"/>
    <w:rsid w:val="16C18975"/>
    <w:rsid w:val="16C5D857"/>
    <w:rsid w:val="16CB62DA"/>
    <w:rsid w:val="16CB87C4"/>
    <w:rsid w:val="16D56ED4"/>
    <w:rsid w:val="16D5F882"/>
    <w:rsid w:val="16D62F72"/>
    <w:rsid w:val="16DCEC8C"/>
    <w:rsid w:val="16E008A0"/>
    <w:rsid w:val="16EB74F2"/>
    <w:rsid w:val="16ECDAC5"/>
    <w:rsid w:val="16F0B6E3"/>
    <w:rsid w:val="16F77498"/>
    <w:rsid w:val="170B9922"/>
    <w:rsid w:val="17151BF1"/>
    <w:rsid w:val="172037D0"/>
    <w:rsid w:val="17356303"/>
    <w:rsid w:val="17381C6F"/>
    <w:rsid w:val="173ACA4B"/>
    <w:rsid w:val="173E14DF"/>
    <w:rsid w:val="17481257"/>
    <w:rsid w:val="174E14E5"/>
    <w:rsid w:val="176041D5"/>
    <w:rsid w:val="1763E898"/>
    <w:rsid w:val="176A31A5"/>
    <w:rsid w:val="176C127D"/>
    <w:rsid w:val="1778D42A"/>
    <w:rsid w:val="1780349B"/>
    <w:rsid w:val="178E92B7"/>
    <w:rsid w:val="1793ECDF"/>
    <w:rsid w:val="179414D5"/>
    <w:rsid w:val="17A1AF40"/>
    <w:rsid w:val="17A8D25D"/>
    <w:rsid w:val="17B067AC"/>
    <w:rsid w:val="17B07F7E"/>
    <w:rsid w:val="17C39B11"/>
    <w:rsid w:val="17E95501"/>
    <w:rsid w:val="17F7E652"/>
    <w:rsid w:val="17FDDD70"/>
    <w:rsid w:val="180B12C3"/>
    <w:rsid w:val="18115C10"/>
    <w:rsid w:val="182A2643"/>
    <w:rsid w:val="182F4827"/>
    <w:rsid w:val="183696A7"/>
    <w:rsid w:val="1842F23F"/>
    <w:rsid w:val="184BA8A5"/>
    <w:rsid w:val="185214B9"/>
    <w:rsid w:val="185D6882"/>
    <w:rsid w:val="185EE0E5"/>
    <w:rsid w:val="186309C0"/>
    <w:rsid w:val="18707032"/>
    <w:rsid w:val="1877EC16"/>
    <w:rsid w:val="187FD8F5"/>
    <w:rsid w:val="18939F24"/>
    <w:rsid w:val="18998404"/>
    <w:rsid w:val="189EC715"/>
    <w:rsid w:val="18A44757"/>
    <w:rsid w:val="18AF147E"/>
    <w:rsid w:val="18B0CC9F"/>
    <w:rsid w:val="18BA536C"/>
    <w:rsid w:val="18C4F088"/>
    <w:rsid w:val="18D0A53F"/>
    <w:rsid w:val="18D1A526"/>
    <w:rsid w:val="18D2222B"/>
    <w:rsid w:val="18D7173F"/>
    <w:rsid w:val="18DCC733"/>
    <w:rsid w:val="18E2F85A"/>
    <w:rsid w:val="18E53B2F"/>
    <w:rsid w:val="18F3F235"/>
    <w:rsid w:val="18FBF446"/>
    <w:rsid w:val="190933CC"/>
    <w:rsid w:val="1911D559"/>
    <w:rsid w:val="1914700A"/>
    <w:rsid w:val="192DD24B"/>
    <w:rsid w:val="1944651D"/>
    <w:rsid w:val="194939FD"/>
    <w:rsid w:val="194B2C6A"/>
    <w:rsid w:val="194BF6C3"/>
    <w:rsid w:val="195A7D2F"/>
    <w:rsid w:val="196B6010"/>
    <w:rsid w:val="196D1C92"/>
    <w:rsid w:val="196F6D70"/>
    <w:rsid w:val="196FE81D"/>
    <w:rsid w:val="1970CF98"/>
    <w:rsid w:val="1976738C"/>
    <w:rsid w:val="1978E89C"/>
    <w:rsid w:val="198CA6BC"/>
    <w:rsid w:val="198F1464"/>
    <w:rsid w:val="1995D1B6"/>
    <w:rsid w:val="199A8946"/>
    <w:rsid w:val="199BE7A2"/>
    <w:rsid w:val="199FB676"/>
    <w:rsid w:val="19AB25AA"/>
    <w:rsid w:val="19AC8651"/>
    <w:rsid w:val="19AF6B55"/>
    <w:rsid w:val="19B616A0"/>
    <w:rsid w:val="19B7A3A7"/>
    <w:rsid w:val="19B9243D"/>
    <w:rsid w:val="19BE8796"/>
    <w:rsid w:val="19C617D1"/>
    <w:rsid w:val="19CEF0DA"/>
    <w:rsid w:val="19D57182"/>
    <w:rsid w:val="19DA9579"/>
    <w:rsid w:val="19DC8F24"/>
    <w:rsid w:val="19DFD44B"/>
    <w:rsid w:val="19E5027C"/>
    <w:rsid w:val="1A023A73"/>
    <w:rsid w:val="1A03F6C4"/>
    <w:rsid w:val="1A091340"/>
    <w:rsid w:val="1A0F61A0"/>
    <w:rsid w:val="1A194BF8"/>
    <w:rsid w:val="1A20B68D"/>
    <w:rsid w:val="1A21169D"/>
    <w:rsid w:val="1A423CD5"/>
    <w:rsid w:val="1A61467D"/>
    <w:rsid w:val="1A85278B"/>
    <w:rsid w:val="1A86D622"/>
    <w:rsid w:val="1A9444EF"/>
    <w:rsid w:val="1AA86FD4"/>
    <w:rsid w:val="1AB35CCA"/>
    <w:rsid w:val="1AB47AA0"/>
    <w:rsid w:val="1AB4894D"/>
    <w:rsid w:val="1ACE9D36"/>
    <w:rsid w:val="1ACF156B"/>
    <w:rsid w:val="1AD16E23"/>
    <w:rsid w:val="1AD5B5E4"/>
    <w:rsid w:val="1AEBD94B"/>
    <w:rsid w:val="1AED4E88"/>
    <w:rsid w:val="1AF6564F"/>
    <w:rsid w:val="1AF7FCAF"/>
    <w:rsid w:val="1B1F151E"/>
    <w:rsid w:val="1B300310"/>
    <w:rsid w:val="1B346368"/>
    <w:rsid w:val="1B50AD05"/>
    <w:rsid w:val="1B5D79D1"/>
    <w:rsid w:val="1B60D82C"/>
    <w:rsid w:val="1B6DA3E9"/>
    <w:rsid w:val="1B7C2103"/>
    <w:rsid w:val="1B7FF256"/>
    <w:rsid w:val="1B85F414"/>
    <w:rsid w:val="1B88B6DE"/>
    <w:rsid w:val="1B8DFDA4"/>
    <w:rsid w:val="1BA1FED3"/>
    <w:rsid w:val="1BC5BE64"/>
    <w:rsid w:val="1BDF9608"/>
    <w:rsid w:val="1BF07AF2"/>
    <w:rsid w:val="1BFC56DD"/>
    <w:rsid w:val="1C00DA16"/>
    <w:rsid w:val="1C03971D"/>
    <w:rsid w:val="1C132E52"/>
    <w:rsid w:val="1C13F995"/>
    <w:rsid w:val="1C18CC7B"/>
    <w:rsid w:val="1C2B96BF"/>
    <w:rsid w:val="1C2DEBC0"/>
    <w:rsid w:val="1C375A60"/>
    <w:rsid w:val="1C3E5694"/>
    <w:rsid w:val="1C48E26C"/>
    <w:rsid w:val="1C5A40E0"/>
    <w:rsid w:val="1C684803"/>
    <w:rsid w:val="1C70AE27"/>
    <w:rsid w:val="1C72FC79"/>
    <w:rsid w:val="1C772908"/>
    <w:rsid w:val="1C7EFA4B"/>
    <w:rsid w:val="1C80A770"/>
    <w:rsid w:val="1CA0D6CF"/>
    <w:rsid w:val="1CE5F747"/>
    <w:rsid w:val="1CE772EF"/>
    <w:rsid w:val="1D06E5D1"/>
    <w:rsid w:val="1D172D88"/>
    <w:rsid w:val="1D1A63D3"/>
    <w:rsid w:val="1D1BDC56"/>
    <w:rsid w:val="1D239E88"/>
    <w:rsid w:val="1D23B35F"/>
    <w:rsid w:val="1D375A62"/>
    <w:rsid w:val="1D47DF3E"/>
    <w:rsid w:val="1D4B8F10"/>
    <w:rsid w:val="1D53011B"/>
    <w:rsid w:val="1D55E90D"/>
    <w:rsid w:val="1D57E4D9"/>
    <w:rsid w:val="1D5AE6E2"/>
    <w:rsid w:val="1D5B9DDF"/>
    <w:rsid w:val="1D699263"/>
    <w:rsid w:val="1D79E3BF"/>
    <w:rsid w:val="1D84FE13"/>
    <w:rsid w:val="1D857F14"/>
    <w:rsid w:val="1D8A16A2"/>
    <w:rsid w:val="1D9B4E9B"/>
    <w:rsid w:val="1DA7BBF5"/>
    <w:rsid w:val="1DBDEDA8"/>
    <w:rsid w:val="1DC16678"/>
    <w:rsid w:val="1DC42471"/>
    <w:rsid w:val="1DD1A528"/>
    <w:rsid w:val="1DD4B3DA"/>
    <w:rsid w:val="1DF1B66F"/>
    <w:rsid w:val="1E11FAF4"/>
    <w:rsid w:val="1E1444ED"/>
    <w:rsid w:val="1E219A39"/>
    <w:rsid w:val="1E2B1872"/>
    <w:rsid w:val="1E2C3765"/>
    <w:rsid w:val="1E2CECB0"/>
    <w:rsid w:val="1E32E1A2"/>
    <w:rsid w:val="1E3480D0"/>
    <w:rsid w:val="1E362CCA"/>
    <w:rsid w:val="1E36B493"/>
    <w:rsid w:val="1E4C2E32"/>
    <w:rsid w:val="1E508AB8"/>
    <w:rsid w:val="1E5A38AD"/>
    <w:rsid w:val="1E642270"/>
    <w:rsid w:val="1E696A09"/>
    <w:rsid w:val="1E69803F"/>
    <w:rsid w:val="1E6F339E"/>
    <w:rsid w:val="1E74B2FE"/>
    <w:rsid w:val="1E771ACF"/>
    <w:rsid w:val="1E7BF659"/>
    <w:rsid w:val="1E868C27"/>
    <w:rsid w:val="1E8F1FB8"/>
    <w:rsid w:val="1E912343"/>
    <w:rsid w:val="1E948157"/>
    <w:rsid w:val="1E9955DD"/>
    <w:rsid w:val="1E9EB2F4"/>
    <w:rsid w:val="1EA2C461"/>
    <w:rsid w:val="1EA7544E"/>
    <w:rsid w:val="1EAA47A5"/>
    <w:rsid w:val="1EAD306E"/>
    <w:rsid w:val="1EB4B9A6"/>
    <w:rsid w:val="1EB75449"/>
    <w:rsid w:val="1ECD312D"/>
    <w:rsid w:val="1EDB9538"/>
    <w:rsid w:val="1EF0ED4F"/>
    <w:rsid w:val="1F22288D"/>
    <w:rsid w:val="1F22BE2B"/>
    <w:rsid w:val="1F23213A"/>
    <w:rsid w:val="1F33935C"/>
    <w:rsid w:val="1F3DBD8B"/>
    <w:rsid w:val="1F5129FF"/>
    <w:rsid w:val="1F60FCC0"/>
    <w:rsid w:val="1F702D5B"/>
    <w:rsid w:val="1F885453"/>
    <w:rsid w:val="1F9565CA"/>
    <w:rsid w:val="1F99F5CB"/>
    <w:rsid w:val="1FA093C0"/>
    <w:rsid w:val="1FAA4975"/>
    <w:rsid w:val="1FCAC1FC"/>
    <w:rsid w:val="1FD2A7D6"/>
    <w:rsid w:val="1FD9B4E7"/>
    <w:rsid w:val="2005015B"/>
    <w:rsid w:val="2005F4E0"/>
    <w:rsid w:val="200DDB00"/>
    <w:rsid w:val="20223EE0"/>
    <w:rsid w:val="2036DA73"/>
    <w:rsid w:val="2042A9CF"/>
    <w:rsid w:val="204AC19F"/>
    <w:rsid w:val="2067492C"/>
    <w:rsid w:val="206AEC8B"/>
    <w:rsid w:val="20715383"/>
    <w:rsid w:val="2077D107"/>
    <w:rsid w:val="20891CF2"/>
    <w:rsid w:val="208F6A35"/>
    <w:rsid w:val="209C4385"/>
    <w:rsid w:val="20A0372D"/>
    <w:rsid w:val="20B20372"/>
    <w:rsid w:val="20BCD5C1"/>
    <w:rsid w:val="20C560A6"/>
    <w:rsid w:val="20DAB8DC"/>
    <w:rsid w:val="20DE3D68"/>
    <w:rsid w:val="20E6962A"/>
    <w:rsid w:val="20EC77ED"/>
    <w:rsid w:val="20EF954E"/>
    <w:rsid w:val="20F01D3A"/>
    <w:rsid w:val="20F4D316"/>
    <w:rsid w:val="210D3486"/>
    <w:rsid w:val="210F4075"/>
    <w:rsid w:val="211037DE"/>
    <w:rsid w:val="2126200B"/>
    <w:rsid w:val="2128A36D"/>
    <w:rsid w:val="2128E106"/>
    <w:rsid w:val="212B4069"/>
    <w:rsid w:val="2131300D"/>
    <w:rsid w:val="213304AA"/>
    <w:rsid w:val="2136B5E1"/>
    <w:rsid w:val="21385FBE"/>
    <w:rsid w:val="21421397"/>
    <w:rsid w:val="214AEEE3"/>
    <w:rsid w:val="2154ADCE"/>
    <w:rsid w:val="215DB34D"/>
    <w:rsid w:val="2162EE58"/>
    <w:rsid w:val="216A677B"/>
    <w:rsid w:val="217C3D0A"/>
    <w:rsid w:val="2180253B"/>
    <w:rsid w:val="218E16FA"/>
    <w:rsid w:val="21941079"/>
    <w:rsid w:val="21993FC7"/>
    <w:rsid w:val="219BC444"/>
    <w:rsid w:val="219D5405"/>
    <w:rsid w:val="219D6B97"/>
    <w:rsid w:val="219D81D5"/>
    <w:rsid w:val="21A83D40"/>
    <w:rsid w:val="21AB499B"/>
    <w:rsid w:val="21AD13B2"/>
    <w:rsid w:val="21B9B95E"/>
    <w:rsid w:val="21CF4260"/>
    <w:rsid w:val="21D26AF0"/>
    <w:rsid w:val="21DB161D"/>
    <w:rsid w:val="21DF07D4"/>
    <w:rsid w:val="21EE5511"/>
    <w:rsid w:val="21F026D7"/>
    <w:rsid w:val="21F072F0"/>
    <w:rsid w:val="21F92390"/>
    <w:rsid w:val="22050D05"/>
    <w:rsid w:val="22064C4A"/>
    <w:rsid w:val="220FEB43"/>
    <w:rsid w:val="221504FC"/>
    <w:rsid w:val="22191395"/>
    <w:rsid w:val="223532BE"/>
    <w:rsid w:val="22475DEA"/>
    <w:rsid w:val="224BA0A1"/>
    <w:rsid w:val="22527F12"/>
    <w:rsid w:val="22577257"/>
    <w:rsid w:val="226195F0"/>
    <w:rsid w:val="22644A78"/>
    <w:rsid w:val="226C1FC9"/>
    <w:rsid w:val="2275E685"/>
    <w:rsid w:val="227F8D0D"/>
    <w:rsid w:val="228AE921"/>
    <w:rsid w:val="22A0E518"/>
    <w:rsid w:val="22A1951B"/>
    <w:rsid w:val="22AB4C7C"/>
    <w:rsid w:val="22ADF9A9"/>
    <w:rsid w:val="22CA3B50"/>
    <w:rsid w:val="22CAF55E"/>
    <w:rsid w:val="22D48323"/>
    <w:rsid w:val="22DD6E3A"/>
    <w:rsid w:val="22E025E3"/>
    <w:rsid w:val="22E09C4D"/>
    <w:rsid w:val="22E0BDD3"/>
    <w:rsid w:val="22EAD354"/>
    <w:rsid w:val="22FB3600"/>
    <w:rsid w:val="22FD6056"/>
    <w:rsid w:val="230D77BF"/>
    <w:rsid w:val="2316A3C4"/>
    <w:rsid w:val="232A0A61"/>
    <w:rsid w:val="233364A8"/>
    <w:rsid w:val="233ADF6E"/>
    <w:rsid w:val="2358329E"/>
    <w:rsid w:val="2361D0F5"/>
    <w:rsid w:val="23624CB9"/>
    <w:rsid w:val="236D2093"/>
    <w:rsid w:val="2376C77A"/>
    <w:rsid w:val="2379A329"/>
    <w:rsid w:val="2379A5DE"/>
    <w:rsid w:val="2381FE4E"/>
    <w:rsid w:val="2382AEC8"/>
    <w:rsid w:val="23A1DB16"/>
    <w:rsid w:val="23A44966"/>
    <w:rsid w:val="23A6C5E4"/>
    <w:rsid w:val="23AB15CD"/>
    <w:rsid w:val="23AE7D76"/>
    <w:rsid w:val="23B38467"/>
    <w:rsid w:val="23B6C397"/>
    <w:rsid w:val="23CCAF15"/>
    <w:rsid w:val="23DC1AC3"/>
    <w:rsid w:val="23DCBBF2"/>
    <w:rsid w:val="23E827B6"/>
    <w:rsid w:val="23EBF1D5"/>
    <w:rsid w:val="23EE4067"/>
    <w:rsid w:val="23F4EEAF"/>
    <w:rsid w:val="23F8C32B"/>
    <w:rsid w:val="23FB6173"/>
    <w:rsid w:val="241C6E8B"/>
    <w:rsid w:val="241E9318"/>
    <w:rsid w:val="24270462"/>
    <w:rsid w:val="244578A7"/>
    <w:rsid w:val="245298F1"/>
    <w:rsid w:val="24681DC9"/>
    <w:rsid w:val="247C6A03"/>
    <w:rsid w:val="247DA9DA"/>
    <w:rsid w:val="247F5F5B"/>
    <w:rsid w:val="248987F3"/>
    <w:rsid w:val="24A1338B"/>
    <w:rsid w:val="24AB65D4"/>
    <w:rsid w:val="24AC0AC4"/>
    <w:rsid w:val="24B4236F"/>
    <w:rsid w:val="24B643E5"/>
    <w:rsid w:val="24E37A85"/>
    <w:rsid w:val="24EBA78F"/>
    <w:rsid w:val="24F7C036"/>
    <w:rsid w:val="24FCBAC4"/>
    <w:rsid w:val="24FEFB67"/>
    <w:rsid w:val="2512D184"/>
    <w:rsid w:val="2517E02A"/>
    <w:rsid w:val="251FC351"/>
    <w:rsid w:val="25227402"/>
    <w:rsid w:val="25296157"/>
    <w:rsid w:val="25471A8E"/>
    <w:rsid w:val="25474EBD"/>
    <w:rsid w:val="254E1CBC"/>
    <w:rsid w:val="2556E51D"/>
    <w:rsid w:val="25696077"/>
    <w:rsid w:val="256AB89C"/>
    <w:rsid w:val="256B04F9"/>
    <w:rsid w:val="256E3D03"/>
    <w:rsid w:val="2577A2A4"/>
    <w:rsid w:val="2582B9B5"/>
    <w:rsid w:val="258B7A6D"/>
    <w:rsid w:val="258F6722"/>
    <w:rsid w:val="2594CEC6"/>
    <w:rsid w:val="2597F5A2"/>
    <w:rsid w:val="25A257B6"/>
    <w:rsid w:val="25A3C21F"/>
    <w:rsid w:val="25CAAEC1"/>
    <w:rsid w:val="25D70FE8"/>
    <w:rsid w:val="25DBC760"/>
    <w:rsid w:val="25E60BF1"/>
    <w:rsid w:val="26060A6B"/>
    <w:rsid w:val="26168C01"/>
    <w:rsid w:val="2621A62E"/>
    <w:rsid w:val="262A9D78"/>
    <w:rsid w:val="262BEC27"/>
    <w:rsid w:val="26393306"/>
    <w:rsid w:val="265D10CB"/>
    <w:rsid w:val="2662E0B5"/>
    <w:rsid w:val="266D9222"/>
    <w:rsid w:val="267886A4"/>
    <w:rsid w:val="268A4B42"/>
    <w:rsid w:val="26BD399C"/>
    <w:rsid w:val="26C149B3"/>
    <w:rsid w:val="26D921BB"/>
    <w:rsid w:val="26F20E02"/>
    <w:rsid w:val="26F6AF8C"/>
    <w:rsid w:val="26F84B0B"/>
    <w:rsid w:val="2716DAF0"/>
    <w:rsid w:val="271A7BDB"/>
    <w:rsid w:val="271A9BB8"/>
    <w:rsid w:val="272B99B9"/>
    <w:rsid w:val="27352E50"/>
    <w:rsid w:val="27353ACE"/>
    <w:rsid w:val="27391086"/>
    <w:rsid w:val="273A65E2"/>
    <w:rsid w:val="273F5655"/>
    <w:rsid w:val="27417947"/>
    <w:rsid w:val="27432B1B"/>
    <w:rsid w:val="27555843"/>
    <w:rsid w:val="27589D0F"/>
    <w:rsid w:val="27691BC8"/>
    <w:rsid w:val="2770C80E"/>
    <w:rsid w:val="27769BFC"/>
    <w:rsid w:val="279BB325"/>
    <w:rsid w:val="27C4713F"/>
    <w:rsid w:val="27C7D9E2"/>
    <w:rsid w:val="27D3359A"/>
    <w:rsid w:val="27E56C35"/>
    <w:rsid w:val="27E80D5D"/>
    <w:rsid w:val="27F04922"/>
    <w:rsid w:val="27FCBFF7"/>
    <w:rsid w:val="27FE9A86"/>
    <w:rsid w:val="28033148"/>
    <w:rsid w:val="280E66A6"/>
    <w:rsid w:val="28103AC2"/>
    <w:rsid w:val="2816082D"/>
    <w:rsid w:val="281CF6DB"/>
    <w:rsid w:val="281DADDF"/>
    <w:rsid w:val="2822C66A"/>
    <w:rsid w:val="2826C49F"/>
    <w:rsid w:val="283280E9"/>
    <w:rsid w:val="283E3EF0"/>
    <w:rsid w:val="283EBBCB"/>
    <w:rsid w:val="286172D3"/>
    <w:rsid w:val="286AC24B"/>
    <w:rsid w:val="287CA25A"/>
    <w:rsid w:val="28885B88"/>
    <w:rsid w:val="2896EBA5"/>
    <w:rsid w:val="289ECFB5"/>
    <w:rsid w:val="28B45062"/>
    <w:rsid w:val="28BD1206"/>
    <w:rsid w:val="28C0FD6A"/>
    <w:rsid w:val="28C113A9"/>
    <w:rsid w:val="28C2A903"/>
    <w:rsid w:val="28C64AFE"/>
    <w:rsid w:val="28C959D6"/>
    <w:rsid w:val="28CAE92B"/>
    <w:rsid w:val="28DCB986"/>
    <w:rsid w:val="28E3DBD7"/>
    <w:rsid w:val="29092F82"/>
    <w:rsid w:val="290E5961"/>
    <w:rsid w:val="290ED215"/>
    <w:rsid w:val="29129B6A"/>
    <w:rsid w:val="292B469D"/>
    <w:rsid w:val="2936F6FD"/>
    <w:rsid w:val="29535C6F"/>
    <w:rsid w:val="2953B520"/>
    <w:rsid w:val="295627F0"/>
    <w:rsid w:val="29679859"/>
    <w:rsid w:val="29C27CE3"/>
    <w:rsid w:val="29C30D68"/>
    <w:rsid w:val="29C5DCC3"/>
    <w:rsid w:val="29D46DEA"/>
    <w:rsid w:val="29F8BEE4"/>
    <w:rsid w:val="29F9D615"/>
    <w:rsid w:val="2A00AE22"/>
    <w:rsid w:val="2A00C564"/>
    <w:rsid w:val="2A08674A"/>
    <w:rsid w:val="2A0E0DC2"/>
    <w:rsid w:val="2A17F581"/>
    <w:rsid w:val="2A28B146"/>
    <w:rsid w:val="2A3BCABC"/>
    <w:rsid w:val="2A4AF003"/>
    <w:rsid w:val="2A5316BC"/>
    <w:rsid w:val="2A5F1050"/>
    <w:rsid w:val="2A6014F1"/>
    <w:rsid w:val="2A6AAF5F"/>
    <w:rsid w:val="2A6B3521"/>
    <w:rsid w:val="2A6D1639"/>
    <w:rsid w:val="2A70A644"/>
    <w:rsid w:val="2A766C92"/>
    <w:rsid w:val="2A7DAA34"/>
    <w:rsid w:val="2A7EC01C"/>
    <w:rsid w:val="2A84FF1B"/>
    <w:rsid w:val="2A86498A"/>
    <w:rsid w:val="2A97D2C3"/>
    <w:rsid w:val="2AC39A7E"/>
    <w:rsid w:val="2AD91DFD"/>
    <w:rsid w:val="2AEA9AE8"/>
    <w:rsid w:val="2AF1D5A5"/>
    <w:rsid w:val="2AF6F650"/>
    <w:rsid w:val="2AF782E6"/>
    <w:rsid w:val="2B028820"/>
    <w:rsid w:val="2B1753BE"/>
    <w:rsid w:val="2B17DB94"/>
    <w:rsid w:val="2B1B228D"/>
    <w:rsid w:val="2B1FF03C"/>
    <w:rsid w:val="2B269B2C"/>
    <w:rsid w:val="2B482678"/>
    <w:rsid w:val="2B583F93"/>
    <w:rsid w:val="2B6B53D6"/>
    <w:rsid w:val="2B6ECE2A"/>
    <w:rsid w:val="2B6F20BB"/>
    <w:rsid w:val="2B7A6A4C"/>
    <w:rsid w:val="2B87D034"/>
    <w:rsid w:val="2B8E0B88"/>
    <w:rsid w:val="2BA604F5"/>
    <w:rsid w:val="2BADB9B0"/>
    <w:rsid w:val="2BCCD07D"/>
    <w:rsid w:val="2BD43368"/>
    <w:rsid w:val="2BD6E60C"/>
    <w:rsid w:val="2BFF7F87"/>
    <w:rsid w:val="2C04A700"/>
    <w:rsid w:val="2C0CE4E7"/>
    <w:rsid w:val="2C0DEC38"/>
    <w:rsid w:val="2C11C8C3"/>
    <w:rsid w:val="2C128E83"/>
    <w:rsid w:val="2C15D3C2"/>
    <w:rsid w:val="2C1BA4CA"/>
    <w:rsid w:val="2C1E88E3"/>
    <w:rsid w:val="2C1EF33B"/>
    <w:rsid w:val="2C486100"/>
    <w:rsid w:val="2C54DF4C"/>
    <w:rsid w:val="2C56CF4D"/>
    <w:rsid w:val="2C587EDB"/>
    <w:rsid w:val="2C680B9A"/>
    <w:rsid w:val="2C69AFDA"/>
    <w:rsid w:val="2C713D83"/>
    <w:rsid w:val="2C74BFD6"/>
    <w:rsid w:val="2C7CD2AE"/>
    <w:rsid w:val="2C821DBB"/>
    <w:rsid w:val="2C87C4AD"/>
    <w:rsid w:val="2C8B3FF0"/>
    <w:rsid w:val="2C999FBC"/>
    <w:rsid w:val="2C9A1940"/>
    <w:rsid w:val="2C9B2F2B"/>
    <w:rsid w:val="2CAFAEB6"/>
    <w:rsid w:val="2CBA4D47"/>
    <w:rsid w:val="2CC382BB"/>
    <w:rsid w:val="2CCB64D1"/>
    <w:rsid w:val="2CDC6CA1"/>
    <w:rsid w:val="2CE92B0F"/>
    <w:rsid w:val="2CEDD8F6"/>
    <w:rsid w:val="2CEEBA6F"/>
    <w:rsid w:val="2CFBCAE0"/>
    <w:rsid w:val="2D056A75"/>
    <w:rsid w:val="2D0E4A89"/>
    <w:rsid w:val="2D1B5542"/>
    <w:rsid w:val="2D1D56AC"/>
    <w:rsid w:val="2D2F230D"/>
    <w:rsid w:val="2D300D63"/>
    <w:rsid w:val="2D34694C"/>
    <w:rsid w:val="2D3674EE"/>
    <w:rsid w:val="2D450FB8"/>
    <w:rsid w:val="2D568B82"/>
    <w:rsid w:val="2D5CF811"/>
    <w:rsid w:val="2D6FA16F"/>
    <w:rsid w:val="2D7B5E7F"/>
    <w:rsid w:val="2D7D0389"/>
    <w:rsid w:val="2D821AC7"/>
    <w:rsid w:val="2D844BD9"/>
    <w:rsid w:val="2D86BA8E"/>
    <w:rsid w:val="2D88E3F2"/>
    <w:rsid w:val="2DA3DCB3"/>
    <w:rsid w:val="2DA6FD8A"/>
    <w:rsid w:val="2DAC5ED3"/>
    <w:rsid w:val="2DB5D0B8"/>
    <w:rsid w:val="2DCF6DF2"/>
    <w:rsid w:val="2DDDA58D"/>
    <w:rsid w:val="2DE26BF3"/>
    <w:rsid w:val="2DF32EE9"/>
    <w:rsid w:val="2E02F291"/>
    <w:rsid w:val="2E041330"/>
    <w:rsid w:val="2E06C816"/>
    <w:rsid w:val="2E0FFF22"/>
    <w:rsid w:val="2E15A3B4"/>
    <w:rsid w:val="2E1A4C3A"/>
    <w:rsid w:val="2E1A8559"/>
    <w:rsid w:val="2E55A251"/>
    <w:rsid w:val="2E5E5020"/>
    <w:rsid w:val="2E7124A7"/>
    <w:rsid w:val="2E79C293"/>
    <w:rsid w:val="2E7B7D03"/>
    <w:rsid w:val="2E85B6B3"/>
    <w:rsid w:val="2E8882F1"/>
    <w:rsid w:val="2E959131"/>
    <w:rsid w:val="2E98B84F"/>
    <w:rsid w:val="2EB08836"/>
    <w:rsid w:val="2EB2F046"/>
    <w:rsid w:val="2EBA4BDE"/>
    <w:rsid w:val="2EE24736"/>
    <w:rsid w:val="2EE6A3F8"/>
    <w:rsid w:val="2EE97590"/>
    <w:rsid w:val="2EF6E1DF"/>
    <w:rsid w:val="2EF741B4"/>
    <w:rsid w:val="2EF91E71"/>
    <w:rsid w:val="2F0E2F75"/>
    <w:rsid w:val="2F114A34"/>
    <w:rsid w:val="2F19422F"/>
    <w:rsid w:val="2F1CBE73"/>
    <w:rsid w:val="2F2019AC"/>
    <w:rsid w:val="2F26E9CA"/>
    <w:rsid w:val="2F2BE059"/>
    <w:rsid w:val="2F2D40C6"/>
    <w:rsid w:val="2F2E2BBE"/>
    <w:rsid w:val="2F3DFD64"/>
    <w:rsid w:val="2F55AB9E"/>
    <w:rsid w:val="2F83E165"/>
    <w:rsid w:val="2FB7F758"/>
    <w:rsid w:val="2FC65FA5"/>
    <w:rsid w:val="2FCDF9E5"/>
    <w:rsid w:val="2FD00BD1"/>
    <w:rsid w:val="2FD9330D"/>
    <w:rsid w:val="2FE74D88"/>
    <w:rsid w:val="2FEF159F"/>
    <w:rsid w:val="2FF02177"/>
    <w:rsid w:val="2FF9CF04"/>
    <w:rsid w:val="2FFAAEC4"/>
    <w:rsid w:val="2FFB860E"/>
    <w:rsid w:val="300463D6"/>
    <w:rsid w:val="30098171"/>
    <w:rsid w:val="300A22EE"/>
    <w:rsid w:val="30144756"/>
    <w:rsid w:val="302A5A5D"/>
    <w:rsid w:val="30306373"/>
    <w:rsid w:val="3031B2CA"/>
    <w:rsid w:val="303D9C55"/>
    <w:rsid w:val="304080CC"/>
    <w:rsid w:val="304A3C7E"/>
    <w:rsid w:val="3055EE9A"/>
    <w:rsid w:val="30620374"/>
    <w:rsid w:val="306AB6C1"/>
    <w:rsid w:val="30809952"/>
    <w:rsid w:val="3086FD54"/>
    <w:rsid w:val="308771B1"/>
    <w:rsid w:val="309680F2"/>
    <w:rsid w:val="3098CEBC"/>
    <w:rsid w:val="309B8A02"/>
    <w:rsid w:val="30A4ADD9"/>
    <w:rsid w:val="30C18513"/>
    <w:rsid w:val="30CE0CC4"/>
    <w:rsid w:val="30D2482B"/>
    <w:rsid w:val="30DB2E33"/>
    <w:rsid w:val="30DD26D4"/>
    <w:rsid w:val="30E8F2B1"/>
    <w:rsid w:val="30EBA79A"/>
    <w:rsid w:val="30EF123F"/>
    <w:rsid w:val="30FB6A53"/>
    <w:rsid w:val="310BFA14"/>
    <w:rsid w:val="310E741F"/>
    <w:rsid w:val="3115F619"/>
    <w:rsid w:val="311843F6"/>
    <w:rsid w:val="3142E5F5"/>
    <w:rsid w:val="315959A8"/>
    <w:rsid w:val="3168229E"/>
    <w:rsid w:val="316F3FC1"/>
    <w:rsid w:val="3173A198"/>
    <w:rsid w:val="317AA561"/>
    <w:rsid w:val="3181759B"/>
    <w:rsid w:val="3198A507"/>
    <w:rsid w:val="319C7619"/>
    <w:rsid w:val="31A03C7C"/>
    <w:rsid w:val="31A0ECF5"/>
    <w:rsid w:val="31A48123"/>
    <w:rsid w:val="31A6025F"/>
    <w:rsid w:val="31AD2246"/>
    <w:rsid w:val="31B1A353"/>
    <w:rsid w:val="31B7C262"/>
    <w:rsid w:val="31B7F717"/>
    <w:rsid w:val="31C2EEFF"/>
    <w:rsid w:val="31CBF60E"/>
    <w:rsid w:val="31CC0A98"/>
    <w:rsid w:val="31D3544A"/>
    <w:rsid w:val="32006825"/>
    <w:rsid w:val="3212A049"/>
    <w:rsid w:val="3233D185"/>
    <w:rsid w:val="3241242C"/>
    <w:rsid w:val="32471CFA"/>
    <w:rsid w:val="324DA81B"/>
    <w:rsid w:val="3254930D"/>
    <w:rsid w:val="3258EDCC"/>
    <w:rsid w:val="3267C499"/>
    <w:rsid w:val="32686B45"/>
    <w:rsid w:val="326D46A0"/>
    <w:rsid w:val="3276C7ED"/>
    <w:rsid w:val="3281AF3C"/>
    <w:rsid w:val="32831DC0"/>
    <w:rsid w:val="3286A6F7"/>
    <w:rsid w:val="328B1DD6"/>
    <w:rsid w:val="329F177F"/>
    <w:rsid w:val="32A00420"/>
    <w:rsid w:val="32AA61E6"/>
    <w:rsid w:val="32B93974"/>
    <w:rsid w:val="32BA1E86"/>
    <w:rsid w:val="32C2F6C8"/>
    <w:rsid w:val="32C35028"/>
    <w:rsid w:val="32C41016"/>
    <w:rsid w:val="32C6B2FE"/>
    <w:rsid w:val="32CB5B76"/>
    <w:rsid w:val="32E4C76B"/>
    <w:rsid w:val="32E5F52E"/>
    <w:rsid w:val="32EA8899"/>
    <w:rsid w:val="32F054E0"/>
    <w:rsid w:val="32FE5D73"/>
    <w:rsid w:val="331241AA"/>
    <w:rsid w:val="33127ED0"/>
    <w:rsid w:val="3318C0F6"/>
    <w:rsid w:val="331BA7A0"/>
    <w:rsid w:val="332117F3"/>
    <w:rsid w:val="33287DEB"/>
    <w:rsid w:val="332A15E1"/>
    <w:rsid w:val="333E7287"/>
    <w:rsid w:val="335B6EA1"/>
    <w:rsid w:val="33707E91"/>
    <w:rsid w:val="3370B9E3"/>
    <w:rsid w:val="337F0A0D"/>
    <w:rsid w:val="338516C6"/>
    <w:rsid w:val="3390536A"/>
    <w:rsid w:val="33946771"/>
    <w:rsid w:val="3395A0AD"/>
    <w:rsid w:val="33A41377"/>
    <w:rsid w:val="33AC8374"/>
    <w:rsid w:val="33AE4F73"/>
    <w:rsid w:val="33C964CA"/>
    <w:rsid w:val="33CA6FD8"/>
    <w:rsid w:val="33D57B73"/>
    <w:rsid w:val="33DBDF19"/>
    <w:rsid w:val="33DEEA35"/>
    <w:rsid w:val="33E00B57"/>
    <w:rsid w:val="33E181EE"/>
    <w:rsid w:val="33F4B50E"/>
    <w:rsid w:val="33F89E37"/>
    <w:rsid w:val="3405625C"/>
    <w:rsid w:val="34087EE0"/>
    <w:rsid w:val="3420A2C0"/>
    <w:rsid w:val="342236AA"/>
    <w:rsid w:val="343B7C86"/>
    <w:rsid w:val="343C5F30"/>
    <w:rsid w:val="343F3DB3"/>
    <w:rsid w:val="344B858A"/>
    <w:rsid w:val="3455EBA3"/>
    <w:rsid w:val="347F2F72"/>
    <w:rsid w:val="348CAC28"/>
    <w:rsid w:val="348E90B0"/>
    <w:rsid w:val="34B8530E"/>
    <w:rsid w:val="34C3F5D2"/>
    <w:rsid w:val="34D0A308"/>
    <w:rsid w:val="34D91F10"/>
    <w:rsid w:val="34EC4509"/>
    <w:rsid w:val="34F17568"/>
    <w:rsid w:val="34F3F846"/>
    <w:rsid w:val="3500245F"/>
    <w:rsid w:val="3503FA16"/>
    <w:rsid w:val="3505A04B"/>
    <w:rsid w:val="350ABF0F"/>
    <w:rsid w:val="35123BD7"/>
    <w:rsid w:val="3524BBDF"/>
    <w:rsid w:val="3528B2FA"/>
    <w:rsid w:val="3531D07B"/>
    <w:rsid w:val="3531F75B"/>
    <w:rsid w:val="353744C4"/>
    <w:rsid w:val="3543EA52"/>
    <w:rsid w:val="3552B3A7"/>
    <w:rsid w:val="355805B5"/>
    <w:rsid w:val="355B51D9"/>
    <w:rsid w:val="3569E9B5"/>
    <w:rsid w:val="357BF27F"/>
    <w:rsid w:val="3583F3EB"/>
    <w:rsid w:val="3592B8B6"/>
    <w:rsid w:val="35A86207"/>
    <w:rsid w:val="35B46F64"/>
    <w:rsid w:val="35B99AB8"/>
    <w:rsid w:val="35D6C002"/>
    <w:rsid w:val="35D8C29C"/>
    <w:rsid w:val="35DB95DE"/>
    <w:rsid w:val="35E52568"/>
    <w:rsid w:val="35EC4795"/>
    <w:rsid w:val="35F1A63C"/>
    <w:rsid w:val="35F2182F"/>
    <w:rsid w:val="3609E723"/>
    <w:rsid w:val="3613320D"/>
    <w:rsid w:val="36185CAE"/>
    <w:rsid w:val="361A20C2"/>
    <w:rsid w:val="362100E2"/>
    <w:rsid w:val="36330458"/>
    <w:rsid w:val="363A7203"/>
    <w:rsid w:val="3641185D"/>
    <w:rsid w:val="3643FE2C"/>
    <w:rsid w:val="3645706C"/>
    <w:rsid w:val="36460DB8"/>
    <w:rsid w:val="364E2877"/>
    <w:rsid w:val="364ECB5F"/>
    <w:rsid w:val="36523AA9"/>
    <w:rsid w:val="3662CB14"/>
    <w:rsid w:val="3665122E"/>
    <w:rsid w:val="366F0CD5"/>
    <w:rsid w:val="366F5989"/>
    <w:rsid w:val="3673188E"/>
    <w:rsid w:val="369CDC9F"/>
    <w:rsid w:val="36AE498C"/>
    <w:rsid w:val="36BB7785"/>
    <w:rsid w:val="36C1D341"/>
    <w:rsid w:val="36C56126"/>
    <w:rsid w:val="36C7E20E"/>
    <w:rsid w:val="36DB6A7B"/>
    <w:rsid w:val="36DD9F97"/>
    <w:rsid w:val="36E09C75"/>
    <w:rsid w:val="36E2430F"/>
    <w:rsid w:val="36F0233C"/>
    <w:rsid w:val="36F32FDA"/>
    <w:rsid w:val="37240D93"/>
    <w:rsid w:val="37243459"/>
    <w:rsid w:val="3738B8FC"/>
    <w:rsid w:val="37501FA8"/>
    <w:rsid w:val="37563C4A"/>
    <w:rsid w:val="37601125"/>
    <w:rsid w:val="3767D56A"/>
    <w:rsid w:val="376F6505"/>
    <w:rsid w:val="377485F3"/>
    <w:rsid w:val="3781B29F"/>
    <w:rsid w:val="379262F9"/>
    <w:rsid w:val="3796054C"/>
    <w:rsid w:val="379B9042"/>
    <w:rsid w:val="37AE2ECB"/>
    <w:rsid w:val="37B78874"/>
    <w:rsid w:val="37C21FD2"/>
    <w:rsid w:val="37C619C0"/>
    <w:rsid w:val="37CD7F0C"/>
    <w:rsid w:val="37CE753E"/>
    <w:rsid w:val="37D0016C"/>
    <w:rsid w:val="37D15DE6"/>
    <w:rsid w:val="37E98748"/>
    <w:rsid w:val="37FE62F3"/>
    <w:rsid w:val="3800654E"/>
    <w:rsid w:val="3802CA85"/>
    <w:rsid w:val="3805039F"/>
    <w:rsid w:val="380F6DDF"/>
    <w:rsid w:val="38154F27"/>
    <w:rsid w:val="381BEB57"/>
    <w:rsid w:val="381C98A3"/>
    <w:rsid w:val="382444DD"/>
    <w:rsid w:val="38359208"/>
    <w:rsid w:val="3835FD56"/>
    <w:rsid w:val="3838CF70"/>
    <w:rsid w:val="38484A69"/>
    <w:rsid w:val="384BFF73"/>
    <w:rsid w:val="3856902C"/>
    <w:rsid w:val="385950A1"/>
    <w:rsid w:val="38808927"/>
    <w:rsid w:val="388C2AB8"/>
    <w:rsid w:val="389FA8F0"/>
    <w:rsid w:val="38A39F28"/>
    <w:rsid w:val="38ABC5D5"/>
    <w:rsid w:val="38AC141E"/>
    <w:rsid w:val="38D05EEF"/>
    <w:rsid w:val="38D6E37F"/>
    <w:rsid w:val="38D80799"/>
    <w:rsid w:val="38E82F3B"/>
    <w:rsid w:val="38F41DD1"/>
    <w:rsid w:val="38FBB4BE"/>
    <w:rsid w:val="38FEEC22"/>
    <w:rsid w:val="391B15D8"/>
    <w:rsid w:val="3920BBBF"/>
    <w:rsid w:val="3932C33A"/>
    <w:rsid w:val="393A1901"/>
    <w:rsid w:val="394BBFCB"/>
    <w:rsid w:val="394C5725"/>
    <w:rsid w:val="395EEA5E"/>
    <w:rsid w:val="3969D79D"/>
    <w:rsid w:val="396D5460"/>
    <w:rsid w:val="3977F736"/>
    <w:rsid w:val="39790136"/>
    <w:rsid w:val="398BE371"/>
    <w:rsid w:val="398F6EDF"/>
    <w:rsid w:val="39953AEE"/>
    <w:rsid w:val="39A8CD9E"/>
    <w:rsid w:val="39ABA3A2"/>
    <w:rsid w:val="39AF5562"/>
    <w:rsid w:val="39B370AA"/>
    <w:rsid w:val="39DB07B4"/>
    <w:rsid w:val="39DD86B6"/>
    <w:rsid w:val="39DD918A"/>
    <w:rsid w:val="39E15A6B"/>
    <w:rsid w:val="39E8D22C"/>
    <w:rsid w:val="39E9CF9D"/>
    <w:rsid w:val="39F17C7D"/>
    <w:rsid w:val="3A153D6C"/>
    <w:rsid w:val="3A165812"/>
    <w:rsid w:val="3A17143C"/>
    <w:rsid w:val="3A20D1DD"/>
    <w:rsid w:val="3A2821F4"/>
    <w:rsid w:val="3A30067E"/>
    <w:rsid w:val="3A430A97"/>
    <w:rsid w:val="3A5798C3"/>
    <w:rsid w:val="3A5BAE44"/>
    <w:rsid w:val="3A68BAF7"/>
    <w:rsid w:val="3A6B07A5"/>
    <w:rsid w:val="3A8815A4"/>
    <w:rsid w:val="3A8A2555"/>
    <w:rsid w:val="3A920D60"/>
    <w:rsid w:val="3AAB4110"/>
    <w:rsid w:val="3AAD6063"/>
    <w:rsid w:val="3AC04580"/>
    <w:rsid w:val="3AD2C2E3"/>
    <w:rsid w:val="3AD2F23F"/>
    <w:rsid w:val="3AD56A57"/>
    <w:rsid w:val="3AD92D88"/>
    <w:rsid w:val="3AED7D60"/>
    <w:rsid w:val="3AFB88CA"/>
    <w:rsid w:val="3B10F763"/>
    <w:rsid w:val="3B1558AB"/>
    <w:rsid w:val="3B1CFA3F"/>
    <w:rsid w:val="3B1E3CF1"/>
    <w:rsid w:val="3B20184D"/>
    <w:rsid w:val="3B27532F"/>
    <w:rsid w:val="3B2A94BE"/>
    <w:rsid w:val="3B33C864"/>
    <w:rsid w:val="3B3721F6"/>
    <w:rsid w:val="3B3E2377"/>
    <w:rsid w:val="3B4AE542"/>
    <w:rsid w:val="3B501AB7"/>
    <w:rsid w:val="3B586A42"/>
    <w:rsid w:val="3B59D4E0"/>
    <w:rsid w:val="3B664B4A"/>
    <w:rsid w:val="3B78CCA1"/>
    <w:rsid w:val="3B7D32E5"/>
    <w:rsid w:val="3B7DD592"/>
    <w:rsid w:val="3B86C126"/>
    <w:rsid w:val="3B8DC733"/>
    <w:rsid w:val="3B8FAE04"/>
    <w:rsid w:val="3B9AF2EE"/>
    <w:rsid w:val="3B9BF731"/>
    <w:rsid w:val="3BA95FEA"/>
    <w:rsid w:val="3BB34EED"/>
    <w:rsid w:val="3BC79F5B"/>
    <w:rsid w:val="3BD236A1"/>
    <w:rsid w:val="3BD272FE"/>
    <w:rsid w:val="3BD9BCE8"/>
    <w:rsid w:val="3BDB51AF"/>
    <w:rsid w:val="3BDC19D0"/>
    <w:rsid w:val="3BDE9B04"/>
    <w:rsid w:val="3BE4434B"/>
    <w:rsid w:val="3BEDFDA5"/>
    <w:rsid w:val="3BF21218"/>
    <w:rsid w:val="3BF2565C"/>
    <w:rsid w:val="3BF6881F"/>
    <w:rsid w:val="3C0EC33C"/>
    <w:rsid w:val="3C177FF3"/>
    <w:rsid w:val="3C1DC7C6"/>
    <w:rsid w:val="3C1DF180"/>
    <w:rsid w:val="3C2BEAB0"/>
    <w:rsid w:val="3C469AF4"/>
    <w:rsid w:val="3C530DC2"/>
    <w:rsid w:val="3C6BB81A"/>
    <w:rsid w:val="3C6D4DA2"/>
    <w:rsid w:val="3C8631D6"/>
    <w:rsid w:val="3C902387"/>
    <w:rsid w:val="3C95301F"/>
    <w:rsid w:val="3C99B139"/>
    <w:rsid w:val="3C9B7AF1"/>
    <w:rsid w:val="3CAF955F"/>
    <w:rsid w:val="3CB109C1"/>
    <w:rsid w:val="3CB2D86C"/>
    <w:rsid w:val="3CB8FF01"/>
    <w:rsid w:val="3CC235F8"/>
    <w:rsid w:val="3CD0F1CC"/>
    <w:rsid w:val="3CECFCAC"/>
    <w:rsid w:val="3CF96C29"/>
    <w:rsid w:val="3D082F52"/>
    <w:rsid w:val="3D0977DC"/>
    <w:rsid w:val="3D0F4861"/>
    <w:rsid w:val="3D141B9C"/>
    <w:rsid w:val="3D1740F5"/>
    <w:rsid w:val="3D19D46C"/>
    <w:rsid w:val="3D3E60F8"/>
    <w:rsid w:val="3D5C553C"/>
    <w:rsid w:val="3D670817"/>
    <w:rsid w:val="3D696318"/>
    <w:rsid w:val="3D69DCCB"/>
    <w:rsid w:val="3D6F5251"/>
    <w:rsid w:val="3D786FD8"/>
    <w:rsid w:val="3D7D398F"/>
    <w:rsid w:val="3D7DEC58"/>
    <w:rsid w:val="3D7F7709"/>
    <w:rsid w:val="3D827DB6"/>
    <w:rsid w:val="3D9CB2F6"/>
    <w:rsid w:val="3D9E203C"/>
    <w:rsid w:val="3D9E4C96"/>
    <w:rsid w:val="3DA30CCE"/>
    <w:rsid w:val="3DAF93F9"/>
    <w:rsid w:val="3DB914D8"/>
    <w:rsid w:val="3DC8625C"/>
    <w:rsid w:val="3DD0C84D"/>
    <w:rsid w:val="3DE732A9"/>
    <w:rsid w:val="3DF6FAD7"/>
    <w:rsid w:val="3DFCF24F"/>
    <w:rsid w:val="3E0198C5"/>
    <w:rsid w:val="3E032DA6"/>
    <w:rsid w:val="3E06DFE7"/>
    <w:rsid w:val="3E070CD7"/>
    <w:rsid w:val="3E23C2E9"/>
    <w:rsid w:val="3E27518B"/>
    <w:rsid w:val="3E2E0297"/>
    <w:rsid w:val="3E314F1A"/>
    <w:rsid w:val="3E4C6EC8"/>
    <w:rsid w:val="3E56921C"/>
    <w:rsid w:val="3E5DFFA7"/>
    <w:rsid w:val="3E699855"/>
    <w:rsid w:val="3E775B45"/>
    <w:rsid w:val="3E89AC03"/>
    <w:rsid w:val="3E984CF1"/>
    <w:rsid w:val="3EA486B0"/>
    <w:rsid w:val="3EAF4922"/>
    <w:rsid w:val="3EBDFB21"/>
    <w:rsid w:val="3ECAB24F"/>
    <w:rsid w:val="3ECC0BB1"/>
    <w:rsid w:val="3ECC16D9"/>
    <w:rsid w:val="3ECCFB88"/>
    <w:rsid w:val="3ED4BBE7"/>
    <w:rsid w:val="3EDC0907"/>
    <w:rsid w:val="3EDDF5E1"/>
    <w:rsid w:val="3EEB698F"/>
    <w:rsid w:val="3EEE2317"/>
    <w:rsid w:val="3F0FC71F"/>
    <w:rsid w:val="3F1C221A"/>
    <w:rsid w:val="3F21D21D"/>
    <w:rsid w:val="3F2C3170"/>
    <w:rsid w:val="3F37ACF3"/>
    <w:rsid w:val="3F3D6E2A"/>
    <w:rsid w:val="3F51EBAC"/>
    <w:rsid w:val="3F6D2FC8"/>
    <w:rsid w:val="3F7B7EA1"/>
    <w:rsid w:val="3F7FCBFC"/>
    <w:rsid w:val="3F809426"/>
    <w:rsid w:val="3F88B61C"/>
    <w:rsid w:val="3F916BA4"/>
    <w:rsid w:val="3F9A4E2B"/>
    <w:rsid w:val="3F9B3D6C"/>
    <w:rsid w:val="3F9DC0C5"/>
    <w:rsid w:val="3FA06EF7"/>
    <w:rsid w:val="3FA40461"/>
    <w:rsid w:val="3FAE78E5"/>
    <w:rsid w:val="3FB79804"/>
    <w:rsid w:val="3FBA739E"/>
    <w:rsid w:val="3FBFFE97"/>
    <w:rsid w:val="3FC74D15"/>
    <w:rsid w:val="3FDE8B3E"/>
    <w:rsid w:val="3FEE6066"/>
    <w:rsid w:val="3FF135DB"/>
    <w:rsid w:val="3FF21387"/>
    <w:rsid w:val="3FF48FC8"/>
    <w:rsid w:val="4006C63B"/>
    <w:rsid w:val="4007C382"/>
    <w:rsid w:val="402E842F"/>
    <w:rsid w:val="4047893F"/>
    <w:rsid w:val="405FC346"/>
    <w:rsid w:val="40B94EBB"/>
    <w:rsid w:val="40BE9141"/>
    <w:rsid w:val="40C5E542"/>
    <w:rsid w:val="40CBB6AC"/>
    <w:rsid w:val="40CBC48A"/>
    <w:rsid w:val="40D5C301"/>
    <w:rsid w:val="40E14675"/>
    <w:rsid w:val="40F0B17C"/>
    <w:rsid w:val="40FA7950"/>
    <w:rsid w:val="40FFA5BE"/>
    <w:rsid w:val="41064C2F"/>
    <w:rsid w:val="4110AD8A"/>
    <w:rsid w:val="4113A08E"/>
    <w:rsid w:val="411619A4"/>
    <w:rsid w:val="412FFD2F"/>
    <w:rsid w:val="413DED6C"/>
    <w:rsid w:val="415BB8A8"/>
    <w:rsid w:val="417161E3"/>
    <w:rsid w:val="417B92D9"/>
    <w:rsid w:val="418005F4"/>
    <w:rsid w:val="418AFAD4"/>
    <w:rsid w:val="4194DED3"/>
    <w:rsid w:val="4195EDA1"/>
    <w:rsid w:val="41971916"/>
    <w:rsid w:val="41A23B80"/>
    <w:rsid w:val="41A843D4"/>
    <w:rsid w:val="41A8847B"/>
    <w:rsid w:val="41A9BE0B"/>
    <w:rsid w:val="41CFE15C"/>
    <w:rsid w:val="41D6D8E3"/>
    <w:rsid w:val="41DA2E90"/>
    <w:rsid w:val="41E2F232"/>
    <w:rsid w:val="41EF1DFB"/>
    <w:rsid w:val="41EF7875"/>
    <w:rsid w:val="41F4A3CD"/>
    <w:rsid w:val="41F67A4F"/>
    <w:rsid w:val="41FC12A6"/>
    <w:rsid w:val="42103EDC"/>
    <w:rsid w:val="421672D0"/>
    <w:rsid w:val="42191965"/>
    <w:rsid w:val="421FB3DA"/>
    <w:rsid w:val="422F4D96"/>
    <w:rsid w:val="42315DAA"/>
    <w:rsid w:val="42331728"/>
    <w:rsid w:val="423385CA"/>
    <w:rsid w:val="424A619A"/>
    <w:rsid w:val="425139A8"/>
    <w:rsid w:val="4258F217"/>
    <w:rsid w:val="4263C775"/>
    <w:rsid w:val="4263F8AD"/>
    <w:rsid w:val="4274BE68"/>
    <w:rsid w:val="4275F84A"/>
    <w:rsid w:val="42800A1F"/>
    <w:rsid w:val="428039F1"/>
    <w:rsid w:val="429AC236"/>
    <w:rsid w:val="42B13D32"/>
    <w:rsid w:val="42B60047"/>
    <w:rsid w:val="42E199B3"/>
    <w:rsid w:val="42E1DFB0"/>
    <w:rsid w:val="42FF7EA9"/>
    <w:rsid w:val="430862B5"/>
    <w:rsid w:val="430A322D"/>
    <w:rsid w:val="4319FB4B"/>
    <w:rsid w:val="432D2B47"/>
    <w:rsid w:val="43345838"/>
    <w:rsid w:val="433CDA67"/>
    <w:rsid w:val="434947D4"/>
    <w:rsid w:val="43554215"/>
    <w:rsid w:val="4358BBAD"/>
    <w:rsid w:val="436E17E2"/>
    <w:rsid w:val="437B7322"/>
    <w:rsid w:val="437E567C"/>
    <w:rsid w:val="438C4D09"/>
    <w:rsid w:val="43B4B801"/>
    <w:rsid w:val="43BB2767"/>
    <w:rsid w:val="43CC4334"/>
    <w:rsid w:val="43DC8778"/>
    <w:rsid w:val="43E82FE9"/>
    <w:rsid w:val="43FA0AB2"/>
    <w:rsid w:val="44007B57"/>
    <w:rsid w:val="440615FE"/>
    <w:rsid w:val="4430831C"/>
    <w:rsid w:val="443149FB"/>
    <w:rsid w:val="443878CC"/>
    <w:rsid w:val="443A1662"/>
    <w:rsid w:val="443AEEA8"/>
    <w:rsid w:val="4453973C"/>
    <w:rsid w:val="44706744"/>
    <w:rsid w:val="448049AE"/>
    <w:rsid w:val="4483F0B8"/>
    <w:rsid w:val="4499D14A"/>
    <w:rsid w:val="44A01FC9"/>
    <w:rsid w:val="44AF8A04"/>
    <w:rsid w:val="44C83B60"/>
    <w:rsid w:val="44C88E15"/>
    <w:rsid w:val="44CAFCC2"/>
    <w:rsid w:val="44CD2864"/>
    <w:rsid w:val="44CE3427"/>
    <w:rsid w:val="44D0C6E2"/>
    <w:rsid w:val="44D2806A"/>
    <w:rsid w:val="44E68860"/>
    <w:rsid w:val="44F52188"/>
    <w:rsid w:val="44FE2946"/>
    <w:rsid w:val="45096B14"/>
    <w:rsid w:val="451466D0"/>
    <w:rsid w:val="451D7363"/>
    <w:rsid w:val="451FABA3"/>
    <w:rsid w:val="452EEB6B"/>
    <w:rsid w:val="453C6EAC"/>
    <w:rsid w:val="4542FCEB"/>
    <w:rsid w:val="454E22AC"/>
    <w:rsid w:val="45743D43"/>
    <w:rsid w:val="4575231E"/>
    <w:rsid w:val="4576A2B2"/>
    <w:rsid w:val="45800C35"/>
    <w:rsid w:val="45835DA9"/>
    <w:rsid w:val="458D8066"/>
    <w:rsid w:val="4595DA98"/>
    <w:rsid w:val="459776C6"/>
    <w:rsid w:val="45A961E2"/>
    <w:rsid w:val="45ACB9FA"/>
    <w:rsid w:val="45B41222"/>
    <w:rsid w:val="45CD286C"/>
    <w:rsid w:val="45DC97C7"/>
    <w:rsid w:val="45E0E8BA"/>
    <w:rsid w:val="45EBF3B4"/>
    <w:rsid w:val="45ED2C39"/>
    <w:rsid w:val="45F17688"/>
    <w:rsid w:val="460687EA"/>
    <w:rsid w:val="4608E01E"/>
    <w:rsid w:val="461521EA"/>
    <w:rsid w:val="4616DE8A"/>
    <w:rsid w:val="461BB9EA"/>
    <w:rsid w:val="4626D3D5"/>
    <w:rsid w:val="462E3E4F"/>
    <w:rsid w:val="4632106B"/>
    <w:rsid w:val="46399A8F"/>
    <w:rsid w:val="46432F28"/>
    <w:rsid w:val="464B0C4E"/>
    <w:rsid w:val="464BDCE7"/>
    <w:rsid w:val="4652BF52"/>
    <w:rsid w:val="468251EF"/>
    <w:rsid w:val="468DBD36"/>
    <w:rsid w:val="469EA5BD"/>
    <w:rsid w:val="46AAFADB"/>
    <w:rsid w:val="46AB54F4"/>
    <w:rsid w:val="46AB6773"/>
    <w:rsid w:val="46C06FA1"/>
    <w:rsid w:val="46C3AAAB"/>
    <w:rsid w:val="46CF53A4"/>
    <w:rsid w:val="46D026CE"/>
    <w:rsid w:val="46EF735E"/>
    <w:rsid w:val="46F5B6FC"/>
    <w:rsid w:val="46FB125B"/>
    <w:rsid w:val="47050C90"/>
    <w:rsid w:val="4709C09B"/>
    <w:rsid w:val="4717D3BD"/>
    <w:rsid w:val="4726FAA0"/>
    <w:rsid w:val="4730C58D"/>
    <w:rsid w:val="473DA7CD"/>
    <w:rsid w:val="47400CF1"/>
    <w:rsid w:val="4752999B"/>
    <w:rsid w:val="4754E080"/>
    <w:rsid w:val="475BB636"/>
    <w:rsid w:val="4760EA70"/>
    <w:rsid w:val="47644129"/>
    <w:rsid w:val="4769017A"/>
    <w:rsid w:val="4776E847"/>
    <w:rsid w:val="478281C0"/>
    <w:rsid w:val="4783126C"/>
    <w:rsid w:val="47833617"/>
    <w:rsid w:val="47909E30"/>
    <w:rsid w:val="4799E3AC"/>
    <w:rsid w:val="47B31298"/>
    <w:rsid w:val="47B735C3"/>
    <w:rsid w:val="47BE9299"/>
    <w:rsid w:val="47CA467F"/>
    <w:rsid w:val="47CCD785"/>
    <w:rsid w:val="47E0EFB7"/>
    <w:rsid w:val="47E4338D"/>
    <w:rsid w:val="47F5D0C4"/>
    <w:rsid w:val="47F73F6D"/>
    <w:rsid w:val="47FED8E8"/>
    <w:rsid w:val="480ACE9F"/>
    <w:rsid w:val="4820972D"/>
    <w:rsid w:val="4822D5A6"/>
    <w:rsid w:val="48333B57"/>
    <w:rsid w:val="484E867B"/>
    <w:rsid w:val="48565949"/>
    <w:rsid w:val="487433E0"/>
    <w:rsid w:val="4878874D"/>
    <w:rsid w:val="48915531"/>
    <w:rsid w:val="48960A05"/>
    <w:rsid w:val="48A5BBDF"/>
    <w:rsid w:val="48A5E9E1"/>
    <w:rsid w:val="48CD7B57"/>
    <w:rsid w:val="48DFBC68"/>
    <w:rsid w:val="48E33451"/>
    <w:rsid w:val="48E60141"/>
    <w:rsid w:val="48E6394C"/>
    <w:rsid w:val="48FE9636"/>
    <w:rsid w:val="4905A8AC"/>
    <w:rsid w:val="490E9909"/>
    <w:rsid w:val="491004E4"/>
    <w:rsid w:val="4919CECF"/>
    <w:rsid w:val="491F25A9"/>
    <w:rsid w:val="49210642"/>
    <w:rsid w:val="492F854A"/>
    <w:rsid w:val="4944E1FE"/>
    <w:rsid w:val="49451794"/>
    <w:rsid w:val="4947277A"/>
    <w:rsid w:val="49529573"/>
    <w:rsid w:val="495C8733"/>
    <w:rsid w:val="49621E07"/>
    <w:rsid w:val="4965F2F2"/>
    <w:rsid w:val="4968C729"/>
    <w:rsid w:val="496B0796"/>
    <w:rsid w:val="496C1DAE"/>
    <w:rsid w:val="49705BCA"/>
    <w:rsid w:val="49711117"/>
    <w:rsid w:val="4974978B"/>
    <w:rsid w:val="4975B403"/>
    <w:rsid w:val="499ABCD2"/>
    <w:rsid w:val="499BFB87"/>
    <w:rsid w:val="499C24CD"/>
    <w:rsid w:val="499FA5B2"/>
    <w:rsid w:val="49A1EB4F"/>
    <w:rsid w:val="49B5BD97"/>
    <w:rsid w:val="49B94FFD"/>
    <w:rsid w:val="49C35E11"/>
    <w:rsid w:val="49CF1DCE"/>
    <w:rsid w:val="49D01695"/>
    <w:rsid w:val="49D11666"/>
    <w:rsid w:val="49DF7ABC"/>
    <w:rsid w:val="49E7FE4C"/>
    <w:rsid w:val="49F249C4"/>
    <w:rsid w:val="49FFDD38"/>
    <w:rsid w:val="4A00E48E"/>
    <w:rsid w:val="4A1662E2"/>
    <w:rsid w:val="4A1864ED"/>
    <w:rsid w:val="4A18ED0F"/>
    <w:rsid w:val="4A2008C7"/>
    <w:rsid w:val="4A2957AD"/>
    <w:rsid w:val="4A2A823D"/>
    <w:rsid w:val="4A2D6F76"/>
    <w:rsid w:val="4A3C6C02"/>
    <w:rsid w:val="4A419DB6"/>
    <w:rsid w:val="4A4D700A"/>
    <w:rsid w:val="4A4E8F12"/>
    <w:rsid w:val="4A5660DF"/>
    <w:rsid w:val="4A576F5B"/>
    <w:rsid w:val="4A5EDB05"/>
    <w:rsid w:val="4A5F9CD5"/>
    <w:rsid w:val="4A64E794"/>
    <w:rsid w:val="4A6AEA3A"/>
    <w:rsid w:val="4A75C268"/>
    <w:rsid w:val="4A990810"/>
    <w:rsid w:val="4AA224ED"/>
    <w:rsid w:val="4AC5C335"/>
    <w:rsid w:val="4ACCCA22"/>
    <w:rsid w:val="4ACFACC6"/>
    <w:rsid w:val="4AE3B3DD"/>
    <w:rsid w:val="4AE6357E"/>
    <w:rsid w:val="4B141487"/>
    <w:rsid w:val="4B167106"/>
    <w:rsid w:val="4B1B06AA"/>
    <w:rsid w:val="4B2B3A45"/>
    <w:rsid w:val="4B3C21AE"/>
    <w:rsid w:val="4B452F5B"/>
    <w:rsid w:val="4B63BF91"/>
    <w:rsid w:val="4B766103"/>
    <w:rsid w:val="4B7FE773"/>
    <w:rsid w:val="4BA3BD13"/>
    <w:rsid w:val="4BA89591"/>
    <w:rsid w:val="4BB3BF51"/>
    <w:rsid w:val="4BB91882"/>
    <w:rsid w:val="4BDCBED6"/>
    <w:rsid w:val="4BE8A0A9"/>
    <w:rsid w:val="4BF34F49"/>
    <w:rsid w:val="4BF62A4E"/>
    <w:rsid w:val="4C1D08A2"/>
    <w:rsid w:val="4C2A74E0"/>
    <w:rsid w:val="4C2B9083"/>
    <w:rsid w:val="4C381C83"/>
    <w:rsid w:val="4C475AC0"/>
    <w:rsid w:val="4C4FF57E"/>
    <w:rsid w:val="4C5172BB"/>
    <w:rsid w:val="4C541E6E"/>
    <w:rsid w:val="4C9684EB"/>
    <w:rsid w:val="4C988789"/>
    <w:rsid w:val="4C9D017F"/>
    <w:rsid w:val="4CA1E956"/>
    <w:rsid w:val="4CABBFBE"/>
    <w:rsid w:val="4CB03015"/>
    <w:rsid w:val="4CBD84E3"/>
    <w:rsid w:val="4CBE463A"/>
    <w:rsid w:val="4CBE9709"/>
    <w:rsid w:val="4CCE9ECB"/>
    <w:rsid w:val="4CDC1B5E"/>
    <w:rsid w:val="4CE1E68E"/>
    <w:rsid w:val="4CEE1D8B"/>
    <w:rsid w:val="4CF50791"/>
    <w:rsid w:val="4CF7AF60"/>
    <w:rsid w:val="4CFAE6CE"/>
    <w:rsid w:val="4D27F112"/>
    <w:rsid w:val="4D35962B"/>
    <w:rsid w:val="4D38661A"/>
    <w:rsid w:val="4D5B244C"/>
    <w:rsid w:val="4D6DD0EB"/>
    <w:rsid w:val="4D8B14F1"/>
    <w:rsid w:val="4D8FA1AC"/>
    <w:rsid w:val="4D90D312"/>
    <w:rsid w:val="4D929A03"/>
    <w:rsid w:val="4D94D541"/>
    <w:rsid w:val="4D9A777F"/>
    <w:rsid w:val="4DA28DA9"/>
    <w:rsid w:val="4DAE1E48"/>
    <w:rsid w:val="4DAE4E96"/>
    <w:rsid w:val="4DC5BB78"/>
    <w:rsid w:val="4DCAB38F"/>
    <w:rsid w:val="4DD90C20"/>
    <w:rsid w:val="4DDDA429"/>
    <w:rsid w:val="4DE1E7C1"/>
    <w:rsid w:val="4DE3CE4D"/>
    <w:rsid w:val="4DF53BA8"/>
    <w:rsid w:val="4DFB9433"/>
    <w:rsid w:val="4E172731"/>
    <w:rsid w:val="4E2EAB9A"/>
    <w:rsid w:val="4E31DE2D"/>
    <w:rsid w:val="4E3826C5"/>
    <w:rsid w:val="4E3C2365"/>
    <w:rsid w:val="4E521EEF"/>
    <w:rsid w:val="4E64814F"/>
    <w:rsid w:val="4E691BEE"/>
    <w:rsid w:val="4E736213"/>
    <w:rsid w:val="4E74CB0F"/>
    <w:rsid w:val="4E7EAC01"/>
    <w:rsid w:val="4E7FAAE5"/>
    <w:rsid w:val="4E813A6D"/>
    <w:rsid w:val="4E86BC90"/>
    <w:rsid w:val="4E9A99E0"/>
    <w:rsid w:val="4EA9DDC9"/>
    <w:rsid w:val="4EAB434F"/>
    <w:rsid w:val="4EAD3456"/>
    <w:rsid w:val="4EBDA930"/>
    <w:rsid w:val="4EC486B2"/>
    <w:rsid w:val="4ED4FEF9"/>
    <w:rsid w:val="4EE43D5D"/>
    <w:rsid w:val="4EE8E6DB"/>
    <w:rsid w:val="4F10E12B"/>
    <w:rsid w:val="4F136C8C"/>
    <w:rsid w:val="4F170866"/>
    <w:rsid w:val="4F358A6A"/>
    <w:rsid w:val="4F3FD887"/>
    <w:rsid w:val="4F41D155"/>
    <w:rsid w:val="4F489704"/>
    <w:rsid w:val="4F4CEA3E"/>
    <w:rsid w:val="4F50EAFA"/>
    <w:rsid w:val="4F54450F"/>
    <w:rsid w:val="4F620C34"/>
    <w:rsid w:val="4F65CE90"/>
    <w:rsid w:val="4F65DC82"/>
    <w:rsid w:val="4F73AF07"/>
    <w:rsid w:val="4F8C6BD7"/>
    <w:rsid w:val="4FAA85A8"/>
    <w:rsid w:val="4FADEA4D"/>
    <w:rsid w:val="4FB44EC1"/>
    <w:rsid w:val="4FB9C971"/>
    <w:rsid w:val="4FBDD4FF"/>
    <w:rsid w:val="4FBDF8CD"/>
    <w:rsid w:val="4FC40695"/>
    <w:rsid w:val="4FD36C00"/>
    <w:rsid w:val="4FE01FC3"/>
    <w:rsid w:val="4FE94515"/>
    <w:rsid w:val="5006AEC3"/>
    <w:rsid w:val="50163FDD"/>
    <w:rsid w:val="502BCF7D"/>
    <w:rsid w:val="504988E3"/>
    <w:rsid w:val="504A92D0"/>
    <w:rsid w:val="504E58A8"/>
    <w:rsid w:val="50542740"/>
    <w:rsid w:val="5058580B"/>
    <w:rsid w:val="505BA802"/>
    <w:rsid w:val="505D02B4"/>
    <w:rsid w:val="5067B2CA"/>
    <w:rsid w:val="506873B7"/>
    <w:rsid w:val="506990DF"/>
    <w:rsid w:val="506C3C25"/>
    <w:rsid w:val="506F0DFA"/>
    <w:rsid w:val="5072E521"/>
    <w:rsid w:val="50743AE5"/>
    <w:rsid w:val="507A558C"/>
    <w:rsid w:val="50800BE8"/>
    <w:rsid w:val="50873AA4"/>
    <w:rsid w:val="5090D4C8"/>
    <w:rsid w:val="509A30DC"/>
    <w:rsid w:val="50AB56A9"/>
    <w:rsid w:val="50B201BD"/>
    <w:rsid w:val="50C24ECF"/>
    <w:rsid w:val="50CF3568"/>
    <w:rsid w:val="50D7C74B"/>
    <w:rsid w:val="50EA97B2"/>
    <w:rsid w:val="50F173FD"/>
    <w:rsid w:val="50FC7A7A"/>
    <w:rsid w:val="50FE42E2"/>
    <w:rsid w:val="50FFC9C5"/>
    <w:rsid w:val="5104FE7E"/>
    <w:rsid w:val="5107999D"/>
    <w:rsid w:val="5108FE48"/>
    <w:rsid w:val="510E8027"/>
    <w:rsid w:val="51121F55"/>
    <w:rsid w:val="511D1870"/>
    <w:rsid w:val="512895A5"/>
    <w:rsid w:val="512B9903"/>
    <w:rsid w:val="512D38D8"/>
    <w:rsid w:val="513FC35A"/>
    <w:rsid w:val="51593CC1"/>
    <w:rsid w:val="515D77E7"/>
    <w:rsid w:val="516DD292"/>
    <w:rsid w:val="5175E13D"/>
    <w:rsid w:val="5178A0D3"/>
    <w:rsid w:val="5182AFFC"/>
    <w:rsid w:val="518E6606"/>
    <w:rsid w:val="518FE0EA"/>
    <w:rsid w:val="51900DD6"/>
    <w:rsid w:val="51A7A1E3"/>
    <w:rsid w:val="51B431B9"/>
    <w:rsid w:val="51BB189E"/>
    <w:rsid w:val="51D8A118"/>
    <w:rsid w:val="51E9D77A"/>
    <w:rsid w:val="51EB9268"/>
    <w:rsid w:val="51FB49E0"/>
    <w:rsid w:val="51FDA01F"/>
    <w:rsid w:val="520AAB35"/>
    <w:rsid w:val="520DC6DC"/>
    <w:rsid w:val="521E2E44"/>
    <w:rsid w:val="52280DF5"/>
    <w:rsid w:val="522D6731"/>
    <w:rsid w:val="523251E4"/>
    <w:rsid w:val="5258BDC4"/>
    <w:rsid w:val="525AB0C5"/>
    <w:rsid w:val="526CCC52"/>
    <w:rsid w:val="5278FA46"/>
    <w:rsid w:val="5279F193"/>
    <w:rsid w:val="5289F060"/>
    <w:rsid w:val="528FCD8E"/>
    <w:rsid w:val="5291C273"/>
    <w:rsid w:val="5292A107"/>
    <w:rsid w:val="52ACA6F8"/>
    <w:rsid w:val="52BBAF4B"/>
    <w:rsid w:val="52BFE36A"/>
    <w:rsid w:val="52D78221"/>
    <w:rsid w:val="52F5DE6E"/>
    <w:rsid w:val="530FCC3D"/>
    <w:rsid w:val="53207C78"/>
    <w:rsid w:val="53286F8E"/>
    <w:rsid w:val="532E97BD"/>
    <w:rsid w:val="532FD575"/>
    <w:rsid w:val="53440293"/>
    <w:rsid w:val="5344EDD3"/>
    <w:rsid w:val="534BAB71"/>
    <w:rsid w:val="53551814"/>
    <w:rsid w:val="537A0F9B"/>
    <w:rsid w:val="537FE09A"/>
    <w:rsid w:val="5388981D"/>
    <w:rsid w:val="538DEA85"/>
    <w:rsid w:val="539E6254"/>
    <w:rsid w:val="53A73D06"/>
    <w:rsid w:val="53AEF1E8"/>
    <w:rsid w:val="53C0F4A4"/>
    <w:rsid w:val="53C632A1"/>
    <w:rsid w:val="53E25C9A"/>
    <w:rsid w:val="53ED9E96"/>
    <w:rsid w:val="53F1E385"/>
    <w:rsid w:val="53F6D4DC"/>
    <w:rsid w:val="53F770DC"/>
    <w:rsid w:val="54117AF6"/>
    <w:rsid w:val="54174CE8"/>
    <w:rsid w:val="541D1F9D"/>
    <w:rsid w:val="54271B98"/>
    <w:rsid w:val="542D90BF"/>
    <w:rsid w:val="542DB6AE"/>
    <w:rsid w:val="543AEF61"/>
    <w:rsid w:val="54585C25"/>
    <w:rsid w:val="5475FD8F"/>
    <w:rsid w:val="54934E84"/>
    <w:rsid w:val="549B46E0"/>
    <w:rsid w:val="54A2DF77"/>
    <w:rsid w:val="54A4AA13"/>
    <w:rsid w:val="54AB5BFC"/>
    <w:rsid w:val="54AB6FBC"/>
    <w:rsid w:val="54ADC9BA"/>
    <w:rsid w:val="54B0254F"/>
    <w:rsid w:val="54B594A0"/>
    <w:rsid w:val="54C8DA21"/>
    <w:rsid w:val="54CAC5E4"/>
    <w:rsid w:val="54D0B6DB"/>
    <w:rsid w:val="54D8A3E6"/>
    <w:rsid w:val="54DC77A0"/>
    <w:rsid w:val="54ED0D2B"/>
    <w:rsid w:val="54F05137"/>
    <w:rsid w:val="54FCCEF8"/>
    <w:rsid w:val="55079A9B"/>
    <w:rsid w:val="550ABCCC"/>
    <w:rsid w:val="550CCDC0"/>
    <w:rsid w:val="551BED57"/>
    <w:rsid w:val="551DA137"/>
    <w:rsid w:val="55233591"/>
    <w:rsid w:val="552687A7"/>
    <w:rsid w:val="552BC551"/>
    <w:rsid w:val="5534CFB7"/>
    <w:rsid w:val="55401DBA"/>
    <w:rsid w:val="5545A281"/>
    <w:rsid w:val="5548F3F5"/>
    <w:rsid w:val="5553A478"/>
    <w:rsid w:val="5563AD6E"/>
    <w:rsid w:val="55655643"/>
    <w:rsid w:val="556AD307"/>
    <w:rsid w:val="556E8001"/>
    <w:rsid w:val="5578A5BF"/>
    <w:rsid w:val="557E1E20"/>
    <w:rsid w:val="558D0056"/>
    <w:rsid w:val="558F814D"/>
    <w:rsid w:val="55919BE2"/>
    <w:rsid w:val="55A2B805"/>
    <w:rsid w:val="55A646EF"/>
    <w:rsid w:val="55B2CE3B"/>
    <w:rsid w:val="55B4B4E5"/>
    <w:rsid w:val="55BB35E8"/>
    <w:rsid w:val="55CD818F"/>
    <w:rsid w:val="55D99482"/>
    <w:rsid w:val="55E712A8"/>
    <w:rsid w:val="55EF2326"/>
    <w:rsid w:val="55EFCB87"/>
    <w:rsid w:val="560B2A62"/>
    <w:rsid w:val="5612E95B"/>
    <w:rsid w:val="5619BC5D"/>
    <w:rsid w:val="561AA10C"/>
    <w:rsid w:val="561FCC0A"/>
    <w:rsid w:val="562D3530"/>
    <w:rsid w:val="56341FF0"/>
    <w:rsid w:val="563EA316"/>
    <w:rsid w:val="5645538A"/>
    <w:rsid w:val="5647DB5A"/>
    <w:rsid w:val="564A674C"/>
    <w:rsid w:val="56523042"/>
    <w:rsid w:val="56525277"/>
    <w:rsid w:val="565FE607"/>
    <w:rsid w:val="5669E232"/>
    <w:rsid w:val="5686740A"/>
    <w:rsid w:val="56891606"/>
    <w:rsid w:val="568D2D15"/>
    <w:rsid w:val="56970EA1"/>
    <w:rsid w:val="5699C38D"/>
    <w:rsid w:val="5699DD14"/>
    <w:rsid w:val="56A0BE6D"/>
    <w:rsid w:val="56A4A60E"/>
    <w:rsid w:val="56BD18D6"/>
    <w:rsid w:val="56C142B2"/>
    <w:rsid w:val="56C9A49A"/>
    <w:rsid w:val="56CEE4E7"/>
    <w:rsid w:val="56E63957"/>
    <w:rsid w:val="56ED37F5"/>
    <w:rsid w:val="56EF0C1E"/>
    <w:rsid w:val="56F774AB"/>
    <w:rsid w:val="56F78554"/>
    <w:rsid w:val="5719A198"/>
    <w:rsid w:val="571B874E"/>
    <w:rsid w:val="571F895C"/>
    <w:rsid w:val="573568AE"/>
    <w:rsid w:val="57356A02"/>
    <w:rsid w:val="57366DB0"/>
    <w:rsid w:val="5736C7B1"/>
    <w:rsid w:val="573A5965"/>
    <w:rsid w:val="573E6B0F"/>
    <w:rsid w:val="574189CA"/>
    <w:rsid w:val="57466DB3"/>
    <w:rsid w:val="574FAF2D"/>
    <w:rsid w:val="57577B62"/>
    <w:rsid w:val="5762830D"/>
    <w:rsid w:val="576DDAD0"/>
    <w:rsid w:val="5776245E"/>
    <w:rsid w:val="577F40C1"/>
    <w:rsid w:val="578D4564"/>
    <w:rsid w:val="579F7ED0"/>
    <w:rsid w:val="57A5C07A"/>
    <w:rsid w:val="57A75D7E"/>
    <w:rsid w:val="57B38FF6"/>
    <w:rsid w:val="57B9E9AD"/>
    <w:rsid w:val="57C0EE86"/>
    <w:rsid w:val="57CAD920"/>
    <w:rsid w:val="57D4AA2D"/>
    <w:rsid w:val="57D981B7"/>
    <w:rsid w:val="57DCB0A8"/>
    <w:rsid w:val="57DED937"/>
    <w:rsid w:val="57E89F4D"/>
    <w:rsid w:val="57F2CFE1"/>
    <w:rsid w:val="57F9EC3E"/>
    <w:rsid w:val="57FA89EC"/>
    <w:rsid w:val="57FAE4E9"/>
    <w:rsid w:val="5806AD3E"/>
    <w:rsid w:val="581F4297"/>
    <w:rsid w:val="581F8837"/>
    <w:rsid w:val="582481BE"/>
    <w:rsid w:val="583C672C"/>
    <w:rsid w:val="583EDB63"/>
    <w:rsid w:val="583EE030"/>
    <w:rsid w:val="584F43BF"/>
    <w:rsid w:val="58556459"/>
    <w:rsid w:val="58624D40"/>
    <w:rsid w:val="587E371F"/>
    <w:rsid w:val="587EA3E8"/>
    <w:rsid w:val="588169F1"/>
    <w:rsid w:val="588BA0F2"/>
    <w:rsid w:val="58A298C9"/>
    <w:rsid w:val="58A7E4D1"/>
    <w:rsid w:val="58AF3A53"/>
    <w:rsid w:val="58BD93C6"/>
    <w:rsid w:val="58C5C90C"/>
    <w:rsid w:val="58CB6C70"/>
    <w:rsid w:val="58CF811F"/>
    <w:rsid w:val="58D690F9"/>
    <w:rsid w:val="58DA92A2"/>
    <w:rsid w:val="58E1E04F"/>
    <w:rsid w:val="58F2BA8D"/>
    <w:rsid w:val="58FD4F60"/>
    <w:rsid w:val="59000B6F"/>
    <w:rsid w:val="59116DEC"/>
    <w:rsid w:val="5912AE65"/>
    <w:rsid w:val="591753C2"/>
    <w:rsid w:val="591F055A"/>
    <w:rsid w:val="5922351F"/>
    <w:rsid w:val="592E8D69"/>
    <w:rsid w:val="593E0728"/>
    <w:rsid w:val="593FA483"/>
    <w:rsid w:val="5954D73C"/>
    <w:rsid w:val="5959B39C"/>
    <w:rsid w:val="596033CA"/>
    <w:rsid w:val="59703179"/>
    <w:rsid w:val="5995C3BB"/>
    <w:rsid w:val="5999D6A8"/>
    <w:rsid w:val="59A2E1A9"/>
    <w:rsid w:val="59A42F33"/>
    <w:rsid w:val="59A89825"/>
    <w:rsid w:val="59B11BF6"/>
    <w:rsid w:val="59B5EEFF"/>
    <w:rsid w:val="59BE2F60"/>
    <w:rsid w:val="59C732EE"/>
    <w:rsid w:val="59CFC754"/>
    <w:rsid w:val="59D08D5A"/>
    <w:rsid w:val="59D4A5F5"/>
    <w:rsid w:val="59EB50DA"/>
    <w:rsid w:val="59EFD1E7"/>
    <w:rsid w:val="59F0D084"/>
    <w:rsid w:val="59F13428"/>
    <w:rsid w:val="59F8A61F"/>
    <w:rsid w:val="5A03FAA1"/>
    <w:rsid w:val="5A096EB8"/>
    <w:rsid w:val="5A099F30"/>
    <w:rsid w:val="5A0F8535"/>
    <w:rsid w:val="5A13526F"/>
    <w:rsid w:val="5A1E3DD7"/>
    <w:rsid w:val="5A2EBFD8"/>
    <w:rsid w:val="5A3B7E04"/>
    <w:rsid w:val="5A3CDA48"/>
    <w:rsid w:val="5A3F0755"/>
    <w:rsid w:val="5A43CA76"/>
    <w:rsid w:val="5A4A450B"/>
    <w:rsid w:val="5A60236D"/>
    <w:rsid w:val="5A614752"/>
    <w:rsid w:val="5A66CC5B"/>
    <w:rsid w:val="5A6B261A"/>
    <w:rsid w:val="5A71FD4E"/>
    <w:rsid w:val="5A768161"/>
    <w:rsid w:val="5A7740F3"/>
    <w:rsid w:val="5A7B0CB3"/>
    <w:rsid w:val="5A7FACC3"/>
    <w:rsid w:val="5A8037DE"/>
    <w:rsid w:val="5A80A268"/>
    <w:rsid w:val="5A915EA4"/>
    <w:rsid w:val="5AA44FA4"/>
    <w:rsid w:val="5ABCF4A0"/>
    <w:rsid w:val="5AC68D4A"/>
    <w:rsid w:val="5ACAD514"/>
    <w:rsid w:val="5AD435C3"/>
    <w:rsid w:val="5AD5159D"/>
    <w:rsid w:val="5AD5E061"/>
    <w:rsid w:val="5ADB985D"/>
    <w:rsid w:val="5AFCFCA9"/>
    <w:rsid w:val="5B1079A5"/>
    <w:rsid w:val="5B16FAB1"/>
    <w:rsid w:val="5B22AACB"/>
    <w:rsid w:val="5B28BC1F"/>
    <w:rsid w:val="5B2E57A3"/>
    <w:rsid w:val="5B41010D"/>
    <w:rsid w:val="5B4D2170"/>
    <w:rsid w:val="5B57BF3D"/>
    <w:rsid w:val="5B5A0E9D"/>
    <w:rsid w:val="5B66EBE1"/>
    <w:rsid w:val="5B6A060F"/>
    <w:rsid w:val="5B6BB5BF"/>
    <w:rsid w:val="5B74EA67"/>
    <w:rsid w:val="5B81A5AA"/>
    <w:rsid w:val="5B8A1752"/>
    <w:rsid w:val="5B8D64F8"/>
    <w:rsid w:val="5B95F747"/>
    <w:rsid w:val="5BAF0C3A"/>
    <w:rsid w:val="5BC7408B"/>
    <w:rsid w:val="5BD209DA"/>
    <w:rsid w:val="5BD352BD"/>
    <w:rsid w:val="5BD814DC"/>
    <w:rsid w:val="5BDD8B29"/>
    <w:rsid w:val="5BE470D0"/>
    <w:rsid w:val="5BE9474D"/>
    <w:rsid w:val="5BFE7CC8"/>
    <w:rsid w:val="5C04ABD4"/>
    <w:rsid w:val="5C147A3B"/>
    <w:rsid w:val="5C171768"/>
    <w:rsid w:val="5C1CB174"/>
    <w:rsid w:val="5C2D6CDE"/>
    <w:rsid w:val="5C2E5534"/>
    <w:rsid w:val="5C37D5C9"/>
    <w:rsid w:val="5C38E96B"/>
    <w:rsid w:val="5C3A024B"/>
    <w:rsid w:val="5C3DDD97"/>
    <w:rsid w:val="5C4C2BF6"/>
    <w:rsid w:val="5C4E9CE2"/>
    <w:rsid w:val="5C570BBD"/>
    <w:rsid w:val="5C65D9FB"/>
    <w:rsid w:val="5C68F0F9"/>
    <w:rsid w:val="5C6D0981"/>
    <w:rsid w:val="5C75E68B"/>
    <w:rsid w:val="5CA1FBFA"/>
    <w:rsid w:val="5CA294C7"/>
    <w:rsid w:val="5CAC3D6D"/>
    <w:rsid w:val="5CAF847C"/>
    <w:rsid w:val="5CAF86DE"/>
    <w:rsid w:val="5CB19123"/>
    <w:rsid w:val="5CB482BF"/>
    <w:rsid w:val="5CB6466E"/>
    <w:rsid w:val="5CB80924"/>
    <w:rsid w:val="5CBBF43E"/>
    <w:rsid w:val="5CC91A2A"/>
    <w:rsid w:val="5CE18A33"/>
    <w:rsid w:val="5CE8B697"/>
    <w:rsid w:val="5CF13C4E"/>
    <w:rsid w:val="5CF2B6EA"/>
    <w:rsid w:val="5D01C9D1"/>
    <w:rsid w:val="5D0C3AB2"/>
    <w:rsid w:val="5D12443E"/>
    <w:rsid w:val="5D131523"/>
    <w:rsid w:val="5D296133"/>
    <w:rsid w:val="5D37E131"/>
    <w:rsid w:val="5D405A31"/>
    <w:rsid w:val="5D43EBE6"/>
    <w:rsid w:val="5D5957CB"/>
    <w:rsid w:val="5D59E83F"/>
    <w:rsid w:val="5D616AEE"/>
    <w:rsid w:val="5D7A8201"/>
    <w:rsid w:val="5D7C7407"/>
    <w:rsid w:val="5D8295B7"/>
    <w:rsid w:val="5D8BEF3C"/>
    <w:rsid w:val="5DA4D416"/>
    <w:rsid w:val="5DAD9FB3"/>
    <w:rsid w:val="5DAF3F3B"/>
    <w:rsid w:val="5DB44532"/>
    <w:rsid w:val="5DBA1103"/>
    <w:rsid w:val="5DBD83BB"/>
    <w:rsid w:val="5DC3107B"/>
    <w:rsid w:val="5DCB560B"/>
    <w:rsid w:val="5DCFEC30"/>
    <w:rsid w:val="5DD1D70F"/>
    <w:rsid w:val="5DD2DDBC"/>
    <w:rsid w:val="5DD4E7CE"/>
    <w:rsid w:val="5DEE1EA9"/>
    <w:rsid w:val="5DF49A24"/>
    <w:rsid w:val="5DF6671D"/>
    <w:rsid w:val="5DFC09AC"/>
    <w:rsid w:val="5E0D7A9A"/>
    <w:rsid w:val="5E15456B"/>
    <w:rsid w:val="5E24B6E5"/>
    <w:rsid w:val="5E33B685"/>
    <w:rsid w:val="5E3751FB"/>
    <w:rsid w:val="5E38FCBB"/>
    <w:rsid w:val="5E516BA5"/>
    <w:rsid w:val="5E535CAD"/>
    <w:rsid w:val="5E5A5F63"/>
    <w:rsid w:val="5E63F06B"/>
    <w:rsid w:val="5E6FDDF2"/>
    <w:rsid w:val="5EA9025E"/>
    <w:rsid w:val="5EAF3B47"/>
    <w:rsid w:val="5EB23018"/>
    <w:rsid w:val="5EB8473D"/>
    <w:rsid w:val="5EBB9216"/>
    <w:rsid w:val="5EC259F5"/>
    <w:rsid w:val="5EC38E25"/>
    <w:rsid w:val="5ED19ACF"/>
    <w:rsid w:val="5ED89A5F"/>
    <w:rsid w:val="5EF01DDF"/>
    <w:rsid w:val="5EF3F4F0"/>
    <w:rsid w:val="5EF7050C"/>
    <w:rsid w:val="5EF78AA2"/>
    <w:rsid w:val="5EFF531C"/>
    <w:rsid w:val="5F1338DA"/>
    <w:rsid w:val="5F249247"/>
    <w:rsid w:val="5F2C495D"/>
    <w:rsid w:val="5F3A08A6"/>
    <w:rsid w:val="5F455E22"/>
    <w:rsid w:val="5F471A95"/>
    <w:rsid w:val="5F4C8A49"/>
    <w:rsid w:val="5F4EDB08"/>
    <w:rsid w:val="5F735439"/>
    <w:rsid w:val="5F7959EC"/>
    <w:rsid w:val="5F8E8F05"/>
    <w:rsid w:val="5FA03155"/>
    <w:rsid w:val="5FA8528F"/>
    <w:rsid w:val="5FB6F069"/>
    <w:rsid w:val="5FB9D7A8"/>
    <w:rsid w:val="5FBC9217"/>
    <w:rsid w:val="5FC1C942"/>
    <w:rsid w:val="5FCD7008"/>
    <w:rsid w:val="5FD0155A"/>
    <w:rsid w:val="5FD62B12"/>
    <w:rsid w:val="5FE7C46F"/>
    <w:rsid w:val="5FF39162"/>
    <w:rsid w:val="60040F80"/>
    <w:rsid w:val="6006ABD4"/>
    <w:rsid w:val="6022FF8F"/>
    <w:rsid w:val="6032B3E2"/>
    <w:rsid w:val="60348424"/>
    <w:rsid w:val="60497476"/>
    <w:rsid w:val="6056CBEB"/>
    <w:rsid w:val="605E29F0"/>
    <w:rsid w:val="6067D92F"/>
    <w:rsid w:val="606DC52E"/>
    <w:rsid w:val="607BAF0D"/>
    <w:rsid w:val="60976B34"/>
    <w:rsid w:val="60AEE17D"/>
    <w:rsid w:val="60B10D88"/>
    <w:rsid w:val="60BD60A4"/>
    <w:rsid w:val="60E73C55"/>
    <w:rsid w:val="60EAF282"/>
    <w:rsid w:val="60EBE026"/>
    <w:rsid w:val="60F503CD"/>
    <w:rsid w:val="610639E9"/>
    <w:rsid w:val="61076DAB"/>
    <w:rsid w:val="610DF33A"/>
    <w:rsid w:val="61116F68"/>
    <w:rsid w:val="61232ECD"/>
    <w:rsid w:val="61303925"/>
    <w:rsid w:val="6133A65E"/>
    <w:rsid w:val="613EB74F"/>
    <w:rsid w:val="6141D254"/>
    <w:rsid w:val="614328E4"/>
    <w:rsid w:val="614341D8"/>
    <w:rsid w:val="614AAD89"/>
    <w:rsid w:val="61707AD8"/>
    <w:rsid w:val="617AC56F"/>
    <w:rsid w:val="617ACA36"/>
    <w:rsid w:val="618C367E"/>
    <w:rsid w:val="619FDA93"/>
    <w:rsid w:val="61A20F2E"/>
    <w:rsid w:val="61A9E01A"/>
    <w:rsid w:val="61AFA56E"/>
    <w:rsid w:val="61B04B0F"/>
    <w:rsid w:val="61B9E816"/>
    <w:rsid w:val="61CCED82"/>
    <w:rsid w:val="61DA3E08"/>
    <w:rsid w:val="61EA6046"/>
    <w:rsid w:val="61FE4E50"/>
    <w:rsid w:val="6203D574"/>
    <w:rsid w:val="62233F91"/>
    <w:rsid w:val="62291281"/>
    <w:rsid w:val="62395EC7"/>
    <w:rsid w:val="623B5D23"/>
    <w:rsid w:val="623D5C99"/>
    <w:rsid w:val="623DF854"/>
    <w:rsid w:val="623FC1BA"/>
    <w:rsid w:val="62441EFD"/>
    <w:rsid w:val="624B818F"/>
    <w:rsid w:val="624D88C1"/>
    <w:rsid w:val="62574B4E"/>
    <w:rsid w:val="626DFA9A"/>
    <w:rsid w:val="627A2BB0"/>
    <w:rsid w:val="6290AC29"/>
    <w:rsid w:val="62A646A5"/>
    <w:rsid w:val="62AD225D"/>
    <w:rsid w:val="62B45BF2"/>
    <w:rsid w:val="62D2CE88"/>
    <w:rsid w:val="62D58A73"/>
    <w:rsid w:val="62D650D0"/>
    <w:rsid w:val="62DC6688"/>
    <w:rsid w:val="62E99092"/>
    <w:rsid w:val="630456BC"/>
    <w:rsid w:val="630FD611"/>
    <w:rsid w:val="630FF1AE"/>
    <w:rsid w:val="63151A2D"/>
    <w:rsid w:val="6329FE1B"/>
    <w:rsid w:val="632DD457"/>
    <w:rsid w:val="633FD376"/>
    <w:rsid w:val="63480D7D"/>
    <w:rsid w:val="634B71D3"/>
    <w:rsid w:val="6356B1AD"/>
    <w:rsid w:val="6359D637"/>
    <w:rsid w:val="63624D69"/>
    <w:rsid w:val="6367817B"/>
    <w:rsid w:val="63690B24"/>
    <w:rsid w:val="636B0DE2"/>
    <w:rsid w:val="636E3AA0"/>
    <w:rsid w:val="6378F91F"/>
    <w:rsid w:val="637D273A"/>
    <w:rsid w:val="6385CE91"/>
    <w:rsid w:val="638CAC74"/>
    <w:rsid w:val="639C1AFD"/>
    <w:rsid w:val="639DF38F"/>
    <w:rsid w:val="63A662D8"/>
    <w:rsid w:val="63AF2A6C"/>
    <w:rsid w:val="63C28974"/>
    <w:rsid w:val="63C5E4F9"/>
    <w:rsid w:val="63C9616F"/>
    <w:rsid w:val="63DCC68E"/>
    <w:rsid w:val="640B6CB6"/>
    <w:rsid w:val="640EBDD1"/>
    <w:rsid w:val="641B4041"/>
    <w:rsid w:val="641CBFB0"/>
    <w:rsid w:val="64224A52"/>
    <w:rsid w:val="6424C20A"/>
    <w:rsid w:val="642FCB06"/>
    <w:rsid w:val="64399A50"/>
    <w:rsid w:val="64507237"/>
    <w:rsid w:val="646436F3"/>
    <w:rsid w:val="64644B7D"/>
    <w:rsid w:val="6469497D"/>
    <w:rsid w:val="646B9B9D"/>
    <w:rsid w:val="647D7F31"/>
    <w:rsid w:val="64872258"/>
    <w:rsid w:val="648A0E13"/>
    <w:rsid w:val="64934F5A"/>
    <w:rsid w:val="6494D18C"/>
    <w:rsid w:val="64963F8F"/>
    <w:rsid w:val="6497B26E"/>
    <w:rsid w:val="649B1027"/>
    <w:rsid w:val="649B135D"/>
    <w:rsid w:val="649D3627"/>
    <w:rsid w:val="64A7CB28"/>
    <w:rsid w:val="64B8B1B4"/>
    <w:rsid w:val="64BB660D"/>
    <w:rsid w:val="64BBC7D6"/>
    <w:rsid w:val="64BCAB0D"/>
    <w:rsid w:val="64C041C2"/>
    <w:rsid w:val="64C907FE"/>
    <w:rsid w:val="64CC8E32"/>
    <w:rsid w:val="64D72D58"/>
    <w:rsid w:val="64E4F3B9"/>
    <w:rsid w:val="6506CF65"/>
    <w:rsid w:val="650DB9AC"/>
    <w:rsid w:val="650E9A6E"/>
    <w:rsid w:val="651BF762"/>
    <w:rsid w:val="652ECA98"/>
    <w:rsid w:val="652F54B0"/>
    <w:rsid w:val="65304A6D"/>
    <w:rsid w:val="653DAE8B"/>
    <w:rsid w:val="6543B5FE"/>
    <w:rsid w:val="654678AD"/>
    <w:rsid w:val="65494EDE"/>
    <w:rsid w:val="6555A2DD"/>
    <w:rsid w:val="6559A952"/>
    <w:rsid w:val="655B5643"/>
    <w:rsid w:val="6566A96F"/>
    <w:rsid w:val="65720CC1"/>
    <w:rsid w:val="6580D4CC"/>
    <w:rsid w:val="658BA7DE"/>
    <w:rsid w:val="6592207B"/>
    <w:rsid w:val="659C1630"/>
    <w:rsid w:val="65AFD7EE"/>
    <w:rsid w:val="65BBA895"/>
    <w:rsid w:val="65CDF9E5"/>
    <w:rsid w:val="65DD1638"/>
    <w:rsid w:val="65DFF703"/>
    <w:rsid w:val="65FAC37E"/>
    <w:rsid w:val="65FCB6E3"/>
    <w:rsid w:val="6600CAF2"/>
    <w:rsid w:val="6606874B"/>
    <w:rsid w:val="6607A774"/>
    <w:rsid w:val="660E9F1D"/>
    <w:rsid w:val="66147666"/>
    <w:rsid w:val="6614E47B"/>
    <w:rsid w:val="66180172"/>
    <w:rsid w:val="6618CA25"/>
    <w:rsid w:val="661D6ADC"/>
    <w:rsid w:val="662D9B70"/>
    <w:rsid w:val="663B09A6"/>
    <w:rsid w:val="66487819"/>
    <w:rsid w:val="664C1C56"/>
    <w:rsid w:val="6655422B"/>
    <w:rsid w:val="6666F883"/>
    <w:rsid w:val="66674411"/>
    <w:rsid w:val="666E7E89"/>
    <w:rsid w:val="667535BD"/>
    <w:rsid w:val="66A18590"/>
    <w:rsid w:val="66AECB3D"/>
    <w:rsid w:val="66B96DFD"/>
    <w:rsid w:val="66BD4F82"/>
    <w:rsid w:val="66BD6B4D"/>
    <w:rsid w:val="66C25EA6"/>
    <w:rsid w:val="66C440DB"/>
    <w:rsid w:val="66DA9657"/>
    <w:rsid w:val="66DD29AB"/>
    <w:rsid w:val="66DFB41C"/>
    <w:rsid w:val="66E28CDB"/>
    <w:rsid w:val="66EA6736"/>
    <w:rsid w:val="66F58E03"/>
    <w:rsid w:val="671269B7"/>
    <w:rsid w:val="67141A01"/>
    <w:rsid w:val="671940CF"/>
    <w:rsid w:val="671E2E90"/>
    <w:rsid w:val="671F0DE0"/>
    <w:rsid w:val="67205D9A"/>
    <w:rsid w:val="67225AAF"/>
    <w:rsid w:val="6723440B"/>
    <w:rsid w:val="67371554"/>
    <w:rsid w:val="67398C6A"/>
    <w:rsid w:val="6739E317"/>
    <w:rsid w:val="673D7A5E"/>
    <w:rsid w:val="673DAC49"/>
    <w:rsid w:val="67401755"/>
    <w:rsid w:val="67432159"/>
    <w:rsid w:val="6747B80A"/>
    <w:rsid w:val="67492603"/>
    <w:rsid w:val="6749A61C"/>
    <w:rsid w:val="674D96E7"/>
    <w:rsid w:val="6755B4D8"/>
    <w:rsid w:val="675FBC35"/>
    <w:rsid w:val="676785DD"/>
    <w:rsid w:val="6769F6EA"/>
    <w:rsid w:val="676E1D32"/>
    <w:rsid w:val="6771363B"/>
    <w:rsid w:val="6779730C"/>
    <w:rsid w:val="6779BE0B"/>
    <w:rsid w:val="6788FAE6"/>
    <w:rsid w:val="678A7C0B"/>
    <w:rsid w:val="678D3BED"/>
    <w:rsid w:val="67ACF897"/>
    <w:rsid w:val="67AE7874"/>
    <w:rsid w:val="67B62918"/>
    <w:rsid w:val="67B873E1"/>
    <w:rsid w:val="67BC884E"/>
    <w:rsid w:val="67C9427C"/>
    <w:rsid w:val="67CFC2FD"/>
    <w:rsid w:val="67D73050"/>
    <w:rsid w:val="67EB514B"/>
    <w:rsid w:val="67F99317"/>
    <w:rsid w:val="680E9DDB"/>
    <w:rsid w:val="680EB6AB"/>
    <w:rsid w:val="68205C2D"/>
    <w:rsid w:val="6835D7F6"/>
    <w:rsid w:val="684413FD"/>
    <w:rsid w:val="684FEF72"/>
    <w:rsid w:val="68625956"/>
    <w:rsid w:val="6863E13E"/>
    <w:rsid w:val="68758DE7"/>
    <w:rsid w:val="6875A4B6"/>
    <w:rsid w:val="688262A8"/>
    <w:rsid w:val="688694EF"/>
    <w:rsid w:val="6888FBE2"/>
    <w:rsid w:val="688DD87D"/>
    <w:rsid w:val="688EF395"/>
    <w:rsid w:val="68967314"/>
    <w:rsid w:val="689E8AC3"/>
    <w:rsid w:val="68A06321"/>
    <w:rsid w:val="68AA3AF5"/>
    <w:rsid w:val="68BB5BE0"/>
    <w:rsid w:val="68C86119"/>
    <w:rsid w:val="68D65EE0"/>
    <w:rsid w:val="68D939F1"/>
    <w:rsid w:val="68E629C3"/>
    <w:rsid w:val="68E6457B"/>
    <w:rsid w:val="68EAAA08"/>
    <w:rsid w:val="68F384BD"/>
    <w:rsid w:val="68F48560"/>
    <w:rsid w:val="68FB261D"/>
    <w:rsid w:val="691981CD"/>
    <w:rsid w:val="691AC14E"/>
    <w:rsid w:val="69225F55"/>
    <w:rsid w:val="69242C4A"/>
    <w:rsid w:val="693D2F3B"/>
    <w:rsid w:val="6940904F"/>
    <w:rsid w:val="6940D9B9"/>
    <w:rsid w:val="6941C7B1"/>
    <w:rsid w:val="69480CEF"/>
    <w:rsid w:val="694956FE"/>
    <w:rsid w:val="6950B517"/>
    <w:rsid w:val="6957D57A"/>
    <w:rsid w:val="6958A678"/>
    <w:rsid w:val="698A6E66"/>
    <w:rsid w:val="69A2681B"/>
    <w:rsid w:val="69A82EA5"/>
    <w:rsid w:val="69AB2C66"/>
    <w:rsid w:val="69B22B74"/>
    <w:rsid w:val="69C9E1BC"/>
    <w:rsid w:val="69CE1605"/>
    <w:rsid w:val="69CEEA38"/>
    <w:rsid w:val="69CF2120"/>
    <w:rsid w:val="69D287F7"/>
    <w:rsid w:val="69DDB61C"/>
    <w:rsid w:val="69E6F4F5"/>
    <w:rsid w:val="69EF07D9"/>
    <w:rsid w:val="69F41224"/>
    <w:rsid w:val="69F8F38F"/>
    <w:rsid w:val="69FDD72D"/>
    <w:rsid w:val="69FF1347"/>
    <w:rsid w:val="69FFC689"/>
    <w:rsid w:val="69FFE172"/>
    <w:rsid w:val="6A08EC5B"/>
    <w:rsid w:val="6A08FDEC"/>
    <w:rsid w:val="6A0F8E82"/>
    <w:rsid w:val="6A1223A2"/>
    <w:rsid w:val="6A3865ED"/>
    <w:rsid w:val="6A569D33"/>
    <w:rsid w:val="6A5F3E52"/>
    <w:rsid w:val="6A64510E"/>
    <w:rsid w:val="6A6E9FBD"/>
    <w:rsid w:val="6A719D49"/>
    <w:rsid w:val="6A7A1F7A"/>
    <w:rsid w:val="6A84EE8B"/>
    <w:rsid w:val="6A86ED8C"/>
    <w:rsid w:val="6A89AD90"/>
    <w:rsid w:val="6A98D61F"/>
    <w:rsid w:val="6A9A6EEC"/>
    <w:rsid w:val="6A9CBA28"/>
    <w:rsid w:val="6AB13E7B"/>
    <w:rsid w:val="6AC6E03C"/>
    <w:rsid w:val="6AC9D672"/>
    <w:rsid w:val="6AD89878"/>
    <w:rsid w:val="6AE2C6E3"/>
    <w:rsid w:val="6AE3DAAD"/>
    <w:rsid w:val="6AEF99B2"/>
    <w:rsid w:val="6AF0F8F2"/>
    <w:rsid w:val="6B0D9DA3"/>
    <w:rsid w:val="6B1F0875"/>
    <w:rsid w:val="6B1FDACD"/>
    <w:rsid w:val="6B204DAB"/>
    <w:rsid w:val="6B216C97"/>
    <w:rsid w:val="6B22A509"/>
    <w:rsid w:val="6B2A87FA"/>
    <w:rsid w:val="6B2C379A"/>
    <w:rsid w:val="6B406EA0"/>
    <w:rsid w:val="6B45D97E"/>
    <w:rsid w:val="6B53AC56"/>
    <w:rsid w:val="6B572546"/>
    <w:rsid w:val="6B6177E5"/>
    <w:rsid w:val="6B8C7BAF"/>
    <w:rsid w:val="6B914C82"/>
    <w:rsid w:val="6B96B236"/>
    <w:rsid w:val="6BB4CA67"/>
    <w:rsid w:val="6BB7F477"/>
    <w:rsid w:val="6BC0F628"/>
    <w:rsid w:val="6BC6A93E"/>
    <w:rsid w:val="6BDEF06B"/>
    <w:rsid w:val="6BE2EFBB"/>
    <w:rsid w:val="6BE698A3"/>
    <w:rsid w:val="6BEC5D5F"/>
    <w:rsid w:val="6BF2B587"/>
    <w:rsid w:val="6C0211DA"/>
    <w:rsid w:val="6C1085AE"/>
    <w:rsid w:val="6C1BA29C"/>
    <w:rsid w:val="6C25D0AD"/>
    <w:rsid w:val="6C375E0F"/>
    <w:rsid w:val="6C3FA745"/>
    <w:rsid w:val="6C406759"/>
    <w:rsid w:val="6C4167D3"/>
    <w:rsid w:val="6C44D09B"/>
    <w:rsid w:val="6C5392C5"/>
    <w:rsid w:val="6C603AE9"/>
    <w:rsid w:val="6C6093D0"/>
    <w:rsid w:val="6C64FC99"/>
    <w:rsid w:val="6C65FD26"/>
    <w:rsid w:val="6C70E744"/>
    <w:rsid w:val="6C723E9C"/>
    <w:rsid w:val="6C7DA444"/>
    <w:rsid w:val="6C9F0BA7"/>
    <w:rsid w:val="6CA217EF"/>
    <w:rsid w:val="6CA8E403"/>
    <w:rsid w:val="6CAE0869"/>
    <w:rsid w:val="6CAE9369"/>
    <w:rsid w:val="6CB2A9E8"/>
    <w:rsid w:val="6CBADA51"/>
    <w:rsid w:val="6CC37342"/>
    <w:rsid w:val="6CCDDFAD"/>
    <w:rsid w:val="6CCE61AD"/>
    <w:rsid w:val="6CD36709"/>
    <w:rsid w:val="6CF902E3"/>
    <w:rsid w:val="6CFD5A10"/>
    <w:rsid w:val="6D0EBBCF"/>
    <w:rsid w:val="6D102509"/>
    <w:rsid w:val="6D141CFF"/>
    <w:rsid w:val="6D2A7736"/>
    <w:rsid w:val="6D2DEDBD"/>
    <w:rsid w:val="6D2F4B52"/>
    <w:rsid w:val="6D410C47"/>
    <w:rsid w:val="6D4C08F2"/>
    <w:rsid w:val="6D56658C"/>
    <w:rsid w:val="6D57B935"/>
    <w:rsid w:val="6D5AAB18"/>
    <w:rsid w:val="6D6E904C"/>
    <w:rsid w:val="6D6FF692"/>
    <w:rsid w:val="6D7EF900"/>
    <w:rsid w:val="6D7F3CDA"/>
    <w:rsid w:val="6DA22C25"/>
    <w:rsid w:val="6DB0EC44"/>
    <w:rsid w:val="6DB62F5D"/>
    <w:rsid w:val="6DBEF64C"/>
    <w:rsid w:val="6DCB4E8C"/>
    <w:rsid w:val="6DCEEA44"/>
    <w:rsid w:val="6DD334A2"/>
    <w:rsid w:val="6DDD99FA"/>
    <w:rsid w:val="6DDE7869"/>
    <w:rsid w:val="6DF58D14"/>
    <w:rsid w:val="6E041883"/>
    <w:rsid w:val="6E04DD05"/>
    <w:rsid w:val="6E067675"/>
    <w:rsid w:val="6E07CA99"/>
    <w:rsid w:val="6E1159C5"/>
    <w:rsid w:val="6E2D3E9B"/>
    <w:rsid w:val="6E41281F"/>
    <w:rsid w:val="6E42C12D"/>
    <w:rsid w:val="6E4D0DEC"/>
    <w:rsid w:val="6E50131D"/>
    <w:rsid w:val="6E6776E8"/>
    <w:rsid w:val="6E7015D0"/>
    <w:rsid w:val="6E75CE48"/>
    <w:rsid w:val="6E77E9F8"/>
    <w:rsid w:val="6E7AE89D"/>
    <w:rsid w:val="6E7CFE13"/>
    <w:rsid w:val="6E8284EA"/>
    <w:rsid w:val="6E858FB5"/>
    <w:rsid w:val="6E86DB48"/>
    <w:rsid w:val="6E88CD38"/>
    <w:rsid w:val="6E8F21EC"/>
    <w:rsid w:val="6E9101CC"/>
    <w:rsid w:val="6E94843E"/>
    <w:rsid w:val="6EA15658"/>
    <w:rsid w:val="6EA407F4"/>
    <w:rsid w:val="6EB18367"/>
    <w:rsid w:val="6EBC3201"/>
    <w:rsid w:val="6EDE8C65"/>
    <w:rsid w:val="6F01B74F"/>
    <w:rsid w:val="6F084D5E"/>
    <w:rsid w:val="6F0AB512"/>
    <w:rsid w:val="6F1625B0"/>
    <w:rsid w:val="6F1D00D1"/>
    <w:rsid w:val="6F2BAAD2"/>
    <w:rsid w:val="6F346EF6"/>
    <w:rsid w:val="6F3CBBAD"/>
    <w:rsid w:val="6F3D2F28"/>
    <w:rsid w:val="6F432FB3"/>
    <w:rsid w:val="6F5DF627"/>
    <w:rsid w:val="6F60C6A1"/>
    <w:rsid w:val="6F62E82A"/>
    <w:rsid w:val="6F63F6CE"/>
    <w:rsid w:val="6F645877"/>
    <w:rsid w:val="6F6A451A"/>
    <w:rsid w:val="6F6A9060"/>
    <w:rsid w:val="6F6C4312"/>
    <w:rsid w:val="6F753DBB"/>
    <w:rsid w:val="6F7FA3FF"/>
    <w:rsid w:val="6F802B07"/>
    <w:rsid w:val="6F86CAC3"/>
    <w:rsid w:val="6F9157EA"/>
    <w:rsid w:val="6F9FF5FE"/>
    <w:rsid w:val="6FA55A10"/>
    <w:rsid w:val="6FA77CF1"/>
    <w:rsid w:val="6FAB9D64"/>
    <w:rsid w:val="6FC0892A"/>
    <w:rsid w:val="6FD54A1C"/>
    <w:rsid w:val="6FD74732"/>
    <w:rsid w:val="6FEE2A0C"/>
    <w:rsid w:val="6FF86AA7"/>
    <w:rsid w:val="7007A45B"/>
    <w:rsid w:val="700DCCEF"/>
    <w:rsid w:val="70124C3A"/>
    <w:rsid w:val="70262570"/>
    <w:rsid w:val="7028A136"/>
    <w:rsid w:val="702A3FC1"/>
    <w:rsid w:val="7030C66F"/>
    <w:rsid w:val="705238AE"/>
    <w:rsid w:val="70656043"/>
    <w:rsid w:val="706E4262"/>
    <w:rsid w:val="707B37ED"/>
    <w:rsid w:val="7086E8D3"/>
    <w:rsid w:val="70A328C1"/>
    <w:rsid w:val="70BDD778"/>
    <w:rsid w:val="70C1C7C1"/>
    <w:rsid w:val="70C906CE"/>
    <w:rsid w:val="70CD5EE5"/>
    <w:rsid w:val="70DFAE89"/>
    <w:rsid w:val="70E6725C"/>
    <w:rsid w:val="70F46B8C"/>
    <w:rsid w:val="710113FC"/>
    <w:rsid w:val="710DDA8E"/>
    <w:rsid w:val="711B882D"/>
    <w:rsid w:val="71227494"/>
    <w:rsid w:val="7131A0F5"/>
    <w:rsid w:val="713419BC"/>
    <w:rsid w:val="71583F09"/>
    <w:rsid w:val="715E9EA1"/>
    <w:rsid w:val="717DD72D"/>
    <w:rsid w:val="717E919E"/>
    <w:rsid w:val="7186102E"/>
    <w:rsid w:val="71869311"/>
    <w:rsid w:val="719D8065"/>
    <w:rsid w:val="71B4F0EF"/>
    <w:rsid w:val="71BCCEFB"/>
    <w:rsid w:val="71CE45E3"/>
    <w:rsid w:val="71CFC377"/>
    <w:rsid w:val="71DB1D33"/>
    <w:rsid w:val="71DB82FF"/>
    <w:rsid w:val="71E22C46"/>
    <w:rsid w:val="71E5A791"/>
    <w:rsid w:val="71E91A7E"/>
    <w:rsid w:val="71EA001B"/>
    <w:rsid w:val="71F1453E"/>
    <w:rsid w:val="7203CE15"/>
    <w:rsid w:val="722D7C9E"/>
    <w:rsid w:val="722E73E0"/>
    <w:rsid w:val="7236E90D"/>
    <w:rsid w:val="723CDFE6"/>
    <w:rsid w:val="724FA946"/>
    <w:rsid w:val="72527039"/>
    <w:rsid w:val="725888DC"/>
    <w:rsid w:val="7263FD82"/>
    <w:rsid w:val="727C493F"/>
    <w:rsid w:val="7287AF9F"/>
    <w:rsid w:val="728C1BF2"/>
    <w:rsid w:val="72A88155"/>
    <w:rsid w:val="72A8F0CD"/>
    <w:rsid w:val="72AC8640"/>
    <w:rsid w:val="72B54116"/>
    <w:rsid w:val="72BBD0F8"/>
    <w:rsid w:val="72C618B6"/>
    <w:rsid w:val="72C9ACEF"/>
    <w:rsid w:val="72D394F6"/>
    <w:rsid w:val="72D3B600"/>
    <w:rsid w:val="72E4B425"/>
    <w:rsid w:val="72E881E0"/>
    <w:rsid w:val="72EA424B"/>
    <w:rsid w:val="72F50C44"/>
    <w:rsid w:val="73150B75"/>
    <w:rsid w:val="7333D998"/>
    <w:rsid w:val="73377825"/>
    <w:rsid w:val="7337C510"/>
    <w:rsid w:val="733975EC"/>
    <w:rsid w:val="7344BE6A"/>
    <w:rsid w:val="734CA846"/>
    <w:rsid w:val="734CAD52"/>
    <w:rsid w:val="734CB12D"/>
    <w:rsid w:val="73519716"/>
    <w:rsid w:val="735364EB"/>
    <w:rsid w:val="735B4435"/>
    <w:rsid w:val="73653ECE"/>
    <w:rsid w:val="7374111B"/>
    <w:rsid w:val="737C7CAC"/>
    <w:rsid w:val="7383C68C"/>
    <w:rsid w:val="739014A8"/>
    <w:rsid w:val="739817A4"/>
    <w:rsid w:val="73B4C99C"/>
    <w:rsid w:val="73B78B46"/>
    <w:rsid w:val="73B9A490"/>
    <w:rsid w:val="73CB756B"/>
    <w:rsid w:val="73E6CA64"/>
    <w:rsid w:val="73E8F131"/>
    <w:rsid w:val="73EF8FDE"/>
    <w:rsid w:val="7407BF16"/>
    <w:rsid w:val="743420C1"/>
    <w:rsid w:val="743CFEDB"/>
    <w:rsid w:val="7441B3B8"/>
    <w:rsid w:val="74465CD4"/>
    <w:rsid w:val="745A474D"/>
    <w:rsid w:val="7469C252"/>
    <w:rsid w:val="746F6FAB"/>
    <w:rsid w:val="747D447C"/>
    <w:rsid w:val="748F5927"/>
    <w:rsid w:val="7498EF1A"/>
    <w:rsid w:val="74991A8E"/>
    <w:rsid w:val="74AC921F"/>
    <w:rsid w:val="74D3C345"/>
    <w:rsid w:val="74DB2343"/>
    <w:rsid w:val="74E62BD4"/>
    <w:rsid w:val="74FBDF67"/>
    <w:rsid w:val="75055F86"/>
    <w:rsid w:val="750A32E9"/>
    <w:rsid w:val="75282B55"/>
    <w:rsid w:val="752A16FB"/>
    <w:rsid w:val="752D7FCC"/>
    <w:rsid w:val="753003FF"/>
    <w:rsid w:val="75312297"/>
    <w:rsid w:val="75331430"/>
    <w:rsid w:val="7537FEE7"/>
    <w:rsid w:val="753D7618"/>
    <w:rsid w:val="7549765F"/>
    <w:rsid w:val="754C28E6"/>
    <w:rsid w:val="755938C9"/>
    <w:rsid w:val="755FCC46"/>
    <w:rsid w:val="75612ECD"/>
    <w:rsid w:val="7561921E"/>
    <w:rsid w:val="756C784D"/>
    <w:rsid w:val="756DCA70"/>
    <w:rsid w:val="756E7B2A"/>
    <w:rsid w:val="75941A35"/>
    <w:rsid w:val="759AF4AC"/>
    <w:rsid w:val="759FDAC7"/>
    <w:rsid w:val="75B0EE12"/>
    <w:rsid w:val="75B3EF43"/>
    <w:rsid w:val="75C39DF9"/>
    <w:rsid w:val="75C6B86D"/>
    <w:rsid w:val="75CAC743"/>
    <w:rsid w:val="75CD0274"/>
    <w:rsid w:val="75F18E37"/>
    <w:rsid w:val="75F376B5"/>
    <w:rsid w:val="75FCA6B5"/>
    <w:rsid w:val="75FEDF4F"/>
    <w:rsid w:val="75FFB02D"/>
    <w:rsid w:val="7615BE33"/>
    <w:rsid w:val="76249BF8"/>
    <w:rsid w:val="76267D14"/>
    <w:rsid w:val="763B198D"/>
    <w:rsid w:val="76475A70"/>
    <w:rsid w:val="7647AE53"/>
    <w:rsid w:val="764E60CB"/>
    <w:rsid w:val="7655D2CA"/>
    <w:rsid w:val="76660D15"/>
    <w:rsid w:val="767DE203"/>
    <w:rsid w:val="7693D2CF"/>
    <w:rsid w:val="76A00984"/>
    <w:rsid w:val="76AFD79D"/>
    <w:rsid w:val="76B256CB"/>
    <w:rsid w:val="76C62F88"/>
    <w:rsid w:val="76CA3255"/>
    <w:rsid w:val="76D0D382"/>
    <w:rsid w:val="76E0E97A"/>
    <w:rsid w:val="76F42075"/>
    <w:rsid w:val="76FAFC11"/>
    <w:rsid w:val="76FCC5E8"/>
    <w:rsid w:val="770953A0"/>
    <w:rsid w:val="77148300"/>
    <w:rsid w:val="771CC727"/>
    <w:rsid w:val="77201637"/>
    <w:rsid w:val="7722AEC2"/>
    <w:rsid w:val="772EB48B"/>
    <w:rsid w:val="77366A40"/>
    <w:rsid w:val="773B9E3A"/>
    <w:rsid w:val="774D659F"/>
    <w:rsid w:val="775029EB"/>
    <w:rsid w:val="7751754C"/>
    <w:rsid w:val="775B7940"/>
    <w:rsid w:val="7761ADE6"/>
    <w:rsid w:val="7765B7DB"/>
    <w:rsid w:val="7766977B"/>
    <w:rsid w:val="7773A991"/>
    <w:rsid w:val="778E7B00"/>
    <w:rsid w:val="77951A6A"/>
    <w:rsid w:val="7798F6C6"/>
    <w:rsid w:val="779A2902"/>
    <w:rsid w:val="77A3CB0F"/>
    <w:rsid w:val="77B4DF28"/>
    <w:rsid w:val="77C17024"/>
    <w:rsid w:val="77D21989"/>
    <w:rsid w:val="77D6B893"/>
    <w:rsid w:val="77F85F44"/>
    <w:rsid w:val="77F87568"/>
    <w:rsid w:val="780A6519"/>
    <w:rsid w:val="78186AA7"/>
    <w:rsid w:val="782C180B"/>
    <w:rsid w:val="7830830D"/>
    <w:rsid w:val="78376BC1"/>
    <w:rsid w:val="78378DCC"/>
    <w:rsid w:val="7843F4B1"/>
    <w:rsid w:val="78465121"/>
    <w:rsid w:val="784813F5"/>
    <w:rsid w:val="784D3C2F"/>
    <w:rsid w:val="784DB6D6"/>
    <w:rsid w:val="785E4405"/>
    <w:rsid w:val="786CC3C7"/>
    <w:rsid w:val="786CF1E3"/>
    <w:rsid w:val="787886FD"/>
    <w:rsid w:val="787BAA2C"/>
    <w:rsid w:val="787E7720"/>
    <w:rsid w:val="787E8473"/>
    <w:rsid w:val="7880C28E"/>
    <w:rsid w:val="78818B70"/>
    <w:rsid w:val="78830741"/>
    <w:rsid w:val="788A4788"/>
    <w:rsid w:val="788BE508"/>
    <w:rsid w:val="788D1A8C"/>
    <w:rsid w:val="78909031"/>
    <w:rsid w:val="7894EB6F"/>
    <w:rsid w:val="789B5ACE"/>
    <w:rsid w:val="789BBCB0"/>
    <w:rsid w:val="78A858A8"/>
    <w:rsid w:val="78A8C272"/>
    <w:rsid w:val="78B4F38A"/>
    <w:rsid w:val="78B8AA1A"/>
    <w:rsid w:val="78BDC9DE"/>
    <w:rsid w:val="78CF9EEA"/>
    <w:rsid w:val="78DA92B8"/>
    <w:rsid w:val="78DFE66D"/>
    <w:rsid w:val="78EA0FFA"/>
    <w:rsid w:val="78F24888"/>
    <w:rsid w:val="78FAB411"/>
    <w:rsid w:val="78FC2895"/>
    <w:rsid w:val="78FE9C2E"/>
    <w:rsid w:val="78FEE67A"/>
    <w:rsid w:val="79085F46"/>
    <w:rsid w:val="790AB89F"/>
    <w:rsid w:val="79117280"/>
    <w:rsid w:val="791B5F17"/>
    <w:rsid w:val="791D5ABB"/>
    <w:rsid w:val="792318CA"/>
    <w:rsid w:val="7927F9BC"/>
    <w:rsid w:val="792E00A5"/>
    <w:rsid w:val="7933928C"/>
    <w:rsid w:val="793C30F0"/>
    <w:rsid w:val="794303B3"/>
    <w:rsid w:val="7944E661"/>
    <w:rsid w:val="794EC822"/>
    <w:rsid w:val="795040D6"/>
    <w:rsid w:val="7956C6B1"/>
    <w:rsid w:val="796AB0FA"/>
    <w:rsid w:val="79763B9E"/>
    <w:rsid w:val="7976EB6D"/>
    <w:rsid w:val="797CC222"/>
    <w:rsid w:val="797ED0BC"/>
    <w:rsid w:val="79871FCE"/>
    <w:rsid w:val="7998D5D2"/>
    <w:rsid w:val="79A3C1BE"/>
    <w:rsid w:val="79A48CCA"/>
    <w:rsid w:val="79A5D5B9"/>
    <w:rsid w:val="79AC9AE1"/>
    <w:rsid w:val="79B1733E"/>
    <w:rsid w:val="79BC8017"/>
    <w:rsid w:val="79BD7167"/>
    <w:rsid w:val="79C80177"/>
    <w:rsid w:val="79D47F96"/>
    <w:rsid w:val="79D71C91"/>
    <w:rsid w:val="79D9B7F9"/>
    <w:rsid w:val="79DA3416"/>
    <w:rsid w:val="79DA4150"/>
    <w:rsid w:val="79DAA5BE"/>
    <w:rsid w:val="79E38F06"/>
    <w:rsid w:val="79E7954D"/>
    <w:rsid w:val="79F01824"/>
    <w:rsid w:val="79F58E8A"/>
    <w:rsid w:val="79FA7446"/>
    <w:rsid w:val="79FC6E4D"/>
    <w:rsid w:val="79FDD357"/>
    <w:rsid w:val="7A0246D7"/>
    <w:rsid w:val="7A125275"/>
    <w:rsid w:val="7A204B39"/>
    <w:rsid w:val="7A285F47"/>
    <w:rsid w:val="7A2C1A17"/>
    <w:rsid w:val="7A3DAEB2"/>
    <w:rsid w:val="7A485900"/>
    <w:rsid w:val="7A5657BF"/>
    <w:rsid w:val="7A62F818"/>
    <w:rsid w:val="7A7ECABD"/>
    <w:rsid w:val="7A7FF2B9"/>
    <w:rsid w:val="7A826762"/>
    <w:rsid w:val="7A826ACA"/>
    <w:rsid w:val="7A91BCC4"/>
    <w:rsid w:val="7A960069"/>
    <w:rsid w:val="7AA7790B"/>
    <w:rsid w:val="7AB1CCB4"/>
    <w:rsid w:val="7ABD5F47"/>
    <w:rsid w:val="7ABF358D"/>
    <w:rsid w:val="7AC34C68"/>
    <w:rsid w:val="7AC51113"/>
    <w:rsid w:val="7ACEFE5C"/>
    <w:rsid w:val="7ADBF845"/>
    <w:rsid w:val="7AE1D74F"/>
    <w:rsid w:val="7AF5C5AF"/>
    <w:rsid w:val="7AF7F3D9"/>
    <w:rsid w:val="7B1B96C4"/>
    <w:rsid w:val="7B24A0DF"/>
    <w:rsid w:val="7B2E140E"/>
    <w:rsid w:val="7B2F4387"/>
    <w:rsid w:val="7B32C320"/>
    <w:rsid w:val="7B357F95"/>
    <w:rsid w:val="7B3C95C7"/>
    <w:rsid w:val="7B4472EE"/>
    <w:rsid w:val="7B44A46D"/>
    <w:rsid w:val="7B491A44"/>
    <w:rsid w:val="7B4B3F2F"/>
    <w:rsid w:val="7B6492CC"/>
    <w:rsid w:val="7B67496F"/>
    <w:rsid w:val="7B6B74EE"/>
    <w:rsid w:val="7B6BB973"/>
    <w:rsid w:val="7B6ED7E1"/>
    <w:rsid w:val="7B7127C1"/>
    <w:rsid w:val="7B8CA04A"/>
    <w:rsid w:val="7B9DF2AF"/>
    <w:rsid w:val="7BAA049A"/>
    <w:rsid w:val="7BB82E11"/>
    <w:rsid w:val="7BC01581"/>
    <w:rsid w:val="7BC0BEF7"/>
    <w:rsid w:val="7BC3D201"/>
    <w:rsid w:val="7BDEF217"/>
    <w:rsid w:val="7BE26135"/>
    <w:rsid w:val="7BE39582"/>
    <w:rsid w:val="7BF8A810"/>
    <w:rsid w:val="7BFA3C42"/>
    <w:rsid w:val="7BFE8AF6"/>
    <w:rsid w:val="7BFF1C71"/>
    <w:rsid w:val="7BFF4092"/>
    <w:rsid w:val="7C04A386"/>
    <w:rsid w:val="7C102EEE"/>
    <w:rsid w:val="7C10C43A"/>
    <w:rsid w:val="7C11CB48"/>
    <w:rsid w:val="7C1D5C98"/>
    <w:rsid w:val="7C21963C"/>
    <w:rsid w:val="7C22D27F"/>
    <w:rsid w:val="7C26C6EF"/>
    <w:rsid w:val="7C3BE21D"/>
    <w:rsid w:val="7C3C5F92"/>
    <w:rsid w:val="7C4C6878"/>
    <w:rsid w:val="7C5EA8FC"/>
    <w:rsid w:val="7C6753F4"/>
    <w:rsid w:val="7C6AE99C"/>
    <w:rsid w:val="7C6D7022"/>
    <w:rsid w:val="7C7DC43A"/>
    <w:rsid w:val="7C88586F"/>
    <w:rsid w:val="7C906196"/>
    <w:rsid w:val="7C9150F1"/>
    <w:rsid w:val="7CAD569B"/>
    <w:rsid w:val="7CAEB054"/>
    <w:rsid w:val="7CAEBE99"/>
    <w:rsid w:val="7CC782C8"/>
    <w:rsid w:val="7CCCA7C1"/>
    <w:rsid w:val="7CF3895A"/>
    <w:rsid w:val="7CF59A9F"/>
    <w:rsid w:val="7D0AD272"/>
    <w:rsid w:val="7D0B6BC1"/>
    <w:rsid w:val="7D2479C0"/>
    <w:rsid w:val="7D3171AD"/>
    <w:rsid w:val="7D33EEC2"/>
    <w:rsid w:val="7D3C08D3"/>
    <w:rsid w:val="7D402237"/>
    <w:rsid w:val="7D49AC2E"/>
    <w:rsid w:val="7D4FC946"/>
    <w:rsid w:val="7D51F327"/>
    <w:rsid w:val="7D7BC830"/>
    <w:rsid w:val="7D7CAE7C"/>
    <w:rsid w:val="7D861BFE"/>
    <w:rsid w:val="7D885609"/>
    <w:rsid w:val="7D91D0ED"/>
    <w:rsid w:val="7D9DA8FD"/>
    <w:rsid w:val="7DA1C250"/>
    <w:rsid w:val="7DA3D357"/>
    <w:rsid w:val="7DA4DDEA"/>
    <w:rsid w:val="7DABFABE"/>
    <w:rsid w:val="7DB55203"/>
    <w:rsid w:val="7DCD3697"/>
    <w:rsid w:val="7DD9BF42"/>
    <w:rsid w:val="7DDADC83"/>
    <w:rsid w:val="7DDC015A"/>
    <w:rsid w:val="7DDFD685"/>
    <w:rsid w:val="7DF73DA7"/>
    <w:rsid w:val="7E00FD34"/>
    <w:rsid w:val="7E1097EC"/>
    <w:rsid w:val="7E133A67"/>
    <w:rsid w:val="7E1750DF"/>
    <w:rsid w:val="7E18B2C8"/>
    <w:rsid w:val="7E19CD94"/>
    <w:rsid w:val="7E1EF4BF"/>
    <w:rsid w:val="7E2731FB"/>
    <w:rsid w:val="7E276570"/>
    <w:rsid w:val="7E331096"/>
    <w:rsid w:val="7E3430C7"/>
    <w:rsid w:val="7E36A2CD"/>
    <w:rsid w:val="7E4C6074"/>
    <w:rsid w:val="7E4FC274"/>
    <w:rsid w:val="7E575F74"/>
    <w:rsid w:val="7E5C2323"/>
    <w:rsid w:val="7E66C6CF"/>
    <w:rsid w:val="7E67DABB"/>
    <w:rsid w:val="7E72BD37"/>
    <w:rsid w:val="7E788464"/>
    <w:rsid w:val="7E9CE84E"/>
    <w:rsid w:val="7EA4D640"/>
    <w:rsid w:val="7EA4F91D"/>
    <w:rsid w:val="7EB41E1F"/>
    <w:rsid w:val="7ED8F56F"/>
    <w:rsid w:val="7ED9814C"/>
    <w:rsid w:val="7EE48DFA"/>
    <w:rsid w:val="7EEA079B"/>
    <w:rsid w:val="7EF6B832"/>
    <w:rsid w:val="7F055011"/>
    <w:rsid w:val="7F074DCA"/>
    <w:rsid w:val="7F07D71E"/>
    <w:rsid w:val="7F086AAB"/>
    <w:rsid w:val="7F0F93D0"/>
    <w:rsid w:val="7F10AAC9"/>
    <w:rsid w:val="7F13A442"/>
    <w:rsid w:val="7F19F516"/>
    <w:rsid w:val="7F1BA5EA"/>
    <w:rsid w:val="7F2146AA"/>
    <w:rsid w:val="7F21C4D5"/>
    <w:rsid w:val="7F29483C"/>
    <w:rsid w:val="7F2A7F6D"/>
    <w:rsid w:val="7F39FB33"/>
    <w:rsid w:val="7F40E0A5"/>
    <w:rsid w:val="7F46F812"/>
    <w:rsid w:val="7F49CBF9"/>
    <w:rsid w:val="7F49CC20"/>
    <w:rsid w:val="7F4FEC0E"/>
    <w:rsid w:val="7F53988C"/>
    <w:rsid w:val="7F595B08"/>
    <w:rsid w:val="7F74CA4B"/>
    <w:rsid w:val="7F853D54"/>
    <w:rsid w:val="7F8577F9"/>
    <w:rsid w:val="7F92B245"/>
    <w:rsid w:val="7F937844"/>
    <w:rsid w:val="7FA14540"/>
    <w:rsid w:val="7FA76D6D"/>
    <w:rsid w:val="7FA9DC8F"/>
    <w:rsid w:val="7FC78F4D"/>
    <w:rsid w:val="7FCF40BA"/>
    <w:rsid w:val="7FD1B113"/>
    <w:rsid w:val="7FD1ED66"/>
    <w:rsid w:val="7FD32F58"/>
    <w:rsid w:val="7FD467F2"/>
    <w:rsid w:val="7FD75ADA"/>
    <w:rsid w:val="7FD84671"/>
    <w:rsid w:val="7FDEC3F4"/>
    <w:rsid w:val="7FDED5EC"/>
    <w:rsid w:val="7FDFA39B"/>
    <w:rsid w:val="7FE611D6"/>
    <w:rsid w:val="7FECD02E"/>
    <w:rsid w:val="7FF33F7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9611BC5"/>
  <w15:chartTrackingRefBased/>
  <w15:docId w15:val="{D1249E53-F0EE-4FFC-8BCC-DADBD48D7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5597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Ü3"/>
    <w:basedOn w:val="Heading2"/>
    <w:next w:val="Normal"/>
    <w:link w:val="Heading3Char"/>
    <w:uiPriority w:val="2"/>
    <w:unhideWhenUsed/>
    <w:qFormat/>
    <w:rsid w:val="00A55979"/>
    <w:pPr>
      <w:keepLines w:val="0"/>
      <w:spacing w:before="240" w:after="80" w:line="300" w:lineRule="auto"/>
      <w:outlineLvl w:val="2"/>
    </w:pPr>
    <w:rPr>
      <w:rFonts w:eastAsiaTheme="minorEastAsia" w:cstheme="minorBidi"/>
      <w:b/>
      <w:bCs/>
      <w:color w:val="auto"/>
      <w:sz w:val="25"/>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7070C"/>
    <w:rPr>
      <w:color w:val="0000FF"/>
      <w:shd w:val="clear" w:color="auto" w:fill="auto"/>
    </w:rPr>
  </w:style>
  <w:style w:type="paragraph" w:styleId="Header">
    <w:name w:val="header"/>
    <w:basedOn w:val="Normal"/>
    <w:link w:val="HeaderChar"/>
    <w:uiPriority w:val="99"/>
    <w:unhideWhenUsed/>
    <w:rsid w:val="00C70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70C"/>
  </w:style>
  <w:style w:type="paragraph" w:styleId="Footer">
    <w:name w:val="footer"/>
    <w:basedOn w:val="Normal"/>
    <w:link w:val="FooterChar"/>
    <w:uiPriority w:val="99"/>
    <w:unhideWhenUsed/>
    <w:rsid w:val="00C70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70C"/>
  </w:style>
  <w:style w:type="paragraph" w:customStyle="1" w:styleId="Pagedecouverture">
    <w:name w:val="Page de couverture"/>
    <w:basedOn w:val="Normal"/>
    <w:next w:val="Normal"/>
    <w:rsid w:val="00C7070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707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070C"/>
    <w:rPr>
      <w:rFonts w:ascii="Times New Roman" w:hAnsi="Times New Roman" w:cs="Times New Roman"/>
      <w:sz w:val="24"/>
    </w:rPr>
  </w:style>
  <w:style w:type="paragraph" w:customStyle="1" w:styleId="FooterSensitivity">
    <w:name w:val="Footer Sensitivity"/>
    <w:basedOn w:val="Normal"/>
    <w:link w:val="FooterSensitivityChar"/>
    <w:rsid w:val="00C707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7070C"/>
    <w:rPr>
      <w:rFonts w:ascii="Times New Roman" w:hAnsi="Times New Roman" w:cs="Times New Roman"/>
      <w:b/>
      <w:sz w:val="32"/>
    </w:rPr>
  </w:style>
  <w:style w:type="paragraph" w:customStyle="1" w:styleId="HeaderCoverPage">
    <w:name w:val="Header Cover Page"/>
    <w:basedOn w:val="Normal"/>
    <w:link w:val="HeaderCoverPageChar"/>
    <w:rsid w:val="00C707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070C"/>
    <w:rPr>
      <w:rFonts w:ascii="Times New Roman" w:hAnsi="Times New Roman" w:cs="Times New Roman"/>
      <w:sz w:val="24"/>
    </w:rPr>
  </w:style>
  <w:style w:type="paragraph" w:customStyle="1" w:styleId="HeaderSensitivity">
    <w:name w:val="Header Sensitivity"/>
    <w:basedOn w:val="Normal"/>
    <w:link w:val="HeaderSensitivityChar"/>
    <w:rsid w:val="00C707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7070C"/>
    <w:rPr>
      <w:rFonts w:ascii="Times New Roman" w:hAnsi="Times New Roman" w:cs="Times New Roman"/>
      <w:b/>
      <w:sz w:val="32"/>
    </w:rPr>
  </w:style>
  <w:style w:type="paragraph" w:customStyle="1" w:styleId="HeaderSensitivityRight">
    <w:name w:val="Header Sensitivity Right"/>
    <w:basedOn w:val="Normal"/>
    <w:link w:val="HeaderSensitivityRightChar"/>
    <w:rsid w:val="00C7070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7070C"/>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lp1"/>
    <w:basedOn w:val="Normal"/>
    <w:link w:val="ListParagraphChar"/>
    <w:uiPriority w:val="34"/>
    <w:qFormat/>
    <w:rsid w:val="00912308"/>
    <w:pPr>
      <w:spacing w:after="0" w:line="240" w:lineRule="auto"/>
      <w:ind w:left="720"/>
    </w:pPr>
    <w:rPr>
      <w:rFonts w:ascii="Times New Roman" w:eastAsia="Times New Roman" w:hAnsi="Times New Roman" w:cs="Times New Roman"/>
      <w:sz w:val="24"/>
      <w:szCs w:val="24"/>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link w:val="ListParagraph"/>
    <w:uiPriority w:val="34"/>
    <w:qFormat/>
    <w:locked/>
    <w:rsid w:val="00912308"/>
    <w:rPr>
      <w:rFonts w:ascii="Times New Roman" w:eastAsia="Times New Roman" w:hAnsi="Times New Roman" w:cs="Times New Roman"/>
      <w:sz w:val="24"/>
      <w:szCs w:val="24"/>
      <w:lang w:val="ro-RO" w:eastAsia="en-GB"/>
    </w:rPr>
  </w:style>
  <w:style w:type="paragraph" w:styleId="FootnoteText">
    <w:name w:val="footnote text"/>
    <w:aliases w:val="Schriftart: 9 pt,Schriftart: 10 pt,Schriftart: 8 pt,WB-Fußnotentext,fn,Footnotes,Footnote ak,Footnote text,Footnote Text Char1 Char,Footnote Text Char Char Char,Footnote Text Char2 Char Char Char,Plo,footnote text,Footnote Text Char2,Char"/>
    <w:basedOn w:val="Normal"/>
    <w:link w:val="FootnoteTextChar"/>
    <w:uiPriority w:val="99"/>
    <w:unhideWhenUsed/>
    <w:qFormat/>
    <w:rsid w:val="009812EC"/>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Plo Char,Char Char"/>
    <w:basedOn w:val="DefaultParagraphFont"/>
    <w:link w:val="FootnoteText"/>
    <w:uiPriority w:val="99"/>
    <w:qFormat/>
    <w:rsid w:val="009812EC"/>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11,F"/>
    <w:basedOn w:val="DefaultParagraphFont"/>
    <w:link w:val="Nota"/>
    <w:uiPriority w:val="99"/>
    <w:unhideWhenUsed/>
    <w:qFormat/>
    <w:rsid w:val="009812EC"/>
    <w:rPr>
      <w:vertAlign w:val="superscript"/>
    </w:rPr>
  </w:style>
  <w:style w:type="character" w:styleId="Hyperlink">
    <w:name w:val="Hyperlink"/>
    <w:basedOn w:val="DefaultParagraphFont"/>
    <w:uiPriority w:val="99"/>
    <w:unhideWhenUsed/>
    <w:rsid w:val="004E3346"/>
    <w:rPr>
      <w:color w:val="0000FF"/>
      <w:u w:val="single"/>
    </w:rPr>
  </w:style>
  <w:style w:type="character" w:customStyle="1" w:styleId="normaltextrun">
    <w:name w:val="normaltextrun"/>
    <w:basedOn w:val="DefaultParagraphFont"/>
    <w:rsid w:val="00BA6BD5"/>
  </w:style>
  <w:style w:type="character" w:styleId="CommentReference">
    <w:name w:val="annotation reference"/>
    <w:basedOn w:val="DefaultParagraphFont"/>
    <w:uiPriority w:val="99"/>
    <w:semiHidden/>
    <w:unhideWhenUsed/>
    <w:rsid w:val="0012024F"/>
    <w:rPr>
      <w:sz w:val="16"/>
      <w:szCs w:val="16"/>
    </w:rPr>
  </w:style>
  <w:style w:type="paragraph" w:styleId="CommentText">
    <w:name w:val="annotation text"/>
    <w:basedOn w:val="Normal"/>
    <w:link w:val="CommentTextChar"/>
    <w:uiPriority w:val="99"/>
    <w:unhideWhenUsed/>
    <w:rsid w:val="0012024F"/>
    <w:pPr>
      <w:spacing w:line="240" w:lineRule="auto"/>
    </w:pPr>
    <w:rPr>
      <w:sz w:val="20"/>
      <w:szCs w:val="20"/>
    </w:rPr>
  </w:style>
  <w:style w:type="character" w:customStyle="1" w:styleId="CommentTextChar">
    <w:name w:val="Comment Text Char"/>
    <w:basedOn w:val="DefaultParagraphFont"/>
    <w:link w:val="CommentText"/>
    <w:uiPriority w:val="99"/>
    <w:rsid w:val="0012024F"/>
    <w:rPr>
      <w:sz w:val="20"/>
      <w:szCs w:val="20"/>
    </w:rPr>
  </w:style>
  <w:style w:type="paragraph" w:styleId="CommentSubject">
    <w:name w:val="annotation subject"/>
    <w:basedOn w:val="CommentText"/>
    <w:next w:val="CommentText"/>
    <w:link w:val="CommentSubjectChar"/>
    <w:uiPriority w:val="99"/>
    <w:semiHidden/>
    <w:unhideWhenUsed/>
    <w:rsid w:val="0012024F"/>
    <w:rPr>
      <w:b/>
      <w:bCs/>
    </w:rPr>
  </w:style>
  <w:style w:type="character" w:customStyle="1" w:styleId="CommentSubjectChar">
    <w:name w:val="Comment Subject Char"/>
    <w:basedOn w:val="CommentTextChar"/>
    <w:link w:val="CommentSubject"/>
    <w:uiPriority w:val="99"/>
    <w:semiHidden/>
    <w:rsid w:val="0012024F"/>
    <w:rPr>
      <w:b/>
      <w:bCs/>
      <w:sz w:val="20"/>
      <w:szCs w:val="20"/>
    </w:rPr>
  </w:style>
  <w:style w:type="paragraph" w:styleId="BalloonText">
    <w:name w:val="Balloon Text"/>
    <w:basedOn w:val="Normal"/>
    <w:link w:val="BalloonTextChar"/>
    <w:uiPriority w:val="99"/>
    <w:semiHidden/>
    <w:unhideWhenUsed/>
    <w:rsid w:val="001202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24F"/>
    <w:rPr>
      <w:rFonts w:ascii="Segoe UI" w:hAnsi="Segoe UI" w:cs="Segoe UI"/>
      <w:sz w:val="18"/>
      <w:szCs w:val="18"/>
    </w:rPr>
  </w:style>
  <w:style w:type="character" w:styleId="FollowedHyperlink">
    <w:name w:val="FollowedHyperlink"/>
    <w:basedOn w:val="DefaultParagraphFont"/>
    <w:uiPriority w:val="99"/>
    <w:semiHidden/>
    <w:unhideWhenUsed/>
    <w:rsid w:val="00BF464F"/>
    <w:rPr>
      <w:color w:val="954F72" w:themeColor="followedHyperlink"/>
      <w:u w:val="single"/>
    </w:rPr>
  </w:style>
  <w:style w:type="character" w:customStyle="1" w:styleId="markedcontent">
    <w:name w:val="markedcontent"/>
    <w:basedOn w:val="DefaultParagraphFont"/>
    <w:rsid w:val="00592428"/>
  </w:style>
  <w:style w:type="paragraph" w:customStyle="1" w:styleId="Nota">
    <w:name w:val="Nota"/>
    <w:aliases w:val="Char1,(NECG) Footnote Reference,Appel note de bas de p,Style 6,Signature Ch"/>
    <w:basedOn w:val="Normal"/>
    <w:link w:val="FootnoteReference"/>
    <w:uiPriority w:val="99"/>
    <w:rsid w:val="00BA4A68"/>
    <w:pPr>
      <w:spacing w:line="240" w:lineRule="exact"/>
    </w:pPr>
    <w:rPr>
      <w:vertAlign w:val="superscript"/>
    </w:rPr>
  </w:style>
  <w:style w:type="paragraph" w:customStyle="1" w:styleId="Text1">
    <w:name w:val="Text 1"/>
    <w:basedOn w:val="Normal"/>
    <w:link w:val="Text1Char"/>
    <w:rsid w:val="00BA4A68"/>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sid w:val="00BA4A68"/>
    <w:rPr>
      <w:rFonts w:ascii="Times New Roman" w:eastAsia="Times New Roman" w:hAnsi="Times New Roman" w:cs="Times New Roman"/>
      <w:sz w:val="24"/>
      <w:szCs w:val="20"/>
      <w:lang w:val="ro-RO"/>
    </w:rPr>
  </w:style>
  <w:style w:type="paragraph" w:styleId="NoSpacing">
    <w:name w:val="No Spacing"/>
    <w:basedOn w:val="Normal"/>
    <w:link w:val="NoSpacingChar"/>
    <w:qFormat/>
    <w:rsid w:val="00A55979"/>
    <w:pPr>
      <w:spacing w:after="0" w:line="300" w:lineRule="auto"/>
    </w:pPr>
    <w:rPr>
      <w:rFonts w:eastAsiaTheme="minorEastAsia"/>
      <w:sz w:val="24"/>
      <w:szCs w:val="24"/>
    </w:rPr>
  </w:style>
  <w:style w:type="character" w:customStyle="1" w:styleId="NoSpacingChar">
    <w:name w:val="No Spacing Char"/>
    <w:basedOn w:val="DefaultParagraphFont"/>
    <w:link w:val="NoSpacing"/>
    <w:rsid w:val="00A55979"/>
    <w:rPr>
      <w:rFonts w:eastAsiaTheme="minorEastAsia"/>
      <w:sz w:val="24"/>
      <w:szCs w:val="24"/>
      <w:lang w:val="ro-RO"/>
    </w:rPr>
  </w:style>
  <w:style w:type="character" w:customStyle="1" w:styleId="Heading3Char">
    <w:name w:val="Heading 3 Char"/>
    <w:aliases w:val="Ü3 Char"/>
    <w:basedOn w:val="DefaultParagraphFont"/>
    <w:link w:val="Heading3"/>
    <w:uiPriority w:val="2"/>
    <w:rsid w:val="00A55979"/>
    <w:rPr>
      <w:rFonts w:asciiTheme="majorHAnsi" w:eastAsiaTheme="minorEastAsia" w:hAnsiTheme="majorHAnsi"/>
      <w:b/>
      <w:bCs/>
      <w:sz w:val="25"/>
      <w:lang w:val="ro-RO"/>
    </w:rPr>
  </w:style>
  <w:style w:type="character" w:customStyle="1" w:styleId="Heading2Char">
    <w:name w:val="Heading 2 Char"/>
    <w:basedOn w:val="DefaultParagraphFont"/>
    <w:link w:val="Heading2"/>
    <w:uiPriority w:val="9"/>
    <w:semiHidden/>
    <w:rsid w:val="00A5597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74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08C6"/>
    <w:pPr>
      <w:spacing w:after="0" w:line="240" w:lineRule="auto"/>
    </w:pPr>
  </w:style>
  <w:style w:type="paragraph" w:styleId="NormalWeb">
    <w:name w:val="Normal (Web)"/>
    <w:basedOn w:val="Normal"/>
    <w:uiPriority w:val="99"/>
    <w:semiHidden/>
    <w:unhideWhenUsed/>
    <w:rsid w:val="0019258A"/>
    <w:pPr>
      <w:spacing w:before="100" w:beforeAutospacing="1" w:after="100" w:afterAutospacing="1" w:line="240" w:lineRule="auto"/>
    </w:pPr>
    <w:rPr>
      <w:rFonts w:ascii="Times New Roman" w:hAnsi="Times New Roman" w:cs="Times New Roman"/>
      <w:sz w:val="24"/>
      <w:szCs w:val="24"/>
      <w:lang w:eastAsia="en-IE"/>
    </w:rPr>
  </w:style>
  <w:style w:type="character" w:styleId="Strong">
    <w:name w:val="Strong"/>
    <w:basedOn w:val="DefaultParagraphFont"/>
    <w:uiPriority w:val="22"/>
    <w:qFormat/>
    <w:rsid w:val="0019258A"/>
    <w:rPr>
      <w:b/>
      <w:bCs/>
    </w:rPr>
  </w:style>
  <w:style w:type="character" w:customStyle="1" w:styleId="UnresolvedMention1">
    <w:name w:val="Unresolved Mention1"/>
    <w:basedOn w:val="DefaultParagraphFont"/>
    <w:uiPriority w:val="99"/>
    <w:semiHidden/>
    <w:unhideWhenUsed/>
    <w:rsid w:val="00114D37"/>
    <w:rPr>
      <w:color w:val="605E5C"/>
      <w:shd w:val="clear" w:color="auto" w:fill="E1DFDD"/>
    </w:rPr>
  </w:style>
  <w:style w:type="character" w:customStyle="1" w:styleId="UnresolvedMention">
    <w:name w:val="Unresolved Mention"/>
    <w:basedOn w:val="DefaultParagraphFont"/>
    <w:uiPriority w:val="99"/>
    <w:semiHidden/>
    <w:unhideWhenUsed/>
    <w:rsid w:val="0051328E"/>
    <w:rPr>
      <w:color w:val="605E5C"/>
      <w:shd w:val="clear" w:color="auto" w:fill="E1DFDD"/>
    </w:rPr>
  </w:style>
  <w:style w:type="character" w:customStyle="1" w:styleId="eop">
    <w:name w:val="eop"/>
    <w:basedOn w:val="DefaultParagraphFont"/>
    <w:rsid w:val="001829B8"/>
  </w:style>
  <w:style w:type="character" w:customStyle="1" w:styleId="Mention">
    <w:name w:val="Mention"/>
    <w:basedOn w:val="DefaultParagraphFont"/>
    <w:uiPriority w:val="99"/>
    <w:unhideWhenUsed/>
    <w:rsid w:val="00D23ED3"/>
    <w:rPr>
      <w:color w:val="2B579A"/>
      <w:shd w:val="clear" w:color="auto" w:fill="E1DFDD"/>
    </w:rPr>
  </w:style>
  <w:style w:type="paragraph" w:customStyle="1" w:styleId="paragraph">
    <w:name w:val="paragraph"/>
    <w:basedOn w:val="Normal"/>
    <w:rsid w:val="00FC78B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harCharChar1">
    <w:name w:val="Char Char Char1"/>
    <w:basedOn w:val="Normal"/>
    <w:uiPriority w:val="99"/>
    <w:rsid w:val="00FC78B9"/>
    <w:pPr>
      <w:spacing w:line="240" w:lineRule="exact"/>
      <w:jc w:val="both"/>
    </w:pPr>
    <w:rPr>
      <w:rFonts w:ascii="Times New Roman" w:eastAsia="Times New Roman" w:hAnsi="Times New Roman" w:cs="Times New Roman"/>
      <w:sz w:val="20"/>
      <w:szCs w:val="20"/>
      <w:vertAlign w:val="superscript"/>
      <w:lang w:eastAsia="en-IE"/>
    </w:rPr>
  </w:style>
  <w:style w:type="table" w:styleId="GridTable1Light">
    <w:name w:val="Grid Table 1 Light"/>
    <w:basedOn w:val="TableNormal"/>
    <w:uiPriority w:val="46"/>
    <w:rsid w:val="00532ED3"/>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C019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199C"/>
    <w:rPr>
      <w:sz w:val="20"/>
      <w:szCs w:val="20"/>
    </w:rPr>
  </w:style>
  <w:style w:type="character" w:styleId="EndnoteReference">
    <w:name w:val="endnote reference"/>
    <w:basedOn w:val="DefaultParagraphFont"/>
    <w:uiPriority w:val="99"/>
    <w:semiHidden/>
    <w:unhideWhenUsed/>
    <w:rsid w:val="00C0199C"/>
    <w:rPr>
      <w:vertAlign w:val="superscript"/>
    </w:rPr>
  </w:style>
  <w:style w:type="paragraph" w:customStyle="1" w:styleId="Languesfaisantfoi">
    <w:name w:val="Langues faisant foi"/>
    <w:basedOn w:val="Normal"/>
    <w:next w:val="Normal"/>
    <w:rsid w:val="00CA1C2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CA1C2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CA1C29"/>
    <w:pPr>
      <w:spacing w:after="0"/>
    </w:pPr>
  </w:style>
  <w:style w:type="paragraph" w:customStyle="1" w:styleId="IntrtEEEPagedecouverture">
    <w:name w:val="Intérêt EEE (Page de couverture)"/>
    <w:basedOn w:val="IntrtEEE"/>
    <w:next w:val="Normal"/>
    <w:rsid w:val="00CA1C2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24EA0"/>
    <w:pPr>
      <w:spacing w:afterLines="80" w:after="192"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18268">
      <w:bodyDiv w:val="1"/>
      <w:marLeft w:val="0"/>
      <w:marRight w:val="0"/>
      <w:marTop w:val="0"/>
      <w:marBottom w:val="0"/>
      <w:divBdr>
        <w:top w:val="none" w:sz="0" w:space="0" w:color="auto"/>
        <w:left w:val="none" w:sz="0" w:space="0" w:color="auto"/>
        <w:bottom w:val="none" w:sz="0" w:space="0" w:color="auto"/>
        <w:right w:val="none" w:sz="0" w:space="0" w:color="auto"/>
      </w:divBdr>
    </w:div>
    <w:div w:id="101917801">
      <w:bodyDiv w:val="1"/>
      <w:marLeft w:val="0"/>
      <w:marRight w:val="0"/>
      <w:marTop w:val="0"/>
      <w:marBottom w:val="0"/>
      <w:divBdr>
        <w:top w:val="none" w:sz="0" w:space="0" w:color="auto"/>
        <w:left w:val="none" w:sz="0" w:space="0" w:color="auto"/>
        <w:bottom w:val="none" w:sz="0" w:space="0" w:color="auto"/>
        <w:right w:val="none" w:sz="0" w:space="0" w:color="auto"/>
      </w:divBdr>
    </w:div>
    <w:div w:id="112984519">
      <w:bodyDiv w:val="1"/>
      <w:marLeft w:val="0"/>
      <w:marRight w:val="0"/>
      <w:marTop w:val="0"/>
      <w:marBottom w:val="0"/>
      <w:divBdr>
        <w:top w:val="none" w:sz="0" w:space="0" w:color="auto"/>
        <w:left w:val="none" w:sz="0" w:space="0" w:color="auto"/>
        <w:bottom w:val="none" w:sz="0" w:space="0" w:color="auto"/>
        <w:right w:val="none" w:sz="0" w:space="0" w:color="auto"/>
      </w:divBdr>
    </w:div>
    <w:div w:id="158078187">
      <w:bodyDiv w:val="1"/>
      <w:marLeft w:val="0"/>
      <w:marRight w:val="0"/>
      <w:marTop w:val="0"/>
      <w:marBottom w:val="0"/>
      <w:divBdr>
        <w:top w:val="none" w:sz="0" w:space="0" w:color="auto"/>
        <w:left w:val="none" w:sz="0" w:space="0" w:color="auto"/>
        <w:bottom w:val="none" w:sz="0" w:space="0" w:color="auto"/>
        <w:right w:val="none" w:sz="0" w:space="0" w:color="auto"/>
      </w:divBdr>
    </w:div>
    <w:div w:id="180052352">
      <w:bodyDiv w:val="1"/>
      <w:marLeft w:val="0"/>
      <w:marRight w:val="0"/>
      <w:marTop w:val="0"/>
      <w:marBottom w:val="0"/>
      <w:divBdr>
        <w:top w:val="none" w:sz="0" w:space="0" w:color="auto"/>
        <w:left w:val="none" w:sz="0" w:space="0" w:color="auto"/>
        <w:bottom w:val="none" w:sz="0" w:space="0" w:color="auto"/>
        <w:right w:val="none" w:sz="0" w:space="0" w:color="auto"/>
      </w:divBdr>
    </w:div>
    <w:div w:id="186215982">
      <w:bodyDiv w:val="1"/>
      <w:marLeft w:val="0"/>
      <w:marRight w:val="0"/>
      <w:marTop w:val="0"/>
      <w:marBottom w:val="0"/>
      <w:divBdr>
        <w:top w:val="none" w:sz="0" w:space="0" w:color="auto"/>
        <w:left w:val="none" w:sz="0" w:space="0" w:color="auto"/>
        <w:bottom w:val="none" w:sz="0" w:space="0" w:color="auto"/>
        <w:right w:val="none" w:sz="0" w:space="0" w:color="auto"/>
      </w:divBdr>
    </w:div>
    <w:div w:id="226958090">
      <w:bodyDiv w:val="1"/>
      <w:marLeft w:val="0"/>
      <w:marRight w:val="0"/>
      <w:marTop w:val="0"/>
      <w:marBottom w:val="0"/>
      <w:divBdr>
        <w:top w:val="none" w:sz="0" w:space="0" w:color="auto"/>
        <w:left w:val="none" w:sz="0" w:space="0" w:color="auto"/>
        <w:bottom w:val="none" w:sz="0" w:space="0" w:color="auto"/>
        <w:right w:val="none" w:sz="0" w:space="0" w:color="auto"/>
      </w:divBdr>
    </w:div>
    <w:div w:id="253591198">
      <w:bodyDiv w:val="1"/>
      <w:marLeft w:val="0"/>
      <w:marRight w:val="0"/>
      <w:marTop w:val="0"/>
      <w:marBottom w:val="0"/>
      <w:divBdr>
        <w:top w:val="none" w:sz="0" w:space="0" w:color="auto"/>
        <w:left w:val="none" w:sz="0" w:space="0" w:color="auto"/>
        <w:bottom w:val="none" w:sz="0" w:space="0" w:color="auto"/>
        <w:right w:val="none" w:sz="0" w:space="0" w:color="auto"/>
      </w:divBdr>
    </w:div>
    <w:div w:id="256519698">
      <w:bodyDiv w:val="1"/>
      <w:marLeft w:val="0"/>
      <w:marRight w:val="0"/>
      <w:marTop w:val="0"/>
      <w:marBottom w:val="0"/>
      <w:divBdr>
        <w:top w:val="none" w:sz="0" w:space="0" w:color="auto"/>
        <w:left w:val="none" w:sz="0" w:space="0" w:color="auto"/>
        <w:bottom w:val="none" w:sz="0" w:space="0" w:color="auto"/>
        <w:right w:val="none" w:sz="0" w:space="0" w:color="auto"/>
      </w:divBdr>
    </w:div>
    <w:div w:id="295718616">
      <w:bodyDiv w:val="1"/>
      <w:marLeft w:val="0"/>
      <w:marRight w:val="0"/>
      <w:marTop w:val="0"/>
      <w:marBottom w:val="0"/>
      <w:divBdr>
        <w:top w:val="none" w:sz="0" w:space="0" w:color="auto"/>
        <w:left w:val="none" w:sz="0" w:space="0" w:color="auto"/>
        <w:bottom w:val="none" w:sz="0" w:space="0" w:color="auto"/>
        <w:right w:val="none" w:sz="0" w:space="0" w:color="auto"/>
      </w:divBdr>
      <w:divsChild>
        <w:div w:id="260139077">
          <w:marLeft w:val="806"/>
          <w:marRight w:val="0"/>
          <w:marTop w:val="0"/>
          <w:marBottom w:val="240"/>
          <w:divBdr>
            <w:top w:val="none" w:sz="0" w:space="0" w:color="auto"/>
            <w:left w:val="none" w:sz="0" w:space="0" w:color="auto"/>
            <w:bottom w:val="none" w:sz="0" w:space="0" w:color="auto"/>
            <w:right w:val="none" w:sz="0" w:space="0" w:color="auto"/>
          </w:divBdr>
        </w:div>
        <w:div w:id="552161997">
          <w:marLeft w:val="806"/>
          <w:marRight w:val="0"/>
          <w:marTop w:val="0"/>
          <w:marBottom w:val="240"/>
          <w:divBdr>
            <w:top w:val="none" w:sz="0" w:space="0" w:color="auto"/>
            <w:left w:val="none" w:sz="0" w:space="0" w:color="auto"/>
            <w:bottom w:val="none" w:sz="0" w:space="0" w:color="auto"/>
            <w:right w:val="none" w:sz="0" w:space="0" w:color="auto"/>
          </w:divBdr>
        </w:div>
        <w:div w:id="1107121695">
          <w:marLeft w:val="806"/>
          <w:marRight w:val="0"/>
          <w:marTop w:val="0"/>
          <w:marBottom w:val="240"/>
          <w:divBdr>
            <w:top w:val="none" w:sz="0" w:space="0" w:color="auto"/>
            <w:left w:val="none" w:sz="0" w:space="0" w:color="auto"/>
            <w:bottom w:val="none" w:sz="0" w:space="0" w:color="auto"/>
            <w:right w:val="none" w:sz="0" w:space="0" w:color="auto"/>
          </w:divBdr>
        </w:div>
      </w:divsChild>
    </w:div>
    <w:div w:id="322851996">
      <w:bodyDiv w:val="1"/>
      <w:marLeft w:val="0"/>
      <w:marRight w:val="0"/>
      <w:marTop w:val="0"/>
      <w:marBottom w:val="0"/>
      <w:divBdr>
        <w:top w:val="none" w:sz="0" w:space="0" w:color="auto"/>
        <w:left w:val="none" w:sz="0" w:space="0" w:color="auto"/>
        <w:bottom w:val="none" w:sz="0" w:space="0" w:color="auto"/>
        <w:right w:val="none" w:sz="0" w:space="0" w:color="auto"/>
      </w:divBdr>
    </w:div>
    <w:div w:id="344326761">
      <w:bodyDiv w:val="1"/>
      <w:marLeft w:val="0"/>
      <w:marRight w:val="0"/>
      <w:marTop w:val="0"/>
      <w:marBottom w:val="0"/>
      <w:divBdr>
        <w:top w:val="none" w:sz="0" w:space="0" w:color="auto"/>
        <w:left w:val="none" w:sz="0" w:space="0" w:color="auto"/>
        <w:bottom w:val="none" w:sz="0" w:space="0" w:color="auto"/>
        <w:right w:val="none" w:sz="0" w:space="0" w:color="auto"/>
      </w:divBdr>
    </w:div>
    <w:div w:id="350188201">
      <w:bodyDiv w:val="1"/>
      <w:marLeft w:val="0"/>
      <w:marRight w:val="0"/>
      <w:marTop w:val="0"/>
      <w:marBottom w:val="0"/>
      <w:divBdr>
        <w:top w:val="none" w:sz="0" w:space="0" w:color="auto"/>
        <w:left w:val="none" w:sz="0" w:space="0" w:color="auto"/>
        <w:bottom w:val="none" w:sz="0" w:space="0" w:color="auto"/>
        <w:right w:val="none" w:sz="0" w:space="0" w:color="auto"/>
      </w:divBdr>
    </w:div>
    <w:div w:id="358317551">
      <w:bodyDiv w:val="1"/>
      <w:marLeft w:val="0"/>
      <w:marRight w:val="0"/>
      <w:marTop w:val="0"/>
      <w:marBottom w:val="0"/>
      <w:divBdr>
        <w:top w:val="none" w:sz="0" w:space="0" w:color="auto"/>
        <w:left w:val="none" w:sz="0" w:space="0" w:color="auto"/>
        <w:bottom w:val="none" w:sz="0" w:space="0" w:color="auto"/>
        <w:right w:val="none" w:sz="0" w:space="0" w:color="auto"/>
      </w:divBdr>
    </w:div>
    <w:div w:id="497497014">
      <w:bodyDiv w:val="1"/>
      <w:marLeft w:val="0"/>
      <w:marRight w:val="0"/>
      <w:marTop w:val="0"/>
      <w:marBottom w:val="0"/>
      <w:divBdr>
        <w:top w:val="none" w:sz="0" w:space="0" w:color="auto"/>
        <w:left w:val="none" w:sz="0" w:space="0" w:color="auto"/>
        <w:bottom w:val="none" w:sz="0" w:space="0" w:color="auto"/>
        <w:right w:val="none" w:sz="0" w:space="0" w:color="auto"/>
      </w:divBdr>
    </w:div>
    <w:div w:id="513542686">
      <w:bodyDiv w:val="1"/>
      <w:marLeft w:val="0"/>
      <w:marRight w:val="0"/>
      <w:marTop w:val="0"/>
      <w:marBottom w:val="0"/>
      <w:divBdr>
        <w:top w:val="none" w:sz="0" w:space="0" w:color="auto"/>
        <w:left w:val="none" w:sz="0" w:space="0" w:color="auto"/>
        <w:bottom w:val="none" w:sz="0" w:space="0" w:color="auto"/>
        <w:right w:val="none" w:sz="0" w:space="0" w:color="auto"/>
      </w:divBdr>
    </w:div>
    <w:div w:id="522548224">
      <w:bodyDiv w:val="1"/>
      <w:marLeft w:val="0"/>
      <w:marRight w:val="0"/>
      <w:marTop w:val="0"/>
      <w:marBottom w:val="0"/>
      <w:divBdr>
        <w:top w:val="none" w:sz="0" w:space="0" w:color="auto"/>
        <w:left w:val="none" w:sz="0" w:space="0" w:color="auto"/>
        <w:bottom w:val="none" w:sz="0" w:space="0" w:color="auto"/>
        <w:right w:val="none" w:sz="0" w:space="0" w:color="auto"/>
      </w:divBdr>
    </w:div>
    <w:div w:id="541752998">
      <w:bodyDiv w:val="1"/>
      <w:marLeft w:val="0"/>
      <w:marRight w:val="0"/>
      <w:marTop w:val="0"/>
      <w:marBottom w:val="0"/>
      <w:divBdr>
        <w:top w:val="none" w:sz="0" w:space="0" w:color="auto"/>
        <w:left w:val="none" w:sz="0" w:space="0" w:color="auto"/>
        <w:bottom w:val="none" w:sz="0" w:space="0" w:color="auto"/>
        <w:right w:val="none" w:sz="0" w:space="0" w:color="auto"/>
      </w:divBdr>
      <w:divsChild>
        <w:div w:id="637302412">
          <w:marLeft w:val="0"/>
          <w:marRight w:val="0"/>
          <w:marTop w:val="0"/>
          <w:marBottom w:val="360"/>
          <w:divBdr>
            <w:top w:val="none" w:sz="0" w:space="0" w:color="auto"/>
            <w:left w:val="none" w:sz="0" w:space="0" w:color="auto"/>
            <w:bottom w:val="none" w:sz="0" w:space="0" w:color="auto"/>
            <w:right w:val="none" w:sz="0" w:space="0" w:color="auto"/>
          </w:divBdr>
        </w:div>
        <w:div w:id="1991594217">
          <w:marLeft w:val="0"/>
          <w:marRight w:val="0"/>
          <w:marTop w:val="0"/>
          <w:marBottom w:val="0"/>
          <w:divBdr>
            <w:top w:val="none" w:sz="0" w:space="0" w:color="auto"/>
            <w:left w:val="none" w:sz="0" w:space="0" w:color="auto"/>
            <w:bottom w:val="none" w:sz="0" w:space="0" w:color="auto"/>
            <w:right w:val="none" w:sz="0" w:space="0" w:color="auto"/>
          </w:divBdr>
        </w:div>
      </w:divsChild>
    </w:div>
    <w:div w:id="550116503">
      <w:bodyDiv w:val="1"/>
      <w:marLeft w:val="0"/>
      <w:marRight w:val="0"/>
      <w:marTop w:val="0"/>
      <w:marBottom w:val="0"/>
      <w:divBdr>
        <w:top w:val="none" w:sz="0" w:space="0" w:color="auto"/>
        <w:left w:val="none" w:sz="0" w:space="0" w:color="auto"/>
        <w:bottom w:val="none" w:sz="0" w:space="0" w:color="auto"/>
        <w:right w:val="none" w:sz="0" w:space="0" w:color="auto"/>
      </w:divBdr>
    </w:div>
    <w:div w:id="561061348">
      <w:bodyDiv w:val="1"/>
      <w:marLeft w:val="0"/>
      <w:marRight w:val="0"/>
      <w:marTop w:val="0"/>
      <w:marBottom w:val="0"/>
      <w:divBdr>
        <w:top w:val="none" w:sz="0" w:space="0" w:color="auto"/>
        <w:left w:val="none" w:sz="0" w:space="0" w:color="auto"/>
        <w:bottom w:val="none" w:sz="0" w:space="0" w:color="auto"/>
        <w:right w:val="none" w:sz="0" w:space="0" w:color="auto"/>
      </w:divBdr>
      <w:divsChild>
        <w:div w:id="1314529560">
          <w:marLeft w:val="0"/>
          <w:marRight w:val="0"/>
          <w:marTop w:val="0"/>
          <w:marBottom w:val="0"/>
          <w:divBdr>
            <w:top w:val="none" w:sz="0" w:space="0" w:color="auto"/>
            <w:left w:val="none" w:sz="0" w:space="0" w:color="auto"/>
            <w:bottom w:val="none" w:sz="0" w:space="0" w:color="auto"/>
            <w:right w:val="none" w:sz="0" w:space="0" w:color="auto"/>
          </w:divBdr>
        </w:div>
        <w:div w:id="2103799311">
          <w:marLeft w:val="0"/>
          <w:marRight w:val="0"/>
          <w:marTop w:val="0"/>
          <w:marBottom w:val="360"/>
          <w:divBdr>
            <w:top w:val="none" w:sz="0" w:space="0" w:color="auto"/>
            <w:left w:val="none" w:sz="0" w:space="0" w:color="auto"/>
            <w:bottom w:val="none" w:sz="0" w:space="0" w:color="auto"/>
            <w:right w:val="none" w:sz="0" w:space="0" w:color="auto"/>
          </w:divBdr>
        </w:div>
      </w:divsChild>
    </w:div>
    <w:div w:id="566721592">
      <w:bodyDiv w:val="1"/>
      <w:marLeft w:val="0"/>
      <w:marRight w:val="0"/>
      <w:marTop w:val="0"/>
      <w:marBottom w:val="0"/>
      <w:divBdr>
        <w:top w:val="none" w:sz="0" w:space="0" w:color="auto"/>
        <w:left w:val="none" w:sz="0" w:space="0" w:color="auto"/>
        <w:bottom w:val="none" w:sz="0" w:space="0" w:color="auto"/>
        <w:right w:val="none" w:sz="0" w:space="0" w:color="auto"/>
      </w:divBdr>
    </w:div>
    <w:div w:id="595747044">
      <w:bodyDiv w:val="1"/>
      <w:marLeft w:val="0"/>
      <w:marRight w:val="0"/>
      <w:marTop w:val="0"/>
      <w:marBottom w:val="0"/>
      <w:divBdr>
        <w:top w:val="none" w:sz="0" w:space="0" w:color="auto"/>
        <w:left w:val="none" w:sz="0" w:space="0" w:color="auto"/>
        <w:bottom w:val="none" w:sz="0" w:space="0" w:color="auto"/>
        <w:right w:val="none" w:sz="0" w:space="0" w:color="auto"/>
      </w:divBdr>
    </w:div>
    <w:div w:id="602568627">
      <w:bodyDiv w:val="1"/>
      <w:marLeft w:val="0"/>
      <w:marRight w:val="0"/>
      <w:marTop w:val="0"/>
      <w:marBottom w:val="0"/>
      <w:divBdr>
        <w:top w:val="none" w:sz="0" w:space="0" w:color="auto"/>
        <w:left w:val="none" w:sz="0" w:space="0" w:color="auto"/>
        <w:bottom w:val="none" w:sz="0" w:space="0" w:color="auto"/>
        <w:right w:val="none" w:sz="0" w:space="0" w:color="auto"/>
      </w:divBdr>
    </w:div>
    <w:div w:id="607156421">
      <w:bodyDiv w:val="1"/>
      <w:marLeft w:val="0"/>
      <w:marRight w:val="0"/>
      <w:marTop w:val="0"/>
      <w:marBottom w:val="0"/>
      <w:divBdr>
        <w:top w:val="none" w:sz="0" w:space="0" w:color="auto"/>
        <w:left w:val="none" w:sz="0" w:space="0" w:color="auto"/>
        <w:bottom w:val="none" w:sz="0" w:space="0" w:color="auto"/>
        <w:right w:val="none" w:sz="0" w:space="0" w:color="auto"/>
      </w:divBdr>
    </w:div>
    <w:div w:id="664817450">
      <w:bodyDiv w:val="1"/>
      <w:marLeft w:val="0"/>
      <w:marRight w:val="0"/>
      <w:marTop w:val="0"/>
      <w:marBottom w:val="0"/>
      <w:divBdr>
        <w:top w:val="none" w:sz="0" w:space="0" w:color="auto"/>
        <w:left w:val="none" w:sz="0" w:space="0" w:color="auto"/>
        <w:bottom w:val="none" w:sz="0" w:space="0" w:color="auto"/>
        <w:right w:val="none" w:sz="0" w:space="0" w:color="auto"/>
      </w:divBdr>
    </w:div>
    <w:div w:id="664941740">
      <w:bodyDiv w:val="1"/>
      <w:marLeft w:val="0"/>
      <w:marRight w:val="0"/>
      <w:marTop w:val="0"/>
      <w:marBottom w:val="0"/>
      <w:divBdr>
        <w:top w:val="none" w:sz="0" w:space="0" w:color="auto"/>
        <w:left w:val="none" w:sz="0" w:space="0" w:color="auto"/>
        <w:bottom w:val="none" w:sz="0" w:space="0" w:color="auto"/>
        <w:right w:val="none" w:sz="0" w:space="0" w:color="auto"/>
      </w:divBdr>
    </w:div>
    <w:div w:id="718550902">
      <w:bodyDiv w:val="1"/>
      <w:marLeft w:val="0"/>
      <w:marRight w:val="0"/>
      <w:marTop w:val="0"/>
      <w:marBottom w:val="0"/>
      <w:divBdr>
        <w:top w:val="none" w:sz="0" w:space="0" w:color="auto"/>
        <w:left w:val="none" w:sz="0" w:space="0" w:color="auto"/>
        <w:bottom w:val="none" w:sz="0" w:space="0" w:color="auto"/>
        <w:right w:val="none" w:sz="0" w:space="0" w:color="auto"/>
      </w:divBdr>
    </w:div>
    <w:div w:id="723142663">
      <w:bodyDiv w:val="1"/>
      <w:marLeft w:val="0"/>
      <w:marRight w:val="0"/>
      <w:marTop w:val="0"/>
      <w:marBottom w:val="0"/>
      <w:divBdr>
        <w:top w:val="none" w:sz="0" w:space="0" w:color="auto"/>
        <w:left w:val="none" w:sz="0" w:space="0" w:color="auto"/>
        <w:bottom w:val="none" w:sz="0" w:space="0" w:color="auto"/>
        <w:right w:val="none" w:sz="0" w:space="0" w:color="auto"/>
      </w:divBdr>
    </w:div>
    <w:div w:id="798717654">
      <w:bodyDiv w:val="1"/>
      <w:marLeft w:val="0"/>
      <w:marRight w:val="0"/>
      <w:marTop w:val="0"/>
      <w:marBottom w:val="0"/>
      <w:divBdr>
        <w:top w:val="none" w:sz="0" w:space="0" w:color="auto"/>
        <w:left w:val="none" w:sz="0" w:space="0" w:color="auto"/>
        <w:bottom w:val="none" w:sz="0" w:space="0" w:color="auto"/>
        <w:right w:val="none" w:sz="0" w:space="0" w:color="auto"/>
      </w:divBdr>
    </w:div>
    <w:div w:id="811948292">
      <w:bodyDiv w:val="1"/>
      <w:marLeft w:val="0"/>
      <w:marRight w:val="0"/>
      <w:marTop w:val="0"/>
      <w:marBottom w:val="0"/>
      <w:divBdr>
        <w:top w:val="none" w:sz="0" w:space="0" w:color="auto"/>
        <w:left w:val="none" w:sz="0" w:space="0" w:color="auto"/>
        <w:bottom w:val="none" w:sz="0" w:space="0" w:color="auto"/>
        <w:right w:val="none" w:sz="0" w:space="0" w:color="auto"/>
      </w:divBdr>
    </w:div>
    <w:div w:id="834808900">
      <w:bodyDiv w:val="1"/>
      <w:marLeft w:val="0"/>
      <w:marRight w:val="0"/>
      <w:marTop w:val="0"/>
      <w:marBottom w:val="0"/>
      <w:divBdr>
        <w:top w:val="none" w:sz="0" w:space="0" w:color="auto"/>
        <w:left w:val="none" w:sz="0" w:space="0" w:color="auto"/>
        <w:bottom w:val="none" w:sz="0" w:space="0" w:color="auto"/>
        <w:right w:val="none" w:sz="0" w:space="0" w:color="auto"/>
      </w:divBdr>
    </w:div>
    <w:div w:id="853301326">
      <w:bodyDiv w:val="1"/>
      <w:marLeft w:val="0"/>
      <w:marRight w:val="0"/>
      <w:marTop w:val="0"/>
      <w:marBottom w:val="0"/>
      <w:divBdr>
        <w:top w:val="none" w:sz="0" w:space="0" w:color="auto"/>
        <w:left w:val="none" w:sz="0" w:space="0" w:color="auto"/>
        <w:bottom w:val="none" w:sz="0" w:space="0" w:color="auto"/>
        <w:right w:val="none" w:sz="0" w:space="0" w:color="auto"/>
      </w:divBdr>
    </w:div>
    <w:div w:id="857624372">
      <w:bodyDiv w:val="1"/>
      <w:marLeft w:val="0"/>
      <w:marRight w:val="0"/>
      <w:marTop w:val="0"/>
      <w:marBottom w:val="0"/>
      <w:divBdr>
        <w:top w:val="none" w:sz="0" w:space="0" w:color="auto"/>
        <w:left w:val="none" w:sz="0" w:space="0" w:color="auto"/>
        <w:bottom w:val="none" w:sz="0" w:space="0" w:color="auto"/>
        <w:right w:val="none" w:sz="0" w:space="0" w:color="auto"/>
      </w:divBdr>
    </w:div>
    <w:div w:id="974917727">
      <w:bodyDiv w:val="1"/>
      <w:marLeft w:val="0"/>
      <w:marRight w:val="0"/>
      <w:marTop w:val="0"/>
      <w:marBottom w:val="0"/>
      <w:divBdr>
        <w:top w:val="none" w:sz="0" w:space="0" w:color="auto"/>
        <w:left w:val="none" w:sz="0" w:space="0" w:color="auto"/>
        <w:bottom w:val="none" w:sz="0" w:space="0" w:color="auto"/>
        <w:right w:val="none" w:sz="0" w:space="0" w:color="auto"/>
      </w:divBdr>
    </w:div>
    <w:div w:id="991249937">
      <w:bodyDiv w:val="1"/>
      <w:marLeft w:val="0"/>
      <w:marRight w:val="0"/>
      <w:marTop w:val="0"/>
      <w:marBottom w:val="0"/>
      <w:divBdr>
        <w:top w:val="none" w:sz="0" w:space="0" w:color="auto"/>
        <w:left w:val="none" w:sz="0" w:space="0" w:color="auto"/>
        <w:bottom w:val="none" w:sz="0" w:space="0" w:color="auto"/>
        <w:right w:val="none" w:sz="0" w:space="0" w:color="auto"/>
      </w:divBdr>
    </w:div>
    <w:div w:id="1001813820">
      <w:bodyDiv w:val="1"/>
      <w:marLeft w:val="0"/>
      <w:marRight w:val="0"/>
      <w:marTop w:val="0"/>
      <w:marBottom w:val="0"/>
      <w:divBdr>
        <w:top w:val="none" w:sz="0" w:space="0" w:color="auto"/>
        <w:left w:val="none" w:sz="0" w:space="0" w:color="auto"/>
        <w:bottom w:val="none" w:sz="0" w:space="0" w:color="auto"/>
        <w:right w:val="none" w:sz="0" w:space="0" w:color="auto"/>
      </w:divBdr>
    </w:div>
    <w:div w:id="1019548102">
      <w:bodyDiv w:val="1"/>
      <w:marLeft w:val="0"/>
      <w:marRight w:val="0"/>
      <w:marTop w:val="0"/>
      <w:marBottom w:val="0"/>
      <w:divBdr>
        <w:top w:val="none" w:sz="0" w:space="0" w:color="auto"/>
        <w:left w:val="none" w:sz="0" w:space="0" w:color="auto"/>
        <w:bottom w:val="none" w:sz="0" w:space="0" w:color="auto"/>
        <w:right w:val="none" w:sz="0" w:space="0" w:color="auto"/>
      </w:divBdr>
    </w:div>
    <w:div w:id="1041175798">
      <w:bodyDiv w:val="1"/>
      <w:marLeft w:val="0"/>
      <w:marRight w:val="0"/>
      <w:marTop w:val="0"/>
      <w:marBottom w:val="0"/>
      <w:divBdr>
        <w:top w:val="none" w:sz="0" w:space="0" w:color="auto"/>
        <w:left w:val="none" w:sz="0" w:space="0" w:color="auto"/>
        <w:bottom w:val="none" w:sz="0" w:space="0" w:color="auto"/>
        <w:right w:val="none" w:sz="0" w:space="0" w:color="auto"/>
      </w:divBdr>
    </w:div>
    <w:div w:id="1051542330">
      <w:bodyDiv w:val="1"/>
      <w:marLeft w:val="0"/>
      <w:marRight w:val="0"/>
      <w:marTop w:val="0"/>
      <w:marBottom w:val="0"/>
      <w:divBdr>
        <w:top w:val="none" w:sz="0" w:space="0" w:color="auto"/>
        <w:left w:val="none" w:sz="0" w:space="0" w:color="auto"/>
        <w:bottom w:val="none" w:sz="0" w:space="0" w:color="auto"/>
        <w:right w:val="none" w:sz="0" w:space="0" w:color="auto"/>
      </w:divBdr>
    </w:div>
    <w:div w:id="1053458170">
      <w:bodyDiv w:val="1"/>
      <w:marLeft w:val="0"/>
      <w:marRight w:val="0"/>
      <w:marTop w:val="0"/>
      <w:marBottom w:val="0"/>
      <w:divBdr>
        <w:top w:val="none" w:sz="0" w:space="0" w:color="auto"/>
        <w:left w:val="none" w:sz="0" w:space="0" w:color="auto"/>
        <w:bottom w:val="none" w:sz="0" w:space="0" w:color="auto"/>
        <w:right w:val="none" w:sz="0" w:space="0" w:color="auto"/>
      </w:divBdr>
    </w:div>
    <w:div w:id="1170604092">
      <w:bodyDiv w:val="1"/>
      <w:marLeft w:val="0"/>
      <w:marRight w:val="0"/>
      <w:marTop w:val="0"/>
      <w:marBottom w:val="0"/>
      <w:divBdr>
        <w:top w:val="none" w:sz="0" w:space="0" w:color="auto"/>
        <w:left w:val="none" w:sz="0" w:space="0" w:color="auto"/>
        <w:bottom w:val="none" w:sz="0" w:space="0" w:color="auto"/>
        <w:right w:val="none" w:sz="0" w:space="0" w:color="auto"/>
      </w:divBdr>
    </w:div>
    <w:div w:id="1248534764">
      <w:bodyDiv w:val="1"/>
      <w:marLeft w:val="0"/>
      <w:marRight w:val="0"/>
      <w:marTop w:val="0"/>
      <w:marBottom w:val="0"/>
      <w:divBdr>
        <w:top w:val="none" w:sz="0" w:space="0" w:color="auto"/>
        <w:left w:val="none" w:sz="0" w:space="0" w:color="auto"/>
        <w:bottom w:val="none" w:sz="0" w:space="0" w:color="auto"/>
        <w:right w:val="none" w:sz="0" w:space="0" w:color="auto"/>
      </w:divBdr>
    </w:div>
    <w:div w:id="1256129717">
      <w:bodyDiv w:val="1"/>
      <w:marLeft w:val="0"/>
      <w:marRight w:val="0"/>
      <w:marTop w:val="0"/>
      <w:marBottom w:val="0"/>
      <w:divBdr>
        <w:top w:val="none" w:sz="0" w:space="0" w:color="auto"/>
        <w:left w:val="none" w:sz="0" w:space="0" w:color="auto"/>
        <w:bottom w:val="none" w:sz="0" w:space="0" w:color="auto"/>
        <w:right w:val="none" w:sz="0" w:space="0" w:color="auto"/>
      </w:divBdr>
    </w:div>
    <w:div w:id="1288781089">
      <w:bodyDiv w:val="1"/>
      <w:marLeft w:val="0"/>
      <w:marRight w:val="0"/>
      <w:marTop w:val="0"/>
      <w:marBottom w:val="0"/>
      <w:divBdr>
        <w:top w:val="none" w:sz="0" w:space="0" w:color="auto"/>
        <w:left w:val="none" w:sz="0" w:space="0" w:color="auto"/>
        <w:bottom w:val="none" w:sz="0" w:space="0" w:color="auto"/>
        <w:right w:val="none" w:sz="0" w:space="0" w:color="auto"/>
      </w:divBdr>
    </w:div>
    <w:div w:id="1425951692">
      <w:bodyDiv w:val="1"/>
      <w:marLeft w:val="0"/>
      <w:marRight w:val="0"/>
      <w:marTop w:val="0"/>
      <w:marBottom w:val="0"/>
      <w:divBdr>
        <w:top w:val="none" w:sz="0" w:space="0" w:color="auto"/>
        <w:left w:val="none" w:sz="0" w:space="0" w:color="auto"/>
        <w:bottom w:val="none" w:sz="0" w:space="0" w:color="auto"/>
        <w:right w:val="none" w:sz="0" w:space="0" w:color="auto"/>
      </w:divBdr>
    </w:div>
    <w:div w:id="1466582690">
      <w:bodyDiv w:val="1"/>
      <w:marLeft w:val="0"/>
      <w:marRight w:val="0"/>
      <w:marTop w:val="0"/>
      <w:marBottom w:val="0"/>
      <w:divBdr>
        <w:top w:val="none" w:sz="0" w:space="0" w:color="auto"/>
        <w:left w:val="none" w:sz="0" w:space="0" w:color="auto"/>
        <w:bottom w:val="none" w:sz="0" w:space="0" w:color="auto"/>
        <w:right w:val="none" w:sz="0" w:space="0" w:color="auto"/>
      </w:divBdr>
    </w:div>
    <w:div w:id="1485318353">
      <w:bodyDiv w:val="1"/>
      <w:marLeft w:val="0"/>
      <w:marRight w:val="0"/>
      <w:marTop w:val="0"/>
      <w:marBottom w:val="0"/>
      <w:divBdr>
        <w:top w:val="none" w:sz="0" w:space="0" w:color="auto"/>
        <w:left w:val="none" w:sz="0" w:space="0" w:color="auto"/>
        <w:bottom w:val="none" w:sz="0" w:space="0" w:color="auto"/>
        <w:right w:val="none" w:sz="0" w:space="0" w:color="auto"/>
      </w:divBdr>
    </w:div>
    <w:div w:id="1520240789">
      <w:bodyDiv w:val="1"/>
      <w:marLeft w:val="0"/>
      <w:marRight w:val="0"/>
      <w:marTop w:val="0"/>
      <w:marBottom w:val="0"/>
      <w:divBdr>
        <w:top w:val="none" w:sz="0" w:space="0" w:color="auto"/>
        <w:left w:val="none" w:sz="0" w:space="0" w:color="auto"/>
        <w:bottom w:val="none" w:sz="0" w:space="0" w:color="auto"/>
        <w:right w:val="none" w:sz="0" w:space="0" w:color="auto"/>
      </w:divBdr>
    </w:div>
    <w:div w:id="1533227729">
      <w:bodyDiv w:val="1"/>
      <w:marLeft w:val="0"/>
      <w:marRight w:val="0"/>
      <w:marTop w:val="0"/>
      <w:marBottom w:val="0"/>
      <w:divBdr>
        <w:top w:val="none" w:sz="0" w:space="0" w:color="auto"/>
        <w:left w:val="none" w:sz="0" w:space="0" w:color="auto"/>
        <w:bottom w:val="none" w:sz="0" w:space="0" w:color="auto"/>
        <w:right w:val="none" w:sz="0" w:space="0" w:color="auto"/>
      </w:divBdr>
    </w:div>
    <w:div w:id="1535922015">
      <w:bodyDiv w:val="1"/>
      <w:marLeft w:val="0"/>
      <w:marRight w:val="0"/>
      <w:marTop w:val="0"/>
      <w:marBottom w:val="0"/>
      <w:divBdr>
        <w:top w:val="none" w:sz="0" w:space="0" w:color="auto"/>
        <w:left w:val="none" w:sz="0" w:space="0" w:color="auto"/>
        <w:bottom w:val="none" w:sz="0" w:space="0" w:color="auto"/>
        <w:right w:val="none" w:sz="0" w:space="0" w:color="auto"/>
      </w:divBdr>
    </w:div>
    <w:div w:id="1602183361">
      <w:bodyDiv w:val="1"/>
      <w:marLeft w:val="0"/>
      <w:marRight w:val="0"/>
      <w:marTop w:val="0"/>
      <w:marBottom w:val="0"/>
      <w:divBdr>
        <w:top w:val="none" w:sz="0" w:space="0" w:color="auto"/>
        <w:left w:val="none" w:sz="0" w:space="0" w:color="auto"/>
        <w:bottom w:val="none" w:sz="0" w:space="0" w:color="auto"/>
        <w:right w:val="none" w:sz="0" w:space="0" w:color="auto"/>
      </w:divBdr>
    </w:div>
    <w:div w:id="1641887886">
      <w:bodyDiv w:val="1"/>
      <w:marLeft w:val="0"/>
      <w:marRight w:val="0"/>
      <w:marTop w:val="0"/>
      <w:marBottom w:val="0"/>
      <w:divBdr>
        <w:top w:val="none" w:sz="0" w:space="0" w:color="auto"/>
        <w:left w:val="none" w:sz="0" w:space="0" w:color="auto"/>
        <w:bottom w:val="none" w:sz="0" w:space="0" w:color="auto"/>
        <w:right w:val="none" w:sz="0" w:space="0" w:color="auto"/>
      </w:divBdr>
    </w:div>
    <w:div w:id="1697539629">
      <w:bodyDiv w:val="1"/>
      <w:marLeft w:val="0"/>
      <w:marRight w:val="0"/>
      <w:marTop w:val="0"/>
      <w:marBottom w:val="0"/>
      <w:divBdr>
        <w:top w:val="none" w:sz="0" w:space="0" w:color="auto"/>
        <w:left w:val="none" w:sz="0" w:space="0" w:color="auto"/>
        <w:bottom w:val="none" w:sz="0" w:space="0" w:color="auto"/>
        <w:right w:val="none" w:sz="0" w:space="0" w:color="auto"/>
      </w:divBdr>
    </w:div>
    <w:div w:id="1763868363">
      <w:bodyDiv w:val="1"/>
      <w:marLeft w:val="0"/>
      <w:marRight w:val="0"/>
      <w:marTop w:val="0"/>
      <w:marBottom w:val="0"/>
      <w:divBdr>
        <w:top w:val="none" w:sz="0" w:space="0" w:color="auto"/>
        <w:left w:val="none" w:sz="0" w:space="0" w:color="auto"/>
        <w:bottom w:val="none" w:sz="0" w:space="0" w:color="auto"/>
        <w:right w:val="none" w:sz="0" w:space="0" w:color="auto"/>
      </w:divBdr>
    </w:div>
    <w:div w:id="1771313829">
      <w:bodyDiv w:val="1"/>
      <w:marLeft w:val="0"/>
      <w:marRight w:val="0"/>
      <w:marTop w:val="0"/>
      <w:marBottom w:val="0"/>
      <w:divBdr>
        <w:top w:val="none" w:sz="0" w:space="0" w:color="auto"/>
        <w:left w:val="none" w:sz="0" w:space="0" w:color="auto"/>
        <w:bottom w:val="none" w:sz="0" w:space="0" w:color="auto"/>
        <w:right w:val="none" w:sz="0" w:space="0" w:color="auto"/>
      </w:divBdr>
    </w:div>
    <w:div w:id="1789423197">
      <w:bodyDiv w:val="1"/>
      <w:marLeft w:val="0"/>
      <w:marRight w:val="0"/>
      <w:marTop w:val="0"/>
      <w:marBottom w:val="0"/>
      <w:divBdr>
        <w:top w:val="none" w:sz="0" w:space="0" w:color="auto"/>
        <w:left w:val="none" w:sz="0" w:space="0" w:color="auto"/>
        <w:bottom w:val="none" w:sz="0" w:space="0" w:color="auto"/>
        <w:right w:val="none" w:sz="0" w:space="0" w:color="auto"/>
      </w:divBdr>
    </w:div>
    <w:div w:id="1791513223">
      <w:bodyDiv w:val="1"/>
      <w:marLeft w:val="0"/>
      <w:marRight w:val="0"/>
      <w:marTop w:val="0"/>
      <w:marBottom w:val="0"/>
      <w:divBdr>
        <w:top w:val="none" w:sz="0" w:space="0" w:color="auto"/>
        <w:left w:val="none" w:sz="0" w:space="0" w:color="auto"/>
        <w:bottom w:val="none" w:sz="0" w:space="0" w:color="auto"/>
        <w:right w:val="none" w:sz="0" w:space="0" w:color="auto"/>
      </w:divBdr>
    </w:div>
    <w:div w:id="1810246881">
      <w:bodyDiv w:val="1"/>
      <w:marLeft w:val="0"/>
      <w:marRight w:val="0"/>
      <w:marTop w:val="0"/>
      <w:marBottom w:val="0"/>
      <w:divBdr>
        <w:top w:val="none" w:sz="0" w:space="0" w:color="auto"/>
        <w:left w:val="none" w:sz="0" w:space="0" w:color="auto"/>
        <w:bottom w:val="none" w:sz="0" w:space="0" w:color="auto"/>
        <w:right w:val="none" w:sz="0" w:space="0" w:color="auto"/>
      </w:divBdr>
    </w:div>
    <w:div w:id="1880241990">
      <w:bodyDiv w:val="1"/>
      <w:marLeft w:val="0"/>
      <w:marRight w:val="0"/>
      <w:marTop w:val="0"/>
      <w:marBottom w:val="0"/>
      <w:divBdr>
        <w:top w:val="none" w:sz="0" w:space="0" w:color="auto"/>
        <w:left w:val="none" w:sz="0" w:space="0" w:color="auto"/>
        <w:bottom w:val="none" w:sz="0" w:space="0" w:color="auto"/>
        <w:right w:val="none" w:sz="0" w:space="0" w:color="auto"/>
      </w:divBdr>
    </w:div>
    <w:div w:id="1935548525">
      <w:bodyDiv w:val="1"/>
      <w:marLeft w:val="0"/>
      <w:marRight w:val="0"/>
      <w:marTop w:val="0"/>
      <w:marBottom w:val="0"/>
      <w:divBdr>
        <w:top w:val="none" w:sz="0" w:space="0" w:color="auto"/>
        <w:left w:val="none" w:sz="0" w:space="0" w:color="auto"/>
        <w:bottom w:val="none" w:sz="0" w:space="0" w:color="auto"/>
        <w:right w:val="none" w:sz="0" w:space="0" w:color="auto"/>
      </w:divBdr>
    </w:div>
    <w:div w:id="1970890644">
      <w:bodyDiv w:val="1"/>
      <w:marLeft w:val="0"/>
      <w:marRight w:val="0"/>
      <w:marTop w:val="0"/>
      <w:marBottom w:val="0"/>
      <w:divBdr>
        <w:top w:val="none" w:sz="0" w:space="0" w:color="auto"/>
        <w:left w:val="none" w:sz="0" w:space="0" w:color="auto"/>
        <w:bottom w:val="none" w:sz="0" w:space="0" w:color="auto"/>
        <w:right w:val="none" w:sz="0" w:space="0" w:color="auto"/>
      </w:divBdr>
    </w:div>
    <w:div w:id="1985161597">
      <w:bodyDiv w:val="1"/>
      <w:marLeft w:val="0"/>
      <w:marRight w:val="0"/>
      <w:marTop w:val="0"/>
      <w:marBottom w:val="0"/>
      <w:divBdr>
        <w:top w:val="none" w:sz="0" w:space="0" w:color="auto"/>
        <w:left w:val="none" w:sz="0" w:space="0" w:color="auto"/>
        <w:bottom w:val="none" w:sz="0" w:space="0" w:color="auto"/>
        <w:right w:val="none" w:sz="0" w:space="0" w:color="auto"/>
      </w:divBdr>
    </w:div>
    <w:div w:id="1988364015">
      <w:bodyDiv w:val="1"/>
      <w:marLeft w:val="0"/>
      <w:marRight w:val="0"/>
      <w:marTop w:val="0"/>
      <w:marBottom w:val="0"/>
      <w:divBdr>
        <w:top w:val="none" w:sz="0" w:space="0" w:color="auto"/>
        <w:left w:val="none" w:sz="0" w:space="0" w:color="auto"/>
        <w:bottom w:val="none" w:sz="0" w:space="0" w:color="auto"/>
        <w:right w:val="none" w:sz="0" w:space="0" w:color="auto"/>
      </w:divBdr>
    </w:div>
    <w:div w:id="20252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legalinstruments.oecd.org/en/instruments/OECD-LEGAL-0501" TargetMode="External"/><Relationship Id="rId13" Type="http://schemas.openxmlformats.org/officeDocument/2006/relationships/hyperlink" Target="https://www.inserm.fr/en/ethics/volrethics/" TargetMode="External"/><Relationship Id="rId18" Type="http://schemas.openxmlformats.org/officeDocument/2006/relationships/hyperlink" Target="https://research-and-innovation.ec.europa.eu/news/all-research-and-innovation-news/new-publications-dual-use-provide-strategic-input-future-eu-ri-policies-2025-06-25_en" TargetMode="External"/><Relationship Id="rId26" Type="http://schemas.openxmlformats.org/officeDocument/2006/relationships/hyperlink" Target="https://ec.europa.eu/commission/presscorner/detail/en/ip_23_1598" TargetMode="External"/><Relationship Id="rId39" Type="http://schemas.openxmlformats.org/officeDocument/2006/relationships/hyperlink" Target="https://projects.research-and-innovation.ec.europa.eu/en/statistics/policy-support-facility/psf-country/support-ukraine-research-infrastructures-policies" TargetMode="External"/><Relationship Id="rId3" Type="http://schemas.openxmlformats.org/officeDocument/2006/relationships/hyperlink" Target="https://research-and-innovation.ec.europa.eu/document/download/94d6bb42-1fe7-478c-b6b4-d0be4dfb0204_en?filename=brussels-ministerial-statement-2024-02.pdf" TargetMode="External"/><Relationship Id="rId21" Type="http://schemas.openxmlformats.org/officeDocument/2006/relationships/hyperlink" Target="https://mission-innovation.net/missions/hydrogen/" TargetMode="External"/><Relationship Id="rId34" Type="http://schemas.openxmlformats.org/officeDocument/2006/relationships/hyperlink" Target="https://gardp.org/secure/" TargetMode="External"/><Relationship Id="rId42" Type="http://schemas.openxmlformats.org/officeDocument/2006/relationships/hyperlink" Target="https://prima-med.org/" TargetMode="External"/><Relationship Id="rId7" Type="http://schemas.openxmlformats.org/officeDocument/2006/relationships/hyperlink" Target="https://www.science-diplomacy.eu/" TargetMode="External"/><Relationship Id="rId12" Type="http://schemas.openxmlformats.org/officeDocument/2006/relationships/hyperlink" Target="https://www.globalcodeofconduct.org/" TargetMode="External"/><Relationship Id="rId17" Type="http://schemas.openxmlformats.org/officeDocument/2006/relationships/hyperlink" Target="https://icri2024.au/about-icri/brisbane-statement/" TargetMode="External"/><Relationship Id="rId25" Type="http://schemas.openxmlformats.org/officeDocument/2006/relationships/hyperlink" Target="https://digital-strategy.ec.europa.eu/ro/policies/partnerships" TargetMode="External"/><Relationship Id="rId33" Type="http://schemas.openxmlformats.org/officeDocument/2006/relationships/hyperlink" Target="https://erdera.org/" TargetMode="External"/><Relationship Id="rId38" Type="http://schemas.openxmlformats.org/officeDocument/2006/relationships/hyperlink" Target="https://projects.research-and-innovation.ec.europa.eu/en/statistics/policy-support-facility/psf-country/support-moldova-reforms-public-rd-sector" TargetMode="External"/><Relationship Id="rId2" Type="http://schemas.openxmlformats.org/officeDocument/2006/relationships/hyperlink" Target="https://commission.europa.eu/topics/research-and-innovation/choose-europe_en" TargetMode="External"/><Relationship Id="rId16" Type="http://schemas.openxmlformats.org/officeDocument/2006/relationships/hyperlink" Target="https://www.gsogri.org/" TargetMode="External"/><Relationship Id="rId20" Type="http://schemas.openxmlformats.org/officeDocument/2006/relationships/hyperlink" Target="https://research-and-innovation.ec.europa.eu/document/download/2e5f29fb-cb0c-4d0d-8840-97ce0ee9730c_en?filename=ec_rtd_roadmap-cooperation-un-decade-ocean-science.pdf" TargetMode="External"/><Relationship Id="rId29" Type="http://schemas.openxmlformats.org/officeDocument/2006/relationships/hyperlink" Target="https://ec.europa.eu/commission/presscorner/detail/ro/ip_22_7153" TargetMode="External"/><Relationship Id="rId41" Type="http://schemas.openxmlformats.org/officeDocument/2006/relationships/hyperlink" Target="https://www.sun4ukraine.eu/" TargetMode="External"/><Relationship Id="rId1" Type="http://schemas.openxmlformats.org/officeDocument/2006/relationships/hyperlink" Target="https://commission.europa.eu/document/download/833e082a-0c39-4bc6-a119-e0760ebc7360_en?filename=mission-letter-zaharieva.pdf" TargetMode="External"/><Relationship Id="rId6" Type="http://schemas.openxmlformats.org/officeDocument/2006/relationships/hyperlink" Target="https://eu-science-diplomacy.service-facility.eu/" TargetMode="External"/><Relationship Id="rId11" Type="http://schemas.openxmlformats.org/officeDocument/2006/relationships/hyperlink" Target="https://allea.org/code-of-conduct/" TargetMode="External"/><Relationship Id="rId24" Type="http://schemas.openxmlformats.org/officeDocument/2006/relationships/hyperlink" Target="https://knowledge-management.new-european-bauhaus.europa.eu/" TargetMode="External"/><Relationship Id="rId32" Type="http://schemas.openxmlformats.org/officeDocument/2006/relationships/hyperlink" Target="http://www.gacd.org" TargetMode="External"/><Relationship Id="rId37" Type="http://schemas.openxmlformats.org/officeDocument/2006/relationships/hyperlink" Target="https://westernbalkans-infohub.eu/wp-content/uploads/2024/10/a-western-balkans-agenda-on-innovation-research-education-KI0221615ENN-1.pdf" TargetMode="External"/><Relationship Id="rId40" Type="http://schemas.openxmlformats.org/officeDocument/2006/relationships/hyperlink" Target="https://euraxess.ec.europa.eu/ukraine" TargetMode="External"/><Relationship Id="rId5" Type="http://schemas.openxmlformats.org/officeDocument/2006/relationships/hyperlink" Target="https://research-and-innovation.ec.europa.eu/document/download/0841de12-0dd2-4459-b59c-050943c04acd_en" TargetMode="External"/><Relationship Id="rId15" Type="http://schemas.openxmlformats.org/officeDocument/2006/relationships/hyperlink" Target="https://joint-research-centre.ec.europa.eu/tools-and-laboratories/open-access-jrc-research-infrastructures_en" TargetMode="External"/><Relationship Id="rId23" Type="http://schemas.openxmlformats.org/officeDocument/2006/relationships/hyperlink" Target="https://urbantransitionsmission.org/" TargetMode="External"/><Relationship Id="rId28" Type="http://schemas.openxmlformats.org/officeDocument/2006/relationships/hyperlink" Target="https://network.geant.org/international_connectivity/" TargetMode="External"/><Relationship Id="rId36" Type="http://schemas.openxmlformats.org/officeDocument/2006/relationships/hyperlink" Target="https://research-and-innovation.ec.europa.eu/research-area/industrial-research-and-innovation/eu-valorisation-policy/knowledge-valorisation-platform_en" TargetMode="External"/><Relationship Id="rId10" Type="http://schemas.openxmlformats.org/officeDocument/2006/relationships/hyperlink" Target="https://op.europa.eu/en/publication-detail/-/publication/0ad627da-a7ed-11f0-a7c5-01aa75ed71a1/language-en" TargetMode="External"/><Relationship Id="rId19" Type="http://schemas.openxmlformats.org/officeDocument/2006/relationships/hyperlink" Target="https://data.europa.eu/doi/10.2771/903406" TargetMode="External"/><Relationship Id="rId31" Type="http://schemas.openxmlformats.org/officeDocument/2006/relationships/hyperlink" Target="http://www.glopid-r.org" TargetMode="External"/><Relationship Id="rId44" Type="http://schemas.openxmlformats.org/officeDocument/2006/relationships/hyperlink" Target="https://research-and-innovation.ec.europa.eu/system/files/2023-07/ec_rtd_au-eu-innovation-agenda-final-version.pdf" TargetMode="External"/><Relationship Id="rId4" Type="http://schemas.openxmlformats.org/officeDocument/2006/relationships/hyperlink" Target="https://research-and-innovation.ec.europa.eu/news/all-research-and-innovation-news/launch-eu-science-diplomacy-working-groups-results-call-expressions-interest-published-2023-12-06_en" TargetMode="External"/><Relationship Id="rId9" Type="http://schemas.openxmlformats.org/officeDocument/2006/relationships/hyperlink" Target="https://saferesearchers.eu/" TargetMode="External"/><Relationship Id="rId14" Type="http://schemas.openxmlformats.org/officeDocument/2006/relationships/hyperlink" Target="https://msca-glopol.eu/" TargetMode="External"/><Relationship Id="rId22" Type="http://schemas.openxmlformats.org/officeDocument/2006/relationships/hyperlink" Target="https://h2v.eu/" TargetMode="External"/><Relationship Id="rId27" Type="http://schemas.openxmlformats.org/officeDocument/2006/relationships/hyperlink" Target="https://international-partnerships.ec.europa.eu/policies/programming/programmes/bella-building-europe-link-latin-america_en" TargetMode="External"/><Relationship Id="rId30" Type="http://schemas.openxmlformats.org/officeDocument/2006/relationships/hyperlink" Target="https://www.consilium.europa.eu/en/press/press-releases/2024/01/29/eu-global-health-strategy-council-approves-conclusions/" TargetMode="External"/><Relationship Id="rId35" Type="http://schemas.openxmlformats.org/officeDocument/2006/relationships/hyperlink" Target="https://commission.europa.eu/topics/research-and-innovation/choose-europe_en" TargetMode="External"/><Relationship Id="rId43" Type="http://schemas.openxmlformats.org/officeDocument/2006/relationships/hyperlink" Target="https://ec.europa.eu/commission/presscorner/detail/ro/ip_23_5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34d651-377a-49c2-a8bf-ddef58e15d6b">
      <Terms xmlns="http://schemas.microsoft.com/office/infopath/2007/PartnerControls"/>
    </lcf76f155ced4ddcb4097134ff3c332f>
    <TaxCatchAll xmlns="22ee0535-c74f-4e20-993e-fbce5d54a3a0" xsi:nil="true"/>
    <Dateandtime xmlns="e634d651-377a-49c2-a8bf-ddef58e15d6b" xsi:nil="true"/>
    <EC_ARES_NUMBER xmlns="22ee0535-c74f-4e20-993e-fbce5d54a3a0">
      <Url xsi:nil="true"/>
      <Description xsi:nil="true"/>
    </EC_ARES_NUMBER>
    <EC_ARES_TRANSFERRED_BY xmlns="22ee0535-c74f-4e20-993e-fbce5d54a3a0" xsi:nil="true"/>
    <EC_ARES_DATE_TRANSFERRED xmlns="22ee0535-c74f-4e20-993e-fbce5d54a3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0A7A6FB1E0DF41AA6701CFCA612273" ma:contentTypeVersion="20" ma:contentTypeDescription="Create a new document." ma:contentTypeScope="" ma:versionID="d579d6120fce9042b0888b41edd40548">
  <xsd:schema xmlns:xsd="http://www.w3.org/2001/XMLSchema" xmlns:xs="http://www.w3.org/2001/XMLSchema" xmlns:p="http://schemas.microsoft.com/office/2006/metadata/properties" xmlns:ns2="e634d651-377a-49c2-a8bf-ddef58e15d6b" xmlns:ns3="22ee0535-c74f-4e20-993e-fbce5d54a3a0" targetNamespace="http://schemas.microsoft.com/office/2006/metadata/properties" ma:root="true" ma:fieldsID="901d61928229a82dd1a66b874b128c78" ns2:_="" ns3:_="">
    <xsd:import namespace="e634d651-377a-49c2-a8bf-ddef58e15d6b"/>
    <xsd:import namespace="22ee0535-c74f-4e20-993e-fbce5d54a3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Dateandtime" minOccurs="0"/>
                <xsd:element ref="ns3:EC_ARES_NUMBER" minOccurs="0"/>
                <xsd:element ref="ns3:EC_ARES_DATE_TRANSFERRED" minOccurs="0"/>
                <xsd:element ref="ns3:EC_ARES_TRANSFERRED_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4d651-377a-49c2-a8bf-ddef58e15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andtime" ma:index="23" nillable="true" ma:displayName="Date and time"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ee0535-c74f-4e20-993e-fbce5d54a3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a20556-0f19-4f7d-a3fd-948689251a5b}" ma:internalName="TaxCatchAll" ma:showField="CatchAllData" ma:web="22ee0535-c74f-4e20-993e-fbce5d54a3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EC_ARES_NUMBER" ma:index="2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5" nillable="true" ma:displayName="Transferred to Ares" ma:format="DateTime" ma:hidden="true" ma:internalName="EC_ARES_DATE_TRANSFERRED">
      <xsd:simpleType>
        <xsd:restriction base="dms:DateTime"/>
      </xsd:simpleType>
    </xsd:element>
    <xsd:element name="EC_ARES_TRANSFERRED_BY" ma:index="26"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8EA05-D359-4E4E-8028-D5AC776EEA51}">
  <ds:schemaRefs>
    <ds:schemaRef ds:uri="http://schemas.microsoft.com/sharepoint/v3/contenttype/forms"/>
  </ds:schemaRefs>
</ds:datastoreItem>
</file>

<file path=customXml/itemProps2.xml><?xml version="1.0" encoding="utf-8"?>
<ds:datastoreItem xmlns:ds="http://schemas.openxmlformats.org/officeDocument/2006/customXml" ds:itemID="{DE2DA96C-AF95-4C4C-80F4-EC7F09BC79EA}">
  <ds:schemaRefs>
    <ds:schemaRef ds:uri="http://schemas.microsoft.com/office/2006/metadata/properties"/>
    <ds:schemaRef ds:uri="http://schemas.microsoft.com/office/infopath/2007/PartnerControls"/>
    <ds:schemaRef ds:uri="e634d651-377a-49c2-a8bf-ddef58e15d6b"/>
    <ds:schemaRef ds:uri="22ee0535-c74f-4e20-993e-fbce5d54a3a0"/>
  </ds:schemaRefs>
</ds:datastoreItem>
</file>

<file path=customXml/itemProps3.xml><?xml version="1.0" encoding="utf-8"?>
<ds:datastoreItem xmlns:ds="http://schemas.openxmlformats.org/officeDocument/2006/customXml" ds:itemID="{18730FB7-E61E-4C6A-BD64-BD23630BA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4d651-377a-49c2-a8bf-ddef58e15d6b"/>
    <ds:schemaRef ds:uri="22ee0535-c74f-4e20-993e-fbce5d54a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09A62-1C77-45DC-B9DF-98ED72A5D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7537</Words>
  <Characters>42963</Characters>
  <Application>Microsoft Office Word</Application>
  <DocSecurity>0</DocSecurity>
  <Lines>358</Lines>
  <Paragraphs>100</Paragraphs>
  <ScaleCrop>false</ScaleCrop>
  <Manager/>
  <Company/>
  <LinksUpToDate>false</LinksUpToDate>
  <CharactersWithSpaces>50400</CharactersWithSpaces>
  <SharedDoc>false</SharedDoc>
  <HLinks>
    <vt:vector size="258" baseType="variant">
      <vt:variant>
        <vt:i4>4587601</vt:i4>
      </vt:variant>
      <vt:variant>
        <vt:i4>126</vt:i4>
      </vt:variant>
      <vt:variant>
        <vt:i4>0</vt:i4>
      </vt:variant>
      <vt:variant>
        <vt:i4>5</vt:i4>
      </vt:variant>
      <vt:variant>
        <vt:lpwstr>https://ec.europa.eu/commission/presscorner/detail/en/IP_23_596</vt:lpwstr>
      </vt:variant>
      <vt:variant>
        <vt:lpwstr/>
      </vt:variant>
      <vt:variant>
        <vt:i4>3473465</vt:i4>
      </vt:variant>
      <vt:variant>
        <vt:i4>123</vt:i4>
      </vt:variant>
      <vt:variant>
        <vt:i4>0</vt:i4>
      </vt:variant>
      <vt:variant>
        <vt:i4>5</vt:i4>
      </vt:variant>
      <vt:variant>
        <vt:lpwstr>https://prima-med.org/</vt:lpwstr>
      </vt:variant>
      <vt:variant>
        <vt:lpwstr/>
      </vt:variant>
      <vt:variant>
        <vt:i4>3538995</vt:i4>
      </vt:variant>
      <vt:variant>
        <vt:i4>120</vt:i4>
      </vt:variant>
      <vt:variant>
        <vt:i4>0</vt:i4>
      </vt:variant>
      <vt:variant>
        <vt:i4>5</vt:i4>
      </vt:variant>
      <vt:variant>
        <vt:lpwstr>https://www.sun4ukraine.eu/</vt:lpwstr>
      </vt:variant>
      <vt:variant>
        <vt:lpwstr/>
      </vt:variant>
      <vt:variant>
        <vt:i4>852035</vt:i4>
      </vt:variant>
      <vt:variant>
        <vt:i4>117</vt:i4>
      </vt:variant>
      <vt:variant>
        <vt:i4>0</vt:i4>
      </vt:variant>
      <vt:variant>
        <vt:i4>5</vt:i4>
      </vt:variant>
      <vt:variant>
        <vt:lpwstr>https://euraxess.ec.europa.eu/ukraine</vt:lpwstr>
      </vt:variant>
      <vt:variant>
        <vt:lpwstr/>
      </vt:variant>
      <vt:variant>
        <vt:i4>1704011</vt:i4>
      </vt:variant>
      <vt:variant>
        <vt:i4>114</vt:i4>
      </vt:variant>
      <vt:variant>
        <vt:i4>0</vt:i4>
      </vt:variant>
      <vt:variant>
        <vt:i4>5</vt:i4>
      </vt:variant>
      <vt:variant>
        <vt:lpwstr>https://projects.research-and-innovation.ec.europa.eu/en/statistics/policy-support-facility/psf-country/support-ukraine-research-infrastructures-policies</vt:lpwstr>
      </vt:variant>
      <vt:variant>
        <vt:lpwstr/>
      </vt:variant>
      <vt:variant>
        <vt:i4>1376277</vt:i4>
      </vt:variant>
      <vt:variant>
        <vt:i4>111</vt:i4>
      </vt:variant>
      <vt:variant>
        <vt:i4>0</vt:i4>
      </vt:variant>
      <vt:variant>
        <vt:i4>5</vt:i4>
      </vt:variant>
      <vt:variant>
        <vt:lpwstr>https://projects.research-and-innovation.ec.europa.eu/en/statistics/policy-support-facility/psf-country/support-moldova-reforms-public-rd-sector</vt:lpwstr>
      </vt:variant>
      <vt:variant>
        <vt:lpwstr/>
      </vt:variant>
      <vt:variant>
        <vt:i4>3014677</vt:i4>
      </vt:variant>
      <vt:variant>
        <vt:i4>108</vt:i4>
      </vt:variant>
      <vt:variant>
        <vt:i4>0</vt:i4>
      </vt:variant>
      <vt:variant>
        <vt:i4>5</vt:i4>
      </vt:variant>
      <vt:variant>
        <vt:lpwstr>https://research-and-innovation.ec.europa.eu/research-area/industrial-research-and-innovation/eu-valorisation-policy/knowledge-valorisation-platform_en</vt:lpwstr>
      </vt:variant>
      <vt:variant>
        <vt:lpwstr/>
      </vt:variant>
      <vt:variant>
        <vt:i4>8192019</vt:i4>
      </vt:variant>
      <vt:variant>
        <vt:i4>105</vt:i4>
      </vt:variant>
      <vt:variant>
        <vt:i4>0</vt:i4>
      </vt:variant>
      <vt:variant>
        <vt:i4>5</vt:i4>
      </vt:variant>
      <vt:variant>
        <vt:lpwstr>https://commission.europa.eu/topics/research-and-innovation/choose-europe_en</vt:lpwstr>
      </vt:variant>
      <vt:variant>
        <vt:lpwstr/>
      </vt:variant>
      <vt:variant>
        <vt:i4>7471139</vt:i4>
      </vt:variant>
      <vt:variant>
        <vt:i4>102</vt:i4>
      </vt:variant>
      <vt:variant>
        <vt:i4>0</vt:i4>
      </vt:variant>
      <vt:variant>
        <vt:i4>5</vt:i4>
      </vt:variant>
      <vt:variant>
        <vt:lpwstr>https://research-and-innovation.ec.europa.eu/system/files/2023-07/ec_rtd_au-eu-innovation-agenda-final-version.pdf</vt:lpwstr>
      </vt:variant>
      <vt:variant>
        <vt:lpwstr/>
      </vt:variant>
      <vt:variant>
        <vt:i4>4194318</vt:i4>
      </vt:variant>
      <vt:variant>
        <vt:i4>99</vt:i4>
      </vt:variant>
      <vt:variant>
        <vt:i4>0</vt:i4>
      </vt:variant>
      <vt:variant>
        <vt:i4>5</vt:i4>
      </vt:variant>
      <vt:variant>
        <vt:lpwstr>https://westernbalkans-infohub.eu/wp-content/uploads/2024/10/a-western-balkans-agenda-on-innovation-research-education-KI0221615ENN-1.pdf</vt:lpwstr>
      </vt:variant>
      <vt:variant>
        <vt:lpwstr/>
      </vt:variant>
      <vt:variant>
        <vt:i4>1179727</vt:i4>
      </vt:variant>
      <vt:variant>
        <vt:i4>96</vt:i4>
      </vt:variant>
      <vt:variant>
        <vt:i4>0</vt:i4>
      </vt:variant>
      <vt:variant>
        <vt:i4>5</vt:i4>
      </vt:variant>
      <vt:variant>
        <vt:lpwstr>https://gardp.org/secure/</vt:lpwstr>
      </vt:variant>
      <vt:variant>
        <vt:lpwstr/>
      </vt:variant>
      <vt:variant>
        <vt:i4>4718688</vt:i4>
      </vt:variant>
      <vt:variant>
        <vt:i4>93</vt:i4>
      </vt:variant>
      <vt:variant>
        <vt:i4>0</vt:i4>
      </vt:variant>
      <vt:variant>
        <vt:i4>5</vt:i4>
      </vt:variant>
      <vt:variant>
        <vt:lpwstr>https://www.global-health-edctp3.europa.eu/edctp-forum-kigali-madrid-2025-06-27_en</vt:lpwstr>
      </vt:variant>
      <vt:variant>
        <vt:lpwstr/>
      </vt:variant>
      <vt:variant>
        <vt:i4>7274607</vt:i4>
      </vt:variant>
      <vt:variant>
        <vt:i4>90</vt:i4>
      </vt:variant>
      <vt:variant>
        <vt:i4>0</vt:i4>
      </vt:variant>
      <vt:variant>
        <vt:i4>5</vt:i4>
      </vt:variant>
      <vt:variant>
        <vt:lpwstr>https://erdera.org/</vt:lpwstr>
      </vt:variant>
      <vt:variant>
        <vt:lpwstr/>
      </vt:variant>
      <vt:variant>
        <vt:i4>6029405</vt:i4>
      </vt:variant>
      <vt:variant>
        <vt:i4>87</vt:i4>
      </vt:variant>
      <vt:variant>
        <vt:i4>0</vt:i4>
      </vt:variant>
      <vt:variant>
        <vt:i4>5</vt:i4>
      </vt:variant>
      <vt:variant>
        <vt:lpwstr>http://www.gacd.org/</vt:lpwstr>
      </vt:variant>
      <vt:variant>
        <vt:lpwstr/>
      </vt:variant>
      <vt:variant>
        <vt:i4>1310802</vt:i4>
      </vt:variant>
      <vt:variant>
        <vt:i4>84</vt:i4>
      </vt:variant>
      <vt:variant>
        <vt:i4>0</vt:i4>
      </vt:variant>
      <vt:variant>
        <vt:i4>5</vt:i4>
      </vt:variant>
      <vt:variant>
        <vt:lpwstr>http://www.glopid-r.org/</vt:lpwstr>
      </vt:variant>
      <vt:variant>
        <vt:lpwstr/>
      </vt:variant>
      <vt:variant>
        <vt:i4>2490484</vt:i4>
      </vt:variant>
      <vt:variant>
        <vt:i4>81</vt:i4>
      </vt:variant>
      <vt:variant>
        <vt:i4>0</vt:i4>
      </vt:variant>
      <vt:variant>
        <vt:i4>5</vt:i4>
      </vt:variant>
      <vt:variant>
        <vt:lpwstr>https://www.consilium.europa.eu/en/press/press-releases/2024/01/29/eu-global-health-strategy-council-approves-conclusions/</vt:lpwstr>
      </vt:variant>
      <vt:variant>
        <vt:lpwstr/>
      </vt:variant>
      <vt:variant>
        <vt:i4>8192103</vt:i4>
      </vt:variant>
      <vt:variant>
        <vt:i4>78</vt:i4>
      </vt:variant>
      <vt:variant>
        <vt:i4>0</vt:i4>
      </vt:variant>
      <vt:variant>
        <vt:i4>5</vt:i4>
      </vt:variant>
      <vt:variant>
        <vt:lpwstr>https://ec.europa.eu/commission/presscorner/detail/en/ip_22_7153</vt:lpwstr>
      </vt:variant>
      <vt:variant>
        <vt:lpwstr/>
      </vt:variant>
      <vt:variant>
        <vt:i4>8126559</vt:i4>
      </vt:variant>
      <vt:variant>
        <vt:i4>75</vt:i4>
      </vt:variant>
      <vt:variant>
        <vt:i4>0</vt:i4>
      </vt:variant>
      <vt:variant>
        <vt:i4>5</vt:i4>
      </vt:variant>
      <vt:variant>
        <vt:lpwstr>https://network.geant.org/international_connectivity/</vt:lpwstr>
      </vt:variant>
      <vt:variant>
        <vt:lpwstr/>
      </vt:variant>
      <vt:variant>
        <vt:i4>8126528</vt:i4>
      </vt:variant>
      <vt:variant>
        <vt:i4>72</vt:i4>
      </vt:variant>
      <vt:variant>
        <vt:i4>0</vt:i4>
      </vt:variant>
      <vt:variant>
        <vt:i4>5</vt:i4>
      </vt:variant>
      <vt:variant>
        <vt:lpwstr>https://international-partnerships.ec.europa.eu/policies/programming/programmes/bella-building-europe-link-latin-america_en</vt:lpwstr>
      </vt:variant>
      <vt:variant>
        <vt:lpwstr/>
      </vt:variant>
      <vt:variant>
        <vt:i4>7471212</vt:i4>
      </vt:variant>
      <vt:variant>
        <vt:i4>69</vt:i4>
      </vt:variant>
      <vt:variant>
        <vt:i4>0</vt:i4>
      </vt:variant>
      <vt:variant>
        <vt:i4>5</vt:i4>
      </vt:variant>
      <vt:variant>
        <vt:lpwstr>https://ec.europa.eu/commission/presscorner/detail/en/ip_23_1598</vt:lpwstr>
      </vt:variant>
      <vt:variant>
        <vt:lpwstr/>
      </vt:variant>
      <vt:variant>
        <vt:i4>7077992</vt:i4>
      </vt:variant>
      <vt:variant>
        <vt:i4>66</vt:i4>
      </vt:variant>
      <vt:variant>
        <vt:i4>0</vt:i4>
      </vt:variant>
      <vt:variant>
        <vt:i4>5</vt:i4>
      </vt:variant>
      <vt:variant>
        <vt:lpwstr>https://digital-strategy.ec.europa.eu/en/policies/partnerships</vt:lpwstr>
      </vt:variant>
      <vt:variant>
        <vt:lpwstr/>
      </vt:variant>
      <vt:variant>
        <vt:i4>131072</vt:i4>
      </vt:variant>
      <vt:variant>
        <vt:i4>63</vt:i4>
      </vt:variant>
      <vt:variant>
        <vt:i4>0</vt:i4>
      </vt:variant>
      <vt:variant>
        <vt:i4>5</vt:i4>
      </vt:variant>
      <vt:variant>
        <vt:lpwstr>https://knowledge-management.new-european-bauhaus.europa.eu/</vt:lpwstr>
      </vt:variant>
      <vt:variant>
        <vt:lpwstr/>
      </vt:variant>
      <vt:variant>
        <vt:i4>655450</vt:i4>
      </vt:variant>
      <vt:variant>
        <vt:i4>60</vt:i4>
      </vt:variant>
      <vt:variant>
        <vt:i4>0</vt:i4>
      </vt:variant>
      <vt:variant>
        <vt:i4>5</vt:i4>
      </vt:variant>
      <vt:variant>
        <vt:lpwstr>https://urbantransitionsmission.org/</vt:lpwstr>
      </vt:variant>
      <vt:variant>
        <vt:lpwstr/>
      </vt:variant>
      <vt:variant>
        <vt:i4>7864379</vt:i4>
      </vt:variant>
      <vt:variant>
        <vt:i4>57</vt:i4>
      </vt:variant>
      <vt:variant>
        <vt:i4>0</vt:i4>
      </vt:variant>
      <vt:variant>
        <vt:i4>5</vt:i4>
      </vt:variant>
      <vt:variant>
        <vt:lpwstr>https://h2v.eu/</vt:lpwstr>
      </vt:variant>
      <vt:variant>
        <vt:lpwstr/>
      </vt:variant>
      <vt:variant>
        <vt:i4>87</vt:i4>
      </vt:variant>
      <vt:variant>
        <vt:i4>54</vt:i4>
      </vt:variant>
      <vt:variant>
        <vt:i4>0</vt:i4>
      </vt:variant>
      <vt:variant>
        <vt:i4>5</vt:i4>
      </vt:variant>
      <vt:variant>
        <vt:lpwstr>https://mission-innovation.net/missions/hydrogen/</vt:lpwstr>
      </vt:variant>
      <vt:variant>
        <vt:lpwstr/>
      </vt:variant>
      <vt:variant>
        <vt:i4>4784172</vt:i4>
      </vt:variant>
      <vt:variant>
        <vt:i4>51</vt:i4>
      </vt:variant>
      <vt:variant>
        <vt:i4>0</vt:i4>
      </vt:variant>
      <vt:variant>
        <vt:i4>5</vt:i4>
      </vt:variant>
      <vt:variant>
        <vt:lpwstr>https://research-and-innovation.ec.europa.eu/document/download/2e5f29fb-cb0c-4d0d-8840-97ce0ee9730c_en?filename=ec_rtd_roadmap-cooperation-un-decade-ocean-science.pdf</vt:lpwstr>
      </vt:variant>
      <vt:variant>
        <vt:lpwstr/>
      </vt:variant>
      <vt:variant>
        <vt:i4>6291535</vt:i4>
      </vt:variant>
      <vt:variant>
        <vt:i4>48</vt:i4>
      </vt:variant>
      <vt:variant>
        <vt:i4>0</vt:i4>
      </vt:variant>
      <vt:variant>
        <vt:i4>5</vt:i4>
      </vt:variant>
      <vt:variant>
        <vt:lpwstr>https://research-and-innovation.ec.europa.eu/news/all-research-and-innovation-news/new-publications-dual-use-provide-strategic-input-future-eu-ri-policies-2025-06-25_en</vt:lpwstr>
      </vt:variant>
      <vt:variant>
        <vt:lpwstr/>
      </vt:variant>
      <vt:variant>
        <vt:i4>6750253</vt:i4>
      </vt:variant>
      <vt:variant>
        <vt:i4>45</vt:i4>
      </vt:variant>
      <vt:variant>
        <vt:i4>0</vt:i4>
      </vt:variant>
      <vt:variant>
        <vt:i4>5</vt:i4>
      </vt:variant>
      <vt:variant>
        <vt:lpwstr>https://icri2024.au/about-icri/brisbane-statement/</vt:lpwstr>
      </vt:variant>
      <vt:variant>
        <vt:lpwstr/>
      </vt:variant>
      <vt:variant>
        <vt:i4>3997798</vt:i4>
      </vt:variant>
      <vt:variant>
        <vt:i4>42</vt:i4>
      </vt:variant>
      <vt:variant>
        <vt:i4>0</vt:i4>
      </vt:variant>
      <vt:variant>
        <vt:i4>5</vt:i4>
      </vt:variant>
      <vt:variant>
        <vt:lpwstr>https://www.gsogri.org/</vt:lpwstr>
      </vt:variant>
      <vt:variant>
        <vt:lpwstr/>
      </vt:variant>
      <vt:variant>
        <vt:i4>786468</vt:i4>
      </vt:variant>
      <vt:variant>
        <vt:i4>39</vt:i4>
      </vt:variant>
      <vt:variant>
        <vt:i4>0</vt:i4>
      </vt:variant>
      <vt:variant>
        <vt:i4>5</vt:i4>
      </vt:variant>
      <vt:variant>
        <vt:lpwstr>https://joint-research-centre.ec.europa.eu/tools-and-laboratories/open-access-jrc-research-infrastructures_en</vt:lpwstr>
      </vt:variant>
      <vt:variant>
        <vt:lpwstr/>
      </vt:variant>
      <vt:variant>
        <vt:i4>4128886</vt:i4>
      </vt:variant>
      <vt:variant>
        <vt:i4>36</vt:i4>
      </vt:variant>
      <vt:variant>
        <vt:i4>0</vt:i4>
      </vt:variant>
      <vt:variant>
        <vt:i4>5</vt:i4>
      </vt:variant>
      <vt:variant>
        <vt:lpwstr>https://msca-glopol.eu/</vt:lpwstr>
      </vt:variant>
      <vt:variant>
        <vt:lpwstr/>
      </vt:variant>
      <vt:variant>
        <vt:i4>3866660</vt:i4>
      </vt:variant>
      <vt:variant>
        <vt:i4>33</vt:i4>
      </vt:variant>
      <vt:variant>
        <vt:i4>0</vt:i4>
      </vt:variant>
      <vt:variant>
        <vt:i4>5</vt:i4>
      </vt:variant>
      <vt:variant>
        <vt:lpwstr>https://www.inserm.fr/en/ethics/volrethics/</vt:lpwstr>
      </vt:variant>
      <vt:variant>
        <vt:lpwstr/>
      </vt:variant>
      <vt:variant>
        <vt:i4>6094917</vt:i4>
      </vt:variant>
      <vt:variant>
        <vt:i4>30</vt:i4>
      </vt:variant>
      <vt:variant>
        <vt:i4>0</vt:i4>
      </vt:variant>
      <vt:variant>
        <vt:i4>5</vt:i4>
      </vt:variant>
      <vt:variant>
        <vt:lpwstr>https://www.globalcodeofconduct.org/</vt:lpwstr>
      </vt:variant>
      <vt:variant>
        <vt:lpwstr/>
      </vt:variant>
      <vt:variant>
        <vt:i4>6553700</vt:i4>
      </vt:variant>
      <vt:variant>
        <vt:i4>27</vt:i4>
      </vt:variant>
      <vt:variant>
        <vt:i4>0</vt:i4>
      </vt:variant>
      <vt:variant>
        <vt:i4>5</vt:i4>
      </vt:variant>
      <vt:variant>
        <vt:lpwstr>https://allea.org/code-of-conduct/</vt:lpwstr>
      </vt:variant>
      <vt:variant>
        <vt:lpwstr/>
      </vt:variant>
      <vt:variant>
        <vt:i4>1704014</vt:i4>
      </vt:variant>
      <vt:variant>
        <vt:i4>24</vt:i4>
      </vt:variant>
      <vt:variant>
        <vt:i4>0</vt:i4>
      </vt:variant>
      <vt:variant>
        <vt:i4>5</vt:i4>
      </vt:variant>
      <vt:variant>
        <vt:lpwstr>https://op.europa.eu/en/publication-detail/-/publication/0ad627da-a7ed-11f0-a7c5-01aa75ed71a1/language-en</vt:lpwstr>
      </vt:variant>
      <vt:variant>
        <vt:lpwstr/>
      </vt:variant>
      <vt:variant>
        <vt:i4>2490405</vt:i4>
      </vt:variant>
      <vt:variant>
        <vt:i4>21</vt:i4>
      </vt:variant>
      <vt:variant>
        <vt:i4>0</vt:i4>
      </vt:variant>
      <vt:variant>
        <vt:i4>5</vt:i4>
      </vt:variant>
      <vt:variant>
        <vt:lpwstr>https://saferesearchers.eu/</vt:lpwstr>
      </vt:variant>
      <vt:variant>
        <vt:lpwstr/>
      </vt:variant>
      <vt:variant>
        <vt:i4>524291</vt:i4>
      </vt:variant>
      <vt:variant>
        <vt:i4>18</vt:i4>
      </vt:variant>
      <vt:variant>
        <vt:i4>0</vt:i4>
      </vt:variant>
      <vt:variant>
        <vt:i4>5</vt:i4>
      </vt:variant>
      <vt:variant>
        <vt:lpwstr>https://legalinstruments.oecd.org/en/instruments/OECD-LEGAL-0501</vt:lpwstr>
      </vt:variant>
      <vt:variant>
        <vt:lpwstr/>
      </vt:variant>
      <vt:variant>
        <vt:i4>6094917</vt:i4>
      </vt:variant>
      <vt:variant>
        <vt:i4>15</vt:i4>
      </vt:variant>
      <vt:variant>
        <vt:i4>0</vt:i4>
      </vt:variant>
      <vt:variant>
        <vt:i4>5</vt:i4>
      </vt:variant>
      <vt:variant>
        <vt:lpwstr>https://eu-science-diplomacy.service-facility.eu/</vt:lpwstr>
      </vt:variant>
      <vt:variant>
        <vt:lpwstr/>
      </vt:variant>
      <vt:variant>
        <vt:i4>5570617</vt:i4>
      </vt:variant>
      <vt:variant>
        <vt:i4>12</vt:i4>
      </vt:variant>
      <vt:variant>
        <vt:i4>0</vt:i4>
      </vt:variant>
      <vt:variant>
        <vt:i4>5</vt:i4>
      </vt:variant>
      <vt:variant>
        <vt:lpwstr>https://research-and-innovation.ec.europa.eu/document/download/0841de12-0dd2-4459-b59c-050943c04acd_en</vt:lpwstr>
      </vt:variant>
      <vt:variant>
        <vt:lpwstr/>
      </vt:variant>
      <vt:variant>
        <vt:i4>2490391</vt:i4>
      </vt:variant>
      <vt:variant>
        <vt:i4>9</vt:i4>
      </vt:variant>
      <vt:variant>
        <vt:i4>0</vt:i4>
      </vt:variant>
      <vt:variant>
        <vt:i4>5</vt:i4>
      </vt:variant>
      <vt:variant>
        <vt:lpwstr>https://research-and-innovation.ec.europa.eu/news/all-research-and-innovation-news/launch-eu-science-diplomacy-working-groups-results-call-expressions-interest-published-2023-12-06_en</vt:lpwstr>
      </vt:variant>
      <vt:variant>
        <vt:lpwstr/>
      </vt:variant>
      <vt:variant>
        <vt:i4>5832800</vt:i4>
      </vt:variant>
      <vt:variant>
        <vt:i4>6</vt:i4>
      </vt:variant>
      <vt:variant>
        <vt:i4>0</vt:i4>
      </vt:variant>
      <vt:variant>
        <vt:i4>5</vt:i4>
      </vt:variant>
      <vt:variant>
        <vt:lpwstr>https://research-and-innovation.ec.europa.eu/document/download/94d6bb42-1fe7-478c-b6b4-d0be4dfb0204_en?filename=brussels-ministerial-statement-2024-02.pdf</vt:lpwstr>
      </vt:variant>
      <vt:variant>
        <vt:lpwstr/>
      </vt:variant>
      <vt:variant>
        <vt:i4>8192019</vt:i4>
      </vt:variant>
      <vt:variant>
        <vt:i4>3</vt:i4>
      </vt:variant>
      <vt:variant>
        <vt:i4>0</vt:i4>
      </vt:variant>
      <vt:variant>
        <vt:i4>5</vt:i4>
      </vt:variant>
      <vt:variant>
        <vt:lpwstr>https://commission.europa.eu/topics/research-and-innovation/choose-europe_en</vt:lpwstr>
      </vt:variant>
      <vt:variant>
        <vt:lpwstr/>
      </vt:variant>
      <vt:variant>
        <vt:i4>3866715</vt:i4>
      </vt:variant>
      <vt:variant>
        <vt:i4>0</vt:i4>
      </vt:variant>
      <vt:variant>
        <vt:i4>0</vt:i4>
      </vt:variant>
      <vt:variant>
        <vt:i4>5</vt:i4>
      </vt:variant>
      <vt:variant>
        <vt:lpwstr>https://commission.europa.eu/document/download/833e082a-0c39-4bc6-a119-e0760ebc7360_en?filename=mission-letter-zaharieva.pdf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2025-11-06T06:27:00Z</cp:lastPrinted>
  <dcterms:created xsi:type="dcterms:W3CDTF">2026-01-23T11:28:00Z</dcterms:created>
  <dcterms:modified xsi:type="dcterms:W3CDTF">2026-02-27T07:29:00Z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CP-005</vt:lpwstr>
  </property>
  <property fmtid="{D5CDD505-2E9C-101B-9397-08002B2CF9AE}" pid="6" name="Created using">
    <vt:lpwstr>LW 8.1, Build 20220902</vt:lpwstr>
  </property>
  <property fmtid="{D5CDD505-2E9C-101B-9397-08002B2CF9AE}" pid="7" name="MSIP_Label_6bd9ddd1-4d20-43f6-abfa-fc3c07406f94_Enabled">
    <vt:lpwstr>true</vt:lpwstr>
  </property>
  <property fmtid="{D5CDD505-2E9C-101B-9397-08002B2CF9AE}" pid="8" name="MSIP_Label_6bd9ddd1-4d20-43f6-abfa-fc3c07406f94_SetDate">
    <vt:lpwstr>2023-06-06T09:31:12Z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0a45b529-0933-4b8f-9cae-410b7d9413fe</vt:lpwstr>
  </property>
  <property fmtid="{D5CDD505-2E9C-101B-9397-08002B2CF9AE}" pid="13" name="MSIP_Label_6bd9ddd1-4d20-43f6-abfa-fc3c07406f94_ContentBits">
    <vt:lpwstr>0</vt:lpwstr>
  </property>
  <property fmtid="{D5CDD505-2E9C-101B-9397-08002B2CF9AE}" pid="14" name="ContentTypeId">
    <vt:lpwstr>0x010100570A7A6FB1E0DF41AA6701CFCA612273</vt:lpwstr>
  </property>
  <property fmtid="{D5CDD505-2E9C-101B-9397-08002B2CF9AE}" pid="15" name="MediaServiceImageTags">
    <vt:lpwstr/>
  </property>
  <property fmtid="{D5CDD505-2E9C-101B-9397-08002B2CF9AE}" pid="16" name="DocStatus">
    <vt:lpwstr>Green</vt:lpwstr>
  </property>
  <property fmtid="{D5CDD505-2E9C-101B-9397-08002B2CF9AE}" pid="17" name="Last edited using">
    <vt:lpwstr>LW 9.2, Build 20250828</vt:lpwstr>
  </property>
</Properties>
</file>